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F953" w14:textId="77777777" w:rsidR="008936E6" w:rsidRDefault="00000000">
      <w:pPr>
        <w:spacing w:before="60" w:after="40"/>
      </w:pPr>
      <w:r>
        <w:rPr>
          <w:rFonts w:ascii="Calibri" w:eastAsia="Calibri" w:hAnsi="Calibri" w:cs="Calibri"/>
          <w:color w:val="666666"/>
        </w:rPr>
        <w:t>22 July 2026</w:t>
      </w:r>
    </w:p>
    <w:p w14:paraId="33D8BC38" w14:textId="77777777" w:rsidR="008936E6" w:rsidRDefault="00000000">
      <w:pPr>
        <w:spacing w:after="260"/>
      </w:pPr>
      <w:r>
        <w:rPr>
          <w:rFonts w:ascii="Calibri" w:eastAsia="Calibri" w:hAnsi="Calibri" w:cs="Calibri"/>
          <w:color w:val="666666"/>
        </w:rPr>
        <w:t>Reference: JDM/26 0826</w:t>
      </w:r>
    </w:p>
    <w:p w14:paraId="1CB98CBC" w14:textId="77777777" w:rsidR="008936E6" w:rsidRDefault="00000000">
      <w:pPr>
        <w:spacing w:after="40"/>
      </w:pPr>
      <w:r>
        <w:rPr>
          <w:rFonts w:ascii="Calibri" w:eastAsia="Calibri" w:hAnsi="Calibri" w:cs="Calibri"/>
          <w:color w:val="666666"/>
        </w:rPr>
        <w:t>To:</w:t>
      </w:r>
    </w:p>
    <w:p w14:paraId="1558BA5A" w14:textId="77777777" w:rsidR="008936E6" w:rsidRDefault="00000000">
      <w:pPr>
        <w:spacing w:after="20"/>
      </w:pPr>
      <w:r>
        <w:rPr>
          <w:rFonts w:ascii="Calibri" w:eastAsia="Calibri" w:hAnsi="Calibri" w:cs="Calibri"/>
          <w:b/>
          <w:bCs/>
          <w:color w:val="1B2A4A"/>
          <w:sz w:val="21"/>
          <w:szCs w:val="21"/>
        </w:rPr>
        <w:t>Ministry of Justice and Digital Affairs of the Republic of Estonia</w:t>
      </w:r>
    </w:p>
    <w:p w14:paraId="07F1CF10" w14:textId="1B99E165" w:rsidR="008936E6" w:rsidRDefault="00A91D53">
      <w:pPr>
        <w:spacing w:after="320"/>
        <w:rPr>
          <w:rFonts w:ascii="Calibri" w:eastAsia="Calibri" w:hAnsi="Calibri" w:cs="Calibri"/>
          <w:i/>
          <w:iCs/>
          <w:color w:val="666666"/>
        </w:rPr>
      </w:pPr>
      <w:hyperlink r:id="rId7" w:history="1">
        <w:r w:rsidRPr="00205265">
          <w:rPr>
            <w:rStyle w:val="Hyperlink"/>
            <w:rFonts w:ascii="Calibri" w:eastAsia="Calibri" w:hAnsi="Calibri" w:cs="Calibri"/>
            <w:i/>
            <w:iCs/>
          </w:rPr>
          <w:t>info@justdigi.ee</w:t>
        </w:r>
      </w:hyperlink>
    </w:p>
    <w:p w14:paraId="250CCD00" w14:textId="77777777" w:rsidR="00A91D53" w:rsidRDefault="00A91D53">
      <w:pPr>
        <w:spacing w:after="320"/>
      </w:pPr>
    </w:p>
    <w:p w14:paraId="62A14D69" w14:textId="77777777" w:rsidR="008936E6" w:rsidRDefault="00000000">
      <w:pPr>
        <w:spacing w:after="60"/>
      </w:pPr>
      <w:r>
        <w:rPr>
          <w:rFonts w:ascii="Calibri" w:eastAsia="Calibri" w:hAnsi="Calibri" w:cs="Calibri"/>
          <w:b/>
          <w:bCs/>
          <w:color w:val="1B2A4A"/>
          <w:sz w:val="30"/>
          <w:szCs w:val="30"/>
        </w:rPr>
        <w:t>FEEDBACK ON THE DRAFT ACT AMENDING</w:t>
      </w:r>
    </w:p>
    <w:p w14:paraId="6123A29D" w14:textId="77777777" w:rsidR="008936E6" w:rsidRDefault="00000000">
      <w:pPr>
        <w:spacing w:after="60"/>
      </w:pPr>
      <w:r>
        <w:rPr>
          <w:rFonts w:ascii="Calibri" w:eastAsia="Calibri" w:hAnsi="Calibri" w:cs="Calibri"/>
          <w:b/>
          <w:bCs/>
          <w:color w:val="1B2A4A"/>
          <w:sz w:val="30"/>
          <w:szCs w:val="30"/>
        </w:rPr>
        <w:t>THE TOBACCO ACT AND THE STATE FEES ACT</w:t>
      </w:r>
    </w:p>
    <w:p w14:paraId="2F224956" w14:textId="77777777" w:rsidR="008936E6" w:rsidRDefault="00000000">
      <w:pPr>
        <w:pBdr>
          <w:bottom w:val="single" w:sz="18" w:space="8" w:color="B08D3E"/>
        </w:pBdr>
        <w:spacing w:after="300"/>
      </w:pPr>
      <w:r>
        <w:rPr>
          <w:rFonts w:ascii="Georgia" w:eastAsia="Georgia" w:hAnsi="Georgia" w:cs="Georgia"/>
          <w:i/>
          <w:iCs/>
          <w:color w:val="666666"/>
          <w:sz w:val="22"/>
          <w:szCs w:val="22"/>
        </w:rPr>
        <w:t>Submission of the Latvian Traders Association on nicotine pouch and heated herbal product regulation</w:t>
      </w:r>
    </w:p>
    <w:p w14:paraId="51643C16" w14:textId="77777777" w:rsidR="008936E6" w:rsidRDefault="00000000">
      <w:pPr>
        <w:spacing w:after="180" w:line="300" w:lineRule="auto"/>
        <w:jc w:val="both"/>
      </w:pPr>
      <w:r>
        <w:rPr>
          <w:rFonts w:ascii="Georgia" w:eastAsia="Georgia" w:hAnsi="Georgia" w:cs="Georgia"/>
          <w:color w:val="1A1A1A"/>
          <w:sz w:val="22"/>
          <w:szCs w:val="22"/>
        </w:rPr>
        <w:t>The Latvian Traders Association (</w:t>
      </w:r>
      <w:proofErr w:type="spellStart"/>
      <w:r>
        <w:rPr>
          <w:rFonts w:ascii="Georgia" w:eastAsia="Georgia" w:hAnsi="Georgia" w:cs="Georgia"/>
          <w:color w:val="1A1A1A"/>
          <w:sz w:val="22"/>
          <w:szCs w:val="22"/>
        </w:rPr>
        <w:t>Latvijas</w:t>
      </w:r>
      <w:proofErr w:type="spellEnd"/>
      <w:r>
        <w:rPr>
          <w:rFonts w:ascii="Georgia" w:eastAsia="Georgia" w:hAnsi="Georgia" w:cs="Georgia"/>
          <w:color w:val="1A1A1A"/>
          <w:sz w:val="22"/>
          <w:szCs w:val="22"/>
        </w:rPr>
        <w:t xml:space="preserve"> </w:t>
      </w:r>
      <w:proofErr w:type="spellStart"/>
      <w:r>
        <w:rPr>
          <w:rFonts w:ascii="Georgia" w:eastAsia="Georgia" w:hAnsi="Georgia" w:cs="Georgia"/>
          <w:color w:val="1A1A1A"/>
          <w:sz w:val="22"/>
          <w:szCs w:val="22"/>
        </w:rPr>
        <w:t>Tirgotāju</w:t>
      </w:r>
      <w:proofErr w:type="spellEnd"/>
      <w:r>
        <w:rPr>
          <w:rFonts w:ascii="Georgia" w:eastAsia="Georgia" w:hAnsi="Georgia" w:cs="Georgia"/>
          <w:color w:val="1A1A1A"/>
          <w:sz w:val="22"/>
          <w:szCs w:val="22"/>
        </w:rPr>
        <w:t xml:space="preserve"> </w:t>
      </w:r>
      <w:proofErr w:type="spellStart"/>
      <w:r>
        <w:rPr>
          <w:rFonts w:ascii="Georgia" w:eastAsia="Georgia" w:hAnsi="Georgia" w:cs="Georgia"/>
          <w:color w:val="1A1A1A"/>
          <w:sz w:val="22"/>
          <w:szCs w:val="22"/>
        </w:rPr>
        <w:t>asociācija</w:t>
      </w:r>
      <w:proofErr w:type="spellEnd"/>
      <w:r>
        <w:rPr>
          <w:rFonts w:ascii="Georgia" w:eastAsia="Georgia" w:hAnsi="Georgia" w:cs="Georgia"/>
          <w:color w:val="1A1A1A"/>
          <w:sz w:val="22"/>
          <w:szCs w:val="22"/>
        </w:rPr>
        <w:t>) welcomes the opportunity to share its position with the Estonian trade community and public authorities on the draft amendments to the Tobacco Act and the State Fees Act, published jointly by the Estonian Minister of Justice and the Minister of Social Affairs. We write in a spirit of regional cooperation, drawing on Latvia's direct and recent regulatory experience, which we believe is highly relevant to the deliberations currently underway in Estonia.</w:t>
      </w:r>
    </w:p>
    <w:p w14:paraId="0D61FBA6" w14:textId="77777777" w:rsidR="008936E6" w:rsidRDefault="00000000">
      <w:pPr>
        <w:spacing w:after="180" w:line="300" w:lineRule="auto"/>
        <w:jc w:val="both"/>
      </w:pPr>
      <w:r>
        <w:rPr>
          <w:rFonts w:ascii="Georgia" w:eastAsia="Georgia" w:hAnsi="Georgia" w:cs="Georgia"/>
          <w:color w:val="1A1A1A"/>
          <w:sz w:val="22"/>
          <w:szCs w:val="22"/>
        </w:rPr>
        <w:t xml:space="preserve">The draft Act proposes new regulatory requirements for nicotine pouches and heated herbal products, including a maximum nicotine concentration of 4 mg/g in nicotine pouches and restrictions on permitted </w:t>
      </w:r>
      <w:proofErr w:type="spellStart"/>
      <w:r>
        <w:rPr>
          <w:rFonts w:ascii="Georgia" w:eastAsia="Georgia" w:hAnsi="Georgia" w:cs="Georgia"/>
          <w:color w:val="1A1A1A"/>
          <w:sz w:val="22"/>
          <w:szCs w:val="22"/>
        </w:rPr>
        <w:t>flavours</w:t>
      </w:r>
      <w:proofErr w:type="spellEnd"/>
      <w:r>
        <w:rPr>
          <w:rFonts w:ascii="Georgia" w:eastAsia="Georgia" w:hAnsi="Georgia" w:cs="Georgia"/>
          <w:color w:val="1A1A1A"/>
          <w:sz w:val="22"/>
          <w:szCs w:val="22"/>
        </w:rPr>
        <w:t>. Latvia introduced closely comparable restrictions in January 2025. Based on the consequences we have since observed — and which our Parliament is now actively working to reverse — we urge Estonian authorities to carefully reconsider the proposed measures before adoption.</w:t>
      </w:r>
    </w:p>
    <w:p w14:paraId="02FFD91D" w14:textId="77777777" w:rsidR="008936E6" w:rsidRDefault="00000000">
      <w:pPr>
        <w:spacing w:before="100" w:after="140"/>
      </w:pPr>
      <w:r>
        <w:rPr>
          <w:rFonts w:ascii="Calibri" w:eastAsia="Calibri" w:hAnsi="Calibri" w:cs="Calibri"/>
          <w:b/>
          <w:bCs/>
          <w:color w:val="1B2A4A"/>
          <w:spacing w:val="4"/>
          <w:sz w:val="19"/>
          <w:szCs w:val="19"/>
        </w:rPr>
        <w:t>LATVIA'S EXPERIENCE SINCE JANUARY 2025 — KEY FIGURES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65"/>
        <w:gridCol w:w="3165"/>
        <w:gridCol w:w="3166"/>
      </w:tblGrid>
      <w:tr w:rsidR="008936E6" w14:paraId="4528712E" w14:textId="77777777">
        <w:tc>
          <w:tcPr>
            <w:tcW w:w="1650" w:type="pct"/>
            <w:shd w:val="clear" w:color="auto" w:fill="1B2A4A"/>
            <w:tcMar>
              <w:top w:w="220" w:type="dxa"/>
              <w:left w:w="160" w:type="dxa"/>
              <w:bottom w:w="220" w:type="dxa"/>
              <w:right w:w="160" w:type="dxa"/>
            </w:tcMar>
            <w:vAlign w:val="center"/>
          </w:tcPr>
          <w:p w14:paraId="2C38DDCA" w14:textId="77777777" w:rsidR="008936E6" w:rsidRDefault="00000000">
            <w:pPr>
              <w:spacing w:after="60"/>
              <w:jc w:val="center"/>
            </w:pPr>
            <w:r>
              <w:rPr>
                <w:rFonts w:ascii="Calibri" w:eastAsia="Calibri" w:hAnsi="Calibri" w:cs="Calibri"/>
                <w:b/>
                <w:bCs/>
                <w:color w:val="FFFFFF"/>
                <w:sz w:val="34"/>
                <w:szCs w:val="34"/>
              </w:rPr>
              <w:t>→ 0</w:t>
            </w:r>
          </w:p>
          <w:p w14:paraId="1CA16754" w14:textId="77777777" w:rsidR="008936E6" w:rsidRDefault="00000000">
            <w:pPr>
              <w:jc w:val="center"/>
            </w:pPr>
            <w:r>
              <w:rPr>
                <w:rFonts w:ascii="Calibri" w:eastAsia="Calibri" w:hAnsi="Calibri" w:cs="Calibri"/>
                <w:color w:val="D9DEE8"/>
                <w:sz w:val="16"/>
                <w:szCs w:val="16"/>
              </w:rPr>
              <w:t>Legal nicotine pouch turnover, practically eliminated</w:t>
            </w:r>
          </w:p>
        </w:tc>
        <w:tc>
          <w:tcPr>
            <w:tcW w:w="1650" w:type="pct"/>
            <w:shd w:val="clear" w:color="auto" w:fill="1B2A4A"/>
            <w:tcMar>
              <w:top w:w="220" w:type="dxa"/>
              <w:left w:w="160" w:type="dxa"/>
              <w:bottom w:w="220" w:type="dxa"/>
              <w:right w:w="160" w:type="dxa"/>
            </w:tcMar>
            <w:vAlign w:val="center"/>
          </w:tcPr>
          <w:p w14:paraId="7705BCEE" w14:textId="77777777" w:rsidR="008936E6" w:rsidRDefault="00000000">
            <w:pPr>
              <w:spacing w:after="60"/>
              <w:jc w:val="center"/>
            </w:pPr>
            <w:r>
              <w:rPr>
                <w:rFonts w:ascii="Calibri" w:eastAsia="Calibri" w:hAnsi="Calibri" w:cs="Calibri"/>
                <w:b/>
                <w:bCs/>
                <w:color w:val="FFFFFF"/>
                <w:sz w:val="34"/>
                <w:szCs w:val="34"/>
              </w:rPr>
              <w:t>&gt; 50%</w:t>
            </w:r>
          </w:p>
          <w:p w14:paraId="322DF83D" w14:textId="77777777" w:rsidR="008936E6" w:rsidRDefault="00000000">
            <w:pPr>
              <w:jc w:val="center"/>
            </w:pPr>
            <w:r>
              <w:rPr>
                <w:rFonts w:ascii="Calibri" w:eastAsia="Calibri" w:hAnsi="Calibri" w:cs="Calibri"/>
                <w:color w:val="D9DEE8"/>
                <w:sz w:val="16"/>
                <w:szCs w:val="16"/>
              </w:rPr>
              <w:t>Decline in electronic smoking product sales</w:t>
            </w:r>
          </w:p>
        </w:tc>
        <w:tc>
          <w:tcPr>
            <w:tcW w:w="1650" w:type="pct"/>
            <w:shd w:val="clear" w:color="auto" w:fill="1B2A4A"/>
            <w:tcMar>
              <w:top w:w="220" w:type="dxa"/>
              <w:left w:w="160" w:type="dxa"/>
              <w:bottom w:w="220" w:type="dxa"/>
              <w:right w:w="160" w:type="dxa"/>
            </w:tcMar>
            <w:vAlign w:val="center"/>
          </w:tcPr>
          <w:p w14:paraId="289906B7" w14:textId="77777777" w:rsidR="008936E6" w:rsidRDefault="00000000">
            <w:pPr>
              <w:spacing w:after="60"/>
              <w:jc w:val="center"/>
            </w:pPr>
            <w:r>
              <w:rPr>
                <w:rFonts w:ascii="Calibri" w:eastAsia="Calibri" w:hAnsi="Calibri" w:cs="Calibri"/>
                <w:b/>
                <w:bCs/>
                <w:color w:val="FFFFFF"/>
                <w:sz w:val="34"/>
                <w:szCs w:val="34"/>
              </w:rPr>
              <w:t>€ 30M+</w:t>
            </w:r>
          </w:p>
          <w:p w14:paraId="11A36A0F" w14:textId="77777777" w:rsidR="008936E6" w:rsidRDefault="00000000">
            <w:pPr>
              <w:jc w:val="center"/>
            </w:pPr>
            <w:r>
              <w:rPr>
                <w:rFonts w:ascii="Calibri" w:eastAsia="Calibri" w:hAnsi="Calibri" w:cs="Calibri"/>
                <w:color w:val="D9DEE8"/>
                <w:sz w:val="16"/>
                <w:szCs w:val="16"/>
              </w:rPr>
              <w:t>Estimated annual loss to the state budget</w:t>
            </w:r>
          </w:p>
        </w:tc>
      </w:tr>
    </w:tbl>
    <w:p w14:paraId="3B8AC03D" w14:textId="77777777" w:rsidR="008936E6" w:rsidRDefault="00000000">
      <w:pPr>
        <w:spacing w:before="140" w:after="100"/>
      </w:pPr>
      <w:r>
        <w:rPr>
          <w:rFonts w:ascii="Georgia" w:eastAsia="Georgia" w:hAnsi="Georgia" w:cs="Georgia"/>
          <w:i/>
          <w:iCs/>
          <w:color w:val="666666"/>
        </w:rPr>
        <w:t>Cross-border purchasing and illicit trade are estimated, according to relevant studies, to now exceed 50% of total consumption in the affected categories.</w:t>
      </w:r>
    </w:p>
    <w:p w14:paraId="54FDA56C" w14:textId="77777777" w:rsidR="008936E6" w:rsidRDefault="00000000">
      <w:pPr>
        <w:pStyle w:val="Heading1"/>
        <w:pBdr>
          <w:bottom w:val="single" w:sz="6" w:space="4" w:color="B08D3E"/>
        </w:pBdr>
        <w:spacing w:before="340" w:after="140"/>
      </w:pPr>
      <w:r>
        <w:rPr>
          <w:rFonts w:ascii="Calibri" w:eastAsia="Calibri" w:hAnsi="Calibri" w:cs="Calibri"/>
          <w:b/>
          <w:bCs/>
          <w:color w:val="1B2A4A"/>
          <w:spacing w:val="6"/>
          <w:sz w:val="24"/>
          <w:szCs w:val="24"/>
        </w:rPr>
        <w:t>1. BACKGROUND TO THIS SUBMISSION</w:t>
      </w:r>
    </w:p>
    <w:p w14:paraId="21C00218" w14:textId="77777777" w:rsidR="008936E6" w:rsidRDefault="00000000">
      <w:pPr>
        <w:spacing w:after="180" w:line="300" w:lineRule="auto"/>
        <w:jc w:val="both"/>
        <w:rPr>
          <w:rFonts w:ascii="Georgia" w:eastAsia="Georgia" w:hAnsi="Georgia" w:cs="Georgia"/>
          <w:color w:val="1A1A1A"/>
          <w:sz w:val="22"/>
          <w:szCs w:val="22"/>
        </w:rPr>
      </w:pPr>
      <w:r>
        <w:rPr>
          <w:rFonts w:ascii="Georgia" w:eastAsia="Georgia" w:hAnsi="Georgia" w:cs="Georgia"/>
          <w:color w:val="1A1A1A"/>
          <w:sz w:val="22"/>
          <w:szCs w:val="22"/>
        </w:rPr>
        <w:t xml:space="preserve">Since January 2025, Latvia has applied nicotine concentration limits and </w:t>
      </w:r>
      <w:proofErr w:type="spellStart"/>
      <w:r>
        <w:rPr>
          <w:rFonts w:ascii="Georgia" w:eastAsia="Georgia" w:hAnsi="Georgia" w:cs="Georgia"/>
          <w:color w:val="1A1A1A"/>
          <w:sz w:val="22"/>
          <w:szCs w:val="22"/>
        </w:rPr>
        <w:t>flavour</w:t>
      </w:r>
      <w:proofErr w:type="spellEnd"/>
      <w:r>
        <w:rPr>
          <w:rFonts w:ascii="Georgia" w:eastAsia="Georgia" w:hAnsi="Georgia" w:cs="Georgia"/>
          <w:color w:val="1A1A1A"/>
          <w:sz w:val="22"/>
          <w:szCs w:val="22"/>
        </w:rPr>
        <w:t xml:space="preserve"> restrictions to nicotine pouches that closely resemble those now proposed in Estonia. The Latvian Traders Association has monitored the market impact of these measures continuously through its member network, which includes small and regional traders who are disproportionately exposed to shifts in legal and illicit trade flows.</w:t>
      </w:r>
    </w:p>
    <w:p w14:paraId="3CB480DA" w14:textId="77777777" w:rsidR="00A91D53" w:rsidRDefault="00A91D53">
      <w:pPr>
        <w:spacing w:after="180" w:line="300" w:lineRule="auto"/>
        <w:jc w:val="both"/>
        <w:rPr>
          <w:rFonts w:ascii="Georgia" w:eastAsia="Georgia" w:hAnsi="Georgia" w:cs="Georgia"/>
          <w:color w:val="1A1A1A"/>
          <w:sz w:val="22"/>
          <w:szCs w:val="22"/>
        </w:rPr>
      </w:pPr>
    </w:p>
    <w:p w14:paraId="2968721D" w14:textId="77777777" w:rsidR="00A91D53" w:rsidRDefault="00A91D53">
      <w:pPr>
        <w:spacing w:after="180" w:line="300" w:lineRule="auto"/>
        <w:jc w:val="both"/>
      </w:pPr>
    </w:p>
    <w:p w14:paraId="5E1D0EBC" w14:textId="77777777" w:rsidR="008936E6" w:rsidRDefault="00000000">
      <w:pPr>
        <w:pStyle w:val="Heading1"/>
        <w:pBdr>
          <w:bottom w:val="single" w:sz="6" w:space="4" w:color="B08D3E"/>
        </w:pBdr>
        <w:spacing w:before="340" w:after="140"/>
      </w:pPr>
      <w:r>
        <w:rPr>
          <w:rFonts w:ascii="Calibri" w:eastAsia="Calibri" w:hAnsi="Calibri" w:cs="Calibri"/>
          <w:b/>
          <w:bCs/>
          <w:color w:val="1B2A4A"/>
          <w:spacing w:val="6"/>
          <w:sz w:val="24"/>
          <w:szCs w:val="24"/>
        </w:rPr>
        <w:lastRenderedPageBreak/>
        <w:t>2. MARKET IMPACT IN LATVIA</w:t>
      </w:r>
    </w:p>
    <w:p w14:paraId="1BCB2F18" w14:textId="77777777" w:rsidR="008936E6" w:rsidRDefault="00000000">
      <w:pPr>
        <w:pStyle w:val="ListParagraph"/>
        <w:numPr>
          <w:ilvl w:val="0"/>
          <w:numId w:val="2"/>
        </w:numPr>
        <w:spacing w:after="120" w:line="290" w:lineRule="auto"/>
      </w:pPr>
      <w:r>
        <w:rPr>
          <w:rFonts w:ascii="Georgia" w:eastAsia="Georgia" w:hAnsi="Georgia" w:cs="Georgia"/>
          <w:color w:val="1A1A1A"/>
          <w:sz w:val="22"/>
          <w:szCs w:val="22"/>
        </w:rPr>
        <w:t>Legal turnover collapsed: sales of compliant, legally supplied nicotine pouches fell to practically zero following the introduction of the restrictions.</w:t>
      </w:r>
    </w:p>
    <w:p w14:paraId="5CDA7BAA" w14:textId="77777777" w:rsidR="008936E6" w:rsidRDefault="00000000">
      <w:pPr>
        <w:pStyle w:val="ListParagraph"/>
        <w:numPr>
          <w:ilvl w:val="0"/>
          <w:numId w:val="2"/>
        </w:numPr>
        <w:spacing w:after="120" w:line="290" w:lineRule="auto"/>
      </w:pPr>
      <w:r>
        <w:rPr>
          <w:rFonts w:ascii="Georgia" w:eastAsia="Georgia" w:hAnsi="Georgia" w:cs="Georgia"/>
          <w:color w:val="1A1A1A"/>
          <w:sz w:val="22"/>
          <w:szCs w:val="22"/>
        </w:rPr>
        <w:t>Electronic smoking products were also affected, with recorded sales decreasing by more than 50%.</w:t>
      </w:r>
    </w:p>
    <w:p w14:paraId="44C721B1" w14:textId="77777777" w:rsidR="008936E6" w:rsidRDefault="00000000">
      <w:pPr>
        <w:pStyle w:val="ListParagraph"/>
        <w:numPr>
          <w:ilvl w:val="0"/>
          <w:numId w:val="2"/>
        </w:numPr>
        <w:spacing w:after="120" w:line="290" w:lineRule="auto"/>
      </w:pPr>
      <w:r>
        <w:rPr>
          <w:rFonts w:ascii="Georgia" w:eastAsia="Georgia" w:hAnsi="Georgia" w:cs="Georgia"/>
          <w:color w:val="1A1A1A"/>
          <w:sz w:val="22"/>
          <w:szCs w:val="22"/>
        </w:rPr>
        <w:t>Illicit and cross-border trade expanded rapidly to fill the gap, and relevant studies indicate it now accounts for over 50% of consumption in the restricted categories.</w:t>
      </w:r>
    </w:p>
    <w:p w14:paraId="26646396" w14:textId="77777777" w:rsidR="008936E6" w:rsidRDefault="00000000">
      <w:pPr>
        <w:pStyle w:val="ListParagraph"/>
        <w:numPr>
          <w:ilvl w:val="0"/>
          <w:numId w:val="2"/>
        </w:numPr>
        <w:spacing w:after="120" w:line="290" w:lineRule="auto"/>
      </w:pPr>
      <w:r>
        <w:rPr>
          <w:rFonts w:ascii="Georgia" w:eastAsia="Georgia" w:hAnsi="Georgia" w:cs="Georgia"/>
          <w:color w:val="1A1A1A"/>
          <w:sz w:val="22"/>
          <w:szCs w:val="22"/>
        </w:rPr>
        <w:t>Regional and small traders were hit hardest, losing a stable, previously legal revenue stream to unregulated and untaxed channels.</w:t>
      </w:r>
    </w:p>
    <w:p w14:paraId="744D34A0" w14:textId="77777777" w:rsidR="008936E6" w:rsidRDefault="00000000">
      <w:pPr>
        <w:pStyle w:val="ListParagraph"/>
        <w:numPr>
          <w:ilvl w:val="0"/>
          <w:numId w:val="2"/>
        </w:numPr>
        <w:spacing w:after="120" w:line="290" w:lineRule="auto"/>
      </w:pPr>
      <w:r>
        <w:rPr>
          <w:rFonts w:ascii="Georgia" w:eastAsia="Georgia" w:hAnsi="Georgia" w:cs="Georgia"/>
          <w:color w:val="1A1A1A"/>
          <w:sz w:val="22"/>
          <w:szCs w:val="22"/>
        </w:rPr>
        <w:t>State budget revenues fell by an estimated €30 million or more annually as a direct consequence of the shift from legal to illicit supply.</w:t>
      </w:r>
    </w:p>
    <w:p w14:paraId="50E8D4BC" w14:textId="77777777" w:rsidR="008936E6" w:rsidRDefault="00000000">
      <w:pPr>
        <w:pStyle w:val="Heading1"/>
        <w:pBdr>
          <w:bottom w:val="single" w:sz="6" w:space="4" w:color="B08D3E"/>
        </w:pBdr>
        <w:spacing w:before="340" w:after="140"/>
      </w:pPr>
      <w:r>
        <w:rPr>
          <w:rFonts w:ascii="Calibri" w:eastAsia="Calibri" w:hAnsi="Calibri" w:cs="Calibri"/>
          <w:b/>
          <w:bCs/>
          <w:color w:val="1B2A4A"/>
          <w:spacing w:val="6"/>
          <w:sz w:val="24"/>
          <w:szCs w:val="24"/>
        </w:rPr>
        <w:t>3. LATVIAN PARLIAMENTARY REVIEW AND COURSE CORRECTION</w:t>
      </w:r>
    </w:p>
    <w:p w14:paraId="0F361ED2" w14:textId="77777777" w:rsidR="008936E6" w:rsidRDefault="00000000">
      <w:pPr>
        <w:spacing w:after="180" w:line="300" w:lineRule="auto"/>
        <w:jc w:val="both"/>
      </w:pPr>
      <w:r>
        <w:rPr>
          <w:rFonts w:ascii="Georgia" w:eastAsia="Georgia" w:hAnsi="Georgia" w:cs="Georgia"/>
          <w:color w:val="1A1A1A"/>
          <w:sz w:val="22"/>
          <w:szCs w:val="22"/>
        </w:rPr>
        <w:t xml:space="preserve">The scale of these consequences prompted the Finance and Budgetary (Tax) Committee of the </w:t>
      </w:r>
      <w:proofErr w:type="spellStart"/>
      <w:r>
        <w:rPr>
          <w:rFonts w:ascii="Georgia" w:eastAsia="Georgia" w:hAnsi="Georgia" w:cs="Georgia"/>
          <w:color w:val="1A1A1A"/>
          <w:sz w:val="22"/>
          <w:szCs w:val="22"/>
        </w:rPr>
        <w:t>Saeima</w:t>
      </w:r>
      <w:proofErr w:type="spellEnd"/>
      <w:r>
        <w:rPr>
          <w:rFonts w:ascii="Georgia" w:eastAsia="Georgia" w:hAnsi="Georgia" w:cs="Georgia"/>
          <w:color w:val="1A1A1A"/>
          <w:sz w:val="22"/>
          <w:szCs w:val="22"/>
        </w:rPr>
        <w:t xml:space="preserve"> to formally review the impact of the restrictions in dedicated sessions on 24 February 2026 and 25 March 2026. Committee members examined the evidence of lost legal turnover, the growth of illicit trade, and the resulting budgetary shortfall.</w:t>
      </w:r>
    </w:p>
    <w:p w14:paraId="2A490EB2" w14:textId="77777777" w:rsidR="008936E6" w:rsidRDefault="00000000">
      <w:pPr>
        <w:spacing w:after="180" w:line="300" w:lineRule="auto"/>
        <w:jc w:val="both"/>
      </w:pPr>
      <w:r>
        <w:rPr>
          <w:rFonts w:ascii="Georgia" w:eastAsia="Georgia" w:hAnsi="Georgia" w:cs="Georgia"/>
          <w:color w:val="1A1A1A"/>
          <w:sz w:val="22"/>
          <w:szCs w:val="22"/>
        </w:rPr>
        <w:t>As a direct result of this review, proposals for targeted deregulation — aimed at restoring legal market channels, reducing illicit trade, and recovering state budget revenue — are now under active discussion in the Latvian Parliament. We consider it important that Estonian policymakers are aware that Latvia is actively working to correct the very policy approach that Estonia is now considering adopting.</w:t>
      </w:r>
    </w:p>
    <w:p w14:paraId="4FC5832D" w14:textId="77777777" w:rsidR="008936E6" w:rsidRDefault="00000000">
      <w:pPr>
        <w:pStyle w:val="Heading1"/>
        <w:pBdr>
          <w:bottom w:val="single" w:sz="6" w:space="4" w:color="B08D3E"/>
        </w:pBdr>
        <w:spacing w:before="340" w:after="140"/>
      </w:pPr>
      <w:r>
        <w:rPr>
          <w:rFonts w:ascii="Calibri" w:eastAsia="Calibri" w:hAnsi="Calibri" w:cs="Calibri"/>
          <w:b/>
          <w:bCs/>
          <w:color w:val="1B2A4A"/>
          <w:spacing w:val="6"/>
          <w:sz w:val="24"/>
          <w:szCs w:val="24"/>
        </w:rPr>
        <w:t xml:space="preserve">4. POSITION OF THE LATVIAN </w:t>
      </w:r>
      <w:proofErr w:type="gramStart"/>
      <w:r>
        <w:rPr>
          <w:rFonts w:ascii="Calibri" w:eastAsia="Calibri" w:hAnsi="Calibri" w:cs="Calibri"/>
          <w:b/>
          <w:bCs/>
          <w:color w:val="1B2A4A"/>
          <w:spacing w:val="6"/>
          <w:sz w:val="24"/>
          <w:szCs w:val="24"/>
        </w:rPr>
        <w:t>TRADERS</w:t>
      </w:r>
      <w:proofErr w:type="gramEnd"/>
      <w:r>
        <w:rPr>
          <w:rFonts w:ascii="Calibri" w:eastAsia="Calibri" w:hAnsi="Calibri" w:cs="Calibri"/>
          <w:b/>
          <w:bCs/>
          <w:color w:val="1B2A4A"/>
          <w:spacing w:val="6"/>
          <w:sz w:val="24"/>
          <w:szCs w:val="24"/>
        </w:rPr>
        <w:t xml:space="preserve"> ASSOCIATION</w:t>
      </w:r>
    </w:p>
    <w:p w14:paraId="67463E3F" w14:textId="77777777" w:rsidR="008936E6" w:rsidRDefault="00000000">
      <w:pPr>
        <w:spacing w:after="180" w:line="300" w:lineRule="auto"/>
        <w:jc w:val="both"/>
      </w:pPr>
      <w:r>
        <w:rPr>
          <w:rFonts w:ascii="Georgia" w:eastAsia="Georgia" w:hAnsi="Georgia" w:cs="Georgia"/>
          <w:color w:val="1A1A1A"/>
          <w:sz w:val="22"/>
          <w:szCs w:val="22"/>
        </w:rPr>
        <w:t>Based on this first-hand experience, the Latvian Traders Association calls on the Estonian Ministry of Justice and the Ministry of Social Affairs to:</w:t>
      </w:r>
    </w:p>
    <w:p w14:paraId="0CCEDC1E" w14:textId="77777777" w:rsidR="008936E6" w:rsidRDefault="00000000">
      <w:pPr>
        <w:pStyle w:val="ListParagraph"/>
        <w:numPr>
          <w:ilvl w:val="0"/>
          <w:numId w:val="2"/>
        </w:numPr>
        <w:spacing w:after="120" w:line="290" w:lineRule="auto"/>
      </w:pPr>
      <w:r>
        <w:rPr>
          <w:rFonts w:ascii="Georgia" w:eastAsia="Georgia" w:hAnsi="Georgia" w:cs="Georgia"/>
          <w:color w:val="1A1A1A"/>
          <w:sz w:val="22"/>
          <w:szCs w:val="22"/>
        </w:rPr>
        <w:t xml:space="preserve">Review the proposed 4 mg/g nicotine concentration cap and </w:t>
      </w:r>
      <w:proofErr w:type="spellStart"/>
      <w:r>
        <w:rPr>
          <w:rFonts w:ascii="Georgia" w:eastAsia="Georgia" w:hAnsi="Georgia" w:cs="Georgia"/>
          <w:color w:val="1A1A1A"/>
          <w:sz w:val="22"/>
          <w:szCs w:val="22"/>
        </w:rPr>
        <w:t>flavour</w:t>
      </w:r>
      <w:proofErr w:type="spellEnd"/>
      <w:r>
        <w:rPr>
          <w:rFonts w:ascii="Georgia" w:eastAsia="Georgia" w:hAnsi="Georgia" w:cs="Georgia"/>
          <w:color w:val="1A1A1A"/>
          <w:sz w:val="22"/>
          <w:szCs w:val="22"/>
        </w:rPr>
        <w:t xml:space="preserve"> restrictions in light of Latvia's demonstrated market outcomes before </w:t>
      </w:r>
      <w:proofErr w:type="spellStart"/>
      <w:r>
        <w:rPr>
          <w:rFonts w:ascii="Georgia" w:eastAsia="Georgia" w:hAnsi="Georgia" w:cs="Georgia"/>
          <w:color w:val="1A1A1A"/>
          <w:sz w:val="22"/>
          <w:szCs w:val="22"/>
        </w:rPr>
        <w:t>finalising</w:t>
      </w:r>
      <w:proofErr w:type="spellEnd"/>
      <w:r>
        <w:rPr>
          <w:rFonts w:ascii="Georgia" w:eastAsia="Georgia" w:hAnsi="Georgia" w:cs="Georgia"/>
          <w:color w:val="1A1A1A"/>
          <w:sz w:val="22"/>
          <w:szCs w:val="22"/>
        </w:rPr>
        <w:t xml:space="preserve"> the draft Act.</w:t>
      </w:r>
    </w:p>
    <w:p w14:paraId="76DF2D95" w14:textId="77777777" w:rsidR="008936E6" w:rsidRDefault="00000000">
      <w:pPr>
        <w:pStyle w:val="ListParagraph"/>
        <w:numPr>
          <w:ilvl w:val="0"/>
          <w:numId w:val="2"/>
        </w:numPr>
        <w:spacing w:after="120" w:line="290" w:lineRule="auto"/>
      </w:pPr>
      <w:r>
        <w:rPr>
          <w:rFonts w:ascii="Georgia" w:eastAsia="Georgia" w:hAnsi="Georgia" w:cs="Georgia"/>
          <w:color w:val="1A1A1A"/>
          <w:sz w:val="22"/>
          <w:szCs w:val="22"/>
        </w:rPr>
        <w:t>Commission or consult an independent impact assessment of illicit trade risk, drawing on comparable Baltic market data, prior to adoption.</w:t>
      </w:r>
    </w:p>
    <w:p w14:paraId="6AE4A04B" w14:textId="77777777" w:rsidR="008936E6" w:rsidRDefault="00000000">
      <w:pPr>
        <w:pStyle w:val="ListParagraph"/>
        <w:numPr>
          <w:ilvl w:val="0"/>
          <w:numId w:val="2"/>
        </w:numPr>
        <w:spacing w:after="120" w:line="290" w:lineRule="auto"/>
      </w:pPr>
      <w:r>
        <w:rPr>
          <w:rFonts w:ascii="Georgia" w:eastAsia="Georgia" w:hAnsi="Georgia" w:cs="Georgia"/>
          <w:color w:val="1A1A1A"/>
          <w:sz w:val="22"/>
          <w:szCs w:val="22"/>
        </w:rPr>
        <w:t>Engage directly with Estonian traders — particularly small and regional operators — who will bear the first and most direct impact of any restrictions.</w:t>
      </w:r>
    </w:p>
    <w:p w14:paraId="5FE63E20" w14:textId="77777777" w:rsidR="008936E6" w:rsidRDefault="00000000">
      <w:pPr>
        <w:pStyle w:val="ListParagraph"/>
        <w:numPr>
          <w:ilvl w:val="0"/>
          <w:numId w:val="2"/>
        </w:numPr>
        <w:spacing w:after="120" w:line="290" w:lineRule="auto"/>
      </w:pPr>
      <w:r>
        <w:rPr>
          <w:rFonts w:ascii="Georgia" w:eastAsia="Georgia" w:hAnsi="Georgia" w:cs="Georgia"/>
          <w:color w:val="1A1A1A"/>
          <w:sz w:val="22"/>
          <w:szCs w:val="22"/>
        </w:rPr>
        <w:t>Consider regulatory alternatives that maintain consumer access to legal, quality-controlled products while pursuing public health objectives, in order to avoid displacing demand into unregulated channels.</w:t>
      </w:r>
    </w:p>
    <w:p w14:paraId="1EEA4C96" w14:textId="77777777" w:rsidR="008936E6" w:rsidRDefault="00000000">
      <w:pPr>
        <w:spacing w:after="180" w:line="300" w:lineRule="auto"/>
        <w:jc w:val="both"/>
        <w:rPr>
          <w:rFonts w:ascii="Georgia" w:eastAsia="Georgia" w:hAnsi="Georgia" w:cs="Georgia"/>
          <w:color w:val="1A1A1A"/>
          <w:sz w:val="22"/>
          <w:szCs w:val="22"/>
        </w:rPr>
      </w:pPr>
      <w:r>
        <w:rPr>
          <w:rFonts w:ascii="Georgia" w:eastAsia="Georgia" w:hAnsi="Georgia" w:cs="Georgia"/>
          <w:color w:val="1A1A1A"/>
          <w:sz w:val="22"/>
          <w:szCs w:val="22"/>
        </w:rPr>
        <w:t xml:space="preserve">We believe that a policy outcome which shrinks the legal market, expands illicit trade, and reduces state revenue serves neither public health nor fiscal objectives. Latvia's experience offers Estonia a rare opportunity to learn from a </w:t>
      </w:r>
      <w:proofErr w:type="spellStart"/>
      <w:r>
        <w:rPr>
          <w:rFonts w:ascii="Georgia" w:eastAsia="Georgia" w:hAnsi="Georgia" w:cs="Georgia"/>
          <w:color w:val="1A1A1A"/>
          <w:sz w:val="22"/>
          <w:szCs w:val="22"/>
        </w:rPr>
        <w:t>neighbouring</w:t>
      </w:r>
      <w:proofErr w:type="spellEnd"/>
      <w:r>
        <w:rPr>
          <w:rFonts w:ascii="Georgia" w:eastAsia="Georgia" w:hAnsi="Georgia" w:cs="Georgia"/>
          <w:color w:val="1A1A1A"/>
          <w:sz w:val="22"/>
          <w:szCs w:val="22"/>
        </w:rPr>
        <w:t xml:space="preserve"> market before, rather than after, similar measures take effect.</w:t>
      </w:r>
    </w:p>
    <w:p w14:paraId="29F4EBEE" w14:textId="77777777" w:rsidR="00A91D53" w:rsidRDefault="00A91D53">
      <w:pPr>
        <w:spacing w:after="180" w:line="300" w:lineRule="auto"/>
        <w:jc w:val="both"/>
      </w:pPr>
    </w:p>
    <w:p w14:paraId="1D88CCBE" w14:textId="77777777" w:rsidR="008936E6" w:rsidRDefault="00000000">
      <w:pPr>
        <w:pStyle w:val="Heading1"/>
        <w:pBdr>
          <w:bottom w:val="single" w:sz="6" w:space="4" w:color="B08D3E"/>
        </w:pBdr>
        <w:spacing w:before="340" w:after="140"/>
      </w:pPr>
      <w:r>
        <w:rPr>
          <w:rFonts w:ascii="Calibri" w:eastAsia="Calibri" w:hAnsi="Calibri" w:cs="Calibri"/>
          <w:b/>
          <w:bCs/>
          <w:color w:val="1B2A4A"/>
          <w:spacing w:val="6"/>
          <w:sz w:val="24"/>
          <w:szCs w:val="24"/>
        </w:rPr>
        <w:lastRenderedPageBreak/>
        <w:t>5. CLOSING REMARKS</w:t>
      </w:r>
    </w:p>
    <w:p w14:paraId="24235BFC" w14:textId="77777777" w:rsidR="008936E6" w:rsidRDefault="00000000">
      <w:pPr>
        <w:spacing w:after="180" w:line="300" w:lineRule="auto"/>
        <w:jc w:val="both"/>
      </w:pPr>
      <w:r>
        <w:rPr>
          <w:rFonts w:ascii="Georgia" w:eastAsia="Georgia" w:hAnsi="Georgia" w:cs="Georgia"/>
          <w:color w:val="1A1A1A"/>
          <w:sz w:val="22"/>
          <w:szCs w:val="22"/>
        </w:rPr>
        <w:t>The Latvian Traders Association remains available to share further data, Parliamentary materials, and market analysis from the Latvian experience, and would welcome the opportunity for direct dialogue with Estonian counterparts on this matter.</w:t>
      </w:r>
    </w:p>
    <w:p w14:paraId="7B8C868B" w14:textId="77777777" w:rsidR="008936E6" w:rsidRDefault="00000000">
      <w:pPr>
        <w:spacing w:before="260" w:after="40"/>
      </w:pPr>
      <w:r>
        <w:rPr>
          <w:rFonts w:ascii="Georgia" w:eastAsia="Georgia" w:hAnsi="Georgia" w:cs="Georgia"/>
          <w:sz w:val="22"/>
          <w:szCs w:val="22"/>
        </w:rPr>
        <w:t>Respectfully submitted,</w:t>
      </w:r>
    </w:p>
    <w:p w14:paraId="591284F2" w14:textId="6551E2EB" w:rsidR="008936E6" w:rsidRDefault="00000000">
      <w:pPr>
        <w:spacing w:before="260" w:after="20"/>
      </w:pPr>
      <w:r>
        <w:rPr>
          <w:rFonts w:ascii="Calibri" w:eastAsia="Calibri" w:hAnsi="Calibri" w:cs="Calibri"/>
          <w:b/>
          <w:bCs/>
          <w:color w:val="1B2A4A"/>
          <w:sz w:val="22"/>
          <w:szCs w:val="22"/>
        </w:rPr>
        <w:t>Latvian Traders Association</w:t>
      </w:r>
    </w:p>
    <w:p w14:paraId="36831AE5" w14:textId="7FA24D82" w:rsidR="008936E6" w:rsidRDefault="00A91D53">
      <w:pPr>
        <w:rPr>
          <w:rFonts w:ascii="Georgia" w:eastAsia="Georgia" w:hAnsi="Georgia" w:cs="Georgia"/>
          <w:i/>
          <w:iCs/>
          <w:color w:val="666666"/>
        </w:rPr>
      </w:pPr>
      <w:r>
        <w:rPr>
          <w:rFonts w:ascii="Georgia" w:eastAsia="Georgia" w:hAnsi="Georgia" w:cs="Georgia"/>
          <w:i/>
          <w:iCs/>
          <w:noProof/>
          <w:color w:val="666666"/>
        </w:rPr>
        <w:drawing>
          <wp:anchor distT="0" distB="0" distL="114300" distR="114300" simplePos="0" relativeHeight="251658240" behindDoc="1" locked="0" layoutInCell="1" allowOverlap="1" wp14:anchorId="7150C78A" wp14:editId="698DE1C0">
            <wp:simplePos x="0" y="0"/>
            <wp:positionH relativeFrom="column">
              <wp:posOffset>2985135</wp:posOffset>
            </wp:positionH>
            <wp:positionV relativeFrom="paragraph">
              <wp:posOffset>3175</wp:posOffset>
            </wp:positionV>
            <wp:extent cx="1028700" cy="723900"/>
            <wp:effectExtent l="0" t="0" r="0" b="0"/>
            <wp:wrapNone/>
            <wp:docPr id="245137192" name="Picture 1" descr="parak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araks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Georgia" w:eastAsia="Georgia" w:hAnsi="Georgia" w:cs="Georgia"/>
          <w:i/>
          <w:iCs/>
          <w:color w:val="666666"/>
        </w:rPr>
        <w:t>(</w:t>
      </w:r>
      <w:proofErr w:type="spellStart"/>
      <w:r w:rsidR="00000000">
        <w:rPr>
          <w:rFonts w:ascii="Georgia" w:eastAsia="Georgia" w:hAnsi="Georgia" w:cs="Georgia"/>
          <w:i/>
          <w:iCs/>
          <w:color w:val="666666"/>
        </w:rPr>
        <w:t>Latvijas</w:t>
      </w:r>
      <w:proofErr w:type="spellEnd"/>
      <w:r w:rsidR="00000000">
        <w:rPr>
          <w:rFonts w:ascii="Georgia" w:eastAsia="Georgia" w:hAnsi="Georgia" w:cs="Georgia"/>
          <w:i/>
          <w:iCs/>
          <w:color w:val="666666"/>
        </w:rPr>
        <w:t xml:space="preserve"> </w:t>
      </w:r>
      <w:proofErr w:type="spellStart"/>
      <w:r w:rsidR="00000000">
        <w:rPr>
          <w:rFonts w:ascii="Georgia" w:eastAsia="Georgia" w:hAnsi="Georgia" w:cs="Georgia"/>
          <w:i/>
          <w:iCs/>
          <w:color w:val="666666"/>
        </w:rPr>
        <w:t>Tirgotāju</w:t>
      </w:r>
      <w:proofErr w:type="spellEnd"/>
      <w:r w:rsidR="00000000">
        <w:rPr>
          <w:rFonts w:ascii="Georgia" w:eastAsia="Georgia" w:hAnsi="Georgia" w:cs="Georgia"/>
          <w:i/>
          <w:iCs/>
          <w:color w:val="666666"/>
        </w:rPr>
        <w:t xml:space="preserve"> </w:t>
      </w:r>
      <w:proofErr w:type="spellStart"/>
      <w:r w:rsidR="00000000">
        <w:rPr>
          <w:rFonts w:ascii="Georgia" w:eastAsia="Georgia" w:hAnsi="Georgia" w:cs="Georgia"/>
          <w:i/>
          <w:iCs/>
          <w:color w:val="666666"/>
        </w:rPr>
        <w:t>asociācija</w:t>
      </w:r>
      <w:proofErr w:type="spellEnd"/>
      <w:r w:rsidR="00000000">
        <w:rPr>
          <w:rFonts w:ascii="Georgia" w:eastAsia="Georgia" w:hAnsi="Georgia" w:cs="Georgia"/>
          <w:i/>
          <w:iCs/>
          <w:color w:val="666666"/>
        </w:rPr>
        <w:t>)</w:t>
      </w:r>
    </w:p>
    <w:p w14:paraId="43E5B7A2" w14:textId="476BE707" w:rsidR="00A91D53" w:rsidRDefault="00A91D53">
      <w:pPr>
        <w:rPr>
          <w:rFonts w:ascii="Georgia" w:eastAsia="Georgia" w:hAnsi="Georgia" w:cs="Georgia"/>
          <w:i/>
          <w:iCs/>
          <w:color w:val="666666"/>
        </w:rPr>
      </w:pPr>
    </w:p>
    <w:p w14:paraId="69323A1C" w14:textId="5D57CE9F" w:rsidR="00A91D53" w:rsidRPr="00A91D53" w:rsidRDefault="00A91D53">
      <w:pPr>
        <w:rPr>
          <w:rFonts w:ascii="Georgia" w:eastAsia="Georgia" w:hAnsi="Georgia" w:cs="Georgia"/>
          <w:b/>
          <w:bCs/>
          <w:color w:val="666666"/>
        </w:rPr>
      </w:pPr>
      <w:r w:rsidRPr="00A91D53">
        <w:rPr>
          <w:rFonts w:ascii="Georgia" w:eastAsia="Georgia" w:hAnsi="Georgia" w:cs="Georgia"/>
          <w:b/>
          <w:bCs/>
          <w:color w:val="666666"/>
        </w:rPr>
        <w:t xml:space="preserve">President </w:t>
      </w:r>
    </w:p>
    <w:p w14:paraId="396A8E43" w14:textId="632AE50F" w:rsidR="00A91D53" w:rsidRDefault="00A91D53">
      <w:pPr>
        <w:rPr>
          <w:rFonts w:ascii="Georgia" w:eastAsia="Georgia" w:hAnsi="Georgia" w:cs="Georgia"/>
          <w:i/>
          <w:iCs/>
          <w:color w:val="666666"/>
        </w:rPr>
      </w:pPr>
      <w:r>
        <w:rPr>
          <w:rFonts w:ascii="Georgia" w:eastAsia="Georgia" w:hAnsi="Georgia" w:cs="Georgia"/>
          <w:i/>
          <w:iCs/>
          <w:color w:val="666666"/>
        </w:rPr>
        <w:t xml:space="preserve">Henriks </w:t>
      </w:r>
      <w:proofErr w:type="spellStart"/>
      <w:r>
        <w:rPr>
          <w:rFonts w:ascii="Georgia" w:eastAsia="Georgia" w:hAnsi="Georgia" w:cs="Georgia"/>
          <w:i/>
          <w:iCs/>
          <w:color w:val="666666"/>
        </w:rPr>
        <w:t>Danusēvičs</w:t>
      </w:r>
      <w:proofErr w:type="spellEnd"/>
    </w:p>
    <w:p w14:paraId="42234C59" w14:textId="77777777" w:rsidR="00A91D53" w:rsidRDefault="00A91D53">
      <w:pPr>
        <w:rPr>
          <w:rFonts w:ascii="Georgia" w:eastAsia="Georgia" w:hAnsi="Georgia" w:cs="Georgia"/>
          <w:i/>
          <w:iCs/>
          <w:color w:val="666666"/>
        </w:rPr>
      </w:pPr>
    </w:p>
    <w:p w14:paraId="29875EF9" w14:textId="77777777" w:rsidR="00A91D53" w:rsidRDefault="00A91D53">
      <w:pPr>
        <w:rPr>
          <w:rFonts w:ascii="Georgia" w:eastAsia="Georgia" w:hAnsi="Georgia" w:cs="Georgia"/>
          <w:i/>
          <w:iCs/>
          <w:color w:val="666666"/>
        </w:rPr>
      </w:pPr>
    </w:p>
    <w:p w14:paraId="1842CA11" w14:textId="77777777" w:rsidR="00A91D53" w:rsidRDefault="00A91D53">
      <w:pPr>
        <w:rPr>
          <w:rFonts w:ascii="Georgia" w:eastAsia="Georgia" w:hAnsi="Georgia" w:cs="Georgia"/>
          <w:i/>
          <w:iCs/>
          <w:color w:val="666666"/>
        </w:rPr>
      </w:pPr>
    </w:p>
    <w:p w14:paraId="491741BD" w14:textId="7B056D67" w:rsidR="00A91D53" w:rsidRPr="00A91D53" w:rsidRDefault="00A91D53">
      <w:pPr>
        <w:rPr>
          <w:rFonts w:ascii="Georgia" w:eastAsia="Georgia" w:hAnsi="Georgia" w:cs="Georgia"/>
          <w:i/>
          <w:iCs/>
          <w:color w:val="666666"/>
          <w:lang w:val="pl-PL"/>
        </w:rPr>
      </w:pPr>
      <w:hyperlink r:id="rId9" w:history="1">
        <w:r w:rsidRPr="00A91D53">
          <w:rPr>
            <w:rStyle w:val="Hyperlink"/>
            <w:rFonts w:ascii="Georgia" w:eastAsia="Georgia" w:hAnsi="Georgia" w:cs="Georgia"/>
            <w:i/>
            <w:iCs/>
            <w:lang w:val="pl-PL"/>
          </w:rPr>
          <w:t>henriks@lta.lv</w:t>
        </w:r>
      </w:hyperlink>
    </w:p>
    <w:p w14:paraId="38A75057" w14:textId="6307B05F" w:rsidR="00A91D53" w:rsidRDefault="00A91D53">
      <w:pPr>
        <w:rPr>
          <w:rFonts w:ascii="Georgia" w:eastAsia="Georgia" w:hAnsi="Georgia" w:cs="Georgia"/>
          <w:i/>
          <w:iCs/>
          <w:color w:val="666666"/>
          <w:lang w:val="pl-PL"/>
        </w:rPr>
      </w:pPr>
      <w:r w:rsidRPr="00A91D53">
        <w:rPr>
          <w:rFonts w:ascii="Georgia" w:eastAsia="Georgia" w:hAnsi="Georgia" w:cs="Georgia"/>
          <w:i/>
          <w:iCs/>
          <w:color w:val="666666"/>
          <w:lang w:val="pl-PL"/>
        </w:rPr>
        <w:t>Bruņinieku 12-9, Rīga,</w:t>
      </w:r>
      <w:r>
        <w:rPr>
          <w:rFonts w:ascii="Georgia" w:eastAsia="Georgia" w:hAnsi="Georgia" w:cs="Georgia"/>
          <w:i/>
          <w:iCs/>
          <w:color w:val="666666"/>
          <w:lang w:val="pl-PL"/>
        </w:rPr>
        <w:t xml:space="preserve"> LV1001</w:t>
      </w:r>
    </w:p>
    <w:p w14:paraId="38F4A7EF" w14:textId="04D366F5" w:rsidR="00A91D53" w:rsidRDefault="00A91D53">
      <w:pPr>
        <w:rPr>
          <w:rFonts w:ascii="Georgia" w:eastAsia="Georgia" w:hAnsi="Georgia" w:cs="Georgia"/>
          <w:i/>
          <w:iCs/>
          <w:color w:val="666666"/>
          <w:lang w:val="pl-PL"/>
        </w:rPr>
      </w:pPr>
      <w:r>
        <w:rPr>
          <w:rFonts w:ascii="Georgia" w:eastAsia="Georgia" w:hAnsi="Georgia" w:cs="Georgia"/>
          <w:i/>
          <w:iCs/>
          <w:color w:val="666666"/>
          <w:lang w:val="pl-PL"/>
        </w:rPr>
        <w:t>Latvija</w:t>
      </w:r>
    </w:p>
    <w:p w14:paraId="489092EC" w14:textId="59656F68" w:rsidR="00A91D53" w:rsidRPr="00A91D53" w:rsidRDefault="00A91D53">
      <w:pPr>
        <w:rPr>
          <w:lang w:val="pl-PL"/>
        </w:rPr>
      </w:pPr>
      <w:r>
        <w:rPr>
          <w:rFonts w:ascii="Georgia" w:eastAsia="Georgia" w:hAnsi="Georgia" w:cs="Georgia"/>
          <w:i/>
          <w:iCs/>
          <w:color w:val="666666"/>
          <w:lang w:val="pl-PL"/>
        </w:rPr>
        <w:t>www.lta.lv</w:t>
      </w:r>
    </w:p>
    <w:sectPr w:rsidR="00A91D53" w:rsidRPr="00A91D53">
      <w:headerReference w:type="default" r:id="rId10"/>
      <w:footerReference w:type="default" r:id="rId11"/>
      <w:pgSz w:w="11906" w:h="16838"/>
      <w:pgMar w:top="10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C573" w14:textId="77777777" w:rsidR="002F680A" w:rsidRDefault="002F680A">
      <w:r>
        <w:separator/>
      </w:r>
    </w:p>
  </w:endnote>
  <w:endnote w:type="continuationSeparator" w:id="0">
    <w:p w14:paraId="3D4353FC" w14:textId="77777777" w:rsidR="002F680A" w:rsidRDefault="002F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8DD5" w14:textId="77777777" w:rsidR="008936E6" w:rsidRDefault="00000000">
    <w:pPr>
      <w:pBdr>
        <w:top w:val="single" w:sz="4" w:space="6" w:color="CCCCCC"/>
      </w:pBdr>
      <w:tabs>
        <w:tab w:val="right" w:pos="9072"/>
      </w:tabs>
    </w:pPr>
    <w:r>
      <w:rPr>
        <w:rFonts w:ascii="Calibri" w:eastAsia="Calibri" w:hAnsi="Calibri" w:cs="Calibri"/>
        <w:color w:val="666666"/>
        <w:sz w:val="16"/>
        <w:szCs w:val="16"/>
      </w:rPr>
      <w:t>Ref. JDM/26 0826</w:t>
    </w:r>
    <w:r>
      <w:ptab w:relativeTo="margin" w:alignment="right" w:leader="none"/>
    </w:r>
    <w:r>
      <w:rPr>
        <w:rFonts w:ascii="Calibri" w:eastAsia="Calibri" w:hAnsi="Calibri" w:cs="Calibri"/>
        <w:color w:val="666666"/>
        <w:sz w:val="16"/>
        <w:szCs w:val="16"/>
      </w:rPr>
      <w:t xml:space="preserve">Page </w:t>
    </w:r>
    <w:r>
      <w:rPr>
        <w:rFonts w:ascii="Calibri" w:eastAsia="Calibri" w:hAnsi="Calibri" w:cs="Calibri"/>
        <w:color w:val="666666"/>
        <w:sz w:val="16"/>
        <w:szCs w:val="16"/>
      </w:rPr>
      <w:fldChar w:fldCharType="begin"/>
    </w:r>
    <w:r>
      <w:rPr>
        <w:rFonts w:ascii="Calibri" w:eastAsia="Calibri" w:hAnsi="Calibri" w:cs="Calibri"/>
        <w:color w:val="666666"/>
        <w:sz w:val="16"/>
        <w:szCs w:val="16"/>
      </w:rPr>
      <w:instrText>PAGE</w:instrText>
    </w:r>
    <w:r>
      <w:rPr>
        <w:rFonts w:ascii="Calibri" w:eastAsia="Calibri" w:hAnsi="Calibri" w:cs="Calibri"/>
        <w:color w:val="666666"/>
        <w:sz w:val="16"/>
        <w:szCs w:val="16"/>
      </w:rPr>
      <w:fldChar w:fldCharType="separate"/>
    </w:r>
    <w:r w:rsidR="009D308D">
      <w:rPr>
        <w:rFonts w:ascii="Calibri" w:eastAsia="Calibri" w:hAnsi="Calibri" w:cs="Calibri"/>
        <w:noProof/>
        <w:color w:val="666666"/>
        <w:sz w:val="16"/>
        <w:szCs w:val="16"/>
      </w:rPr>
      <w:t>1</w:t>
    </w:r>
    <w:r>
      <w:rPr>
        <w:rFonts w:ascii="Calibri" w:eastAsia="Calibri" w:hAnsi="Calibri" w:cs="Calibri"/>
        <w:color w:val="666666"/>
        <w:sz w:val="16"/>
        <w:szCs w:val="16"/>
      </w:rPr>
      <w:fldChar w:fldCharType="end"/>
    </w:r>
    <w:r>
      <w:rPr>
        <w:rFonts w:ascii="Calibri" w:eastAsia="Calibri" w:hAnsi="Calibri" w:cs="Calibri"/>
        <w:color w:val="666666"/>
        <w:sz w:val="16"/>
        <w:szCs w:val="16"/>
      </w:rPr>
      <w:t xml:space="preserve"> / </w:t>
    </w:r>
    <w:r>
      <w:rPr>
        <w:rFonts w:ascii="Calibri" w:eastAsia="Calibri" w:hAnsi="Calibri" w:cs="Calibri"/>
        <w:color w:val="666666"/>
        <w:sz w:val="16"/>
        <w:szCs w:val="16"/>
      </w:rPr>
      <w:fldChar w:fldCharType="begin"/>
    </w:r>
    <w:r>
      <w:rPr>
        <w:rFonts w:ascii="Calibri" w:eastAsia="Calibri" w:hAnsi="Calibri" w:cs="Calibri"/>
        <w:color w:val="666666"/>
        <w:sz w:val="16"/>
        <w:szCs w:val="16"/>
      </w:rPr>
      <w:instrText>NUMPAGES</w:instrText>
    </w:r>
    <w:r>
      <w:rPr>
        <w:rFonts w:ascii="Calibri" w:eastAsia="Calibri" w:hAnsi="Calibri" w:cs="Calibri"/>
        <w:color w:val="666666"/>
        <w:sz w:val="16"/>
        <w:szCs w:val="16"/>
      </w:rPr>
      <w:fldChar w:fldCharType="separate"/>
    </w:r>
    <w:r w:rsidR="009D308D">
      <w:rPr>
        <w:rFonts w:ascii="Calibri" w:eastAsia="Calibri" w:hAnsi="Calibri" w:cs="Calibri"/>
        <w:noProof/>
        <w:color w:val="666666"/>
        <w:sz w:val="16"/>
        <w:szCs w:val="16"/>
      </w:rPr>
      <w:t>2</w:t>
    </w:r>
    <w:r>
      <w:rPr>
        <w:rFonts w:ascii="Calibri" w:eastAsia="Calibri" w:hAnsi="Calibri" w:cs="Calibri"/>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9B2D" w14:textId="77777777" w:rsidR="002F680A" w:rsidRDefault="002F680A">
      <w:r>
        <w:separator/>
      </w:r>
    </w:p>
  </w:footnote>
  <w:footnote w:type="continuationSeparator" w:id="0">
    <w:p w14:paraId="5F1A379F" w14:textId="77777777" w:rsidR="002F680A" w:rsidRDefault="002F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B10F" w14:textId="77777777" w:rsidR="008936E6" w:rsidRDefault="00000000">
    <w:pPr>
      <w:pBdr>
        <w:bottom w:val="single" w:sz="4" w:space="6" w:color="CCCCCC"/>
      </w:pBdr>
      <w:tabs>
        <w:tab w:val="right" w:pos="9072"/>
      </w:tabs>
    </w:pPr>
    <w:r>
      <w:rPr>
        <w:rFonts w:ascii="Calibri" w:eastAsia="Calibri" w:hAnsi="Calibri" w:cs="Calibri"/>
        <w:b/>
        <w:bCs/>
        <w:color w:val="1B2A4A"/>
        <w:spacing w:val="10"/>
        <w:sz w:val="18"/>
        <w:szCs w:val="18"/>
      </w:rPr>
      <w:t xml:space="preserve">LATVIAN </w:t>
    </w:r>
    <w:proofErr w:type="gramStart"/>
    <w:r>
      <w:rPr>
        <w:rFonts w:ascii="Calibri" w:eastAsia="Calibri" w:hAnsi="Calibri" w:cs="Calibri"/>
        <w:b/>
        <w:bCs/>
        <w:color w:val="1B2A4A"/>
        <w:spacing w:val="10"/>
        <w:sz w:val="18"/>
        <w:szCs w:val="18"/>
      </w:rPr>
      <w:t>TRADERS</w:t>
    </w:r>
    <w:proofErr w:type="gramEnd"/>
    <w:r>
      <w:rPr>
        <w:rFonts w:ascii="Calibri" w:eastAsia="Calibri" w:hAnsi="Calibri" w:cs="Calibri"/>
        <w:b/>
        <w:bCs/>
        <w:color w:val="1B2A4A"/>
        <w:spacing w:val="10"/>
        <w:sz w:val="18"/>
        <w:szCs w:val="18"/>
      </w:rPr>
      <w:t xml:space="preserve"> ASSOCIATION</w:t>
    </w:r>
    <w:r>
      <w:ptab w:relativeTo="margin" w:alignment="right" w:leader="none"/>
    </w:r>
    <w:r>
      <w:rPr>
        <w:rFonts w:ascii="Calibri" w:eastAsia="Calibri" w:hAnsi="Calibri" w:cs="Calibri"/>
        <w:i/>
        <w:iCs/>
        <w:color w:val="666666"/>
        <w:sz w:val="18"/>
        <w:szCs w:val="18"/>
      </w:rPr>
      <w:t>Position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B4"/>
    <w:multiLevelType w:val="hybridMultilevel"/>
    <w:tmpl w:val="38E29CA2"/>
    <w:lvl w:ilvl="0" w:tplc="A24258E2">
      <w:start w:val="1"/>
      <w:numFmt w:val="bullet"/>
      <w:lvlText w:val="—"/>
      <w:lvlJc w:val="left"/>
      <w:pPr>
        <w:ind w:left="420" w:hanging="260"/>
      </w:pPr>
      <w:rPr>
        <w:rFonts w:ascii="Calibri" w:eastAsia="Calibri" w:hAnsi="Calibri" w:cs="Calibri"/>
        <w:color w:val="1B2A4A"/>
      </w:rPr>
    </w:lvl>
    <w:lvl w:ilvl="1" w:tplc="4ACCC228">
      <w:numFmt w:val="decimal"/>
      <w:lvlText w:val=""/>
      <w:lvlJc w:val="left"/>
    </w:lvl>
    <w:lvl w:ilvl="2" w:tplc="06D468A6">
      <w:numFmt w:val="decimal"/>
      <w:lvlText w:val=""/>
      <w:lvlJc w:val="left"/>
    </w:lvl>
    <w:lvl w:ilvl="3" w:tplc="252EA6CC">
      <w:numFmt w:val="decimal"/>
      <w:lvlText w:val=""/>
      <w:lvlJc w:val="left"/>
    </w:lvl>
    <w:lvl w:ilvl="4" w:tplc="8688AEDA">
      <w:numFmt w:val="decimal"/>
      <w:lvlText w:val=""/>
      <w:lvlJc w:val="left"/>
    </w:lvl>
    <w:lvl w:ilvl="5" w:tplc="92AEAAE0">
      <w:numFmt w:val="decimal"/>
      <w:lvlText w:val=""/>
      <w:lvlJc w:val="left"/>
    </w:lvl>
    <w:lvl w:ilvl="6" w:tplc="C2EEE008">
      <w:numFmt w:val="decimal"/>
      <w:lvlText w:val=""/>
      <w:lvlJc w:val="left"/>
    </w:lvl>
    <w:lvl w:ilvl="7" w:tplc="20862D26">
      <w:numFmt w:val="decimal"/>
      <w:lvlText w:val=""/>
      <w:lvlJc w:val="left"/>
    </w:lvl>
    <w:lvl w:ilvl="8" w:tplc="7C065E30">
      <w:numFmt w:val="decimal"/>
      <w:lvlText w:val=""/>
      <w:lvlJc w:val="left"/>
    </w:lvl>
  </w:abstractNum>
  <w:abstractNum w:abstractNumId="1" w15:restartNumberingAfterBreak="0">
    <w:nsid w:val="5B632EAC"/>
    <w:multiLevelType w:val="hybridMultilevel"/>
    <w:tmpl w:val="455EB480"/>
    <w:lvl w:ilvl="0" w:tplc="3D8EBEF2">
      <w:start w:val="1"/>
      <w:numFmt w:val="bullet"/>
      <w:lvlText w:val="●"/>
      <w:lvlJc w:val="left"/>
      <w:pPr>
        <w:ind w:left="720" w:hanging="360"/>
      </w:pPr>
    </w:lvl>
    <w:lvl w:ilvl="1" w:tplc="BCCA1684">
      <w:start w:val="1"/>
      <w:numFmt w:val="bullet"/>
      <w:lvlText w:val="○"/>
      <w:lvlJc w:val="left"/>
      <w:pPr>
        <w:ind w:left="1440" w:hanging="360"/>
      </w:pPr>
    </w:lvl>
    <w:lvl w:ilvl="2" w:tplc="445A925C">
      <w:start w:val="1"/>
      <w:numFmt w:val="bullet"/>
      <w:lvlText w:val="■"/>
      <w:lvlJc w:val="left"/>
      <w:pPr>
        <w:ind w:left="2160" w:hanging="360"/>
      </w:pPr>
    </w:lvl>
    <w:lvl w:ilvl="3" w:tplc="3B2C7DFE">
      <w:start w:val="1"/>
      <w:numFmt w:val="bullet"/>
      <w:lvlText w:val="●"/>
      <w:lvlJc w:val="left"/>
      <w:pPr>
        <w:ind w:left="2880" w:hanging="360"/>
      </w:pPr>
    </w:lvl>
    <w:lvl w:ilvl="4" w:tplc="DBACEF18">
      <w:start w:val="1"/>
      <w:numFmt w:val="bullet"/>
      <w:lvlText w:val="○"/>
      <w:lvlJc w:val="left"/>
      <w:pPr>
        <w:ind w:left="3600" w:hanging="360"/>
      </w:pPr>
    </w:lvl>
    <w:lvl w:ilvl="5" w:tplc="30324390">
      <w:start w:val="1"/>
      <w:numFmt w:val="bullet"/>
      <w:lvlText w:val="■"/>
      <w:lvlJc w:val="left"/>
      <w:pPr>
        <w:ind w:left="4320" w:hanging="360"/>
      </w:pPr>
    </w:lvl>
    <w:lvl w:ilvl="6" w:tplc="6430F6DE">
      <w:start w:val="1"/>
      <w:numFmt w:val="bullet"/>
      <w:lvlText w:val="●"/>
      <w:lvlJc w:val="left"/>
      <w:pPr>
        <w:ind w:left="5040" w:hanging="360"/>
      </w:pPr>
    </w:lvl>
    <w:lvl w:ilvl="7" w:tplc="64768690">
      <w:start w:val="1"/>
      <w:numFmt w:val="bullet"/>
      <w:lvlText w:val="●"/>
      <w:lvlJc w:val="left"/>
      <w:pPr>
        <w:ind w:left="5760" w:hanging="360"/>
      </w:pPr>
    </w:lvl>
    <w:lvl w:ilvl="8" w:tplc="D9B0D1C4">
      <w:start w:val="1"/>
      <w:numFmt w:val="bullet"/>
      <w:lvlText w:val="●"/>
      <w:lvlJc w:val="left"/>
      <w:pPr>
        <w:ind w:left="6480" w:hanging="360"/>
      </w:pPr>
    </w:lvl>
  </w:abstractNum>
  <w:num w:numId="1" w16cid:durableId="1575705148">
    <w:abstractNumId w:val="1"/>
    <w:lvlOverride w:ilvl="0">
      <w:startOverride w:val="1"/>
    </w:lvlOverride>
  </w:num>
  <w:num w:numId="2" w16cid:durableId="14501281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E6"/>
    <w:rsid w:val="00054550"/>
    <w:rsid w:val="00112BA7"/>
    <w:rsid w:val="001C471F"/>
    <w:rsid w:val="002F680A"/>
    <w:rsid w:val="008936E6"/>
    <w:rsid w:val="009D308D"/>
    <w:rsid w:val="00A9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FEA6"/>
  <w15:docId w15:val="{4180A5C5-F5B9-45BC-AD05-E96EEBE2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A91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justdig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nriks@lt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3391</Words>
  <Characters>1933</Characters>
  <Application>Microsoft Office Word</Application>
  <DocSecurity>0</DocSecurity>
  <Lines>16</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Hen Dan</cp:lastModifiedBy>
  <cp:revision>3</cp:revision>
  <dcterms:created xsi:type="dcterms:W3CDTF">2026-07-22T05:51:00Z</dcterms:created>
  <dcterms:modified xsi:type="dcterms:W3CDTF">2026-07-22T06:21:00Z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b001461f-76d1-4355-9f40-2feb4b89b291</vt:lpwstr>
  </property>
  <property fmtid="{D5CDD505-2E9C-101B-9397-08002B2CF9AE}" pid="3" name="MSIP_Label_e9fea72e-161c-48c8-8e82-3fc1e9b3162c_Enabled">
    <vt:lpwstr>true</vt:lpwstr>
  </property>
  <property fmtid="{D5CDD505-2E9C-101B-9397-08002B2CF9AE}" pid="4" name="MSIP_Label_e9fea72e-161c-48c8-8e82-3fc1e9b3162c_SetDate">
    <vt:lpwstr>2026-07-22T05:51:34Z</vt:lpwstr>
  </property>
  <property fmtid="{D5CDD505-2E9C-101B-9397-08002B2CF9AE}" pid="5" name="MSIP_Label_e9fea72e-161c-48c8-8e82-3fc1e9b3162c_Method">
    <vt:lpwstr>Standard</vt:lpwstr>
  </property>
  <property fmtid="{D5CDD505-2E9C-101B-9397-08002B2CF9AE}" pid="6" name="MSIP_Label_e9fea72e-161c-48c8-8e82-3fc1e9b3162c_Name">
    <vt:lpwstr>Normal sensitivity label</vt:lpwstr>
  </property>
  <property fmtid="{D5CDD505-2E9C-101B-9397-08002B2CF9AE}" pid="7" name="MSIP_Label_e9fea72e-161c-48c8-8e82-3fc1e9b3162c_SiteId">
    <vt:lpwstr>ff9c7474-421d-4957-8d47-c4b64dec87b5</vt:lpwstr>
  </property>
  <property fmtid="{D5CDD505-2E9C-101B-9397-08002B2CF9AE}" pid="8" name="MSIP_Label_e9fea72e-161c-48c8-8e82-3fc1e9b3162c_ActionId">
    <vt:lpwstr>4812fb65-47d3-4cf5-a22b-2559a4e7178b</vt:lpwstr>
  </property>
  <property fmtid="{D5CDD505-2E9C-101B-9397-08002B2CF9AE}" pid="9" name="MSIP_Label_e9fea72e-161c-48c8-8e82-3fc1e9b3162c_ContentBits">
    <vt:lpwstr>0</vt:lpwstr>
  </property>
  <property fmtid="{D5CDD505-2E9C-101B-9397-08002B2CF9AE}" pid="10" name="MSIP_Label_e9fea72e-161c-48c8-8e82-3fc1e9b3162c_Tag">
    <vt:lpwstr>10, 3, 0, 1</vt:lpwstr>
  </property>
</Properties>
</file>