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C57D9" w14:textId="77777777" w:rsidR="00877622" w:rsidRDefault="0087762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7143AABD" w14:textId="77777777" w:rsidR="001C3CD2" w:rsidRDefault="001C3CD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p w14:paraId="6818D556" w14:textId="77777777" w:rsidR="001C3CD2" w:rsidRPr="00BD34AC" w:rsidRDefault="001C3CD2" w:rsidP="001C3CD2">
      <w:pPr>
        <w:rPr>
          <w:b/>
          <w:lang w:val="et-EE"/>
        </w:rPr>
      </w:pPr>
      <w:r w:rsidRPr="00BD34AC">
        <w:rPr>
          <w:b/>
          <w:lang w:val="et-EE"/>
        </w:rPr>
        <w:t xml:space="preserve">Austatud justiitsminister Kalle </w:t>
      </w:r>
      <w:proofErr w:type="spellStart"/>
      <w:r w:rsidRPr="00BD34AC">
        <w:rPr>
          <w:b/>
          <w:lang w:val="et-EE"/>
        </w:rPr>
        <w:t>Laanet</w:t>
      </w:r>
      <w:proofErr w:type="spellEnd"/>
    </w:p>
    <w:p w14:paraId="1BBD4067" w14:textId="77777777" w:rsidR="001C3CD2" w:rsidRPr="00BD34AC" w:rsidRDefault="001C3CD2" w:rsidP="001C3CD2">
      <w:pPr>
        <w:rPr>
          <w:b/>
          <w:lang w:val="et-EE"/>
        </w:rPr>
      </w:pPr>
      <w:r w:rsidRPr="00BD34AC">
        <w:rPr>
          <w:b/>
          <w:lang w:val="et-EE"/>
        </w:rPr>
        <w:t>Justiitsministeerium</w:t>
      </w:r>
    </w:p>
    <w:p w14:paraId="465C6212" w14:textId="77777777" w:rsidR="001C3CD2" w:rsidRPr="00BD34AC" w:rsidRDefault="001C3CD2" w:rsidP="001C3CD2">
      <w:pPr>
        <w:rPr>
          <w:lang w:val="et-EE"/>
        </w:rPr>
      </w:pPr>
      <w:r w:rsidRPr="00BD34AC">
        <w:rPr>
          <w:lang w:val="et-EE"/>
        </w:rPr>
        <w:t>Suur-Ameerika 1</w:t>
      </w:r>
    </w:p>
    <w:p w14:paraId="612B1E49" w14:textId="77777777" w:rsidR="001C3CD2" w:rsidRPr="00BD34AC" w:rsidRDefault="001C3CD2" w:rsidP="001C3CD2">
      <w:pPr>
        <w:rPr>
          <w:b/>
          <w:lang w:val="et-EE"/>
        </w:rPr>
      </w:pPr>
      <w:r w:rsidRPr="00BD34AC">
        <w:rPr>
          <w:lang w:val="et-EE"/>
        </w:rPr>
        <w:t>Tallinn 10122</w:t>
      </w:r>
    </w:p>
    <w:p w14:paraId="4E35B6E0" w14:textId="77777777" w:rsidR="001C3CD2" w:rsidRPr="00BD34AC" w:rsidRDefault="001C3CD2" w:rsidP="001C3CD2">
      <w:pPr>
        <w:rPr>
          <w:b/>
          <w:lang w:val="et-EE"/>
        </w:rPr>
      </w:pPr>
    </w:p>
    <w:p w14:paraId="7DB59FD7" w14:textId="77777777" w:rsidR="001C3CD2" w:rsidRPr="00BD34AC" w:rsidRDefault="001C3CD2" w:rsidP="001C3CD2">
      <w:pPr>
        <w:rPr>
          <w:i/>
          <w:lang w:val="et-EE"/>
        </w:rPr>
      </w:pPr>
      <w:r w:rsidRPr="00BD34AC">
        <w:rPr>
          <w:i/>
          <w:lang w:val="et-EE"/>
        </w:rPr>
        <w:t>E-post: info@just.ee</w:t>
      </w:r>
    </w:p>
    <w:p w14:paraId="3BC1ED99" w14:textId="77777777" w:rsidR="001C3CD2" w:rsidRPr="00BD34AC" w:rsidRDefault="001C3CD2" w:rsidP="001C3CD2">
      <w:pPr>
        <w:rPr>
          <w:b/>
          <w:lang w:val="et-EE"/>
        </w:rPr>
      </w:pPr>
    </w:p>
    <w:p w14:paraId="19C4CF0A" w14:textId="77777777" w:rsidR="001C3CD2" w:rsidRPr="00BD34AC" w:rsidRDefault="001C3CD2" w:rsidP="001C3CD2">
      <w:pPr>
        <w:jc w:val="right"/>
        <w:rPr>
          <w:b/>
          <w:lang w:val="et-EE"/>
        </w:rPr>
      </w:pPr>
      <w:r w:rsidRPr="00BD34AC">
        <w:rPr>
          <w:b/>
          <w:lang w:val="et-EE"/>
        </w:rPr>
        <w:t>Teie: 02.01.2024 nr 8-3/11-1</w:t>
      </w:r>
    </w:p>
    <w:p w14:paraId="2E477EE9" w14:textId="3BA0CF1B" w:rsidR="001C3CD2" w:rsidRPr="00BD34AC" w:rsidRDefault="001C3CD2" w:rsidP="001C3CD2">
      <w:pPr>
        <w:jc w:val="right"/>
        <w:rPr>
          <w:b/>
          <w:lang w:val="et-EE"/>
        </w:rPr>
      </w:pPr>
      <w:r w:rsidRPr="00BD34AC">
        <w:rPr>
          <w:b/>
          <w:lang w:val="et-EE"/>
        </w:rPr>
        <w:t>Meie: 0</w:t>
      </w:r>
      <w:r w:rsidRPr="00BD34AC">
        <w:rPr>
          <w:b/>
          <w:lang w:val="et-EE"/>
        </w:rPr>
        <w:t>1</w:t>
      </w:r>
      <w:r w:rsidRPr="00BD34AC">
        <w:rPr>
          <w:b/>
          <w:lang w:val="et-EE"/>
        </w:rPr>
        <w:t>.02.2024</w:t>
      </w:r>
    </w:p>
    <w:p w14:paraId="07DC870A" w14:textId="77777777" w:rsidR="001C3CD2" w:rsidRPr="00BD34AC" w:rsidRDefault="001C3CD2" w:rsidP="001C3CD2">
      <w:pPr>
        <w:jc w:val="center"/>
        <w:rPr>
          <w:b/>
          <w:lang w:val="et-EE"/>
        </w:rPr>
      </w:pPr>
    </w:p>
    <w:p w14:paraId="32354EAB" w14:textId="77777777" w:rsidR="001C3CD2" w:rsidRPr="00BD34AC" w:rsidRDefault="001C3CD2" w:rsidP="001C3CD2">
      <w:pPr>
        <w:jc w:val="center"/>
        <w:rPr>
          <w:b/>
          <w:lang w:val="et-EE"/>
        </w:rPr>
      </w:pPr>
    </w:p>
    <w:p w14:paraId="4217CD43" w14:textId="77777777" w:rsidR="001C3CD2" w:rsidRPr="00BD34AC" w:rsidRDefault="001C3CD2" w:rsidP="001C3CD2">
      <w:pPr>
        <w:jc w:val="center"/>
        <w:rPr>
          <w:b/>
          <w:lang w:val="et-EE"/>
        </w:rPr>
      </w:pPr>
      <w:r w:rsidRPr="00BD34AC">
        <w:rPr>
          <w:b/>
          <w:lang w:val="et-EE"/>
        </w:rPr>
        <w:t xml:space="preserve">Arvamus AutÕS-i eelnõu väljatöötamiskavatsuse kohta </w:t>
      </w:r>
    </w:p>
    <w:p w14:paraId="262A66B2" w14:textId="77777777" w:rsidR="001C3CD2" w:rsidRPr="00BD34AC" w:rsidRDefault="001C3CD2" w:rsidP="001C3CD2">
      <w:pPr>
        <w:jc w:val="center"/>
        <w:rPr>
          <w:b/>
          <w:lang w:val="et-EE"/>
        </w:rPr>
      </w:pPr>
      <w:r w:rsidRPr="00BD34AC">
        <w:rPr>
          <w:b/>
          <w:lang w:val="et-EE"/>
        </w:rPr>
        <w:t>Eesti Meediaettevõtete Liit</w:t>
      </w:r>
    </w:p>
    <w:p w14:paraId="43B28EF5" w14:textId="77777777" w:rsidR="001C3CD2" w:rsidRPr="00BD34AC" w:rsidRDefault="001C3CD2" w:rsidP="001C3CD2">
      <w:pPr>
        <w:jc w:val="center"/>
        <w:rPr>
          <w:b/>
          <w:lang w:val="et-EE"/>
        </w:rPr>
      </w:pPr>
    </w:p>
    <w:p w14:paraId="3423341B" w14:textId="77777777" w:rsidR="001C3CD2" w:rsidRPr="00BD34AC" w:rsidRDefault="001C3CD2" w:rsidP="001C3CD2">
      <w:pPr>
        <w:pStyle w:val="Default"/>
        <w:jc w:val="both"/>
      </w:pPr>
    </w:p>
    <w:p w14:paraId="4592C740" w14:textId="4A4C4D88" w:rsidR="001C3CD2" w:rsidRPr="00BD34AC" w:rsidRDefault="001C3CD2" w:rsidP="001C3CD2">
      <w:pPr>
        <w:jc w:val="both"/>
        <w:rPr>
          <w:lang w:val="et-EE"/>
        </w:rPr>
      </w:pPr>
      <w:r w:rsidRPr="00BD34AC">
        <w:rPr>
          <w:lang w:val="et-EE"/>
        </w:rPr>
        <w:t>Eesti Meediaettevõtete Liit (EML) tänab Justiitsministeeriumi autoriõiguse seaduse muutmise väljatöötamiskavatsuse edastamise ja arvamuse avaldamise võimaldamise eest. EML esitab käesolevas allolevalt oma arvamuse Justiitsministeeriumi väljatöötamiskavatsuse kohta autoriõiguse seaduse (</w:t>
      </w:r>
      <w:proofErr w:type="spellStart"/>
      <w:r w:rsidRPr="00BD34AC">
        <w:rPr>
          <w:lang w:val="et-EE"/>
        </w:rPr>
        <w:t>AutÕS</w:t>
      </w:r>
      <w:proofErr w:type="spellEnd"/>
      <w:r w:rsidRPr="00BD34AC">
        <w:rPr>
          <w:lang w:val="et-EE"/>
        </w:rPr>
        <w:t xml:space="preserve">) muutmiseks (VTK). </w:t>
      </w:r>
    </w:p>
    <w:p w14:paraId="2AF2BB1E" w14:textId="77777777" w:rsidR="001C3CD2" w:rsidRPr="00BD34AC" w:rsidRDefault="001C3CD2" w:rsidP="001C3CD2">
      <w:pPr>
        <w:jc w:val="both"/>
        <w:rPr>
          <w:lang w:val="et-EE"/>
        </w:rPr>
      </w:pPr>
    </w:p>
    <w:p w14:paraId="3D0131B6" w14:textId="77777777" w:rsidR="001C3CD2" w:rsidRPr="00BD34AC" w:rsidRDefault="001C3CD2" w:rsidP="001C3CD2">
      <w:pPr>
        <w:jc w:val="both"/>
        <w:rPr>
          <w:b/>
          <w:u w:val="single"/>
          <w:lang w:val="et-EE"/>
        </w:rPr>
      </w:pPr>
      <w:r w:rsidRPr="00BD34AC">
        <w:rPr>
          <w:b/>
          <w:u w:val="single"/>
          <w:lang w:val="et-EE"/>
        </w:rPr>
        <w:t>Ajakirjandusväljaande kirjastajate õigustega seonduvad kitsaskohad</w:t>
      </w:r>
    </w:p>
    <w:p w14:paraId="71DCD55A" w14:textId="77777777" w:rsidR="001C3CD2" w:rsidRPr="00BD34AC" w:rsidRDefault="001C3CD2" w:rsidP="001C3CD2">
      <w:pPr>
        <w:jc w:val="both"/>
        <w:rPr>
          <w:lang w:val="et-EE"/>
        </w:rPr>
      </w:pPr>
    </w:p>
    <w:p w14:paraId="3FF1CD6A" w14:textId="77777777" w:rsidR="001C3CD2" w:rsidRPr="00BD34AC" w:rsidRDefault="001C3CD2" w:rsidP="001C3CD2">
      <w:pPr>
        <w:jc w:val="both"/>
        <w:rPr>
          <w:lang w:val="et-EE"/>
        </w:rPr>
      </w:pPr>
      <w:r w:rsidRPr="00BD34AC">
        <w:rPr>
          <w:lang w:val="et-EE"/>
        </w:rPr>
        <w:t xml:space="preserve">EML tervitab Justiitsministeeriumi algatust töötada 2024. aastal välja AutÕS-i muudatuste pakett, milles muuhulgas võetakse arvesse ajakirjandusväljaande kirjastajate autoriõigusega kaasnevate õigustega seonduvaid seniseid kitsaskohti </w:t>
      </w:r>
      <w:proofErr w:type="spellStart"/>
      <w:r w:rsidRPr="00BD34AC">
        <w:rPr>
          <w:lang w:val="et-EE"/>
        </w:rPr>
        <w:t>AutÕS</w:t>
      </w:r>
      <w:proofErr w:type="spellEnd"/>
      <w:r w:rsidRPr="00BD34AC">
        <w:rPr>
          <w:lang w:val="et-EE"/>
        </w:rPr>
        <w:t xml:space="preserve">-s. </w:t>
      </w:r>
      <w:proofErr w:type="spellStart"/>
      <w:r w:rsidRPr="00BD34AC">
        <w:rPr>
          <w:lang w:val="et-EE"/>
        </w:rPr>
        <w:t>EML-i</w:t>
      </w:r>
      <w:proofErr w:type="spellEnd"/>
      <w:r w:rsidRPr="00BD34AC">
        <w:rPr>
          <w:lang w:val="et-EE"/>
        </w:rPr>
        <w:t xml:space="preserve"> arvates on VTK-i alajaos 4 „Muud kitsaskohad“ väljatoodud käsitlus AutÕS-i täiendamiseks ja täpsustamiseks nii ajakirjandusväljaande kirjastajate kui konkreetse rühma õigussubjektide jaoks kui ka AutÕS-i terviklikkuse, õigusselguse ja akuraatsuse seisukohast lähtudes vajalik. EML toetab kõiki VTK-i alajaos 4 „Muud kitsaskohad“ väljatoodud planeeritavaid AutÕS-i täiendusi ja täpsustusi.</w:t>
      </w:r>
    </w:p>
    <w:p w14:paraId="3A622EC1" w14:textId="77777777" w:rsidR="001C3CD2" w:rsidRPr="00BD34AC" w:rsidRDefault="001C3CD2" w:rsidP="001C3CD2">
      <w:pPr>
        <w:jc w:val="both"/>
        <w:rPr>
          <w:b/>
          <w:u w:val="single"/>
          <w:lang w:val="et-EE"/>
        </w:rPr>
      </w:pPr>
    </w:p>
    <w:p w14:paraId="63A87462" w14:textId="77777777" w:rsidR="001C3CD2" w:rsidRPr="00BD34AC" w:rsidRDefault="001C3CD2" w:rsidP="001C3CD2">
      <w:pPr>
        <w:jc w:val="both"/>
        <w:rPr>
          <w:b/>
          <w:u w:val="single"/>
          <w:lang w:val="et-EE"/>
        </w:rPr>
      </w:pPr>
      <w:r w:rsidRPr="00BD34AC">
        <w:rPr>
          <w:b/>
          <w:u w:val="single"/>
          <w:lang w:val="et-EE"/>
        </w:rPr>
        <w:t>Erakopeerimise tasu süsteem</w:t>
      </w:r>
    </w:p>
    <w:p w14:paraId="5085BE60" w14:textId="77777777" w:rsidR="001C3CD2" w:rsidRPr="00BD34AC" w:rsidRDefault="001C3CD2" w:rsidP="001C3CD2">
      <w:pPr>
        <w:jc w:val="both"/>
        <w:rPr>
          <w:highlight w:val="lightGray"/>
          <w:lang w:val="et-EE"/>
        </w:rPr>
      </w:pPr>
    </w:p>
    <w:p w14:paraId="35E53C7F" w14:textId="77777777" w:rsidR="001C3CD2" w:rsidRPr="00BD34AC" w:rsidRDefault="001C3CD2" w:rsidP="001C3CD2">
      <w:pPr>
        <w:jc w:val="both"/>
        <w:rPr>
          <w:lang w:val="et-EE"/>
        </w:rPr>
      </w:pPr>
      <w:r w:rsidRPr="00BD34AC">
        <w:rPr>
          <w:lang w:val="et-EE"/>
        </w:rPr>
        <w:t xml:space="preserve">EML nõustub VTK-s väljatoodud Justiitsministeeriumi seisukohaga, et erakopeerimise tasu süsteem Eestis, mh vastava tasu jaotamisega tegeleva komisjoni koosseis ja töökorraldus, vajab reformimist, et muuta see süsteem tõhusamaks ja kõikide asjaomaste õiguste omajate õigusi ja huve paremini arvestavaks. </w:t>
      </w:r>
    </w:p>
    <w:p w14:paraId="364EA2E3" w14:textId="77777777" w:rsidR="001C3CD2" w:rsidRPr="00BD34AC" w:rsidRDefault="001C3CD2" w:rsidP="001C3CD2">
      <w:pPr>
        <w:jc w:val="both"/>
        <w:rPr>
          <w:lang w:val="et-EE"/>
        </w:rPr>
      </w:pPr>
    </w:p>
    <w:p w14:paraId="01CBB4A3" w14:textId="77777777" w:rsidR="001C3CD2" w:rsidRPr="00BD34AC" w:rsidRDefault="001C3CD2" w:rsidP="001C3CD2">
      <w:pPr>
        <w:jc w:val="both"/>
        <w:rPr>
          <w:lang w:val="et-EE"/>
        </w:rPr>
      </w:pPr>
      <w:r w:rsidRPr="00BD34AC">
        <w:rPr>
          <w:lang w:val="et-EE"/>
        </w:rPr>
        <w:t>Erakopeerimise</w:t>
      </w:r>
      <w:r w:rsidRPr="00BD34AC">
        <w:rPr>
          <w:spacing w:val="-11"/>
          <w:lang w:val="et-EE"/>
        </w:rPr>
        <w:t xml:space="preserve"> </w:t>
      </w:r>
      <w:r w:rsidRPr="00BD34AC">
        <w:rPr>
          <w:lang w:val="et-EE"/>
        </w:rPr>
        <w:t>eest</w:t>
      </w:r>
      <w:r w:rsidRPr="00BD34AC">
        <w:rPr>
          <w:spacing w:val="-10"/>
          <w:lang w:val="et-EE"/>
        </w:rPr>
        <w:t xml:space="preserve"> </w:t>
      </w:r>
      <w:r w:rsidRPr="00BD34AC">
        <w:rPr>
          <w:lang w:val="et-EE"/>
        </w:rPr>
        <w:t>kogutud</w:t>
      </w:r>
      <w:r w:rsidRPr="00BD34AC">
        <w:rPr>
          <w:spacing w:val="-11"/>
          <w:lang w:val="et-EE"/>
        </w:rPr>
        <w:t xml:space="preserve"> </w:t>
      </w:r>
      <w:r w:rsidRPr="00BD34AC">
        <w:rPr>
          <w:lang w:val="et-EE"/>
        </w:rPr>
        <w:t>tasu</w:t>
      </w:r>
      <w:r w:rsidRPr="00BD34AC">
        <w:rPr>
          <w:spacing w:val="-11"/>
          <w:lang w:val="et-EE"/>
        </w:rPr>
        <w:t xml:space="preserve"> </w:t>
      </w:r>
      <w:r w:rsidRPr="00BD34AC">
        <w:rPr>
          <w:lang w:val="et-EE"/>
        </w:rPr>
        <w:t>jaotamist korraldava komisjoni osas pooldab EML VTK-s käsitletute hulgast lahendusvarianti a2.</w:t>
      </w:r>
      <w:r w:rsidRPr="00BD34AC">
        <w:rPr>
          <w:spacing w:val="-10"/>
          <w:lang w:val="et-EE"/>
        </w:rPr>
        <w:t xml:space="preserve"> Lahendusvariant a2 näeb ette, et erakopeerimise tasu jaotav komisjon koosneb </w:t>
      </w:r>
      <w:r w:rsidRPr="00BD34AC">
        <w:rPr>
          <w:lang w:val="et-EE"/>
        </w:rPr>
        <w:t xml:space="preserve">võrdselt kollektiivse esindamise organisatsioonide esindajatest, et tagada võrdne ja õiglane kohtlemine ning komisjoni töö efektiivsus. </w:t>
      </w:r>
      <w:r w:rsidRPr="00BD34AC">
        <w:rPr>
          <w:spacing w:val="-10"/>
          <w:lang w:val="et-EE"/>
        </w:rPr>
        <w:t xml:space="preserve">VTK-s on toodud välja, et erakopeerimise tasu jaotamise komisjoni lahendusvariant a2 </w:t>
      </w:r>
      <w:r w:rsidRPr="00BD34AC">
        <w:rPr>
          <w:i/>
          <w:lang w:val="et-EE"/>
        </w:rPr>
        <w:t>annab selline komisjoni koosseis võimaluse komisjoni tööga liituda (nende asutamisel) uutel kollektiivse esindamise organisatsioonidel, näiteks seni esindamata meediateenuse osutajate kollektiivse esindamise organisatsiooni moodustamisel</w:t>
      </w:r>
      <w:r w:rsidRPr="00BD34AC">
        <w:rPr>
          <w:lang w:val="et-EE"/>
        </w:rPr>
        <w:t xml:space="preserve"> (vt VTK lk 4). </w:t>
      </w:r>
      <w:proofErr w:type="spellStart"/>
      <w:r w:rsidRPr="00BD34AC">
        <w:rPr>
          <w:lang w:val="et-EE"/>
        </w:rPr>
        <w:t>EML-le</w:t>
      </w:r>
      <w:proofErr w:type="spellEnd"/>
      <w:r w:rsidRPr="00BD34AC">
        <w:rPr>
          <w:lang w:val="et-EE"/>
        </w:rPr>
        <w:t xml:space="preserve"> teadaolevalt kaaluvad Eesti ajakirjandusväljaande kirjastajad lähiajal kollektiivse esindamise organisatsiooni asutamist, mistõttu on vajalik ja asjakohane AutÕS-i </w:t>
      </w:r>
      <w:r w:rsidRPr="00BD34AC">
        <w:rPr>
          <w:lang w:val="et-EE"/>
        </w:rPr>
        <w:lastRenderedPageBreak/>
        <w:t xml:space="preserve">muudatuste ettevalmistamisel arvestada ühtlasi ka ajakirjandusväljaande kirjastajate ja nende tulevase kollektiivse esindamise organisatsiooniga. </w:t>
      </w:r>
    </w:p>
    <w:p w14:paraId="7EDD8057" w14:textId="77777777" w:rsidR="001C3CD2" w:rsidRPr="00BD34AC" w:rsidRDefault="001C3CD2" w:rsidP="001C3CD2">
      <w:pPr>
        <w:jc w:val="both"/>
        <w:rPr>
          <w:lang w:val="et-EE"/>
        </w:rPr>
      </w:pPr>
    </w:p>
    <w:p w14:paraId="1291937B" w14:textId="77777777" w:rsidR="001C3CD2" w:rsidRPr="00BD34AC" w:rsidRDefault="001C3CD2" w:rsidP="001C3CD2">
      <w:pPr>
        <w:jc w:val="both"/>
        <w:rPr>
          <w:b/>
          <w:u w:val="single"/>
          <w:lang w:val="et-EE"/>
        </w:rPr>
      </w:pPr>
      <w:r w:rsidRPr="00BD34AC">
        <w:rPr>
          <w:b/>
          <w:u w:val="single"/>
          <w:lang w:val="et-EE"/>
        </w:rPr>
        <w:t>Blokeerimismeede</w:t>
      </w:r>
    </w:p>
    <w:p w14:paraId="75D38243" w14:textId="77777777" w:rsidR="001C3CD2" w:rsidRPr="00BD34AC" w:rsidRDefault="001C3CD2" w:rsidP="001C3CD2">
      <w:pPr>
        <w:jc w:val="both"/>
        <w:rPr>
          <w:lang w:val="et-EE"/>
        </w:rPr>
      </w:pPr>
    </w:p>
    <w:p w14:paraId="4E394777" w14:textId="77777777" w:rsidR="001C3CD2" w:rsidRPr="00BD34AC" w:rsidRDefault="001C3CD2" w:rsidP="001C3CD2">
      <w:pPr>
        <w:jc w:val="both"/>
        <w:rPr>
          <w:lang w:val="et-EE"/>
        </w:rPr>
      </w:pPr>
      <w:r w:rsidRPr="00BD34AC">
        <w:rPr>
          <w:lang w:val="et-EE"/>
        </w:rPr>
        <w:t xml:space="preserve">EML toetab kavandatavat muudatust blokeerimismeetme regulatsiooni kehtestamiseks Eesti õiguses. Võimalus rakendada õigusrikkumiste korral tõhusalt toimivaid blokeerimismeetmeid (so DNS- ehk </w:t>
      </w:r>
      <w:proofErr w:type="spellStart"/>
      <w:r w:rsidRPr="00BD34AC">
        <w:rPr>
          <w:i/>
          <w:lang w:val="et-EE"/>
        </w:rPr>
        <w:t>domain</w:t>
      </w:r>
      <w:proofErr w:type="spellEnd"/>
      <w:r w:rsidRPr="00BD34AC">
        <w:rPr>
          <w:i/>
          <w:lang w:val="et-EE"/>
        </w:rPr>
        <w:t xml:space="preserve"> </w:t>
      </w:r>
      <w:proofErr w:type="spellStart"/>
      <w:r w:rsidRPr="00BD34AC">
        <w:rPr>
          <w:i/>
          <w:lang w:val="et-EE"/>
        </w:rPr>
        <w:t>name</w:t>
      </w:r>
      <w:proofErr w:type="spellEnd"/>
      <w:r w:rsidRPr="00BD34AC">
        <w:rPr>
          <w:i/>
          <w:lang w:val="et-EE"/>
        </w:rPr>
        <w:t xml:space="preserve"> </w:t>
      </w:r>
      <w:proofErr w:type="spellStart"/>
      <w:r w:rsidRPr="00BD34AC">
        <w:rPr>
          <w:i/>
          <w:lang w:val="et-EE"/>
        </w:rPr>
        <w:t>system</w:t>
      </w:r>
      <w:proofErr w:type="spellEnd"/>
      <w:r w:rsidRPr="00BD34AC">
        <w:rPr>
          <w:i/>
          <w:lang w:val="et-EE"/>
        </w:rPr>
        <w:t xml:space="preserve"> </w:t>
      </w:r>
      <w:r w:rsidRPr="00BD34AC">
        <w:rPr>
          <w:lang w:val="et-EE"/>
        </w:rPr>
        <w:t>blokeerimist ning</w:t>
      </w:r>
      <w:r w:rsidRPr="00BD34AC">
        <w:rPr>
          <w:spacing w:val="-4"/>
          <w:lang w:val="et-EE"/>
        </w:rPr>
        <w:t xml:space="preserve"> </w:t>
      </w:r>
      <w:r w:rsidRPr="00BD34AC">
        <w:rPr>
          <w:lang w:val="et-EE"/>
        </w:rPr>
        <w:t>IP-põhist</w:t>
      </w:r>
      <w:r w:rsidRPr="00BD34AC">
        <w:rPr>
          <w:spacing w:val="-3"/>
          <w:lang w:val="et-EE"/>
        </w:rPr>
        <w:t xml:space="preserve"> </w:t>
      </w:r>
      <w:r w:rsidRPr="00BD34AC">
        <w:rPr>
          <w:lang w:val="et-EE"/>
        </w:rPr>
        <w:t>blokeerimist) on vaieldamatult ka ajakirjandusväljaande kirjastajate huvides.</w:t>
      </w:r>
    </w:p>
    <w:p w14:paraId="06777547" w14:textId="77777777" w:rsidR="001C3CD2" w:rsidRPr="00BD34AC" w:rsidRDefault="001C3CD2" w:rsidP="001C3CD2">
      <w:pPr>
        <w:jc w:val="both"/>
        <w:rPr>
          <w:lang w:val="et-EE"/>
        </w:rPr>
      </w:pPr>
    </w:p>
    <w:p w14:paraId="2FDADE7D" w14:textId="77777777" w:rsidR="001C3CD2" w:rsidRPr="00BD34AC" w:rsidRDefault="001C3CD2" w:rsidP="001C3CD2">
      <w:pPr>
        <w:jc w:val="both"/>
        <w:rPr>
          <w:lang w:val="et-EE"/>
        </w:rPr>
      </w:pPr>
      <w:r w:rsidRPr="00BD34AC">
        <w:rPr>
          <w:lang w:val="et-EE"/>
        </w:rPr>
        <w:t xml:space="preserve">Ajakirjandusväljaande kirjastajad on autoriõigusega kaasnevate õiguste omajad, kes vajavad samuti efektiivset ja tõhusat kaitset veebis toimuvate (massiliste) õigusrikkumiste korral. Ajakirjandusväljaande kirjastajad nõustuvad Justiitsiministeeriumi TVK-s presenteeritud arutluskäiguga, et illegaalse veebisisu blokeerimise tagajärjel suunduvad isikud rohkem tarbima legaalset veebisisu (vt VTK lk 13). Võib mõistlikult eeldada, et seeläbi suureneb Eesti ajakirjandusväljaande kirjastajate poolt kättesaadavaks tehtud meediasisu tarbimine. Samuti illegaalse veebisisu blokeerimisel tõenäoliselt reklaamimüük illegaalsetele platvormidele märgatavalt väheneb ning seeläbi on Eesti ajakirjandusväljaande kirjastajatel võimalik kasvatada reklaamimüüki oma meediaväljaandesse. </w:t>
      </w:r>
    </w:p>
    <w:p w14:paraId="7A963600" w14:textId="77777777" w:rsidR="001C3CD2" w:rsidRPr="00BD34AC" w:rsidRDefault="001C3CD2" w:rsidP="001C3CD2">
      <w:pPr>
        <w:jc w:val="both"/>
        <w:rPr>
          <w:b/>
          <w:u w:val="single"/>
          <w:lang w:val="et-EE"/>
        </w:rPr>
      </w:pPr>
    </w:p>
    <w:p w14:paraId="6FA2A0F9" w14:textId="77777777" w:rsidR="001C3CD2" w:rsidRPr="00BD34AC" w:rsidRDefault="001C3CD2" w:rsidP="001C3CD2">
      <w:pPr>
        <w:jc w:val="both"/>
        <w:rPr>
          <w:b/>
          <w:u w:val="single"/>
          <w:lang w:val="et-EE"/>
        </w:rPr>
      </w:pPr>
      <w:r w:rsidRPr="00BD34AC">
        <w:rPr>
          <w:b/>
          <w:u w:val="single"/>
          <w:lang w:val="et-EE"/>
        </w:rPr>
        <w:t>Teksti- ja andmekaeve erand</w:t>
      </w:r>
    </w:p>
    <w:p w14:paraId="4D065DC7" w14:textId="77777777" w:rsidR="001C3CD2" w:rsidRPr="00BD34AC" w:rsidRDefault="001C3CD2" w:rsidP="001C3CD2">
      <w:pPr>
        <w:jc w:val="both"/>
        <w:rPr>
          <w:lang w:val="et-EE"/>
        </w:rPr>
      </w:pPr>
    </w:p>
    <w:p w14:paraId="084875BC" w14:textId="77777777" w:rsidR="001C3CD2" w:rsidRPr="00BD34AC" w:rsidRDefault="001C3CD2" w:rsidP="001C3CD2">
      <w:pPr>
        <w:jc w:val="both"/>
        <w:rPr>
          <w:lang w:val="et-EE"/>
        </w:rPr>
      </w:pPr>
      <w:r w:rsidRPr="00BD34AC">
        <w:rPr>
          <w:lang w:val="et-EE"/>
        </w:rPr>
        <w:t xml:space="preserve">Lisaks VTK-s juba väljatoodud kitsaskohtadele AutÕS-i regulatsioonis ajakirjandusväljaande kirjastajaid puudutavalt leiab EML, et täiendama ja täpsustama peaks samuti </w:t>
      </w:r>
      <w:proofErr w:type="spellStart"/>
      <w:r w:rsidRPr="00BD34AC">
        <w:rPr>
          <w:lang w:val="et-EE"/>
        </w:rPr>
        <w:t>AutÕS</w:t>
      </w:r>
      <w:proofErr w:type="spellEnd"/>
      <w:r w:rsidRPr="00BD34AC">
        <w:rPr>
          <w:lang w:val="et-EE"/>
        </w:rPr>
        <w:t xml:space="preserve"> §-i 19², milles on sätestatud teksti- ja andmekaeve nn üldine erand. See oleks kõikide autoriõiguse ja autoriõigusega kaasnevate õiguste omajate huvides. DSM-direktiivi väljatöötamise ega AutÕS-i 07.01.2022 jõustunud muudatuste ettevalmistamise ajal ei olnud üheselt selge teksti- ja andmekaeve  eesmärgil reprodutseerimise vaba kasutuse erandi tegelik mõju autoriõiguse ja autoriõigusega kaasnevate õiguste omajatele. Autoriõiguse seaduse muutmise seaduse eelnõu (368 SE) seletuskirjas on toodud teksti- ja andmekaeve erandit puudutava DSM-direktiivi regulatsiooni Eesti õigusesse harmoneerimisega seonduvalt välja, et</w:t>
      </w:r>
      <w:r w:rsidRPr="00BD34AC">
        <w:rPr>
          <w:i/>
          <w:lang w:val="et-EE"/>
        </w:rPr>
        <w:t xml:space="preserve"> DSM-direktiivi põhjenduspunkti 17 kohaselt peaks, arvestades DSM-direktiivi artiklist 3 tuleneva erandi olemust ja ulatust (piiratud teadusuuringutega tegelevate üksustega), asjaomase erandi tõttu õiguste omajatele põhjustatud võimalik kahju olema minimaalne</w:t>
      </w:r>
      <w:r w:rsidRPr="00BD34AC">
        <w:rPr>
          <w:lang w:val="et-EE"/>
        </w:rPr>
        <w:t xml:space="preserve"> (vt eelnimetatud seletuskirja lk 24). Minimaalne ei ole aga kindlasti teksti- ja andmekaeve nn üldine erand, mis harmoneerib DSM-direktiivi artiklit 4. See regulatsioon on sätestatud </w:t>
      </w:r>
      <w:proofErr w:type="spellStart"/>
      <w:r w:rsidRPr="00BD34AC">
        <w:rPr>
          <w:lang w:val="et-EE"/>
        </w:rPr>
        <w:t>AutÕS</w:t>
      </w:r>
      <w:proofErr w:type="spellEnd"/>
      <w:r w:rsidRPr="00BD34AC">
        <w:rPr>
          <w:lang w:val="et-EE"/>
        </w:rPr>
        <w:t xml:space="preserve"> §-s 19². Teksti- ja andmekaeve erandil on märkimisväärne mõju.</w:t>
      </w:r>
    </w:p>
    <w:p w14:paraId="5ED969FD" w14:textId="77777777" w:rsidR="001C3CD2" w:rsidRPr="00BD34AC" w:rsidRDefault="001C3CD2" w:rsidP="001C3CD2">
      <w:pPr>
        <w:jc w:val="both"/>
        <w:rPr>
          <w:lang w:val="et-EE"/>
        </w:rPr>
      </w:pPr>
    </w:p>
    <w:p w14:paraId="55C3EDB2" w14:textId="77777777" w:rsidR="001C3CD2" w:rsidRPr="00BD34AC" w:rsidRDefault="001C3CD2" w:rsidP="001C3CD2">
      <w:pPr>
        <w:jc w:val="both"/>
        <w:rPr>
          <w:lang w:val="et-EE"/>
        </w:rPr>
      </w:pPr>
      <w:r w:rsidRPr="00BD34AC">
        <w:rPr>
          <w:lang w:val="et-EE"/>
        </w:rPr>
        <w:t xml:space="preserve">Teksti- ja andmekaeve eesmärgil autoriõiguse ja autoriõigusega kaitstud objektide kopeerimine on omandanud olulise tähtsuse paljudes valdkondades. Teksti- ja andmekaeve eesmärgil kopeerimine võimaldab tehisintellektil põhinevatel rakendustel kasutada erinevaid autoriõiguse ja autoriõigusega kaasnevate õigustega kaitstud objekte (sh meediasisu) tehisintellekti väljaõpetamiseks ning selle abil mitmesuguste väljundite genereerimiseks. Teksti- ja andmekaeve puudutab igapäevaselt ulatuslikult ajakirjandusväljaannete kasutamist. Seejuures valdavalt on tegemist eelkõige väljaspool teadusuuringuid ärilisel eesmärgil teostatava teksti- ja andmekaevega meediasisust, mitte aga teksti- ja andmekaevega kultuuri- või teadusasutuste poolt, mida reguleerib </w:t>
      </w:r>
      <w:proofErr w:type="spellStart"/>
      <w:r w:rsidRPr="00BD34AC">
        <w:rPr>
          <w:lang w:val="et-EE"/>
        </w:rPr>
        <w:t>AutÕS</w:t>
      </w:r>
      <w:proofErr w:type="spellEnd"/>
      <w:r w:rsidRPr="00BD34AC">
        <w:rPr>
          <w:lang w:val="et-EE"/>
        </w:rPr>
        <w:t xml:space="preserve"> § 19¹. Ajakirjandusväljaande kirjastajate jaoks on oluline, et </w:t>
      </w:r>
      <w:proofErr w:type="spellStart"/>
      <w:r w:rsidRPr="00BD34AC">
        <w:rPr>
          <w:lang w:val="et-EE"/>
        </w:rPr>
        <w:t>AutÕS</w:t>
      </w:r>
      <w:proofErr w:type="spellEnd"/>
      <w:r w:rsidRPr="00BD34AC">
        <w:rPr>
          <w:lang w:val="et-EE"/>
        </w:rPr>
        <w:t xml:space="preserve"> § 19² lõikes 2 sätestatud õiguste omajate välistamisõigus väljaspool teadusuuringuid teostatava teksti- ja andmekaeve osas oleks efektiivselt võimalik nii tasuta kättesaadavaks tehtud kui ka tasulise (so maksumüüri taga oleva) meediasisu osas. </w:t>
      </w:r>
    </w:p>
    <w:p w14:paraId="588296E3" w14:textId="77777777" w:rsidR="001C3CD2" w:rsidRPr="00BD34AC" w:rsidRDefault="001C3CD2" w:rsidP="001C3CD2">
      <w:pPr>
        <w:jc w:val="both"/>
        <w:rPr>
          <w:lang w:val="et-EE"/>
        </w:rPr>
      </w:pPr>
      <w:r w:rsidRPr="00BD34AC">
        <w:rPr>
          <w:lang w:val="et-EE"/>
        </w:rPr>
        <w:lastRenderedPageBreak/>
        <w:br/>
      </w:r>
      <w:proofErr w:type="spellStart"/>
      <w:r w:rsidRPr="00BD34AC">
        <w:rPr>
          <w:lang w:val="et-EE"/>
        </w:rPr>
        <w:t>AutÕS</w:t>
      </w:r>
      <w:proofErr w:type="spellEnd"/>
      <w:r w:rsidRPr="00BD34AC">
        <w:rPr>
          <w:lang w:val="et-EE"/>
        </w:rPr>
        <w:t xml:space="preserve"> § 19² lõiget 2 on </w:t>
      </w:r>
      <w:proofErr w:type="spellStart"/>
      <w:r w:rsidRPr="00BD34AC">
        <w:rPr>
          <w:lang w:val="et-EE"/>
        </w:rPr>
        <w:t>EML-i</w:t>
      </w:r>
      <w:proofErr w:type="spellEnd"/>
      <w:r w:rsidRPr="00BD34AC">
        <w:rPr>
          <w:lang w:val="et-EE"/>
        </w:rPr>
        <w:t xml:space="preserve"> hinnangul vajalik täiendada (allpool </w:t>
      </w:r>
      <w:proofErr w:type="spellStart"/>
      <w:r w:rsidRPr="00BD34AC">
        <w:rPr>
          <w:lang w:val="et-EE"/>
        </w:rPr>
        <w:t>allajoonituna</w:t>
      </w:r>
      <w:proofErr w:type="spellEnd"/>
      <w:r w:rsidRPr="00BD34AC">
        <w:rPr>
          <w:lang w:val="et-EE"/>
        </w:rPr>
        <w:t xml:space="preserve"> on välja toodud </w:t>
      </w:r>
      <w:proofErr w:type="spellStart"/>
      <w:r w:rsidRPr="00BD34AC">
        <w:rPr>
          <w:lang w:val="et-EE"/>
        </w:rPr>
        <w:t>EML-i</w:t>
      </w:r>
      <w:proofErr w:type="spellEnd"/>
      <w:r w:rsidRPr="00BD34AC">
        <w:rPr>
          <w:lang w:val="et-EE"/>
        </w:rPr>
        <w:t xml:space="preserve"> poolt väljapakutud sõnastus), et oleks märgatavalt selgem õiguste omajate poolt teksti- ja andmekaeve erandi kasutamise välistamise täpne ulatus (so nii tasuta kui tasu eest veebis kättesaadavaks tehtud sisu korral) ning selle õiguslikud tagajärjed (so kaitstud objektide kasutamine on lubatud üksnes õiguste omajalt saadud eelneva loa olemasolul). Õiguspraktikas on välistamisõiguse (nn </w:t>
      </w:r>
      <w:proofErr w:type="spellStart"/>
      <w:r w:rsidRPr="00BD34AC">
        <w:rPr>
          <w:i/>
          <w:lang w:val="et-EE"/>
        </w:rPr>
        <w:t>opt-out</w:t>
      </w:r>
      <w:proofErr w:type="spellEnd"/>
      <w:r w:rsidRPr="00BD34AC">
        <w:rPr>
          <w:lang w:val="et-EE"/>
        </w:rPr>
        <w:t xml:space="preserve"> õiguse) teostamine osutunud raskendatuks ning sageli ei ole teksti- ja andmekaeve erandi kasutajad selle autori poolt välistamisel õiguslikest tagajärgedest ka piisavalt teadlikud. Samas võib eeldada, et ärilisel eesmärgil teksti- ja andmekaeve teostamise sagedus järjest suureneb, ning õiguste omajad oma õigustest ja teksti- ja andmekaeve vaba kasutamise erandi kasutamise mõjudest järjest rohkem teadlikuks saavad ning välistamisõigust teostama hakkavad. </w:t>
      </w:r>
    </w:p>
    <w:p w14:paraId="24E35869" w14:textId="77777777" w:rsidR="001C3CD2" w:rsidRPr="00BD34AC" w:rsidRDefault="001C3CD2" w:rsidP="001C3CD2">
      <w:pPr>
        <w:jc w:val="both"/>
        <w:rPr>
          <w:lang w:val="et-EE"/>
        </w:rPr>
      </w:pPr>
    </w:p>
    <w:p w14:paraId="40C374BC" w14:textId="77777777" w:rsidR="001C3CD2" w:rsidRPr="00BD34AC" w:rsidRDefault="001C3CD2" w:rsidP="001C3CD2">
      <w:pPr>
        <w:jc w:val="both"/>
        <w:rPr>
          <w:i/>
          <w:lang w:val="et-EE"/>
        </w:rPr>
      </w:pPr>
      <w:proofErr w:type="spellStart"/>
      <w:r w:rsidRPr="00BD34AC">
        <w:rPr>
          <w:i/>
          <w:lang w:val="et-EE"/>
        </w:rPr>
        <w:t>AutÕS</w:t>
      </w:r>
      <w:proofErr w:type="spellEnd"/>
      <w:r w:rsidRPr="00BD34AC">
        <w:rPr>
          <w:i/>
          <w:lang w:val="et-EE"/>
        </w:rPr>
        <w:t xml:space="preserve"> § 19²</w:t>
      </w:r>
    </w:p>
    <w:p w14:paraId="256219CE" w14:textId="77777777" w:rsidR="001C3CD2" w:rsidRPr="00BD34AC" w:rsidRDefault="001C3CD2" w:rsidP="001C3CD2">
      <w:pPr>
        <w:jc w:val="both"/>
        <w:rPr>
          <w:i/>
          <w:lang w:val="et-EE"/>
        </w:rPr>
      </w:pPr>
      <w:r w:rsidRPr="00BD34AC">
        <w:rPr>
          <w:i/>
          <w:shd w:val="clear" w:color="auto" w:fill="FFFFFF"/>
          <w:lang w:val="et-EE"/>
        </w:rPr>
        <w:t xml:space="preserve"> (2) Autor võib käesoleva paragrahvi 1. lõikes sätestatud vaba kasutuse sõnaselgelt kohasel viisil välistada, sealhulgas masinloetavate vahenditega veebis </w:t>
      </w:r>
      <w:proofErr w:type="spellStart"/>
      <w:r w:rsidRPr="00BD34AC">
        <w:rPr>
          <w:i/>
          <w:shd w:val="clear" w:color="auto" w:fill="FFFFFF"/>
          <w:lang w:val="et-EE"/>
        </w:rPr>
        <w:t>üldkättesaadavaks</w:t>
      </w:r>
      <w:proofErr w:type="spellEnd"/>
      <w:r w:rsidRPr="00BD34AC">
        <w:rPr>
          <w:i/>
          <w:shd w:val="clear" w:color="auto" w:fill="FFFFFF"/>
          <w:lang w:val="et-EE"/>
        </w:rPr>
        <w:t xml:space="preserve"> tehtud sisu puhul </w:t>
      </w:r>
      <w:r w:rsidRPr="00BD34AC">
        <w:rPr>
          <w:i/>
          <w:u w:val="single"/>
          <w:shd w:val="clear" w:color="auto" w:fill="FFFFFF"/>
          <w:lang w:val="et-EE"/>
        </w:rPr>
        <w:t>ning hoolimata sellest, kas teos on kättesaadavaks tehtud tasu eest või tasuta. Juhul, kui autor on vaba kasutuse välistanud, on teose edasine kasutamine ilma autori eelneva loata keelatud.</w:t>
      </w:r>
    </w:p>
    <w:p w14:paraId="3F84AE94" w14:textId="77777777" w:rsidR="001C3CD2" w:rsidRPr="00BD34AC" w:rsidRDefault="001C3CD2" w:rsidP="001C3CD2">
      <w:pPr>
        <w:jc w:val="both"/>
        <w:rPr>
          <w:lang w:val="et-EE"/>
        </w:rPr>
      </w:pPr>
    </w:p>
    <w:p w14:paraId="602A4D30" w14:textId="77777777" w:rsidR="001C3CD2" w:rsidRPr="00BD34AC" w:rsidRDefault="001C3CD2" w:rsidP="001C3CD2">
      <w:pPr>
        <w:jc w:val="both"/>
        <w:rPr>
          <w:lang w:val="et-EE"/>
        </w:rPr>
      </w:pPr>
      <w:proofErr w:type="spellStart"/>
      <w:r w:rsidRPr="00BD34AC">
        <w:rPr>
          <w:lang w:val="et-EE"/>
        </w:rPr>
        <w:t>AutÕS</w:t>
      </w:r>
      <w:proofErr w:type="spellEnd"/>
      <w:r w:rsidRPr="00BD34AC">
        <w:rPr>
          <w:lang w:val="et-EE"/>
        </w:rPr>
        <w:t xml:space="preserve"> § 19² lõike 2 taoline täiendamine aitaks </w:t>
      </w:r>
      <w:proofErr w:type="spellStart"/>
      <w:r w:rsidRPr="00BD34AC">
        <w:rPr>
          <w:lang w:val="et-EE"/>
        </w:rPr>
        <w:t>EML-i</w:t>
      </w:r>
      <w:proofErr w:type="spellEnd"/>
      <w:r w:rsidRPr="00BD34AC">
        <w:rPr>
          <w:lang w:val="et-EE"/>
        </w:rPr>
        <w:t xml:space="preserve"> hinnangul vähendada praegust mõningast õigusselgusetust seonduvalt autoriõiguse ja autoriõigusega kaasnevate õiguste objektide teksti- ja andmekaeve eesmärgil reprodutseerimise keelamisel õiguste omajate poolt ja selle tagajärgedest adekvaatselt arusaamisel ning samuti parandada õiguste omajate õiguslikku positsiooni võimalike sellekohaste õigusvaidluste tekkimise korral.</w:t>
      </w:r>
    </w:p>
    <w:p w14:paraId="51E01A14" w14:textId="77777777" w:rsidR="001C3CD2" w:rsidRPr="00BD34AC" w:rsidRDefault="001C3CD2" w:rsidP="001C3CD2">
      <w:pPr>
        <w:jc w:val="both"/>
        <w:rPr>
          <w:lang w:val="et-EE"/>
        </w:rPr>
      </w:pPr>
    </w:p>
    <w:p w14:paraId="1D5563D5" w14:textId="77777777" w:rsidR="001C3CD2" w:rsidRPr="00BD34AC" w:rsidRDefault="001C3CD2" w:rsidP="001C3CD2">
      <w:pPr>
        <w:jc w:val="both"/>
        <w:rPr>
          <w:lang w:val="et-EE"/>
        </w:rPr>
      </w:pPr>
      <w:r w:rsidRPr="00BD34AC">
        <w:rPr>
          <w:lang w:val="et-EE"/>
        </w:rPr>
        <w:t xml:space="preserve">Mis tahes küsimuste korral oleme meelsasti nõus selgitama </w:t>
      </w:r>
      <w:proofErr w:type="spellStart"/>
      <w:r w:rsidRPr="00BD34AC">
        <w:rPr>
          <w:lang w:val="et-EE"/>
        </w:rPr>
        <w:t>EML-i</w:t>
      </w:r>
      <w:proofErr w:type="spellEnd"/>
      <w:r w:rsidRPr="00BD34AC">
        <w:rPr>
          <w:lang w:val="et-EE"/>
        </w:rPr>
        <w:t xml:space="preserve"> eeltoodud seisukohti ja/või andma täiendavat teavet.</w:t>
      </w:r>
    </w:p>
    <w:p w14:paraId="6FE3B1CD" w14:textId="77777777" w:rsidR="001C3CD2" w:rsidRPr="00BD34AC" w:rsidRDefault="001C3CD2" w:rsidP="001C3CD2">
      <w:pPr>
        <w:jc w:val="both"/>
        <w:rPr>
          <w:lang w:val="et-EE"/>
        </w:rPr>
      </w:pPr>
    </w:p>
    <w:p w14:paraId="0D28F3FF" w14:textId="77777777" w:rsidR="001C3CD2" w:rsidRPr="00BD34AC" w:rsidRDefault="001C3CD2" w:rsidP="001C3CD2">
      <w:pPr>
        <w:jc w:val="both"/>
        <w:rPr>
          <w:lang w:val="et-EE"/>
        </w:rPr>
      </w:pPr>
    </w:p>
    <w:p w14:paraId="77252E1D" w14:textId="77777777" w:rsidR="001C3CD2" w:rsidRPr="00BD34AC" w:rsidRDefault="001C3CD2" w:rsidP="001C3CD2">
      <w:pPr>
        <w:jc w:val="both"/>
        <w:rPr>
          <w:lang w:val="et-EE"/>
        </w:rPr>
      </w:pPr>
      <w:r w:rsidRPr="00BD34AC">
        <w:rPr>
          <w:lang w:val="et-EE"/>
        </w:rPr>
        <w:t>Lugupidamisega</w:t>
      </w:r>
    </w:p>
    <w:p w14:paraId="6866FC61" w14:textId="77777777" w:rsidR="001C3CD2" w:rsidRPr="00BD34AC" w:rsidRDefault="001C3CD2" w:rsidP="001C3CD2">
      <w:pPr>
        <w:jc w:val="both"/>
        <w:rPr>
          <w:lang w:val="et-EE"/>
        </w:rPr>
      </w:pPr>
    </w:p>
    <w:p w14:paraId="51ECFA2A" w14:textId="77777777" w:rsidR="001C3CD2" w:rsidRPr="00BD34AC" w:rsidRDefault="001C3CD2" w:rsidP="001C3CD2">
      <w:pPr>
        <w:jc w:val="both"/>
        <w:rPr>
          <w:lang w:val="et-EE"/>
        </w:rPr>
      </w:pPr>
    </w:p>
    <w:p w14:paraId="0B4610CD" w14:textId="77777777" w:rsidR="001C3CD2" w:rsidRPr="00BD34AC" w:rsidRDefault="001C3CD2" w:rsidP="001C3CD2">
      <w:pPr>
        <w:jc w:val="both"/>
        <w:rPr>
          <w:lang w:val="et-EE"/>
        </w:rPr>
      </w:pPr>
      <w:r w:rsidRPr="00BD34AC">
        <w:rPr>
          <w:lang w:val="et-EE"/>
        </w:rPr>
        <w:t xml:space="preserve">Väino </w:t>
      </w:r>
      <w:proofErr w:type="spellStart"/>
      <w:r w:rsidRPr="00BD34AC">
        <w:rPr>
          <w:lang w:val="et-EE"/>
        </w:rPr>
        <w:t>Koorberg</w:t>
      </w:r>
      <w:proofErr w:type="spellEnd"/>
    </w:p>
    <w:p w14:paraId="19FF3F66" w14:textId="6E0A2B54" w:rsidR="001C3CD2" w:rsidRPr="00BD34AC" w:rsidRDefault="001C3CD2" w:rsidP="001C3CD2">
      <w:pPr>
        <w:jc w:val="both"/>
        <w:rPr>
          <w:lang w:val="et-EE"/>
        </w:rPr>
      </w:pPr>
      <w:r w:rsidRPr="00BD34AC">
        <w:rPr>
          <w:lang w:val="et-EE"/>
        </w:rPr>
        <w:t>Juhatuse liige</w:t>
      </w:r>
    </w:p>
    <w:p w14:paraId="702FE4FF" w14:textId="77777777" w:rsidR="001C3CD2" w:rsidRPr="00BD34AC" w:rsidRDefault="001C3CD2" w:rsidP="001C3CD2">
      <w:pPr>
        <w:jc w:val="both"/>
        <w:rPr>
          <w:lang w:val="et-EE"/>
        </w:rPr>
      </w:pPr>
      <w:r w:rsidRPr="00BD34AC">
        <w:rPr>
          <w:lang w:val="et-EE"/>
        </w:rPr>
        <w:t>Eesti Meediaettevõtete Liit</w:t>
      </w:r>
    </w:p>
    <w:p w14:paraId="664315E4" w14:textId="77777777" w:rsidR="001C3CD2" w:rsidRDefault="001C3CD2" w:rsidP="0087762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Georgia" w:eastAsia="Calibri" w:hAnsi="Georgia"/>
          <w:sz w:val="22"/>
          <w:szCs w:val="22"/>
          <w:bdr w:val="none" w:sz="0" w:space="0" w:color="auto"/>
          <w:lang w:val="et-EE"/>
        </w:rPr>
      </w:pPr>
    </w:p>
    <w:sectPr w:rsidR="001C3CD2" w:rsidSect="00001F03">
      <w:headerReference w:type="default" r:id="rId8"/>
      <w:footerReference w:type="default" r:id="rId9"/>
      <w:pgSz w:w="11900" w:h="16840"/>
      <w:pgMar w:top="1417" w:right="1134" w:bottom="1417" w:left="1417" w:header="708"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7D9B" w14:textId="77777777" w:rsidR="00C747BA" w:rsidRDefault="00C747BA">
      <w:r>
        <w:separator/>
      </w:r>
    </w:p>
  </w:endnote>
  <w:endnote w:type="continuationSeparator" w:id="0">
    <w:p w14:paraId="35072AC8" w14:textId="77777777" w:rsidR="00C747BA" w:rsidRDefault="00C7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ABBC" w14:textId="77777777" w:rsidR="00695604" w:rsidRPr="00001F03" w:rsidRDefault="00695604" w:rsidP="00001F03">
    <w:pPr>
      <w:pStyle w:val="Footer"/>
      <w:spacing w:line="200" w:lineRule="exact"/>
      <w:jc w:val="center"/>
      <w:rPr>
        <w:rFonts w:ascii="Arial" w:eastAsia="Times New Roman" w:hAnsi="Arial" w:cs="Arial"/>
        <w:bCs/>
        <w:color w:val="7D7D7D" w:themeColor="text2" w:themeShade="BF"/>
        <w:sz w:val="16"/>
        <w:szCs w:val="16"/>
        <w:lang w:eastAsia="et-EE"/>
      </w:rPr>
    </w:pPr>
    <w:r w:rsidRPr="00001F03">
      <w:rPr>
        <w:rFonts w:ascii="Arial" w:hAnsi="Arial" w:cs="Arial"/>
        <w:color w:val="7D7D7D" w:themeColor="text2" w:themeShade="BF"/>
        <w:sz w:val="16"/>
        <w:szCs w:val="16"/>
      </w:rPr>
      <w:t>EESTI MEEDIAETTEVÕTETE LIIT</w:t>
    </w:r>
    <w:r w:rsidRPr="00001F03">
      <w:rPr>
        <w:rFonts w:ascii="Arial" w:hAnsi="Arial" w:cs="Arial"/>
        <w:color w:val="7D7D7D" w:themeColor="text2" w:themeShade="BF"/>
        <w:sz w:val="16"/>
        <w:szCs w:val="16"/>
      </w:rPr>
      <w:br/>
    </w:r>
    <w:r w:rsidRPr="00001F03">
      <w:rPr>
        <w:rFonts w:ascii="Arial" w:eastAsia="Times New Roman" w:hAnsi="Arial" w:cs="Arial"/>
        <w:bCs/>
        <w:color w:val="7D7D7D" w:themeColor="text2" w:themeShade="BF"/>
        <w:sz w:val="16"/>
        <w:szCs w:val="16"/>
        <w:lang w:eastAsia="et-EE"/>
      </w:rPr>
      <w:t>ESTONIAN ASSOCIATION OF NEWSMEDIA ENTERPRISES</w:t>
    </w:r>
  </w:p>
  <w:p w14:paraId="00C1ABBD" w14:textId="77777777" w:rsidR="00001F03" w:rsidRPr="00001F03" w:rsidRDefault="00001F03" w:rsidP="00001F03">
    <w:pPr>
      <w:pStyle w:val="Footer"/>
      <w:spacing w:line="200" w:lineRule="exact"/>
      <w:jc w:val="center"/>
      <w:rPr>
        <w:rFonts w:ascii="Arial" w:hAnsi="Arial" w:cs="Arial"/>
        <w:color w:val="7D7D7D" w:themeColor="text2" w:themeShade="BF"/>
        <w:sz w:val="16"/>
        <w:szCs w:val="16"/>
      </w:rPr>
    </w:pPr>
    <w:r w:rsidRPr="00001F03">
      <w:rPr>
        <w:rFonts w:ascii="Arial" w:hAnsi="Arial" w:cs="Arial"/>
        <w:noProof/>
        <w:color w:val="7D7D7D" w:themeColor="text2" w:themeShade="BF"/>
        <w:sz w:val="16"/>
        <w:szCs w:val="16"/>
        <w:lang w:val="et-EE" w:eastAsia="et-EE"/>
      </w:rPr>
      <mc:AlternateContent>
        <mc:Choice Requires="wps">
          <w:drawing>
            <wp:anchor distT="0" distB="0" distL="114300" distR="114300" simplePos="0" relativeHeight="251659264" behindDoc="0" locked="0" layoutInCell="1" allowOverlap="1" wp14:anchorId="00C1ABC1" wp14:editId="00C1ABC2">
              <wp:simplePos x="0" y="0"/>
              <wp:positionH relativeFrom="margin">
                <wp:posOffset>701040</wp:posOffset>
              </wp:positionH>
              <wp:positionV relativeFrom="paragraph">
                <wp:posOffset>73660</wp:posOffset>
              </wp:positionV>
              <wp:extent cx="4500000" cy="0"/>
              <wp:effectExtent l="0" t="0" r="34290" b="19050"/>
              <wp:wrapNone/>
              <wp:docPr id="1" name="Straight Connector 1"/>
              <wp:cNvGraphicFramePr/>
              <a:graphic xmlns:a="http://schemas.openxmlformats.org/drawingml/2006/main">
                <a:graphicData uri="http://schemas.microsoft.com/office/word/2010/wordprocessingShape">
                  <wps:wsp>
                    <wps:cNvCnPr/>
                    <wps:spPr>
                      <a:xfrm>
                        <a:off x="0" y="0"/>
                        <a:ext cx="4500000" cy="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3B7AB064" id="Straight Connector 1" o:spid="_x0000_s1026"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5.2pt,5.8pt" to="40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" strokecolor="#9c9c9c [3046]">
              <w10:wrap anchorx="margin"/>
            </v:line>
          </w:pict>
        </mc:Fallback>
      </mc:AlternateContent>
    </w:r>
  </w:p>
  <w:p w14:paraId="00C1ABBE" w14:textId="77777777" w:rsidR="0036595B" w:rsidRPr="00001F03" w:rsidRDefault="00695604" w:rsidP="00001F03">
    <w:pPr>
      <w:pStyle w:val="Default"/>
      <w:spacing w:before="40" w:line="200" w:lineRule="exact"/>
      <w:jc w:val="center"/>
      <w:rPr>
        <w:rFonts w:ascii="Arial" w:hAnsi="Arial" w:cs="Arial"/>
        <w:color w:val="7D7D7D" w:themeColor="text2" w:themeShade="BF"/>
        <w:sz w:val="16"/>
        <w:szCs w:val="16"/>
      </w:rPr>
    </w:pPr>
    <w:r w:rsidRPr="00001F03">
      <w:rPr>
        <w:rFonts w:ascii="Arial" w:hAnsi="Arial" w:cs="Arial"/>
        <w:color w:val="7D7D7D" w:themeColor="text2" w:themeShade="BF"/>
        <w:sz w:val="16"/>
        <w:szCs w:val="16"/>
      </w:rPr>
      <w:t xml:space="preserve">+372 646 1005 / </w:t>
    </w:r>
    <w:r w:rsidR="00001F03" w:rsidRPr="00001F03">
      <w:rPr>
        <w:rFonts w:ascii="Arial" w:hAnsi="Arial" w:cs="Arial"/>
        <w:color w:val="7D7D7D" w:themeColor="text2" w:themeShade="BF"/>
        <w:sz w:val="16"/>
        <w:szCs w:val="16"/>
      </w:rPr>
      <w:t>meedialiit@meedialiit.ee</w:t>
    </w:r>
    <w:r w:rsidRPr="00001F03">
      <w:rPr>
        <w:rFonts w:ascii="Arial" w:hAnsi="Arial" w:cs="Arial"/>
        <w:color w:val="7D7D7D" w:themeColor="text2" w:themeShade="BF"/>
        <w:sz w:val="16"/>
        <w:szCs w:val="16"/>
      </w:rPr>
      <w:t xml:space="preserve"> / Pärnu mnt 67a /  Tallinn 10134 / ESTONIA / meedialiit.ee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55FCC" w14:textId="77777777" w:rsidR="00C747BA" w:rsidRDefault="00C747BA">
      <w:r>
        <w:separator/>
      </w:r>
    </w:p>
  </w:footnote>
  <w:footnote w:type="continuationSeparator" w:id="0">
    <w:p w14:paraId="52648999" w14:textId="77777777" w:rsidR="00C747BA" w:rsidRDefault="00C747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ABBB" w14:textId="77777777" w:rsidR="0036595B" w:rsidRDefault="002A5761">
    <w:pPr>
      <w:pStyle w:val="Header"/>
      <w:tabs>
        <w:tab w:val="clear" w:pos="9072"/>
        <w:tab w:val="right" w:pos="9046"/>
      </w:tabs>
    </w:pPr>
    <w:r>
      <w:rPr>
        <w:noProof/>
      </w:rPr>
      <w:drawing>
        <wp:inline distT="0" distB="0" distL="0" distR="0" wp14:anchorId="00C1ABBF" wp14:editId="00C1ABC0">
          <wp:extent cx="1800001" cy="40178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EML_Logo_560px.png"/>
                  <pic:cNvPicPr>
                    <a:picLocks noChangeAspect="1"/>
                  </pic:cNvPicPr>
                </pic:nvPicPr>
                <pic:blipFill>
                  <a:blip r:embed="rId1"/>
                  <a:stretch>
                    <a:fillRect/>
                  </a:stretch>
                </pic:blipFill>
                <pic:spPr>
                  <a:xfrm>
                    <a:off x="0" y="0"/>
                    <a:ext cx="1800001" cy="401786"/>
                  </a:xfrm>
                  <a:prstGeom prst="rect">
                    <a:avLst/>
                  </a:prstGeom>
                  <a:ln w="12700" cap="flat">
                    <a:noFill/>
                    <a:miter lim="400000"/>
                  </a:ln>
                  <a:effec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64A"/>
    <w:multiLevelType w:val="multilevel"/>
    <w:tmpl w:val="3BC68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24B02"/>
    <w:multiLevelType w:val="hybridMultilevel"/>
    <w:tmpl w:val="576EA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37D69"/>
    <w:multiLevelType w:val="multilevel"/>
    <w:tmpl w:val="06C861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B703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9D6B8C"/>
    <w:multiLevelType w:val="hybridMultilevel"/>
    <w:tmpl w:val="8C0ADB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F582B42"/>
    <w:multiLevelType w:val="multilevel"/>
    <w:tmpl w:val="7E064B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80822921">
    <w:abstractNumId w:val="2"/>
  </w:num>
  <w:num w:numId="2" w16cid:durableId="1934044826">
    <w:abstractNumId w:val="0"/>
  </w:num>
  <w:num w:numId="3" w16cid:durableId="81076625">
    <w:abstractNumId w:val="5"/>
  </w:num>
  <w:num w:numId="4" w16cid:durableId="2025091276">
    <w:abstractNumId w:val="4"/>
  </w:num>
  <w:num w:numId="5" w16cid:durableId="1325277109">
    <w:abstractNumId w:val="1"/>
  </w:num>
  <w:num w:numId="6" w16cid:durableId="329064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5B"/>
    <w:rsid w:val="00001F03"/>
    <w:rsid w:val="00010BF0"/>
    <w:rsid w:val="00094251"/>
    <w:rsid w:val="000B561B"/>
    <w:rsid w:val="000E0F88"/>
    <w:rsid w:val="00112C96"/>
    <w:rsid w:val="001141E3"/>
    <w:rsid w:val="00142277"/>
    <w:rsid w:val="00194708"/>
    <w:rsid w:val="001C3CD2"/>
    <w:rsid w:val="00205FCA"/>
    <w:rsid w:val="002A5761"/>
    <w:rsid w:val="002B7F33"/>
    <w:rsid w:val="002D48F0"/>
    <w:rsid w:val="002F1EA6"/>
    <w:rsid w:val="0030779A"/>
    <w:rsid w:val="00332B25"/>
    <w:rsid w:val="0036595B"/>
    <w:rsid w:val="003B4DA6"/>
    <w:rsid w:val="00401296"/>
    <w:rsid w:val="00496A72"/>
    <w:rsid w:val="004A3F7B"/>
    <w:rsid w:val="004B6605"/>
    <w:rsid w:val="00522C07"/>
    <w:rsid w:val="00595183"/>
    <w:rsid w:val="005A419B"/>
    <w:rsid w:val="0061758B"/>
    <w:rsid w:val="00695604"/>
    <w:rsid w:val="00756884"/>
    <w:rsid w:val="00776AA8"/>
    <w:rsid w:val="007832BD"/>
    <w:rsid w:val="00784012"/>
    <w:rsid w:val="00813A7F"/>
    <w:rsid w:val="00877622"/>
    <w:rsid w:val="00907BD9"/>
    <w:rsid w:val="00B150AD"/>
    <w:rsid w:val="00B80363"/>
    <w:rsid w:val="00BD1E24"/>
    <w:rsid w:val="00BD34AC"/>
    <w:rsid w:val="00C747BA"/>
    <w:rsid w:val="00C9263E"/>
    <w:rsid w:val="00CA5708"/>
    <w:rsid w:val="00D45294"/>
    <w:rsid w:val="00D520C4"/>
    <w:rsid w:val="00D66F25"/>
    <w:rsid w:val="00EF01ED"/>
    <w:rsid w:val="00F25D8E"/>
    <w:rsid w:val="00FE454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1AB8D"/>
  <w15:docId w15:val="{9A9EB32A-08B7-4F96-86C2-245AE7D02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t-EE" w:eastAsia="et-E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3">
    <w:name w:val="heading 3"/>
    <w:basedOn w:val="Normal"/>
    <w:link w:val="Heading3Char"/>
    <w:uiPriority w:val="9"/>
    <w:qFormat/>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lang w:val="et-EE"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libri" w:hAnsi="Calibri" w:cs="Arial Unicode MS"/>
      <w:color w:val="000000"/>
      <w:sz w:val="22"/>
      <w:szCs w:val="22"/>
      <w:u w:color="000000"/>
    </w:rPr>
  </w:style>
  <w:style w:type="paragraph" w:customStyle="1" w:styleId="Default">
    <w:name w:val="Default"/>
    <w:uiPriority w:val="99"/>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695604"/>
    <w:pPr>
      <w:tabs>
        <w:tab w:val="center" w:pos="4536"/>
        <w:tab w:val="right" w:pos="9072"/>
      </w:tabs>
    </w:pPr>
  </w:style>
  <w:style w:type="character" w:customStyle="1" w:styleId="FooterChar">
    <w:name w:val="Footer Char"/>
    <w:basedOn w:val="DefaultParagraphFont"/>
    <w:link w:val="Footer"/>
    <w:uiPriority w:val="99"/>
    <w:rsid w:val="00695604"/>
    <w:rPr>
      <w:sz w:val="24"/>
      <w:szCs w:val="24"/>
      <w:lang w:val="en-US" w:eastAsia="en-US"/>
    </w:rPr>
  </w:style>
  <w:style w:type="character" w:customStyle="1" w:styleId="Heading3Char">
    <w:name w:val="Heading 3 Char"/>
    <w:basedOn w:val="DefaultParagraphFont"/>
    <w:link w:val="Heading3"/>
    <w:uiPriority w:val="9"/>
    <w:rsid w:val="000B561B"/>
    <w:rPr>
      <w:rFonts w:eastAsia="Times New Roman"/>
      <w:b/>
      <w:bCs/>
      <w:sz w:val="27"/>
      <w:szCs w:val="27"/>
      <w:bdr w:val="none" w:sz="0" w:space="0" w:color="auto"/>
    </w:rPr>
  </w:style>
  <w:style w:type="character" w:styleId="Strong">
    <w:name w:val="Strong"/>
    <w:basedOn w:val="DefaultParagraphFont"/>
    <w:uiPriority w:val="22"/>
    <w:qFormat/>
    <w:rsid w:val="000B561B"/>
    <w:rPr>
      <w:b/>
      <w:bCs/>
    </w:rPr>
  </w:style>
  <w:style w:type="paragraph" w:styleId="NormalWeb">
    <w:name w:val="Normal (Web)"/>
    <w:basedOn w:val="Normal"/>
    <w:rsid w:val="000B561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t-EE" w:eastAsia="et-EE"/>
    </w:rPr>
  </w:style>
  <w:style w:type="character" w:customStyle="1" w:styleId="mm">
    <w:name w:val="mm"/>
    <w:basedOn w:val="DefaultParagraphFont"/>
    <w:rsid w:val="000B561B"/>
  </w:style>
  <w:style w:type="character" w:customStyle="1" w:styleId="tyhik">
    <w:name w:val="tyhik"/>
    <w:basedOn w:val="DefaultParagraphFont"/>
    <w:rsid w:val="000B561B"/>
  </w:style>
  <w:style w:type="paragraph" w:styleId="ListParagraph">
    <w:name w:val="List Paragraph"/>
    <w:basedOn w:val="Normal"/>
    <w:uiPriority w:val="34"/>
    <w:qFormat/>
    <w:rsid w:val="002D48F0"/>
    <w:pPr>
      <w:ind w:left="720"/>
      <w:contextualSpacing/>
    </w:pPr>
  </w:style>
  <w:style w:type="paragraph" w:styleId="FootnoteText">
    <w:name w:val="footnote text"/>
    <w:basedOn w:val="Normal"/>
    <w:link w:val="FootnoteTextChar"/>
    <w:rsid w:val="001141E3"/>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et-EE" w:eastAsia="et-EE"/>
    </w:rPr>
  </w:style>
  <w:style w:type="character" w:customStyle="1" w:styleId="FootnoteTextChar">
    <w:name w:val="Footnote Text Char"/>
    <w:basedOn w:val="DefaultParagraphFont"/>
    <w:link w:val="FootnoteText"/>
    <w:rsid w:val="001141E3"/>
    <w:rPr>
      <w:rFonts w:eastAsia="Times New Roman"/>
      <w:bdr w:val="none" w:sz="0" w:space="0" w:color="auto"/>
    </w:rPr>
  </w:style>
  <w:style w:type="character" w:styleId="FootnoteReference">
    <w:name w:val="footnote reference"/>
    <w:basedOn w:val="DefaultParagraphFont"/>
    <w:rsid w:val="001141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98619-A46E-401E-8491-28AD317E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6902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Maige Prööm</cp:lastModifiedBy>
  <cp:revision>2</cp:revision>
  <dcterms:created xsi:type="dcterms:W3CDTF">2024-02-01T14:30:00Z</dcterms:created>
  <dcterms:modified xsi:type="dcterms:W3CDTF">2024-02-01T14:30:00Z</dcterms:modified>
</cp:coreProperties>
</file>