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3398" w14:textId="28C6C6CF" w:rsidR="003867C8" w:rsidRPr="00391735" w:rsidRDefault="003867C8">
      <w:pPr>
        <w:rPr>
          <w:rFonts w:ascii="Times New Roman" w:hAnsi="Times New Roman" w:cs="Times New Roman"/>
          <w:b/>
          <w:bCs/>
          <w:sz w:val="24"/>
          <w:szCs w:val="24"/>
        </w:rPr>
      </w:pPr>
      <w:r w:rsidRPr="00391735">
        <w:rPr>
          <w:rFonts w:ascii="Times New Roman" w:hAnsi="Times New Roman" w:cs="Times New Roman"/>
          <w:b/>
          <w:bCs/>
          <w:sz w:val="24"/>
          <w:szCs w:val="24"/>
        </w:rPr>
        <w:t xml:space="preserve">Eraõiguslik juriidiline isik </w:t>
      </w:r>
      <w:r w:rsidR="000F3DF7" w:rsidRPr="00391735">
        <w:rPr>
          <w:rFonts w:ascii="Times New Roman" w:hAnsi="Times New Roman" w:cs="Times New Roman"/>
          <w:b/>
          <w:bCs/>
          <w:sz w:val="24"/>
          <w:szCs w:val="24"/>
        </w:rPr>
        <w:t>(</w:t>
      </w:r>
      <w:r w:rsidR="00F63707" w:rsidRPr="00391735">
        <w:rPr>
          <w:rFonts w:ascii="Times New Roman" w:hAnsi="Times New Roman" w:cs="Times New Roman"/>
          <w:b/>
          <w:bCs/>
          <w:sz w:val="24"/>
          <w:szCs w:val="24"/>
        </w:rPr>
        <w:t>A</w:t>
      </w:r>
      <w:r w:rsidR="000F3DF7" w:rsidRPr="00391735">
        <w:rPr>
          <w:rFonts w:ascii="Times New Roman" w:hAnsi="Times New Roman" w:cs="Times New Roman"/>
          <w:b/>
          <w:bCs/>
          <w:sz w:val="24"/>
          <w:szCs w:val="24"/>
        </w:rPr>
        <w:t>ktisaselts</w:t>
      </w:r>
      <w:r w:rsidR="00F63707" w:rsidRPr="00391735">
        <w:rPr>
          <w:rFonts w:ascii="Times New Roman" w:hAnsi="Times New Roman" w:cs="Times New Roman"/>
          <w:b/>
          <w:bCs/>
          <w:sz w:val="24"/>
          <w:szCs w:val="24"/>
        </w:rPr>
        <w:t xml:space="preserve"> Tallinna Jäätmete </w:t>
      </w:r>
      <w:r w:rsidR="00947269" w:rsidRPr="00391735">
        <w:rPr>
          <w:rFonts w:ascii="Times New Roman" w:hAnsi="Times New Roman" w:cs="Times New Roman"/>
          <w:b/>
          <w:bCs/>
          <w:sz w:val="24"/>
          <w:szCs w:val="24"/>
        </w:rPr>
        <w:t>T</w:t>
      </w:r>
      <w:r w:rsidR="00F63707" w:rsidRPr="00391735">
        <w:rPr>
          <w:rFonts w:ascii="Times New Roman" w:hAnsi="Times New Roman" w:cs="Times New Roman"/>
          <w:b/>
          <w:bCs/>
          <w:sz w:val="24"/>
          <w:szCs w:val="24"/>
        </w:rPr>
        <w:t>aaskasutuskeskus</w:t>
      </w:r>
      <w:r w:rsidR="000F3DF7" w:rsidRPr="00391735">
        <w:rPr>
          <w:rFonts w:ascii="Times New Roman" w:hAnsi="Times New Roman" w:cs="Times New Roman"/>
          <w:b/>
          <w:bCs/>
          <w:sz w:val="24"/>
          <w:szCs w:val="24"/>
        </w:rPr>
        <w:t xml:space="preserve">) </w:t>
      </w:r>
      <w:r w:rsidRPr="00391735">
        <w:rPr>
          <w:rFonts w:ascii="Times New Roman" w:hAnsi="Times New Roman" w:cs="Times New Roman"/>
          <w:b/>
          <w:bCs/>
          <w:sz w:val="24"/>
          <w:szCs w:val="24"/>
        </w:rPr>
        <w:t>on hankija, kui ta vastab RHS § 5 l</w:t>
      </w:r>
      <w:r w:rsidR="00F63707" w:rsidRPr="00391735">
        <w:rPr>
          <w:rFonts w:ascii="Times New Roman" w:hAnsi="Times New Roman" w:cs="Times New Roman"/>
          <w:b/>
          <w:bCs/>
          <w:sz w:val="24"/>
          <w:szCs w:val="24"/>
        </w:rPr>
        <w:t>g</w:t>
      </w:r>
      <w:r w:rsidRPr="00391735">
        <w:rPr>
          <w:rFonts w:ascii="Times New Roman" w:hAnsi="Times New Roman" w:cs="Times New Roman"/>
          <w:b/>
          <w:bCs/>
          <w:sz w:val="24"/>
          <w:szCs w:val="24"/>
        </w:rPr>
        <w:t xml:space="preserve"> 2 p</w:t>
      </w:r>
      <w:r w:rsidR="00F63707" w:rsidRPr="00391735">
        <w:rPr>
          <w:rFonts w:ascii="Times New Roman" w:hAnsi="Times New Roman" w:cs="Times New Roman"/>
          <w:b/>
          <w:bCs/>
          <w:sz w:val="24"/>
          <w:szCs w:val="24"/>
        </w:rPr>
        <w:t>-</w:t>
      </w:r>
      <w:r w:rsidR="000F3DF7" w:rsidRPr="00391735">
        <w:rPr>
          <w:rFonts w:ascii="Times New Roman" w:hAnsi="Times New Roman" w:cs="Times New Roman"/>
          <w:b/>
          <w:bCs/>
          <w:sz w:val="24"/>
          <w:szCs w:val="24"/>
        </w:rPr>
        <w:t>s</w:t>
      </w:r>
      <w:r w:rsidRPr="00391735">
        <w:rPr>
          <w:rFonts w:ascii="Times New Roman" w:hAnsi="Times New Roman" w:cs="Times New Roman"/>
          <w:b/>
          <w:bCs/>
          <w:sz w:val="24"/>
          <w:szCs w:val="24"/>
        </w:rPr>
        <w:t xml:space="preserve"> 5 toodud …</w:t>
      </w:r>
    </w:p>
    <w:tbl>
      <w:tblPr>
        <w:tblStyle w:val="TableGrid"/>
        <w:tblW w:w="13886" w:type="dxa"/>
        <w:tblLook w:val="04A0" w:firstRow="1" w:lastRow="0" w:firstColumn="1" w:lastColumn="0" w:noHBand="0" w:noVBand="1"/>
      </w:tblPr>
      <w:tblGrid>
        <w:gridCol w:w="3964"/>
        <w:gridCol w:w="3118"/>
        <w:gridCol w:w="3119"/>
        <w:gridCol w:w="3685"/>
      </w:tblGrid>
      <w:tr w:rsidR="00060C0E" w:rsidRPr="00391735" w14:paraId="7C33706C" w14:textId="77777777" w:rsidTr="004F1132">
        <w:tc>
          <w:tcPr>
            <w:tcW w:w="3964" w:type="dxa"/>
          </w:tcPr>
          <w:p w14:paraId="62907589" w14:textId="79E04636" w:rsidR="003867C8" w:rsidRPr="00391735" w:rsidRDefault="003867C8" w:rsidP="00395926">
            <w:pPr>
              <w:jc w:val="center"/>
              <w:rPr>
                <w:rFonts w:ascii="Times New Roman" w:hAnsi="Times New Roman" w:cs="Times New Roman"/>
                <w:b/>
                <w:bCs/>
                <w:sz w:val="28"/>
                <w:szCs w:val="28"/>
              </w:rPr>
            </w:pPr>
            <w:r w:rsidRPr="00391735">
              <w:rPr>
                <w:rFonts w:ascii="Times New Roman" w:hAnsi="Times New Roman" w:cs="Times New Roman"/>
                <w:b/>
                <w:bCs/>
                <w:sz w:val="28"/>
                <w:szCs w:val="28"/>
              </w:rPr>
              <w:t xml:space="preserve">… </w:t>
            </w:r>
            <w:r w:rsidR="00060C0E" w:rsidRPr="00391735">
              <w:rPr>
                <w:rFonts w:ascii="Times New Roman" w:hAnsi="Times New Roman" w:cs="Times New Roman"/>
                <w:b/>
                <w:bCs/>
                <w:sz w:val="28"/>
                <w:szCs w:val="28"/>
              </w:rPr>
              <w:t>tingimusel</w:t>
            </w:r>
            <w:r w:rsidRPr="00391735">
              <w:rPr>
                <w:rFonts w:ascii="Times New Roman" w:hAnsi="Times New Roman" w:cs="Times New Roman"/>
                <w:b/>
                <w:bCs/>
                <w:sz w:val="28"/>
                <w:szCs w:val="28"/>
              </w:rPr>
              <w:t>e</w:t>
            </w:r>
            <w:r w:rsidR="00060C0E" w:rsidRPr="00391735">
              <w:rPr>
                <w:rFonts w:ascii="Times New Roman" w:hAnsi="Times New Roman" w:cs="Times New Roman"/>
                <w:b/>
                <w:bCs/>
                <w:sz w:val="28"/>
                <w:szCs w:val="28"/>
              </w:rPr>
              <w:t xml:space="preserve"> 1</w:t>
            </w:r>
          </w:p>
        </w:tc>
        <w:tc>
          <w:tcPr>
            <w:tcW w:w="6237" w:type="dxa"/>
            <w:gridSpan w:val="2"/>
          </w:tcPr>
          <w:p w14:paraId="4370DE90" w14:textId="155EA462" w:rsidR="00060C0E" w:rsidRPr="00391735" w:rsidRDefault="00060C0E" w:rsidP="00060C0E">
            <w:pPr>
              <w:jc w:val="center"/>
              <w:rPr>
                <w:rFonts w:ascii="Times New Roman" w:hAnsi="Times New Roman" w:cs="Times New Roman"/>
                <w:b/>
                <w:bCs/>
                <w:sz w:val="28"/>
                <w:szCs w:val="28"/>
              </w:rPr>
            </w:pPr>
            <w:r w:rsidRPr="00391735">
              <w:rPr>
                <w:rFonts w:ascii="Times New Roman" w:hAnsi="Times New Roman" w:cs="Times New Roman"/>
                <w:b/>
                <w:bCs/>
                <w:sz w:val="28"/>
                <w:szCs w:val="28"/>
              </w:rPr>
              <w:t>JA</w:t>
            </w:r>
          </w:p>
        </w:tc>
        <w:tc>
          <w:tcPr>
            <w:tcW w:w="3685" w:type="dxa"/>
          </w:tcPr>
          <w:p w14:paraId="5C1712A7" w14:textId="38A4AC2C" w:rsidR="00060C0E" w:rsidRPr="00391735" w:rsidRDefault="00060C0E" w:rsidP="00395926">
            <w:pPr>
              <w:jc w:val="center"/>
              <w:rPr>
                <w:rFonts w:ascii="Times New Roman" w:hAnsi="Times New Roman" w:cs="Times New Roman"/>
                <w:b/>
                <w:bCs/>
                <w:sz w:val="28"/>
                <w:szCs w:val="28"/>
              </w:rPr>
            </w:pPr>
            <w:r w:rsidRPr="00391735">
              <w:rPr>
                <w:rFonts w:ascii="Times New Roman" w:hAnsi="Times New Roman" w:cs="Times New Roman"/>
                <w:b/>
                <w:bCs/>
                <w:sz w:val="28"/>
                <w:szCs w:val="28"/>
              </w:rPr>
              <w:t>tingimuse</w:t>
            </w:r>
            <w:r w:rsidR="003867C8" w:rsidRPr="00391735">
              <w:rPr>
                <w:rFonts w:ascii="Times New Roman" w:hAnsi="Times New Roman" w:cs="Times New Roman"/>
                <w:b/>
                <w:bCs/>
                <w:sz w:val="28"/>
                <w:szCs w:val="28"/>
              </w:rPr>
              <w:t>le</w:t>
            </w:r>
            <w:r w:rsidRPr="00391735">
              <w:rPr>
                <w:rFonts w:ascii="Times New Roman" w:hAnsi="Times New Roman" w:cs="Times New Roman"/>
                <w:b/>
                <w:bCs/>
                <w:sz w:val="28"/>
                <w:szCs w:val="28"/>
              </w:rPr>
              <w:t xml:space="preserve"> 2</w:t>
            </w:r>
          </w:p>
        </w:tc>
      </w:tr>
      <w:tr w:rsidR="00192ED4" w:rsidRPr="00391735" w14:paraId="5C63FD2B" w14:textId="77777777" w:rsidTr="004F1132">
        <w:tc>
          <w:tcPr>
            <w:tcW w:w="3964" w:type="dxa"/>
          </w:tcPr>
          <w:p w14:paraId="5C36E530" w14:textId="1469436D" w:rsidR="00192ED4" w:rsidRPr="00391735" w:rsidRDefault="00192ED4" w:rsidP="00060C0E">
            <w:pPr>
              <w:rPr>
                <w:rFonts w:ascii="Times New Roman" w:hAnsi="Times New Roman" w:cs="Times New Roman"/>
                <w:sz w:val="24"/>
                <w:szCs w:val="24"/>
              </w:rPr>
            </w:pPr>
            <w:r w:rsidRPr="00391735">
              <w:rPr>
                <w:rFonts w:ascii="Times New Roman" w:hAnsi="Times New Roman" w:cs="Times New Roman"/>
                <w:sz w:val="24"/>
                <w:szCs w:val="24"/>
              </w:rPr>
              <w:t xml:space="preserve">kui isikut </w:t>
            </w:r>
            <w:r w:rsidRPr="00391735">
              <w:rPr>
                <w:rFonts w:ascii="Times New Roman" w:hAnsi="Times New Roman" w:cs="Times New Roman"/>
                <w:b/>
                <w:bCs/>
                <w:sz w:val="24"/>
                <w:szCs w:val="24"/>
              </w:rPr>
              <w:t>rahastavad</w:t>
            </w:r>
            <w:r w:rsidRPr="00391735">
              <w:rPr>
                <w:rFonts w:ascii="Times New Roman" w:hAnsi="Times New Roman" w:cs="Times New Roman"/>
                <w:sz w:val="24"/>
                <w:szCs w:val="24"/>
              </w:rPr>
              <w:t xml:space="preserve"> </w:t>
            </w:r>
          </w:p>
          <w:p w14:paraId="5C6CE4AE" w14:textId="7F92E3E2" w:rsidR="00192ED4" w:rsidRPr="00391735" w:rsidRDefault="00192ED4" w:rsidP="00060C0E">
            <w:pPr>
              <w:rPr>
                <w:rFonts w:ascii="Times New Roman" w:hAnsi="Times New Roman" w:cs="Times New Roman"/>
                <w:sz w:val="24"/>
                <w:szCs w:val="24"/>
              </w:rPr>
            </w:pPr>
            <w:r w:rsidRPr="00391735">
              <w:rPr>
                <w:rFonts w:ascii="Times New Roman" w:hAnsi="Times New Roman" w:cs="Times New Roman"/>
                <w:sz w:val="24"/>
                <w:szCs w:val="24"/>
              </w:rPr>
              <w:t>koos või eraldi kas riik, kohalik omavalitsus või muu avalik-õiguslik juriidiline isik või Euroopa Majandus piirkonna mõne muu lepinguriigi vastavad isikud</w:t>
            </w:r>
          </w:p>
        </w:tc>
        <w:tc>
          <w:tcPr>
            <w:tcW w:w="3118" w:type="dxa"/>
            <w:vAlign w:val="center"/>
          </w:tcPr>
          <w:p w14:paraId="588DD461" w14:textId="4F7B367A" w:rsidR="00192ED4" w:rsidRPr="00391735" w:rsidRDefault="00192ED4" w:rsidP="00947269">
            <w:pPr>
              <w:jc w:val="center"/>
              <w:rPr>
                <w:rFonts w:ascii="Times New Roman" w:hAnsi="Times New Roman" w:cs="Times New Roman"/>
                <w:sz w:val="24"/>
                <w:szCs w:val="24"/>
              </w:rPr>
            </w:pPr>
            <w:r w:rsidRPr="00391735">
              <w:rPr>
                <w:rFonts w:ascii="Times New Roman" w:hAnsi="Times New Roman" w:cs="Times New Roman"/>
                <w:sz w:val="24"/>
                <w:szCs w:val="24"/>
              </w:rPr>
              <w:t>vt selgitust punktis 1</w:t>
            </w:r>
          </w:p>
        </w:tc>
        <w:tc>
          <w:tcPr>
            <w:tcW w:w="3119" w:type="dxa"/>
            <w:vMerge w:val="restart"/>
            <w:vAlign w:val="center"/>
          </w:tcPr>
          <w:p w14:paraId="04CE5215" w14:textId="1C272014" w:rsidR="00192ED4" w:rsidRPr="00391735" w:rsidRDefault="00192ED4" w:rsidP="00947269">
            <w:pPr>
              <w:jc w:val="center"/>
              <w:rPr>
                <w:rFonts w:ascii="Times New Roman" w:hAnsi="Times New Roman" w:cs="Times New Roman"/>
                <w:b/>
                <w:bCs/>
                <w:color w:val="70AD47" w:themeColor="accent6"/>
                <w:sz w:val="24"/>
                <w:szCs w:val="24"/>
              </w:rPr>
            </w:pPr>
            <w:r w:rsidRPr="00391735">
              <w:rPr>
                <w:rFonts w:ascii="Times New Roman" w:hAnsi="Times New Roman" w:cs="Times New Roman"/>
                <w:b/>
                <w:bCs/>
                <w:color w:val="70AD47" w:themeColor="accent6"/>
                <w:sz w:val="24"/>
                <w:szCs w:val="24"/>
              </w:rPr>
              <w:t>VASTAB</w:t>
            </w:r>
          </w:p>
          <w:p w14:paraId="54198007" w14:textId="528CF636" w:rsidR="00192ED4" w:rsidRPr="00391735" w:rsidRDefault="00192ED4" w:rsidP="00947269">
            <w:pPr>
              <w:jc w:val="center"/>
              <w:rPr>
                <w:rFonts w:ascii="Times New Roman" w:hAnsi="Times New Roman" w:cs="Times New Roman"/>
                <w:sz w:val="24"/>
                <w:szCs w:val="24"/>
              </w:rPr>
            </w:pPr>
            <w:r w:rsidRPr="00391735">
              <w:rPr>
                <w:rFonts w:ascii="Times New Roman" w:hAnsi="Times New Roman" w:cs="Times New Roman"/>
                <w:sz w:val="24"/>
                <w:szCs w:val="24"/>
              </w:rPr>
              <w:t>vt selgitust punktis 2</w:t>
            </w:r>
          </w:p>
        </w:tc>
        <w:tc>
          <w:tcPr>
            <w:tcW w:w="3685" w:type="dxa"/>
            <w:vMerge w:val="restart"/>
            <w:vAlign w:val="center"/>
          </w:tcPr>
          <w:p w14:paraId="715170DF" w14:textId="6CB1F76F" w:rsidR="00192ED4" w:rsidRPr="00391735" w:rsidRDefault="00192ED4">
            <w:pPr>
              <w:rPr>
                <w:rFonts w:ascii="Times New Roman" w:hAnsi="Times New Roman" w:cs="Times New Roman"/>
                <w:sz w:val="24"/>
                <w:szCs w:val="24"/>
              </w:rPr>
            </w:pPr>
            <w:bookmarkStart w:id="0" w:name="_Hlk95834562"/>
            <w:r w:rsidRPr="00391735">
              <w:rPr>
                <w:rFonts w:ascii="Times New Roman" w:hAnsi="Times New Roman" w:cs="Times New Roman"/>
                <w:sz w:val="24"/>
                <w:szCs w:val="24"/>
              </w:rPr>
              <w:t>kui isik on asutatud eesmärgiga täita põhi- või kõrvaltegevusena ülesannet avalikes huvides,</w:t>
            </w:r>
            <w:bookmarkEnd w:id="0"/>
          </w:p>
        </w:tc>
      </w:tr>
      <w:tr w:rsidR="00192ED4" w:rsidRPr="00391735" w14:paraId="0E69FF1F" w14:textId="77777777" w:rsidTr="004F1132">
        <w:tc>
          <w:tcPr>
            <w:tcW w:w="3964" w:type="dxa"/>
          </w:tcPr>
          <w:p w14:paraId="7CA94F97" w14:textId="77777777" w:rsidR="00192ED4" w:rsidRPr="00391735" w:rsidRDefault="00192ED4" w:rsidP="00060C0E">
            <w:pPr>
              <w:jc w:val="center"/>
              <w:rPr>
                <w:rFonts w:ascii="Times New Roman" w:hAnsi="Times New Roman" w:cs="Times New Roman"/>
                <w:b/>
                <w:bCs/>
                <w:sz w:val="28"/>
                <w:szCs w:val="28"/>
              </w:rPr>
            </w:pPr>
            <w:r w:rsidRPr="00391735">
              <w:rPr>
                <w:rFonts w:ascii="Times New Roman" w:hAnsi="Times New Roman" w:cs="Times New Roman"/>
                <w:b/>
                <w:bCs/>
                <w:sz w:val="28"/>
                <w:szCs w:val="28"/>
              </w:rPr>
              <w:t>VÕI</w:t>
            </w:r>
          </w:p>
        </w:tc>
        <w:tc>
          <w:tcPr>
            <w:tcW w:w="3118" w:type="dxa"/>
            <w:vMerge w:val="restart"/>
            <w:vAlign w:val="center"/>
          </w:tcPr>
          <w:p w14:paraId="73969184" w14:textId="37EF7A5D" w:rsidR="00192ED4" w:rsidRPr="00391735" w:rsidRDefault="00192ED4" w:rsidP="00060C0E">
            <w:pPr>
              <w:jc w:val="center"/>
              <w:rPr>
                <w:rFonts w:ascii="Times New Roman" w:hAnsi="Times New Roman" w:cs="Times New Roman"/>
                <w:b/>
                <w:bCs/>
                <w:color w:val="70AD47" w:themeColor="accent6"/>
                <w:sz w:val="24"/>
                <w:szCs w:val="24"/>
              </w:rPr>
            </w:pPr>
            <w:r w:rsidRPr="00391735">
              <w:rPr>
                <w:rFonts w:ascii="Times New Roman" w:hAnsi="Times New Roman" w:cs="Times New Roman"/>
                <w:b/>
                <w:bCs/>
                <w:color w:val="70AD47" w:themeColor="accent6"/>
                <w:sz w:val="24"/>
                <w:szCs w:val="24"/>
              </w:rPr>
              <w:t xml:space="preserve">VASTAB </w:t>
            </w:r>
          </w:p>
          <w:p w14:paraId="3852124D" w14:textId="3B8E47A3" w:rsidR="00192ED4" w:rsidRPr="00391735" w:rsidRDefault="00192ED4" w:rsidP="00060C0E">
            <w:pPr>
              <w:jc w:val="center"/>
              <w:rPr>
                <w:rFonts w:ascii="Times New Roman" w:hAnsi="Times New Roman" w:cs="Times New Roman"/>
                <w:sz w:val="24"/>
                <w:szCs w:val="24"/>
              </w:rPr>
            </w:pPr>
            <w:r w:rsidRPr="00391735">
              <w:rPr>
                <w:rFonts w:ascii="Times New Roman" w:hAnsi="Times New Roman" w:cs="Times New Roman"/>
                <w:sz w:val="24"/>
                <w:szCs w:val="24"/>
              </w:rPr>
              <w:t>vt selgitust punktis 1</w:t>
            </w:r>
          </w:p>
        </w:tc>
        <w:tc>
          <w:tcPr>
            <w:tcW w:w="3119" w:type="dxa"/>
            <w:vMerge/>
            <w:vAlign w:val="center"/>
          </w:tcPr>
          <w:p w14:paraId="3FFEB67A" w14:textId="42D0CD27" w:rsidR="00192ED4" w:rsidRPr="00391735" w:rsidRDefault="00192ED4" w:rsidP="00060C0E">
            <w:pPr>
              <w:jc w:val="center"/>
              <w:rPr>
                <w:rFonts w:ascii="Times New Roman" w:hAnsi="Times New Roman" w:cs="Times New Roman"/>
                <w:b/>
                <w:bCs/>
                <w:sz w:val="24"/>
                <w:szCs w:val="24"/>
              </w:rPr>
            </w:pPr>
          </w:p>
        </w:tc>
        <w:tc>
          <w:tcPr>
            <w:tcW w:w="3685" w:type="dxa"/>
            <w:vMerge/>
          </w:tcPr>
          <w:p w14:paraId="4D9CAB71" w14:textId="795A718F" w:rsidR="00192ED4" w:rsidRPr="00391735" w:rsidRDefault="00192ED4" w:rsidP="00783997">
            <w:pPr>
              <w:rPr>
                <w:rFonts w:ascii="Times New Roman" w:hAnsi="Times New Roman" w:cs="Times New Roman"/>
                <w:b/>
                <w:bCs/>
                <w:sz w:val="28"/>
                <w:szCs w:val="28"/>
              </w:rPr>
            </w:pPr>
          </w:p>
        </w:tc>
      </w:tr>
      <w:tr w:rsidR="00192ED4" w:rsidRPr="00391735" w14:paraId="08ECE47A" w14:textId="77777777" w:rsidTr="004F1132">
        <w:tc>
          <w:tcPr>
            <w:tcW w:w="3964" w:type="dxa"/>
          </w:tcPr>
          <w:p w14:paraId="02F432AA" w14:textId="2878D549" w:rsidR="00192ED4" w:rsidRPr="00391735" w:rsidRDefault="00192ED4">
            <w:pPr>
              <w:rPr>
                <w:rFonts w:ascii="Times New Roman" w:hAnsi="Times New Roman" w:cs="Times New Roman"/>
                <w:sz w:val="24"/>
                <w:szCs w:val="24"/>
              </w:rPr>
            </w:pPr>
            <w:bookmarkStart w:id="1" w:name="_Hlk95834503"/>
            <w:r w:rsidRPr="00391735">
              <w:rPr>
                <w:rFonts w:ascii="Times New Roman" w:hAnsi="Times New Roman" w:cs="Times New Roman"/>
                <w:sz w:val="24"/>
                <w:szCs w:val="24"/>
              </w:rPr>
              <w:t xml:space="preserve">kui isiku </w:t>
            </w:r>
            <w:r w:rsidRPr="00391735">
              <w:rPr>
                <w:rFonts w:ascii="Times New Roman" w:hAnsi="Times New Roman" w:cs="Times New Roman"/>
                <w:b/>
                <w:bCs/>
                <w:sz w:val="24"/>
                <w:szCs w:val="24"/>
              </w:rPr>
              <w:t>juhtimis- või järelevalveorgani liikmetest rohkem kui poole määravad</w:t>
            </w:r>
            <w:r w:rsidRPr="00391735">
              <w:rPr>
                <w:rFonts w:ascii="Times New Roman" w:hAnsi="Times New Roman" w:cs="Times New Roman"/>
                <w:sz w:val="24"/>
                <w:szCs w:val="24"/>
              </w:rPr>
              <w:t xml:space="preserve"> koos või eraldi kas riik, kohalik omavalitsus või muu avalikõiguslik juriidiline isik või Euroopa Majandus piirkonna mõne muu lepinguriigi vastavad isikud</w:t>
            </w:r>
            <w:bookmarkEnd w:id="1"/>
          </w:p>
        </w:tc>
        <w:tc>
          <w:tcPr>
            <w:tcW w:w="3118" w:type="dxa"/>
            <w:vMerge/>
          </w:tcPr>
          <w:p w14:paraId="6D4867A4" w14:textId="77777777" w:rsidR="00192ED4" w:rsidRPr="00391735" w:rsidRDefault="00192ED4">
            <w:pPr>
              <w:rPr>
                <w:rFonts w:ascii="Times New Roman" w:hAnsi="Times New Roman" w:cs="Times New Roman"/>
                <w:sz w:val="24"/>
                <w:szCs w:val="24"/>
              </w:rPr>
            </w:pPr>
          </w:p>
        </w:tc>
        <w:tc>
          <w:tcPr>
            <w:tcW w:w="3119" w:type="dxa"/>
            <w:vMerge/>
          </w:tcPr>
          <w:p w14:paraId="0DBCEE27" w14:textId="77777777" w:rsidR="00192ED4" w:rsidRPr="00391735" w:rsidRDefault="00192ED4">
            <w:pPr>
              <w:rPr>
                <w:rFonts w:ascii="Times New Roman" w:hAnsi="Times New Roman" w:cs="Times New Roman"/>
                <w:sz w:val="24"/>
                <w:szCs w:val="24"/>
              </w:rPr>
            </w:pPr>
          </w:p>
        </w:tc>
        <w:tc>
          <w:tcPr>
            <w:tcW w:w="3685" w:type="dxa"/>
            <w:vMerge/>
            <w:vAlign w:val="center"/>
          </w:tcPr>
          <w:p w14:paraId="2409040B" w14:textId="292A6E0B" w:rsidR="00192ED4" w:rsidRPr="00391735" w:rsidRDefault="00192ED4">
            <w:pPr>
              <w:rPr>
                <w:rFonts w:ascii="Times New Roman" w:hAnsi="Times New Roman" w:cs="Times New Roman"/>
                <w:sz w:val="24"/>
                <w:szCs w:val="24"/>
              </w:rPr>
            </w:pPr>
          </w:p>
        </w:tc>
      </w:tr>
      <w:tr w:rsidR="003867C8" w:rsidRPr="00391735" w14:paraId="6B3223A7" w14:textId="77777777" w:rsidTr="004F1132">
        <w:tc>
          <w:tcPr>
            <w:tcW w:w="3964" w:type="dxa"/>
          </w:tcPr>
          <w:p w14:paraId="33A67BDC" w14:textId="77777777" w:rsidR="003867C8" w:rsidRPr="00391735" w:rsidRDefault="003867C8" w:rsidP="00060C0E">
            <w:pPr>
              <w:jc w:val="center"/>
              <w:rPr>
                <w:rFonts w:ascii="Times New Roman" w:hAnsi="Times New Roman" w:cs="Times New Roman"/>
                <w:b/>
                <w:bCs/>
                <w:sz w:val="28"/>
                <w:szCs w:val="28"/>
              </w:rPr>
            </w:pPr>
            <w:r w:rsidRPr="00391735">
              <w:rPr>
                <w:rFonts w:ascii="Times New Roman" w:hAnsi="Times New Roman" w:cs="Times New Roman"/>
                <w:b/>
                <w:bCs/>
                <w:sz w:val="28"/>
                <w:szCs w:val="28"/>
              </w:rPr>
              <w:t>VÕI</w:t>
            </w:r>
          </w:p>
        </w:tc>
        <w:tc>
          <w:tcPr>
            <w:tcW w:w="3118" w:type="dxa"/>
            <w:vMerge w:val="restart"/>
            <w:vAlign w:val="center"/>
          </w:tcPr>
          <w:p w14:paraId="519BF0C0" w14:textId="56E7A276" w:rsidR="00947269" w:rsidRPr="00391735" w:rsidRDefault="00B7167C" w:rsidP="00060C0E">
            <w:pPr>
              <w:jc w:val="center"/>
              <w:rPr>
                <w:rFonts w:ascii="Times New Roman" w:hAnsi="Times New Roman" w:cs="Times New Roman"/>
                <w:sz w:val="24"/>
                <w:szCs w:val="24"/>
              </w:rPr>
            </w:pPr>
            <w:r w:rsidRPr="00391735">
              <w:rPr>
                <w:rFonts w:ascii="Times New Roman" w:hAnsi="Times New Roman" w:cs="Times New Roman"/>
                <w:sz w:val="24"/>
                <w:szCs w:val="24"/>
              </w:rPr>
              <w:t>vt selgitust punktis 1</w:t>
            </w:r>
          </w:p>
        </w:tc>
        <w:tc>
          <w:tcPr>
            <w:tcW w:w="3119" w:type="dxa"/>
            <w:vMerge w:val="restart"/>
            <w:vAlign w:val="center"/>
          </w:tcPr>
          <w:p w14:paraId="04989C43" w14:textId="77777777" w:rsidR="003867C8" w:rsidRPr="00391735" w:rsidRDefault="00192ED4" w:rsidP="00060C0E">
            <w:pPr>
              <w:jc w:val="center"/>
              <w:rPr>
                <w:rFonts w:ascii="Times New Roman" w:hAnsi="Times New Roman" w:cs="Times New Roman"/>
                <w:b/>
                <w:bCs/>
                <w:color w:val="FF0000"/>
                <w:sz w:val="24"/>
                <w:szCs w:val="24"/>
              </w:rPr>
            </w:pPr>
            <w:r w:rsidRPr="00391735">
              <w:rPr>
                <w:rFonts w:ascii="Times New Roman" w:hAnsi="Times New Roman" w:cs="Times New Roman"/>
                <w:b/>
                <w:bCs/>
                <w:color w:val="FF0000"/>
                <w:sz w:val="24"/>
                <w:szCs w:val="24"/>
              </w:rPr>
              <w:t>EI VASTA</w:t>
            </w:r>
          </w:p>
          <w:p w14:paraId="6CFCBEA6" w14:textId="07A05DA4" w:rsidR="00192ED4" w:rsidRPr="00391735" w:rsidRDefault="00192ED4" w:rsidP="00060C0E">
            <w:pPr>
              <w:jc w:val="center"/>
              <w:rPr>
                <w:rFonts w:ascii="Times New Roman" w:hAnsi="Times New Roman" w:cs="Times New Roman"/>
                <w:sz w:val="24"/>
                <w:szCs w:val="24"/>
              </w:rPr>
            </w:pPr>
            <w:r w:rsidRPr="00391735">
              <w:rPr>
                <w:rFonts w:ascii="Times New Roman" w:hAnsi="Times New Roman" w:cs="Times New Roman"/>
                <w:sz w:val="24"/>
                <w:szCs w:val="24"/>
              </w:rPr>
              <w:t>vt selgitust punktis 3</w:t>
            </w:r>
          </w:p>
        </w:tc>
        <w:tc>
          <w:tcPr>
            <w:tcW w:w="3685" w:type="dxa"/>
          </w:tcPr>
          <w:p w14:paraId="6BE5D53B" w14:textId="1AB3FD1B" w:rsidR="003867C8" w:rsidRPr="00391735" w:rsidRDefault="003867C8" w:rsidP="00060C0E">
            <w:pPr>
              <w:jc w:val="center"/>
              <w:rPr>
                <w:rFonts w:ascii="Times New Roman" w:hAnsi="Times New Roman" w:cs="Times New Roman"/>
                <w:b/>
                <w:bCs/>
                <w:sz w:val="28"/>
                <w:szCs w:val="28"/>
              </w:rPr>
            </w:pPr>
            <w:r w:rsidRPr="00391735">
              <w:rPr>
                <w:rFonts w:ascii="Times New Roman" w:hAnsi="Times New Roman" w:cs="Times New Roman"/>
                <w:b/>
                <w:bCs/>
                <w:sz w:val="28"/>
                <w:szCs w:val="28"/>
              </w:rPr>
              <w:t>JA</w:t>
            </w:r>
          </w:p>
        </w:tc>
      </w:tr>
      <w:tr w:rsidR="003867C8" w:rsidRPr="00391735" w14:paraId="3ECDBEAC" w14:textId="77777777" w:rsidTr="004F1132">
        <w:tc>
          <w:tcPr>
            <w:tcW w:w="3964" w:type="dxa"/>
            <w:tcBorders>
              <w:bottom w:val="single" w:sz="12" w:space="0" w:color="auto"/>
            </w:tcBorders>
          </w:tcPr>
          <w:p w14:paraId="0305E4EE" w14:textId="147105CC" w:rsidR="003867C8" w:rsidRPr="00391735" w:rsidRDefault="00F63707" w:rsidP="00060C0E">
            <w:pPr>
              <w:rPr>
                <w:rFonts w:ascii="Times New Roman" w:hAnsi="Times New Roman" w:cs="Times New Roman"/>
                <w:sz w:val="24"/>
                <w:szCs w:val="24"/>
              </w:rPr>
            </w:pPr>
            <w:r w:rsidRPr="00391735">
              <w:rPr>
                <w:rFonts w:ascii="Times New Roman" w:hAnsi="Times New Roman" w:cs="Times New Roman"/>
                <w:sz w:val="24"/>
                <w:szCs w:val="24"/>
              </w:rPr>
              <w:t xml:space="preserve">kui </w:t>
            </w:r>
            <w:r w:rsidR="003867C8" w:rsidRPr="00391735">
              <w:rPr>
                <w:rFonts w:ascii="Times New Roman" w:hAnsi="Times New Roman" w:cs="Times New Roman"/>
                <w:sz w:val="24"/>
                <w:szCs w:val="24"/>
              </w:rPr>
              <w:t xml:space="preserve">isiku </w:t>
            </w:r>
            <w:r w:rsidR="003867C8" w:rsidRPr="00391735">
              <w:rPr>
                <w:rFonts w:ascii="Times New Roman" w:hAnsi="Times New Roman" w:cs="Times New Roman"/>
                <w:b/>
                <w:bCs/>
                <w:sz w:val="24"/>
                <w:szCs w:val="24"/>
              </w:rPr>
              <w:t>juhtimist muul viisil kontrollivad</w:t>
            </w:r>
            <w:r w:rsidR="003867C8" w:rsidRPr="00391735">
              <w:rPr>
                <w:rFonts w:ascii="Times New Roman" w:hAnsi="Times New Roman" w:cs="Times New Roman"/>
                <w:sz w:val="24"/>
                <w:szCs w:val="24"/>
              </w:rPr>
              <w:t xml:space="preserve"> koos või eraldi kas riik, kohalik omavalitsus või muu avalik</w:t>
            </w:r>
            <w:r w:rsidR="00C16B26" w:rsidRPr="00391735">
              <w:rPr>
                <w:rFonts w:ascii="Times New Roman" w:hAnsi="Times New Roman" w:cs="Times New Roman"/>
                <w:sz w:val="24"/>
                <w:szCs w:val="24"/>
              </w:rPr>
              <w:t>-</w:t>
            </w:r>
            <w:r w:rsidR="003867C8" w:rsidRPr="00391735">
              <w:rPr>
                <w:rFonts w:ascii="Times New Roman" w:hAnsi="Times New Roman" w:cs="Times New Roman"/>
                <w:sz w:val="24"/>
                <w:szCs w:val="24"/>
              </w:rPr>
              <w:t>õiguslik juriidiline isik või Euroopa Majandus piirkonna mõne muu lepinguriigi vastavad isikud</w:t>
            </w:r>
          </w:p>
        </w:tc>
        <w:tc>
          <w:tcPr>
            <w:tcW w:w="3118" w:type="dxa"/>
            <w:vMerge/>
            <w:tcBorders>
              <w:bottom w:val="single" w:sz="12" w:space="0" w:color="auto"/>
            </w:tcBorders>
          </w:tcPr>
          <w:p w14:paraId="142C3250" w14:textId="77777777" w:rsidR="003867C8" w:rsidRPr="00391735" w:rsidRDefault="003867C8">
            <w:pPr>
              <w:rPr>
                <w:rFonts w:ascii="Times New Roman" w:hAnsi="Times New Roman" w:cs="Times New Roman"/>
                <w:sz w:val="24"/>
                <w:szCs w:val="24"/>
              </w:rPr>
            </w:pPr>
          </w:p>
        </w:tc>
        <w:tc>
          <w:tcPr>
            <w:tcW w:w="3119" w:type="dxa"/>
            <w:vMerge/>
            <w:tcBorders>
              <w:bottom w:val="single" w:sz="12" w:space="0" w:color="auto"/>
            </w:tcBorders>
          </w:tcPr>
          <w:p w14:paraId="7E92F536" w14:textId="77777777" w:rsidR="003867C8" w:rsidRPr="00391735" w:rsidRDefault="003867C8">
            <w:pPr>
              <w:rPr>
                <w:rFonts w:ascii="Times New Roman" w:hAnsi="Times New Roman" w:cs="Times New Roman"/>
                <w:sz w:val="24"/>
                <w:szCs w:val="24"/>
              </w:rPr>
            </w:pPr>
          </w:p>
        </w:tc>
        <w:tc>
          <w:tcPr>
            <w:tcW w:w="3685" w:type="dxa"/>
            <w:tcBorders>
              <w:bottom w:val="single" w:sz="12" w:space="0" w:color="auto"/>
            </w:tcBorders>
            <w:vAlign w:val="center"/>
          </w:tcPr>
          <w:p w14:paraId="66D61AC4" w14:textId="6B56BC59" w:rsidR="003867C8" w:rsidRPr="00391735" w:rsidRDefault="003867C8">
            <w:pPr>
              <w:rPr>
                <w:rFonts w:ascii="Times New Roman" w:hAnsi="Times New Roman" w:cs="Times New Roman"/>
                <w:sz w:val="24"/>
                <w:szCs w:val="24"/>
              </w:rPr>
            </w:pPr>
            <w:bookmarkStart w:id="2" w:name="_Hlk95834640"/>
            <w:r w:rsidRPr="00391735">
              <w:rPr>
                <w:rFonts w:ascii="Times New Roman" w:hAnsi="Times New Roman" w:cs="Times New Roman"/>
                <w:sz w:val="24"/>
                <w:szCs w:val="24"/>
              </w:rPr>
              <w:t>millel ei ole tööstuslikku ega ärilist iseloomu</w:t>
            </w:r>
            <w:bookmarkEnd w:id="2"/>
          </w:p>
        </w:tc>
      </w:tr>
      <w:tr w:rsidR="00AF4785" w:rsidRPr="00391735" w14:paraId="51341BBE" w14:textId="77777777" w:rsidTr="004F1132">
        <w:trPr>
          <w:trHeight w:val="380"/>
        </w:trPr>
        <w:tc>
          <w:tcPr>
            <w:tcW w:w="3964" w:type="dxa"/>
            <w:tcBorders>
              <w:top w:val="single" w:sz="12" w:space="0" w:color="auto"/>
              <w:left w:val="single" w:sz="12" w:space="0" w:color="auto"/>
              <w:bottom w:val="single" w:sz="12" w:space="0" w:color="auto"/>
              <w:right w:val="single" w:sz="12" w:space="0" w:color="auto"/>
            </w:tcBorders>
          </w:tcPr>
          <w:p w14:paraId="392E0751" w14:textId="178CF5A6" w:rsidR="00AF4785" w:rsidRPr="00391735" w:rsidRDefault="00947269" w:rsidP="00AF4785">
            <w:pPr>
              <w:jc w:val="right"/>
              <w:rPr>
                <w:rFonts w:ascii="Times New Roman" w:hAnsi="Times New Roman" w:cs="Times New Roman"/>
                <w:sz w:val="28"/>
                <w:szCs w:val="28"/>
              </w:rPr>
            </w:pPr>
            <w:r w:rsidRPr="00391735">
              <w:rPr>
                <w:rFonts w:ascii="Times New Roman" w:hAnsi="Times New Roman" w:cs="Times New Roman"/>
                <w:b/>
                <w:bCs/>
                <w:sz w:val="28"/>
                <w:szCs w:val="28"/>
              </w:rPr>
              <w:t>Vastab</w:t>
            </w:r>
            <w:r w:rsidR="00AF4785" w:rsidRPr="00391735">
              <w:rPr>
                <w:rFonts w:ascii="Times New Roman" w:hAnsi="Times New Roman" w:cs="Times New Roman"/>
                <w:b/>
                <w:bCs/>
                <w:sz w:val="28"/>
                <w:szCs w:val="28"/>
              </w:rPr>
              <w:t>?</w:t>
            </w:r>
          </w:p>
        </w:tc>
        <w:tc>
          <w:tcPr>
            <w:tcW w:w="3118" w:type="dxa"/>
            <w:tcBorders>
              <w:top w:val="single" w:sz="12" w:space="0" w:color="auto"/>
              <w:left w:val="single" w:sz="12" w:space="0" w:color="auto"/>
              <w:bottom w:val="single" w:sz="12" w:space="0" w:color="auto"/>
              <w:right w:val="single" w:sz="12" w:space="0" w:color="auto"/>
            </w:tcBorders>
          </w:tcPr>
          <w:p w14:paraId="52DC8B97" w14:textId="49E6C20E" w:rsidR="00AF4785" w:rsidRPr="00391735" w:rsidRDefault="00947269" w:rsidP="00947269">
            <w:pPr>
              <w:jc w:val="center"/>
              <w:rPr>
                <w:rFonts w:ascii="Times New Roman" w:hAnsi="Times New Roman" w:cs="Times New Roman"/>
                <w:b/>
                <w:bCs/>
                <w:sz w:val="28"/>
                <w:szCs w:val="28"/>
              </w:rPr>
            </w:pPr>
            <w:r w:rsidRPr="00391735">
              <w:rPr>
                <w:rFonts w:ascii="Times New Roman" w:hAnsi="Times New Roman" w:cs="Times New Roman"/>
                <w:b/>
                <w:bCs/>
                <w:color w:val="70AD47" w:themeColor="accent6"/>
                <w:sz w:val="28"/>
                <w:szCs w:val="28"/>
              </w:rPr>
              <w:t>VASTAB</w:t>
            </w:r>
          </w:p>
        </w:tc>
        <w:tc>
          <w:tcPr>
            <w:tcW w:w="3119" w:type="dxa"/>
            <w:tcBorders>
              <w:top w:val="single" w:sz="12" w:space="0" w:color="auto"/>
              <w:left w:val="single" w:sz="12" w:space="0" w:color="auto"/>
              <w:bottom w:val="single" w:sz="12" w:space="0" w:color="auto"/>
              <w:right w:val="single" w:sz="12" w:space="0" w:color="auto"/>
            </w:tcBorders>
          </w:tcPr>
          <w:p w14:paraId="3C9E9FFA" w14:textId="487839C9" w:rsidR="00AF4785" w:rsidRPr="00391735" w:rsidRDefault="00192ED4" w:rsidP="00192ED4">
            <w:pPr>
              <w:ind w:firstLine="21"/>
              <w:jc w:val="center"/>
              <w:rPr>
                <w:rFonts w:ascii="Times New Roman" w:hAnsi="Times New Roman" w:cs="Times New Roman"/>
                <w:b/>
                <w:bCs/>
                <w:sz w:val="28"/>
                <w:szCs w:val="28"/>
              </w:rPr>
            </w:pPr>
            <w:r w:rsidRPr="00391735">
              <w:rPr>
                <w:rFonts w:ascii="Times New Roman" w:hAnsi="Times New Roman" w:cs="Times New Roman"/>
                <w:b/>
                <w:bCs/>
                <w:color w:val="FF0000"/>
                <w:sz w:val="28"/>
                <w:szCs w:val="28"/>
              </w:rPr>
              <w:t>EI VASTA</w:t>
            </w:r>
          </w:p>
        </w:tc>
        <w:tc>
          <w:tcPr>
            <w:tcW w:w="3685" w:type="dxa"/>
            <w:tcBorders>
              <w:top w:val="single" w:sz="12" w:space="0" w:color="auto"/>
              <w:left w:val="single" w:sz="12" w:space="0" w:color="auto"/>
              <w:bottom w:val="single" w:sz="12" w:space="0" w:color="auto"/>
              <w:right w:val="single" w:sz="12" w:space="0" w:color="auto"/>
            </w:tcBorders>
          </w:tcPr>
          <w:p w14:paraId="71E3F4D2" w14:textId="66DE8C8F" w:rsidR="00AF4785" w:rsidRPr="00391735" w:rsidRDefault="00947269" w:rsidP="00AF4785">
            <w:pPr>
              <w:ind w:firstLine="21"/>
              <w:rPr>
                <w:rFonts w:ascii="Times New Roman" w:hAnsi="Times New Roman" w:cs="Times New Roman"/>
                <w:b/>
                <w:bCs/>
                <w:sz w:val="28"/>
                <w:szCs w:val="28"/>
              </w:rPr>
            </w:pPr>
            <w:r w:rsidRPr="00391735">
              <w:rPr>
                <w:rFonts w:ascii="Times New Roman" w:hAnsi="Times New Roman" w:cs="Times New Roman"/>
                <w:b/>
                <w:bCs/>
                <w:sz w:val="28"/>
                <w:szCs w:val="28"/>
              </w:rPr>
              <w:t>Vastab</w:t>
            </w:r>
            <w:r w:rsidR="00AF4785" w:rsidRPr="00391735">
              <w:rPr>
                <w:rFonts w:ascii="Times New Roman" w:hAnsi="Times New Roman" w:cs="Times New Roman"/>
                <w:b/>
                <w:bCs/>
                <w:sz w:val="28"/>
                <w:szCs w:val="28"/>
              </w:rPr>
              <w:t>?</w:t>
            </w:r>
          </w:p>
        </w:tc>
      </w:tr>
    </w:tbl>
    <w:p w14:paraId="6AE3E404" w14:textId="56438198" w:rsidR="002F6E01" w:rsidRPr="00391735" w:rsidRDefault="002F6E01" w:rsidP="00E40E59">
      <w:pPr>
        <w:spacing w:after="0" w:line="240" w:lineRule="auto"/>
        <w:rPr>
          <w:rFonts w:ascii="Times New Roman" w:hAnsi="Times New Roman" w:cs="Times New Roman"/>
          <w:sz w:val="24"/>
          <w:szCs w:val="24"/>
        </w:rPr>
      </w:pPr>
    </w:p>
    <w:p w14:paraId="0A1F6CA4" w14:textId="1A6A4AC9" w:rsidR="004F1132" w:rsidRDefault="00AF4785" w:rsidP="004F1132">
      <w:pPr>
        <w:pStyle w:val="ListParagraph"/>
        <w:spacing w:after="0" w:line="240" w:lineRule="auto"/>
        <w:ind w:left="0"/>
        <w:contextualSpacing w:val="0"/>
        <w:jc w:val="both"/>
        <w:rPr>
          <w:rFonts w:ascii="Times New Roman" w:hAnsi="Times New Roman" w:cs="Times New Roman"/>
          <w:sz w:val="24"/>
          <w:szCs w:val="24"/>
        </w:rPr>
      </w:pPr>
      <w:r w:rsidRPr="00391735">
        <w:rPr>
          <w:rFonts w:ascii="Times New Roman" w:hAnsi="Times New Roman" w:cs="Times New Roman"/>
          <w:b/>
          <w:bCs/>
          <w:sz w:val="24"/>
          <w:szCs w:val="24"/>
          <w:u w:val="single"/>
        </w:rPr>
        <w:t>Järeldus:</w:t>
      </w:r>
      <w:r w:rsidR="00F63707" w:rsidRPr="00391735">
        <w:rPr>
          <w:rFonts w:ascii="Times New Roman" w:hAnsi="Times New Roman" w:cs="Times New Roman"/>
          <w:sz w:val="24"/>
          <w:szCs w:val="24"/>
        </w:rPr>
        <w:t xml:space="preserve"> </w:t>
      </w:r>
      <w:r w:rsidR="004F1132" w:rsidRPr="00391735">
        <w:rPr>
          <w:rFonts w:ascii="Times New Roman" w:hAnsi="Times New Roman" w:cs="Times New Roman"/>
          <w:sz w:val="24"/>
          <w:szCs w:val="24"/>
        </w:rPr>
        <w:t>Kuivõrd RHS § 5 lg 2 p-s 5 loetletud tingimused, lugemaks eraõiguslikku juriidilist isikut avaliku sektori hankijaks, on kumulatiivsed, siis tähendab kasvõi ühe tingimuse mittetäitmine, et asjassepuutuv isik ei ole hankija RHS mõttes.</w:t>
      </w:r>
      <w:r w:rsidR="004F1132" w:rsidRPr="00391735">
        <w:rPr>
          <w:rStyle w:val="FootnoteReference"/>
          <w:rFonts w:ascii="Times New Roman" w:hAnsi="Times New Roman" w:cs="Times New Roman"/>
          <w:sz w:val="24"/>
          <w:szCs w:val="24"/>
        </w:rPr>
        <w:footnoteReference w:id="1"/>
      </w:r>
      <w:r w:rsidR="004F1132" w:rsidRPr="00391735">
        <w:rPr>
          <w:rFonts w:ascii="Times New Roman" w:hAnsi="Times New Roman" w:cs="Times New Roman"/>
          <w:sz w:val="24"/>
          <w:szCs w:val="24"/>
        </w:rPr>
        <w:t xml:space="preserve"> </w:t>
      </w:r>
      <w:r w:rsidR="00F63707" w:rsidRPr="00E40E59">
        <w:rPr>
          <w:rFonts w:ascii="Times New Roman" w:hAnsi="Times New Roman" w:cs="Times New Roman"/>
          <w:sz w:val="24"/>
          <w:szCs w:val="24"/>
        </w:rPr>
        <w:t xml:space="preserve">Aktsiaselts Tallinna Jäätmete Taaskasutuskeskus </w:t>
      </w:r>
      <w:r w:rsidR="00F63707" w:rsidRPr="00E40E59">
        <w:rPr>
          <w:rFonts w:ascii="Times New Roman" w:hAnsi="Times New Roman" w:cs="Times New Roman"/>
          <w:sz w:val="24"/>
          <w:szCs w:val="24"/>
          <w:u w:val="single"/>
        </w:rPr>
        <w:t>ei ole hankija riigihangete seaduse mõ</w:t>
      </w:r>
      <w:r w:rsidR="00C16B26" w:rsidRPr="00E40E59">
        <w:rPr>
          <w:rFonts w:ascii="Times New Roman" w:hAnsi="Times New Roman" w:cs="Times New Roman"/>
          <w:sz w:val="24"/>
          <w:szCs w:val="24"/>
          <w:u w:val="single"/>
        </w:rPr>
        <w:t>t</w:t>
      </w:r>
      <w:r w:rsidR="00F63707" w:rsidRPr="00E40E59">
        <w:rPr>
          <w:rFonts w:ascii="Times New Roman" w:hAnsi="Times New Roman" w:cs="Times New Roman"/>
          <w:sz w:val="24"/>
          <w:szCs w:val="24"/>
          <w:u w:val="single"/>
        </w:rPr>
        <w:t>tes</w:t>
      </w:r>
      <w:r w:rsidR="00B000D2" w:rsidRPr="00E40E59">
        <w:rPr>
          <w:rFonts w:ascii="Times New Roman" w:hAnsi="Times New Roman" w:cs="Times New Roman"/>
          <w:sz w:val="24"/>
          <w:szCs w:val="24"/>
        </w:rPr>
        <w:t>, kuna tema tegevusel on äriline iseloom</w:t>
      </w:r>
      <w:r w:rsidR="00F63707" w:rsidRPr="00E40E59">
        <w:rPr>
          <w:rFonts w:ascii="Times New Roman" w:hAnsi="Times New Roman" w:cs="Times New Roman"/>
          <w:sz w:val="24"/>
          <w:szCs w:val="24"/>
        </w:rPr>
        <w:t>.</w:t>
      </w:r>
      <w:r w:rsidR="00E40E59">
        <w:rPr>
          <w:rFonts w:ascii="Times New Roman" w:hAnsi="Times New Roman" w:cs="Times New Roman"/>
          <w:sz w:val="24"/>
          <w:szCs w:val="24"/>
        </w:rPr>
        <w:t xml:space="preserve"> Järeldus on tehtud lähtuvalt tänastest asjaoludest, mistõttu ei tähenda, et see alatiseks nii jääb – asjaolude muutumisel võib muutuda ka isiku staatus.</w:t>
      </w:r>
      <w:r w:rsidR="00E40E59">
        <w:rPr>
          <w:rStyle w:val="FootnoteReference"/>
          <w:rFonts w:ascii="Times New Roman" w:hAnsi="Times New Roman" w:cs="Times New Roman"/>
          <w:sz w:val="24"/>
          <w:szCs w:val="24"/>
        </w:rPr>
        <w:footnoteReference w:id="2"/>
      </w:r>
    </w:p>
    <w:p w14:paraId="7AC3B205" w14:textId="77777777" w:rsidR="00856630" w:rsidRDefault="00856630" w:rsidP="004F1132">
      <w:pPr>
        <w:pStyle w:val="ListParagraph"/>
        <w:spacing w:after="0" w:line="240" w:lineRule="auto"/>
        <w:ind w:left="0"/>
        <w:contextualSpacing w:val="0"/>
        <w:jc w:val="both"/>
        <w:rPr>
          <w:rFonts w:ascii="Times New Roman" w:hAnsi="Times New Roman" w:cs="Times New Roman"/>
          <w:sz w:val="24"/>
          <w:szCs w:val="24"/>
        </w:rPr>
      </w:pPr>
    </w:p>
    <w:p w14:paraId="733EE07C" w14:textId="77777777" w:rsidR="00DD013A" w:rsidRPr="00391735" w:rsidRDefault="00DD013A" w:rsidP="004F1132">
      <w:pPr>
        <w:pStyle w:val="ListParagraph"/>
        <w:spacing w:after="0" w:line="240" w:lineRule="auto"/>
        <w:ind w:left="0"/>
        <w:contextualSpacing w:val="0"/>
        <w:jc w:val="both"/>
        <w:rPr>
          <w:rFonts w:ascii="Times New Roman" w:hAnsi="Times New Roman" w:cs="Times New Roman"/>
          <w:sz w:val="24"/>
          <w:szCs w:val="24"/>
        </w:rPr>
      </w:pPr>
    </w:p>
    <w:p w14:paraId="25A64AF6" w14:textId="17B97C56" w:rsidR="00F315B1" w:rsidRPr="00391735" w:rsidRDefault="00F315B1" w:rsidP="003513C5">
      <w:pPr>
        <w:pStyle w:val="ListParagraph"/>
        <w:numPr>
          <w:ilvl w:val="0"/>
          <w:numId w:val="1"/>
        </w:numPr>
        <w:jc w:val="both"/>
        <w:rPr>
          <w:rFonts w:ascii="Times New Roman" w:hAnsi="Times New Roman" w:cs="Times New Roman"/>
          <w:b/>
          <w:bCs/>
          <w:sz w:val="24"/>
          <w:szCs w:val="24"/>
        </w:rPr>
      </w:pPr>
      <w:bookmarkStart w:id="3" w:name="_Ref94712834"/>
      <w:r w:rsidRPr="00391735">
        <w:rPr>
          <w:rFonts w:ascii="Times New Roman" w:hAnsi="Times New Roman" w:cs="Times New Roman"/>
          <w:b/>
          <w:bCs/>
          <w:sz w:val="24"/>
          <w:szCs w:val="24"/>
        </w:rPr>
        <w:t>… kui isiku juhtimis- või järelevalveorgani liikmetest rohkem kui poole määravad koos või eraldi kas riik, kohalik omavalitsus või muu avalikõiguslik juriidiline isik või Euroopa Majandus piirkonna mõne muu lepinguriigi vastavad isikud</w:t>
      </w:r>
    </w:p>
    <w:p w14:paraId="72883ED4" w14:textId="77777777" w:rsidR="00F315B1" w:rsidRPr="00391735" w:rsidRDefault="00F315B1" w:rsidP="00F315B1">
      <w:pPr>
        <w:pStyle w:val="ListParagraph"/>
        <w:jc w:val="both"/>
        <w:rPr>
          <w:rFonts w:ascii="Times New Roman" w:hAnsi="Times New Roman" w:cs="Times New Roman"/>
          <w:sz w:val="24"/>
          <w:szCs w:val="24"/>
        </w:rPr>
      </w:pPr>
    </w:p>
    <w:p w14:paraId="46957A31" w14:textId="352116AA" w:rsidR="00D0297F" w:rsidRPr="00391735" w:rsidRDefault="00B7167C" w:rsidP="00F315B1">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Aktsiaseltsi Tallinn Jäätmete Taaskasutuskeskus (edaspidi </w:t>
      </w:r>
      <w:r w:rsidRPr="00391735">
        <w:rPr>
          <w:rFonts w:ascii="Times New Roman" w:hAnsi="Times New Roman" w:cs="Times New Roman"/>
          <w:i/>
          <w:iCs/>
          <w:sz w:val="24"/>
          <w:szCs w:val="24"/>
        </w:rPr>
        <w:t>TJT</w:t>
      </w:r>
      <w:r w:rsidRPr="00391735">
        <w:rPr>
          <w:rFonts w:ascii="Times New Roman" w:hAnsi="Times New Roman" w:cs="Times New Roman"/>
          <w:sz w:val="24"/>
          <w:szCs w:val="24"/>
        </w:rPr>
        <w:t>) aktsiatest 100% kuuluvad Tallinna linnale. Vastava</w:t>
      </w:r>
      <w:r w:rsidR="007A142F" w:rsidRPr="00391735">
        <w:rPr>
          <w:rFonts w:ascii="Times New Roman" w:hAnsi="Times New Roman" w:cs="Times New Roman"/>
          <w:sz w:val="24"/>
          <w:szCs w:val="24"/>
        </w:rPr>
        <w:t>l</w:t>
      </w:r>
      <w:r w:rsidRPr="00391735">
        <w:rPr>
          <w:rFonts w:ascii="Times New Roman" w:hAnsi="Times New Roman" w:cs="Times New Roman"/>
          <w:sz w:val="24"/>
          <w:szCs w:val="24"/>
        </w:rPr>
        <w:t xml:space="preserve">t äriseadustikule (§ 319 lg 1), kohaliku omavalitsuse korralduse seadusele (§ 35 lg 3) ja </w:t>
      </w:r>
      <w:hyperlink r:id="rId8" w:anchor="preview" w:history="1">
        <w:r w:rsidRPr="00391735">
          <w:rPr>
            <w:rStyle w:val="Hyperlink"/>
            <w:rFonts w:ascii="Times New Roman" w:hAnsi="Times New Roman" w:cs="Times New Roman"/>
            <w:sz w:val="24"/>
            <w:szCs w:val="24"/>
          </w:rPr>
          <w:t>aktsiaseltsi põhikirjale</w:t>
        </w:r>
      </w:hyperlink>
      <w:r w:rsidRPr="00391735">
        <w:rPr>
          <w:rFonts w:ascii="Times New Roman" w:hAnsi="Times New Roman" w:cs="Times New Roman"/>
          <w:sz w:val="24"/>
          <w:szCs w:val="24"/>
        </w:rPr>
        <w:t xml:space="preserve"> (p 5.2) määrab </w:t>
      </w:r>
      <w:r w:rsidR="00713832" w:rsidRPr="00391735">
        <w:rPr>
          <w:rFonts w:ascii="Times New Roman" w:hAnsi="Times New Roman" w:cs="Times New Roman"/>
          <w:sz w:val="24"/>
          <w:szCs w:val="24"/>
          <w:u w:val="single"/>
        </w:rPr>
        <w:t xml:space="preserve">kõik </w:t>
      </w:r>
      <w:r w:rsidRPr="00391735">
        <w:rPr>
          <w:rFonts w:ascii="Times New Roman" w:hAnsi="Times New Roman" w:cs="Times New Roman"/>
          <w:sz w:val="24"/>
          <w:szCs w:val="24"/>
          <w:u w:val="single"/>
        </w:rPr>
        <w:t>TJT nõukogu liikmed Tallinna Linnavalitsus oma korraldusega</w:t>
      </w:r>
      <w:r w:rsidRPr="00391735">
        <w:rPr>
          <w:rFonts w:ascii="Times New Roman" w:hAnsi="Times New Roman" w:cs="Times New Roman"/>
          <w:sz w:val="24"/>
          <w:szCs w:val="24"/>
        </w:rPr>
        <w:t xml:space="preserve">. </w:t>
      </w:r>
      <w:r w:rsidR="00713832" w:rsidRPr="00391735">
        <w:rPr>
          <w:rFonts w:ascii="Times New Roman" w:hAnsi="Times New Roman" w:cs="Times New Roman"/>
          <w:sz w:val="24"/>
          <w:szCs w:val="24"/>
        </w:rPr>
        <w:t xml:space="preserve">Seega on täidetud tingimus, et isiku juhtimis- või järelevalveorgani liikmetest rohkem kui poole määrab kohalik omavalitsus. </w:t>
      </w:r>
      <w:r w:rsidR="00FA2FF7" w:rsidRPr="00391735">
        <w:rPr>
          <w:rFonts w:ascii="Times New Roman" w:hAnsi="Times New Roman" w:cs="Times New Roman"/>
          <w:sz w:val="24"/>
          <w:szCs w:val="24"/>
        </w:rPr>
        <w:t>Kuivõrd tingimus 1 on sõnastatud alternatiivselt, ei ole otstarbekas analüüsida isiku rahastamise ja juhtimise muul viisil kontrollimise aspekte.</w:t>
      </w:r>
      <w:bookmarkEnd w:id="3"/>
      <w:r w:rsidR="00FA2FF7" w:rsidRPr="00391735">
        <w:rPr>
          <w:rFonts w:ascii="Times New Roman" w:hAnsi="Times New Roman" w:cs="Times New Roman"/>
          <w:sz w:val="24"/>
          <w:szCs w:val="24"/>
        </w:rPr>
        <w:t xml:space="preserve"> </w:t>
      </w:r>
    </w:p>
    <w:p w14:paraId="603DDE3C" w14:textId="77777777" w:rsidR="00F315B1" w:rsidRPr="00391735" w:rsidRDefault="00F315B1" w:rsidP="00FA2FF7">
      <w:pPr>
        <w:pStyle w:val="ListParagraph"/>
        <w:rPr>
          <w:rFonts w:ascii="Times New Roman" w:hAnsi="Times New Roman" w:cs="Times New Roman"/>
          <w:sz w:val="24"/>
          <w:szCs w:val="24"/>
        </w:rPr>
      </w:pPr>
    </w:p>
    <w:p w14:paraId="1DC47744" w14:textId="44BF73C6" w:rsidR="00F315B1" w:rsidRPr="00391735" w:rsidRDefault="00F315B1" w:rsidP="000317D2">
      <w:pPr>
        <w:pStyle w:val="ListParagraph"/>
        <w:numPr>
          <w:ilvl w:val="0"/>
          <w:numId w:val="1"/>
        </w:numPr>
        <w:jc w:val="both"/>
        <w:rPr>
          <w:rFonts w:ascii="Times New Roman" w:hAnsi="Times New Roman" w:cs="Times New Roman"/>
          <w:b/>
          <w:bCs/>
          <w:sz w:val="24"/>
          <w:szCs w:val="24"/>
        </w:rPr>
      </w:pPr>
      <w:r w:rsidRPr="00391735">
        <w:rPr>
          <w:rFonts w:ascii="Times New Roman" w:hAnsi="Times New Roman" w:cs="Times New Roman"/>
          <w:b/>
          <w:bCs/>
          <w:sz w:val="24"/>
          <w:szCs w:val="24"/>
        </w:rPr>
        <w:t>… kui isik on asutatud eesmärgiga täita põhi- või kõrvaltegevusena ülesannet avalikes huvides</w:t>
      </w:r>
    </w:p>
    <w:p w14:paraId="7BD11020" w14:textId="4CFD13B7" w:rsidR="00F315B1" w:rsidRDefault="00F315B1" w:rsidP="00F315B1">
      <w:pPr>
        <w:pStyle w:val="ListParagraph"/>
        <w:jc w:val="both"/>
        <w:rPr>
          <w:rFonts w:ascii="Times New Roman" w:hAnsi="Times New Roman" w:cs="Times New Roman"/>
          <w:sz w:val="24"/>
          <w:szCs w:val="24"/>
        </w:rPr>
      </w:pPr>
    </w:p>
    <w:p w14:paraId="00EF6AFC" w14:textId="7CE86E01" w:rsidR="000317D2" w:rsidRPr="00391735" w:rsidRDefault="000317D2" w:rsidP="00F315B1">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Arvestades, et eelduslikult peaksid kõik riigi ja kohalike omavalitsuste tegevused, sh osalemine eraõiguslikes juriidiliste isikutes, olema seotud avalike huvidega, võiks jõuda järeldusele, et ka kõik nende valitseva mõju all olevad äriühingud tegutsevad avalikes huvides (ja on seega hankijad). Selline järeldus muudaks aga direktiivist tuleneva kriteeriumi „moodustatud konkreetse eesmärgiga rahuldada vajadusi üldistes huvides […] ning sellel ei ole tööstuslikku ega ärilist iseloomu“ sisutühjaks. Nii tuleb igal üksikjuhtumil kontrollida, kas vaadeldava äriühingu tegevus on üldistes huvides või mitte, lähtudes Euroopa Kohtu ja riigisiseste kohtute poolt väljatoodud eeldustest.</w:t>
      </w:r>
      <w:r w:rsidR="009E1C65" w:rsidRPr="00391735">
        <w:rPr>
          <w:rStyle w:val="FootnoteReference"/>
          <w:rFonts w:ascii="Times New Roman" w:hAnsi="Times New Roman" w:cs="Times New Roman"/>
          <w:sz w:val="24"/>
          <w:szCs w:val="24"/>
        </w:rPr>
        <w:footnoteReference w:id="3"/>
      </w:r>
    </w:p>
    <w:p w14:paraId="65A9A36E" w14:textId="77777777" w:rsidR="00C4655F" w:rsidRPr="00391735" w:rsidRDefault="00C4655F" w:rsidP="00C4655F">
      <w:pPr>
        <w:pStyle w:val="ListParagraph"/>
        <w:rPr>
          <w:rFonts w:ascii="Times New Roman" w:hAnsi="Times New Roman" w:cs="Times New Roman"/>
          <w:sz w:val="24"/>
          <w:szCs w:val="24"/>
        </w:rPr>
      </w:pPr>
    </w:p>
    <w:p w14:paraId="05C87C7D" w14:textId="66AC741D" w:rsidR="00AB22BC" w:rsidRPr="00391735" w:rsidRDefault="00AB22BC" w:rsidP="000317D2">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TJT (tolleaegse nimega Tallinna Prügila Aktsiaselts) asutas 1998. aastal Tallinna linnale kuuluv äriühing Tallinna Jäätmekeskuse Aktsiaselts (viimane lõpetati </w:t>
      </w:r>
      <w:hyperlink r:id="rId9" w:history="1">
        <w:r w:rsidRPr="00391735">
          <w:rPr>
            <w:rStyle w:val="Hyperlink"/>
            <w:rFonts w:ascii="Times New Roman" w:hAnsi="Times New Roman" w:cs="Times New Roman"/>
            <w:sz w:val="24"/>
            <w:szCs w:val="24"/>
          </w:rPr>
          <w:t>Tallinna Linnavolikogu otsusega</w:t>
        </w:r>
      </w:hyperlink>
      <w:r w:rsidRPr="00391735">
        <w:rPr>
          <w:rFonts w:ascii="Times New Roman" w:hAnsi="Times New Roman" w:cs="Times New Roman"/>
          <w:sz w:val="24"/>
          <w:szCs w:val="24"/>
        </w:rPr>
        <w:t xml:space="preserve"> ja kustutati äriregistrist 2006. aastal). Asutatud aktsiaseltsi (TJT) eesmärgiks oli rajada Tallinna linnale ja Harjumaa omavalitsustele kaasaja nõuetele vastav jäätmekäitlusettevõte.</w:t>
      </w:r>
    </w:p>
    <w:p w14:paraId="3FBED07F" w14:textId="77777777" w:rsidR="00AB22BC" w:rsidRPr="00391735" w:rsidRDefault="00AB22BC" w:rsidP="00AB22BC">
      <w:pPr>
        <w:pStyle w:val="ListParagraph"/>
        <w:jc w:val="both"/>
        <w:rPr>
          <w:rFonts w:ascii="Times New Roman" w:hAnsi="Times New Roman" w:cs="Times New Roman"/>
          <w:sz w:val="24"/>
          <w:szCs w:val="24"/>
        </w:rPr>
      </w:pPr>
    </w:p>
    <w:p w14:paraId="4351E476" w14:textId="04A4FE9D" w:rsidR="00AB22BC" w:rsidRPr="00391735" w:rsidRDefault="00AB22BC" w:rsidP="00AB22BC">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1999. aastal omandas Tallinna linn kõik TJT aktsiad. Samal aastal kuulutas Tallinna linn välja rahvusvahelise konkursi kaasaktsionäri leidmiseks, kellega koos rajada Jõelähtme valda </w:t>
      </w:r>
      <w:r w:rsidR="00581288" w:rsidRPr="00391735">
        <w:rPr>
          <w:rFonts w:ascii="Times New Roman" w:hAnsi="Times New Roman" w:cs="Times New Roman"/>
          <w:sz w:val="24"/>
          <w:szCs w:val="24"/>
        </w:rPr>
        <w:t xml:space="preserve">uus </w:t>
      </w:r>
      <w:r w:rsidRPr="00391735">
        <w:rPr>
          <w:rFonts w:ascii="Times New Roman" w:hAnsi="Times New Roman" w:cs="Times New Roman"/>
          <w:sz w:val="24"/>
          <w:szCs w:val="24"/>
        </w:rPr>
        <w:t>kaasaegne prügila</w:t>
      </w:r>
      <w:r w:rsidR="00581288" w:rsidRPr="00391735">
        <w:rPr>
          <w:rFonts w:ascii="Times New Roman" w:hAnsi="Times New Roman" w:cs="Times New Roman"/>
          <w:sz w:val="24"/>
          <w:szCs w:val="24"/>
        </w:rPr>
        <w:t>, kuna Pääsküla prügimägi oli enam kui täitunud ning valmistati ette selle sulgemist</w:t>
      </w:r>
      <w:r w:rsidRPr="00391735">
        <w:rPr>
          <w:rFonts w:ascii="Times New Roman" w:hAnsi="Times New Roman" w:cs="Times New Roman"/>
          <w:sz w:val="24"/>
          <w:szCs w:val="24"/>
        </w:rPr>
        <w:t>. Konkursi võitis SKP Recycling AG&amp;Co (pärast mitmeid ühinemisi tegutseb nime all Veolia Umweltservice Beteiligungsverwaltungs GmbH</w:t>
      </w:r>
      <w:r w:rsidR="00581288" w:rsidRPr="00391735">
        <w:rPr>
          <w:rFonts w:ascii="Times New Roman" w:hAnsi="Times New Roman" w:cs="Times New Roman"/>
          <w:sz w:val="24"/>
          <w:szCs w:val="24"/>
        </w:rPr>
        <w:t xml:space="preserve">) ning omandas </w:t>
      </w:r>
      <w:r w:rsidRPr="00391735">
        <w:rPr>
          <w:rFonts w:ascii="Times New Roman" w:hAnsi="Times New Roman" w:cs="Times New Roman"/>
          <w:sz w:val="24"/>
          <w:szCs w:val="24"/>
        </w:rPr>
        <w:t>2000. aastal 65% aktsiaseltsi aktsiatest, Tallinna linna osaluse suuruseks jäi 35% aktsiatest.</w:t>
      </w:r>
      <w:r w:rsidR="00581288" w:rsidRPr="00391735">
        <w:rPr>
          <w:rFonts w:ascii="Times New Roman" w:hAnsi="Times New Roman" w:cs="Times New Roman"/>
          <w:sz w:val="24"/>
          <w:szCs w:val="24"/>
        </w:rPr>
        <w:t xml:space="preserve"> TJT poolt rajatud prügila Jõelähtme vallas alustas tööd juunis 2003.</w:t>
      </w:r>
    </w:p>
    <w:p w14:paraId="37B6658C" w14:textId="77777777" w:rsidR="00AB22BC" w:rsidRPr="00391735" w:rsidRDefault="00AB22BC" w:rsidP="00AB22BC">
      <w:pPr>
        <w:pStyle w:val="ListParagraph"/>
        <w:rPr>
          <w:rFonts w:ascii="Times New Roman" w:hAnsi="Times New Roman" w:cs="Times New Roman"/>
          <w:sz w:val="24"/>
          <w:szCs w:val="24"/>
        </w:rPr>
      </w:pPr>
    </w:p>
    <w:p w14:paraId="1F5A2BC5" w14:textId="79949C0A" w:rsidR="0033650C" w:rsidRPr="00391735" w:rsidRDefault="00581288" w:rsidP="00C62DEB">
      <w:pPr>
        <w:pStyle w:val="ListParagraph"/>
        <w:ind w:left="709"/>
        <w:jc w:val="both"/>
        <w:rPr>
          <w:rFonts w:ascii="Times New Roman" w:hAnsi="Times New Roman" w:cs="Times New Roman"/>
          <w:sz w:val="24"/>
          <w:szCs w:val="24"/>
        </w:rPr>
      </w:pPr>
      <w:r w:rsidRPr="00391735">
        <w:rPr>
          <w:rFonts w:ascii="Times New Roman" w:hAnsi="Times New Roman" w:cs="Times New Roman"/>
          <w:sz w:val="24"/>
          <w:szCs w:val="24"/>
        </w:rPr>
        <w:t xml:space="preserve">Rahvusvaheliselt kommunaalmajanduse ja keskkonnateenuste valdkonnas tegutsev kontsern Veolia Propreté otsustas 2011. aastal müüa osalused Ida- ja Kesk-Euroopas tegutsevates äriühingutes. Veolia Propreté kontserni kuuluv Veolia Umweltservice Beteiligungsverwaltungs GmbH taotles 31. juulil 2012 Tallinna Linnavalitsuselt nõusolekut talle kuuluvate </w:t>
      </w:r>
      <w:r w:rsidR="008D6EA3" w:rsidRPr="00391735">
        <w:rPr>
          <w:rFonts w:ascii="Times New Roman" w:hAnsi="Times New Roman" w:cs="Times New Roman"/>
          <w:sz w:val="24"/>
          <w:szCs w:val="24"/>
        </w:rPr>
        <w:t>TJT</w:t>
      </w:r>
      <w:r w:rsidRPr="00391735">
        <w:rPr>
          <w:rFonts w:ascii="Times New Roman" w:hAnsi="Times New Roman" w:cs="Times New Roman"/>
          <w:sz w:val="24"/>
          <w:szCs w:val="24"/>
        </w:rPr>
        <w:t xml:space="preserve"> aktsiate võõrandamiseks SKT Keskkonnateenused OÜ-le. Linn sellega ei nõu</w:t>
      </w:r>
      <w:r w:rsidR="00192ED4" w:rsidRPr="00391735">
        <w:rPr>
          <w:rFonts w:ascii="Times New Roman" w:hAnsi="Times New Roman" w:cs="Times New Roman"/>
          <w:sz w:val="24"/>
          <w:szCs w:val="24"/>
        </w:rPr>
        <w:t xml:space="preserve">stunud ning </w:t>
      </w:r>
      <w:r w:rsidR="00A01C96" w:rsidRPr="00391735">
        <w:rPr>
          <w:rFonts w:ascii="Times New Roman" w:hAnsi="Times New Roman" w:cs="Times New Roman"/>
          <w:sz w:val="24"/>
          <w:szCs w:val="24"/>
        </w:rPr>
        <w:t xml:space="preserve">2014. aastal </w:t>
      </w:r>
      <w:hyperlink r:id="rId10" w:history="1">
        <w:r w:rsidR="00A01C96" w:rsidRPr="00391735">
          <w:rPr>
            <w:rStyle w:val="Hyperlink"/>
            <w:rFonts w:ascii="Times New Roman" w:hAnsi="Times New Roman" w:cs="Times New Roman"/>
            <w:sz w:val="24"/>
            <w:szCs w:val="24"/>
          </w:rPr>
          <w:t>otsustas Tallinna Linnavolikogu</w:t>
        </w:r>
      </w:hyperlink>
      <w:r w:rsidR="00192ED4" w:rsidRPr="00391735">
        <w:rPr>
          <w:rFonts w:ascii="Times New Roman" w:hAnsi="Times New Roman" w:cs="Times New Roman"/>
          <w:sz w:val="24"/>
          <w:szCs w:val="24"/>
        </w:rPr>
        <w:t xml:space="preserve">, et linn omandab ise </w:t>
      </w:r>
      <w:r w:rsidR="00A01C96" w:rsidRPr="00391735">
        <w:rPr>
          <w:rFonts w:ascii="Times New Roman" w:hAnsi="Times New Roman" w:cs="Times New Roman"/>
          <w:sz w:val="24"/>
          <w:szCs w:val="24"/>
        </w:rPr>
        <w:t>TJT-s taas 100%</w:t>
      </w:r>
      <w:r w:rsidR="00A01C96" w:rsidRPr="00391735">
        <w:rPr>
          <w:rFonts w:ascii="Times New Roman" w:hAnsi="Times New Roman" w:cs="Times New Roman"/>
          <w:sz w:val="24"/>
          <w:szCs w:val="24"/>
        </w:rPr>
        <w:noBreakHyphen/>
        <w:t>lise osaluse.</w:t>
      </w:r>
      <w:r w:rsidR="00192ED4" w:rsidRPr="00391735">
        <w:rPr>
          <w:rFonts w:ascii="Times New Roman" w:hAnsi="Times New Roman" w:cs="Times New Roman"/>
          <w:sz w:val="24"/>
          <w:szCs w:val="24"/>
        </w:rPr>
        <w:t xml:space="preserve"> </w:t>
      </w:r>
      <w:r w:rsidR="00D226D0" w:rsidRPr="00391735">
        <w:rPr>
          <w:rFonts w:ascii="Times New Roman" w:hAnsi="Times New Roman" w:cs="Times New Roman"/>
          <w:sz w:val="24"/>
          <w:szCs w:val="24"/>
        </w:rPr>
        <w:t>Otsuse seletuskirjast nähtuvalt l</w:t>
      </w:r>
      <w:r w:rsidR="00192ED4" w:rsidRPr="00391735">
        <w:rPr>
          <w:rFonts w:ascii="Times New Roman" w:hAnsi="Times New Roman" w:cs="Times New Roman"/>
          <w:sz w:val="24"/>
          <w:szCs w:val="24"/>
        </w:rPr>
        <w:t xml:space="preserve">ähtus </w:t>
      </w:r>
      <w:r w:rsidR="00D226D0" w:rsidRPr="00391735">
        <w:rPr>
          <w:rFonts w:ascii="Times New Roman" w:hAnsi="Times New Roman" w:cs="Times New Roman"/>
          <w:sz w:val="24"/>
          <w:szCs w:val="24"/>
        </w:rPr>
        <w:t xml:space="preserve">linn </w:t>
      </w:r>
      <w:r w:rsidR="00192ED4" w:rsidRPr="00391735">
        <w:rPr>
          <w:rFonts w:ascii="Times New Roman" w:hAnsi="Times New Roman" w:cs="Times New Roman"/>
          <w:sz w:val="24"/>
          <w:szCs w:val="24"/>
        </w:rPr>
        <w:t>järgmistest kaalutlustest:</w:t>
      </w:r>
    </w:p>
    <w:p w14:paraId="3F7F412D" w14:textId="216794F7" w:rsidR="00192ED4" w:rsidRPr="00391735" w:rsidRDefault="00192ED4" w:rsidP="00192ED4">
      <w:pPr>
        <w:pStyle w:val="ListParagraph"/>
        <w:numPr>
          <w:ilvl w:val="0"/>
          <w:numId w:val="5"/>
        </w:numPr>
        <w:ind w:left="709" w:firstLine="709"/>
        <w:jc w:val="both"/>
        <w:rPr>
          <w:rFonts w:ascii="Times New Roman" w:hAnsi="Times New Roman" w:cs="Times New Roman"/>
          <w:sz w:val="24"/>
          <w:szCs w:val="24"/>
          <w:u w:val="single"/>
        </w:rPr>
      </w:pPr>
      <w:r w:rsidRPr="00391735">
        <w:rPr>
          <w:rFonts w:ascii="Times New Roman" w:hAnsi="Times New Roman" w:cs="Times New Roman"/>
          <w:sz w:val="24"/>
          <w:szCs w:val="24"/>
          <w:u w:val="single"/>
        </w:rPr>
        <w:t xml:space="preserve">tulenevalt kohaliku omavalitsuse korralduse seaduse § 6 lg-st 1 on omavalitsusüksuse ülesandeks korraldada linnas jäätmehooldust. Jäätmeseaduse § 70 </w:t>
      </w:r>
      <w:r w:rsidR="00541BEF">
        <w:rPr>
          <w:rFonts w:ascii="Times New Roman" w:hAnsi="Times New Roman" w:cs="Times New Roman"/>
          <w:sz w:val="24"/>
          <w:szCs w:val="24"/>
          <w:u w:val="single"/>
        </w:rPr>
        <w:t xml:space="preserve">lg 1 </w:t>
      </w:r>
      <w:r w:rsidRPr="00391735">
        <w:rPr>
          <w:rFonts w:ascii="Times New Roman" w:hAnsi="Times New Roman" w:cs="Times New Roman"/>
          <w:sz w:val="24"/>
          <w:szCs w:val="24"/>
          <w:u w:val="single"/>
        </w:rPr>
        <w:t>kohaselt korraldab kohaliku omavalitsuse üksus korraldatud jäätmeveoga hõlmatud jäätmete taaskasutamise või kõrvaldamise. Nende ülesannete täitmise tagamiseks on omavalitsuse jaoks ettenägelik omada valitsevat mõju vähemalt ühe jäätmeladustuskoha üle;</w:t>
      </w:r>
    </w:p>
    <w:p w14:paraId="0FF43C02" w14:textId="3CDD17D0" w:rsidR="00192ED4" w:rsidRPr="00391735" w:rsidRDefault="00192ED4" w:rsidP="00192ED4">
      <w:pPr>
        <w:pStyle w:val="ListParagraph"/>
        <w:numPr>
          <w:ilvl w:val="0"/>
          <w:numId w:val="5"/>
        </w:numPr>
        <w:ind w:firstLine="698"/>
        <w:jc w:val="both"/>
        <w:rPr>
          <w:rFonts w:ascii="Times New Roman" w:hAnsi="Times New Roman" w:cs="Times New Roman"/>
          <w:sz w:val="24"/>
          <w:szCs w:val="24"/>
        </w:rPr>
      </w:pPr>
      <w:r w:rsidRPr="00391735">
        <w:rPr>
          <w:rFonts w:ascii="Times New Roman" w:hAnsi="Times New Roman" w:cs="Times New Roman"/>
          <w:sz w:val="24"/>
          <w:szCs w:val="24"/>
        </w:rPr>
        <w:t>aktsiate 100% omanikuna on Tallinna linnal suurem otsustusvabadus TJT edasise majandustegevuse suunamisel ja ülesannete püstitamisel;</w:t>
      </w:r>
    </w:p>
    <w:p w14:paraId="27AED858" w14:textId="6C3D533A" w:rsidR="00192ED4" w:rsidRPr="00391735" w:rsidRDefault="00192ED4" w:rsidP="00192ED4">
      <w:pPr>
        <w:pStyle w:val="ListParagraph"/>
        <w:numPr>
          <w:ilvl w:val="0"/>
          <w:numId w:val="5"/>
        </w:numPr>
        <w:ind w:firstLine="698"/>
        <w:jc w:val="both"/>
        <w:rPr>
          <w:rFonts w:ascii="Times New Roman" w:hAnsi="Times New Roman" w:cs="Times New Roman"/>
          <w:sz w:val="24"/>
          <w:szCs w:val="24"/>
        </w:rPr>
      </w:pPr>
      <w:r w:rsidRPr="00391735">
        <w:rPr>
          <w:rFonts w:ascii="Times New Roman" w:hAnsi="Times New Roman" w:cs="Times New Roman"/>
          <w:sz w:val="24"/>
          <w:szCs w:val="24"/>
        </w:rPr>
        <w:t>ainuaktsionärina saab Tallinna linn teha vajadusel investeeringuid, mille finantseerimises kaasomanik osaleda ei soovi;</w:t>
      </w:r>
    </w:p>
    <w:p w14:paraId="79AE639C" w14:textId="459230BD" w:rsidR="00192ED4" w:rsidRPr="00391735" w:rsidRDefault="00192ED4" w:rsidP="00192ED4">
      <w:pPr>
        <w:pStyle w:val="ListParagraph"/>
        <w:numPr>
          <w:ilvl w:val="0"/>
          <w:numId w:val="5"/>
        </w:numPr>
        <w:ind w:firstLine="698"/>
        <w:jc w:val="both"/>
        <w:rPr>
          <w:rFonts w:ascii="Times New Roman" w:hAnsi="Times New Roman" w:cs="Times New Roman"/>
          <w:sz w:val="24"/>
          <w:szCs w:val="24"/>
        </w:rPr>
      </w:pPr>
      <w:r w:rsidRPr="00391735">
        <w:rPr>
          <w:rFonts w:ascii="Times New Roman" w:hAnsi="Times New Roman" w:cs="Times New Roman"/>
          <w:sz w:val="24"/>
          <w:szCs w:val="24"/>
        </w:rPr>
        <w:t xml:space="preserve">TJT ainuaktsionärina </w:t>
      </w:r>
      <w:r w:rsidRPr="00391735">
        <w:rPr>
          <w:rFonts w:ascii="Times New Roman" w:hAnsi="Times New Roman" w:cs="Times New Roman"/>
          <w:sz w:val="24"/>
          <w:szCs w:val="24"/>
          <w:u w:val="single"/>
        </w:rPr>
        <w:t>loob Tallinna linn jäätmeettevõtetele nö riski maandamise koha jäätmete äraandmiseks</w:t>
      </w:r>
      <w:r w:rsidRPr="00391735">
        <w:rPr>
          <w:rFonts w:ascii="Times New Roman" w:hAnsi="Times New Roman" w:cs="Times New Roman"/>
          <w:sz w:val="24"/>
          <w:szCs w:val="24"/>
        </w:rPr>
        <w:t>, juhul kui nende tootmistehastes peaks toimuma pikemaajalisem avarii;</w:t>
      </w:r>
    </w:p>
    <w:p w14:paraId="323047FE" w14:textId="41DA576C" w:rsidR="00192ED4" w:rsidRPr="00391735" w:rsidRDefault="00192ED4" w:rsidP="00192ED4">
      <w:pPr>
        <w:pStyle w:val="ListParagraph"/>
        <w:numPr>
          <w:ilvl w:val="0"/>
          <w:numId w:val="5"/>
        </w:numPr>
        <w:ind w:firstLine="698"/>
        <w:jc w:val="both"/>
        <w:rPr>
          <w:rFonts w:ascii="Times New Roman" w:hAnsi="Times New Roman" w:cs="Times New Roman"/>
          <w:sz w:val="24"/>
          <w:szCs w:val="24"/>
        </w:rPr>
      </w:pPr>
      <w:r w:rsidRPr="00391735">
        <w:rPr>
          <w:rFonts w:ascii="Times New Roman" w:hAnsi="Times New Roman" w:cs="Times New Roman"/>
          <w:sz w:val="24"/>
          <w:szCs w:val="24"/>
        </w:rPr>
        <w:t xml:space="preserve">TJT omanikuna tagab Tallinna linn Jõelähtme prügila nõuetekohase sulgemise ja järelhoolduse. </w:t>
      </w:r>
      <w:r w:rsidRPr="00391735">
        <w:rPr>
          <w:rFonts w:ascii="Times New Roman" w:hAnsi="Times New Roman" w:cs="Times New Roman"/>
          <w:sz w:val="24"/>
          <w:szCs w:val="24"/>
          <w:u w:val="single"/>
        </w:rPr>
        <w:t>Kuna prügila puhul on tegemist keskkonnaohtliku objektiga, siis väga pika ajavahemiku jooksul (ca 30 aastat) toimuva suletud prügila põhjaliku järelhoolduse ja reostusseire tagamisel on kohalik omavalitsus eraomanikuga võrreldes stabiilsem ning kindlam vastavate kohustuste korrektne täitja</w:t>
      </w:r>
      <w:r w:rsidRPr="00391735">
        <w:rPr>
          <w:rFonts w:ascii="Times New Roman" w:hAnsi="Times New Roman" w:cs="Times New Roman"/>
          <w:sz w:val="24"/>
          <w:szCs w:val="24"/>
        </w:rPr>
        <w:t>.</w:t>
      </w:r>
    </w:p>
    <w:p w14:paraId="47C3EDAA" w14:textId="15C731E4" w:rsidR="00192ED4" w:rsidRPr="00391735" w:rsidRDefault="00192ED4" w:rsidP="00192ED4">
      <w:pPr>
        <w:pStyle w:val="ListParagraph"/>
        <w:numPr>
          <w:ilvl w:val="0"/>
          <w:numId w:val="5"/>
        </w:numPr>
        <w:ind w:firstLine="698"/>
        <w:jc w:val="both"/>
        <w:rPr>
          <w:rFonts w:ascii="Times New Roman" w:hAnsi="Times New Roman" w:cs="Times New Roman"/>
          <w:sz w:val="24"/>
          <w:szCs w:val="24"/>
        </w:rPr>
      </w:pPr>
      <w:r w:rsidRPr="00391735">
        <w:rPr>
          <w:rFonts w:ascii="Times New Roman" w:hAnsi="Times New Roman" w:cs="Times New Roman"/>
          <w:sz w:val="24"/>
          <w:szCs w:val="24"/>
        </w:rPr>
        <w:t xml:space="preserve">TJT aktsiate omandamine Tallinna linna poolt on vajalik, </w:t>
      </w:r>
      <w:r w:rsidRPr="00391735">
        <w:rPr>
          <w:rFonts w:ascii="Times New Roman" w:hAnsi="Times New Roman" w:cs="Times New Roman"/>
          <w:sz w:val="24"/>
          <w:szCs w:val="24"/>
          <w:u w:val="single"/>
        </w:rPr>
        <w:t>et tagada jäätmekäitluskoha olemasolu juhuks kui erasektori poolt opereeritavad käitluskohad ei suuda mingil põhjusel teenust osutada</w:t>
      </w:r>
      <w:r w:rsidRPr="00391735">
        <w:rPr>
          <w:rFonts w:ascii="Times New Roman" w:hAnsi="Times New Roman" w:cs="Times New Roman"/>
          <w:sz w:val="24"/>
          <w:szCs w:val="24"/>
        </w:rPr>
        <w:t>. Tegemist on vajaliku strateegilise objektiga.</w:t>
      </w:r>
    </w:p>
    <w:p w14:paraId="2CE987E0" w14:textId="5FFAE1DB" w:rsidR="00C62DEB" w:rsidRPr="00391735" w:rsidRDefault="00C62DEB" w:rsidP="00C62DEB">
      <w:pPr>
        <w:pStyle w:val="ListParagraph"/>
        <w:ind w:left="709"/>
        <w:jc w:val="both"/>
        <w:rPr>
          <w:rFonts w:ascii="Times New Roman" w:hAnsi="Times New Roman" w:cs="Times New Roman"/>
          <w:sz w:val="24"/>
          <w:szCs w:val="24"/>
        </w:rPr>
      </w:pPr>
    </w:p>
    <w:p w14:paraId="29F49132" w14:textId="1D855F85" w:rsidR="004206C0" w:rsidRPr="00391735" w:rsidRDefault="008D6EA3" w:rsidP="004206C0">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Kui 1998. aastal asutati TJT eesmärgiga rajada Tallinn linnale uus prügila, siis tänaseks on TJT tegevus</w:t>
      </w:r>
      <w:r w:rsidR="00D226D0" w:rsidRPr="00391735">
        <w:rPr>
          <w:rFonts w:ascii="Times New Roman" w:hAnsi="Times New Roman" w:cs="Times New Roman"/>
          <w:sz w:val="24"/>
          <w:szCs w:val="24"/>
        </w:rPr>
        <w:t>e haare</w:t>
      </w:r>
      <w:r w:rsidRPr="00391735">
        <w:rPr>
          <w:rFonts w:ascii="Times New Roman" w:hAnsi="Times New Roman" w:cs="Times New Roman"/>
          <w:sz w:val="24"/>
          <w:szCs w:val="24"/>
        </w:rPr>
        <w:t xml:space="preserve"> märksa laiem. </w:t>
      </w:r>
      <w:r w:rsidR="004206C0" w:rsidRPr="00391735">
        <w:rPr>
          <w:rFonts w:ascii="Times New Roman" w:hAnsi="Times New Roman" w:cs="Times New Roman"/>
          <w:sz w:val="24"/>
          <w:szCs w:val="24"/>
        </w:rPr>
        <w:t xml:space="preserve">Euroopa Kohtu praktikast võib järeldada, et RHS § 5 lg 2 p 5 alusel hankija staatuse tuvastamisel ei ole määravat tähendust sellel, millisel eesmärgil isik on asutatud. Kuigi nii seaduse kui ka direktiivi sõnastused viitavad isiku “asutamise” eesmärgile, </w:t>
      </w:r>
      <w:r w:rsidR="004206C0" w:rsidRPr="00391735">
        <w:rPr>
          <w:rFonts w:ascii="Times New Roman" w:hAnsi="Times New Roman" w:cs="Times New Roman"/>
          <w:sz w:val="24"/>
          <w:szCs w:val="24"/>
          <w:u w:val="single"/>
        </w:rPr>
        <w:t>peab RHS § 5 lg 2 p-s 5 sätestatud kriteeriumi tõlgendamisel rõhuasetus olema isiku reaalses tegevuses objektiivselt kajastuvatel eesmärkidel või ülesannetel, mida isik tegelikult täidab</w:t>
      </w:r>
      <w:r w:rsidR="004206C0" w:rsidRPr="00391735">
        <w:rPr>
          <w:rFonts w:ascii="Times New Roman" w:hAnsi="Times New Roman" w:cs="Times New Roman"/>
          <w:sz w:val="24"/>
          <w:szCs w:val="24"/>
        </w:rPr>
        <w:t>.</w:t>
      </w:r>
      <w:r w:rsidR="004206C0" w:rsidRPr="00391735">
        <w:rPr>
          <w:rStyle w:val="FootnoteReference"/>
          <w:rFonts w:ascii="Times New Roman" w:hAnsi="Times New Roman" w:cs="Times New Roman"/>
          <w:sz w:val="24"/>
          <w:szCs w:val="24"/>
        </w:rPr>
        <w:footnoteReference w:id="4"/>
      </w:r>
    </w:p>
    <w:p w14:paraId="20AE38CD" w14:textId="77777777" w:rsidR="00F315B1" w:rsidRPr="00391735" w:rsidRDefault="00F315B1" w:rsidP="004206C0">
      <w:pPr>
        <w:pStyle w:val="ListParagraph"/>
        <w:jc w:val="both"/>
        <w:rPr>
          <w:rFonts w:ascii="Times New Roman" w:hAnsi="Times New Roman" w:cs="Times New Roman"/>
          <w:sz w:val="24"/>
          <w:szCs w:val="24"/>
        </w:rPr>
      </w:pPr>
    </w:p>
    <w:p w14:paraId="1FB0B664" w14:textId="6E10B7DE" w:rsidR="001976E9" w:rsidRPr="004A6C54" w:rsidRDefault="008D6EA3" w:rsidP="001976E9">
      <w:pPr>
        <w:pStyle w:val="ListParagraph"/>
        <w:ind w:left="709"/>
        <w:jc w:val="both"/>
        <w:rPr>
          <w:rFonts w:ascii="Times New Roman" w:hAnsi="Times New Roman" w:cs="Times New Roman"/>
          <w:sz w:val="24"/>
          <w:szCs w:val="24"/>
        </w:rPr>
      </w:pPr>
      <w:r w:rsidRPr="004A6C54">
        <w:rPr>
          <w:rFonts w:ascii="Times New Roman" w:hAnsi="Times New Roman" w:cs="Times New Roman"/>
          <w:sz w:val="24"/>
          <w:szCs w:val="24"/>
        </w:rPr>
        <w:t xml:space="preserve">Kehtiva, 21. jaanuaril 2021 jõustunud põhikirja punkti 2.1 kohaselt on TJT põhitegevusalad jäätmekäitlus ja prügila käitamine. </w:t>
      </w:r>
      <w:r w:rsidR="004206C0" w:rsidRPr="004A6C54">
        <w:rPr>
          <w:rFonts w:ascii="Times New Roman" w:hAnsi="Times New Roman" w:cs="Times New Roman"/>
          <w:sz w:val="24"/>
          <w:szCs w:val="24"/>
        </w:rPr>
        <w:t xml:space="preserve">JäätS § 13 kohaselt on jäätmekäitlus jäätmete kogumine, vedamine, taaskasutamine, sealhulgas sortimine, ja kõrvaldamine, sealhulgas vahendamine või edasimüümine. </w:t>
      </w:r>
      <w:r w:rsidRPr="004A6C54">
        <w:rPr>
          <w:rFonts w:ascii="Times New Roman" w:hAnsi="Times New Roman" w:cs="Times New Roman"/>
          <w:sz w:val="24"/>
          <w:szCs w:val="24"/>
        </w:rPr>
        <w:t>202</w:t>
      </w:r>
      <w:r w:rsidR="001976E9" w:rsidRPr="004A6C54">
        <w:rPr>
          <w:rFonts w:ascii="Times New Roman" w:hAnsi="Times New Roman" w:cs="Times New Roman"/>
          <w:sz w:val="24"/>
          <w:szCs w:val="24"/>
        </w:rPr>
        <w:t>4</w:t>
      </w:r>
      <w:r w:rsidRPr="004A6C54">
        <w:rPr>
          <w:rFonts w:ascii="Times New Roman" w:hAnsi="Times New Roman" w:cs="Times New Roman"/>
          <w:sz w:val="24"/>
          <w:szCs w:val="24"/>
        </w:rPr>
        <w:t xml:space="preserve">. aasta </w:t>
      </w:r>
      <w:r w:rsidR="00D226D0" w:rsidRPr="004A6C54">
        <w:rPr>
          <w:rFonts w:ascii="Times New Roman" w:hAnsi="Times New Roman" w:cs="Times New Roman"/>
          <w:sz w:val="24"/>
          <w:szCs w:val="24"/>
        </w:rPr>
        <w:t xml:space="preserve">majandusaasta aruande koosseisu kuuluva </w:t>
      </w:r>
      <w:r w:rsidRPr="004A6C54">
        <w:rPr>
          <w:rFonts w:ascii="Times New Roman" w:hAnsi="Times New Roman" w:cs="Times New Roman"/>
          <w:sz w:val="24"/>
          <w:szCs w:val="24"/>
        </w:rPr>
        <w:t>tegevusaruande</w:t>
      </w:r>
      <w:r w:rsidR="00AC74DF" w:rsidRPr="004A6C54">
        <w:rPr>
          <w:rStyle w:val="FootnoteReference"/>
          <w:rFonts w:ascii="Times New Roman" w:hAnsi="Times New Roman" w:cs="Times New Roman"/>
          <w:sz w:val="24"/>
          <w:szCs w:val="24"/>
        </w:rPr>
        <w:footnoteReference w:id="5"/>
      </w:r>
      <w:r w:rsidRPr="004A6C54">
        <w:rPr>
          <w:rFonts w:ascii="Times New Roman" w:hAnsi="Times New Roman" w:cs="Times New Roman"/>
          <w:sz w:val="24"/>
          <w:szCs w:val="24"/>
        </w:rPr>
        <w:t xml:space="preserve"> kohaselt on TJT põhitegevuseks </w:t>
      </w:r>
    </w:p>
    <w:p w14:paraId="58C9B525" w14:textId="3105A895" w:rsidR="00610737" w:rsidRPr="004A6C54" w:rsidRDefault="001976E9" w:rsidP="001976E9">
      <w:pPr>
        <w:pStyle w:val="ListParagraph"/>
        <w:ind w:left="709"/>
        <w:jc w:val="both"/>
        <w:rPr>
          <w:rFonts w:ascii="Times New Roman" w:hAnsi="Times New Roman" w:cs="Times New Roman"/>
          <w:sz w:val="24"/>
          <w:szCs w:val="24"/>
        </w:rPr>
      </w:pPr>
      <w:r w:rsidRPr="004A6C54">
        <w:rPr>
          <w:rFonts w:ascii="Times New Roman" w:hAnsi="Times New Roman" w:cs="Times New Roman"/>
          <w:sz w:val="24"/>
          <w:szCs w:val="24"/>
        </w:rPr>
        <w:t xml:space="preserve">TJT põhitegevusala on jäätmete käitlemine, täpsemalt jäätmevedu, jäätmekütuse tootmine, biojäätmete kompostimine, koldetuha vanandamine ja käitlemine ning jäätmete ladestamine. </w:t>
      </w:r>
      <w:r w:rsidR="008D6EA3" w:rsidRPr="004A6C54">
        <w:rPr>
          <w:rFonts w:ascii="Times New Roman" w:hAnsi="Times New Roman" w:cs="Times New Roman"/>
          <w:sz w:val="24"/>
          <w:szCs w:val="24"/>
        </w:rPr>
        <w:t xml:space="preserve">. Käitlusteenust pakkus TJT üle Eesti tekkivate jäätmete käitlemiseks. Jäätmeveoteenust pakkus ettevõte korraldatud jäätmeveo raames Harjumaal: Viimsi vallas ning Tallinnas. Kokku teenindas ettevõte ca </w:t>
      </w:r>
      <w:r w:rsidR="00884A13" w:rsidRPr="004A6C54">
        <w:rPr>
          <w:rFonts w:ascii="Times New Roman" w:hAnsi="Times New Roman" w:cs="Times New Roman"/>
          <w:sz w:val="24"/>
          <w:szCs w:val="24"/>
        </w:rPr>
        <w:t>22</w:t>
      </w:r>
      <w:r w:rsidR="008D6EA3" w:rsidRPr="004A6C54">
        <w:rPr>
          <w:rFonts w:ascii="Times New Roman" w:hAnsi="Times New Roman" w:cs="Times New Roman"/>
          <w:sz w:val="24"/>
          <w:szCs w:val="24"/>
        </w:rPr>
        <w:t xml:space="preserve"> tuhandet klienti.</w:t>
      </w:r>
    </w:p>
    <w:p w14:paraId="57F82780" w14:textId="77777777" w:rsidR="00610737" w:rsidRPr="004A6C54" w:rsidRDefault="00610737" w:rsidP="008D6EA3">
      <w:pPr>
        <w:pStyle w:val="ListParagraph"/>
        <w:ind w:left="709"/>
        <w:jc w:val="both"/>
        <w:rPr>
          <w:rFonts w:ascii="Times New Roman" w:hAnsi="Times New Roman" w:cs="Times New Roman"/>
          <w:sz w:val="24"/>
          <w:szCs w:val="24"/>
        </w:rPr>
      </w:pPr>
    </w:p>
    <w:p w14:paraId="345127A7" w14:textId="4D3727A1" w:rsidR="008D6EA3" w:rsidRPr="004A6C54" w:rsidRDefault="008D6EA3" w:rsidP="008D6EA3">
      <w:pPr>
        <w:pStyle w:val="ListParagraph"/>
        <w:ind w:left="709"/>
        <w:jc w:val="both"/>
        <w:rPr>
          <w:rFonts w:ascii="Times New Roman" w:hAnsi="Times New Roman" w:cs="Times New Roman"/>
          <w:sz w:val="24"/>
          <w:szCs w:val="24"/>
        </w:rPr>
      </w:pPr>
      <w:r w:rsidRPr="004A6C54">
        <w:rPr>
          <w:rFonts w:ascii="Times New Roman" w:hAnsi="Times New Roman" w:cs="Times New Roman"/>
          <w:sz w:val="24"/>
          <w:szCs w:val="24"/>
        </w:rPr>
        <w:t>Seega saab TJT tänase tegevuse jagada neljaks peamiseks valdkonnaks:</w:t>
      </w:r>
    </w:p>
    <w:p w14:paraId="286B127A" w14:textId="321E4BC6" w:rsidR="008D6EA3" w:rsidRPr="004A6C54" w:rsidRDefault="008D6EA3" w:rsidP="008D6EA3">
      <w:pPr>
        <w:pStyle w:val="ListParagraph"/>
        <w:numPr>
          <w:ilvl w:val="0"/>
          <w:numId w:val="6"/>
        </w:numPr>
        <w:jc w:val="both"/>
        <w:rPr>
          <w:rFonts w:ascii="Times New Roman" w:hAnsi="Times New Roman" w:cs="Times New Roman"/>
          <w:sz w:val="24"/>
          <w:szCs w:val="24"/>
        </w:rPr>
      </w:pPr>
      <w:r w:rsidRPr="004A6C54">
        <w:rPr>
          <w:rFonts w:ascii="Times New Roman" w:hAnsi="Times New Roman" w:cs="Times New Roman"/>
          <w:sz w:val="24"/>
          <w:szCs w:val="24"/>
        </w:rPr>
        <w:t xml:space="preserve">Jõelähtme </w:t>
      </w:r>
      <w:r w:rsidR="00610737" w:rsidRPr="004A6C54">
        <w:rPr>
          <w:rFonts w:ascii="Times New Roman" w:hAnsi="Times New Roman" w:cs="Times New Roman"/>
          <w:sz w:val="24"/>
          <w:szCs w:val="24"/>
        </w:rPr>
        <w:t xml:space="preserve">ehk Tallinna </w:t>
      </w:r>
      <w:r w:rsidRPr="004A6C54">
        <w:rPr>
          <w:rFonts w:ascii="Times New Roman" w:hAnsi="Times New Roman" w:cs="Times New Roman"/>
          <w:sz w:val="24"/>
          <w:szCs w:val="24"/>
        </w:rPr>
        <w:t>prügila käitamine;</w:t>
      </w:r>
    </w:p>
    <w:p w14:paraId="07A77DA1" w14:textId="381FED18" w:rsidR="0011249A" w:rsidRPr="004A6C54" w:rsidRDefault="0011249A" w:rsidP="0011249A">
      <w:pPr>
        <w:pStyle w:val="ListParagraph"/>
        <w:numPr>
          <w:ilvl w:val="0"/>
          <w:numId w:val="6"/>
        </w:numPr>
        <w:jc w:val="both"/>
        <w:rPr>
          <w:rFonts w:ascii="Times New Roman" w:hAnsi="Times New Roman" w:cs="Times New Roman"/>
          <w:sz w:val="24"/>
          <w:szCs w:val="24"/>
        </w:rPr>
      </w:pPr>
      <w:r w:rsidRPr="004A6C54">
        <w:rPr>
          <w:rFonts w:ascii="Times New Roman" w:hAnsi="Times New Roman" w:cs="Times New Roman"/>
          <w:sz w:val="24"/>
          <w:szCs w:val="24"/>
        </w:rPr>
        <w:t>jäätmete vastuvõtmine ja käitlemine (2025. aasta põhjal 40% müügitulust);</w:t>
      </w:r>
    </w:p>
    <w:p w14:paraId="5A4D114F" w14:textId="71B4FC7E" w:rsidR="0011249A" w:rsidRPr="004A6C54" w:rsidRDefault="0011249A" w:rsidP="0011249A">
      <w:pPr>
        <w:pStyle w:val="ListParagraph"/>
        <w:numPr>
          <w:ilvl w:val="0"/>
          <w:numId w:val="6"/>
        </w:numPr>
        <w:jc w:val="both"/>
        <w:rPr>
          <w:rFonts w:ascii="Times New Roman" w:hAnsi="Times New Roman" w:cs="Times New Roman"/>
          <w:sz w:val="24"/>
          <w:szCs w:val="24"/>
        </w:rPr>
      </w:pPr>
      <w:r w:rsidRPr="004A6C54">
        <w:rPr>
          <w:rFonts w:ascii="Times New Roman" w:hAnsi="Times New Roman" w:cs="Times New Roman"/>
          <w:sz w:val="24"/>
          <w:szCs w:val="24"/>
        </w:rPr>
        <w:t>jäätmevedu (2025. aasta põhjal 45% müügitulust);</w:t>
      </w:r>
    </w:p>
    <w:p w14:paraId="5D86784D" w14:textId="60CC2DB3" w:rsidR="008D6EA3" w:rsidRPr="00391735" w:rsidRDefault="0011249A" w:rsidP="008D6EA3">
      <w:pPr>
        <w:pStyle w:val="ListParagraph"/>
        <w:ind w:left="709"/>
        <w:jc w:val="both"/>
        <w:rPr>
          <w:rFonts w:ascii="Times New Roman" w:hAnsi="Times New Roman" w:cs="Times New Roman"/>
          <w:sz w:val="24"/>
          <w:szCs w:val="24"/>
        </w:rPr>
      </w:pPr>
      <w:r w:rsidRPr="004A6C54">
        <w:rPr>
          <w:rFonts w:ascii="Times New Roman" w:hAnsi="Times New Roman" w:cs="Times New Roman"/>
          <w:sz w:val="24"/>
          <w:szCs w:val="24"/>
        </w:rPr>
        <w:t>jäätmete taaskasutus (nt jäätmekütuste, komposti ja gaasi tootmine, taaskasutatava materjali müük) (2025. aasta põhjal 15% müügitulust). </w:t>
      </w:r>
    </w:p>
    <w:p w14:paraId="0BDBBCC4" w14:textId="55022887" w:rsidR="00847D1C" w:rsidRPr="00391735" w:rsidRDefault="002D052A" w:rsidP="00847D1C">
      <w:pPr>
        <w:pStyle w:val="ListParagraph"/>
        <w:ind w:left="709"/>
        <w:jc w:val="both"/>
        <w:rPr>
          <w:rFonts w:ascii="Times New Roman" w:hAnsi="Times New Roman" w:cs="Times New Roman"/>
          <w:sz w:val="24"/>
          <w:szCs w:val="24"/>
        </w:rPr>
      </w:pPr>
      <w:r w:rsidRPr="00391735">
        <w:rPr>
          <w:rFonts w:ascii="Times New Roman" w:hAnsi="Times New Roman" w:cs="Times New Roman"/>
          <w:sz w:val="24"/>
          <w:szCs w:val="24"/>
        </w:rPr>
        <w:t xml:space="preserve">Lisaks Tallinna </w:t>
      </w:r>
      <w:r w:rsidR="00C12C5E" w:rsidRPr="00391735">
        <w:rPr>
          <w:rFonts w:ascii="Times New Roman" w:hAnsi="Times New Roman" w:cs="Times New Roman"/>
          <w:sz w:val="24"/>
          <w:szCs w:val="24"/>
        </w:rPr>
        <w:t>p</w:t>
      </w:r>
      <w:r w:rsidRPr="00391735">
        <w:rPr>
          <w:rFonts w:ascii="Times New Roman" w:hAnsi="Times New Roman" w:cs="Times New Roman"/>
          <w:sz w:val="24"/>
          <w:szCs w:val="24"/>
        </w:rPr>
        <w:t xml:space="preserve">rügilale asub </w:t>
      </w:r>
      <w:r w:rsidR="00C8321D" w:rsidRPr="00391735">
        <w:rPr>
          <w:rFonts w:ascii="Times New Roman" w:hAnsi="Times New Roman" w:cs="Times New Roman"/>
          <w:sz w:val="24"/>
          <w:szCs w:val="24"/>
        </w:rPr>
        <w:t xml:space="preserve">küll </w:t>
      </w:r>
      <w:r w:rsidRPr="00391735">
        <w:rPr>
          <w:rFonts w:ascii="Times New Roman" w:hAnsi="Times New Roman" w:cs="Times New Roman"/>
          <w:sz w:val="24"/>
          <w:szCs w:val="24"/>
        </w:rPr>
        <w:t xml:space="preserve">Harjumaal, Tallinna külje all Maardus ka Iru koostootmisjaam, kus </w:t>
      </w:r>
      <w:r w:rsidR="00202D9E" w:rsidRPr="00391735">
        <w:rPr>
          <w:rFonts w:ascii="Times New Roman" w:hAnsi="Times New Roman" w:cs="Times New Roman"/>
          <w:sz w:val="24"/>
          <w:szCs w:val="24"/>
        </w:rPr>
        <w:t xml:space="preserve">Iru Elektrijaama jäätmeenergiaplokis toodetakse </w:t>
      </w:r>
      <w:r w:rsidRPr="00391735">
        <w:rPr>
          <w:rFonts w:ascii="Times New Roman" w:hAnsi="Times New Roman" w:cs="Times New Roman"/>
          <w:sz w:val="24"/>
          <w:szCs w:val="24"/>
        </w:rPr>
        <w:t>segaolmejäätmetest sooja ja elektrit</w:t>
      </w:r>
      <w:r w:rsidR="00C12C5E" w:rsidRPr="00391735">
        <w:rPr>
          <w:rFonts w:ascii="Times New Roman" w:hAnsi="Times New Roman" w:cs="Times New Roman"/>
          <w:sz w:val="24"/>
          <w:szCs w:val="24"/>
        </w:rPr>
        <w:t>,</w:t>
      </w:r>
      <w:r w:rsidRPr="00391735">
        <w:rPr>
          <w:rFonts w:ascii="Times New Roman" w:hAnsi="Times New Roman" w:cs="Times New Roman"/>
          <w:sz w:val="24"/>
          <w:szCs w:val="24"/>
        </w:rPr>
        <w:t xml:space="preserve"> </w:t>
      </w:r>
      <w:r w:rsidR="00C12C5E" w:rsidRPr="00391735">
        <w:rPr>
          <w:rFonts w:ascii="Times New Roman" w:hAnsi="Times New Roman" w:cs="Times New Roman"/>
          <w:sz w:val="24"/>
          <w:szCs w:val="24"/>
        </w:rPr>
        <w:t xml:space="preserve">kuid Jõelähtmel asuva Tallinna prügila näol on tegemist </w:t>
      </w:r>
      <w:r w:rsidR="00C12C5E" w:rsidRPr="00391735">
        <w:rPr>
          <w:rFonts w:ascii="Times New Roman" w:hAnsi="Times New Roman" w:cs="Times New Roman"/>
          <w:sz w:val="24"/>
          <w:szCs w:val="24"/>
          <w:u w:val="single"/>
        </w:rPr>
        <w:t>ainsa olmejäätmete ladestuskohaga Harjumaal</w:t>
      </w:r>
      <w:r w:rsidR="00C12C5E" w:rsidRPr="00391735">
        <w:rPr>
          <w:rFonts w:ascii="Times New Roman" w:hAnsi="Times New Roman" w:cs="Times New Roman"/>
          <w:sz w:val="24"/>
          <w:szCs w:val="24"/>
        </w:rPr>
        <w:t>.</w:t>
      </w:r>
      <w:r w:rsidR="009D536B" w:rsidRPr="00391735">
        <w:rPr>
          <w:rFonts w:ascii="Times New Roman" w:hAnsi="Times New Roman" w:cs="Times New Roman"/>
          <w:sz w:val="24"/>
          <w:szCs w:val="24"/>
        </w:rPr>
        <w:t xml:space="preserve"> Arvestades, et Tallinnale läheduselt järgmine ladetuskoht on Väätsa prügila (üle 80 km kaugusel), tagab Tallinna linn Jõelähtme prügila näol oma elanikele mõnevõrra madalamad jäätmeveoteenuse hinnad ning ühtlasi maandab Iru koostootmisjaama võimalikest seisakutest tingitud riski.</w:t>
      </w:r>
    </w:p>
    <w:p w14:paraId="6032C7EA" w14:textId="61CEEFD6" w:rsidR="00202D9E" w:rsidRPr="00391735" w:rsidRDefault="00202D9E" w:rsidP="00847D1C">
      <w:pPr>
        <w:pStyle w:val="ListParagraph"/>
        <w:ind w:left="709"/>
        <w:jc w:val="both"/>
        <w:rPr>
          <w:rFonts w:ascii="Times New Roman" w:hAnsi="Times New Roman" w:cs="Times New Roman"/>
          <w:sz w:val="24"/>
          <w:szCs w:val="24"/>
        </w:rPr>
      </w:pPr>
    </w:p>
    <w:p w14:paraId="5AD3C4BA" w14:textId="3E3FC5E8" w:rsidR="009D536B" w:rsidRPr="00391735" w:rsidRDefault="009D536B" w:rsidP="00847D1C">
      <w:pPr>
        <w:pStyle w:val="ListParagraph"/>
        <w:ind w:left="709"/>
        <w:jc w:val="both"/>
        <w:rPr>
          <w:rFonts w:ascii="Times New Roman" w:hAnsi="Times New Roman" w:cs="Times New Roman"/>
          <w:sz w:val="24"/>
          <w:szCs w:val="24"/>
        </w:rPr>
      </w:pPr>
      <w:r w:rsidRPr="00391735">
        <w:rPr>
          <w:rFonts w:ascii="Times New Roman" w:hAnsi="Times New Roman" w:cs="Times New Roman"/>
          <w:sz w:val="24"/>
          <w:szCs w:val="24"/>
        </w:rPr>
        <w:t>Ka korraldatud jäätmevedu on oma olemuselt ava</w:t>
      </w:r>
      <w:r w:rsidR="00993273">
        <w:rPr>
          <w:rFonts w:ascii="Times New Roman" w:hAnsi="Times New Roman" w:cs="Times New Roman"/>
          <w:sz w:val="24"/>
          <w:szCs w:val="24"/>
        </w:rPr>
        <w:t>likes</w:t>
      </w:r>
      <w:r w:rsidRPr="00391735">
        <w:rPr>
          <w:rFonts w:ascii="Times New Roman" w:hAnsi="Times New Roman" w:cs="Times New Roman"/>
          <w:sz w:val="24"/>
          <w:szCs w:val="24"/>
        </w:rPr>
        <w:t xml:space="preserve"> huvides osutatav teenus.</w:t>
      </w:r>
      <w:r w:rsidR="00E96689">
        <w:rPr>
          <w:rStyle w:val="FootnoteReference"/>
          <w:rFonts w:ascii="Times New Roman" w:hAnsi="Times New Roman" w:cs="Times New Roman"/>
          <w:sz w:val="24"/>
          <w:szCs w:val="24"/>
        </w:rPr>
        <w:footnoteReference w:id="6"/>
      </w:r>
      <w:r w:rsidRPr="00391735">
        <w:rPr>
          <w:rFonts w:ascii="Times New Roman" w:hAnsi="Times New Roman" w:cs="Times New Roman"/>
          <w:sz w:val="24"/>
          <w:szCs w:val="24"/>
        </w:rPr>
        <w:t xml:space="preserve"> JäätS § 66 lg 7 kohaselt on vähemalt 40</w:t>
      </w:r>
      <w:r w:rsidR="009B7964" w:rsidRPr="00391735">
        <w:rPr>
          <w:rFonts w:ascii="Times New Roman" w:hAnsi="Times New Roman" w:cs="Times New Roman"/>
          <w:sz w:val="24"/>
          <w:szCs w:val="24"/>
        </w:rPr>
        <w:t> </w:t>
      </w:r>
      <w:r w:rsidRPr="00391735">
        <w:rPr>
          <w:rFonts w:ascii="Times New Roman" w:hAnsi="Times New Roman" w:cs="Times New Roman"/>
          <w:sz w:val="24"/>
          <w:szCs w:val="24"/>
        </w:rPr>
        <w:t xml:space="preserve">000 elanikuga kohaliku omavalitsuse üksuses </w:t>
      </w:r>
      <w:r w:rsidRPr="00993273">
        <w:rPr>
          <w:rFonts w:ascii="Times New Roman" w:hAnsi="Times New Roman" w:cs="Times New Roman"/>
          <w:sz w:val="24"/>
          <w:szCs w:val="24"/>
          <w:u w:val="single"/>
        </w:rPr>
        <w:t>olmejäätmete veo teenust osutav ettevõtja üldhuviteenuse osutaja</w:t>
      </w:r>
      <w:r w:rsidRPr="00391735">
        <w:rPr>
          <w:rFonts w:ascii="Times New Roman" w:hAnsi="Times New Roman" w:cs="Times New Roman"/>
          <w:sz w:val="24"/>
          <w:szCs w:val="24"/>
        </w:rPr>
        <w:t xml:space="preserve"> majandustegevuse seadustiku üldosa seaduse tähenduses. MSÜS § 5 lg 3 ütleb, et elutähtsat teenust osutav ettevõtja ja seaduses sätestatud juhul ka muu ettevõtja, kes osutab riigi või kohaliku omavalitsuse valdava enamiku elanike kasutatavat teenust, sealhulgas gaasi-, elektri-, soojusenergia-, vee- ja kanalisatsiooni-, </w:t>
      </w:r>
      <w:r w:rsidRPr="00993273">
        <w:rPr>
          <w:rFonts w:ascii="Times New Roman" w:hAnsi="Times New Roman" w:cs="Times New Roman"/>
          <w:sz w:val="24"/>
          <w:szCs w:val="24"/>
          <w:u w:val="single"/>
        </w:rPr>
        <w:t>jäätmekäitlus-</w:t>
      </w:r>
      <w:r w:rsidRPr="00391735">
        <w:rPr>
          <w:rFonts w:ascii="Times New Roman" w:hAnsi="Times New Roman" w:cs="Times New Roman"/>
          <w:sz w:val="24"/>
          <w:szCs w:val="24"/>
        </w:rPr>
        <w:t>, ühistranspordi-, posti- ja sideteenust ning muud samalaadset teenust, on üldist majandushuvi pakkuva teenuse osutaja.</w:t>
      </w:r>
    </w:p>
    <w:p w14:paraId="7C040A6C" w14:textId="677646D4" w:rsidR="009D536B" w:rsidRPr="00391735" w:rsidRDefault="009D536B" w:rsidP="00847D1C">
      <w:pPr>
        <w:pStyle w:val="ListParagraph"/>
        <w:ind w:left="709"/>
        <w:jc w:val="both"/>
        <w:rPr>
          <w:rFonts w:ascii="Times New Roman" w:hAnsi="Times New Roman" w:cs="Times New Roman"/>
          <w:sz w:val="24"/>
          <w:szCs w:val="24"/>
        </w:rPr>
      </w:pPr>
    </w:p>
    <w:p w14:paraId="0F8F9845" w14:textId="586210C0" w:rsidR="00110AD6" w:rsidRPr="00391735" w:rsidRDefault="00110AD6" w:rsidP="00110AD6">
      <w:pPr>
        <w:pStyle w:val="ListParagraph"/>
        <w:ind w:left="709"/>
        <w:jc w:val="both"/>
        <w:rPr>
          <w:rFonts w:ascii="Times New Roman" w:hAnsi="Times New Roman" w:cs="Times New Roman"/>
          <w:sz w:val="24"/>
          <w:szCs w:val="24"/>
        </w:rPr>
      </w:pPr>
      <w:r w:rsidRPr="00391735">
        <w:rPr>
          <w:rFonts w:ascii="Times New Roman" w:hAnsi="Times New Roman" w:cs="Times New Roman"/>
          <w:sz w:val="24"/>
          <w:szCs w:val="24"/>
        </w:rPr>
        <w:t>Avalikule huvile viitab ka jäätmehoolduse valdkonna reguleeritus. Jäätmepoliitika õiguslik raamistik Euroopa Liidus on kehtestatud jäätmealaste õigusaktidega ehk jäätmedirektiividega. Peale selle on teatud spetsiifiliste jäätmevaldkondade jaoks kehtestatud eraldi direktiivid. Eestis reguleerivad jäätmehooldust siseriiklikud, sh kohaliku omavalitsuse õigusaktid, ning suunavad erinevad riiklikud ja kohaliku omavalitsuse arengudokumendid. Eestis on peamiseks jäätmekäitlust reguleerivaks õigusaktiks jäätmeseadus (sh selle alamaktid). Vastavalt jäätmeseadusele tuleb jäätmealaste eesmärkide saavutamiseks ja jäätmemajanduse kavandamiseks koostada riigi ja kohaliku omavalitsuse üksuse jäätmekavad. Jäätmekäitluse planeerimine ja suunamine oma haldusterritooriumil on kohaliku omavalitsuse üksuse ülesanne. Jäätmeseadusega on püstitatud ka üleriigilised jäätmehoolduse arendamise eesmärgid ja põhimõtted.</w:t>
      </w:r>
      <w:r w:rsidRPr="00391735">
        <w:rPr>
          <w:rStyle w:val="FootnoteReference"/>
          <w:rFonts w:ascii="Times New Roman" w:hAnsi="Times New Roman" w:cs="Times New Roman"/>
          <w:sz w:val="24"/>
          <w:szCs w:val="24"/>
        </w:rPr>
        <w:footnoteReference w:id="7"/>
      </w:r>
    </w:p>
    <w:p w14:paraId="12D145FE" w14:textId="77777777" w:rsidR="00110AD6" w:rsidRPr="00391735" w:rsidRDefault="00110AD6" w:rsidP="00110AD6">
      <w:pPr>
        <w:pStyle w:val="ListParagraph"/>
        <w:jc w:val="both"/>
        <w:rPr>
          <w:rFonts w:ascii="Times New Roman" w:hAnsi="Times New Roman" w:cs="Times New Roman"/>
          <w:sz w:val="24"/>
          <w:szCs w:val="24"/>
        </w:rPr>
      </w:pPr>
    </w:p>
    <w:p w14:paraId="345167ED" w14:textId="492A66E6" w:rsidR="004F0080" w:rsidRPr="00391735" w:rsidRDefault="00F315B1" w:rsidP="00623BD7">
      <w:pPr>
        <w:pStyle w:val="ListParagraph"/>
        <w:ind w:left="709"/>
        <w:jc w:val="both"/>
        <w:rPr>
          <w:rFonts w:ascii="Times New Roman" w:hAnsi="Times New Roman" w:cs="Times New Roman"/>
          <w:sz w:val="24"/>
          <w:szCs w:val="24"/>
        </w:rPr>
      </w:pPr>
      <w:r w:rsidRPr="00391735">
        <w:rPr>
          <w:rFonts w:ascii="Times New Roman" w:hAnsi="Times New Roman" w:cs="Times New Roman"/>
          <w:sz w:val="24"/>
          <w:szCs w:val="24"/>
        </w:rPr>
        <w:t>Seega</w:t>
      </w:r>
      <w:r w:rsidR="00BB113D" w:rsidRPr="00391735">
        <w:rPr>
          <w:rFonts w:ascii="Times New Roman" w:hAnsi="Times New Roman" w:cs="Times New Roman"/>
          <w:sz w:val="24"/>
          <w:szCs w:val="24"/>
        </w:rPr>
        <w:t xml:space="preserve"> tuleb asuda seisukohale, et teise tingimuse esimene pool, mille kohaselt isik peab olema asutatud eesmärgiga täita põhi- või kõrvaltegevusena ülesannet avalikes huvides, on täidetud.</w:t>
      </w:r>
    </w:p>
    <w:p w14:paraId="3F107808" w14:textId="77777777" w:rsidR="00993273" w:rsidRPr="00391735" w:rsidRDefault="00993273" w:rsidP="009B5F87">
      <w:pPr>
        <w:pStyle w:val="ListParagraph"/>
        <w:ind w:left="709"/>
        <w:jc w:val="both"/>
        <w:rPr>
          <w:rFonts w:ascii="Times New Roman" w:hAnsi="Times New Roman" w:cs="Times New Roman"/>
          <w:sz w:val="24"/>
          <w:szCs w:val="24"/>
        </w:rPr>
      </w:pPr>
    </w:p>
    <w:p w14:paraId="65D88A84" w14:textId="6442C7A7" w:rsidR="00F315B1" w:rsidRPr="00391735" w:rsidRDefault="00F315B1" w:rsidP="00F315B1">
      <w:pPr>
        <w:pStyle w:val="ListParagraph"/>
        <w:numPr>
          <w:ilvl w:val="0"/>
          <w:numId w:val="1"/>
        </w:numPr>
        <w:jc w:val="both"/>
        <w:rPr>
          <w:rFonts w:ascii="Times New Roman" w:hAnsi="Times New Roman" w:cs="Times New Roman"/>
          <w:b/>
          <w:bCs/>
          <w:sz w:val="24"/>
          <w:szCs w:val="24"/>
        </w:rPr>
      </w:pPr>
      <w:r w:rsidRPr="00391735">
        <w:rPr>
          <w:rFonts w:ascii="Times New Roman" w:hAnsi="Times New Roman" w:cs="Times New Roman"/>
          <w:b/>
          <w:bCs/>
          <w:sz w:val="24"/>
          <w:szCs w:val="24"/>
        </w:rPr>
        <w:t>… millel ei ole tööstuslikku ega ärilist iseloomu</w:t>
      </w:r>
    </w:p>
    <w:p w14:paraId="60CEFD14" w14:textId="77777777" w:rsidR="00F315B1" w:rsidRPr="00391735" w:rsidRDefault="00F315B1" w:rsidP="00F315B1">
      <w:pPr>
        <w:pStyle w:val="ListParagraph"/>
        <w:jc w:val="both"/>
        <w:rPr>
          <w:rFonts w:ascii="Times New Roman" w:hAnsi="Times New Roman" w:cs="Times New Roman"/>
          <w:sz w:val="24"/>
          <w:szCs w:val="24"/>
        </w:rPr>
      </w:pPr>
    </w:p>
    <w:p w14:paraId="008ADCE3" w14:textId="167BC064" w:rsidR="00F315B1" w:rsidRPr="00391735" w:rsidRDefault="00F315B1" w:rsidP="00F315B1">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Euroopa Kohus on </w:t>
      </w:r>
      <w:r w:rsidRPr="00391735">
        <w:rPr>
          <w:rFonts w:ascii="Times New Roman" w:hAnsi="Times New Roman" w:cs="Times New Roman"/>
          <w:i/>
          <w:iCs/>
          <w:sz w:val="24"/>
          <w:szCs w:val="24"/>
        </w:rPr>
        <w:t>BFI Holdingu</w:t>
      </w:r>
      <w:r w:rsidRPr="00391735">
        <w:rPr>
          <w:rFonts w:ascii="Times New Roman" w:hAnsi="Times New Roman" w:cs="Times New Roman"/>
          <w:sz w:val="24"/>
          <w:szCs w:val="24"/>
        </w:rPr>
        <w:t xml:space="preserve"> kohtuasjas leidnud, et kui liidu seadusandja oleks olnud seisukohal, et igasugused üldised huvid on sellised, millel ei ole tööstuslikku ega ärilist iseloomu, siis oleks seadusandja ka sedasi direktiivides sedastanud. Seega eksisteerib hankija määratlemisel ülesandeid üldistes (avalikes) huvides, millel ei ole tööstuslikku ega ärilist eesmärki, ning samasuguseid huvisid, millel on tööstuslik või äriline iseloom. Samuti on Riigikohus haldusasjas 3‑3‑1‑43-13 selgitanud, et „avalikes huvides võib olla ka sellise ülesande täitmine, millel on tööstuslik või äriline iseloom“ (otsuse p 17). Järelikult tuleb äriühingu suhtes RHS § 5 lõike 2 punkti 5 kohaldamisel analüüsida seda, kas avalikes huvides osutataval teenusel on sealjuures äriline või tööstuslik iseloom või mitte. Kui äriühingu tegevus on korraldatud pigem ärilistes huvides või on tööstusliku iseloomuga, on RHS § 5 lõike 2 punktis 5 sätestatud eeldus täitmata ning tegemist ei ole hankijaga RHS tähenduses.</w:t>
      </w:r>
      <w:r w:rsidR="00A15386" w:rsidRPr="00391735">
        <w:rPr>
          <w:rStyle w:val="FootnoteReference"/>
          <w:rFonts w:ascii="Times New Roman" w:hAnsi="Times New Roman" w:cs="Times New Roman"/>
          <w:sz w:val="24"/>
          <w:szCs w:val="24"/>
        </w:rPr>
        <w:footnoteReference w:id="8"/>
      </w:r>
    </w:p>
    <w:p w14:paraId="2490804A" w14:textId="77777777" w:rsidR="00110AD6" w:rsidRPr="00391735" w:rsidRDefault="00110AD6" w:rsidP="00F315B1">
      <w:pPr>
        <w:pStyle w:val="ListParagraph"/>
        <w:jc w:val="both"/>
        <w:rPr>
          <w:rFonts w:ascii="Times New Roman" w:hAnsi="Times New Roman" w:cs="Times New Roman"/>
          <w:sz w:val="24"/>
          <w:szCs w:val="24"/>
        </w:rPr>
      </w:pPr>
    </w:p>
    <w:p w14:paraId="6B41C85D" w14:textId="5C7FB0EB" w:rsidR="00F315B1" w:rsidRDefault="00F315B1" w:rsidP="00F315B1">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Valitseva seisukohana on Euroopa Kohus mitmes lahendis rõhutanud, et ettevõtja tegevuse ärilisele aspektile hinnangu andmisel tuleb iga kord arvesse võtta kõiki olulisi õiguslikke ja faktilisi asjaolusid, nagu näiteks olusid, milles ettevõtja asutati, ja tingimusi, milles äriühing tegutseb. Kohtupraktika kohaselt tuleb eraõiguslike isikute riigihangete normidele allumise üle otsustamisel arvestada seda, </w:t>
      </w:r>
      <w:r w:rsidRPr="00391735">
        <w:rPr>
          <w:rFonts w:ascii="Times New Roman" w:hAnsi="Times New Roman" w:cs="Times New Roman"/>
          <w:sz w:val="24"/>
          <w:szCs w:val="24"/>
          <w:u w:val="single"/>
        </w:rPr>
        <w:t>kas ettevõtjad tegutsevad turutingimustel, kannavad tegutsemisest tulenevat riski ja teenivad kasumit. Lisaks hinnatakse, kas ettevõtja tegevus on seotud avaliku huviga; kas valdkond, milles äriühing tegutseb, on reguleeritud ning kas turg pakub sama avalikust huvist kantud teenust avalikkusele.</w:t>
      </w:r>
      <w:r w:rsidRPr="00391735">
        <w:rPr>
          <w:rFonts w:ascii="Times New Roman" w:hAnsi="Times New Roman" w:cs="Times New Roman"/>
          <w:sz w:val="24"/>
          <w:szCs w:val="24"/>
        </w:rPr>
        <w:t xml:space="preserve"> Ükski neist kriteeriumidest ei ole iseseisvalt isiku hankijastaatuse selgitamiseks määrav, vaid need on indikatiivsed. Eeldused kogumis annavad vastuse sellele, kas isikut tuleb pidada hankijaks või mitte. Kui nähtub, et ettevõtja tegevust ei iseloomusta tegutsemine turutingimustel, kasumi teenimine ega riski kandmine, on tegevus kantud avalikust huvist, millel ei ole tööstuslikku ega ärilist iseloomu. Seeläbi on äriühing pigem hankija riigihangete seaduse tähenduses.</w:t>
      </w:r>
      <w:r w:rsidR="00D97A4C">
        <w:rPr>
          <w:rStyle w:val="FootnoteReference"/>
          <w:rFonts w:ascii="Times New Roman" w:hAnsi="Times New Roman" w:cs="Times New Roman"/>
          <w:sz w:val="24"/>
          <w:szCs w:val="24"/>
        </w:rPr>
        <w:footnoteReference w:id="9"/>
      </w:r>
    </w:p>
    <w:p w14:paraId="29B31332" w14:textId="77777777" w:rsidR="00107500" w:rsidRPr="00391735" w:rsidRDefault="00107500" w:rsidP="00F315B1">
      <w:pPr>
        <w:pStyle w:val="ListParagraph"/>
        <w:jc w:val="both"/>
        <w:rPr>
          <w:rFonts w:ascii="Times New Roman" w:hAnsi="Times New Roman" w:cs="Times New Roman"/>
          <w:sz w:val="24"/>
          <w:szCs w:val="24"/>
        </w:rPr>
      </w:pPr>
    </w:p>
    <w:p w14:paraId="32199EA5" w14:textId="77777777" w:rsidR="00BA7B46" w:rsidRDefault="00BA7B46" w:rsidP="0047385F">
      <w:pPr>
        <w:pStyle w:val="ListParagraph"/>
        <w:jc w:val="both"/>
        <w:rPr>
          <w:rFonts w:ascii="Times New Roman" w:hAnsi="Times New Roman" w:cs="Times New Roman"/>
          <w:b/>
          <w:bCs/>
          <w:sz w:val="24"/>
          <w:szCs w:val="24"/>
        </w:rPr>
      </w:pPr>
    </w:p>
    <w:p w14:paraId="4A523855" w14:textId="5DC6E3AF" w:rsidR="0047385F" w:rsidRPr="00391735" w:rsidRDefault="0047385F" w:rsidP="0047385F">
      <w:pPr>
        <w:pStyle w:val="ListParagraph"/>
        <w:jc w:val="both"/>
        <w:rPr>
          <w:rFonts w:ascii="Times New Roman" w:hAnsi="Times New Roman" w:cs="Times New Roman"/>
          <w:b/>
          <w:bCs/>
          <w:sz w:val="24"/>
          <w:szCs w:val="24"/>
        </w:rPr>
      </w:pPr>
      <w:r w:rsidRPr="00391735">
        <w:rPr>
          <w:rFonts w:ascii="Times New Roman" w:hAnsi="Times New Roman" w:cs="Times New Roman"/>
          <w:b/>
          <w:bCs/>
          <w:sz w:val="24"/>
          <w:szCs w:val="24"/>
        </w:rPr>
        <w:t>Kas ettevõtja tegutseb turutingimustel: kas ettevõtjale on turg tagatud või tuleb tegutseda konkurentsi olukorras?</w:t>
      </w:r>
    </w:p>
    <w:p w14:paraId="4F47EF9E" w14:textId="77777777" w:rsidR="0047385F" w:rsidRPr="00391735" w:rsidRDefault="0047385F" w:rsidP="0047385F">
      <w:pPr>
        <w:pStyle w:val="ListParagraph"/>
        <w:jc w:val="both"/>
        <w:rPr>
          <w:rFonts w:ascii="Times New Roman" w:hAnsi="Times New Roman" w:cs="Times New Roman"/>
          <w:sz w:val="24"/>
          <w:szCs w:val="24"/>
        </w:rPr>
      </w:pPr>
    </w:p>
    <w:p w14:paraId="15C058F7" w14:textId="7360F44E" w:rsidR="0047385F" w:rsidRDefault="0047385F" w:rsidP="0047385F">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Euroopa Kohus andis suunise, et juhul, kui avalikke teenuseid pakkuv äriühing tegutseb siiski üksnes konkurentsiolukorras ega lähtu oma tegevuses muudest kui majanduslikest kaalutlustest, puudub alus järeldada, et tegemist saaks olla hankijaga. Seda ilmselt seetõttu, et ettevõtja, kes tegutseb turutingimustel, peab oma tegevuse kasumlikkuse saavutamiseks või säilitamiseks ka teenitud raha kasutama otstarbekalt, kuivõrd vastasel juhul teenib äriühing kahjumit ning esineb oht pankrotistuda.</w:t>
      </w:r>
      <w:r w:rsidRPr="00391735">
        <w:rPr>
          <w:rStyle w:val="FootnoteReference"/>
          <w:rFonts w:ascii="Times New Roman" w:hAnsi="Times New Roman" w:cs="Times New Roman"/>
          <w:sz w:val="24"/>
          <w:szCs w:val="24"/>
        </w:rPr>
        <w:footnoteReference w:id="10"/>
      </w:r>
      <w:r w:rsidR="009F5471" w:rsidRPr="009F5471">
        <w:t xml:space="preserve"> </w:t>
      </w:r>
    </w:p>
    <w:p w14:paraId="09DFC29E" w14:textId="77777777" w:rsidR="00BA4EF4" w:rsidRPr="00391735" w:rsidRDefault="00BA4EF4" w:rsidP="0047385F">
      <w:pPr>
        <w:pStyle w:val="ListParagraph"/>
        <w:jc w:val="both"/>
        <w:rPr>
          <w:rFonts w:ascii="Times New Roman" w:hAnsi="Times New Roman" w:cs="Times New Roman"/>
          <w:sz w:val="24"/>
          <w:szCs w:val="24"/>
        </w:rPr>
      </w:pPr>
    </w:p>
    <w:p w14:paraId="1E5067A1" w14:textId="14020A11" w:rsidR="0047385F" w:rsidRPr="00391735" w:rsidRDefault="00B14768" w:rsidP="00B14768">
      <w:pPr>
        <w:pStyle w:val="ListParagraph"/>
        <w:jc w:val="both"/>
        <w:rPr>
          <w:rFonts w:ascii="Times New Roman" w:hAnsi="Times New Roman" w:cs="Times New Roman"/>
          <w:sz w:val="24"/>
          <w:szCs w:val="24"/>
        </w:rPr>
      </w:pPr>
      <w:r w:rsidRPr="00B14768">
        <w:rPr>
          <w:rFonts w:ascii="Times New Roman" w:hAnsi="Times New Roman" w:cs="Times New Roman"/>
          <w:sz w:val="24"/>
          <w:szCs w:val="24"/>
        </w:rPr>
        <w:t xml:space="preserve">Asjaolu, et TJT osutab korraldatud jäätmeveo või jäätmekäitlusega seotud teenuseid kohaliku omavalitsuse korraldatud menetluse tulemusena, ei tähenda, et Tallinna linn oleks andnud TJT-le avaliku ülesande väljaspool turgu. </w:t>
      </w:r>
      <w:r w:rsidR="0047385F" w:rsidRPr="00391735">
        <w:rPr>
          <w:rFonts w:ascii="Times New Roman" w:hAnsi="Times New Roman" w:cs="Times New Roman"/>
          <w:sz w:val="24"/>
          <w:szCs w:val="24"/>
        </w:rPr>
        <w:t>TJT pakub oma teenuseid turul avatud konkurentsi tingimustes, osutades Tallinna linnale (aga ka nt Viimsi vallale) teenuse</w:t>
      </w:r>
      <w:r w:rsidR="00AD6DAC">
        <w:rPr>
          <w:rFonts w:ascii="Times New Roman" w:hAnsi="Times New Roman" w:cs="Times New Roman"/>
          <w:sz w:val="24"/>
          <w:szCs w:val="24"/>
        </w:rPr>
        <w:t>i</w:t>
      </w:r>
      <w:r w:rsidR="0047385F" w:rsidRPr="00391735">
        <w:rPr>
          <w:rFonts w:ascii="Times New Roman" w:hAnsi="Times New Roman" w:cs="Times New Roman"/>
          <w:sz w:val="24"/>
          <w:szCs w:val="24"/>
        </w:rPr>
        <w:t>d üksnes riigihangete seaduse alusel avatud konkurentsi tingimustes läbiviidud hankemenetlus</w:t>
      </w:r>
      <w:r w:rsidR="00B50A65" w:rsidRPr="00391735">
        <w:rPr>
          <w:rFonts w:ascii="Times New Roman" w:hAnsi="Times New Roman" w:cs="Times New Roman"/>
          <w:sz w:val="24"/>
          <w:szCs w:val="24"/>
        </w:rPr>
        <w:t>t</w:t>
      </w:r>
      <w:r w:rsidR="0047385F" w:rsidRPr="00391735">
        <w:rPr>
          <w:rFonts w:ascii="Times New Roman" w:hAnsi="Times New Roman" w:cs="Times New Roman"/>
          <w:sz w:val="24"/>
          <w:szCs w:val="24"/>
        </w:rPr>
        <w:t xml:space="preserve">e tulemusena </w:t>
      </w:r>
      <w:r w:rsidR="00F002F9">
        <w:rPr>
          <w:rFonts w:ascii="Times New Roman" w:hAnsi="Times New Roman" w:cs="Times New Roman"/>
          <w:sz w:val="24"/>
          <w:szCs w:val="24"/>
        </w:rPr>
        <w:t xml:space="preserve">sõlmitud </w:t>
      </w:r>
      <w:r w:rsidR="0047385F" w:rsidRPr="00391735">
        <w:rPr>
          <w:rFonts w:ascii="Times New Roman" w:hAnsi="Times New Roman" w:cs="Times New Roman"/>
          <w:sz w:val="24"/>
          <w:szCs w:val="24"/>
        </w:rPr>
        <w:t>lepingute alusel.</w:t>
      </w:r>
      <w:r w:rsidR="00B76625">
        <w:rPr>
          <w:rStyle w:val="FootnoteReference"/>
          <w:rFonts w:ascii="Times New Roman" w:hAnsi="Times New Roman" w:cs="Times New Roman"/>
          <w:sz w:val="24"/>
          <w:szCs w:val="24"/>
        </w:rPr>
        <w:footnoteReference w:id="11"/>
      </w:r>
      <w:r w:rsidRPr="00B14768">
        <w:t xml:space="preserve"> </w:t>
      </w:r>
    </w:p>
    <w:p w14:paraId="0DA45359" w14:textId="77777777" w:rsidR="0047385F" w:rsidRPr="00391735" w:rsidRDefault="0047385F" w:rsidP="0047385F">
      <w:pPr>
        <w:pStyle w:val="ListParagraph"/>
        <w:jc w:val="both"/>
        <w:rPr>
          <w:rFonts w:ascii="Times New Roman" w:hAnsi="Times New Roman" w:cs="Times New Roman"/>
          <w:sz w:val="24"/>
          <w:szCs w:val="24"/>
        </w:rPr>
      </w:pPr>
    </w:p>
    <w:p w14:paraId="741E3839" w14:textId="77777777" w:rsidR="0047385F" w:rsidRPr="001976E9" w:rsidRDefault="0047385F" w:rsidP="0047385F">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Riigikohus on leidnud, et JäätS § 67 lg 3 p 4 ei sätesta, milline konkreetne jäätmekäitluskoht tuleb hankedokumentides määrata. Ühtlasi ei sätesta viimati mainitud punkt ka neid kriteeriume, mille alusel tuleb jäätmekäitluskoht kindlaks määrata. Kuna jäätmekäitluskoha kindlaksmääramine on jäetud kohaliku omavalitsuse pädevusse ning kehtiv õigus näeb ette erinevad jäätmekäitluskohad, on kohalikul omavalitsusel õigus valida, millisesse jäätmekäitluskohta tuleb jäätmed vedada. Seejuures tuleb tal juhinduda haldusmenetluse seaduse § 4 lg-st 2, mille kohaselt tuleb kaalutlus­õigust teostada kooskõlas volituse piiride, kaalutlusõiguse eesmärgi ning õiguse üldpõhimõtetega, </w:t>
      </w:r>
      <w:r w:rsidRPr="001976E9">
        <w:rPr>
          <w:rFonts w:ascii="Times New Roman" w:hAnsi="Times New Roman" w:cs="Times New Roman"/>
          <w:sz w:val="24"/>
          <w:szCs w:val="24"/>
        </w:rPr>
        <w:t>arvestades olulisi asjaolusid ning kaaludes põhjendatud huve.</w:t>
      </w:r>
      <w:r w:rsidRPr="001976E9">
        <w:rPr>
          <w:rStyle w:val="FootnoteReference"/>
          <w:rFonts w:ascii="Times New Roman" w:hAnsi="Times New Roman" w:cs="Times New Roman"/>
          <w:sz w:val="24"/>
          <w:szCs w:val="24"/>
        </w:rPr>
        <w:footnoteReference w:id="12"/>
      </w:r>
    </w:p>
    <w:p w14:paraId="465FDA11" w14:textId="77777777" w:rsidR="0047385F" w:rsidRPr="001976E9" w:rsidRDefault="0047385F" w:rsidP="0047385F">
      <w:pPr>
        <w:pStyle w:val="ListParagraph"/>
        <w:jc w:val="both"/>
        <w:rPr>
          <w:rFonts w:ascii="Times New Roman" w:hAnsi="Times New Roman" w:cs="Times New Roman"/>
          <w:sz w:val="24"/>
          <w:szCs w:val="24"/>
        </w:rPr>
      </w:pPr>
    </w:p>
    <w:p w14:paraId="0CEFE9AA" w14:textId="77777777" w:rsidR="001976E9" w:rsidRPr="001976E9" w:rsidRDefault="001976E9" w:rsidP="001976E9">
      <w:pPr>
        <w:pStyle w:val="ListParagraph"/>
        <w:jc w:val="both"/>
        <w:rPr>
          <w:rFonts w:ascii="Times New Roman" w:hAnsi="Times New Roman" w:cs="Times New Roman"/>
          <w:sz w:val="24"/>
          <w:szCs w:val="24"/>
        </w:rPr>
      </w:pPr>
      <w:r w:rsidRPr="001976E9">
        <w:rPr>
          <w:rFonts w:ascii="Times New Roman" w:hAnsi="Times New Roman" w:cs="Times New Roman"/>
          <w:sz w:val="24"/>
          <w:szCs w:val="24"/>
        </w:rPr>
        <w:t>Vaatamata asjaolule, et Tallinna linn peab oluliseks jäätmekäitluskoha olemasolu tagamist Harjumaal, ei eelista linn korraldatud jäätmeveo korraldamisel ega jäätmekäitluskoha määramisel TJT-d. Korraldatud jäätmeveo teenuse osutajad leitakse kontsessioonimenetluste kaudu avatud konkurentsi tingimustes ning TJT osaleb neil menetlustel teiste ettevõtjatega võrdsetel alustel.</w:t>
      </w:r>
    </w:p>
    <w:p w14:paraId="6AE3D2D5" w14:textId="3D0779AA" w:rsidR="001976E9" w:rsidRPr="001976E9" w:rsidRDefault="001976E9" w:rsidP="00E56B41">
      <w:pPr>
        <w:ind w:left="708"/>
        <w:jc w:val="both"/>
        <w:rPr>
          <w:rFonts w:ascii="Times New Roman" w:hAnsi="Times New Roman" w:cs="Times New Roman"/>
          <w:sz w:val="24"/>
          <w:szCs w:val="24"/>
        </w:rPr>
      </w:pPr>
      <w:r w:rsidRPr="001976E9">
        <w:rPr>
          <w:rFonts w:ascii="Times New Roman" w:hAnsi="Times New Roman" w:cs="Times New Roman"/>
          <w:sz w:val="24"/>
          <w:szCs w:val="24"/>
        </w:rPr>
        <w:t xml:space="preserve">2025. aastal algasid Tallinnas uued korraldatud jäätmeveo lepinguperioodid Vanalinnas, Kesklinnas, Põhja-Tallinnas, Lasnamäel ja Nõmmel. TJT jätkab jäätmeveoteenuse osutamist Kesklinna ja Nõmme piirkondades, samas kui Vanalinna, Lasnamäe ja Põhja-Tallinna piirkondades osutab teenust eraettevõtja Eesti Keskkonnateenused AS. </w:t>
      </w:r>
    </w:p>
    <w:p w14:paraId="411C186F" w14:textId="77777777" w:rsidR="001976E9" w:rsidRPr="001976E9" w:rsidRDefault="001976E9" w:rsidP="00E56B41">
      <w:pPr>
        <w:ind w:left="708"/>
        <w:jc w:val="both"/>
        <w:rPr>
          <w:rFonts w:ascii="Times New Roman" w:hAnsi="Times New Roman" w:cs="Times New Roman"/>
          <w:sz w:val="24"/>
          <w:szCs w:val="24"/>
        </w:rPr>
      </w:pPr>
      <w:r w:rsidRPr="001976E9">
        <w:rPr>
          <w:rFonts w:ascii="Times New Roman" w:hAnsi="Times New Roman" w:cs="Times New Roman"/>
          <w:sz w:val="24"/>
          <w:szCs w:val="24"/>
        </w:rPr>
        <w:t>Eeltoodu kinnitab, et TJT-le ei ole tagatud kindlat turuosa ega ainuõigust jäätmeveo või jäätmekäitluse teenuste osutamiseks. TJT tegutseb konkurentsikeskkonnas ning peab lepingute saamiseks konkureerima teiste turuosalistega hinnast, teenuse kvaliteedist ja muudest hanketingimustest lähtudes.</w:t>
      </w:r>
    </w:p>
    <w:p w14:paraId="7A77241D" w14:textId="3E14E563" w:rsidR="0047385F" w:rsidRDefault="0047385F" w:rsidP="0047385F">
      <w:pPr>
        <w:pStyle w:val="ListParagraph"/>
        <w:jc w:val="both"/>
        <w:rPr>
          <w:rFonts w:ascii="Times New Roman" w:hAnsi="Times New Roman" w:cs="Times New Roman"/>
          <w:sz w:val="24"/>
          <w:szCs w:val="24"/>
        </w:rPr>
      </w:pPr>
      <w:r w:rsidRPr="001976E9">
        <w:rPr>
          <w:rFonts w:ascii="Times New Roman" w:hAnsi="Times New Roman" w:cs="Times New Roman"/>
          <w:sz w:val="24"/>
          <w:szCs w:val="24"/>
        </w:rPr>
        <w:t xml:space="preserve">JäätS § 1 lg 5 kohaselt ei kohaldata korraldatud </w:t>
      </w:r>
      <w:r w:rsidRPr="001976E9">
        <w:rPr>
          <w:rFonts w:ascii="Times New Roman" w:hAnsi="Times New Roman" w:cs="Times New Roman"/>
          <w:sz w:val="24"/>
          <w:szCs w:val="24"/>
          <w:u w:val="single"/>
        </w:rPr>
        <w:t>jäätmeveole</w:t>
      </w:r>
      <w:r w:rsidRPr="001976E9">
        <w:rPr>
          <w:rFonts w:ascii="Times New Roman" w:hAnsi="Times New Roman" w:cs="Times New Roman"/>
          <w:sz w:val="24"/>
          <w:szCs w:val="24"/>
        </w:rPr>
        <w:t xml:space="preserve"> riigihangete seaduse §-s 12 sätestatut (sisetehing ja hankijatevaheline koostöö), mistõttu ei saakski Tallinna linn korraldada korraldatud </w:t>
      </w:r>
      <w:r w:rsidRPr="001976E9">
        <w:rPr>
          <w:rFonts w:ascii="Times New Roman" w:hAnsi="Times New Roman" w:cs="Times New Roman"/>
          <w:sz w:val="24"/>
          <w:szCs w:val="24"/>
          <w:u w:val="single"/>
        </w:rPr>
        <w:t>jäätmeveo teenuse</w:t>
      </w:r>
      <w:r w:rsidRPr="001976E9">
        <w:rPr>
          <w:rFonts w:ascii="Times New Roman" w:hAnsi="Times New Roman" w:cs="Times New Roman"/>
          <w:sz w:val="24"/>
          <w:szCs w:val="24"/>
        </w:rPr>
        <w:t xml:space="preserve"> osutamist oma haldusterritooriumil linnale kuuluva eraõigusliku</w:t>
      </w:r>
      <w:r w:rsidRPr="00391735">
        <w:rPr>
          <w:rFonts w:ascii="Times New Roman" w:hAnsi="Times New Roman" w:cs="Times New Roman"/>
          <w:sz w:val="24"/>
          <w:szCs w:val="24"/>
        </w:rPr>
        <w:t xml:space="preserve"> juriidilise isiku kaudu</w:t>
      </w:r>
      <w:r w:rsidR="00420CF1">
        <w:rPr>
          <w:rFonts w:ascii="Times New Roman" w:hAnsi="Times New Roman" w:cs="Times New Roman"/>
          <w:sz w:val="24"/>
          <w:szCs w:val="24"/>
        </w:rPr>
        <w:t xml:space="preserve"> temaga sisetehingu regulatsiooni alusel otse lepingut sõlmides.</w:t>
      </w:r>
    </w:p>
    <w:p w14:paraId="0747C576" w14:textId="77777777" w:rsidR="00B14768" w:rsidRPr="00391735" w:rsidRDefault="00B14768" w:rsidP="0047385F">
      <w:pPr>
        <w:pStyle w:val="ListParagraph"/>
        <w:jc w:val="both"/>
        <w:rPr>
          <w:rFonts w:ascii="Times New Roman" w:hAnsi="Times New Roman" w:cs="Times New Roman"/>
          <w:sz w:val="24"/>
          <w:szCs w:val="24"/>
        </w:rPr>
      </w:pPr>
    </w:p>
    <w:p w14:paraId="77F6331E" w14:textId="223720E2" w:rsidR="00311184" w:rsidRPr="00391735" w:rsidRDefault="00B50A65" w:rsidP="0047385F">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Ka Tallinna Strateegiakeskuse hallatava asutuse Tallinna Jäätmekeskuse opereeritavates Tallinna jäätmejaamades kogutud jäätmete käitlemiseks viiakse iga-aastaselt läbi avatud hankemenetlused (nt viitenumber 229830, 239050)</w:t>
      </w:r>
      <w:r w:rsidR="00C2562A">
        <w:rPr>
          <w:rFonts w:ascii="Times New Roman" w:hAnsi="Times New Roman" w:cs="Times New Roman"/>
          <w:sz w:val="24"/>
          <w:szCs w:val="24"/>
        </w:rPr>
        <w:t>, kus TJT reeglina osaleb.</w:t>
      </w:r>
    </w:p>
    <w:p w14:paraId="14644433" w14:textId="77777777" w:rsidR="00B50A65" w:rsidRPr="00391735" w:rsidRDefault="00B50A65" w:rsidP="0047385F">
      <w:pPr>
        <w:pStyle w:val="ListParagraph"/>
        <w:jc w:val="both"/>
        <w:rPr>
          <w:rFonts w:ascii="Times New Roman" w:hAnsi="Times New Roman" w:cs="Times New Roman"/>
          <w:sz w:val="24"/>
          <w:szCs w:val="24"/>
        </w:rPr>
      </w:pPr>
    </w:p>
    <w:p w14:paraId="439E9A8D" w14:textId="77777777" w:rsidR="00B50A65" w:rsidRPr="00391735" w:rsidRDefault="00B50A65" w:rsidP="00B50A65">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Jäätmeid võtab TJT vastu kõikidelt soovijatelt üle Eesti fikseeritud hinnakirja alusel.</w:t>
      </w:r>
    </w:p>
    <w:p w14:paraId="0760C60B" w14:textId="77777777" w:rsidR="00311184" w:rsidRPr="00391735" w:rsidRDefault="00311184" w:rsidP="0047385F">
      <w:pPr>
        <w:pStyle w:val="ListParagraph"/>
        <w:jc w:val="both"/>
        <w:rPr>
          <w:rFonts w:ascii="Times New Roman" w:hAnsi="Times New Roman" w:cs="Times New Roman"/>
          <w:sz w:val="24"/>
          <w:szCs w:val="24"/>
        </w:rPr>
      </w:pPr>
    </w:p>
    <w:p w14:paraId="79A02344" w14:textId="705C885C" w:rsidR="0047385F" w:rsidRDefault="0047385F" w:rsidP="0047385F">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Seega ei ole Tallinna linn pakkunud TJT-le oma haldusterritooriumil jäätmeveo või jäätmekäitluse teenuste osutamiseks mingisugust konkurentsieelist ega taganud turuosa.</w:t>
      </w:r>
      <w:r w:rsidR="00311184" w:rsidRPr="00391735">
        <w:rPr>
          <w:rFonts w:ascii="Times New Roman" w:hAnsi="Times New Roman" w:cs="Times New Roman"/>
          <w:sz w:val="24"/>
          <w:szCs w:val="24"/>
        </w:rPr>
        <w:t xml:space="preserve"> Ka teiste Tallinna lähiümbruse kohalike omavalitsuste korraldatud jäätmeveo hangetel osaleb TJT võrdsetel alustel teiste valdkonna ettevõtjatega.</w:t>
      </w:r>
    </w:p>
    <w:p w14:paraId="4D4BAC5B" w14:textId="77777777" w:rsidR="00D97A4C" w:rsidRPr="00391735" w:rsidRDefault="00D97A4C" w:rsidP="0047385F">
      <w:pPr>
        <w:pStyle w:val="ListParagraph"/>
        <w:jc w:val="both"/>
        <w:rPr>
          <w:rFonts w:ascii="Times New Roman" w:hAnsi="Times New Roman" w:cs="Times New Roman"/>
          <w:sz w:val="24"/>
          <w:szCs w:val="24"/>
        </w:rPr>
      </w:pPr>
    </w:p>
    <w:p w14:paraId="576231C8" w14:textId="77777777" w:rsidR="0047385F" w:rsidRPr="00391735" w:rsidRDefault="0047385F" w:rsidP="0047385F">
      <w:pPr>
        <w:pStyle w:val="ListParagraph"/>
        <w:jc w:val="both"/>
        <w:rPr>
          <w:rFonts w:ascii="Times New Roman" w:hAnsi="Times New Roman" w:cs="Times New Roman"/>
          <w:b/>
          <w:bCs/>
          <w:sz w:val="24"/>
          <w:szCs w:val="24"/>
        </w:rPr>
      </w:pPr>
      <w:r w:rsidRPr="00391735">
        <w:rPr>
          <w:rFonts w:ascii="Times New Roman" w:hAnsi="Times New Roman" w:cs="Times New Roman"/>
          <w:b/>
          <w:bCs/>
          <w:sz w:val="24"/>
          <w:szCs w:val="24"/>
        </w:rPr>
        <w:t>Kas turg pakub avalikkusele sama teenust?</w:t>
      </w:r>
    </w:p>
    <w:p w14:paraId="6D1CB7EB" w14:textId="77777777" w:rsidR="0047385F" w:rsidRPr="00391735" w:rsidRDefault="0047385F" w:rsidP="0047385F">
      <w:pPr>
        <w:pStyle w:val="ListParagraph"/>
        <w:jc w:val="both"/>
        <w:rPr>
          <w:rFonts w:ascii="Times New Roman" w:hAnsi="Times New Roman" w:cs="Times New Roman"/>
          <w:sz w:val="24"/>
          <w:szCs w:val="24"/>
        </w:rPr>
      </w:pPr>
    </w:p>
    <w:p w14:paraId="01C8B2A7" w14:textId="4DF460C3" w:rsidR="0047385F" w:rsidRPr="00391735" w:rsidRDefault="0047385F" w:rsidP="0047385F">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Kui turul pakuvad lisaks riigi või kohaliku omavalitsuse omandis olevale ettevõtjale samasugust teenust teised eraettevõtjad, võib Euroopa Kohtu praktika kohaselt see viidata, et pakutavad teenused ei ole üldistes huvides. Samas ei välista sellise turukonkurentsi olemasolu seda, et sellist teenust ei võiks siiski osutada üldistes huvides. Euroopa Kohus on kinnitanud, et mõiste „üldised huvid, millel ei ole tööstuslikku või ärilist iseloomu“ hõlmab ka ülesandeid, mida võib täita eraettevõtja. Seega võib turu poolt samade teenuste avalikkusele osutamine välistada ettevõtja hankijaks olemise, kuid seda, kas samasuguseid teenuseid pakub turul ka erasektor, tuleb hinnata lähtudes igast konkreetsest ettevõtjast ning turusektorist, milles ettevõtja tegutseb.</w:t>
      </w:r>
      <w:r w:rsidR="00B1699D" w:rsidRPr="00391735">
        <w:rPr>
          <w:rStyle w:val="FootnoteReference"/>
          <w:rFonts w:ascii="Times New Roman" w:hAnsi="Times New Roman" w:cs="Times New Roman"/>
          <w:sz w:val="24"/>
          <w:szCs w:val="24"/>
        </w:rPr>
        <w:footnoteReference w:id="13"/>
      </w:r>
    </w:p>
    <w:p w14:paraId="0B7A62F3" w14:textId="0D957D03" w:rsidR="0047385F" w:rsidRDefault="0047385F" w:rsidP="0047385F">
      <w:pPr>
        <w:pStyle w:val="ListParagraph"/>
        <w:jc w:val="both"/>
        <w:rPr>
          <w:rFonts w:ascii="Times New Roman" w:hAnsi="Times New Roman" w:cs="Times New Roman"/>
          <w:sz w:val="24"/>
          <w:szCs w:val="24"/>
        </w:rPr>
      </w:pPr>
    </w:p>
    <w:p w14:paraId="71336346" w14:textId="77777777" w:rsidR="003B0BB9" w:rsidRPr="00391735" w:rsidRDefault="003B0BB9" w:rsidP="003B0BB9">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Vaatamata eelpool viidatud asjaolule, et jäätmehoolduse valdkond on küllalt reguleeritud, võimaldab jäätmeseadus jäätmehooldusega seotud teenuseid pakkuda siiski kõikidel isikutel, kes vastavad seaduses sätestatud nõuetele. Küll aga nõuab valdkond turuosaliselt märkimisväärseid investeeringuid.</w:t>
      </w:r>
    </w:p>
    <w:p w14:paraId="6B627E6E" w14:textId="77777777" w:rsidR="00E145E9" w:rsidRDefault="00E145E9" w:rsidP="0047385F">
      <w:pPr>
        <w:pStyle w:val="ListParagraph"/>
        <w:ind w:left="709"/>
        <w:jc w:val="both"/>
        <w:rPr>
          <w:rFonts w:ascii="Times New Roman" w:hAnsi="Times New Roman" w:cs="Times New Roman"/>
          <w:sz w:val="24"/>
          <w:szCs w:val="24"/>
        </w:rPr>
      </w:pPr>
    </w:p>
    <w:p w14:paraId="7132B32F" w14:textId="5EFA1200" w:rsidR="0047385F" w:rsidRPr="00E56B41" w:rsidRDefault="00F973F6" w:rsidP="00F973F6">
      <w:pPr>
        <w:pStyle w:val="ListParagraph"/>
        <w:ind w:left="709"/>
        <w:jc w:val="both"/>
        <w:rPr>
          <w:rFonts w:ascii="Times New Roman" w:hAnsi="Times New Roman" w:cs="Times New Roman"/>
          <w:sz w:val="24"/>
          <w:szCs w:val="24"/>
        </w:rPr>
      </w:pPr>
      <w:r w:rsidRPr="00E56B41">
        <w:rPr>
          <w:rFonts w:ascii="Times New Roman" w:hAnsi="Times New Roman" w:cs="Times New Roman"/>
          <w:sz w:val="24"/>
          <w:szCs w:val="24"/>
        </w:rPr>
        <w:t>Eestis tegutseb mitu tava- ja olmejäätmete ladestamisega seotud prügilat või jäätmekäitluskeskust</w:t>
      </w:r>
      <w:r w:rsidR="0047385F" w:rsidRPr="00E56B41">
        <w:rPr>
          <w:rFonts w:ascii="Times New Roman" w:hAnsi="Times New Roman" w:cs="Times New Roman"/>
          <w:sz w:val="24"/>
          <w:szCs w:val="24"/>
        </w:rPr>
        <w:t>:</w:t>
      </w:r>
    </w:p>
    <w:p w14:paraId="4110F7AB" w14:textId="1CBE9D5A" w:rsidR="0047385F" w:rsidRPr="00E56B41" w:rsidRDefault="0047385F" w:rsidP="0047385F">
      <w:pPr>
        <w:pStyle w:val="ListParagraph"/>
        <w:numPr>
          <w:ilvl w:val="0"/>
          <w:numId w:val="7"/>
        </w:numPr>
        <w:jc w:val="both"/>
        <w:rPr>
          <w:rFonts w:ascii="Times New Roman" w:hAnsi="Times New Roman" w:cs="Times New Roman"/>
          <w:sz w:val="24"/>
          <w:szCs w:val="24"/>
        </w:rPr>
      </w:pPr>
      <w:r w:rsidRPr="00E56B41">
        <w:rPr>
          <w:rFonts w:ascii="Times New Roman" w:hAnsi="Times New Roman" w:cs="Times New Roman"/>
          <w:b/>
          <w:bCs/>
          <w:sz w:val="24"/>
          <w:szCs w:val="24"/>
        </w:rPr>
        <w:t xml:space="preserve">Jõelähtme </w:t>
      </w:r>
      <w:r w:rsidR="009530F8" w:rsidRPr="00E56B41">
        <w:rPr>
          <w:rFonts w:ascii="Times New Roman" w:hAnsi="Times New Roman" w:cs="Times New Roman"/>
          <w:b/>
          <w:bCs/>
          <w:sz w:val="24"/>
          <w:szCs w:val="24"/>
        </w:rPr>
        <w:t xml:space="preserve">ehk Tallinna </w:t>
      </w:r>
      <w:r w:rsidRPr="00E56B41">
        <w:rPr>
          <w:rFonts w:ascii="Times New Roman" w:hAnsi="Times New Roman" w:cs="Times New Roman"/>
          <w:b/>
          <w:bCs/>
          <w:sz w:val="24"/>
          <w:szCs w:val="24"/>
        </w:rPr>
        <w:t>prügila</w:t>
      </w:r>
      <w:r w:rsidRPr="00E56B41">
        <w:rPr>
          <w:rFonts w:ascii="Times New Roman" w:hAnsi="Times New Roman" w:cs="Times New Roman"/>
          <w:sz w:val="24"/>
          <w:szCs w:val="24"/>
        </w:rPr>
        <w:t>, Harjumaa, TJT, 100% Tallinna linnale kuuluv</w:t>
      </w:r>
    </w:p>
    <w:p w14:paraId="42FA3183" w14:textId="3A916EDB" w:rsidR="0047385F" w:rsidRPr="00E56B41" w:rsidRDefault="0047385F" w:rsidP="0047385F">
      <w:pPr>
        <w:pStyle w:val="ListParagraph"/>
        <w:numPr>
          <w:ilvl w:val="0"/>
          <w:numId w:val="7"/>
        </w:numPr>
        <w:jc w:val="both"/>
        <w:rPr>
          <w:rFonts w:ascii="Times New Roman" w:hAnsi="Times New Roman" w:cs="Times New Roman"/>
          <w:sz w:val="24"/>
          <w:szCs w:val="24"/>
        </w:rPr>
      </w:pPr>
      <w:r w:rsidRPr="00E56B41">
        <w:rPr>
          <w:rFonts w:ascii="Times New Roman" w:hAnsi="Times New Roman" w:cs="Times New Roman"/>
          <w:b/>
          <w:bCs/>
          <w:sz w:val="24"/>
          <w:szCs w:val="24"/>
        </w:rPr>
        <w:t>Paikuse ehk Paikre prügila</w:t>
      </w:r>
      <w:r w:rsidRPr="00E56B41">
        <w:rPr>
          <w:rFonts w:ascii="Times New Roman" w:hAnsi="Times New Roman" w:cs="Times New Roman"/>
          <w:sz w:val="24"/>
          <w:szCs w:val="24"/>
        </w:rPr>
        <w:t xml:space="preserve">, Pärnumaa, Osaühing </w:t>
      </w:r>
      <w:r w:rsidR="00F973F6" w:rsidRPr="00E56B41">
        <w:rPr>
          <w:rFonts w:ascii="Times New Roman" w:hAnsi="Times New Roman" w:cs="Times New Roman"/>
          <w:sz w:val="24"/>
          <w:szCs w:val="24"/>
        </w:rPr>
        <w:t>Paikre</w:t>
      </w:r>
      <w:r w:rsidRPr="00E56B41">
        <w:rPr>
          <w:rFonts w:ascii="Times New Roman" w:hAnsi="Times New Roman" w:cs="Times New Roman"/>
          <w:sz w:val="24"/>
          <w:szCs w:val="24"/>
        </w:rPr>
        <w:t>, 100% Pärnu linnale kuuluv</w:t>
      </w:r>
      <w:r w:rsidR="00FC0F6C" w:rsidRPr="00E56B41">
        <w:rPr>
          <w:rFonts w:ascii="Times New Roman" w:hAnsi="Times New Roman" w:cs="Times New Roman"/>
          <w:sz w:val="24"/>
          <w:szCs w:val="24"/>
        </w:rPr>
        <w:t xml:space="preserve"> (</w:t>
      </w:r>
      <w:r w:rsidRPr="00E56B41">
        <w:rPr>
          <w:rFonts w:ascii="Times New Roman" w:hAnsi="Times New Roman" w:cs="Times New Roman"/>
          <w:sz w:val="24"/>
          <w:szCs w:val="24"/>
        </w:rPr>
        <w:t>määratlenud end eRHRi andmetel hankijana</w:t>
      </w:r>
      <w:r w:rsidR="00FC0F6C" w:rsidRPr="00E56B41">
        <w:rPr>
          <w:rFonts w:ascii="Times New Roman" w:hAnsi="Times New Roman" w:cs="Times New Roman"/>
          <w:sz w:val="24"/>
          <w:szCs w:val="24"/>
        </w:rPr>
        <w:t>)</w:t>
      </w:r>
    </w:p>
    <w:p w14:paraId="134A58FE" w14:textId="77777777" w:rsidR="0047385F" w:rsidRPr="00E56B41" w:rsidRDefault="0047385F" w:rsidP="0047385F">
      <w:pPr>
        <w:pStyle w:val="ListParagraph"/>
        <w:numPr>
          <w:ilvl w:val="0"/>
          <w:numId w:val="7"/>
        </w:numPr>
        <w:jc w:val="both"/>
        <w:rPr>
          <w:rFonts w:ascii="Times New Roman" w:hAnsi="Times New Roman" w:cs="Times New Roman"/>
          <w:sz w:val="24"/>
          <w:szCs w:val="24"/>
        </w:rPr>
      </w:pPr>
      <w:r w:rsidRPr="00E56B41">
        <w:rPr>
          <w:rFonts w:ascii="Times New Roman" w:hAnsi="Times New Roman" w:cs="Times New Roman"/>
          <w:b/>
          <w:bCs/>
          <w:sz w:val="24"/>
          <w:szCs w:val="24"/>
        </w:rPr>
        <w:t>Uikala prügila</w:t>
      </w:r>
      <w:r w:rsidRPr="00E56B41">
        <w:rPr>
          <w:rFonts w:ascii="Times New Roman" w:hAnsi="Times New Roman" w:cs="Times New Roman"/>
          <w:sz w:val="24"/>
          <w:szCs w:val="24"/>
        </w:rPr>
        <w:t>, Ida-Virumaa, OÜ EKOVIR, 100% erakapitalil põhinev</w:t>
      </w:r>
    </w:p>
    <w:p w14:paraId="2644B90E" w14:textId="2B89799D" w:rsidR="0047385F" w:rsidRPr="00E56B41" w:rsidRDefault="0047385F" w:rsidP="00F973F6">
      <w:pPr>
        <w:pStyle w:val="ListParagraph"/>
        <w:numPr>
          <w:ilvl w:val="0"/>
          <w:numId w:val="7"/>
        </w:numPr>
        <w:jc w:val="both"/>
        <w:rPr>
          <w:rFonts w:ascii="Times New Roman" w:hAnsi="Times New Roman" w:cs="Times New Roman"/>
          <w:sz w:val="24"/>
          <w:szCs w:val="24"/>
        </w:rPr>
      </w:pPr>
      <w:r w:rsidRPr="00E56B41">
        <w:rPr>
          <w:rFonts w:ascii="Times New Roman" w:hAnsi="Times New Roman" w:cs="Times New Roman"/>
          <w:b/>
          <w:bCs/>
          <w:sz w:val="24"/>
          <w:szCs w:val="24"/>
        </w:rPr>
        <w:t>Väätsa prügila</w:t>
      </w:r>
      <w:r w:rsidRPr="00E56B41">
        <w:rPr>
          <w:rFonts w:ascii="Times New Roman" w:hAnsi="Times New Roman" w:cs="Times New Roman"/>
          <w:sz w:val="24"/>
          <w:szCs w:val="24"/>
        </w:rPr>
        <w:t xml:space="preserve">, Järvamaa, </w:t>
      </w:r>
      <w:r w:rsidR="00F973F6" w:rsidRPr="00E56B41">
        <w:rPr>
          <w:rFonts w:ascii="Times New Roman" w:hAnsi="Times New Roman" w:cs="Times New Roman"/>
          <w:sz w:val="24"/>
          <w:szCs w:val="24"/>
        </w:rPr>
        <w:t>Ragn-Sells AS</w:t>
      </w:r>
      <w:r w:rsidRPr="00E56B41">
        <w:rPr>
          <w:rFonts w:ascii="Times New Roman" w:hAnsi="Times New Roman" w:cs="Times New Roman"/>
          <w:sz w:val="24"/>
          <w:szCs w:val="24"/>
        </w:rPr>
        <w:t xml:space="preserve">, aktsionärideks </w:t>
      </w:r>
      <w:r w:rsidR="00F973F6" w:rsidRPr="00E56B41">
        <w:rPr>
          <w:rFonts w:ascii="Times New Roman" w:hAnsi="Times New Roman" w:cs="Times New Roman"/>
          <w:sz w:val="24"/>
          <w:szCs w:val="24"/>
        </w:rPr>
        <w:t>Ragn-Sells AS</w:t>
      </w:r>
      <w:r w:rsidR="00FC0F6C" w:rsidRPr="00E56B41">
        <w:rPr>
          <w:rFonts w:ascii="Times New Roman" w:hAnsi="Times New Roman" w:cs="Times New Roman"/>
          <w:sz w:val="24"/>
          <w:szCs w:val="24"/>
        </w:rPr>
        <w:t xml:space="preserve"> (</w:t>
      </w:r>
      <w:r w:rsidRPr="00E56B41">
        <w:rPr>
          <w:rFonts w:ascii="Times New Roman" w:hAnsi="Times New Roman" w:cs="Times New Roman"/>
          <w:sz w:val="24"/>
          <w:szCs w:val="24"/>
        </w:rPr>
        <w:t>määratlenud end eRHRi andmetel hankijana</w:t>
      </w:r>
      <w:r w:rsidR="00FC0F6C" w:rsidRPr="00E56B41">
        <w:rPr>
          <w:rFonts w:ascii="Times New Roman" w:hAnsi="Times New Roman" w:cs="Times New Roman"/>
          <w:sz w:val="24"/>
          <w:szCs w:val="24"/>
        </w:rPr>
        <w:t>)</w:t>
      </w:r>
    </w:p>
    <w:p w14:paraId="357C0B14" w14:textId="540B349B" w:rsidR="0047385F" w:rsidRPr="00E56B41" w:rsidRDefault="0047385F" w:rsidP="0047385F">
      <w:pPr>
        <w:pStyle w:val="ListParagraph"/>
        <w:numPr>
          <w:ilvl w:val="0"/>
          <w:numId w:val="7"/>
        </w:numPr>
        <w:jc w:val="both"/>
        <w:rPr>
          <w:rFonts w:ascii="Times New Roman" w:hAnsi="Times New Roman" w:cs="Times New Roman"/>
          <w:sz w:val="24"/>
          <w:szCs w:val="24"/>
        </w:rPr>
      </w:pPr>
      <w:r w:rsidRPr="00E56B41">
        <w:rPr>
          <w:rFonts w:ascii="Times New Roman" w:hAnsi="Times New Roman" w:cs="Times New Roman"/>
          <w:b/>
          <w:bCs/>
          <w:sz w:val="24"/>
          <w:szCs w:val="24"/>
        </w:rPr>
        <w:t>Torma prügila</w:t>
      </w:r>
      <w:r w:rsidRPr="00E56B41">
        <w:rPr>
          <w:rFonts w:ascii="Times New Roman" w:hAnsi="Times New Roman" w:cs="Times New Roman"/>
          <w:sz w:val="24"/>
          <w:szCs w:val="24"/>
        </w:rPr>
        <w:t xml:space="preserve">, Jõgevamaa, OÜ </w:t>
      </w:r>
      <w:r w:rsidR="00F973F6" w:rsidRPr="00E56B41">
        <w:rPr>
          <w:rFonts w:ascii="Times New Roman" w:hAnsi="Times New Roman" w:cs="Times New Roman"/>
          <w:sz w:val="24"/>
          <w:szCs w:val="24"/>
        </w:rPr>
        <w:t>Amestop</w:t>
      </w:r>
      <w:r w:rsidRPr="00E56B41">
        <w:rPr>
          <w:rFonts w:ascii="Times New Roman" w:hAnsi="Times New Roman" w:cs="Times New Roman"/>
          <w:sz w:val="24"/>
          <w:szCs w:val="24"/>
        </w:rPr>
        <w:t>, 100% erakapitalil põhinev</w:t>
      </w:r>
      <w:r w:rsidR="00F973F6" w:rsidRPr="00E56B41">
        <w:rPr>
          <w:rFonts w:ascii="Times New Roman" w:hAnsi="Times New Roman" w:cs="Times New Roman"/>
          <w:sz w:val="24"/>
          <w:szCs w:val="24"/>
        </w:rPr>
        <w:t>.</w:t>
      </w:r>
    </w:p>
    <w:p w14:paraId="72C1D28F" w14:textId="36F6B352" w:rsidR="0047385F" w:rsidRPr="00E56B41" w:rsidRDefault="00F973F6" w:rsidP="00F973F6">
      <w:pPr>
        <w:pStyle w:val="ListParagraph"/>
        <w:ind w:left="709"/>
        <w:jc w:val="both"/>
        <w:rPr>
          <w:rFonts w:asciiTheme="majorBidi" w:hAnsiTheme="majorBidi" w:cstheme="majorBidi"/>
          <w:sz w:val="24"/>
          <w:szCs w:val="24"/>
        </w:rPr>
      </w:pPr>
      <w:r w:rsidRPr="00E56B41">
        <w:rPr>
          <w:rFonts w:asciiTheme="majorBidi" w:hAnsiTheme="majorBidi" w:cstheme="majorBidi"/>
          <w:sz w:val="24"/>
          <w:szCs w:val="24"/>
        </w:rPr>
        <w:t>Seega ei ole TJT turul ainus jäätmete ladestamise teenuse osutaja ega oma seaduslikku monopoli.</w:t>
      </w:r>
    </w:p>
    <w:p w14:paraId="7EC9F0CB" w14:textId="77777777" w:rsidR="00F973F6" w:rsidRPr="00E56B41" w:rsidRDefault="00F973F6" w:rsidP="00F973F6">
      <w:pPr>
        <w:pStyle w:val="ListParagraph"/>
        <w:ind w:left="709"/>
        <w:jc w:val="both"/>
        <w:rPr>
          <w:rFonts w:asciiTheme="majorBidi" w:hAnsiTheme="majorBidi" w:cstheme="majorBidi"/>
          <w:sz w:val="24"/>
          <w:szCs w:val="24"/>
        </w:rPr>
      </w:pPr>
    </w:p>
    <w:p w14:paraId="2014BFFB" w14:textId="7A2D02BC" w:rsidR="009530F8" w:rsidRPr="00E56B41" w:rsidRDefault="0011249A" w:rsidP="009530F8">
      <w:pPr>
        <w:pStyle w:val="ListParagraph"/>
        <w:ind w:left="709"/>
        <w:jc w:val="both"/>
        <w:rPr>
          <w:rFonts w:asciiTheme="majorBidi" w:hAnsiTheme="majorBidi" w:cstheme="majorBidi"/>
          <w:sz w:val="24"/>
          <w:szCs w:val="24"/>
        </w:rPr>
      </w:pPr>
      <w:r w:rsidRPr="00E56B41">
        <w:rPr>
          <w:rFonts w:asciiTheme="majorBidi" w:hAnsiTheme="majorBidi" w:cstheme="majorBidi"/>
          <w:sz w:val="24"/>
          <w:szCs w:val="24"/>
        </w:rPr>
        <w:t>Keskkonnaagentuuri andmete kohaselt ladestati 2024. aastal Eestis kokku ligikaudu 5,67 miljonit tonni jäätmeid, kusjuures peamise osa moodustas põlevkivituhk. Tallinna prügila on üks suuremaid tavajäätmete ladestuskohti Eestis ning omab turul olulist positsiooni, kuid sellest ei saa järeldada konkurentsi puudumist. Eestis tegutsevad lisaks Tallinna prügilale ka teised jäätmeladestuskohad ja jäätmekäitluskeskused, sealhulgas Paikre Prügila, Väätsa Prügila, Uikala Prügila ja Torma jäätmekäitluskeskus. Jäätmekäitluse valdkonnas tegutsevad nii avaliku sektori osalusega kui ka täielikult erakapitalil põhinevad ettevõtjad, kes konkureerivad omavahel jäätmete vastuvõtmise, käitlemise ja ladestamise teenuste osutamisel.</w:t>
      </w:r>
    </w:p>
    <w:p w14:paraId="3980B054" w14:textId="77777777" w:rsidR="0011249A" w:rsidRPr="00E56B41" w:rsidRDefault="0011249A" w:rsidP="0011249A">
      <w:pPr>
        <w:pStyle w:val="ListParagraph"/>
        <w:ind w:left="709"/>
        <w:jc w:val="both"/>
        <w:rPr>
          <w:rFonts w:ascii="Times New Roman" w:hAnsi="Times New Roman" w:cs="Times New Roman"/>
          <w:sz w:val="24"/>
          <w:szCs w:val="24"/>
        </w:rPr>
      </w:pPr>
      <w:r w:rsidRPr="00E56B41">
        <w:rPr>
          <w:rFonts w:ascii="Times New Roman" w:hAnsi="Times New Roman" w:cs="Times New Roman"/>
          <w:sz w:val="24"/>
          <w:szCs w:val="24"/>
        </w:rPr>
        <w:t>Jäätmekäitluse valdkonnas tegutseb Eestis lisaks erinevatele spetsiifilistele jäätmeliikidele (nt ehitusjäätmed, puit, metall, klaas, pakendid, biolagunevad jäätmed ja suurjäätmed) spetsialiseerunud ettevõtjatele ka mitmeid suuremahulisi segaolmejäätmete käitlejaid. Oluliseks turuosaliseks on muu hulgas Enefit Green opereeritav Iru jäätmeenergiaplokk Maardus, kuhu suunatakse oluline osa Harjumaa segaolmejäätmetest energiakasutuseks. Seetõttu konkureerib TJT jäätmete vastuvõtmise turul muu hulgas ka jäätmepõletamise ja energiakasutuse lahendustega.</w:t>
      </w:r>
    </w:p>
    <w:p w14:paraId="41A52ADB" w14:textId="77777777" w:rsidR="0011249A" w:rsidRPr="00E56B41" w:rsidRDefault="0011249A" w:rsidP="0011249A">
      <w:pPr>
        <w:pStyle w:val="ListParagraph"/>
        <w:ind w:left="709"/>
        <w:jc w:val="both"/>
        <w:rPr>
          <w:rFonts w:ascii="Times New Roman" w:hAnsi="Times New Roman" w:cs="Times New Roman"/>
          <w:sz w:val="24"/>
          <w:szCs w:val="24"/>
        </w:rPr>
      </w:pPr>
    </w:p>
    <w:p w14:paraId="18F966F3" w14:textId="77777777" w:rsidR="0011249A" w:rsidRDefault="0011249A" w:rsidP="0011249A">
      <w:pPr>
        <w:pStyle w:val="ListParagraph"/>
        <w:ind w:left="709"/>
        <w:jc w:val="both"/>
        <w:rPr>
          <w:rFonts w:ascii="Times New Roman" w:hAnsi="Times New Roman" w:cs="Times New Roman"/>
          <w:sz w:val="24"/>
          <w:szCs w:val="24"/>
        </w:rPr>
      </w:pPr>
      <w:r w:rsidRPr="00E56B41">
        <w:rPr>
          <w:rFonts w:ascii="Times New Roman" w:hAnsi="Times New Roman" w:cs="Times New Roman"/>
          <w:sz w:val="24"/>
          <w:szCs w:val="24"/>
        </w:rPr>
        <w:t>Ladestamisele kohalduv saastetasu ning Euroopa Liidu ja Eesti jäätmepoliitikast tulenev eesmärk</w:t>
      </w:r>
      <w:r w:rsidRPr="0011249A">
        <w:rPr>
          <w:rFonts w:ascii="Times New Roman" w:hAnsi="Times New Roman" w:cs="Times New Roman"/>
          <w:sz w:val="24"/>
          <w:szCs w:val="24"/>
        </w:rPr>
        <w:t xml:space="preserve"> vähendada ladestatavate jäätmete osakaalu suurendavad omakorda konkurentsi erinevate jäätmekäitluslahenduste vahel. Sellises turuolukorras on TJT huvi konkureerida jäätmevoogude pärast, suurendada jäätmete taaskasutamist ja väärindamist ning vähendada ladestamise osakaalu, et säilitada konkurentsivõime ja teenida müügitulu.</w:t>
      </w:r>
    </w:p>
    <w:p w14:paraId="5797EB07" w14:textId="77777777" w:rsidR="0011249A" w:rsidRPr="0011249A" w:rsidRDefault="0011249A" w:rsidP="0011249A">
      <w:pPr>
        <w:pStyle w:val="ListParagraph"/>
        <w:ind w:left="709"/>
        <w:jc w:val="both"/>
        <w:rPr>
          <w:rFonts w:ascii="Times New Roman" w:hAnsi="Times New Roman" w:cs="Times New Roman"/>
          <w:sz w:val="24"/>
          <w:szCs w:val="24"/>
        </w:rPr>
      </w:pPr>
    </w:p>
    <w:p w14:paraId="32EF495A" w14:textId="77777777" w:rsidR="0011249A" w:rsidRPr="0011249A" w:rsidRDefault="0011249A" w:rsidP="0011249A">
      <w:pPr>
        <w:pStyle w:val="ListParagraph"/>
        <w:ind w:left="709"/>
        <w:jc w:val="both"/>
        <w:rPr>
          <w:rFonts w:ascii="Times New Roman" w:hAnsi="Times New Roman" w:cs="Times New Roman"/>
          <w:sz w:val="24"/>
          <w:szCs w:val="24"/>
        </w:rPr>
      </w:pPr>
      <w:r w:rsidRPr="0011249A">
        <w:rPr>
          <w:rFonts w:ascii="Times New Roman" w:hAnsi="Times New Roman" w:cs="Times New Roman"/>
          <w:sz w:val="24"/>
          <w:szCs w:val="24"/>
        </w:rPr>
        <w:t>Konkurents toimib ka jäätmeveo valdkonnas. Eestis tegutseb lisaks TJT-le hulk erasektori ettevõtjaid, kes osutavad korraldatud jäätmeveo teenust kohalike omavalitsuste korraldatud konkursside ja hangete alusel. TJT osaleb sellistel konkurssidel teiste ettevõtjatega võrdsetel alustel ning talle ei ole tagatud turuosa ega seadusest tulenevaid konkurentsieeliseid.</w:t>
      </w:r>
    </w:p>
    <w:p w14:paraId="20DDC9B4" w14:textId="77777777" w:rsidR="0011249A" w:rsidRDefault="0011249A" w:rsidP="0011249A">
      <w:pPr>
        <w:pStyle w:val="ListParagraph"/>
        <w:ind w:left="709"/>
        <w:jc w:val="both"/>
        <w:rPr>
          <w:rFonts w:ascii="Times New Roman" w:hAnsi="Times New Roman" w:cs="Times New Roman"/>
          <w:sz w:val="24"/>
          <w:szCs w:val="24"/>
        </w:rPr>
      </w:pPr>
      <w:r w:rsidRPr="0011249A">
        <w:rPr>
          <w:rFonts w:ascii="Times New Roman" w:hAnsi="Times New Roman" w:cs="Times New Roman"/>
          <w:sz w:val="24"/>
          <w:szCs w:val="24"/>
        </w:rPr>
        <w:t>Eeltoodust nähtuvalt pakuvad TJT-ga sarnaseid teenuseid turul mitmed ettevõtjad ning jäätmekäitluse ja jäätmeveo valdkonda ei saa pidada oluliselt piiratud või konkurentsita turuks. Samuti ei oma TJT turul valitsevat mõju ega seaduslikku monopoli. Konkurentsi olemasolu või puudumine ei ole küll ainuotsustav asjaolu hankijastaatuse hindamisel, kuid TJT tegutsemine konkurentsitingimustes, tururiskide kandmine ja majanduslikest kaalutlustest lähtumine viitavad tegevuse ärilisele iseloomule.</w:t>
      </w:r>
    </w:p>
    <w:p w14:paraId="4866AD8E" w14:textId="77777777" w:rsidR="0011249A" w:rsidRPr="0011249A" w:rsidRDefault="0011249A" w:rsidP="0011249A">
      <w:pPr>
        <w:pStyle w:val="ListParagraph"/>
        <w:ind w:left="709"/>
        <w:jc w:val="both"/>
        <w:rPr>
          <w:rFonts w:ascii="Times New Roman" w:hAnsi="Times New Roman" w:cs="Times New Roman"/>
          <w:sz w:val="24"/>
          <w:szCs w:val="24"/>
        </w:rPr>
      </w:pPr>
    </w:p>
    <w:p w14:paraId="6F618498" w14:textId="77777777" w:rsidR="00BA7B46" w:rsidRDefault="00BA7B46">
      <w:pPr>
        <w:rPr>
          <w:rFonts w:ascii="Times New Roman" w:hAnsi="Times New Roman" w:cs="Times New Roman"/>
          <w:b/>
          <w:bCs/>
          <w:sz w:val="24"/>
          <w:szCs w:val="24"/>
        </w:rPr>
      </w:pPr>
      <w:r>
        <w:rPr>
          <w:rFonts w:ascii="Times New Roman" w:hAnsi="Times New Roman" w:cs="Times New Roman"/>
          <w:b/>
          <w:bCs/>
          <w:sz w:val="24"/>
          <w:szCs w:val="24"/>
        </w:rPr>
        <w:br w:type="page"/>
      </w:r>
    </w:p>
    <w:p w14:paraId="2FC8DBE6" w14:textId="5AA7B898" w:rsidR="001029FD" w:rsidRPr="00391735" w:rsidRDefault="001029FD" w:rsidP="001029FD">
      <w:pPr>
        <w:pStyle w:val="ListParagraph"/>
        <w:jc w:val="both"/>
        <w:rPr>
          <w:rFonts w:ascii="Times New Roman" w:hAnsi="Times New Roman" w:cs="Times New Roman"/>
          <w:b/>
          <w:bCs/>
          <w:sz w:val="24"/>
          <w:szCs w:val="24"/>
        </w:rPr>
      </w:pPr>
      <w:r w:rsidRPr="00391735">
        <w:rPr>
          <w:rFonts w:ascii="Times New Roman" w:hAnsi="Times New Roman" w:cs="Times New Roman"/>
          <w:b/>
          <w:bCs/>
          <w:sz w:val="24"/>
          <w:szCs w:val="24"/>
        </w:rPr>
        <w:t>Kas ettevõtja teenib kasumit?</w:t>
      </w:r>
    </w:p>
    <w:p w14:paraId="042783EE" w14:textId="67DAE0FB" w:rsidR="00CA5618" w:rsidRPr="00391735" w:rsidRDefault="00CA5618" w:rsidP="001029FD">
      <w:pPr>
        <w:pStyle w:val="ListParagraph"/>
        <w:jc w:val="both"/>
        <w:rPr>
          <w:rFonts w:ascii="Times New Roman" w:hAnsi="Times New Roman" w:cs="Times New Roman"/>
          <w:sz w:val="24"/>
          <w:szCs w:val="24"/>
        </w:rPr>
      </w:pPr>
    </w:p>
    <w:p w14:paraId="5FB36743" w14:textId="31EB97DC" w:rsidR="00F002F9" w:rsidRPr="006349EA" w:rsidRDefault="00600805" w:rsidP="00F002F9">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Asjaolu, kas äriühing teenib kasumit, on samuti oluline, otsustamaks selle üle, kas tegevusel on äriline aspekt või mitte. Siiski tuleb välja tuua, et Euroopa Kohus on mitmel korral rõhutanud, et kui organisatsioon jätkab nende üldistest huvidest lähtuvate vajaduste rahuldamist, mida ta on kohustatud tegema, siis ei ole tähtsust tõsiasjal, et lisaks oma üldistest huvidest tulenevale ülesandele tegeleb ta ka mingite muude kasumit taotlevate tegevustega. Kasumi teenimise eesmärki on ka Eesti kohtupraktika pidanud hankija tegevuse eristamisel oluliseks. Samamoodi kui nähtub Euroopa Kohtu praktikast, viitab ka Eesti kohtupraktika, et kui äriühing taotleb kasumit, saab järeldada, et selline äriühing pigem ei ole hankija RHS tähenduses.</w:t>
      </w:r>
      <w:r w:rsidR="00343D34" w:rsidRPr="00391735">
        <w:rPr>
          <w:rStyle w:val="FootnoteReference"/>
          <w:rFonts w:ascii="Times New Roman" w:hAnsi="Times New Roman" w:cs="Times New Roman"/>
          <w:sz w:val="24"/>
          <w:szCs w:val="24"/>
        </w:rPr>
        <w:footnoteReference w:id="14"/>
      </w:r>
      <w:r w:rsidR="00F002F9">
        <w:rPr>
          <w:rFonts w:ascii="Times New Roman" w:hAnsi="Times New Roman" w:cs="Times New Roman"/>
          <w:sz w:val="24"/>
          <w:szCs w:val="24"/>
        </w:rPr>
        <w:t xml:space="preserve"> </w:t>
      </w:r>
      <w:r w:rsidR="00F002F9" w:rsidRPr="00F002F9">
        <w:rPr>
          <w:rFonts w:ascii="Times New Roman" w:hAnsi="Times New Roman" w:cs="Times New Roman"/>
          <w:sz w:val="24"/>
          <w:szCs w:val="24"/>
        </w:rPr>
        <w:t xml:space="preserve">Ka </w:t>
      </w:r>
      <w:r w:rsidR="00F002F9" w:rsidRPr="006349EA">
        <w:rPr>
          <w:rFonts w:ascii="Times New Roman" w:hAnsi="Times New Roman" w:cs="Times New Roman"/>
          <w:sz w:val="24"/>
          <w:szCs w:val="24"/>
        </w:rPr>
        <w:t>õiguskirjanduses on leitud, et kui kasumi teenimine on äriühingu esmane eesmärk, näitab see, et tegevus võib olla tööstusliku või ärilise iseloomuga.</w:t>
      </w:r>
      <w:r w:rsidR="00F002F9" w:rsidRPr="00F002F9">
        <w:rPr>
          <w:rStyle w:val="FootnoteReference"/>
          <w:rFonts w:ascii="Times New Roman" w:hAnsi="Times New Roman" w:cs="Times New Roman"/>
          <w:sz w:val="24"/>
          <w:szCs w:val="24"/>
        </w:rPr>
        <w:footnoteReference w:id="15"/>
      </w:r>
    </w:p>
    <w:p w14:paraId="4CE7217F" w14:textId="77777777" w:rsidR="00600805" w:rsidRPr="00391735" w:rsidRDefault="00600805" w:rsidP="00600805">
      <w:pPr>
        <w:pStyle w:val="ListParagraph"/>
        <w:jc w:val="both"/>
        <w:rPr>
          <w:rFonts w:ascii="Times New Roman" w:hAnsi="Times New Roman" w:cs="Times New Roman"/>
          <w:sz w:val="24"/>
          <w:szCs w:val="24"/>
        </w:rPr>
      </w:pPr>
    </w:p>
    <w:p w14:paraId="52F5DF57" w14:textId="689D82AD" w:rsidR="00600805" w:rsidRPr="00391735" w:rsidRDefault="00600805" w:rsidP="00600805">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Kasumi teenimist ei tule aga segamini ajada isiku juriidilise vormiga, mis loob eelduse kasumi teenimiseks. </w:t>
      </w:r>
      <w:r w:rsidRPr="00391735">
        <w:rPr>
          <w:rFonts w:ascii="Times New Roman" w:hAnsi="Times New Roman" w:cs="Times New Roman"/>
          <w:i/>
          <w:iCs/>
          <w:sz w:val="24"/>
          <w:szCs w:val="24"/>
        </w:rPr>
        <w:t>Aigneri</w:t>
      </w:r>
      <w:r w:rsidRPr="00391735">
        <w:rPr>
          <w:rFonts w:ascii="Times New Roman" w:hAnsi="Times New Roman" w:cs="Times New Roman"/>
          <w:sz w:val="24"/>
          <w:szCs w:val="24"/>
        </w:rPr>
        <w:t xml:space="preserve"> kohtuasjas leidis Euroopa Kohus, et kuigi omanik taotleb ettevõtja tegevusega kasumit, tulenes omaniku tahtest ettevõtja asutamisel, et ettevõtja loodi eesmärgiga teenida avalikkust (mitte teenida kasumit). Euroopa Kohtu pikaaegse kohtupraktika kohaselt tuleb isiku hankijastaatuse tuvastamisel rakendada funktsionaalset tõlgendamist, mille alusel ei määra isiku hankijastaatust üksnes tema tegutsemise vorm. Seega ei piisa üksnes isiku õigusliku vormi tuvastamisest, et järeldada isiku hankekohustuse puudumist. Asjaolust, et isik tegutseb vormis, mis võimaldab kasumit teenida (äriseadustiku alusel nt aktsiaselts, osaühing), ei tulene automaatset järeldust, et kogu isiku tegevus on ärilise eesmärgiga. Tegemist on vaid ühe eeldusega, mida saab hinnata koostoimes kõikide ettevõtja tegevust iseloomustavate andmetega.</w:t>
      </w:r>
      <w:r w:rsidR="00343D34" w:rsidRPr="00391735">
        <w:rPr>
          <w:rStyle w:val="FootnoteReference"/>
          <w:rFonts w:ascii="Times New Roman" w:hAnsi="Times New Roman" w:cs="Times New Roman"/>
          <w:sz w:val="24"/>
          <w:szCs w:val="24"/>
        </w:rPr>
        <w:footnoteReference w:id="16"/>
      </w:r>
    </w:p>
    <w:p w14:paraId="549BB873" w14:textId="77777777" w:rsidR="00600805" w:rsidRPr="00391735" w:rsidRDefault="00600805" w:rsidP="001029FD">
      <w:pPr>
        <w:pStyle w:val="ListParagraph"/>
        <w:jc w:val="both"/>
        <w:rPr>
          <w:rFonts w:ascii="Times New Roman" w:hAnsi="Times New Roman" w:cs="Times New Roman"/>
          <w:sz w:val="24"/>
          <w:szCs w:val="24"/>
        </w:rPr>
      </w:pPr>
    </w:p>
    <w:p w14:paraId="60DE7788" w14:textId="72CA809D" w:rsidR="00D37AF4" w:rsidRPr="00391735" w:rsidRDefault="00915D7E" w:rsidP="006349EA">
      <w:pPr>
        <w:ind w:left="709"/>
        <w:rPr>
          <w:rFonts w:ascii="Times New Roman" w:hAnsi="Times New Roman" w:cs="Times New Roman"/>
          <w:sz w:val="24"/>
          <w:szCs w:val="24"/>
        </w:rPr>
      </w:pPr>
      <w:r>
        <w:rPr>
          <w:rFonts w:ascii="Times New Roman" w:hAnsi="Times New Roman" w:cs="Times New Roman"/>
          <w:sz w:val="24"/>
          <w:szCs w:val="24"/>
        </w:rPr>
        <w:br w:type="page"/>
      </w:r>
      <w:r w:rsidR="00D37AF4" w:rsidRPr="00391735">
        <w:rPr>
          <w:rFonts w:ascii="Times New Roman" w:hAnsi="Times New Roman" w:cs="Times New Roman"/>
          <w:sz w:val="24"/>
          <w:szCs w:val="24"/>
        </w:rPr>
        <w:t>Alates 2014. aastast, kui Tallinn omandas taas 100%</w:t>
      </w:r>
      <w:r w:rsidR="00027317" w:rsidRPr="00391735">
        <w:rPr>
          <w:rFonts w:ascii="Times New Roman" w:hAnsi="Times New Roman" w:cs="Times New Roman"/>
          <w:sz w:val="24"/>
          <w:szCs w:val="24"/>
        </w:rPr>
        <w:t xml:space="preserve">-lise </w:t>
      </w:r>
      <w:r w:rsidR="00D37AF4" w:rsidRPr="00391735">
        <w:rPr>
          <w:rFonts w:ascii="Times New Roman" w:hAnsi="Times New Roman" w:cs="Times New Roman"/>
          <w:sz w:val="24"/>
          <w:szCs w:val="24"/>
        </w:rPr>
        <w:t xml:space="preserve">osaluse TJT-s, on aktsiaseltsi tegevus olnud </w:t>
      </w:r>
      <w:r w:rsidR="0011249A">
        <w:rPr>
          <w:rFonts w:ascii="Times New Roman" w:hAnsi="Times New Roman" w:cs="Times New Roman"/>
          <w:sz w:val="24"/>
          <w:szCs w:val="24"/>
        </w:rPr>
        <w:t>pigem</w:t>
      </w:r>
      <w:r w:rsidR="0011249A" w:rsidRPr="00391735">
        <w:rPr>
          <w:rFonts w:ascii="Times New Roman" w:hAnsi="Times New Roman" w:cs="Times New Roman"/>
          <w:sz w:val="24"/>
          <w:szCs w:val="24"/>
        </w:rPr>
        <w:t xml:space="preserve"> </w:t>
      </w:r>
      <w:r w:rsidR="00D37AF4" w:rsidRPr="00391735">
        <w:rPr>
          <w:rFonts w:ascii="Times New Roman" w:hAnsi="Times New Roman" w:cs="Times New Roman"/>
          <w:sz w:val="24"/>
          <w:szCs w:val="24"/>
        </w:rPr>
        <w:t>kasumlik:</w:t>
      </w:r>
    </w:p>
    <w:tbl>
      <w:tblPr>
        <w:tblW w:w="0" w:type="auto"/>
        <w:tblInd w:w="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6"/>
        <w:gridCol w:w="1843"/>
        <w:gridCol w:w="1691"/>
        <w:gridCol w:w="1985"/>
      </w:tblGrid>
      <w:tr w:rsidR="00CA5618" w:rsidRPr="00391735" w14:paraId="76E69532" w14:textId="77777777" w:rsidTr="00D37AF4">
        <w:trPr>
          <w:trHeight w:val="661"/>
        </w:trPr>
        <w:tc>
          <w:tcPr>
            <w:tcW w:w="1276" w:type="dxa"/>
            <w:tcMar>
              <w:top w:w="0" w:type="dxa"/>
              <w:left w:w="108" w:type="dxa"/>
              <w:bottom w:w="0" w:type="dxa"/>
              <w:right w:w="108" w:type="dxa"/>
            </w:tcMar>
            <w:vAlign w:val="center"/>
            <w:hideMark/>
          </w:tcPr>
          <w:p w14:paraId="37332698"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Aasta</w:t>
            </w:r>
          </w:p>
        </w:tc>
        <w:tc>
          <w:tcPr>
            <w:tcW w:w="1843" w:type="dxa"/>
            <w:tcMar>
              <w:top w:w="0" w:type="dxa"/>
              <w:left w:w="108" w:type="dxa"/>
              <w:bottom w:w="0" w:type="dxa"/>
              <w:right w:w="108" w:type="dxa"/>
            </w:tcMar>
            <w:vAlign w:val="center"/>
            <w:hideMark/>
          </w:tcPr>
          <w:p w14:paraId="405C774D" w14:textId="45F8517C"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Puhaskasum</w:t>
            </w:r>
            <w:r w:rsidR="00027317" w:rsidRPr="00391735">
              <w:rPr>
                <w:rFonts w:ascii="Times New Roman" w:hAnsi="Times New Roman" w:cs="Times New Roman"/>
                <w:sz w:val="24"/>
                <w:szCs w:val="24"/>
              </w:rPr>
              <w:t xml:space="preserve"> eurodes</w:t>
            </w:r>
          </w:p>
        </w:tc>
        <w:tc>
          <w:tcPr>
            <w:tcW w:w="1691" w:type="dxa"/>
            <w:tcMar>
              <w:top w:w="0" w:type="dxa"/>
              <w:left w:w="108" w:type="dxa"/>
              <w:bottom w:w="0" w:type="dxa"/>
              <w:right w:w="108" w:type="dxa"/>
            </w:tcMar>
            <w:vAlign w:val="center"/>
            <w:hideMark/>
          </w:tcPr>
          <w:p w14:paraId="365995E5" w14:textId="2DDCED61" w:rsidR="00027317"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Dividend</w:t>
            </w:r>
            <w:r w:rsidR="00027317" w:rsidRPr="00391735">
              <w:rPr>
                <w:rFonts w:ascii="Times New Roman" w:hAnsi="Times New Roman" w:cs="Times New Roman"/>
                <w:sz w:val="24"/>
                <w:szCs w:val="24"/>
              </w:rPr>
              <w:t xml:space="preserve"> eurodes</w:t>
            </w:r>
          </w:p>
        </w:tc>
        <w:tc>
          <w:tcPr>
            <w:tcW w:w="1985" w:type="dxa"/>
            <w:tcMar>
              <w:top w:w="0" w:type="dxa"/>
              <w:left w:w="108" w:type="dxa"/>
              <w:bottom w:w="0" w:type="dxa"/>
              <w:right w:w="108" w:type="dxa"/>
            </w:tcMar>
            <w:vAlign w:val="center"/>
            <w:hideMark/>
          </w:tcPr>
          <w:p w14:paraId="25D852A0" w14:textId="58396B79"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r w:rsidRPr="00391735">
              <w:rPr>
                <w:rFonts w:ascii="Times New Roman" w:hAnsi="Times New Roman" w:cs="Times New Roman"/>
                <w:sz w:val="24"/>
                <w:szCs w:val="24"/>
              </w:rPr>
              <w:t>Aktsiakapitali vähendamine</w:t>
            </w:r>
            <w:r w:rsidR="00027317" w:rsidRPr="00391735">
              <w:rPr>
                <w:rFonts w:ascii="Times New Roman" w:hAnsi="Times New Roman" w:cs="Times New Roman"/>
                <w:sz w:val="24"/>
                <w:szCs w:val="24"/>
              </w:rPr>
              <w:t xml:space="preserve"> eurodes</w:t>
            </w:r>
          </w:p>
        </w:tc>
      </w:tr>
      <w:tr w:rsidR="00CA5618" w:rsidRPr="00391735" w14:paraId="4E4F52D2" w14:textId="77777777" w:rsidTr="00CA5618">
        <w:tc>
          <w:tcPr>
            <w:tcW w:w="1276" w:type="dxa"/>
            <w:tcMar>
              <w:top w:w="0" w:type="dxa"/>
              <w:left w:w="108" w:type="dxa"/>
              <w:bottom w:w="0" w:type="dxa"/>
              <w:right w:w="108" w:type="dxa"/>
            </w:tcMar>
            <w:hideMark/>
          </w:tcPr>
          <w:p w14:paraId="06F68D8A"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2014</w:t>
            </w:r>
          </w:p>
        </w:tc>
        <w:tc>
          <w:tcPr>
            <w:tcW w:w="1843" w:type="dxa"/>
            <w:tcMar>
              <w:top w:w="0" w:type="dxa"/>
              <w:left w:w="108" w:type="dxa"/>
              <w:bottom w:w="0" w:type="dxa"/>
              <w:right w:w="108" w:type="dxa"/>
            </w:tcMar>
            <w:hideMark/>
          </w:tcPr>
          <w:p w14:paraId="3BA089AD" w14:textId="66ABDB7D"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246</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805</w:t>
            </w:r>
          </w:p>
        </w:tc>
        <w:tc>
          <w:tcPr>
            <w:tcW w:w="1691" w:type="dxa"/>
            <w:tcMar>
              <w:top w:w="0" w:type="dxa"/>
              <w:left w:w="108" w:type="dxa"/>
              <w:bottom w:w="0" w:type="dxa"/>
              <w:right w:w="108" w:type="dxa"/>
            </w:tcMar>
            <w:hideMark/>
          </w:tcPr>
          <w:p w14:paraId="18CE8193" w14:textId="0A99ACDF"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1</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000</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000</w:t>
            </w:r>
          </w:p>
        </w:tc>
        <w:tc>
          <w:tcPr>
            <w:tcW w:w="1985" w:type="dxa"/>
            <w:tcMar>
              <w:top w:w="0" w:type="dxa"/>
              <w:left w:w="108" w:type="dxa"/>
              <w:bottom w:w="0" w:type="dxa"/>
              <w:right w:w="108" w:type="dxa"/>
            </w:tcMar>
            <w:hideMark/>
          </w:tcPr>
          <w:p w14:paraId="454DA211" w14:textId="5020A64A"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r w:rsidRPr="00391735">
              <w:rPr>
                <w:rFonts w:ascii="Times New Roman" w:hAnsi="Times New Roman" w:cs="Times New Roman"/>
                <w:sz w:val="24"/>
                <w:szCs w:val="24"/>
              </w:rPr>
              <w:t>1</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600</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000</w:t>
            </w:r>
          </w:p>
        </w:tc>
      </w:tr>
      <w:tr w:rsidR="00CA5618" w:rsidRPr="00391735" w14:paraId="12B8C261" w14:textId="77777777" w:rsidTr="00CA5618">
        <w:tc>
          <w:tcPr>
            <w:tcW w:w="1276" w:type="dxa"/>
            <w:tcMar>
              <w:top w:w="0" w:type="dxa"/>
              <w:left w:w="108" w:type="dxa"/>
              <w:bottom w:w="0" w:type="dxa"/>
              <w:right w:w="108" w:type="dxa"/>
            </w:tcMar>
            <w:hideMark/>
          </w:tcPr>
          <w:p w14:paraId="54292AAA"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2015</w:t>
            </w:r>
          </w:p>
        </w:tc>
        <w:tc>
          <w:tcPr>
            <w:tcW w:w="1843" w:type="dxa"/>
            <w:tcMar>
              <w:top w:w="0" w:type="dxa"/>
              <w:left w:w="108" w:type="dxa"/>
              <w:bottom w:w="0" w:type="dxa"/>
              <w:right w:w="108" w:type="dxa"/>
            </w:tcMar>
            <w:hideMark/>
          </w:tcPr>
          <w:p w14:paraId="4A569692" w14:textId="0DB7DE76"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170</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500</w:t>
            </w:r>
          </w:p>
        </w:tc>
        <w:tc>
          <w:tcPr>
            <w:tcW w:w="1691" w:type="dxa"/>
            <w:tcMar>
              <w:top w:w="0" w:type="dxa"/>
              <w:left w:w="108" w:type="dxa"/>
              <w:bottom w:w="0" w:type="dxa"/>
              <w:right w:w="108" w:type="dxa"/>
            </w:tcMar>
          </w:tcPr>
          <w:p w14:paraId="76DB3E92" w14:textId="77777777"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53FC5795"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136D22D6" w14:textId="77777777" w:rsidTr="00CA5618">
        <w:tc>
          <w:tcPr>
            <w:tcW w:w="1276" w:type="dxa"/>
            <w:tcMar>
              <w:top w:w="0" w:type="dxa"/>
              <w:left w:w="108" w:type="dxa"/>
              <w:bottom w:w="0" w:type="dxa"/>
              <w:right w:w="108" w:type="dxa"/>
            </w:tcMar>
            <w:hideMark/>
          </w:tcPr>
          <w:p w14:paraId="5505AF25"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2016</w:t>
            </w:r>
          </w:p>
        </w:tc>
        <w:tc>
          <w:tcPr>
            <w:tcW w:w="1843" w:type="dxa"/>
            <w:tcMar>
              <w:top w:w="0" w:type="dxa"/>
              <w:left w:w="108" w:type="dxa"/>
              <w:bottom w:w="0" w:type="dxa"/>
              <w:right w:w="108" w:type="dxa"/>
            </w:tcMar>
            <w:hideMark/>
          </w:tcPr>
          <w:p w14:paraId="561D0937" w14:textId="1E8B42CA"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768</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944</w:t>
            </w:r>
          </w:p>
        </w:tc>
        <w:tc>
          <w:tcPr>
            <w:tcW w:w="1691" w:type="dxa"/>
            <w:tcMar>
              <w:top w:w="0" w:type="dxa"/>
              <w:left w:w="108" w:type="dxa"/>
              <w:bottom w:w="0" w:type="dxa"/>
              <w:right w:w="108" w:type="dxa"/>
            </w:tcMar>
          </w:tcPr>
          <w:p w14:paraId="32F7569A" w14:textId="77777777"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55C220B2"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12CA8805" w14:textId="77777777" w:rsidTr="00CA5618">
        <w:tc>
          <w:tcPr>
            <w:tcW w:w="1276" w:type="dxa"/>
            <w:tcMar>
              <w:top w:w="0" w:type="dxa"/>
              <w:left w:w="108" w:type="dxa"/>
              <w:bottom w:w="0" w:type="dxa"/>
              <w:right w:w="108" w:type="dxa"/>
            </w:tcMar>
            <w:hideMark/>
          </w:tcPr>
          <w:p w14:paraId="5CDE1ADF"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2017</w:t>
            </w:r>
          </w:p>
        </w:tc>
        <w:tc>
          <w:tcPr>
            <w:tcW w:w="1843" w:type="dxa"/>
            <w:tcMar>
              <w:top w:w="0" w:type="dxa"/>
              <w:left w:w="108" w:type="dxa"/>
              <w:bottom w:w="0" w:type="dxa"/>
              <w:right w:w="108" w:type="dxa"/>
            </w:tcMar>
            <w:hideMark/>
          </w:tcPr>
          <w:p w14:paraId="4FB9C084" w14:textId="33F8D18D"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1</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319</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296</w:t>
            </w:r>
          </w:p>
        </w:tc>
        <w:tc>
          <w:tcPr>
            <w:tcW w:w="1691" w:type="dxa"/>
            <w:tcMar>
              <w:top w:w="0" w:type="dxa"/>
              <w:left w:w="108" w:type="dxa"/>
              <w:bottom w:w="0" w:type="dxa"/>
              <w:right w:w="108" w:type="dxa"/>
            </w:tcMar>
          </w:tcPr>
          <w:p w14:paraId="241B6A30" w14:textId="77777777"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4AC56BEF"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70FEE955" w14:textId="77777777" w:rsidTr="00CA5618">
        <w:tc>
          <w:tcPr>
            <w:tcW w:w="1276" w:type="dxa"/>
            <w:tcMar>
              <w:top w:w="0" w:type="dxa"/>
              <w:left w:w="108" w:type="dxa"/>
              <w:bottom w:w="0" w:type="dxa"/>
              <w:right w:w="108" w:type="dxa"/>
            </w:tcMar>
            <w:hideMark/>
          </w:tcPr>
          <w:p w14:paraId="7ED0D345"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2018</w:t>
            </w:r>
          </w:p>
        </w:tc>
        <w:tc>
          <w:tcPr>
            <w:tcW w:w="1843" w:type="dxa"/>
            <w:tcMar>
              <w:top w:w="0" w:type="dxa"/>
              <w:left w:w="108" w:type="dxa"/>
              <w:bottom w:w="0" w:type="dxa"/>
              <w:right w:w="108" w:type="dxa"/>
            </w:tcMar>
            <w:hideMark/>
          </w:tcPr>
          <w:p w14:paraId="2C460BC2" w14:textId="3612F226"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2</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660</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867</w:t>
            </w:r>
          </w:p>
        </w:tc>
        <w:tc>
          <w:tcPr>
            <w:tcW w:w="1691" w:type="dxa"/>
            <w:tcMar>
              <w:top w:w="0" w:type="dxa"/>
              <w:left w:w="108" w:type="dxa"/>
              <w:bottom w:w="0" w:type="dxa"/>
              <w:right w:w="108" w:type="dxa"/>
            </w:tcMar>
          </w:tcPr>
          <w:p w14:paraId="163DD78A" w14:textId="77777777"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5D82763D"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703E903D" w14:textId="77777777" w:rsidTr="00CA5618">
        <w:tc>
          <w:tcPr>
            <w:tcW w:w="1276" w:type="dxa"/>
            <w:tcMar>
              <w:top w:w="0" w:type="dxa"/>
              <w:left w:w="108" w:type="dxa"/>
              <w:bottom w:w="0" w:type="dxa"/>
              <w:right w:w="108" w:type="dxa"/>
            </w:tcMar>
            <w:hideMark/>
          </w:tcPr>
          <w:p w14:paraId="7E4A66A6"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2019</w:t>
            </w:r>
          </w:p>
        </w:tc>
        <w:tc>
          <w:tcPr>
            <w:tcW w:w="1843" w:type="dxa"/>
            <w:tcMar>
              <w:top w:w="0" w:type="dxa"/>
              <w:left w:w="108" w:type="dxa"/>
              <w:bottom w:w="0" w:type="dxa"/>
              <w:right w:w="108" w:type="dxa"/>
            </w:tcMar>
            <w:hideMark/>
          </w:tcPr>
          <w:p w14:paraId="0750E96A" w14:textId="4D4C64EB"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1</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649</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257</w:t>
            </w:r>
          </w:p>
        </w:tc>
        <w:tc>
          <w:tcPr>
            <w:tcW w:w="1691" w:type="dxa"/>
            <w:tcMar>
              <w:top w:w="0" w:type="dxa"/>
              <w:left w:w="108" w:type="dxa"/>
              <w:bottom w:w="0" w:type="dxa"/>
              <w:right w:w="108" w:type="dxa"/>
            </w:tcMar>
            <w:hideMark/>
          </w:tcPr>
          <w:p w14:paraId="46174BC4" w14:textId="0B587125"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1</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600</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000</w:t>
            </w:r>
          </w:p>
        </w:tc>
        <w:tc>
          <w:tcPr>
            <w:tcW w:w="1985" w:type="dxa"/>
            <w:tcMar>
              <w:top w:w="0" w:type="dxa"/>
              <w:left w:w="108" w:type="dxa"/>
              <w:bottom w:w="0" w:type="dxa"/>
              <w:right w:w="108" w:type="dxa"/>
            </w:tcMar>
          </w:tcPr>
          <w:p w14:paraId="06C28A41"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4CC8D698" w14:textId="77777777" w:rsidTr="00CA5618">
        <w:tc>
          <w:tcPr>
            <w:tcW w:w="1276" w:type="dxa"/>
            <w:tcMar>
              <w:top w:w="0" w:type="dxa"/>
              <w:left w:w="108" w:type="dxa"/>
              <w:bottom w:w="0" w:type="dxa"/>
              <w:right w:w="108" w:type="dxa"/>
            </w:tcMar>
            <w:hideMark/>
          </w:tcPr>
          <w:p w14:paraId="2B306FF1"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2020</w:t>
            </w:r>
          </w:p>
        </w:tc>
        <w:tc>
          <w:tcPr>
            <w:tcW w:w="1843" w:type="dxa"/>
            <w:tcMar>
              <w:top w:w="0" w:type="dxa"/>
              <w:left w:w="108" w:type="dxa"/>
              <w:bottom w:w="0" w:type="dxa"/>
              <w:right w:w="108" w:type="dxa"/>
            </w:tcMar>
            <w:hideMark/>
          </w:tcPr>
          <w:p w14:paraId="7C434D15" w14:textId="4EB4D340"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917</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359</w:t>
            </w:r>
          </w:p>
        </w:tc>
        <w:tc>
          <w:tcPr>
            <w:tcW w:w="1691" w:type="dxa"/>
            <w:tcMar>
              <w:top w:w="0" w:type="dxa"/>
              <w:left w:w="108" w:type="dxa"/>
              <w:bottom w:w="0" w:type="dxa"/>
              <w:right w:w="108" w:type="dxa"/>
            </w:tcMar>
          </w:tcPr>
          <w:p w14:paraId="3CF12B58" w14:textId="77777777"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0B18AD9B"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37219E38" w14:textId="77777777" w:rsidTr="00CA5618">
        <w:tc>
          <w:tcPr>
            <w:tcW w:w="1276" w:type="dxa"/>
            <w:tcMar>
              <w:top w:w="0" w:type="dxa"/>
              <w:left w:w="108" w:type="dxa"/>
              <w:bottom w:w="0" w:type="dxa"/>
              <w:right w:w="108" w:type="dxa"/>
            </w:tcMar>
            <w:hideMark/>
          </w:tcPr>
          <w:p w14:paraId="4FDD6367" w14:textId="77777777" w:rsidR="00CA5618" w:rsidRPr="00391735" w:rsidRDefault="00CA5618" w:rsidP="00CA5618">
            <w:pPr>
              <w:pStyle w:val="ListParagraph"/>
              <w:spacing w:after="0"/>
              <w:ind w:left="174"/>
              <w:contextualSpacing w:val="0"/>
              <w:rPr>
                <w:rFonts w:ascii="Times New Roman" w:hAnsi="Times New Roman" w:cs="Times New Roman"/>
                <w:sz w:val="24"/>
                <w:szCs w:val="24"/>
              </w:rPr>
            </w:pPr>
            <w:r w:rsidRPr="00391735">
              <w:rPr>
                <w:rFonts w:ascii="Times New Roman" w:hAnsi="Times New Roman" w:cs="Times New Roman"/>
                <w:sz w:val="24"/>
                <w:szCs w:val="24"/>
              </w:rPr>
              <w:t>2021</w:t>
            </w:r>
          </w:p>
        </w:tc>
        <w:tc>
          <w:tcPr>
            <w:tcW w:w="1843" w:type="dxa"/>
            <w:tcMar>
              <w:top w:w="0" w:type="dxa"/>
              <w:left w:w="108" w:type="dxa"/>
              <w:bottom w:w="0" w:type="dxa"/>
              <w:right w:w="108" w:type="dxa"/>
            </w:tcMar>
            <w:hideMark/>
          </w:tcPr>
          <w:p w14:paraId="7B3B4C9E" w14:textId="7E22EE84"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r w:rsidRPr="00391735">
              <w:rPr>
                <w:rFonts w:ascii="Times New Roman" w:hAnsi="Times New Roman" w:cs="Times New Roman"/>
                <w:sz w:val="24"/>
                <w:szCs w:val="24"/>
              </w:rPr>
              <w:t>947</w:t>
            </w:r>
            <w:r w:rsidR="00D37AF4" w:rsidRPr="00391735">
              <w:rPr>
                <w:rFonts w:ascii="Times New Roman" w:hAnsi="Times New Roman" w:cs="Times New Roman"/>
                <w:sz w:val="24"/>
                <w:szCs w:val="24"/>
              </w:rPr>
              <w:t> </w:t>
            </w:r>
            <w:r w:rsidRPr="00391735">
              <w:rPr>
                <w:rFonts w:ascii="Times New Roman" w:hAnsi="Times New Roman" w:cs="Times New Roman"/>
                <w:sz w:val="24"/>
                <w:szCs w:val="24"/>
              </w:rPr>
              <w:t>349</w:t>
            </w:r>
          </w:p>
        </w:tc>
        <w:tc>
          <w:tcPr>
            <w:tcW w:w="1691" w:type="dxa"/>
            <w:tcMar>
              <w:top w:w="0" w:type="dxa"/>
              <w:left w:w="108" w:type="dxa"/>
              <w:bottom w:w="0" w:type="dxa"/>
              <w:right w:w="108" w:type="dxa"/>
            </w:tcMar>
          </w:tcPr>
          <w:p w14:paraId="2CF74050" w14:textId="77777777" w:rsidR="00CA5618" w:rsidRPr="00391735" w:rsidRDefault="00CA5618"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246AFABB" w14:textId="77777777" w:rsidR="00CA5618" w:rsidRPr="00391735" w:rsidRDefault="00CA5618" w:rsidP="00027317">
            <w:pPr>
              <w:pStyle w:val="ListParagraph"/>
              <w:spacing w:after="0"/>
              <w:ind w:left="47"/>
              <w:contextualSpacing w:val="0"/>
              <w:jc w:val="center"/>
              <w:rPr>
                <w:rFonts w:ascii="Times New Roman" w:hAnsi="Times New Roman" w:cs="Times New Roman"/>
                <w:sz w:val="24"/>
                <w:szCs w:val="24"/>
              </w:rPr>
            </w:pPr>
          </w:p>
        </w:tc>
      </w:tr>
      <w:tr w:rsidR="0011249A" w:rsidRPr="00391735" w14:paraId="353A728C" w14:textId="77777777" w:rsidTr="00CA5618">
        <w:tc>
          <w:tcPr>
            <w:tcW w:w="1276" w:type="dxa"/>
            <w:tcMar>
              <w:top w:w="0" w:type="dxa"/>
              <w:left w:w="108" w:type="dxa"/>
              <w:bottom w:w="0" w:type="dxa"/>
              <w:right w:w="108" w:type="dxa"/>
            </w:tcMar>
          </w:tcPr>
          <w:p w14:paraId="0A374D70" w14:textId="2DBC7369" w:rsidR="0011249A" w:rsidRPr="00391735" w:rsidRDefault="0011249A" w:rsidP="00CA5618">
            <w:pPr>
              <w:pStyle w:val="ListParagraph"/>
              <w:spacing w:after="0"/>
              <w:ind w:left="174"/>
              <w:contextualSpacing w:val="0"/>
              <w:rPr>
                <w:rFonts w:ascii="Times New Roman" w:hAnsi="Times New Roman" w:cs="Times New Roman"/>
                <w:sz w:val="24"/>
                <w:szCs w:val="24"/>
              </w:rPr>
            </w:pPr>
            <w:r>
              <w:rPr>
                <w:rFonts w:ascii="Times New Roman" w:hAnsi="Times New Roman" w:cs="Times New Roman"/>
                <w:sz w:val="24"/>
                <w:szCs w:val="24"/>
              </w:rPr>
              <w:t>2022</w:t>
            </w:r>
          </w:p>
        </w:tc>
        <w:tc>
          <w:tcPr>
            <w:tcW w:w="1843" w:type="dxa"/>
            <w:tcMar>
              <w:top w:w="0" w:type="dxa"/>
              <w:left w:w="108" w:type="dxa"/>
              <w:bottom w:w="0" w:type="dxa"/>
              <w:right w:w="108" w:type="dxa"/>
            </w:tcMar>
          </w:tcPr>
          <w:p w14:paraId="06A26848" w14:textId="33C234EB" w:rsidR="0011249A" w:rsidRPr="00391735" w:rsidRDefault="0011249A" w:rsidP="00027317">
            <w:pPr>
              <w:pStyle w:val="ListParagraph"/>
              <w:spacing w:after="0"/>
              <w:ind w:left="40"/>
              <w:contextualSpacing w:val="0"/>
              <w:jc w:val="center"/>
              <w:rPr>
                <w:rFonts w:ascii="Times New Roman" w:hAnsi="Times New Roman" w:cs="Times New Roman"/>
                <w:sz w:val="24"/>
                <w:szCs w:val="24"/>
              </w:rPr>
            </w:pPr>
            <w:r>
              <w:rPr>
                <w:rFonts w:ascii="Times New Roman" w:hAnsi="Times New Roman" w:cs="Times New Roman"/>
                <w:sz w:val="24"/>
                <w:szCs w:val="24"/>
              </w:rPr>
              <w:t>-1 202 541</w:t>
            </w:r>
          </w:p>
        </w:tc>
        <w:tc>
          <w:tcPr>
            <w:tcW w:w="1691" w:type="dxa"/>
            <w:tcMar>
              <w:top w:w="0" w:type="dxa"/>
              <w:left w:w="108" w:type="dxa"/>
              <w:bottom w:w="0" w:type="dxa"/>
              <w:right w:w="108" w:type="dxa"/>
            </w:tcMar>
          </w:tcPr>
          <w:p w14:paraId="1F87342D" w14:textId="77777777" w:rsidR="0011249A" w:rsidRPr="00391735" w:rsidRDefault="0011249A"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20E967A9" w14:textId="77777777" w:rsidR="0011249A" w:rsidRPr="00391735" w:rsidRDefault="0011249A" w:rsidP="00027317">
            <w:pPr>
              <w:pStyle w:val="ListParagraph"/>
              <w:spacing w:after="0"/>
              <w:ind w:left="47"/>
              <w:contextualSpacing w:val="0"/>
              <w:jc w:val="center"/>
              <w:rPr>
                <w:rFonts w:ascii="Times New Roman" w:hAnsi="Times New Roman" w:cs="Times New Roman"/>
                <w:sz w:val="24"/>
                <w:szCs w:val="24"/>
              </w:rPr>
            </w:pPr>
          </w:p>
        </w:tc>
      </w:tr>
      <w:tr w:rsidR="0011249A" w:rsidRPr="00391735" w14:paraId="20FFD80A" w14:textId="77777777" w:rsidTr="00CA5618">
        <w:tc>
          <w:tcPr>
            <w:tcW w:w="1276" w:type="dxa"/>
            <w:tcMar>
              <w:top w:w="0" w:type="dxa"/>
              <w:left w:w="108" w:type="dxa"/>
              <w:bottom w:w="0" w:type="dxa"/>
              <w:right w:w="108" w:type="dxa"/>
            </w:tcMar>
          </w:tcPr>
          <w:p w14:paraId="0F3E77F6" w14:textId="1401FA4C" w:rsidR="0011249A" w:rsidRDefault="0011249A" w:rsidP="00CA5618">
            <w:pPr>
              <w:pStyle w:val="ListParagraph"/>
              <w:spacing w:after="0"/>
              <w:ind w:left="174"/>
              <w:contextualSpacing w:val="0"/>
              <w:rPr>
                <w:rFonts w:ascii="Times New Roman" w:hAnsi="Times New Roman" w:cs="Times New Roman"/>
                <w:sz w:val="24"/>
                <w:szCs w:val="24"/>
              </w:rPr>
            </w:pPr>
            <w:r>
              <w:rPr>
                <w:rFonts w:ascii="Times New Roman" w:hAnsi="Times New Roman" w:cs="Times New Roman"/>
                <w:sz w:val="24"/>
                <w:szCs w:val="24"/>
              </w:rPr>
              <w:t>2023</w:t>
            </w:r>
          </w:p>
        </w:tc>
        <w:tc>
          <w:tcPr>
            <w:tcW w:w="1843" w:type="dxa"/>
            <w:tcMar>
              <w:top w:w="0" w:type="dxa"/>
              <w:left w:w="108" w:type="dxa"/>
              <w:bottom w:w="0" w:type="dxa"/>
              <w:right w:w="108" w:type="dxa"/>
            </w:tcMar>
          </w:tcPr>
          <w:p w14:paraId="6A8CCC4A" w14:textId="72B30A3A" w:rsidR="0011249A" w:rsidRDefault="0011249A" w:rsidP="00027317">
            <w:pPr>
              <w:pStyle w:val="ListParagraph"/>
              <w:spacing w:after="0"/>
              <w:ind w:left="40"/>
              <w:contextualSpacing w:val="0"/>
              <w:jc w:val="center"/>
              <w:rPr>
                <w:rFonts w:ascii="Times New Roman" w:hAnsi="Times New Roman" w:cs="Times New Roman"/>
                <w:sz w:val="24"/>
                <w:szCs w:val="24"/>
              </w:rPr>
            </w:pPr>
            <w:r>
              <w:rPr>
                <w:rFonts w:ascii="Times New Roman" w:hAnsi="Times New Roman" w:cs="Times New Roman"/>
                <w:sz w:val="24"/>
                <w:szCs w:val="24"/>
              </w:rPr>
              <w:t>66 931</w:t>
            </w:r>
          </w:p>
        </w:tc>
        <w:tc>
          <w:tcPr>
            <w:tcW w:w="1691" w:type="dxa"/>
            <w:tcMar>
              <w:top w:w="0" w:type="dxa"/>
              <w:left w:w="108" w:type="dxa"/>
              <w:bottom w:w="0" w:type="dxa"/>
              <w:right w:w="108" w:type="dxa"/>
            </w:tcMar>
          </w:tcPr>
          <w:p w14:paraId="36862E5E" w14:textId="77777777" w:rsidR="0011249A" w:rsidRPr="00391735" w:rsidRDefault="0011249A"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54AD8CD0" w14:textId="77777777" w:rsidR="0011249A" w:rsidRPr="00391735" w:rsidRDefault="0011249A" w:rsidP="00027317">
            <w:pPr>
              <w:pStyle w:val="ListParagraph"/>
              <w:spacing w:after="0"/>
              <w:ind w:left="47"/>
              <w:contextualSpacing w:val="0"/>
              <w:jc w:val="center"/>
              <w:rPr>
                <w:rFonts w:ascii="Times New Roman" w:hAnsi="Times New Roman" w:cs="Times New Roman"/>
                <w:sz w:val="24"/>
                <w:szCs w:val="24"/>
              </w:rPr>
            </w:pPr>
          </w:p>
        </w:tc>
      </w:tr>
      <w:tr w:rsidR="0011249A" w:rsidRPr="00391735" w14:paraId="5E0401F1" w14:textId="77777777" w:rsidTr="00CA5618">
        <w:tc>
          <w:tcPr>
            <w:tcW w:w="1276" w:type="dxa"/>
            <w:tcMar>
              <w:top w:w="0" w:type="dxa"/>
              <w:left w:w="108" w:type="dxa"/>
              <w:bottom w:w="0" w:type="dxa"/>
              <w:right w:w="108" w:type="dxa"/>
            </w:tcMar>
          </w:tcPr>
          <w:p w14:paraId="1BB91033" w14:textId="049C98EA" w:rsidR="0011249A" w:rsidRDefault="0011249A" w:rsidP="00CA5618">
            <w:pPr>
              <w:pStyle w:val="ListParagraph"/>
              <w:spacing w:after="0"/>
              <w:ind w:left="174"/>
              <w:contextualSpacing w:val="0"/>
              <w:rPr>
                <w:rFonts w:ascii="Times New Roman" w:hAnsi="Times New Roman" w:cs="Times New Roman"/>
                <w:sz w:val="24"/>
                <w:szCs w:val="24"/>
              </w:rPr>
            </w:pPr>
            <w:r>
              <w:rPr>
                <w:rFonts w:ascii="Times New Roman" w:hAnsi="Times New Roman" w:cs="Times New Roman"/>
                <w:sz w:val="24"/>
                <w:szCs w:val="24"/>
              </w:rPr>
              <w:t>2024</w:t>
            </w:r>
          </w:p>
        </w:tc>
        <w:tc>
          <w:tcPr>
            <w:tcW w:w="1843" w:type="dxa"/>
            <w:tcMar>
              <w:top w:w="0" w:type="dxa"/>
              <w:left w:w="108" w:type="dxa"/>
              <w:bottom w:w="0" w:type="dxa"/>
              <w:right w:w="108" w:type="dxa"/>
            </w:tcMar>
          </w:tcPr>
          <w:p w14:paraId="25AF362B" w14:textId="12712B71" w:rsidR="0011249A" w:rsidRDefault="0011249A" w:rsidP="00027317">
            <w:pPr>
              <w:pStyle w:val="ListParagraph"/>
              <w:spacing w:after="0"/>
              <w:ind w:left="40"/>
              <w:contextualSpacing w:val="0"/>
              <w:jc w:val="center"/>
              <w:rPr>
                <w:rFonts w:ascii="Times New Roman" w:hAnsi="Times New Roman" w:cs="Times New Roman"/>
                <w:sz w:val="24"/>
                <w:szCs w:val="24"/>
              </w:rPr>
            </w:pPr>
            <w:r>
              <w:rPr>
                <w:rFonts w:ascii="Times New Roman" w:hAnsi="Times New Roman" w:cs="Times New Roman"/>
                <w:sz w:val="24"/>
                <w:szCs w:val="24"/>
              </w:rPr>
              <w:t>41 558</w:t>
            </w:r>
          </w:p>
        </w:tc>
        <w:tc>
          <w:tcPr>
            <w:tcW w:w="1691" w:type="dxa"/>
            <w:tcMar>
              <w:top w:w="0" w:type="dxa"/>
              <w:left w:w="108" w:type="dxa"/>
              <w:bottom w:w="0" w:type="dxa"/>
              <w:right w:w="108" w:type="dxa"/>
            </w:tcMar>
          </w:tcPr>
          <w:p w14:paraId="4DBDC798" w14:textId="77777777" w:rsidR="0011249A" w:rsidRPr="00391735" w:rsidRDefault="0011249A"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049EE000" w14:textId="77777777" w:rsidR="0011249A" w:rsidRPr="00391735" w:rsidRDefault="0011249A" w:rsidP="00027317">
            <w:pPr>
              <w:pStyle w:val="ListParagraph"/>
              <w:spacing w:after="0"/>
              <w:ind w:left="47"/>
              <w:contextualSpacing w:val="0"/>
              <w:jc w:val="center"/>
              <w:rPr>
                <w:rFonts w:ascii="Times New Roman" w:hAnsi="Times New Roman" w:cs="Times New Roman"/>
                <w:sz w:val="24"/>
                <w:szCs w:val="24"/>
              </w:rPr>
            </w:pPr>
          </w:p>
        </w:tc>
      </w:tr>
      <w:tr w:rsidR="0011249A" w:rsidRPr="00391735" w14:paraId="6A748815" w14:textId="77777777" w:rsidTr="00CA5618">
        <w:tc>
          <w:tcPr>
            <w:tcW w:w="1276" w:type="dxa"/>
            <w:tcMar>
              <w:top w:w="0" w:type="dxa"/>
              <w:left w:w="108" w:type="dxa"/>
              <w:bottom w:w="0" w:type="dxa"/>
              <w:right w:w="108" w:type="dxa"/>
            </w:tcMar>
          </w:tcPr>
          <w:p w14:paraId="30864C80" w14:textId="52C47AE4" w:rsidR="0011249A" w:rsidRDefault="0011249A" w:rsidP="00CA5618">
            <w:pPr>
              <w:pStyle w:val="ListParagraph"/>
              <w:spacing w:after="0"/>
              <w:ind w:left="174"/>
              <w:contextualSpacing w:val="0"/>
              <w:rPr>
                <w:rFonts w:ascii="Times New Roman" w:hAnsi="Times New Roman" w:cs="Times New Roman"/>
                <w:sz w:val="24"/>
                <w:szCs w:val="24"/>
              </w:rPr>
            </w:pPr>
            <w:r>
              <w:rPr>
                <w:rFonts w:ascii="Times New Roman" w:hAnsi="Times New Roman" w:cs="Times New Roman"/>
                <w:sz w:val="24"/>
                <w:szCs w:val="24"/>
              </w:rPr>
              <w:t>2025</w:t>
            </w:r>
          </w:p>
        </w:tc>
        <w:tc>
          <w:tcPr>
            <w:tcW w:w="1843" w:type="dxa"/>
            <w:tcMar>
              <w:top w:w="0" w:type="dxa"/>
              <w:left w:w="108" w:type="dxa"/>
              <w:bottom w:w="0" w:type="dxa"/>
              <w:right w:w="108" w:type="dxa"/>
            </w:tcMar>
          </w:tcPr>
          <w:p w14:paraId="2B31A3E4" w14:textId="24E999F5" w:rsidR="0011249A" w:rsidRDefault="0011249A" w:rsidP="00027317">
            <w:pPr>
              <w:pStyle w:val="ListParagraph"/>
              <w:spacing w:after="0"/>
              <w:ind w:left="40"/>
              <w:contextualSpacing w:val="0"/>
              <w:jc w:val="center"/>
              <w:rPr>
                <w:rFonts w:ascii="Times New Roman" w:hAnsi="Times New Roman" w:cs="Times New Roman"/>
                <w:sz w:val="24"/>
                <w:szCs w:val="24"/>
              </w:rPr>
            </w:pPr>
            <w:r>
              <w:rPr>
                <w:rFonts w:ascii="Times New Roman" w:hAnsi="Times New Roman" w:cs="Times New Roman"/>
                <w:sz w:val="24"/>
                <w:szCs w:val="24"/>
              </w:rPr>
              <w:t>69 106</w:t>
            </w:r>
          </w:p>
        </w:tc>
        <w:tc>
          <w:tcPr>
            <w:tcW w:w="1691" w:type="dxa"/>
            <w:tcMar>
              <w:top w:w="0" w:type="dxa"/>
              <w:left w:w="108" w:type="dxa"/>
              <w:bottom w:w="0" w:type="dxa"/>
              <w:right w:w="108" w:type="dxa"/>
            </w:tcMar>
          </w:tcPr>
          <w:p w14:paraId="2A69300E" w14:textId="77777777" w:rsidR="0011249A" w:rsidRPr="00391735" w:rsidRDefault="0011249A" w:rsidP="00027317">
            <w:pPr>
              <w:pStyle w:val="ListParagraph"/>
              <w:spacing w:after="0"/>
              <w:ind w:left="40"/>
              <w:contextualSpacing w:val="0"/>
              <w:jc w:val="center"/>
              <w:rPr>
                <w:rFonts w:ascii="Times New Roman" w:hAnsi="Times New Roman" w:cs="Times New Roman"/>
                <w:sz w:val="24"/>
                <w:szCs w:val="24"/>
              </w:rPr>
            </w:pPr>
          </w:p>
        </w:tc>
        <w:tc>
          <w:tcPr>
            <w:tcW w:w="1985" w:type="dxa"/>
            <w:tcMar>
              <w:top w:w="0" w:type="dxa"/>
              <w:left w:w="108" w:type="dxa"/>
              <w:bottom w:w="0" w:type="dxa"/>
              <w:right w:w="108" w:type="dxa"/>
            </w:tcMar>
          </w:tcPr>
          <w:p w14:paraId="206554D7" w14:textId="77777777" w:rsidR="0011249A" w:rsidRPr="00391735" w:rsidRDefault="0011249A" w:rsidP="00027317">
            <w:pPr>
              <w:pStyle w:val="ListParagraph"/>
              <w:spacing w:after="0"/>
              <w:ind w:left="47"/>
              <w:contextualSpacing w:val="0"/>
              <w:jc w:val="center"/>
              <w:rPr>
                <w:rFonts w:ascii="Times New Roman" w:hAnsi="Times New Roman" w:cs="Times New Roman"/>
                <w:sz w:val="24"/>
                <w:szCs w:val="24"/>
              </w:rPr>
            </w:pPr>
          </w:p>
        </w:tc>
      </w:tr>
      <w:tr w:rsidR="00CA5618" w:rsidRPr="00391735" w14:paraId="706CBABA" w14:textId="77777777" w:rsidTr="00CA5618">
        <w:tc>
          <w:tcPr>
            <w:tcW w:w="1276" w:type="dxa"/>
            <w:tcMar>
              <w:top w:w="0" w:type="dxa"/>
              <w:left w:w="108" w:type="dxa"/>
              <w:bottom w:w="0" w:type="dxa"/>
              <w:right w:w="108" w:type="dxa"/>
            </w:tcMar>
            <w:hideMark/>
          </w:tcPr>
          <w:p w14:paraId="1FBF8C5C" w14:textId="77777777" w:rsidR="00CA5618" w:rsidRPr="00391735" w:rsidRDefault="00CA5618" w:rsidP="00CA5618">
            <w:pPr>
              <w:pStyle w:val="ListParagraph"/>
              <w:spacing w:after="0"/>
              <w:ind w:left="174"/>
              <w:contextualSpacing w:val="0"/>
              <w:rPr>
                <w:rFonts w:ascii="Times New Roman" w:hAnsi="Times New Roman" w:cs="Times New Roman"/>
                <w:b/>
                <w:bCs/>
                <w:sz w:val="24"/>
                <w:szCs w:val="24"/>
              </w:rPr>
            </w:pPr>
            <w:r w:rsidRPr="00391735">
              <w:rPr>
                <w:rFonts w:ascii="Times New Roman" w:hAnsi="Times New Roman" w:cs="Times New Roman"/>
                <w:b/>
                <w:bCs/>
                <w:sz w:val="24"/>
                <w:szCs w:val="24"/>
              </w:rPr>
              <w:t>Kokku</w:t>
            </w:r>
          </w:p>
        </w:tc>
        <w:tc>
          <w:tcPr>
            <w:tcW w:w="1843" w:type="dxa"/>
            <w:tcMar>
              <w:top w:w="0" w:type="dxa"/>
              <w:left w:w="108" w:type="dxa"/>
              <w:bottom w:w="0" w:type="dxa"/>
              <w:right w:w="108" w:type="dxa"/>
            </w:tcMar>
            <w:hideMark/>
          </w:tcPr>
          <w:p w14:paraId="127859E0" w14:textId="467136E6" w:rsidR="00CA5618" w:rsidRPr="00391735" w:rsidRDefault="00CA5618" w:rsidP="00027317">
            <w:pPr>
              <w:pStyle w:val="ListParagraph"/>
              <w:spacing w:after="0"/>
              <w:ind w:left="40"/>
              <w:contextualSpacing w:val="0"/>
              <w:jc w:val="center"/>
              <w:rPr>
                <w:rFonts w:ascii="Times New Roman" w:hAnsi="Times New Roman" w:cs="Times New Roman"/>
                <w:b/>
                <w:bCs/>
                <w:sz w:val="24"/>
                <w:szCs w:val="24"/>
              </w:rPr>
            </w:pPr>
            <w:r w:rsidRPr="00391735">
              <w:rPr>
                <w:rFonts w:ascii="Times New Roman" w:hAnsi="Times New Roman" w:cs="Times New Roman"/>
                <w:b/>
                <w:bCs/>
                <w:sz w:val="24"/>
                <w:szCs w:val="24"/>
              </w:rPr>
              <w:t>8</w:t>
            </w:r>
            <w:r w:rsidR="00D37AF4" w:rsidRPr="00391735">
              <w:rPr>
                <w:rFonts w:ascii="Times New Roman" w:hAnsi="Times New Roman" w:cs="Times New Roman"/>
                <w:b/>
                <w:bCs/>
                <w:sz w:val="24"/>
                <w:szCs w:val="24"/>
              </w:rPr>
              <w:t> </w:t>
            </w:r>
            <w:r w:rsidRPr="00391735">
              <w:rPr>
                <w:rFonts w:ascii="Times New Roman" w:hAnsi="Times New Roman" w:cs="Times New Roman"/>
                <w:b/>
                <w:bCs/>
                <w:sz w:val="24"/>
                <w:szCs w:val="24"/>
              </w:rPr>
              <w:t>680</w:t>
            </w:r>
            <w:r w:rsidR="00D37AF4" w:rsidRPr="00391735">
              <w:rPr>
                <w:rFonts w:ascii="Times New Roman" w:hAnsi="Times New Roman" w:cs="Times New Roman"/>
                <w:b/>
                <w:bCs/>
                <w:sz w:val="24"/>
                <w:szCs w:val="24"/>
              </w:rPr>
              <w:t> </w:t>
            </w:r>
            <w:r w:rsidRPr="00391735">
              <w:rPr>
                <w:rFonts w:ascii="Times New Roman" w:hAnsi="Times New Roman" w:cs="Times New Roman"/>
                <w:b/>
                <w:bCs/>
                <w:sz w:val="24"/>
                <w:szCs w:val="24"/>
              </w:rPr>
              <w:t>377</w:t>
            </w:r>
          </w:p>
        </w:tc>
        <w:tc>
          <w:tcPr>
            <w:tcW w:w="1691" w:type="dxa"/>
            <w:tcMar>
              <w:top w:w="0" w:type="dxa"/>
              <w:left w:w="108" w:type="dxa"/>
              <w:bottom w:w="0" w:type="dxa"/>
              <w:right w:w="108" w:type="dxa"/>
            </w:tcMar>
            <w:hideMark/>
          </w:tcPr>
          <w:p w14:paraId="2E1C9F8C" w14:textId="0218FF58" w:rsidR="00CA5618" w:rsidRPr="00391735" w:rsidRDefault="00CA5618" w:rsidP="00027317">
            <w:pPr>
              <w:pStyle w:val="ListParagraph"/>
              <w:spacing w:after="0"/>
              <w:ind w:left="40"/>
              <w:contextualSpacing w:val="0"/>
              <w:jc w:val="center"/>
              <w:rPr>
                <w:rFonts w:ascii="Times New Roman" w:hAnsi="Times New Roman" w:cs="Times New Roman"/>
                <w:b/>
                <w:bCs/>
                <w:sz w:val="24"/>
                <w:szCs w:val="24"/>
              </w:rPr>
            </w:pPr>
            <w:r w:rsidRPr="00391735">
              <w:rPr>
                <w:rFonts w:ascii="Times New Roman" w:hAnsi="Times New Roman" w:cs="Times New Roman"/>
                <w:b/>
                <w:bCs/>
                <w:sz w:val="24"/>
                <w:szCs w:val="24"/>
              </w:rPr>
              <w:t>2</w:t>
            </w:r>
            <w:r w:rsidR="00D37AF4" w:rsidRPr="00391735">
              <w:rPr>
                <w:rFonts w:ascii="Times New Roman" w:hAnsi="Times New Roman" w:cs="Times New Roman"/>
                <w:b/>
                <w:bCs/>
                <w:sz w:val="24"/>
                <w:szCs w:val="24"/>
              </w:rPr>
              <w:t> </w:t>
            </w:r>
            <w:r w:rsidRPr="00391735">
              <w:rPr>
                <w:rFonts w:ascii="Times New Roman" w:hAnsi="Times New Roman" w:cs="Times New Roman"/>
                <w:b/>
                <w:bCs/>
                <w:sz w:val="24"/>
                <w:szCs w:val="24"/>
              </w:rPr>
              <w:t>600</w:t>
            </w:r>
            <w:r w:rsidR="00D37AF4" w:rsidRPr="00391735">
              <w:rPr>
                <w:rFonts w:ascii="Times New Roman" w:hAnsi="Times New Roman" w:cs="Times New Roman"/>
                <w:b/>
                <w:bCs/>
                <w:sz w:val="24"/>
                <w:szCs w:val="24"/>
              </w:rPr>
              <w:t> </w:t>
            </w:r>
            <w:r w:rsidRPr="00391735">
              <w:rPr>
                <w:rFonts w:ascii="Times New Roman" w:hAnsi="Times New Roman" w:cs="Times New Roman"/>
                <w:b/>
                <w:bCs/>
                <w:sz w:val="24"/>
                <w:szCs w:val="24"/>
              </w:rPr>
              <w:t>000</w:t>
            </w:r>
          </w:p>
        </w:tc>
        <w:tc>
          <w:tcPr>
            <w:tcW w:w="1985" w:type="dxa"/>
            <w:tcMar>
              <w:top w:w="0" w:type="dxa"/>
              <w:left w:w="108" w:type="dxa"/>
              <w:bottom w:w="0" w:type="dxa"/>
              <w:right w:w="108" w:type="dxa"/>
            </w:tcMar>
            <w:hideMark/>
          </w:tcPr>
          <w:p w14:paraId="1B21880A" w14:textId="4C46DAFD" w:rsidR="00CA5618" w:rsidRPr="00391735" w:rsidRDefault="00CA5618" w:rsidP="00027317">
            <w:pPr>
              <w:pStyle w:val="ListParagraph"/>
              <w:spacing w:after="0"/>
              <w:ind w:left="47"/>
              <w:contextualSpacing w:val="0"/>
              <w:jc w:val="center"/>
              <w:rPr>
                <w:rFonts w:ascii="Times New Roman" w:hAnsi="Times New Roman" w:cs="Times New Roman"/>
                <w:b/>
                <w:bCs/>
                <w:sz w:val="24"/>
                <w:szCs w:val="24"/>
              </w:rPr>
            </w:pPr>
            <w:r w:rsidRPr="00391735">
              <w:rPr>
                <w:rFonts w:ascii="Times New Roman" w:hAnsi="Times New Roman" w:cs="Times New Roman"/>
                <w:b/>
                <w:bCs/>
                <w:sz w:val="24"/>
                <w:szCs w:val="24"/>
              </w:rPr>
              <w:t>1</w:t>
            </w:r>
            <w:r w:rsidR="00D37AF4" w:rsidRPr="00391735">
              <w:rPr>
                <w:rFonts w:ascii="Times New Roman" w:hAnsi="Times New Roman" w:cs="Times New Roman"/>
                <w:b/>
                <w:bCs/>
                <w:sz w:val="24"/>
                <w:szCs w:val="24"/>
              </w:rPr>
              <w:t> </w:t>
            </w:r>
            <w:r w:rsidRPr="00391735">
              <w:rPr>
                <w:rFonts w:ascii="Times New Roman" w:hAnsi="Times New Roman" w:cs="Times New Roman"/>
                <w:b/>
                <w:bCs/>
                <w:sz w:val="24"/>
                <w:szCs w:val="24"/>
              </w:rPr>
              <w:t>600</w:t>
            </w:r>
            <w:r w:rsidR="00D37AF4" w:rsidRPr="00391735">
              <w:rPr>
                <w:rFonts w:ascii="Times New Roman" w:hAnsi="Times New Roman" w:cs="Times New Roman"/>
                <w:b/>
                <w:bCs/>
                <w:sz w:val="24"/>
                <w:szCs w:val="24"/>
              </w:rPr>
              <w:t> </w:t>
            </w:r>
            <w:r w:rsidRPr="00391735">
              <w:rPr>
                <w:rFonts w:ascii="Times New Roman" w:hAnsi="Times New Roman" w:cs="Times New Roman"/>
                <w:b/>
                <w:bCs/>
                <w:sz w:val="24"/>
                <w:szCs w:val="24"/>
              </w:rPr>
              <w:t>000</w:t>
            </w:r>
          </w:p>
        </w:tc>
      </w:tr>
    </w:tbl>
    <w:p w14:paraId="55F9E519" w14:textId="3F1EFE33" w:rsidR="00CA5618" w:rsidRPr="00391735" w:rsidRDefault="00CA5618" w:rsidP="001029FD">
      <w:pPr>
        <w:pStyle w:val="ListParagraph"/>
        <w:jc w:val="both"/>
        <w:rPr>
          <w:rFonts w:ascii="Times New Roman" w:hAnsi="Times New Roman" w:cs="Times New Roman"/>
          <w:sz w:val="24"/>
          <w:szCs w:val="24"/>
        </w:rPr>
      </w:pPr>
    </w:p>
    <w:p w14:paraId="230ABF93" w14:textId="7A853085" w:rsidR="00027317" w:rsidRPr="00391735" w:rsidRDefault="00027317" w:rsidP="00027317">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 xml:space="preserve">Kuigi paaril korral on linn võtnud </w:t>
      </w:r>
      <w:r w:rsidR="001834D7" w:rsidRPr="00391735">
        <w:rPr>
          <w:rFonts w:ascii="Times New Roman" w:hAnsi="Times New Roman" w:cs="Times New Roman"/>
          <w:sz w:val="24"/>
          <w:szCs w:val="24"/>
        </w:rPr>
        <w:t xml:space="preserve">TJT-st ka </w:t>
      </w:r>
      <w:r w:rsidRPr="00391735">
        <w:rPr>
          <w:rFonts w:ascii="Times New Roman" w:hAnsi="Times New Roman" w:cs="Times New Roman"/>
          <w:sz w:val="24"/>
          <w:szCs w:val="24"/>
        </w:rPr>
        <w:t>dividende või teinud aktsiakapitalist väljamakse, on suurem osa puhaskasumist jäetud TJT-le investeeringuteks ja seaduses ettenähtud prügila sulgemis- ja järelhoolduse kulude katteks (järelhooldus toimub 2043-2063, audiitor kontrollib igal aastal sel eesmärgil bilansi passivas toodud nn eraldise arvutamise õigsus</w:t>
      </w:r>
      <w:r w:rsidR="0035333F" w:rsidRPr="00391735">
        <w:rPr>
          <w:rFonts w:ascii="Times New Roman" w:hAnsi="Times New Roman" w:cs="Times New Roman"/>
          <w:sz w:val="24"/>
          <w:szCs w:val="24"/>
        </w:rPr>
        <w:t>t</w:t>
      </w:r>
      <w:r w:rsidRPr="00391735">
        <w:rPr>
          <w:rFonts w:ascii="Times New Roman" w:hAnsi="Times New Roman" w:cs="Times New Roman"/>
          <w:sz w:val="24"/>
          <w:szCs w:val="24"/>
        </w:rPr>
        <w:t xml:space="preserve">, selle amortiseerimise ja diskonteerimise õigsust). 2022. aastal on kavandatud investeerida 5-6 mln eurot 4. ladestusala (9.-11. väljak) rajamiseks (ehitushange </w:t>
      </w:r>
      <w:r w:rsidR="00915D7E">
        <w:rPr>
          <w:rFonts w:ascii="Times New Roman" w:hAnsi="Times New Roman" w:cs="Times New Roman"/>
          <w:sz w:val="24"/>
          <w:szCs w:val="24"/>
        </w:rPr>
        <w:t xml:space="preserve">veel </w:t>
      </w:r>
      <w:r w:rsidRPr="00391735">
        <w:rPr>
          <w:rFonts w:ascii="Times New Roman" w:hAnsi="Times New Roman" w:cs="Times New Roman"/>
          <w:sz w:val="24"/>
          <w:szCs w:val="24"/>
        </w:rPr>
        <w:t xml:space="preserve">korraldamata, kuna Jõelähtme vallavalitsus ei ole selleks </w:t>
      </w:r>
      <w:r w:rsidR="001A3593" w:rsidRPr="00391735">
        <w:rPr>
          <w:rFonts w:ascii="Times New Roman" w:hAnsi="Times New Roman" w:cs="Times New Roman"/>
          <w:sz w:val="24"/>
          <w:szCs w:val="24"/>
        </w:rPr>
        <w:t xml:space="preserve">veel </w:t>
      </w:r>
      <w:r w:rsidRPr="00391735">
        <w:rPr>
          <w:rFonts w:ascii="Times New Roman" w:hAnsi="Times New Roman" w:cs="Times New Roman"/>
          <w:sz w:val="24"/>
          <w:szCs w:val="24"/>
        </w:rPr>
        <w:t>ehitusluba andnud).</w:t>
      </w:r>
    </w:p>
    <w:p w14:paraId="70D3DE1E" w14:textId="0AFD118C" w:rsidR="00F37B6C" w:rsidRPr="00391735" w:rsidRDefault="00F37B6C" w:rsidP="00027317">
      <w:pPr>
        <w:pStyle w:val="ListParagraph"/>
        <w:jc w:val="both"/>
        <w:rPr>
          <w:rFonts w:ascii="Times New Roman" w:hAnsi="Times New Roman" w:cs="Times New Roman"/>
          <w:sz w:val="24"/>
          <w:szCs w:val="24"/>
        </w:rPr>
      </w:pPr>
    </w:p>
    <w:p w14:paraId="109BD876" w14:textId="1332E104" w:rsidR="001976E9" w:rsidRPr="001976E9" w:rsidRDefault="001976E9" w:rsidP="001976E9">
      <w:pPr>
        <w:pStyle w:val="ListParagraph"/>
        <w:jc w:val="both"/>
        <w:rPr>
          <w:rFonts w:ascii="Times New Roman" w:hAnsi="Times New Roman" w:cs="Times New Roman"/>
          <w:sz w:val="24"/>
          <w:szCs w:val="24"/>
        </w:rPr>
      </w:pPr>
      <w:r w:rsidRPr="001976E9">
        <w:rPr>
          <w:rFonts w:ascii="Times New Roman" w:hAnsi="Times New Roman" w:cs="Times New Roman"/>
          <w:sz w:val="24"/>
          <w:szCs w:val="24"/>
        </w:rPr>
        <w:t>Kuna TJT ei saa Tallinna linnalt ega teistelt avaliku sektori üksustelt igapäevase majandustegevuse finantseerimiseks eelarvelisi vahendeid ega tegevustoetusi, on ettevõtja tegevuse jätkusuutlikkuse eelduseks majanduslikult efektiivne tegutsemine ja kasumi teenimine</w:t>
      </w:r>
      <w:r>
        <w:rPr>
          <w:rFonts w:ascii="Times New Roman" w:hAnsi="Times New Roman" w:cs="Times New Roman"/>
          <w:sz w:val="24"/>
          <w:szCs w:val="24"/>
        </w:rPr>
        <w:t xml:space="preserve"> </w:t>
      </w:r>
      <w:r w:rsidR="00F37B6C" w:rsidRPr="00391735">
        <w:rPr>
          <w:rFonts w:ascii="Times New Roman" w:hAnsi="Times New Roman" w:cs="Times New Roman"/>
          <w:sz w:val="24"/>
          <w:szCs w:val="24"/>
        </w:rPr>
        <w:t>Sel eesmärgil tehakse pingutusi, et saavutada säästu oma tegevusmudelis</w:t>
      </w:r>
      <w:r w:rsidR="000864D6" w:rsidRPr="00391735">
        <w:rPr>
          <w:rFonts w:ascii="Times New Roman" w:hAnsi="Times New Roman" w:cs="Times New Roman"/>
          <w:sz w:val="24"/>
          <w:szCs w:val="24"/>
        </w:rPr>
        <w:t xml:space="preserve">. Järjepidevalt </w:t>
      </w:r>
      <w:r w:rsidR="00F37B6C" w:rsidRPr="00391735">
        <w:rPr>
          <w:rFonts w:ascii="Times New Roman" w:hAnsi="Times New Roman" w:cs="Times New Roman"/>
          <w:sz w:val="24"/>
          <w:szCs w:val="24"/>
        </w:rPr>
        <w:t>püüt</w:t>
      </w:r>
      <w:r w:rsidR="009F6351" w:rsidRPr="00391735">
        <w:rPr>
          <w:rFonts w:ascii="Times New Roman" w:hAnsi="Times New Roman" w:cs="Times New Roman"/>
          <w:sz w:val="24"/>
          <w:szCs w:val="24"/>
        </w:rPr>
        <w:t>akse</w:t>
      </w:r>
      <w:r w:rsidR="00F37B6C" w:rsidRPr="00391735">
        <w:rPr>
          <w:rFonts w:ascii="Times New Roman" w:hAnsi="Times New Roman" w:cs="Times New Roman"/>
          <w:sz w:val="24"/>
          <w:szCs w:val="24"/>
        </w:rPr>
        <w:t xml:space="preserve"> leida uusi tuluallikaid (</w:t>
      </w:r>
      <w:r w:rsidR="009F6351" w:rsidRPr="00391735">
        <w:rPr>
          <w:rFonts w:ascii="Times New Roman" w:hAnsi="Times New Roman" w:cs="Times New Roman"/>
          <w:sz w:val="24"/>
          <w:szCs w:val="24"/>
        </w:rPr>
        <w:t>nt prügilagaasi tootmine) või jäätmete taaskasutusmeetodeid (nt komposti ja jäätmekütuste tootmine), et vähendada saastetasu ja teenida müügitulu taaskasutatava</w:t>
      </w:r>
      <w:r w:rsidR="000864D6" w:rsidRPr="00391735">
        <w:rPr>
          <w:rFonts w:ascii="Times New Roman" w:hAnsi="Times New Roman" w:cs="Times New Roman"/>
          <w:sz w:val="24"/>
          <w:szCs w:val="24"/>
        </w:rPr>
        <w:t>te</w:t>
      </w:r>
      <w:r w:rsidR="009F6351" w:rsidRPr="00391735">
        <w:rPr>
          <w:rFonts w:ascii="Times New Roman" w:hAnsi="Times New Roman" w:cs="Times New Roman"/>
          <w:sz w:val="24"/>
          <w:szCs w:val="24"/>
        </w:rPr>
        <w:t xml:space="preserve"> materjalide müügist (nt klaas, papp, metall, puit).</w:t>
      </w:r>
      <w:r w:rsidR="000864D6" w:rsidRPr="00391735">
        <w:rPr>
          <w:rFonts w:ascii="Times New Roman" w:hAnsi="Times New Roman" w:cs="Times New Roman"/>
          <w:sz w:val="24"/>
          <w:szCs w:val="24"/>
        </w:rPr>
        <w:t xml:space="preserve"> </w:t>
      </w:r>
      <w:r w:rsidR="001121BE" w:rsidRPr="00391735">
        <w:rPr>
          <w:rFonts w:ascii="Times New Roman" w:hAnsi="Times New Roman" w:cs="Times New Roman"/>
          <w:sz w:val="24"/>
          <w:szCs w:val="24"/>
        </w:rPr>
        <w:t>202</w:t>
      </w:r>
      <w:r>
        <w:rPr>
          <w:rFonts w:ascii="Times New Roman" w:hAnsi="Times New Roman" w:cs="Times New Roman"/>
          <w:sz w:val="24"/>
          <w:szCs w:val="24"/>
        </w:rPr>
        <w:t>5</w:t>
      </w:r>
      <w:r w:rsidR="001121BE" w:rsidRPr="00391735">
        <w:rPr>
          <w:rFonts w:ascii="Times New Roman" w:hAnsi="Times New Roman" w:cs="Times New Roman"/>
          <w:sz w:val="24"/>
          <w:szCs w:val="24"/>
        </w:rPr>
        <w:t xml:space="preserve">. aasta tegevusaruandes on märgitud eesmärgiks </w:t>
      </w:r>
    </w:p>
    <w:p w14:paraId="6410428C" w14:textId="40ADC1E2" w:rsidR="005C248A" w:rsidRPr="00391735" w:rsidRDefault="001976E9" w:rsidP="001976E9">
      <w:pPr>
        <w:pStyle w:val="ListParagraph"/>
        <w:jc w:val="both"/>
        <w:rPr>
          <w:rFonts w:ascii="Times New Roman" w:hAnsi="Times New Roman" w:cs="Times New Roman"/>
          <w:sz w:val="24"/>
          <w:szCs w:val="24"/>
        </w:rPr>
      </w:pPr>
      <w:r w:rsidRPr="001976E9">
        <w:rPr>
          <w:rFonts w:ascii="Times New Roman" w:hAnsi="Times New Roman" w:cs="Times New Roman"/>
          <w:sz w:val="24"/>
          <w:szCs w:val="24"/>
        </w:rPr>
        <w:t>tagada jäätmete efektiivne kogumine, sorteerimine, taaskasutamine ja</w:t>
      </w:r>
      <w:r>
        <w:rPr>
          <w:rFonts w:ascii="Times New Roman" w:hAnsi="Times New Roman" w:cs="Times New Roman"/>
          <w:sz w:val="24"/>
          <w:szCs w:val="24"/>
        </w:rPr>
        <w:t xml:space="preserve"> </w:t>
      </w:r>
      <w:r w:rsidRPr="001976E9">
        <w:rPr>
          <w:rFonts w:ascii="Times New Roman" w:hAnsi="Times New Roman" w:cs="Times New Roman"/>
          <w:sz w:val="24"/>
          <w:szCs w:val="24"/>
        </w:rPr>
        <w:t>ringlussevõtt, aidates seeläbi vähendada keskkonnakahju ning luua puhtam ja</w:t>
      </w:r>
      <w:r>
        <w:rPr>
          <w:rFonts w:ascii="Times New Roman" w:hAnsi="Times New Roman" w:cs="Times New Roman"/>
          <w:sz w:val="24"/>
          <w:szCs w:val="24"/>
        </w:rPr>
        <w:t xml:space="preserve"> </w:t>
      </w:r>
      <w:r w:rsidRPr="001976E9">
        <w:rPr>
          <w:rFonts w:ascii="Times New Roman" w:hAnsi="Times New Roman" w:cs="Times New Roman"/>
          <w:sz w:val="24"/>
          <w:szCs w:val="24"/>
        </w:rPr>
        <w:t>jätkusuutlikum elukeskkond kõigile linnaelanikele</w:t>
      </w:r>
      <w:r w:rsidR="005C248A" w:rsidRPr="00391735">
        <w:rPr>
          <w:rFonts w:ascii="Times New Roman" w:hAnsi="Times New Roman" w:cs="Times New Roman"/>
          <w:sz w:val="24"/>
          <w:szCs w:val="24"/>
        </w:rPr>
        <w:t>Mitteärilistele kaalutlustele viitaks TJT pakutavate teenuste erinev hinnastamine teatud tunnustele vastavatele klientidele, nt linna huvidest lähtuvalt teatud sihtgruppidele. Nõukogu poolt kinnitatud TJT</w:t>
      </w:r>
      <w:r w:rsidR="00165AA5" w:rsidRPr="00391735">
        <w:rPr>
          <w:rFonts w:ascii="Times New Roman" w:hAnsi="Times New Roman" w:cs="Times New Roman"/>
          <w:sz w:val="24"/>
          <w:szCs w:val="24"/>
        </w:rPr>
        <w:t xml:space="preserve"> hinnakiri </w:t>
      </w:r>
      <w:r w:rsidR="005C248A" w:rsidRPr="00391735">
        <w:rPr>
          <w:rFonts w:ascii="Times New Roman" w:hAnsi="Times New Roman" w:cs="Times New Roman"/>
          <w:sz w:val="24"/>
          <w:szCs w:val="24"/>
        </w:rPr>
        <w:t xml:space="preserve">on avalik ja leitav </w:t>
      </w:r>
      <w:hyperlink r:id="rId11" w:history="1">
        <w:r w:rsidR="005C248A" w:rsidRPr="00391735">
          <w:rPr>
            <w:rStyle w:val="Hyperlink"/>
            <w:rFonts w:ascii="Times New Roman" w:hAnsi="Times New Roman" w:cs="Times New Roman"/>
            <w:sz w:val="24"/>
            <w:szCs w:val="24"/>
          </w:rPr>
          <w:t>kodulehelt</w:t>
        </w:r>
      </w:hyperlink>
      <w:r w:rsidR="005C248A" w:rsidRPr="00391735">
        <w:rPr>
          <w:rFonts w:ascii="Times New Roman" w:hAnsi="Times New Roman" w:cs="Times New Roman"/>
          <w:sz w:val="24"/>
          <w:szCs w:val="24"/>
        </w:rPr>
        <w:t xml:space="preserve">. </w:t>
      </w:r>
      <w:r w:rsidR="00700505" w:rsidRPr="00391735">
        <w:rPr>
          <w:rFonts w:ascii="Times New Roman" w:hAnsi="Times New Roman" w:cs="Times New Roman"/>
          <w:sz w:val="24"/>
          <w:szCs w:val="24"/>
        </w:rPr>
        <w:t xml:space="preserve">Alates 1. </w:t>
      </w:r>
      <w:r w:rsidR="00840D4E">
        <w:rPr>
          <w:rFonts w:ascii="Times New Roman" w:hAnsi="Times New Roman" w:cs="Times New Roman"/>
          <w:sz w:val="24"/>
          <w:szCs w:val="24"/>
        </w:rPr>
        <w:t>juuni</w:t>
      </w:r>
      <w:r w:rsidR="00840D4E" w:rsidRPr="00391735">
        <w:rPr>
          <w:rFonts w:ascii="Times New Roman" w:hAnsi="Times New Roman" w:cs="Times New Roman"/>
          <w:sz w:val="24"/>
          <w:szCs w:val="24"/>
        </w:rPr>
        <w:t xml:space="preserve"> </w:t>
      </w:r>
      <w:r w:rsidR="00700505" w:rsidRPr="00391735">
        <w:rPr>
          <w:rFonts w:ascii="Times New Roman" w:hAnsi="Times New Roman" w:cs="Times New Roman"/>
          <w:sz w:val="24"/>
          <w:szCs w:val="24"/>
        </w:rPr>
        <w:t>202</w:t>
      </w:r>
      <w:r w:rsidR="00840D4E">
        <w:rPr>
          <w:rFonts w:ascii="Times New Roman" w:hAnsi="Times New Roman" w:cs="Times New Roman"/>
          <w:sz w:val="24"/>
          <w:szCs w:val="24"/>
        </w:rPr>
        <w:t>5</w:t>
      </w:r>
      <w:r w:rsidR="00700505" w:rsidRPr="00391735">
        <w:rPr>
          <w:rFonts w:ascii="Times New Roman" w:hAnsi="Times New Roman" w:cs="Times New Roman"/>
          <w:sz w:val="24"/>
          <w:szCs w:val="24"/>
        </w:rPr>
        <w:t xml:space="preserve"> hakka</w:t>
      </w:r>
      <w:r w:rsidR="007E4FCD">
        <w:rPr>
          <w:rFonts w:ascii="Times New Roman" w:hAnsi="Times New Roman" w:cs="Times New Roman"/>
          <w:sz w:val="24"/>
          <w:szCs w:val="24"/>
        </w:rPr>
        <w:t>s</w:t>
      </w:r>
      <w:r w:rsidR="00700505" w:rsidRPr="00391735">
        <w:rPr>
          <w:rFonts w:ascii="Times New Roman" w:hAnsi="Times New Roman" w:cs="Times New Roman"/>
          <w:sz w:val="24"/>
          <w:szCs w:val="24"/>
        </w:rPr>
        <w:t xml:space="preserve"> kehtima </w:t>
      </w:r>
      <w:hyperlink r:id="rId12" w:history="1">
        <w:r w:rsidR="00700505" w:rsidRPr="00391735">
          <w:rPr>
            <w:rStyle w:val="Hyperlink"/>
            <w:rFonts w:ascii="Times New Roman" w:hAnsi="Times New Roman" w:cs="Times New Roman"/>
            <w:sz w:val="24"/>
            <w:szCs w:val="24"/>
          </w:rPr>
          <w:t>uus hinnakiri</w:t>
        </w:r>
      </w:hyperlink>
      <w:r w:rsidR="00700505" w:rsidRPr="00391735">
        <w:rPr>
          <w:rFonts w:ascii="Times New Roman" w:hAnsi="Times New Roman" w:cs="Times New Roman"/>
          <w:sz w:val="24"/>
          <w:szCs w:val="24"/>
        </w:rPr>
        <w:t>, millega tõstet</w:t>
      </w:r>
      <w:r w:rsidR="007E4FCD">
        <w:rPr>
          <w:rFonts w:ascii="Times New Roman" w:hAnsi="Times New Roman" w:cs="Times New Roman"/>
          <w:sz w:val="24"/>
          <w:szCs w:val="24"/>
        </w:rPr>
        <w:t>i</w:t>
      </w:r>
      <w:r w:rsidR="00700505" w:rsidRPr="00391735">
        <w:rPr>
          <w:rFonts w:ascii="Times New Roman" w:hAnsi="Times New Roman" w:cs="Times New Roman"/>
          <w:sz w:val="24"/>
          <w:szCs w:val="24"/>
        </w:rPr>
        <w:t xml:space="preserve"> hindu keskmiselt 10% võrra</w:t>
      </w:r>
      <w:r w:rsidR="00BE159F" w:rsidRPr="00391735">
        <w:rPr>
          <w:rFonts w:ascii="Times New Roman" w:hAnsi="Times New Roman" w:cs="Times New Roman"/>
          <w:sz w:val="24"/>
          <w:szCs w:val="24"/>
        </w:rPr>
        <w:t xml:space="preserve"> peamiselt seoses üldise elukalliduse tõusuga</w:t>
      </w:r>
      <w:r w:rsidR="00B855BE" w:rsidRPr="00391735">
        <w:rPr>
          <w:rFonts w:ascii="Times New Roman" w:hAnsi="Times New Roman" w:cs="Times New Roman"/>
          <w:sz w:val="24"/>
          <w:szCs w:val="24"/>
        </w:rPr>
        <w:t>, et tagada jätkuvalt kasumlik teenuste osutamine</w:t>
      </w:r>
      <w:r w:rsidR="00BE159F" w:rsidRPr="00391735">
        <w:rPr>
          <w:rFonts w:ascii="Times New Roman" w:hAnsi="Times New Roman" w:cs="Times New Roman"/>
          <w:sz w:val="24"/>
          <w:szCs w:val="24"/>
        </w:rPr>
        <w:t xml:space="preserve">. </w:t>
      </w:r>
      <w:r w:rsidR="005C248A" w:rsidRPr="00391735">
        <w:rPr>
          <w:rFonts w:ascii="Times New Roman" w:hAnsi="Times New Roman" w:cs="Times New Roman"/>
          <w:sz w:val="24"/>
          <w:szCs w:val="24"/>
        </w:rPr>
        <w:t xml:space="preserve">Erinevat hinnastamist lähtuvalt avalikest huvidest, mis ei kata tegelikku tegevus- või teenuse osutamise kulu, TJT ei praktiseeri. Küll on nõukogu andnud ühekordselt nõusolekuid TJT juhatusele </w:t>
      </w:r>
      <w:r w:rsidR="005C248A" w:rsidRPr="001A3593">
        <w:rPr>
          <w:rFonts w:ascii="Times New Roman" w:hAnsi="Times New Roman" w:cs="Times New Roman"/>
          <w:sz w:val="24"/>
          <w:szCs w:val="24"/>
          <w:u w:val="single"/>
        </w:rPr>
        <w:t>lühiajaliste</w:t>
      </w:r>
      <w:r w:rsidR="005C248A" w:rsidRPr="00391735">
        <w:rPr>
          <w:rFonts w:ascii="Times New Roman" w:hAnsi="Times New Roman" w:cs="Times New Roman"/>
          <w:sz w:val="24"/>
          <w:szCs w:val="24"/>
        </w:rPr>
        <w:t xml:space="preserve"> kokkulepete sõlmimiseks kehtestatud hinnakirjast erinevate hindadega (soodustus suurusjärgus 5-20%), eelkõige pikaajalistele koostööpartneritele</w:t>
      </w:r>
      <w:r w:rsidR="00BE159F" w:rsidRPr="00391735">
        <w:rPr>
          <w:rFonts w:ascii="Times New Roman" w:hAnsi="Times New Roman" w:cs="Times New Roman"/>
          <w:sz w:val="24"/>
          <w:szCs w:val="24"/>
        </w:rPr>
        <w:t xml:space="preserve"> ettenägematutest asjaoludest tingituna, aga ka nt </w:t>
      </w:r>
      <w:r w:rsidR="005C248A" w:rsidRPr="00391735">
        <w:rPr>
          <w:rFonts w:ascii="Times New Roman" w:hAnsi="Times New Roman" w:cs="Times New Roman"/>
          <w:sz w:val="24"/>
          <w:szCs w:val="24"/>
        </w:rPr>
        <w:t>heakorrakuu või „Teeme ära“ kampaania raames.</w:t>
      </w:r>
    </w:p>
    <w:p w14:paraId="52E9EEDF" w14:textId="77777777" w:rsidR="005C248A" w:rsidRPr="00391735" w:rsidRDefault="005C248A" w:rsidP="00027317">
      <w:pPr>
        <w:pStyle w:val="ListParagraph"/>
        <w:jc w:val="both"/>
        <w:rPr>
          <w:rFonts w:ascii="Times New Roman" w:hAnsi="Times New Roman" w:cs="Times New Roman"/>
          <w:sz w:val="24"/>
          <w:szCs w:val="24"/>
        </w:rPr>
      </w:pPr>
    </w:p>
    <w:p w14:paraId="5F5A9B2F" w14:textId="36F265D7" w:rsidR="00D97A4C" w:rsidRDefault="00840D4E" w:rsidP="00B3719A">
      <w:pPr>
        <w:pStyle w:val="ListParagraph"/>
        <w:jc w:val="both"/>
        <w:rPr>
          <w:rFonts w:ascii="Times New Roman" w:hAnsi="Times New Roman" w:cs="Times New Roman"/>
          <w:b/>
          <w:bCs/>
          <w:sz w:val="24"/>
          <w:szCs w:val="24"/>
        </w:rPr>
      </w:pPr>
      <w:r w:rsidRPr="00840D4E">
        <w:rPr>
          <w:rFonts w:ascii="Times New Roman" w:hAnsi="Times New Roman" w:cs="Times New Roman"/>
          <w:sz w:val="24"/>
          <w:szCs w:val="24"/>
        </w:rPr>
        <w:t>Eeltoodu viitab sellele, et TJT lähtub oma tegevuses ärilistest huvidest ja majanduslikest kaalutlustest. Kuigi Tallinna linnal on kohaliku omavalitsuse korralduse seadusest ja jäätmeseadusest tulenev huvi tagada piirkonnas jäätmekäitluskoha olemasolu, toimub selle eesmärgi täitmine turutingimustes tegutseva äriühingu kaudu, kes peab tagama oma tegevuse jätkusuutlikkuse ja kasumlikkuse isemajandamise põhimõttel ning ilma linna tegevustoetuseta.</w:t>
      </w:r>
    </w:p>
    <w:p w14:paraId="0BCB93E8" w14:textId="471A8484" w:rsidR="00B3719A" w:rsidRPr="00391735" w:rsidRDefault="00B3719A" w:rsidP="00B3719A">
      <w:pPr>
        <w:pStyle w:val="ListParagraph"/>
        <w:jc w:val="both"/>
        <w:rPr>
          <w:rFonts w:ascii="Times New Roman" w:hAnsi="Times New Roman" w:cs="Times New Roman"/>
          <w:b/>
          <w:bCs/>
          <w:sz w:val="24"/>
          <w:szCs w:val="24"/>
        </w:rPr>
      </w:pPr>
      <w:r w:rsidRPr="00391735">
        <w:rPr>
          <w:rFonts w:ascii="Times New Roman" w:hAnsi="Times New Roman" w:cs="Times New Roman"/>
          <w:b/>
          <w:bCs/>
          <w:sz w:val="24"/>
          <w:szCs w:val="24"/>
        </w:rPr>
        <w:t>Kas ettevõtja kannab oma tegevusega seotud riski?</w:t>
      </w:r>
    </w:p>
    <w:p w14:paraId="23417B8B" w14:textId="222D4429" w:rsidR="00FD3785" w:rsidRPr="00391735" w:rsidRDefault="00FD3785" w:rsidP="00B3719A">
      <w:pPr>
        <w:pStyle w:val="ListParagraph"/>
        <w:jc w:val="both"/>
        <w:rPr>
          <w:rFonts w:ascii="Times New Roman" w:hAnsi="Times New Roman" w:cs="Times New Roman"/>
          <w:sz w:val="24"/>
          <w:szCs w:val="24"/>
        </w:rPr>
      </w:pPr>
    </w:p>
    <w:p w14:paraId="0B93F585" w14:textId="5D175CEB" w:rsidR="00D55C72" w:rsidRPr="00391735" w:rsidRDefault="00D55C72" w:rsidP="00B3719A">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Majandusliku riski kandmisena käsitatakse Euroopa Kohtu praktikas riigi (või muu omanikust hankija) poolt kahjude kompenseerimise mehhanismi, mis võimaldaks kahjumi katta või pankrotti vältida. Kui riik või kohalik omavalitsus omanikuna kannab ettevõtja tegevusega seotud kahjumit või omanik tõenäoliselt ei lase tal halbade majandustulemuste korral pankrotistuda, ei kanna äriühing enda tegevusega seonduvat majanduslikku riski. Riski mittekandmine viitab sellele, et tegemist on hankijaga.</w:t>
      </w:r>
      <w:r w:rsidRPr="00391735">
        <w:rPr>
          <w:rStyle w:val="FootnoteReference"/>
          <w:rFonts w:ascii="Times New Roman" w:hAnsi="Times New Roman" w:cs="Times New Roman"/>
          <w:sz w:val="24"/>
          <w:szCs w:val="24"/>
        </w:rPr>
        <w:footnoteReference w:id="17"/>
      </w:r>
    </w:p>
    <w:p w14:paraId="64548440" w14:textId="77777777" w:rsidR="003F5A0D" w:rsidRPr="00391735" w:rsidRDefault="003F5A0D" w:rsidP="00B3719A">
      <w:pPr>
        <w:pStyle w:val="ListParagraph"/>
        <w:jc w:val="both"/>
        <w:rPr>
          <w:rFonts w:ascii="Times New Roman" w:hAnsi="Times New Roman" w:cs="Times New Roman"/>
          <w:sz w:val="24"/>
          <w:szCs w:val="24"/>
        </w:rPr>
      </w:pPr>
    </w:p>
    <w:p w14:paraId="6D2F1897" w14:textId="23815401" w:rsidR="00D55C72" w:rsidRPr="00391735" w:rsidRDefault="00D55C72" w:rsidP="00D55C72">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Eesti kohtud on seesugustes vaidlustes lähtunud Euroopa Kohtu viidatud seisukohtadest, leides, et kui hankelepingust ega mujalt (nt ettevõtte põhikirjast vms omaniku tahet kajastavast dokumendist) ei tulene, et riik või kohalik omavalitsus võtaks üle äriühingu kohustused võlausaldajate ees kahju kandmise korral, viitab see, et selline äriühing tegutseb ärilistel eesmärkidel. Seega juhul, kui isik kannab oma kahjumit ise ning puudub võimalus, et tema omanik teda rahaliselt päästma tuleks, tuleb pigem järeldada, et isik ei ole hankija. Oluline on juhtida tähelepanu, et ettevõtja rahalise riski kandmise võib riik ettevõtja omaniku või kontrollijana olla võtnud lisaks põhikirjale (või mistahes muus omaniku tahet kajastavas dokumendis) üle ka riigisisese õigusega.</w:t>
      </w:r>
      <w:r w:rsidRPr="00391735">
        <w:rPr>
          <w:rStyle w:val="FootnoteReference"/>
          <w:rFonts w:ascii="Times New Roman" w:hAnsi="Times New Roman" w:cs="Times New Roman"/>
          <w:sz w:val="24"/>
          <w:szCs w:val="24"/>
        </w:rPr>
        <w:footnoteReference w:id="18"/>
      </w:r>
    </w:p>
    <w:p w14:paraId="42CF4FB1" w14:textId="33806F27" w:rsidR="00D55C72" w:rsidRPr="00391735" w:rsidRDefault="00D55C72" w:rsidP="00D55C72">
      <w:pPr>
        <w:pStyle w:val="ListParagraph"/>
        <w:jc w:val="both"/>
        <w:rPr>
          <w:rFonts w:ascii="Times New Roman" w:hAnsi="Times New Roman" w:cs="Times New Roman"/>
          <w:sz w:val="24"/>
          <w:szCs w:val="24"/>
        </w:rPr>
      </w:pPr>
    </w:p>
    <w:p w14:paraId="732A0B2F" w14:textId="298536FA" w:rsidR="001A3593" w:rsidRDefault="00FD3785" w:rsidP="00B3719A">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A</w:t>
      </w:r>
      <w:r w:rsidR="001622EB" w:rsidRPr="00391735">
        <w:rPr>
          <w:rFonts w:ascii="Times New Roman" w:hAnsi="Times New Roman" w:cs="Times New Roman"/>
          <w:sz w:val="24"/>
          <w:szCs w:val="24"/>
        </w:rPr>
        <w:t>ktsiaselts on nii nagu osaühing piiratud vastutusega kapi</w:t>
      </w:r>
      <w:r w:rsidR="00D55C72" w:rsidRPr="00391735">
        <w:rPr>
          <w:rFonts w:ascii="Times New Roman" w:hAnsi="Times New Roman" w:cs="Times New Roman"/>
          <w:sz w:val="24"/>
          <w:szCs w:val="24"/>
        </w:rPr>
        <w:t>t</w:t>
      </w:r>
      <w:r w:rsidR="001622EB" w:rsidRPr="00391735">
        <w:rPr>
          <w:rFonts w:ascii="Times New Roman" w:hAnsi="Times New Roman" w:cs="Times New Roman"/>
          <w:sz w:val="24"/>
          <w:szCs w:val="24"/>
        </w:rPr>
        <w:t>aliühing. Piiratud vastutuse põhimõttest tulenevalt ei vastuta aktsionärid isiklikult aktsiaseltsi koh</w:t>
      </w:r>
      <w:r w:rsidR="00D55C72" w:rsidRPr="00391735">
        <w:rPr>
          <w:rFonts w:ascii="Times New Roman" w:hAnsi="Times New Roman" w:cs="Times New Roman"/>
          <w:sz w:val="24"/>
          <w:szCs w:val="24"/>
        </w:rPr>
        <w:t>u</w:t>
      </w:r>
      <w:r w:rsidR="001622EB" w:rsidRPr="00391735">
        <w:rPr>
          <w:rFonts w:ascii="Times New Roman" w:hAnsi="Times New Roman" w:cs="Times New Roman"/>
          <w:sz w:val="24"/>
          <w:szCs w:val="24"/>
        </w:rPr>
        <w:t>stuste eest (ÄS § 221 lg 2). Aktsiaselts vastutab oma kohustuste täitmise eest kogu oma varaga (ÄS § 221 lg 3). Aktsiaseltsi võlausaldaja saab nõuda aktsiaseltsi kohustuse täitmist üksnes aktsiaseltsilt.</w:t>
      </w:r>
      <w:r w:rsidR="001622EB" w:rsidRPr="00391735">
        <w:rPr>
          <w:rStyle w:val="FootnoteReference"/>
          <w:rFonts w:ascii="Times New Roman" w:hAnsi="Times New Roman" w:cs="Times New Roman"/>
          <w:sz w:val="24"/>
          <w:szCs w:val="24"/>
        </w:rPr>
        <w:footnoteReference w:id="19"/>
      </w:r>
      <w:r w:rsidR="00945313" w:rsidRPr="00391735">
        <w:rPr>
          <w:rFonts w:ascii="Times New Roman" w:hAnsi="Times New Roman" w:cs="Times New Roman"/>
          <w:sz w:val="24"/>
          <w:szCs w:val="24"/>
        </w:rPr>
        <w:t xml:space="preserve"> </w:t>
      </w:r>
      <w:hyperlink r:id="rId13" w:anchor="preview" w:history="1">
        <w:r w:rsidR="00945313" w:rsidRPr="00391735">
          <w:rPr>
            <w:rStyle w:val="Hyperlink"/>
            <w:rFonts w:ascii="Times New Roman" w:hAnsi="Times New Roman" w:cs="Times New Roman"/>
            <w:sz w:val="24"/>
            <w:szCs w:val="24"/>
          </w:rPr>
          <w:t>TJT põhikirjas</w:t>
        </w:r>
      </w:hyperlink>
      <w:r w:rsidR="00945313" w:rsidRPr="00391735">
        <w:rPr>
          <w:rFonts w:ascii="Times New Roman" w:hAnsi="Times New Roman" w:cs="Times New Roman"/>
          <w:sz w:val="24"/>
          <w:szCs w:val="24"/>
        </w:rPr>
        <w:t xml:space="preserve"> ei ole sellest põhimõttest kõrvale kaldutud ega sätestatud </w:t>
      </w:r>
      <w:r w:rsidR="00A85FDF" w:rsidRPr="00391735">
        <w:rPr>
          <w:rFonts w:ascii="Times New Roman" w:hAnsi="Times New Roman" w:cs="Times New Roman"/>
          <w:sz w:val="24"/>
          <w:szCs w:val="24"/>
        </w:rPr>
        <w:t xml:space="preserve">ühtegi TJT tegevusega seotud </w:t>
      </w:r>
      <w:r w:rsidR="003F5A0D" w:rsidRPr="00391735">
        <w:rPr>
          <w:rFonts w:ascii="Times New Roman" w:hAnsi="Times New Roman" w:cs="Times New Roman"/>
          <w:sz w:val="24"/>
          <w:szCs w:val="24"/>
        </w:rPr>
        <w:t>kahjude kompenseerimise mehhanism</w:t>
      </w:r>
      <w:r w:rsidR="00A85FDF" w:rsidRPr="00391735">
        <w:rPr>
          <w:rFonts w:ascii="Times New Roman" w:hAnsi="Times New Roman" w:cs="Times New Roman"/>
          <w:sz w:val="24"/>
          <w:szCs w:val="24"/>
        </w:rPr>
        <w:t>i</w:t>
      </w:r>
      <w:r w:rsidR="00BB0946">
        <w:rPr>
          <w:rFonts w:ascii="Times New Roman" w:hAnsi="Times New Roman" w:cs="Times New Roman"/>
          <w:sz w:val="24"/>
          <w:szCs w:val="24"/>
        </w:rPr>
        <w:t>, mida on peetud ka kohtupraktikas üheks määravaks argumendiks äriühingu hankijaks mitteolemisel</w:t>
      </w:r>
      <w:r w:rsidR="00BB0946">
        <w:rPr>
          <w:rStyle w:val="FootnoteReference"/>
          <w:rFonts w:ascii="Times New Roman" w:hAnsi="Times New Roman" w:cs="Times New Roman"/>
          <w:sz w:val="24"/>
          <w:szCs w:val="24"/>
        </w:rPr>
        <w:footnoteReference w:id="20"/>
      </w:r>
      <w:r w:rsidR="003F5A0D" w:rsidRPr="00391735">
        <w:rPr>
          <w:rFonts w:ascii="Times New Roman" w:hAnsi="Times New Roman" w:cs="Times New Roman"/>
          <w:sz w:val="24"/>
          <w:szCs w:val="24"/>
        </w:rPr>
        <w:t>.</w:t>
      </w:r>
    </w:p>
    <w:p w14:paraId="12E45CFE" w14:textId="77777777" w:rsidR="001A3593" w:rsidRDefault="001A3593" w:rsidP="00B3719A">
      <w:pPr>
        <w:pStyle w:val="ListParagraph"/>
        <w:jc w:val="both"/>
        <w:rPr>
          <w:rFonts w:ascii="Times New Roman" w:hAnsi="Times New Roman" w:cs="Times New Roman"/>
          <w:sz w:val="24"/>
          <w:szCs w:val="24"/>
        </w:rPr>
      </w:pPr>
    </w:p>
    <w:p w14:paraId="257AF0C7" w14:textId="2EFBF4A0" w:rsidR="00A36B9A" w:rsidRPr="00391735" w:rsidRDefault="003F5A0D" w:rsidP="00B3719A">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Samuti ei võta linn mingil määral vastutust TJT-ga sõlmitud jäätmeveoteenuse ja jäätmete töötlemise kontsessioonilepingutes</w:t>
      </w:r>
      <w:r w:rsidR="00A36B9A" w:rsidRPr="00391735">
        <w:rPr>
          <w:rFonts w:ascii="Times New Roman" w:hAnsi="Times New Roman" w:cs="Times New Roman"/>
          <w:sz w:val="24"/>
          <w:szCs w:val="24"/>
        </w:rPr>
        <w:t>. Vastupidi, kõik riskid on jäetud TJT</w:t>
      </w:r>
      <w:r w:rsidR="00935E5B" w:rsidRPr="00391735">
        <w:rPr>
          <w:rFonts w:ascii="Times New Roman" w:hAnsi="Times New Roman" w:cs="Times New Roman"/>
          <w:sz w:val="24"/>
          <w:szCs w:val="24"/>
        </w:rPr>
        <w:t xml:space="preserve"> kui jäätmevedaja või jäätm</w:t>
      </w:r>
      <w:r w:rsidR="00AA2F1F" w:rsidRPr="00391735">
        <w:rPr>
          <w:rFonts w:ascii="Times New Roman" w:hAnsi="Times New Roman" w:cs="Times New Roman"/>
          <w:sz w:val="24"/>
          <w:szCs w:val="24"/>
        </w:rPr>
        <w:t>e</w:t>
      </w:r>
      <w:r w:rsidR="00935E5B" w:rsidRPr="00391735">
        <w:rPr>
          <w:rFonts w:ascii="Times New Roman" w:hAnsi="Times New Roman" w:cs="Times New Roman"/>
          <w:sz w:val="24"/>
          <w:szCs w:val="24"/>
        </w:rPr>
        <w:t>käitleja</w:t>
      </w:r>
      <w:r w:rsidR="00A36B9A" w:rsidRPr="00391735">
        <w:rPr>
          <w:rFonts w:ascii="Times New Roman" w:hAnsi="Times New Roman" w:cs="Times New Roman"/>
          <w:sz w:val="24"/>
          <w:szCs w:val="24"/>
        </w:rPr>
        <w:t xml:space="preserve"> kanda, sh nt:</w:t>
      </w:r>
    </w:p>
    <w:p w14:paraId="3D9CA95E" w14:textId="1638D819" w:rsidR="00FD3785" w:rsidRPr="00391735" w:rsidRDefault="00902125" w:rsidP="00A36B9A">
      <w:pPr>
        <w:pStyle w:val="ListParagraph"/>
        <w:numPr>
          <w:ilvl w:val="0"/>
          <w:numId w:val="8"/>
        </w:numPr>
        <w:jc w:val="both"/>
        <w:rPr>
          <w:rFonts w:ascii="Times New Roman" w:hAnsi="Times New Roman" w:cs="Times New Roman"/>
          <w:sz w:val="24"/>
          <w:szCs w:val="24"/>
        </w:rPr>
      </w:pPr>
      <w:r w:rsidRPr="00391735">
        <w:rPr>
          <w:rFonts w:ascii="Times New Roman" w:hAnsi="Times New Roman" w:cs="Times New Roman"/>
          <w:sz w:val="24"/>
          <w:szCs w:val="24"/>
        </w:rPr>
        <w:t>j</w:t>
      </w:r>
      <w:r w:rsidR="00A36B9A" w:rsidRPr="00391735">
        <w:rPr>
          <w:rFonts w:ascii="Times New Roman" w:hAnsi="Times New Roman" w:cs="Times New Roman"/>
          <w:sz w:val="24"/>
          <w:szCs w:val="24"/>
        </w:rPr>
        <w:t>äätmete eeldatava kogu</w:t>
      </w:r>
      <w:r w:rsidR="00AA2F1F" w:rsidRPr="00391735">
        <w:rPr>
          <w:rFonts w:ascii="Times New Roman" w:hAnsi="Times New Roman" w:cs="Times New Roman"/>
          <w:sz w:val="24"/>
          <w:szCs w:val="24"/>
        </w:rPr>
        <w:t>se</w:t>
      </w:r>
      <w:r w:rsidR="00A36B9A" w:rsidRPr="00391735">
        <w:rPr>
          <w:rFonts w:ascii="Times New Roman" w:hAnsi="Times New Roman" w:cs="Times New Roman"/>
          <w:sz w:val="24"/>
          <w:szCs w:val="24"/>
        </w:rPr>
        <w:t xml:space="preserve"> kasv kuni 30%</w:t>
      </w:r>
      <w:r w:rsidR="00AA2F1F" w:rsidRPr="00391735">
        <w:rPr>
          <w:rFonts w:ascii="Times New Roman" w:hAnsi="Times New Roman" w:cs="Times New Roman"/>
          <w:sz w:val="24"/>
          <w:szCs w:val="24"/>
        </w:rPr>
        <w:t xml:space="preserve"> või vähenemine</w:t>
      </w:r>
      <w:r w:rsidRPr="00391735">
        <w:rPr>
          <w:rFonts w:ascii="Times New Roman" w:hAnsi="Times New Roman" w:cs="Times New Roman"/>
          <w:sz w:val="24"/>
          <w:szCs w:val="24"/>
        </w:rPr>
        <w:t>;</w:t>
      </w:r>
    </w:p>
    <w:p w14:paraId="503DB907" w14:textId="48224195" w:rsidR="00A36B9A" w:rsidRPr="00391735" w:rsidRDefault="00902125" w:rsidP="00A36B9A">
      <w:pPr>
        <w:pStyle w:val="ListParagraph"/>
        <w:numPr>
          <w:ilvl w:val="0"/>
          <w:numId w:val="8"/>
        </w:numPr>
        <w:jc w:val="both"/>
        <w:rPr>
          <w:rFonts w:ascii="Times New Roman" w:hAnsi="Times New Roman" w:cs="Times New Roman"/>
          <w:sz w:val="24"/>
          <w:szCs w:val="24"/>
        </w:rPr>
      </w:pPr>
      <w:r w:rsidRPr="00391735">
        <w:rPr>
          <w:rFonts w:ascii="Times New Roman" w:hAnsi="Times New Roman" w:cs="Times New Roman"/>
          <w:sz w:val="24"/>
          <w:szCs w:val="24"/>
        </w:rPr>
        <w:t>k</w:t>
      </w:r>
      <w:r w:rsidR="00A36B9A" w:rsidRPr="00391735">
        <w:rPr>
          <w:rFonts w:ascii="Times New Roman" w:hAnsi="Times New Roman" w:cs="Times New Roman"/>
          <w:sz w:val="24"/>
          <w:szCs w:val="24"/>
        </w:rPr>
        <w:t>ui jäätmevedaja jätab jäätmekäitlejale lepingu alusel tasumisele kuuluva summa maksmata, on jäätmekäitlejal nõudeõigus jäätmevedaja, mitte tellija</w:t>
      </w:r>
      <w:r w:rsidR="00AB6C15" w:rsidRPr="00391735">
        <w:rPr>
          <w:rStyle w:val="FootnoteReference"/>
          <w:rFonts w:ascii="Times New Roman" w:hAnsi="Times New Roman" w:cs="Times New Roman"/>
          <w:sz w:val="24"/>
          <w:szCs w:val="24"/>
        </w:rPr>
        <w:footnoteReference w:id="21"/>
      </w:r>
      <w:r w:rsidR="00AB6C15" w:rsidRPr="00391735">
        <w:rPr>
          <w:rFonts w:ascii="Times New Roman" w:hAnsi="Times New Roman" w:cs="Times New Roman"/>
          <w:sz w:val="24"/>
          <w:szCs w:val="24"/>
        </w:rPr>
        <w:t xml:space="preserve"> </w:t>
      </w:r>
      <w:r w:rsidR="00A36B9A" w:rsidRPr="00391735">
        <w:rPr>
          <w:rFonts w:ascii="Times New Roman" w:hAnsi="Times New Roman" w:cs="Times New Roman"/>
          <w:sz w:val="24"/>
          <w:szCs w:val="24"/>
        </w:rPr>
        <w:t>vastu. Tellija ei vastuta jäätmekäitleja ees jäätmevedajaga solidaarselt</w:t>
      </w:r>
      <w:r w:rsidRPr="00391735">
        <w:rPr>
          <w:rFonts w:ascii="Times New Roman" w:hAnsi="Times New Roman" w:cs="Times New Roman"/>
          <w:sz w:val="24"/>
          <w:szCs w:val="24"/>
        </w:rPr>
        <w:t>;</w:t>
      </w:r>
    </w:p>
    <w:p w14:paraId="731B31D3" w14:textId="065CF484" w:rsidR="009C43F0" w:rsidRPr="00391735" w:rsidRDefault="009C43F0" w:rsidP="00A36B9A">
      <w:pPr>
        <w:pStyle w:val="ListParagraph"/>
        <w:numPr>
          <w:ilvl w:val="0"/>
          <w:numId w:val="8"/>
        </w:numPr>
        <w:jc w:val="both"/>
        <w:rPr>
          <w:rFonts w:ascii="Times New Roman" w:hAnsi="Times New Roman" w:cs="Times New Roman"/>
          <w:sz w:val="24"/>
          <w:szCs w:val="24"/>
        </w:rPr>
      </w:pPr>
      <w:r w:rsidRPr="00391735">
        <w:rPr>
          <w:rFonts w:ascii="Times New Roman" w:hAnsi="Times New Roman" w:cs="Times New Roman"/>
          <w:sz w:val="24"/>
          <w:szCs w:val="24"/>
        </w:rPr>
        <w:t xml:space="preserve">jäätmevedaja kohustub esitama tellijale hiljemalt viie tööpäeva jooksul lepingu allkirjastamisest lepingust tulenevate kohustuste ja tellijale jäätmevedaja poolt lepingu rikkumisest tulenevate nõuete täitmise tagamiseks krediidi- või finantseerimisasutuse või kindlustusandja tingimusteta ja tagasivõtmatu esimesel nõudel realiseeritava garantiikirja summas </w:t>
      </w:r>
      <w:r w:rsidRPr="00391735">
        <w:rPr>
          <w:rFonts w:ascii="Times New Roman" w:hAnsi="Times New Roman" w:cs="Times New Roman"/>
          <w:sz w:val="24"/>
          <w:szCs w:val="24"/>
          <w:u w:val="single"/>
        </w:rPr>
        <w:t>400</w:t>
      </w:r>
      <w:r w:rsidR="00AB6C15" w:rsidRPr="00391735">
        <w:rPr>
          <w:rFonts w:ascii="Times New Roman" w:hAnsi="Times New Roman" w:cs="Times New Roman"/>
          <w:sz w:val="24"/>
          <w:szCs w:val="24"/>
          <w:u w:val="single"/>
        </w:rPr>
        <w:t> </w:t>
      </w:r>
      <w:r w:rsidRPr="00391735">
        <w:rPr>
          <w:rFonts w:ascii="Times New Roman" w:hAnsi="Times New Roman" w:cs="Times New Roman"/>
          <w:sz w:val="24"/>
          <w:szCs w:val="24"/>
          <w:u w:val="single"/>
        </w:rPr>
        <w:t>000</w:t>
      </w:r>
      <w:r w:rsidR="00AB6C15" w:rsidRPr="00391735">
        <w:rPr>
          <w:rFonts w:ascii="Times New Roman" w:hAnsi="Times New Roman" w:cs="Times New Roman"/>
          <w:sz w:val="24"/>
          <w:szCs w:val="24"/>
          <w:u w:val="single"/>
        </w:rPr>
        <w:t>/100 000/150 000</w:t>
      </w:r>
      <w:r w:rsidRPr="00391735">
        <w:rPr>
          <w:rFonts w:ascii="Times New Roman" w:hAnsi="Times New Roman" w:cs="Times New Roman"/>
          <w:sz w:val="24"/>
          <w:szCs w:val="24"/>
          <w:u w:val="single"/>
        </w:rPr>
        <w:t xml:space="preserve"> eurot</w:t>
      </w:r>
      <w:r w:rsidR="00AB6C15" w:rsidRPr="00391735">
        <w:rPr>
          <w:rStyle w:val="FootnoteReference"/>
          <w:rFonts w:ascii="Times New Roman" w:hAnsi="Times New Roman" w:cs="Times New Roman"/>
          <w:sz w:val="24"/>
          <w:szCs w:val="24"/>
          <w:u w:val="single"/>
        </w:rPr>
        <w:footnoteReference w:id="22"/>
      </w:r>
      <w:r w:rsidRPr="00391735">
        <w:rPr>
          <w:rFonts w:ascii="Times New Roman" w:hAnsi="Times New Roman" w:cs="Times New Roman"/>
          <w:sz w:val="24"/>
          <w:szCs w:val="24"/>
        </w:rPr>
        <w:t xml:space="preserve"> kehtivuse tähtajaga minimaalselt kolm kuud pärast lepingu lõppemist;</w:t>
      </w:r>
      <w:r w:rsidR="00AB6C15" w:rsidRPr="00391735">
        <w:rPr>
          <w:rStyle w:val="FootnoteReference"/>
          <w:rFonts w:ascii="Times New Roman" w:hAnsi="Times New Roman" w:cs="Times New Roman"/>
          <w:sz w:val="24"/>
          <w:szCs w:val="24"/>
        </w:rPr>
        <w:footnoteReference w:id="23"/>
      </w:r>
    </w:p>
    <w:p w14:paraId="07EF5A39" w14:textId="79B364A5" w:rsidR="00A36B9A" w:rsidRPr="00391735" w:rsidRDefault="00902125" w:rsidP="00A36B9A">
      <w:pPr>
        <w:pStyle w:val="ListParagraph"/>
        <w:numPr>
          <w:ilvl w:val="0"/>
          <w:numId w:val="8"/>
        </w:numPr>
        <w:jc w:val="both"/>
        <w:rPr>
          <w:rFonts w:ascii="Times New Roman" w:hAnsi="Times New Roman" w:cs="Times New Roman"/>
          <w:sz w:val="24"/>
          <w:szCs w:val="24"/>
        </w:rPr>
      </w:pPr>
      <w:r w:rsidRPr="00391735">
        <w:rPr>
          <w:rFonts w:ascii="Times New Roman" w:hAnsi="Times New Roman" w:cs="Times New Roman"/>
          <w:sz w:val="24"/>
          <w:szCs w:val="24"/>
        </w:rPr>
        <w:t>j</w:t>
      </w:r>
      <w:r w:rsidR="00A36B9A" w:rsidRPr="00391735">
        <w:rPr>
          <w:rFonts w:ascii="Times New Roman" w:hAnsi="Times New Roman" w:cs="Times New Roman"/>
          <w:sz w:val="24"/>
          <w:szCs w:val="24"/>
        </w:rPr>
        <w:t xml:space="preserve">äätmekäitleja kohustub lepingust tulenevate kohustuste ja tellijale jäätmekäitleja poolt lepingu rikkumisest tulenevate nõuete täitmise tagamiseks esitama tellijale hiljemalt lepingu allkirjastamisel krediidi- või finantseerimisasutuse või kindlustusandja tingimusteta ja tagasivõtmatu esimesel nõudel realiseeritava garantiikirja summas </w:t>
      </w:r>
      <w:r w:rsidR="00315BE5" w:rsidRPr="00391735">
        <w:rPr>
          <w:rFonts w:ascii="Times New Roman" w:hAnsi="Times New Roman" w:cs="Times New Roman"/>
          <w:sz w:val="24"/>
          <w:szCs w:val="24"/>
          <w:u w:val="single"/>
        </w:rPr>
        <w:t>4</w:t>
      </w:r>
      <w:r w:rsidR="00A36B9A" w:rsidRPr="00391735">
        <w:rPr>
          <w:rFonts w:ascii="Times New Roman" w:hAnsi="Times New Roman" w:cs="Times New Roman"/>
          <w:sz w:val="24"/>
          <w:szCs w:val="24"/>
          <w:u w:val="single"/>
        </w:rPr>
        <w:t>0</w:t>
      </w:r>
      <w:r w:rsidR="00315BE5" w:rsidRPr="00391735">
        <w:rPr>
          <w:rFonts w:ascii="Times New Roman" w:hAnsi="Times New Roman" w:cs="Times New Roman"/>
          <w:sz w:val="24"/>
          <w:szCs w:val="24"/>
          <w:u w:val="single"/>
        </w:rPr>
        <w:t> </w:t>
      </w:r>
      <w:r w:rsidR="00A36B9A" w:rsidRPr="00391735">
        <w:rPr>
          <w:rFonts w:ascii="Times New Roman" w:hAnsi="Times New Roman" w:cs="Times New Roman"/>
          <w:sz w:val="24"/>
          <w:szCs w:val="24"/>
          <w:u w:val="single"/>
        </w:rPr>
        <w:t>000 eurot</w:t>
      </w:r>
      <w:r w:rsidR="00A36B9A" w:rsidRPr="00391735">
        <w:rPr>
          <w:rFonts w:ascii="Times New Roman" w:hAnsi="Times New Roman" w:cs="Times New Roman"/>
          <w:sz w:val="24"/>
          <w:szCs w:val="24"/>
        </w:rPr>
        <w:t xml:space="preserve"> kehtivuse tähtajaga minimaalselt kolm kuud pärast lepingu lõppemist või deponeerima nimetud rahasumma</w:t>
      </w:r>
      <w:r w:rsidRPr="00391735">
        <w:rPr>
          <w:rFonts w:ascii="Times New Roman" w:hAnsi="Times New Roman" w:cs="Times New Roman"/>
          <w:sz w:val="24"/>
          <w:szCs w:val="24"/>
        </w:rPr>
        <w:t>;</w:t>
      </w:r>
      <w:r w:rsidRPr="00391735">
        <w:rPr>
          <w:rStyle w:val="FootnoteReference"/>
          <w:rFonts w:ascii="Times New Roman" w:hAnsi="Times New Roman" w:cs="Times New Roman"/>
          <w:sz w:val="24"/>
          <w:szCs w:val="24"/>
        </w:rPr>
        <w:footnoteReference w:id="24"/>
      </w:r>
    </w:p>
    <w:p w14:paraId="049CE6D8" w14:textId="6C5A651B" w:rsidR="00A36B9A" w:rsidRPr="00391735" w:rsidRDefault="00CF2EA4" w:rsidP="00A36B9A">
      <w:pPr>
        <w:pStyle w:val="ListParagraph"/>
        <w:numPr>
          <w:ilvl w:val="0"/>
          <w:numId w:val="8"/>
        </w:numPr>
        <w:jc w:val="both"/>
        <w:rPr>
          <w:rFonts w:ascii="Times New Roman" w:hAnsi="Times New Roman" w:cs="Times New Roman"/>
          <w:sz w:val="24"/>
          <w:szCs w:val="24"/>
        </w:rPr>
      </w:pPr>
      <w:r w:rsidRPr="00391735">
        <w:rPr>
          <w:rFonts w:ascii="Times New Roman" w:hAnsi="Times New Roman" w:cs="Times New Roman"/>
          <w:sz w:val="24"/>
          <w:szCs w:val="24"/>
        </w:rPr>
        <w:t>j</w:t>
      </w:r>
      <w:r w:rsidR="00A22320" w:rsidRPr="00391735">
        <w:rPr>
          <w:rFonts w:ascii="Times New Roman" w:hAnsi="Times New Roman" w:cs="Times New Roman"/>
          <w:sz w:val="24"/>
          <w:szCs w:val="24"/>
        </w:rPr>
        <w:t>äätmevedaja peab ristsubsideerima paberi- ja kartongijäätmete kogumismahutite tasuta tühjendamist ning biolagunevate jäätmete kogumismahutite madalama tasu eest tühjendamist selle võrra kallima segaolmejäätmete kogumismahuti tühjendamise teenustasu arvelt.</w:t>
      </w:r>
    </w:p>
    <w:p w14:paraId="29B15AE3" w14:textId="769AD974" w:rsidR="00A841F9" w:rsidRDefault="00245C05" w:rsidP="00DB4EC1">
      <w:pPr>
        <w:spacing w:after="0"/>
        <w:ind w:left="709"/>
        <w:jc w:val="both"/>
        <w:rPr>
          <w:rFonts w:ascii="Times New Roman" w:hAnsi="Times New Roman" w:cs="Times New Roman"/>
          <w:sz w:val="24"/>
          <w:szCs w:val="24"/>
        </w:rPr>
      </w:pPr>
      <w:r>
        <w:rPr>
          <w:rFonts w:ascii="Times New Roman" w:hAnsi="Times New Roman" w:cs="Times New Roman"/>
          <w:sz w:val="24"/>
          <w:szCs w:val="24"/>
        </w:rPr>
        <w:t>Avaliku sektori äriühingu puhul jääb paratamatult õhku küsimus, kas</w:t>
      </w:r>
      <w:r w:rsidRPr="00391735">
        <w:rPr>
          <w:rFonts w:ascii="Times New Roman" w:hAnsi="Times New Roman" w:cs="Times New Roman"/>
          <w:sz w:val="24"/>
          <w:szCs w:val="24"/>
        </w:rPr>
        <w:t xml:space="preserve"> riik või kohalik omavalitsus omanikuna lase</w:t>
      </w:r>
      <w:r>
        <w:rPr>
          <w:rFonts w:ascii="Times New Roman" w:hAnsi="Times New Roman" w:cs="Times New Roman"/>
          <w:sz w:val="24"/>
          <w:szCs w:val="24"/>
        </w:rPr>
        <w:t>ks</w:t>
      </w:r>
      <w:r w:rsidRPr="00391735">
        <w:rPr>
          <w:rFonts w:ascii="Times New Roman" w:hAnsi="Times New Roman" w:cs="Times New Roman"/>
          <w:sz w:val="24"/>
          <w:szCs w:val="24"/>
        </w:rPr>
        <w:t xml:space="preserve"> </w:t>
      </w:r>
      <w:r>
        <w:rPr>
          <w:rFonts w:ascii="Times New Roman" w:hAnsi="Times New Roman" w:cs="Times New Roman"/>
          <w:sz w:val="24"/>
          <w:szCs w:val="24"/>
        </w:rPr>
        <w:t>äriühingul</w:t>
      </w:r>
      <w:r w:rsidRPr="00391735">
        <w:rPr>
          <w:rFonts w:ascii="Times New Roman" w:hAnsi="Times New Roman" w:cs="Times New Roman"/>
          <w:sz w:val="24"/>
          <w:szCs w:val="24"/>
        </w:rPr>
        <w:t xml:space="preserve"> halbade majandustulemuste korral pankrotistuda</w:t>
      </w:r>
      <w:r>
        <w:rPr>
          <w:rFonts w:ascii="Times New Roman" w:hAnsi="Times New Roman" w:cs="Times New Roman"/>
          <w:sz w:val="24"/>
          <w:szCs w:val="24"/>
        </w:rPr>
        <w:t xml:space="preserve">, kuid TJT puhul ei ole linn võtud </w:t>
      </w:r>
      <w:r w:rsidRPr="00391735">
        <w:rPr>
          <w:rFonts w:ascii="Times New Roman" w:hAnsi="Times New Roman" w:cs="Times New Roman"/>
          <w:sz w:val="24"/>
          <w:szCs w:val="24"/>
        </w:rPr>
        <w:t>enda kanda mistahes TJT tegevusest tingitud riske</w:t>
      </w:r>
      <w:r>
        <w:rPr>
          <w:rFonts w:ascii="Times New Roman" w:hAnsi="Times New Roman" w:cs="Times New Roman"/>
          <w:sz w:val="24"/>
          <w:szCs w:val="24"/>
        </w:rPr>
        <w:t>, mistõttu ei viita miski sellele, et</w:t>
      </w:r>
      <w:r w:rsidRPr="00391735">
        <w:rPr>
          <w:rFonts w:ascii="Times New Roman" w:hAnsi="Times New Roman" w:cs="Times New Roman"/>
          <w:sz w:val="24"/>
          <w:szCs w:val="24"/>
        </w:rPr>
        <w:t xml:space="preserve"> </w:t>
      </w:r>
      <w:r>
        <w:rPr>
          <w:rFonts w:ascii="Times New Roman" w:hAnsi="Times New Roman" w:cs="Times New Roman"/>
          <w:sz w:val="24"/>
          <w:szCs w:val="24"/>
        </w:rPr>
        <w:t>l</w:t>
      </w:r>
      <w:r w:rsidR="008A4EF0" w:rsidRPr="00391735">
        <w:rPr>
          <w:rFonts w:ascii="Times New Roman" w:hAnsi="Times New Roman" w:cs="Times New Roman"/>
          <w:sz w:val="24"/>
          <w:szCs w:val="24"/>
        </w:rPr>
        <w:t xml:space="preserve">inn </w:t>
      </w:r>
      <w:r>
        <w:rPr>
          <w:rFonts w:ascii="Times New Roman" w:hAnsi="Times New Roman" w:cs="Times New Roman"/>
          <w:sz w:val="24"/>
          <w:szCs w:val="24"/>
        </w:rPr>
        <w:t>seda ka hal</w:t>
      </w:r>
      <w:r w:rsidR="00F002F9">
        <w:rPr>
          <w:rFonts w:ascii="Times New Roman" w:hAnsi="Times New Roman" w:cs="Times New Roman"/>
          <w:sz w:val="24"/>
          <w:szCs w:val="24"/>
        </w:rPr>
        <w:t>b</w:t>
      </w:r>
      <w:r>
        <w:rPr>
          <w:rFonts w:ascii="Times New Roman" w:hAnsi="Times New Roman" w:cs="Times New Roman"/>
          <w:sz w:val="24"/>
          <w:szCs w:val="24"/>
        </w:rPr>
        <w:t>ade majandustulemuste korral teeks</w:t>
      </w:r>
      <w:r w:rsidR="008A4EF0" w:rsidRPr="00391735">
        <w:rPr>
          <w:rFonts w:ascii="Times New Roman" w:hAnsi="Times New Roman" w:cs="Times New Roman"/>
          <w:sz w:val="24"/>
          <w:szCs w:val="24"/>
        </w:rPr>
        <w:t xml:space="preserve">. </w:t>
      </w:r>
      <w:r>
        <w:rPr>
          <w:rFonts w:ascii="Times New Roman" w:hAnsi="Times New Roman" w:cs="Times New Roman"/>
          <w:sz w:val="24"/>
          <w:szCs w:val="24"/>
        </w:rPr>
        <w:t>P</w:t>
      </w:r>
      <w:r w:rsidR="008A4EF0" w:rsidRPr="00391735">
        <w:rPr>
          <w:rFonts w:ascii="Times New Roman" w:hAnsi="Times New Roman" w:cs="Times New Roman"/>
          <w:sz w:val="24"/>
          <w:szCs w:val="24"/>
        </w:rPr>
        <w:t xml:space="preserve">igem </w:t>
      </w:r>
      <w:r w:rsidR="00CF2EA4" w:rsidRPr="00391735">
        <w:rPr>
          <w:rFonts w:ascii="Times New Roman" w:hAnsi="Times New Roman" w:cs="Times New Roman"/>
          <w:sz w:val="24"/>
          <w:szCs w:val="24"/>
        </w:rPr>
        <w:t xml:space="preserve">tuleb </w:t>
      </w:r>
      <w:r>
        <w:rPr>
          <w:rFonts w:ascii="Times New Roman" w:hAnsi="Times New Roman" w:cs="Times New Roman"/>
          <w:sz w:val="24"/>
          <w:szCs w:val="24"/>
        </w:rPr>
        <w:t xml:space="preserve">seesuguseid </w:t>
      </w:r>
      <w:r w:rsidR="008A4EF0" w:rsidRPr="00391735">
        <w:rPr>
          <w:rFonts w:ascii="Times New Roman" w:hAnsi="Times New Roman" w:cs="Times New Roman"/>
          <w:sz w:val="24"/>
          <w:szCs w:val="24"/>
        </w:rPr>
        <w:t xml:space="preserve">riske </w:t>
      </w:r>
      <w:r w:rsidR="00CF2EA4" w:rsidRPr="00391735">
        <w:rPr>
          <w:rFonts w:ascii="Times New Roman" w:hAnsi="Times New Roman" w:cs="Times New Roman"/>
          <w:sz w:val="24"/>
          <w:szCs w:val="24"/>
        </w:rPr>
        <w:t xml:space="preserve">ennetada </w:t>
      </w:r>
      <w:r w:rsidR="008A4EF0" w:rsidRPr="00391735">
        <w:rPr>
          <w:rFonts w:ascii="Times New Roman" w:hAnsi="Times New Roman" w:cs="Times New Roman"/>
          <w:sz w:val="24"/>
          <w:szCs w:val="24"/>
        </w:rPr>
        <w:t>pädevate juhtorganite</w:t>
      </w:r>
      <w:r w:rsidR="00CF2EA4" w:rsidRPr="00391735">
        <w:rPr>
          <w:rFonts w:ascii="Times New Roman" w:hAnsi="Times New Roman" w:cs="Times New Roman"/>
          <w:sz w:val="24"/>
          <w:szCs w:val="24"/>
        </w:rPr>
        <w:t xml:space="preserve"> liikmete, kelle kohustuseks on oskusliku juhtimisega äriühingu majandusliku heaolu tagamine, valimise ja nimetamisega</w:t>
      </w:r>
      <w:r w:rsidR="008A4EF0" w:rsidRPr="00391735">
        <w:rPr>
          <w:rFonts w:ascii="Times New Roman" w:hAnsi="Times New Roman" w:cs="Times New Roman"/>
          <w:sz w:val="24"/>
          <w:szCs w:val="24"/>
        </w:rPr>
        <w:t>.</w:t>
      </w:r>
    </w:p>
    <w:p w14:paraId="3181482C" w14:textId="47BA8F69" w:rsidR="00302E57" w:rsidRDefault="00302E57" w:rsidP="00DB4EC1">
      <w:pPr>
        <w:spacing w:after="0"/>
        <w:ind w:left="709"/>
        <w:jc w:val="both"/>
        <w:rPr>
          <w:rFonts w:ascii="Times New Roman" w:hAnsi="Times New Roman" w:cs="Times New Roman"/>
          <w:sz w:val="24"/>
          <w:szCs w:val="24"/>
        </w:rPr>
      </w:pPr>
    </w:p>
    <w:p w14:paraId="5B1C774D" w14:textId="77777777" w:rsidR="00302E57" w:rsidRPr="00391735" w:rsidRDefault="00302E57" w:rsidP="00DB4EC1">
      <w:pPr>
        <w:spacing w:after="0"/>
        <w:ind w:left="709"/>
        <w:jc w:val="both"/>
        <w:rPr>
          <w:rFonts w:ascii="Times New Roman" w:hAnsi="Times New Roman" w:cs="Times New Roman"/>
          <w:sz w:val="24"/>
          <w:szCs w:val="24"/>
        </w:rPr>
      </w:pPr>
    </w:p>
    <w:p w14:paraId="2A7D189B" w14:textId="468C5180" w:rsidR="0004692C" w:rsidRPr="00391735" w:rsidRDefault="00110AD6" w:rsidP="0004692C">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Kokkuvõtteks tuleb järeldada, et TJT tegutseb küll avalikes huvides, kuid tema tegevusel on äriline iseloom, kuna:</w:t>
      </w:r>
    </w:p>
    <w:p w14:paraId="12BA2394" w14:textId="77777777" w:rsidR="009C6D3F" w:rsidRPr="00391735" w:rsidRDefault="009C6D3F" w:rsidP="009C6D3F">
      <w:pPr>
        <w:pStyle w:val="ListParagraph"/>
        <w:numPr>
          <w:ilvl w:val="0"/>
          <w:numId w:val="9"/>
        </w:numPr>
        <w:rPr>
          <w:rFonts w:ascii="Times New Roman" w:hAnsi="Times New Roman" w:cs="Times New Roman"/>
          <w:sz w:val="24"/>
          <w:szCs w:val="24"/>
        </w:rPr>
      </w:pPr>
      <w:r w:rsidRPr="00391735">
        <w:rPr>
          <w:rFonts w:ascii="Times New Roman" w:hAnsi="Times New Roman" w:cs="Times New Roman"/>
          <w:sz w:val="24"/>
          <w:szCs w:val="24"/>
        </w:rPr>
        <w:t>ta tegutseb teiste valdkonna ettevõtjatega võrdsetel alustel konkurentsi tingimustes;</w:t>
      </w:r>
    </w:p>
    <w:p w14:paraId="5F46945B" w14:textId="063EBCBA" w:rsidR="009C6D3F" w:rsidRPr="00391735" w:rsidRDefault="009C6D3F" w:rsidP="00C42796">
      <w:pPr>
        <w:pStyle w:val="ListParagraph"/>
        <w:numPr>
          <w:ilvl w:val="0"/>
          <w:numId w:val="9"/>
        </w:numPr>
        <w:rPr>
          <w:rFonts w:ascii="Times New Roman" w:hAnsi="Times New Roman" w:cs="Times New Roman"/>
          <w:sz w:val="24"/>
          <w:szCs w:val="24"/>
        </w:rPr>
      </w:pPr>
      <w:r w:rsidRPr="00391735">
        <w:rPr>
          <w:rFonts w:ascii="Times New Roman" w:hAnsi="Times New Roman" w:cs="Times New Roman"/>
          <w:sz w:val="24"/>
          <w:szCs w:val="24"/>
        </w:rPr>
        <w:t>talle ei ole tagatud turuosa ega konkurentsieeliseid;</w:t>
      </w:r>
    </w:p>
    <w:p w14:paraId="0D4191B7" w14:textId="7B39364C" w:rsidR="009C6D3F" w:rsidRPr="00391735" w:rsidRDefault="009C6D3F" w:rsidP="00C42796">
      <w:pPr>
        <w:pStyle w:val="ListParagraph"/>
        <w:numPr>
          <w:ilvl w:val="0"/>
          <w:numId w:val="9"/>
        </w:numPr>
        <w:rPr>
          <w:rFonts w:ascii="Times New Roman" w:hAnsi="Times New Roman" w:cs="Times New Roman"/>
          <w:sz w:val="24"/>
          <w:szCs w:val="24"/>
        </w:rPr>
      </w:pPr>
      <w:r w:rsidRPr="00391735">
        <w:rPr>
          <w:rFonts w:ascii="Times New Roman" w:hAnsi="Times New Roman" w:cs="Times New Roman"/>
          <w:sz w:val="24"/>
          <w:szCs w:val="24"/>
        </w:rPr>
        <w:t>ta ei oma turul valitsevat mõju ega tegutse oluliselt piiratud turul;</w:t>
      </w:r>
    </w:p>
    <w:p w14:paraId="49F303A3" w14:textId="537BF512" w:rsidR="009C6D3F" w:rsidRPr="00391735" w:rsidRDefault="009C6D3F" w:rsidP="009C6D3F">
      <w:pPr>
        <w:pStyle w:val="ListParagraph"/>
        <w:numPr>
          <w:ilvl w:val="0"/>
          <w:numId w:val="9"/>
        </w:numPr>
        <w:rPr>
          <w:rFonts w:ascii="Times New Roman" w:hAnsi="Times New Roman" w:cs="Times New Roman"/>
          <w:sz w:val="24"/>
          <w:szCs w:val="24"/>
        </w:rPr>
      </w:pPr>
      <w:r w:rsidRPr="00391735">
        <w:rPr>
          <w:rFonts w:ascii="Times New Roman" w:hAnsi="Times New Roman" w:cs="Times New Roman"/>
          <w:sz w:val="24"/>
          <w:szCs w:val="24"/>
        </w:rPr>
        <w:t>ta lähtub kulutõhususe põhimõtetest ja kasumi teenimise eesmärgist;</w:t>
      </w:r>
    </w:p>
    <w:p w14:paraId="2BA3B0DE" w14:textId="70E4618C" w:rsidR="00584A94" w:rsidRPr="00391735" w:rsidRDefault="009C6D3F" w:rsidP="00C42796">
      <w:pPr>
        <w:pStyle w:val="ListParagraph"/>
        <w:numPr>
          <w:ilvl w:val="0"/>
          <w:numId w:val="9"/>
        </w:numPr>
        <w:rPr>
          <w:rFonts w:ascii="Times New Roman" w:hAnsi="Times New Roman" w:cs="Times New Roman"/>
          <w:sz w:val="24"/>
          <w:szCs w:val="24"/>
        </w:rPr>
      </w:pPr>
      <w:r w:rsidRPr="00391735">
        <w:rPr>
          <w:rFonts w:ascii="Times New Roman" w:hAnsi="Times New Roman" w:cs="Times New Roman"/>
          <w:sz w:val="24"/>
          <w:szCs w:val="24"/>
        </w:rPr>
        <w:t xml:space="preserve">ta </w:t>
      </w:r>
      <w:r w:rsidR="00110AD6" w:rsidRPr="00391735">
        <w:rPr>
          <w:rFonts w:ascii="Times New Roman" w:hAnsi="Times New Roman" w:cs="Times New Roman"/>
          <w:sz w:val="24"/>
          <w:szCs w:val="24"/>
        </w:rPr>
        <w:t>k</w:t>
      </w:r>
      <w:r w:rsidR="00C42796" w:rsidRPr="00391735">
        <w:rPr>
          <w:rFonts w:ascii="Times New Roman" w:hAnsi="Times New Roman" w:cs="Times New Roman"/>
          <w:sz w:val="24"/>
          <w:szCs w:val="24"/>
        </w:rPr>
        <w:t xml:space="preserve">annab </w:t>
      </w:r>
      <w:r w:rsidR="00110AD6" w:rsidRPr="00391735">
        <w:rPr>
          <w:rFonts w:ascii="Times New Roman" w:hAnsi="Times New Roman" w:cs="Times New Roman"/>
          <w:sz w:val="24"/>
          <w:szCs w:val="24"/>
        </w:rPr>
        <w:t xml:space="preserve">ise </w:t>
      </w:r>
      <w:r w:rsidR="00C42796" w:rsidRPr="00391735">
        <w:rPr>
          <w:rFonts w:ascii="Times New Roman" w:hAnsi="Times New Roman" w:cs="Times New Roman"/>
          <w:sz w:val="24"/>
          <w:szCs w:val="24"/>
        </w:rPr>
        <w:t>oma majanduslikke riske</w:t>
      </w:r>
      <w:r w:rsidR="00544DA4" w:rsidRPr="00391735">
        <w:rPr>
          <w:rFonts w:ascii="Times New Roman" w:hAnsi="Times New Roman" w:cs="Times New Roman"/>
          <w:sz w:val="24"/>
          <w:szCs w:val="24"/>
        </w:rPr>
        <w:t xml:space="preserve"> ja kannab oma tegevuse</w:t>
      </w:r>
      <w:r w:rsidR="00E40E59">
        <w:rPr>
          <w:rFonts w:ascii="Times New Roman" w:hAnsi="Times New Roman" w:cs="Times New Roman"/>
          <w:sz w:val="24"/>
          <w:szCs w:val="24"/>
        </w:rPr>
        <w:t>ga</w:t>
      </w:r>
      <w:r w:rsidR="00544DA4" w:rsidRPr="00391735">
        <w:rPr>
          <w:rFonts w:ascii="Times New Roman" w:hAnsi="Times New Roman" w:cs="Times New Roman"/>
          <w:sz w:val="24"/>
          <w:szCs w:val="24"/>
        </w:rPr>
        <w:t xml:space="preserve"> seotud kahju</w:t>
      </w:r>
      <w:r w:rsidRPr="00391735">
        <w:rPr>
          <w:rFonts w:ascii="Times New Roman" w:hAnsi="Times New Roman" w:cs="Times New Roman"/>
          <w:sz w:val="24"/>
          <w:szCs w:val="24"/>
        </w:rPr>
        <w:t>, ka Tallinna linna ees</w:t>
      </w:r>
      <w:r w:rsidR="00092B06">
        <w:rPr>
          <w:rFonts w:ascii="Times New Roman" w:hAnsi="Times New Roman" w:cs="Times New Roman"/>
          <w:sz w:val="24"/>
          <w:szCs w:val="24"/>
        </w:rPr>
        <w:t>.</w:t>
      </w:r>
    </w:p>
    <w:p w14:paraId="362339AB" w14:textId="089BCAF0" w:rsidR="008A13BC" w:rsidRPr="00391735" w:rsidRDefault="008A13BC">
      <w:pPr>
        <w:pStyle w:val="ListParagraph"/>
        <w:jc w:val="both"/>
        <w:rPr>
          <w:rFonts w:ascii="Times New Roman" w:hAnsi="Times New Roman" w:cs="Times New Roman"/>
          <w:sz w:val="24"/>
          <w:szCs w:val="24"/>
        </w:rPr>
      </w:pPr>
    </w:p>
    <w:p w14:paraId="61A87136" w14:textId="0B1E598C" w:rsidR="00DB4EC1" w:rsidRDefault="00DB4EC1">
      <w:pPr>
        <w:pStyle w:val="ListParagraph"/>
        <w:jc w:val="both"/>
        <w:rPr>
          <w:rFonts w:ascii="Times New Roman" w:hAnsi="Times New Roman" w:cs="Times New Roman"/>
          <w:sz w:val="24"/>
          <w:szCs w:val="24"/>
        </w:rPr>
      </w:pPr>
    </w:p>
    <w:p w14:paraId="265E1099" w14:textId="01AF9507" w:rsidR="006349EA" w:rsidRDefault="006349EA">
      <w:pPr>
        <w:pStyle w:val="ListParagraph"/>
        <w:jc w:val="both"/>
        <w:rPr>
          <w:rFonts w:ascii="Times New Roman" w:hAnsi="Times New Roman" w:cs="Times New Roman"/>
          <w:sz w:val="24"/>
          <w:szCs w:val="24"/>
        </w:rPr>
      </w:pPr>
    </w:p>
    <w:p w14:paraId="47F4E00B" w14:textId="1843F02D" w:rsidR="006349EA" w:rsidRDefault="006349EA">
      <w:pPr>
        <w:pStyle w:val="ListParagraph"/>
        <w:jc w:val="both"/>
        <w:rPr>
          <w:rFonts w:ascii="Times New Roman" w:hAnsi="Times New Roman" w:cs="Times New Roman"/>
          <w:sz w:val="24"/>
          <w:szCs w:val="24"/>
        </w:rPr>
      </w:pPr>
    </w:p>
    <w:p w14:paraId="0161A13A" w14:textId="1972EE5D" w:rsidR="006349EA" w:rsidRDefault="006349EA">
      <w:pPr>
        <w:pStyle w:val="ListParagraph"/>
        <w:jc w:val="both"/>
        <w:rPr>
          <w:rFonts w:ascii="Times New Roman" w:hAnsi="Times New Roman" w:cs="Times New Roman"/>
          <w:sz w:val="24"/>
          <w:szCs w:val="24"/>
        </w:rPr>
      </w:pPr>
    </w:p>
    <w:p w14:paraId="692F136A" w14:textId="4E08C69A" w:rsidR="006349EA" w:rsidRDefault="006349EA">
      <w:pPr>
        <w:pStyle w:val="ListParagraph"/>
        <w:jc w:val="both"/>
        <w:rPr>
          <w:rFonts w:ascii="Times New Roman" w:hAnsi="Times New Roman" w:cs="Times New Roman"/>
          <w:sz w:val="24"/>
          <w:szCs w:val="24"/>
        </w:rPr>
      </w:pPr>
    </w:p>
    <w:p w14:paraId="41B7D21E" w14:textId="4404B060" w:rsidR="006349EA" w:rsidRDefault="006349EA">
      <w:pPr>
        <w:pStyle w:val="ListParagraph"/>
        <w:jc w:val="both"/>
        <w:rPr>
          <w:rFonts w:ascii="Times New Roman" w:hAnsi="Times New Roman" w:cs="Times New Roman"/>
          <w:sz w:val="24"/>
          <w:szCs w:val="24"/>
        </w:rPr>
      </w:pPr>
    </w:p>
    <w:p w14:paraId="02EF26CC" w14:textId="2BB0245F" w:rsidR="006349EA" w:rsidRDefault="006349EA">
      <w:pPr>
        <w:pStyle w:val="ListParagraph"/>
        <w:jc w:val="both"/>
        <w:rPr>
          <w:rFonts w:ascii="Times New Roman" w:hAnsi="Times New Roman" w:cs="Times New Roman"/>
          <w:sz w:val="24"/>
          <w:szCs w:val="24"/>
        </w:rPr>
      </w:pPr>
    </w:p>
    <w:p w14:paraId="40B964C7" w14:textId="77777777" w:rsidR="00840D4E" w:rsidRDefault="00840D4E" w:rsidP="00840D4E">
      <w:pPr>
        <w:pStyle w:val="ListParagraph"/>
        <w:jc w:val="both"/>
        <w:rPr>
          <w:rFonts w:ascii="Times New Roman" w:hAnsi="Times New Roman" w:cs="Times New Roman"/>
          <w:b/>
          <w:bCs/>
          <w:sz w:val="24"/>
          <w:szCs w:val="24"/>
        </w:rPr>
      </w:pPr>
      <w:r w:rsidRPr="00840D4E">
        <w:rPr>
          <w:rFonts w:ascii="Times New Roman" w:hAnsi="Times New Roman" w:cs="Times New Roman"/>
          <w:b/>
          <w:bCs/>
          <w:sz w:val="24"/>
          <w:szCs w:val="24"/>
        </w:rPr>
        <w:t>Kokkuvõte TJT hankijastaatuse kohta</w:t>
      </w:r>
    </w:p>
    <w:p w14:paraId="5095E4EB" w14:textId="77777777" w:rsidR="00840D4E" w:rsidRPr="00840D4E" w:rsidRDefault="00840D4E" w:rsidP="00840D4E">
      <w:pPr>
        <w:pStyle w:val="ListParagraph"/>
        <w:jc w:val="both"/>
        <w:rPr>
          <w:rFonts w:ascii="Times New Roman" w:hAnsi="Times New Roman" w:cs="Times New Roman"/>
          <w:b/>
          <w:bCs/>
          <w:sz w:val="24"/>
          <w:szCs w:val="24"/>
        </w:rPr>
      </w:pPr>
    </w:p>
    <w:p w14:paraId="6457C24E" w14:textId="77777777" w:rsidR="00040FC1" w:rsidRPr="00040FC1" w:rsidRDefault="00040FC1" w:rsidP="00760C10">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Riigihangete seaduse § 5 lg 2 p 5 kohaselt on eraõiguslik juriidiline isik hankija üksnes juhul, kui kumulatiivselt on täidetud järgmised eeldused:</w:t>
      </w:r>
    </w:p>
    <w:p w14:paraId="15C6121D" w14:textId="77777777" w:rsidR="00040FC1" w:rsidRPr="00040FC1" w:rsidRDefault="00040FC1" w:rsidP="00760C1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 xml:space="preserve">isikut rahastab või kontrollib avalik sektor või määrab avalik sektor enamuse tema juhtimis- või järelevalveorgani liikmetest; </w:t>
      </w:r>
    </w:p>
    <w:p w14:paraId="6AB1ABF6" w14:textId="77777777" w:rsidR="00040FC1" w:rsidRPr="00040FC1" w:rsidRDefault="00040FC1" w:rsidP="00760C1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 xml:space="preserve">isik on asutatud eesmärgiga täita põhi- või kõrvaltegevusena ülesannet avalikes huvides; </w:t>
      </w:r>
    </w:p>
    <w:p w14:paraId="3D1EFCDF" w14:textId="77777777" w:rsidR="00040FC1" w:rsidRPr="00040FC1" w:rsidRDefault="00040FC1" w:rsidP="00760C10">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 xml:space="preserve">vastaval tegevusel puudub tööstuslik või äriline iseloom. </w:t>
      </w:r>
    </w:p>
    <w:p w14:paraId="68D7BE31" w14:textId="77777777" w:rsidR="00040FC1" w:rsidRPr="00040FC1" w:rsidRDefault="00040FC1" w:rsidP="00760C10">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TJT puhul võib pidada täidetuks esimese tingimuse, kuna Tallinna linnale kuulub 100% aktsiatest ning linn määrab nõukogu liikmed. Samuti on TJT tegevus seotud avaliku huviga jäätmehoolduse valdkonnas.</w:t>
      </w:r>
    </w:p>
    <w:p w14:paraId="37A84D12" w14:textId="77777777" w:rsidR="00040FC1" w:rsidRPr="00040FC1" w:rsidRDefault="00040FC1" w:rsidP="00760C10">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Samas ei ole täidetud RHS § 5 lg 2 p 5 kolmas kumulatiivne eeldus, mille kohaselt peab avalikes huvides täidetaval ülesandel puuduma tööstuslik või äriline iseloom.</w:t>
      </w:r>
    </w:p>
    <w:p w14:paraId="4EA17B43" w14:textId="77777777" w:rsidR="00040FC1" w:rsidRPr="00040FC1" w:rsidRDefault="00040FC1" w:rsidP="00760C10">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Euroopa Kohus on selgitanud, et avaliku huvi olemasolu ei tähenda automaatselt hankijastaatust. Kohtuasjas C-360/96 BFI Holding leidis Euroopa Kohus, et ka avalikes huvides täidetaval ülesandel võib olla tööstuslik või äriline iseloom. Samuti on Riigikohus haldusasjas nr 3-3-1-43-13 rõhutanud, et avalikes huvides võib olla ka sellise ülesande täitmine, millel on tööstuslik või äriline iseloom.</w:t>
      </w:r>
    </w:p>
    <w:p w14:paraId="24029D5F" w14:textId="77777777" w:rsidR="00040FC1" w:rsidRPr="00040FC1" w:rsidRDefault="00040FC1" w:rsidP="00040FC1">
      <w:pPr>
        <w:spacing w:before="100" w:beforeAutospacing="1" w:after="100" w:afterAutospacing="1" w:line="240" w:lineRule="auto"/>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Kohtupraktika kohaselt tuleb hinnata eelkõige:</w:t>
      </w:r>
      <w:r w:rsidRPr="00040FC1">
        <w:rPr>
          <w:rFonts w:ascii="Times New Roman" w:eastAsia="Times New Roman" w:hAnsi="Times New Roman" w:cs="Times New Roman"/>
          <w:sz w:val="24"/>
          <w:szCs w:val="24"/>
          <w:lang w:eastAsia="et-EE"/>
        </w:rPr>
        <w:br/>
        <w:t>• kas ettevõtja tegutseb konkurentsiolukorras;</w:t>
      </w:r>
      <w:r w:rsidRPr="00040FC1">
        <w:rPr>
          <w:rFonts w:ascii="Times New Roman" w:eastAsia="Times New Roman" w:hAnsi="Times New Roman" w:cs="Times New Roman"/>
          <w:sz w:val="24"/>
          <w:szCs w:val="24"/>
          <w:lang w:eastAsia="et-EE"/>
        </w:rPr>
        <w:br/>
        <w:t>• kas talle on tagatud eri- või ainuõigused;</w:t>
      </w:r>
      <w:r w:rsidRPr="00040FC1">
        <w:rPr>
          <w:rFonts w:ascii="Times New Roman" w:eastAsia="Times New Roman" w:hAnsi="Times New Roman" w:cs="Times New Roman"/>
          <w:sz w:val="24"/>
          <w:szCs w:val="24"/>
          <w:lang w:eastAsia="et-EE"/>
        </w:rPr>
        <w:br/>
        <w:t>• kas ettevõtja kannab ise oma majanduslikke riske;</w:t>
      </w:r>
      <w:r w:rsidRPr="00040FC1">
        <w:rPr>
          <w:rFonts w:ascii="Times New Roman" w:eastAsia="Times New Roman" w:hAnsi="Times New Roman" w:cs="Times New Roman"/>
          <w:sz w:val="24"/>
          <w:szCs w:val="24"/>
          <w:lang w:eastAsia="et-EE"/>
        </w:rPr>
        <w:br/>
        <w:t>• kas tegevus toimub turutingimustel;</w:t>
      </w:r>
      <w:r w:rsidRPr="00040FC1">
        <w:rPr>
          <w:rFonts w:ascii="Times New Roman" w:eastAsia="Times New Roman" w:hAnsi="Times New Roman" w:cs="Times New Roman"/>
          <w:sz w:val="24"/>
          <w:szCs w:val="24"/>
          <w:lang w:eastAsia="et-EE"/>
        </w:rPr>
        <w:br/>
        <w:t>• kas ettevõtja tegutseb isemajandamise põhimõttel ja lähtub majanduslikest kaalutlustest.</w:t>
      </w:r>
    </w:p>
    <w:p w14:paraId="135C0BCC"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TJT tegevus vastab nendele ärilise tegevuse tunnustele.</w:t>
      </w:r>
    </w:p>
    <w:p w14:paraId="4D3D531F"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TJT tegutseb jäätmeveo ja jäätmekäitluse turul konkurentsitingimustes koos teiste ettevõtjatega. Ettevõttel puudub seaduslik monopol või garanteeritud turuosa ning teenuseid osutatakse konkurentsimenetluste tulemusena sõlmitud lepingute alusel. 2025. aastal osutasid Tallinna erinevates jäätmeveopiirkondades teenust nii TJT kui ka eraettevõtjad, sealhulgas Eesti Keskkonnateenused AS, mis kinnitab konkurentsiolukorra olemasolu.</w:t>
      </w:r>
    </w:p>
    <w:p w14:paraId="44AAA713"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Samuti osutavad Eestis jäätmekäitluse ja jäätmete ladestamise teenuseid mitmed teised ettevõtjad, sealhulgas täielikult erakapitalil põhinevad äriühingud. TJT konkureerib jäätmevoogude pärast nii teiste prügilate, jäätmekäitluskeskuste kui ka jäätmepõletamise ja taaskasutuse lahendustega.</w:t>
      </w:r>
    </w:p>
    <w:p w14:paraId="61D8636F"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TJT ei saa Tallinna linnalt ega muudelt avaliku sektori üksustelt oma igapäevase majandustegevuse finantseerimiseks tegevustoetusi ega kahjude kompenseerimist. Ettevõte tegutseb isemajandamise põhimõttel, katab oma kulud teenustasudest ning peab tegevuse jätkusuutlikkuse tagamiseks lähtuma kulutõhususest, investeeringute tasuvusest ja tulu teenimisest.</w:t>
      </w:r>
    </w:p>
    <w:p w14:paraId="456B89DE"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TJT kannab ise oma tegevusega seotud majanduslikke riske. Tallinna linn ei vastuta TJT kohustuste eest ning TJT põhikirjas ega muudes dokumentides ei ole ette nähtud mehhanismi, mille kohaselt linn kataks ettevõtte kahjusid või võtaks üle ettevõtte tegevusriskid. Selline riskide iseseisev kandmine viitab Euroopa Kohtu praktika kohaselt ettevõtja tegevuse ärilisele iseloomule.</w:t>
      </w:r>
    </w:p>
    <w:p w14:paraId="4994DCBE"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Ka TJT hinnakujundus toimub turupõhiselt ning teenuste tegelikest kuludest lähtudes. Ettevõte ei osuta teenuseid süsteemselt kahjumlikult ega avalikest huvidest lähtuva subsideeritud hinnaga.</w:t>
      </w:r>
    </w:p>
    <w:p w14:paraId="6EE54FB8"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Eeltoodust tulenevalt tuleb järeldada, et kuigi TJT tegevus on seotud avaliku huviga, toimub see tegevus turutingimustes ning ärilistel alustel. TJT tegevust iseloomustavad konkurents ettevõtjatega, isemajandamine, äririskide kandmine, kulupõhine hinnakujundus ja majandusliku efektiivsuse taotlemine.</w:t>
      </w:r>
    </w:p>
    <w:p w14:paraId="6E3038DB"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Kuna RHS § 5 lg 2 p 5 eeldused on kumulatiivsed, välistab tegevuse äriline iseloom TJT käsitamise avaliku sektori hankijana.</w:t>
      </w:r>
    </w:p>
    <w:p w14:paraId="4B0222DE" w14:textId="77777777" w:rsidR="00040FC1" w:rsidRPr="00040FC1" w:rsidRDefault="00040FC1" w:rsidP="00040FC1">
      <w:pPr>
        <w:spacing w:before="100" w:beforeAutospacing="1" w:after="100" w:afterAutospacing="1" w:line="240" w:lineRule="auto"/>
        <w:jc w:val="both"/>
        <w:rPr>
          <w:rFonts w:ascii="Times New Roman" w:eastAsia="Times New Roman" w:hAnsi="Times New Roman" w:cs="Times New Roman"/>
          <w:sz w:val="24"/>
          <w:szCs w:val="24"/>
          <w:lang w:eastAsia="et-EE"/>
        </w:rPr>
      </w:pPr>
      <w:r w:rsidRPr="00040FC1">
        <w:rPr>
          <w:rFonts w:ascii="Times New Roman" w:eastAsia="Times New Roman" w:hAnsi="Times New Roman" w:cs="Times New Roman"/>
          <w:sz w:val="24"/>
          <w:szCs w:val="24"/>
          <w:lang w:eastAsia="et-EE"/>
        </w:rPr>
        <w:t>Seetõttu on põhjendatud asuda seisukohale, et AS Tallinna Jäätmete Taaskasutuskeskus ei ole riigihangete seaduse tähenduses hankija.</w:t>
      </w:r>
    </w:p>
    <w:p w14:paraId="1F701633" w14:textId="2A106A29" w:rsidR="006349EA" w:rsidRDefault="006349EA">
      <w:pPr>
        <w:pStyle w:val="ListParagraph"/>
        <w:jc w:val="both"/>
        <w:rPr>
          <w:rFonts w:ascii="Times New Roman" w:hAnsi="Times New Roman" w:cs="Times New Roman"/>
          <w:sz w:val="24"/>
          <w:szCs w:val="24"/>
        </w:rPr>
      </w:pPr>
    </w:p>
    <w:p w14:paraId="52C5733F" w14:textId="7BE3153E" w:rsidR="006349EA" w:rsidRDefault="006349EA">
      <w:pPr>
        <w:pStyle w:val="ListParagraph"/>
        <w:jc w:val="both"/>
        <w:rPr>
          <w:rFonts w:ascii="Times New Roman" w:hAnsi="Times New Roman" w:cs="Times New Roman"/>
          <w:sz w:val="24"/>
          <w:szCs w:val="24"/>
        </w:rPr>
      </w:pPr>
    </w:p>
    <w:p w14:paraId="51B2F82A" w14:textId="59E73AD9" w:rsidR="006349EA" w:rsidRDefault="006349EA">
      <w:pPr>
        <w:pStyle w:val="ListParagraph"/>
        <w:jc w:val="both"/>
        <w:rPr>
          <w:rFonts w:ascii="Times New Roman" w:hAnsi="Times New Roman" w:cs="Times New Roman"/>
          <w:sz w:val="24"/>
          <w:szCs w:val="24"/>
        </w:rPr>
      </w:pPr>
    </w:p>
    <w:p w14:paraId="16C97DA3" w14:textId="4AE591C8" w:rsidR="006349EA" w:rsidRDefault="006349EA">
      <w:pPr>
        <w:pStyle w:val="ListParagraph"/>
        <w:jc w:val="both"/>
        <w:rPr>
          <w:rFonts w:ascii="Times New Roman" w:hAnsi="Times New Roman" w:cs="Times New Roman"/>
          <w:sz w:val="24"/>
          <w:szCs w:val="24"/>
        </w:rPr>
      </w:pPr>
    </w:p>
    <w:p w14:paraId="64168F01" w14:textId="5079020A" w:rsidR="006349EA" w:rsidRDefault="006349EA">
      <w:pPr>
        <w:pStyle w:val="ListParagraph"/>
        <w:jc w:val="both"/>
        <w:rPr>
          <w:rFonts w:ascii="Times New Roman" w:hAnsi="Times New Roman" w:cs="Times New Roman"/>
          <w:sz w:val="24"/>
          <w:szCs w:val="24"/>
        </w:rPr>
      </w:pPr>
    </w:p>
    <w:p w14:paraId="4D5009F5" w14:textId="129ACB0E" w:rsidR="006349EA" w:rsidRDefault="006349EA">
      <w:pPr>
        <w:pStyle w:val="ListParagraph"/>
        <w:jc w:val="both"/>
        <w:rPr>
          <w:rFonts w:ascii="Times New Roman" w:hAnsi="Times New Roman" w:cs="Times New Roman"/>
          <w:sz w:val="24"/>
          <w:szCs w:val="24"/>
        </w:rPr>
      </w:pPr>
    </w:p>
    <w:p w14:paraId="576CA3C3" w14:textId="7DD35B35" w:rsidR="006349EA" w:rsidRDefault="006349EA">
      <w:pPr>
        <w:pStyle w:val="ListParagraph"/>
        <w:jc w:val="both"/>
        <w:rPr>
          <w:rFonts w:ascii="Times New Roman" w:hAnsi="Times New Roman" w:cs="Times New Roman"/>
          <w:sz w:val="24"/>
          <w:szCs w:val="24"/>
        </w:rPr>
      </w:pPr>
    </w:p>
    <w:p w14:paraId="305F0B9F" w14:textId="494DA6E8" w:rsidR="006349EA" w:rsidRDefault="006349EA">
      <w:pPr>
        <w:pStyle w:val="ListParagraph"/>
        <w:jc w:val="both"/>
        <w:rPr>
          <w:rFonts w:ascii="Times New Roman" w:hAnsi="Times New Roman" w:cs="Times New Roman"/>
          <w:sz w:val="24"/>
          <w:szCs w:val="24"/>
        </w:rPr>
      </w:pPr>
    </w:p>
    <w:p w14:paraId="4308EB72" w14:textId="6205FEB1" w:rsidR="006349EA" w:rsidRDefault="006349EA">
      <w:pPr>
        <w:pStyle w:val="ListParagraph"/>
        <w:jc w:val="both"/>
        <w:rPr>
          <w:rFonts w:ascii="Times New Roman" w:hAnsi="Times New Roman" w:cs="Times New Roman"/>
          <w:sz w:val="24"/>
          <w:szCs w:val="24"/>
        </w:rPr>
      </w:pPr>
    </w:p>
    <w:p w14:paraId="3155FAC3" w14:textId="1B08B5E1" w:rsidR="006349EA" w:rsidRDefault="006349EA">
      <w:pPr>
        <w:pStyle w:val="ListParagraph"/>
        <w:jc w:val="both"/>
        <w:rPr>
          <w:rFonts w:ascii="Times New Roman" w:hAnsi="Times New Roman" w:cs="Times New Roman"/>
          <w:sz w:val="24"/>
          <w:szCs w:val="24"/>
        </w:rPr>
      </w:pPr>
    </w:p>
    <w:p w14:paraId="617CAC1B" w14:textId="32BB16C3" w:rsidR="00DB4EC1" w:rsidRDefault="00DB4EC1">
      <w:pPr>
        <w:pStyle w:val="ListParagraph"/>
        <w:jc w:val="both"/>
        <w:rPr>
          <w:rFonts w:ascii="Times New Roman" w:hAnsi="Times New Roman" w:cs="Times New Roman"/>
          <w:sz w:val="24"/>
          <w:szCs w:val="24"/>
        </w:rPr>
      </w:pPr>
      <w:r w:rsidRPr="00391735">
        <w:rPr>
          <w:rFonts w:ascii="Times New Roman" w:hAnsi="Times New Roman" w:cs="Times New Roman"/>
          <w:sz w:val="24"/>
          <w:szCs w:val="24"/>
        </w:rPr>
        <w:t>Koosta</w:t>
      </w:r>
      <w:r w:rsidR="00BD712D">
        <w:rPr>
          <w:rFonts w:ascii="Times New Roman" w:hAnsi="Times New Roman" w:cs="Times New Roman"/>
          <w:sz w:val="24"/>
          <w:szCs w:val="24"/>
        </w:rPr>
        <w:t>ja</w:t>
      </w:r>
      <w:r w:rsidRPr="00391735">
        <w:rPr>
          <w:rFonts w:ascii="Times New Roman" w:hAnsi="Times New Roman" w:cs="Times New Roman"/>
          <w:sz w:val="24"/>
          <w:szCs w:val="24"/>
        </w:rPr>
        <w:t>: Tallinna Strateegiakeskuse õigusbüroo jurist Kaia-Liisa Prous, 1</w:t>
      </w:r>
      <w:r w:rsidR="00CA64FF">
        <w:rPr>
          <w:rFonts w:ascii="Times New Roman" w:hAnsi="Times New Roman" w:cs="Times New Roman"/>
          <w:sz w:val="24"/>
          <w:szCs w:val="24"/>
        </w:rPr>
        <w:t>8</w:t>
      </w:r>
      <w:r w:rsidRPr="00391735">
        <w:rPr>
          <w:rFonts w:ascii="Times New Roman" w:hAnsi="Times New Roman" w:cs="Times New Roman"/>
          <w:sz w:val="24"/>
          <w:szCs w:val="24"/>
        </w:rPr>
        <w:t>.02.2022</w:t>
      </w:r>
    </w:p>
    <w:p w14:paraId="494AF91E" w14:textId="7186B7A4" w:rsidR="00040FC1" w:rsidRPr="00391735" w:rsidRDefault="00040FC1">
      <w:pPr>
        <w:pStyle w:val="ListParagraph"/>
        <w:jc w:val="both"/>
        <w:rPr>
          <w:rFonts w:ascii="Times New Roman" w:hAnsi="Times New Roman" w:cs="Times New Roman"/>
          <w:sz w:val="24"/>
          <w:szCs w:val="24"/>
        </w:rPr>
      </w:pPr>
      <w:r>
        <w:rPr>
          <w:rFonts w:ascii="Times New Roman" w:hAnsi="Times New Roman" w:cs="Times New Roman"/>
          <w:sz w:val="24"/>
          <w:szCs w:val="24"/>
        </w:rPr>
        <w:t>Ülevaataja: TJT jurist Tatjana Riisalu, 13.05.2026</w:t>
      </w:r>
    </w:p>
    <w:sectPr w:rsidR="00040FC1" w:rsidRPr="00391735" w:rsidSect="006349EA">
      <w:footerReference w:type="default" r:id="rId14"/>
      <w:pgSz w:w="16838" w:h="11906" w:orient="landscape"/>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88A5" w14:textId="77777777" w:rsidR="00533900" w:rsidRDefault="00533900" w:rsidP="00BA0429">
      <w:pPr>
        <w:spacing w:after="0" w:line="240" w:lineRule="auto"/>
      </w:pPr>
      <w:r>
        <w:separator/>
      </w:r>
    </w:p>
  </w:endnote>
  <w:endnote w:type="continuationSeparator" w:id="0">
    <w:p w14:paraId="0FDF5383" w14:textId="77777777" w:rsidR="00533900" w:rsidRDefault="00533900" w:rsidP="00BA0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568956"/>
      <w:docPartObj>
        <w:docPartGallery w:val="Page Numbers (Bottom of Page)"/>
        <w:docPartUnique/>
      </w:docPartObj>
    </w:sdtPr>
    <w:sdtEndPr/>
    <w:sdtContent>
      <w:p w14:paraId="575C39B9" w14:textId="35382DB8" w:rsidR="00DC24CF" w:rsidRPr="00DC24CF" w:rsidRDefault="00DC24CF">
        <w:pPr>
          <w:pStyle w:val="Footer"/>
          <w:jc w:val="right"/>
          <w:rPr>
            <w:rFonts w:ascii="Times New Roman" w:hAnsi="Times New Roman" w:cs="Times New Roman"/>
          </w:rPr>
        </w:pPr>
        <w:r w:rsidRPr="00DC24CF">
          <w:rPr>
            <w:rFonts w:ascii="Times New Roman" w:hAnsi="Times New Roman" w:cs="Times New Roman"/>
          </w:rPr>
          <w:fldChar w:fldCharType="begin"/>
        </w:r>
        <w:r w:rsidRPr="00DC24CF">
          <w:rPr>
            <w:rFonts w:ascii="Times New Roman" w:hAnsi="Times New Roman" w:cs="Times New Roman"/>
          </w:rPr>
          <w:instrText>PAGE   \* MERGEFORMAT</w:instrText>
        </w:r>
        <w:r w:rsidRPr="00DC24CF">
          <w:rPr>
            <w:rFonts w:ascii="Times New Roman" w:hAnsi="Times New Roman" w:cs="Times New Roman"/>
          </w:rPr>
          <w:fldChar w:fldCharType="separate"/>
        </w:r>
        <w:r w:rsidRPr="00DC24CF">
          <w:rPr>
            <w:rFonts w:ascii="Times New Roman" w:hAnsi="Times New Roman" w:cs="Times New Roman"/>
          </w:rPr>
          <w:t>2</w:t>
        </w:r>
        <w:r w:rsidRPr="00DC24CF">
          <w:rPr>
            <w:rFonts w:ascii="Times New Roman" w:hAnsi="Times New Roman" w:cs="Times New Roman"/>
          </w:rPr>
          <w:fldChar w:fldCharType="end"/>
        </w:r>
      </w:p>
    </w:sdtContent>
  </w:sdt>
  <w:p w14:paraId="561113C2" w14:textId="77777777" w:rsidR="00DC24CF" w:rsidRDefault="00DC2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105E9" w14:textId="77777777" w:rsidR="00533900" w:rsidRDefault="00533900" w:rsidP="00BA0429">
      <w:pPr>
        <w:spacing w:after="0" w:line="240" w:lineRule="auto"/>
      </w:pPr>
      <w:r>
        <w:separator/>
      </w:r>
    </w:p>
  </w:footnote>
  <w:footnote w:type="continuationSeparator" w:id="0">
    <w:p w14:paraId="74EA2F8C" w14:textId="77777777" w:rsidR="00533900" w:rsidRDefault="00533900" w:rsidP="00BA0429">
      <w:pPr>
        <w:spacing w:after="0" w:line="240" w:lineRule="auto"/>
      </w:pPr>
      <w:r>
        <w:continuationSeparator/>
      </w:r>
    </w:p>
  </w:footnote>
  <w:footnote w:id="1">
    <w:p w14:paraId="2BC7859C" w14:textId="378B873E" w:rsidR="004F1132" w:rsidRPr="004F1132" w:rsidRDefault="004F1132">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4F1132">
        <w:rPr>
          <w:rFonts w:ascii="Times New Roman" w:hAnsi="Times New Roman" w:cs="Times New Roman"/>
        </w:rPr>
        <w:t>VAKO 17.10.2019, 161-19/212069, p 17</w:t>
      </w:r>
      <w:r w:rsidR="00F002F9">
        <w:rPr>
          <w:rFonts w:ascii="Times New Roman" w:hAnsi="Times New Roman" w:cs="Times New Roman"/>
        </w:rPr>
        <w:t>;</w:t>
      </w:r>
      <w:r w:rsidR="00DD013A">
        <w:rPr>
          <w:rFonts w:ascii="Times New Roman" w:hAnsi="Times New Roman" w:cs="Times New Roman"/>
        </w:rPr>
        <w:t xml:space="preserve"> M. Steinicke, P.</w:t>
      </w:r>
      <w:r w:rsidR="00F002F9">
        <w:rPr>
          <w:rFonts w:ascii="Times New Roman" w:hAnsi="Times New Roman" w:cs="Times New Roman"/>
        </w:rPr>
        <w:t xml:space="preserve"> </w:t>
      </w:r>
      <w:r w:rsidR="00DD013A">
        <w:rPr>
          <w:rFonts w:ascii="Times New Roman" w:hAnsi="Times New Roman" w:cs="Times New Roman"/>
        </w:rPr>
        <w:t>L.</w:t>
      </w:r>
      <w:r w:rsidR="00F002F9">
        <w:rPr>
          <w:rFonts w:ascii="Times New Roman" w:hAnsi="Times New Roman" w:cs="Times New Roman"/>
        </w:rPr>
        <w:t xml:space="preserve"> </w:t>
      </w:r>
      <w:r w:rsidR="00DD013A">
        <w:rPr>
          <w:rFonts w:ascii="Times New Roman" w:hAnsi="Times New Roman" w:cs="Times New Roman"/>
        </w:rPr>
        <w:t>Vesterdorf. EU Public Procurement Law: Brussels Commentary. Nomos Verslangsgesellschaft 2018, lk 140.</w:t>
      </w:r>
    </w:p>
  </w:footnote>
  <w:footnote w:id="2">
    <w:p w14:paraId="78E96EBB" w14:textId="7ED02671" w:rsidR="00E40E59" w:rsidRPr="00E40E59" w:rsidRDefault="00E40E59">
      <w:pPr>
        <w:pStyle w:val="FootnoteText"/>
        <w:rPr>
          <w:rFonts w:ascii="Times New Roman" w:hAnsi="Times New Roman" w:cs="Times New Roman"/>
        </w:rPr>
      </w:pPr>
      <w:r w:rsidRPr="00E40E59">
        <w:rPr>
          <w:rStyle w:val="FootnoteReference"/>
          <w:rFonts w:ascii="Times New Roman" w:hAnsi="Times New Roman" w:cs="Times New Roman"/>
        </w:rPr>
        <w:footnoteRef/>
      </w:r>
      <w:r w:rsidRPr="00E40E59">
        <w:rPr>
          <w:rFonts w:ascii="Times New Roman" w:hAnsi="Times New Roman" w:cs="Times New Roman"/>
        </w:rPr>
        <w:t xml:space="preserve"> </w:t>
      </w:r>
      <w:r w:rsidRPr="00E40E59">
        <w:rPr>
          <w:rFonts w:ascii="Times New Roman" w:hAnsi="Times New Roman" w:cs="Times New Roman"/>
        </w:rPr>
        <w:t xml:space="preserve">M. </w:t>
      </w:r>
      <w:r w:rsidRPr="00E40E59">
        <w:rPr>
          <w:rFonts w:ascii="Times New Roman" w:hAnsi="Times New Roman" w:cs="Times New Roman"/>
        </w:rPr>
        <w:t xml:space="preserve">Parind, M. A. Simovart. Riigihangete seadus. Kommenteeritud väljaanne. Juura 2019, lk </w:t>
      </w:r>
      <w:r w:rsidR="00F137C5">
        <w:rPr>
          <w:rFonts w:ascii="Times New Roman" w:hAnsi="Times New Roman" w:cs="Times New Roman"/>
        </w:rPr>
        <w:t>81</w:t>
      </w:r>
      <w:r w:rsidR="00F002F9">
        <w:rPr>
          <w:rFonts w:ascii="Times New Roman" w:hAnsi="Times New Roman" w:cs="Times New Roman"/>
        </w:rPr>
        <w:t>;</w:t>
      </w:r>
      <w:r w:rsidR="00223067">
        <w:rPr>
          <w:rFonts w:ascii="Times New Roman" w:hAnsi="Times New Roman" w:cs="Times New Roman"/>
        </w:rPr>
        <w:t xml:space="preserve"> M. Steinicke, P</w:t>
      </w:r>
      <w:r w:rsidR="00F002F9">
        <w:rPr>
          <w:rFonts w:ascii="Times New Roman" w:hAnsi="Times New Roman" w:cs="Times New Roman"/>
        </w:rPr>
        <w:t xml:space="preserve"> </w:t>
      </w:r>
      <w:r w:rsidR="00223067">
        <w:rPr>
          <w:rFonts w:ascii="Times New Roman" w:hAnsi="Times New Roman" w:cs="Times New Roman"/>
        </w:rPr>
        <w:t>.L.</w:t>
      </w:r>
      <w:r w:rsidR="00F002F9">
        <w:rPr>
          <w:rFonts w:ascii="Times New Roman" w:hAnsi="Times New Roman" w:cs="Times New Roman"/>
        </w:rPr>
        <w:t xml:space="preserve"> </w:t>
      </w:r>
      <w:r w:rsidR="00223067">
        <w:rPr>
          <w:rFonts w:ascii="Times New Roman" w:hAnsi="Times New Roman" w:cs="Times New Roman"/>
        </w:rPr>
        <w:t>Vesterdorf. EU Public Procurement Law: Brussels Commentary. Nomos Verslangsgesellschaft 2018, lk 141.</w:t>
      </w:r>
    </w:p>
  </w:footnote>
  <w:footnote w:id="3">
    <w:p w14:paraId="40CCC803" w14:textId="4C9E5579" w:rsidR="009E1C65" w:rsidRPr="009E1C65" w:rsidRDefault="009E1C65">
      <w:pPr>
        <w:pStyle w:val="FootnoteText"/>
        <w:rPr>
          <w:rFonts w:ascii="Times New Roman" w:hAnsi="Times New Roman" w:cs="Times New Roman"/>
        </w:rPr>
      </w:pPr>
      <w:r w:rsidRPr="00391735">
        <w:rPr>
          <w:rStyle w:val="FootnoteReference"/>
          <w:rFonts w:ascii="Times New Roman" w:hAnsi="Times New Roman" w:cs="Times New Roman"/>
        </w:rPr>
        <w:footnoteRef/>
      </w:r>
      <w:r>
        <w:t xml:space="preserve"> </w:t>
      </w:r>
      <w:bookmarkStart w:id="4" w:name="_Hlk95478939"/>
      <w:r w:rsidRPr="009E1C65">
        <w:rPr>
          <w:rFonts w:ascii="Times New Roman" w:hAnsi="Times New Roman" w:cs="Times New Roman"/>
        </w:rPr>
        <w:t xml:space="preserve">K. </w:t>
      </w:r>
      <w:r w:rsidRPr="009E1C65">
        <w:rPr>
          <w:rFonts w:ascii="Times New Roman" w:hAnsi="Times New Roman" w:cs="Times New Roman"/>
        </w:rPr>
        <w:t>Härginen, V. Vaske, C. Gint</w:t>
      </w:r>
      <w:r w:rsidR="00A53AAF">
        <w:rPr>
          <w:rFonts w:ascii="Times New Roman" w:hAnsi="Times New Roman" w:cs="Times New Roman"/>
        </w:rPr>
        <w:t>e</w:t>
      </w:r>
      <w:r w:rsidRPr="009E1C65">
        <w:rPr>
          <w:rFonts w:ascii="Times New Roman" w:hAnsi="Times New Roman" w:cs="Times New Roman"/>
        </w:rPr>
        <w:t>r. – Juridica 2018/4, lk 236</w:t>
      </w:r>
      <w:bookmarkEnd w:id="4"/>
      <w:r w:rsidR="00391735">
        <w:rPr>
          <w:rFonts w:ascii="Times New Roman" w:hAnsi="Times New Roman" w:cs="Times New Roman"/>
        </w:rPr>
        <w:t>.</w:t>
      </w:r>
    </w:p>
  </w:footnote>
  <w:footnote w:id="4">
    <w:p w14:paraId="20528590" w14:textId="041B5A01" w:rsidR="004206C0" w:rsidRPr="00391735" w:rsidRDefault="004206C0" w:rsidP="004206C0">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M. Parind, M. A. Simovart. Riigihangete seadus. Kommenteeritud väljaanne. Juura 2019, lk 80</w:t>
      </w:r>
      <w:r w:rsidR="00391735">
        <w:rPr>
          <w:rFonts w:ascii="Times New Roman" w:hAnsi="Times New Roman" w:cs="Times New Roman"/>
        </w:rPr>
        <w:t>.</w:t>
      </w:r>
    </w:p>
  </w:footnote>
  <w:footnote w:id="5">
    <w:p w14:paraId="10E3759B" w14:textId="0C39A8DF" w:rsidR="00AC74DF" w:rsidRPr="00391735" w:rsidRDefault="00AC74DF">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202</w:t>
      </w:r>
      <w:r w:rsidR="001976E9">
        <w:rPr>
          <w:rFonts w:ascii="Times New Roman" w:hAnsi="Times New Roman" w:cs="Times New Roman"/>
        </w:rPr>
        <w:t>4</w:t>
      </w:r>
      <w:r w:rsidRPr="00391735">
        <w:rPr>
          <w:rFonts w:ascii="Times New Roman" w:hAnsi="Times New Roman" w:cs="Times New Roman"/>
        </w:rPr>
        <w:t>. aasta majandusaasta aruanne on kättesaadav äriregistrist</w:t>
      </w:r>
      <w:r w:rsidR="00391735">
        <w:rPr>
          <w:rFonts w:ascii="Times New Roman" w:hAnsi="Times New Roman" w:cs="Times New Roman"/>
        </w:rPr>
        <w:t>.</w:t>
      </w:r>
    </w:p>
  </w:footnote>
  <w:footnote w:id="6">
    <w:p w14:paraId="2F982216" w14:textId="0C3B5139" w:rsidR="00E96689" w:rsidRDefault="00E96689">
      <w:pPr>
        <w:pStyle w:val="FootnoteText"/>
      </w:pPr>
      <w:r>
        <w:rPr>
          <w:rStyle w:val="FootnoteReference"/>
        </w:rPr>
        <w:footnoteRef/>
      </w:r>
      <w:r>
        <w:t xml:space="preserve"> </w:t>
      </w:r>
      <w:r>
        <w:rPr>
          <w:rFonts w:ascii="Times New Roman" w:hAnsi="Times New Roman" w:cs="Times New Roman"/>
        </w:rPr>
        <w:t>M. Steinicke, P.</w:t>
      </w:r>
      <w:r w:rsidR="00BA7B46">
        <w:rPr>
          <w:rFonts w:ascii="Times New Roman" w:hAnsi="Times New Roman" w:cs="Times New Roman"/>
        </w:rPr>
        <w:t xml:space="preserve"> </w:t>
      </w:r>
      <w:r>
        <w:rPr>
          <w:rFonts w:ascii="Times New Roman" w:hAnsi="Times New Roman" w:cs="Times New Roman"/>
        </w:rPr>
        <w:t>L.</w:t>
      </w:r>
      <w:r w:rsidR="00BA7B46">
        <w:rPr>
          <w:rFonts w:ascii="Times New Roman" w:hAnsi="Times New Roman" w:cs="Times New Roman"/>
        </w:rPr>
        <w:t xml:space="preserve"> </w:t>
      </w:r>
      <w:r>
        <w:rPr>
          <w:rFonts w:ascii="Times New Roman" w:hAnsi="Times New Roman" w:cs="Times New Roman"/>
        </w:rPr>
        <w:t>Vesterdorf. EU Public Procurement Law: Brussels Commentary. Nomos Verslangsgesellschaft 2018, lk 143.</w:t>
      </w:r>
    </w:p>
  </w:footnote>
  <w:footnote w:id="7">
    <w:p w14:paraId="479E71FB" w14:textId="25FB5345" w:rsidR="00110AD6" w:rsidRPr="00391735" w:rsidRDefault="00110AD6" w:rsidP="00110AD6">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hyperlink r:id="rId1" w:history="1">
        <w:r w:rsidRPr="00391735">
          <w:rPr>
            <w:rStyle w:val="Hyperlink"/>
            <w:rFonts w:ascii="Times New Roman" w:hAnsi="Times New Roman" w:cs="Times New Roman"/>
          </w:rPr>
          <w:t xml:space="preserve">Tallinna </w:t>
        </w:r>
        <w:r w:rsidRPr="00391735">
          <w:rPr>
            <w:rStyle w:val="Hyperlink"/>
            <w:rFonts w:ascii="Times New Roman" w:hAnsi="Times New Roman" w:cs="Times New Roman"/>
          </w:rPr>
          <w:t>jäätmekava 2022-2026 eelnõu</w:t>
        </w:r>
      </w:hyperlink>
      <w:r w:rsidRPr="00391735">
        <w:rPr>
          <w:rFonts w:ascii="Times New Roman" w:hAnsi="Times New Roman" w:cs="Times New Roman"/>
        </w:rPr>
        <w:t xml:space="preserve"> seisuga 28.01.2022, lk 5 ja 7</w:t>
      </w:r>
      <w:r w:rsidR="00391735">
        <w:rPr>
          <w:rFonts w:ascii="Times New Roman" w:hAnsi="Times New Roman" w:cs="Times New Roman"/>
        </w:rPr>
        <w:t>.</w:t>
      </w:r>
    </w:p>
  </w:footnote>
  <w:footnote w:id="8">
    <w:p w14:paraId="4FC1122F" w14:textId="4AB4DFD9" w:rsidR="00A15386" w:rsidRPr="00391735" w:rsidRDefault="00A15386">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bookmarkStart w:id="5" w:name="_Hlk95920441"/>
      <w:r w:rsidRPr="00391735">
        <w:rPr>
          <w:rFonts w:ascii="Times New Roman" w:hAnsi="Times New Roman" w:cs="Times New Roman"/>
        </w:rPr>
        <w:t>K. Härginen, V. Vaske, C. Ginter. – Juridica 2018/4, lk 237</w:t>
      </w:r>
      <w:r w:rsidR="00391735">
        <w:rPr>
          <w:rFonts w:ascii="Times New Roman" w:hAnsi="Times New Roman" w:cs="Times New Roman"/>
        </w:rPr>
        <w:t>.</w:t>
      </w:r>
      <w:bookmarkEnd w:id="5"/>
    </w:p>
  </w:footnote>
  <w:footnote w:id="9">
    <w:p w14:paraId="459CB21A" w14:textId="125FC3DA" w:rsidR="00D97A4C" w:rsidRPr="00D97A4C" w:rsidRDefault="00D97A4C">
      <w:pPr>
        <w:pStyle w:val="FootnoteText"/>
        <w:rPr>
          <w:rFonts w:ascii="Times New Roman" w:hAnsi="Times New Roman" w:cs="Times New Roman"/>
        </w:rPr>
      </w:pPr>
      <w:r w:rsidRPr="00D97A4C">
        <w:rPr>
          <w:rStyle w:val="FootnoteReference"/>
          <w:rFonts w:ascii="Times New Roman" w:hAnsi="Times New Roman" w:cs="Times New Roman"/>
        </w:rPr>
        <w:footnoteRef/>
      </w:r>
      <w:r w:rsidRPr="00D97A4C">
        <w:rPr>
          <w:rFonts w:ascii="Times New Roman" w:hAnsi="Times New Roman" w:cs="Times New Roman"/>
        </w:rPr>
        <w:t xml:space="preserve"> </w:t>
      </w:r>
      <w:r w:rsidRPr="00D97A4C">
        <w:rPr>
          <w:rFonts w:ascii="Times New Roman" w:hAnsi="Times New Roman" w:cs="Times New Roman"/>
        </w:rPr>
        <w:t>K. Härginen, V. Vaske, C. Ginter. – Juridica 2018/4, lk 237</w:t>
      </w:r>
      <w:r w:rsidR="00BA7B46">
        <w:rPr>
          <w:rFonts w:ascii="Times New Roman" w:hAnsi="Times New Roman" w:cs="Times New Roman"/>
        </w:rPr>
        <w:t>;</w:t>
      </w:r>
      <w:r w:rsidR="00E145E9">
        <w:rPr>
          <w:rFonts w:ascii="Times New Roman" w:hAnsi="Times New Roman" w:cs="Times New Roman"/>
        </w:rPr>
        <w:t xml:space="preserve"> M. Steinicke, P.</w:t>
      </w:r>
      <w:r w:rsidR="008E55A5">
        <w:rPr>
          <w:rFonts w:ascii="Times New Roman" w:hAnsi="Times New Roman" w:cs="Times New Roman"/>
        </w:rPr>
        <w:t xml:space="preserve"> </w:t>
      </w:r>
      <w:r w:rsidR="00E145E9">
        <w:rPr>
          <w:rFonts w:ascii="Times New Roman" w:hAnsi="Times New Roman" w:cs="Times New Roman"/>
        </w:rPr>
        <w:t>L.</w:t>
      </w:r>
      <w:r w:rsidR="008E55A5">
        <w:rPr>
          <w:rFonts w:ascii="Times New Roman" w:hAnsi="Times New Roman" w:cs="Times New Roman"/>
        </w:rPr>
        <w:t xml:space="preserve"> </w:t>
      </w:r>
      <w:r w:rsidR="00E145E9">
        <w:rPr>
          <w:rFonts w:ascii="Times New Roman" w:hAnsi="Times New Roman" w:cs="Times New Roman"/>
        </w:rPr>
        <w:t>Vesterdorf. EU Public Procurement Law: Brussels Commentary. Nomos Verslangsgesellschaft 2018, lk 14</w:t>
      </w:r>
      <w:r w:rsidR="00782248">
        <w:rPr>
          <w:rFonts w:ascii="Times New Roman" w:hAnsi="Times New Roman" w:cs="Times New Roman"/>
        </w:rPr>
        <w:t>4-145.</w:t>
      </w:r>
    </w:p>
  </w:footnote>
  <w:footnote w:id="10">
    <w:p w14:paraId="0F75F16D" w14:textId="17FC71A2" w:rsidR="0047385F" w:rsidRPr="00391735" w:rsidRDefault="0047385F" w:rsidP="0047385F">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K. Härginen, V. Vaske, C. Ginter. – Juridica 2018/4, lk 240</w:t>
      </w:r>
      <w:r w:rsidR="00391735">
        <w:rPr>
          <w:rFonts w:ascii="Times New Roman" w:hAnsi="Times New Roman" w:cs="Times New Roman"/>
        </w:rPr>
        <w:t>.</w:t>
      </w:r>
    </w:p>
  </w:footnote>
  <w:footnote w:id="11">
    <w:p w14:paraId="74EB0C3D" w14:textId="5BB7D7D2" w:rsidR="00B76625" w:rsidRDefault="00B76625">
      <w:pPr>
        <w:pStyle w:val="FootnoteText"/>
      </w:pPr>
      <w:r>
        <w:rPr>
          <w:rStyle w:val="FootnoteReference"/>
        </w:rPr>
        <w:footnoteRef/>
      </w:r>
      <w:r>
        <w:t xml:space="preserve"> </w:t>
      </w:r>
      <w:r w:rsidRPr="003E635E">
        <w:rPr>
          <w:rFonts w:ascii="Times New Roman" w:hAnsi="Times New Roman" w:cs="Times New Roman"/>
        </w:rPr>
        <w:t>Ka Maksu-ja Tolliamet on pidanud riigihangetel osalemist käibemaksuküsimusi käsitledes avatud konkurentsi tingimustes tegutsemiseks.</w:t>
      </w:r>
    </w:p>
  </w:footnote>
  <w:footnote w:id="12">
    <w:p w14:paraId="3ABB90AE" w14:textId="77777777" w:rsidR="0047385F" w:rsidRPr="00391735" w:rsidRDefault="0047385F" w:rsidP="0047385F">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 xml:space="preserve">RKHKo </w:t>
      </w:r>
      <w:r w:rsidRPr="00391735">
        <w:rPr>
          <w:rFonts w:ascii="Times New Roman" w:hAnsi="Times New Roman" w:cs="Times New Roman"/>
        </w:rPr>
        <w:t>3-3-1-68-14, p 27.</w:t>
      </w:r>
    </w:p>
  </w:footnote>
  <w:footnote w:id="13">
    <w:p w14:paraId="3330F886" w14:textId="1C0389D5" w:rsidR="00B1699D" w:rsidRPr="00391735" w:rsidRDefault="00B1699D">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 xml:space="preserve">K. </w:t>
      </w:r>
      <w:r w:rsidRPr="00391735">
        <w:rPr>
          <w:rFonts w:ascii="Times New Roman" w:hAnsi="Times New Roman" w:cs="Times New Roman"/>
        </w:rPr>
        <w:t>Härginen, V. Vaske, C. Ginter. – Juridica 2018/4, lk 241</w:t>
      </w:r>
      <w:r w:rsidR="00391735">
        <w:rPr>
          <w:rFonts w:ascii="Times New Roman" w:hAnsi="Times New Roman" w:cs="Times New Roman"/>
        </w:rPr>
        <w:t>.</w:t>
      </w:r>
    </w:p>
  </w:footnote>
  <w:footnote w:id="14">
    <w:p w14:paraId="4039D21F" w14:textId="7EE92CFA" w:rsidR="00343D34" w:rsidRPr="008F5F56" w:rsidRDefault="00343D34">
      <w:pPr>
        <w:pStyle w:val="FootnoteText"/>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K. Härginen, V. Vaske, C. Gint</w:t>
      </w:r>
      <w:r w:rsidR="00A53AAF" w:rsidRPr="00391735">
        <w:rPr>
          <w:rFonts w:ascii="Times New Roman" w:hAnsi="Times New Roman" w:cs="Times New Roman"/>
        </w:rPr>
        <w:t>e</w:t>
      </w:r>
      <w:r w:rsidRPr="00391735">
        <w:rPr>
          <w:rFonts w:ascii="Times New Roman" w:hAnsi="Times New Roman" w:cs="Times New Roman"/>
        </w:rPr>
        <w:t>r. – Juridica 2018/4, lk 239</w:t>
      </w:r>
      <w:r w:rsidR="007E4FCD">
        <w:rPr>
          <w:rFonts w:ascii="Times New Roman" w:hAnsi="Times New Roman" w:cs="Times New Roman"/>
        </w:rPr>
        <w:t>;</w:t>
      </w:r>
      <w:r w:rsidR="008F5F56">
        <w:rPr>
          <w:rFonts w:ascii="Times New Roman" w:hAnsi="Times New Roman" w:cs="Times New Roman"/>
        </w:rPr>
        <w:t xml:space="preserve"> M. Steinicke, P.</w:t>
      </w:r>
      <w:r w:rsidR="00BA7B46">
        <w:rPr>
          <w:rFonts w:ascii="Times New Roman" w:hAnsi="Times New Roman" w:cs="Times New Roman"/>
        </w:rPr>
        <w:t xml:space="preserve"> </w:t>
      </w:r>
      <w:r w:rsidR="008F5F56">
        <w:rPr>
          <w:rFonts w:ascii="Times New Roman" w:hAnsi="Times New Roman" w:cs="Times New Roman"/>
        </w:rPr>
        <w:t>L.</w:t>
      </w:r>
      <w:r w:rsidR="00BA7B46">
        <w:rPr>
          <w:rFonts w:ascii="Times New Roman" w:hAnsi="Times New Roman" w:cs="Times New Roman"/>
        </w:rPr>
        <w:t xml:space="preserve"> </w:t>
      </w:r>
      <w:r w:rsidR="008F5F56">
        <w:rPr>
          <w:rFonts w:ascii="Times New Roman" w:hAnsi="Times New Roman" w:cs="Times New Roman"/>
        </w:rPr>
        <w:t>Vesterdorf. EU Public Procurement Law: Brussels Commentary. Nomos Verslangsgesellschaft 2018, lk 147.</w:t>
      </w:r>
    </w:p>
  </w:footnote>
  <w:footnote w:id="15">
    <w:p w14:paraId="008D6F8D" w14:textId="6E462741" w:rsidR="00F002F9" w:rsidRDefault="00F002F9" w:rsidP="00F002F9">
      <w:pPr>
        <w:pStyle w:val="FootnoteText"/>
      </w:pPr>
      <w:r>
        <w:rPr>
          <w:rStyle w:val="FootnoteReference"/>
        </w:rPr>
        <w:footnoteRef/>
      </w:r>
      <w:r>
        <w:t xml:space="preserve"> </w:t>
      </w:r>
      <w:r>
        <w:rPr>
          <w:rFonts w:ascii="Times New Roman" w:hAnsi="Times New Roman" w:cs="Times New Roman"/>
        </w:rPr>
        <w:t xml:space="preserve">M. </w:t>
      </w:r>
      <w:r>
        <w:rPr>
          <w:rFonts w:ascii="Times New Roman" w:hAnsi="Times New Roman" w:cs="Times New Roman"/>
        </w:rPr>
        <w:t>Steinicke, P.</w:t>
      </w:r>
      <w:r w:rsidR="00BA7B46">
        <w:rPr>
          <w:rFonts w:ascii="Times New Roman" w:hAnsi="Times New Roman" w:cs="Times New Roman"/>
        </w:rPr>
        <w:t xml:space="preserve"> </w:t>
      </w:r>
      <w:r>
        <w:rPr>
          <w:rFonts w:ascii="Times New Roman" w:hAnsi="Times New Roman" w:cs="Times New Roman"/>
        </w:rPr>
        <w:t>L.</w:t>
      </w:r>
      <w:r w:rsidR="00BA7B46">
        <w:rPr>
          <w:rFonts w:ascii="Times New Roman" w:hAnsi="Times New Roman" w:cs="Times New Roman"/>
        </w:rPr>
        <w:t xml:space="preserve"> </w:t>
      </w:r>
      <w:r>
        <w:rPr>
          <w:rFonts w:ascii="Times New Roman" w:hAnsi="Times New Roman" w:cs="Times New Roman"/>
        </w:rPr>
        <w:t>Vesterdorf. EU Public Procurement Law: Brussels Commentary. Nomos Verslangsgesellschaft 2018, lk 147.</w:t>
      </w:r>
    </w:p>
  </w:footnote>
  <w:footnote w:id="16">
    <w:p w14:paraId="7DAB130B" w14:textId="0A62161C" w:rsidR="00343D34" w:rsidRPr="00391735" w:rsidRDefault="00343D34">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 xml:space="preserve">K. </w:t>
      </w:r>
      <w:r w:rsidRPr="00391735">
        <w:rPr>
          <w:rFonts w:ascii="Times New Roman" w:hAnsi="Times New Roman" w:cs="Times New Roman"/>
        </w:rPr>
        <w:t>Härginen, V. Vaske, C. Gint</w:t>
      </w:r>
      <w:r w:rsidR="00A53AAF" w:rsidRPr="00391735">
        <w:rPr>
          <w:rFonts w:ascii="Times New Roman" w:hAnsi="Times New Roman" w:cs="Times New Roman"/>
        </w:rPr>
        <w:t>e</w:t>
      </w:r>
      <w:r w:rsidRPr="00391735">
        <w:rPr>
          <w:rFonts w:ascii="Times New Roman" w:hAnsi="Times New Roman" w:cs="Times New Roman"/>
        </w:rPr>
        <w:t>r. – Juridica 2018/4, lk 239-240</w:t>
      </w:r>
      <w:r w:rsidR="00391735">
        <w:rPr>
          <w:rFonts w:ascii="Times New Roman" w:hAnsi="Times New Roman" w:cs="Times New Roman"/>
        </w:rPr>
        <w:t>.</w:t>
      </w:r>
    </w:p>
  </w:footnote>
  <w:footnote w:id="17">
    <w:p w14:paraId="32B8630F" w14:textId="16FBB1C2" w:rsidR="00D55C72" w:rsidRPr="00391735" w:rsidRDefault="00D55C72">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K. Härginen, V. Vaske, C. Gint</w:t>
      </w:r>
      <w:r w:rsidR="00A53AAF" w:rsidRPr="00391735">
        <w:rPr>
          <w:rFonts w:ascii="Times New Roman" w:hAnsi="Times New Roman" w:cs="Times New Roman"/>
        </w:rPr>
        <w:t>e</w:t>
      </w:r>
      <w:r w:rsidRPr="00391735">
        <w:rPr>
          <w:rFonts w:ascii="Times New Roman" w:hAnsi="Times New Roman" w:cs="Times New Roman"/>
        </w:rPr>
        <w:t>r. – Juridica 2018/4, lk 239</w:t>
      </w:r>
      <w:r w:rsidR="007E4FCD">
        <w:rPr>
          <w:rFonts w:ascii="Times New Roman" w:hAnsi="Times New Roman" w:cs="Times New Roman"/>
        </w:rPr>
        <w:t>;</w:t>
      </w:r>
      <w:r w:rsidR="008C3F74" w:rsidRPr="008C3F74">
        <w:rPr>
          <w:rFonts w:ascii="Times New Roman" w:hAnsi="Times New Roman" w:cs="Times New Roman"/>
        </w:rPr>
        <w:t xml:space="preserve"> </w:t>
      </w:r>
      <w:r w:rsidR="008C3F74">
        <w:rPr>
          <w:rFonts w:ascii="Times New Roman" w:hAnsi="Times New Roman" w:cs="Times New Roman"/>
        </w:rPr>
        <w:t>M. Steinicke, P.L.Vesterdorf. EU Public Procurement Law: Brussels Commentary. Nomos Verslangsgesellschaft 2018, lk 148.</w:t>
      </w:r>
    </w:p>
  </w:footnote>
  <w:footnote w:id="18">
    <w:p w14:paraId="11D5FD60" w14:textId="50DF102E" w:rsidR="00D55C72" w:rsidRPr="00391735" w:rsidRDefault="00D55C72">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 xml:space="preserve">K. </w:t>
      </w:r>
      <w:r w:rsidRPr="00391735">
        <w:rPr>
          <w:rFonts w:ascii="Times New Roman" w:hAnsi="Times New Roman" w:cs="Times New Roman"/>
        </w:rPr>
        <w:t>Härginen, V. Vaske, C. Gint</w:t>
      </w:r>
      <w:r w:rsidR="00A53AAF" w:rsidRPr="00391735">
        <w:rPr>
          <w:rFonts w:ascii="Times New Roman" w:hAnsi="Times New Roman" w:cs="Times New Roman"/>
        </w:rPr>
        <w:t>e</w:t>
      </w:r>
      <w:r w:rsidRPr="00391735">
        <w:rPr>
          <w:rFonts w:ascii="Times New Roman" w:hAnsi="Times New Roman" w:cs="Times New Roman"/>
        </w:rPr>
        <w:t>r. – Juridica 2018/4, lk 239</w:t>
      </w:r>
      <w:r w:rsidR="007E4FCD">
        <w:rPr>
          <w:rFonts w:ascii="Times New Roman" w:hAnsi="Times New Roman" w:cs="Times New Roman"/>
        </w:rPr>
        <w:t>;</w:t>
      </w:r>
      <w:r w:rsidR="008C3F74">
        <w:rPr>
          <w:rFonts w:ascii="Times New Roman" w:hAnsi="Times New Roman" w:cs="Times New Roman"/>
        </w:rPr>
        <w:t xml:space="preserve"> M. Steinicke, P.L.Vesterdorf. EU Public Procurement Law: Brussels Commentary. Nomos Verslangsgesellschaft 2018, lk 148.</w:t>
      </w:r>
    </w:p>
  </w:footnote>
  <w:footnote w:id="19">
    <w:p w14:paraId="124ED724" w14:textId="07B5ED2E" w:rsidR="001622EB" w:rsidRPr="00391735" w:rsidRDefault="001622EB">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 xml:space="preserve">K. </w:t>
      </w:r>
      <w:r w:rsidRPr="00391735">
        <w:rPr>
          <w:rFonts w:ascii="Times New Roman" w:hAnsi="Times New Roman" w:cs="Times New Roman"/>
        </w:rPr>
        <w:t>Saare, U. Volens, A. Vutt, M. Vutt. Ühinguõigus I. Juura 2015, lk 331.</w:t>
      </w:r>
    </w:p>
  </w:footnote>
  <w:footnote w:id="20">
    <w:p w14:paraId="711517C8" w14:textId="00DA7562" w:rsidR="00BB0946" w:rsidRPr="006349EA" w:rsidRDefault="00BB0946">
      <w:pPr>
        <w:pStyle w:val="FootnoteText"/>
        <w:rPr>
          <w:rFonts w:ascii="Times New Roman" w:hAnsi="Times New Roman" w:cs="Times New Roman"/>
        </w:rPr>
      </w:pPr>
      <w:r>
        <w:rPr>
          <w:rStyle w:val="FootnoteReference"/>
        </w:rPr>
        <w:footnoteRef/>
      </w:r>
      <w:r>
        <w:t xml:space="preserve"> </w:t>
      </w:r>
      <w:r w:rsidR="00F002F9" w:rsidRPr="006349EA">
        <w:rPr>
          <w:rFonts w:ascii="Times New Roman" w:hAnsi="Times New Roman" w:cs="Times New Roman"/>
        </w:rPr>
        <w:t xml:space="preserve">EKo </w:t>
      </w:r>
      <w:r w:rsidR="00F002F9" w:rsidRPr="006349EA">
        <w:rPr>
          <w:rFonts w:ascii="Times New Roman" w:hAnsi="Times New Roman" w:cs="Times New Roman"/>
        </w:rPr>
        <w:t>liidetud kohtuasjas</w:t>
      </w:r>
      <w:r w:rsidR="00F002F9">
        <w:t xml:space="preserve"> </w:t>
      </w:r>
      <w:r w:rsidRPr="006349EA">
        <w:rPr>
          <w:rFonts w:ascii="Times New Roman" w:hAnsi="Times New Roman" w:cs="Times New Roman"/>
        </w:rPr>
        <w:t>C-223/99</w:t>
      </w:r>
      <w:r w:rsidR="00F002F9">
        <w:rPr>
          <w:rFonts w:ascii="Times New Roman" w:hAnsi="Times New Roman" w:cs="Times New Roman"/>
        </w:rPr>
        <w:t xml:space="preserve"> ja C-260/99</w:t>
      </w:r>
    </w:p>
  </w:footnote>
  <w:footnote w:id="21">
    <w:p w14:paraId="653AD502" w14:textId="3E477268" w:rsidR="00AB6C15" w:rsidRPr="00391735" w:rsidRDefault="00AB6C15">
      <w:pPr>
        <w:pStyle w:val="FootnoteText"/>
        <w:rPr>
          <w:rFonts w:ascii="Times New Roman" w:hAnsi="Times New Roman" w:cs="Times New Roman"/>
        </w:rPr>
      </w:pPr>
      <w:r w:rsidRPr="00391735">
        <w:rPr>
          <w:rStyle w:val="FootnoteReference"/>
          <w:rFonts w:ascii="Times New Roman" w:hAnsi="Times New Roman" w:cs="Times New Roman"/>
        </w:rPr>
        <w:footnoteRef/>
      </w:r>
      <w:r w:rsidRPr="00391735">
        <w:rPr>
          <w:rFonts w:ascii="Times New Roman" w:hAnsi="Times New Roman" w:cs="Times New Roman"/>
        </w:rPr>
        <w:t xml:space="preserve"> </w:t>
      </w:r>
      <w:r w:rsidRPr="00391735">
        <w:rPr>
          <w:rFonts w:ascii="Times New Roman" w:hAnsi="Times New Roman" w:cs="Times New Roman"/>
        </w:rPr>
        <w:t xml:space="preserve">Tellijaks </w:t>
      </w:r>
      <w:r w:rsidRPr="00391735">
        <w:rPr>
          <w:rFonts w:ascii="Times New Roman" w:hAnsi="Times New Roman" w:cs="Times New Roman"/>
        </w:rPr>
        <w:t>on Tallinn linn.</w:t>
      </w:r>
    </w:p>
  </w:footnote>
  <w:footnote w:id="22">
    <w:p w14:paraId="371D23B3" w14:textId="485BF8BC" w:rsidR="00AB6C15" w:rsidRPr="00AB6C15" w:rsidRDefault="00AB6C15">
      <w:pPr>
        <w:pStyle w:val="FootnoteText"/>
        <w:rPr>
          <w:rFonts w:ascii="Times New Roman" w:hAnsi="Times New Roman" w:cs="Times New Roman"/>
        </w:rPr>
      </w:pPr>
      <w:r>
        <w:rPr>
          <w:rStyle w:val="FootnoteReference"/>
        </w:rPr>
        <w:footnoteRef/>
      </w:r>
      <w:r>
        <w:t xml:space="preserve"> </w:t>
      </w:r>
      <w:r w:rsidRPr="00AB6C15">
        <w:rPr>
          <w:rFonts w:ascii="Times New Roman" w:hAnsi="Times New Roman" w:cs="Times New Roman"/>
        </w:rPr>
        <w:t xml:space="preserve">Vastavalt </w:t>
      </w:r>
      <w:r w:rsidRPr="00AB6C15">
        <w:rPr>
          <w:rFonts w:ascii="Times New Roman" w:hAnsi="Times New Roman" w:cs="Times New Roman"/>
        </w:rPr>
        <w:t>jäätmeveo piirkonnale.</w:t>
      </w:r>
    </w:p>
  </w:footnote>
  <w:footnote w:id="23">
    <w:p w14:paraId="0D862354" w14:textId="442B93D3" w:rsidR="00AB6C15" w:rsidRPr="00AB6C15" w:rsidRDefault="00AB6C15">
      <w:pPr>
        <w:pStyle w:val="FootnoteText"/>
        <w:rPr>
          <w:rFonts w:ascii="Times New Roman" w:hAnsi="Times New Roman" w:cs="Times New Roman"/>
        </w:rPr>
      </w:pPr>
      <w:r>
        <w:rPr>
          <w:rStyle w:val="FootnoteReference"/>
        </w:rPr>
        <w:footnoteRef/>
      </w:r>
      <w:r>
        <w:t xml:space="preserve"> </w:t>
      </w:r>
      <w:r w:rsidRPr="00AB6C15">
        <w:rPr>
          <w:rFonts w:ascii="Times New Roman" w:hAnsi="Times New Roman" w:cs="Times New Roman"/>
        </w:rPr>
        <w:t xml:space="preserve">TJT </w:t>
      </w:r>
      <w:r w:rsidRPr="00AB6C15">
        <w:rPr>
          <w:rFonts w:ascii="Times New Roman" w:hAnsi="Times New Roman" w:cs="Times New Roman"/>
        </w:rPr>
        <w:t xml:space="preserve">esitas linnale </w:t>
      </w:r>
      <w:r>
        <w:rPr>
          <w:rFonts w:ascii="Times New Roman" w:hAnsi="Times New Roman" w:cs="Times New Roman"/>
        </w:rPr>
        <w:t>(tellijale) k</w:t>
      </w:r>
      <w:r w:rsidRPr="00AB6C15">
        <w:rPr>
          <w:rFonts w:ascii="Times New Roman" w:hAnsi="Times New Roman" w:cs="Times New Roman"/>
        </w:rPr>
        <w:t>orraldatud jäätmeveo teenus</w:t>
      </w:r>
      <w:r>
        <w:rPr>
          <w:rFonts w:ascii="Times New Roman" w:hAnsi="Times New Roman" w:cs="Times New Roman"/>
        </w:rPr>
        <w:t>e</w:t>
      </w:r>
      <w:r w:rsidRPr="00AB6C15">
        <w:rPr>
          <w:rFonts w:ascii="Times New Roman" w:hAnsi="Times New Roman" w:cs="Times New Roman"/>
        </w:rPr>
        <w:t xml:space="preserve"> Vanalinna </w:t>
      </w:r>
      <w:r>
        <w:rPr>
          <w:rFonts w:ascii="Times New Roman" w:hAnsi="Times New Roman" w:cs="Times New Roman"/>
        </w:rPr>
        <w:t>jäätmeveo piirkonna kontsessioonilepingu alusel garantiikirja summas 100 000 eurot, Kesklinna jäätmeveo piirkonna kontsessioonilepingu alusel garantiikirja summas 400 000 eurot ja Nõmme jäätmeveo piirkonna kontsessioonilepingu alusel garantiikirja summas 150 000 eurot.</w:t>
      </w:r>
    </w:p>
  </w:footnote>
  <w:footnote w:id="24">
    <w:p w14:paraId="3C2F7960" w14:textId="43163B3E" w:rsidR="00902125" w:rsidRDefault="00902125">
      <w:pPr>
        <w:pStyle w:val="FootnoteText"/>
      </w:pPr>
      <w:r>
        <w:rPr>
          <w:rStyle w:val="FootnoteReference"/>
        </w:rPr>
        <w:footnoteRef/>
      </w:r>
      <w:r>
        <w:t xml:space="preserve"> </w:t>
      </w:r>
      <w:r w:rsidRPr="009C43F0">
        <w:rPr>
          <w:rFonts w:ascii="Times New Roman" w:hAnsi="Times New Roman" w:cs="Times New Roman"/>
        </w:rPr>
        <w:t xml:space="preserve">TJT </w:t>
      </w:r>
      <w:r w:rsidRPr="009C43F0">
        <w:rPr>
          <w:rFonts w:ascii="Times New Roman" w:hAnsi="Times New Roman" w:cs="Times New Roman"/>
        </w:rPr>
        <w:t xml:space="preserve">esitas </w:t>
      </w:r>
      <w:r w:rsidR="00AB6C15">
        <w:rPr>
          <w:rFonts w:ascii="Times New Roman" w:hAnsi="Times New Roman" w:cs="Times New Roman"/>
        </w:rPr>
        <w:t xml:space="preserve">linnale (tellijale) </w:t>
      </w:r>
      <w:r w:rsidR="00315BE5" w:rsidRPr="009C43F0">
        <w:rPr>
          <w:rFonts w:ascii="Times New Roman" w:hAnsi="Times New Roman" w:cs="Times New Roman"/>
        </w:rPr>
        <w:t>Nõmme jäätmeveo piirkonnast korraldatud jäätmeveo raames kogutud jäätmete töötlemise kontsessioonilepingu</w:t>
      </w:r>
      <w:r w:rsidR="009C43F0" w:rsidRPr="009C43F0">
        <w:rPr>
          <w:rFonts w:ascii="Times New Roman" w:hAnsi="Times New Roman" w:cs="Times New Roman"/>
        </w:rPr>
        <w:t xml:space="preserve"> alusel linnale garantiikirja summas 40 000 eurot</w:t>
      </w:r>
      <w:r w:rsidR="009C43F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5BB"/>
    <w:multiLevelType w:val="hybridMultilevel"/>
    <w:tmpl w:val="3D1A7650"/>
    <w:lvl w:ilvl="0" w:tplc="0425000F">
      <w:start w:val="1"/>
      <w:numFmt w:val="decimal"/>
      <w:lvlText w:val="%1."/>
      <w:lvlJc w:val="left"/>
      <w:pPr>
        <w:ind w:left="1429" w:hanging="360"/>
      </w:pPr>
    </w:lvl>
    <w:lvl w:ilvl="1" w:tplc="04250019" w:tentative="1">
      <w:start w:val="1"/>
      <w:numFmt w:val="lowerLetter"/>
      <w:lvlText w:val="%2."/>
      <w:lvlJc w:val="left"/>
      <w:pPr>
        <w:ind w:left="2149" w:hanging="360"/>
      </w:pPr>
    </w:lvl>
    <w:lvl w:ilvl="2" w:tplc="0425001B" w:tentative="1">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1" w15:restartNumberingAfterBreak="0">
    <w:nsid w:val="084327EF"/>
    <w:multiLevelType w:val="hybridMultilevel"/>
    <w:tmpl w:val="0066C9DE"/>
    <w:lvl w:ilvl="0" w:tplc="EFDC4CA6">
      <w:numFmt w:val="bullet"/>
      <w:lvlText w:val="•"/>
      <w:lvlJc w:val="left"/>
      <w:pPr>
        <w:ind w:left="1414" w:hanging="705"/>
      </w:pPr>
      <w:rPr>
        <w:rFonts w:ascii="Times New Roman" w:eastAsiaTheme="minorHAnsi" w:hAnsi="Times New Roman" w:cs="Times New Roman" w:hint="default"/>
      </w:rPr>
    </w:lvl>
    <w:lvl w:ilvl="1" w:tplc="04250003" w:tentative="1">
      <w:start w:val="1"/>
      <w:numFmt w:val="bullet"/>
      <w:lvlText w:val="o"/>
      <w:lvlJc w:val="left"/>
      <w:pPr>
        <w:ind w:left="1789" w:hanging="360"/>
      </w:pPr>
      <w:rPr>
        <w:rFonts w:ascii="Courier New" w:hAnsi="Courier New" w:cs="Courier New" w:hint="default"/>
      </w:rPr>
    </w:lvl>
    <w:lvl w:ilvl="2" w:tplc="04250005" w:tentative="1">
      <w:start w:val="1"/>
      <w:numFmt w:val="bullet"/>
      <w:lvlText w:val=""/>
      <w:lvlJc w:val="left"/>
      <w:pPr>
        <w:ind w:left="2509" w:hanging="360"/>
      </w:pPr>
      <w:rPr>
        <w:rFonts w:ascii="Wingdings" w:hAnsi="Wingdings" w:hint="default"/>
      </w:rPr>
    </w:lvl>
    <w:lvl w:ilvl="3" w:tplc="04250001" w:tentative="1">
      <w:start w:val="1"/>
      <w:numFmt w:val="bullet"/>
      <w:lvlText w:val=""/>
      <w:lvlJc w:val="left"/>
      <w:pPr>
        <w:ind w:left="3229" w:hanging="360"/>
      </w:pPr>
      <w:rPr>
        <w:rFonts w:ascii="Symbol" w:hAnsi="Symbol" w:hint="default"/>
      </w:rPr>
    </w:lvl>
    <w:lvl w:ilvl="4" w:tplc="04250003" w:tentative="1">
      <w:start w:val="1"/>
      <w:numFmt w:val="bullet"/>
      <w:lvlText w:val="o"/>
      <w:lvlJc w:val="left"/>
      <w:pPr>
        <w:ind w:left="3949" w:hanging="360"/>
      </w:pPr>
      <w:rPr>
        <w:rFonts w:ascii="Courier New" w:hAnsi="Courier New" w:cs="Courier New" w:hint="default"/>
      </w:rPr>
    </w:lvl>
    <w:lvl w:ilvl="5" w:tplc="04250005" w:tentative="1">
      <w:start w:val="1"/>
      <w:numFmt w:val="bullet"/>
      <w:lvlText w:val=""/>
      <w:lvlJc w:val="left"/>
      <w:pPr>
        <w:ind w:left="4669" w:hanging="360"/>
      </w:pPr>
      <w:rPr>
        <w:rFonts w:ascii="Wingdings" w:hAnsi="Wingdings" w:hint="default"/>
      </w:rPr>
    </w:lvl>
    <w:lvl w:ilvl="6" w:tplc="04250001" w:tentative="1">
      <w:start w:val="1"/>
      <w:numFmt w:val="bullet"/>
      <w:lvlText w:val=""/>
      <w:lvlJc w:val="left"/>
      <w:pPr>
        <w:ind w:left="5389" w:hanging="360"/>
      </w:pPr>
      <w:rPr>
        <w:rFonts w:ascii="Symbol" w:hAnsi="Symbol" w:hint="default"/>
      </w:rPr>
    </w:lvl>
    <w:lvl w:ilvl="7" w:tplc="04250003" w:tentative="1">
      <w:start w:val="1"/>
      <w:numFmt w:val="bullet"/>
      <w:lvlText w:val="o"/>
      <w:lvlJc w:val="left"/>
      <w:pPr>
        <w:ind w:left="6109" w:hanging="360"/>
      </w:pPr>
      <w:rPr>
        <w:rFonts w:ascii="Courier New" w:hAnsi="Courier New" w:cs="Courier New" w:hint="default"/>
      </w:rPr>
    </w:lvl>
    <w:lvl w:ilvl="8" w:tplc="04250005" w:tentative="1">
      <w:start w:val="1"/>
      <w:numFmt w:val="bullet"/>
      <w:lvlText w:val=""/>
      <w:lvlJc w:val="left"/>
      <w:pPr>
        <w:ind w:left="6829" w:hanging="360"/>
      </w:pPr>
      <w:rPr>
        <w:rFonts w:ascii="Wingdings" w:hAnsi="Wingdings" w:hint="default"/>
      </w:rPr>
    </w:lvl>
  </w:abstractNum>
  <w:abstractNum w:abstractNumId="2" w15:restartNumberingAfterBreak="0">
    <w:nsid w:val="0C7D3679"/>
    <w:multiLevelType w:val="hybridMultilevel"/>
    <w:tmpl w:val="FE800520"/>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3" w15:restartNumberingAfterBreak="0">
    <w:nsid w:val="0FAF6F68"/>
    <w:multiLevelType w:val="hybridMultilevel"/>
    <w:tmpl w:val="6534195A"/>
    <w:lvl w:ilvl="0" w:tplc="0425000F">
      <w:start w:val="1"/>
      <w:numFmt w:val="decimal"/>
      <w:lvlText w:val="%1."/>
      <w:lvlJc w:val="left"/>
      <w:pPr>
        <w:ind w:left="1429" w:hanging="360"/>
      </w:pPr>
    </w:lvl>
    <w:lvl w:ilvl="1" w:tplc="04250019" w:tentative="1">
      <w:start w:val="1"/>
      <w:numFmt w:val="lowerLetter"/>
      <w:lvlText w:val="%2."/>
      <w:lvlJc w:val="left"/>
      <w:pPr>
        <w:ind w:left="2149" w:hanging="360"/>
      </w:pPr>
    </w:lvl>
    <w:lvl w:ilvl="2" w:tplc="0425001B" w:tentative="1">
      <w:start w:val="1"/>
      <w:numFmt w:val="lowerRoman"/>
      <w:lvlText w:val="%3."/>
      <w:lvlJc w:val="right"/>
      <w:pPr>
        <w:ind w:left="2869" w:hanging="180"/>
      </w:pPr>
    </w:lvl>
    <w:lvl w:ilvl="3" w:tplc="0425000F" w:tentative="1">
      <w:start w:val="1"/>
      <w:numFmt w:val="decimal"/>
      <w:lvlText w:val="%4."/>
      <w:lvlJc w:val="left"/>
      <w:pPr>
        <w:ind w:left="3589" w:hanging="360"/>
      </w:pPr>
    </w:lvl>
    <w:lvl w:ilvl="4" w:tplc="04250019" w:tentative="1">
      <w:start w:val="1"/>
      <w:numFmt w:val="lowerLetter"/>
      <w:lvlText w:val="%5."/>
      <w:lvlJc w:val="left"/>
      <w:pPr>
        <w:ind w:left="4309" w:hanging="360"/>
      </w:pPr>
    </w:lvl>
    <w:lvl w:ilvl="5" w:tplc="0425001B" w:tentative="1">
      <w:start w:val="1"/>
      <w:numFmt w:val="lowerRoman"/>
      <w:lvlText w:val="%6."/>
      <w:lvlJc w:val="right"/>
      <w:pPr>
        <w:ind w:left="5029" w:hanging="180"/>
      </w:pPr>
    </w:lvl>
    <w:lvl w:ilvl="6" w:tplc="0425000F" w:tentative="1">
      <w:start w:val="1"/>
      <w:numFmt w:val="decimal"/>
      <w:lvlText w:val="%7."/>
      <w:lvlJc w:val="left"/>
      <w:pPr>
        <w:ind w:left="5749" w:hanging="360"/>
      </w:pPr>
    </w:lvl>
    <w:lvl w:ilvl="7" w:tplc="04250019" w:tentative="1">
      <w:start w:val="1"/>
      <w:numFmt w:val="lowerLetter"/>
      <w:lvlText w:val="%8."/>
      <w:lvlJc w:val="left"/>
      <w:pPr>
        <w:ind w:left="6469" w:hanging="360"/>
      </w:pPr>
    </w:lvl>
    <w:lvl w:ilvl="8" w:tplc="0425001B" w:tentative="1">
      <w:start w:val="1"/>
      <w:numFmt w:val="lowerRoman"/>
      <w:lvlText w:val="%9."/>
      <w:lvlJc w:val="right"/>
      <w:pPr>
        <w:ind w:left="7189" w:hanging="180"/>
      </w:pPr>
    </w:lvl>
  </w:abstractNum>
  <w:abstractNum w:abstractNumId="4" w15:restartNumberingAfterBreak="0">
    <w:nsid w:val="11517F56"/>
    <w:multiLevelType w:val="hybridMultilevel"/>
    <w:tmpl w:val="CDC0F3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2EF5A57"/>
    <w:multiLevelType w:val="multilevel"/>
    <w:tmpl w:val="FC225ECE"/>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723ECE"/>
    <w:multiLevelType w:val="hybridMultilevel"/>
    <w:tmpl w:val="36F2714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35A77BF7"/>
    <w:multiLevelType w:val="hybridMultilevel"/>
    <w:tmpl w:val="03B482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4B9A0930"/>
    <w:multiLevelType w:val="multilevel"/>
    <w:tmpl w:val="29BA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8671E0"/>
    <w:multiLevelType w:val="hybridMultilevel"/>
    <w:tmpl w:val="9CB2E9D8"/>
    <w:lvl w:ilvl="0" w:tplc="D7E89D0E">
      <w:start w:val="1"/>
      <w:numFmt w:val="bullet"/>
      <w:suff w:val="space"/>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8720A6F"/>
    <w:multiLevelType w:val="hybridMultilevel"/>
    <w:tmpl w:val="07DE215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487408406">
    <w:abstractNumId w:val="4"/>
  </w:num>
  <w:num w:numId="2" w16cid:durableId="175921757">
    <w:abstractNumId w:val="7"/>
  </w:num>
  <w:num w:numId="3" w16cid:durableId="1111123625">
    <w:abstractNumId w:val="2"/>
  </w:num>
  <w:num w:numId="4" w16cid:durableId="670528459">
    <w:abstractNumId w:val="1"/>
  </w:num>
  <w:num w:numId="5" w16cid:durableId="681013398">
    <w:abstractNumId w:val="9"/>
  </w:num>
  <w:num w:numId="6" w16cid:durableId="382487946">
    <w:abstractNumId w:val="3"/>
  </w:num>
  <w:num w:numId="7" w16cid:durableId="495343941">
    <w:abstractNumId w:val="0"/>
  </w:num>
  <w:num w:numId="8" w16cid:durableId="678854231">
    <w:abstractNumId w:val="10"/>
  </w:num>
  <w:num w:numId="9" w16cid:durableId="1503009891">
    <w:abstractNumId w:val="6"/>
  </w:num>
  <w:num w:numId="10" w16cid:durableId="860433479">
    <w:abstractNumId w:val="5"/>
  </w:num>
  <w:num w:numId="11" w16cid:durableId="759720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C0E"/>
    <w:rsid w:val="00003CC8"/>
    <w:rsid w:val="00022B30"/>
    <w:rsid w:val="00027317"/>
    <w:rsid w:val="000317D2"/>
    <w:rsid w:val="00040FC1"/>
    <w:rsid w:val="0004692C"/>
    <w:rsid w:val="00060C0E"/>
    <w:rsid w:val="00075230"/>
    <w:rsid w:val="000775D4"/>
    <w:rsid w:val="00080C05"/>
    <w:rsid w:val="000864D6"/>
    <w:rsid w:val="00092B06"/>
    <w:rsid w:val="000A47F8"/>
    <w:rsid w:val="000C6BF5"/>
    <w:rsid w:val="000F3DF7"/>
    <w:rsid w:val="000F4B54"/>
    <w:rsid w:val="000F7C79"/>
    <w:rsid w:val="0010162B"/>
    <w:rsid w:val="00101D06"/>
    <w:rsid w:val="001029FD"/>
    <w:rsid w:val="00105BAE"/>
    <w:rsid w:val="00107500"/>
    <w:rsid w:val="00110AD6"/>
    <w:rsid w:val="001121BE"/>
    <w:rsid w:val="0011249A"/>
    <w:rsid w:val="00137627"/>
    <w:rsid w:val="00140A9D"/>
    <w:rsid w:val="001579B8"/>
    <w:rsid w:val="001622EB"/>
    <w:rsid w:val="00165AA5"/>
    <w:rsid w:val="00175C70"/>
    <w:rsid w:val="001834D7"/>
    <w:rsid w:val="00190B1D"/>
    <w:rsid w:val="00192ED4"/>
    <w:rsid w:val="001953C3"/>
    <w:rsid w:val="001976E9"/>
    <w:rsid w:val="001A3593"/>
    <w:rsid w:val="001A7F79"/>
    <w:rsid w:val="001F30BC"/>
    <w:rsid w:val="00202D9E"/>
    <w:rsid w:val="00223067"/>
    <w:rsid w:val="00245C05"/>
    <w:rsid w:val="00251DCB"/>
    <w:rsid w:val="00267D9E"/>
    <w:rsid w:val="00274CCD"/>
    <w:rsid w:val="002A011C"/>
    <w:rsid w:val="002B78B8"/>
    <w:rsid w:val="002D052A"/>
    <w:rsid w:val="002D6AF5"/>
    <w:rsid w:val="002F6E01"/>
    <w:rsid w:val="00302E57"/>
    <w:rsid w:val="0030573B"/>
    <w:rsid w:val="003074BC"/>
    <w:rsid w:val="00311184"/>
    <w:rsid w:val="003118A1"/>
    <w:rsid w:val="00315BE5"/>
    <w:rsid w:val="00326E5C"/>
    <w:rsid w:val="003330CF"/>
    <w:rsid w:val="0033650C"/>
    <w:rsid w:val="003425FD"/>
    <w:rsid w:val="00343D34"/>
    <w:rsid w:val="003453C9"/>
    <w:rsid w:val="003513C5"/>
    <w:rsid w:val="0035333F"/>
    <w:rsid w:val="00356FE7"/>
    <w:rsid w:val="0036408C"/>
    <w:rsid w:val="00364667"/>
    <w:rsid w:val="003646C4"/>
    <w:rsid w:val="003867C8"/>
    <w:rsid w:val="00391735"/>
    <w:rsid w:val="00395926"/>
    <w:rsid w:val="003B0BB9"/>
    <w:rsid w:val="003E635E"/>
    <w:rsid w:val="003F5A0D"/>
    <w:rsid w:val="003F70DB"/>
    <w:rsid w:val="004048A9"/>
    <w:rsid w:val="00414AC4"/>
    <w:rsid w:val="004206C0"/>
    <w:rsid w:val="00420CF1"/>
    <w:rsid w:val="00421337"/>
    <w:rsid w:val="0042221F"/>
    <w:rsid w:val="00427010"/>
    <w:rsid w:val="00457084"/>
    <w:rsid w:val="00460248"/>
    <w:rsid w:val="0047385F"/>
    <w:rsid w:val="00473E27"/>
    <w:rsid w:val="004A6C54"/>
    <w:rsid w:val="004F0080"/>
    <w:rsid w:val="004F1132"/>
    <w:rsid w:val="00533900"/>
    <w:rsid w:val="00541BEF"/>
    <w:rsid w:val="00544DA4"/>
    <w:rsid w:val="00553178"/>
    <w:rsid w:val="00581288"/>
    <w:rsid w:val="00584A94"/>
    <w:rsid w:val="00597E64"/>
    <w:rsid w:val="005A001E"/>
    <w:rsid w:val="005A6A86"/>
    <w:rsid w:val="005B2340"/>
    <w:rsid w:val="005B799D"/>
    <w:rsid w:val="005C248A"/>
    <w:rsid w:val="005C5393"/>
    <w:rsid w:val="005D1B2B"/>
    <w:rsid w:val="005E25AD"/>
    <w:rsid w:val="00600805"/>
    <w:rsid w:val="00600CC4"/>
    <w:rsid w:val="00610737"/>
    <w:rsid w:val="006132DB"/>
    <w:rsid w:val="00616342"/>
    <w:rsid w:val="00623BD7"/>
    <w:rsid w:val="006349EA"/>
    <w:rsid w:val="006359A9"/>
    <w:rsid w:val="00636926"/>
    <w:rsid w:val="00661124"/>
    <w:rsid w:val="00691396"/>
    <w:rsid w:val="006B6646"/>
    <w:rsid w:val="006C5708"/>
    <w:rsid w:val="006D0923"/>
    <w:rsid w:val="006D4FB7"/>
    <w:rsid w:val="006E1AF1"/>
    <w:rsid w:val="006F76F0"/>
    <w:rsid w:val="00700505"/>
    <w:rsid w:val="0070076F"/>
    <w:rsid w:val="007073CD"/>
    <w:rsid w:val="00713832"/>
    <w:rsid w:val="007141AF"/>
    <w:rsid w:val="00715E33"/>
    <w:rsid w:val="00760C10"/>
    <w:rsid w:val="0076428A"/>
    <w:rsid w:val="00782248"/>
    <w:rsid w:val="007A142F"/>
    <w:rsid w:val="007C7D95"/>
    <w:rsid w:val="007D4046"/>
    <w:rsid w:val="007E4FCD"/>
    <w:rsid w:val="0080596C"/>
    <w:rsid w:val="00815E10"/>
    <w:rsid w:val="00840D4E"/>
    <w:rsid w:val="00847D1C"/>
    <w:rsid w:val="00854FD3"/>
    <w:rsid w:val="00856630"/>
    <w:rsid w:val="00884A13"/>
    <w:rsid w:val="00886078"/>
    <w:rsid w:val="00897467"/>
    <w:rsid w:val="008A13BC"/>
    <w:rsid w:val="008A3662"/>
    <w:rsid w:val="008A4EF0"/>
    <w:rsid w:val="008B46DB"/>
    <w:rsid w:val="008C3AB1"/>
    <w:rsid w:val="008C3F74"/>
    <w:rsid w:val="008D6EA3"/>
    <w:rsid w:val="008E3977"/>
    <w:rsid w:val="008E51AC"/>
    <w:rsid w:val="008E55A5"/>
    <w:rsid w:val="008F5F56"/>
    <w:rsid w:val="00900D68"/>
    <w:rsid w:val="00902125"/>
    <w:rsid w:val="00904EAF"/>
    <w:rsid w:val="00906664"/>
    <w:rsid w:val="00912516"/>
    <w:rsid w:val="00915D7E"/>
    <w:rsid w:val="00915E20"/>
    <w:rsid w:val="009165BB"/>
    <w:rsid w:val="00925BCD"/>
    <w:rsid w:val="00935E5B"/>
    <w:rsid w:val="00945313"/>
    <w:rsid w:val="00947269"/>
    <w:rsid w:val="009530F8"/>
    <w:rsid w:val="00960592"/>
    <w:rsid w:val="00973919"/>
    <w:rsid w:val="00982F8D"/>
    <w:rsid w:val="00987908"/>
    <w:rsid w:val="00993273"/>
    <w:rsid w:val="009B5F87"/>
    <w:rsid w:val="009B7964"/>
    <w:rsid w:val="009C43F0"/>
    <w:rsid w:val="009C6D3F"/>
    <w:rsid w:val="009D4985"/>
    <w:rsid w:val="009D536B"/>
    <w:rsid w:val="009E1C65"/>
    <w:rsid w:val="009E2884"/>
    <w:rsid w:val="009F5471"/>
    <w:rsid w:val="009F6351"/>
    <w:rsid w:val="00A01450"/>
    <w:rsid w:val="00A01C96"/>
    <w:rsid w:val="00A11600"/>
    <w:rsid w:val="00A15386"/>
    <w:rsid w:val="00A22320"/>
    <w:rsid w:val="00A26915"/>
    <w:rsid w:val="00A27061"/>
    <w:rsid w:val="00A36B9A"/>
    <w:rsid w:val="00A45B64"/>
    <w:rsid w:val="00A51011"/>
    <w:rsid w:val="00A53AAF"/>
    <w:rsid w:val="00A841F9"/>
    <w:rsid w:val="00A84E6D"/>
    <w:rsid w:val="00A85FDF"/>
    <w:rsid w:val="00AA0E87"/>
    <w:rsid w:val="00AA2F1F"/>
    <w:rsid w:val="00AB22BC"/>
    <w:rsid w:val="00AB6C15"/>
    <w:rsid w:val="00AC74DF"/>
    <w:rsid w:val="00AD669B"/>
    <w:rsid w:val="00AD6DAC"/>
    <w:rsid w:val="00AD7BAA"/>
    <w:rsid w:val="00AF4785"/>
    <w:rsid w:val="00B000D2"/>
    <w:rsid w:val="00B14768"/>
    <w:rsid w:val="00B1699D"/>
    <w:rsid w:val="00B3719A"/>
    <w:rsid w:val="00B37DF5"/>
    <w:rsid w:val="00B50A65"/>
    <w:rsid w:val="00B63EF1"/>
    <w:rsid w:val="00B7167C"/>
    <w:rsid w:val="00B76625"/>
    <w:rsid w:val="00B855BE"/>
    <w:rsid w:val="00BA0429"/>
    <w:rsid w:val="00BA4B28"/>
    <w:rsid w:val="00BA4EF4"/>
    <w:rsid w:val="00BA7B46"/>
    <w:rsid w:val="00BB0946"/>
    <w:rsid w:val="00BB113D"/>
    <w:rsid w:val="00BB6D3B"/>
    <w:rsid w:val="00BD11FD"/>
    <w:rsid w:val="00BD13DC"/>
    <w:rsid w:val="00BD712D"/>
    <w:rsid w:val="00BE159F"/>
    <w:rsid w:val="00C12C5E"/>
    <w:rsid w:val="00C15535"/>
    <w:rsid w:val="00C16B26"/>
    <w:rsid w:val="00C2562A"/>
    <w:rsid w:val="00C404F7"/>
    <w:rsid w:val="00C42796"/>
    <w:rsid w:val="00C4655F"/>
    <w:rsid w:val="00C46876"/>
    <w:rsid w:val="00C51862"/>
    <w:rsid w:val="00C5645E"/>
    <w:rsid w:val="00C613C3"/>
    <w:rsid w:val="00C62DEB"/>
    <w:rsid w:val="00C8321D"/>
    <w:rsid w:val="00CA5618"/>
    <w:rsid w:val="00CA64FF"/>
    <w:rsid w:val="00CB0B75"/>
    <w:rsid w:val="00CB1BE9"/>
    <w:rsid w:val="00CC19EC"/>
    <w:rsid w:val="00CC22B1"/>
    <w:rsid w:val="00CD1C41"/>
    <w:rsid w:val="00CE3384"/>
    <w:rsid w:val="00CF2EA4"/>
    <w:rsid w:val="00D005B6"/>
    <w:rsid w:val="00D0297F"/>
    <w:rsid w:val="00D07ED3"/>
    <w:rsid w:val="00D226D0"/>
    <w:rsid w:val="00D260C4"/>
    <w:rsid w:val="00D3096D"/>
    <w:rsid w:val="00D37AF4"/>
    <w:rsid w:val="00D55C72"/>
    <w:rsid w:val="00D57D56"/>
    <w:rsid w:val="00D97A4C"/>
    <w:rsid w:val="00DB267C"/>
    <w:rsid w:val="00DB4EC1"/>
    <w:rsid w:val="00DC20B4"/>
    <w:rsid w:val="00DC24CF"/>
    <w:rsid w:val="00DC4FED"/>
    <w:rsid w:val="00DD013A"/>
    <w:rsid w:val="00E145E9"/>
    <w:rsid w:val="00E1649E"/>
    <w:rsid w:val="00E17B76"/>
    <w:rsid w:val="00E40E59"/>
    <w:rsid w:val="00E56B41"/>
    <w:rsid w:val="00E57E5E"/>
    <w:rsid w:val="00E81207"/>
    <w:rsid w:val="00E96689"/>
    <w:rsid w:val="00EC491B"/>
    <w:rsid w:val="00EE6CDA"/>
    <w:rsid w:val="00EF5888"/>
    <w:rsid w:val="00F002F9"/>
    <w:rsid w:val="00F137C5"/>
    <w:rsid w:val="00F27FCB"/>
    <w:rsid w:val="00F315B1"/>
    <w:rsid w:val="00F37B6C"/>
    <w:rsid w:val="00F415A7"/>
    <w:rsid w:val="00F63707"/>
    <w:rsid w:val="00F973F6"/>
    <w:rsid w:val="00FA2FF7"/>
    <w:rsid w:val="00FC0F6C"/>
    <w:rsid w:val="00FC5CEB"/>
    <w:rsid w:val="00FD3785"/>
    <w:rsid w:val="00FD4D2E"/>
    <w:rsid w:val="00FD6CA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9DFC"/>
  <w15:chartTrackingRefBased/>
  <w15:docId w15:val="{F134BE5A-6FE9-4F37-BE03-949F720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269"/>
    <w:pPr>
      <w:ind w:left="720"/>
      <w:contextualSpacing/>
    </w:pPr>
  </w:style>
  <w:style w:type="character" w:styleId="Hyperlink">
    <w:name w:val="Hyperlink"/>
    <w:basedOn w:val="DefaultParagraphFont"/>
    <w:uiPriority w:val="99"/>
    <w:unhideWhenUsed/>
    <w:rsid w:val="00B7167C"/>
    <w:rPr>
      <w:color w:val="0563C1" w:themeColor="hyperlink"/>
      <w:u w:val="single"/>
    </w:rPr>
  </w:style>
  <w:style w:type="character" w:styleId="UnresolvedMention">
    <w:name w:val="Unresolved Mention"/>
    <w:basedOn w:val="DefaultParagraphFont"/>
    <w:uiPriority w:val="99"/>
    <w:semiHidden/>
    <w:unhideWhenUsed/>
    <w:rsid w:val="00B7167C"/>
    <w:rPr>
      <w:color w:val="605E5C"/>
      <w:shd w:val="clear" w:color="auto" w:fill="E1DFDD"/>
    </w:rPr>
  </w:style>
  <w:style w:type="character" w:styleId="FollowedHyperlink">
    <w:name w:val="FollowedHyperlink"/>
    <w:basedOn w:val="DefaultParagraphFont"/>
    <w:uiPriority w:val="99"/>
    <w:semiHidden/>
    <w:unhideWhenUsed/>
    <w:rsid w:val="00581288"/>
    <w:rPr>
      <w:color w:val="954F72" w:themeColor="followedHyperlink"/>
      <w:u w:val="single"/>
    </w:rPr>
  </w:style>
  <w:style w:type="paragraph" w:styleId="FootnoteText">
    <w:name w:val="footnote text"/>
    <w:basedOn w:val="Normal"/>
    <w:link w:val="FootnoteTextChar"/>
    <w:uiPriority w:val="99"/>
    <w:semiHidden/>
    <w:unhideWhenUsed/>
    <w:rsid w:val="00BA04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429"/>
    <w:rPr>
      <w:sz w:val="20"/>
      <w:szCs w:val="20"/>
    </w:rPr>
  </w:style>
  <w:style w:type="character" w:styleId="FootnoteReference">
    <w:name w:val="footnote reference"/>
    <w:basedOn w:val="DefaultParagraphFont"/>
    <w:uiPriority w:val="99"/>
    <w:semiHidden/>
    <w:unhideWhenUsed/>
    <w:rsid w:val="00BA0429"/>
    <w:rPr>
      <w:vertAlign w:val="superscript"/>
    </w:rPr>
  </w:style>
  <w:style w:type="paragraph" w:styleId="EndnoteText">
    <w:name w:val="endnote text"/>
    <w:basedOn w:val="Normal"/>
    <w:link w:val="EndnoteTextChar"/>
    <w:uiPriority w:val="99"/>
    <w:semiHidden/>
    <w:unhideWhenUsed/>
    <w:rsid w:val="00C465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655F"/>
    <w:rPr>
      <w:sz w:val="20"/>
      <w:szCs w:val="20"/>
    </w:rPr>
  </w:style>
  <w:style w:type="character" w:styleId="EndnoteReference">
    <w:name w:val="endnote reference"/>
    <w:basedOn w:val="DefaultParagraphFont"/>
    <w:uiPriority w:val="99"/>
    <w:semiHidden/>
    <w:unhideWhenUsed/>
    <w:rsid w:val="00C4655F"/>
    <w:rPr>
      <w:vertAlign w:val="superscript"/>
    </w:rPr>
  </w:style>
  <w:style w:type="paragraph" w:styleId="BalloonText">
    <w:name w:val="Balloon Text"/>
    <w:basedOn w:val="Normal"/>
    <w:link w:val="BalloonTextChar"/>
    <w:uiPriority w:val="99"/>
    <w:semiHidden/>
    <w:unhideWhenUsed/>
    <w:rsid w:val="000F4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54"/>
    <w:rPr>
      <w:rFonts w:ascii="Segoe UI" w:hAnsi="Segoe UI" w:cs="Segoe UI"/>
      <w:sz w:val="18"/>
      <w:szCs w:val="18"/>
    </w:rPr>
  </w:style>
  <w:style w:type="paragraph" w:styleId="Header">
    <w:name w:val="header"/>
    <w:basedOn w:val="Normal"/>
    <w:link w:val="HeaderChar"/>
    <w:uiPriority w:val="99"/>
    <w:unhideWhenUsed/>
    <w:rsid w:val="00DC24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24CF"/>
  </w:style>
  <w:style w:type="paragraph" w:styleId="Footer">
    <w:name w:val="footer"/>
    <w:basedOn w:val="Normal"/>
    <w:link w:val="FooterChar"/>
    <w:uiPriority w:val="99"/>
    <w:unhideWhenUsed/>
    <w:rsid w:val="00DC24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24CF"/>
  </w:style>
  <w:style w:type="paragraph" w:styleId="HTMLPreformatted">
    <w:name w:val="HTML Preformatted"/>
    <w:basedOn w:val="Normal"/>
    <w:link w:val="HTMLPreformattedChar"/>
    <w:uiPriority w:val="99"/>
    <w:semiHidden/>
    <w:unhideWhenUsed/>
    <w:rsid w:val="00CD1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PreformattedChar">
    <w:name w:val="HTML Preformatted Char"/>
    <w:basedOn w:val="DefaultParagraphFont"/>
    <w:link w:val="HTMLPreformatted"/>
    <w:uiPriority w:val="99"/>
    <w:semiHidden/>
    <w:rsid w:val="00CD1C41"/>
    <w:rPr>
      <w:rFonts w:ascii="Courier New" w:eastAsia="Times New Roman" w:hAnsi="Courier New" w:cs="Courier New"/>
      <w:sz w:val="20"/>
      <w:szCs w:val="20"/>
      <w:lang w:eastAsia="et-EE"/>
    </w:rPr>
  </w:style>
  <w:style w:type="character" w:customStyle="1" w:styleId="y2iqfc">
    <w:name w:val="y2iqfc"/>
    <w:basedOn w:val="DefaultParagraphFont"/>
    <w:rsid w:val="00CD1C41"/>
  </w:style>
  <w:style w:type="character" w:styleId="CommentReference">
    <w:name w:val="annotation reference"/>
    <w:basedOn w:val="DefaultParagraphFont"/>
    <w:uiPriority w:val="99"/>
    <w:semiHidden/>
    <w:unhideWhenUsed/>
    <w:rsid w:val="00B76625"/>
    <w:rPr>
      <w:sz w:val="16"/>
      <w:szCs w:val="16"/>
    </w:rPr>
  </w:style>
  <w:style w:type="paragraph" w:styleId="CommentText">
    <w:name w:val="annotation text"/>
    <w:basedOn w:val="Normal"/>
    <w:link w:val="CommentTextChar"/>
    <w:uiPriority w:val="99"/>
    <w:unhideWhenUsed/>
    <w:rsid w:val="00B76625"/>
    <w:pPr>
      <w:spacing w:line="240" w:lineRule="auto"/>
    </w:pPr>
    <w:rPr>
      <w:sz w:val="20"/>
      <w:szCs w:val="20"/>
    </w:rPr>
  </w:style>
  <w:style w:type="character" w:customStyle="1" w:styleId="CommentTextChar">
    <w:name w:val="Comment Text Char"/>
    <w:basedOn w:val="DefaultParagraphFont"/>
    <w:link w:val="CommentText"/>
    <w:uiPriority w:val="99"/>
    <w:rsid w:val="00B76625"/>
    <w:rPr>
      <w:sz w:val="20"/>
      <w:szCs w:val="20"/>
    </w:rPr>
  </w:style>
  <w:style w:type="paragraph" w:styleId="CommentSubject">
    <w:name w:val="annotation subject"/>
    <w:basedOn w:val="CommentText"/>
    <w:next w:val="CommentText"/>
    <w:link w:val="CommentSubjectChar"/>
    <w:uiPriority w:val="99"/>
    <w:semiHidden/>
    <w:unhideWhenUsed/>
    <w:rsid w:val="00B76625"/>
    <w:rPr>
      <w:b/>
      <w:bCs/>
    </w:rPr>
  </w:style>
  <w:style w:type="character" w:customStyle="1" w:styleId="CommentSubjectChar">
    <w:name w:val="Comment Subject Char"/>
    <w:basedOn w:val="CommentTextChar"/>
    <w:link w:val="CommentSubject"/>
    <w:uiPriority w:val="99"/>
    <w:semiHidden/>
    <w:rsid w:val="00B76625"/>
    <w:rPr>
      <w:b/>
      <w:bCs/>
      <w:sz w:val="20"/>
      <w:szCs w:val="20"/>
    </w:rPr>
  </w:style>
  <w:style w:type="paragraph" w:styleId="Revision">
    <w:name w:val="Revision"/>
    <w:hidden/>
    <w:uiPriority w:val="99"/>
    <w:semiHidden/>
    <w:rsid w:val="00541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877965">
      <w:bodyDiv w:val="1"/>
      <w:marLeft w:val="0"/>
      <w:marRight w:val="0"/>
      <w:marTop w:val="0"/>
      <w:marBottom w:val="0"/>
      <w:divBdr>
        <w:top w:val="none" w:sz="0" w:space="0" w:color="auto"/>
        <w:left w:val="none" w:sz="0" w:space="0" w:color="auto"/>
        <w:bottom w:val="none" w:sz="0" w:space="0" w:color="auto"/>
        <w:right w:val="none" w:sz="0" w:space="0" w:color="auto"/>
      </w:divBdr>
    </w:div>
    <w:div w:id="926500332">
      <w:bodyDiv w:val="1"/>
      <w:marLeft w:val="0"/>
      <w:marRight w:val="0"/>
      <w:marTop w:val="0"/>
      <w:marBottom w:val="0"/>
      <w:divBdr>
        <w:top w:val="none" w:sz="0" w:space="0" w:color="auto"/>
        <w:left w:val="none" w:sz="0" w:space="0" w:color="auto"/>
        <w:bottom w:val="none" w:sz="0" w:space="0" w:color="auto"/>
        <w:right w:val="none" w:sz="0" w:space="0" w:color="auto"/>
      </w:divBdr>
    </w:div>
    <w:div w:id="1162240173">
      <w:bodyDiv w:val="1"/>
      <w:marLeft w:val="0"/>
      <w:marRight w:val="0"/>
      <w:marTop w:val="0"/>
      <w:marBottom w:val="0"/>
      <w:divBdr>
        <w:top w:val="none" w:sz="0" w:space="0" w:color="auto"/>
        <w:left w:val="none" w:sz="0" w:space="0" w:color="auto"/>
        <w:bottom w:val="none" w:sz="0" w:space="0" w:color="auto"/>
        <w:right w:val="none" w:sz="0" w:space="0" w:color="auto"/>
      </w:divBdr>
    </w:div>
    <w:div w:id="1428575507">
      <w:bodyDiv w:val="1"/>
      <w:marLeft w:val="0"/>
      <w:marRight w:val="0"/>
      <w:marTop w:val="0"/>
      <w:marBottom w:val="0"/>
      <w:divBdr>
        <w:top w:val="none" w:sz="0" w:space="0" w:color="auto"/>
        <w:left w:val="none" w:sz="0" w:space="0" w:color="auto"/>
        <w:bottom w:val="none" w:sz="0" w:space="0" w:color="auto"/>
        <w:right w:val="none" w:sz="0" w:space="0" w:color="auto"/>
      </w:divBdr>
    </w:div>
    <w:div w:id="1630086744">
      <w:bodyDiv w:val="1"/>
      <w:marLeft w:val="0"/>
      <w:marRight w:val="0"/>
      <w:marTop w:val="0"/>
      <w:marBottom w:val="0"/>
      <w:divBdr>
        <w:top w:val="none" w:sz="0" w:space="0" w:color="auto"/>
        <w:left w:val="none" w:sz="0" w:space="0" w:color="auto"/>
        <w:bottom w:val="none" w:sz="0" w:space="0" w:color="auto"/>
        <w:right w:val="none" w:sz="0" w:space="0" w:color="auto"/>
      </w:divBdr>
    </w:div>
    <w:div w:id="19967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ele.tallinn.ee/documents/104834/view" TargetMode="External"/><Relationship Id="rId13" Type="http://schemas.openxmlformats.org/officeDocument/2006/relationships/hyperlink" Target="https://teele.tallinn.ee/documents/104834/vi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t.ee/wp-content/uploads/2025/04/Kesklinna_hinnakiri_TJT-alates-1-06-202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jt.ee/jaatmekaitlus/hinnakir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igusaktid.tallinn.ee/?id=3001&amp;aktid=128560&amp;fd=1&amp;leht=1&amp;q_sort=elex_akt.akt_vkp" TargetMode="External"/><Relationship Id="rId4" Type="http://schemas.openxmlformats.org/officeDocument/2006/relationships/settings" Target="settings.xml"/><Relationship Id="rId9" Type="http://schemas.openxmlformats.org/officeDocument/2006/relationships/hyperlink" Target="https://oigusaktid.tallinn.ee/?id=3001&amp;aktid=105844&amp;fd=1&amp;leht=1&amp;q_sort=elex_akt.akt_vk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C://Users/ilumets1/Downloads/tallinna_jaatmekava_2022-2026_eelnou_07.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5EB9C-E4DD-4338-B103-B669F28E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5142</Words>
  <Characters>29825</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Kaia-Liisa Prous</dc:creator>
  <cp:keywords/>
  <dc:description/>
  <cp:lastModifiedBy>Regina Raukas</cp:lastModifiedBy>
  <cp:revision>2</cp:revision>
  <cp:lastPrinted>2022-02-16T12:52:00Z</cp:lastPrinted>
  <dcterms:created xsi:type="dcterms:W3CDTF">2026-05-13T18:42:00Z</dcterms:created>
  <dcterms:modified xsi:type="dcterms:W3CDTF">2026-05-13T18:42:00Z</dcterms:modified>
</cp:coreProperties>
</file>