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64226" w14:textId="3502ABD5" w:rsidR="007965AA" w:rsidRPr="00244FD3" w:rsidRDefault="00F24DEC" w:rsidP="00A944A0">
      <w:pPr>
        <w:pStyle w:val="Normaallaadveeb"/>
        <w:spacing w:before="0" w:beforeAutospacing="0" w:after="0" w:afterAutospacing="0"/>
        <w:rPr>
          <w:color w:val="000000"/>
          <w:lang w:val="et-EE"/>
        </w:rPr>
      </w:pPr>
      <w:r w:rsidRPr="00244FD3">
        <w:rPr>
          <w:color w:val="000000"/>
          <w:lang w:val="et-EE"/>
        </w:rPr>
        <w:t>Justiitsministeerium</w:t>
      </w:r>
    </w:p>
    <w:p w14:paraId="31DBCA10" w14:textId="77777777" w:rsidR="00A944A0" w:rsidRPr="00244FD3" w:rsidRDefault="00A944A0" w:rsidP="00A944A0">
      <w:pPr>
        <w:pStyle w:val="Normaallaadveeb"/>
        <w:spacing w:before="0" w:beforeAutospacing="0" w:after="0" w:afterAutospacing="0"/>
        <w:rPr>
          <w:color w:val="000000"/>
          <w:lang w:val="et-EE"/>
        </w:rPr>
      </w:pPr>
    </w:p>
    <w:p w14:paraId="1155B76D" w14:textId="77777777" w:rsidR="00C0788C" w:rsidRPr="00244FD3" w:rsidRDefault="00C0788C" w:rsidP="00C0788C">
      <w:pPr>
        <w:pStyle w:val="Normaallaadveeb"/>
        <w:spacing w:before="0" w:beforeAutospacing="0" w:after="0" w:afterAutospacing="0"/>
        <w:ind w:left="5040" w:firstLine="720"/>
        <w:rPr>
          <w:color w:val="000000"/>
          <w:lang w:val="et-EE"/>
        </w:rPr>
      </w:pPr>
      <w:r w:rsidRPr="00244FD3">
        <w:rPr>
          <w:color w:val="000000"/>
          <w:lang w:val="et-EE"/>
        </w:rPr>
        <w:t>Meie 05.02.2024/3-24</w:t>
      </w:r>
    </w:p>
    <w:p w14:paraId="4FC3979C" w14:textId="62826EC9" w:rsidR="00A944A0" w:rsidRPr="00244FD3" w:rsidRDefault="00F24DEC" w:rsidP="00FC4D72">
      <w:pPr>
        <w:pStyle w:val="Normaallaadveeb"/>
        <w:spacing w:before="0" w:beforeAutospacing="0" w:after="0" w:afterAutospacing="0"/>
        <w:ind w:left="5760"/>
        <w:rPr>
          <w:color w:val="000000"/>
          <w:lang w:val="et-EE"/>
        </w:rPr>
      </w:pPr>
      <w:r w:rsidRPr="00244FD3">
        <w:rPr>
          <w:color w:val="000000"/>
          <w:lang w:val="et-EE"/>
        </w:rPr>
        <w:t>Teie</w:t>
      </w:r>
      <w:r w:rsidR="00FC4D72" w:rsidRPr="00244FD3">
        <w:rPr>
          <w:color w:val="000000"/>
          <w:lang w:val="et-EE"/>
        </w:rPr>
        <w:t xml:space="preserve"> 02.01.2024 8-3/11-1.1</w:t>
      </w:r>
    </w:p>
    <w:p w14:paraId="0E37B92B" w14:textId="77777777" w:rsidR="00A944A0" w:rsidRPr="00244FD3" w:rsidRDefault="00A944A0" w:rsidP="00A944A0">
      <w:pPr>
        <w:pStyle w:val="Normaallaadveeb"/>
        <w:spacing w:before="0" w:beforeAutospacing="0" w:after="0" w:afterAutospacing="0"/>
        <w:rPr>
          <w:color w:val="000000"/>
          <w:lang w:val="et-EE"/>
        </w:rPr>
      </w:pPr>
    </w:p>
    <w:p w14:paraId="20141D83" w14:textId="77777777" w:rsidR="00A944A0" w:rsidRPr="00244FD3" w:rsidRDefault="00A944A0" w:rsidP="00A944A0">
      <w:pPr>
        <w:pStyle w:val="Normaallaadveeb"/>
        <w:spacing w:before="0" w:beforeAutospacing="0" w:after="0" w:afterAutospacing="0"/>
        <w:rPr>
          <w:color w:val="000000"/>
          <w:lang w:val="et-EE"/>
        </w:rPr>
      </w:pPr>
    </w:p>
    <w:p w14:paraId="77F38A39" w14:textId="77777777" w:rsidR="00F843BC" w:rsidRPr="00244FD3" w:rsidRDefault="00C27CED" w:rsidP="00E42ADD">
      <w:pPr>
        <w:pStyle w:val="Normaallaadveeb"/>
        <w:spacing w:before="0" w:beforeAutospacing="0" w:after="0" w:afterAutospacing="0"/>
        <w:jc w:val="both"/>
        <w:rPr>
          <w:rFonts w:eastAsia="MS Mincho"/>
          <w:szCs w:val="20"/>
          <w:lang w:val="et-EE" w:eastAsia="zh-CN"/>
        </w:rPr>
      </w:pPr>
      <w:r w:rsidRPr="00244FD3">
        <w:rPr>
          <w:b/>
          <w:bCs/>
          <w:color w:val="000000"/>
          <w:lang w:val="et-EE"/>
        </w:rPr>
        <w:t xml:space="preserve">Arvamus </w:t>
      </w:r>
      <w:r w:rsidR="00E42ADD" w:rsidRPr="00244FD3">
        <w:rPr>
          <w:b/>
          <w:bCs/>
          <w:color w:val="000000"/>
          <w:lang w:val="et-EE"/>
        </w:rPr>
        <w:t>autoriõiguse seaduse (</w:t>
      </w:r>
      <w:proofErr w:type="spellStart"/>
      <w:r w:rsidR="00E42ADD" w:rsidRPr="00244FD3">
        <w:rPr>
          <w:b/>
          <w:bCs/>
          <w:color w:val="000000"/>
          <w:lang w:val="et-EE"/>
        </w:rPr>
        <w:t>AutÕS</w:t>
      </w:r>
      <w:proofErr w:type="spellEnd"/>
      <w:r w:rsidR="00E42ADD" w:rsidRPr="00244FD3">
        <w:rPr>
          <w:b/>
          <w:bCs/>
          <w:color w:val="000000"/>
          <w:lang w:val="et-EE"/>
        </w:rPr>
        <w:t>)</w:t>
      </w:r>
      <w:r w:rsidR="00E42ADD" w:rsidRPr="00244FD3">
        <w:rPr>
          <w:rFonts w:eastAsia="MS Mincho"/>
          <w:szCs w:val="20"/>
          <w:lang w:val="et-EE" w:eastAsia="zh-CN"/>
        </w:rPr>
        <w:t xml:space="preserve"> </w:t>
      </w:r>
    </w:p>
    <w:p w14:paraId="310C91AB" w14:textId="05DB915C" w:rsidR="00583D74" w:rsidRPr="00244FD3" w:rsidRDefault="00B21A52" w:rsidP="0061040A">
      <w:pPr>
        <w:pStyle w:val="Normaallaadveeb"/>
        <w:spacing w:before="0" w:beforeAutospacing="0" w:after="0" w:afterAutospacing="0"/>
        <w:jc w:val="both"/>
        <w:rPr>
          <w:b/>
          <w:bCs/>
          <w:color w:val="000000"/>
          <w:lang w:val="et-EE"/>
        </w:rPr>
      </w:pPr>
      <w:r w:rsidRPr="00244FD3">
        <w:rPr>
          <w:b/>
          <w:bCs/>
          <w:color w:val="000000"/>
          <w:lang w:val="et-EE"/>
        </w:rPr>
        <w:t>m</w:t>
      </w:r>
      <w:r w:rsidR="00E42ADD" w:rsidRPr="00244FD3">
        <w:rPr>
          <w:b/>
          <w:bCs/>
          <w:color w:val="000000"/>
          <w:lang w:val="et-EE"/>
        </w:rPr>
        <w:t>uutmise</w:t>
      </w:r>
      <w:r w:rsidR="00F843BC" w:rsidRPr="00244FD3">
        <w:rPr>
          <w:b/>
          <w:bCs/>
          <w:color w:val="000000"/>
          <w:lang w:val="et-EE"/>
        </w:rPr>
        <w:t xml:space="preserve"> </w:t>
      </w:r>
      <w:r w:rsidR="00C27CED" w:rsidRPr="00244FD3">
        <w:rPr>
          <w:b/>
          <w:bCs/>
          <w:color w:val="000000"/>
          <w:lang w:val="et-EE"/>
        </w:rPr>
        <w:t>väljatöötamiskavatsuse</w:t>
      </w:r>
      <w:r w:rsidR="00E42ADD" w:rsidRPr="00244FD3">
        <w:rPr>
          <w:b/>
          <w:bCs/>
          <w:color w:val="000000"/>
          <w:lang w:val="et-EE"/>
        </w:rPr>
        <w:t>le</w:t>
      </w:r>
    </w:p>
    <w:p w14:paraId="26FB3DD1" w14:textId="77777777" w:rsidR="00583D74" w:rsidRPr="00244FD3" w:rsidRDefault="00583D74" w:rsidP="0061040A">
      <w:pPr>
        <w:pStyle w:val="Normaallaadveeb"/>
        <w:spacing w:before="0" w:beforeAutospacing="0" w:after="0" w:afterAutospacing="0"/>
        <w:jc w:val="both"/>
        <w:rPr>
          <w:color w:val="000000"/>
          <w:lang w:val="et-EE"/>
        </w:rPr>
      </w:pPr>
    </w:p>
    <w:p w14:paraId="471DFF47" w14:textId="77777777" w:rsidR="00A944A0" w:rsidRPr="00244FD3" w:rsidRDefault="00A944A0" w:rsidP="0061040A">
      <w:pPr>
        <w:pStyle w:val="Normaallaadveeb"/>
        <w:spacing w:before="0" w:beforeAutospacing="0" w:after="0" w:afterAutospacing="0"/>
        <w:jc w:val="both"/>
        <w:rPr>
          <w:color w:val="000000"/>
          <w:lang w:val="et-EE"/>
        </w:rPr>
      </w:pPr>
    </w:p>
    <w:p w14:paraId="34379F24" w14:textId="00D54369" w:rsidR="00856B25" w:rsidRPr="00244FD3" w:rsidRDefault="00583D74" w:rsidP="00856B25">
      <w:pPr>
        <w:jc w:val="both"/>
        <w:rPr>
          <w:lang w:val="et-EE" w:eastAsia="et-EE"/>
        </w:rPr>
      </w:pPr>
      <w:r w:rsidRPr="00244FD3">
        <w:rPr>
          <w:lang w:val="et-EE" w:eastAsia="et-EE"/>
        </w:rPr>
        <w:t>Eesti Näitlejate Liit MTÜ (edaspid</w:t>
      </w:r>
      <w:r w:rsidR="00442ACE" w:rsidRPr="00244FD3">
        <w:rPr>
          <w:lang w:val="et-EE" w:eastAsia="et-EE"/>
        </w:rPr>
        <w:t xml:space="preserve">i </w:t>
      </w:r>
      <w:r w:rsidRPr="00244FD3">
        <w:rPr>
          <w:lang w:val="et-EE" w:eastAsia="et-EE"/>
        </w:rPr>
        <w:t>ENL)</w:t>
      </w:r>
      <w:r w:rsidR="00F45B16" w:rsidRPr="00244FD3">
        <w:rPr>
          <w:lang w:val="et-EE" w:eastAsia="et-EE"/>
        </w:rPr>
        <w:t xml:space="preserve"> </w:t>
      </w:r>
      <w:r w:rsidR="00976E58" w:rsidRPr="00244FD3">
        <w:rPr>
          <w:lang w:val="et-EE" w:eastAsia="et-EE"/>
        </w:rPr>
        <w:t xml:space="preserve">on </w:t>
      </w:r>
      <w:r w:rsidR="00A3330B" w:rsidRPr="00244FD3">
        <w:rPr>
          <w:lang w:val="et-EE" w:eastAsia="et-EE"/>
        </w:rPr>
        <w:t xml:space="preserve">kollektiivse esindamise organisatsioon, mis esindab 581 </w:t>
      </w:r>
      <w:r w:rsidR="00525042" w:rsidRPr="00244FD3">
        <w:rPr>
          <w:lang w:val="et-EE" w:eastAsia="et-EE"/>
        </w:rPr>
        <w:t xml:space="preserve">Eesti </w:t>
      </w:r>
      <w:r w:rsidR="00A3330B" w:rsidRPr="00244FD3">
        <w:rPr>
          <w:lang w:val="et-EE" w:eastAsia="et-EE"/>
        </w:rPr>
        <w:t>professionaalset näitlej</w:t>
      </w:r>
      <w:r w:rsidR="00525042" w:rsidRPr="00244FD3">
        <w:rPr>
          <w:lang w:val="et-EE" w:eastAsia="et-EE"/>
        </w:rPr>
        <w:t>at ja 35 õigusjärglast</w:t>
      </w:r>
      <w:r w:rsidR="00856B25" w:rsidRPr="00244FD3">
        <w:rPr>
          <w:lang w:val="et-EE" w:eastAsia="et-EE"/>
        </w:rPr>
        <w:t xml:space="preserve">. ENL </w:t>
      </w:r>
      <w:r w:rsidR="00F41947" w:rsidRPr="00244FD3">
        <w:rPr>
          <w:lang w:val="et-EE" w:eastAsia="et-EE"/>
        </w:rPr>
        <w:t>kuulub</w:t>
      </w:r>
      <w:r w:rsidR="00856B25" w:rsidRPr="00244FD3">
        <w:rPr>
          <w:lang w:val="et-EE" w:eastAsia="et-EE"/>
        </w:rPr>
        <w:t xml:space="preserve"> </w:t>
      </w:r>
      <w:r w:rsidR="00525042" w:rsidRPr="00244FD3">
        <w:rPr>
          <w:lang w:val="et-EE" w:eastAsia="et-EE"/>
        </w:rPr>
        <w:t xml:space="preserve"> </w:t>
      </w:r>
      <w:r w:rsidR="00F41947" w:rsidRPr="00244FD3">
        <w:rPr>
          <w:lang w:val="et-EE" w:eastAsia="et-EE"/>
        </w:rPr>
        <w:t>Rahvusvahelisse Näitlejate Föderatsiooni (</w:t>
      </w:r>
      <w:proofErr w:type="spellStart"/>
      <w:r w:rsidR="00792F55" w:rsidRPr="00244FD3">
        <w:rPr>
          <w:lang w:val="et-EE" w:eastAsia="et-EE"/>
        </w:rPr>
        <w:t>Euro</w:t>
      </w:r>
      <w:r w:rsidR="00F41947" w:rsidRPr="00244FD3">
        <w:rPr>
          <w:lang w:val="et-EE" w:eastAsia="et-EE"/>
        </w:rPr>
        <w:t>FIA</w:t>
      </w:r>
      <w:proofErr w:type="spellEnd"/>
      <w:r w:rsidR="00F41947" w:rsidRPr="00244FD3">
        <w:rPr>
          <w:lang w:val="et-EE" w:eastAsia="et-EE"/>
        </w:rPr>
        <w:t>)</w:t>
      </w:r>
      <w:r w:rsidR="007F6FFA" w:rsidRPr="00244FD3">
        <w:rPr>
          <w:lang w:val="et-EE" w:eastAsia="et-EE"/>
        </w:rPr>
        <w:t xml:space="preserve">, mis koondab näitlejate ametiühinguid ja erialaliite Euroopa Liidus. </w:t>
      </w:r>
    </w:p>
    <w:p w14:paraId="3B7DDCF4" w14:textId="77777777" w:rsidR="00976E58" w:rsidRPr="00244FD3" w:rsidRDefault="00976E58" w:rsidP="0061040A">
      <w:pPr>
        <w:jc w:val="both"/>
        <w:rPr>
          <w:lang w:val="et-EE" w:eastAsia="et-EE"/>
        </w:rPr>
      </w:pPr>
    </w:p>
    <w:p w14:paraId="5381F7BE" w14:textId="64AC3107" w:rsidR="00A82F9B" w:rsidRPr="00244FD3" w:rsidRDefault="004F66E5" w:rsidP="0061040A">
      <w:pPr>
        <w:jc w:val="both"/>
        <w:rPr>
          <w:lang w:val="et-EE" w:eastAsia="et-EE"/>
        </w:rPr>
      </w:pPr>
      <w:r w:rsidRPr="00244FD3">
        <w:rPr>
          <w:lang w:val="et-EE" w:eastAsia="et-EE"/>
        </w:rPr>
        <w:t xml:space="preserve">Esitame arvamuse </w:t>
      </w:r>
      <w:r w:rsidR="00F436FD" w:rsidRPr="00244FD3">
        <w:rPr>
          <w:lang w:val="et-EE" w:eastAsia="et-EE"/>
        </w:rPr>
        <w:t>autoriõiguse seaduse</w:t>
      </w:r>
      <w:r w:rsidRPr="00244FD3">
        <w:rPr>
          <w:lang w:val="et-EE" w:eastAsia="et-EE"/>
        </w:rPr>
        <w:t xml:space="preserve"> </w:t>
      </w:r>
      <w:r w:rsidR="00B21A52" w:rsidRPr="00244FD3">
        <w:rPr>
          <w:lang w:val="et-EE" w:eastAsia="et-EE"/>
        </w:rPr>
        <w:t xml:space="preserve">muutmise </w:t>
      </w:r>
      <w:r w:rsidRPr="00244FD3">
        <w:rPr>
          <w:lang w:val="et-EE" w:eastAsia="et-EE"/>
        </w:rPr>
        <w:t>v</w:t>
      </w:r>
      <w:r w:rsidR="00A82F9B" w:rsidRPr="00244FD3">
        <w:rPr>
          <w:lang w:val="et-EE" w:eastAsia="et-EE"/>
        </w:rPr>
        <w:t>äljatöötamiskavatsus</w:t>
      </w:r>
      <w:r w:rsidRPr="00244FD3">
        <w:rPr>
          <w:lang w:val="et-EE" w:eastAsia="et-EE"/>
        </w:rPr>
        <w:t>es</w:t>
      </w:r>
      <w:r w:rsidR="00F41947" w:rsidRPr="00244FD3">
        <w:rPr>
          <w:lang w:val="et-EE" w:eastAsia="et-EE"/>
        </w:rPr>
        <w:t xml:space="preserve"> (VTK) </w:t>
      </w:r>
      <w:r w:rsidR="00A82F9B" w:rsidRPr="00244FD3">
        <w:rPr>
          <w:lang w:val="et-EE" w:eastAsia="et-EE"/>
        </w:rPr>
        <w:t xml:space="preserve"> käsit</w:t>
      </w:r>
      <w:r w:rsidRPr="00244FD3">
        <w:rPr>
          <w:lang w:val="et-EE" w:eastAsia="et-EE"/>
        </w:rPr>
        <w:t xml:space="preserve">letud teemade </w:t>
      </w:r>
      <w:r w:rsidR="00F436FD" w:rsidRPr="00244FD3">
        <w:rPr>
          <w:lang w:val="et-EE" w:eastAsia="et-EE"/>
        </w:rPr>
        <w:t xml:space="preserve">kohta ning </w:t>
      </w:r>
      <w:r w:rsidR="00501289" w:rsidRPr="00244FD3">
        <w:rPr>
          <w:lang w:val="et-EE" w:eastAsia="et-EE"/>
        </w:rPr>
        <w:t xml:space="preserve">palume </w:t>
      </w:r>
      <w:r w:rsidR="00CF5301" w:rsidRPr="00244FD3">
        <w:rPr>
          <w:lang w:val="et-EE" w:eastAsia="et-EE"/>
        </w:rPr>
        <w:t>tähele panna</w:t>
      </w:r>
      <w:r w:rsidR="00501289" w:rsidRPr="00244FD3">
        <w:rPr>
          <w:lang w:val="et-EE" w:eastAsia="et-EE"/>
        </w:rPr>
        <w:t xml:space="preserve"> ka </w:t>
      </w:r>
      <w:r w:rsidR="00F843BC" w:rsidRPr="00244FD3">
        <w:rPr>
          <w:lang w:val="et-EE" w:eastAsia="et-EE"/>
        </w:rPr>
        <w:t>probleeme, millele pole VTK-s viidatud</w:t>
      </w:r>
      <w:r w:rsidR="00887F64" w:rsidRPr="00244FD3">
        <w:rPr>
          <w:lang w:val="et-EE" w:eastAsia="et-EE"/>
        </w:rPr>
        <w:t>, kuid vajava</w:t>
      </w:r>
      <w:r w:rsidR="00CF5301" w:rsidRPr="00244FD3">
        <w:rPr>
          <w:lang w:val="et-EE" w:eastAsia="et-EE"/>
        </w:rPr>
        <w:t xml:space="preserve">d sekkumist. </w:t>
      </w:r>
    </w:p>
    <w:p w14:paraId="3C0A1F65" w14:textId="77777777" w:rsidR="00A82F9B" w:rsidRPr="00244FD3" w:rsidRDefault="00A82F9B" w:rsidP="0061040A">
      <w:pPr>
        <w:jc w:val="both"/>
        <w:rPr>
          <w:lang w:val="et-EE" w:eastAsia="et-EE"/>
        </w:rPr>
      </w:pPr>
    </w:p>
    <w:p w14:paraId="0D6CF497" w14:textId="0DD96F28" w:rsidR="004647FB" w:rsidRPr="00244FD3" w:rsidRDefault="004647FB" w:rsidP="0061040A">
      <w:pPr>
        <w:pStyle w:val="Loendilik"/>
        <w:numPr>
          <w:ilvl w:val="0"/>
          <w:numId w:val="4"/>
        </w:numPr>
        <w:jc w:val="both"/>
        <w:rPr>
          <w:b/>
          <w:bCs/>
          <w:lang w:val="et-EE" w:eastAsia="et-EE"/>
        </w:rPr>
      </w:pPr>
      <w:r w:rsidRPr="00244FD3">
        <w:rPr>
          <w:b/>
          <w:bCs/>
          <w:lang w:val="et-EE" w:eastAsia="et-EE"/>
        </w:rPr>
        <w:t>Erakopeerimise tasu süsteem</w:t>
      </w:r>
    </w:p>
    <w:p w14:paraId="60BC8572" w14:textId="77777777" w:rsidR="00EC3C35" w:rsidRPr="00244FD3" w:rsidRDefault="00EC3C35" w:rsidP="0061040A">
      <w:pPr>
        <w:pStyle w:val="Loendilik"/>
        <w:ind w:left="1080"/>
        <w:jc w:val="both"/>
        <w:rPr>
          <w:lang w:val="et-EE" w:eastAsia="et-EE"/>
        </w:rPr>
      </w:pPr>
    </w:p>
    <w:p w14:paraId="17B86970" w14:textId="3CC01339" w:rsidR="00667AB1" w:rsidRPr="00244FD3" w:rsidRDefault="00A82F9B" w:rsidP="00EC3C35">
      <w:pPr>
        <w:jc w:val="both"/>
        <w:rPr>
          <w:lang w:val="et-EE" w:eastAsia="et-EE"/>
        </w:rPr>
      </w:pPr>
      <w:r w:rsidRPr="00244FD3">
        <w:rPr>
          <w:lang w:val="et-EE" w:eastAsia="et-EE"/>
        </w:rPr>
        <w:t>Tasu jagatakse jaotuskava alusel, mille väljatöötamiseks kinnitab valdkonna eest vastutav minister igal aastal komisjoni, kuhu proportsionaalselt kuuluvad autoreid, esitajaid, fonogrammitootjaid ja filmi esmasalvestuse tootjaid esindavad kollektiivse esindamise organisatsioonid ning üks Justiitsministeeriumi esindaja</w:t>
      </w:r>
      <w:r w:rsidR="003327CE" w:rsidRPr="00244FD3">
        <w:rPr>
          <w:lang w:val="et-EE" w:eastAsia="et-EE"/>
        </w:rPr>
        <w:t xml:space="preserve">. </w:t>
      </w:r>
      <w:r w:rsidR="00E42ADD" w:rsidRPr="00244FD3">
        <w:rPr>
          <w:lang w:val="et-EE" w:eastAsia="et-EE"/>
        </w:rPr>
        <w:t>VTK</w:t>
      </w:r>
      <w:r w:rsidR="00CF5301" w:rsidRPr="00244FD3">
        <w:rPr>
          <w:lang w:val="et-EE" w:eastAsia="et-EE"/>
        </w:rPr>
        <w:t>-</w:t>
      </w:r>
      <w:r w:rsidR="0076619D" w:rsidRPr="00244FD3">
        <w:rPr>
          <w:lang w:val="et-EE" w:eastAsia="et-EE"/>
        </w:rPr>
        <w:t>s viidatud probleem</w:t>
      </w:r>
      <w:r w:rsidR="001B2FBB" w:rsidRPr="00244FD3">
        <w:rPr>
          <w:lang w:val="et-EE" w:eastAsia="et-EE"/>
        </w:rPr>
        <w:t>kohad on</w:t>
      </w:r>
      <w:r w:rsidR="0076619D" w:rsidRPr="00244FD3">
        <w:rPr>
          <w:lang w:val="et-EE" w:eastAsia="et-EE"/>
        </w:rPr>
        <w:t xml:space="preserve"> komisjoni </w:t>
      </w:r>
      <w:r w:rsidR="00F63F84" w:rsidRPr="00244FD3">
        <w:rPr>
          <w:lang w:val="et-EE" w:eastAsia="et-EE"/>
        </w:rPr>
        <w:t xml:space="preserve">moodustamine </w:t>
      </w:r>
      <w:r w:rsidR="003D0CCC" w:rsidRPr="00244FD3">
        <w:rPr>
          <w:lang w:val="et-EE" w:eastAsia="et-EE"/>
        </w:rPr>
        <w:t>ja justiitsministeeriumi roll komisjoni töös</w:t>
      </w:r>
      <w:r w:rsidR="00F63F84" w:rsidRPr="00244FD3">
        <w:rPr>
          <w:lang w:val="et-EE" w:eastAsia="et-EE"/>
        </w:rPr>
        <w:t>.</w:t>
      </w:r>
      <w:r w:rsidR="003D0CCC" w:rsidRPr="00244FD3">
        <w:rPr>
          <w:lang w:val="et-EE" w:eastAsia="et-EE"/>
        </w:rPr>
        <w:t xml:space="preserve"> </w:t>
      </w:r>
    </w:p>
    <w:p w14:paraId="3214ADFA" w14:textId="77777777" w:rsidR="00667AB1" w:rsidRPr="00244FD3" w:rsidRDefault="00667AB1" w:rsidP="00EC3C35">
      <w:pPr>
        <w:jc w:val="both"/>
        <w:rPr>
          <w:lang w:val="et-EE" w:eastAsia="et-EE"/>
        </w:rPr>
      </w:pPr>
    </w:p>
    <w:p w14:paraId="11694025" w14:textId="77777777" w:rsidR="00667AB1" w:rsidRPr="00244FD3" w:rsidRDefault="003F2AC9" w:rsidP="00667AB1">
      <w:pPr>
        <w:jc w:val="both"/>
        <w:rPr>
          <w:lang w:val="et-EE" w:eastAsia="et-EE"/>
        </w:rPr>
      </w:pPr>
      <w:r w:rsidRPr="00244FD3">
        <w:rPr>
          <w:lang w:val="et-EE" w:eastAsia="et-EE"/>
        </w:rPr>
        <w:t xml:space="preserve">ENL on nõus, et nende probleemkohtade osas vajab regulatsioon muutmist. </w:t>
      </w:r>
      <w:r w:rsidR="00667AB1" w:rsidRPr="00244FD3">
        <w:rPr>
          <w:lang w:val="et-EE" w:eastAsia="et-EE"/>
        </w:rPr>
        <w:t xml:space="preserve">VTK lisas esitatud 10% kogutud erakopeerimise tasust arendus- ja koolitusprogrammide finantseerimiseks loodud taotlus- ja aruandevormid on ENL arvates selged ja piisavad. </w:t>
      </w:r>
    </w:p>
    <w:p w14:paraId="0DCE910E" w14:textId="77777777" w:rsidR="00667AB1" w:rsidRPr="00244FD3" w:rsidRDefault="00667AB1" w:rsidP="00667AB1">
      <w:pPr>
        <w:jc w:val="both"/>
        <w:rPr>
          <w:lang w:val="et-EE" w:eastAsia="et-EE"/>
        </w:rPr>
      </w:pPr>
    </w:p>
    <w:p w14:paraId="401D073A" w14:textId="04631FF0" w:rsidR="00F132D1" w:rsidRPr="00244FD3" w:rsidRDefault="00A82F9B" w:rsidP="0061040A">
      <w:pPr>
        <w:jc w:val="both"/>
        <w:rPr>
          <w:b/>
          <w:bCs/>
          <w:lang w:val="et-EE" w:eastAsia="et-EE"/>
        </w:rPr>
      </w:pPr>
      <w:r w:rsidRPr="00244FD3">
        <w:rPr>
          <w:b/>
          <w:bCs/>
          <w:lang w:val="et-EE" w:eastAsia="et-EE"/>
        </w:rPr>
        <w:t>Praeguse süsteemi nõrkustena näeme</w:t>
      </w:r>
      <w:r w:rsidR="003F2AC9" w:rsidRPr="00244FD3">
        <w:rPr>
          <w:b/>
          <w:bCs/>
          <w:lang w:val="et-EE" w:eastAsia="et-EE"/>
        </w:rPr>
        <w:t xml:space="preserve"> lisaks VTK-s toodule</w:t>
      </w:r>
      <w:r w:rsidRPr="00244FD3">
        <w:rPr>
          <w:b/>
          <w:bCs/>
          <w:lang w:val="et-EE" w:eastAsia="et-EE"/>
        </w:rPr>
        <w:t>:</w:t>
      </w:r>
    </w:p>
    <w:p w14:paraId="6948A9F3" w14:textId="0F472255" w:rsidR="001D00EB" w:rsidRPr="00244FD3" w:rsidRDefault="001D00EB" w:rsidP="00474616">
      <w:pPr>
        <w:pStyle w:val="Loendilik"/>
        <w:numPr>
          <w:ilvl w:val="0"/>
          <w:numId w:val="7"/>
        </w:numPr>
        <w:tabs>
          <w:tab w:val="left" w:pos="284"/>
        </w:tabs>
        <w:jc w:val="both"/>
        <w:rPr>
          <w:lang w:val="et-EE" w:eastAsia="et-EE"/>
        </w:rPr>
      </w:pPr>
      <w:r w:rsidRPr="00244FD3">
        <w:rPr>
          <w:lang w:val="et-EE" w:eastAsia="et-EE"/>
        </w:rPr>
        <w:t xml:space="preserve">Komisjoni </w:t>
      </w:r>
      <w:r w:rsidR="00022639" w:rsidRPr="00244FD3">
        <w:rPr>
          <w:lang w:val="et-EE" w:eastAsia="et-EE"/>
        </w:rPr>
        <w:t>töö periood</w:t>
      </w:r>
      <w:r w:rsidR="00EC3C35" w:rsidRPr="00244FD3">
        <w:rPr>
          <w:lang w:val="et-EE" w:eastAsia="et-EE"/>
        </w:rPr>
        <w:t>.</w:t>
      </w:r>
      <w:r w:rsidR="00022639" w:rsidRPr="00244FD3">
        <w:rPr>
          <w:lang w:val="et-EE" w:eastAsia="et-EE"/>
        </w:rPr>
        <w:t xml:space="preserve"> </w:t>
      </w:r>
      <w:r w:rsidR="00EC3C35" w:rsidRPr="00244FD3">
        <w:rPr>
          <w:lang w:val="et-EE" w:eastAsia="et-EE"/>
        </w:rPr>
        <w:t>K</w:t>
      </w:r>
      <w:r w:rsidR="00022639" w:rsidRPr="00244FD3">
        <w:rPr>
          <w:lang w:val="et-EE" w:eastAsia="et-EE"/>
        </w:rPr>
        <w:t>omisjon moodustatakse iga-aastaselt</w:t>
      </w:r>
      <w:r w:rsidR="002A7444" w:rsidRPr="00244FD3">
        <w:rPr>
          <w:lang w:val="et-EE" w:eastAsia="et-EE"/>
        </w:rPr>
        <w:t xml:space="preserve"> ning puudub järjepidevus</w:t>
      </w:r>
      <w:r w:rsidR="002A4368" w:rsidRPr="00244FD3">
        <w:rPr>
          <w:lang w:val="et-EE" w:eastAsia="et-EE"/>
        </w:rPr>
        <w:t xml:space="preserve"> </w:t>
      </w:r>
      <w:r w:rsidR="00EC3C35" w:rsidRPr="00244FD3">
        <w:rPr>
          <w:lang w:val="et-EE" w:eastAsia="et-EE"/>
        </w:rPr>
        <w:t xml:space="preserve">nii </w:t>
      </w:r>
      <w:r w:rsidR="002A4368" w:rsidRPr="00244FD3">
        <w:rPr>
          <w:lang w:val="et-EE" w:eastAsia="et-EE"/>
        </w:rPr>
        <w:t xml:space="preserve">komisjoni töös kui ka jaotuskava </w:t>
      </w:r>
      <w:r w:rsidR="00DC6692" w:rsidRPr="00244FD3">
        <w:rPr>
          <w:lang w:val="et-EE" w:eastAsia="et-EE"/>
        </w:rPr>
        <w:t>sisu</w:t>
      </w:r>
      <w:r w:rsidR="00EC3C35" w:rsidRPr="00244FD3">
        <w:rPr>
          <w:lang w:val="et-EE" w:eastAsia="et-EE"/>
        </w:rPr>
        <w:t>s.</w:t>
      </w:r>
      <w:r w:rsidR="00DC6692" w:rsidRPr="00244FD3">
        <w:rPr>
          <w:lang w:val="et-EE" w:eastAsia="et-EE"/>
        </w:rPr>
        <w:t xml:space="preserve"> </w:t>
      </w:r>
    </w:p>
    <w:p w14:paraId="72E1C9EA" w14:textId="33C97673" w:rsidR="00474616" w:rsidRPr="00244FD3" w:rsidRDefault="00A45627" w:rsidP="00474616">
      <w:pPr>
        <w:pStyle w:val="Loendilik"/>
        <w:numPr>
          <w:ilvl w:val="0"/>
          <w:numId w:val="7"/>
        </w:numPr>
        <w:tabs>
          <w:tab w:val="left" w:pos="284"/>
        </w:tabs>
        <w:jc w:val="both"/>
        <w:rPr>
          <w:lang w:val="et-EE" w:eastAsia="et-EE"/>
        </w:rPr>
      </w:pPr>
      <w:r w:rsidRPr="00244FD3">
        <w:rPr>
          <w:lang w:val="et-EE" w:eastAsia="et-EE"/>
        </w:rPr>
        <w:t>Häälte jagunemine komisjoni lii</w:t>
      </w:r>
      <w:r w:rsidR="002F1FFF" w:rsidRPr="00244FD3">
        <w:rPr>
          <w:lang w:val="et-EE" w:eastAsia="et-EE"/>
        </w:rPr>
        <w:t>k</w:t>
      </w:r>
      <w:r w:rsidRPr="00244FD3">
        <w:rPr>
          <w:lang w:val="et-EE" w:eastAsia="et-EE"/>
        </w:rPr>
        <w:t>mete vahel, kus ühel liikmel on kaks häält</w:t>
      </w:r>
      <w:r w:rsidR="00EC3C35" w:rsidRPr="00244FD3">
        <w:rPr>
          <w:lang w:val="et-EE" w:eastAsia="et-EE"/>
        </w:rPr>
        <w:t xml:space="preserve"> ja ülejäänudtel üks hääl</w:t>
      </w:r>
      <w:r w:rsidR="00EC1711" w:rsidRPr="00244FD3">
        <w:rPr>
          <w:lang w:val="et-EE" w:eastAsia="et-EE"/>
        </w:rPr>
        <w:t xml:space="preserve">, </w:t>
      </w:r>
      <w:r w:rsidR="000366E6" w:rsidRPr="00244FD3">
        <w:rPr>
          <w:lang w:val="et-EE" w:eastAsia="et-EE"/>
        </w:rPr>
        <w:t>nullib</w:t>
      </w:r>
      <w:r w:rsidR="00EC1711" w:rsidRPr="00244FD3">
        <w:rPr>
          <w:lang w:val="et-EE" w:eastAsia="et-EE"/>
        </w:rPr>
        <w:t xml:space="preserve"> proportsionaalsuse põhimõtte </w:t>
      </w:r>
      <w:r w:rsidR="000366E6" w:rsidRPr="00244FD3">
        <w:rPr>
          <w:lang w:val="et-EE" w:eastAsia="et-EE"/>
        </w:rPr>
        <w:t xml:space="preserve">kollektiivse esindamise organisatsioonide vahel. </w:t>
      </w:r>
    </w:p>
    <w:p w14:paraId="068D36BD" w14:textId="77777777" w:rsidR="00474616" w:rsidRPr="00244FD3" w:rsidRDefault="00A45627" w:rsidP="00474616">
      <w:pPr>
        <w:pStyle w:val="Loendilik"/>
        <w:numPr>
          <w:ilvl w:val="0"/>
          <w:numId w:val="7"/>
        </w:numPr>
        <w:tabs>
          <w:tab w:val="left" w:pos="284"/>
        </w:tabs>
        <w:jc w:val="both"/>
        <w:rPr>
          <w:lang w:val="et-EE" w:eastAsia="et-EE"/>
        </w:rPr>
      </w:pPr>
      <w:r w:rsidRPr="00244FD3">
        <w:rPr>
          <w:lang w:val="et-EE" w:eastAsia="et-EE"/>
        </w:rPr>
        <w:t xml:space="preserve">Lihthäälteenamusega tekkiv jaotuskava, kus hääletavad õiguste omajaid esindavad </w:t>
      </w:r>
      <w:proofErr w:type="spellStart"/>
      <w:r w:rsidRPr="00244FD3">
        <w:rPr>
          <w:lang w:val="et-EE" w:eastAsia="et-EE"/>
        </w:rPr>
        <w:t>KEO-d</w:t>
      </w:r>
      <w:proofErr w:type="spellEnd"/>
      <w:r w:rsidRPr="00244FD3">
        <w:rPr>
          <w:lang w:val="et-EE" w:eastAsia="et-EE"/>
        </w:rPr>
        <w:t xml:space="preserve">. </w:t>
      </w:r>
    </w:p>
    <w:p w14:paraId="550FF28B" w14:textId="0882AC7E" w:rsidR="00F132D1" w:rsidRPr="00244FD3" w:rsidRDefault="00A82F9B" w:rsidP="00474616">
      <w:pPr>
        <w:pStyle w:val="Loendilik"/>
        <w:numPr>
          <w:ilvl w:val="0"/>
          <w:numId w:val="7"/>
        </w:numPr>
        <w:tabs>
          <w:tab w:val="left" w:pos="284"/>
        </w:tabs>
        <w:jc w:val="both"/>
        <w:rPr>
          <w:lang w:val="et-EE" w:eastAsia="et-EE"/>
        </w:rPr>
      </w:pPr>
      <w:r w:rsidRPr="00244FD3">
        <w:rPr>
          <w:lang w:val="et-EE" w:eastAsia="et-EE"/>
        </w:rPr>
        <w:t>Jaotuskava koostamise periood</w:t>
      </w:r>
      <w:r w:rsidR="00C83B6E" w:rsidRPr="00244FD3">
        <w:rPr>
          <w:lang w:val="et-EE" w:eastAsia="et-EE"/>
        </w:rPr>
        <w:t xml:space="preserve">, kus olukorras, </w:t>
      </w:r>
      <w:r w:rsidRPr="00244FD3">
        <w:rPr>
          <w:lang w:val="et-EE" w:eastAsia="et-EE"/>
        </w:rPr>
        <w:t xml:space="preserve">kus </w:t>
      </w:r>
      <w:r w:rsidR="00C83B6E" w:rsidRPr="00244FD3">
        <w:rPr>
          <w:lang w:val="et-EE" w:eastAsia="et-EE"/>
        </w:rPr>
        <w:t xml:space="preserve">komisjon </w:t>
      </w:r>
      <w:r w:rsidR="001D00EB" w:rsidRPr="00244FD3">
        <w:rPr>
          <w:lang w:val="et-EE" w:eastAsia="et-EE"/>
        </w:rPr>
        <w:t xml:space="preserve">luuakse aastaks, </w:t>
      </w:r>
      <w:r w:rsidRPr="00244FD3">
        <w:rPr>
          <w:lang w:val="et-EE" w:eastAsia="et-EE"/>
        </w:rPr>
        <w:t>jaotuse alused puuduva</w:t>
      </w:r>
      <w:r w:rsidR="00CE167A" w:rsidRPr="00244FD3">
        <w:rPr>
          <w:lang w:val="et-EE" w:eastAsia="et-EE"/>
        </w:rPr>
        <w:t xml:space="preserve">d, </w:t>
      </w:r>
      <w:r w:rsidRPr="00244FD3">
        <w:rPr>
          <w:lang w:val="et-EE" w:eastAsia="et-EE"/>
        </w:rPr>
        <w:t xml:space="preserve">jaotuskava tuleb igakordselt luua ning märtsi lõpuks kinnitada, on </w:t>
      </w:r>
      <w:r w:rsidR="00B045DE" w:rsidRPr="00244FD3">
        <w:rPr>
          <w:lang w:val="et-EE" w:eastAsia="et-EE"/>
        </w:rPr>
        <w:t xml:space="preserve">see aeg </w:t>
      </w:r>
      <w:r w:rsidRPr="00244FD3">
        <w:rPr>
          <w:lang w:val="et-EE" w:eastAsia="et-EE"/>
        </w:rPr>
        <w:t>ilmselgelt liiga lühike</w:t>
      </w:r>
      <w:r w:rsidR="00F132D1" w:rsidRPr="00244FD3">
        <w:rPr>
          <w:lang w:val="et-EE" w:eastAsia="et-EE"/>
        </w:rPr>
        <w:t xml:space="preserve">. </w:t>
      </w:r>
    </w:p>
    <w:p w14:paraId="1CCD6354" w14:textId="77777777" w:rsidR="00F132D1" w:rsidRPr="00244FD3" w:rsidRDefault="00F132D1" w:rsidP="002F1FFF">
      <w:pPr>
        <w:tabs>
          <w:tab w:val="left" w:pos="284"/>
        </w:tabs>
        <w:ind w:hanging="720"/>
        <w:jc w:val="both"/>
        <w:rPr>
          <w:lang w:val="et-EE" w:eastAsia="et-EE"/>
        </w:rPr>
      </w:pPr>
    </w:p>
    <w:p w14:paraId="57783B31" w14:textId="10EC9804" w:rsidR="00232F6E" w:rsidRPr="00244FD3" w:rsidRDefault="00A82F9B" w:rsidP="002F1FFF">
      <w:pPr>
        <w:tabs>
          <w:tab w:val="left" w:pos="284"/>
        </w:tabs>
        <w:jc w:val="both"/>
        <w:rPr>
          <w:lang w:val="et-EE" w:eastAsia="et-EE"/>
        </w:rPr>
      </w:pPr>
      <w:r w:rsidRPr="00244FD3">
        <w:rPr>
          <w:lang w:val="et-EE" w:eastAsia="et-EE"/>
        </w:rPr>
        <w:lastRenderedPageBreak/>
        <w:t>Nagu uuringus</w:t>
      </w:r>
      <w:r w:rsidR="00AA3577" w:rsidRPr="00244FD3">
        <w:rPr>
          <w:rStyle w:val="Allmrkuseviide"/>
          <w:lang w:val="et-EE" w:eastAsia="et-EE"/>
        </w:rPr>
        <w:footnoteReference w:id="1"/>
      </w:r>
      <w:r w:rsidRPr="00244FD3">
        <w:rPr>
          <w:lang w:val="et-EE" w:eastAsia="et-EE"/>
        </w:rPr>
        <w:t xml:space="preserve"> viidatud, võiks nõustuda, et teoreetiliselt peaks kõige vähem hilisemaid vaidlusi tekitama mudel, kus jaotuse protsendimäärad pannakse paika õiguspoliitilise otsusega</w:t>
      </w:r>
      <w:r w:rsidR="00232F6E" w:rsidRPr="00244FD3">
        <w:rPr>
          <w:lang w:val="et-EE" w:eastAsia="et-EE"/>
        </w:rPr>
        <w:t xml:space="preserve"> seaduse tasandil</w:t>
      </w:r>
      <w:r w:rsidRPr="00244FD3">
        <w:rPr>
          <w:lang w:val="et-EE" w:eastAsia="et-EE"/>
        </w:rPr>
        <w:t xml:space="preserve">. Sellisel juhul ei oma tähtsust ka see, kes selle jaotuskava kinnitab, sest kinnitamine on tehniline protsess. </w:t>
      </w:r>
    </w:p>
    <w:p w14:paraId="491AF5CA" w14:textId="77777777" w:rsidR="00232F6E" w:rsidRPr="00244FD3" w:rsidRDefault="00232F6E" w:rsidP="002F1FFF">
      <w:pPr>
        <w:tabs>
          <w:tab w:val="left" w:pos="284"/>
        </w:tabs>
        <w:jc w:val="both"/>
        <w:rPr>
          <w:lang w:val="et-EE" w:eastAsia="et-EE"/>
        </w:rPr>
      </w:pPr>
    </w:p>
    <w:p w14:paraId="0826E72D" w14:textId="74BFB3C1" w:rsidR="00A82F9B" w:rsidRPr="00244FD3" w:rsidRDefault="00232F6E" w:rsidP="002F1FFF">
      <w:pPr>
        <w:tabs>
          <w:tab w:val="left" w:pos="284"/>
        </w:tabs>
        <w:jc w:val="both"/>
        <w:rPr>
          <w:lang w:val="et-EE" w:eastAsia="et-EE"/>
        </w:rPr>
      </w:pPr>
      <w:r w:rsidRPr="00244FD3">
        <w:rPr>
          <w:lang w:val="et-EE" w:eastAsia="et-EE"/>
        </w:rPr>
        <w:t xml:space="preserve">Igal juhul </w:t>
      </w:r>
      <w:r w:rsidRPr="00244FD3">
        <w:rPr>
          <w:b/>
          <w:bCs/>
          <w:lang w:val="et-EE" w:eastAsia="et-EE"/>
        </w:rPr>
        <w:t>m</w:t>
      </w:r>
      <w:r w:rsidR="00A82F9B" w:rsidRPr="00244FD3">
        <w:rPr>
          <w:b/>
          <w:bCs/>
          <w:lang w:val="et-EE" w:eastAsia="et-EE"/>
        </w:rPr>
        <w:t xml:space="preserve">udel, kus tasu otsustavad õiguste omajad läbi oma </w:t>
      </w:r>
      <w:r w:rsidR="00DE71C7" w:rsidRPr="00244FD3">
        <w:rPr>
          <w:b/>
          <w:bCs/>
          <w:lang w:val="et-EE" w:eastAsia="et-EE"/>
        </w:rPr>
        <w:t>esi</w:t>
      </w:r>
      <w:r w:rsidR="003327CE" w:rsidRPr="00244FD3">
        <w:rPr>
          <w:b/>
          <w:bCs/>
          <w:lang w:val="et-EE" w:eastAsia="et-EE"/>
        </w:rPr>
        <w:t>ndus</w:t>
      </w:r>
      <w:r w:rsidR="00DE71C7" w:rsidRPr="00244FD3">
        <w:rPr>
          <w:b/>
          <w:bCs/>
          <w:lang w:val="et-EE" w:eastAsia="et-EE"/>
        </w:rPr>
        <w:t>organisat</w:t>
      </w:r>
      <w:r w:rsidR="003327CE" w:rsidRPr="00244FD3">
        <w:rPr>
          <w:b/>
          <w:bCs/>
          <w:lang w:val="et-EE" w:eastAsia="et-EE"/>
        </w:rPr>
        <w:t>s</w:t>
      </w:r>
      <w:r w:rsidR="00DE71C7" w:rsidRPr="00244FD3">
        <w:rPr>
          <w:b/>
          <w:bCs/>
          <w:lang w:val="et-EE" w:eastAsia="et-EE"/>
        </w:rPr>
        <w:t>iooni</w:t>
      </w:r>
      <w:r w:rsidR="00A82F9B" w:rsidRPr="00244FD3">
        <w:rPr>
          <w:b/>
          <w:bCs/>
          <w:lang w:val="et-EE" w:eastAsia="et-EE"/>
        </w:rPr>
        <w:t xml:space="preserve"> ning </w:t>
      </w:r>
      <w:r w:rsidR="003327CE" w:rsidRPr="00244FD3">
        <w:rPr>
          <w:b/>
          <w:bCs/>
          <w:lang w:val="et-EE" w:eastAsia="et-EE"/>
        </w:rPr>
        <w:t xml:space="preserve">justiitsministeerium </w:t>
      </w:r>
      <w:r w:rsidR="00A82F9B" w:rsidRPr="00244FD3">
        <w:rPr>
          <w:b/>
          <w:bCs/>
          <w:lang w:val="et-EE" w:eastAsia="et-EE"/>
        </w:rPr>
        <w:t>jääb otsuse</w:t>
      </w:r>
      <w:r w:rsidR="003327CE" w:rsidRPr="00244FD3">
        <w:rPr>
          <w:b/>
          <w:bCs/>
          <w:lang w:val="et-EE" w:eastAsia="et-EE"/>
        </w:rPr>
        <w:t xml:space="preserve"> vormiliseks </w:t>
      </w:r>
      <w:r w:rsidR="00A82F9B" w:rsidRPr="00244FD3">
        <w:rPr>
          <w:b/>
          <w:bCs/>
          <w:lang w:val="et-EE" w:eastAsia="et-EE"/>
        </w:rPr>
        <w:t xml:space="preserve">kinnitajaks, ei ole kõige </w:t>
      </w:r>
      <w:r w:rsidR="00AA3577" w:rsidRPr="00244FD3">
        <w:rPr>
          <w:b/>
          <w:bCs/>
          <w:lang w:val="et-EE" w:eastAsia="et-EE"/>
        </w:rPr>
        <w:t>jätkusuutlikum</w:t>
      </w:r>
      <w:r w:rsidR="00A82F9B" w:rsidRPr="00244FD3">
        <w:rPr>
          <w:b/>
          <w:bCs/>
          <w:lang w:val="et-EE" w:eastAsia="et-EE"/>
        </w:rPr>
        <w:t xml:space="preserve"> lahendus</w:t>
      </w:r>
      <w:r w:rsidR="003327CE" w:rsidRPr="00244FD3">
        <w:rPr>
          <w:lang w:val="et-EE" w:eastAsia="et-EE"/>
        </w:rPr>
        <w:t xml:space="preserve">. </w:t>
      </w:r>
      <w:r w:rsidRPr="00244FD3">
        <w:rPr>
          <w:lang w:val="et-EE" w:eastAsia="et-EE"/>
        </w:rPr>
        <w:t xml:space="preserve">Meie senine praktika kinnitab seda kahjuks. </w:t>
      </w:r>
    </w:p>
    <w:p w14:paraId="3B5D27C1" w14:textId="77777777" w:rsidR="00534D7E" w:rsidRPr="00244FD3" w:rsidRDefault="00534D7E" w:rsidP="002F1FFF">
      <w:pPr>
        <w:tabs>
          <w:tab w:val="left" w:pos="284"/>
        </w:tabs>
        <w:jc w:val="both"/>
        <w:rPr>
          <w:lang w:val="et-EE" w:eastAsia="et-EE"/>
        </w:rPr>
      </w:pPr>
    </w:p>
    <w:p w14:paraId="2D2DC0A2" w14:textId="351E246A" w:rsidR="00442079" w:rsidRPr="00244FD3" w:rsidRDefault="00256E1D" w:rsidP="00442079">
      <w:pPr>
        <w:jc w:val="both"/>
        <w:rPr>
          <w:lang w:val="et-EE"/>
        </w:rPr>
      </w:pPr>
      <w:r w:rsidRPr="00244FD3">
        <w:rPr>
          <w:lang w:val="et-EE" w:eastAsia="et-EE"/>
        </w:rPr>
        <w:t xml:space="preserve">Komisjoni </w:t>
      </w:r>
      <w:r w:rsidR="00544574" w:rsidRPr="00244FD3">
        <w:rPr>
          <w:lang w:val="et-EE" w:eastAsia="et-EE"/>
        </w:rPr>
        <w:t xml:space="preserve">koosseisu ei saa vaadata lahus </w:t>
      </w:r>
      <w:r w:rsidR="009A78B7" w:rsidRPr="00244FD3">
        <w:rPr>
          <w:lang w:val="et-EE" w:eastAsia="et-EE"/>
        </w:rPr>
        <w:t xml:space="preserve">jaotuskava tekkimisest. Kui </w:t>
      </w:r>
      <w:r w:rsidR="00A82F9B" w:rsidRPr="00244FD3">
        <w:rPr>
          <w:lang w:val="et-EE" w:eastAsia="et-EE"/>
        </w:rPr>
        <w:t xml:space="preserve">lõplik jaotuskava lepitaks kokku </w:t>
      </w:r>
      <w:r w:rsidR="00837CC6" w:rsidRPr="00244FD3">
        <w:rPr>
          <w:lang w:val="et-EE" w:eastAsia="et-EE"/>
        </w:rPr>
        <w:t xml:space="preserve">kollektiivse esindamise organisatsioonide </w:t>
      </w:r>
      <w:r w:rsidR="009344EE" w:rsidRPr="00244FD3">
        <w:rPr>
          <w:lang w:val="et-EE" w:eastAsia="et-EE"/>
        </w:rPr>
        <w:t xml:space="preserve">esindajatest koosnevas komisjonis, </w:t>
      </w:r>
      <w:r w:rsidR="00A82F9B" w:rsidRPr="00244FD3">
        <w:rPr>
          <w:lang w:val="et-EE" w:eastAsia="et-EE"/>
        </w:rPr>
        <w:t xml:space="preserve"> pea</w:t>
      </w:r>
      <w:r w:rsidR="00734C3E" w:rsidRPr="00244FD3">
        <w:rPr>
          <w:lang w:val="et-EE" w:eastAsia="et-EE"/>
        </w:rPr>
        <w:t>vad</w:t>
      </w:r>
      <w:r w:rsidR="00A82F9B" w:rsidRPr="00244FD3">
        <w:rPr>
          <w:lang w:val="et-EE" w:eastAsia="et-EE"/>
        </w:rPr>
        <w:t xml:space="preserve"> jaotusmudel</w:t>
      </w:r>
      <w:r w:rsidR="00734C3E" w:rsidRPr="00244FD3">
        <w:rPr>
          <w:lang w:val="et-EE" w:eastAsia="et-EE"/>
        </w:rPr>
        <w:t>i kriteeriumid</w:t>
      </w:r>
      <w:r w:rsidR="00A82F9B" w:rsidRPr="00244FD3">
        <w:rPr>
          <w:lang w:val="et-EE" w:eastAsia="et-EE"/>
        </w:rPr>
        <w:t xml:space="preserve"> </w:t>
      </w:r>
      <w:r w:rsidR="00734C3E" w:rsidRPr="00244FD3">
        <w:rPr>
          <w:lang w:val="et-EE" w:eastAsia="et-EE"/>
        </w:rPr>
        <w:t xml:space="preserve">olema </w:t>
      </w:r>
      <w:r w:rsidR="00A82F9B" w:rsidRPr="00244FD3">
        <w:rPr>
          <w:lang w:val="et-EE" w:eastAsia="et-EE"/>
        </w:rPr>
        <w:t>selge</w:t>
      </w:r>
      <w:r w:rsidR="00734C3E" w:rsidRPr="00244FD3">
        <w:rPr>
          <w:lang w:val="et-EE" w:eastAsia="et-EE"/>
        </w:rPr>
        <w:t>d</w:t>
      </w:r>
      <w:r w:rsidR="00A82F9B" w:rsidRPr="00244FD3">
        <w:rPr>
          <w:lang w:val="et-EE" w:eastAsia="et-EE"/>
        </w:rPr>
        <w:t xml:space="preserve"> ja </w:t>
      </w:r>
      <w:r w:rsidR="00734C3E" w:rsidRPr="00244FD3">
        <w:rPr>
          <w:lang w:val="et-EE" w:eastAsia="et-EE"/>
        </w:rPr>
        <w:t>üheselt tõlgendatavad.</w:t>
      </w:r>
      <w:r w:rsidR="00A82F9B" w:rsidRPr="00244FD3">
        <w:rPr>
          <w:lang w:val="et-EE" w:eastAsia="et-EE"/>
        </w:rPr>
        <w:t xml:space="preserve"> </w:t>
      </w:r>
      <w:r w:rsidR="00734C3E" w:rsidRPr="00244FD3">
        <w:rPr>
          <w:lang w:val="et-EE" w:eastAsia="et-EE"/>
        </w:rPr>
        <w:t>M</w:t>
      </w:r>
      <w:r w:rsidR="00A82F9B" w:rsidRPr="00244FD3">
        <w:rPr>
          <w:lang w:val="et-EE" w:eastAsia="et-EE"/>
        </w:rPr>
        <w:t>udeli loomisel peavad osalema sõltumatud asjatundjad</w:t>
      </w:r>
      <w:r w:rsidR="00C8503F" w:rsidRPr="00244FD3">
        <w:rPr>
          <w:lang w:val="et-EE" w:eastAsia="et-EE"/>
        </w:rPr>
        <w:t xml:space="preserve"> ning sellisel juhul poleks vaja neid kaasata komisjoni koos</w:t>
      </w:r>
      <w:r w:rsidR="00334B5D" w:rsidRPr="00244FD3">
        <w:rPr>
          <w:lang w:val="et-EE" w:eastAsia="et-EE"/>
        </w:rPr>
        <w:t>seis</w:t>
      </w:r>
      <w:r w:rsidR="009A78B7" w:rsidRPr="00244FD3">
        <w:rPr>
          <w:lang w:val="et-EE" w:eastAsia="et-EE"/>
        </w:rPr>
        <w:t>u ning k</w:t>
      </w:r>
      <w:r w:rsidR="00334B5D" w:rsidRPr="00244FD3">
        <w:rPr>
          <w:lang w:val="et-EE"/>
        </w:rPr>
        <w:t xml:space="preserve">omisjon </w:t>
      </w:r>
      <w:r w:rsidRPr="00244FD3">
        <w:rPr>
          <w:lang w:val="et-EE"/>
        </w:rPr>
        <w:t xml:space="preserve">saaks </w:t>
      </w:r>
      <w:r w:rsidR="00334B5D" w:rsidRPr="00244FD3">
        <w:rPr>
          <w:lang w:val="et-EE"/>
        </w:rPr>
        <w:t>koosneda võrdselt kollektiivse esindamise organisatsioonide esindajatest</w:t>
      </w:r>
      <w:r w:rsidR="009A78B7" w:rsidRPr="00244FD3">
        <w:rPr>
          <w:lang w:val="et-EE"/>
        </w:rPr>
        <w:t xml:space="preserve">. </w:t>
      </w:r>
      <w:r w:rsidR="00FE14D8" w:rsidRPr="00244FD3">
        <w:rPr>
          <w:lang w:val="et-EE"/>
        </w:rPr>
        <w:t xml:space="preserve">ENL arvates ei ole mõistlik kaasata komisjoni koosseisu õiguste omajate väliseid isikuid, nt ITL või advokatuuri liikmeid. </w:t>
      </w:r>
    </w:p>
    <w:p w14:paraId="794C40C3" w14:textId="77777777" w:rsidR="00442079" w:rsidRPr="00244FD3" w:rsidRDefault="00442079" w:rsidP="00442079">
      <w:pPr>
        <w:jc w:val="both"/>
        <w:rPr>
          <w:lang w:val="et-EE"/>
        </w:rPr>
      </w:pPr>
    </w:p>
    <w:p w14:paraId="0AAAC2EF" w14:textId="596E4180" w:rsidR="00C123F5" w:rsidRPr="00244FD3" w:rsidRDefault="00C123F5" w:rsidP="00C123F5">
      <w:pPr>
        <w:jc w:val="both"/>
        <w:rPr>
          <w:lang w:val="et-EE" w:eastAsia="et-EE"/>
        </w:rPr>
      </w:pPr>
      <w:r w:rsidRPr="00244FD3">
        <w:rPr>
          <w:lang w:val="et-EE" w:eastAsia="et-EE"/>
        </w:rPr>
        <w:t xml:space="preserve">Lisaks teeb ENL ettepaneku </w:t>
      </w:r>
      <w:r w:rsidRPr="00244FD3">
        <w:rPr>
          <w:b/>
          <w:lang w:val="et-EE" w:eastAsia="et-EE"/>
        </w:rPr>
        <w:t xml:space="preserve">õigusselguse huvides täiendada </w:t>
      </w:r>
      <w:proofErr w:type="spellStart"/>
      <w:r w:rsidRPr="00244FD3">
        <w:rPr>
          <w:b/>
          <w:lang w:val="et-EE" w:eastAsia="et-EE"/>
        </w:rPr>
        <w:t>AutÕS</w:t>
      </w:r>
      <w:proofErr w:type="spellEnd"/>
      <w:r w:rsidRPr="00244FD3">
        <w:rPr>
          <w:b/>
          <w:lang w:val="et-EE" w:eastAsia="et-EE"/>
        </w:rPr>
        <w:t xml:space="preserve"> regulatsiooni ja täpsustada komisjoni ja selle otsuste õiguslikku olemust.</w:t>
      </w:r>
      <w:r w:rsidRPr="00244FD3">
        <w:rPr>
          <w:lang w:val="et-EE" w:eastAsia="et-EE"/>
        </w:rPr>
        <w:t xml:space="preserve"> Need küsimused on praktikas põhjustanud vaidlusi. Komisjon tegutseb nii kehtiva regulatsiooni kui ka VTK-s pakutud alternatiivide korral avalik-õiguslikus suhtes, sest sellise komisjoni kaudu täidab Eesti infoühiskonna direktiivist tuleneva kohustuse saavutada õiguste omajatele õiglase hüvitise sissenõudmine. Kehtiva regulatsiooni tähenduses on komisjoni otsustel eelhaldusakti olemus. VTK-s pakutava regulatsiooni täienduses võib komisjoni otsustel olla kas eelhaldusakti või lõpliku haldusakti tähendus sõltuvalt alternatiivist.  </w:t>
      </w:r>
    </w:p>
    <w:p w14:paraId="395B5118" w14:textId="77777777" w:rsidR="00933D8A" w:rsidRPr="00244FD3" w:rsidRDefault="00933D8A" w:rsidP="00C123F5">
      <w:pPr>
        <w:jc w:val="both"/>
        <w:rPr>
          <w:lang w:val="et-EE" w:eastAsia="et-EE"/>
        </w:rPr>
      </w:pPr>
    </w:p>
    <w:p w14:paraId="3BA66755" w14:textId="4FCD0A6B" w:rsidR="00D074C4" w:rsidRPr="00244FD3" w:rsidRDefault="00D074C4" w:rsidP="00AE6555">
      <w:pPr>
        <w:pStyle w:val="Loendilik"/>
        <w:numPr>
          <w:ilvl w:val="0"/>
          <w:numId w:val="4"/>
        </w:numPr>
        <w:ind w:left="709" w:hanging="709"/>
        <w:jc w:val="both"/>
        <w:rPr>
          <w:b/>
          <w:bCs/>
          <w:lang w:val="et-EE" w:eastAsia="et-EE"/>
        </w:rPr>
      </w:pPr>
      <w:r w:rsidRPr="00244FD3">
        <w:rPr>
          <w:b/>
          <w:bCs/>
          <w:lang w:val="et-EE" w:eastAsia="et-EE"/>
        </w:rPr>
        <w:t xml:space="preserve">Blokeerimismeede </w:t>
      </w:r>
    </w:p>
    <w:p w14:paraId="7D51CF45" w14:textId="17A69943" w:rsidR="00A81B9C" w:rsidRPr="00244FD3" w:rsidRDefault="00A81B9C" w:rsidP="002D0161">
      <w:pPr>
        <w:jc w:val="both"/>
        <w:rPr>
          <w:lang w:val="et-EE" w:eastAsia="et-EE"/>
        </w:rPr>
      </w:pPr>
    </w:p>
    <w:p w14:paraId="6D526C10" w14:textId="1635C40A" w:rsidR="002D0161" w:rsidRPr="00244FD3" w:rsidRDefault="00956696" w:rsidP="00933D8A">
      <w:pPr>
        <w:jc w:val="both"/>
        <w:rPr>
          <w:lang w:val="et-EE" w:eastAsia="et-EE"/>
        </w:rPr>
      </w:pPr>
      <w:r w:rsidRPr="00244FD3">
        <w:rPr>
          <w:b/>
          <w:bCs/>
          <w:lang w:val="et-EE" w:eastAsia="et-EE"/>
        </w:rPr>
        <w:t>ENL nõustub Justiitsministeer</w:t>
      </w:r>
      <w:r w:rsidR="000156B7" w:rsidRPr="00244FD3">
        <w:rPr>
          <w:b/>
          <w:bCs/>
          <w:lang w:val="et-EE" w:eastAsia="et-EE"/>
        </w:rPr>
        <w:t>i</w:t>
      </w:r>
      <w:r w:rsidRPr="00244FD3">
        <w:rPr>
          <w:b/>
          <w:bCs/>
          <w:lang w:val="et-EE" w:eastAsia="et-EE"/>
        </w:rPr>
        <w:t>umi välja pakutud blokeerimismeetmete rakendamisega</w:t>
      </w:r>
      <w:r w:rsidRPr="00244FD3">
        <w:rPr>
          <w:lang w:val="et-EE" w:eastAsia="et-EE"/>
        </w:rPr>
        <w:t xml:space="preserve">. Õiguste omajatele täiendavate kaitsevahendite võimaldamine muudab meie õiguskorda paremaks ja suurendab kaitset intellektuaalomandiõiguste rikkumiste vastu. </w:t>
      </w:r>
    </w:p>
    <w:p w14:paraId="783DC3A4" w14:textId="77777777" w:rsidR="00933D8A" w:rsidRPr="00244FD3" w:rsidRDefault="00933D8A" w:rsidP="00933D8A">
      <w:pPr>
        <w:jc w:val="both"/>
        <w:rPr>
          <w:lang w:val="et-EE" w:eastAsia="et-EE"/>
        </w:rPr>
      </w:pPr>
    </w:p>
    <w:p w14:paraId="6BF3D446" w14:textId="74A8A4FB" w:rsidR="0061040A" w:rsidRPr="00244FD3" w:rsidRDefault="00A82F9B" w:rsidP="0061040A">
      <w:pPr>
        <w:jc w:val="both"/>
        <w:rPr>
          <w:b/>
          <w:bCs/>
          <w:lang w:val="et-EE" w:eastAsia="et-EE"/>
        </w:rPr>
      </w:pPr>
      <w:r w:rsidRPr="00244FD3">
        <w:rPr>
          <w:b/>
          <w:bCs/>
          <w:lang w:val="et-EE" w:eastAsia="et-EE"/>
        </w:rPr>
        <w:t>3.</w:t>
      </w:r>
      <w:r w:rsidRPr="00244FD3">
        <w:rPr>
          <w:b/>
          <w:bCs/>
          <w:lang w:val="et-EE" w:eastAsia="et-EE"/>
        </w:rPr>
        <w:tab/>
      </w:r>
      <w:r w:rsidR="0061040A" w:rsidRPr="00244FD3">
        <w:rPr>
          <w:b/>
          <w:bCs/>
          <w:lang w:val="et-EE" w:eastAsia="et-EE"/>
        </w:rPr>
        <w:t>Autori</w:t>
      </w:r>
      <w:r w:rsidR="00A05EDE" w:rsidRPr="00244FD3">
        <w:rPr>
          <w:b/>
          <w:bCs/>
          <w:lang w:val="et-EE" w:eastAsia="et-EE"/>
        </w:rPr>
        <w:t>õiguse komisjon</w:t>
      </w:r>
    </w:p>
    <w:p w14:paraId="5D5701E1" w14:textId="77777777" w:rsidR="0061040A" w:rsidRPr="00244FD3" w:rsidRDefault="0061040A" w:rsidP="0061040A">
      <w:pPr>
        <w:jc w:val="both"/>
        <w:rPr>
          <w:lang w:val="et-EE" w:eastAsia="et-EE"/>
        </w:rPr>
      </w:pPr>
    </w:p>
    <w:p w14:paraId="46DB0ABF" w14:textId="32E83C3E" w:rsidR="006522A4" w:rsidRPr="00244FD3" w:rsidRDefault="00B21A52" w:rsidP="0061040A">
      <w:pPr>
        <w:jc w:val="both"/>
        <w:rPr>
          <w:lang w:val="et-EE" w:eastAsia="et-EE"/>
        </w:rPr>
      </w:pPr>
      <w:r w:rsidRPr="00244FD3">
        <w:rPr>
          <w:b/>
          <w:bCs/>
          <w:lang w:val="et-EE" w:eastAsia="et-EE"/>
        </w:rPr>
        <w:t>ENL nõustub VTK-s välja toodud probleemidega autoriõiguse komisjoni kohta</w:t>
      </w:r>
      <w:r w:rsidRPr="00244FD3">
        <w:rPr>
          <w:lang w:val="et-EE" w:eastAsia="et-EE"/>
        </w:rPr>
        <w:t xml:space="preserve">. Tegemist on kahjuks vähetoimiva </w:t>
      </w:r>
      <w:r w:rsidR="004C6676" w:rsidRPr="00244FD3">
        <w:rPr>
          <w:lang w:val="et-EE" w:eastAsia="et-EE"/>
        </w:rPr>
        <w:t xml:space="preserve">illusoorse </w:t>
      </w:r>
      <w:r w:rsidRPr="00244FD3">
        <w:rPr>
          <w:lang w:val="et-EE" w:eastAsia="et-EE"/>
        </w:rPr>
        <w:t xml:space="preserve">vaidluste lahendamise foorumiga. See kahjustab Eesti riigi eesmärki tagada toimiv ja tõhus kaitse intellektuaalomandi valdkonnas. </w:t>
      </w:r>
    </w:p>
    <w:p w14:paraId="6E73BD82" w14:textId="77777777" w:rsidR="006522A4" w:rsidRPr="00244FD3" w:rsidRDefault="006522A4" w:rsidP="0061040A">
      <w:pPr>
        <w:jc w:val="both"/>
        <w:rPr>
          <w:lang w:val="et-EE" w:eastAsia="et-EE"/>
        </w:rPr>
      </w:pPr>
    </w:p>
    <w:p w14:paraId="25DDDA7A" w14:textId="40A0168E" w:rsidR="00897211" w:rsidRPr="00244FD3" w:rsidRDefault="006522A4" w:rsidP="0061040A">
      <w:pPr>
        <w:jc w:val="both"/>
        <w:rPr>
          <w:lang w:val="et-EE" w:eastAsia="et-EE"/>
        </w:rPr>
      </w:pPr>
      <w:r w:rsidRPr="00244FD3">
        <w:rPr>
          <w:b/>
          <w:bCs/>
          <w:lang w:val="et-EE" w:eastAsia="et-EE"/>
        </w:rPr>
        <w:t>Ettepanek:</w:t>
      </w:r>
      <w:r w:rsidRPr="00244FD3">
        <w:rPr>
          <w:lang w:val="et-EE" w:eastAsia="et-EE"/>
        </w:rPr>
        <w:t xml:space="preserve"> </w:t>
      </w:r>
      <w:r w:rsidR="00A82F9B" w:rsidRPr="00244FD3">
        <w:rPr>
          <w:lang w:val="et-EE" w:eastAsia="et-EE"/>
        </w:rPr>
        <w:t xml:space="preserve">Autoriõiguse komisjoni töö (ümber)korralduses soovime näha mudelit, kus komisjon </w:t>
      </w:r>
      <w:r w:rsidR="004C6676" w:rsidRPr="00244FD3">
        <w:rPr>
          <w:lang w:val="et-EE" w:eastAsia="et-EE"/>
        </w:rPr>
        <w:t xml:space="preserve">tegutseks kohtumenetluse põhimõtetel sõltumatu kohtueelse vaidlusorganina, mis alustab </w:t>
      </w:r>
      <w:r w:rsidR="00A82F9B" w:rsidRPr="00244FD3">
        <w:rPr>
          <w:lang w:val="et-EE" w:eastAsia="et-EE"/>
        </w:rPr>
        <w:t>menetlus</w:t>
      </w:r>
      <w:r w:rsidR="004C6676" w:rsidRPr="00244FD3">
        <w:rPr>
          <w:lang w:val="et-EE" w:eastAsia="et-EE"/>
        </w:rPr>
        <w:t>t ühe poole avalduse alusel ja kus</w:t>
      </w:r>
      <w:r w:rsidR="00A82F9B" w:rsidRPr="00244FD3">
        <w:rPr>
          <w:lang w:val="et-EE" w:eastAsia="et-EE"/>
        </w:rPr>
        <w:t xml:space="preserve"> teise poole osalemine on </w:t>
      </w:r>
      <w:r w:rsidR="004C6676" w:rsidRPr="00244FD3">
        <w:rPr>
          <w:lang w:val="et-EE" w:eastAsia="et-EE"/>
        </w:rPr>
        <w:t xml:space="preserve">menetluse alustamise korral </w:t>
      </w:r>
      <w:r w:rsidR="00A82F9B" w:rsidRPr="00244FD3">
        <w:rPr>
          <w:lang w:val="et-EE" w:eastAsia="et-EE"/>
        </w:rPr>
        <w:t xml:space="preserve">kohustuslik. Praegune </w:t>
      </w:r>
      <w:r w:rsidR="004C6676" w:rsidRPr="00244FD3">
        <w:rPr>
          <w:lang w:val="et-EE" w:eastAsia="et-EE"/>
        </w:rPr>
        <w:t xml:space="preserve">lepitusmenetlusel põhinev </w:t>
      </w:r>
      <w:r w:rsidR="00A82F9B" w:rsidRPr="00244FD3">
        <w:rPr>
          <w:lang w:val="et-EE" w:eastAsia="et-EE"/>
        </w:rPr>
        <w:t>lahendus, kus menetlus algab siis, kui osalised on jõudnud kokkuleppele asja lahendamises autoriõiguse komisjonis</w:t>
      </w:r>
      <w:r w:rsidR="00EA67BD" w:rsidRPr="00244FD3">
        <w:rPr>
          <w:lang w:val="et-EE" w:eastAsia="et-EE"/>
        </w:rPr>
        <w:t xml:space="preserve">, </w:t>
      </w:r>
      <w:r w:rsidR="00D6000C" w:rsidRPr="00244FD3">
        <w:rPr>
          <w:lang w:val="et-EE" w:eastAsia="et-EE"/>
        </w:rPr>
        <w:lastRenderedPageBreak/>
        <w:t>on ressursi raiskamine</w:t>
      </w:r>
      <w:r w:rsidR="004C6676" w:rsidRPr="00244FD3">
        <w:rPr>
          <w:lang w:val="et-EE" w:eastAsia="et-EE"/>
        </w:rPr>
        <w:t xml:space="preserve"> ja lausa takistab selle võimaluse kasutamist</w:t>
      </w:r>
      <w:r w:rsidR="00D6000C" w:rsidRPr="00244FD3">
        <w:rPr>
          <w:lang w:val="et-EE" w:eastAsia="et-EE"/>
        </w:rPr>
        <w:t xml:space="preserve">. </w:t>
      </w:r>
      <w:r w:rsidR="00713732" w:rsidRPr="00244FD3">
        <w:rPr>
          <w:lang w:val="et-EE" w:eastAsia="et-EE"/>
        </w:rPr>
        <w:t xml:space="preserve">Toome </w:t>
      </w:r>
      <w:r w:rsidR="004C6676" w:rsidRPr="00244FD3">
        <w:rPr>
          <w:lang w:val="et-EE" w:eastAsia="et-EE"/>
        </w:rPr>
        <w:t xml:space="preserve">eeskujuks </w:t>
      </w:r>
      <w:r w:rsidR="00713732" w:rsidRPr="00244FD3">
        <w:rPr>
          <w:lang w:val="et-EE" w:eastAsia="et-EE"/>
        </w:rPr>
        <w:t xml:space="preserve">näitena </w:t>
      </w:r>
      <w:r w:rsidR="004C6676" w:rsidRPr="00244FD3">
        <w:rPr>
          <w:lang w:val="et-EE" w:eastAsia="et-EE"/>
        </w:rPr>
        <w:t>t</w:t>
      </w:r>
      <w:r w:rsidR="00336127" w:rsidRPr="00244FD3">
        <w:rPr>
          <w:lang w:val="et-EE" w:eastAsia="et-EE"/>
        </w:rPr>
        <w:t>öövaidluskomisjoni, mis alustab menetlust ühe poole avalduse alusel</w:t>
      </w:r>
      <w:r w:rsidR="00BA4560" w:rsidRPr="00244FD3">
        <w:rPr>
          <w:lang w:val="et-EE" w:eastAsia="et-EE"/>
        </w:rPr>
        <w:t xml:space="preserve"> ning menetluse eesmärk on </w:t>
      </w:r>
      <w:r w:rsidR="004644EC" w:rsidRPr="00244FD3">
        <w:rPr>
          <w:lang w:val="et-EE" w:eastAsia="et-EE"/>
        </w:rPr>
        <w:t xml:space="preserve">poolte vahel kompromiss saavutada. </w:t>
      </w:r>
    </w:p>
    <w:p w14:paraId="6C5D0BF2" w14:textId="77777777" w:rsidR="00787C23" w:rsidRPr="00244FD3" w:rsidRDefault="00787C23" w:rsidP="0061040A">
      <w:pPr>
        <w:jc w:val="both"/>
        <w:rPr>
          <w:szCs w:val="24"/>
          <w:lang w:val="et-EE"/>
        </w:rPr>
      </w:pPr>
    </w:p>
    <w:p w14:paraId="0DD8837F" w14:textId="00CBBE1F" w:rsidR="004F66E5" w:rsidRPr="00244FD3" w:rsidRDefault="00842276" w:rsidP="00842276">
      <w:pPr>
        <w:pStyle w:val="Loendilik"/>
        <w:numPr>
          <w:ilvl w:val="0"/>
          <w:numId w:val="10"/>
        </w:numPr>
        <w:jc w:val="both"/>
        <w:rPr>
          <w:b/>
          <w:bCs/>
          <w:szCs w:val="24"/>
          <w:lang w:val="et-EE"/>
        </w:rPr>
      </w:pPr>
      <w:r w:rsidRPr="00244FD3">
        <w:rPr>
          <w:b/>
          <w:bCs/>
          <w:szCs w:val="24"/>
          <w:lang w:val="et-EE"/>
        </w:rPr>
        <w:t>Väljatöötamiskavatsuses kajastamata kitsaskohad</w:t>
      </w:r>
    </w:p>
    <w:p w14:paraId="2E34979E" w14:textId="77777777" w:rsidR="00842276" w:rsidRPr="00244FD3" w:rsidRDefault="00842276" w:rsidP="00842276">
      <w:pPr>
        <w:jc w:val="both"/>
        <w:rPr>
          <w:szCs w:val="24"/>
          <w:lang w:val="et-EE"/>
        </w:rPr>
      </w:pPr>
    </w:p>
    <w:p w14:paraId="165F72CB" w14:textId="2CAA603A" w:rsidR="00A7686A" w:rsidRPr="00244FD3" w:rsidRDefault="00842276" w:rsidP="00842276">
      <w:pPr>
        <w:pStyle w:val="Loendilik"/>
        <w:numPr>
          <w:ilvl w:val="1"/>
          <w:numId w:val="10"/>
        </w:numPr>
        <w:jc w:val="both"/>
        <w:rPr>
          <w:b/>
          <w:bCs/>
          <w:szCs w:val="24"/>
          <w:lang w:val="et-EE"/>
        </w:rPr>
      </w:pPr>
      <w:r w:rsidRPr="00244FD3">
        <w:rPr>
          <w:b/>
          <w:bCs/>
          <w:szCs w:val="24"/>
          <w:lang w:val="et-EE"/>
        </w:rPr>
        <w:t>Läbipaistvuskohustus</w:t>
      </w:r>
      <w:r w:rsidR="0022516C" w:rsidRPr="00244FD3">
        <w:rPr>
          <w:b/>
          <w:bCs/>
          <w:szCs w:val="24"/>
          <w:lang w:val="et-EE"/>
        </w:rPr>
        <w:t>e hambutus</w:t>
      </w:r>
      <w:r w:rsidR="004644EC" w:rsidRPr="00244FD3">
        <w:rPr>
          <w:b/>
          <w:bCs/>
          <w:szCs w:val="24"/>
          <w:lang w:val="et-EE"/>
        </w:rPr>
        <w:t xml:space="preserve"> </w:t>
      </w:r>
      <w:r w:rsidR="00A7686A" w:rsidRPr="00244FD3">
        <w:rPr>
          <w:b/>
          <w:bCs/>
          <w:szCs w:val="24"/>
          <w:lang w:val="et-EE"/>
        </w:rPr>
        <w:t>(</w:t>
      </w:r>
      <w:proofErr w:type="spellStart"/>
      <w:r w:rsidR="00B5617D">
        <w:rPr>
          <w:b/>
          <w:bCs/>
          <w:szCs w:val="24"/>
          <w:lang w:val="et-EE"/>
        </w:rPr>
        <w:t>AutÕS</w:t>
      </w:r>
      <w:proofErr w:type="spellEnd"/>
      <w:r w:rsidR="00B5617D">
        <w:rPr>
          <w:b/>
          <w:bCs/>
          <w:szCs w:val="24"/>
          <w:lang w:val="et-EE"/>
        </w:rPr>
        <w:t xml:space="preserve"> </w:t>
      </w:r>
      <w:r w:rsidR="009B085C" w:rsidRPr="00244FD3">
        <w:rPr>
          <w:b/>
          <w:bCs/>
          <w:szCs w:val="24"/>
          <w:lang w:val="et-EE"/>
        </w:rPr>
        <w:t>§ 49</w:t>
      </w:r>
      <w:r w:rsidR="00A7686A" w:rsidRPr="00244FD3">
        <w:rPr>
          <w:b/>
          <w:bCs/>
          <w:szCs w:val="24"/>
          <w:vertAlign w:val="superscript"/>
          <w:lang w:val="et-EE"/>
        </w:rPr>
        <w:t>1</w:t>
      </w:r>
      <w:r w:rsidR="00A7686A" w:rsidRPr="00244FD3">
        <w:rPr>
          <w:b/>
          <w:bCs/>
          <w:szCs w:val="24"/>
          <w:lang w:val="et-EE"/>
        </w:rPr>
        <w:t>)</w:t>
      </w:r>
    </w:p>
    <w:p w14:paraId="06FCC901" w14:textId="77777777" w:rsidR="00A7686A" w:rsidRPr="00244FD3" w:rsidRDefault="00A7686A" w:rsidP="00A7686A">
      <w:pPr>
        <w:jc w:val="both"/>
        <w:rPr>
          <w:szCs w:val="24"/>
          <w:lang w:val="et-EE"/>
        </w:rPr>
      </w:pPr>
    </w:p>
    <w:p w14:paraId="067B8940" w14:textId="246D4ADF" w:rsidR="00842276" w:rsidRPr="00244FD3" w:rsidRDefault="00A7686A" w:rsidP="00933D8A">
      <w:pPr>
        <w:jc w:val="both"/>
        <w:rPr>
          <w:szCs w:val="24"/>
          <w:lang w:val="et-EE"/>
        </w:rPr>
      </w:pPr>
      <w:proofErr w:type="spellStart"/>
      <w:r w:rsidRPr="00244FD3">
        <w:rPr>
          <w:szCs w:val="24"/>
          <w:lang w:val="et-EE"/>
        </w:rPr>
        <w:t>ENLil</w:t>
      </w:r>
      <w:proofErr w:type="spellEnd"/>
      <w:r w:rsidRPr="00244FD3">
        <w:rPr>
          <w:szCs w:val="24"/>
          <w:lang w:val="et-EE"/>
        </w:rPr>
        <w:t xml:space="preserve"> on kogemuse põhjal piisav alus järeldamaks, et läbipaistvuskohustuse regulatsioon täna ei toimi. Ühest küljest võib olla tegu teoste/esituste kasutajate teadmatusega. Samas on regulatsioonis ja tõlgenduspraktikas ka sisulisi puudujääke. Näiteks toome välja mõned probleemkohad, mis vajaksid kas Justiitsministeeriumi selgitust või lausa regulatiivset sekkumist </w:t>
      </w:r>
      <w:proofErr w:type="spellStart"/>
      <w:r w:rsidRPr="00244FD3">
        <w:rPr>
          <w:szCs w:val="24"/>
          <w:lang w:val="et-EE"/>
        </w:rPr>
        <w:t>AutÕS</w:t>
      </w:r>
      <w:proofErr w:type="spellEnd"/>
      <w:r w:rsidRPr="00244FD3">
        <w:rPr>
          <w:szCs w:val="24"/>
          <w:lang w:val="et-EE"/>
        </w:rPr>
        <w:t xml:space="preserve"> täiendamise näol:  </w:t>
      </w:r>
    </w:p>
    <w:p w14:paraId="5113FBE7" w14:textId="2C4F0E75" w:rsidR="00D01F99" w:rsidRPr="00244FD3" w:rsidRDefault="00D01F99" w:rsidP="00A7686A">
      <w:pPr>
        <w:pStyle w:val="Loendilik"/>
        <w:numPr>
          <w:ilvl w:val="0"/>
          <w:numId w:val="11"/>
        </w:numPr>
        <w:jc w:val="both"/>
        <w:rPr>
          <w:szCs w:val="24"/>
          <w:lang w:val="et-EE"/>
        </w:rPr>
      </w:pPr>
      <w:r w:rsidRPr="00244FD3">
        <w:rPr>
          <w:szCs w:val="24"/>
          <w:lang w:val="et-EE"/>
        </w:rPr>
        <w:t xml:space="preserve">Ebaselge </w:t>
      </w:r>
      <w:r w:rsidR="008E45FE" w:rsidRPr="00244FD3">
        <w:rPr>
          <w:szCs w:val="24"/>
          <w:lang w:val="et-EE"/>
        </w:rPr>
        <w:t xml:space="preserve">on </w:t>
      </w:r>
      <w:r w:rsidRPr="00244FD3">
        <w:rPr>
          <w:szCs w:val="24"/>
          <w:lang w:val="et-EE"/>
        </w:rPr>
        <w:t>mõiste „kogu saadud tulu”</w:t>
      </w:r>
      <w:r w:rsidR="008E45FE" w:rsidRPr="00244FD3">
        <w:rPr>
          <w:szCs w:val="24"/>
          <w:lang w:val="et-EE"/>
        </w:rPr>
        <w:t xml:space="preserve"> sisustamine.</w:t>
      </w:r>
    </w:p>
    <w:p w14:paraId="59E41131" w14:textId="0FDE0B48" w:rsidR="00D01F99" w:rsidRPr="00244FD3" w:rsidRDefault="00A7686A" w:rsidP="00D01F99">
      <w:pPr>
        <w:pStyle w:val="Loendilik"/>
        <w:numPr>
          <w:ilvl w:val="0"/>
          <w:numId w:val="11"/>
        </w:numPr>
        <w:jc w:val="both"/>
        <w:rPr>
          <w:szCs w:val="24"/>
          <w:lang w:val="et-EE"/>
        </w:rPr>
      </w:pPr>
      <w:r w:rsidRPr="00244FD3">
        <w:rPr>
          <w:szCs w:val="24"/>
          <w:lang w:val="et-EE"/>
        </w:rPr>
        <w:t xml:space="preserve">Kui kasutaja jätab kohustuse täitmata, siis selle rikkumise korral võiks olla õiguste omajatel täiendavaid tõhusaid kaitsevahendeid. Näiteks võiks kaaluda Saksa autoriõiguse seaduse varianti, kus rikkumine toob kaasa teose/esituse kasutamise keelu.  </w:t>
      </w:r>
    </w:p>
    <w:p w14:paraId="787E0D19" w14:textId="185F888B" w:rsidR="00D01F99" w:rsidRPr="00244FD3" w:rsidRDefault="00B64251" w:rsidP="00D01F99">
      <w:pPr>
        <w:pStyle w:val="Loendilik"/>
        <w:numPr>
          <w:ilvl w:val="0"/>
          <w:numId w:val="11"/>
        </w:numPr>
        <w:jc w:val="both"/>
        <w:rPr>
          <w:szCs w:val="24"/>
          <w:lang w:val="et-EE"/>
        </w:rPr>
      </w:pPr>
      <w:r>
        <w:rPr>
          <w:szCs w:val="24"/>
          <w:lang w:val="et-EE"/>
        </w:rPr>
        <w:t xml:space="preserve">Ebaselge on teavitamiskohustuse täitmine olukorras, kus </w:t>
      </w:r>
      <w:r w:rsidR="008901A0" w:rsidRPr="00244FD3">
        <w:rPr>
          <w:szCs w:val="24"/>
          <w:lang w:val="et-EE"/>
        </w:rPr>
        <w:t xml:space="preserve">pole järgitud </w:t>
      </w:r>
      <w:r w:rsidR="00C57B19">
        <w:rPr>
          <w:szCs w:val="24"/>
          <w:lang w:val="et-EE"/>
        </w:rPr>
        <w:t xml:space="preserve">lepingu </w:t>
      </w:r>
      <w:r w:rsidR="008901A0" w:rsidRPr="00244FD3">
        <w:rPr>
          <w:szCs w:val="24"/>
          <w:lang w:val="et-EE"/>
        </w:rPr>
        <w:t xml:space="preserve">kirjaliku </w:t>
      </w:r>
      <w:r w:rsidR="00C57B19">
        <w:rPr>
          <w:szCs w:val="24"/>
          <w:lang w:val="et-EE"/>
        </w:rPr>
        <w:t>vormi nõuet</w:t>
      </w:r>
      <w:r w:rsidR="008901A0" w:rsidRPr="00244FD3">
        <w:rPr>
          <w:szCs w:val="24"/>
          <w:lang w:val="et-EE"/>
        </w:rPr>
        <w:t xml:space="preserve">. </w:t>
      </w:r>
      <w:r>
        <w:rPr>
          <w:szCs w:val="24"/>
          <w:lang w:val="et-EE"/>
        </w:rPr>
        <w:t>K</w:t>
      </w:r>
      <w:r w:rsidR="008901A0" w:rsidRPr="00244FD3">
        <w:rPr>
          <w:szCs w:val="24"/>
          <w:lang w:val="et-EE"/>
        </w:rPr>
        <w:t>es peab täitma teavitamiskohustust?</w:t>
      </w:r>
      <w:r w:rsidR="00C57B19">
        <w:rPr>
          <w:szCs w:val="24"/>
          <w:lang w:val="et-EE"/>
        </w:rPr>
        <w:t xml:space="preserve"> Kas teose/esituse tegelik kasutaja?</w:t>
      </w:r>
    </w:p>
    <w:p w14:paraId="5B080C40" w14:textId="2E0FC9AB" w:rsidR="006522A4" w:rsidRPr="00244FD3" w:rsidRDefault="006522A4" w:rsidP="00792E84">
      <w:pPr>
        <w:jc w:val="both"/>
        <w:rPr>
          <w:szCs w:val="24"/>
          <w:lang w:val="et-EE"/>
        </w:rPr>
      </w:pPr>
    </w:p>
    <w:p w14:paraId="6A411038" w14:textId="118D0B4F" w:rsidR="00B46C40" w:rsidRPr="00244FD3" w:rsidRDefault="006522A4" w:rsidP="006522A4">
      <w:pPr>
        <w:jc w:val="both"/>
        <w:rPr>
          <w:szCs w:val="24"/>
          <w:lang w:val="et-EE"/>
        </w:rPr>
      </w:pPr>
      <w:r w:rsidRPr="00244FD3">
        <w:rPr>
          <w:b/>
          <w:bCs/>
          <w:szCs w:val="24"/>
          <w:lang w:val="et-EE"/>
        </w:rPr>
        <w:t xml:space="preserve">Ettepanek: </w:t>
      </w:r>
    </w:p>
    <w:p w14:paraId="7F778C26" w14:textId="6AF7972F" w:rsidR="00B46C40" w:rsidRPr="00244FD3" w:rsidRDefault="00E16CD7" w:rsidP="006522A4">
      <w:pPr>
        <w:jc w:val="both"/>
        <w:rPr>
          <w:szCs w:val="24"/>
          <w:lang w:val="et-EE"/>
        </w:rPr>
      </w:pPr>
      <w:r w:rsidRPr="00244FD3">
        <w:rPr>
          <w:szCs w:val="24"/>
          <w:lang w:val="et-EE"/>
        </w:rPr>
        <w:t>Eeltoodu valguses soovitame</w:t>
      </w:r>
      <w:r w:rsidR="00B46C40" w:rsidRPr="00244FD3">
        <w:rPr>
          <w:szCs w:val="24"/>
          <w:lang w:val="et-EE"/>
        </w:rPr>
        <w:t xml:space="preserve"> muuta: </w:t>
      </w:r>
    </w:p>
    <w:p w14:paraId="2992DFDF" w14:textId="2B335F6C" w:rsidR="009163B9" w:rsidRPr="00AE6555" w:rsidRDefault="009A64B2" w:rsidP="001E6AE2">
      <w:pPr>
        <w:pStyle w:val="Loendilik"/>
        <w:numPr>
          <w:ilvl w:val="0"/>
          <w:numId w:val="12"/>
        </w:numPr>
        <w:jc w:val="both"/>
        <w:rPr>
          <w:b/>
          <w:bCs/>
          <w:szCs w:val="24"/>
          <w:lang w:val="et-EE"/>
        </w:rPr>
      </w:pPr>
      <w:r w:rsidRPr="00244FD3">
        <w:rPr>
          <w:szCs w:val="24"/>
          <w:lang w:val="et-EE"/>
        </w:rPr>
        <w:t>Te</w:t>
      </w:r>
      <w:r w:rsidR="00A7686A" w:rsidRPr="00244FD3">
        <w:rPr>
          <w:szCs w:val="24"/>
          <w:lang w:val="et-EE"/>
        </w:rPr>
        <w:t>avitamiskohustuse</w:t>
      </w:r>
      <w:r w:rsidRPr="00244FD3">
        <w:rPr>
          <w:szCs w:val="24"/>
          <w:lang w:val="et-EE"/>
        </w:rPr>
        <w:t xml:space="preserve"> täitmata jätmisel rakenduks </w:t>
      </w:r>
      <w:r w:rsidR="00254075" w:rsidRPr="00244FD3">
        <w:rPr>
          <w:szCs w:val="24"/>
          <w:lang w:val="et-EE"/>
        </w:rPr>
        <w:t>§ 49</w:t>
      </w:r>
      <w:r w:rsidR="00555FE9">
        <w:rPr>
          <w:szCs w:val="24"/>
          <w:vertAlign w:val="superscript"/>
          <w:lang w:val="et-EE"/>
        </w:rPr>
        <w:t>3</w:t>
      </w:r>
      <w:r w:rsidR="009163B9">
        <w:rPr>
          <w:szCs w:val="24"/>
          <w:lang w:val="et-EE"/>
        </w:rPr>
        <w:t>:</w:t>
      </w:r>
    </w:p>
    <w:p w14:paraId="66E55C14" w14:textId="6CE08C72" w:rsidR="009163B9" w:rsidRDefault="00314F2E" w:rsidP="009163B9">
      <w:pPr>
        <w:pStyle w:val="Loendilik"/>
        <w:ind w:left="1440"/>
        <w:jc w:val="both"/>
        <w:rPr>
          <w:szCs w:val="24"/>
          <w:lang w:val="et-EE"/>
        </w:rPr>
      </w:pPr>
      <w:r w:rsidRPr="00244FD3">
        <w:rPr>
          <w:szCs w:val="24"/>
          <w:lang w:val="et-EE"/>
        </w:rPr>
        <w:t>-</w:t>
      </w:r>
      <w:r w:rsidR="00555FE9">
        <w:rPr>
          <w:szCs w:val="24"/>
          <w:lang w:val="et-EE"/>
        </w:rPr>
        <w:t xml:space="preserve"> </w:t>
      </w:r>
      <w:r w:rsidRPr="00244FD3">
        <w:rPr>
          <w:szCs w:val="24"/>
          <w:lang w:val="et-EE"/>
        </w:rPr>
        <w:t>lõige 1 - Autor või esitaja võib teose või esituse kasutamiseks sõlmitud ainulitsentsilepingu või varaliste õiguste üleandmise lepingu osaliselt või täielikult üles öelda või sellest taganeda</w:t>
      </w:r>
      <w:r w:rsidR="00A0352D" w:rsidRPr="00244FD3">
        <w:rPr>
          <w:szCs w:val="24"/>
          <w:lang w:val="et-EE"/>
        </w:rPr>
        <w:t xml:space="preserve">; </w:t>
      </w:r>
    </w:p>
    <w:p w14:paraId="1F1D9950" w14:textId="77777777" w:rsidR="00AC53AA" w:rsidRDefault="009163B9" w:rsidP="008212F3">
      <w:pPr>
        <w:pStyle w:val="Loendilik"/>
        <w:ind w:left="1440"/>
        <w:jc w:val="both"/>
        <w:rPr>
          <w:szCs w:val="24"/>
          <w:lang w:val="et-EE"/>
        </w:rPr>
      </w:pPr>
      <w:r>
        <w:rPr>
          <w:szCs w:val="24"/>
          <w:lang w:val="et-EE"/>
        </w:rPr>
        <w:t xml:space="preserve">- </w:t>
      </w:r>
      <w:r w:rsidR="00A0352D" w:rsidRPr="00244FD3">
        <w:rPr>
          <w:szCs w:val="24"/>
          <w:lang w:val="et-EE"/>
        </w:rPr>
        <w:t xml:space="preserve">lõige 3 </w:t>
      </w:r>
      <w:r>
        <w:rPr>
          <w:szCs w:val="24"/>
          <w:lang w:val="et-EE"/>
        </w:rPr>
        <w:t>–</w:t>
      </w:r>
      <w:r w:rsidR="00A0352D" w:rsidRPr="00244FD3">
        <w:rPr>
          <w:szCs w:val="24"/>
          <w:lang w:val="et-EE"/>
        </w:rPr>
        <w:t xml:space="preserve"> Enne autorilepingu osalist või täielikku ülesütlemist või sellest taganemist peab autor või esitaja andma teisele lepingupoolele täiendava mõistliku tähtaja </w:t>
      </w:r>
      <w:r w:rsidR="00A7686A" w:rsidRPr="00244FD3">
        <w:rPr>
          <w:szCs w:val="24"/>
          <w:lang w:val="et-EE"/>
        </w:rPr>
        <w:t>teavitamiskohustuse</w:t>
      </w:r>
      <w:r w:rsidR="00A0352D" w:rsidRPr="00244FD3">
        <w:rPr>
          <w:szCs w:val="24"/>
          <w:lang w:val="et-EE"/>
        </w:rPr>
        <w:t xml:space="preserve"> täitmiseks</w:t>
      </w:r>
    </w:p>
    <w:p w14:paraId="025FEBA6" w14:textId="77777777" w:rsidR="00AC53AA" w:rsidRDefault="00165B94" w:rsidP="001A24A3">
      <w:pPr>
        <w:ind w:left="720" w:hanging="436"/>
        <w:jc w:val="both"/>
        <w:rPr>
          <w:szCs w:val="24"/>
          <w:lang w:val="et-EE"/>
        </w:rPr>
      </w:pPr>
      <w:r w:rsidRPr="00AC53AA">
        <w:rPr>
          <w:szCs w:val="24"/>
          <w:lang w:val="et-EE"/>
        </w:rPr>
        <w:t xml:space="preserve"> ja/või</w:t>
      </w:r>
    </w:p>
    <w:p w14:paraId="1D3F13E4" w14:textId="57EEE1F9" w:rsidR="00842276" w:rsidRPr="002265C4" w:rsidRDefault="002265C4" w:rsidP="00AC53AA">
      <w:pPr>
        <w:ind w:left="720" w:hanging="436"/>
        <w:jc w:val="both"/>
        <w:rPr>
          <w:lang w:val="et-EE"/>
        </w:rPr>
      </w:pPr>
      <w:r>
        <w:rPr>
          <w:lang w:val="et-EE"/>
        </w:rPr>
        <w:t xml:space="preserve">b) </w:t>
      </w:r>
      <w:r w:rsidR="00555FE9" w:rsidRPr="002265C4">
        <w:rPr>
          <w:lang w:val="et-EE"/>
        </w:rPr>
        <w:t>Teavitamiskohustuse täitmata jätmisel on teose/esituse kasutajal keelatud teost/esitust kasutada juhul kui õiguste omaja või tema esindaja (nt KEO) esitab vastavasisulise nõude kohtusse.</w:t>
      </w:r>
      <w:r w:rsidR="00555FE9">
        <w:rPr>
          <w:rStyle w:val="Allmrkuseviide"/>
          <w:szCs w:val="24"/>
          <w:lang w:val="et-EE"/>
        </w:rPr>
        <w:footnoteReference w:id="2"/>
      </w:r>
      <w:r w:rsidR="00555FE9" w:rsidRPr="002265C4">
        <w:rPr>
          <w:lang w:val="et-EE"/>
        </w:rPr>
        <w:t xml:space="preserve"> </w:t>
      </w:r>
    </w:p>
    <w:p w14:paraId="34A68705" w14:textId="18F0E350" w:rsidR="00842276" w:rsidRPr="00244FD3" w:rsidRDefault="00120BC6" w:rsidP="00842276">
      <w:pPr>
        <w:pStyle w:val="Loendilik"/>
        <w:numPr>
          <w:ilvl w:val="1"/>
          <w:numId w:val="10"/>
        </w:numPr>
        <w:jc w:val="both"/>
        <w:rPr>
          <w:b/>
          <w:bCs/>
          <w:szCs w:val="24"/>
          <w:lang w:val="et-EE"/>
        </w:rPr>
      </w:pPr>
      <w:r w:rsidRPr="00244FD3">
        <w:rPr>
          <w:b/>
          <w:bCs/>
          <w:szCs w:val="24"/>
          <w:lang w:val="et-EE"/>
        </w:rPr>
        <w:lastRenderedPageBreak/>
        <w:t>Tehisaruga loodud sisuga seotud väljakutsed</w:t>
      </w:r>
    </w:p>
    <w:p w14:paraId="10C68CB2" w14:textId="77777777" w:rsidR="00120BC6" w:rsidRPr="00244FD3" w:rsidRDefault="00120BC6" w:rsidP="00A944A0">
      <w:pPr>
        <w:rPr>
          <w:szCs w:val="24"/>
          <w:lang w:val="et-EE"/>
        </w:rPr>
      </w:pPr>
    </w:p>
    <w:p w14:paraId="0F14A84A" w14:textId="77777777" w:rsidR="00BE1774" w:rsidRPr="00244FD3" w:rsidRDefault="00120BC6" w:rsidP="00412D0D">
      <w:pPr>
        <w:jc w:val="both"/>
        <w:rPr>
          <w:szCs w:val="24"/>
          <w:lang w:val="et-EE"/>
        </w:rPr>
      </w:pPr>
      <w:r w:rsidRPr="00244FD3">
        <w:rPr>
          <w:szCs w:val="24"/>
          <w:lang w:val="et-EE"/>
        </w:rPr>
        <w:t>Tehisaru kujutab endast erilist väljakutset loojatele</w:t>
      </w:r>
      <w:r w:rsidR="00B20E58" w:rsidRPr="00244FD3">
        <w:rPr>
          <w:szCs w:val="24"/>
          <w:lang w:val="et-EE"/>
        </w:rPr>
        <w:t xml:space="preserve"> (sh näitlejatele)</w:t>
      </w:r>
      <w:r w:rsidRPr="00244FD3">
        <w:rPr>
          <w:szCs w:val="24"/>
          <w:lang w:val="et-EE"/>
        </w:rPr>
        <w:t xml:space="preserve">, kellel on oht kaotada töö, õiglase tasu saamine, kontroll oma töö üle või kannatada töötingimuste halvenemise tõttu. </w:t>
      </w:r>
    </w:p>
    <w:p w14:paraId="30A4BEE6" w14:textId="77777777" w:rsidR="00BE1774" w:rsidRPr="00244FD3" w:rsidRDefault="00BE1774" w:rsidP="00412D0D">
      <w:pPr>
        <w:jc w:val="both"/>
        <w:rPr>
          <w:szCs w:val="24"/>
          <w:lang w:val="et-EE"/>
        </w:rPr>
      </w:pPr>
    </w:p>
    <w:p w14:paraId="4B074620" w14:textId="7C1B20DA" w:rsidR="0013568D" w:rsidRPr="00244FD3" w:rsidRDefault="0082339D" w:rsidP="00412D0D">
      <w:pPr>
        <w:jc w:val="both"/>
        <w:rPr>
          <w:szCs w:val="24"/>
          <w:lang w:val="et-EE"/>
        </w:rPr>
      </w:pPr>
      <w:r w:rsidRPr="00244FD3">
        <w:rPr>
          <w:szCs w:val="24"/>
          <w:lang w:val="et-EE"/>
        </w:rPr>
        <w:t xml:space="preserve">Üks olulisemaid probleeme on nn TDM vabakasutuserandi kohaldamine generatiivse tehisarusüsteemide arendamiseks. </w:t>
      </w:r>
      <w:r w:rsidR="0013568D" w:rsidRPr="00244FD3">
        <w:rPr>
          <w:b/>
          <w:bCs/>
          <w:szCs w:val="24"/>
          <w:lang w:val="et-EE"/>
        </w:rPr>
        <w:t xml:space="preserve">ENL ühineb </w:t>
      </w:r>
      <w:proofErr w:type="spellStart"/>
      <w:r w:rsidR="0032796A" w:rsidRPr="00244FD3">
        <w:rPr>
          <w:b/>
          <w:bCs/>
          <w:szCs w:val="24"/>
          <w:lang w:val="et-EE"/>
        </w:rPr>
        <w:t>Society</w:t>
      </w:r>
      <w:proofErr w:type="spellEnd"/>
      <w:r w:rsidR="0032796A" w:rsidRPr="00244FD3">
        <w:rPr>
          <w:b/>
          <w:bCs/>
          <w:szCs w:val="24"/>
          <w:lang w:val="et-EE"/>
        </w:rPr>
        <w:t xml:space="preserve"> of </w:t>
      </w:r>
      <w:proofErr w:type="spellStart"/>
      <w:r w:rsidR="0032796A" w:rsidRPr="00244FD3">
        <w:rPr>
          <w:b/>
          <w:bCs/>
          <w:szCs w:val="24"/>
          <w:lang w:val="et-EE"/>
        </w:rPr>
        <w:t>Audiovisual</w:t>
      </w:r>
      <w:proofErr w:type="spellEnd"/>
      <w:r w:rsidR="0032796A" w:rsidRPr="00244FD3">
        <w:rPr>
          <w:b/>
          <w:bCs/>
          <w:szCs w:val="24"/>
          <w:lang w:val="et-EE"/>
        </w:rPr>
        <w:t xml:space="preserve"> </w:t>
      </w:r>
      <w:proofErr w:type="spellStart"/>
      <w:r w:rsidR="0032796A" w:rsidRPr="00244FD3">
        <w:rPr>
          <w:b/>
          <w:bCs/>
          <w:szCs w:val="24"/>
          <w:lang w:val="et-EE"/>
        </w:rPr>
        <w:t>Authors</w:t>
      </w:r>
      <w:proofErr w:type="spellEnd"/>
      <w:r w:rsidR="0032796A" w:rsidRPr="00244FD3">
        <w:rPr>
          <w:b/>
          <w:bCs/>
          <w:szCs w:val="24"/>
          <w:lang w:val="et-EE"/>
        </w:rPr>
        <w:t xml:space="preserve"> (</w:t>
      </w:r>
      <w:r w:rsidR="0013568D" w:rsidRPr="00244FD3">
        <w:rPr>
          <w:b/>
          <w:bCs/>
          <w:szCs w:val="24"/>
          <w:lang w:val="et-EE"/>
        </w:rPr>
        <w:t>SAA</w:t>
      </w:r>
      <w:r w:rsidR="0032796A" w:rsidRPr="00244FD3">
        <w:rPr>
          <w:b/>
          <w:bCs/>
          <w:szCs w:val="24"/>
          <w:lang w:val="et-EE"/>
        </w:rPr>
        <w:t>)</w:t>
      </w:r>
      <w:r w:rsidR="0013568D" w:rsidRPr="00244FD3">
        <w:rPr>
          <w:b/>
          <w:bCs/>
          <w:szCs w:val="24"/>
          <w:lang w:val="et-EE"/>
        </w:rPr>
        <w:t xml:space="preserve"> üleskutsega</w:t>
      </w:r>
      <w:r w:rsidR="001036A9" w:rsidRPr="00244FD3">
        <w:rPr>
          <w:rStyle w:val="Allmrkuseviide"/>
          <w:b/>
          <w:bCs/>
          <w:szCs w:val="24"/>
          <w:lang w:val="et-EE"/>
        </w:rPr>
        <w:footnoteReference w:id="3"/>
      </w:r>
      <w:r w:rsidR="0013568D" w:rsidRPr="00244FD3">
        <w:rPr>
          <w:b/>
          <w:bCs/>
          <w:szCs w:val="24"/>
          <w:lang w:val="et-EE"/>
        </w:rPr>
        <w:t xml:space="preserve"> Euroopa Liidule ja selle liikmesriikidele selgitada avalikkusele, et TDM-i erand ei kehti generatiivse tehisaru puhul ning </w:t>
      </w:r>
      <w:r w:rsidR="00F128E4" w:rsidRPr="00244FD3">
        <w:rPr>
          <w:b/>
          <w:bCs/>
          <w:szCs w:val="24"/>
          <w:lang w:val="et-EE"/>
        </w:rPr>
        <w:t xml:space="preserve">et </w:t>
      </w:r>
      <w:r w:rsidR="0013568D" w:rsidRPr="00244FD3">
        <w:rPr>
          <w:b/>
          <w:bCs/>
          <w:szCs w:val="24"/>
          <w:lang w:val="et-EE"/>
        </w:rPr>
        <w:t>õigus lubada või keelata selline kasutamine jääb kaitstud teoste/esituste autoritele/esitajatele generatiivse tehisaru kontekstis</w:t>
      </w:r>
      <w:r w:rsidR="0013568D" w:rsidRPr="00244FD3">
        <w:rPr>
          <w:szCs w:val="24"/>
          <w:lang w:val="et-EE"/>
        </w:rPr>
        <w:t>.</w:t>
      </w:r>
    </w:p>
    <w:p w14:paraId="6F1E7276" w14:textId="77777777" w:rsidR="0013568D" w:rsidRPr="00244FD3" w:rsidRDefault="0013568D" w:rsidP="00A944A0">
      <w:pPr>
        <w:rPr>
          <w:szCs w:val="24"/>
          <w:lang w:val="et-EE"/>
        </w:rPr>
      </w:pPr>
    </w:p>
    <w:p w14:paraId="70BE5F2F" w14:textId="6CDD3A3C" w:rsidR="006212EE" w:rsidRPr="00244FD3" w:rsidRDefault="0082339D" w:rsidP="00E24384">
      <w:pPr>
        <w:jc w:val="both"/>
        <w:rPr>
          <w:szCs w:val="24"/>
          <w:lang w:val="et-EE"/>
        </w:rPr>
      </w:pPr>
      <w:r w:rsidRPr="00244FD3">
        <w:rPr>
          <w:szCs w:val="24"/>
          <w:lang w:val="et-EE"/>
        </w:rPr>
        <w:t xml:space="preserve">SAA on põhjendatult välja toonud </w:t>
      </w:r>
      <w:r w:rsidR="00AD6E2B" w:rsidRPr="00244FD3">
        <w:rPr>
          <w:szCs w:val="24"/>
          <w:lang w:val="et-EE"/>
        </w:rPr>
        <w:t xml:space="preserve">kolm peamist põhjust, miks TDM-i erandit ei </w:t>
      </w:r>
      <w:r w:rsidRPr="00244FD3">
        <w:rPr>
          <w:szCs w:val="24"/>
          <w:lang w:val="et-EE"/>
        </w:rPr>
        <w:t xml:space="preserve">peaks </w:t>
      </w:r>
      <w:r w:rsidR="00AD6E2B" w:rsidRPr="00244FD3">
        <w:rPr>
          <w:szCs w:val="24"/>
          <w:lang w:val="et-EE"/>
        </w:rPr>
        <w:t>kohalda</w:t>
      </w:r>
      <w:r w:rsidRPr="00244FD3">
        <w:rPr>
          <w:szCs w:val="24"/>
          <w:lang w:val="et-EE"/>
        </w:rPr>
        <w:t>m</w:t>
      </w:r>
      <w:r w:rsidR="00AD6E2B" w:rsidRPr="00244FD3">
        <w:rPr>
          <w:szCs w:val="24"/>
          <w:lang w:val="et-EE"/>
        </w:rPr>
        <w:t>a masinõppele generatiivse tehis</w:t>
      </w:r>
      <w:r w:rsidRPr="00244FD3">
        <w:rPr>
          <w:szCs w:val="24"/>
          <w:lang w:val="et-EE"/>
        </w:rPr>
        <w:t>aru</w:t>
      </w:r>
      <w:r w:rsidR="00AD6E2B" w:rsidRPr="00244FD3">
        <w:rPr>
          <w:szCs w:val="24"/>
          <w:lang w:val="et-EE"/>
        </w:rPr>
        <w:t xml:space="preserve"> </w:t>
      </w:r>
      <w:r w:rsidR="00A42797" w:rsidRPr="00244FD3">
        <w:rPr>
          <w:szCs w:val="24"/>
          <w:lang w:val="et-EE"/>
        </w:rPr>
        <w:t xml:space="preserve">arendamise </w:t>
      </w:r>
      <w:r w:rsidR="00AD6E2B" w:rsidRPr="00244FD3">
        <w:rPr>
          <w:szCs w:val="24"/>
          <w:lang w:val="et-EE"/>
        </w:rPr>
        <w:t xml:space="preserve">eesmärkidel: </w:t>
      </w:r>
    </w:p>
    <w:p w14:paraId="14D7BE97" w14:textId="3CDC15AA" w:rsidR="006212EE" w:rsidRPr="00244FD3" w:rsidRDefault="00AD6E2B" w:rsidP="00E24384">
      <w:pPr>
        <w:pStyle w:val="Loendilik"/>
        <w:numPr>
          <w:ilvl w:val="0"/>
          <w:numId w:val="13"/>
        </w:numPr>
        <w:jc w:val="both"/>
        <w:rPr>
          <w:szCs w:val="24"/>
          <w:lang w:val="et-EE"/>
        </w:rPr>
      </w:pPr>
      <w:r w:rsidRPr="00244FD3">
        <w:rPr>
          <w:b/>
          <w:bCs/>
          <w:szCs w:val="24"/>
          <w:lang w:val="et-EE"/>
        </w:rPr>
        <w:t xml:space="preserve">see ei olnud erandi </w:t>
      </w:r>
      <w:r w:rsidR="0082339D" w:rsidRPr="00244FD3">
        <w:rPr>
          <w:b/>
          <w:bCs/>
          <w:szCs w:val="24"/>
          <w:lang w:val="et-EE"/>
        </w:rPr>
        <w:t>kehtestamise ees</w:t>
      </w:r>
      <w:r w:rsidRPr="00244FD3">
        <w:rPr>
          <w:b/>
          <w:bCs/>
          <w:szCs w:val="24"/>
          <w:lang w:val="et-EE"/>
        </w:rPr>
        <w:t>märk</w:t>
      </w:r>
      <w:r w:rsidR="006212EE" w:rsidRPr="00244FD3">
        <w:rPr>
          <w:szCs w:val="24"/>
          <w:lang w:val="et-EE"/>
        </w:rPr>
        <w:t>.</w:t>
      </w:r>
      <w:r w:rsidRPr="00244FD3">
        <w:rPr>
          <w:szCs w:val="24"/>
          <w:lang w:val="et-EE"/>
        </w:rPr>
        <w:t xml:space="preserve"> </w:t>
      </w:r>
      <w:r w:rsidR="006212EE" w:rsidRPr="00244FD3">
        <w:rPr>
          <w:szCs w:val="24"/>
          <w:lang w:val="et-EE"/>
        </w:rPr>
        <w:t>DSM direktiiv ei maini mitte kusagil tekstis generatiivset tehisaru ega riske, mida see loojate jaoks tekitab. Selliseid rakendusi polnud direktiivi väljatöötamise ajal veel saadaval ning generatiivne tehisaru ei olnud DSM-direktiivi sisu üle peetud poliitilise arutelu ja läbirääkimiste objektiks. Koos vabakasutuserandite kitsa tõlgendamise põhimõttega piisaks sellest, et kaotada selle erandi kohaldamine kaitstud teoste kasutamisele masinõppe jaoks generatiivse tehisaru</w:t>
      </w:r>
      <w:r w:rsidR="00A42797" w:rsidRPr="00244FD3">
        <w:rPr>
          <w:szCs w:val="24"/>
          <w:lang w:val="et-EE"/>
        </w:rPr>
        <w:t xml:space="preserve"> arendamise</w:t>
      </w:r>
      <w:r w:rsidR="006212EE" w:rsidRPr="00244FD3">
        <w:rPr>
          <w:szCs w:val="24"/>
          <w:lang w:val="et-EE"/>
        </w:rPr>
        <w:t xml:space="preserve"> eesmärgil.</w:t>
      </w:r>
    </w:p>
    <w:p w14:paraId="1C0FCE00" w14:textId="001D077F" w:rsidR="006212EE" w:rsidRPr="00244FD3" w:rsidRDefault="006212EE" w:rsidP="00E24384">
      <w:pPr>
        <w:pStyle w:val="Loendilik"/>
        <w:numPr>
          <w:ilvl w:val="0"/>
          <w:numId w:val="13"/>
        </w:numPr>
        <w:jc w:val="both"/>
        <w:rPr>
          <w:szCs w:val="24"/>
          <w:lang w:val="et-EE"/>
        </w:rPr>
      </w:pPr>
      <w:r w:rsidRPr="00244FD3">
        <w:rPr>
          <w:b/>
          <w:bCs/>
          <w:szCs w:val="24"/>
          <w:lang w:val="et-EE"/>
        </w:rPr>
        <w:t>lo</w:t>
      </w:r>
      <w:r w:rsidR="00AD6E2B" w:rsidRPr="00244FD3">
        <w:rPr>
          <w:b/>
          <w:bCs/>
          <w:szCs w:val="24"/>
          <w:lang w:val="et-EE"/>
        </w:rPr>
        <w:t xml:space="preserve">obumisvõimaluse </w:t>
      </w:r>
      <w:r w:rsidR="0082339D" w:rsidRPr="00244FD3">
        <w:rPr>
          <w:b/>
          <w:bCs/>
          <w:szCs w:val="24"/>
          <w:lang w:val="et-EE"/>
        </w:rPr>
        <w:t>(</w:t>
      </w:r>
      <w:proofErr w:type="spellStart"/>
      <w:r w:rsidR="0082339D" w:rsidRPr="00244FD3">
        <w:rPr>
          <w:b/>
          <w:bCs/>
          <w:i/>
          <w:iCs/>
          <w:szCs w:val="24"/>
          <w:lang w:val="et-EE"/>
        </w:rPr>
        <w:t>opt-out</w:t>
      </w:r>
      <w:proofErr w:type="spellEnd"/>
      <w:r w:rsidR="0082339D" w:rsidRPr="00244FD3">
        <w:rPr>
          <w:b/>
          <w:bCs/>
          <w:szCs w:val="24"/>
          <w:lang w:val="et-EE"/>
        </w:rPr>
        <w:t xml:space="preserve">) </w:t>
      </w:r>
      <w:r w:rsidR="00AD6E2B" w:rsidRPr="00244FD3">
        <w:rPr>
          <w:b/>
          <w:bCs/>
          <w:szCs w:val="24"/>
          <w:lang w:val="et-EE"/>
        </w:rPr>
        <w:t>ebaotstarbekus</w:t>
      </w:r>
      <w:r w:rsidRPr="00244FD3">
        <w:rPr>
          <w:szCs w:val="24"/>
          <w:lang w:val="et-EE"/>
        </w:rPr>
        <w:t>.</w:t>
      </w:r>
      <w:r w:rsidR="00AD6E2B" w:rsidRPr="00244FD3">
        <w:rPr>
          <w:szCs w:val="24"/>
          <w:lang w:val="et-EE"/>
        </w:rPr>
        <w:t xml:space="preserve"> </w:t>
      </w:r>
      <w:r w:rsidRPr="00244FD3">
        <w:rPr>
          <w:szCs w:val="24"/>
          <w:lang w:val="et-EE"/>
        </w:rPr>
        <w:t>SAA on loobumisvõimaluse osas esitanud põhjaliku loetelu vastamata küsimustest, mis viitab selle erandi kasutamatusele</w:t>
      </w:r>
      <w:r w:rsidR="00A42797" w:rsidRPr="00244FD3">
        <w:rPr>
          <w:szCs w:val="24"/>
          <w:lang w:val="et-EE"/>
        </w:rPr>
        <w:t xml:space="preserve"> või sobimatusele</w:t>
      </w:r>
      <w:r w:rsidRPr="00244FD3">
        <w:rPr>
          <w:szCs w:val="24"/>
          <w:lang w:val="et-EE"/>
        </w:rPr>
        <w:t xml:space="preserve"> generatiivse tehisaru puhul.</w:t>
      </w:r>
      <w:r w:rsidR="003C1DBB" w:rsidRPr="00244FD3">
        <w:rPr>
          <w:rStyle w:val="Allmrkuseviide"/>
          <w:szCs w:val="24"/>
          <w:lang w:val="et-EE"/>
        </w:rPr>
        <w:footnoteReference w:id="4"/>
      </w:r>
      <w:r w:rsidRPr="00244FD3">
        <w:rPr>
          <w:szCs w:val="24"/>
          <w:lang w:val="et-EE"/>
        </w:rPr>
        <w:t xml:space="preserve"> Näiteks: kuidas saavad autorid väljendada oma vastuseisu, kui neilt luba ei küsita? Kõik need küsimused leiaksid lahenduse, kui tehisarusüsteemide arendajatel oleks kohustus saada õiguste omajate luba kollektiivse esindamise organisatsioonide kaudu.</w:t>
      </w:r>
      <w:r w:rsidR="007B0ABE" w:rsidRPr="00244FD3">
        <w:rPr>
          <w:lang w:val="et-EE"/>
        </w:rPr>
        <w:t xml:space="preserve"> Enamgi veel, see</w:t>
      </w:r>
      <w:r w:rsidR="007B0ABE" w:rsidRPr="00244FD3">
        <w:rPr>
          <w:szCs w:val="24"/>
          <w:lang w:val="et-EE"/>
        </w:rPr>
        <w:t xml:space="preserve"> loobumisnõue võib kujutada endast Berni konventsiooni artikliga 5 keelatud formaalsust.</w:t>
      </w:r>
    </w:p>
    <w:p w14:paraId="1A451919" w14:textId="719DBFB6" w:rsidR="00AD6E2B" w:rsidRPr="00244FD3" w:rsidRDefault="006212EE" w:rsidP="00E24384">
      <w:pPr>
        <w:pStyle w:val="Loendilik"/>
        <w:numPr>
          <w:ilvl w:val="0"/>
          <w:numId w:val="13"/>
        </w:numPr>
        <w:jc w:val="both"/>
        <w:rPr>
          <w:szCs w:val="24"/>
          <w:lang w:val="et-EE"/>
        </w:rPr>
      </w:pPr>
      <w:r w:rsidRPr="00244FD3">
        <w:rPr>
          <w:b/>
          <w:bCs/>
          <w:szCs w:val="24"/>
          <w:lang w:val="et-EE"/>
        </w:rPr>
        <w:t>k</w:t>
      </w:r>
      <w:r w:rsidR="00AD6E2B" w:rsidRPr="00244FD3">
        <w:rPr>
          <w:b/>
          <w:bCs/>
          <w:szCs w:val="24"/>
          <w:lang w:val="et-EE"/>
        </w:rPr>
        <w:t>olmeastmelise testi rikkumine</w:t>
      </w:r>
      <w:r w:rsidR="00AD6E2B" w:rsidRPr="00244FD3">
        <w:rPr>
          <w:szCs w:val="24"/>
          <w:lang w:val="et-EE"/>
        </w:rPr>
        <w:t>.</w:t>
      </w:r>
    </w:p>
    <w:p w14:paraId="10E7C0CF" w14:textId="046FA8AB" w:rsidR="0082339D" w:rsidRDefault="0082339D" w:rsidP="00A944A0">
      <w:pPr>
        <w:rPr>
          <w:szCs w:val="24"/>
          <w:lang w:val="et-EE"/>
        </w:rPr>
      </w:pPr>
    </w:p>
    <w:p w14:paraId="1EC488A0" w14:textId="77777777" w:rsidR="00CF2121" w:rsidRPr="00244FD3" w:rsidRDefault="00CF2121" w:rsidP="00CF2121">
      <w:pPr>
        <w:rPr>
          <w:b/>
          <w:bCs/>
          <w:szCs w:val="24"/>
          <w:lang w:val="et-EE"/>
        </w:rPr>
      </w:pPr>
      <w:r w:rsidRPr="00244FD3">
        <w:rPr>
          <w:b/>
          <w:bCs/>
          <w:szCs w:val="24"/>
          <w:lang w:val="et-EE"/>
        </w:rPr>
        <w:t>Ettepanek</w:t>
      </w:r>
      <w:r>
        <w:rPr>
          <w:b/>
          <w:bCs/>
          <w:szCs w:val="24"/>
          <w:lang w:val="et-EE"/>
        </w:rPr>
        <w:t>ud</w:t>
      </w:r>
      <w:r w:rsidRPr="00244FD3">
        <w:rPr>
          <w:b/>
          <w:bCs/>
          <w:szCs w:val="24"/>
          <w:lang w:val="et-EE"/>
        </w:rPr>
        <w:t xml:space="preserve">: </w:t>
      </w:r>
    </w:p>
    <w:p w14:paraId="74BA294E" w14:textId="1A7630D3" w:rsidR="00CF2121" w:rsidRDefault="00CF2121" w:rsidP="00EF1A14">
      <w:pPr>
        <w:pStyle w:val="Loendilik"/>
        <w:numPr>
          <w:ilvl w:val="0"/>
          <w:numId w:val="14"/>
        </w:numPr>
        <w:jc w:val="both"/>
        <w:rPr>
          <w:szCs w:val="24"/>
          <w:lang w:val="et-EE"/>
        </w:rPr>
      </w:pPr>
      <w:r w:rsidRPr="00CF2121">
        <w:rPr>
          <w:szCs w:val="24"/>
          <w:lang w:val="et-EE"/>
        </w:rPr>
        <w:t>ENL kutsub Justiitsministeeriumi üles alustama siseriiklikku arutelu loojate teoste/esituste ja õiguste õiguspärase kasutamise tagamiseks</w:t>
      </w:r>
      <w:r w:rsidR="009765EA">
        <w:rPr>
          <w:szCs w:val="24"/>
          <w:lang w:val="et-EE"/>
        </w:rPr>
        <w:t xml:space="preserve"> generatiivsete tehisarusüsteemide arendamisel</w:t>
      </w:r>
      <w:r w:rsidRPr="00CF2121">
        <w:rPr>
          <w:szCs w:val="24"/>
          <w:lang w:val="et-EE"/>
        </w:rPr>
        <w:t xml:space="preserve">. </w:t>
      </w:r>
      <w:r w:rsidR="00721BFC">
        <w:rPr>
          <w:szCs w:val="24"/>
          <w:lang w:val="et-EE"/>
        </w:rPr>
        <w:t>See soodustaks ühtsete parimate praktikate loomist erinevates loomesektorites</w:t>
      </w:r>
      <w:r w:rsidR="00250534">
        <w:rPr>
          <w:szCs w:val="24"/>
          <w:lang w:val="et-EE"/>
        </w:rPr>
        <w:t xml:space="preserve"> ja ühtlasi ka kollektiivlepingute juurutamist. Heaks julgustavaks näiteks on USA filmi- ja telenäitlejate saavutus kollektiivlepingu sõlmimise näol detsembris 2023, kus esmakordselt on reguleeritud ka tehisaru </w:t>
      </w:r>
      <w:r w:rsidR="00250534">
        <w:rPr>
          <w:szCs w:val="24"/>
          <w:lang w:val="et-EE"/>
        </w:rPr>
        <w:lastRenderedPageBreak/>
        <w:t>kasutamist filmitööstuses.</w:t>
      </w:r>
      <w:r w:rsidR="00250534">
        <w:rPr>
          <w:rStyle w:val="Allmrkuseviide"/>
          <w:szCs w:val="24"/>
          <w:lang w:val="et-EE"/>
        </w:rPr>
        <w:footnoteReference w:id="5"/>
      </w:r>
      <w:r w:rsidR="00250534">
        <w:rPr>
          <w:szCs w:val="24"/>
          <w:lang w:val="et-EE"/>
        </w:rPr>
        <w:t xml:space="preserve"> Samas on Eesti</w:t>
      </w:r>
      <w:r w:rsidR="00AF7461">
        <w:rPr>
          <w:szCs w:val="24"/>
          <w:lang w:val="et-EE"/>
        </w:rPr>
        <w:t xml:space="preserve">s siin veel väga pikk maa minna ning kohaliku </w:t>
      </w:r>
      <w:r w:rsidR="00250534">
        <w:rPr>
          <w:szCs w:val="24"/>
          <w:lang w:val="et-EE"/>
        </w:rPr>
        <w:t xml:space="preserve">parima praktika kujundamiseks </w:t>
      </w:r>
      <w:r w:rsidR="00AF7461">
        <w:rPr>
          <w:szCs w:val="24"/>
          <w:lang w:val="et-EE"/>
        </w:rPr>
        <w:t xml:space="preserve">on </w:t>
      </w:r>
      <w:r w:rsidR="00250534">
        <w:rPr>
          <w:szCs w:val="24"/>
          <w:lang w:val="et-EE"/>
        </w:rPr>
        <w:t xml:space="preserve">Eesti näitlejatele vajalik ka riigipoolne julgustus ja tugi. </w:t>
      </w:r>
    </w:p>
    <w:p w14:paraId="24CF849B" w14:textId="43679B6F" w:rsidR="00CF2121" w:rsidRDefault="00C034A7" w:rsidP="00EF1A14">
      <w:pPr>
        <w:pStyle w:val="Loendilik"/>
        <w:numPr>
          <w:ilvl w:val="0"/>
          <w:numId w:val="14"/>
        </w:numPr>
        <w:jc w:val="both"/>
        <w:rPr>
          <w:szCs w:val="24"/>
          <w:lang w:val="et-EE"/>
        </w:rPr>
      </w:pPr>
      <w:r w:rsidRPr="00AE6555">
        <w:rPr>
          <w:b/>
          <w:bCs/>
          <w:szCs w:val="24"/>
          <w:lang w:val="et-EE"/>
        </w:rPr>
        <w:t>TDM erandi kohaldatavuse täpsustamine</w:t>
      </w:r>
      <w:r>
        <w:rPr>
          <w:szCs w:val="24"/>
          <w:lang w:val="et-EE"/>
        </w:rPr>
        <w:t xml:space="preserve">. </w:t>
      </w:r>
      <w:r w:rsidR="00CF2121" w:rsidRPr="00CF2121">
        <w:rPr>
          <w:szCs w:val="24"/>
          <w:lang w:val="et-EE"/>
        </w:rPr>
        <w:t>Samuti peaks Justiitsministeerium hindama, kas olemasolevad teksti- ja andmekaeve (TDM) erandid on kolmeastmelise testi täitmiseks piisavalt tasakaalustatud</w:t>
      </w:r>
      <w:r w:rsidR="00A74BD6">
        <w:rPr>
          <w:szCs w:val="24"/>
          <w:lang w:val="et-EE"/>
        </w:rPr>
        <w:t xml:space="preserve"> generatiivse tehisaru kasutamise kontekstis</w:t>
      </w:r>
      <w:r w:rsidR="00CF2121" w:rsidRPr="00CF2121">
        <w:rPr>
          <w:szCs w:val="24"/>
          <w:lang w:val="et-EE"/>
        </w:rPr>
        <w:t xml:space="preserve">. </w:t>
      </w:r>
      <w:r w:rsidR="00A74BD6">
        <w:rPr>
          <w:szCs w:val="24"/>
          <w:lang w:val="et-EE"/>
        </w:rPr>
        <w:t xml:space="preserve">Vajadusel tuleks </w:t>
      </w:r>
      <w:proofErr w:type="spellStart"/>
      <w:r w:rsidR="00A74BD6">
        <w:rPr>
          <w:szCs w:val="24"/>
          <w:lang w:val="et-EE"/>
        </w:rPr>
        <w:t>AutÕS</w:t>
      </w:r>
      <w:proofErr w:type="spellEnd"/>
      <w:r w:rsidR="00A74BD6">
        <w:rPr>
          <w:szCs w:val="24"/>
          <w:lang w:val="et-EE"/>
        </w:rPr>
        <w:t xml:space="preserve"> regulatsiooni täpsustada selliselt, et</w:t>
      </w:r>
      <w:r w:rsidR="00CF2121" w:rsidRPr="00CF2121">
        <w:rPr>
          <w:szCs w:val="24"/>
          <w:lang w:val="et-EE"/>
        </w:rPr>
        <w:t xml:space="preserve"> autoriõiguse ja naabr</w:t>
      </w:r>
      <w:r>
        <w:rPr>
          <w:szCs w:val="24"/>
          <w:lang w:val="et-EE"/>
        </w:rPr>
        <w:t>us</w:t>
      </w:r>
      <w:r w:rsidR="00CF2121" w:rsidRPr="00CF2121">
        <w:rPr>
          <w:szCs w:val="24"/>
          <w:lang w:val="et-EE"/>
        </w:rPr>
        <w:t>õigustega kaitstud sisu väljavõtmiseks generatiivse tehis</w:t>
      </w:r>
      <w:r w:rsidR="00A74BD6">
        <w:rPr>
          <w:szCs w:val="24"/>
          <w:lang w:val="et-EE"/>
        </w:rPr>
        <w:t>aru</w:t>
      </w:r>
      <w:r w:rsidR="00CF2121" w:rsidRPr="00CF2121">
        <w:rPr>
          <w:szCs w:val="24"/>
          <w:lang w:val="et-EE"/>
        </w:rPr>
        <w:t xml:space="preserve"> koolitamise eesmärgil peab olema eelnev litsents või nõusolek asjakohaste masinloetavate mehhanismide kaudu. TDM erandeid ei tohiks laiendada teadusuuringute valdkonnast kaugemale. Olemasolevad ärilistel eesmärkidel tehtud erandid, mis on sageli tehtud enne generatiivse tehis</w:t>
      </w:r>
      <w:r>
        <w:rPr>
          <w:szCs w:val="24"/>
          <w:lang w:val="et-EE"/>
        </w:rPr>
        <w:t>aru</w:t>
      </w:r>
      <w:r w:rsidR="00CF2121" w:rsidRPr="00CF2121">
        <w:rPr>
          <w:szCs w:val="24"/>
          <w:lang w:val="et-EE"/>
        </w:rPr>
        <w:t xml:space="preserve"> tekkimist ja avalikku kättesaadavust, tuleks </w:t>
      </w:r>
      <w:r>
        <w:rPr>
          <w:szCs w:val="24"/>
          <w:lang w:val="et-EE"/>
        </w:rPr>
        <w:t xml:space="preserve">kriitiliselt </w:t>
      </w:r>
      <w:r w:rsidR="00CF2121" w:rsidRPr="00CF2121">
        <w:rPr>
          <w:szCs w:val="24"/>
          <w:lang w:val="et-EE"/>
        </w:rPr>
        <w:t xml:space="preserve">läbi vaadata ja </w:t>
      </w:r>
      <w:r>
        <w:rPr>
          <w:szCs w:val="24"/>
          <w:lang w:val="et-EE"/>
        </w:rPr>
        <w:t>kehtestada nõue, et kaitstud sisu (teoste/esituste) kasutamiseks oleks</w:t>
      </w:r>
      <w:r w:rsidR="00CF2121" w:rsidRPr="00CF2121">
        <w:rPr>
          <w:szCs w:val="24"/>
          <w:lang w:val="et-EE"/>
        </w:rPr>
        <w:t xml:space="preserve"> </w:t>
      </w:r>
      <w:r>
        <w:rPr>
          <w:szCs w:val="24"/>
          <w:lang w:val="et-EE"/>
        </w:rPr>
        <w:t xml:space="preserve">vaja </w:t>
      </w:r>
      <w:r w:rsidR="00CF2121" w:rsidRPr="00CF2121">
        <w:rPr>
          <w:szCs w:val="24"/>
          <w:lang w:val="et-EE"/>
        </w:rPr>
        <w:t xml:space="preserve">vähemalt </w:t>
      </w:r>
      <w:r>
        <w:rPr>
          <w:szCs w:val="24"/>
          <w:lang w:val="et-EE"/>
        </w:rPr>
        <w:t xml:space="preserve">õiguste </w:t>
      </w:r>
      <w:r w:rsidR="00CF2121" w:rsidRPr="00CF2121">
        <w:rPr>
          <w:szCs w:val="24"/>
          <w:lang w:val="et-EE"/>
        </w:rPr>
        <w:t>oma</w:t>
      </w:r>
      <w:r>
        <w:rPr>
          <w:szCs w:val="24"/>
          <w:lang w:val="et-EE"/>
        </w:rPr>
        <w:t>ja</w:t>
      </w:r>
      <w:r w:rsidR="00CF2121" w:rsidRPr="00CF2121">
        <w:rPr>
          <w:szCs w:val="24"/>
          <w:lang w:val="et-EE"/>
        </w:rPr>
        <w:t>(te) teadlikku ja selgesõnalist nõusolekut</w:t>
      </w:r>
      <w:r>
        <w:rPr>
          <w:szCs w:val="24"/>
          <w:lang w:val="et-EE"/>
        </w:rPr>
        <w:t>.</w:t>
      </w:r>
    </w:p>
    <w:p w14:paraId="639BB118" w14:textId="3D586425" w:rsidR="00C034A7" w:rsidRDefault="00C034A7" w:rsidP="00EF1A14">
      <w:pPr>
        <w:pStyle w:val="Loendilik"/>
        <w:numPr>
          <w:ilvl w:val="0"/>
          <w:numId w:val="14"/>
        </w:numPr>
        <w:jc w:val="both"/>
        <w:rPr>
          <w:szCs w:val="24"/>
          <w:lang w:val="et-EE"/>
        </w:rPr>
      </w:pPr>
      <w:r w:rsidRPr="00AE6555">
        <w:rPr>
          <w:b/>
          <w:bCs/>
          <w:szCs w:val="24"/>
          <w:lang w:val="et-EE"/>
        </w:rPr>
        <w:t>Lubade registri loomine</w:t>
      </w:r>
      <w:r>
        <w:rPr>
          <w:szCs w:val="24"/>
          <w:lang w:val="et-EE"/>
        </w:rPr>
        <w:t>.</w:t>
      </w:r>
      <w:r w:rsidRPr="00C034A7">
        <w:rPr>
          <w:szCs w:val="24"/>
          <w:lang w:val="et-EE"/>
        </w:rPr>
        <w:t xml:space="preserve"> </w:t>
      </w:r>
      <w:r>
        <w:rPr>
          <w:szCs w:val="24"/>
          <w:lang w:val="et-EE"/>
        </w:rPr>
        <w:t>ENL</w:t>
      </w:r>
      <w:r w:rsidRPr="00C034A7">
        <w:rPr>
          <w:szCs w:val="24"/>
          <w:lang w:val="et-EE"/>
        </w:rPr>
        <w:t xml:space="preserve"> kutsub </w:t>
      </w:r>
      <w:r>
        <w:rPr>
          <w:szCs w:val="24"/>
          <w:lang w:val="et-EE"/>
        </w:rPr>
        <w:t>Justiitsministeeriumi</w:t>
      </w:r>
      <w:r w:rsidRPr="00C034A7">
        <w:rPr>
          <w:szCs w:val="24"/>
          <w:lang w:val="et-EE"/>
        </w:rPr>
        <w:t xml:space="preserve"> üles looma ametlik</w:t>
      </w:r>
      <w:r>
        <w:rPr>
          <w:szCs w:val="24"/>
          <w:lang w:val="et-EE"/>
        </w:rPr>
        <w:t>ku</w:t>
      </w:r>
      <w:r w:rsidRPr="00C034A7">
        <w:rPr>
          <w:szCs w:val="24"/>
          <w:lang w:val="et-EE"/>
        </w:rPr>
        <w:t xml:space="preserve"> registr</w:t>
      </w:r>
      <w:r>
        <w:rPr>
          <w:szCs w:val="24"/>
          <w:lang w:val="et-EE"/>
        </w:rPr>
        <w:t>it</w:t>
      </w:r>
      <w:r w:rsidRPr="00C034A7">
        <w:rPr>
          <w:szCs w:val="24"/>
          <w:lang w:val="et-EE"/>
        </w:rPr>
        <w:t xml:space="preserve">, mis loetleksid kõik autorite ja </w:t>
      </w:r>
      <w:r>
        <w:rPr>
          <w:szCs w:val="24"/>
          <w:lang w:val="et-EE"/>
        </w:rPr>
        <w:t>naabrus</w:t>
      </w:r>
      <w:r w:rsidRPr="00C034A7">
        <w:rPr>
          <w:szCs w:val="24"/>
          <w:lang w:val="et-EE"/>
        </w:rPr>
        <w:t xml:space="preserve">õiguste </w:t>
      </w:r>
      <w:r>
        <w:rPr>
          <w:szCs w:val="24"/>
          <w:lang w:val="et-EE"/>
        </w:rPr>
        <w:t>omaja</w:t>
      </w:r>
      <w:r w:rsidRPr="00C034A7">
        <w:rPr>
          <w:szCs w:val="24"/>
          <w:lang w:val="et-EE"/>
        </w:rPr>
        <w:t>te poolt sõnaselgelt antud või keeldutud load generatiivsete tehis</w:t>
      </w:r>
      <w:r>
        <w:rPr>
          <w:szCs w:val="24"/>
          <w:lang w:val="et-EE"/>
        </w:rPr>
        <w:t>aru</w:t>
      </w:r>
      <w:r w:rsidRPr="00C034A7">
        <w:rPr>
          <w:szCs w:val="24"/>
          <w:lang w:val="et-EE"/>
        </w:rPr>
        <w:t xml:space="preserve">süsteemide koolitamisega seotud </w:t>
      </w:r>
      <w:r>
        <w:rPr>
          <w:szCs w:val="24"/>
          <w:lang w:val="et-EE"/>
        </w:rPr>
        <w:t>tegevuste</w:t>
      </w:r>
      <w:r w:rsidRPr="00C034A7">
        <w:rPr>
          <w:szCs w:val="24"/>
          <w:lang w:val="et-EE"/>
        </w:rPr>
        <w:t>ks.</w:t>
      </w:r>
    </w:p>
    <w:p w14:paraId="0306B563" w14:textId="3FB21AA3" w:rsidR="00D33594" w:rsidRPr="00CF2121" w:rsidRDefault="00D33594" w:rsidP="00EF1A14">
      <w:pPr>
        <w:pStyle w:val="Loendilik"/>
        <w:numPr>
          <w:ilvl w:val="0"/>
          <w:numId w:val="14"/>
        </w:numPr>
        <w:jc w:val="both"/>
        <w:rPr>
          <w:szCs w:val="24"/>
          <w:lang w:val="et-EE"/>
        </w:rPr>
      </w:pPr>
      <w:r w:rsidRPr="00AE6555">
        <w:rPr>
          <w:b/>
          <w:bCs/>
          <w:szCs w:val="24"/>
          <w:lang w:val="et-EE"/>
        </w:rPr>
        <w:t>Eitada tehisaru autoriõigust</w:t>
      </w:r>
      <w:r>
        <w:rPr>
          <w:szCs w:val="24"/>
          <w:lang w:val="et-EE"/>
        </w:rPr>
        <w:t>.</w:t>
      </w:r>
      <w:r w:rsidRPr="00D33594">
        <w:rPr>
          <w:szCs w:val="24"/>
          <w:lang w:val="et-EE"/>
        </w:rPr>
        <w:t xml:space="preserve"> </w:t>
      </w:r>
      <w:r>
        <w:rPr>
          <w:szCs w:val="24"/>
          <w:lang w:val="et-EE"/>
        </w:rPr>
        <w:t>A</w:t>
      </w:r>
      <w:r w:rsidRPr="00D33594">
        <w:rPr>
          <w:szCs w:val="24"/>
          <w:lang w:val="et-EE"/>
        </w:rPr>
        <w:t>utoriõigus ja sellega kaasnevad õigused peavad kaitsma ainult inimese intellektuaalse loovuse ainulaadset väärtust. Uudne sisu, mi</w:t>
      </w:r>
      <w:r>
        <w:rPr>
          <w:szCs w:val="24"/>
          <w:lang w:val="et-EE"/>
        </w:rPr>
        <w:t>lle</w:t>
      </w:r>
      <w:r w:rsidRPr="00D33594">
        <w:rPr>
          <w:szCs w:val="24"/>
          <w:lang w:val="et-EE"/>
        </w:rPr>
        <w:t xml:space="preserve"> on eranditult või valdavalt too</w:t>
      </w:r>
      <w:r>
        <w:rPr>
          <w:szCs w:val="24"/>
          <w:lang w:val="et-EE"/>
        </w:rPr>
        <w:t>tnud</w:t>
      </w:r>
      <w:r w:rsidRPr="00D33594">
        <w:rPr>
          <w:szCs w:val="24"/>
          <w:lang w:val="et-EE"/>
        </w:rPr>
        <w:t xml:space="preserve"> tehis</w:t>
      </w:r>
      <w:r>
        <w:rPr>
          <w:szCs w:val="24"/>
          <w:lang w:val="et-EE"/>
        </w:rPr>
        <w:t>aru</w:t>
      </w:r>
      <w:r w:rsidRPr="00D33594">
        <w:rPr>
          <w:szCs w:val="24"/>
          <w:lang w:val="et-EE"/>
        </w:rPr>
        <w:t>, ei peaks olema sellise kaitse kõlblik</w:t>
      </w:r>
      <w:r>
        <w:rPr>
          <w:szCs w:val="24"/>
          <w:lang w:val="et-EE"/>
        </w:rPr>
        <w:t xml:space="preserve">. Justiitsministeerium peaks ise või Patendiameti kaudu andma omapoolse tõlgenduse selles olulises küsimuses. Vajadusel tuleks täpsustada </w:t>
      </w:r>
      <w:proofErr w:type="spellStart"/>
      <w:r>
        <w:rPr>
          <w:szCs w:val="24"/>
          <w:lang w:val="et-EE"/>
        </w:rPr>
        <w:t>AutÕS</w:t>
      </w:r>
      <w:proofErr w:type="spellEnd"/>
      <w:r>
        <w:rPr>
          <w:szCs w:val="24"/>
          <w:lang w:val="et-EE"/>
        </w:rPr>
        <w:t xml:space="preserve"> regulatsiooni. </w:t>
      </w:r>
    </w:p>
    <w:p w14:paraId="26C97897" w14:textId="536A848D" w:rsidR="00CF2121" w:rsidRDefault="00CF2121" w:rsidP="00EF1A14">
      <w:pPr>
        <w:jc w:val="both"/>
        <w:rPr>
          <w:szCs w:val="24"/>
          <w:lang w:val="et-EE"/>
        </w:rPr>
      </w:pPr>
    </w:p>
    <w:p w14:paraId="386BF2E2" w14:textId="7E49841B" w:rsidR="00E2542F" w:rsidRPr="00AE6555" w:rsidRDefault="00E2542F" w:rsidP="00EF1A14">
      <w:pPr>
        <w:pStyle w:val="Loendilik"/>
        <w:numPr>
          <w:ilvl w:val="1"/>
          <w:numId w:val="16"/>
        </w:numPr>
        <w:jc w:val="both"/>
        <w:rPr>
          <w:b/>
          <w:bCs/>
          <w:szCs w:val="24"/>
          <w:lang w:val="et-EE"/>
        </w:rPr>
      </w:pPr>
      <w:r w:rsidRPr="00AE6555">
        <w:rPr>
          <w:b/>
          <w:bCs/>
          <w:szCs w:val="24"/>
          <w:lang w:val="et-EE"/>
        </w:rPr>
        <w:t>Kirjaliku vormi nõue esitajalepingute puhul</w:t>
      </w:r>
    </w:p>
    <w:p w14:paraId="60CB5A70" w14:textId="77777777" w:rsidR="00E2542F" w:rsidRPr="00AE6555" w:rsidRDefault="00E2542F" w:rsidP="00EF1A14">
      <w:pPr>
        <w:pStyle w:val="Loendilik"/>
        <w:jc w:val="both"/>
        <w:rPr>
          <w:szCs w:val="24"/>
          <w:lang w:val="et-EE"/>
        </w:rPr>
      </w:pPr>
    </w:p>
    <w:p w14:paraId="3E115663" w14:textId="40498DA2" w:rsidR="00E2542F" w:rsidRPr="00E2542F" w:rsidRDefault="00E2542F" w:rsidP="00EF1A14">
      <w:pPr>
        <w:jc w:val="both"/>
        <w:rPr>
          <w:szCs w:val="24"/>
          <w:lang w:val="et-EE"/>
        </w:rPr>
      </w:pPr>
      <w:r w:rsidRPr="00E2542F">
        <w:rPr>
          <w:b/>
          <w:bCs/>
          <w:szCs w:val="24"/>
          <w:lang w:val="et-EE"/>
        </w:rPr>
        <w:t>Autorilitsents.</w:t>
      </w:r>
      <w:r w:rsidRPr="00E2542F">
        <w:rPr>
          <w:szCs w:val="24"/>
          <w:lang w:val="et-EE"/>
        </w:rPr>
        <w:t xml:space="preserve"> </w:t>
      </w:r>
      <w:proofErr w:type="spellStart"/>
      <w:r w:rsidRPr="00E2542F">
        <w:rPr>
          <w:szCs w:val="24"/>
          <w:lang w:val="et-EE"/>
        </w:rPr>
        <w:t>AutÕS</w:t>
      </w:r>
      <w:proofErr w:type="spellEnd"/>
      <w:r w:rsidRPr="00E2542F">
        <w:rPr>
          <w:szCs w:val="24"/>
          <w:lang w:val="et-EE"/>
        </w:rPr>
        <w:t xml:space="preserve"> § 49 lg 1 kohaselt „autorileping peab olema sõlmitud kirjalikus vormis. Lihtlitsentsi andmine võib olla vormistatud ka kirjalikku taasesitamist võimaldavas vormis.“ Riigikohus (vt 13.12.2006 otsus tsiviilasjas nr 3-2-1-124-06, p 16; 6.06.2012 otsus tsiviilasjas nr 3-2-1-71-12, p 11; 28.09.2020 otsus tsiviilasjas nr 2-16-8751, p 25.2) on autoriõiguse kontekstis autorilepingute puhul leidnud:</w:t>
      </w:r>
    </w:p>
    <w:p w14:paraId="3A2BD740" w14:textId="7F629FE0" w:rsidR="00E2542F" w:rsidRPr="00E2542F" w:rsidRDefault="00E2542F" w:rsidP="00EF1A14">
      <w:pPr>
        <w:pStyle w:val="Loendilik"/>
        <w:numPr>
          <w:ilvl w:val="3"/>
          <w:numId w:val="15"/>
        </w:numPr>
        <w:tabs>
          <w:tab w:val="clear" w:pos="2880"/>
          <w:tab w:val="num" w:pos="567"/>
        </w:tabs>
        <w:ind w:left="567" w:hanging="567"/>
        <w:jc w:val="both"/>
        <w:rPr>
          <w:szCs w:val="24"/>
          <w:lang w:val="et-EE"/>
        </w:rPr>
      </w:pPr>
      <w:r w:rsidRPr="00E2542F">
        <w:rPr>
          <w:szCs w:val="24"/>
          <w:lang w:val="et-EE"/>
        </w:rPr>
        <w:t xml:space="preserve">Seaduses sätestatud vormi järgimata jätmine ei too kaasa autorilepingu tühisust. Seega võib autor anda loa (litsentsi) teose kasutamiseks ka suulise lepinguga või ka kaudsete (s.o tegudega, nt tasu maksmine) tahteavaldustega sõlmitud lepinguga. </w:t>
      </w:r>
    </w:p>
    <w:p w14:paraId="3EED906F" w14:textId="77777777" w:rsidR="00E2542F" w:rsidRPr="00E2542F" w:rsidRDefault="00E2542F" w:rsidP="00EF1A14">
      <w:pPr>
        <w:numPr>
          <w:ilvl w:val="3"/>
          <w:numId w:val="15"/>
        </w:numPr>
        <w:tabs>
          <w:tab w:val="clear" w:pos="2880"/>
          <w:tab w:val="num" w:pos="567"/>
        </w:tabs>
        <w:ind w:left="567" w:hanging="567"/>
        <w:jc w:val="both"/>
        <w:rPr>
          <w:szCs w:val="24"/>
          <w:lang w:val="et-EE"/>
        </w:rPr>
      </w:pPr>
      <w:r w:rsidRPr="00E2542F">
        <w:rPr>
          <w:szCs w:val="24"/>
          <w:lang w:val="et-EE"/>
        </w:rPr>
        <w:t xml:space="preserve">Lisaks on autoril võimalik anda teose kasutamiseks luba (litsents) ka ühepoolse tahteavaldusega. </w:t>
      </w:r>
    </w:p>
    <w:p w14:paraId="4E432AAB" w14:textId="77777777" w:rsidR="00E2542F" w:rsidRDefault="00E2542F" w:rsidP="00EF1A14">
      <w:pPr>
        <w:jc w:val="both"/>
        <w:rPr>
          <w:b/>
          <w:bCs/>
          <w:szCs w:val="24"/>
          <w:lang w:val="et-EE"/>
        </w:rPr>
      </w:pPr>
    </w:p>
    <w:p w14:paraId="3ACAD887" w14:textId="33F4B7FD" w:rsidR="00E2542F" w:rsidRPr="00E2542F" w:rsidRDefault="00E2542F" w:rsidP="00EF1A14">
      <w:pPr>
        <w:jc w:val="both"/>
        <w:rPr>
          <w:szCs w:val="24"/>
          <w:lang w:val="et-EE"/>
        </w:rPr>
      </w:pPr>
      <w:r w:rsidRPr="00E2542F">
        <w:rPr>
          <w:b/>
          <w:bCs/>
          <w:szCs w:val="24"/>
          <w:lang w:val="et-EE"/>
        </w:rPr>
        <w:t>Esitajalitsents.</w:t>
      </w:r>
      <w:r w:rsidRPr="00E2542F">
        <w:rPr>
          <w:szCs w:val="24"/>
          <w:lang w:val="et-EE"/>
        </w:rPr>
        <w:t xml:space="preserve"> </w:t>
      </w:r>
      <w:proofErr w:type="spellStart"/>
      <w:r w:rsidRPr="00E2542F">
        <w:rPr>
          <w:szCs w:val="24"/>
          <w:lang w:val="et-EE"/>
        </w:rPr>
        <w:t>AutÕS</w:t>
      </w:r>
      <w:proofErr w:type="spellEnd"/>
      <w:r w:rsidRPr="00E2542F">
        <w:rPr>
          <w:szCs w:val="24"/>
          <w:lang w:val="et-EE"/>
        </w:rPr>
        <w:t xml:space="preserve"> § 68 lg 1 kohaselt peab esitaja luba esituse kasutamiseks olema kirjalik. Esitajalepingute puhul on hetkel veel (kohtupraktikas) vastuseta järgmised küsimused: </w:t>
      </w:r>
    </w:p>
    <w:p w14:paraId="66C39706" w14:textId="77777777" w:rsidR="00E2542F" w:rsidRDefault="00E2542F" w:rsidP="00AE6555">
      <w:pPr>
        <w:pStyle w:val="Loendilik"/>
        <w:numPr>
          <w:ilvl w:val="1"/>
          <w:numId w:val="17"/>
        </w:numPr>
        <w:ind w:left="567" w:hanging="567"/>
        <w:rPr>
          <w:szCs w:val="24"/>
          <w:lang w:val="et-EE"/>
        </w:rPr>
      </w:pPr>
      <w:r w:rsidRPr="00E2542F">
        <w:rPr>
          <w:szCs w:val="24"/>
          <w:lang w:val="et-EE"/>
        </w:rPr>
        <w:t>Kas Riigikohtu seisukoht autorilepingute vormivabaduse osas kehtib ka esitajaga sõlmitavate lepingute puhul?</w:t>
      </w:r>
    </w:p>
    <w:p w14:paraId="70821BCF" w14:textId="43D1E824" w:rsidR="00E2542F" w:rsidRPr="00E2542F" w:rsidRDefault="00E2542F" w:rsidP="007A5A76">
      <w:pPr>
        <w:pStyle w:val="Loendilik"/>
        <w:numPr>
          <w:ilvl w:val="1"/>
          <w:numId w:val="17"/>
        </w:numPr>
        <w:ind w:left="567" w:hanging="567"/>
        <w:jc w:val="both"/>
        <w:rPr>
          <w:szCs w:val="24"/>
          <w:lang w:val="et-EE"/>
        </w:rPr>
      </w:pPr>
      <w:r w:rsidRPr="00E2542F">
        <w:rPr>
          <w:szCs w:val="24"/>
          <w:lang w:val="et-EE"/>
        </w:rPr>
        <w:lastRenderedPageBreak/>
        <w:t>Kas esitajal on võimalik anda teose esituse kasutamiseks luba ka ühepoolse tahteavaldusega?</w:t>
      </w:r>
    </w:p>
    <w:p w14:paraId="518CCDC5" w14:textId="51480C1F" w:rsidR="00E2542F" w:rsidRDefault="00E2542F" w:rsidP="00E2542F">
      <w:pPr>
        <w:rPr>
          <w:b/>
          <w:bCs/>
          <w:szCs w:val="24"/>
          <w:lang w:val="et-EE"/>
        </w:rPr>
      </w:pPr>
    </w:p>
    <w:p w14:paraId="5405EE82" w14:textId="741725B8" w:rsidR="00E2542F" w:rsidRDefault="00E2542F" w:rsidP="00E2542F">
      <w:pPr>
        <w:rPr>
          <w:b/>
          <w:bCs/>
          <w:szCs w:val="24"/>
          <w:lang w:val="et-EE"/>
        </w:rPr>
      </w:pPr>
      <w:bookmarkStart w:id="0" w:name="_Hlk158049082"/>
      <w:r>
        <w:rPr>
          <w:b/>
          <w:bCs/>
          <w:szCs w:val="24"/>
          <w:lang w:val="et-EE"/>
        </w:rPr>
        <w:t xml:space="preserve">ENL teeb ettepaneku täpsustada neid küsimusi </w:t>
      </w:r>
      <w:proofErr w:type="spellStart"/>
      <w:r>
        <w:rPr>
          <w:b/>
          <w:bCs/>
          <w:szCs w:val="24"/>
          <w:lang w:val="et-EE"/>
        </w:rPr>
        <w:t>AutÕS</w:t>
      </w:r>
      <w:proofErr w:type="spellEnd"/>
      <w:r>
        <w:rPr>
          <w:b/>
          <w:bCs/>
          <w:szCs w:val="24"/>
          <w:lang w:val="et-EE"/>
        </w:rPr>
        <w:t xml:space="preserve"> tasandil. </w:t>
      </w:r>
    </w:p>
    <w:bookmarkEnd w:id="0"/>
    <w:p w14:paraId="4DFB0D9E" w14:textId="77777777" w:rsidR="00E2542F" w:rsidRDefault="00E2542F" w:rsidP="00E2542F">
      <w:pPr>
        <w:rPr>
          <w:b/>
          <w:bCs/>
          <w:szCs w:val="24"/>
          <w:lang w:val="et-EE"/>
        </w:rPr>
      </w:pPr>
    </w:p>
    <w:p w14:paraId="57509EA3" w14:textId="117F9876" w:rsidR="00E2542F" w:rsidRPr="00AE6555" w:rsidRDefault="00E2542F" w:rsidP="00E2542F">
      <w:pPr>
        <w:rPr>
          <w:szCs w:val="24"/>
          <w:lang w:val="et-EE"/>
        </w:rPr>
      </w:pPr>
      <w:r w:rsidRPr="00E2542F">
        <w:rPr>
          <w:b/>
          <w:bCs/>
          <w:szCs w:val="24"/>
          <w:lang w:val="et-EE"/>
        </w:rPr>
        <w:t xml:space="preserve">Autori/esitaja õiguste loovutamine. </w:t>
      </w:r>
      <w:r w:rsidRPr="00E2542F">
        <w:rPr>
          <w:szCs w:val="24"/>
          <w:lang w:val="et-EE"/>
        </w:rPr>
        <w:t>Senise kohtupraktika põhjal on ebaselge, kas suulises vormis või kaudsete tahteavaldustega võib olla sõlmitud ka autori/esitaja varaliste õiguste üleandmise (loovutamise) leping.</w:t>
      </w:r>
      <w:r>
        <w:rPr>
          <w:szCs w:val="24"/>
          <w:lang w:val="et-EE"/>
        </w:rPr>
        <w:t xml:space="preserve"> </w:t>
      </w:r>
      <w:r>
        <w:rPr>
          <w:b/>
          <w:bCs/>
          <w:szCs w:val="24"/>
          <w:lang w:val="et-EE"/>
        </w:rPr>
        <w:t xml:space="preserve">ENL teeb ettepaneku täpsustada seda küsimust </w:t>
      </w:r>
      <w:proofErr w:type="spellStart"/>
      <w:r>
        <w:rPr>
          <w:b/>
          <w:bCs/>
          <w:szCs w:val="24"/>
          <w:lang w:val="et-EE"/>
        </w:rPr>
        <w:t>AutÕS</w:t>
      </w:r>
      <w:proofErr w:type="spellEnd"/>
      <w:r>
        <w:rPr>
          <w:b/>
          <w:bCs/>
          <w:szCs w:val="24"/>
          <w:lang w:val="et-EE"/>
        </w:rPr>
        <w:t xml:space="preserve"> tasandil. </w:t>
      </w:r>
    </w:p>
    <w:p w14:paraId="15F29644" w14:textId="2FE2867B" w:rsidR="00E2542F" w:rsidRDefault="00E2542F" w:rsidP="00A944A0">
      <w:pPr>
        <w:rPr>
          <w:szCs w:val="24"/>
          <w:lang w:val="et-EE"/>
        </w:rPr>
      </w:pPr>
    </w:p>
    <w:p w14:paraId="10C0C1A6" w14:textId="3E0AC855" w:rsidR="00792E84" w:rsidRPr="00244FD3" w:rsidRDefault="00792E84" w:rsidP="008E45FE">
      <w:pPr>
        <w:jc w:val="both"/>
        <w:rPr>
          <w:szCs w:val="24"/>
          <w:lang w:val="et-EE"/>
        </w:rPr>
      </w:pPr>
      <w:r w:rsidRPr="00244FD3">
        <w:rPr>
          <w:b/>
          <w:bCs/>
          <w:szCs w:val="24"/>
          <w:lang w:val="et-EE"/>
        </w:rPr>
        <w:t>Lõpetuseks</w:t>
      </w:r>
      <w:r w:rsidRPr="00244FD3">
        <w:rPr>
          <w:szCs w:val="24"/>
          <w:lang w:val="et-EE"/>
        </w:rPr>
        <w:t xml:space="preserve"> juhime tähelepanu Euroopa Parlamendi 21.11.2023 resolutsiooni punktile 26: </w:t>
      </w:r>
      <w:r w:rsidRPr="00244FD3">
        <w:rPr>
          <w:i/>
          <w:iCs/>
          <w:szCs w:val="24"/>
          <w:lang w:val="et-EE"/>
        </w:rPr>
        <w:t>Euroopa Parlament /.../ on seisukohal, et autorite ja heliloojate õiglane ja piisav tasustamine on nende töötingimuste ja elatusvahendite oluline osa; tunneb muret eri liiki väljaostulepingute kasutamise pärast, mis võivad viia kuritarvituslike ja sunniviisiliste tavadeni, millega hoitakse kõrvale ELi õiglase tasustamise reeglitest ja põhimõtetest ning süvendatakse lepinguosaliste vahelist äärmiselt ebavõrdset jõudude vahekorda; on mures selle pärast, et sellised üha sagedamini kasutatavad lepingud paigutuvad teatavates sektorites sageli välisriigi jurisdiktsiooni alla; n</w:t>
      </w:r>
      <w:r w:rsidRPr="00244FD3">
        <w:rPr>
          <w:b/>
          <w:bCs/>
          <w:i/>
          <w:iCs/>
          <w:szCs w:val="24"/>
          <w:u w:val="single"/>
          <w:lang w:val="et-EE"/>
        </w:rPr>
        <w:t>õuab tungivalt liikmesriikidelt selle tagamist, et kultuuri- ja loomesektori lepingulised kokkulepped oleksid täielikult kooskõlas autoriõiguse direktiivi artiklitega 18, 19 ja 20, ning seda silmas pidades autorite ja esitajate õiguste tagamist; palub, et komisjon olukorda sellega seoses hoolikalt hindaks ja jälgiks</w:t>
      </w:r>
      <w:r w:rsidRPr="00244FD3">
        <w:rPr>
          <w:i/>
          <w:iCs/>
          <w:szCs w:val="24"/>
          <w:lang w:val="et-EE"/>
        </w:rPr>
        <w:t>; nõuab, et komisjon hindaks hoolikalt, kas väljaostulepinguid käsitlevad sätted ning õiguse valikut ja kohtualluvust käsitlevad sätted, milles hiilitakse sageli ELi reeglitest mööda, on kokkusobivad, ning vajadust käsitleda nii neid kui ka muid kahjulikke loovisikutele kehtestatud tavasid, võttes arvesse olemasolevaid ja tulevasi algatusi.</w:t>
      </w:r>
      <w:r w:rsidRPr="00244FD3">
        <w:rPr>
          <w:szCs w:val="24"/>
          <w:lang w:val="et-EE"/>
        </w:rPr>
        <w:t xml:space="preserve"> ENL arvates on oluline, et Justiitsministeerium hindab neid probleemkohti </w:t>
      </w:r>
      <w:proofErr w:type="spellStart"/>
      <w:r w:rsidRPr="00244FD3">
        <w:rPr>
          <w:szCs w:val="24"/>
          <w:lang w:val="et-EE"/>
        </w:rPr>
        <w:t>AutÕS</w:t>
      </w:r>
      <w:proofErr w:type="spellEnd"/>
      <w:r w:rsidRPr="00244FD3">
        <w:rPr>
          <w:szCs w:val="24"/>
          <w:lang w:val="et-EE"/>
        </w:rPr>
        <w:t xml:space="preserve"> </w:t>
      </w:r>
      <w:r w:rsidR="000B0472" w:rsidRPr="00244FD3">
        <w:rPr>
          <w:szCs w:val="24"/>
          <w:lang w:val="et-EE"/>
        </w:rPr>
        <w:t>muutmise seadus</w:t>
      </w:r>
      <w:r w:rsidRPr="00244FD3">
        <w:rPr>
          <w:szCs w:val="24"/>
          <w:lang w:val="et-EE"/>
        </w:rPr>
        <w:t xml:space="preserve">eelnõu väljatöötamisel ning pakub eelnõus välja kas konkreetsed abinõud või vähemalt annab turuosalistele suuniseid seaduseelnõu seletuskirjas. </w:t>
      </w:r>
    </w:p>
    <w:p w14:paraId="4DD1C7DC" w14:textId="77777777" w:rsidR="00792E84" w:rsidRPr="00244FD3" w:rsidRDefault="00792E84" w:rsidP="00792E84">
      <w:pPr>
        <w:rPr>
          <w:szCs w:val="24"/>
          <w:lang w:val="et-EE"/>
        </w:rPr>
      </w:pPr>
    </w:p>
    <w:p w14:paraId="5D02C59F" w14:textId="77777777" w:rsidR="00792E84" w:rsidRPr="00244FD3" w:rsidRDefault="00792E84" w:rsidP="00A944A0">
      <w:pPr>
        <w:rPr>
          <w:szCs w:val="24"/>
          <w:lang w:val="et-EE"/>
        </w:rPr>
      </w:pPr>
    </w:p>
    <w:p w14:paraId="48A02392" w14:textId="19D3ECA7" w:rsidR="00787C23" w:rsidRPr="00244FD3" w:rsidRDefault="00787C23" w:rsidP="00A944A0">
      <w:pPr>
        <w:rPr>
          <w:szCs w:val="24"/>
          <w:lang w:val="et-EE"/>
        </w:rPr>
      </w:pPr>
      <w:r w:rsidRPr="00244FD3">
        <w:rPr>
          <w:szCs w:val="24"/>
          <w:lang w:val="et-EE"/>
        </w:rPr>
        <w:t>Lugupidamisega</w:t>
      </w:r>
    </w:p>
    <w:p w14:paraId="17CB307A" w14:textId="77777777" w:rsidR="00AE6555" w:rsidRDefault="00AE6555" w:rsidP="00A944A0">
      <w:pPr>
        <w:rPr>
          <w:szCs w:val="24"/>
          <w:lang w:val="et-EE"/>
        </w:rPr>
      </w:pPr>
    </w:p>
    <w:p w14:paraId="32720B9C" w14:textId="77777777" w:rsidR="00AE6555" w:rsidRDefault="00AE6555" w:rsidP="00A944A0">
      <w:pPr>
        <w:rPr>
          <w:szCs w:val="24"/>
          <w:lang w:val="et-EE"/>
        </w:rPr>
      </w:pPr>
    </w:p>
    <w:p w14:paraId="4CED92A4" w14:textId="77777777" w:rsidR="00AE6555" w:rsidRDefault="00AE6555" w:rsidP="00A944A0">
      <w:pPr>
        <w:rPr>
          <w:szCs w:val="24"/>
          <w:lang w:val="et-EE"/>
        </w:rPr>
      </w:pPr>
    </w:p>
    <w:p w14:paraId="23FA58B3" w14:textId="5FA6C1F7" w:rsidR="00AE6555" w:rsidRDefault="00AE6555" w:rsidP="00A944A0">
      <w:pPr>
        <w:rPr>
          <w:szCs w:val="24"/>
          <w:lang w:val="et-EE"/>
        </w:rPr>
      </w:pPr>
      <w:r>
        <w:rPr>
          <w:szCs w:val="24"/>
          <w:lang w:val="et-EE"/>
        </w:rPr>
        <w:t>Kaia Kadai</w:t>
      </w:r>
    </w:p>
    <w:p w14:paraId="6989F4AD" w14:textId="159A2520" w:rsidR="00AE6555" w:rsidRPr="00244FD3" w:rsidRDefault="00AE6555" w:rsidP="00A944A0">
      <w:pPr>
        <w:rPr>
          <w:szCs w:val="24"/>
          <w:lang w:val="et-EE"/>
        </w:rPr>
      </w:pPr>
      <w:r>
        <w:rPr>
          <w:szCs w:val="24"/>
          <w:lang w:val="et-EE"/>
        </w:rPr>
        <w:t>Tegevjuht</w:t>
      </w:r>
    </w:p>
    <w:p w14:paraId="6E634C93" w14:textId="58D0287B" w:rsidR="000643B2" w:rsidRPr="00244FD3" w:rsidRDefault="000643B2" w:rsidP="00A944A0">
      <w:pPr>
        <w:rPr>
          <w:szCs w:val="24"/>
          <w:lang w:val="et-EE"/>
        </w:rPr>
      </w:pPr>
    </w:p>
    <w:sectPr w:rsidR="000643B2" w:rsidRPr="00244FD3" w:rsidSect="00AE44F4">
      <w:headerReference w:type="default" r:id="rId8"/>
      <w:headerReference w:type="first" r:id="rId9"/>
      <w:footerReference w:type="first" r:id="rId10"/>
      <w:pgSz w:w="11906" w:h="16820"/>
      <w:pgMar w:top="2791" w:right="1199" w:bottom="1440" w:left="1797" w:header="1134" w:footer="73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E9459" w14:textId="77777777" w:rsidR="00AE44F4" w:rsidRDefault="00AE44F4">
      <w:r>
        <w:separator/>
      </w:r>
    </w:p>
  </w:endnote>
  <w:endnote w:type="continuationSeparator" w:id="0">
    <w:p w14:paraId="4997EB67" w14:textId="77777777" w:rsidR="00AE44F4" w:rsidRDefault="00AE4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Segoe UI"/>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DD70C" w14:textId="77777777" w:rsidR="00F86490" w:rsidRPr="000643B2" w:rsidRDefault="00F86490" w:rsidP="00F86490">
    <w:pPr>
      <w:pStyle w:val="Jalus"/>
      <w:ind w:left="-1797" w:firstLine="1371"/>
      <w:rPr>
        <w:color w:val="000000" w:themeColor="text1"/>
        <w:sz w:val="20"/>
        <w:lang w:val="et-EE"/>
      </w:rPr>
    </w:pPr>
  </w:p>
  <w:p w14:paraId="48DD30DB" w14:textId="290F3F70" w:rsidR="00F86490" w:rsidRPr="000643B2" w:rsidRDefault="00F86490" w:rsidP="00F86490">
    <w:pPr>
      <w:pStyle w:val="Jalus"/>
      <w:rPr>
        <w:color w:val="000000" w:themeColor="text1"/>
        <w:sz w:val="20"/>
        <w:lang w:val="et-EE"/>
      </w:rPr>
    </w:pPr>
    <w:r w:rsidRPr="000643B2">
      <w:rPr>
        <w:color w:val="000000" w:themeColor="text1"/>
        <w:sz w:val="20"/>
        <w:lang w:val="et-EE"/>
      </w:rPr>
      <w:t>Sakala 3, 10141 Tallinn,</w:t>
    </w:r>
    <w:r>
      <w:rPr>
        <w:color w:val="000000" w:themeColor="text1"/>
        <w:sz w:val="20"/>
        <w:lang w:val="et-EE"/>
      </w:rPr>
      <w:t xml:space="preserve">  +</w:t>
    </w:r>
    <w:r w:rsidRPr="000643B2">
      <w:rPr>
        <w:color w:val="000000" w:themeColor="text1"/>
        <w:sz w:val="20"/>
        <w:lang w:val="et-EE"/>
      </w:rPr>
      <w:t>372 5341 5555</w:t>
    </w:r>
    <w:r>
      <w:rPr>
        <w:color w:val="000000" w:themeColor="text1"/>
        <w:sz w:val="20"/>
        <w:lang w:val="et-EE"/>
      </w:rPr>
      <w:t xml:space="preserve">, </w:t>
    </w:r>
    <w:r w:rsidR="00367AFA">
      <w:fldChar w:fldCharType="begin"/>
    </w:r>
    <w:r w:rsidR="00367AFA" w:rsidRPr="00367AFA">
      <w:rPr>
        <w:lang w:val="fi-FI"/>
        <w:rPrChange w:id="1" w:author="kaia kadai" w:date="2024-02-05T21:31:00Z">
          <w:rPr/>
        </w:rPrChange>
      </w:rPr>
      <w:instrText>HYPERLINK "http://www.enliit.ee"</w:instrText>
    </w:r>
    <w:r w:rsidR="00367AFA">
      <w:fldChar w:fldCharType="separate"/>
    </w:r>
    <w:r w:rsidR="00AE6555" w:rsidRPr="004E1F8A">
      <w:rPr>
        <w:rStyle w:val="Hperlink"/>
        <w:sz w:val="20"/>
        <w:lang w:val="et-EE"/>
      </w:rPr>
      <w:t>www.enliit.ee</w:t>
    </w:r>
    <w:r w:rsidR="00367AFA">
      <w:rPr>
        <w:rStyle w:val="Hperlink"/>
        <w:sz w:val="20"/>
        <w:lang w:val="et-EE"/>
      </w:rPr>
      <w:fldChar w:fldCharType="end"/>
    </w:r>
    <w:r w:rsidR="00AE6555">
      <w:rPr>
        <w:color w:val="000000" w:themeColor="text1"/>
        <w:sz w:val="20"/>
        <w:lang w:val="et-EE"/>
      </w:rPr>
      <w:t>; enliit@enliit.ee</w:t>
    </w:r>
    <w:r>
      <w:rPr>
        <w:color w:val="000000" w:themeColor="text1"/>
        <w:sz w:val="20"/>
        <w:lang w:val="et-EE"/>
      </w:rPr>
      <w:t xml:space="preserve">, </w:t>
    </w:r>
    <w:r w:rsidR="00367AFA">
      <w:fldChar w:fldCharType="begin"/>
    </w:r>
    <w:r w:rsidR="00367AFA" w:rsidRPr="00367AFA">
      <w:rPr>
        <w:lang w:val="fi-FI"/>
        <w:rPrChange w:id="2" w:author="kaia kadai" w:date="2024-02-05T21:31:00Z">
          <w:rPr/>
        </w:rPrChange>
      </w:rPr>
      <w:instrText>HYPERLINK "mailto:"</w:instrText>
    </w:r>
    <w:r w:rsidR="00367AFA">
      <w:fldChar w:fldCharType="separate"/>
    </w:r>
    <w:r w:rsidR="00367AFA">
      <w:fldChar w:fldCharType="end"/>
    </w:r>
    <w:r w:rsidRPr="000643B2">
      <w:rPr>
        <w:color w:val="000000" w:themeColor="text1"/>
        <w:sz w:val="20"/>
        <w:lang w:val="et-EE"/>
      </w:rPr>
      <w:t>reg</w:t>
    </w:r>
    <w:r>
      <w:rPr>
        <w:color w:val="000000" w:themeColor="text1"/>
        <w:sz w:val="20"/>
        <w:lang w:val="et-EE"/>
      </w:rPr>
      <w:t>istrikood</w:t>
    </w:r>
    <w:r w:rsidRPr="000643B2">
      <w:rPr>
        <w:color w:val="000000" w:themeColor="text1"/>
        <w:sz w:val="20"/>
        <w:lang w:val="et-EE"/>
      </w:rPr>
      <w:t xml:space="preserve"> 80044655</w:t>
    </w:r>
  </w:p>
  <w:p w14:paraId="1E5A566B" w14:textId="77777777" w:rsidR="006620B2" w:rsidRPr="00F86490" w:rsidRDefault="006620B2">
    <w:pPr>
      <w:pStyle w:val="Jalus"/>
      <w:rPr>
        <w:lang w:val="fi-F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882AC" w14:textId="77777777" w:rsidR="00AE44F4" w:rsidRDefault="00AE44F4">
      <w:r>
        <w:separator/>
      </w:r>
    </w:p>
  </w:footnote>
  <w:footnote w:type="continuationSeparator" w:id="0">
    <w:p w14:paraId="1F30A28E" w14:textId="77777777" w:rsidR="00AE44F4" w:rsidRDefault="00AE44F4">
      <w:r>
        <w:continuationSeparator/>
      </w:r>
    </w:p>
  </w:footnote>
  <w:footnote w:id="1">
    <w:p w14:paraId="5802C28E" w14:textId="16F3ACE7" w:rsidR="00AA3577" w:rsidRPr="00930E85" w:rsidRDefault="00AA3577">
      <w:pPr>
        <w:pStyle w:val="Allmrkusetekst"/>
        <w:rPr>
          <w:lang w:val="fi-FI"/>
        </w:rPr>
      </w:pPr>
      <w:r>
        <w:rPr>
          <w:rStyle w:val="Allmrkuseviide"/>
        </w:rPr>
        <w:footnoteRef/>
      </w:r>
      <w:r w:rsidRPr="00930E85">
        <w:rPr>
          <w:lang w:val="fi-FI"/>
        </w:rPr>
        <w:t xml:space="preserve"> </w:t>
      </w:r>
      <w:hyperlink r:id="rId1" w:history="1">
        <w:proofErr w:type="spellStart"/>
        <w:r w:rsidR="00930E85" w:rsidRPr="00AE6555">
          <w:rPr>
            <w:rFonts w:eastAsia="MS Mincho" w:cstheme="minorHAnsi"/>
            <w:color w:val="0000FF"/>
            <w:u w:val="single"/>
            <w:lang w:val="fi-FI" w:eastAsia="zh-CN"/>
          </w:rPr>
          <w:t>Uuringud</w:t>
        </w:r>
        <w:proofErr w:type="spellEnd"/>
        <w:r w:rsidR="00930E85" w:rsidRPr="00AE6555">
          <w:rPr>
            <w:rFonts w:eastAsia="MS Mincho" w:cstheme="minorHAnsi"/>
            <w:color w:val="0000FF"/>
            <w:u w:val="single"/>
            <w:lang w:val="fi-FI" w:eastAsia="zh-CN"/>
          </w:rPr>
          <w:t xml:space="preserve"> | </w:t>
        </w:r>
        <w:proofErr w:type="spellStart"/>
        <w:r w:rsidR="00930E85" w:rsidRPr="00AE6555">
          <w:rPr>
            <w:rFonts w:eastAsia="MS Mincho" w:cstheme="minorHAnsi"/>
            <w:color w:val="0000FF"/>
            <w:u w:val="single"/>
            <w:lang w:val="fi-FI" w:eastAsia="zh-CN"/>
          </w:rPr>
          <w:t>Justiitsministeerium</w:t>
        </w:r>
        <w:proofErr w:type="spellEnd"/>
      </w:hyperlink>
      <w:r w:rsidR="00930E85" w:rsidRPr="00AE6555">
        <w:rPr>
          <w:rFonts w:eastAsia="MS Mincho" w:cstheme="minorHAnsi"/>
          <w:lang w:val="fi-FI" w:eastAsia="zh-CN"/>
        </w:rPr>
        <w:t xml:space="preserve"> </w:t>
      </w:r>
      <w:proofErr w:type="spellStart"/>
      <w:r w:rsidR="00930E85" w:rsidRPr="00AE6555">
        <w:rPr>
          <w:rFonts w:eastAsia="MS Mincho" w:cstheme="minorHAnsi"/>
          <w:lang w:val="fi-FI" w:eastAsia="zh-CN"/>
        </w:rPr>
        <w:t>Erakopeerimise</w:t>
      </w:r>
      <w:proofErr w:type="spellEnd"/>
      <w:r w:rsidR="00930E85" w:rsidRPr="00AE6555">
        <w:rPr>
          <w:rFonts w:eastAsia="MS Mincho" w:cstheme="minorHAnsi"/>
          <w:lang w:val="fi-FI" w:eastAsia="zh-CN"/>
        </w:rPr>
        <w:t xml:space="preserve"> </w:t>
      </w:r>
      <w:proofErr w:type="spellStart"/>
      <w:r w:rsidR="00930E85" w:rsidRPr="00AE6555">
        <w:rPr>
          <w:rFonts w:eastAsia="MS Mincho" w:cstheme="minorHAnsi"/>
          <w:lang w:val="fi-FI" w:eastAsia="zh-CN"/>
        </w:rPr>
        <w:t>tasu</w:t>
      </w:r>
      <w:proofErr w:type="spellEnd"/>
      <w:r w:rsidR="00930E85" w:rsidRPr="00AE6555">
        <w:rPr>
          <w:rFonts w:eastAsia="MS Mincho" w:cstheme="minorHAnsi"/>
          <w:lang w:val="fi-FI" w:eastAsia="zh-CN"/>
        </w:rPr>
        <w:t xml:space="preserve"> </w:t>
      </w:r>
      <w:proofErr w:type="spellStart"/>
      <w:r w:rsidR="00930E85" w:rsidRPr="00AE6555">
        <w:rPr>
          <w:rFonts w:eastAsia="MS Mincho" w:cstheme="minorHAnsi"/>
          <w:lang w:val="fi-FI" w:eastAsia="zh-CN"/>
        </w:rPr>
        <w:t>aruanne</w:t>
      </w:r>
      <w:proofErr w:type="spellEnd"/>
      <w:r w:rsidR="00930E85" w:rsidRPr="00930E85">
        <w:rPr>
          <w:rFonts w:ascii="Times New Roman" w:eastAsia="MS Mincho" w:hAnsi="Times New Roman" w:cs="Times New Roman"/>
          <w:sz w:val="24"/>
          <w:lang w:val="fi-FI" w:eastAsia="zh-CN"/>
        </w:rPr>
        <w:t xml:space="preserve"> </w:t>
      </w:r>
    </w:p>
  </w:footnote>
  <w:footnote w:id="2">
    <w:p w14:paraId="6B36172D" w14:textId="2D9FDA7C" w:rsidR="00555FE9" w:rsidRPr="00AE6555" w:rsidRDefault="00555FE9" w:rsidP="00555FE9">
      <w:pPr>
        <w:pStyle w:val="Allmrkusetekst"/>
        <w:rPr>
          <w:i/>
          <w:iCs/>
          <w:lang w:val="et-EE"/>
        </w:rPr>
      </w:pPr>
      <w:r>
        <w:rPr>
          <w:rStyle w:val="Allmrkuseviide"/>
        </w:rPr>
        <w:footnoteRef/>
      </w:r>
      <w:r>
        <w:t xml:space="preserve"> </w:t>
      </w:r>
      <w:r>
        <w:rPr>
          <w:lang w:val="et-EE"/>
        </w:rPr>
        <w:t xml:space="preserve">Vt nt Saksa </w:t>
      </w:r>
      <w:r w:rsidRPr="00555FE9">
        <w:rPr>
          <w:lang w:val="et-EE"/>
        </w:rPr>
        <w:t>seadus</w:t>
      </w:r>
      <w:r>
        <w:rPr>
          <w:rFonts w:asciiTheme="majorHAnsi" w:eastAsiaTheme="minorEastAsia" w:hAnsi="Georgia"/>
          <w:noProof/>
          <w:color w:val="000000" w:themeColor="text1"/>
          <w:kern w:val="24"/>
          <w:sz w:val="32"/>
          <w:szCs w:val="32"/>
          <w:lang w:eastAsia="zh-CN"/>
        </w:rPr>
        <w:t xml:space="preserve"> </w:t>
      </w:r>
      <w:r>
        <w:t>(</w:t>
      </w:r>
      <w:proofErr w:type="spellStart"/>
      <w:r>
        <w:t>U</w:t>
      </w:r>
      <w:r w:rsidRPr="00AE6555">
        <w:t>rheberrechtsgesetz</w:t>
      </w:r>
      <w:proofErr w:type="spellEnd"/>
      <w:r>
        <w:t>)</w:t>
      </w:r>
      <w:r>
        <w:rPr>
          <w:lang w:val="et-EE"/>
        </w:rPr>
        <w:t xml:space="preserve">: </w:t>
      </w:r>
      <w:r w:rsidRPr="00AE6555">
        <w:rPr>
          <w:b/>
          <w:bCs/>
          <w:i/>
          <w:iCs/>
        </w:rPr>
        <w:t>Section 36d.</w:t>
      </w:r>
      <w:r w:rsidRPr="00AE6555">
        <w:rPr>
          <w:i/>
          <w:iCs/>
          <w:lang w:val="et-EE"/>
        </w:rPr>
        <w:t xml:space="preserve"> </w:t>
      </w:r>
      <w:r w:rsidRPr="00AE6555">
        <w:rPr>
          <w:b/>
          <w:bCs/>
          <w:i/>
          <w:iCs/>
        </w:rPr>
        <w:t xml:space="preserve">Injunctive relief following failure to provide </w:t>
      </w:r>
      <w:proofErr w:type="gramStart"/>
      <w:r w:rsidRPr="00AE6555">
        <w:rPr>
          <w:b/>
          <w:bCs/>
          <w:i/>
          <w:iCs/>
        </w:rPr>
        <w:t>information</w:t>
      </w:r>
      <w:proofErr w:type="gramEnd"/>
    </w:p>
    <w:p w14:paraId="15241967" w14:textId="77777777" w:rsidR="00555FE9" w:rsidRPr="00AE6555" w:rsidRDefault="00555FE9" w:rsidP="00555FE9">
      <w:pPr>
        <w:pStyle w:val="Allmrkusetekst"/>
        <w:rPr>
          <w:i/>
          <w:iCs/>
          <w:lang w:val="et-EE"/>
        </w:rPr>
      </w:pPr>
      <w:r w:rsidRPr="00AE6555">
        <w:rPr>
          <w:i/>
          <w:iCs/>
        </w:rPr>
        <w:t>(1) If the user of a work does not provide authors with the information as required by section 32d or section 32e in several cases which are the same or similar in nature, that user may be required to cease and desist. The claim under sentence 1 may only be asserted by authors’ associations which meet the requirements of section 36 (2) as regards the relevant group of authors.</w:t>
      </w:r>
    </w:p>
    <w:p w14:paraId="24EF483B" w14:textId="77777777" w:rsidR="00555FE9" w:rsidRPr="00AE6555" w:rsidRDefault="00555FE9" w:rsidP="00555FE9">
      <w:pPr>
        <w:pStyle w:val="Allmrkusetekst"/>
        <w:rPr>
          <w:i/>
          <w:iCs/>
          <w:lang w:val="et-EE"/>
        </w:rPr>
      </w:pPr>
      <w:r w:rsidRPr="00AE6555">
        <w:rPr>
          <w:i/>
          <w:iCs/>
        </w:rPr>
        <w:t>(2) To assert the claim under subsection (1) it is sufficient for there to be clear indications based on verifiable facts that its conditions are met.</w:t>
      </w:r>
    </w:p>
    <w:p w14:paraId="0AB2C1AC" w14:textId="77777777" w:rsidR="00555FE9" w:rsidRPr="00AE6555" w:rsidRDefault="00555FE9" w:rsidP="00555FE9">
      <w:pPr>
        <w:pStyle w:val="Allmrkusetekst"/>
        <w:rPr>
          <w:i/>
          <w:iCs/>
          <w:lang w:val="et-EE"/>
        </w:rPr>
      </w:pPr>
      <w:r w:rsidRPr="00AE6555">
        <w:rPr>
          <w:i/>
          <w:iCs/>
        </w:rPr>
        <w:t>(3) The claim under subsection (1) is ruled out where the obligation to provide information under section 32d or section 32e is regulated by an agreement which is based on a joint remuneration agreement (section 36) or collective agreement.</w:t>
      </w:r>
    </w:p>
    <w:p w14:paraId="79C9D201" w14:textId="0EF6C5BC" w:rsidR="00555FE9" w:rsidRPr="00AE6555" w:rsidRDefault="00555FE9">
      <w:pPr>
        <w:pStyle w:val="Allmrkusetekst"/>
        <w:rPr>
          <w:i/>
          <w:iCs/>
          <w:lang w:val="et-EE"/>
        </w:rPr>
      </w:pPr>
      <w:r w:rsidRPr="00AE6555">
        <w:rPr>
          <w:i/>
          <w:iCs/>
        </w:rPr>
        <w:t>(4) Section 36b (2) applies.</w:t>
      </w:r>
    </w:p>
  </w:footnote>
  <w:footnote w:id="3">
    <w:p w14:paraId="53239088" w14:textId="5DEA01DC" w:rsidR="001036A9" w:rsidRPr="00244FD3" w:rsidRDefault="001036A9">
      <w:pPr>
        <w:pStyle w:val="Allmrkusetekst"/>
        <w:rPr>
          <w:lang w:val="et-EE"/>
        </w:rPr>
      </w:pPr>
      <w:r>
        <w:rPr>
          <w:rStyle w:val="Allmrkuseviide"/>
        </w:rPr>
        <w:footnoteRef/>
      </w:r>
      <w:r w:rsidRPr="00AE6555">
        <w:rPr>
          <w:lang w:val="en-GB"/>
        </w:rPr>
        <w:t xml:space="preserve"> </w:t>
      </w:r>
      <w:r>
        <w:rPr>
          <w:lang w:val="et-EE"/>
        </w:rPr>
        <w:t xml:space="preserve">Vt </w:t>
      </w:r>
      <w:hyperlink r:id="rId2" w:history="1">
        <w:r w:rsidRPr="008B597E">
          <w:rPr>
            <w:rStyle w:val="Hperlink"/>
            <w:rFonts w:cstheme="minorBidi"/>
            <w:lang w:val="et-EE"/>
          </w:rPr>
          <w:t>https://www.saa-authors.eu/file/1287/download</w:t>
        </w:r>
      </w:hyperlink>
      <w:r>
        <w:rPr>
          <w:lang w:val="et-EE"/>
        </w:rPr>
        <w:t xml:space="preserve">   </w:t>
      </w:r>
    </w:p>
  </w:footnote>
  <w:footnote w:id="4">
    <w:p w14:paraId="7B6CAAB8" w14:textId="16C4768D" w:rsidR="003C1DBB" w:rsidRPr="00244FD3" w:rsidRDefault="003C1DBB">
      <w:pPr>
        <w:pStyle w:val="Allmrkusetekst"/>
        <w:rPr>
          <w:lang w:val="et-EE"/>
        </w:rPr>
      </w:pPr>
      <w:r>
        <w:rPr>
          <w:rStyle w:val="Allmrkuseviide"/>
        </w:rPr>
        <w:footnoteRef/>
      </w:r>
      <w:r w:rsidRPr="00244FD3">
        <w:rPr>
          <w:lang w:val="fi-FI"/>
        </w:rPr>
        <w:t xml:space="preserve"> </w:t>
      </w:r>
      <w:r>
        <w:rPr>
          <w:lang w:val="et-EE"/>
        </w:rPr>
        <w:t xml:space="preserve">Vt </w:t>
      </w:r>
      <w:hyperlink r:id="rId3" w:history="1">
        <w:r w:rsidRPr="008B597E">
          <w:rPr>
            <w:rStyle w:val="Hperlink"/>
            <w:rFonts w:cstheme="minorBidi"/>
            <w:lang w:val="et-EE"/>
          </w:rPr>
          <w:t>https://www.saa-authors.eu/file/1287/download</w:t>
        </w:r>
      </w:hyperlink>
      <w:r>
        <w:rPr>
          <w:lang w:val="et-EE"/>
        </w:rPr>
        <w:t xml:space="preserve">  </w:t>
      </w:r>
    </w:p>
  </w:footnote>
  <w:footnote w:id="5">
    <w:p w14:paraId="07338DA1" w14:textId="7B09109C" w:rsidR="00250534" w:rsidRPr="00AE6555" w:rsidRDefault="00250534">
      <w:pPr>
        <w:pStyle w:val="Allmrkusetekst"/>
        <w:rPr>
          <w:lang w:val="et-EE"/>
        </w:rPr>
      </w:pPr>
      <w:r>
        <w:rPr>
          <w:rStyle w:val="Allmrkuseviide"/>
        </w:rPr>
        <w:footnoteRef/>
      </w:r>
      <w:r w:rsidRPr="00AE6555">
        <w:rPr>
          <w:lang w:val="fi-FI"/>
        </w:rPr>
        <w:t xml:space="preserve"> </w:t>
      </w:r>
      <w:r>
        <w:rPr>
          <w:lang w:val="et-EE"/>
        </w:rPr>
        <w:t xml:space="preserve">Vt ka vandeadvokaat Priit </w:t>
      </w:r>
      <w:proofErr w:type="spellStart"/>
      <w:r>
        <w:rPr>
          <w:lang w:val="et-EE"/>
        </w:rPr>
        <w:t>Lätt’i</w:t>
      </w:r>
      <w:proofErr w:type="spellEnd"/>
      <w:r>
        <w:rPr>
          <w:lang w:val="et-EE"/>
        </w:rPr>
        <w:t xml:space="preserve"> artikkel: </w:t>
      </w:r>
      <w:hyperlink r:id="rId4" w:history="1">
        <w:r w:rsidRPr="008B597E">
          <w:rPr>
            <w:rStyle w:val="Hperlink"/>
            <w:rFonts w:cstheme="minorBidi"/>
            <w:lang w:val="et-EE"/>
          </w:rPr>
          <w:t>https://epl.delfi.ee/artikkel/120261196/kas-hollywoodi-streigi-tulemusel-sundinud-kollektiivlepingust-on-kasu-ka-eesti-naitlejatele</w:t>
        </w:r>
      </w:hyperlink>
      <w:r>
        <w:rPr>
          <w:lang w:val="et-E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FB12" w14:textId="3E40EBED" w:rsidR="00B128A5" w:rsidRDefault="00B128A5">
    <w:pPr>
      <w:pStyle w:val="Pis"/>
      <w:ind w:left="-179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76B84" w14:textId="598D008A" w:rsidR="00F86490" w:rsidRDefault="00F86490" w:rsidP="00C27662">
    <w:pPr>
      <w:pStyle w:val="Pis"/>
      <w:ind w:left="-709"/>
    </w:pPr>
    <w:r w:rsidRPr="00606461">
      <w:rPr>
        <w:noProof/>
      </w:rPr>
      <w:drawing>
        <wp:inline distT="0" distB="0" distL="0" distR="0" wp14:anchorId="115AA32D" wp14:editId="30C33580">
          <wp:extent cx="6073140" cy="1447800"/>
          <wp:effectExtent l="0" t="0" r="3810" b="0"/>
          <wp:docPr id="2" name="Picture 1" descr="Pilt, millel on kujutatud tekst, kuvatõmmis, oranž, Fon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Pilt, millel on kujutatud tekst, kuvatõmmis, oranž, Font&#10;&#10;Kirjeldus on genereeritud automaatselt"/>
                  <pic:cNvPicPr>
                    <a:picLocks noChangeAspect="1" noChangeArrowheads="1"/>
                  </pic:cNvPicPr>
                </pic:nvPicPr>
                <pic:blipFill>
                  <a:blip r:embed="rId1">
                    <a:extLst>
                      <a:ext uri="{28A0092B-C50C-407E-A947-70E740481C1C}">
                        <a14:useLocalDpi xmlns:a14="http://schemas.microsoft.com/office/drawing/2010/main" val="0"/>
                      </a:ext>
                    </a:extLst>
                  </a:blip>
                  <a:srcRect l="-6" t="-23" r="-6" b="-23"/>
                  <a:stretch>
                    <a:fillRect/>
                  </a:stretch>
                </pic:blipFill>
                <pic:spPr bwMode="auto">
                  <a:xfrm>
                    <a:off x="0" y="0"/>
                    <a:ext cx="6073140" cy="1447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6A32"/>
    <w:multiLevelType w:val="hybridMultilevel"/>
    <w:tmpl w:val="FFB0BE3E"/>
    <w:lvl w:ilvl="0" w:tplc="FFFFFFFF">
      <w:start w:val="1"/>
      <w:numFmt w:val="decimal"/>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3868A2"/>
    <w:multiLevelType w:val="hybridMultilevel"/>
    <w:tmpl w:val="A2B0A6D6"/>
    <w:lvl w:ilvl="0" w:tplc="FB6639F0">
      <w:start w:val="1"/>
      <w:numFmt w:val="lowerLetter"/>
      <w:lvlText w:val="%1)"/>
      <w:lvlJc w:val="left"/>
      <w:pPr>
        <w:ind w:left="720" w:hanging="360"/>
      </w:pPr>
      <w:rPr>
        <w:rFonts w:ascii="Times New Roman" w:eastAsia="MS Mincho"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294C8D"/>
    <w:multiLevelType w:val="multilevel"/>
    <w:tmpl w:val="D55007DA"/>
    <w:lvl w:ilvl="0">
      <w:start w:val="3"/>
      <w:numFmt w:val="decimal"/>
      <w:lvlText w:val="%1."/>
      <w:lvlJc w:val="left"/>
      <w:pPr>
        <w:ind w:left="360" w:hanging="360"/>
      </w:pPr>
      <w:rPr>
        <w:rFonts w:cs="Times New Roman" w:hint="default"/>
      </w:rPr>
    </w:lvl>
    <w:lvl w:ilvl="1">
      <w:start w:val="1"/>
      <w:numFmt w:val="decimal"/>
      <w:lvlText w:val="%1.%2."/>
      <w:lvlJc w:val="left"/>
      <w:pPr>
        <w:ind w:left="1437" w:hanging="720"/>
      </w:pPr>
      <w:rPr>
        <w:rFonts w:cs="Times New Roman" w:hint="default"/>
      </w:rPr>
    </w:lvl>
    <w:lvl w:ilvl="2">
      <w:start w:val="1"/>
      <w:numFmt w:val="decimal"/>
      <w:lvlText w:val="%3)"/>
      <w:lvlJc w:val="left"/>
      <w:pPr>
        <w:ind w:left="2154" w:hanging="720"/>
      </w:pPr>
      <w:rPr>
        <w:rFonts w:asciiTheme="minorHAnsi" w:eastAsia="Times New Roman" w:hAnsiTheme="minorHAnsi" w:cstheme="minorHAnsi"/>
      </w:rPr>
    </w:lvl>
    <w:lvl w:ilvl="3">
      <w:start w:val="1"/>
      <w:numFmt w:val="decimal"/>
      <w:lvlText w:val="%1.%2.%3.%4."/>
      <w:lvlJc w:val="left"/>
      <w:pPr>
        <w:ind w:left="3231" w:hanging="1080"/>
      </w:pPr>
      <w:rPr>
        <w:rFonts w:cs="Times New Roman" w:hint="default"/>
      </w:rPr>
    </w:lvl>
    <w:lvl w:ilvl="4">
      <w:start w:val="1"/>
      <w:numFmt w:val="decimal"/>
      <w:lvlText w:val="%1.%2.%3.%4.%5."/>
      <w:lvlJc w:val="left"/>
      <w:pPr>
        <w:ind w:left="3948" w:hanging="1080"/>
      </w:pPr>
      <w:rPr>
        <w:rFonts w:cs="Times New Roman" w:hint="default"/>
      </w:rPr>
    </w:lvl>
    <w:lvl w:ilvl="5">
      <w:start w:val="1"/>
      <w:numFmt w:val="decimal"/>
      <w:lvlText w:val="%1.%2.%3.%4.%5.%6."/>
      <w:lvlJc w:val="left"/>
      <w:pPr>
        <w:ind w:left="5025" w:hanging="1440"/>
      </w:pPr>
      <w:rPr>
        <w:rFonts w:cs="Times New Roman" w:hint="default"/>
      </w:rPr>
    </w:lvl>
    <w:lvl w:ilvl="6">
      <w:start w:val="1"/>
      <w:numFmt w:val="decimal"/>
      <w:lvlText w:val="%1.%2.%3.%4.%5.%6.%7."/>
      <w:lvlJc w:val="left"/>
      <w:pPr>
        <w:ind w:left="6102" w:hanging="1800"/>
      </w:pPr>
      <w:rPr>
        <w:rFonts w:cs="Times New Roman" w:hint="default"/>
      </w:rPr>
    </w:lvl>
    <w:lvl w:ilvl="7">
      <w:start w:val="1"/>
      <w:numFmt w:val="decimal"/>
      <w:lvlText w:val="%1.%2.%3.%4.%5.%6.%7.%8."/>
      <w:lvlJc w:val="left"/>
      <w:pPr>
        <w:ind w:left="6819" w:hanging="1800"/>
      </w:pPr>
      <w:rPr>
        <w:rFonts w:cs="Times New Roman" w:hint="default"/>
      </w:rPr>
    </w:lvl>
    <w:lvl w:ilvl="8">
      <w:start w:val="1"/>
      <w:numFmt w:val="decimal"/>
      <w:lvlText w:val="%1.%2.%3.%4.%5.%6.%7.%8.%9."/>
      <w:lvlJc w:val="left"/>
      <w:pPr>
        <w:ind w:left="7896" w:hanging="2160"/>
      </w:pPr>
      <w:rPr>
        <w:rFonts w:cs="Times New Roman" w:hint="default"/>
      </w:rPr>
    </w:lvl>
  </w:abstractNum>
  <w:abstractNum w:abstractNumId="3" w15:restartNumberingAfterBreak="0">
    <w:nsid w:val="10071CB4"/>
    <w:multiLevelType w:val="hybridMultilevel"/>
    <w:tmpl w:val="FFB0BE3E"/>
    <w:lvl w:ilvl="0" w:tplc="FDECECC8">
      <w:start w:val="1"/>
      <w:numFmt w:val="decimal"/>
      <w:lvlText w:val="%1."/>
      <w:lvlJc w:val="left"/>
      <w:pPr>
        <w:ind w:left="1004"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0B6FE5"/>
    <w:multiLevelType w:val="hybridMultilevel"/>
    <w:tmpl w:val="615446E0"/>
    <w:lvl w:ilvl="0" w:tplc="6AAEFC26">
      <w:start w:val="1"/>
      <w:numFmt w:val="lowerLetter"/>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3A598C"/>
    <w:multiLevelType w:val="multilevel"/>
    <w:tmpl w:val="26E46498"/>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1C0A34"/>
    <w:multiLevelType w:val="hybridMultilevel"/>
    <w:tmpl w:val="C374B8BC"/>
    <w:lvl w:ilvl="0" w:tplc="FFFFFFFF">
      <w:start w:val="1"/>
      <w:numFmt w:val="bullet"/>
      <w:lvlText w:val="•"/>
      <w:lvlJc w:val="left"/>
      <w:pPr>
        <w:tabs>
          <w:tab w:val="num" w:pos="720"/>
        </w:tabs>
        <w:ind w:left="720" w:hanging="360"/>
      </w:pPr>
      <w:rPr>
        <w:rFonts w:ascii="Arial" w:hAnsi="Arial" w:hint="default"/>
      </w:rPr>
    </w:lvl>
    <w:lvl w:ilvl="1" w:tplc="FFFFFFFF">
      <w:start w:val="1"/>
      <w:numFmt w:val="lowerLetter"/>
      <w:lvlText w:val="%2)"/>
      <w:lvlJc w:val="left"/>
      <w:pPr>
        <w:ind w:left="1440" w:hanging="360"/>
      </w:pPr>
      <w:rPr>
        <w:rFonts w:ascii="Times New Roman" w:eastAsia="MS Mincho" w:hAnsi="Times New Roman" w:cs="Times New Roman"/>
      </w:rPr>
    </w:lvl>
    <w:lvl w:ilvl="2" w:tplc="FFFFFFFF" w:tentative="1">
      <w:start w:val="1"/>
      <w:numFmt w:val="bullet"/>
      <w:lvlText w:val="•"/>
      <w:lvlJc w:val="left"/>
      <w:pPr>
        <w:tabs>
          <w:tab w:val="num" w:pos="2160"/>
        </w:tabs>
        <w:ind w:left="2160" w:hanging="360"/>
      </w:pPr>
      <w:rPr>
        <w:rFonts w:ascii="Arial" w:hAnsi="Arial" w:hint="default"/>
      </w:rPr>
    </w:lvl>
    <w:lvl w:ilvl="3" w:tplc="FFFFFFFF">
      <w:start w:val="1"/>
      <w:numFmt w:val="lowerLetter"/>
      <w:lvlText w:val="%4)"/>
      <w:lvlJc w:val="left"/>
      <w:pPr>
        <w:tabs>
          <w:tab w:val="num" w:pos="2880"/>
        </w:tabs>
        <w:ind w:left="2880" w:hanging="360"/>
      </w:pPr>
      <w:rPr>
        <w:rFonts w:ascii="Times New Roman" w:eastAsia="MS Mincho" w:hAnsi="Times New Roman" w:cs="Times New Roman"/>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60C393E"/>
    <w:multiLevelType w:val="hybridMultilevel"/>
    <w:tmpl w:val="0F1272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4E431C"/>
    <w:multiLevelType w:val="multilevel"/>
    <w:tmpl w:val="A782C0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5464F28"/>
    <w:multiLevelType w:val="hybridMultilevel"/>
    <w:tmpl w:val="7C9A8D24"/>
    <w:lvl w:ilvl="0" w:tplc="0D889736">
      <w:start w:val="1"/>
      <w:numFmt w:val="lowerLetter"/>
      <w:lvlText w:val="%1)"/>
      <w:lvlJc w:val="left"/>
      <w:pPr>
        <w:ind w:left="1080" w:hanging="72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0B31867"/>
    <w:multiLevelType w:val="multilevel"/>
    <w:tmpl w:val="A42491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56EB46C2"/>
    <w:multiLevelType w:val="hybridMultilevel"/>
    <w:tmpl w:val="FFB0BE3E"/>
    <w:lvl w:ilvl="0" w:tplc="FFFFFFFF">
      <w:start w:val="1"/>
      <w:numFmt w:val="decimal"/>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7B63384"/>
    <w:multiLevelType w:val="hybridMultilevel"/>
    <w:tmpl w:val="4D5E90A8"/>
    <w:lvl w:ilvl="0" w:tplc="E978590A">
      <w:start w:val="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CD2657"/>
    <w:multiLevelType w:val="multilevel"/>
    <w:tmpl w:val="FFEC8E74"/>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76393B26"/>
    <w:multiLevelType w:val="hybridMultilevel"/>
    <w:tmpl w:val="E3329A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78175FCF"/>
    <w:multiLevelType w:val="hybridMultilevel"/>
    <w:tmpl w:val="C374B8BC"/>
    <w:lvl w:ilvl="0" w:tplc="1E449E40">
      <w:start w:val="1"/>
      <w:numFmt w:val="bullet"/>
      <w:lvlText w:val="•"/>
      <w:lvlJc w:val="left"/>
      <w:pPr>
        <w:tabs>
          <w:tab w:val="num" w:pos="720"/>
        </w:tabs>
        <w:ind w:left="720" w:hanging="360"/>
      </w:pPr>
      <w:rPr>
        <w:rFonts w:ascii="Arial" w:hAnsi="Arial" w:hint="default"/>
      </w:rPr>
    </w:lvl>
    <w:lvl w:ilvl="1" w:tplc="94F641EC">
      <w:start w:val="1"/>
      <w:numFmt w:val="lowerLetter"/>
      <w:lvlText w:val="%2)"/>
      <w:lvlJc w:val="left"/>
      <w:pPr>
        <w:ind w:left="1440" w:hanging="360"/>
      </w:pPr>
      <w:rPr>
        <w:rFonts w:ascii="Times New Roman" w:eastAsia="MS Mincho" w:hAnsi="Times New Roman" w:cs="Times New Roman"/>
      </w:rPr>
    </w:lvl>
    <w:lvl w:ilvl="2" w:tplc="F28A3E84" w:tentative="1">
      <w:start w:val="1"/>
      <w:numFmt w:val="bullet"/>
      <w:lvlText w:val="•"/>
      <w:lvlJc w:val="left"/>
      <w:pPr>
        <w:tabs>
          <w:tab w:val="num" w:pos="2160"/>
        </w:tabs>
        <w:ind w:left="2160" w:hanging="360"/>
      </w:pPr>
      <w:rPr>
        <w:rFonts w:ascii="Arial" w:hAnsi="Arial" w:hint="default"/>
      </w:rPr>
    </w:lvl>
    <w:lvl w:ilvl="3" w:tplc="E0DE3E06">
      <w:start w:val="1"/>
      <w:numFmt w:val="lowerLetter"/>
      <w:lvlText w:val="%4)"/>
      <w:lvlJc w:val="left"/>
      <w:pPr>
        <w:tabs>
          <w:tab w:val="num" w:pos="2880"/>
        </w:tabs>
        <w:ind w:left="2880" w:hanging="360"/>
      </w:pPr>
      <w:rPr>
        <w:rFonts w:ascii="Times New Roman" w:eastAsia="MS Mincho" w:hAnsi="Times New Roman" w:cs="Times New Roman"/>
      </w:rPr>
    </w:lvl>
    <w:lvl w:ilvl="4" w:tplc="642697BC" w:tentative="1">
      <w:start w:val="1"/>
      <w:numFmt w:val="bullet"/>
      <w:lvlText w:val="•"/>
      <w:lvlJc w:val="left"/>
      <w:pPr>
        <w:tabs>
          <w:tab w:val="num" w:pos="3600"/>
        </w:tabs>
        <w:ind w:left="3600" w:hanging="360"/>
      </w:pPr>
      <w:rPr>
        <w:rFonts w:ascii="Arial" w:hAnsi="Arial" w:hint="default"/>
      </w:rPr>
    </w:lvl>
    <w:lvl w:ilvl="5" w:tplc="A4502CB8" w:tentative="1">
      <w:start w:val="1"/>
      <w:numFmt w:val="bullet"/>
      <w:lvlText w:val="•"/>
      <w:lvlJc w:val="left"/>
      <w:pPr>
        <w:tabs>
          <w:tab w:val="num" w:pos="4320"/>
        </w:tabs>
        <w:ind w:left="4320" w:hanging="360"/>
      </w:pPr>
      <w:rPr>
        <w:rFonts w:ascii="Arial" w:hAnsi="Arial" w:hint="default"/>
      </w:rPr>
    </w:lvl>
    <w:lvl w:ilvl="6" w:tplc="DB584362" w:tentative="1">
      <w:start w:val="1"/>
      <w:numFmt w:val="bullet"/>
      <w:lvlText w:val="•"/>
      <w:lvlJc w:val="left"/>
      <w:pPr>
        <w:tabs>
          <w:tab w:val="num" w:pos="5040"/>
        </w:tabs>
        <w:ind w:left="5040" w:hanging="360"/>
      </w:pPr>
      <w:rPr>
        <w:rFonts w:ascii="Arial" w:hAnsi="Arial" w:hint="default"/>
      </w:rPr>
    </w:lvl>
    <w:lvl w:ilvl="7" w:tplc="704C9298" w:tentative="1">
      <w:start w:val="1"/>
      <w:numFmt w:val="bullet"/>
      <w:lvlText w:val="•"/>
      <w:lvlJc w:val="left"/>
      <w:pPr>
        <w:tabs>
          <w:tab w:val="num" w:pos="5760"/>
        </w:tabs>
        <w:ind w:left="5760" w:hanging="360"/>
      </w:pPr>
      <w:rPr>
        <w:rFonts w:ascii="Arial" w:hAnsi="Arial" w:hint="default"/>
      </w:rPr>
    </w:lvl>
    <w:lvl w:ilvl="8" w:tplc="7A685E3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EA55E6F"/>
    <w:multiLevelType w:val="hybridMultilevel"/>
    <w:tmpl w:val="6B0C406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840588190">
    <w:abstractNumId w:val="2"/>
  </w:num>
  <w:num w:numId="2" w16cid:durableId="382945972">
    <w:abstractNumId w:val="10"/>
  </w:num>
  <w:num w:numId="3" w16cid:durableId="779181053">
    <w:abstractNumId w:val="16"/>
  </w:num>
  <w:num w:numId="4" w16cid:durableId="406028139">
    <w:abstractNumId w:val="3"/>
  </w:num>
  <w:num w:numId="5" w16cid:durableId="1745562859">
    <w:abstractNumId w:val="12"/>
  </w:num>
  <w:num w:numId="6" w16cid:durableId="849219844">
    <w:abstractNumId w:val="8"/>
  </w:num>
  <w:num w:numId="7" w16cid:durableId="741413094">
    <w:abstractNumId w:val="7"/>
  </w:num>
  <w:num w:numId="8" w16cid:durableId="1447431204">
    <w:abstractNumId w:val="0"/>
  </w:num>
  <w:num w:numId="9" w16cid:durableId="933250320">
    <w:abstractNumId w:val="11"/>
  </w:num>
  <w:num w:numId="10" w16cid:durableId="1495100915">
    <w:abstractNumId w:val="5"/>
  </w:num>
  <w:num w:numId="11" w16cid:durableId="899098397">
    <w:abstractNumId w:val="1"/>
  </w:num>
  <w:num w:numId="12" w16cid:durableId="5250691">
    <w:abstractNumId w:val="4"/>
  </w:num>
  <w:num w:numId="13" w16cid:durableId="1743601627">
    <w:abstractNumId w:val="9"/>
  </w:num>
  <w:num w:numId="14" w16cid:durableId="1808208199">
    <w:abstractNumId w:val="14"/>
  </w:num>
  <w:num w:numId="15" w16cid:durableId="1358048009">
    <w:abstractNumId w:val="15"/>
  </w:num>
  <w:num w:numId="16" w16cid:durableId="968240869">
    <w:abstractNumId w:val="13"/>
  </w:num>
  <w:num w:numId="17" w16cid:durableId="36263739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ia kadai">
    <w15:presenceInfo w15:providerId="Windows Live" w15:userId="eb2b187a5590d4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trackRevisions/>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8A5"/>
    <w:rsid w:val="000073F2"/>
    <w:rsid w:val="00011363"/>
    <w:rsid w:val="00011627"/>
    <w:rsid w:val="00013EFC"/>
    <w:rsid w:val="000156B7"/>
    <w:rsid w:val="00022639"/>
    <w:rsid w:val="00030697"/>
    <w:rsid w:val="000366E6"/>
    <w:rsid w:val="00054DD3"/>
    <w:rsid w:val="000643B2"/>
    <w:rsid w:val="000B0472"/>
    <w:rsid w:val="000B6D48"/>
    <w:rsid w:val="000C6C3F"/>
    <w:rsid w:val="000D08CD"/>
    <w:rsid w:val="000E5E76"/>
    <w:rsid w:val="000F3B9C"/>
    <w:rsid w:val="00100C59"/>
    <w:rsid w:val="00101D98"/>
    <w:rsid w:val="001036A9"/>
    <w:rsid w:val="00120BC6"/>
    <w:rsid w:val="001260DC"/>
    <w:rsid w:val="0013568D"/>
    <w:rsid w:val="001452F5"/>
    <w:rsid w:val="001633C3"/>
    <w:rsid w:val="00165B94"/>
    <w:rsid w:val="00167137"/>
    <w:rsid w:val="00167382"/>
    <w:rsid w:val="00190FA3"/>
    <w:rsid w:val="001A1DB9"/>
    <w:rsid w:val="001A24A3"/>
    <w:rsid w:val="001A44CC"/>
    <w:rsid w:val="001A5D9C"/>
    <w:rsid w:val="001B2FBB"/>
    <w:rsid w:val="001D00EB"/>
    <w:rsid w:val="001E5006"/>
    <w:rsid w:val="001E61FB"/>
    <w:rsid w:val="0020412B"/>
    <w:rsid w:val="00210FEF"/>
    <w:rsid w:val="0022084D"/>
    <w:rsid w:val="0022516C"/>
    <w:rsid w:val="00225C0A"/>
    <w:rsid w:val="002265C4"/>
    <w:rsid w:val="00232F6E"/>
    <w:rsid w:val="00244FD3"/>
    <w:rsid w:val="002478E3"/>
    <w:rsid w:val="00250534"/>
    <w:rsid w:val="00251F3A"/>
    <w:rsid w:val="00254075"/>
    <w:rsid w:val="00256E1D"/>
    <w:rsid w:val="00273B35"/>
    <w:rsid w:val="002775A0"/>
    <w:rsid w:val="002A4368"/>
    <w:rsid w:val="002A7444"/>
    <w:rsid w:val="002C014B"/>
    <w:rsid w:val="002C0376"/>
    <w:rsid w:val="002D0161"/>
    <w:rsid w:val="002F1D7C"/>
    <w:rsid w:val="002F1FFF"/>
    <w:rsid w:val="00303C1D"/>
    <w:rsid w:val="00310C66"/>
    <w:rsid w:val="00314F2E"/>
    <w:rsid w:val="00315BD1"/>
    <w:rsid w:val="0032796A"/>
    <w:rsid w:val="0033161F"/>
    <w:rsid w:val="003327CE"/>
    <w:rsid w:val="00334B5D"/>
    <w:rsid w:val="00335AB0"/>
    <w:rsid w:val="00336127"/>
    <w:rsid w:val="00341F9D"/>
    <w:rsid w:val="00342BAB"/>
    <w:rsid w:val="00344CBC"/>
    <w:rsid w:val="00345928"/>
    <w:rsid w:val="00357742"/>
    <w:rsid w:val="003630B8"/>
    <w:rsid w:val="00367AFA"/>
    <w:rsid w:val="00371E15"/>
    <w:rsid w:val="003B5895"/>
    <w:rsid w:val="003C1381"/>
    <w:rsid w:val="003C1DBB"/>
    <w:rsid w:val="003D0CCC"/>
    <w:rsid w:val="003D1053"/>
    <w:rsid w:val="003F2AC9"/>
    <w:rsid w:val="003F30D9"/>
    <w:rsid w:val="00401F95"/>
    <w:rsid w:val="004035A2"/>
    <w:rsid w:val="00406B87"/>
    <w:rsid w:val="00410049"/>
    <w:rsid w:val="00412D0D"/>
    <w:rsid w:val="00424F7B"/>
    <w:rsid w:val="00442079"/>
    <w:rsid w:val="00442ACE"/>
    <w:rsid w:val="00445828"/>
    <w:rsid w:val="0045100F"/>
    <w:rsid w:val="004644EC"/>
    <w:rsid w:val="004647FB"/>
    <w:rsid w:val="00474616"/>
    <w:rsid w:val="004C3F4D"/>
    <w:rsid w:val="004C6676"/>
    <w:rsid w:val="004F66E5"/>
    <w:rsid w:val="00501289"/>
    <w:rsid w:val="005111B9"/>
    <w:rsid w:val="00525042"/>
    <w:rsid w:val="005253F3"/>
    <w:rsid w:val="00531A1C"/>
    <w:rsid w:val="00532303"/>
    <w:rsid w:val="00534D7E"/>
    <w:rsid w:val="00534FF4"/>
    <w:rsid w:val="00544574"/>
    <w:rsid w:val="00555FE9"/>
    <w:rsid w:val="005708DC"/>
    <w:rsid w:val="00583D74"/>
    <w:rsid w:val="005C75B5"/>
    <w:rsid w:val="005D2D20"/>
    <w:rsid w:val="005D308E"/>
    <w:rsid w:val="005D589A"/>
    <w:rsid w:val="005F2CB9"/>
    <w:rsid w:val="0060496F"/>
    <w:rsid w:val="00604C0D"/>
    <w:rsid w:val="00606461"/>
    <w:rsid w:val="0061040A"/>
    <w:rsid w:val="00615A25"/>
    <w:rsid w:val="006212EE"/>
    <w:rsid w:val="0062445B"/>
    <w:rsid w:val="006522A4"/>
    <w:rsid w:val="00652F5B"/>
    <w:rsid w:val="00657C5F"/>
    <w:rsid w:val="006620B2"/>
    <w:rsid w:val="0066785A"/>
    <w:rsid w:val="00667AB1"/>
    <w:rsid w:val="00683DAA"/>
    <w:rsid w:val="00690F03"/>
    <w:rsid w:val="006A79F5"/>
    <w:rsid w:val="006E1FFC"/>
    <w:rsid w:val="006E3F3B"/>
    <w:rsid w:val="006E4F14"/>
    <w:rsid w:val="00713732"/>
    <w:rsid w:val="00721BFC"/>
    <w:rsid w:val="00734C3E"/>
    <w:rsid w:val="007479CC"/>
    <w:rsid w:val="0076619D"/>
    <w:rsid w:val="00783E51"/>
    <w:rsid w:val="00787C23"/>
    <w:rsid w:val="00792E84"/>
    <w:rsid w:val="00792F55"/>
    <w:rsid w:val="007965AA"/>
    <w:rsid w:val="007A5A76"/>
    <w:rsid w:val="007B0ABE"/>
    <w:rsid w:val="007C2B87"/>
    <w:rsid w:val="007F3917"/>
    <w:rsid w:val="007F6FFA"/>
    <w:rsid w:val="008212F3"/>
    <w:rsid w:val="0082339D"/>
    <w:rsid w:val="00833BD3"/>
    <w:rsid w:val="00837CC6"/>
    <w:rsid w:val="00842276"/>
    <w:rsid w:val="00856B25"/>
    <w:rsid w:val="00860750"/>
    <w:rsid w:val="00860CBA"/>
    <w:rsid w:val="008679F8"/>
    <w:rsid w:val="00886E5D"/>
    <w:rsid w:val="00887F64"/>
    <w:rsid w:val="008901A0"/>
    <w:rsid w:val="00897211"/>
    <w:rsid w:val="008D565E"/>
    <w:rsid w:val="008E115E"/>
    <w:rsid w:val="008E45FE"/>
    <w:rsid w:val="008E74A0"/>
    <w:rsid w:val="008E7B3C"/>
    <w:rsid w:val="00905AF1"/>
    <w:rsid w:val="009079B4"/>
    <w:rsid w:val="00912215"/>
    <w:rsid w:val="0091542E"/>
    <w:rsid w:val="009163B9"/>
    <w:rsid w:val="00930374"/>
    <w:rsid w:val="00930E85"/>
    <w:rsid w:val="00933D8A"/>
    <w:rsid w:val="009344EE"/>
    <w:rsid w:val="0094057D"/>
    <w:rsid w:val="00943E85"/>
    <w:rsid w:val="00956696"/>
    <w:rsid w:val="0096216C"/>
    <w:rsid w:val="00976201"/>
    <w:rsid w:val="009765EA"/>
    <w:rsid w:val="00976E58"/>
    <w:rsid w:val="00985771"/>
    <w:rsid w:val="009A0C5D"/>
    <w:rsid w:val="009A64B2"/>
    <w:rsid w:val="009A78B7"/>
    <w:rsid w:val="009B085C"/>
    <w:rsid w:val="009B0DC4"/>
    <w:rsid w:val="009C27EF"/>
    <w:rsid w:val="00A0352D"/>
    <w:rsid w:val="00A05EDE"/>
    <w:rsid w:val="00A07396"/>
    <w:rsid w:val="00A3330B"/>
    <w:rsid w:val="00A418A7"/>
    <w:rsid w:val="00A42797"/>
    <w:rsid w:val="00A45627"/>
    <w:rsid w:val="00A713B5"/>
    <w:rsid w:val="00A74BD6"/>
    <w:rsid w:val="00A75BD6"/>
    <w:rsid w:val="00A7686A"/>
    <w:rsid w:val="00A81B9C"/>
    <w:rsid w:val="00A82F9B"/>
    <w:rsid w:val="00A90954"/>
    <w:rsid w:val="00A944A0"/>
    <w:rsid w:val="00AA3577"/>
    <w:rsid w:val="00AA5663"/>
    <w:rsid w:val="00AC53AA"/>
    <w:rsid w:val="00AD6E2B"/>
    <w:rsid w:val="00AE44F4"/>
    <w:rsid w:val="00AE6555"/>
    <w:rsid w:val="00AF7461"/>
    <w:rsid w:val="00B045DE"/>
    <w:rsid w:val="00B128A5"/>
    <w:rsid w:val="00B20E58"/>
    <w:rsid w:val="00B21A52"/>
    <w:rsid w:val="00B3072E"/>
    <w:rsid w:val="00B46C40"/>
    <w:rsid w:val="00B5617D"/>
    <w:rsid w:val="00B64251"/>
    <w:rsid w:val="00BA4560"/>
    <w:rsid w:val="00BB118F"/>
    <w:rsid w:val="00BB17C1"/>
    <w:rsid w:val="00BB52DA"/>
    <w:rsid w:val="00BC03D7"/>
    <w:rsid w:val="00BC220F"/>
    <w:rsid w:val="00BC2EDF"/>
    <w:rsid w:val="00BE1774"/>
    <w:rsid w:val="00BE3E53"/>
    <w:rsid w:val="00BF6FB1"/>
    <w:rsid w:val="00C008CF"/>
    <w:rsid w:val="00C034A7"/>
    <w:rsid w:val="00C0788C"/>
    <w:rsid w:val="00C123F5"/>
    <w:rsid w:val="00C27662"/>
    <w:rsid w:val="00C27CED"/>
    <w:rsid w:val="00C34057"/>
    <w:rsid w:val="00C438AD"/>
    <w:rsid w:val="00C43B2D"/>
    <w:rsid w:val="00C5748B"/>
    <w:rsid w:val="00C57B19"/>
    <w:rsid w:val="00C83B6E"/>
    <w:rsid w:val="00C8503F"/>
    <w:rsid w:val="00CB147E"/>
    <w:rsid w:val="00CC6C34"/>
    <w:rsid w:val="00CD3C0A"/>
    <w:rsid w:val="00CE167A"/>
    <w:rsid w:val="00CF2121"/>
    <w:rsid w:val="00CF5301"/>
    <w:rsid w:val="00D01F99"/>
    <w:rsid w:val="00D074C4"/>
    <w:rsid w:val="00D076B4"/>
    <w:rsid w:val="00D16FA9"/>
    <w:rsid w:val="00D27368"/>
    <w:rsid w:val="00D33594"/>
    <w:rsid w:val="00D36498"/>
    <w:rsid w:val="00D443F2"/>
    <w:rsid w:val="00D47BB5"/>
    <w:rsid w:val="00D6000C"/>
    <w:rsid w:val="00D90E18"/>
    <w:rsid w:val="00D92C4A"/>
    <w:rsid w:val="00D977DE"/>
    <w:rsid w:val="00DA6636"/>
    <w:rsid w:val="00DC02CA"/>
    <w:rsid w:val="00DC6692"/>
    <w:rsid w:val="00DE71C7"/>
    <w:rsid w:val="00E11533"/>
    <w:rsid w:val="00E16CD7"/>
    <w:rsid w:val="00E20C09"/>
    <w:rsid w:val="00E24384"/>
    <w:rsid w:val="00E2542F"/>
    <w:rsid w:val="00E277F3"/>
    <w:rsid w:val="00E3050C"/>
    <w:rsid w:val="00E33818"/>
    <w:rsid w:val="00E42ADD"/>
    <w:rsid w:val="00E466ED"/>
    <w:rsid w:val="00E46B25"/>
    <w:rsid w:val="00E47370"/>
    <w:rsid w:val="00E81619"/>
    <w:rsid w:val="00E82F62"/>
    <w:rsid w:val="00EA67BD"/>
    <w:rsid w:val="00EC1711"/>
    <w:rsid w:val="00EC3C35"/>
    <w:rsid w:val="00EC44DA"/>
    <w:rsid w:val="00EE68D2"/>
    <w:rsid w:val="00EE7FF6"/>
    <w:rsid w:val="00EF1A14"/>
    <w:rsid w:val="00F02F17"/>
    <w:rsid w:val="00F128E4"/>
    <w:rsid w:val="00F132D1"/>
    <w:rsid w:val="00F24DEC"/>
    <w:rsid w:val="00F27F18"/>
    <w:rsid w:val="00F30179"/>
    <w:rsid w:val="00F3196B"/>
    <w:rsid w:val="00F41947"/>
    <w:rsid w:val="00F436FD"/>
    <w:rsid w:val="00F45B16"/>
    <w:rsid w:val="00F46769"/>
    <w:rsid w:val="00F63F84"/>
    <w:rsid w:val="00F83D77"/>
    <w:rsid w:val="00F843BC"/>
    <w:rsid w:val="00F86170"/>
    <w:rsid w:val="00F86490"/>
    <w:rsid w:val="00FA11B8"/>
    <w:rsid w:val="00FA3BD7"/>
    <w:rsid w:val="00FC4D72"/>
    <w:rsid w:val="00FE14D8"/>
  </w:rsids>
  <m:mathPr>
    <m:mathFont m:val="Cambria Math"/>
    <m:brkBin m:val="before"/>
    <m:brkBinSub m:val="--"/>
    <m:smallFrac m:val="0"/>
    <m:dispDef/>
    <m:lMargin m:val="0"/>
    <m:rMargin m:val="0"/>
    <m:defJc m:val="centerGroup"/>
    <m:wrapIndent m:val="1440"/>
    <m:intLim m:val="subSup"/>
    <m:naryLim m:val="undOvr"/>
  </m:mathPr>
  <w:themeFontLang w:val="et-EE" w:eastAsia="" w:bid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840F96"/>
  <w14:defaultImageDpi w14:val="0"/>
  <w15:docId w15:val="{0D67658B-8DE0-4124-8D09-E0B3E9A8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rFonts w:eastAsia="MS Mincho"/>
      <w:sz w:val="24"/>
      <w:lang w:val="en-US" w:eastAsia="zh-CN"/>
    </w:rPr>
  </w:style>
  <w:style w:type="paragraph" w:styleId="Pealkiri1">
    <w:name w:val="heading 1"/>
    <w:basedOn w:val="Normaallaad"/>
    <w:next w:val="Normaallaad"/>
    <w:link w:val="Pealkiri1Mrk"/>
    <w:uiPriority w:val="9"/>
    <w:qFormat/>
    <w:rsid w:val="00EE68D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Pealkiri2">
    <w:name w:val="heading 2"/>
    <w:basedOn w:val="Normaallaad"/>
    <w:next w:val="Normaallaad"/>
    <w:link w:val="Pealkiri2Mrk"/>
    <w:uiPriority w:val="9"/>
    <w:unhideWhenUsed/>
    <w:qFormat/>
    <w:rsid w:val="004C3F4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Pealkiri3">
    <w:name w:val="heading 3"/>
    <w:basedOn w:val="Normaallaad"/>
    <w:next w:val="Normaallaad"/>
    <w:link w:val="Pealkiri3Mrk"/>
    <w:uiPriority w:val="9"/>
    <w:semiHidden/>
    <w:unhideWhenUsed/>
    <w:qFormat/>
    <w:pPr>
      <w:keepNext/>
      <w:keepLines/>
      <w:spacing w:before="40"/>
      <w:outlineLvl w:val="2"/>
    </w:pPr>
    <w:rPr>
      <w:rFonts w:asciiTheme="majorHAnsi" w:eastAsiaTheme="majorEastAsia" w:hAnsiTheme="majorHAnsi"/>
      <w:color w:val="1F3763" w:themeColor="accent1" w:themeShade="7F"/>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uiPriority w:val="9"/>
    <w:semiHidden/>
    <w:qFormat/>
    <w:locked/>
    <w:rPr>
      <w:rFonts w:asciiTheme="majorHAnsi" w:eastAsiaTheme="majorEastAsia" w:hAnsiTheme="majorHAnsi" w:cs="Times New Roman"/>
      <w:color w:val="1F3763" w:themeColor="accent1" w:themeShade="7F"/>
      <w:sz w:val="24"/>
      <w:szCs w:val="24"/>
      <w:lang w:val="en-US" w:eastAsia="zh-CN"/>
    </w:rPr>
  </w:style>
  <w:style w:type="character" w:customStyle="1" w:styleId="HeaderChar">
    <w:name w:val="Header Char"/>
    <w:qFormat/>
    <w:rPr>
      <w:sz w:val="24"/>
      <w:lang w:val="en-US" w:eastAsia="x-none"/>
    </w:rPr>
  </w:style>
  <w:style w:type="character" w:customStyle="1" w:styleId="FooterChar">
    <w:name w:val="Footer Char"/>
    <w:qFormat/>
    <w:rPr>
      <w:sz w:val="24"/>
      <w:lang w:val="en-US" w:eastAsia="x-none"/>
    </w:rPr>
  </w:style>
  <w:style w:type="character" w:customStyle="1" w:styleId="BalloonTextChar">
    <w:name w:val="Balloon Text Char"/>
    <w:qFormat/>
    <w:rPr>
      <w:rFonts w:ascii="Lucida Grande" w:hAnsi="Lucida Grande"/>
      <w:sz w:val="18"/>
      <w:lang w:val="en-US" w:eastAsia="x-none"/>
    </w:rPr>
  </w:style>
  <w:style w:type="paragraph" w:customStyle="1" w:styleId="Heading">
    <w:name w:val="Heading"/>
    <w:basedOn w:val="Normaallaad"/>
    <w:next w:val="Kehatekst"/>
    <w:qFormat/>
    <w:pPr>
      <w:keepNext/>
      <w:spacing w:before="240" w:after="120"/>
    </w:pPr>
    <w:rPr>
      <w:rFonts w:ascii="Arial" w:eastAsia="Microsoft YaHei" w:hAnsi="Arial" w:cs="Arial"/>
      <w:sz w:val="28"/>
      <w:szCs w:val="28"/>
    </w:rPr>
  </w:style>
  <w:style w:type="paragraph" w:styleId="Kehatekst">
    <w:name w:val="Body Text"/>
    <w:basedOn w:val="Normaallaad"/>
    <w:link w:val="KehatekstMrk"/>
    <w:uiPriority w:val="99"/>
    <w:pPr>
      <w:spacing w:after="140" w:line="288" w:lineRule="auto"/>
    </w:pPr>
  </w:style>
  <w:style w:type="character" w:customStyle="1" w:styleId="KehatekstMrk">
    <w:name w:val="Kehatekst Märk"/>
    <w:basedOn w:val="Liguvaikefont"/>
    <w:link w:val="Kehatekst"/>
    <w:uiPriority w:val="99"/>
    <w:semiHidden/>
    <w:rPr>
      <w:rFonts w:eastAsia="MS Mincho"/>
      <w:sz w:val="24"/>
      <w:lang w:val="en-US" w:eastAsia="zh-CN"/>
    </w:rPr>
  </w:style>
  <w:style w:type="paragraph" w:styleId="Loend">
    <w:name w:val="List"/>
    <w:basedOn w:val="Kehatekst"/>
    <w:uiPriority w:val="99"/>
    <w:rPr>
      <w:rFonts w:cs="Arial"/>
    </w:rPr>
  </w:style>
  <w:style w:type="paragraph" w:styleId="Pealdis">
    <w:name w:val="caption"/>
    <w:basedOn w:val="Normaallaad"/>
    <w:uiPriority w:val="35"/>
    <w:qFormat/>
    <w:pPr>
      <w:suppressLineNumbers/>
      <w:spacing w:before="120" w:after="120"/>
    </w:pPr>
    <w:rPr>
      <w:rFonts w:cs="Arial"/>
      <w:i/>
      <w:iCs/>
      <w:szCs w:val="24"/>
    </w:rPr>
  </w:style>
  <w:style w:type="paragraph" w:customStyle="1" w:styleId="Index">
    <w:name w:val="Index"/>
    <w:basedOn w:val="Normaallaad"/>
    <w:qFormat/>
    <w:pPr>
      <w:suppressLineNumbers/>
    </w:pPr>
    <w:rPr>
      <w:rFonts w:cs="Arial"/>
    </w:rPr>
  </w:style>
  <w:style w:type="paragraph" w:customStyle="1" w:styleId="HeaderandFooter">
    <w:name w:val="Header and Footer"/>
    <w:basedOn w:val="Normaallaad"/>
    <w:qFormat/>
  </w:style>
  <w:style w:type="paragraph" w:styleId="Pis">
    <w:name w:val="header"/>
    <w:basedOn w:val="Normaallaad"/>
    <w:link w:val="PisMrk"/>
    <w:uiPriority w:val="99"/>
    <w:pPr>
      <w:tabs>
        <w:tab w:val="center" w:pos="4320"/>
        <w:tab w:val="right" w:pos="8640"/>
      </w:tabs>
    </w:pPr>
  </w:style>
  <w:style w:type="character" w:customStyle="1" w:styleId="PisMrk">
    <w:name w:val="Päis Märk"/>
    <w:basedOn w:val="Liguvaikefont"/>
    <w:link w:val="Pis"/>
    <w:uiPriority w:val="99"/>
    <w:semiHidden/>
    <w:rPr>
      <w:rFonts w:eastAsia="MS Mincho"/>
      <w:sz w:val="24"/>
      <w:lang w:val="en-US" w:eastAsia="zh-CN"/>
    </w:rPr>
  </w:style>
  <w:style w:type="paragraph" w:styleId="Jalus">
    <w:name w:val="footer"/>
    <w:basedOn w:val="Normaallaad"/>
    <w:link w:val="JalusMrk"/>
    <w:uiPriority w:val="99"/>
    <w:pPr>
      <w:tabs>
        <w:tab w:val="center" w:pos="4320"/>
        <w:tab w:val="right" w:pos="8640"/>
      </w:tabs>
    </w:pPr>
  </w:style>
  <w:style w:type="character" w:customStyle="1" w:styleId="JalusMrk">
    <w:name w:val="Jalus Märk"/>
    <w:basedOn w:val="Liguvaikefont"/>
    <w:link w:val="Jalus"/>
    <w:uiPriority w:val="99"/>
    <w:semiHidden/>
    <w:rPr>
      <w:rFonts w:eastAsia="MS Mincho"/>
      <w:sz w:val="24"/>
      <w:lang w:val="en-US" w:eastAsia="zh-CN"/>
    </w:rPr>
  </w:style>
  <w:style w:type="paragraph" w:styleId="Jutumullitekst">
    <w:name w:val="Balloon Text"/>
    <w:basedOn w:val="Normaallaad"/>
    <w:link w:val="JutumullitekstMrk"/>
    <w:uiPriority w:val="99"/>
    <w:qFormat/>
    <w:rPr>
      <w:rFonts w:ascii="Lucida Grande" w:hAnsi="Lucida Grande" w:cs="Lucida Grande"/>
      <w:sz w:val="18"/>
      <w:szCs w:val="18"/>
    </w:rPr>
  </w:style>
  <w:style w:type="character" w:customStyle="1" w:styleId="JutumullitekstMrk">
    <w:name w:val="Jutumullitekst Märk"/>
    <w:basedOn w:val="Liguvaikefont"/>
    <w:link w:val="Jutumullitekst"/>
    <w:uiPriority w:val="99"/>
    <w:semiHidden/>
    <w:rPr>
      <w:rFonts w:ascii="Segoe UI" w:eastAsia="MS Mincho" w:hAnsi="Segoe UI" w:cs="Segoe UI"/>
      <w:sz w:val="18"/>
      <w:szCs w:val="18"/>
      <w:lang w:val="en-US" w:eastAsia="zh-CN"/>
    </w:rPr>
  </w:style>
  <w:style w:type="character" w:styleId="Hperlink">
    <w:name w:val="Hyperlink"/>
    <w:basedOn w:val="Liguvaikefont"/>
    <w:uiPriority w:val="99"/>
    <w:unhideWhenUsed/>
    <w:rsid w:val="00532303"/>
    <w:rPr>
      <w:rFonts w:cs="Times New Roman"/>
      <w:color w:val="0563C1" w:themeColor="hyperlink"/>
      <w:u w:val="single"/>
    </w:rPr>
  </w:style>
  <w:style w:type="character" w:styleId="Lahendamatamainimine">
    <w:name w:val="Unresolved Mention"/>
    <w:basedOn w:val="Liguvaikefont"/>
    <w:uiPriority w:val="99"/>
    <w:semiHidden/>
    <w:unhideWhenUsed/>
    <w:rsid w:val="00532303"/>
    <w:rPr>
      <w:rFonts w:cs="Times New Roman"/>
      <w:color w:val="605E5C"/>
      <w:shd w:val="clear" w:color="auto" w:fill="E1DFDD"/>
    </w:rPr>
  </w:style>
  <w:style w:type="character" w:styleId="Klastatudhperlink">
    <w:name w:val="FollowedHyperlink"/>
    <w:basedOn w:val="Liguvaikefont"/>
    <w:uiPriority w:val="99"/>
    <w:semiHidden/>
    <w:unhideWhenUsed/>
    <w:rsid w:val="00532303"/>
    <w:rPr>
      <w:rFonts w:cs="Times New Roman"/>
      <w:color w:val="954F72" w:themeColor="followedHyperlink"/>
      <w:u w:val="single"/>
    </w:rPr>
  </w:style>
  <w:style w:type="paragraph" w:styleId="Allmrkusetekst">
    <w:name w:val="footnote text"/>
    <w:basedOn w:val="Normaallaad"/>
    <w:link w:val="AllmrkusetekstMrk"/>
    <w:uiPriority w:val="99"/>
    <w:semiHidden/>
    <w:unhideWhenUsed/>
    <w:rsid w:val="00401F95"/>
    <w:pPr>
      <w:suppressAutoHyphens w:val="0"/>
    </w:pPr>
    <w:rPr>
      <w:rFonts w:asciiTheme="minorHAnsi" w:eastAsiaTheme="minorHAnsi" w:hAnsiTheme="minorHAnsi" w:cstheme="minorBidi"/>
      <w:sz w:val="20"/>
      <w:lang w:eastAsia="en-US"/>
    </w:rPr>
  </w:style>
  <w:style w:type="character" w:customStyle="1" w:styleId="AllmrkusetekstMrk">
    <w:name w:val="Allmärkuse tekst Märk"/>
    <w:basedOn w:val="Liguvaikefont"/>
    <w:link w:val="Allmrkusetekst"/>
    <w:uiPriority w:val="99"/>
    <w:semiHidden/>
    <w:rsid w:val="00401F95"/>
    <w:rPr>
      <w:rFonts w:asciiTheme="minorHAnsi" w:eastAsiaTheme="minorHAnsi" w:hAnsiTheme="minorHAnsi" w:cstheme="minorBidi"/>
      <w:lang w:val="en-US" w:eastAsia="en-US"/>
    </w:rPr>
  </w:style>
  <w:style w:type="character" w:styleId="Allmrkuseviide">
    <w:name w:val="footnote reference"/>
    <w:basedOn w:val="Liguvaikefont"/>
    <w:uiPriority w:val="99"/>
    <w:semiHidden/>
    <w:unhideWhenUsed/>
    <w:rsid w:val="00401F95"/>
    <w:rPr>
      <w:vertAlign w:val="superscript"/>
    </w:rPr>
  </w:style>
  <w:style w:type="character" w:customStyle="1" w:styleId="Pealkiri1Mrk">
    <w:name w:val="Pealkiri 1 Märk"/>
    <w:basedOn w:val="Liguvaikefont"/>
    <w:link w:val="Pealkiri1"/>
    <w:uiPriority w:val="9"/>
    <w:rsid w:val="00EE68D2"/>
    <w:rPr>
      <w:rFonts w:asciiTheme="majorHAnsi" w:eastAsiaTheme="majorEastAsia" w:hAnsiTheme="majorHAnsi" w:cstheme="majorBidi"/>
      <w:color w:val="2F5496" w:themeColor="accent1" w:themeShade="BF"/>
      <w:sz w:val="32"/>
      <w:szCs w:val="32"/>
      <w:lang w:val="en-US" w:eastAsia="zh-CN"/>
    </w:rPr>
  </w:style>
  <w:style w:type="paragraph" w:styleId="Normaallaadveeb">
    <w:name w:val="Normal (Web)"/>
    <w:basedOn w:val="Normaallaad"/>
    <w:uiPriority w:val="99"/>
    <w:semiHidden/>
    <w:unhideWhenUsed/>
    <w:rsid w:val="00A944A0"/>
    <w:pPr>
      <w:suppressAutoHyphens w:val="0"/>
      <w:spacing w:before="100" w:beforeAutospacing="1" w:after="100" w:afterAutospacing="1"/>
    </w:pPr>
    <w:rPr>
      <w:rFonts w:eastAsia="Times New Roman"/>
      <w:szCs w:val="24"/>
      <w:lang w:eastAsia="en-US"/>
    </w:rPr>
  </w:style>
  <w:style w:type="character" w:customStyle="1" w:styleId="Pealkiri2Mrk">
    <w:name w:val="Pealkiri 2 Märk"/>
    <w:basedOn w:val="Liguvaikefont"/>
    <w:link w:val="Pealkiri2"/>
    <w:uiPriority w:val="9"/>
    <w:rsid w:val="004C3F4D"/>
    <w:rPr>
      <w:rFonts w:asciiTheme="majorHAnsi" w:eastAsiaTheme="majorEastAsia" w:hAnsiTheme="majorHAnsi" w:cstheme="majorBidi"/>
      <w:color w:val="2F5496" w:themeColor="accent1" w:themeShade="BF"/>
      <w:sz w:val="26"/>
      <w:szCs w:val="26"/>
      <w:lang w:val="en-US" w:eastAsia="zh-CN"/>
    </w:rPr>
  </w:style>
  <w:style w:type="paragraph" w:styleId="Loendilik">
    <w:name w:val="List Paragraph"/>
    <w:basedOn w:val="Normaallaad"/>
    <w:uiPriority w:val="34"/>
    <w:qFormat/>
    <w:rsid w:val="0061040A"/>
    <w:pPr>
      <w:ind w:left="720"/>
      <w:contextualSpacing/>
    </w:pPr>
  </w:style>
  <w:style w:type="paragraph" w:styleId="Redaktsioon">
    <w:name w:val="Revision"/>
    <w:hidden/>
    <w:uiPriority w:val="99"/>
    <w:semiHidden/>
    <w:rsid w:val="00B21A52"/>
    <w:pPr>
      <w:suppressAutoHyphens w:val="0"/>
    </w:pPr>
    <w:rPr>
      <w:rFonts w:eastAsia="MS Mincho"/>
      <w:sz w:val="24"/>
      <w:lang w:val="en-US" w:eastAsia="zh-CN"/>
    </w:rPr>
  </w:style>
  <w:style w:type="character" w:styleId="Kommentaariviide">
    <w:name w:val="annotation reference"/>
    <w:basedOn w:val="Liguvaikefont"/>
    <w:uiPriority w:val="99"/>
    <w:semiHidden/>
    <w:unhideWhenUsed/>
    <w:rsid w:val="00A7686A"/>
    <w:rPr>
      <w:sz w:val="16"/>
      <w:szCs w:val="16"/>
    </w:rPr>
  </w:style>
  <w:style w:type="paragraph" w:styleId="Kommentaaritekst">
    <w:name w:val="annotation text"/>
    <w:basedOn w:val="Normaallaad"/>
    <w:link w:val="KommentaaritekstMrk"/>
    <w:uiPriority w:val="99"/>
    <w:unhideWhenUsed/>
    <w:rsid w:val="00A7686A"/>
    <w:rPr>
      <w:sz w:val="20"/>
    </w:rPr>
  </w:style>
  <w:style w:type="character" w:customStyle="1" w:styleId="KommentaaritekstMrk">
    <w:name w:val="Kommentaari tekst Märk"/>
    <w:basedOn w:val="Liguvaikefont"/>
    <w:link w:val="Kommentaaritekst"/>
    <w:uiPriority w:val="99"/>
    <w:rsid w:val="00A7686A"/>
    <w:rPr>
      <w:rFonts w:eastAsia="MS Mincho"/>
      <w:lang w:val="en-US" w:eastAsia="zh-CN"/>
    </w:rPr>
  </w:style>
  <w:style w:type="paragraph" w:styleId="Kommentaariteema">
    <w:name w:val="annotation subject"/>
    <w:basedOn w:val="Kommentaaritekst"/>
    <w:next w:val="Kommentaaritekst"/>
    <w:link w:val="KommentaariteemaMrk"/>
    <w:uiPriority w:val="99"/>
    <w:semiHidden/>
    <w:unhideWhenUsed/>
    <w:rsid w:val="00A7686A"/>
    <w:rPr>
      <w:b/>
      <w:bCs/>
    </w:rPr>
  </w:style>
  <w:style w:type="character" w:customStyle="1" w:styleId="KommentaariteemaMrk">
    <w:name w:val="Kommentaari teema Märk"/>
    <w:basedOn w:val="KommentaaritekstMrk"/>
    <w:link w:val="Kommentaariteema"/>
    <w:uiPriority w:val="99"/>
    <w:semiHidden/>
    <w:rsid w:val="00A7686A"/>
    <w:rPr>
      <w:rFonts w:eastAsia="MS Mincho"/>
      <w:b/>
      <w:bCs/>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0598">
      <w:bodyDiv w:val="1"/>
      <w:marLeft w:val="0"/>
      <w:marRight w:val="0"/>
      <w:marTop w:val="0"/>
      <w:marBottom w:val="0"/>
      <w:divBdr>
        <w:top w:val="none" w:sz="0" w:space="0" w:color="auto"/>
        <w:left w:val="none" w:sz="0" w:space="0" w:color="auto"/>
        <w:bottom w:val="none" w:sz="0" w:space="0" w:color="auto"/>
        <w:right w:val="none" w:sz="0" w:space="0" w:color="auto"/>
      </w:divBdr>
    </w:div>
    <w:div w:id="730730453">
      <w:bodyDiv w:val="1"/>
      <w:marLeft w:val="0"/>
      <w:marRight w:val="0"/>
      <w:marTop w:val="0"/>
      <w:marBottom w:val="0"/>
      <w:divBdr>
        <w:top w:val="none" w:sz="0" w:space="0" w:color="auto"/>
        <w:left w:val="none" w:sz="0" w:space="0" w:color="auto"/>
        <w:bottom w:val="none" w:sz="0" w:space="0" w:color="auto"/>
        <w:right w:val="none" w:sz="0" w:space="0" w:color="auto"/>
      </w:divBdr>
    </w:div>
    <w:div w:id="876087543">
      <w:bodyDiv w:val="1"/>
      <w:marLeft w:val="0"/>
      <w:marRight w:val="0"/>
      <w:marTop w:val="0"/>
      <w:marBottom w:val="0"/>
      <w:divBdr>
        <w:top w:val="none" w:sz="0" w:space="0" w:color="auto"/>
        <w:left w:val="none" w:sz="0" w:space="0" w:color="auto"/>
        <w:bottom w:val="none" w:sz="0" w:space="0" w:color="auto"/>
        <w:right w:val="none" w:sz="0" w:space="0" w:color="auto"/>
      </w:divBdr>
    </w:div>
    <w:div w:id="1103066817">
      <w:bodyDiv w:val="1"/>
      <w:marLeft w:val="0"/>
      <w:marRight w:val="0"/>
      <w:marTop w:val="0"/>
      <w:marBottom w:val="0"/>
      <w:divBdr>
        <w:top w:val="none" w:sz="0" w:space="0" w:color="auto"/>
        <w:left w:val="none" w:sz="0" w:space="0" w:color="auto"/>
        <w:bottom w:val="none" w:sz="0" w:space="0" w:color="auto"/>
        <w:right w:val="none" w:sz="0" w:space="0" w:color="auto"/>
      </w:divBdr>
      <w:divsChild>
        <w:div w:id="1678800468">
          <w:marLeft w:val="446"/>
          <w:marRight w:val="0"/>
          <w:marTop w:val="0"/>
          <w:marBottom w:val="120"/>
          <w:divBdr>
            <w:top w:val="none" w:sz="0" w:space="0" w:color="auto"/>
            <w:left w:val="none" w:sz="0" w:space="0" w:color="auto"/>
            <w:bottom w:val="none" w:sz="0" w:space="0" w:color="auto"/>
            <w:right w:val="none" w:sz="0" w:space="0" w:color="auto"/>
          </w:divBdr>
        </w:div>
        <w:div w:id="2062903446">
          <w:marLeft w:val="1022"/>
          <w:marRight w:val="0"/>
          <w:marTop w:val="0"/>
          <w:marBottom w:val="120"/>
          <w:divBdr>
            <w:top w:val="none" w:sz="0" w:space="0" w:color="auto"/>
            <w:left w:val="none" w:sz="0" w:space="0" w:color="auto"/>
            <w:bottom w:val="none" w:sz="0" w:space="0" w:color="auto"/>
            <w:right w:val="none" w:sz="0" w:space="0" w:color="auto"/>
          </w:divBdr>
        </w:div>
        <w:div w:id="1625622553">
          <w:marLeft w:val="1022"/>
          <w:marRight w:val="0"/>
          <w:marTop w:val="0"/>
          <w:marBottom w:val="120"/>
          <w:divBdr>
            <w:top w:val="none" w:sz="0" w:space="0" w:color="auto"/>
            <w:left w:val="none" w:sz="0" w:space="0" w:color="auto"/>
            <w:bottom w:val="none" w:sz="0" w:space="0" w:color="auto"/>
            <w:right w:val="none" w:sz="0" w:space="0" w:color="auto"/>
          </w:divBdr>
        </w:div>
        <w:div w:id="640692823">
          <w:marLeft w:val="446"/>
          <w:marRight w:val="0"/>
          <w:marTop w:val="0"/>
          <w:marBottom w:val="120"/>
          <w:divBdr>
            <w:top w:val="none" w:sz="0" w:space="0" w:color="auto"/>
            <w:left w:val="none" w:sz="0" w:space="0" w:color="auto"/>
            <w:bottom w:val="none" w:sz="0" w:space="0" w:color="auto"/>
            <w:right w:val="none" w:sz="0" w:space="0" w:color="auto"/>
          </w:divBdr>
        </w:div>
        <w:div w:id="2099674704">
          <w:marLeft w:val="1022"/>
          <w:marRight w:val="0"/>
          <w:marTop w:val="0"/>
          <w:marBottom w:val="120"/>
          <w:divBdr>
            <w:top w:val="none" w:sz="0" w:space="0" w:color="auto"/>
            <w:left w:val="none" w:sz="0" w:space="0" w:color="auto"/>
            <w:bottom w:val="none" w:sz="0" w:space="0" w:color="auto"/>
            <w:right w:val="none" w:sz="0" w:space="0" w:color="auto"/>
          </w:divBdr>
        </w:div>
        <w:div w:id="1702197716">
          <w:marLeft w:val="1022"/>
          <w:marRight w:val="0"/>
          <w:marTop w:val="0"/>
          <w:marBottom w:val="120"/>
          <w:divBdr>
            <w:top w:val="none" w:sz="0" w:space="0" w:color="auto"/>
            <w:left w:val="none" w:sz="0" w:space="0" w:color="auto"/>
            <w:bottom w:val="none" w:sz="0" w:space="0" w:color="auto"/>
            <w:right w:val="none" w:sz="0" w:space="0" w:color="auto"/>
          </w:divBdr>
        </w:div>
        <w:div w:id="1517882360">
          <w:marLeft w:val="446"/>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saa-authors.eu/file/1287/download" TargetMode="External"/><Relationship Id="rId2" Type="http://schemas.openxmlformats.org/officeDocument/2006/relationships/hyperlink" Target="https://www.saa-authors.eu/file/1287/download" TargetMode="External"/><Relationship Id="rId1" Type="http://schemas.openxmlformats.org/officeDocument/2006/relationships/hyperlink" Target="https://www.just.ee/uuringud" TargetMode="External"/><Relationship Id="rId4" Type="http://schemas.openxmlformats.org/officeDocument/2006/relationships/hyperlink" Target="https://epl.delfi.ee/artikkel/120261196/kas-hollywoodi-streigi-tulemusel-sundinud-kollektiivlepingust-on-kasu-ka-eesti-naitlejatel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BF4A9-3D86-4390-A910-7C8A7B2BE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1645</Words>
  <Characters>12335</Characters>
  <Application>Microsoft Office Word</Application>
  <DocSecurity>0</DocSecurity>
  <Lines>102</Lines>
  <Paragraphs>27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kalle</dc:creator>
  <cp:keywords/>
  <dc:description/>
  <cp:lastModifiedBy>kaia kadai</cp:lastModifiedBy>
  <cp:revision>11</cp:revision>
  <cp:lastPrinted>2047-12-31T22:21:00Z</cp:lastPrinted>
  <dcterms:created xsi:type="dcterms:W3CDTF">2024-02-05T19:09:00Z</dcterms:created>
  <dcterms:modified xsi:type="dcterms:W3CDTF">2024-02-05T19:32:00Z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