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3BA5" w14:textId="54B978DF" w:rsidR="00B130D0" w:rsidRPr="000A0A28" w:rsidRDefault="00B130D0" w:rsidP="004445DC">
      <w:pPr>
        <w:spacing w:after="0" w:line="240" w:lineRule="auto"/>
        <w:contextualSpacing/>
        <w:jc w:val="right"/>
        <w:outlineLvl w:val="0"/>
        <w:rPr>
          <w:rFonts w:ascii="Times New Roman" w:hAnsi="Times New Roman"/>
          <w:bCs/>
          <w:kern w:val="36"/>
          <w:sz w:val="24"/>
          <w:szCs w:val="24"/>
        </w:rPr>
      </w:pPr>
      <w:r>
        <w:rPr>
          <w:rFonts w:ascii="Times New Roman" w:hAnsi="Times New Roman"/>
          <w:bCs/>
          <w:kern w:val="36"/>
          <w:sz w:val="24"/>
          <w:szCs w:val="24"/>
        </w:rPr>
        <w:t>Isikut tõendavate dokumentide</w:t>
      </w:r>
      <w:r w:rsidRPr="000A0A28">
        <w:rPr>
          <w:rFonts w:ascii="Times New Roman" w:hAnsi="Times New Roman"/>
          <w:bCs/>
          <w:kern w:val="36"/>
          <w:sz w:val="24"/>
          <w:szCs w:val="24"/>
        </w:rPr>
        <w:t xml:space="preserve"> seaduse ja sellega seonduvalt teiste seaduste muutmise seaduse eelnõu </w:t>
      </w:r>
    </w:p>
    <w:p w14:paraId="7DC20FE4" w14:textId="63A1C649" w:rsidR="00B130D0" w:rsidRPr="000A0A28" w:rsidRDefault="00B130D0" w:rsidP="004445DC">
      <w:pPr>
        <w:spacing w:after="0" w:line="240" w:lineRule="auto"/>
        <w:contextualSpacing/>
        <w:jc w:val="right"/>
        <w:outlineLvl w:val="0"/>
        <w:rPr>
          <w:rFonts w:ascii="Times New Roman" w:hAnsi="Times New Roman"/>
          <w:bCs/>
          <w:kern w:val="36"/>
          <w:sz w:val="24"/>
          <w:szCs w:val="24"/>
        </w:rPr>
      </w:pPr>
      <w:r w:rsidRPr="000A0A28">
        <w:rPr>
          <w:rFonts w:ascii="Times New Roman" w:hAnsi="Times New Roman"/>
          <w:bCs/>
          <w:kern w:val="36"/>
          <w:sz w:val="24"/>
          <w:szCs w:val="24"/>
        </w:rPr>
        <w:t>seletuskirja lisa</w:t>
      </w:r>
      <w:r>
        <w:rPr>
          <w:rFonts w:ascii="Times New Roman" w:hAnsi="Times New Roman"/>
          <w:bCs/>
          <w:kern w:val="36"/>
          <w:sz w:val="24"/>
          <w:szCs w:val="24"/>
        </w:rPr>
        <w:t xml:space="preserve"> 4</w:t>
      </w:r>
    </w:p>
    <w:p w14:paraId="18E88DD9" w14:textId="77777777" w:rsidR="00B130D0" w:rsidRPr="000A0A28" w:rsidRDefault="00B130D0" w:rsidP="004445DC">
      <w:pPr>
        <w:spacing w:after="0" w:line="240" w:lineRule="auto"/>
        <w:contextualSpacing/>
        <w:jc w:val="both"/>
        <w:outlineLvl w:val="0"/>
        <w:rPr>
          <w:rFonts w:ascii="Times New Roman" w:hAnsi="Times New Roman"/>
          <w:bCs/>
          <w:kern w:val="36"/>
          <w:sz w:val="24"/>
          <w:szCs w:val="24"/>
        </w:rPr>
      </w:pPr>
    </w:p>
    <w:p w14:paraId="2C968697" w14:textId="77777777" w:rsidR="00B130D0" w:rsidRPr="000A0A28" w:rsidRDefault="00B130D0" w:rsidP="004445DC">
      <w:pPr>
        <w:spacing w:after="0" w:line="240" w:lineRule="auto"/>
        <w:jc w:val="both"/>
        <w:rPr>
          <w:rFonts w:ascii="Times New Roman" w:hAnsi="Times New Roman"/>
          <w:b/>
          <w:bCs/>
          <w:caps/>
          <w:color w:val="FFFFFF"/>
          <w:sz w:val="24"/>
          <w:szCs w:val="24"/>
        </w:rPr>
      </w:pPr>
      <w:r w:rsidRPr="000A0A28">
        <w:rPr>
          <w:rFonts w:ascii="Times New Roman" w:hAnsi="Times New Roman"/>
          <w:b/>
          <w:bCs/>
          <w:caps/>
          <w:color w:val="FFFFFF"/>
          <w:sz w:val="24"/>
          <w:szCs w:val="24"/>
        </w:rPr>
        <w:t>KOOSKÕLASTUSTkk</w:t>
      </w:r>
    </w:p>
    <w:p w14:paraId="25B610A5" w14:textId="77777777" w:rsidR="00B130D0" w:rsidRPr="000A0A28" w:rsidRDefault="00B130D0" w:rsidP="004445DC">
      <w:pPr>
        <w:spacing w:after="0" w:line="240" w:lineRule="auto"/>
        <w:jc w:val="both"/>
        <w:rPr>
          <w:rFonts w:ascii="Times New Roman" w:hAnsi="Times New Roman"/>
          <w:b/>
          <w:bCs/>
          <w:caps/>
          <w:sz w:val="24"/>
          <w:szCs w:val="24"/>
        </w:rPr>
      </w:pPr>
      <w:r w:rsidRPr="000A0A28">
        <w:rPr>
          <w:rFonts w:ascii="Times New Roman" w:hAnsi="Times New Roman"/>
          <w:b/>
          <w:bCs/>
          <w:caps/>
          <w:sz w:val="24"/>
          <w:szCs w:val="24"/>
        </w:rPr>
        <w:t>MÄRKUSTE JA ETTEPANEKUTE tabel</w:t>
      </w:r>
    </w:p>
    <w:tbl>
      <w:tblPr>
        <w:tblStyle w:val="TableGrid"/>
        <w:tblW w:w="0" w:type="auto"/>
        <w:tblLook w:val="04A0" w:firstRow="1" w:lastRow="0" w:firstColumn="1" w:lastColumn="0" w:noHBand="0" w:noVBand="1"/>
      </w:tblPr>
      <w:tblGrid>
        <w:gridCol w:w="532"/>
        <w:gridCol w:w="2245"/>
        <w:gridCol w:w="3238"/>
        <w:gridCol w:w="3047"/>
      </w:tblGrid>
      <w:tr w:rsidR="0035627E" w14:paraId="519E69DE" w14:textId="77777777" w:rsidTr="00B130D0">
        <w:tc>
          <w:tcPr>
            <w:tcW w:w="562" w:type="dxa"/>
          </w:tcPr>
          <w:p w14:paraId="7D6355EE" w14:textId="0561B901" w:rsidR="00B130D0" w:rsidRPr="00B130D0" w:rsidRDefault="00B130D0" w:rsidP="004445DC">
            <w:pPr>
              <w:spacing w:line="240" w:lineRule="auto"/>
              <w:rPr>
                <w:rFonts w:ascii="Times New Roman" w:hAnsi="Times New Roman"/>
                <w:sz w:val="24"/>
                <w:szCs w:val="24"/>
              </w:rPr>
            </w:pPr>
          </w:p>
        </w:tc>
        <w:tc>
          <w:tcPr>
            <w:tcW w:w="1701" w:type="dxa"/>
          </w:tcPr>
          <w:p w14:paraId="66E47FE6" w14:textId="0152D1CC" w:rsidR="00B130D0" w:rsidRPr="00B130D0" w:rsidRDefault="00B130D0" w:rsidP="004445DC">
            <w:pPr>
              <w:spacing w:line="240" w:lineRule="auto"/>
              <w:rPr>
                <w:rFonts w:ascii="Times New Roman" w:hAnsi="Times New Roman"/>
                <w:szCs w:val="22"/>
              </w:rPr>
            </w:pPr>
            <w:proofErr w:type="spellStart"/>
            <w:r w:rsidRPr="00B130D0">
              <w:rPr>
                <w:rFonts w:ascii="Times New Roman" w:hAnsi="Times New Roman"/>
                <w:b/>
                <w:bCs/>
                <w:szCs w:val="22"/>
              </w:rPr>
              <w:t>Kooskõlastaja</w:t>
            </w:r>
            <w:proofErr w:type="spellEnd"/>
            <w:r w:rsidRPr="00B130D0">
              <w:rPr>
                <w:rFonts w:ascii="Times New Roman" w:hAnsi="Times New Roman"/>
                <w:b/>
                <w:bCs/>
                <w:szCs w:val="22"/>
              </w:rPr>
              <w:t xml:space="preserve"> või arvamuse esitaja</w:t>
            </w:r>
          </w:p>
        </w:tc>
        <w:tc>
          <w:tcPr>
            <w:tcW w:w="3544" w:type="dxa"/>
          </w:tcPr>
          <w:p w14:paraId="670B7EE2" w14:textId="55BC0283" w:rsidR="00B130D0" w:rsidRPr="00B130D0" w:rsidRDefault="00B130D0" w:rsidP="004445DC">
            <w:pPr>
              <w:spacing w:line="240" w:lineRule="auto"/>
              <w:rPr>
                <w:rFonts w:ascii="Times New Roman" w:hAnsi="Times New Roman"/>
                <w:szCs w:val="22"/>
              </w:rPr>
            </w:pPr>
            <w:r w:rsidRPr="00B130D0">
              <w:rPr>
                <w:rFonts w:ascii="Times New Roman" w:hAnsi="Times New Roman"/>
                <w:b/>
                <w:bCs/>
                <w:noProof/>
                <w:szCs w:val="22"/>
                <w:lang w:eastAsia="en-US"/>
              </w:rPr>
              <w:t>Märkuse või ettepaneku sisu</w:t>
            </w:r>
          </w:p>
        </w:tc>
        <w:tc>
          <w:tcPr>
            <w:tcW w:w="3255" w:type="dxa"/>
          </w:tcPr>
          <w:p w14:paraId="3F0F8642" w14:textId="3D83253A" w:rsidR="00B130D0" w:rsidRPr="00B130D0" w:rsidRDefault="00B130D0" w:rsidP="004445DC">
            <w:pPr>
              <w:spacing w:line="240" w:lineRule="auto"/>
              <w:rPr>
                <w:rFonts w:ascii="Times New Roman" w:hAnsi="Times New Roman"/>
                <w:szCs w:val="22"/>
              </w:rPr>
            </w:pPr>
            <w:r w:rsidRPr="00B130D0">
              <w:rPr>
                <w:rFonts w:ascii="Times New Roman" w:hAnsi="Times New Roman"/>
                <w:b/>
                <w:bCs/>
                <w:noProof/>
                <w:szCs w:val="22"/>
                <w:lang w:eastAsia="en-US"/>
              </w:rPr>
              <w:t>Arvestatud või arvestamata jäetud, arvestamata jätmise põhjus</w:t>
            </w:r>
          </w:p>
        </w:tc>
      </w:tr>
      <w:tr w:rsidR="0035627E" w:rsidRPr="00FE1AC4" w14:paraId="42DE75ED" w14:textId="77777777" w:rsidTr="00B130D0">
        <w:tc>
          <w:tcPr>
            <w:tcW w:w="562" w:type="dxa"/>
          </w:tcPr>
          <w:p w14:paraId="455045F6" w14:textId="263F46BB" w:rsidR="00B130D0" w:rsidRPr="00FE1AC4" w:rsidRDefault="00927519" w:rsidP="004445DC">
            <w:pPr>
              <w:spacing w:line="240" w:lineRule="auto"/>
              <w:rPr>
                <w:rFonts w:ascii="Times New Roman" w:hAnsi="Times New Roman"/>
                <w:szCs w:val="22"/>
              </w:rPr>
            </w:pPr>
            <w:r w:rsidRPr="00FE1AC4">
              <w:rPr>
                <w:rFonts w:ascii="Times New Roman" w:hAnsi="Times New Roman"/>
                <w:szCs w:val="22"/>
              </w:rPr>
              <w:t>1.</w:t>
            </w:r>
          </w:p>
        </w:tc>
        <w:tc>
          <w:tcPr>
            <w:tcW w:w="1701" w:type="dxa"/>
          </w:tcPr>
          <w:p w14:paraId="3398BFD1" w14:textId="1627EB23" w:rsidR="00B130D0" w:rsidRPr="00FE1AC4" w:rsidRDefault="00927519"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0603796A" w14:textId="7CCCDD81" w:rsidR="00B130D0" w:rsidRPr="00FE1AC4" w:rsidRDefault="00927519" w:rsidP="004445DC">
            <w:pPr>
              <w:spacing w:line="240" w:lineRule="auto"/>
              <w:rPr>
                <w:rFonts w:ascii="Times New Roman" w:hAnsi="Times New Roman"/>
                <w:szCs w:val="22"/>
              </w:rPr>
            </w:pPr>
            <w:r w:rsidRPr="00FE1AC4">
              <w:rPr>
                <w:rFonts w:ascii="Times New Roman" w:hAnsi="Times New Roman"/>
                <w:szCs w:val="22"/>
              </w:rPr>
              <w:t xml:space="preserve">Juhime eelnõu osas läbivalt tähelepanu, et isikuandmete töötlemine on Eesti Vabariigi põhiseaduse §-s 26 sätestatud isiku eraelu puutumatuse piiramine, mida võib teha ainult seaduse alusel. Põhiseadusest ja selle tõlgendamise kohtupraktikast1 tuleneb põhiõiguste riive puhul seadusereservatsiooni põhimõte, mille kohaselt peab põhiõiguste seisukohalt olulisi küsimusi reguleerima Riigikogu. Riigikogu võib täidesaatvat võimu volitada reguleerima üksnes vähem intensiivseid põhiõiguste piiranguid ning sealjuures peab seaduses sisalduv volitusnorm olema täpne, selge ja vastavuses piirangu intensiivsusega. Seda põhimõtet tuleb järgida ka isikuandmete töötlemisel. See tähendab, et isikuandmete töötlemine peab olema reguleeritud seadusega, määrusega võib seaduse norme täpsustada, kuid seda üksnes selge ja täpse ulatusega volitusnormi alusel. Mida intensiivsem on põhiõiguste piirang, seda üksikasjalikumad peavad olema täitevvõimu tegutsemise aluseks olev volitusnorm ja menetlusnormid2 . Seega ei sobi isikuandmete töötlemise seaduslikuks aluseks üldine volitusnorm, mis jätab kõik peamised küsimused täitevvõimu reguleerida. Eelkõige peab seaduse tasandil määratlema isikuandmete töötlemise olukorrad ja eesmärgid, töödeldavate isikuandmete </w:t>
            </w:r>
            <w:r w:rsidRPr="00FE1AC4">
              <w:rPr>
                <w:rFonts w:ascii="Times New Roman" w:hAnsi="Times New Roman"/>
                <w:szCs w:val="22"/>
              </w:rPr>
              <w:lastRenderedPageBreak/>
              <w:t xml:space="preserve">koosseisu vähemalt isikuandmete kategooriate täpsusega (viimast võib seaduse volitusnormi alusel määrusega täpsustada) ning töödeldavate isikuandmete säilitamise tähtajad. Igasugune isikuandmete töötlemine peab vastama andmetöötluse põhimõtetele vastavalt isikuandmete kaitse </w:t>
            </w:r>
            <w:proofErr w:type="spellStart"/>
            <w:r w:rsidRPr="00FE1AC4">
              <w:rPr>
                <w:rFonts w:ascii="Times New Roman" w:hAnsi="Times New Roman"/>
                <w:szCs w:val="22"/>
              </w:rPr>
              <w:t>üldmääruse</w:t>
            </w:r>
            <w:proofErr w:type="spellEnd"/>
            <w:r w:rsidRPr="00FE1AC4">
              <w:rPr>
                <w:rFonts w:ascii="Times New Roman" w:hAnsi="Times New Roman"/>
                <w:szCs w:val="22"/>
              </w:rPr>
              <w:t xml:space="preserve"> (IKÜM) artiklis 5 sätestatule.</w:t>
            </w:r>
          </w:p>
        </w:tc>
        <w:tc>
          <w:tcPr>
            <w:tcW w:w="3255" w:type="dxa"/>
          </w:tcPr>
          <w:p w14:paraId="7FCE6E22" w14:textId="77777777" w:rsidR="00B130D0" w:rsidRDefault="00F40D25" w:rsidP="004445DC">
            <w:pPr>
              <w:spacing w:after="0" w:line="240" w:lineRule="auto"/>
              <w:rPr>
                <w:rFonts w:ascii="Times New Roman" w:hAnsi="Times New Roman"/>
                <w:szCs w:val="22"/>
              </w:rPr>
            </w:pPr>
            <w:r>
              <w:rPr>
                <w:rFonts w:ascii="Times New Roman" w:hAnsi="Times New Roman"/>
                <w:szCs w:val="22"/>
              </w:rPr>
              <w:lastRenderedPageBreak/>
              <w:t>Arvestatud.</w:t>
            </w:r>
          </w:p>
          <w:p w14:paraId="4E558BBB" w14:textId="5E2D9DEF" w:rsidR="00F40D25" w:rsidRPr="00FE1AC4" w:rsidRDefault="00F40D25" w:rsidP="004445DC">
            <w:pPr>
              <w:spacing w:line="240" w:lineRule="auto"/>
              <w:rPr>
                <w:rFonts w:ascii="Times New Roman" w:hAnsi="Times New Roman"/>
                <w:szCs w:val="22"/>
              </w:rPr>
            </w:pPr>
            <w:r>
              <w:rPr>
                <w:rFonts w:ascii="Times New Roman" w:hAnsi="Times New Roman"/>
                <w:szCs w:val="22"/>
              </w:rPr>
              <w:t>Isikuandmete töötlemise olukorrad ja eesmärgid, töödeldavate isikuandmete koosseis isikuandmete kategooriate täpsusega ning isikuandmete säilitamise tähtajad on reguleeritud seaduse tasandil.</w:t>
            </w:r>
          </w:p>
        </w:tc>
      </w:tr>
      <w:tr w:rsidR="0035627E" w:rsidRPr="00FE1AC4" w14:paraId="0362B02F" w14:textId="77777777" w:rsidTr="00B130D0">
        <w:tc>
          <w:tcPr>
            <w:tcW w:w="562" w:type="dxa"/>
          </w:tcPr>
          <w:p w14:paraId="6B5EDBA3" w14:textId="019940B1" w:rsidR="00B130D0" w:rsidRPr="00FE1AC4" w:rsidRDefault="00927519" w:rsidP="004445DC">
            <w:pPr>
              <w:spacing w:line="240" w:lineRule="auto"/>
              <w:rPr>
                <w:rFonts w:ascii="Times New Roman" w:hAnsi="Times New Roman"/>
                <w:szCs w:val="22"/>
              </w:rPr>
            </w:pPr>
            <w:r w:rsidRPr="00FE1AC4">
              <w:rPr>
                <w:rFonts w:ascii="Times New Roman" w:hAnsi="Times New Roman"/>
                <w:szCs w:val="22"/>
              </w:rPr>
              <w:t>2.</w:t>
            </w:r>
          </w:p>
        </w:tc>
        <w:tc>
          <w:tcPr>
            <w:tcW w:w="1701" w:type="dxa"/>
          </w:tcPr>
          <w:p w14:paraId="311CF48D" w14:textId="2C1CF8F7" w:rsidR="00B130D0" w:rsidRPr="00FE1AC4" w:rsidRDefault="00927519"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3EDE9446" w14:textId="4692D500" w:rsidR="00B130D0" w:rsidRPr="00FE1AC4" w:rsidRDefault="00927519" w:rsidP="004445DC">
            <w:pPr>
              <w:spacing w:line="240" w:lineRule="auto"/>
              <w:rPr>
                <w:rFonts w:ascii="Times New Roman" w:hAnsi="Times New Roman"/>
                <w:szCs w:val="22"/>
              </w:rPr>
            </w:pPr>
            <w:r w:rsidRPr="00FE1AC4">
              <w:rPr>
                <w:rFonts w:ascii="Times New Roman" w:hAnsi="Times New Roman"/>
                <w:szCs w:val="22"/>
              </w:rPr>
              <w:t>Eelnõu § 1 punktiga 8 muudetakse isikut tõendavate dokumentide seaduse (ITDS) § 15 lõiget 3. Muudatusega jäetakse volitusnormist välja viited tagasipöördumistunnistusele ja tagasipöördumise loale, kuivõrd need dokumendi vormid kaotatakse. Palume käesoleva kirja punktis 1 nimetatud põhimõttest lähtudes ITDS § 15 lõikes 3 sisalduvat volitusnormi täpsustada ja sisustada taotluse vormi(de)s sisalduvate kohustuslike isikuandmete koosseis seaduse tasandil.</w:t>
            </w:r>
          </w:p>
        </w:tc>
        <w:tc>
          <w:tcPr>
            <w:tcW w:w="3255" w:type="dxa"/>
          </w:tcPr>
          <w:p w14:paraId="5EFC8D17" w14:textId="77777777" w:rsidR="00B130D0" w:rsidRDefault="00F40D25" w:rsidP="004445DC">
            <w:pPr>
              <w:spacing w:after="0" w:line="240" w:lineRule="auto"/>
              <w:rPr>
                <w:rFonts w:ascii="Times New Roman" w:hAnsi="Times New Roman"/>
                <w:szCs w:val="22"/>
              </w:rPr>
            </w:pPr>
            <w:r>
              <w:rPr>
                <w:rFonts w:ascii="Times New Roman" w:hAnsi="Times New Roman"/>
                <w:szCs w:val="22"/>
              </w:rPr>
              <w:t>Arvestatud.</w:t>
            </w:r>
          </w:p>
          <w:p w14:paraId="7BEB0D1B" w14:textId="1B55697D" w:rsidR="00F40D25" w:rsidRPr="00FE1AC4" w:rsidRDefault="00F40D25" w:rsidP="004445DC">
            <w:pPr>
              <w:spacing w:line="240" w:lineRule="auto"/>
              <w:rPr>
                <w:rFonts w:ascii="Times New Roman" w:hAnsi="Times New Roman"/>
                <w:szCs w:val="22"/>
              </w:rPr>
            </w:pPr>
            <w:r>
              <w:rPr>
                <w:rFonts w:ascii="Times New Roman" w:hAnsi="Times New Roman"/>
                <w:szCs w:val="22"/>
              </w:rPr>
              <w:t>Eelnõu § 1 punktiga 7 muudetavas ITDS § 15 lõikes 3 on täpsustatud, millised isikuandmed sisalduvad E</w:t>
            </w:r>
            <w:r w:rsidR="004445DC">
              <w:rPr>
                <w:rFonts w:ascii="Times New Roman" w:hAnsi="Times New Roman"/>
                <w:szCs w:val="22"/>
              </w:rPr>
              <w:t>uroopa Liidu tagasipöördumistunnistuse taotluse vormides.</w:t>
            </w:r>
          </w:p>
        </w:tc>
      </w:tr>
      <w:tr w:rsidR="0035627E" w:rsidRPr="00FE1AC4" w14:paraId="1B18BC50" w14:textId="77777777" w:rsidTr="00B130D0">
        <w:tc>
          <w:tcPr>
            <w:tcW w:w="562" w:type="dxa"/>
          </w:tcPr>
          <w:p w14:paraId="7C0DB9C9" w14:textId="12F417A4" w:rsidR="00B130D0" w:rsidRPr="00FE1AC4" w:rsidRDefault="00927519" w:rsidP="004445DC">
            <w:pPr>
              <w:spacing w:line="240" w:lineRule="auto"/>
              <w:rPr>
                <w:rFonts w:ascii="Times New Roman" w:hAnsi="Times New Roman"/>
                <w:szCs w:val="22"/>
              </w:rPr>
            </w:pPr>
            <w:r w:rsidRPr="00FE1AC4">
              <w:rPr>
                <w:rFonts w:ascii="Times New Roman" w:hAnsi="Times New Roman"/>
                <w:szCs w:val="22"/>
              </w:rPr>
              <w:t>3.</w:t>
            </w:r>
          </w:p>
        </w:tc>
        <w:tc>
          <w:tcPr>
            <w:tcW w:w="1701" w:type="dxa"/>
          </w:tcPr>
          <w:p w14:paraId="359D557F" w14:textId="242B5C76" w:rsidR="00B130D0" w:rsidRPr="00FE1AC4" w:rsidRDefault="00927519"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6FE5BE2D" w14:textId="5DC228C2" w:rsidR="00B130D0" w:rsidRPr="00FE1AC4" w:rsidRDefault="00927519" w:rsidP="004445DC">
            <w:pPr>
              <w:spacing w:line="240" w:lineRule="auto"/>
              <w:rPr>
                <w:rFonts w:ascii="Times New Roman" w:hAnsi="Times New Roman"/>
                <w:szCs w:val="22"/>
              </w:rPr>
            </w:pPr>
            <w:r w:rsidRPr="00FE1AC4">
              <w:rPr>
                <w:rFonts w:ascii="Times New Roman" w:hAnsi="Times New Roman"/>
                <w:szCs w:val="22"/>
              </w:rPr>
              <w:t>Eelnõu § 1 punktiga 12 täiendatakse IDTS § 36</w:t>
            </w:r>
            <w:r w:rsidRPr="004445DC">
              <w:rPr>
                <w:rFonts w:ascii="Times New Roman" w:hAnsi="Times New Roman"/>
                <w:szCs w:val="22"/>
                <w:vertAlign w:val="superscript"/>
              </w:rPr>
              <w:t>4</w:t>
            </w:r>
            <w:r w:rsidRPr="00FE1AC4">
              <w:rPr>
                <w:rFonts w:ascii="Times New Roman" w:hAnsi="Times New Roman"/>
                <w:szCs w:val="22"/>
              </w:rPr>
              <w:t xml:space="preserve"> lõigetega 3–9, millest lõiked 6–8 reguleerivad konsulteerimismenetlust. Palume konsulteerimismenetluse käigus töödeldavate isikuandmete kategooriad välja tuua seaduse tasandil. Määrusega võib isikuandmete kategooriad täpsustada, andes selleks konkreetse volitusnormi.</w:t>
            </w:r>
          </w:p>
        </w:tc>
        <w:tc>
          <w:tcPr>
            <w:tcW w:w="3255" w:type="dxa"/>
          </w:tcPr>
          <w:p w14:paraId="44DB27F0" w14:textId="77777777" w:rsidR="00927519" w:rsidRDefault="004445DC" w:rsidP="004445DC">
            <w:pPr>
              <w:spacing w:after="0" w:line="240" w:lineRule="auto"/>
              <w:rPr>
                <w:rFonts w:ascii="Times New Roman" w:hAnsi="Times New Roman"/>
                <w:szCs w:val="22"/>
              </w:rPr>
            </w:pPr>
            <w:r w:rsidRPr="00B954CF">
              <w:rPr>
                <w:rFonts w:ascii="Times New Roman" w:hAnsi="Times New Roman"/>
                <w:szCs w:val="22"/>
              </w:rPr>
              <w:t>Arvestatud osaliselt.</w:t>
            </w:r>
          </w:p>
          <w:p w14:paraId="5BBDCAC5" w14:textId="6853288D" w:rsidR="004445DC" w:rsidRPr="00B954CF" w:rsidRDefault="004445DC" w:rsidP="004445DC">
            <w:pPr>
              <w:spacing w:line="240" w:lineRule="auto"/>
              <w:rPr>
                <w:rFonts w:ascii="Times New Roman" w:hAnsi="Times New Roman"/>
                <w:szCs w:val="22"/>
              </w:rPr>
            </w:pPr>
            <w:r>
              <w:rPr>
                <w:rFonts w:ascii="Times New Roman" w:hAnsi="Times New Roman"/>
                <w:szCs w:val="22"/>
              </w:rPr>
              <w:t xml:space="preserve">Konsulteerimismenetlus toimub isikut tõendava dokumendi </w:t>
            </w:r>
            <w:r w:rsidR="0075101C">
              <w:rPr>
                <w:rFonts w:ascii="Times New Roman" w:hAnsi="Times New Roman"/>
                <w:szCs w:val="22"/>
              </w:rPr>
              <w:t>(</w:t>
            </w:r>
            <w:r>
              <w:rPr>
                <w:rFonts w:ascii="Times New Roman" w:hAnsi="Times New Roman"/>
                <w:szCs w:val="22"/>
              </w:rPr>
              <w:t>Euroopa Liidu tagasipöördumistunnistuse</w:t>
            </w:r>
            <w:r w:rsidR="0075101C">
              <w:rPr>
                <w:rFonts w:ascii="Times New Roman" w:hAnsi="Times New Roman"/>
                <w:szCs w:val="22"/>
              </w:rPr>
              <w:t>)</w:t>
            </w:r>
            <w:r>
              <w:rPr>
                <w:rFonts w:ascii="Times New Roman" w:hAnsi="Times New Roman"/>
                <w:szCs w:val="22"/>
              </w:rPr>
              <w:t xml:space="preserve"> </w:t>
            </w:r>
            <w:r w:rsidR="00B954CF">
              <w:rPr>
                <w:rFonts w:ascii="Times New Roman" w:hAnsi="Times New Roman"/>
                <w:szCs w:val="22"/>
              </w:rPr>
              <w:t>välja</w:t>
            </w:r>
            <w:r>
              <w:rPr>
                <w:rFonts w:ascii="Times New Roman" w:hAnsi="Times New Roman"/>
                <w:szCs w:val="22"/>
              </w:rPr>
              <w:t>andmise menetluse raames. Euroopa Liidu tagasipöör</w:t>
            </w:r>
            <w:r w:rsidRPr="00B954CF">
              <w:rPr>
                <w:rFonts w:ascii="Times New Roman" w:hAnsi="Times New Roman"/>
                <w:szCs w:val="22"/>
              </w:rPr>
              <w:t xml:space="preserve">dumistunnistuse andmisel toimuv isikuandmete töötlemine </w:t>
            </w:r>
            <w:r w:rsidR="00B954CF" w:rsidRPr="00B954CF">
              <w:rPr>
                <w:rFonts w:ascii="Times New Roman" w:hAnsi="Times New Roman"/>
                <w:szCs w:val="22"/>
              </w:rPr>
              <w:t>on reguleeritud ITDS § 9</w:t>
            </w:r>
            <w:r w:rsidR="00B954CF" w:rsidRPr="00B954CF">
              <w:rPr>
                <w:rFonts w:ascii="Times New Roman" w:hAnsi="Times New Roman"/>
                <w:szCs w:val="22"/>
                <w:vertAlign w:val="superscript"/>
              </w:rPr>
              <w:t>2</w:t>
            </w:r>
            <w:r w:rsidR="00B954CF" w:rsidRPr="00B954CF">
              <w:rPr>
                <w:rFonts w:ascii="Times New Roman" w:hAnsi="Times New Roman"/>
                <w:szCs w:val="22"/>
              </w:rPr>
              <w:t>.</w:t>
            </w:r>
            <w:r w:rsidR="00B954CF">
              <w:rPr>
                <w:rFonts w:ascii="Times New Roman" w:hAnsi="Times New Roman"/>
                <w:szCs w:val="22"/>
              </w:rPr>
              <w:t xml:space="preserve"> Eelnõus on täpsustatud (ITDS § 36</w:t>
            </w:r>
            <w:r w:rsidR="00B954CF">
              <w:rPr>
                <w:rFonts w:ascii="Times New Roman" w:hAnsi="Times New Roman"/>
                <w:szCs w:val="22"/>
                <w:vertAlign w:val="superscript"/>
              </w:rPr>
              <w:t xml:space="preserve">6 </w:t>
            </w:r>
            <w:r w:rsidR="00B954CF">
              <w:rPr>
                <w:rFonts w:ascii="Times New Roman" w:hAnsi="Times New Roman"/>
                <w:szCs w:val="22"/>
              </w:rPr>
              <w:t xml:space="preserve">lg 1), et konsulteerimismenetlus toimub Euroopa Liidu tagasipöördumistunnistuse väljaandmise menetluse raames. </w:t>
            </w:r>
          </w:p>
        </w:tc>
      </w:tr>
      <w:tr w:rsidR="0035627E" w:rsidRPr="00FE1AC4" w14:paraId="07B7CCFE" w14:textId="77777777" w:rsidTr="00B130D0">
        <w:tc>
          <w:tcPr>
            <w:tcW w:w="562" w:type="dxa"/>
          </w:tcPr>
          <w:p w14:paraId="10561D97" w14:textId="595C7FDD"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4.</w:t>
            </w:r>
          </w:p>
        </w:tc>
        <w:tc>
          <w:tcPr>
            <w:tcW w:w="1701" w:type="dxa"/>
          </w:tcPr>
          <w:p w14:paraId="52B9EBA4" w14:textId="6D20F944"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4191DEDA" w14:textId="57C03B33"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Eelnõu § 1 punktiga 14 täiendatakse ITDS § 36</w:t>
            </w:r>
            <w:r w:rsidRPr="004445DC">
              <w:rPr>
                <w:rFonts w:ascii="Times New Roman" w:hAnsi="Times New Roman"/>
                <w:szCs w:val="22"/>
                <w:vertAlign w:val="superscript"/>
              </w:rPr>
              <w:t>5</w:t>
            </w:r>
            <w:r w:rsidRPr="00FE1AC4">
              <w:rPr>
                <w:rFonts w:ascii="Times New Roman" w:hAnsi="Times New Roman"/>
                <w:szCs w:val="22"/>
              </w:rPr>
              <w:t xml:space="preserve"> lõikega 1</w:t>
            </w:r>
            <w:r w:rsidRPr="004445DC">
              <w:rPr>
                <w:rFonts w:ascii="Times New Roman" w:hAnsi="Times New Roman"/>
                <w:szCs w:val="22"/>
                <w:vertAlign w:val="superscript"/>
              </w:rPr>
              <w:t>1</w:t>
            </w:r>
            <w:r w:rsidRPr="00FE1AC4">
              <w:rPr>
                <w:rFonts w:ascii="Times New Roman" w:hAnsi="Times New Roman"/>
                <w:szCs w:val="22"/>
              </w:rPr>
              <w:t xml:space="preserve"> , milles sätestatakse, et Euroopa tagasipöördumistunnistuse kehtivusaeg ei tohi ületada 15 kalendripäeva, välja arvatud erandlike asjaolude korral. Eelnõu </w:t>
            </w:r>
            <w:r w:rsidRPr="00FE1AC4">
              <w:rPr>
                <w:rFonts w:ascii="Times New Roman" w:hAnsi="Times New Roman"/>
                <w:szCs w:val="22"/>
              </w:rPr>
              <w:lastRenderedPageBreak/>
              <w:t xml:space="preserve">kohaselt hakatakse Euroopa tagasipöördumistunnistust andma ka Eesti kodanikele ning välismaalastele, kes elavad Eesti Vabariigis elamisloa alusel ja kellele on välja antud välismaalase pass, ajutine reisidokument või pagulase reisidokument või kelle Eesti võtab </w:t>
            </w:r>
            <w:proofErr w:type="spellStart"/>
            <w:r w:rsidRPr="00FE1AC4">
              <w:rPr>
                <w:rFonts w:ascii="Times New Roman" w:hAnsi="Times New Roman"/>
                <w:szCs w:val="22"/>
              </w:rPr>
              <w:t>välislepingu</w:t>
            </w:r>
            <w:proofErr w:type="spellEnd"/>
            <w:r w:rsidRPr="00FE1AC4">
              <w:rPr>
                <w:rFonts w:ascii="Times New Roman" w:hAnsi="Times New Roman"/>
                <w:szCs w:val="22"/>
              </w:rPr>
              <w:t xml:space="preserve"> alusel tagasi. See tähendab, et Euroopa tagasipöördumistunnistus hakkab asendama nimetatud isikutele seni välja antud tagasipöördumistunnistust ja tagasipöördumise luba, mille kehtivusaeg on kehtiva ITDS § 36 lg 1 kohaselt kuni 12 kuud. Kuna eelnõu jõustumisel muutub Eesti kodanikele ja Eesti Vabariigis elamisloa alusel elavatele välismaalastele, kellele on välja antud välismaalase pass, ajutine reisidokument või pagulase reisidokument, väljastatava tagasipöördumisdokumendi võimalik kehtivusaeg senisega võrreldes oluliselt lühemaks, palume seletuskirjas analüüsida, kas see võib praktikas tuua kaasa mingisuguseid probleeme ning kas 12 kuu asemel 15-päevane tagasipöördumise aeg on senist praktikat arvestades piisav.</w:t>
            </w:r>
          </w:p>
        </w:tc>
        <w:tc>
          <w:tcPr>
            <w:tcW w:w="3255" w:type="dxa"/>
          </w:tcPr>
          <w:p w14:paraId="4AEBA208" w14:textId="77777777" w:rsidR="00927519" w:rsidRDefault="00085644" w:rsidP="00085644">
            <w:pPr>
              <w:spacing w:after="0" w:line="240" w:lineRule="auto"/>
              <w:rPr>
                <w:rFonts w:ascii="Times New Roman" w:hAnsi="Times New Roman"/>
                <w:szCs w:val="22"/>
              </w:rPr>
            </w:pPr>
            <w:r>
              <w:rPr>
                <w:rFonts w:ascii="Times New Roman" w:hAnsi="Times New Roman"/>
                <w:szCs w:val="22"/>
              </w:rPr>
              <w:lastRenderedPageBreak/>
              <w:t>Arvestatud.</w:t>
            </w:r>
          </w:p>
          <w:p w14:paraId="141F16BB" w14:textId="4265D225" w:rsidR="00085644" w:rsidRPr="00FE1AC4" w:rsidRDefault="00085644" w:rsidP="004445DC">
            <w:pPr>
              <w:spacing w:line="240" w:lineRule="auto"/>
              <w:rPr>
                <w:rFonts w:ascii="Times New Roman" w:hAnsi="Times New Roman"/>
                <w:szCs w:val="22"/>
              </w:rPr>
            </w:pPr>
            <w:r>
              <w:rPr>
                <w:rFonts w:ascii="Times New Roman" w:hAnsi="Times New Roman"/>
                <w:szCs w:val="22"/>
              </w:rPr>
              <w:t>Seletuskirja on asjakohase selgitusega täiendatud.</w:t>
            </w:r>
          </w:p>
        </w:tc>
      </w:tr>
      <w:tr w:rsidR="0035627E" w:rsidRPr="00FE1AC4" w14:paraId="304243DD" w14:textId="77777777" w:rsidTr="00B130D0">
        <w:tc>
          <w:tcPr>
            <w:tcW w:w="562" w:type="dxa"/>
          </w:tcPr>
          <w:p w14:paraId="328B2245" w14:textId="549E0B39"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5.</w:t>
            </w:r>
          </w:p>
        </w:tc>
        <w:tc>
          <w:tcPr>
            <w:tcW w:w="1701" w:type="dxa"/>
          </w:tcPr>
          <w:p w14:paraId="1EAE6DFC" w14:textId="3E5F5248"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24BE29E0" w14:textId="00512A3A"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 xml:space="preserve">Eelnõu § 1 punktiga 15 muudetakse IDTS § 365 lõiget 2. Arvestades, et igasugune isikuandmete töötlemine peab vastama isikuandmete töötlemise põhimõtetele, palume kavandatud muudatuse kohta selgitada, mis on Euroopa Liidu tagasipöördumistunnistuse Politsei- ja Piirivalveametile tagastamise eesmärk. Juhul kui tagasipöördumistunnistus tuleb selle tagastamisel üksnes hävitada, siis palume kaaluda ka alternatiivseid, andmetöötluse eesmärgist lähtuvalt vähem koormavamaid võimalusi eesmärgi täitmiseks, nt tagasipöördumistunnistuse Välisministeeriumile edastamisest </w:t>
            </w:r>
            <w:r w:rsidRPr="00FE1AC4">
              <w:rPr>
                <w:rFonts w:ascii="Times New Roman" w:hAnsi="Times New Roman"/>
                <w:szCs w:val="22"/>
              </w:rPr>
              <w:lastRenderedPageBreak/>
              <w:t>loobumine ja hävitamiskohustuse seadmine Politsei- ja Piirivalveametile.</w:t>
            </w:r>
          </w:p>
        </w:tc>
        <w:tc>
          <w:tcPr>
            <w:tcW w:w="3255" w:type="dxa"/>
          </w:tcPr>
          <w:p w14:paraId="49EE3245" w14:textId="77777777" w:rsidR="00927519" w:rsidRDefault="00085644" w:rsidP="00085644">
            <w:pPr>
              <w:spacing w:after="0" w:line="240" w:lineRule="auto"/>
              <w:rPr>
                <w:rFonts w:ascii="Times New Roman" w:hAnsi="Times New Roman"/>
                <w:szCs w:val="22"/>
              </w:rPr>
            </w:pPr>
            <w:r>
              <w:rPr>
                <w:rFonts w:ascii="Times New Roman" w:hAnsi="Times New Roman"/>
                <w:szCs w:val="22"/>
              </w:rPr>
              <w:lastRenderedPageBreak/>
              <w:t>Mittearvestatud.</w:t>
            </w:r>
          </w:p>
          <w:p w14:paraId="2E593B3C" w14:textId="2713BD30" w:rsidR="00085644" w:rsidRPr="0035627E" w:rsidRDefault="004F1C2F" w:rsidP="00085644">
            <w:pPr>
              <w:spacing w:after="0" w:line="240" w:lineRule="auto"/>
              <w:rPr>
                <w:rFonts w:ascii="Times New Roman" w:hAnsi="Times New Roman"/>
                <w:szCs w:val="22"/>
              </w:rPr>
            </w:pPr>
            <w:r w:rsidRPr="0035627E">
              <w:rPr>
                <w:rFonts w:ascii="Times New Roman" w:hAnsi="Times New Roman"/>
              </w:rPr>
              <w:t>Ettepanekut ei ole võimalik arvestada, kuna tegemist ei ole üksnes dokumendi hävitamisega. PPA ja Välisministeeriumi Euroopa Liidu tagasipöördumistunnistusega seotud pädevused on lahus: PPA tegeleb isiku tuvastamisega ja Välisministeerium</w:t>
            </w:r>
            <w:r w:rsidR="0035627E">
              <w:rPr>
                <w:rFonts w:ascii="Times New Roman" w:hAnsi="Times New Roman"/>
              </w:rPr>
              <w:t>,</w:t>
            </w:r>
            <w:r w:rsidRPr="0035627E">
              <w:rPr>
                <w:rFonts w:ascii="Times New Roman" w:hAnsi="Times New Roman"/>
              </w:rPr>
              <w:t xml:space="preserve"> kui ainus Euroopa Liidu tagasipöördumistunnistuse väljastaja</w:t>
            </w:r>
            <w:r w:rsidR="0035627E">
              <w:rPr>
                <w:rFonts w:ascii="Times New Roman" w:hAnsi="Times New Roman"/>
              </w:rPr>
              <w:t>,</w:t>
            </w:r>
            <w:r w:rsidRPr="0035627E">
              <w:rPr>
                <w:rFonts w:ascii="Times New Roman" w:hAnsi="Times New Roman"/>
              </w:rPr>
              <w:t xml:space="preserve"> </w:t>
            </w:r>
            <w:r w:rsidR="0035627E">
              <w:rPr>
                <w:rFonts w:ascii="Times New Roman" w:hAnsi="Times New Roman"/>
              </w:rPr>
              <w:t>annab</w:t>
            </w:r>
            <w:r w:rsidRPr="0035627E">
              <w:rPr>
                <w:rFonts w:ascii="Times New Roman" w:hAnsi="Times New Roman"/>
              </w:rPr>
              <w:t xml:space="preserve"> mh tagasisidet Eesti konsulitele</w:t>
            </w:r>
            <w:r w:rsidR="0035627E" w:rsidRPr="0035627E">
              <w:rPr>
                <w:rFonts w:ascii="Times New Roman" w:hAnsi="Times New Roman"/>
              </w:rPr>
              <w:t xml:space="preserve"> väljastatud Euroopa Liidu tagasipöördumistunnistuste kohta.</w:t>
            </w:r>
            <w:r w:rsidRPr="0035627E">
              <w:rPr>
                <w:rFonts w:ascii="Times New Roman" w:hAnsi="Times New Roman"/>
              </w:rPr>
              <w:t xml:space="preserve"> Kuigi</w:t>
            </w:r>
            <w:r w:rsidR="0035627E" w:rsidRPr="0035627E">
              <w:rPr>
                <w:rFonts w:ascii="Times New Roman" w:hAnsi="Times New Roman"/>
              </w:rPr>
              <w:t xml:space="preserve"> </w:t>
            </w:r>
            <w:r w:rsidRPr="0035627E">
              <w:rPr>
                <w:rFonts w:ascii="Times New Roman" w:hAnsi="Times New Roman"/>
              </w:rPr>
              <w:t xml:space="preserve">direktiiv seda otsesõnu ei maini, </w:t>
            </w:r>
            <w:r w:rsidR="0035627E" w:rsidRPr="0035627E">
              <w:rPr>
                <w:rFonts w:ascii="Times New Roman" w:hAnsi="Times New Roman"/>
              </w:rPr>
              <w:t xml:space="preserve">antakse </w:t>
            </w:r>
            <w:r w:rsidR="0035627E" w:rsidRPr="0035627E">
              <w:rPr>
                <w:rFonts w:ascii="Times New Roman" w:hAnsi="Times New Roman"/>
              </w:rPr>
              <w:lastRenderedPageBreak/>
              <w:t>praktikas</w:t>
            </w:r>
            <w:r w:rsidRPr="0035627E">
              <w:rPr>
                <w:rFonts w:ascii="Times New Roman" w:hAnsi="Times New Roman"/>
              </w:rPr>
              <w:t xml:space="preserve"> tagasisidet ka teiste EL</w:t>
            </w:r>
            <w:r w:rsidR="0035627E" w:rsidRPr="0035627E">
              <w:rPr>
                <w:rFonts w:ascii="Times New Roman" w:hAnsi="Times New Roman"/>
              </w:rPr>
              <w:t>i</w:t>
            </w:r>
            <w:r w:rsidRPr="0035627E">
              <w:rPr>
                <w:rFonts w:ascii="Times New Roman" w:hAnsi="Times New Roman"/>
              </w:rPr>
              <w:t xml:space="preserve"> </w:t>
            </w:r>
            <w:r w:rsidR="0035627E" w:rsidRPr="0035627E">
              <w:rPr>
                <w:rFonts w:ascii="Times New Roman" w:hAnsi="Times New Roman"/>
              </w:rPr>
              <w:t>liikmes</w:t>
            </w:r>
            <w:r w:rsidRPr="0035627E">
              <w:rPr>
                <w:rFonts w:ascii="Times New Roman" w:hAnsi="Times New Roman"/>
              </w:rPr>
              <w:t xml:space="preserve">riikide konsulitele nende väljastatud </w:t>
            </w:r>
            <w:r w:rsidR="0035627E" w:rsidRPr="0035627E">
              <w:rPr>
                <w:rFonts w:ascii="Times New Roman" w:hAnsi="Times New Roman"/>
              </w:rPr>
              <w:t>Euroopa Liidu tagasipöördumistunnistuste</w:t>
            </w:r>
            <w:r w:rsidRPr="0035627E">
              <w:rPr>
                <w:rFonts w:ascii="Times New Roman" w:hAnsi="Times New Roman"/>
              </w:rPr>
              <w:t xml:space="preserve"> kohta.</w:t>
            </w:r>
          </w:p>
        </w:tc>
      </w:tr>
      <w:tr w:rsidR="0035627E" w:rsidRPr="00FE1AC4" w14:paraId="4529BB6A" w14:textId="77777777" w:rsidTr="00B130D0">
        <w:tc>
          <w:tcPr>
            <w:tcW w:w="562" w:type="dxa"/>
          </w:tcPr>
          <w:p w14:paraId="25996285" w14:textId="22D0FFA3"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lastRenderedPageBreak/>
              <w:t>6.</w:t>
            </w:r>
          </w:p>
        </w:tc>
        <w:tc>
          <w:tcPr>
            <w:tcW w:w="1701" w:type="dxa"/>
          </w:tcPr>
          <w:p w14:paraId="08655832" w14:textId="718DE379"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32F51B68" w14:textId="70903F5D"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 xml:space="preserve">Eelnõu § 1 punktiga 16 täiendatakse </w:t>
            </w:r>
            <w:proofErr w:type="spellStart"/>
            <w:r w:rsidRPr="00FE1AC4">
              <w:rPr>
                <w:rFonts w:ascii="Times New Roman" w:hAnsi="Times New Roman"/>
                <w:szCs w:val="22"/>
              </w:rPr>
              <w:t>ITDSi</w:t>
            </w:r>
            <w:proofErr w:type="spellEnd"/>
            <w:r w:rsidRPr="00FE1AC4">
              <w:rPr>
                <w:rFonts w:ascii="Times New Roman" w:hAnsi="Times New Roman"/>
                <w:szCs w:val="22"/>
              </w:rPr>
              <w:t xml:space="preserve"> §-ga 366 , mille lõike 3 kohaselt tehakse Euroopa tagasipöördumistunnistuse väljaandmisest keeldumine ja selle põhjus taotlejale teatavaks kolme tööpäeva jooksul keeldumise päevast arvates taotluses esitatud kontaktandmete kaudu. Palume seletuskirjas põhjendada, miks on vajalik kolme tööpäeva pikkuse viiteaja sätestamine. Ühtlasi juhime tähelepanu, et kaebetähtaja kulgemine algab siiski hetkest, kui adressaat otsuse kätte saab.</w:t>
            </w:r>
          </w:p>
        </w:tc>
        <w:tc>
          <w:tcPr>
            <w:tcW w:w="3255" w:type="dxa"/>
          </w:tcPr>
          <w:p w14:paraId="3BC9D56E" w14:textId="77777777" w:rsidR="00927519" w:rsidRPr="0035627E" w:rsidRDefault="0035627E" w:rsidP="0035627E">
            <w:pPr>
              <w:spacing w:after="0" w:line="240" w:lineRule="auto"/>
              <w:rPr>
                <w:rFonts w:ascii="Times New Roman" w:hAnsi="Times New Roman"/>
                <w:szCs w:val="22"/>
              </w:rPr>
            </w:pPr>
            <w:r w:rsidRPr="0035627E">
              <w:rPr>
                <w:rFonts w:ascii="Times New Roman" w:hAnsi="Times New Roman"/>
                <w:szCs w:val="22"/>
              </w:rPr>
              <w:t>Arvestatud.</w:t>
            </w:r>
          </w:p>
          <w:p w14:paraId="002922D3" w14:textId="2F0F9E55" w:rsidR="0035627E" w:rsidRPr="0035627E" w:rsidRDefault="0035627E" w:rsidP="0035627E">
            <w:pPr>
              <w:spacing w:after="0" w:line="240" w:lineRule="auto"/>
              <w:rPr>
                <w:rFonts w:ascii="Times New Roman" w:hAnsi="Times New Roman"/>
                <w:szCs w:val="22"/>
              </w:rPr>
            </w:pPr>
            <w:r w:rsidRPr="0035627E">
              <w:rPr>
                <w:rFonts w:ascii="Times New Roman" w:hAnsi="Times New Roman"/>
                <w:szCs w:val="22"/>
              </w:rPr>
              <w:t xml:space="preserve">Eelnõus </w:t>
            </w:r>
            <w:r>
              <w:rPr>
                <w:rFonts w:ascii="Times New Roman" w:hAnsi="Times New Roman"/>
                <w:szCs w:val="22"/>
              </w:rPr>
              <w:t>on loobutud</w:t>
            </w:r>
            <w:r w:rsidRPr="0035627E">
              <w:rPr>
                <w:rFonts w:ascii="Times New Roman" w:hAnsi="Times New Roman"/>
                <w:szCs w:val="22"/>
              </w:rPr>
              <w:t xml:space="preserve"> kolme tööpäeva pikku</w:t>
            </w:r>
            <w:r>
              <w:rPr>
                <w:rFonts w:ascii="Times New Roman" w:hAnsi="Times New Roman"/>
                <w:szCs w:val="22"/>
              </w:rPr>
              <w:t>sest</w:t>
            </w:r>
            <w:r w:rsidRPr="0035627E">
              <w:rPr>
                <w:rFonts w:ascii="Times New Roman" w:hAnsi="Times New Roman"/>
                <w:szCs w:val="22"/>
              </w:rPr>
              <w:t xml:space="preserve"> viitea</w:t>
            </w:r>
            <w:r>
              <w:rPr>
                <w:rFonts w:ascii="Times New Roman" w:hAnsi="Times New Roman"/>
                <w:szCs w:val="22"/>
              </w:rPr>
              <w:t>jast</w:t>
            </w:r>
            <w:r w:rsidRPr="0035627E">
              <w:rPr>
                <w:rFonts w:ascii="Times New Roman" w:hAnsi="Times New Roman"/>
                <w:szCs w:val="22"/>
              </w:rPr>
              <w:t>. Eelnõu § 1 punktiga 12 lisatava ITDS § 36</w:t>
            </w:r>
            <w:r w:rsidRPr="0035627E">
              <w:rPr>
                <w:rFonts w:ascii="Times New Roman" w:hAnsi="Times New Roman"/>
                <w:szCs w:val="22"/>
                <w:vertAlign w:val="superscript"/>
              </w:rPr>
              <w:t>7</w:t>
            </w:r>
            <w:r w:rsidRPr="0035627E">
              <w:rPr>
                <w:rFonts w:ascii="Times New Roman" w:hAnsi="Times New Roman"/>
                <w:szCs w:val="22"/>
              </w:rPr>
              <w:t xml:space="preserve"> lõike 2 kohaselt tehakse Euroopa Liidu tagasipöördumistunnistuse </w:t>
            </w:r>
            <w:r w:rsidRPr="0035627E">
              <w:rPr>
                <w:rFonts w:ascii="Times New Roman" w:hAnsi="Times New Roman"/>
                <w:color w:val="202020"/>
                <w:szCs w:val="22"/>
                <w:shd w:val="clear" w:color="auto" w:fill="FFFFFF"/>
              </w:rPr>
              <w:t>väljaandmisest keeldumise otsus ja selle põhjused tehakse taotlejale teatavaks hiljemalt otsuse tegemisele järgneval tööpäeval.</w:t>
            </w:r>
          </w:p>
        </w:tc>
      </w:tr>
      <w:tr w:rsidR="0035627E" w:rsidRPr="00FE1AC4" w14:paraId="2D9BD145" w14:textId="77777777" w:rsidTr="00B130D0">
        <w:tc>
          <w:tcPr>
            <w:tcW w:w="562" w:type="dxa"/>
          </w:tcPr>
          <w:p w14:paraId="6ECAA0AC" w14:textId="56EEE9C4"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7.</w:t>
            </w:r>
          </w:p>
        </w:tc>
        <w:tc>
          <w:tcPr>
            <w:tcW w:w="1701" w:type="dxa"/>
          </w:tcPr>
          <w:p w14:paraId="6E82D2E7" w14:textId="7782EAEE"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2BE1E1D4" w14:textId="02955ADB"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 xml:space="preserve">Eelnõu §-ga 3 muudetakse konsulaarseadust, sh konsulaarametniku ametitoimingute andmekoguga seonduvaid sätteid. Märgime, et lisaks andmete säilitamise tähtajale tuleb seaduse tasandil sätestada ka töödeldavate isikuandmete kategooriad. Nagu ka käesoleva kirja punktis 1 selgitasime, siis </w:t>
            </w:r>
            <w:proofErr w:type="spellStart"/>
            <w:r w:rsidRPr="00FE1AC4">
              <w:rPr>
                <w:rFonts w:ascii="Times New Roman" w:hAnsi="Times New Roman"/>
                <w:szCs w:val="22"/>
              </w:rPr>
              <w:t>üldvolitus</w:t>
            </w:r>
            <w:proofErr w:type="spellEnd"/>
            <w:r w:rsidRPr="00FE1AC4">
              <w:rPr>
                <w:rFonts w:ascii="Times New Roman" w:hAnsi="Times New Roman"/>
                <w:szCs w:val="22"/>
              </w:rPr>
              <w:t xml:space="preserve"> isikuandmete või terviseandmete töötlemiseks ei ole kooskõlas seadusreservatsiooni põhimõttega. Palume eelnõu vastavalt täiendada. Lisaks palume seoses andmete säilitamise tähtaegadega seletuskirjas täpsemalt välja tuua, milliseid andmekategooriad on vaja säilitada kümme aastat. Igaks juhuks maksimaalse säilitustähtaja sätestamine ilma reaalse vajaduseta ei ole IKÜM-</w:t>
            </w:r>
            <w:proofErr w:type="spellStart"/>
            <w:r w:rsidRPr="00FE1AC4">
              <w:rPr>
                <w:rFonts w:ascii="Times New Roman" w:hAnsi="Times New Roman"/>
                <w:szCs w:val="22"/>
              </w:rPr>
              <w:t>is</w:t>
            </w:r>
            <w:proofErr w:type="spellEnd"/>
            <w:r w:rsidRPr="00FE1AC4">
              <w:rPr>
                <w:rFonts w:ascii="Times New Roman" w:hAnsi="Times New Roman"/>
                <w:szCs w:val="22"/>
              </w:rPr>
              <w:t xml:space="preserve"> toodud andmetöötluse põhimõtetega kooskõlas. Ühtlasi juhime tähelepanu, et andmekogus isikuandmete säilitamise tähtaja sätestamisel ei ole lubatud määrusega sätestada seadusega võrreldes pikemaid </w:t>
            </w:r>
            <w:r w:rsidRPr="00FE1AC4">
              <w:rPr>
                <w:rFonts w:ascii="Times New Roman" w:hAnsi="Times New Roman"/>
                <w:szCs w:val="22"/>
              </w:rPr>
              <w:lastRenderedPageBreak/>
              <w:t>säilitustähtaegu. Juhul kui edaspidi on planeeritud andmekogu andmete säilitustähtajaks kümme aastat, kohaldub samasugune tähtaeg ka andmekogusse kantud diplomaatilise passi kasutaja andmete suhtes.</w:t>
            </w:r>
          </w:p>
        </w:tc>
        <w:tc>
          <w:tcPr>
            <w:tcW w:w="3255" w:type="dxa"/>
          </w:tcPr>
          <w:p w14:paraId="5B866300" w14:textId="41FC4EEC" w:rsidR="00927519" w:rsidRDefault="0035627E" w:rsidP="0035627E">
            <w:pPr>
              <w:spacing w:after="0" w:line="240" w:lineRule="auto"/>
              <w:rPr>
                <w:rFonts w:ascii="Times New Roman" w:hAnsi="Times New Roman"/>
                <w:szCs w:val="22"/>
              </w:rPr>
            </w:pPr>
            <w:r w:rsidRPr="00B27896">
              <w:rPr>
                <w:rFonts w:ascii="Times New Roman" w:hAnsi="Times New Roman"/>
                <w:szCs w:val="22"/>
              </w:rPr>
              <w:lastRenderedPageBreak/>
              <w:t>Arvestatud.</w:t>
            </w:r>
          </w:p>
          <w:p w14:paraId="076C960B" w14:textId="1CB4848C" w:rsidR="00B27896" w:rsidRDefault="00B27896" w:rsidP="0035627E">
            <w:pPr>
              <w:spacing w:after="0" w:line="240" w:lineRule="auto"/>
              <w:rPr>
                <w:rFonts w:ascii="Times New Roman" w:hAnsi="Times New Roman"/>
                <w:szCs w:val="22"/>
              </w:rPr>
            </w:pPr>
            <w:r>
              <w:rPr>
                <w:rFonts w:ascii="Times New Roman" w:hAnsi="Times New Roman"/>
                <w:szCs w:val="22"/>
              </w:rPr>
              <w:t xml:space="preserve">Eelnõusse on lisatud </w:t>
            </w:r>
            <w:proofErr w:type="spellStart"/>
            <w:r>
              <w:rPr>
                <w:rFonts w:ascii="Times New Roman" w:hAnsi="Times New Roman"/>
                <w:szCs w:val="22"/>
              </w:rPr>
              <w:t>KonS</w:t>
            </w:r>
            <w:proofErr w:type="spellEnd"/>
            <w:r>
              <w:rPr>
                <w:rFonts w:ascii="Times New Roman" w:hAnsi="Times New Roman"/>
                <w:szCs w:val="22"/>
              </w:rPr>
              <w:t xml:space="preserve"> § 12 lõike 3 muudatused, millega tuuakse seaduse tasandil välja töödeldavate isikuandmete kategooriad.</w:t>
            </w:r>
          </w:p>
          <w:p w14:paraId="544DA721" w14:textId="38A3B3F0" w:rsidR="00B27896" w:rsidRPr="00A85FAB" w:rsidRDefault="00B27896" w:rsidP="00A85FAB">
            <w:pPr>
              <w:pStyle w:val="Heading1"/>
              <w:spacing w:before="0" w:beforeAutospacing="0" w:after="0" w:afterAutospacing="0"/>
              <w:textAlignment w:val="baseline"/>
              <w:rPr>
                <w:sz w:val="22"/>
                <w:szCs w:val="22"/>
              </w:rPr>
            </w:pPr>
            <w:r w:rsidRPr="00A85FAB">
              <w:rPr>
                <w:b w:val="0"/>
                <w:bCs w:val="0"/>
                <w:color w:val="202020"/>
                <w:sz w:val="22"/>
                <w:szCs w:val="22"/>
                <w:shd w:val="clear" w:color="auto" w:fill="FFFFFF"/>
              </w:rPr>
              <w:t>Konsulaarametniku ametitoimingute ja diplomaatiliste passide andmekogu</w:t>
            </w:r>
            <w:r w:rsidR="0031437C">
              <w:rPr>
                <w:b w:val="0"/>
                <w:bCs w:val="0"/>
                <w:color w:val="202020"/>
                <w:sz w:val="22"/>
                <w:szCs w:val="22"/>
                <w:shd w:val="clear" w:color="auto" w:fill="FFFFFF"/>
              </w:rPr>
              <w:t xml:space="preserve"> („</w:t>
            </w:r>
            <w:proofErr w:type="spellStart"/>
            <w:r w:rsidR="0031437C">
              <w:rPr>
                <w:b w:val="0"/>
                <w:bCs w:val="0"/>
                <w:color w:val="202020"/>
                <w:sz w:val="22"/>
                <w:szCs w:val="22"/>
                <w:shd w:val="clear" w:color="auto" w:fill="FFFFFF"/>
              </w:rPr>
              <w:t>Consul</w:t>
            </w:r>
            <w:proofErr w:type="spellEnd"/>
            <w:r w:rsidR="0031437C">
              <w:rPr>
                <w:b w:val="0"/>
                <w:bCs w:val="0"/>
                <w:color w:val="202020"/>
                <w:sz w:val="22"/>
                <w:szCs w:val="22"/>
                <w:shd w:val="clear" w:color="auto" w:fill="FFFFFF"/>
              </w:rPr>
              <w:t>“)</w:t>
            </w:r>
            <w:r w:rsidRPr="00A85FAB">
              <w:rPr>
                <w:b w:val="0"/>
                <w:bCs w:val="0"/>
                <w:color w:val="202020"/>
                <w:sz w:val="22"/>
                <w:szCs w:val="22"/>
                <w:shd w:val="clear" w:color="auto" w:fill="FFFFFF"/>
              </w:rPr>
              <w:t xml:space="preserve"> diplomaatilise passi</w:t>
            </w:r>
            <w:r w:rsidR="00A85FAB" w:rsidRPr="00A85FAB">
              <w:rPr>
                <w:b w:val="0"/>
                <w:bCs w:val="0"/>
                <w:color w:val="202020"/>
                <w:sz w:val="22"/>
                <w:szCs w:val="22"/>
                <w:shd w:val="clear" w:color="auto" w:fill="FFFFFF"/>
              </w:rPr>
              <w:t xml:space="preserve"> ja diplomaatilise isikutunnistuse andmekogude pidamise alus </w:t>
            </w:r>
            <w:r w:rsidR="00A85FAB" w:rsidRPr="00A85FAB">
              <w:rPr>
                <w:b w:val="0"/>
                <w:bCs w:val="0"/>
                <w:sz w:val="22"/>
                <w:szCs w:val="22"/>
              </w:rPr>
              <w:t>tuleneb ITDS §-st 15</w:t>
            </w:r>
            <w:r w:rsidR="00A85FAB" w:rsidRPr="00A85FAB">
              <w:rPr>
                <w:b w:val="0"/>
                <w:bCs w:val="0"/>
                <w:sz w:val="22"/>
                <w:szCs w:val="22"/>
                <w:vertAlign w:val="superscript"/>
              </w:rPr>
              <w:t>3</w:t>
            </w:r>
            <w:r w:rsidR="00A85FAB" w:rsidRPr="00A85FAB">
              <w:rPr>
                <w:b w:val="0"/>
                <w:bCs w:val="0"/>
                <w:sz w:val="22"/>
                <w:szCs w:val="22"/>
              </w:rPr>
              <w:t xml:space="preserve"> ning samas sättes on kehtestatud ka asjakohased andmete säilitamise tähtajad. ITDS § 15</w:t>
            </w:r>
            <w:r w:rsidR="00A85FAB" w:rsidRPr="00A85FAB">
              <w:rPr>
                <w:b w:val="0"/>
                <w:bCs w:val="0"/>
                <w:sz w:val="22"/>
                <w:szCs w:val="22"/>
                <w:vertAlign w:val="superscript"/>
              </w:rPr>
              <w:t>3</w:t>
            </w:r>
            <w:r w:rsidR="00A85FAB">
              <w:rPr>
                <w:b w:val="0"/>
                <w:bCs w:val="0"/>
                <w:sz w:val="22"/>
                <w:szCs w:val="22"/>
              </w:rPr>
              <w:t xml:space="preserve"> </w:t>
            </w:r>
            <w:r w:rsidR="00A85FAB" w:rsidRPr="00A85FAB">
              <w:rPr>
                <w:b w:val="0"/>
                <w:bCs w:val="0"/>
                <w:sz w:val="22"/>
                <w:szCs w:val="22"/>
              </w:rPr>
              <w:t xml:space="preserve">muudatused on kavandatud Riigikogu menetluses olevas </w:t>
            </w:r>
            <w:hyperlink r:id="rId6" w:history="1">
              <w:proofErr w:type="spellStart"/>
              <w:r w:rsidR="00A85FAB" w:rsidRPr="00A85FAB">
                <w:rPr>
                  <w:rStyle w:val="Hyperlink"/>
                  <w:b w:val="0"/>
                  <w:bCs w:val="0"/>
                  <w:sz w:val="22"/>
                  <w:szCs w:val="22"/>
                </w:rPr>
                <w:t>v</w:t>
              </w:r>
              <w:r w:rsidR="00A85FAB" w:rsidRPr="00A85FAB">
                <w:rPr>
                  <w:rStyle w:val="Hyperlink"/>
                  <w:b w:val="0"/>
                  <w:bCs w:val="0"/>
                  <w:sz w:val="22"/>
                  <w:szCs w:val="22"/>
                </w:rPr>
                <w:t>älissuhtlemisseaduse</w:t>
              </w:r>
              <w:proofErr w:type="spellEnd"/>
              <w:r w:rsidR="00A85FAB" w:rsidRPr="00A85FAB">
                <w:rPr>
                  <w:rStyle w:val="Hyperlink"/>
                  <w:b w:val="0"/>
                  <w:bCs w:val="0"/>
                  <w:sz w:val="22"/>
                  <w:szCs w:val="22"/>
                </w:rPr>
                <w:t xml:space="preserve"> muutmise ja sellega seonduvalt teiste seaduste muutmise seadus</w:t>
              </w:r>
              <w:r w:rsidR="00A85FAB" w:rsidRPr="00A85FAB">
                <w:rPr>
                  <w:rStyle w:val="Hyperlink"/>
                  <w:b w:val="0"/>
                  <w:bCs w:val="0"/>
                  <w:sz w:val="22"/>
                  <w:szCs w:val="22"/>
                </w:rPr>
                <w:t xml:space="preserve">e </w:t>
              </w:r>
              <w:r w:rsidR="00A85FAB" w:rsidRPr="00A85FAB">
                <w:rPr>
                  <w:rStyle w:val="Hyperlink"/>
                  <w:b w:val="0"/>
                  <w:bCs w:val="0"/>
                  <w:sz w:val="22"/>
                  <w:szCs w:val="22"/>
                  <w:shd w:val="clear" w:color="auto" w:fill="FFFFFF"/>
                </w:rPr>
                <w:t>eelnõus (385 SE)</w:t>
              </w:r>
            </w:hyperlink>
            <w:r w:rsidR="00A85FAB">
              <w:rPr>
                <w:b w:val="0"/>
                <w:bCs w:val="0"/>
                <w:color w:val="202020"/>
                <w:sz w:val="22"/>
                <w:szCs w:val="22"/>
                <w:shd w:val="clear" w:color="auto" w:fill="FFFFFF"/>
              </w:rPr>
              <w:t>.</w:t>
            </w:r>
          </w:p>
          <w:p w14:paraId="13A149E0" w14:textId="2CB94B31" w:rsidR="00E76BDC" w:rsidRPr="00FE1AC4" w:rsidRDefault="00E76BDC" w:rsidP="0035627E">
            <w:pPr>
              <w:spacing w:after="0" w:line="240" w:lineRule="auto"/>
              <w:rPr>
                <w:rFonts w:ascii="Times New Roman" w:hAnsi="Times New Roman"/>
                <w:szCs w:val="22"/>
              </w:rPr>
            </w:pPr>
          </w:p>
        </w:tc>
      </w:tr>
      <w:tr w:rsidR="0035627E" w:rsidRPr="00FE1AC4" w14:paraId="6AE7672F" w14:textId="77777777" w:rsidTr="00B130D0">
        <w:tc>
          <w:tcPr>
            <w:tcW w:w="562" w:type="dxa"/>
          </w:tcPr>
          <w:p w14:paraId="0A89CB91" w14:textId="2B227BEE"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8.</w:t>
            </w:r>
          </w:p>
        </w:tc>
        <w:tc>
          <w:tcPr>
            <w:tcW w:w="1701" w:type="dxa"/>
          </w:tcPr>
          <w:p w14:paraId="63532DD3" w14:textId="4AE242C0"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0911E1AE" w14:textId="5447D0CC"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 xml:space="preserve">Ülevõetava Euroopa Nõukogu direktiivi (EL) 2019/997, millega kehtestatakse ELi tagasipöördumistunnistus ja tunnistatakse kehtetuks otsus 96/409/ÜVJP (ülevõetav direktiiv) artikkel 15 lg 2 sätestab, et taotlejal, kellele on antud Euroopa tagasipöördumistunnistus, on õigus kontrollida tunnistusele kantud isikuandmeid ja nõuda vastavalt vajadusele paranduste tegemist uue dokumendi väljastamise teel. See õigus ei piira IKÜM-i kohaldamist. Andmesubjekti õigus nõuda andmete parandamist tuleneb IKÜM artiklist 16, mis omakorda täiendab art 5 lg 1 punktis d toodud vastutava töötleja kohustust tagada isikuandmete õigsus. Kuivõrd antud juhul on oluline, et isiku tagasipöördumistunnistuse kehtivust ei seataks tagasipöördumise jooksul kahtluse alla, on antud andmesubjektile täiendav õigus saada juhul, kui tunnistusel on tema hinnangul ebaõiged andmed, uus õigeid andmeid sisaldav reisidokument. Eelnõu seletuskirja lisas nr 1 (vastavustabel) on märgitud, et direktiiv võetakse üle välisministri määruse „Euroopa Liidu tagasipöördumistunnistuse väljaandmise taotlemisel esitatavate tõendite ja andmete loetelu, taotluse vorm, väljastamise kord, väljaandmise tähtajad, konsulteerimismenetluse kord ja tähtajad ning Euroopa Liidu tagasipöördumistunnistuse tehniline kirjeldus ja sellele </w:t>
            </w:r>
            <w:r w:rsidRPr="00FE1AC4">
              <w:rPr>
                <w:rFonts w:ascii="Times New Roman" w:hAnsi="Times New Roman"/>
                <w:szCs w:val="22"/>
              </w:rPr>
              <w:lastRenderedPageBreak/>
              <w:t>kantavate andmete loetelu“ § 8 lõikega 2. Juhime tähelepanu, et viidatud säte kohaldub üksnes esindamata EL kodanikele, kuid Euroopa tagasipöördumistunnistusi on plaanis eelnõu kohaselt anda välja ka teistele isikutele. Praegu pakutud lahendus seab muud isikud, kellele EL tagasipöördumistunnistust samuti väljastatakse, võrreldes esindamata EL kodanikega ebavõrdsesse olukorda. Täiendavalt juhime tähelepanu haldusmenetluse eesmärgipärasuse ja efektiivsuse põhimõttele (haldusmenetluse seaduse § 5 lõige 2), mille kohaselt tuleb haldusmenetluses mh vältida liigseid ebameeldivusi isikutele. Juhul kui isikule väljastatakse tunnistus, millel ta märkab väljastamisjärgse kohapealse kontrolli käigus ilmselgeid vigu, nt nimekujus, ei ole kohane nõuda talt uuesti juba varem esitatud õigete andmete esitamist. Palume eeltoodut määruse muutmisel arvestada.</w:t>
            </w:r>
          </w:p>
        </w:tc>
        <w:tc>
          <w:tcPr>
            <w:tcW w:w="3255" w:type="dxa"/>
          </w:tcPr>
          <w:p w14:paraId="591F08AA" w14:textId="77777777" w:rsidR="00927519" w:rsidRDefault="00E76BDC" w:rsidP="00E76BDC">
            <w:pPr>
              <w:spacing w:after="0" w:line="240" w:lineRule="auto"/>
              <w:rPr>
                <w:rFonts w:ascii="Times New Roman" w:hAnsi="Times New Roman"/>
                <w:szCs w:val="22"/>
              </w:rPr>
            </w:pPr>
            <w:r>
              <w:rPr>
                <w:rFonts w:ascii="Times New Roman" w:hAnsi="Times New Roman"/>
                <w:szCs w:val="22"/>
              </w:rPr>
              <w:lastRenderedPageBreak/>
              <w:t>Arvestatud.</w:t>
            </w:r>
          </w:p>
          <w:p w14:paraId="0E0B8484" w14:textId="0B729FD3" w:rsidR="00E76BDC" w:rsidRPr="00FE1AC4" w:rsidRDefault="00E76BDC" w:rsidP="00E76BDC">
            <w:pPr>
              <w:spacing w:after="0" w:line="240" w:lineRule="auto"/>
              <w:rPr>
                <w:rFonts w:ascii="Times New Roman" w:hAnsi="Times New Roman"/>
                <w:szCs w:val="22"/>
              </w:rPr>
            </w:pPr>
            <w:r>
              <w:rPr>
                <w:rFonts w:ascii="Times New Roman" w:hAnsi="Times New Roman"/>
                <w:szCs w:val="22"/>
              </w:rPr>
              <w:t xml:space="preserve">Seletuskirja lisas 2 olevas rakendusakti kavandis on muudetud § 8 selliselt, et kohaldub kõigile Euroopa Liidu tagasipöördumistunnistuse taotlejatele, millega </w:t>
            </w:r>
            <w:r w:rsidR="0031437C">
              <w:rPr>
                <w:rFonts w:ascii="Times New Roman" w:hAnsi="Times New Roman"/>
                <w:szCs w:val="22"/>
              </w:rPr>
              <w:t>tagatakse</w:t>
            </w:r>
            <w:r>
              <w:rPr>
                <w:rFonts w:ascii="Times New Roman" w:hAnsi="Times New Roman"/>
                <w:szCs w:val="22"/>
              </w:rPr>
              <w:t xml:space="preserve"> taotlejate võrdne kohtlemine. Samuti on loobutud juba varem esitatud õigete andmete uuesti esitamise nõudmisest.</w:t>
            </w:r>
          </w:p>
        </w:tc>
      </w:tr>
      <w:tr w:rsidR="0035627E" w:rsidRPr="00FE1AC4" w14:paraId="3D113118" w14:textId="77777777" w:rsidTr="00B130D0">
        <w:tc>
          <w:tcPr>
            <w:tcW w:w="562" w:type="dxa"/>
          </w:tcPr>
          <w:p w14:paraId="5A462621" w14:textId="4D4145A5"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9.</w:t>
            </w:r>
          </w:p>
        </w:tc>
        <w:tc>
          <w:tcPr>
            <w:tcW w:w="1701" w:type="dxa"/>
          </w:tcPr>
          <w:p w14:paraId="5031B8FF" w14:textId="71210D1D"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1E92F5E4" w14:textId="1CBB0DA0"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Ülevõetava direktiivi art 15 lõike 4 kohaselt ei tohi isikuandmeid mingil juhul säilitada kauem kui 180 päeva abistava liikmesriigi puhul ning kauem kui kaks aastat kodakondsusjärgse liikmesriigi puhul. Vastavustabelis on välja toodud, et „</w:t>
            </w:r>
            <w:proofErr w:type="spellStart"/>
            <w:r w:rsidRPr="00FE1AC4">
              <w:rPr>
                <w:rFonts w:ascii="Times New Roman" w:hAnsi="Times New Roman"/>
                <w:szCs w:val="22"/>
              </w:rPr>
              <w:t>Consuli</w:t>
            </w:r>
            <w:proofErr w:type="spellEnd"/>
            <w:r w:rsidRPr="00FE1AC4">
              <w:rPr>
                <w:rFonts w:ascii="Times New Roman" w:hAnsi="Times New Roman"/>
                <w:szCs w:val="22"/>
              </w:rPr>
              <w:t xml:space="preserve">“ põhimääruses on kavas vastavad tähtajad ka kehtestada. Palume aga täiendavalt selgitada, kuidas on planeeritud korraldada esitatud tagasipöördumistunnistuse taotluste vormide ja nende koopiate või </w:t>
            </w:r>
            <w:proofErr w:type="spellStart"/>
            <w:r w:rsidRPr="00FE1AC4">
              <w:rPr>
                <w:rFonts w:ascii="Times New Roman" w:hAnsi="Times New Roman"/>
                <w:szCs w:val="22"/>
              </w:rPr>
              <w:t>skännide</w:t>
            </w:r>
            <w:proofErr w:type="spellEnd"/>
            <w:r w:rsidRPr="00FE1AC4">
              <w:rPr>
                <w:rFonts w:ascii="Times New Roman" w:hAnsi="Times New Roman"/>
                <w:szCs w:val="22"/>
              </w:rPr>
              <w:t xml:space="preserve"> säilitamine ja hävitamine.</w:t>
            </w:r>
          </w:p>
        </w:tc>
        <w:tc>
          <w:tcPr>
            <w:tcW w:w="3255" w:type="dxa"/>
          </w:tcPr>
          <w:p w14:paraId="6974B793" w14:textId="011A87FB" w:rsidR="00927519" w:rsidRDefault="00E76BDC" w:rsidP="00E76BDC">
            <w:pPr>
              <w:spacing w:after="0" w:line="240" w:lineRule="auto"/>
              <w:rPr>
                <w:rFonts w:ascii="Times New Roman" w:hAnsi="Times New Roman"/>
                <w:szCs w:val="22"/>
              </w:rPr>
            </w:pPr>
            <w:r>
              <w:rPr>
                <w:rFonts w:ascii="Times New Roman" w:hAnsi="Times New Roman"/>
                <w:szCs w:val="22"/>
              </w:rPr>
              <w:t>Ar</w:t>
            </w:r>
            <w:r w:rsidR="000136FC">
              <w:rPr>
                <w:rFonts w:ascii="Times New Roman" w:hAnsi="Times New Roman"/>
                <w:szCs w:val="22"/>
              </w:rPr>
              <w:t>v</w:t>
            </w:r>
            <w:r>
              <w:rPr>
                <w:rFonts w:ascii="Times New Roman" w:hAnsi="Times New Roman"/>
                <w:szCs w:val="22"/>
              </w:rPr>
              <w:t>estatud.</w:t>
            </w:r>
          </w:p>
          <w:p w14:paraId="06EFEAD9" w14:textId="359D260E" w:rsidR="00E76BDC" w:rsidRPr="00FE1AC4" w:rsidRDefault="000136FC" w:rsidP="00E76BDC">
            <w:pPr>
              <w:spacing w:after="0" w:line="240" w:lineRule="auto"/>
              <w:rPr>
                <w:rFonts w:ascii="Times New Roman" w:hAnsi="Times New Roman"/>
                <w:szCs w:val="22"/>
              </w:rPr>
            </w:pPr>
            <w:r>
              <w:rPr>
                <w:rFonts w:ascii="Times New Roman" w:hAnsi="Times New Roman"/>
                <w:szCs w:val="22"/>
              </w:rPr>
              <w:t>Vastavustabelit on asjakohase selgitusega täiendatud.</w:t>
            </w:r>
          </w:p>
        </w:tc>
      </w:tr>
      <w:tr w:rsidR="0035627E" w:rsidRPr="00FE1AC4" w14:paraId="2FBD4AB5" w14:textId="77777777" w:rsidTr="00B130D0">
        <w:tc>
          <w:tcPr>
            <w:tcW w:w="562" w:type="dxa"/>
          </w:tcPr>
          <w:p w14:paraId="74B0CEA5" w14:textId="6B5522B6"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10.</w:t>
            </w:r>
          </w:p>
        </w:tc>
        <w:tc>
          <w:tcPr>
            <w:tcW w:w="1701" w:type="dxa"/>
          </w:tcPr>
          <w:p w14:paraId="3DF496F6" w14:textId="55ED2239"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6B50417E" w14:textId="1D2B990E" w:rsidR="00927519" w:rsidRPr="00FE1AC4" w:rsidRDefault="00927519" w:rsidP="004445DC">
            <w:pPr>
              <w:spacing w:line="240" w:lineRule="auto"/>
              <w:rPr>
                <w:rFonts w:ascii="Times New Roman" w:hAnsi="Times New Roman"/>
                <w:szCs w:val="22"/>
              </w:rPr>
            </w:pPr>
            <w:r w:rsidRPr="00FE1AC4">
              <w:rPr>
                <w:rFonts w:ascii="Times New Roman" w:hAnsi="Times New Roman"/>
                <w:szCs w:val="22"/>
              </w:rPr>
              <w:t xml:space="preserve">Ülevõetava direktiivi art 16 lg 1 punkti c kohaselt peab liikmesriik korrapäraselt jälgima direktiivi kohaldamist EL tagasipöördumistunnistustega seotud pettuse- ja võltsimisjuhtumite arvu alusel. </w:t>
            </w:r>
            <w:r w:rsidRPr="00FE1AC4">
              <w:rPr>
                <w:rFonts w:ascii="Times New Roman" w:hAnsi="Times New Roman"/>
                <w:szCs w:val="22"/>
              </w:rPr>
              <w:lastRenderedPageBreak/>
              <w:t>Vastavustabelis märgitud selgituste kohaselt on nimetatud artikli rakendamiseks vajalik kehtivas õiguses juba rakendatud ning viidatatud, et konsulaarametniku ametitoimingute raamatus sisalduvate andmete alusel on võimalik direktiivis nimetatud kohustust täita. Palume täpsustada, milliste andmekategooriate alusel on korraldatud direktiivi artikkel 16 lg 1 punktis c sätestatud näitajate mõõtmiseks vajalike andmete töötlemine. Lisaks palume täpsustada konsulaarseaduses toodud andmekogu pidamise eesmärki, sest praegu toodu ei hõlma direktiivi artiklis 16 sätestatud kohustuse täitmise vajadust. Töödeldavate isikuandmete kategooriate seaduse tasandil määratlemise vajadusele on tähelepanu juhitud käesoleva kirja punktis 1.</w:t>
            </w:r>
          </w:p>
        </w:tc>
        <w:tc>
          <w:tcPr>
            <w:tcW w:w="3255" w:type="dxa"/>
          </w:tcPr>
          <w:p w14:paraId="61184EF5" w14:textId="77777777" w:rsidR="0019089C" w:rsidRDefault="0019089C" w:rsidP="0019089C">
            <w:pPr>
              <w:spacing w:after="0" w:line="240" w:lineRule="auto"/>
              <w:rPr>
                <w:rFonts w:ascii="Times New Roman" w:hAnsi="Times New Roman"/>
              </w:rPr>
            </w:pPr>
            <w:r>
              <w:rPr>
                <w:rFonts w:ascii="Times New Roman" w:hAnsi="Times New Roman"/>
              </w:rPr>
              <w:lastRenderedPageBreak/>
              <w:t>Arvestatud.</w:t>
            </w:r>
          </w:p>
          <w:p w14:paraId="00ED6EB8" w14:textId="144A3B1A" w:rsidR="00927519" w:rsidRPr="0019089C" w:rsidRDefault="0019089C" w:rsidP="004445DC">
            <w:pPr>
              <w:spacing w:line="240" w:lineRule="auto"/>
              <w:rPr>
                <w:rFonts w:ascii="Times New Roman" w:hAnsi="Times New Roman"/>
                <w:szCs w:val="22"/>
              </w:rPr>
            </w:pPr>
            <w:r w:rsidRPr="0019089C">
              <w:rPr>
                <w:rFonts w:ascii="Times New Roman" w:hAnsi="Times New Roman"/>
              </w:rPr>
              <w:t>Kui ilmneb Euroopa Liidu tagasipöördumistunnistusega seotud pettuse- või võlt</w:t>
            </w:r>
            <w:r>
              <w:rPr>
                <w:rFonts w:ascii="Times New Roman" w:hAnsi="Times New Roman"/>
              </w:rPr>
              <w:t>s</w:t>
            </w:r>
            <w:r w:rsidRPr="0019089C">
              <w:rPr>
                <w:rFonts w:ascii="Times New Roman" w:hAnsi="Times New Roman"/>
              </w:rPr>
              <w:t xml:space="preserve">imisjuhtum, tehakse selle kohta märge konsulaarametniku ametitoimingute raamatus </w:t>
            </w:r>
            <w:r w:rsidRPr="0019089C">
              <w:rPr>
                <w:rFonts w:ascii="Times New Roman" w:hAnsi="Times New Roman"/>
              </w:rPr>
              <w:lastRenderedPageBreak/>
              <w:t>„</w:t>
            </w:r>
            <w:proofErr w:type="spellStart"/>
            <w:r w:rsidRPr="0019089C">
              <w:rPr>
                <w:rFonts w:ascii="Times New Roman" w:hAnsi="Times New Roman"/>
              </w:rPr>
              <w:t>Consul</w:t>
            </w:r>
            <w:proofErr w:type="spellEnd"/>
            <w:r w:rsidRPr="0019089C">
              <w:rPr>
                <w:rFonts w:ascii="Times New Roman" w:hAnsi="Times New Roman"/>
              </w:rPr>
              <w:t>“, kasutades Euroopa Liidu tagasipöördumistunnistuse  andmise toimingu märkuste lahtrit. „</w:t>
            </w:r>
            <w:proofErr w:type="spellStart"/>
            <w:r w:rsidRPr="0019089C">
              <w:rPr>
                <w:rFonts w:ascii="Times New Roman" w:hAnsi="Times New Roman"/>
              </w:rPr>
              <w:t>Consulist</w:t>
            </w:r>
            <w:proofErr w:type="spellEnd"/>
            <w:r w:rsidRPr="0019089C">
              <w:rPr>
                <w:rFonts w:ascii="Times New Roman" w:hAnsi="Times New Roman"/>
              </w:rPr>
              <w:t>“ on võimalik teha vastavalt vajadusele kokkuvõte pettuse- ja võltsimisjuhtumite arvust aasta kohta, et esitada see Euroopa Komisjonile kooskõlas direktiivi artikli 16 lõikega 2. Direktiivi artikli 16 lõike 1 punkti c kohaselt töödeldavad andmed on üksnes pettuse- ja võltsimisjuhtumite arv</w:t>
            </w:r>
            <w:r w:rsidR="004F3898">
              <w:rPr>
                <w:rFonts w:ascii="Times New Roman" w:hAnsi="Times New Roman"/>
              </w:rPr>
              <w:t>, mitte pettuse- või võltsimisjuhtumiga seotud isiku isikuandmed.</w:t>
            </w:r>
            <w:r w:rsidR="0031437C">
              <w:rPr>
                <w:rFonts w:ascii="Times New Roman" w:hAnsi="Times New Roman"/>
              </w:rPr>
              <w:t xml:space="preserve"> </w:t>
            </w:r>
            <w:proofErr w:type="spellStart"/>
            <w:r w:rsidR="0031437C">
              <w:rPr>
                <w:rFonts w:ascii="Times New Roman" w:hAnsi="Times New Roman"/>
              </w:rPr>
              <w:t>KonS</w:t>
            </w:r>
            <w:proofErr w:type="spellEnd"/>
            <w:r w:rsidR="0031437C">
              <w:rPr>
                <w:rFonts w:ascii="Times New Roman" w:hAnsi="Times New Roman"/>
              </w:rPr>
              <w:t xml:space="preserve"> § 12 lõike 3 sissejuhatavat osa andmekogu eesmärgi kohta on täpsustatud.</w:t>
            </w:r>
          </w:p>
        </w:tc>
      </w:tr>
      <w:tr w:rsidR="0035627E" w:rsidRPr="00FE1AC4" w14:paraId="03B32919" w14:textId="77777777" w:rsidTr="00B130D0">
        <w:tc>
          <w:tcPr>
            <w:tcW w:w="562" w:type="dxa"/>
          </w:tcPr>
          <w:p w14:paraId="260346BA" w14:textId="617833DB" w:rsidR="00927519" w:rsidRPr="00FE1AC4" w:rsidRDefault="00FE1AC4" w:rsidP="004445DC">
            <w:pPr>
              <w:spacing w:line="240" w:lineRule="auto"/>
              <w:rPr>
                <w:rFonts w:ascii="Times New Roman" w:hAnsi="Times New Roman"/>
                <w:szCs w:val="22"/>
              </w:rPr>
            </w:pPr>
            <w:r w:rsidRPr="00FE1AC4">
              <w:rPr>
                <w:rFonts w:ascii="Times New Roman" w:hAnsi="Times New Roman"/>
                <w:szCs w:val="22"/>
              </w:rPr>
              <w:lastRenderedPageBreak/>
              <w:t>11.</w:t>
            </w:r>
          </w:p>
        </w:tc>
        <w:tc>
          <w:tcPr>
            <w:tcW w:w="1701" w:type="dxa"/>
          </w:tcPr>
          <w:p w14:paraId="66BD1BB8" w14:textId="56F8053B" w:rsidR="00927519" w:rsidRPr="00FE1AC4" w:rsidRDefault="00FE1AC4"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7FDD4CFD" w14:textId="74EEB578" w:rsidR="00927519" w:rsidRPr="00FE1AC4" w:rsidRDefault="00FE1AC4" w:rsidP="004445DC">
            <w:pPr>
              <w:spacing w:line="240" w:lineRule="auto"/>
              <w:rPr>
                <w:rFonts w:ascii="Times New Roman" w:hAnsi="Times New Roman"/>
                <w:szCs w:val="22"/>
              </w:rPr>
            </w:pPr>
            <w:r w:rsidRPr="00FE1AC4">
              <w:rPr>
                <w:rFonts w:ascii="Times New Roman" w:hAnsi="Times New Roman"/>
                <w:szCs w:val="22"/>
              </w:rPr>
              <w:t>Palume lisaks arvestada käesoleva kirja lisades esitatud eelnõu ja seletuskirja failis jäljega tehtud märkustega ning märkustega eelnõu mõju kohta.</w:t>
            </w:r>
          </w:p>
        </w:tc>
        <w:tc>
          <w:tcPr>
            <w:tcW w:w="3255" w:type="dxa"/>
          </w:tcPr>
          <w:p w14:paraId="67DF7C5F" w14:textId="24EECE5C" w:rsidR="00927519" w:rsidRPr="00FE1AC4" w:rsidRDefault="000136FC" w:rsidP="004445DC">
            <w:pPr>
              <w:spacing w:line="240" w:lineRule="auto"/>
              <w:rPr>
                <w:rFonts w:ascii="Times New Roman" w:hAnsi="Times New Roman"/>
                <w:szCs w:val="22"/>
              </w:rPr>
            </w:pPr>
            <w:r>
              <w:rPr>
                <w:rFonts w:ascii="Times New Roman" w:hAnsi="Times New Roman"/>
                <w:szCs w:val="22"/>
              </w:rPr>
              <w:t>Arvestatud.</w:t>
            </w:r>
          </w:p>
        </w:tc>
      </w:tr>
      <w:tr w:rsidR="0035627E" w:rsidRPr="00FE1AC4" w14:paraId="29E5D74D" w14:textId="77777777" w:rsidTr="00B130D0">
        <w:tc>
          <w:tcPr>
            <w:tcW w:w="562" w:type="dxa"/>
          </w:tcPr>
          <w:p w14:paraId="7E8C5FE7" w14:textId="7F47EF9B" w:rsidR="00927519" w:rsidRPr="00FE1AC4" w:rsidRDefault="00FE1AC4" w:rsidP="004445DC">
            <w:pPr>
              <w:spacing w:line="240" w:lineRule="auto"/>
              <w:rPr>
                <w:rFonts w:ascii="Times New Roman" w:hAnsi="Times New Roman"/>
                <w:szCs w:val="22"/>
              </w:rPr>
            </w:pPr>
            <w:r w:rsidRPr="00FE1AC4">
              <w:rPr>
                <w:rFonts w:ascii="Times New Roman" w:hAnsi="Times New Roman"/>
                <w:szCs w:val="22"/>
              </w:rPr>
              <w:t>12.</w:t>
            </w:r>
          </w:p>
        </w:tc>
        <w:tc>
          <w:tcPr>
            <w:tcW w:w="1701" w:type="dxa"/>
          </w:tcPr>
          <w:p w14:paraId="6A4810EF" w14:textId="20AC9E1C" w:rsidR="00927519" w:rsidRPr="00FE1AC4" w:rsidRDefault="00FE1AC4" w:rsidP="004445DC">
            <w:pPr>
              <w:spacing w:line="240" w:lineRule="auto"/>
              <w:rPr>
                <w:rFonts w:ascii="Times New Roman" w:hAnsi="Times New Roman"/>
                <w:szCs w:val="22"/>
              </w:rPr>
            </w:pPr>
            <w:r w:rsidRPr="00FE1AC4">
              <w:rPr>
                <w:rFonts w:ascii="Times New Roman" w:hAnsi="Times New Roman"/>
                <w:szCs w:val="22"/>
              </w:rPr>
              <w:t>Justiitsministeerium</w:t>
            </w:r>
          </w:p>
        </w:tc>
        <w:tc>
          <w:tcPr>
            <w:tcW w:w="3544" w:type="dxa"/>
          </w:tcPr>
          <w:p w14:paraId="69BE8FF1" w14:textId="4336CA52" w:rsidR="00927519" w:rsidRPr="00FE1AC4" w:rsidRDefault="00FE1AC4" w:rsidP="004445DC">
            <w:pPr>
              <w:spacing w:line="240" w:lineRule="auto"/>
              <w:rPr>
                <w:rFonts w:ascii="Times New Roman" w:hAnsi="Times New Roman"/>
                <w:szCs w:val="22"/>
              </w:rPr>
            </w:pPr>
            <w:r w:rsidRPr="00FE1AC4">
              <w:rPr>
                <w:rFonts w:ascii="Times New Roman" w:hAnsi="Times New Roman"/>
                <w:szCs w:val="22"/>
              </w:rPr>
              <w:t>Vastavalt Vabariigi Valitsuse reglemendi § 6 lõikele 5 palume eelnõu esitada Justiitsministeeriumile täiendavaks kooskõlastamiseks pärast praegusel kooskõlastamisel saadud arvamuste läbivaatamist ja vajaduse korral eelnõu parandamist, et enne eelnõu Vabariigi Valitsusele esitamist kontrollida selle vastavust hea õigusloome ja normitehnika eeskirjale.</w:t>
            </w:r>
          </w:p>
        </w:tc>
        <w:tc>
          <w:tcPr>
            <w:tcW w:w="3255" w:type="dxa"/>
          </w:tcPr>
          <w:p w14:paraId="4EA4F8B3" w14:textId="21D3C195" w:rsidR="00927519" w:rsidRPr="00FE1AC4" w:rsidRDefault="000136FC" w:rsidP="004445DC">
            <w:pPr>
              <w:spacing w:line="240" w:lineRule="auto"/>
              <w:rPr>
                <w:rFonts w:ascii="Times New Roman" w:hAnsi="Times New Roman"/>
                <w:szCs w:val="22"/>
              </w:rPr>
            </w:pPr>
            <w:r>
              <w:rPr>
                <w:rFonts w:ascii="Times New Roman" w:hAnsi="Times New Roman"/>
                <w:szCs w:val="22"/>
              </w:rPr>
              <w:t>Arvestatud.</w:t>
            </w:r>
          </w:p>
        </w:tc>
      </w:tr>
      <w:tr w:rsidR="0035627E" w:rsidRPr="00FE1AC4" w14:paraId="3706FEF1" w14:textId="77777777" w:rsidTr="00B130D0">
        <w:tc>
          <w:tcPr>
            <w:tcW w:w="562" w:type="dxa"/>
          </w:tcPr>
          <w:p w14:paraId="1114F38E" w14:textId="1193EA3A" w:rsidR="00927519" w:rsidRPr="00FE1AC4" w:rsidRDefault="00FE1AC4" w:rsidP="004445DC">
            <w:pPr>
              <w:spacing w:line="240" w:lineRule="auto"/>
              <w:rPr>
                <w:rFonts w:ascii="Times New Roman" w:hAnsi="Times New Roman"/>
                <w:szCs w:val="22"/>
              </w:rPr>
            </w:pPr>
            <w:r w:rsidRPr="00FE1AC4">
              <w:rPr>
                <w:rFonts w:ascii="Times New Roman" w:hAnsi="Times New Roman"/>
                <w:szCs w:val="22"/>
              </w:rPr>
              <w:t>13.</w:t>
            </w:r>
          </w:p>
        </w:tc>
        <w:tc>
          <w:tcPr>
            <w:tcW w:w="1701" w:type="dxa"/>
          </w:tcPr>
          <w:p w14:paraId="6BD057DD" w14:textId="6457EE59" w:rsidR="00927519" w:rsidRPr="00FE1AC4" w:rsidRDefault="00FE1AC4" w:rsidP="004445DC">
            <w:pPr>
              <w:spacing w:line="240" w:lineRule="auto"/>
              <w:rPr>
                <w:rFonts w:ascii="Times New Roman" w:hAnsi="Times New Roman"/>
                <w:szCs w:val="22"/>
              </w:rPr>
            </w:pPr>
            <w:r w:rsidRPr="00FE1AC4">
              <w:rPr>
                <w:rFonts w:ascii="Times New Roman" w:hAnsi="Times New Roman"/>
                <w:szCs w:val="22"/>
              </w:rPr>
              <w:t>Rahandusministeerium</w:t>
            </w:r>
          </w:p>
        </w:tc>
        <w:tc>
          <w:tcPr>
            <w:tcW w:w="3544" w:type="dxa"/>
          </w:tcPr>
          <w:p w14:paraId="32C7B75A" w14:textId="6AEDCFBE" w:rsidR="00927519" w:rsidRPr="00FE1AC4" w:rsidRDefault="00FE1AC4" w:rsidP="004445DC">
            <w:pPr>
              <w:spacing w:line="240" w:lineRule="auto"/>
              <w:rPr>
                <w:rFonts w:ascii="Times New Roman" w:hAnsi="Times New Roman"/>
                <w:szCs w:val="22"/>
              </w:rPr>
            </w:pPr>
            <w:r w:rsidRPr="00FE1AC4">
              <w:rPr>
                <w:rFonts w:ascii="Times New Roman" w:hAnsi="Times New Roman"/>
                <w:szCs w:val="22"/>
              </w:rPr>
              <w:t>Eelnõu seletuskirjas on märgitud, et andmekogu „</w:t>
            </w:r>
            <w:proofErr w:type="spellStart"/>
            <w:r w:rsidRPr="00FE1AC4">
              <w:rPr>
                <w:rFonts w:ascii="Times New Roman" w:hAnsi="Times New Roman"/>
                <w:szCs w:val="22"/>
              </w:rPr>
              <w:t>Consul</w:t>
            </w:r>
            <w:proofErr w:type="spellEnd"/>
            <w:r w:rsidRPr="00FE1AC4">
              <w:rPr>
                <w:rFonts w:ascii="Times New Roman" w:hAnsi="Times New Roman"/>
                <w:szCs w:val="22"/>
              </w:rPr>
              <w:t xml:space="preserve">“ ja ETD vormide kulu (ligi 40 000 eurot) kaetakse Välisministeeriumi eelarvest. Samas on märgitud, et fotode tegemiseks vajaliku aparatuuri (fotoraam/fotopost) koos litsentsidega 234 000 kulude </w:t>
            </w:r>
            <w:r w:rsidRPr="00FE1AC4">
              <w:rPr>
                <w:rFonts w:ascii="Times New Roman" w:hAnsi="Times New Roman"/>
                <w:szCs w:val="22"/>
              </w:rPr>
              <w:lastRenderedPageBreak/>
              <w:t>katmine lepitakse kokku riigi eelarvestrateegia 2025–2028 ja 2025. aasta riigieelarve koostamisel. Palume seletuskirja täiendada, et kui riigi eelarvestrateegia läbirääkimiste käigus kulude katteallikas kokku ei lepita, planeeritakse kulude katmine Välisministeeriumi eelarvest. Kuivõrd direktiivi ülevõtmise tähtaeg seda võimaldab, palume enne kuludele katteallikate leidmist või fotode tegemiseks vähem kulukamate lahenduste leidmist (ja selle rahastamist Välisministeeriumi eelarvest) eelnõu Vabariigi Valitsusele mitte esitada.</w:t>
            </w:r>
          </w:p>
        </w:tc>
        <w:tc>
          <w:tcPr>
            <w:tcW w:w="3255" w:type="dxa"/>
          </w:tcPr>
          <w:p w14:paraId="0734A58E" w14:textId="09BFF847" w:rsidR="00927519" w:rsidRPr="008A3378" w:rsidRDefault="009A42FC" w:rsidP="009A42FC">
            <w:pPr>
              <w:spacing w:after="0" w:line="240" w:lineRule="auto"/>
              <w:rPr>
                <w:rFonts w:ascii="Times New Roman" w:hAnsi="Times New Roman"/>
                <w:szCs w:val="22"/>
              </w:rPr>
            </w:pPr>
            <w:r w:rsidRPr="008A3378">
              <w:rPr>
                <w:rFonts w:ascii="Times New Roman" w:hAnsi="Times New Roman"/>
                <w:szCs w:val="22"/>
              </w:rPr>
              <w:lastRenderedPageBreak/>
              <w:t>Arvestatud.</w:t>
            </w:r>
          </w:p>
          <w:p w14:paraId="7051BDEF" w14:textId="5C6C5A80" w:rsidR="009A42FC" w:rsidRPr="008A3378" w:rsidRDefault="008A3378" w:rsidP="009A42FC">
            <w:pPr>
              <w:spacing w:after="0" w:line="240" w:lineRule="auto"/>
              <w:rPr>
                <w:rFonts w:ascii="Times New Roman" w:hAnsi="Times New Roman"/>
                <w:szCs w:val="22"/>
              </w:rPr>
            </w:pPr>
            <w:r w:rsidRPr="008A3378">
              <w:rPr>
                <w:rFonts w:ascii="Times New Roman" w:hAnsi="Times New Roman"/>
                <w:szCs w:val="22"/>
              </w:rPr>
              <w:t xml:space="preserve">Välisministeerium on seisukohal, et eelnõu rakendamiseks vajaliku aparatuuri kulu katmine tuleb kokku leppida riigi eelarvestrateegia 2025–2028 ja 2025. aasta riigieelarve </w:t>
            </w:r>
            <w:r w:rsidRPr="008A3378">
              <w:rPr>
                <w:rFonts w:ascii="Times New Roman" w:hAnsi="Times New Roman"/>
                <w:szCs w:val="22"/>
              </w:rPr>
              <w:lastRenderedPageBreak/>
              <w:t xml:space="preserve">koostamisel, sest direktiivi ülevõtmine on </w:t>
            </w:r>
            <w:r>
              <w:rPr>
                <w:rFonts w:ascii="Times New Roman" w:hAnsi="Times New Roman"/>
                <w:szCs w:val="22"/>
              </w:rPr>
              <w:t xml:space="preserve">riigi kohustus ja seega </w:t>
            </w:r>
            <w:r w:rsidRPr="008A3378">
              <w:rPr>
                <w:rFonts w:ascii="Times New Roman" w:hAnsi="Times New Roman"/>
                <w:szCs w:val="22"/>
              </w:rPr>
              <w:t xml:space="preserve">vältimatu. </w:t>
            </w:r>
            <w:r w:rsidR="009A42FC" w:rsidRPr="008A3378">
              <w:rPr>
                <w:rFonts w:ascii="Times New Roman" w:hAnsi="Times New Roman"/>
                <w:szCs w:val="22"/>
              </w:rPr>
              <w:t>Seletuskirja on</w:t>
            </w:r>
            <w:r w:rsidRPr="008A3378">
              <w:rPr>
                <w:rFonts w:ascii="Times New Roman" w:hAnsi="Times New Roman"/>
                <w:szCs w:val="22"/>
              </w:rPr>
              <w:t xml:space="preserve"> siiski</w:t>
            </w:r>
            <w:r w:rsidR="009A42FC" w:rsidRPr="008A3378">
              <w:rPr>
                <w:rFonts w:ascii="Times New Roman" w:hAnsi="Times New Roman"/>
                <w:szCs w:val="22"/>
              </w:rPr>
              <w:t xml:space="preserve"> lisatud, </w:t>
            </w:r>
            <w:r w:rsidR="00737272" w:rsidRPr="008A3378">
              <w:rPr>
                <w:rFonts w:ascii="Times New Roman" w:hAnsi="Times New Roman"/>
                <w:szCs w:val="22"/>
              </w:rPr>
              <w:t xml:space="preserve">et </w:t>
            </w:r>
            <w:bookmarkStart w:id="0" w:name="_Hlk170838082"/>
            <w:r w:rsidR="00737272" w:rsidRPr="008A3378">
              <w:rPr>
                <w:rFonts w:ascii="Times New Roman" w:hAnsi="Times New Roman"/>
                <w:szCs w:val="22"/>
              </w:rPr>
              <w:t xml:space="preserve">kui riigi eelarvestrateegia läbirääkimiste käigus kulude katteallikas kokku ei lepita, planeeritakse kulude katmine </w:t>
            </w:r>
            <w:r w:rsidR="0097353E">
              <w:rPr>
                <w:rFonts w:ascii="Times New Roman" w:hAnsi="Times New Roman"/>
                <w:szCs w:val="22"/>
              </w:rPr>
              <w:t xml:space="preserve">Välisministeeriumi </w:t>
            </w:r>
            <w:r w:rsidR="009A42FC" w:rsidRPr="008A3378">
              <w:rPr>
                <w:rFonts w:ascii="Times New Roman" w:hAnsi="Times New Roman"/>
                <w:szCs w:val="22"/>
              </w:rPr>
              <w:t>eelarvest.</w:t>
            </w:r>
            <w:bookmarkEnd w:id="0"/>
          </w:p>
          <w:p w14:paraId="32D1D5E2" w14:textId="77CE5274" w:rsidR="009A42FC" w:rsidRPr="00FE1AC4" w:rsidRDefault="009A42FC" w:rsidP="009A42FC">
            <w:pPr>
              <w:spacing w:after="0" w:line="240" w:lineRule="auto"/>
              <w:rPr>
                <w:rFonts w:ascii="Times New Roman" w:hAnsi="Times New Roman"/>
                <w:szCs w:val="22"/>
              </w:rPr>
            </w:pPr>
            <w:r w:rsidRPr="008A3378">
              <w:rPr>
                <w:rFonts w:ascii="Times New Roman" w:hAnsi="Times New Roman"/>
                <w:szCs w:val="22"/>
              </w:rPr>
              <w:t xml:space="preserve">Välisministeerium on eelnõu koostamise käigus kaalunud </w:t>
            </w:r>
            <w:r w:rsidR="008A3378" w:rsidRPr="008A3378">
              <w:rPr>
                <w:rFonts w:ascii="Times New Roman" w:hAnsi="Times New Roman"/>
                <w:szCs w:val="22"/>
              </w:rPr>
              <w:t xml:space="preserve">võimalusi </w:t>
            </w:r>
            <w:r w:rsidRPr="008A3378">
              <w:rPr>
                <w:rFonts w:ascii="Times New Roman" w:hAnsi="Times New Roman"/>
                <w:szCs w:val="22"/>
              </w:rPr>
              <w:t>vähem kulukate lahenduste</w:t>
            </w:r>
            <w:r w:rsidR="008A3378" w:rsidRPr="008A3378">
              <w:rPr>
                <w:rFonts w:ascii="Times New Roman" w:hAnsi="Times New Roman"/>
                <w:szCs w:val="22"/>
              </w:rPr>
              <w:t xml:space="preserve"> leidmiseks. Kuna </w:t>
            </w:r>
            <w:r w:rsidRPr="008A3378">
              <w:rPr>
                <w:rFonts w:ascii="Times New Roman" w:hAnsi="Times New Roman"/>
                <w:szCs w:val="22"/>
              </w:rPr>
              <w:t>hõiveseadmete valik</w:t>
            </w:r>
            <w:r w:rsidR="008A3378" w:rsidRPr="008A3378">
              <w:rPr>
                <w:rFonts w:ascii="Times New Roman" w:hAnsi="Times New Roman"/>
                <w:szCs w:val="22"/>
              </w:rPr>
              <w:t>ul peab arvestama</w:t>
            </w:r>
            <w:r w:rsidRPr="008A3378">
              <w:rPr>
                <w:rFonts w:ascii="Times New Roman" w:hAnsi="Times New Roman"/>
                <w:szCs w:val="22"/>
              </w:rPr>
              <w:t xml:space="preserve">, et konsuli ja </w:t>
            </w:r>
            <w:r w:rsidR="008A3378" w:rsidRPr="008A3378">
              <w:rPr>
                <w:rFonts w:ascii="Times New Roman" w:hAnsi="Times New Roman"/>
                <w:szCs w:val="22"/>
              </w:rPr>
              <w:t>taotleja</w:t>
            </w:r>
            <w:r w:rsidRPr="008A3378">
              <w:rPr>
                <w:rFonts w:ascii="Times New Roman" w:hAnsi="Times New Roman"/>
                <w:szCs w:val="22"/>
              </w:rPr>
              <w:t xml:space="preserve"> vahel on turvaklaas</w:t>
            </w:r>
            <w:r w:rsidR="008A3378" w:rsidRPr="008A3378">
              <w:rPr>
                <w:rFonts w:ascii="Times New Roman" w:hAnsi="Times New Roman"/>
                <w:szCs w:val="22"/>
              </w:rPr>
              <w:t>, ei ole soodsamaid lahendusi kahjuks võimalik leida.</w:t>
            </w:r>
          </w:p>
        </w:tc>
      </w:tr>
    </w:tbl>
    <w:p w14:paraId="110C5E9E" w14:textId="77777777" w:rsidR="004246B6" w:rsidRPr="00FE1AC4" w:rsidRDefault="004246B6" w:rsidP="004445DC">
      <w:pPr>
        <w:spacing w:line="240" w:lineRule="auto"/>
        <w:rPr>
          <w:rFonts w:ascii="Times New Roman" w:hAnsi="Times New Roman"/>
          <w:szCs w:val="22"/>
        </w:rPr>
      </w:pPr>
    </w:p>
    <w:sectPr w:rsidR="004246B6" w:rsidRPr="00FE1AC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E8EB" w14:textId="77777777" w:rsidR="00F40D25" w:rsidRDefault="00F40D25" w:rsidP="00F40D25">
      <w:pPr>
        <w:spacing w:after="0" w:line="240" w:lineRule="auto"/>
      </w:pPr>
      <w:r>
        <w:separator/>
      </w:r>
    </w:p>
  </w:endnote>
  <w:endnote w:type="continuationSeparator" w:id="0">
    <w:p w14:paraId="420B8E27" w14:textId="77777777" w:rsidR="00F40D25" w:rsidRDefault="00F40D25" w:rsidP="00F4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846503"/>
      <w:docPartObj>
        <w:docPartGallery w:val="Page Numbers (Bottom of Page)"/>
        <w:docPartUnique/>
      </w:docPartObj>
    </w:sdtPr>
    <w:sdtEndPr/>
    <w:sdtContent>
      <w:p w14:paraId="3405D57A" w14:textId="24B9D64A" w:rsidR="00F40D25" w:rsidRDefault="00F40D25">
        <w:pPr>
          <w:pStyle w:val="Footer"/>
          <w:jc w:val="center"/>
        </w:pPr>
        <w:r>
          <w:fldChar w:fldCharType="begin"/>
        </w:r>
        <w:r>
          <w:instrText>PAGE   \* MERGEFORMAT</w:instrText>
        </w:r>
        <w:r>
          <w:fldChar w:fldCharType="separate"/>
        </w:r>
        <w:r>
          <w:t>2</w:t>
        </w:r>
        <w:r>
          <w:fldChar w:fldCharType="end"/>
        </w:r>
      </w:p>
    </w:sdtContent>
  </w:sdt>
  <w:p w14:paraId="3CE98744" w14:textId="77777777" w:rsidR="00F40D25" w:rsidRDefault="00F4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A11E" w14:textId="77777777" w:rsidR="00F40D25" w:rsidRDefault="00F40D25" w:rsidP="00F40D25">
      <w:pPr>
        <w:spacing w:after="0" w:line="240" w:lineRule="auto"/>
      </w:pPr>
      <w:r>
        <w:separator/>
      </w:r>
    </w:p>
  </w:footnote>
  <w:footnote w:type="continuationSeparator" w:id="0">
    <w:p w14:paraId="60721A19" w14:textId="77777777" w:rsidR="00F40D25" w:rsidRDefault="00F40D25" w:rsidP="00F40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630428"/>
      <w:docPartObj>
        <w:docPartGallery w:val="Page Numbers (Top of Page)"/>
        <w:docPartUnique/>
      </w:docPartObj>
    </w:sdtPr>
    <w:sdtEndPr/>
    <w:sdtContent>
      <w:p w14:paraId="26C073B8" w14:textId="42EBEB47" w:rsidR="00F40D25" w:rsidRDefault="00F40D25">
        <w:pPr>
          <w:pStyle w:val="Header"/>
          <w:jc w:val="center"/>
        </w:pPr>
        <w:r>
          <w:fldChar w:fldCharType="begin"/>
        </w:r>
        <w:r>
          <w:instrText>PAGE   \* MERGEFORMAT</w:instrText>
        </w:r>
        <w:r>
          <w:fldChar w:fldCharType="separate"/>
        </w:r>
        <w:r>
          <w:t>2</w:t>
        </w:r>
        <w:r>
          <w:fldChar w:fldCharType="end"/>
        </w:r>
      </w:p>
    </w:sdtContent>
  </w:sdt>
  <w:p w14:paraId="5284BEFE" w14:textId="77777777" w:rsidR="00F40D25" w:rsidRDefault="00F40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D0"/>
    <w:rsid w:val="000136FC"/>
    <w:rsid w:val="00085644"/>
    <w:rsid w:val="0019089C"/>
    <w:rsid w:val="0031437C"/>
    <w:rsid w:val="0035627E"/>
    <w:rsid w:val="004246B6"/>
    <w:rsid w:val="004445DC"/>
    <w:rsid w:val="004F1C2F"/>
    <w:rsid w:val="004F3898"/>
    <w:rsid w:val="00737272"/>
    <w:rsid w:val="0075101C"/>
    <w:rsid w:val="008A3378"/>
    <w:rsid w:val="00927519"/>
    <w:rsid w:val="0097353E"/>
    <w:rsid w:val="009A42FC"/>
    <w:rsid w:val="00A85FAB"/>
    <w:rsid w:val="00B130D0"/>
    <w:rsid w:val="00B27896"/>
    <w:rsid w:val="00B954CF"/>
    <w:rsid w:val="00E76BDC"/>
    <w:rsid w:val="00F40D25"/>
    <w:rsid w:val="00FE1A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1D68"/>
  <w15:chartTrackingRefBased/>
  <w15:docId w15:val="{1F90E6A6-B91E-4CCB-94C9-DF54FD4C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D0"/>
    <w:pPr>
      <w:spacing w:after="200" w:line="276" w:lineRule="auto"/>
    </w:pPr>
    <w:rPr>
      <w:rFonts w:ascii="Arial" w:eastAsia="Times New Roman" w:hAnsi="Arial" w:cs="Times New Roman"/>
      <w:szCs w:val="20"/>
      <w:lang w:eastAsia="et-EE"/>
    </w:rPr>
  </w:style>
  <w:style w:type="paragraph" w:styleId="Heading1">
    <w:name w:val="heading 1"/>
    <w:basedOn w:val="Normal"/>
    <w:link w:val="Heading1Char"/>
    <w:uiPriority w:val="9"/>
    <w:qFormat/>
    <w:rsid w:val="00A85FAB"/>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D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0D25"/>
    <w:rPr>
      <w:rFonts w:ascii="Arial" w:eastAsia="Times New Roman" w:hAnsi="Arial" w:cs="Times New Roman"/>
      <w:szCs w:val="20"/>
      <w:lang w:eastAsia="et-EE"/>
    </w:rPr>
  </w:style>
  <w:style w:type="paragraph" w:styleId="Footer">
    <w:name w:val="footer"/>
    <w:basedOn w:val="Normal"/>
    <w:link w:val="FooterChar"/>
    <w:uiPriority w:val="99"/>
    <w:unhideWhenUsed/>
    <w:rsid w:val="00F40D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0D25"/>
    <w:rPr>
      <w:rFonts w:ascii="Arial" w:eastAsia="Times New Roman" w:hAnsi="Arial" w:cs="Times New Roman"/>
      <w:szCs w:val="20"/>
      <w:lang w:eastAsia="et-EE"/>
    </w:rPr>
  </w:style>
  <w:style w:type="character" w:customStyle="1" w:styleId="Heading1Char">
    <w:name w:val="Heading 1 Char"/>
    <w:basedOn w:val="DefaultParagraphFont"/>
    <w:link w:val="Heading1"/>
    <w:uiPriority w:val="9"/>
    <w:rsid w:val="00A85FAB"/>
    <w:rPr>
      <w:rFonts w:ascii="Times New Roman" w:eastAsia="Times New Roman" w:hAnsi="Times New Roman" w:cs="Times New Roman"/>
      <w:b/>
      <w:bCs/>
      <w:kern w:val="36"/>
      <w:sz w:val="48"/>
      <w:szCs w:val="48"/>
      <w:lang w:eastAsia="et-EE"/>
    </w:rPr>
  </w:style>
  <w:style w:type="character" w:styleId="Hyperlink">
    <w:name w:val="Hyperlink"/>
    <w:basedOn w:val="DefaultParagraphFont"/>
    <w:uiPriority w:val="99"/>
    <w:unhideWhenUsed/>
    <w:rsid w:val="00A85FAB"/>
    <w:rPr>
      <w:color w:val="0563C1" w:themeColor="hyperlink"/>
      <w:u w:val="single"/>
    </w:rPr>
  </w:style>
  <w:style w:type="character" w:styleId="UnresolvedMention">
    <w:name w:val="Unresolved Mention"/>
    <w:basedOn w:val="DefaultParagraphFont"/>
    <w:uiPriority w:val="99"/>
    <w:semiHidden/>
    <w:unhideWhenUsed/>
    <w:rsid w:val="00A85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kogu.ee/tegevus/eelnoud/eelnou/1a6dca0e-f3dc-49c5-a97f-8e3a6bbfd048/valissuhtlemisseaduse-muutmise-ja-sellega-seonduvalt-teiste-seaduste-muutmise-sead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2272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9</cp:revision>
  <dcterms:created xsi:type="dcterms:W3CDTF">2024-06-21T13:21:00Z</dcterms:created>
  <dcterms:modified xsi:type="dcterms:W3CDTF">2024-07-03T16:28:00Z</dcterms:modified>
</cp:coreProperties>
</file>