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E85F" w14:textId="742791D2" w:rsidR="00B13F85" w:rsidRPr="007668CC" w:rsidRDefault="00B13F85" w:rsidP="26019216">
      <w:pPr>
        <w:jc w:val="both"/>
        <w:rPr>
          <w:rFonts w:ascii="Times New Roman" w:eastAsiaTheme="minorEastAsia" w:hAnsi="Times New Roman" w:cs="Times New Roman"/>
          <w:b/>
          <w:bCs/>
        </w:rPr>
      </w:pPr>
      <w:r w:rsidRPr="007668CC">
        <w:rPr>
          <w:rFonts w:ascii="Times New Roman" w:eastAsiaTheme="minorEastAsia" w:hAnsi="Times New Roman" w:cs="Times New Roman"/>
          <w:b/>
          <w:bCs/>
        </w:rPr>
        <w:t>Seletuskiri rahandusministri käskkirja „Raha eraldamine Vabariigi Valitsuse reservi sihtotstarbelistest vahenditest“ juurde</w:t>
      </w:r>
    </w:p>
    <w:p w14:paraId="5F74C97C" w14:textId="7D4530D1" w:rsidR="00B312A9" w:rsidRPr="007668CC" w:rsidRDefault="00B312A9" w:rsidP="00B312A9">
      <w:pPr>
        <w:jc w:val="both"/>
        <w:rPr>
          <w:rFonts w:ascii="Times New Roman" w:eastAsiaTheme="minorEastAsia" w:hAnsi="Times New Roman" w:cs="Times New Roman"/>
        </w:rPr>
      </w:pPr>
      <w:r w:rsidRPr="007668CC">
        <w:rPr>
          <w:rFonts w:ascii="Times New Roman" w:eastAsiaTheme="minorEastAsia" w:hAnsi="Times New Roman" w:cs="Times New Roman"/>
        </w:rPr>
        <w:t>Seoses hädaolukorra seaduse muutmisega ja Euroopa Liidu CER-direktiivi (elutähtsate teenuste toimepidevuse tagamise direktiiv) ülevõtmisega eraldatakse Vabariigi Valitsuse sihtotstarbeliste vahendite reservist 2025. aastaks Sotsiaalministeeriumi valitsemisala asutusele Terviseamet 63</w:t>
      </w:r>
      <w:r w:rsidR="00436542">
        <w:rPr>
          <w:rFonts w:ascii="Times New Roman" w:eastAsiaTheme="minorEastAsia" w:hAnsi="Times New Roman" w:cs="Times New Roman"/>
        </w:rPr>
        <w:t> </w:t>
      </w:r>
      <w:r w:rsidRPr="007668CC">
        <w:rPr>
          <w:rFonts w:ascii="Times New Roman" w:eastAsiaTheme="minorEastAsia" w:hAnsi="Times New Roman" w:cs="Times New Roman"/>
        </w:rPr>
        <w:t xml:space="preserve">000 eurot tervise tulemusvaldkonda. </w:t>
      </w:r>
    </w:p>
    <w:p w14:paraId="1E628246" w14:textId="77777777" w:rsidR="00B312A9" w:rsidRPr="007668CC" w:rsidRDefault="00B312A9" w:rsidP="00B312A9">
      <w:pPr>
        <w:jc w:val="both"/>
        <w:rPr>
          <w:rFonts w:ascii="Times New Roman" w:eastAsiaTheme="minorEastAsia" w:hAnsi="Times New Roman" w:cs="Times New Roman"/>
        </w:rPr>
      </w:pPr>
      <w:r w:rsidRPr="007668CC">
        <w:rPr>
          <w:rFonts w:ascii="Times New Roman" w:eastAsiaTheme="minorEastAsia" w:hAnsi="Times New Roman" w:cs="Times New Roman"/>
        </w:rPr>
        <w:t xml:space="preserve">Rahastamine toimub Riigieelarve seaduse § 58 lõike 2 alusel, kooskõlas Vabariigi Valitsuse 31. juuli 2014. a määrusega nr 123 „Vabariigi Valitsuse reservist vahendite eraldamise ja eraldatud vahendite kasutamise kord“. </w:t>
      </w:r>
    </w:p>
    <w:p w14:paraId="442C844E" w14:textId="77777777" w:rsidR="00B312A9" w:rsidRDefault="00B312A9" w:rsidP="00B312A9">
      <w:pPr>
        <w:jc w:val="both"/>
        <w:rPr>
          <w:rFonts w:ascii="Times New Roman" w:eastAsiaTheme="minorEastAsia" w:hAnsi="Times New Roman" w:cs="Times New Roman"/>
        </w:rPr>
      </w:pPr>
      <w:r w:rsidRPr="007668CC">
        <w:rPr>
          <w:rFonts w:ascii="Times New Roman" w:eastAsiaTheme="minorEastAsia" w:hAnsi="Times New Roman" w:cs="Times New Roman"/>
        </w:rPr>
        <w:t>Sotsiaalministeerium on samadeks tegevusteks taotlenud vahendeid 27.11.2024 kirjaga nr 1.8- 1/30009-1. Rahandusministeerium tagastas taotluse 23.01.2025 kirjaga nr 4-1/5288-2 põhjendusel, et taotluse sisu täpsustused ministeeriumide vahel võtsid oodatust kauem aega, mistõttu jäid vahendid 2024. aasta sihtotstarbelisest reservist välja andmata. Esitatud taotluse alusel ei olnud õigust vahendeid eraldada sihtotstarbelisest reservist 2025. aastasse ning Sotsiaalministeeriumile anti teada võimalusest taotleda vahendeid peale 2024. aasta sihtotstarbelise reservi tegevuste jääkide ülekandmist 2025. aastasse.</w:t>
      </w:r>
      <w:r w:rsidRPr="008C54D1">
        <w:rPr>
          <w:rFonts w:ascii="Times New Roman" w:eastAsiaTheme="minorEastAsia" w:hAnsi="Times New Roman" w:cs="Times New Roman"/>
        </w:rPr>
        <w:t xml:space="preserve"> </w:t>
      </w:r>
    </w:p>
    <w:p w14:paraId="7ADC8C1C" w14:textId="58107538" w:rsidR="00B312A9" w:rsidRPr="00883E0C" w:rsidRDefault="00B312A9" w:rsidP="00B312A9">
      <w:pPr>
        <w:jc w:val="both"/>
        <w:rPr>
          <w:rFonts w:ascii="Times New Roman" w:eastAsiaTheme="minorEastAsia" w:hAnsi="Times New Roman" w:cs="Times New Roman"/>
          <w:color w:val="000000" w:themeColor="text1"/>
        </w:rPr>
      </w:pPr>
      <w:r w:rsidRPr="007668CC">
        <w:rPr>
          <w:rFonts w:ascii="Times New Roman" w:eastAsiaTheme="minorEastAsia" w:hAnsi="Times New Roman" w:cs="Times New Roman"/>
        </w:rPr>
        <w:t xml:space="preserve">Tegevuste loetelu, milles sihtotstarbelise reservi vahendeid võib kasutada elutähtsa teenuse osutajate toimepidevuse direktiivi rakendamiseks, kiitis Vabariigi Valitsus </w:t>
      </w:r>
      <w:r w:rsidRPr="00883E0C">
        <w:rPr>
          <w:rFonts w:ascii="Times New Roman" w:eastAsiaTheme="minorEastAsia" w:hAnsi="Times New Roman" w:cs="Times New Roman"/>
          <w:color w:val="000000" w:themeColor="text1"/>
        </w:rPr>
        <w:t xml:space="preserve">heaks </w:t>
      </w:r>
      <w:hyperlink r:id="rId9" w:history="1">
        <w:r w:rsidRPr="00883E0C">
          <w:rPr>
            <w:rStyle w:val="Hperlink"/>
            <w:rFonts w:ascii="Times New Roman" w:eastAsiaTheme="minorEastAsia" w:hAnsi="Times New Roman" w:cs="Times New Roman"/>
            <w:color w:val="000000" w:themeColor="text1"/>
            <w:u w:val="none"/>
          </w:rPr>
          <w:t>6. märtsil 2025.</w:t>
        </w:r>
      </w:hyperlink>
    </w:p>
    <w:p w14:paraId="79F7FDF6" w14:textId="77777777" w:rsidR="00B312A9" w:rsidRDefault="00B312A9" w:rsidP="00B312A9">
      <w:pPr>
        <w:spacing w:after="0"/>
        <w:jc w:val="both"/>
        <w:rPr>
          <w:rFonts w:ascii="Times New Roman" w:eastAsiaTheme="minorEastAsia" w:hAnsi="Times New Roman" w:cs="Times New Roman"/>
        </w:rPr>
      </w:pPr>
      <w:r w:rsidRPr="007668CC">
        <w:rPr>
          <w:rFonts w:ascii="Times New Roman" w:eastAsiaTheme="minorEastAsia" w:hAnsi="Times New Roman" w:cs="Times New Roman"/>
        </w:rPr>
        <w:t xml:space="preserve">Taotletav kogusumma on 63 000 eurot, tegevusi viib otseselt ellu Terviseamet. Uusi ametikohti ei looda, vajalikud teenused ostetakse teenusepakkujatelt hankekorras. </w:t>
      </w:r>
      <w:r w:rsidRPr="00436344">
        <w:rPr>
          <w:rFonts w:ascii="Times New Roman" w:eastAsiaTheme="minorEastAsia" w:hAnsi="Times New Roman" w:cs="Times New Roman"/>
        </w:rPr>
        <w:t xml:space="preserve">Terviseameti 2025. aasta eelarves kavandatud tegevusteks vahendid puuduvad. Samuti ei ole vastavat kulu võimalik katta Sotsiaalministeeriumi valitsemisala muude kulude arvelt. </w:t>
      </w:r>
    </w:p>
    <w:p w14:paraId="39D6C6DF" w14:textId="77777777" w:rsidR="00B312A9" w:rsidRPr="007668CC" w:rsidRDefault="00B312A9" w:rsidP="00B312A9">
      <w:pPr>
        <w:spacing w:before="120" w:after="0"/>
        <w:jc w:val="both"/>
        <w:rPr>
          <w:rFonts w:ascii="Times New Roman" w:eastAsiaTheme="minorEastAsia" w:hAnsi="Times New Roman" w:cs="Times New Roman"/>
        </w:rPr>
      </w:pPr>
      <w:r w:rsidRPr="00436344">
        <w:rPr>
          <w:rFonts w:ascii="Times New Roman" w:eastAsiaTheme="minorEastAsia" w:hAnsi="Times New Roman" w:cs="Times New Roman"/>
        </w:rPr>
        <w:t>Terviseamet korraldab tegevused, mis on vajalikud peremeditsiini toimepidevuse arendamiseks seoses hädaolukorra seaduse muudatusega ning CER-direktiivi ülevõtmisega. Eesmärk on toetada perearstikeskusi, kes määratakse elutähtsa teenuse osutajaks, et nad oleksid valmis tegutsema kriisiolukordades vastavalt oma rollile.</w:t>
      </w:r>
      <w:r>
        <w:rPr>
          <w:rFonts w:ascii="Times New Roman" w:eastAsiaTheme="minorEastAsia" w:hAnsi="Times New Roman" w:cs="Times New Roman"/>
        </w:rPr>
        <w:t xml:space="preserve"> Selle saavutamiseks toimuvad järgmised tegevused</w:t>
      </w:r>
      <w:r w:rsidRPr="007668CC">
        <w:rPr>
          <w:rFonts w:ascii="Times New Roman" w:eastAsiaTheme="minorEastAsia" w:hAnsi="Times New Roman" w:cs="Times New Roman"/>
        </w:rPr>
        <w:t>:</w:t>
      </w:r>
    </w:p>
    <w:p w14:paraId="7F982044" w14:textId="77777777" w:rsidR="00B312A9" w:rsidRPr="007668CC" w:rsidRDefault="00B312A9" w:rsidP="00B312A9">
      <w:pPr>
        <w:spacing w:before="240" w:after="0"/>
        <w:jc w:val="both"/>
        <w:rPr>
          <w:rFonts w:ascii="Times New Roman" w:eastAsiaTheme="minorEastAsia" w:hAnsi="Times New Roman" w:cs="Times New Roman"/>
          <w:color w:val="000000" w:themeColor="text1"/>
        </w:rPr>
      </w:pPr>
      <w:r w:rsidRPr="007668CC">
        <w:rPr>
          <w:rFonts w:ascii="Times New Roman" w:eastAsiaTheme="minorEastAsia" w:hAnsi="Times New Roman" w:cs="Times New Roman"/>
          <w:color w:val="000000" w:themeColor="text1"/>
        </w:rPr>
        <w:t>1) Peremeditsiini kriisikonverents ja töötoad - 30 000 eurot</w:t>
      </w:r>
    </w:p>
    <w:p w14:paraId="0A1AC6F2" w14:textId="29E9770E" w:rsidR="00B312A9" w:rsidRDefault="00B312A9" w:rsidP="00B312A9">
      <w:pPr>
        <w:spacing w:before="120" w:after="0"/>
        <w:jc w:val="both"/>
        <w:rPr>
          <w:rFonts w:ascii="Times New Roman" w:eastAsiaTheme="minorEastAsia" w:hAnsi="Times New Roman" w:cs="Times New Roman"/>
          <w:color w:val="000000" w:themeColor="text1"/>
        </w:rPr>
      </w:pPr>
      <w:r w:rsidRPr="00436344">
        <w:rPr>
          <w:rFonts w:ascii="Times New Roman" w:eastAsiaTheme="minorEastAsia" w:hAnsi="Times New Roman" w:cs="Times New Roman"/>
          <w:color w:val="000000" w:themeColor="text1"/>
        </w:rPr>
        <w:t xml:space="preserve">Konverentsi eesmärk on ette valmistada perearste seaduse muudatuseks, mille raames on võimalik määrata perearstikeskusi elutähtsa teenuse osutajaks (edaspidi ETO). Selline ülesanne ja kohustuse panek riigi poolt on perearstikeskustele uus ning keskustel puuduvad varasemad kogemused toimepidevuse arendamisel ja kriisiolukorras tegutsemisel. Sellest tulenevalt on eesmärk anda teadmisi kriisiolukorras käitumise erinevate strateegiate kohta, jagada kogemusi, arutleda ja kujundada ühised arusaamad perearstikeskuste töötajate rolli üle kriisi korral. Toimuvad praktilised töötoad, kus osalejad saavad üle korrata erinevate eluohtlike seisunditega seotud tegevusi, suurõnnetuste puhul rakendatavat triaažisüsteemi ning perearsti muid tegevusi, kui ta on ETO staatuses. Konverentsil pakutavad praktilised teadmised ja oskused aitavad toetada perearstide kriisiülesannete täitmist ning neid ei saa kusagil mujal omandada ega </w:t>
      </w:r>
      <w:r w:rsidRPr="00436344">
        <w:rPr>
          <w:rFonts w:ascii="Times New Roman" w:eastAsiaTheme="minorEastAsia" w:hAnsi="Times New Roman" w:cs="Times New Roman"/>
          <w:color w:val="000000" w:themeColor="text1"/>
        </w:rPr>
        <w:lastRenderedPageBreak/>
        <w:t xml:space="preserve">õppida. </w:t>
      </w:r>
      <w:r w:rsidR="009B3FD4">
        <w:rPr>
          <w:rFonts w:ascii="Times New Roman" w:eastAsiaTheme="minorEastAsia" w:hAnsi="Times New Roman" w:cs="Times New Roman"/>
          <w:color w:val="000000" w:themeColor="text1"/>
        </w:rPr>
        <w:t xml:space="preserve">Osalejate arvuks prognoosib </w:t>
      </w:r>
      <w:r w:rsidR="009B3FD4">
        <w:rPr>
          <w:rFonts w:ascii="Times New Roman" w:eastAsiaTheme="minorEastAsia" w:hAnsi="Times New Roman" w:cs="Times New Roman"/>
          <w:color w:val="000000" w:themeColor="text1"/>
        </w:rPr>
        <w:t xml:space="preserve">Terviseamet </w:t>
      </w:r>
      <w:r w:rsidR="009B3FD4">
        <w:rPr>
          <w:rFonts w:ascii="Times New Roman" w:eastAsiaTheme="minorEastAsia" w:hAnsi="Times New Roman" w:cs="Times New Roman"/>
          <w:color w:val="000000" w:themeColor="text1"/>
        </w:rPr>
        <w:t xml:space="preserve">ca 750 inimest, neist 230 kohapeal ja ülejäänud osalevad otseülekande vahendusel. </w:t>
      </w:r>
      <w:r w:rsidRPr="00436344">
        <w:rPr>
          <w:rFonts w:ascii="Times New Roman" w:eastAsiaTheme="minorEastAsia" w:hAnsi="Times New Roman" w:cs="Times New Roman"/>
          <w:color w:val="000000" w:themeColor="text1"/>
        </w:rPr>
        <w:t xml:space="preserve">Tegemist on ainulaadse üritusega, </w:t>
      </w:r>
      <w:r w:rsidR="009B3FD4">
        <w:rPr>
          <w:rFonts w:ascii="Times New Roman" w:eastAsiaTheme="minorEastAsia" w:hAnsi="Times New Roman" w:cs="Times New Roman"/>
          <w:color w:val="000000" w:themeColor="text1"/>
        </w:rPr>
        <w:t>kuna</w:t>
      </w:r>
      <w:r w:rsidRPr="00436344">
        <w:rPr>
          <w:rFonts w:ascii="Times New Roman" w:eastAsiaTheme="minorEastAsia" w:hAnsi="Times New Roman" w:cs="Times New Roman"/>
          <w:color w:val="000000" w:themeColor="text1"/>
        </w:rPr>
        <w:t xml:space="preserve"> selliseid teadmisi perearstid mujalt ei saa. </w:t>
      </w:r>
      <w:r w:rsidRPr="007668CC">
        <w:rPr>
          <w:rFonts w:ascii="Times New Roman" w:eastAsiaTheme="minorEastAsia" w:hAnsi="Times New Roman" w:cs="Times New Roman"/>
          <w:color w:val="000000" w:themeColor="text1"/>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2310"/>
      </w:tblGrid>
      <w:tr w:rsidR="00C31339" w:rsidRPr="00825B4E" w14:paraId="5EA51BE6"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ED8E8" w14:textId="77777777" w:rsidR="00C31339" w:rsidRPr="00825B4E" w:rsidRDefault="00C31339" w:rsidP="00D30BBC">
            <w:pPr>
              <w:spacing w:after="0" w:line="240" w:lineRule="auto"/>
              <w:jc w:val="both"/>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Kulu</w:t>
            </w:r>
            <w:r w:rsidRPr="00825B4E">
              <w:rPr>
                <w:rFonts w:ascii="Times New Roman" w:eastAsia="Times New Roman" w:hAnsi="Times New Roman" w:cs="Times New Roman"/>
                <w:color w:val="000000"/>
                <w:kern w:val="0"/>
                <w:sz w:val="22"/>
                <w:szCs w:val="22"/>
                <w:lang w:eastAsia="et-EE"/>
                <w14:ligatures w14:val="none"/>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4372A"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Eelarve (eurot)</w:t>
            </w:r>
            <w:r w:rsidRPr="00825B4E">
              <w:rPr>
                <w:rFonts w:ascii="Times New Roman" w:eastAsia="Times New Roman" w:hAnsi="Times New Roman" w:cs="Times New Roman"/>
                <w:color w:val="000000"/>
                <w:kern w:val="0"/>
                <w:sz w:val="22"/>
                <w:szCs w:val="22"/>
                <w:lang w:eastAsia="et-EE"/>
                <w14:ligatures w14:val="none"/>
              </w:rPr>
              <w:t> </w:t>
            </w:r>
          </w:p>
        </w:tc>
      </w:tr>
      <w:tr w:rsidR="00C31339" w:rsidRPr="00825B4E" w14:paraId="1863D8D0"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C37FE"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Konverentsiruum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D0BA0"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2 200 </w:t>
            </w:r>
          </w:p>
        </w:tc>
      </w:tr>
      <w:tr w:rsidR="00C31339" w:rsidRPr="00825B4E" w14:paraId="43C6C23D"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15551"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Konverentsi teavitus, reklaamid ja </w:t>
            </w:r>
            <w:r w:rsidRPr="00825B4E">
              <w:rPr>
                <w:rFonts w:ascii="Times New Roman" w:eastAsia="Times New Roman" w:hAnsi="Times New Roman" w:cs="Times New Roman"/>
                <w:color w:val="000000"/>
                <w:kern w:val="0"/>
                <w:sz w:val="22"/>
                <w:szCs w:val="22"/>
                <w:lang w:eastAsia="et-EE"/>
                <w14:ligatures w14:val="none"/>
              </w:rPr>
              <w:br/>
              <w:t>registreerimisteenus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2CF49"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2 300 </w:t>
            </w:r>
          </w:p>
        </w:tc>
      </w:tr>
      <w:tr w:rsidR="00C31339" w:rsidRPr="00825B4E" w14:paraId="1B1356B7"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68A23"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Meediatöö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E2160"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3 000 </w:t>
            </w:r>
          </w:p>
        </w:tc>
      </w:tr>
      <w:tr w:rsidR="00C31339" w:rsidRPr="00825B4E" w14:paraId="04D692A6"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2611A"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Konverentsi infomaterjalid (sh tegevuskaardid)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40C3F"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1 000 </w:t>
            </w:r>
          </w:p>
        </w:tc>
      </w:tr>
      <w:tr w:rsidR="00C31339" w:rsidRPr="00825B4E" w14:paraId="5009D6E4"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4A1E7"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Ülekande tehnika ja tehniline personal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83EC37"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5 000 </w:t>
            </w:r>
          </w:p>
        </w:tc>
      </w:tr>
      <w:tr w:rsidR="00C31339" w:rsidRPr="00825B4E" w14:paraId="09294705"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5CBA9"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i/>
                <w:iCs/>
                <w:color w:val="000000"/>
                <w:kern w:val="0"/>
                <w:sz w:val="22"/>
                <w:szCs w:val="22"/>
                <w:lang w:eastAsia="et-EE"/>
                <w14:ligatures w14:val="none"/>
              </w:rPr>
              <w:t xml:space="preserve">Catering </w:t>
            </w:r>
            <w:r w:rsidRPr="00825B4E">
              <w:rPr>
                <w:rFonts w:ascii="Times New Roman" w:eastAsia="Times New Roman" w:hAnsi="Times New Roman" w:cs="Times New Roman"/>
                <w:color w:val="000000"/>
                <w:kern w:val="0"/>
                <w:sz w:val="22"/>
                <w:szCs w:val="22"/>
                <w:lang w:eastAsia="et-EE"/>
                <w14:ligatures w14:val="none"/>
              </w:rPr>
              <w:t>teenus (sh teenindamine ja inventar)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2DC46"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10 000 </w:t>
            </w:r>
          </w:p>
        </w:tc>
      </w:tr>
      <w:tr w:rsidR="00C31339" w:rsidRPr="00825B4E" w14:paraId="13501E17"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63946"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Fototeenus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FFD96"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500 </w:t>
            </w:r>
          </w:p>
        </w:tc>
      </w:tr>
      <w:tr w:rsidR="00C31339" w:rsidRPr="00825B4E" w14:paraId="106931B6"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F0D7C"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Töötubade korraldamine ja välislektorid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4F936"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6 000 </w:t>
            </w:r>
          </w:p>
        </w:tc>
      </w:tr>
      <w:tr w:rsidR="00C31339" w:rsidRPr="00825B4E" w14:paraId="5CDA1523" w14:textId="77777777" w:rsidTr="00D30BBC">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4C339" w14:textId="77777777" w:rsidR="00C31339" w:rsidRPr="00825B4E" w:rsidRDefault="00C31339" w:rsidP="00D30BBC">
            <w:pPr>
              <w:spacing w:after="0" w:line="240" w:lineRule="auto"/>
              <w:jc w:val="both"/>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Kokku:</w:t>
            </w:r>
            <w:r w:rsidRPr="00825B4E">
              <w:rPr>
                <w:rFonts w:ascii="Times New Roman" w:eastAsia="Times New Roman" w:hAnsi="Times New Roman" w:cs="Times New Roman"/>
                <w:color w:val="000000"/>
                <w:kern w:val="0"/>
                <w:sz w:val="22"/>
                <w:szCs w:val="22"/>
                <w:lang w:eastAsia="et-EE"/>
                <w14:ligatures w14:val="none"/>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22CB7"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22"/>
                <w:szCs w:val="22"/>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30 000</w:t>
            </w:r>
            <w:r w:rsidRPr="00825B4E">
              <w:rPr>
                <w:rFonts w:ascii="Times New Roman" w:eastAsia="Times New Roman" w:hAnsi="Times New Roman" w:cs="Times New Roman"/>
                <w:color w:val="000000"/>
                <w:kern w:val="0"/>
                <w:sz w:val="22"/>
                <w:szCs w:val="22"/>
                <w:lang w:eastAsia="et-EE"/>
                <w14:ligatures w14:val="none"/>
              </w:rPr>
              <w:t> </w:t>
            </w:r>
          </w:p>
        </w:tc>
      </w:tr>
    </w:tbl>
    <w:p w14:paraId="404ED74E" w14:textId="4411F3F3" w:rsidR="00B312A9" w:rsidRDefault="00B312A9" w:rsidP="00B312A9">
      <w:pPr>
        <w:spacing w:before="240" w:after="0"/>
        <w:jc w:val="both"/>
        <w:rPr>
          <w:rFonts w:ascii="Times New Roman" w:eastAsiaTheme="minorEastAsia" w:hAnsi="Times New Roman" w:cs="Times New Roman"/>
          <w:color w:val="000000" w:themeColor="text1"/>
        </w:rPr>
      </w:pPr>
      <w:r w:rsidRPr="007668CC">
        <w:rPr>
          <w:rFonts w:ascii="Times New Roman" w:eastAsiaTheme="minorEastAsia" w:hAnsi="Times New Roman" w:cs="Times New Roman"/>
          <w:color w:val="000000" w:themeColor="text1"/>
        </w:rPr>
        <w:t>2) Peremeditsiini ETO kriisikoolituste ja õppuste süsteemi väljatöötamine ja rakendamine - 28</w:t>
      </w:r>
      <w:r w:rsidR="00803174">
        <w:rPr>
          <w:rFonts w:ascii="Times New Roman" w:eastAsiaTheme="minorEastAsia" w:hAnsi="Times New Roman" w:cs="Times New Roman"/>
          <w:color w:val="000000" w:themeColor="text1"/>
        </w:rPr>
        <w:t> </w:t>
      </w:r>
      <w:r w:rsidRPr="007668CC">
        <w:rPr>
          <w:rFonts w:ascii="Times New Roman" w:eastAsiaTheme="minorEastAsia" w:hAnsi="Times New Roman" w:cs="Times New Roman"/>
          <w:color w:val="000000" w:themeColor="text1"/>
        </w:rPr>
        <w:t>000 eurot</w:t>
      </w:r>
    </w:p>
    <w:p w14:paraId="2BA69751" w14:textId="77777777" w:rsidR="00B312A9" w:rsidRDefault="00B312A9" w:rsidP="00B312A9">
      <w:pPr>
        <w:spacing w:before="120" w:after="0"/>
        <w:jc w:val="both"/>
        <w:rPr>
          <w:rFonts w:ascii="Times New Roman" w:eastAsiaTheme="minorEastAsia" w:hAnsi="Times New Roman" w:cs="Times New Roman"/>
          <w:color w:val="000000" w:themeColor="text1"/>
        </w:rPr>
      </w:pPr>
      <w:r w:rsidRPr="00436344">
        <w:rPr>
          <w:rFonts w:ascii="Times New Roman" w:eastAsiaTheme="minorEastAsia" w:hAnsi="Times New Roman" w:cs="Times New Roman"/>
          <w:color w:val="000000" w:themeColor="text1"/>
        </w:rPr>
        <w:t xml:space="preserve">Eesmärk on töötada välja koolituste ja õppuste süsteem, mis toetaks ETO-ks määratud perearstikeskusi. Sihipärastel kriisireguleerimise koolitustel ja õppustel on võimalik omandada uusi teadmisi ja oskusi ning nende kinnistumiseks erinevate stsenaariumite põhjal koostatud õppustel harjutada. Selline lähenemine on tavapärane praktika teistel ETO-del (haiglad või kiirabid), kuid perearstikeskustel on varasemalt vajadus sellistel teemadel puudunud, mistõttu ollakse teadmiste ja oskuste vaates algfaasis. Et tagada seadusest tulenevate kohustuste asjakohane täitmine, on vajalik koolitusvajaduste analüüs ja õppekava väljatöötamine ning koolituste korraldamine, et järjepidevalt ETO töötajaid koolitada ja testida. </w:t>
      </w:r>
      <w:r w:rsidRPr="007668CC">
        <w:rPr>
          <w:rFonts w:ascii="Times New Roman" w:eastAsiaTheme="minorEastAsia" w:hAnsi="Times New Roman" w:cs="Times New Roman"/>
          <w:color w:val="000000" w:themeColor="text1"/>
        </w:rPr>
        <w:t>Kui süsteemi väljatöötamisele kulub vähem vahendeid, kasutatakse ülejäänud vahendid süsteemi rakendamiseks, sealhulgas koolitusteks ja õppusteks.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807"/>
        <w:gridCol w:w="892"/>
        <w:gridCol w:w="1232"/>
        <w:gridCol w:w="4153"/>
      </w:tblGrid>
      <w:tr w:rsidR="00C31339" w:rsidRPr="00825B4E" w14:paraId="57FDAC2E" w14:textId="77777777" w:rsidTr="00D30B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A57E3C7" w14:textId="77777777" w:rsidR="00C31339" w:rsidRPr="00825B4E" w:rsidRDefault="00C31339" w:rsidP="00D30BBC">
            <w:pPr>
              <w:spacing w:after="0" w:line="240" w:lineRule="auto"/>
              <w:jc w:val="center"/>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b/>
                <w:bCs/>
                <w:color w:val="000000" w:themeColor="text1"/>
                <w:sz w:val="22"/>
                <w:szCs w:val="22"/>
              </w:rPr>
              <w:t>Kulu</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8CA2527" w14:textId="77777777" w:rsidR="00C31339" w:rsidRPr="00825B4E" w:rsidRDefault="00C31339" w:rsidP="00D30BBC">
            <w:pPr>
              <w:spacing w:after="0" w:line="240" w:lineRule="auto"/>
              <w:jc w:val="center"/>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b/>
                <w:bCs/>
                <w:color w:val="000000" w:themeColor="text1"/>
                <w:sz w:val="22"/>
                <w:szCs w:val="22"/>
              </w:rPr>
              <w:t>Töö- tundide arv</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E003D87" w14:textId="77777777" w:rsidR="00C31339" w:rsidRPr="00825B4E" w:rsidRDefault="00C31339" w:rsidP="00D30BBC">
            <w:pPr>
              <w:spacing w:after="0" w:line="240" w:lineRule="auto"/>
              <w:jc w:val="center"/>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b/>
                <w:bCs/>
                <w:color w:val="000000" w:themeColor="text1"/>
                <w:sz w:val="22"/>
                <w:szCs w:val="22"/>
              </w:rPr>
              <w:t>Tunni hind (eurot)</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A4567B1" w14:textId="77777777" w:rsidR="00C31339" w:rsidRPr="00825B4E" w:rsidRDefault="00C31339" w:rsidP="00D30BBC">
            <w:pPr>
              <w:spacing w:after="0" w:line="240" w:lineRule="auto"/>
              <w:jc w:val="center"/>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b/>
                <w:bCs/>
                <w:color w:val="000000" w:themeColor="text1"/>
                <w:sz w:val="22"/>
                <w:szCs w:val="22"/>
              </w:rPr>
              <w:t>Tegevuse eelarve (eurot)</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3A7D0B0" w14:textId="77777777" w:rsidR="00C31339" w:rsidRPr="00825B4E" w:rsidRDefault="00C31339" w:rsidP="00D30BBC">
            <w:pPr>
              <w:spacing w:after="0" w:line="240" w:lineRule="auto"/>
              <w:jc w:val="center"/>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b/>
                <w:bCs/>
                <w:color w:val="000000" w:themeColor="text1"/>
                <w:sz w:val="22"/>
                <w:szCs w:val="22"/>
              </w:rPr>
              <w:t>Selgitus</w:t>
            </w:r>
          </w:p>
        </w:tc>
      </w:tr>
      <w:tr w:rsidR="00C31339" w:rsidRPr="00825B4E" w14:paraId="76EBEFAA" w14:textId="77777777" w:rsidTr="00D30BBC">
        <w:trPr>
          <w:trHeight w:val="300"/>
        </w:trPr>
        <w:tc>
          <w:tcPr>
            <w:tcW w:w="198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9C33C0D"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Olemasoleva olukorra kaardistamine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14:paraId="11E38250"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80 </w:t>
            </w:r>
          </w:p>
        </w:tc>
        <w:tc>
          <w:tcPr>
            <w:tcW w:w="900" w:type="dxa"/>
            <w:tcBorders>
              <w:top w:val="nil"/>
              <w:left w:val="single" w:sz="6" w:space="0" w:color="auto"/>
              <w:bottom w:val="single" w:sz="6" w:space="0" w:color="auto"/>
              <w:right w:val="single" w:sz="6" w:space="0" w:color="auto"/>
            </w:tcBorders>
            <w:shd w:val="clear" w:color="auto" w:fill="auto"/>
            <w:vAlign w:val="center"/>
            <w:hideMark/>
          </w:tcPr>
          <w:p w14:paraId="600AE464"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50 </w:t>
            </w:r>
          </w:p>
        </w:tc>
        <w:tc>
          <w:tcPr>
            <w:tcW w:w="1245" w:type="dxa"/>
            <w:tcBorders>
              <w:top w:val="nil"/>
              <w:left w:val="single" w:sz="6" w:space="0" w:color="auto"/>
              <w:bottom w:val="single" w:sz="6" w:space="0" w:color="auto"/>
              <w:right w:val="single" w:sz="6" w:space="0" w:color="auto"/>
            </w:tcBorders>
            <w:shd w:val="clear" w:color="auto" w:fill="auto"/>
            <w:vAlign w:val="center"/>
            <w:hideMark/>
          </w:tcPr>
          <w:p w14:paraId="1CE8CC69"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4 000 </w:t>
            </w:r>
          </w:p>
        </w:tc>
        <w:tc>
          <w:tcPr>
            <w:tcW w:w="4245" w:type="dxa"/>
            <w:tcBorders>
              <w:top w:val="nil"/>
              <w:left w:val="single" w:sz="6" w:space="0" w:color="auto"/>
              <w:bottom w:val="single" w:sz="6" w:space="0" w:color="auto"/>
              <w:right w:val="single" w:sz="6" w:space="0" w:color="000000"/>
            </w:tcBorders>
            <w:shd w:val="clear" w:color="auto" w:fill="auto"/>
            <w:vAlign w:val="center"/>
            <w:hideMark/>
          </w:tcPr>
          <w:p w14:paraId="29F6AA31"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 analüüsitakse praeguseid teadmisi, oskusi ja pädevusi ning  </w:t>
            </w:r>
            <w:r w:rsidRPr="00825B4E">
              <w:rPr>
                <w:rFonts w:ascii="Times New Roman" w:eastAsiaTheme="minorEastAsia" w:hAnsi="Times New Roman" w:cs="Times New Roman"/>
                <w:color w:val="000000" w:themeColor="text1"/>
                <w:sz w:val="22"/>
                <w:szCs w:val="22"/>
              </w:rPr>
              <w:br/>
              <w:t>- kogutakse andmeid intervjuude, küsitluste või dokumentide analüüsi kaudu </w:t>
            </w:r>
          </w:p>
        </w:tc>
      </w:tr>
      <w:tr w:rsidR="00C31339" w:rsidRPr="00825B4E" w14:paraId="4E5C2272" w14:textId="77777777" w:rsidTr="00D30B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6531A"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Koolitusvajaduste tuvastamine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F0083"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100 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362ED"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50 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706EC"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5 000 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16A00"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 määratakse lüngad olemasolevate oskuste ja soovitud taseme vahel ning </w:t>
            </w:r>
            <w:r w:rsidRPr="00825B4E">
              <w:rPr>
                <w:rFonts w:ascii="Times New Roman" w:eastAsiaTheme="minorEastAsia" w:hAnsi="Times New Roman" w:cs="Times New Roman"/>
                <w:color w:val="000000" w:themeColor="text1"/>
                <w:sz w:val="22"/>
                <w:szCs w:val="22"/>
              </w:rPr>
              <w:br/>
              <w:t>- prioriseeritakse koolitusteemad vastavalt olulisusele ja püstitatud eesmärkidele </w:t>
            </w:r>
          </w:p>
        </w:tc>
      </w:tr>
      <w:tr w:rsidR="00C31339" w:rsidRPr="00825B4E" w14:paraId="18B720A6" w14:textId="77777777" w:rsidTr="00D30B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23BD8"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Õppekava koostamine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E99D2"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150 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FEAA6"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50 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9C895"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7 500 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0D3B9"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 koostatakse koolituste sisu,  </w:t>
            </w:r>
            <w:r w:rsidRPr="00825B4E">
              <w:rPr>
                <w:rFonts w:ascii="Times New Roman" w:eastAsiaTheme="minorEastAsia" w:hAnsi="Times New Roman" w:cs="Times New Roman"/>
                <w:color w:val="000000" w:themeColor="text1"/>
                <w:sz w:val="22"/>
                <w:szCs w:val="22"/>
              </w:rPr>
              <w:br/>
              <w:t>- valitakse koolitusmeetodid (nt loengud, praktilised harjutused, veebikoolitused) </w:t>
            </w:r>
          </w:p>
        </w:tc>
      </w:tr>
      <w:tr w:rsidR="00C31339" w:rsidRPr="00825B4E" w14:paraId="30A30A8F" w14:textId="77777777" w:rsidTr="00D30B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C3BDF"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Koolitusmaterjalide koostamine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1C35D"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150 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0891A"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50 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85468"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7 500 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AE8D4"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 arendatakse koolitusmaterjalid vastavalt õppekava sisule </w:t>
            </w:r>
          </w:p>
        </w:tc>
      </w:tr>
      <w:tr w:rsidR="00C31339" w:rsidRPr="00825B4E" w14:paraId="77674EAE" w14:textId="77777777" w:rsidTr="00D30B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8E3A4"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Turu analüüs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206AA"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80 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65371"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50 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BEBEB"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4 000 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6765B"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 uuritakse olemasolevat turuolukorda ja hinnatakse teenusepakkujate olemasolu </w:t>
            </w:r>
          </w:p>
        </w:tc>
      </w:tr>
      <w:tr w:rsidR="00C31339" w:rsidRPr="00825B4E" w14:paraId="553B1AAE" w14:textId="77777777" w:rsidTr="00D30B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2704E"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b/>
                <w:bCs/>
                <w:color w:val="000000" w:themeColor="text1"/>
                <w:sz w:val="22"/>
                <w:szCs w:val="22"/>
              </w:rPr>
              <w:t>KOKKU</w:t>
            </w:r>
            <w:r w:rsidRPr="00825B4E">
              <w:rPr>
                <w:rFonts w:ascii="Times New Roman" w:eastAsiaTheme="minorEastAsia" w:hAnsi="Times New Roman" w:cs="Times New Roman"/>
                <w:color w:val="000000" w:themeColor="text1"/>
                <w:sz w:val="22"/>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B4D5A"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380EB"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5575E"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b/>
                <w:bCs/>
                <w:color w:val="000000" w:themeColor="text1"/>
                <w:sz w:val="22"/>
                <w:szCs w:val="22"/>
              </w:rPr>
              <w:t>28 000</w:t>
            </w:r>
            <w:r w:rsidRPr="00825B4E">
              <w:rPr>
                <w:rFonts w:ascii="Times New Roman" w:eastAsiaTheme="minorEastAsia" w:hAnsi="Times New Roman" w:cs="Times New Roman"/>
                <w:color w:val="000000" w:themeColor="text1"/>
                <w:sz w:val="22"/>
                <w:szCs w:val="22"/>
              </w:rPr>
              <w:t>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57A20" w14:textId="77777777" w:rsidR="00C31339" w:rsidRPr="00825B4E" w:rsidRDefault="00C31339" w:rsidP="00D30BBC">
            <w:pPr>
              <w:spacing w:after="0" w:line="240" w:lineRule="auto"/>
              <w:jc w:val="both"/>
              <w:rPr>
                <w:rFonts w:ascii="Times New Roman" w:eastAsiaTheme="minorEastAsia" w:hAnsi="Times New Roman" w:cs="Times New Roman"/>
                <w:color w:val="000000" w:themeColor="text1"/>
                <w:sz w:val="22"/>
                <w:szCs w:val="22"/>
              </w:rPr>
            </w:pPr>
            <w:r w:rsidRPr="00825B4E">
              <w:rPr>
                <w:rFonts w:ascii="Times New Roman" w:eastAsiaTheme="minorEastAsia" w:hAnsi="Times New Roman" w:cs="Times New Roman"/>
                <w:color w:val="000000" w:themeColor="text1"/>
                <w:sz w:val="22"/>
                <w:szCs w:val="22"/>
              </w:rPr>
              <w:t> </w:t>
            </w:r>
          </w:p>
        </w:tc>
      </w:tr>
    </w:tbl>
    <w:p w14:paraId="04092294" w14:textId="77777777" w:rsidR="00C31339" w:rsidRPr="007668CC" w:rsidRDefault="00C31339" w:rsidP="00B312A9">
      <w:pPr>
        <w:spacing w:before="120" w:after="0"/>
        <w:jc w:val="both"/>
        <w:rPr>
          <w:rFonts w:ascii="Times New Roman" w:eastAsiaTheme="minorEastAsia" w:hAnsi="Times New Roman" w:cs="Times New Roman"/>
          <w:color w:val="000000" w:themeColor="text1"/>
        </w:rPr>
      </w:pPr>
    </w:p>
    <w:p w14:paraId="3107B8F2" w14:textId="77777777" w:rsidR="00B312A9" w:rsidRDefault="00B312A9" w:rsidP="00B312A9">
      <w:pPr>
        <w:spacing w:before="240" w:after="0"/>
        <w:jc w:val="both"/>
        <w:rPr>
          <w:rFonts w:ascii="Times New Roman" w:eastAsiaTheme="minorEastAsia" w:hAnsi="Times New Roman" w:cs="Times New Roman"/>
          <w:color w:val="000000" w:themeColor="text1"/>
        </w:rPr>
      </w:pPr>
      <w:r w:rsidRPr="007668CC">
        <w:rPr>
          <w:rFonts w:ascii="Times New Roman" w:eastAsiaTheme="minorEastAsia" w:hAnsi="Times New Roman" w:cs="Times New Roman"/>
          <w:color w:val="000000" w:themeColor="text1"/>
        </w:rPr>
        <w:lastRenderedPageBreak/>
        <w:t>3) Riskianalüüside ja toimepidevusplaanide juhendmaterjal – 5 000 eurot</w:t>
      </w:r>
    </w:p>
    <w:p w14:paraId="104EF070" w14:textId="77777777" w:rsidR="00B312A9" w:rsidRDefault="00B312A9" w:rsidP="00B312A9">
      <w:pPr>
        <w:spacing w:before="120" w:after="0"/>
        <w:jc w:val="both"/>
        <w:rPr>
          <w:rFonts w:ascii="Times New Roman" w:eastAsiaTheme="minorEastAsia" w:hAnsi="Times New Roman" w:cs="Times New Roman"/>
          <w:color w:val="000000" w:themeColor="text1"/>
        </w:rPr>
      </w:pPr>
      <w:r w:rsidRPr="00436344">
        <w:rPr>
          <w:rFonts w:ascii="Times New Roman" w:eastAsiaTheme="minorEastAsia" w:hAnsi="Times New Roman" w:cs="Times New Roman"/>
          <w:color w:val="000000" w:themeColor="text1"/>
        </w:rPr>
        <w:t>Eesmärk on koostada läbimõeldud üksikasjalik juhend, stsenaariumipõhised tegevuskaardid ja blanketid, mille alusel on nii perearstikeskuste ETO-del kui ka apteekidest ETO-del võimalik ühtsel viisil enda riske analüüsida ja neid maandada ning selle põhjal koostada vajalik toimepidevuse plaan ehk mida tehakse juhul, kui mingi risk realiseerub.</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0"/>
        <w:gridCol w:w="793"/>
        <w:gridCol w:w="937"/>
        <w:gridCol w:w="1247"/>
        <w:gridCol w:w="4089"/>
      </w:tblGrid>
      <w:tr w:rsidR="00C31339" w:rsidRPr="00825B4E" w14:paraId="6649BC92" w14:textId="77777777" w:rsidTr="00D30BBC">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26659F08"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Kulu</w:t>
            </w:r>
            <w:r w:rsidRPr="00825B4E">
              <w:rPr>
                <w:rFonts w:ascii="Times New Roman" w:eastAsia="Times New Roman" w:hAnsi="Times New Roman" w:cs="Times New Roman"/>
                <w:color w:val="000000"/>
                <w:kern w:val="0"/>
                <w:sz w:val="22"/>
                <w:szCs w:val="22"/>
                <w:lang w:eastAsia="et-EE"/>
                <w14:ligatures w14:val="non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392AFFA"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Töö-tundide arv</w:t>
            </w:r>
            <w:r w:rsidRPr="00825B4E">
              <w:rPr>
                <w:rFonts w:ascii="Times New Roman" w:eastAsia="Times New Roman" w:hAnsi="Times New Roman" w:cs="Times New Roman"/>
                <w:color w:val="000000"/>
                <w:kern w:val="0"/>
                <w:sz w:val="22"/>
                <w:szCs w:val="22"/>
                <w:lang w:eastAsia="et-EE"/>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D75DAE4"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Tunni hind (eurot)</w:t>
            </w:r>
            <w:r w:rsidRPr="00825B4E">
              <w:rPr>
                <w:rFonts w:ascii="Times New Roman" w:eastAsia="Times New Roman" w:hAnsi="Times New Roman" w:cs="Times New Roman"/>
                <w:color w:val="000000"/>
                <w:kern w:val="0"/>
                <w:sz w:val="22"/>
                <w:szCs w:val="22"/>
                <w:lang w:eastAsia="et-EE"/>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5B4B33"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Tegevuse eelarve</w:t>
            </w:r>
            <w:r w:rsidRPr="00825B4E">
              <w:rPr>
                <w:rFonts w:ascii="Times New Roman" w:eastAsia="Times New Roman" w:hAnsi="Times New Roman" w:cs="Times New Roman"/>
                <w:color w:val="000000"/>
                <w:kern w:val="0"/>
                <w:sz w:val="22"/>
                <w:szCs w:val="22"/>
                <w:lang w:eastAsia="et-EE"/>
                <w14:ligatures w14:val="none"/>
              </w:rPr>
              <w:t> </w:t>
            </w:r>
          </w:p>
          <w:p w14:paraId="7260AC5B"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(eurot)</w:t>
            </w:r>
            <w:r w:rsidRPr="00825B4E">
              <w:rPr>
                <w:rFonts w:ascii="Times New Roman" w:eastAsia="Times New Roman" w:hAnsi="Times New Roman" w:cs="Times New Roman"/>
                <w:color w:val="000000"/>
                <w:kern w:val="0"/>
                <w:sz w:val="22"/>
                <w:szCs w:val="22"/>
                <w:lang w:eastAsia="et-EE"/>
                <w14:ligatures w14:val="none"/>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1C10E2E"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Selgitus</w:t>
            </w:r>
            <w:r w:rsidRPr="00825B4E">
              <w:rPr>
                <w:rFonts w:ascii="Times New Roman" w:eastAsia="Times New Roman" w:hAnsi="Times New Roman" w:cs="Times New Roman"/>
                <w:color w:val="000000"/>
                <w:kern w:val="0"/>
                <w:sz w:val="22"/>
                <w:szCs w:val="22"/>
                <w:lang w:eastAsia="et-EE"/>
                <w14:ligatures w14:val="none"/>
              </w:rPr>
              <w:t> </w:t>
            </w:r>
          </w:p>
        </w:tc>
      </w:tr>
      <w:tr w:rsidR="00C31339" w:rsidRPr="00825B4E" w14:paraId="07EE6EE0" w14:textId="77777777" w:rsidTr="00D30BBC">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42048"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Riskianalüüside ja toimepidevus- plaanide juhendite koostamine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74293"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100 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1C1C4"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50 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3572A"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5 000 </w:t>
            </w:r>
          </w:p>
        </w:tc>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3D3BB"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Arendatakse juhendid, mis sisaldavad praktilisi juhiseid, kuidas: </w:t>
            </w:r>
            <w:r w:rsidRPr="00825B4E">
              <w:rPr>
                <w:rFonts w:ascii="Times New Roman" w:eastAsia="Times New Roman" w:hAnsi="Times New Roman" w:cs="Times New Roman"/>
                <w:color w:val="000000"/>
                <w:kern w:val="0"/>
                <w:sz w:val="22"/>
                <w:szCs w:val="22"/>
                <w:lang w:eastAsia="et-EE"/>
                <w14:ligatures w14:val="none"/>
              </w:rPr>
              <w:br/>
              <w:t>- tuvastada kõik võimalikud riskid, mis võivad mõjutada perearsti tegevust, </w:t>
            </w:r>
            <w:r w:rsidRPr="00825B4E">
              <w:rPr>
                <w:rFonts w:ascii="Times New Roman" w:eastAsia="Times New Roman" w:hAnsi="Times New Roman" w:cs="Times New Roman"/>
                <w:color w:val="000000"/>
                <w:kern w:val="0"/>
                <w:sz w:val="22"/>
                <w:szCs w:val="22"/>
                <w:lang w:eastAsia="et-EE"/>
                <w14:ligatures w14:val="none"/>
              </w:rPr>
              <w:br/>
              <w:t>- hinnata iga riski tõenäosust ja potentsiaalset mõju, </w:t>
            </w:r>
            <w:r w:rsidRPr="00825B4E">
              <w:rPr>
                <w:rFonts w:ascii="Times New Roman" w:eastAsia="Times New Roman" w:hAnsi="Times New Roman" w:cs="Times New Roman"/>
                <w:color w:val="000000"/>
                <w:kern w:val="0"/>
                <w:sz w:val="22"/>
                <w:szCs w:val="22"/>
                <w:lang w:eastAsia="et-EE"/>
                <w14:ligatures w14:val="none"/>
              </w:rPr>
              <w:br/>
              <w:t>- määrata kindlaks, millised riskid on kõige olulisemad ja vajavad esmajärjekorras lahendamist või ennetamist. </w:t>
            </w:r>
            <w:r w:rsidRPr="00825B4E">
              <w:rPr>
                <w:rFonts w:ascii="Times New Roman" w:eastAsia="Times New Roman" w:hAnsi="Times New Roman" w:cs="Times New Roman"/>
                <w:color w:val="000000"/>
                <w:kern w:val="0"/>
                <w:sz w:val="22"/>
                <w:szCs w:val="22"/>
                <w:lang w:eastAsia="et-EE"/>
                <w14:ligatures w14:val="none"/>
              </w:rPr>
              <w:br/>
              <w:t>Tulemuseks perearstil on praktiline ja ajakohane tööriist, mis aitab tal koostada hädaolukorra lahendamise plaani. </w:t>
            </w:r>
          </w:p>
        </w:tc>
      </w:tr>
      <w:tr w:rsidR="00C31339" w:rsidRPr="00825B4E" w14:paraId="656C9B59" w14:textId="77777777" w:rsidTr="00D30BBC">
        <w:trPr>
          <w:trHeight w:val="30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034DB"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KOKKU</w:t>
            </w:r>
            <w:r w:rsidRPr="00825B4E">
              <w:rPr>
                <w:rFonts w:ascii="Times New Roman" w:eastAsia="Times New Roman" w:hAnsi="Times New Roman" w:cs="Times New Roman"/>
                <w:color w:val="000000"/>
                <w:kern w:val="0"/>
                <w:sz w:val="22"/>
                <w:szCs w:val="22"/>
                <w:lang w:eastAsia="et-EE"/>
                <w14:ligatures w14:val="none"/>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8A4B7"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3D8E6"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4AFEB" w14:textId="77777777" w:rsidR="00C31339" w:rsidRPr="00825B4E" w:rsidRDefault="00C31339" w:rsidP="00D30BBC">
            <w:pPr>
              <w:spacing w:after="0" w:line="240" w:lineRule="auto"/>
              <w:jc w:val="center"/>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b/>
                <w:bCs/>
                <w:color w:val="000000"/>
                <w:kern w:val="0"/>
                <w:sz w:val="22"/>
                <w:szCs w:val="22"/>
                <w:lang w:eastAsia="et-EE"/>
                <w14:ligatures w14:val="none"/>
              </w:rPr>
              <w:t>5 000</w:t>
            </w:r>
            <w:r w:rsidRPr="00825B4E">
              <w:rPr>
                <w:rFonts w:ascii="Times New Roman" w:eastAsia="Times New Roman" w:hAnsi="Times New Roman" w:cs="Times New Roman"/>
                <w:color w:val="000000"/>
                <w:kern w:val="0"/>
                <w:sz w:val="22"/>
                <w:szCs w:val="22"/>
                <w:lang w:eastAsia="et-EE"/>
                <w14:ligatures w14:val="none"/>
              </w:rPr>
              <w:t> </w:t>
            </w:r>
          </w:p>
        </w:tc>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DA556" w14:textId="77777777" w:rsidR="00C31339" w:rsidRPr="00825B4E" w:rsidRDefault="00C31339" w:rsidP="00D30BBC">
            <w:pPr>
              <w:spacing w:after="0" w:line="240" w:lineRule="auto"/>
              <w:textAlignment w:val="baseline"/>
              <w:rPr>
                <w:rFonts w:ascii="Times New Roman" w:eastAsia="Times New Roman" w:hAnsi="Times New Roman" w:cs="Times New Roman"/>
                <w:kern w:val="0"/>
                <w:sz w:val="18"/>
                <w:szCs w:val="18"/>
                <w:lang w:eastAsia="et-EE"/>
                <w14:ligatures w14:val="none"/>
              </w:rPr>
            </w:pPr>
            <w:r w:rsidRPr="00825B4E">
              <w:rPr>
                <w:rFonts w:ascii="Times New Roman" w:eastAsia="Times New Roman" w:hAnsi="Times New Roman" w:cs="Times New Roman"/>
                <w:color w:val="000000"/>
                <w:kern w:val="0"/>
                <w:sz w:val="22"/>
                <w:szCs w:val="22"/>
                <w:lang w:eastAsia="et-EE"/>
                <w14:ligatures w14:val="none"/>
              </w:rPr>
              <w:t> </w:t>
            </w:r>
          </w:p>
        </w:tc>
      </w:tr>
    </w:tbl>
    <w:p w14:paraId="3F6AA7F8" w14:textId="77777777" w:rsidR="00B312A9" w:rsidRPr="007668CC" w:rsidRDefault="00B312A9" w:rsidP="00B312A9">
      <w:pPr>
        <w:spacing w:before="120" w:after="0"/>
        <w:jc w:val="both"/>
        <w:rPr>
          <w:rFonts w:ascii="Times New Roman" w:eastAsiaTheme="minorEastAsia" w:hAnsi="Times New Roman" w:cs="Times New Roman"/>
          <w:color w:val="000000" w:themeColor="text1"/>
        </w:rPr>
      </w:pPr>
      <w:r w:rsidRPr="007668CC">
        <w:rPr>
          <w:rFonts w:ascii="Times New Roman" w:eastAsiaTheme="minorEastAsia" w:hAnsi="Times New Roman" w:cs="Times New Roman"/>
          <w:color w:val="000000" w:themeColor="text1"/>
        </w:rPr>
        <w:t>Reservi vahendeid kasutatakse</w:t>
      </w:r>
      <w:r>
        <w:rPr>
          <w:rFonts w:ascii="Times New Roman" w:eastAsiaTheme="minorEastAsia" w:hAnsi="Times New Roman" w:cs="Times New Roman"/>
          <w:color w:val="000000" w:themeColor="text1"/>
        </w:rPr>
        <w:t xml:space="preserve"> tulemusvaldkonna Tervis</w:t>
      </w:r>
      <w:r w:rsidRPr="007668CC">
        <w:rPr>
          <w:rFonts w:ascii="Times New Roman" w:eastAsiaTheme="minorEastAsia" w:hAnsi="Times New Roman" w:cs="Times New Roman"/>
          <w:color w:val="000000" w:themeColor="text1"/>
        </w:rPr>
        <w:t xml:space="preserve"> inimkeskse tervishoiu programmi tegevuses “Tervishoiuteenuste mudelite ümberkujundamine”.</w:t>
      </w:r>
    </w:p>
    <w:p w14:paraId="1CDB7796" w14:textId="77777777" w:rsidR="007961E6" w:rsidRDefault="007961E6" w:rsidP="007961E6">
      <w:pPr>
        <w:pStyle w:val="Vahedeta"/>
      </w:pPr>
    </w:p>
    <w:p w14:paraId="4D42A644" w14:textId="117A5354" w:rsidR="26019216" w:rsidRPr="007961E6" w:rsidRDefault="00B312A9" w:rsidP="007961E6">
      <w:pPr>
        <w:pStyle w:val="Vahedeta"/>
        <w:rPr>
          <w:rFonts w:ascii="Times New Roman" w:hAnsi="Times New Roman" w:cs="Times New Roman"/>
        </w:rPr>
      </w:pPr>
      <w:r w:rsidRPr="007961E6">
        <w:rPr>
          <w:rFonts w:ascii="Times New Roman" w:hAnsi="Times New Roman" w:cs="Times New Roman"/>
        </w:rPr>
        <w:t>Taotletavat 63 000 eurot kasutatakse sihtotstarbeliselt ning eraldatud raha kasutamise kohta peetakse raamatupidamises detailset arvestust</w:t>
      </w:r>
    </w:p>
    <w:sectPr w:rsidR="26019216" w:rsidRPr="007961E6">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B9647" w14:textId="77777777" w:rsidR="00144949" w:rsidRDefault="00144949">
      <w:pPr>
        <w:spacing w:after="0" w:line="240" w:lineRule="auto"/>
      </w:pPr>
      <w:r>
        <w:separator/>
      </w:r>
    </w:p>
  </w:endnote>
  <w:endnote w:type="continuationSeparator" w:id="0">
    <w:p w14:paraId="5E6DDDB6" w14:textId="77777777" w:rsidR="00144949" w:rsidRDefault="0014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7AD758" w14:paraId="000CFE71" w14:textId="77777777" w:rsidTr="197AD758">
      <w:trPr>
        <w:trHeight w:val="300"/>
      </w:trPr>
      <w:tc>
        <w:tcPr>
          <w:tcW w:w="3020" w:type="dxa"/>
        </w:tcPr>
        <w:p w14:paraId="0B94E2E3" w14:textId="073E451A" w:rsidR="197AD758" w:rsidRDefault="197AD758" w:rsidP="197AD758">
          <w:pPr>
            <w:pStyle w:val="Pis"/>
            <w:ind w:left="-115"/>
          </w:pPr>
        </w:p>
      </w:tc>
      <w:tc>
        <w:tcPr>
          <w:tcW w:w="3020" w:type="dxa"/>
        </w:tcPr>
        <w:p w14:paraId="1E3AB862" w14:textId="0D0832F7" w:rsidR="197AD758" w:rsidRDefault="197AD758" w:rsidP="197AD758">
          <w:pPr>
            <w:pStyle w:val="Pis"/>
            <w:jc w:val="center"/>
          </w:pPr>
          <w:r>
            <w:fldChar w:fldCharType="begin"/>
          </w:r>
          <w:r>
            <w:instrText>PAGE</w:instrText>
          </w:r>
          <w:r>
            <w:fldChar w:fldCharType="separate"/>
          </w:r>
          <w:r w:rsidR="00EB04B7">
            <w:rPr>
              <w:noProof/>
            </w:rPr>
            <w:t>2</w:t>
          </w:r>
          <w:r>
            <w:fldChar w:fldCharType="end"/>
          </w:r>
        </w:p>
      </w:tc>
      <w:tc>
        <w:tcPr>
          <w:tcW w:w="3020" w:type="dxa"/>
        </w:tcPr>
        <w:p w14:paraId="685C2934" w14:textId="152CE371" w:rsidR="197AD758" w:rsidRDefault="197AD758" w:rsidP="197AD758">
          <w:pPr>
            <w:pStyle w:val="Pis"/>
            <w:ind w:right="-115"/>
            <w:jc w:val="right"/>
          </w:pPr>
        </w:p>
      </w:tc>
    </w:tr>
  </w:tbl>
  <w:p w14:paraId="2C645492" w14:textId="439D583D" w:rsidR="197AD758" w:rsidRDefault="197AD758" w:rsidP="197AD75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7AD758" w14:paraId="3C0755EB" w14:textId="77777777" w:rsidTr="197AD758">
      <w:trPr>
        <w:trHeight w:val="300"/>
      </w:trPr>
      <w:tc>
        <w:tcPr>
          <w:tcW w:w="3020" w:type="dxa"/>
        </w:tcPr>
        <w:p w14:paraId="11A1C91C" w14:textId="01F8FD59" w:rsidR="197AD758" w:rsidRDefault="197AD758" w:rsidP="197AD758">
          <w:pPr>
            <w:pStyle w:val="Pis"/>
            <w:ind w:left="-115"/>
          </w:pPr>
        </w:p>
      </w:tc>
      <w:tc>
        <w:tcPr>
          <w:tcW w:w="3020" w:type="dxa"/>
        </w:tcPr>
        <w:p w14:paraId="6BFC0461" w14:textId="0A113C77" w:rsidR="197AD758" w:rsidRDefault="197AD758" w:rsidP="197AD758">
          <w:pPr>
            <w:pStyle w:val="Pis"/>
            <w:jc w:val="center"/>
          </w:pPr>
        </w:p>
      </w:tc>
      <w:tc>
        <w:tcPr>
          <w:tcW w:w="3020" w:type="dxa"/>
        </w:tcPr>
        <w:p w14:paraId="6843AEBE" w14:textId="476CFE24" w:rsidR="197AD758" w:rsidRDefault="197AD758" w:rsidP="197AD758">
          <w:pPr>
            <w:pStyle w:val="Pis"/>
            <w:ind w:right="-115"/>
            <w:jc w:val="right"/>
          </w:pPr>
        </w:p>
      </w:tc>
    </w:tr>
  </w:tbl>
  <w:p w14:paraId="345EDC2E" w14:textId="3F41D6DE" w:rsidR="197AD758" w:rsidRDefault="197AD758" w:rsidP="197AD75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0339" w14:textId="77777777" w:rsidR="00144949" w:rsidRDefault="00144949">
      <w:pPr>
        <w:spacing w:after="0" w:line="240" w:lineRule="auto"/>
      </w:pPr>
      <w:r>
        <w:separator/>
      </w:r>
    </w:p>
  </w:footnote>
  <w:footnote w:type="continuationSeparator" w:id="0">
    <w:p w14:paraId="258A83C1" w14:textId="77777777" w:rsidR="00144949" w:rsidRDefault="0014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7AD758" w14:paraId="2577462B" w14:textId="77777777" w:rsidTr="197AD758">
      <w:trPr>
        <w:trHeight w:val="300"/>
      </w:trPr>
      <w:tc>
        <w:tcPr>
          <w:tcW w:w="3020" w:type="dxa"/>
        </w:tcPr>
        <w:p w14:paraId="1DFDFA56" w14:textId="7F63888F" w:rsidR="197AD758" w:rsidRDefault="197AD758" w:rsidP="197AD758">
          <w:pPr>
            <w:pStyle w:val="Pis"/>
            <w:ind w:left="-115"/>
          </w:pPr>
        </w:p>
      </w:tc>
      <w:tc>
        <w:tcPr>
          <w:tcW w:w="3020" w:type="dxa"/>
        </w:tcPr>
        <w:p w14:paraId="7BEC44C8" w14:textId="331B6B51" w:rsidR="197AD758" w:rsidRDefault="197AD758" w:rsidP="197AD758">
          <w:pPr>
            <w:pStyle w:val="Pis"/>
            <w:jc w:val="center"/>
          </w:pPr>
        </w:p>
      </w:tc>
      <w:tc>
        <w:tcPr>
          <w:tcW w:w="3020" w:type="dxa"/>
        </w:tcPr>
        <w:p w14:paraId="49052893" w14:textId="737B7012" w:rsidR="197AD758" w:rsidRDefault="197AD758" w:rsidP="197AD758">
          <w:pPr>
            <w:pStyle w:val="Pis"/>
            <w:ind w:right="-115"/>
            <w:jc w:val="right"/>
          </w:pPr>
        </w:p>
      </w:tc>
    </w:tr>
  </w:tbl>
  <w:p w14:paraId="2F9EACF0" w14:textId="4285B494" w:rsidR="197AD758" w:rsidRDefault="197AD758" w:rsidP="197AD75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7AD758" w14:paraId="1E6260F2" w14:textId="77777777" w:rsidTr="197AD758">
      <w:trPr>
        <w:trHeight w:val="300"/>
      </w:trPr>
      <w:tc>
        <w:tcPr>
          <w:tcW w:w="3020" w:type="dxa"/>
        </w:tcPr>
        <w:p w14:paraId="77E7D200" w14:textId="3E2BA7AF" w:rsidR="197AD758" w:rsidRDefault="197AD758" w:rsidP="197AD758">
          <w:pPr>
            <w:pStyle w:val="Pis"/>
            <w:ind w:left="-115"/>
          </w:pPr>
        </w:p>
      </w:tc>
      <w:tc>
        <w:tcPr>
          <w:tcW w:w="3020" w:type="dxa"/>
        </w:tcPr>
        <w:p w14:paraId="4156C6E2" w14:textId="2588A8D7" w:rsidR="197AD758" w:rsidRDefault="197AD758" w:rsidP="197AD758">
          <w:pPr>
            <w:pStyle w:val="Pis"/>
            <w:jc w:val="center"/>
          </w:pPr>
        </w:p>
      </w:tc>
      <w:tc>
        <w:tcPr>
          <w:tcW w:w="3020" w:type="dxa"/>
        </w:tcPr>
        <w:p w14:paraId="3C536C28" w14:textId="097B687F" w:rsidR="197AD758" w:rsidRDefault="197AD758" w:rsidP="197AD758">
          <w:pPr>
            <w:pStyle w:val="Pis"/>
            <w:ind w:right="-115"/>
            <w:jc w:val="right"/>
          </w:pPr>
        </w:p>
      </w:tc>
    </w:tr>
  </w:tbl>
  <w:p w14:paraId="41CD509E" w14:textId="6A9B8459" w:rsidR="197AD758" w:rsidRDefault="197AD758" w:rsidP="197AD758">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85"/>
    <w:rsid w:val="000A0BF4"/>
    <w:rsid w:val="00102889"/>
    <w:rsid w:val="00144949"/>
    <w:rsid w:val="002906CF"/>
    <w:rsid w:val="00386289"/>
    <w:rsid w:val="00436542"/>
    <w:rsid w:val="004A1D5B"/>
    <w:rsid w:val="00641160"/>
    <w:rsid w:val="007668CC"/>
    <w:rsid w:val="007961E6"/>
    <w:rsid w:val="00803174"/>
    <w:rsid w:val="00883E0C"/>
    <w:rsid w:val="008C3A1B"/>
    <w:rsid w:val="008C54D1"/>
    <w:rsid w:val="008D3033"/>
    <w:rsid w:val="009B3FD4"/>
    <w:rsid w:val="00B13F85"/>
    <w:rsid w:val="00B312A9"/>
    <w:rsid w:val="00B9DA69"/>
    <w:rsid w:val="00C31339"/>
    <w:rsid w:val="00C71DB4"/>
    <w:rsid w:val="00D93C63"/>
    <w:rsid w:val="00DF52C6"/>
    <w:rsid w:val="00E27510"/>
    <w:rsid w:val="00EB04B7"/>
    <w:rsid w:val="00EE7454"/>
    <w:rsid w:val="00FA2843"/>
    <w:rsid w:val="026F57A3"/>
    <w:rsid w:val="02B5C102"/>
    <w:rsid w:val="041EE8E2"/>
    <w:rsid w:val="04E3030B"/>
    <w:rsid w:val="05332056"/>
    <w:rsid w:val="05CF0F3F"/>
    <w:rsid w:val="0729260B"/>
    <w:rsid w:val="085E9D32"/>
    <w:rsid w:val="093EA530"/>
    <w:rsid w:val="09C66C01"/>
    <w:rsid w:val="09DEED0B"/>
    <w:rsid w:val="0B14EEF4"/>
    <w:rsid w:val="0B8F7BFA"/>
    <w:rsid w:val="0BDEFD7B"/>
    <w:rsid w:val="0CA47645"/>
    <w:rsid w:val="0D881E14"/>
    <w:rsid w:val="0F066B55"/>
    <w:rsid w:val="10777A58"/>
    <w:rsid w:val="1285C8D0"/>
    <w:rsid w:val="143DADD7"/>
    <w:rsid w:val="155F0A98"/>
    <w:rsid w:val="15D0A0D5"/>
    <w:rsid w:val="16CF96D7"/>
    <w:rsid w:val="1738C3EC"/>
    <w:rsid w:val="179C3275"/>
    <w:rsid w:val="197AD758"/>
    <w:rsid w:val="1C99211C"/>
    <w:rsid w:val="1F254098"/>
    <w:rsid w:val="1F7DEAA0"/>
    <w:rsid w:val="21446C3E"/>
    <w:rsid w:val="21A009BE"/>
    <w:rsid w:val="21E904EE"/>
    <w:rsid w:val="21F13254"/>
    <w:rsid w:val="220ECFF4"/>
    <w:rsid w:val="24DBF020"/>
    <w:rsid w:val="25E99965"/>
    <w:rsid w:val="26019216"/>
    <w:rsid w:val="264A72FD"/>
    <w:rsid w:val="27977078"/>
    <w:rsid w:val="279BB969"/>
    <w:rsid w:val="27D4EC45"/>
    <w:rsid w:val="2B59AEC6"/>
    <w:rsid w:val="2C2D331F"/>
    <w:rsid w:val="2ED10C06"/>
    <w:rsid w:val="2F78D030"/>
    <w:rsid w:val="2F97F659"/>
    <w:rsid w:val="349922E7"/>
    <w:rsid w:val="35ACF15A"/>
    <w:rsid w:val="37F9574E"/>
    <w:rsid w:val="38075E35"/>
    <w:rsid w:val="3853DE6E"/>
    <w:rsid w:val="3928ADD9"/>
    <w:rsid w:val="3953A982"/>
    <w:rsid w:val="3C10EA8A"/>
    <w:rsid w:val="3C132AD4"/>
    <w:rsid w:val="3C67138A"/>
    <w:rsid w:val="3F40C7EE"/>
    <w:rsid w:val="3F57EAFA"/>
    <w:rsid w:val="40847010"/>
    <w:rsid w:val="418F57C9"/>
    <w:rsid w:val="42825810"/>
    <w:rsid w:val="433CE13D"/>
    <w:rsid w:val="439962EC"/>
    <w:rsid w:val="44E07D80"/>
    <w:rsid w:val="47C00812"/>
    <w:rsid w:val="4855EFFE"/>
    <w:rsid w:val="49195E5F"/>
    <w:rsid w:val="4939681B"/>
    <w:rsid w:val="49A170F6"/>
    <w:rsid w:val="4AADF471"/>
    <w:rsid w:val="4AE4E999"/>
    <w:rsid w:val="4BB1EDB7"/>
    <w:rsid w:val="4C7D065E"/>
    <w:rsid w:val="4D5FCF8C"/>
    <w:rsid w:val="4D885F52"/>
    <w:rsid w:val="4E91CE01"/>
    <w:rsid w:val="4EC0B88B"/>
    <w:rsid w:val="4EC2FBB1"/>
    <w:rsid w:val="5105000D"/>
    <w:rsid w:val="541E5755"/>
    <w:rsid w:val="55151C58"/>
    <w:rsid w:val="56148BE3"/>
    <w:rsid w:val="562FD31E"/>
    <w:rsid w:val="571101AC"/>
    <w:rsid w:val="57A72F89"/>
    <w:rsid w:val="580C6C1C"/>
    <w:rsid w:val="58389C23"/>
    <w:rsid w:val="58CDECD1"/>
    <w:rsid w:val="58D0703B"/>
    <w:rsid w:val="5A40696B"/>
    <w:rsid w:val="5AE5AB52"/>
    <w:rsid w:val="5B1855AF"/>
    <w:rsid w:val="5B901C85"/>
    <w:rsid w:val="5C24F41C"/>
    <w:rsid w:val="5CE0C8B3"/>
    <w:rsid w:val="5D8C3CA9"/>
    <w:rsid w:val="5DC4070F"/>
    <w:rsid w:val="5DE4FF2B"/>
    <w:rsid w:val="5E368B05"/>
    <w:rsid w:val="5F86A228"/>
    <w:rsid w:val="604E80F7"/>
    <w:rsid w:val="6089C6D7"/>
    <w:rsid w:val="6119EA2E"/>
    <w:rsid w:val="61AD7107"/>
    <w:rsid w:val="61DE7C36"/>
    <w:rsid w:val="627E8719"/>
    <w:rsid w:val="632D9C39"/>
    <w:rsid w:val="63E81659"/>
    <w:rsid w:val="642121B7"/>
    <w:rsid w:val="66F84EAE"/>
    <w:rsid w:val="676DC0D2"/>
    <w:rsid w:val="67A65850"/>
    <w:rsid w:val="6816E6BA"/>
    <w:rsid w:val="68EBCDAD"/>
    <w:rsid w:val="6A73F0A8"/>
    <w:rsid w:val="6E2B1875"/>
    <w:rsid w:val="70752026"/>
    <w:rsid w:val="70BB28EA"/>
    <w:rsid w:val="71986F88"/>
    <w:rsid w:val="72618278"/>
    <w:rsid w:val="73605BD0"/>
    <w:rsid w:val="73948E20"/>
    <w:rsid w:val="73B2AA3D"/>
    <w:rsid w:val="745671C1"/>
    <w:rsid w:val="748976EC"/>
    <w:rsid w:val="74910E1F"/>
    <w:rsid w:val="7640F4F6"/>
    <w:rsid w:val="774DFB5B"/>
    <w:rsid w:val="77C363A3"/>
    <w:rsid w:val="77C9CCFD"/>
    <w:rsid w:val="77D00DBC"/>
    <w:rsid w:val="78AB1A8B"/>
    <w:rsid w:val="78AEA130"/>
    <w:rsid w:val="7A424C1E"/>
    <w:rsid w:val="7AC472AA"/>
    <w:rsid w:val="7AC8D552"/>
    <w:rsid w:val="7C0263D4"/>
    <w:rsid w:val="7C4F597D"/>
    <w:rsid w:val="7D117739"/>
    <w:rsid w:val="7D5584A5"/>
    <w:rsid w:val="7E024919"/>
    <w:rsid w:val="7EC30BAF"/>
    <w:rsid w:val="7F18BE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0464"/>
  <w15:chartTrackingRefBased/>
  <w15:docId w15:val="{CC998FB3-2D32-4E6A-98F5-6523E0DA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13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13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13F8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13F8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13F8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13F8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13F8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13F8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13F8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13F8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13F8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13F8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13F8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13F8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13F8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13F8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13F8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13F8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13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13F8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13F8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13F8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13F85"/>
    <w:pPr>
      <w:spacing w:before="160"/>
      <w:jc w:val="center"/>
    </w:pPr>
    <w:rPr>
      <w:i/>
      <w:iCs/>
      <w:color w:val="404040" w:themeColor="text1" w:themeTint="BF"/>
    </w:rPr>
  </w:style>
  <w:style w:type="character" w:customStyle="1" w:styleId="TsitaatMrk">
    <w:name w:val="Tsitaat Märk"/>
    <w:basedOn w:val="Liguvaikefont"/>
    <w:link w:val="Tsitaat"/>
    <w:uiPriority w:val="29"/>
    <w:rsid w:val="00B13F85"/>
    <w:rPr>
      <w:i/>
      <w:iCs/>
      <w:color w:val="404040" w:themeColor="text1" w:themeTint="BF"/>
    </w:rPr>
  </w:style>
  <w:style w:type="paragraph" w:styleId="Loendilik">
    <w:name w:val="List Paragraph"/>
    <w:basedOn w:val="Normaallaad"/>
    <w:uiPriority w:val="34"/>
    <w:qFormat/>
    <w:rsid w:val="00B13F85"/>
    <w:pPr>
      <w:ind w:left="720"/>
      <w:contextualSpacing/>
    </w:pPr>
  </w:style>
  <w:style w:type="character" w:styleId="Selgeltmrgatavrhutus">
    <w:name w:val="Intense Emphasis"/>
    <w:basedOn w:val="Liguvaikefont"/>
    <w:uiPriority w:val="21"/>
    <w:qFormat/>
    <w:rsid w:val="00B13F85"/>
    <w:rPr>
      <w:i/>
      <w:iCs/>
      <w:color w:val="0F4761" w:themeColor="accent1" w:themeShade="BF"/>
    </w:rPr>
  </w:style>
  <w:style w:type="paragraph" w:styleId="Selgeltmrgatavtsitaat">
    <w:name w:val="Intense Quote"/>
    <w:basedOn w:val="Normaallaad"/>
    <w:next w:val="Normaallaad"/>
    <w:link w:val="SelgeltmrgatavtsitaatMrk"/>
    <w:uiPriority w:val="30"/>
    <w:qFormat/>
    <w:rsid w:val="00B13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13F85"/>
    <w:rPr>
      <w:i/>
      <w:iCs/>
      <w:color w:val="0F4761" w:themeColor="accent1" w:themeShade="BF"/>
    </w:rPr>
  </w:style>
  <w:style w:type="character" w:styleId="Selgeltmrgatavviide">
    <w:name w:val="Intense Reference"/>
    <w:basedOn w:val="Liguvaikefont"/>
    <w:uiPriority w:val="32"/>
    <w:qFormat/>
    <w:rsid w:val="00B13F85"/>
    <w:rPr>
      <w:b/>
      <w:bCs/>
      <w:smallCaps/>
      <w:color w:val="0F4761" w:themeColor="accent1" w:themeShade="BF"/>
      <w:spacing w:val="5"/>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s">
    <w:name w:val="header"/>
    <w:basedOn w:val="Normaallaad"/>
    <w:uiPriority w:val="99"/>
    <w:unhideWhenUsed/>
    <w:rsid w:val="197AD758"/>
    <w:pPr>
      <w:tabs>
        <w:tab w:val="center" w:pos="4680"/>
        <w:tab w:val="right" w:pos="9360"/>
      </w:tabs>
      <w:spacing w:after="0" w:line="240" w:lineRule="auto"/>
    </w:pPr>
  </w:style>
  <w:style w:type="paragraph" w:styleId="Jalus">
    <w:name w:val="footer"/>
    <w:basedOn w:val="Normaallaad"/>
    <w:uiPriority w:val="99"/>
    <w:unhideWhenUsed/>
    <w:rsid w:val="197AD758"/>
    <w:pPr>
      <w:tabs>
        <w:tab w:val="center" w:pos="4680"/>
        <w:tab w:val="right" w:pos="9360"/>
      </w:tabs>
      <w:spacing w:after="0" w:line="240" w:lineRule="auto"/>
    </w:pPr>
  </w:style>
  <w:style w:type="character" w:styleId="Hperlink">
    <w:name w:val="Hyperlink"/>
    <w:basedOn w:val="Liguvaikefont"/>
    <w:uiPriority w:val="99"/>
    <w:unhideWhenUsed/>
    <w:rsid w:val="00FA2843"/>
    <w:rPr>
      <w:color w:val="467886" w:themeColor="hyperlink"/>
      <w:u w:val="single"/>
    </w:rPr>
  </w:style>
  <w:style w:type="character" w:styleId="Lahendamatamainimine">
    <w:name w:val="Unresolved Mention"/>
    <w:basedOn w:val="Liguvaikefont"/>
    <w:uiPriority w:val="99"/>
    <w:semiHidden/>
    <w:unhideWhenUsed/>
    <w:rsid w:val="00FA2843"/>
    <w:rPr>
      <w:color w:val="605E5C"/>
      <w:shd w:val="clear" w:color="auto" w:fill="E1DFDD"/>
    </w:rPr>
  </w:style>
  <w:style w:type="paragraph" w:styleId="Vahedeta">
    <w:name w:val="No Spacing"/>
    <w:uiPriority w:val="1"/>
    <w:qFormat/>
    <w:rsid w:val="00796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hs.riigikantselei.ee/avalikteave.nsf/documents/NT003F0E82?open"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405586ACDEF3499339FFA5B537C65A" ma:contentTypeVersion="6" ma:contentTypeDescription="Loo uus dokument" ma:contentTypeScope="" ma:versionID="c92f1c43a407a340a2db4fef6b6872fd">
  <xsd:schema xmlns:xsd="http://www.w3.org/2001/XMLSchema" xmlns:xs="http://www.w3.org/2001/XMLSchema" xmlns:p="http://schemas.microsoft.com/office/2006/metadata/properties" xmlns:ns2="46c3bfcf-1a7c-4e8d-850b-424df944a41c" targetNamespace="http://schemas.microsoft.com/office/2006/metadata/properties" ma:root="true" ma:fieldsID="ec4b5da0439e3ab9e72265aee0adab2b" ns2:_="">
    <xsd:import namespace="46c3bfcf-1a7c-4e8d-850b-424df944a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bfcf-1a7c-4e8d-850b-424df944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D8B75-2027-4D5D-897B-1C1D760ECE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E6D6DF-4309-4E09-8482-572D19B82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bfcf-1a7c-4e8d-850b-424df944a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847A4-AF87-486E-8F06-DBD24D17B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1028</Words>
  <Characters>5966</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Toodu - SOM</dc:creator>
  <cp:keywords/>
  <dc:description/>
  <cp:lastModifiedBy>Kirsti Toodu - SOM</cp:lastModifiedBy>
  <cp:revision>19</cp:revision>
  <dcterms:created xsi:type="dcterms:W3CDTF">2025-03-07T14:02:00Z</dcterms:created>
  <dcterms:modified xsi:type="dcterms:W3CDTF">2025-03-24T11:16:00Z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2025-03-07T14:01:32Z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71f6aeae-d702-4fe5-a8e8-d76fbe230ea4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0x010100E0405586ACDEF3499339FFA5B537C65A</vt:lpwstr>
  </property>
</Properties>
</file>