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3F74" w14:textId="65E3648D" w:rsidR="00BF4F9A" w:rsidRDefault="00E557E0" w:rsidP="00E557E0">
      <w:pPr>
        <w:jc w:val="center"/>
        <w:rPr>
          <w:b/>
          <w:bCs/>
        </w:rPr>
      </w:pPr>
      <w:r w:rsidRPr="00E557E0">
        <w:rPr>
          <w:b/>
          <w:bCs/>
          <w:sz w:val="28"/>
          <w:szCs w:val="28"/>
        </w:rPr>
        <w:t>Soovitused süsteemikirjelduste täiendamiseks</w:t>
      </w:r>
    </w:p>
    <w:p w14:paraId="00570FD9" w14:textId="77777777" w:rsidR="00E557E0" w:rsidRDefault="00E557E0" w:rsidP="00E964CE">
      <w:pPr>
        <w:jc w:val="both"/>
        <w:rPr>
          <w:b/>
          <w:bCs/>
          <w:u w:val="single"/>
        </w:rPr>
      </w:pPr>
    </w:p>
    <w:p w14:paraId="2B7876DC" w14:textId="5F955E7F" w:rsidR="00BF4F9A" w:rsidRPr="00BF4F9A" w:rsidRDefault="00BF4F9A" w:rsidP="00E964CE">
      <w:pPr>
        <w:jc w:val="both"/>
        <w:rPr>
          <w:b/>
          <w:bCs/>
          <w:u w:val="single"/>
        </w:rPr>
      </w:pPr>
      <w:r w:rsidRPr="00BF4F9A">
        <w:rPr>
          <w:b/>
          <w:bCs/>
          <w:u w:val="single"/>
        </w:rPr>
        <w:t>Soovitused Riiklikule koordineerimisüksusele:</w:t>
      </w:r>
    </w:p>
    <w:p w14:paraId="6E67042E" w14:textId="4EE4F7DB" w:rsidR="00324A75" w:rsidRDefault="00296119" w:rsidP="00E964CE">
      <w:pPr>
        <w:pStyle w:val="Loendilik"/>
        <w:numPr>
          <w:ilvl w:val="0"/>
          <w:numId w:val="1"/>
        </w:numPr>
        <w:ind w:left="360"/>
        <w:jc w:val="both"/>
      </w:pPr>
      <w:r>
        <w:rPr>
          <w:b/>
          <w:bCs/>
        </w:rPr>
        <w:t>Leppida Šveitsiga kokku t</w:t>
      </w:r>
      <w:r w:rsidR="009C077D" w:rsidRPr="009C077D">
        <w:rPr>
          <w:b/>
          <w:bCs/>
        </w:rPr>
        <w:t>oetusmeetme elluviimise järg</w:t>
      </w:r>
      <w:r>
        <w:rPr>
          <w:b/>
          <w:bCs/>
        </w:rPr>
        <w:t>se seire protsess</w:t>
      </w:r>
      <w:r w:rsidR="009C077D" w:rsidRPr="009C077D">
        <w:rPr>
          <w:b/>
          <w:bCs/>
        </w:rPr>
        <w:t xml:space="preserve">. </w:t>
      </w:r>
      <w:r w:rsidR="009C077D" w:rsidRPr="009C077D">
        <w:t>EŠK regulatsiooni art 3.3 lõike 3 järgi vastutab Riiklik koordineerimisüksus partnerriigi poolse seire eest pärast toetusmeetmete lõppu. Kuna Šveitsiga ei ole kokku lepitud</w:t>
      </w:r>
      <w:r w:rsidR="007C1421">
        <w:t xml:space="preserve">, kas ja kuidas toetusmeetmeid seirata, </w:t>
      </w:r>
      <w:r w:rsidR="009C077D" w:rsidRPr="009C077D">
        <w:t xml:space="preserve">ei ole </w:t>
      </w:r>
      <w:r w:rsidR="002E4542">
        <w:t xml:space="preserve">antud </w:t>
      </w:r>
      <w:r w:rsidR="009C077D" w:rsidRPr="009C077D">
        <w:t>protsess</w:t>
      </w:r>
      <w:r w:rsidR="002E4542">
        <w:t>i ka</w:t>
      </w:r>
      <w:r w:rsidR="009C077D" w:rsidRPr="009C077D">
        <w:t xml:space="preserve"> reguleeritud. Soovitame seire ulatuse ja meetodi Šveitsi poolega varakult kokku leppida ning need </w:t>
      </w:r>
      <w:r w:rsidR="009F53F1">
        <w:t>riikliku koordineerimisüksuse</w:t>
      </w:r>
      <w:r w:rsidR="009C077D" w:rsidRPr="009C077D">
        <w:t xml:space="preserve"> töökorralduses fikseerida, et vältida viivitusi ja tagada võimalus planeerida seireks vajalikud tegevused ja ressursid õigeaegselt.</w:t>
      </w:r>
    </w:p>
    <w:p w14:paraId="78BB76E5" w14:textId="5564146A" w:rsidR="00291DE1" w:rsidRPr="00BE17F7" w:rsidRDefault="00296119" w:rsidP="00E964CE">
      <w:pPr>
        <w:pStyle w:val="Loendilik"/>
        <w:numPr>
          <w:ilvl w:val="0"/>
          <w:numId w:val="1"/>
        </w:numPr>
        <w:ind w:left="360"/>
        <w:jc w:val="both"/>
      </w:pPr>
      <w:r w:rsidRPr="00BE17F7">
        <w:rPr>
          <w:b/>
          <w:bCs/>
        </w:rPr>
        <w:t xml:space="preserve">Täiendada </w:t>
      </w:r>
      <w:r w:rsidR="00C33EBA" w:rsidRPr="00BE17F7">
        <w:rPr>
          <w:b/>
          <w:bCs/>
        </w:rPr>
        <w:t xml:space="preserve">RTK </w:t>
      </w:r>
      <w:r w:rsidRPr="00BE17F7">
        <w:rPr>
          <w:b/>
          <w:bCs/>
        </w:rPr>
        <w:t>töökorda järgmis</w:t>
      </w:r>
      <w:r w:rsidR="003E0732" w:rsidRPr="00BE17F7">
        <w:rPr>
          <w:b/>
          <w:bCs/>
        </w:rPr>
        <w:t xml:space="preserve">te </w:t>
      </w:r>
      <w:r w:rsidR="00C33EBA" w:rsidRPr="00BE17F7">
        <w:rPr>
          <w:b/>
          <w:bCs/>
        </w:rPr>
        <w:t>punktidega</w:t>
      </w:r>
      <w:r w:rsidR="003E0732" w:rsidRPr="00BE17F7">
        <w:t>:</w:t>
      </w:r>
    </w:p>
    <w:p w14:paraId="36B3D284" w14:textId="12BCD360" w:rsidR="00C33EBA" w:rsidRPr="0075265A" w:rsidRDefault="00B460C7" w:rsidP="00E964CE">
      <w:pPr>
        <w:pStyle w:val="Loendilik"/>
        <w:numPr>
          <w:ilvl w:val="1"/>
          <w:numId w:val="1"/>
        </w:numPr>
        <w:jc w:val="both"/>
        <w:rPr>
          <w:color w:val="7030A0"/>
        </w:rPr>
      </w:pPr>
      <w:r w:rsidRPr="006A4206">
        <w:rPr>
          <w:b/>
          <w:bCs/>
        </w:rPr>
        <w:t xml:space="preserve">Regulaarsete koosolekute korraldamine. </w:t>
      </w:r>
      <w:r w:rsidR="009F53F1" w:rsidRPr="006A4206">
        <w:t xml:space="preserve">EŠK regulatsiooni art 3.10 lõike 1 järgi peavad </w:t>
      </w:r>
      <w:r w:rsidR="009F53F1" w:rsidRPr="00D03B2E">
        <w:t>pädevad asutused pidama korrapärast dialoogi, korraldades selleks korralisi koosolekuid. Riikliku koordineerimisüksuse töökorralduses on reguleeritud toetusmeetmete juhtkomiteede ja koostööprogrammi aastakoosolekute korraldamine, kuid teisi regulaarseid kohtumisi ei ole eraldi kirjeldatud. Kuigi praktikas korraldab riiklik koordineerimisüksus regulaarselt kohtumisi, soovitab auditeeriv asutus kirjeldada kohtumiste protsess ka töökorralduses. See aitaks tagada kohtumiste järjepidevuse ka töötajate vahetumisel ning toetaks ühtset praktikat ja läbipaistv</w:t>
      </w:r>
      <w:r w:rsidR="00B77001">
        <w:t>ust</w:t>
      </w:r>
      <w:r w:rsidR="009F53F1" w:rsidRPr="00D03B2E">
        <w:t>.</w:t>
      </w:r>
    </w:p>
    <w:p w14:paraId="277FFC3D" w14:textId="6D06758D" w:rsidR="00047D22" w:rsidRPr="00C95893" w:rsidRDefault="00FE0F75" w:rsidP="00E964CE">
      <w:pPr>
        <w:pStyle w:val="Loendilik"/>
        <w:numPr>
          <w:ilvl w:val="1"/>
          <w:numId w:val="1"/>
        </w:numPr>
        <w:jc w:val="both"/>
      </w:pPr>
      <w:r>
        <w:rPr>
          <w:b/>
          <w:bCs/>
        </w:rPr>
        <w:t>Rikkumisjuhtu</w:t>
      </w:r>
      <w:r w:rsidR="00BB2692">
        <w:rPr>
          <w:b/>
          <w:bCs/>
        </w:rPr>
        <w:t xml:space="preserve">mitest teavitamine. </w:t>
      </w:r>
      <w:r w:rsidR="00047D22" w:rsidRPr="00047D22">
        <w:t xml:space="preserve">RTK töökorra peatüki 2.2.1 preambulas on toodud, et EŠK RKÜ teavitab rikkumisjuhtumitest Šveitsi toetuste bürood kvartaalselt vastavalt EŠK rakendamise määruse artiklile 11.3. Kuigi viide artiklile 11.3 on olemas, võiks töökorda täiendada selgesõnalise viitega ka kohesele teavitamiskohustusele, et oleks üheselt arusaadav, et juhul kui võimalik või tegelik rikkumine võib kujutada endast kuritegu, ohustada programmi või toetusmeetme edukat rakendamist või viidata tõsisele juhtimisveale, tuleb </w:t>
      </w:r>
      <w:r w:rsidR="00047D22" w:rsidRPr="00C95893">
        <w:t>Šveitsi toetuste bürood teavitada viivitamata (</w:t>
      </w:r>
      <w:r w:rsidR="00CA2CAD">
        <w:t>Šve</w:t>
      </w:r>
      <w:r w:rsidR="00115224">
        <w:t xml:space="preserve">itsi regulatsiooni artikkel </w:t>
      </w:r>
      <w:r w:rsidR="00047D22" w:rsidRPr="00C95893">
        <w:t>11.3 lõige 1).</w:t>
      </w:r>
    </w:p>
    <w:p w14:paraId="66650D0F" w14:textId="4CB42E78" w:rsidR="00570159" w:rsidRPr="00C95893" w:rsidRDefault="00BB2692" w:rsidP="00E964CE">
      <w:pPr>
        <w:pStyle w:val="Loendilik"/>
        <w:numPr>
          <w:ilvl w:val="1"/>
          <w:numId w:val="1"/>
        </w:numPr>
        <w:jc w:val="both"/>
      </w:pPr>
      <w:r w:rsidRPr="00BB2692">
        <w:rPr>
          <w:b/>
          <w:bCs/>
        </w:rPr>
        <w:t>Šveitsile laekunud kaebused</w:t>
      </w:r>
      <w:r>
        <w:t xml:space="preserve">. </w:t>
      </w:r>
      <w:r w:rsidR="008E3C66" w:rsidRPr="00C95893">
        <w:t xml:space="preserve">Täiendada RTK töökorda EŠK rakendamise määruse artikli 11.2 lõikes 7 sätestatud kohustusega, mille </w:t>
      </w:r>
      <w:r w:rsidR="00C95893">
        <w:t>järgi</w:t>
      </w:r>
      <w:r w:rsidR="008E3C66" w:rsidRPr="00C95893">
        <w:t xml:space="preserve"> vaatab riiklik koordineerimisüksus Šveitsi taotlusel läbi Šveitsile laekunud kaebused</w:t>
      </w:r>
      <w:r w:rsidR="00C95893" w:rsidRPr="00C95893">
        <w:t>.</w:t>
      </w:r>
    </w:p>
    <w:p w14:paraId="2CF0D84D" w14:textId="7456CEC5" w:rsidR="004E3071" w:rsidRDefault="00D006E3" w:rsidP="00E964CE">
      <w:pPr>
        <w:pStyle w:val="Loendilik"/>
        <w:numPr>
          <w:ilvl w:val="1"/>
          <w:numId w:val="1"/>
        </w:numPr>
        <w:jc w:val="both"/>
      </w:pPr>
      <w:r w:rsidRPr="00D006E3">
        <w:rPr>
          <w:b/>
          <w:bCs/>
        </w:rPr>
        <w:t>Korruptsioon ja huvide konflikt</w:t>
      </w:r>
      <w:r>
        <w:t xml:space="preserve">. </w:t>
      </w:r>
      <w:r w:rsidR="004E3071" w:rsidRPr="006F6747">
        <w:t xml:space="preserve">Soovitame täiendada RTK töökorda viitega korruptsiooni ja huvide konflikti vältimise põhimõtetele, tuues vähemalt </w:t>
      </w:r>
      <w:r w:rsidR="008114A9">
        <w:t>üldine</w:t>
      </w:r>
      <w:r w:rsidR="004E3071" w:rsidRPr="006F6747">
        <w:t xml:space="preserve"> </w:t>
      </w:r>
      <w:r w:rsidR="008114A9">
        <w:t>viide</w:t>
      </w:r>
      <w:r w:rsidR="004E3071" w:rsidRPr="006F6747">
        <w:t xml:space="preserve"> asjakohastele õigusaktidele ja sisekordadele</w:t>
      </w:r>
      <w:r w:rsidR="008114A9">
        <w:t>.</w:t>
      </w:r>
    </w:p>
    <w:p w14:paraId="2B9D475D" w14:textId="77777777" w:rsidR="0055067D" w:rsidRDefault="0055067D" w:rsidP="00BB2692">
      <w:pPr>
        <w:pStyle w:val="Loendilik"/>
        <w:numPr>
          <w:ilvl w:val="1"/>
          <w:numId w:val="1"/>
        </w:numPr>
        <w:jc w:val="both"/>
      </w:pPr>
      <w:r w:rsidRPr="00BC2826">
        <w:t>Täiendada RTK töökorra peatükki 2.3.14 järgmiste täpsustustega, et tagada Šveitsi regulatsiooni artikkel 13.2 kohustuste täielik kajastamine:</w:t>
      </w:r>
    </w:p>
    <w:p w14:paraId="4BC780D8" w14:textId="77777777" w:rsidR="0055067D" w:rsidRDefault="0055067D" w:rsidP="00D006E3">
      <w:pPr>
        <w:pStyle w:val="Loendilik"/>
        <w:numPr>
          <w:ilvl w:val="2"/>
          <w:numId w:val="1"/>
        </w:numPr>
        <w:jc w:val="both"/>
      </w:pPr>
      <w:r>
        <w:lastRenderedPageBreak/>
        <w:t xml:space="preserve">Kajastada töökorras protsess, kuidas esitatakse </w:t>
      </w:r>
      <w:r w:rsidRPr="00A74BC2">
        <w:t>Šveitsile läbivaatamiseks teabematerjalid, sealhulgas professionaalsed pildid ja videod</w:t>
      </w:r>
      <w:r>
        <w:t xml:space="preserve">. </w:t>
      </w:r>
      <w:r w:rsidRPr="00A74BC2">
        <w:t>(</w:t>
      </w:r>
      <w:r>
        <w:t xml:space="preserve">Šveitsi regulatsioon art 13.2, </w:t>
      </w:r>
      <w:r w:rsidRPr="00A74BC2">
        <w:t>punkt d)</w:t>
      </w:r>
    </w:p>
    <w:p w14:paraId="28FED0B7" w14:textId="2A958515" w:rsidR="003824DA" w:rsidRPr="006F6747" w:rsidRDefault="0055067D" w:rsidP="00D006E3">
      <w:pPr>
        <w:pStyle w:val="Loendilik"/>
        <w:numPr>
          <w:ilvl w:val="2"/>
          <w:numId w:val="1"/>
        </w:numPr>
        <w:jc w:val="both"/>
      </w:pPr>
      <w:r w:rsidRPr="00042F8A">
        <w:t xml:space="preserve">Vastavalt Šveitsi regulatsiooni artikli 13.2 punktidele e ja f on riiklikule koordineerimisüksusele pandud kohustus tagada, et 1) </w:t>
      </w:r>
      <w:proofErr w:type="spellStart"/>
      <w:r w:rsidRPr="00042F8A">
        <w:t>elluviivad</w:t>
      </w:r>
      <w:proofErr w:type="spellEnd"/>
      <w:r w:rsidRPr="00042F8A">
        <w:t xml:space="preserve"> asutused täidavad neile seatud ülesandeid kooskõlas artikliga 13.3 ning 2) Šveitsi koostööprogrammi ja Šveitsi Konföderatsiooni logode kasutamine oleks korrektne kõigis koostööprogrammiga seotud teabe- ja teavitusmaterjalides. Soovitame täiendada RTK töökorra peatükki 2.3.14 kirjeldusega, kuidas riiklik koordineerimisüksus täpsemalt tagab</w:t>
      </w:r>
      <w:r>
        <w:t>/kontrollib</w:t>
      </w:r>
      <w:r w:rsidRPr="00042F8A">
        <w:t xml:space="preserve"> nende kohustuste täitmise.</w:t>
      </w:r>
    </w:p>
    <w:p w14:paraId="76AF7439" w14:textId="7F98828E" w:rsidR="00D86BA9" w:rsidRPr="00101600" w:rsidRDefault="00B66B9A" w:rsidP="00D006E3">
      <w:pPr>
        <w:pStyle w:val="Loendilik"/>
        <w:numPr>
          <w:ilvl w:val="0"/>
          <w:numId w:val="1"/>
        </w:numPr>
        <w:jc w:val="both"/>
      </w:pPr>
      <w:r w:rsidRPr="00D006E3">
        <w:rPr>
          <w:b/>
          <w:bCs/>
        </w:rPr>
        <w:t>JKK-s</w:t>
      </w:r>
      <w:r w:rsidR="00697AFC" w:rsidRPr="00D006E3">
        <w:rPr>
          <w:b/>
          <w:bCs/>
        </w:rPr>
        <w:t xml:space="preserve"> toodud viited lisada ka töökorda</w:t>
      </w:r>
      <w:r w:rsidR="00697AFC" w:rsidRPr="00101600">
        <w:t>.</w:t>
      </w:r>
    </w:p>
    <w:p w14:paraId="777BA4AF" w14:textId="610B64CE" w:rsidR="00697AFC" w:rsidRDefault="00697AFC" w:rsidP="00E964CE">
      <w:pPr>
        <w:pStyle w:val="Loendilik"/>
        <w:numPr>
          <w:ilvl w:val="1"/>
          <w:numId w:val="1"/>
        </w:numPr>
        <w:jc w:val="both"/>
      </w:pPr>
      <w:r w:rsidRPr="00B66B9A">
        <w:t xml:space="preserve">Riikliku koordineerimisüksuse </w:t>
      </w:r>
      <w:r w:rsidR="00B66B9A" w:rsidRPr="00B66B9A">
        <w:t xml:space="preserve">JKK-s </w:t>
      </w:r>
      <w:r w:rsidRPr="00B66B9A">
        <w:t>on EŠK regulatsioon art 4.15 tingimuste osas lisatud viide, millistes õigusaktides</w:t>
      </w:r>
      <w:r w:rsidR="00D86BA9" w:rsidRPr="00B66B9A">
        <w:t>/lepingutes</w:t>
      </w:r>
      <w:r w:rsidRPr="00B66B9A">
        <w:t xml:space="preserve"> nõue on sätestatud. Soovitus on lisada JKK-s toodud viited ka RTK toetuste valdkonna töökorda.</w:t>
      </w:r>
    </w:p>
    <w:p w14:paraId="6F08CE77" w14:textId="45B1C22C" w:rsidR="00FF37CD" w:rsidRPr="00B66B9A" w:rsidRDefault="00FF37CD" w:rsidP="00E964CE">
      <w:pPr>
        <w:pStyle w:val="Loendilik"/>
        <w:numPr>
          <w:ilvl w:val="1"/>
          <w:numId w:val="1"/>
        </w:numPr>
        <w:jc w:val="both"/>
      </w:pPr>
      <w:r w:rsidRPr="00FF37CD">
        <w:t xml:space="preserve">Täiendada </w:t>
      </w:r>
      <w:r>
        <w:t>RTK töökorda</w:t>
      </w:r>
      <w:r w:rsidRPr="00FF37CD">
        <w:t xml:space="preserve"> viitega koostööprogrammi määruse §-le 13 ning/või EŠK regulatsiooni artiklitele 9.4 lõige 2 ja 10.4, et tagada selgesõnaline viide riikliku koordineerimisüksuse kohustusele võimaldada Šveitsi poolt teostatavate auditite ja hindamiste läbiviimist. See hõlmab asjakohase personali kaasamist, vajaliku abi osutamist ning takistamatu juurdepääsu tagamist kogu olulisele teabele, dokumentidele, isikutele, asukohtadele ja rajatistele nii toetusmeetmete rakendamise ajal kui ka pärast nende lõppemist vastavalt säilitamistähtaegadele.</w:t>
      </w:r>
    </w:p>
    <w:p w14:paraId="2C608A19" w14:textId="055056CE" w:rsidR="00C33EBA" w:rsidRPr="00700B09" w:rsidRDefault="00C33EBA" w:rsidP="00E964CE">
      <w:pPr>
        <w:pStyle w:val="Loendilik"/>
        <w:numPr>
          <w:ilvl w:val="0"/>
          <w:numId w:val="1"/>
        </w:numPr>
        <w:ind w:left="360"/>
        <w:jc w:val="both"/>
      </w:pPr>
      <w:r w:rsidRPr="00700B09">
        <w:rPr>
          <w:b/>
          <w:bCs/>
        </w:rPr>
        <w:t xml:space="preserve">Täiendada programmioperaatorite </w:t>
      </w:r>
      <w:r w:rsidR="00E46248" w:rsidRPr="00700B09">
        <w:rPr>
          <w:b/>
          <w:bCs/>
        </w:rPr>
        <w:t xml:space="preserve">juhtimis- ja kontrollisüsteemi kirjeldusi </w:t>
      </w:r>
      <w:r w:rsidRPr="00700B09">
        <w:rPr>
          <w:b/>
          <w:bCs/>
        </w:rPr>
        <w:t>järgmiste punktidega</w:t>
      </w:r>
      <w:r w:rsidRPr="00700B09">
        <w:t>:</w:t>
      </w:r>
    </w:p>
    <w:p w14:paraId="202957A4" w14:textId="1F1F4420" w:rsidR="007F123B" w:rsidRPr="00E964CE" w:rsidRDefault="007F123B" w:rsidP="00E964CE">
      <w:pPr>
        <w:pStyle w:val="Loendilik"/>
        <w:numPr>
          <w:ilvl w:val="1"/>
          <w:numId w:val="1"/>
        </w:numPr>
        <w:jc w:val="both"/>
      </w:pPr>
      <w:r w:rsidRPr="00E964CE">
        <w:rPr>
          <w:u w:val="single"/>
        </w:rPr>
        <w:t>Vormilised parandused</w:t>
      </w:r>
      <w:r w:rsidRPr="00E964CE">
        <w:t>. Teha Kliimaministeeriumi juhtimis- ja kontrollisüsteemi kirjeldus</w:t>
      </w:r>
      <w:r w:rsidR="003824DA" w:rsidRPr="00E964CE">
        <w:t>es</w:t>
      </w:r>
      <w:r w:rsidRPr="00E964CE">
        <w:t xml:space="preserve"> vormilised parandused:</w:t>
      </w:r>
    </w:p>
    <w:p w14:paraId="6D13F349" w14:textId="151D2C66" w:rsidR="007F123B" w:rsidRPr="00E964CE" w:rsidRDefault="007F123B" w:rsidP="00E964CE">
      <w:pPr>
        <w:pStyle w:val="Loendilik"/>
        <w:numPr>
          <w:ilvl w:val="2"/>
          <w:numId w:val="1"/>
        </w:numPr>
        <w:jc w:val="both"/>
      </w:pPr>
      <w:r w:rsidRPr="00E964CE">
        <w:t>Tiitellehel</w:t>
      </w:r>
      <w:r w:rsidR="00E964CE" w:rsidRPr="00E964CE">
        <w:t>e lisada kuupäev</w:t>
      </w:r>
      <w:r w:rsidRPr="00E964CE">
        <w:t>.</w:t>
      </w:r>
    </w:p>
    <w:p w14:paraId="31692704" w14:textId="77777777" w:rsidR="007F123B" w:rsidRPr="00E964CE" w:rsidRDefault="007F123B" w:rsidP="00E964CE">
      <w:pPr>
        <w:pStyle w:val="Loendilik"/>
        <w:numPr>
          <w:ilvl w:val="2"/>
          <w:numId w:val="1"/>
        </w:numPr>
        <w:jc w:val="both"/>
      </w:pPr>
      <w:r w:rsidRPr="00E964CE">
        <w:t>Lisada korrektne viide toetusmeetme organisatsioonilisele struktuurile ja Kliimaministeeriumi struktuurile (lk 5).</w:t>
      </w:r>
    </w:p>
    <w:p w14:paraId="3A74CB6F" w14:textId="5D37C6F1" w:rsidR="00321355" w:rsidRPr="00700B09" w:rsidRDefault="001F6F7D" w:rsidP="00E964CE">
      <w:pPr>
        <w:pStyle w:val="Loendilik"/>
        <w:numPr>
          <w:ilvl w:val="1"/>
          <w:numId w:val="1"/>
        </w:numPr>
        <w:jc w:val="both"/>
      </w:pPr>
      <w:r w:rsidRPr="00700B09">
        <w:rPr>
          <w:u w:val="single"/>
        </w:rPr>
        <w:t>Täiendada olemasolevat tingimust erandiga.</w:t>
      </w:r>
      <w:r w:rsidRPr="00700B09">
        <w:t xml:space="preserve"> </w:t>
      </w:r>
      <w:r w:rsidR="006F440F" w:rsidRPr="00700B09">
        <w:rPr>
          <w:i/>
          <w:iCs/>
        </w:rPr>
        <w:t xml:space="preserve">Vastavalt EŠK regulatsioon art 8.2 lõikele </w:t>
      </w:r>
      <w:r w:rsidR="005F7FB8" w:rsidRPr="00700B09">
        <w:rPr>
          <w:i/>
          <w:iCs/>
        </w:rPr>
        <w:t>4</w:t>
      </w:r>
      <w:r w:rsidR="003D29B0" w:rsidRPr="00700B09">
        <w:rPr>
          <w:i/>
          <w:iCs/>
        </w:rPr>
        <w:t xml:space="preserve"> Hüvitistaotlused hõlmavad hüvitisperioode. </w:t>
      </w:r>
      <w:r w:rsidR="005F7FB8" w:rsidRPr="00700B09">
        <w:rPr>
          <w:i/>
          <w:iCs/>
        </w:rPr>
        <w:t xml:space="preserve">Hüvitisperioodid kestavad kuus kuud või kuue kuu täisarvkordse perioodi, välja arvatud toetusmeetme puhul kehtiv esimene ja viimane hüvitisperiood. Hüvitisperioodid on jaanuar–juuni (01.01–30.06) ja juuli–detsember (01.07–31.12). kui toetusmeede ei alga aruandeperioodi esimesel päeval, kulgeb esimene hüvitisperiood toetusmeetme lepingu allkirjastamise kuupäevast kuni järgmise hüvitisperioodi lõpuni. Viimane hüvitisperiood kestab </w:t>
      </w:r>
      <w:r w:rsidR="005F7FB8" w:rsidRPr="00700B09">
        <w:rPr>
          <w:i/>
          <w:iCs/>
        </w:rPr>
        <w:lastRenderedPageBreak/>
        <w:t>eelviimase hüvitisperioodi lõpust toetusmeetme lõpuni, välja arvatud juhul, kui toetusmeede lõpeb aruandeperioodi viimasel päeval</w:t>
      </w:r>
      <w:r w:rsidR="005F7FB8" w:rsidRPr="00700B09">
        <w:t>.</w:t>
      </w:r>
    </w:p>
    <w:p w14:paraId="47A06B63" w14:textId="1637975A" w:rsidR="007F123B" w:rsidRDefault="00321355" w:rsidP="00C63FEA">
      <w:pPr>
        <w:pStyle w:val="Loendilik"/>
        <w:ind w:left="1416"/>
        <w:jc w:val="both"/>
      </w:pPr>
      <w:r w:rsidRPr="00700B09">
        <w:t>Tingimuse esimene pool on programmioperaatorite juhtimis- ja kontrollisüsteemis</w:t>
      </w:r>
      <w:r w:rsidR="00D86BA9" w:rsidRPr="00700B09">
        <w:t xml:space="preserve"> </w:t>
      </w:r>
      <w:r w:rsidRPr="00700B09">
        <w:t>kajastatud, kuid tingimuse teist</w:t>
      </w:r>
      <w:r w:rsidR="00700B09" w:rsidRPr="00700B09">
        <w:t xml:space="preserve"> poolt</w:t>
      </w:r>
      <w:r w:rsidRPr="00700B09">
        <w:t>, kus on toodud välja erandid, ei ole. Soovitus on lisada kogu tingimuse sisu programmioperaatorite juhtimis- ja kontrollisüsteemi kirjeldustesse.</w:t>
      </w:r>
    </w:p>
    <w:p w14:paraId="6379F338" w14:textId="59C07672" w:rsidR="009C077D" w:rsidRPr="00D006E3" w:rsidRDefault="004B08B6" w:rsidP="00E964CE">
      <w:pPr>
        <w:pStyle w:val="Loendilik"/>
        <w:numPr>
          <w:ilvl w:val="1"/>
          <w:numId w:val="1"/>
        </w:numPr>
        <w:jc w:val="both"/>
      </w:pPr>
      <w:r w:rsidRPr="006F6747">
        <w:t xml:space="preserve">Soovitame täiendada </w:t>
      </w:r>
      <w:r>
        <w:t>programmioperaatorite JKK-</w:t>
      </w:r>
      <w:proofErr w:type="spellStart"/>
      <w:r>
        <w:t>sid</w:t>
      </w:r>
      <w:proofErr w:type="spellEnd"/>
      <w:r>
        <w:t xml:space="preserve"> </w:t>
      </w:r>
      <w:r w:rsidRPr="006F6747">
        <w:t xml:space="preserve">viitega korruptsiooni ja huvide konflikti vältimise põhimõtetele, tuues vähemalt </w:t>
      </w:r>
      <w:r>
        <w:t>üldine</w:t>
      </w:r>
      <w:r w:rsidRPr="006F6747">
        <w:t xml:space="preserve"> </w:t>
      </w:r>
      <w:r>
        <w:t>viide</w:t>
      </w:r>
      <w:r w:rsidRPr="006F6747">
        <w:t xml:space="preserve"> asjakohastele õigusaktidele ja sisekordadele</w:t>
      </w:r>
      <w:r>
        <w:t>.</w:t>
      </w:r>
    </w:p>
    <w:sectPr w:rsidR="009C077D" w:rsidRPr="00D006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71524"/>
    <w:multiLevelType w:val="hybridMultilevel"/>
    <w:tmpl w:val="C2C815F4"/>
    <w:lvl w:ilvl="0" w:tplc="A1D87B16">
      <w:numFmt w:val="bullet"/>
      <w:lvlText w:val=""/>
      <w:lvlJc w:val="left"/>
      <w:pPr>
        <w:ind w:left="720" w:hanging="360"/>
      </w:pPr>
      <w:rPr>
        <w:rFonts w:ascii="Symbol" w:eastAsiaTheme="minorHAnsi" w:hAnsi="Symbol" w:cstheme="minorBidi" w:hint="default"/>
        <w:color w:val="auto"/>
      </w:rPr>
    </w:lvl>
    <w:lvl w:ilvl="1" w:tplc="7722C54A">
      <w:start w:val="1"/>
      <w:numFmt w:val="bullet"/>
      <w:lvlText w:val="o"/>
      <w:lvlJc w:val="left"/>
      <w:pPr>
        <w:ind w:left="1440" w:hanging="360"/>
      </w:pPr>
      <w:rPr>
        <w:rFonts w:ascii="Courier New" w:hAnsi="Courier New" w:cs="Courier New" w:hint="default"/>
        <w:color w:val="auto"/>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4CD745D"/>
    <w:multiLevelType w:val="hybridMultilevel"/>
    <w:tmpl w:val="3618B7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09A6987"/>
    <w:multiLevelType w:val="hybridMultilevel"/>
    <w:tmpl w:val="4D7C06B8"/>
    <w:lvl w:ilvl="0" w:tplc="45AC6E4C">
      <w:start w:val="1"/>
      <w:numFmt w:val="decimal"/>
      <w:lvlText w:val="%1."/>
      <w:lvlJc w:val="left"/>
      <w:pPr>
        <w:ind w:left="720" w:hanging="360"/>
      </w:pPr>
      <w:rPr>
        <w:rFonts w:hint="default"/>
        <w:b w:val="0"/>
        <w:bCs w:val="0"/>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83349F1"/>
    <w:multiLevelType w:val="hybridMultilevel"/>
    <w:tmpl w:val="A3C8B184"/>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E8F2F2E"/>
    <w:multiLevelType w:val="hybridMultilevel"/>
    <w:tmpl w:val="814CB8EE"/>
    <w:lvl w:ilvl="0" w:tplc="26A6FCF2">
      <w:start w:val="1"/>
      <w:numFmt w:val="bullet"/>
      <w:lvlText w:val=""/>
      <w:lvlJc w:val="left"/>
      <w:pPr>
        <w:ind w:left="720" w:hanging="360"/>
      </w:pPr>
      <w:rPr>
        <w:rFonts w:ascii="Symbol" w:eastAsiaTheme="minorHAnsi" w:hAnsi="Symbol" w:cstheme="minorBidi" w:hint="default"/>
        <w:b w:val="0"/>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F055490"/>
    <w:multiLevelType w:val="hybridMultilevel"/>
    <w:tmpl w:val="E35E32D8"/>
    <w:lvl w:ilvl="0" w:tplc="F5161124">
      <w:start w:val="8"/>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8FC31D9"/>
    <w:multiLevelType w:val="hybridMultilevel"/>
    <w:tmpl w:val="C472E694"/>
    <w:lvl w:ilvl="0" w:tplc="DACA129C">
      <w:start w:val="1"/>
      <w:numFmt w:val="bullet"/>
      <w:lvlText w:val=""/>
      <w:lvlJc w:val="left"/>
      <w:pPr>
        <w:ind w:left="1776" w:hanging="360"/>
      </w:pPr>
      <w:rPr>
        <w:rFonts w:ascii="Symbol" w:eastAsiaTheme="minorHAnsi" w:hAnsi="Symbol" w:cstheme="minorBidi" w:hint="default"/>
        <w:b w:val="0"/>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7" w15:restartNumberingAfterBreak="0">
    <w:nsid w:val="7DB56424"/>
    <w:multiLevelType w:val="hybridMultilevel"/>
    <w:tmpl w:val="2A58CCBC"/>
    <w:lvl w:ilvl="0" w:tplc="0425000F">
      <w:start w:val="1"/>
      <w:numFmt w:val="decimal"/>
      <w:lvlText w:val="%1."/>
      <w:lvlJc w:val="left"/>
      <w:pPr>
        <w:ind w:left="720" w:hanging="360"/>
      </w:pPr>
      <w:rPr>
        <w:rFonts w:hint="default"/>
        <w:b w:val="0"/>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88611595">
    <w:abstractNumId w:val="0"/>
  </w:num>
  <w:num w:numId="2" w16cid:durableId="8870530">
    <w:abstractNumId w:val="5"/>
  </w:num>
  <w:num w:numId="3" w16cid:durableId="1120497221">
    <w:abstractNumId w:val="1"/>
  </w:num>
  <w:num w:numId="4" w16cid:durableId="1791363440">
    <w:abstractNumId w:val="3"/>
  </w:num>
  <w:num w:numId="5" w16cid:durableId="1268004162">
    <w:abstractNumId w:val="6"/>
  </w:num>
  <w:num w:numId="6" w16cid:durableId="1379622468">
    <w:abstractNumId w:val="4"/>
  </w:num>
  <w:num w:numId="7" w16cid:durableId="810293656">
    <w:abstractNumId w:val="7"/>
  </w:num>
  <w:num w:numId="8" w16cid:durableId="1980107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75"/>
    <w:rsid w:val="00000008"/>
    <w:rsid w:val="00012D65"/>
    <w:rsid w:val="00024535"/>
    <w:rsid w:val="00042F8A"/>
    <w:rsid w:val="000432B1"/>
    <w:rsid w:val="00047D22"/>
    <w:rsid w:val="00064A55"/>
    <w:rsid w:val="000B3FFE"/>
    <w:rsid w:val="000C6302"/>
    <w:rsid w:val="000C7A1D"/>
    <w:rsid w:val="000F53C8"/>
    <w:rsid w:val="00101600"/>
    <w:rsid w:val="00111A2E"/>
    <w:rsid w:val="00115224"/>
    <w:rsid w:val="00124231"/>
    <w:rsid w:val="00163F2B"/>
    <w:rsid w:val="00182EB2"/>
    <w:rsid w:val="00194D2C"/>
    <w:rsid w:val="001A10D5"/>
    <w:rsid w:val="001D68FF"/>
    <w:rsid w:val="001F1683"/>
    <w:rsid w:val="001F3DCE"/>
    <w:rsid w:val="001F6F7D"/>
    <w:rsid w:val="0021264B"/>
    <w:rsid w:val="002368D0"/>
    <w:rsid w:val="002440FE"/>
    <w:rsid w:val="00253DFB"/>
    <w:rsid w:val="002836DF"/>
    <w:rsid w:val="00291DE1"/>
    <w:rsid w:val="00296119"/>
    <w:rsid w:val="002A1F41"/>
    <w:rsid w:val="002B59DF"/>
    <w:rsid w:val="002C150B"/>
    <w:rsid w:val="002D2054"/>
    <w:rsid w:val="002D5473"/>
    <w:rsid w:val="002E1C26"/>
    <w:rsid w:val="002E2569"/>
    <w:rsid w:val="002E4542"/>
    <w:rsid w:val="002F4F13"/>
    <w:rsid w:val="003179C2"/>
    <w:rsid w:val="00321355"/>
    <w:rsid w:val="00321BA7"/>
    <w:rsid w:val="00324317"/>
    <w:rsid w:val="00324A75"/>
    <w:rsid w:val="00345F54"/>
    <w:rsid w:val="00374340"/>
    <w:rsid w:val="00375D2A"/>
    <w:rsid w:val="003824DA"/>
    <w:rsid w:val="00394A8A"/>
    <w:rsid w:val="003D29B0"/>
    <w:rsid w:val="003E0732"/>
    <w:rsid w:val="003E110B"/>
    <w:rsid w:val="003F490E"/>
    <w:rsid w:val="004042A1"/>
    <w:rsid w:val="004126E0"/>
    <w:rsid w:val="00423397"/>
    <w:rsid w:val="00431938"/>
    <w:rsid w:val="00435181"/>
    <w:rsid w:val="00446771"/>
    <w:rsid w:val="00451FAE"/>
    <w:rsid w:val="00454476"/>
    <w:rsid w:val="0046141E"/>
    <w:rsid w:val="00464645"/>
    <w:rsid w:val="00482E07"/>
    <w:rsid w:val="00495753"/>
    <w:rsid w:val="004B08B6"/>
    <w:rsid w:val="004D782E"/>
    <w:rsid w:val="004E3071"/>
    <w:rsid w:val="005148C8"/>
    <w:rsid w:val="00520174"/>
    <w:rsid w:val="00530543"/>
    <w:rsid w:val="005324F2"/>
    <w:rsid w:val="00546C36"/>
    <w:rsid w:val="0055067D"/>
    <w:rsid w:val="00570159"/>
    <w:rsid w:val="00570A58"/>
    <w:rsid w:val="005741FC"/>
    <w:rsid w:val="00580CBA"/>
    <w:rsid w:val="005824F6"/>
    <w:rsid w:val="00582A9B"/>
    <w:rsid w:val="00594B42"/>
    <w:rsid w:val="005B7D54"/>
    <w:rsid w:val="005C6823"/>
    <w:rsid w:val="005D3DDF"/>
    <w:rsid w:val="005E3A6D"/>
    <w:rsid w:val="005E5F9B"/>
    <w:rsid w:val="005F47E0"/>
    <w:rsid w:val="005F5136"/>
    <w:rsid w:val="005F7FB8"/>
    <w:rsid w:val="00603E5E"/>
    <w:rsid w:val="00616D29"/>
    <w:rsid w:val="00627436"/>
    <w:rsid w:val="00645661"/>
    <w:rsid w:val="00666191"/>
    <w:rsid w:val="00670F0E"/>
    <w:rsid w:val="0068553C"/>
    <w:rsid w:val="00697AFC"/>
    <w:rsid w:val="006A4206"/>
    <w:rsid w:val="006A6896"/>
    <w:rsid w:val="006C2B3E"/>
    <w:rsid w:val="006F440F"/>
    <w:rsid w:val="006F6747"/>
    <w:rsid w:val="00700B09"/>
    <w:rsid w:val="00741C67"/>
    <w:rsid w:val="00746CC8"/>
    <w:rsid w:val="0075265A"/>
    <w:rsid w:val="007A094E"/>
    <w:rsid w:val="007B28F4"/>
    <w:rsid w:val="007B2A02"/>
    <w:rsid w:val="007B2D73"/>
    <w:rsid w:val="007C1421"/>
    <w:rsid w:val="007D4C9D"/>
    <w:rsid w:val="007E4FA6"/>
    <w:rsid w:val="007F123B"/>
    <w:rsid w:val="008025D4"/>
    <w:rsid w:val="008114A9"/>
    <w:rsid w:val="008349A2"/>
    <w:rsid w:val="00886A8E"/>
    <w:rsid w:val="008B6E04"/>
    <w:rsid w:val="008C3942"/>
    <w:rsid w:val="008E3C66"/>
    <w:rsid w:val="008F5778"/>
    <w:rsid w:val="00912CD6"/>
    <w:rsid w:val="00920B43"/>
    <w:rsid w:val="00952C35"/>
    <w:rsid w:val="00967675"/>
    <w:rsid w:val="00971E16"/>
    <w:rsid w:val="009748EC"/>
    <w:rsid w:val="00974FF5"/>
    <w:rsid w:val="009807BA"/>
    <w:rsid w:val="00981ADC"/>
    <w:rsid w:val="009A72BE"/>
    <w:rsid w:val="009B59E2"/>
    <w:rsid w:val="009C077D"/>
    <w:rsid w:val="009E1FF9"/>
    <w:rsid w:val="009F53F1"/>
    <w:rsid w:val="00A41520"/>
    <w:rsid w:val="00A42884"/>
    <w:rsid w:val="00A60CC3"/>
    <w:rsid w:val="00A66518"/>
    <w:rsid w:val="00A74BC2"/>
    <w:rsid w:val="00A74F0F"/>
    <w:rsid w:val="00A82248"/>
    <w:rsid w:val="00A84513"/>
    <w:rsid w:val="00AA1691"/>
    <w:rsid w:val="00AB1D33"/>
    <w:rsid w:val="00AB6726"/>
    <w:rsid w:val="00AC154E"/>
    <w:rsid w:val="00AC6663"/>
    <w:rsid w:val="00AD7AEC"/>
    <w:rsid w:val="00AF7B6D"/>
    <w:rsid w:val="00B02C8C"/>
    <w:rsid w:val="00B07106"/>
    <w:rsid w:val="00B22FC6"/>
    <w:rsid w:val="00B23C7D"/>
    <w:rsid w:val="00B24D28"/>
    <w:rsid w:val="00B31727"/>
    <w:rsid w:val="00B460C7"/>
    <w:rsid w:val="00B66B9A"/>
    <w:rsid w:val="00B77001"/>
    <w:rsid w:val="00B93FEA"/>
    <w:rsid w:val="00BA5176"/>
    <w:rsid w:val="00BB2692"/>
    <w:rsid w:val="00BB2E54"/>
    <w:rsid w:val="00BB34DE"/>
    <w:rsid w:val="00BC2826"/>
    <w:rsid w:val="00BE17F7"/>
    <w:rsid w:val="00BE5E23"/>
    <w:rsid w:val="00BF4F9A"/>
    <w:rsid w:val="00C26101"/>
    <w:rsid w:val="00C33EBA"/>
    <w:rsid w:val="00C4724F"/>
    <w:rsid w:val="00C63FEA"/>
    <w:rsid w:val="00C90DAA"/>
    <w:rsid w:val="00C95893"/>
    <w:rsid w:val="00CA2CAD"/>
    <w:rsid w:val="00CB33A2"/>
    <w:rsid w:val="00CC406F"/>
    <w:rsid w:val="00CE2667"/>
    <w:rsid w:val="00CF51DA"/>
    <w:rsid w:val="00D006E3"/>
    <w:rsid w:val="00D03B2E"/>
    <w:rsid w:val="00D10B94"/>
    <w:rsid w:val="00D23C17"/>
    <w:rsid w:val="00D56A34"/>
    <w:rsid w:val="00D63013"/>
    <w:rsid w:val="00D64F98"/>
    <w:rsid w:val="00D86BA9"/>
    <w:rsid w:val="00D90444"/>
    <w:rsid w:val="00D920A1"/>
    <w:rsid w:val="00D9565C"/>
    <w:rsid w:val="00DA11F4"/>
    <w:rsid w:val="00DB2D77"/>
    <w:rsid w:val="00DB4B85"/>
    <w:rsid w:val="00DC5823"/>
    <w:rsid w:val="00DD4C14"/>
    <w:rsid w:val="00DF0AC9"/>
    <w:rsid w:val="00DF1469"/>
    <w:rsid w:val="00DF3BD9"/>
    <w:rsid w:val="00E06A3B"/>
    <w:rsid w:val="00E17D15"/>
    <w:rsid w:val="00E3721D"/>
    <w:rsid w:val="00E45CD0"/>
    <w:rsid w:val="00E46248"/>
    <w:rsid w:val="00E557E0"/>
    <w:rsid w:val="00E71743"/>
    <w:rsid w:val="00E73E58"/>
    <w:rsid w:val="00E75BCE"/>
    <w:rsid w:val="00E8030B"/>
    <w:rsid w:val="00E82A2B"/>
    <w:rsid w:val="00E964CE"/>
    <w:rsid w:val="00EA10F1"/>
    <w:rsid w:val="00EB25BA"/>
    <w:rsid w:val="00EE4EF8"/>
    <w:rsid w:val="00EF6C42"/>
    <w:rsid w:val="00EF6F65"/>
    <w:rsid w:val="00F22595"/>
    <w:rsid w:val="00F245E5"/>
    <w:rsid w:val="00F775A2"/>
    <w:rsid w:val="00F9537F"/>
    <w:rsid w:val="00FA19EE"/>
    <w:rsid w:val="00FA5404"/>
    <w:rsid w:val="00FE006A"/>
    <w:rsid w:val="00FE0F75"/>
    <w:rsid w:val="00FE35E8"/>
    <w:rsid w:val="00FF37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2AA5"/>
  <w15:chartTrackingRefBased/>
  <w15:docId w15:val="{D1E895B6-6B85-4981-AEDF-2684CCA1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24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24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24A7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24A7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24A7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24A7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24A7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24A7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24A7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24A7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24A7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24A7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24A7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24A7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24A7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24A7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24A7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24A7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24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24A7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24A7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24A7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24A75"/>
    <w:pPr>
      <w:spacing w:before="160"/>
      <w:jc w:val="center"/>
    </w:pPr>
    <w:rPr>
      <w:i/>
      <w:iCs/>
      <w:color w:val="404040" w:themeColor="text1" w:themeTint="BF"/>
    </w:rPr>
  </w:style>
  <w:style w:type="character" w:customStyle="1" w:styleId="TsitaatMrk">
    <w:name w:val="Tsitaat Märk"/>
    <w:basedOn w:val="Liguvaikefont"/>
    <w:link w:val="Tsitaat"/>
    <w:uiPriority w:val="29"/>
    <w:rsid w:val="00324A75"/>
    <w:rPr>
      <w:i/>
      <w:iCs/>
      <w:color w:val="404040" w:themeColor="text1" w:themeTint="BF"/>
    </w:rPr>
  </w:style>
  <w:style w:type="paragraph" w:styleId="Loendilik">
    <w:name w:val="List Paragraph"/>
    <w:basedOn w:val="Normaallaad"/>
    <w:uiPriority w:val="34"/>
    <w:qFormat/>
    <w:rsid w:val="00324A75"/>
    <w:pPr>
      <w:ind w:left="720"/>
      <w:contextualSpacing/>
    </w:pPr>
  </w:style>
  <w:style w:type="character" w:styleId="Selgeltmrgatavrhutus">
    <w:name w:val="Intense Emphasis"/>
    <w:basedOn w:val="Liguvaikefont"/>
    <w:uiPriority w:val="21"/>
    <w:qFormat/>
    <w:rsid w:val="00324A75"/>
    <w:rPr>
      <w:i/>
      <w:iCs/>
      <w:color w:val="0F4761" w:themeColor="accent1" w:themeShade="BF"/>
    </w:rPr>
  </w:style>
  <w:style w:type="paragraph" w:styleId="Selgeltmrgatavtsitaat">
    <w:name w:val="Intense Quote"/>
    <w:basedOn w:val="Normaallaad"/>
    <w:next w:val="Normaallaad"/>
    <w:link w:val="SelgeltmrgatavtsitaatMrk"/>
    <w:uiPriority w:val="30"/>
    <w:qFormat/>
    <w:rsid w:val="00324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24A75"/>
    <w:rPr>
      <w:i/>
      <w:iCs/>
      <w:color w:val="0F4761" w:themeColor="accent1" w:themeShade="BF"/>
    </w:rPr>
  </w:style>
  <w:style w:type="character" w:styleId="Selgeltmrgatavviide">
    <w:name w:val="Intense Reference"/>
    <w:basedOn w:val="Liguvaikefont"/>
    <w:uiPriority w:val="32"/>
    <w:qFormat/>
    <w:rsid w:val="00324A75"/>
    <w:rPr>
      <w:b/>
      <w:bCs/>
      <w:smallCaps/>
      <w:color w:val="0F4761" w:themeColor="accent1" w:themeShade="BF"/>
      <w:spacing w:val="5"/>
    </w:rPr>
  </w:style>
  <w:style w:type="character" w:styleId="Kommentaariviide">
    <w:name w:val="annotation reference"/>
    <w:basedOn w:val="Liguvaikefont"/>
    <w:uiPriority w:val="99"/>
    <w:semiHidden/>
    <w:unhideWhenUsed/>
    <w:rsid w:val="00A41520"/>
    <w:rPr>
      <w:sz w:val="16"/>
      <w:szCs w:val="16"/>
    </w:rPr>
  </w:style>
  <w:style w:type="paragraph" w:styleId="Kommentaaritekst">
    <w:name w:val="annotation text"/>
    <w:basedOn w:val="Normaallaad"/>
    <w:link w:val="KommentaaritekstMrk"/>
    <w:uiPriority w:val="99"/>
    <w:unhideWhenUsed/>
    <w:rsid w:val="00A41520"/>
    <w:pPr>
      <w:spacing w:line="240" w:lineRule="auto"/>
    </w:pPr>
    <w:rPr>
      <w:sz w:val="20"/>
      <w:szCs w:val="20"/>
    </w:rPr>
  </w:style>
  <w:style w:type="character" w:customStyle="1" w:styleId="KommentaaritekstMrk">
    <w:name w:val="Kommentaari tekst Märk"/>
    <w:basedOn w:val="Liguvaikefont"/>
    <w:link w:val="Kommentaaritekst"/>
    <w:uiPriority w:val="99"/>
    <w:rsid w:val="00A41520"/>
    <w:rPr>
      <w:sz w:val="20"/>
      <w:szCs w:val="20"/>
    </w:rPr>
  </w:style>
  <w:style w:type="paragraph" w:styleId="Kommentaariteema">
    <w:name w:val="annotation subject"/>
    <w:basedOn w:val="Kommentaaritekst"/>
    <w:next w:val="Kommentaaritekst"/>
    <w:link w:val="KommentaariteemaMrk"/>
    <w:uiPriority w:val="99"/>
    <w:semiHidden/>
    <w:unhideWhenUsed/>
    <w:rsid w:val="00A41520"/>
    <w:rPr>
      <w:b/>
      <w:bCs/>
    </w:rPr>
  </w:style>
  <w:style w:type="character" w:customStyle="1" w:styleId="KommentaariteemaMrk">
    <w:name w:val="Kommentaari teema Märk"/>
    <w:basedOn w:val="KommentaaritekstMrk"/>
    <w:link w:val="Kommentaariteema"/>
    <w:uiPriority w:val="99"/>
    <w:semiHidden/>
    <w:rsid w:val="00A415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4604">
      <w:bodyDiv w:val="1"/>
      <w:marLeft w:val="0"/>
      <w:marRight w:val="0"/>
      <w:marTop w:val="0"/>
      <w:marBottom w:val="0"/>
      <w:divBdr>
        <w:top w:val="none" w:sz="0" w:space="0" w:color="auto"/>
        <w:left w:val="none" w:sz="0" w:space="0" w:color="auto"/>
        <w:bottom w:val="none" w:sz="0" w:space="0" w:color="auto"/>
        <w:right w:val="none" w:sz="0" w:space="0" w:color="auto"/>
      </w:divBdr>
    </w:div>
    <w:div w:id="359430200">
      <w:bodyDiv w:val="1"/>
      <w:marLeft w:val="0"/>
      <w:marRight w:val="0"/>
      <w:marTop w:val="0"/>
      <w:marBottom w:val="0"/>
      <w:divBdr>
        <w:top w:val="none" w:sz="0" w:space="0" w:color="auto"/>
        <w:left w:val="none" w:sz="0" w:space="0" w:color="auto"/>
        <w:bottom w:val="none" w:sz="0" w:space="0" w:color="auto"/>
        <w:right w:val="none" w:sz="0" w:space="0" w:color="auto"/>
      </w:divBdr>
    </w:div>
    <w:div w:id="642779258">
      <w:bodyDiv w:val="1"/>
      <w:marLeft w:val="0"/>
      <w:marRight w:val="0"/>
      <w:marTop w:val="0"/>
      <w:marBottom w:val="0"/>
      <w:divBdr>
        <w:top w:val="none" w:sz="0" w:space="0" w:color="auto"/>
        <w:left w:val="none" w:sz="0" w:space="0" w:color="auto"/>
        <w:bottom w:val="none" w:sz="0" w:space="0" w:color="auto"/>
        <w:right w:val="none" w:sz="0" w:space="0" w:color="auto"/>
      </w:divBdr>
    </w:div>
    <w:div w:id="707342795">
      <w:bodyDiv w:val="1"/>
      <w:marLeft w:val="0"/>
      <w:marRight w:val="0"/>
      <w:marTop w:val="0"/>
      <w:marBottom w:val="0"/>
      <w:divBdr>
        <w:top w:val="none" w:sz="0" w:space="0" w:color="auto"/>
        <w:left w:val="none" w:sz="0" w:space="0" w:color="auto"/>
        <w:bottom w:val="none" w:sz="0" w:space="0" w:color="auto"/>
        <w:right w:val="none" w:sz="0" w:space="0" w:color="auto"/>
      </w:divBdr>
      <w:divsChild>
        <w:div w:id="1102259667">
          <w:marLeft w:val="0"/>
          <w:marRight w:val="0"/>
          <w:marTop w:val="0"/>
          <w:marBottom w:val="0"/>
          <w:divBdr>
            <w:top w:val="none" w:sz="0" w:space="0" w:color="auto"/>
            <w:left w:val="none" w:sz="0" w:space="0" w:color="auto"/>
            <w:bottom w:val="none" w:sz="0" w:space="0" w:color="auto"/>
            <w:right w:val="none" w:sz="0" w:space="0" w:color="auto"/>
          </w:divBdr>
          <w:divsChild>
            <w:div w:id="1206334803">
              <w:marLeft w:val="0"/>
              <w:marRight w:val="0"/>
              <w:marTop w:val="0"/>
              <w:marBottom w:val="0"/>
              <w:divBdr>
                <w:top w:val="none" w:sz="0" w:space="0" w:color="auto"/>
                <w:left w:val="none" w:sz="0" w:space="0" w:color="auto"/>
                <w:bottom w:val="none" w:sz="0" w:space="0" w:color="auto"/>
                <w:right w:val="none" w:sz="0" w:space="0" w:color="auto"/>
              </w:divBdr>
              <w:divsChild>
                <w:div w:id="27533476">
                  <w:marLeft w:val="0"/>
                  <w:marRight w:val="0"/>
                  <w:marTop w:val="0"/>
                  <w:marBottom w:val="0"/>
                  <w:divBdr>
                    <w:top w:val="none" w:sz="0" w:space="0" w:color="auto"/>
                    <w:left w:val="none" w:sz="0" w:space="0" w:color="auto"/>
                    <w:bottom w:val="none" w:sz="0" w:space="0" w:color="auto"/>
                    <w:right w:val="none" w:sz="0" w:space="0" w:color="auto"/>
                  </w:divBdr>
                  <w:divsChild>
                    <w:div w:id="1061363704">
                      <w:marLeft w:val="0"/>
                      <w:marRight w:val="0"/>
                      <w:marTop w:val="0"/>
                      <w:marBottom w:val="0"/>
                      <w:divBdr>
                        <w:top w:val="none" w:sz="0" w:space="0" w:color="auto"/>
                        <w:left w:val="none" w:sz="0" w:space="0" w:color="auto"/>
                        <w:bottom w:val="none" w:sz="0" w:space="0" w:color="auto"/>
                        <w:right w:val="none" w:sz="0" w:space="0" w:color="auto"/>
                      </w:divBdr>
                      <w:divsChild>
                        <w:div w:id="1583222129">
                          <w:marLeft w:val="0"/>
                          <w:marRight w:val="0"/>
                          <w:marTop w:val="0"/>
                          <w:marBottom w:val="0"/>
                          <w:divBdr>
                            <w:top w:val="none" w:sz="0" w:space="0" w:color="auto"/>
                            <w:left w:val="none" w:sz="0" w:space="0" w:color="auto"/>
                            <w:bottom w:val="none" w:sz="0" w:space="0" w:color="auto"/>
                            <w:right w:val="none" w:sz="0" w:space="0" w:color="auto"/>
                          </w:divBdr>
                          <w:divsChild>
                            <w:div w:id="10142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69930">
      <w:bodyDiv w:val="1"/>
      <w:marLeft w:val="0"/>
      <w:marRight w:val="0"/>
      <w:marTop w:val="0"/>
      <w:marBottom w:val="0"/>
      <w:divBdr>
        <w:top w:val="none" w:sz="0" w:space="0" w:color="auto"/>
        <w:left w:val="none" w:sz="0" w:space="0" w:color="auto"/>
        <w:bottom w:val="none" w:sz="0" w:space="0" w:color="auto"/>
        <w:right w:val="none" w:sz="0" w:space="0" w:color="auto"/>
      </w:divBdr>
    </w:div>
    <w:div w:id="1238130879">
      <w:bodyDiv w:val="1"/>
      <w:marLeft w:val="0"/>
      <w:marRight w:val="0"/>
      <w:marTop w:val="0"/>
      <w:marBottom w:val="0"/>
      <w:divBdr>
        <w:top w:val="none" w:sz="0" w:space="0" w:color="auto"/>
        <w:left w:val="none" w:sz="0" w:space="0" w:color="auto"/>
        <w:bottom w:val="none" w:sz="0" w:space="0" w:color="auto"/>
        <w:right w:val="none" w:sz="0" w:space="0" w:color="auto"/>
      </w:divBdr>
    </w:div>
    <w:div w:id="1288512723">
      <w:bodyDiv w:val="1"/>
      <w:marLeft w:val="0"/>
      <w:marRight w:val="0"/>
      <w:marTop w:val="0"/>
      <w:marBottom w:val="0"/>
      <w:divBdr>
        <w:top w:val="none" w:sz="0" w:space="0" w:color="auto"/>
        <w:left w:val="none" w:sz="0" w:space="0" w:color="auto"/>
        <w:bottom w:val="none" w:sz="0" w:space="0" w:color="auto"/>
        <w:right w:val="none" w:sz="0" w:space="0" w:color="auto"/>
      </w:divBdr>
    </w:div>
    <w:div w:id="1428162191">
      <w:bodyDiv w:val="1"/>
      <w:marLeft w:val="0"/>
      <w:marRight w:val="0"/>
      <w:marTop w:val="0"/>
      <w:marBottom w:val="0"/>
      <w:divBdr>
        <w:top w:val="none" w:sz="0" w:space="0" w:color="auto"/>
        <w:left w:val="none" w:sz="0" w:space="0" w:color="auto"/>
        <w:bottom w:val="none" w:sz="0" w:space="0" w:color="auto"/>
        <w:right w:val="none" w:sz="0" w:space="0" w:color="auto"/>
      </w:divBdr>
    </w:div>
    <w:div w:id="1660227618">
      <w:bodyDiv w:val="1"/>
      <w:marLeft w:val="0"/>
      <w:marRight w:val="0"/>
      <w:marTop w:val="0"/>
      <w:marBottom w:val="0"/>
      <w:divBdr>
        <w:top w:val="none" w:sz="0" w:space="0" w:color="auto"/>
        <w:left w:val="none" w:sz="0" w:space="0" w:color="auto"/>
        <w:bottom w:val="none" w:sz="0" w:space="0" w:color="auto"/>
        <w:right w:val="none" w:sz="0" w:space="0" w:color="auto"/>
      </w:divBdr>
    </w:div>
    <w:div w:id="206996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uurdep_x00e4__x00e4_s xmlns="f73885c8-c576-4263-922d-4383f05235e4" xsi:nil="true"/>
    <lcf76f155ced4ddcb4097134ff3c332f xmlns="f73885c8-c576-4263-922d-4383f05235e4">
      <Terms xmlns="http://schemas.microsoft.com/office/infopath/2007/PartnerControls"/>
    </lcf76f155ced4ddcb4097134ff3c332f>
    <TaxCatchAll xmlns="3d7fb3fa-7f75-4382-a1fe-43b99e0a9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0A47274605CCB4491B65639D7378150" ma:contentTypeVersion="15" ma:contentTypeDescription="Loo uus dokument" ma:contentTypeScope="" ma:versionID="1e34b60b7c82a2655354f30b61807581">
  <xsd:schema xmlns:xsd="http://www.w3.org/2001/XMLSchema" xmlns:xs="http://www.w3.org/2001/XMLSchema" xmlns:p="http://schemas.microsoft.com/office/2006/metadata/properties" xmlns:ns2="f73885c8-c576-4263-922d-4383f05235e4" xmlns:ns3="3d7fb3fa-7f75-4382-a1fe-43b99e0a9782" targetNamespace="http://schemas.microsoft.com/office/2006/metadata/properties" ma:root="true" ma:fieldsID="0b360e77e222b4a9df836ec5b8c8dec6" ns2:_="" ns3:_="">
    <xsd:import namespace="f73885c8-c576-4263-922d-4383f05235e4"/>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Juurdep_x00e4__x00e4_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885c8-c576-4263-922d-4383f0523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Juurdep_x00e4__x00e4_s" ma:index="22" nillable="true" ma:displayName="Juurdepääs" ma:format="Dropdown" ma:internalName="Juurdep_x00e4__x00e4_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b2762a7-a526-4335-beeb-0bdea629727f}"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48543-FA33-43E2-8B4A-2846A1A2EE9C}">
  <ds:schemaRef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d7fb3fa-7f75-4382-a1fe-43b99e0a9782"/>
    <ds:schemaRef ds:uri="f73885c8-c576-4263-922d-4383f05235e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985EF9C-1D9D-49E0-8613-A1EC9BE1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885c8-c576-4263-922d-4383f05235e4"/>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F19EB-9DEA-47A0-9C0A-A58BF4CE3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Pages>
  <Words>818</Words>
  <Characters>4748</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Pilleriin Masing - RAM</dc:creator>
  <cp:keywords/>
  <dc:description/>
  <cp:lastModifiedBy>Pilleriin Masing - RAM</cp:lastModifiedBy>
  <cp:revision>198</cp:revision>
  <dcterms:created xsi:type="dcterms:W3CDTF">2025-09-18T02:27:00Z</dcterms:created>
  <dcterms:modified xsi:type="dcterms:W3CDTF">2025-10-01T13:17:00Z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2025-09-17T17:27:07Z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63a78f65-d9b1-4436-8006-6cfe76822d4d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0x01010030A47274605CCB4491B65639D7378150</vt:lpwstr>
  </property>
  <property fmtid="{D5CDD505-2E9C-101B-9397-08002B2CF9AE}" pid="11" name="MediaServiceImageTags">
    <vt:lpwstr/>
  </property>
</Properties>
</file>