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A43F" w14:textId="77777777" w:rsidR="00472A3A" w:rsidRPr="000968DE" w:rsidRDefault="00472A3A" w:rsidP="006900FE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0968DE">
        <w:rPr>
          <w:rStyle w:val="Strong"/>
        </w:rPr>
        <w:t>Proposals</w:t>
      </w:r>
    </w:p>
    <w:p w14:paraId="193D1E01" w14:textId="77777777" w:rsidR="006900FE" w:rsidRDefault="00472A3A" w:rsidP="006900FE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0968DE">
        <w:rPr>
          <w:rStyle w:val="Strong"/>
        </w:rPr>
        <w:t xml:space="preserve">for the development of cooperation in the areas of architecture and construction </w:t>
      </w:r>
    </w:p>
    <w:p w14:paraId="0AD8B871" w14:textId="0F5A60B8" w:rsidR="00472A3A" w:rsidRDefault="00472A3A" w:rsidP="006900FE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0968DE">
        <w:rPr>
          <w:rStyle w:val="Strong"/>
        </w:rPr>
        <w:t>between the Republic of Armenia and the Republic of Estonia</w:t>
      </w:r>
    </w:p>
    <w:p w14:paraId="1EBEABBE" w14:textId="77777777" w:rsidR="000968DE" w:rsidRPr="000968DE" w:rsidRDefault="000968DE" w:rsidP="000968DE">
      <w:pPr>
        <w:pStyle w:val="NormalWeb"/>
        <w:jc w:val="center"/>
      </w:pPr>
    </w:p>
    <w:p w14:paraId="4BA35849" w14:textId="77777777" w:rsidR="008A60B7" w:rsidRDefault="008A60B7" w:rsidP="000968DE">
      <w:pPr>
        <w:pStyle w:val="ListParagraph"/>
        <w:numPr>
          <w:ilvl w:val="0"/>
          <w:numId w:val="23"/>
        </w:numPr>
        <w:spacing w:after="0"/>
        <w:ind w:left="450"/>
        <w:jc w:val="both"/>
        <w:rPr>
          <w:rFonts w:eastAsia="Times New Roman" w:cs="Times New Roman"/>
          <w:sz w:val="24"/>
          <w:szCs w:val="24"/>
          <w:lang w:val="hy-AM"/>
        </w:rPr>
      </w:pP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Urban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Committee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plans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develop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Territorial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Settlement</w:t>
      </w:r>
      <w:proofErr w:type="spellEnd"/>
      <w:r w:rsidRPr="000968DE">
        <w:rPr>
          <w:rFonts w:eastAsia="Times New Roman" w:cs="Times New Roman"/>
          <w:sz w:val="24"/>
          <w:szCs w:val="24"/>
          <w:lang w:val="en-US"/>
        </w:rPr>
        <w:t xml:space="preserve"> Plan</w:t>
      </w:r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Armenia.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This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document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comprehensive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long-term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goal-oriented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urban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planning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framework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aimed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spatial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organization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territory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Republic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Armenia.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Its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main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objective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determine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strategic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directions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country’s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overall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urban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ensuring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sustainable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settlements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preservation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natural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cultural-historical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heritage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this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context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cooperation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with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essential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We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are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considering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involving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Estonian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companies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experienced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developing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such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strategic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documents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preparation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Armenia's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Master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Plan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Please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provide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list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relevant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companies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operating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potential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cooperation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discussions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>.</w:t>
      </w:r>
    </w:p>
    <w:p w14:paraId="4C20ACA1" w14:textId="77777777" w:rsidR="000968DE" w:rsidRPr="000968DE" w:rsidRDefault="000968DE" w:rsidP="000968DE">
      <w:pPr>
        <w:pStyle w:val="ListParagraph"/>
        <w:spacing w:after="0"/>
        <w:ind w:left="450"/>
        <w:jc w:val="both"/>
        <w:rPr>
          <w:rFonts w:eastAsia="Times New Roman" w:cs="Times New Roman"/>
          <w:sz w:val="24"/>
          <w:szCs w:val="24"/>
          <w:lang w:val="hy-AM"/>
        </w:rPr>
      </w:pPr>
    </w:p>
    <w:p w14:paraId="7E147D6B" w14:textId="4F8E405C" w:rsidR="008A60B7" w:rsidRDefault="00336CDE" w:rsidP="000968DE">
      <w:pPr>
        <w:pStyle w:val="ListParagraph"/>
        <w:spacing w:after="0"/>
        <w:jc w:val="both"/>
        <w:rPr>
          <w:rFonts w:eastAsia="Times New Roman" w:cs="Times New Roman"/>
          <w:i/>
          <w:sz w:val="24"/>
          <w:szCs w:val="24"/>
          <w:lang w:val="hy-AM"/>
        </w:rPr>
      </w:pP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has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developed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strategic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spatial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document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called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2030+,”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which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serves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guideline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country’s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integrated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spatial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prepared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Ministry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Interior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through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broad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consultation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process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that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included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local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authorities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research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institutions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public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sector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representatives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document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outlines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priorities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such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rational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use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space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balanced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population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redistribution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viable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small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towns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infrastructure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integration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preservation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ecological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balance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.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2030+”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also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serves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basis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harmonizing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spatial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plans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all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levels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responds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demographic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changes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migration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trends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spatial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manifestations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unemployment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energy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efficiency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aiming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stimulate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investment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not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only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capital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but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also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regions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.</w:t>
      </w:r>
    </w:p>
    <w:p w14:paraId="2BECE5CF" w14:textId="77777777" w:rsidR="000968DE" w:rsidRPr="000968DE" w:rsidRDefault="000968DE" w:rsidP="000968DE">
      <w:pPr>
        <w:pStyle w:val="ListParagraph"/>
        <w:spacing w:after="0"/>
        <w:jc w:val="both"/>
        <w:rPr>
          <w:rFonts w:eastAsia="Times New Roman" w:cs="Times New Roman"/>
          <w:i/>
          <w:sz w:val="24"/>
          <w:szCs w:val="24"/>
          <w:lang w:val="hy-AM"/>
        </w:rPr>
      </w:pPr>
    </w:p>
    <w:p w14:paraId="531A955E" w14:textId="731C7C1C" w:rsidR="00336CDE" w:rsidRDefault="00336CDE" w:rsidP="000968DE">
      <w:pPr>
        <w:pStyle w:val="ListParagraph"/>
        <w:numPr>
          <w:ilvl w:val="0"/>
          <w:numId w:val="23"/>
        </w:numPr>
        <w:spacing w:after="0"/>
        <w:ind w:left="450"/>
        <w:jc w:val="both"/>
        <w:rPr>
          <w:rFonts w:eastAsia="Times New Roman" w:cs="Times New Roman"/>
          <w:sz w:val="24"/>
          <w:szCs w:val="24"/>
          <w:lang w:val="hy-AM"/>
        </w:rPr>
      </w:pP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Urban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Committee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plans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implement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reforms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aimed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improving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technical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supervision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process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Armenia.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exchange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international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best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practices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with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key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importance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this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process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>.</w:t>
      </w:r>
    </w:p>
    <w:p w14:paraId="3A4B9FC1" w14:textId="77777777" w:rsidR="000968DE" w:rsidRPr="000968DE" w:rsidRDefault="000968DE" w:rsidP="000968DE">
      <w:pPr>
        <w:pStyle w:val="ListParagraph"/>
        <w:spacing w:after="0"/>
        <w:ind w:left="450"/>
        <w:jc w:val="both"/>
        <w:rPr>
          <w:rFonts w:eastAsia="Times New Roman" w:cs="Times New Roman"/>
          <w:sz w:val="24"/>
          <w:szCs w:val="24"/>
          <w:lang w:val="hy-AM"/>
        </w:rPr>
      </w:pPr>
    </w:p>
    <w:p w14:paraId="3DE12AFD" w14:textId="77777777" w:rsidR="00336CDE" w:rsidRDefault="00336CDE" w:rsidP="000968DE">
      <w:pPr>
        <w:pStyle w:val="ListParagraph"/>
        <w:spacing w:after="0"/>
        <w:jc w:val="both"/>
        <w:rPr>
          <w:rFonts w:eastAsia="Times New Roman" w:cs="Times New Roman"/>
          <w:i/>
          <w:sz w:val="24"/>
          <w:szCs w:val="24"/>
          <w:lang w:val="hy-AM"/>
        </w:rPr>
      </w:pP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system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technical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supervision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defined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Building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Code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which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mandates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independent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professional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supervision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during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supervision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required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all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projects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structural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engineering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safety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public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significance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not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carried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out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public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authority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but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responsibility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licensed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professionals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private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sector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client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—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whether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public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private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—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required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engage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owner’s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supervisor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who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responsible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ensuring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that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work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fully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complies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with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design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specifications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norms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safety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standards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Meanwhile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Estonia’s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Consumer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Protection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Technical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Regulatory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Authority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(TTJA)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carries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out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general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oversight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cases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regulatory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violations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quality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deviations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authority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has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tools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ranging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from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halting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imposing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financial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penalties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.</w:t>
      </w:r>
    </w:p>
    <w:p w14:paraId="65A41E3A" w14:textId="77777777" w:rsidR="000968DE" w:rsidRPr="000968DE" w:rsidRDefault="000968DE" w:rsidP="000968DE">
      <w:pPr>
        <w:pStyle w:val="ListParagraph"/>
        <w:spacing w:after="0"/>
        <w:jc w:val="both"/>
        <w:rPr>
          <w:rFonts w:eastAsia="Times New Roman" w:cs="Times New Roman"/>
          <w:i/>
          <w:sz w:val="24"/>
          <w:szCs w:val="24"/>
          <w:lang w:val="hy-AM"/>
        </w:rPr>
      </w:pPr>
    </w:p>
    <w:p w14:paraId="2C4A3494" w14:textId="1F47EA62" w:rsidR="00336CDE" w:rsidRDefault="00336CDE" w:rsidP="000968DE">
      <w:pPr>
        <w:pStyle w:val="ListParagraph"/>
        <w:numPr>
          <w:ilvl w:val="0"/>
          <w:numId w:val="23"/>
        </w:numPr>
        <w:spacing w:after="0"/>
        <w:ind w:left="450"/>
        <w:jc w:val="both"/>
        <w:rPr>
          <w:rFonts w:eastAsia="Times New Roman" w:cs="Times New Roman"/>
          <w:sz w:val="24"/>
          <w:szCs w:val="24"/>
          <w:lang w:val="hy-AM"/>
        </w:rPr>
      </w:pP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order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create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digital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platform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urban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development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services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establish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digital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urban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planning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cadastre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Armenia,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we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emphasize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importance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cooperation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with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exchange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international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best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sz w:val="24"/>
          <w:szCs w:val="24"/>
          <w:lang w:val="hy-AM"/>
        </w:rPr>
        <w:t>practices</w:t>
      </w:r>
      <w:proofErr w:type="spellEnd"/>
      <w:r w:rsidRPr="000968DE">
        <w:rPr>
          <w:rFonts w:eastAsia="Times New Roman" w:cs="Times New Roman"/>
          <w:sz w:val="24"/>
          <w:szCs w:val="24"/>
          <w:lang w:val="hy-AM"/>
        </w:rPr>
        <w:t>.</w:t>
      </w:r>
    </w:p>
    <w:p w14:paraId="018E6026" w14:textId="77777777" w:rsidR="000968DE" w:rsidRPr="000968DE" w:rsidRDefault="000968DE" w:rsidP="000968DE">
      <w:pPr>
        <w:pStyle w:val="ListParagraph"/>
        <w:spacing w:after="0"/>
        <w:ind w:left="450"/>
        <w:jc w:val="both"/>
        <w:rPr>
          <w:rFonts w:eastAsia="Times New Roman" w:cs="Times New Roman"/>
          <w:sz w:val="24"/>
          <w:szCs w:val="24"/>
          <w:lang w:val="hy-AM"/>
        </w:rPr>
      </w:pPr>
    </w:p>
    <w:p w14:paraId="35CFEEE8" w14:textId="77777777" w:rsidR="00336CDE" w:rsidRPr="000968DE" w:rsidRDefault="00336CDE" w:rsidP="000968DE">
      <w:pPr>
        <w:pStyle w:val="ListParagraph"/>
        <w:spacing w:after="0"/>
        <w:jc w:val="both"/>
        <w:rPr>
          <w:rFonts w:eastAsia="Times New Roman" w:cs="Times New Roman"/>
          <w:i/>
          <w:sz w:val="24"/>
          <w:szCs w:val="24"/>
          <w:lang w:val="hy-AM"/>
        </w:rPr>
      </w:pP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Under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auspices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Ministry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Climate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implementing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national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Digital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initiative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within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which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“e-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platform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has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been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introduced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system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integrates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all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phases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process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—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permits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design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monitoring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supervision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—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a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single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digital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environment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connected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other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state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registries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enabling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personalized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data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exchange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system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not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only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speeds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up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administrative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procedures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but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also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improves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decision-making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transparency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data-driven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governance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.</w:t>
      </w:r>
    </w:p>
    <w:p w14:paraId="050CFC4C" w14:textId="77777777" w:rsidR="00336CDE" w:rsidRPr="000968DE" w:rsidRDefault="00336CDE" w:rsidP="000968DE">
      <w:pPr>
        <w:pStyle w:val="ListParagraph"/>
        <w:spacing w:after="0"/>
        <w:jc w:val="both"/>
        <w:rPr>
          <w:rFonts w:eastAsia="Times New Roman" w:cs="Times New Roman"/>
          <w:i/>
          <w:sz w:val="24"/>
          <w:szCs w:val="24"/>
          <w:lang w:val="hy-AM"/>
        </w:rPr>
      </w:pP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Estonian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Digital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Construction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Cluster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brings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together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engineering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companies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software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solution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providers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universities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cluster’s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goal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develop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technological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solutions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that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combine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BIM (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Building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Information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Modeling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), GIS (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Geographic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Information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Systems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),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IoT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technologies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support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the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effective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implementation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of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public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policies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.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Collaborative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platforms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such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lastRenderedPageBreak/>
        <w:t>as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Future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City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,”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GreenTwins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“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SmartEnCity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”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make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it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possible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to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aggregate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data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across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sectors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—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for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energy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efficiency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public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transportation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green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zones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,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and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air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pollution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 xml:space="preserve"> </w:t>
      </w:r>
      <w:proofErr w:type="spellStart"/>
      <w:r w:rsidRPr="000968DE">
        <w:rPr>
          <w:rFonts w:eastAsia="Times New Roman" w:cs="Times New Roman"/>
          <w:i/>
          <w:sz w:val="24"/>
          <w:szCs w:val="24"/>
          <w:lang w:val="hy-AM"/>
        </w:rPr>
        <w:t>management</w:t>
      </w:r>
      <w:proofErr w:type="spellEnd"/>
      <w:r w:rsidRPr="000968DE">
        <w:rPr>
          <w:rFonts w:eastAsia="Times New Roman" w:cs="Times New Roman"/>
          <w:i/>
          <w:sz w:val="24"/>
          <w:szCs w:val="24"/>
          <w:lang w:val="hy-AM"/>
        </w:rPr>
        <w:t>.</w:t>
      </w:r>
    </w:p>
    <w:p w14:paraId="479AEB1B" w14:textId="77777777" w:rsidR="003F47FB" w:rsidRPr="000968DE" w:rsidRDefault="003F47FB" w:rsidP="000968DE">
      <w:pPr>
        <w:pStyle w:val="ListParagraph"/>
        <w:spacing w:after="0"/>
        <w:ind w:left="0" w:right="90"/>
        <w:jc w:val="both"/>
        <w:rPr>
          <w:rFonts w:cs="Times New Roman"/>
          <w:sz w:val="24"/>
          <w:szCs w:val="24"/>
          <w:lang w:val="hy-AM"/>
        </w:rPr>
      </w:pPr>
    </w:p>
    <w:p w14:paraId="5E2C3433" w14:textId="77777777" w:rsidR="003F47FB" w:rsidRPr="000968DE" w:rsidRDefault="003F47FB" w:rsidP="000968DE">
      <w:pPr>
        <w:pStyle w:val="ListParagraph"/>
        <w:spacing w:after="0"/>
        <w:ind w:left="0" w:right="90"/>
        <w:jc w:val="both"/>
        <w:rPr>
          <w:rFonts w:cs="Times New Roman"/>
          <w:sz w:val="24"/>
          <w:szCs w:val="24"/>
          <w:lang w:val="hy-AM"/>
        </w:rPr>
      </w:pPr>
    </w:p>
    <w:p w14:paraId="644A26F7" w14:textId="77777777" w:rsidR="00041E3A" w:rsidRPr="000968DE" w:rsidRDefault="00041E3A" w:rsidP="00096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sectPr w:rsidR="00041E3A" w:rsidRPr="000968DE" w:rsidSect="000E772D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7B91" w14:textId="77777777" w:rsidR="00793B3B" w:rsidRDefault="00793B3B" w:rsidP="001A01EC">
      <w:pPr>
        <w:spacing w:after="0" w:line="240" w:lineRule="auto"/>
      </w:pPr>
      <w:r>
        <w:separator/>
      </w:r>
    </w:p>
  </w:endnote>
  <w:endnote w:type="continuationSeparator" w:id="0">
    <w:p w14:paraId="5DB8701B" w14:textId="77777777" w:rsidR="00793B3B" w:rsidRDefault="00793B3B" w:rsidP="001A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5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9C13B" w14:textId="77777777" w:rsidR="001A01EC" w:rsidRDefault="001A0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46ADE8" w14:textId="77777777" w:rsidR="001A01EC" w:rsidRDefault="001A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A0081" w14:textId="77777777" w:rsidR="00793B3B" w:rsidRDefault="00793B3B" w:rsidP="001A01EC">
      <w:pPr>
        <w:spacing w:after="0" w:line="240" w:lineRule="auto"/>
      </w:pPr>
      <w:r>
        <w:separator/>
      </w:r>
    </w:p>
  </w:footnote>
  <w:footnote w:type="continuationSeparator" w:id="0">
    <w:p w14:paraId="5B62DA18" w14:textId="77777777" w:rsidR="00793B3B" w:rsidRDefault="00793B3B" w:rsidP="001A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458"/>
    <w:multiLevelType w:val="multilevel"/>
    <w:tmpl w:val="959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B6640"/>
    <w:multiLevelType w:val="multilevel"/>
    <w:tmpl w:val="D6DE9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41A5C"/>
    <w:multiLevelType w:val="multilevel"/>
    <w:tmpl w:val="E310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F5DAC"/>
    <w:multiLevelType w:val="hybridMultilevel"/>
    <w:tmpl w:val="8F6E135E"/>
    <w:lvl w:ilvl="0" w:tplc="871CA9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1A4"/>
    <w:multiLevelType w:val="multilevel"/>
    <w:tmpl w:val="8F4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5385F"/>
    <w:multiLevelType w:val="hybridMultilevel"/>
    <w:tmpl w:val="158E34AE"/>
    <w:lvl w:ilvl="0" w:tplc="1E2CCA68">
      <w:start w:val="2"/>
      <w:numFmt w:val="bullet"/>
      <w:lvlText w:val="­"/>
      <w:lvlJc w:val="left"/>
      <w:pPr>
        <w:ind w:left="795" w:hanging="360"/>
      </w:pPr>
      <w:rPr>
        <w:rFonts w:ascii="GHEA Grapalat" w:eastAsia="Times New Roman" w:hAnsi="GHEA Grapalat" w:cs="Sylfaen" w:hint="default"/>
        <w:color w:val="303B4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EB23E1F"/>
    <w:multiLevelType w:val="hybridMultilevel"/>
    <w:tmpl w:val="D8A855A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303B4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1C250DF"/>
    <w:multiLevelType w:val="multilevel"/>
    <w:tmpl w:val="996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26592"/>
    <w:multiLevelType w:val="hybridMultilevel"/>
    <w:tmpl w:val="03A2C5CC"/>
    <w:lvl w:ilvl="0" w:tplc="D10061DA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9D5135"/>
    <w:multiLevelType w:val="multilevel"/>
    <w:tmpl w:val="2F1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B370C"/>
    <w:multiLevelType w:val="hybridMultilevel"/>
    <w:tmpl w:val="F748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35F5D"/>
    <w:multiLevelType w:val="hybridMultilevel"/>
    <w:tmpl w:val="A90CC75E"/>
    <w:lvl w:ilvl="0" w:tplc="7E24B5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65F4"/>
    <w:multiLevelType w:val="multilevel"/>
    <w:tmpl w:val="05F4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45957"/>
    <w:multiLevelType w:val="multilevel"/>
    <w:tmpl w:val="758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23B89"/>
    <w:multiLevelType w:val="hybridMultilevel"/>
    <w:tmpl w:val="53FC3BE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303B4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2AF2F97"/>
    <w:multiLevelType w:val="hybridMultilevel"/>
    <w:tmpl w:val="FBB4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A2AFF"/>
    <w:multiLevelType w:val="multilevel"/>
    <w:tmpl w:val="5C62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20434"/>
    <w:multiLevelType w:val="hybridMultilevel"/>
    <w:tmpl w:val="D8721364"/>
    <w:lvl w:ilvl="0" w:tplc="FC70F7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33479"/>
    <w:multiLevelType w:val="hybridMultilevel"/>
    <w:tmpl w:val="A8CC4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2489E"/>
    <w:multiLevelType w:val="multilevel"/>
    <w:tmpl w:val="3E78C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ED7C96"/>
    <w:multiLevelType w:val="multilevel"/>
    <w:tmpl w:val="B3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2942">
    <w:abstractNumId w:val="0"/>
  </w:num>
  <w:num w:numId="2" w16cid:durableId="2104446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014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58281">
    <w:abstractNumId w:val="3"/>
  </w:num>
  <w:num w:numId="5" w16cid:durableId="2005086662">
    <w:abstractNumId w:val="18"/>
  </w:num>
  <w:num w:numId="6" w16cid:durableId="1697995730">
    <w:abstractNumId w:val="4"/>
  </w:num>
  <w:num w:numId="7" w16cid:durableId="1135030160">
    <w:abstractNumId w:val="20"/>
  </w:num>
  <w:num w:numId="8" w16cid:durableId="1487554111">
    <w:abstractNumId w:val="9"/>
  </w:num>
  <w:num w:numId="9" w16cid:durableId="2056654781">
    <w:abstractNumId w:val="12"/>
  </w:num>
  <w:num w:numId="10" w16cid:durableId="1688096639">
    <w:abstractNumId w:val="13"/>
  </w:num>
  <w:num w:numId="11" w16cid:durableId="1133596376">
    <w:abstractNumId w:val="7"/>
  </w:num>
  <w:num w:numId="12" w16cid:durableId="586812070">
    <w:abstractNumId w:val="16"/>
  </w:num>
  <w:num w:numId="13" w16cid:durableId="550731722">
    <w:abstractNumId w:val="8"/>
  </w:num>
  <w:num w:numId="14" w16cid:durableId="1853714282">
    <w:abstractNumId w:val="5"/>
  </w:num>
  <w:num w:numId="15" w16cid:durableId="729571799">
    <w:abstractNumId w:val="14"/>
  </w:num>
  <w:num w:numId="16" w16cid:durableId="669412169">
    <w:abstractNumId w:val="6"/>
  </w:num>
  <w:num w:numId="17" w16cid:durableId="1410888475">
    <w:abstractNumId w:val="11"/>
  </w:num>
  <w:num w:numId="18" w16cid:durableId="2008047264">
    <w:abstractNumId w:val="10"/>
  </w:num>
  <w:num w:numId="19" w16cid:durableId="1153184647">
    <w:abstractNumId w:val="15"/>
  </w:num>
  <w:num w:numId="20" w16cid:durableId="350029266">
    <w:abstractNumId w:val="2"/>
  </w:num>
  <w:num w:numId="21" w16cid:durableId="1784811939">
    <w:abstractNumId w:val="19"/>
  </w:num>
  <w:num w:numId="22" w16cid:durableId="30229091">
    <w:abstractNumId w:val="1"/>
  </w:num>
  <w:num w:numId="23" w16cid:durableId="1779713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46"/>
    <w:rsid w:val="00011498"/>
    <w:rsid w:val="00041E3A"/>
    <w:rsid w:val="0005461D"/>
    <w:rsid w:val="000968DE"/>
    <w:rsid w:val="000C1C40"/>
    <w:rsid w:val="000D060E"/>
    <w:rsid w:val="000E772D"/>
    <w:rsid w:val="00192A9B"/>
    <w:rsid w:val="001A01EC"/>
    <w:rsid w:val="001E3E2A"/>
    <w:rsid w:val="001F0F99"/>
    <w:rsid w:val="00270586"/>
    <w:rsid w:val="00303EF4"/>
    <w:rsid w:val="00336CDE"/>
    <w:rsid w:val="00376246"/>
    <w:rsid w:val="003A189E"/>
    <w:rsid w:val="003F3E3C"/>
    <w:rsid w:val="003F47FB"/>
    <w:rsid w:val="004302F0"/>
    <w:rsid w:val="00451BC5"/>
    <w:rsid w:val="00456DB7"/>
    <w:rsid w:val="00465403"/>
    <w:rsid w:val="00472A3A"/>
    <w:rsid w:val="0059706B"/>
    <w:rsid w:val="006751EC"/>
    <w:rsid w:val="006833F4"/>
    <w:rsid w:val="006900FE"/>
    <w:rsid w:val="00702890"/>
    <w:rsid w:val="007219B8"/>
    <w:rsid w:val="00793B3B"/>
    <w:rsid w:val="007A7CDD"/>
    <w:rsid w:val="007E5931"/>
    <w:rsid w:val="007F2C85"/>
    <w:rsid w:val="008A60B7"/>
    <w:rsid w:val="008A6102"/>
    <w:rsid w:val="009A7EE0"/>
    <w:rsid w:val="00A34A63"/>
    <w:rsid w:val="00B10078"/>
    <w:rsid w:val="00B15BE3"/>
    <w:rsid w:val="00B461C0"/>
    <w:rsid w:val="00BA7005"/>
    <w:rsid w:val="00C348C6"/>
    <w:rsid w:val="00C90B94"/>
    <w:rsid w:val="00CB6970"/>
    <w:rsid w:val="00CC110F"/>
    <w:rsid w:val="00CD7731"/>
    <w:rsid w:val="00D57765"/>
    <w:rsid w:val="00DD6CE8"/>
    <w:rsid w:val="00E1346F"/>
    <w:rsid w:val="00E34CD5"/>
    <w:rsid w:val="00E72AB2"/>
    <w:rsid w:val="00EA572D"/>
    <w:rsid w:val="00F60D15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7070"/>
  <w15:chartTrackingRefBased/>
  <w15:docId w15:val="{08CCC2BC-3B73-46A3-B5C4-8ADDC80A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2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0E772D"/>
  </w:style>
  <w:style w:type="character" w:customStyle="1" w:styleId="ms-1">
    <w:name w:val="ms-1"/>
    <w:basedOn w:val="DefaultParagraphFont"/>
    <w:rsid w:val="000E772D"/>
  </w:style>
  <w:style w:type="character" w:customStyle="1" w:styleId="max-w-full">
    <w:name w:val="max-w-full"/>
    <w:basedOn w:val="DefaultParagraphFont"/>
    <w:rsid w:val="000E772D"/>
  </w:style>
  <w:style w:type="character" w:customStyle="1" w:styleId="-me-1">
    <w:name w:val="-me-1"/>
    <w:basedOn w:val="DefaultParagraphFont"/>
    <w:rsid w:val="000E772D"/>
  </w:style>
  <w:style w:type="character" w:styleId="Strong">
    <w:name w:val="Strong"/>
    <w:basedOn w:val="DefaultParagraphFont"/>
    <w:uiPriority w:val="22"/>
    <w:qFormat/>
    <w:rsid w:val="000E7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CD77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A3A"/>
    <w:pPr>
      <w:spacing w:line="240" w:lineRule="auto"/>
      <w:ind w:left="720"/>
      <w:contextualSpacing/>
    </w:pPr>
    <w:rPr>
      <w:rFonts w:ascii="Times New Roman" w:hAnsi="Times New Roman"/>
      <w:sz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72A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7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EC"/>
  </w:style>
  <w:style w:type="paragraph" w:styleId="Footer">
    <w:name w:val="footer"/>
    <w:basedOn w:val="Normal"/>
    <w:link w:val="FooterChar"/>
    <w:uiPriority w:val="99"/>
    <w:unhideWhenUsed/>
    <w:rsid w:val="001A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Pahlevanyan</dc:creator>
  <cp:keywords/>
  <dc:description/>
  <cp:lastModifiedBy>Embassy Armenia</cp:lastModifiedBy>
  <cp:revision>26</cp:revision>
  <dcterms:created xsi:type="dcterms:W3CDTF">2025-05-14T11:29:00Z</dcterms:created>
  <dcterms:modified xsi:type="dcterms:W3CDTF">2025-05-27T07:08:00Z</dcterms:modified>
</cp:coreProperties>
</file>