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2B35D6" w:rsidRPr="00D1102A" w14:paraId="073AA6B6" w14:textId="77777777" w:rsidTr="006834DC">
        <w:tc>
          <w:tcPr>
            <w:tcW w:w="4662" w:type="dxa"/>
          </w:tcPr>
          <w:p w14:paraId="727FE336" w14:textId="62059A26" w:rsidR="0070684C" w:rsidRPr="00D1102A" w:rsidRDefault="006834DC" w:rsidP="00D1102A">
            <w:pPr>
              <w:widowControl/>
              <w:suppressAutoHyphens w:val="0"/>
              <w:spacing w:line="240" w:lineRule="auto"/>
              <w:jc w:val="left"/>
              <w:rPr>
                <w:rFonts w:asciiTheme="majorBidi" w:hAnsiTheme="majorBidi" w:cstheme="majorBidi"/>
              </w:rPr>
            </w:pPr>
            <w:r w:rsidRPr="00D1102A">
              <w:rPr>
                <w:rFonts w:asciiTheme="majorBidi" w:hAnsiTheme="majorBidi" w:cstheme="majorBidi"/>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2F3C8634" w14:textId="77777777" w:rsidR="0070684C" w:rsidRPr="00D1102A" w:rsidRDefault="0070684C" w:rsidP="00D1102A">
            <w:pPr>
              <w:widowControl/>
              <w:suppressAutoHyphens w:val="0"/>
              <w:spacing w:line="240" w:lineRule="auto"/>
              <w:jc w:val="right"/>
              <w:rPr>
                <w:rFonts w:asciiTheme="majorBidi" w:hAnsiTheme="majorBidi" w:cstheme="majorBidi"/>
                <w:b/>
              </w:rPr>
            </w:pPr>
            <w:r w:rsidRPr="00D1102A">
              <w:rPr>
                <w:rFonts w:asciiTheme="majorBidi" w:hAnsiTheme="majorBidi" w:cstheme="majorBidi"/>
                <w:b/>
              </w:rPr>
              <w:t>KINNITATUD</w:t>
            </w:r>
          </w:p>
          <w:p w14:paraId="3FF54ED5" w14:textId="750BBE0C" w:rsidR="007523FA" w:rsidRPr="00D1102A" w:rsidRDefault="00FE03F5"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Välisvahendite osakonna juhataja</w:t>
            </w:r>
            <w:r w:rsidR="000716B5" w:rsidRPr="00D1102A">
              <w:rPr>
                <w:rFonts w:asciiTheme="majorBidi" w:hAnsiTheme="majorBidi" w:cstheme="majorBidi"/>
              </w:rPr>
              <w:t xml:space="preserve"> 13.09.2023</w:t>
            </w:r>
            <w:r w:rsidR="00CB73D1" w:rsidRPr="00D1102A">
              <w:rPr>
                <w:rFonts w:asciiTheme="majorBidi" w:hAnsiTheme="majorBidi" w:cstheme="majorBidi"/>
              </w:rPr>
              <w:t xml:space="preserve"> otsusega</w:t>
            </w:r>
            <w:r w:rsidR="0070684C" w:rsidRPr="00D1102A">
              <w:rPr>
                <w:rFonts w:asciiTheme="majorBidi" w:hAnsiTheme="majorBidi" w:cstheme="majorBidi"/>
              </w:rPr>
              <w:t xml:space="preserve"> nr </w:t>
            </w:r>
            <w:r w:rsidR="000716B5" w:rsidRPr="00D1102A">
              <w:rPr>
                <w:rFonts w:asciiTheme="majorBidi" w:hAnsiTheme="majorBidi" w:cstheme="majorBidi"/>
              </w:rPr>
              <w:t>1-24/136</w:t>
            </w:r>
          </w:p>
          <w:p w14:paraId="40DE2855" w14:textId="3FE3206F" w:rsidR="0070684C" w:rsidRPr="00D1102A" w:rsidRDefault="0070684C"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w:t>
            </w:r>
            <w:r w:rsidR="00FE03F5" w:rsidRPr="00D1102A">
              <w:rPr>
                <w:rFonts w:asciiTheme="majorBidi" w:hAnsiTheme="majorBidi" w:cstheme="majorBidi"/>
              </w:rPr>
              <w:t>Perioodi 2021–2027 Euroopa Sotsiaalfondi meetme „</w:t>
            </w:r>
            <w:r w:rsidR="00012400" w:rsidRPr="00D1102A">
              <w:rPr>
                <w:rFonts w:asciiTheme="majorBidi" w:hAnsiTheme="majorBidi" w:cstheme="majorBidi"/>
              </w:rPr>
              <w:t>Kodanikuühiskonna</w:t>
            </w:r>
            <w:r w:rsidR="005B56F8" w:rsidRPr="00D1102A">
              <w:rPr>
                <w:rFonts w:asciiTheme="majorBidi" w:hAnsiTheme="majorBidi" w:cstheme="majorBidi"/>
              </w:rPr>
              <w:t xml:space="preserve"> mõju suurendamine ja arengu toetamine</w:t>
            </w:r>
            <w:r w:rsidR="00560B2E" w:rsidRPr="00D1102A">
              <w:rPr>
                <w:rFonts w:asciiTheme="majorBidi" w:hAnsiTheme="majorBidi" w:cstheme="majorBidi"/>
              </w:rPr>
              <w:t>“ vormide kinnitamine</w:t>
            </w:r>
            <w:r w:rsidRPr="00D1102A">
              <w:rPr>
                <w:rFonts w:asciiTheme="majorBidi" w:hAnsiTheme="majorBidi" w:cstheme="majorBidi"/>
              </w:rPr>
              <w:t>“</w:t>
            </w:r>
          </w:p>
          <w:p w14:paraId="25BE0E63" w14:textId="46C7952C" w:rsidR="0070684C" w:rsidRPr="00D1102A" w:rsidRDefault="0070684C"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 xml:space="preserve">LISA </w:t>
            </w:r>
            <w:r w:rsidR="00560B2E" w:rsidRPr="00D1102A">
              <w:rPr>
                <w:rFonts w:asciiTheme="majorBidi" w:hAnsiTheme="majorBidi" w:cstheme="majorBidi"/>
              </w:rPr>
              <w:t>1</w:t>
            </w:r>
          </w:p>
        </w:tc>
      </w:tr>
      <w:tr w:rsidR="002B35D6" w:rsidRPr="00D1102A" w14:paraId="3CF004A0" w14:textId="77777777" w:rsidTr="006834DC">
        <w:tblPrEx>
          <w:tblCellMar>
            <w:left w:w="108" w:type="dxa"/>
            <w:right w:w="108" w:type="dxa"/>
          </w:tblCellMar>
        </w:tblPrEx>
        <w:tc>
          <w:tcPr>
            <w:tcW w:w="4662" w:type="dxa"/>
          </w:tcPr>
          <w:p w14:paraId="5602E821" w14:textId="77777777" w:rsidR="00FE03F5" w:rsidRPr="00D1102A" w:rsidRDefault="00FE03F5" w:rsidP="00D1102A">
            <w:pPr>
              <w:spacing w:line="240" w:lineRule="auto"/>
              <w:rPr>
                <w:rFonts w:asciiTheme="majorBidi" w:hAnsiTheme="majorBidi" w:cstheme="majorBidi"/>
                <w:b/>
              </w:rPr>
            </w:pPr>
          </w:p>
          <w:p w14:paraId="598966DE" w14:textId="77777777" w:rsidR="00FE03F5" w:rsidRPr="00D1102A" w:rsidRDefault="00FE03F5" w:rsidP="00D1102A">
            <w:pPr>
              <w:spacing w:line="240" w:lineRule="auto"/>
              <w:rPr>
                <w:rFonts w:asciiTheme="majorBidi" w:hAnsiTheme="majorBidi" w:cstheme="majorBidi"/>
                <w:b/>
              </w:rPr>
            </w:pPr>
          </w:p>
          <w:p w14:paraId="425AA0D1" w14:textId="329CBA10" w:rsidR="00FE03F5" w:rsidRPr="00D1102A" w:rsidRDefault="00FE03F5" w:rsidP="00D1102A">
            <w:pPr>
              <w:spacing w:line="240" w:lineRule="auto"/>
              <w:rPr>
                <w:rFonts w:asciiTheme="majorBidi" w:hAnsiTheme="majorBidi" w:cstheme="majorBidi"/>
              </w:rPr>
            </w:pPr>
            <w:r w:rsidRPr="00D1102A">
              <w:rPr>
                <w:rFonts w:asciiTheme="majorBidi" w:hAnsiTheme="majorBidi" w:cstheme="majorBidi"/>
                <w:b/>
              </w:rPr>
              <w:t xml:space="preserve">Toetatavate tegevuste tegevuskava perioodil </w:t>
            </w:r>
            <w:r w:rsidR="002903DE" w:rsidRPr="00D1102A">
              <w:rPr>
                <w:rFonts w:asciiTheme="majorBidi" w:hAnsiTheme="majorBidi" w:cstheme="majorBidi"/>
                <w:b/>
              </w:rPr>
              <w:t>01.01.-31.12.2024</w:t>
            </w:r>
            <w:r w:rsidRPr="00D1102A">
              <w:rPr>
                <w:rStyle w:val="FootnoteReference"/>
                <w:rFonts w:asciiTheme="majorBidi" w:hAnsiTheme="majorBidi" w:cstheme="majorBidi"/>
                <w:b/>
              </w:rPr>
              <w:footnoteReference w:id="1"/>
            </w:r>
          </w:p>
          <w:p w14:paraId="701A572D" w14:textId="6147F25B" w:rsidR="005B56F8" w:rsidRPr="00D1102A" w:rsidRDefault="005B56F8" w:rsidP="00D1102A">
            <w:pPr>
              <w:widowControl/>
              <w:suppressAutoHyphens w:val="0"/>
              <w:spacing w:before="240" w:line="240" w:lineRule="auto"/>
              <w:jc w:val="left"/>
              <w:rPr>
                <w:rFonts w:asciiTheme="majorBidi" w:hAnsiTheme="majorBidi" w:cstheme="majorBidi"/>
                <w:b/>
              </w:rPr>
            </w:pPr>
          </w:p>
        </w:tc>
        <w:tc>
          <w:tcPr>
            <w:tcW w:w="4409" w:type="dxa"/>
          </w:tcPr>
          <w:p w14:paraId="3D8F48FE" w14:textId="77777777" w:rsidR="0089276C" w:rsidRPr="00D1102A" w:rsidRDefault="0089276C" w:rsidP="00D1102A">
            <w:pPr>
              <w:widowControl/>
              <w:suppressAutoHyphens w:val="0"/>
              <w:spacing w:line="240" w:lineRule="auto"/>
              <w:jc w:val="right"/>
              <w:rPr>
                <w:rFonts w:asciiTheme="majorBidi" w:hAnsiTheme="majorBidi" w:cstheme="majorBidi"/>
                <w:b/>
              </w:rPr>
            </w:pPr>
          </w:p>
        </w:tc>
      </w:tr>
    </w:tbl>
    <w:p w14:paraId="55CFB322" w14:textId="38780032" w:rsidR="00FE03F5" w:rsidRPr="00D1102A" w:rsidRDefault="00FE03F5" w:rsidP="00D1102A">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Style w:val="Heading1Char"/>
          <w:rFonts w:asciiTheme="majorBidi" w:hAnsiTheme="majorBidi" w:cstheme="majorBidi"/>
          <w:b/>
          <w:bCs/>
          <w:i/>
          <w:color w:val="auto"/>
          <w:sz w:val="24"/>
          <w:szCs w:val="24"/>
        </w:rPr>
      </w:pPr>
      <w:r w:rsidRPr="00D1102A">
        <w:rPr>
          <w:rStyle w:val="Heading1Char"/>
          <w:rFonts w:asciiTheme="majorBidi" w:hAnsiTheme="majorBidi" w:cstheme="majorBidi"/>
          <w:b/>
          <w:bCs/>
          <w:color w:val="auto"/>
          <w:sz w:val="24"/>
          <w:szCs w:val="24"/>
        </w:rPr>
        <w:t xml:space="preserve">Toetatav tegevus 2.1: </w:t>
      </w:r>
      <w:r w:rsidR="00012400" w:rsidRPr="00D1102A">
        <w:rPr>
          <w:rStyle w:val="Heading1Char"/>
          <w:rFonts w:asciiTheme="majorBidi" w:hAnsiTheme="majorBidi" w:cstheme="majorBidi"/>
          <w:b/>
          <w:bCs/>
          <w:color w:val="auto"/>
          <w:sz w:val="24"/>
          <w:szCs w:val="24"/>
        </w:rPr>
        <w:t>Süsteemse kogukonnapõhise laste ja noorte kaasamismudeli arendamine</w:t>
      </w:r>
    </w:p>
    <w:p w14:paraId="1C1811B2" w14:textId="1E344955" w:rsidR="00FE03F5" w:rsidRPr="00D1102A" w:rsidRDefault="00B9596B" w:rsidP="00D1102A">
      <w:pPr>
        <w:pStyle w:val="Heading2"/>
        <w:keepLines w:val="0"/>
        <w:widowControl/>
        <w:numPr>
          <w:ilvl w:val="1"/>
          <w:numId w:val="1"/>
        </w:numPr>
        <w:tabs>
          <w:tab w:val="clear" w:pos="720"/>
          <w:tab w:val="num" w:pos="0"/>
          <w:tab w:val="left" w:pos="426"/>
        </w:tabs>
        <w:suppressAutoHyphens w:val="0"/>
        <w:spacing w:before="240" w:after="60" w:line="240" w:lineRule="auto"/>
        <w:ind w:left="851" w:hanging="851"/>
        <w:rPr>
          <w:rFonts w:asciiTheme="majorBidi" w:hAnsiTheme="majorBidi" w:cstheme="majorBidi"/>
          <w:b/>
          <w:i/>
          <w:color w:val="auto"/>
          <w:sz w:val="24"/>
          <w:szCs w:val="24"/>
        </w:rPr>
      </w:pPr>
      <w:r w:rsidRPr="00D1102A">
        <w:rPr>
          <w:rFonts w:asciiTheme="majorBidi" w:hAnsiTheme="majorBidi" w:cstheme="majorBidi"/>
          <w:b/>
          <w:bCs/>
          <w:color w:val="auto"/>
          <w:sz w:val="24"/>
          <w:szCs w:val="24"/>
        </w:rPr>
        <w:t xml:space="preserve">Alategevus: </w:t>
      </w:r>
      <w:r w:rsidR="005B56F8" w:rsidRPr="00D1102A">
        <w:rPr>
          <w:rFonts w:asciiTheme="majorBidi" w:hAnsiTheme="majorBidi" w:cstheme="majorBidi"/>
          <w:b/>
          <w:bCs/>
          <w:color w:val="auto"/>
          <w:sz w:val="24"/>
          <w:szCs w:val="24"/>
        </w:rPr>
        <w:t>Arenguprogrammi välja töötamine ja läbi viimine</w:t>
      </w:r>
    </w:p>
    <w:p w14:paraId="675A349B" w14:textId="4E00C1EC" w:rsidR="005B5E78" w:rsidRPr="00D1102A" w:rsidRDefault="005B5E78" w:rsidP="00D1102A">
      <w:pPr>
        <w:pStyle w:val="ListParagraph"/>
        <w:numPr>
          <w:ilvl w:val="2"/>
          <w:numId w:val="1"/>
        </w:numPr>
        <w:spacing w:line="240" w:lineRule="auto"/>
        <w:rPr>
          <w:rFonts w:asciiTheme="majorBidi" w:hAnsiTheme="majorBidi" w:cstheme="majorBidi"/>
          <w:b/>
          <w:bCs/>
          <w:szCs w:val="24"/>
        </w:rPr>
      </w:pPr>
      <w:r w:rsidRPr="00D1102A">
        <w:rPr>
          <w:rFonts w:asciiTheme="majorBidi" w:hAnsiTheme="majorBidi" w:cstheme="majorBidi"/>
          <w:b/>
          <w:bCs/>
          <w:szCs w:val="24"/>
        </w:rPr>
        <w:t>Arenguprogrammi välja töötamine</w:t>
      </w:r>
    </w:p>
    <w:p w14:paraId="5904B885" w14:textId="7D62E2C0" w:rsidR="00A5558A" w:rsidRPr="00D1102A" w:rsidRDefault="00A5558A" w:rsidP="00D1102A">
      <w:pPr>
        <w:spacing w:line="240" w:lineRule="auto"/>
        <w:rPr>
          <w:rFonts w:asciiTheme="majorBidi" w:hAnsiTheme="majorBidi" w:cstheme="majorBidi"/>
        </w:rPr>
      </w:pPr>
    </w:p>
    <w:p w14:paraId="5D6A455A" w14:textId="491BC153" w:rsidR="00A5558A" w:rsidRPr="00D1102A" w:rsidRDefault="00A5558A" w:rsidP="00D1102A">
      <w:pPr>
        <w:spacing w:line="240" w:lineRule="auto"/>
        <w:rPr>
          <w:rFonts w:asciiTheme="majorBidi" w:hAnsiTheme="majorBidi" w:cstheme="majorBidi"/>
        </w:rPr>
      </w:pPr>
      <w:r w:rsidRPr="00D1102A">
        <w:rPr>
          <w:rFonts w:asciiTheme="majorBidi" w:hAnsiTheme="majorBidi" w:cstheme="majorBidi"/>
        </w:rPr>
        <w:t xml:space="preserve">Arenguprogrammi lähteülesande koostamiseks moodustatakse töögrupp. Töögruppi kaasatakse KÜSKi ja vabaühenduste konsultantide esindaja, kaasamise ekspert </w:t>
      </w:r>
      <w:r w:rsidR="00B7283E" w:rsidRPr="00D1102A">
        <w:rPr>
          <w:rFonts w:asciiTheme="majorBidi" w:hAnsiTheme="majorBidi" w:cstheme="majorBidi"/>
        </w:rPr>
        <w:t>ning</w:t>
      </w:r>
      <w:r w:rsidRPr="00D1102A">
        <w:rPr>
          <w:rFonts w:asciiTheme="majorBidi" w:hAnsiTheme="majorBidi" w:cstheme="majorBidi"/>
        </w:rPr>
        <w:t xml:space="preserve"> vajadusel oskuste ja vajaduste kaardistamise ekspert. Arenguprogrammi lähteülesande koostamiseks kaardistatakse </w:t>
      </w:r>
    </w:p>
    <w:p w14:paraId="704B7A16" w14:textId="2B303FA9" w:rsidR="00A5558A" w:rsidRPr="00D1102A" w:rsidRDefault="00A5558A" w:rsidP="00D1102A">
      <w:pPr>
        <w:spacing w:line="240" w:lineRule="auto"/>
        <w:rPr>
          <w:rFonts w:asciiTheme="majorBidi" w:hAnsiTheme="majorBidi" w:cstheme="majorBidi"/>
          <w:b/>
          <w:bCs/>
        </w:rPr>
      </w:pPr>
      <w:r w:rsidRPr="00D1102A">
        <w:rPr>
          <w:rFonts w:asciiTheme="majorBidi" w:hAnsiTheme="majorBidi" w:cstheme="majorBidi"/>
        </w:rPr>
        <w:t xml:space="preserve">maakondlike kodanikuühiskonna konsultantide kompetentsid ja arenguvajadused nõustamisteenuse kvaliteetseks osutamiseks, et edendada noorte kogukonnapõhist kaasamist. Kaardistamise korraldamiseks kaastakse ekspert, et süsteemselt </w:t>
      </w:r>
      <w:r w:rsidR="00B7283E" w:rsidRPr="00D1102A">
        <w:rPr>
          <w:rFonts w:asciiTheme="majorBidi" w:hAnsiTheme="majorBidi" w:cstheme="majorBidi"/>
        </w:rPr>
        <w:t>läbi viia maakondlike kodanikuühiskonna konsultantide kompetentside ja arenguvajaduste kaardistamine.</w:t>
      </w:r>
      <w:r w:rsidRPr="00D1102A">
        <w:rPr>
          <w:rFonts w:asciiTheme="majorBidi" w:hAnsiTheme="majorBidi" w:cstheme="majorBidi"/>
        </w:rPr>
        <w:t xml:space="preserve"> Kaardistamise tulemused on aluseks töögrupile arenguprogrammi lähteülesande välja töötamiseks.</w:t>
      </w:r>
    </w:p>
    <w:p w14:paraId="05738BAF" w14:textId="77777777" w:rsidR="00A5558A" w:rsidRPr="00D1102A" w:rsidRDefault="00A5558A" w:rsidP="00D1102A">
      <w:pPr>
        <w:spacing w:line="240" w:lineRule="auto"/>
        <w:rPr>
          <w:rFonts w:asciiTheme="majorBidi" w:hAnsiTheme="majorBidi" w:cstheme="majorBidi"/>
          <w:b/>
          <w:bCs/>
        </w:rPr>
      </w:pPr>
    </w:p>
    <w:p w14:paraId="0E4294A4" w14:textId="2B4D001E" w:rsidR="00A5558A" w:rsidRPr="00D1102A" w:rsidRDefault="00A5558A" w:rsidP="00D1102A">
      <w:pPr>
        <w:spacing w:line="240" w:lineRule="auto"/>
        <w:rPr>
          <w:rFonts w:asciiTheme="majorBidi" w:hAnsiTheme="majorBidi" w:cstheme="majorBidi"/>
          <w:bCs/>
        </w:rPr>
      </w:pPr>
      <w:r w:rsidRPr="00D1102A">
        <w:rPr>
          <w:rFonts w:asciiTheme="majorBidi" w:hAnsiTheme="majorBidi" w:cstheme="majorBidi"/>
          <w:bCs/>
        </w:rPr>
        <w:t>Korraldatakse kohtumisi ja arutelusid maakondlike arenduskeskuste kodanikuühiskonna konsultantide ja maakondliku kodanikuühiskonna nõustamisteenusega seotud isikutega eesmärgiga selgitada välja arenguvajadused nõustamisteenuse kvaliteetseks osutamiseks ja noorte kogukonnapõhiseks kaasamiseks.</w:t>
      </w:r>
    </w:p>
    <w:p w14:paraId="62D7364E" w14:textId="77777777" w:rsidR="00B7283E" w:rsidRPr="00D1102A" w:rsidRDefault="00B7283E" w:rsidP="00D1102A">
      <w:pPr>
        <w:spacing w:line="240" w:lineRule="auto"/>
        <w:rPr>
          <w:rFonts w:asciiTheme="majorBidi" w:hAnsiTheme="majorBidi" w:cstheme="majorBidi"/>
          <w:bCs/>
        </w:rPr>
      </w:pPr>
    </w:p>
    <w:p w14:paraId="5E00C2A5" w14:textId="1ABF56C0" w:rsidR="009E4187" w:rsidRPr="00D1102A" w:rsidRDefault="00B7283E" w:rsidP="00D1102A">
      <w:pPr>
        <w:spacing w:line="240" w:lineRule="auto"/>
        <w:rPr>
          <w:rFonts w:asciiTheme="majorBidi" w:hAnsiTheme="majorBidi" w:cstheme="majorBidi"/>
          <w:bCs/>
        </w:rPr>
      </w:pPr>
      <w:r w:rsidRPr="00D1102A">
        <w:rPr>
          <w:rFonts w:asciiTheme="majorBidi" w:hAnsiTheme="majorBidi" w:cstheme="majorBidi"/>
          <w:bCs/>
        </w:rPr>
        <w:t xml:space="preserve">Arenguprogrammi läbi viimiseks korraldatakse riigihange, mille tulemusena valitakse välja teenuse pakkuja. </w:t>
      </w:r>
      <w:r w:rsidR="009E4187" w:rsidRPr="00D1102A">
        <w:rPr>
          <w:rFonts w:asciiTheme="majorBidi" w:hAnsiTheme="majorBidi" w:cstheme="majorBidi"/>
        </w:rPr>
        <w:t>Teenuse pakkuja viib läbi arenguprogrammi, milles saavad osaleda maakondade kodanikuühiskonna konsultandid ning maakondliku kodanikuühiskonna nõustamisteenusega seotud isikud.</w:t>
      </w:r>
    </w:p>
    <w:p w14:paraId="754B2879" w14:textId="30FB763C" w:rsidR="00B7283E" w:rsidRPr="00D1102A" w:rsidRDefault="00B7283E" w:rsidP="00D1102A">
      <w:pPr>
        <w:spacing w:line="240" w:lineRule="auto"/>
        <w:rPr>
          <w:rFonts w:asciiTheme="majorBidi" w:hAnsiTheme="majorBidi" w:cstheme="majorBidi"/>
          <w:bCs/>
        </w:rPr>
      </w:pPr>
      <w:r w:rsidRPr="00D1102A">
        <w:rPr>
          <w:rFonts w:asciiTheme="majorBidi" w:hAnsiTheme="majorBidi" w:cstheme="majorBidi"/>
          <w:bCs/>
        </w:rPr>
        <w:t xml:space="preserve">Teenuse pakkuja koostab ja viib läbi programmi, valmistab ette programmi  hindamise, mille alusel on võimalik peale programmi läbi viimist hinnata programmi </w:t>
      </w:r>
      <w:r w:rsidRPr="00D1102A">
        <w:rPr>
          <w:rFonts w:asciiTheme="majorBidi" w:hAnsiTheme="majorBidi" w:cstheme="majorBidi"/>
        </w:rPr>
        <w:t xml:space="preserve"> eesmärgipärasust, tulemuslikkust ja tõhusust</w:t>
      </w:r>
      <w:r w:rsidRPr="00D1102A">
        <w:rPr>
          <w:rFonts w:asciiTheme="majorBidi" w:hAnsiTheme="majorBidi" w:cstheme="majorBidi"/>
          <w:bCs/>
        </w:rPr>
        <w:t xml:space="preserve"> mõõdikud. Saadakse pakkumine kogu programmi eeldatava maksumuse kohta.</w:t>
      </w:r>
    </w:p>
    <w:p w14:paraId="7488E0B9" w14:textId="7198418B" w:rsidR="00B7283E" w:rsidRPr="00D1102A" w:rsidRDefault="00270AF3" w:rsidP="00D1102A">
      <w:pPr>
        <w:pStyle w:val="Heading2"/>
        <w:keepLines w:val="0"/>
        <w:widowControl/>
        <w:tabs>
          <w:tab w:val="left" w:pos="426"/>
        </w:tabs>
        <w:suppressAutoHyphens w:val="0"/>
        <w:spacing w:before="240" w:after="60" w:line="240" w:lineRule="auto"/>
        <w:rPr>
          <w:rFonts w:asciiTheme="majorBidi" w:hAnsiTheme="majorBidi" w:cstheme="majorBidi"/>
          <w:bCs/>
          <w:color w:val="auto"/>
          <w:sz w:val="24"/>
          <w:szCs w:val="24"/>
        </w:rPr>
      </w:pPr>
      <w:r w:rsidRPr="00D1102A">
        <w:rPr>
          <w:rFonts w:asciiTheme="majorBidi" w:hAnsiTheme="majorBidi" w:cstheme="majorBidi"/>
          <w:bCs/>
          <w:color w:val="auto"/>
          <w:sz w:val="24"/>
          <w:szCs w:val="24"/>
        </w:rPr>
        <w:t>Valmistatakse ette</w:t>
      </w:r>
      <w:r w:rsidR="00084941" w:rsidRPr="00D1102A">
        <w:rPr>
          <w:rFonts w:asciiTheme="majorBidi" w:hAnsiTheme="majorBidi" w:cstheme="majorBidi"/>
          <w:bCs/>
          <w:color w:val="auto"/>
          <w:sz w:val="24"/>
          <w:szCs w:val="24"/>
        </w:rPr>
        <w:t xml:space="preserve"> lähteülesanne teenuse pakkuja leidmiseks, et korraldada</w:t>
      </w:r>
      <w:r w:rsidRPr="00D1102A">
        <w:rPr>
          <w:rFonts w:asciiTheme="majorBidi" w:hAnsiTheme="majorBidi" w:cstheme="majorBidi"/>
          <w:bCs/>
          <w:color w:val="auto"/>
          <w:sz w:val="24"/>
          <w:szCs w:val="24"/>
        </w:rPr>
        <w:t xml:space="preserve"> maakondlike arenduskeskuste kodanikuühiskonna konsultantide õppereis Hollandisse. Valik õppereisi sihtriigi osas langetati varasema kogemuse alusel</w:t>
      </w:r>
      <w:r w:rsidR="00B7283E" w:rsidRPr="00D1102A">
        <w:rPr>
          <w:rFonts w:asciiTheme="majorBidi" w:hAnsiTheme="majorBidi" w:cstheme="majorBidi"/>
          <w:bCs/>
          <w:color w:val="auto"/>
          <w:sz w:val="24"/>
          <w:szCs w:val="24"/>
        </w:rPr>
        <w:t>.</w:t>
      </w:r>
      <w:r w:rsidRPr="00D1102A">
        <w:rPr>
          <w:rFonts w:asciiTheme="majorBidi" w:hAnsiTheme="majorBidi" w:cstheme="majorBidi"/>
          <w:bCs/>
          <w:color w:val="auto"/>
          <w:sz w:val="24"/>
          <w:szCs w:val="24"/>
        </w:rPr>
        <w:t xml:space="preserve"> Hollandis </w:t>
      </w:r>
      <w:r w:rsidR="00B7283E" w:rsidRPr="00D1102A">
        <w:rPr>
          <w:rFonts w:asciiTheme="majorBidi" w:hAnsiTheme="majorBidi" w:cstheme="majorBidi"/>
          <w:bCs/>
          <w:color w:val="auto"/>
          <w:sz w:val="24"/>
          <w:szCs w:val="24"/>
        </w:rPr>
        <w:t xml:space="preserve">on väga heal tasemel laste ja noorte kaasamine ning toimiv võrgustik. Õppereisi raames külastatakse lapsi ja noori kaasavaid vabaühendusi ning kohtutakse kaasamist praktiseerivate ühingutega. </w:t>
      </w:r>
      <w:r w:rsidR="00084941" w:rsidRPr="00D1102A">
        <w:rPr>
          <w:rFonts w:asciiTheme="majorBidi" w:hAnsiTheme="majorBidi" w:cstheme="majorBidi"/>
          <w:bCs/>
          <w:color w:val="auto"/>
          <w:sz w:val="24"/>
          <w:szCs w:val="24"/>
        </w:rPr>
        <w:t xml:space="preserve">Õppereisil kogutakse </w:t>
      </w:r>
      <w:r w:rsidR="00B7283E" w:rsidRPr="00D1102A">
        <w:rPr>
          <w:rFonts w:asciiTheme="majorBidi" w:hAnsiTheme="majorBidi" w:cstheme="majorBidi"/>
          <w:bCs/>
          <w:color w:val="auto"/>
          <w:sz w:val="24"/>
          <w:szCs w:val="24"/>
        </w:rPr>
        <w:t xml:space="preserve">sisendit </w:t>
      </w:r>
      <w:r w:rsidR="00084941" w:rsidRPr="00D1102A">
        <w:rPr>
          <w:rFonts w:asciiTheme="majorBidi" w:hAnsiTheme="majorBidi" w:cstheme="majorBidi"/>
          <w:bCs/>
          <w:color w:val="auto"/>
          <w:sz w:val="24"/>
          <w:szCs w:val="24"/>
        </w:rPr>
        <w:t xml:space="preserve">TATi </w:t>
      </w:r>
      <w:r w:rsidR="00B7283E" w:rsidRPr="00D1102A">
        <w:rPr>
          <w:rFonts w:asciiTheme="majorBidi" w:hAnsiTheme="majorBidi" w:cstheme="majorBidi"/>
          <w:bCs/>
          <w:color w:val="auto"/>
          <w:sz w:val="24"/>
          <w:szCs w:val="24"/>
        </w:rPr>
        <w:t>tegevuste</w:t>
      </w:r>
      <w:r w:rsidR="00084941" w:rsidRPr="00D1102A">
        <w:rPr>
          <w:rFonts w:asciiTheme="majorBidi" w:hAnsiTheme="majorBidi" w:cstheme="majorBidi"/>
          <w:bCs/>
          <w:color w:val="auto"/>
          <w:sz w:val="24"/>
          <w:szCs w:val="24"/>
        </w:rPr>
        <w:t xml:space="preserve">: </w:t>
      </w:r>
      <w:r w:rsidR="00084941" w:rsidRPr="00D1102A">
        <w:rPr>
          <w:rStyle w:val="Heading1Char"/>
          <w:rFonts w:asciiTheme="majorBidi" w:hAnsiTheme="majorBidi" w:cstheme="majorBidi"/>
          <w:color w:val="auto"/>
          <w:sz w:val="24"/>
          <w:szCs w:val="24"/>
        </w:rPr>
        <w:t xml:space="preserve">2.1: Süsteemse kogukonnapõhise laste ja noorte kaasamismudeli </w:t>
      </w:r>
      <w:r w:rsidR="00084941" w:rsidRPr="00D1102A">
        <w:rPr>
          <w:rStyle w:val="Heading1Char"/>
          <w:rFonts w:asciiTheme="majorBidi" w:hAnsiTheme="majorBidi" w:cstheme="majorBidi"/>
          <w:color w:val="auto"/>
          <w:sz w:val="24"/>
          <w:szCs w:val="24"/>
        </w:rPr>
        <w:lastRenderedPageBreak/>
        <w:t xml:space="preserve">arendamine, </w:t>
      </w:r>
      <w:r w:rsidR="00084941" w:rsidRPr="00D1102A">
        <w:rPr>
          <w:rFonts w:asciiTheme="majorBidi" w:hAnsiTheme="majorBidi" w:cstheme="majorBidi"/>
          <w:color w:val="auto"/>
          <w:sz w:val="24"/>
          <w:szCs w:val="24"/>
        </w:rPr>
        <w:t xml:space="preserve">2.2.3.1. Maakondlike koolitus- ja arendustegevuste korraldamine ja läbiviimine, 2.2.3.2. Noortele suunatud teadlikkust tõstvate kohtumiste ja sündmuste korraldamine, ettevalmistamiseks ja ellu viimiseks. </w:t>
      </w:r>
      <w:r w:rsidR="00B7283E" w:rsidRPr="00D1102A">
        <w:rPr>
          <w:rFonts w:asciiTheme="majorBidi" w:hAnsiTheme="majorBidi" w:cstheme="majorBidi"/>
          <w:bCs/>
          <w:color w:val="auto"/>
          <w:sz w:val="24"/>
          <w:szCs w:val="24"/>
        </w:rPr>
        <w:t xml:space="preserve">Õppereisi eesmärgiks on luua side Hollandi vabaühendustega, vahetada parimaid praktikaid, luua kontakte rahvusvahelisel tasandil. Õppereisi raames külastatakse laste ja noortega tegelevaid </w:t>
      </w:r>
      <w:r w:rsidR="00084941" w:rsidRPr="00D1102A">
        <w:rPr>
          <w:rFonts w:asciiTheme="majorBidi" w:hAnsiTheme="majorBidi" w:cstheme="majorBidi"/>
          <w:bCs/>
          <w:color w:val="auto"/>
          <w:sz w:val="24"/>
          <w:szCs w:val="24"/>
        </w:rPr>
        <w:t>ühinguid.</w:t>
      </w:r>
    </w:p>
    <w:p w14:paraId="08B82BE8" w14:textId="77777777" w:rsidR="00A5558A" w:rsidRPr="00D1102A" w:rsidRDefault="00A5558A" w:rsidP="00D1102A">
      <w:pPr>
        <w:spacing w:line="240" w:lineRule="auto"/>
        <w:rPr>
          <w:rFonts w:asciiTheme="majorBidi" w:hAnsiTheme="majorBidi" w:cstheme="majorBidi"/>
          <w:b/>
          <w:bCs/>
        </w:rPr>
      </w:pPr>
    </w:p>
    <w:p w14:paraId="28B54ABB" w14:textId="487ADB9C" w:rsidR="00A5558A" w:rsidRPr="00D1102A" w:rsidRDefault="00A5558A" w:rsidP="00D1102A">
      <w:pPr>
        <w:pStyle w:val="ListParagraph"/>
        <w:numPr>
          <w:ilvl w:val="2"/>
          <w:numId w:val="1"/>
        </w:numPr>
        <w:spacing w:line="240" w:lineRule="auto"/>
        <w:rPr>
          <w:rFonts w:asciiTheme="majorBidi" w:hAnsiTheme="majorBidi" w:cstheme="majorBidi"/>
          <w:b/>
          <w:bCs/>
          <w:szCs w:val="24"/>
        </w:rPr>
      </w:pPr>
      <w:r w:rsidRPr="00D1102A">
        <w:rPr>
          <w:rFonts w:asciiTheme="majorBidi" w:hAnsiTheme="majorBidi" w:cstheme="majorBidi"/>
          <w:b/>
          <w:bCs/>
          <w:szCs w:val="24"/>
        </w:rPr>
        <w:t>Arenguprogrammi läbi viimine</w:t>
      </w:r>
    </w:p>
    <w:p w14:paraId="0E17B21B" w14:textId="77777777" w:rsidR="00270AF3" w:rsidRPr="00D1102A" w:rsidRDefault="00270AF3" w:rsidP="00D1102A">
      <w:pPr>
        <w:spacing w:line="240" w:lineRule="auto"/>
        <w:rPr>
          <w:rFonts w:asciiTheme="majorBidi" w:hAnsiTheme="majorBidi" w:cstheme="majorBidi"/>
          <w:b/>
          <w:bCs/>
        </w:rPr>
      </w:pPr>
    </w:p>
    <w:p w14:paraId="681E60E2" w14:textId="57693DF6" w:rsidR="00270AF3" w:rsidRPr="00D1102A" w:rsidRDefault="00270AF3" w:rsidP="00D1102A">
      <w:pPr>
        <w:spacing w:line="240" w:lineRule="auto"/>
        <w:rPr>
          <w:rFonts w:asciiTheme="majorBidi" w:hAnsiTheme="majorBidi" w:cstheme="majorBidi"/>
        </w:rPr>
      </w:pPr>
      <w:r w:rsidRPr="00D1102A">
        <w:rPr>
          <w:rFonts w:asciiTheme="majorBidi" w:hAnsiTheme="majorBidi" w:cstheme="majorBidi"/>
          <w:bCs/>
        </w:rPr>
        <w:t xml:space="preserve">Arenguprogrammi läbiviija leidmiseks korraldatakse riigihange. </w:t>
      </w:r>
      <w:r w:rsidRPr="00D1102A">
        <w:rPr>
          <w:rFonts w:asciiTheme="majorBidi" w:hAnsiTheme="majorBidi" w:cstheme="majorBidi"/>
        </w:rPr>
        <w:t xml:space="preserve">Arenguprogrammi käigus korraldatakse vastavalt kaardistuse tulemusele vajadusel koolitusi, seminare, kohtumisi ja õppereise. </w:t>
      </w:r>
      <w:r w:rsidR="00084941" w:rsidRPr="00D1102A">
        <w:rPr>
          <w:rFonts w:asciiTheme="majorBidi" w:hAnsiTheme="majorBidi" w:cstheme="majorBidi"/>
        </w:rPr>
        <w:t>Arenguprogrammi täpsem sisu selgub programmi valmimisel.</w:t>
      </w:r>
    </w:p>
    <w:p w14:paraId="7818BD71" w14:textId="77777777" w:rsidR="00270AF3" w:rsidRPr="00D1102A" w:rsidRDefault="00270AF3" w:rsidP="00D1102A">
      <w:pPr>
        <w:spacing w:line="240" w:lineRule="auto"/>
        <w:rPr>
          <w:rFonts w:asciiTheme="majorBidi" w:hAnsiTheme="majorBidi" w:cstheme="majorBidi"/>
          <w:b/>
          <w:bCs/>
        </w:rPr>
      </w:pPr>
    </w:p>
    <w:p w14:paraId="1B1C3394" w14:textId="23F375BB" w:rsidR="00270AF3" w:rsidRPr="00D1102A" w:rsidRDefault="00270AF3" w:rsidP="00D1102A">
      <w:pPr>
        <w:pStyle w:val="ListParagraph"/>
        <w:numPr>
          <w:ilvl w:val="2"/>
          <w:numId w:val="1"/>
        </w:numPr>
        <w:spacing w:line="240" w:lineRule="auto"/>
        <w:rPr>
          <w:rFonts w:asciiTheme="majorBidi" w:hAnsiTheme="majorBidi" w:cstheme="majorBidi"/>
          <w:b/>
          <w:bCs/>
          <w:szCs w:val="24"/>
        </w:rPr>
      </w:pPr>
      <w:r w:rsidRPr="00D1102A">
        <w:rPr>
          <w:rFonts w:asciiTheme="majorBidi" w:hAnsiTheme="majorBidi" w:cstheme="majorBidi"/>
          <w:b/>
          <w:bCs/>
          <w:szCs w:val="24"/>
        </w:rPr>
        <w:t>Arenguprogrammi hindamine</w:t>
      </w:r>
    </w:p>
    <w:p w14:paraId="02FC68A0" w14:textId="77777777" w:rsidR="00270AF3" w:rsidRPr="00D1102A" w:rsidRDefault="00270AF3" w:rsidP="00D1102A">
      <w:pPr>
        <w:spacing w:line="240" w:lineRule="auto"/>
        <w:rPr>
          <w:rFonts w:asciiTheme="majorBidi" w:hAnsiTheme="majorBidi" w:cstheme="majorBidi"/>
          <w:b/>
          <w:bCs/>
        </w:rPr>
      </w:pPr>
    </w:p>
    <w:p w14:paraId="0A00F1D7" w14:textId="4D4650D2" w:rsidR="00270AF3" w:rsidRPr="00D1102A" w:rsidRDefault="00270AF3" w:rsidP="00D1102A">
      <w:pPr>
        <w:spacing w:line="240" w:lineRule="auto"/>
        <w:rPr>
          <w:rFonts w:asciiTheme="majorBidi" w:hAnsiTheme="majorBidi" w:cstheme="majorBidi"/>
        </w:rPr>
      </w:pPr>
      <w:r w:rsidRPr="00D1102A">
        <w:rPr>
          <w:rFonts w:asciiTheme="majorBidi" w:hAnsiTheme="majorBidi" w:cstheme="majorBidi"/>
        </w:rPr>
        <w:t>Arenguprogrammi hindamine saab toimuda peale programmi läbi viimist, hindamist 2024 aastal ei toimu.</w:t>
      </w:r>
    </w:p>
    <w:p w14:paraId="3647B790" w14:textId="77777777" w:rsidR="005B5E78" w:rsidRPr="00D1102A" w:rsidRDefault="005B5E78" w:rsidP="00D1102A">
      <w:pPr>
        <w:pStyle w:val="ListParagraph"/>
        <w:spacing w:line="240" w:lineRule="auto"/>
        <w:ind w:left="1080"/>
        <w:outlineLvl w:val="0"/>
        <w:rPr>
          <w:rFonts w:asciiTheme="majorBidi" w:hAnsiTheme="majorBidi" w:cstheme="majorBidi"/>
          <w:bCs/>
          <w:szCs w:val="24"/>
        </w:rPr>
      </w:pPr>
    </w:p>
    <w:p w14:paraId="79688C99" w14:textId="77777777" w:rsidR="00CF6EB2" w:rsidRPr="00D1102A" w:rsidRDefault="00CF6EB2" w:rsidP="00D1102A">
      <w:pPr>
        <w:spacing w:line="240" w:lineRule="auto"/>
        <w:outlineLvl w:val="0"/>
        <w:rPr>
          <w:rFonts w:asciiTheme="majorBidi" w:hAnsiTheme="majorBidi" w:cstheme="majorBidi"/>
          <w:bCs/>
        </w:rPr>
      </w:pPr>
    </w:p>
    <w:p w14:paraId="033C905E" w14:textId="77777777" w:rsidR="00FE03F5" w:rsidRPr="00D1102A" w:rsidRDefault="00FE03F5" w:rsidP="00D1102A">
      <w:pPr>
        <w:spacing w:line="240" w:lineRule="auto"/>
        <w:outlineLvl w:val="0"/>
        <w:rPr>
          <w:rFonts w:asciiTheme="majorBidi" w:hAnsiTheme="majorBidi" w:cstheme="majorBidi"/>
          <w:b/>
        </w:rPr>
      </w:pPr>
      <w:r w:rsidRPr="00D1102A">
        <w:rPr>
          <w:rFonts w:asciiTheme="majorBidi" w:hAnsiTheme="majorBidi" w:cstheme="majorBidi"/>
          <w:b/>
        </w:rPr>
        <w:t>Tabel 1. Tegevustega seotud näitajad</w:t>
      </w:r>
    </w:p>
    <w:p w14:paraId="457B19C7"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701"/>
        <w:gridCol w:w="1559"/>
        <w:gridCol w:w="2551"/>
      </w:tblGrid>
      <w:tr w:rsidR="002B35D6" w:rsidRPr="00D1102A" w14:paraId="47762E33" w14:textId="77777777" w:rsidTr="00A95154">
        <w:trPr>
          <w:trHeight w:val="670"/>
        </w:trPr>
        <w:tc>
          <w:tcPr>
            <w:tcW w:w="1305" w:type="dxa"/>
          </w:tcPr>
          <w:p w14:paraId="1E98B78A" w14:textId="77777777" w:rsidR="00FE03F5" w:rsidRPr="00D1102A" w:rsidRDefault="00FE03F5" w:rsidP="00D1102A">
            <w:pPr>
              <w:autoSpaceDE w:val="0"/>
              <w:autoSpaceDN w:val="0"/>
              <w:adjustRightInd w:val="0"/>
              <w:spacing w:line="240" w:lineRule="auto"/>
              <w:rPr>
                <w:rFonts w:asciiTheme="majorBidi" w:hAnsiTheme="majorBidi" w:cstheme="majorBidi"/>
                <w:b/>
                <w:bCs/>
              </w:rPr>
            </w:pPr>
            <w:bookmarkStart w:id="0" w:name="_Hlk146116526"/>
            <w:r w:rsidRPr="00D1102A">
              <w:rPr>
                <w:rFonts w:asciiTheme="majorBidi" w:hAnsiTheme="majorBidi" w:cstheme="majorBidi"/>
                <w:b/>
                <w:bCs/>
              </w:rPr>
              <w:t>Toetatava tegevuse näitaja nimetus</w:t>
            </w:r>
            <w:r w:rsidRPr="00D1102A">
              <w:rPr>
                <w:rStyle w:val="FootnoteReference"/>
                <w:rFonts w:asciiTheme="majorBidi" w:hAnsiTheme="majorBidi" w:cstheme="majorBidi"/>
                <w:b/>
                <w:bCs/>
              </w:rPr>
              <w:footnoteReference w:id="2"/>
            </w:r>
          </w:p>
        </w:tc>
        <w:tc>
          <w:tcPr>
            <w:tcW w:w="992" w:type="dxa"/>
          </w:tcPr>
          <w:p w14:paraId="63C5E992"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 (2024)</w:t>
            </w:r>
          </w:p>
        </w:tc>
        <w:tc>
          <w:tcPr>
            <w:tcW w:w="993" w:type="dxa"/>
          </w:tcPr>
          <w:p w14:paraId="3A9E67F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6A077E71"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701" w:type="dxa"/>
            <w:hideMark/>
          </w:tcPr>
          <w:p w14:paraId="3C8A9DBA" w14:textId="1BBD6D00"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Alategevuse väljundid</w:t>
            </w:r>
            <w:r w:rsidRPr="00D1102A">
              <w:rPr>
                <w:rStyle w:val="FootnoteReference"/>
                <w:rFonts w:asciiTheme="majorBidi" w:hAnsiTheme="majorBidi" w:cstheme="majorBidi"/>
                <w:b/>
                <w:bCs/>
              </w:rPr>
              <w:footnoteReference w:id="3"/>
            </w:r>
            <w:r w:rsidRPr="00D1102A">
              <w:rPr>
                <w:rFonts w:asciiTheme="majorBidi" w:hAnsiTheme="majorBidi" w:cstheme="majorBidi"/>
                <w:b/>
                <w:bCs/>
              </w:rPr>
              <w:t xml:space="preserve"> tegevuskava perioodil</w:t>
            </w:r>
          </w:p>
        </w:tc>
        <w:tc>
          <w:tcPr>
            <w:tcW w:w="1559" w:type="dxa"/>
            <w:hideMark/>
          </w:tcPr>
          <w:p w14:paraId="2CD1B8E5" w14:textId="7A0DB71D" w:rsidR="00FE03F5" w:rsidRPr="00D1102A" w:rsidRDefault="0063139A"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Alategevuste väljundite arv</w:t>
            </w:r>
            <w:r w:rsidR="00FE03F5" w:rsidRPr="00D1102A">
              <w:rPr>
                <w:rFonts w:asciiTheme="majorBidi" w:hAnsiTheme="majorBidi" w:cstheme="majorBidi"/>
                <w:b/>
                <w:bCs/>
              </w:rPr>
              <w:t xml:space="preserve"> tegevuskava perioodil</w:t>
            </w:r>
          </w:p>
        </w:tc>
        <w:tc>
          <w:tcPr>
            <w:tcW w:w="2551" w:type="dxa"/>
          </w:tcPr>
          <w:p w14:paraId="04AEF83F" w14:textId="3CC74465"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Selgitus</w:t>
            </w:r>
            <w:r w:rsidR="00A03D52" w:rsidRPr="00D1102A">
              <w:rPr>
                <w:rFonts w:asciiTheme="majorBidi" w:hAnsiTheme="majorBidi" w:cstheme="majorBidi"/>
                <w:b/>
                <w:bCs/>
              </w:rPr>
              <w:t xml:space="preserve"> </w:t>
            </w:r>
          </w:p>
        </w:tc>
      </w:tr>
      <w:bookmarkEnd w:id="0"/>
      <w:tr w:rsidR="002B35D6" w:rsidRPr="00D1102A" w14:paraId="65148B1F" w14:textId="77777777" w:rsidTr="00A95154">
        <w:trPr>
          <w:trHeight w:val="363"/>
        </w:trPr>
        <w:tc>
          <w:tcPr>
            <w:tcW w:w="1305" w:type="dxa"/>
            <w:vMerge w:val="restart"/>
          </w:tcPr>
          <w:p w14:paraId="1BD745E7" w14:textId="77777777" w:rsidR="002E5053" w:rsidRPr="00D1102A" w:rsidRDefault="002E5053" w:rsidP="00D1102A">
            <w:pPr>
              <w:autoSpaceDE w:val="0"/>
              <w:autoSpaceDN w:val="0"/>
              <w:adjustRightInd w:val="0"/>
              <w:spacing w:line="240" w:lineRule="auto"/>
              <w:jc w:val="center"/>
              <w:rPr>
                <w:rFonts w:asciiTheme="majorBidi" w:hAnsiTheme="majorBidi" w:cstheme="majorBidi"/>
              </w:rPr>
            </w:pPr>
          </w:p>
          <w:p w14:paraId="2CA16D8F" w14:textId="017039FC" w:rsidR="002E5053" w:rsidRPr="00D1102A" w:rsidRDefault="002E5053"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Koolitustel osalejate arv</w:t>
            </w:r>
          </w:p>
        </w:tc>
        <w:tc>
          <w:tcPr>
            <w:tcW w:w="992" w:type="dxa"/>
            <w:vMerge w:val="restart"/>
          </w:tcPr>
          <w:p w14:paraId="47F4DB18" w14:textId="67020180" w:rsidR="002E5053" w:rsidRPr="00D1102A" w:rsidRDefault="002E5053"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20</w:t>
            </w:r>
          </w:p>
        </w:tc>
        <w:tc>
          <w:tcPr>
            <w:tcW w:w="993" w:type="dxa"/>
            <w:vMerge w:val="restart"/>
          </w:tcPr>
          <w:p w14:paraId="178600E3" w14:textId="5489A641" w:rsidR="002E5053" w:rsidRPr="00D1102A" w:rsidRDefault="002E5053"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60</w:t>
            </w:r>
          </w:p>
        </w:tc>
        <w:tc>
          <w:tcPr>
            <w:tcW w:w="1701" w:type="dxa"/>
          </w:tcPr>
          <w:p w14:paraId="0ADCBDCA" w14:textId="71608323" w:rsidR="002E5053" w:rsidRPr="00D1102A" w:rsidRDefault="00887072"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w:t>
            </w:r>
            <w:r w:rsidR="00B22D3E" w:rsidRPr="00D1102A">
              <w:rPr>
                <w:rFonts w:asciiTheme="majorBidi" w:hAnsiTheme="majorBidi" w:cstheme="majorBidi"/>
              </w:rPr>
              <w:t>t</w:t>
            </w:r>
            <w:r w:rsidRPr="00D1102A">
              <w:rPr>
                <w:rFonts w:asciiTheme="majorBidi" w:hAnsiTheme="majorBidi" w:cstheme="majorBidi"/>
              </w:rPr>
              <w:t>el osalejate arv</w:t>
            </w:r>
          </w:p>
        </w:tc>
        <w:tc>
          <w:tcPr>
            <w:tcW w:w="1559" w:type="dxa"/>
          </w:tcPr>
          <w:p w14:paraId="5169A022" w14:textId="60F2B31A" w:rsidR="002E5053" w:rsidRPr="00D1102A" w:rsidRDefault="00270AF3"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20</w:t>
            </w:r>
          </w:p>
        </w:tc>
        <w:tc>
          <w:tcPr>
            <w:tcW w:w="2551" w:type="dxa"/>
          </w:tcPr>
          <w:p w14:paraId="5C312991" w14:textId="729410A3" w:rsidR="002E5053" w:rsidRPr="00D1102A" w:rsidRDefault="000F7F07" w:rsidP="00D1102A">
            <w:pPr>
              <w:autoSpaceDE w:val="0"/>
              <w:autoSpaceDN w:val="0"/>
              <w:adjustRightInd w:val="0"/>
              <w:spacing w:line="240" w:lineRule="auto"/>
              <w:jc w:val="left"/>
              <w:rPr>
                <w:rFonts w:asciiTheme="majorBidi" w:hAnsiTheme="majorBidi" w:cstheme="majorBidi"/>
              </w:rPr>
            </w:pPr>
            <w:r w:rsidRPr="00D1102A">
              <w:rPr>
                <w:rFonts w:asciiTheme="majorBidi" w:hAnsiTheme="majorBidi" w:cstheme="majorBidi"/>
                <w:bCs/>
              </w:rPr>
              <w:t>Maakondlike kodanikuühiskonna konsultantide osaluskordade arv arenguprogrammis</w:t>
            </w:r>
            <w:r w:rsidR="00270AF3" w:rsidRPr="00D1102A">
              <w:rPr>
                <w:rFonts w:asciiTheme="majorBidi" w:hAnsiTheme="majorBidi" w:cstheme="majorBidi"/>
                <w:bCs/>
              </w:rPr>
              <w:t>.</w:t>
            </w:r>
          </w:p>
        </w:tc>
      </w:tr>
      <w:tr w:rsidR="00887072" w:rsidRPr="00D1102A" w14:paraId="2D75DD02" w14:textId="77777777" w:rsidTr="00A95154">
        <w:trPr>
          <w:trHeight w:val="294"/>
        </w:trPr>
        <w:tc>
          <w:tcPr>
            <w:tcW w:w="1305" w:type="dxa"/>
            <w:vMerge/>
          </w:tcPr>
          <w:p w14:paraId="5E9D8301"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992" w:type="dxa"/>
            <w:vMerge/>
          </w:tcPr>
          <w:p w14:paraId="5BB79DB8"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993" w:type="dxa"/>
            <w:vMerge/>
          </w:tcPr>
          <w:p w14:paraId="2E2A8C50"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1701" w:type="dxa"/>
          </w:tcPr>
          <w:p w14:paraId="3155A531" w14:textId="6AB87F60" w:rsidR="00887072" w:rsidRPr="00D1102A" w:rsidRDefault="000F7F0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Õ</w:t>
            </w:r>
            <w:r w:rsidR="00887072" w:rsidRPr="00D1102A">
              <w:rPr>
                <w:rFonts w:asciiTheme="majorBidi" w:hAnsiTheme="majorBidi" w:cstheme="majorBidi"/>
              </w:rPr>
              <w:t>ppereis</w:t>
            </w:r>
          </w:p>
        </w:tc>
        <w:tc>
          <w:tcPr>
            <w:tcW w:w="1559" w:type="dxa"/>
          </w:tcPr>
          <w:p w14:paraId="3DAF1142" w14:textId="21FB380C" w:rsidR="00887072" w:rsidRPr="00D1102A" w:rsidRDefault="00887072"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1</w:t>
            </w:r>
          </w:p>
        </w:tc>
        <w:tc>
          <w:tcPr>
            <w:tcW w:w="2551" w:type="dxa"/>
          </w:tcPr>
          <w:p w14:paraId="0035DD42" w14:textId="4478C444" w:rsidR="00887072" w:rsidRPr="00D1102A" w:rsidRDefault="00277610"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Kodanikuühiskonna konsultantide</w:t>
            </w:r>
            <w:r w:rsidR="000708EC" w:rsidRPr="00D1102A">
              <w:rPr>
                <w:rFonts w:asciiTheme="majorBidi" w:hAnsiTheme="majorBidi" w:cstheme="majorBidi"/>
              </w:rPr>
              <w:t xml:space="preserve"> ja </w:t>
            </w:r>
            <w:r w:rsidR="000708EC" w:rsidRPr="00D1102A">
              <w:rPr>
                <w:rFonts w:asciiTheme="majorBidi" w:hAnsiTheme="majorBidi" w:cstheme="majorBidi"/>
                <w:bCs/>
              </w:rPr>
              <w:t>maakondliku kodanikuühiskonna nõustamisteenusega seotud isikute</w:t>
            </w:r>
            <w:r w:rsidRPr="00D1102A">
              <w:rPr>
                <w:rFonts w:asciiTheme="majorBidi" w:hAnsiTheme="majorBidi" w:cstheme="majorBidi"/>
              </w:rPr>
              <w:t xml:space="preserve"> õppereis</w:t>
            </w:r>
            <w:r w:rsidR="00270AF3" w:rsidRPr="00D1102A">
              <w:rPr>
                <w:rFonts w:asciiTheme="majorBidi" w:hAnsiTheme="majorBidi" w:cstheme="majorBidi"/>
              </w:rPr>
              <w:t>.</w:t>
            </w:r>
          </w:p>
        </w:tc>
      </w:tr>
    </w:tbl>
    <w:p w14:paraId="1DAC59C4" w14:textId="77777777" w:rsidR="00FE03F5" w:rsidRPr="00D1102A" w:rsidRDefault="00FE03F5" w:rsidP="00D1102A">
      <w:pPr>
        <w:spacing w:line="240" w:lineRule="auto"/>
        <w:outlineLvl w:val="0"/>
        <w:rPr>
          <w:rFonts w:asciiTheme="majorBidi" w:hAnsiTheme="majorBidi" w:cstheme="majorBidi"/>
          <w:bCs/>
        </w:rPr>
      </w:pPr>
    </w:p>
    <w:p w14:paraId="77FC735D" w14:textId="1935CC22" w:rsidR="00FE03F5" w:rsidRPr="00D1102A" w:rsidRDefault="00FE03F5" w:rsidP="00D1102A">
      <w:pPr>
        <w:pStyle w:val="Heading1"/>
        <w:keepLines w:val="0"/>
        <w:widowControl/>
        <w:numPr>
          <w:ilvl w:val="0"/>
          <w:numId w:val="1"/>
        </w:numPr>
        <w:tabs>
          <w:tab w:val="clear" w:pos="720"/>
          <w:tab w:val="num" w:pos="426"/>
        </w:tabs>
        <w:suppressAutoHyphens w:val="0"/>
        <w:spacing w:after="60" w:line="240" w:lineRule="auto"/>
        <w:ind w:hanging="720"/>
        <w:jc w:val="left"/>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Toetatav tegevus 2.2: </w:t>
      </w:r>
      <w:r w:rsidR="00012400" w:rsidRPr="00D1102A">
        <w:rPr>
          <w:rFonts w:asciiTheme="majorBidi" w:hAnsiTheme="majorBidi" w:cstheme="majorBidi"/>
          <w:b/>
          <w:bCs/>
          <w:color w:val="auto"/>
          <w:sz w:val="24"/>
          <w:szCs w:val="24"/>
        </w:rPr>
        <w:t>Lastega ja noortega tegelevate vabaühenduste kaasamis- ja osalemisoskuste tõstmine</w:t>
      </w:r>
      <w:r w:rsidRPr="00D1102A">
        <w:rPr>
          <w:rFonts w:asciiTheme="majorBidi" w:hAnsiTheme="majorBidi" w:cstheme="majorBidi"/>
          <w:b/>
          <w:bCs/>
          <w:color w:val="auto"/>
          <w:sz w:val="24"/>
          <w:szCs w:val="24"/>
        </w:rPr>
        <w:t xml:space="preserve">. </w:t>
      </w:r>
    </w:p>
    <w:p w14:paraId="2AE2BBB6" w14:textId="7F375FFA" w:rsidR="00FE03F5" w:rsidRPr="00D1102A" w:rsidRDefault="00ED1E4E" w:rsidP="00D1102A">
      <w:pPr>
        <w:pStyle w:val="Heading2"/>
        <w:keepLines w:val="0"/>
        <w:widowControl/>
        <w:numPr>
          <w:ilvl w:val="1"/>
          <w:numId w:val="1"/>
        </w:numPr>
        <w:tabs>
          <w:tab w:val="left" w:pos="426"/>
        </w:tabs>
        <w:suppressAutoHyphens w:val="0"/>
        <w:spacing w:before="240" w:after="60" w:line="240" w:lineRule="auto"/>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 </w:t>
      </w:r>
      <w:r w:rsidR="00B9596B" w:rsidRPr="00D1102A">
        <w:rPr>
          <w:rFonts w:asciiTheme="majorBidi" w:hAnsiTheme="majorBidi" w:cstheme="majorBidi"/>
          <w:b/>
          <w:bCs/>
          <w:color w:val="auto"/>
          <w:sz w:val="24"/>
          <w:szCs w:val="24"/>
        </w:rPr>
        <w:t xml:space="preserve">Alategevus: </w:t>
      </w:r>
      <w:r w:rsidR="005B56F8" w:rsidRPr="00D1102A">
        <w:rPr>
          <w:rFonts w:asciiTheme="majorBidi" w:hAnsiTheme="majorBidi" w:cstheme="majorBidi"/>
          <w:b/>
          <w:bCs/>
          <w:color w:val="auto"/>
          <w:sz w:val="24"/>
          <w:szCs w:val="24"/>
        </w:rPr>
        <w:t>Maakondlike koolitus- ja arendustegevuste korraldamine ja läbi viimine</w:t>
      </w:r>
    </w:p>
    <w:p w14:paraId="0AFF8FF8" w14:textId="77777777" w:rsidR="0091653B" w:rsidRPr="00D1102A" w:rsidRDefault="0091653B" w:rsidP="00D1102A">
      <w:pPr>
        <w:spacing w:line="240" w:lineRule="auto"/>
        <w:rPr>
          <w:rFonts w:asciiTheme="majorBidi" w:hAnsiTheme="majorBidi" w:cstheme="majorBidi"/>
        </w:rPr>
      </w:pPr>
    </w:p>
    <w:p w14:paraId="30A9957A" w14:textId="3B7B0AFA" w:rsidR="004D3ACE" w:rsidRPr="00D1102A" w:rsidRDefault="00ED1E4E" w:rsidP="00D1102A">
      <w:pPr>
        <w:spacing w:line="240" w:lineRule="auto"/>
        <w:rPr>
          <w:rFonts w:asciiTheme="majorBidi" w:hAnsiTheme="majorBidi" w:cstheme="majorBidi"/>
          <w:bCs/>
        </w:rPr>
      </w:pPr>
      <w:r w:rsidRPr="00D1102A">
        <w:rPr>
          <w:rFonts w:asciiTheme="majorBidi" w:hAnsiTheme="majorBidi" w:cstheme="majorBidi"/>
        </w:rPr>
        <w:t>Koostöös maakondlike arenduskeskuste kodanikuühiskonna konsultantide ja maakondliku kodanikuühiskonna nõustamisteenusega seotud isikutega tehakse ettevalmistusi iga maakonna vabaühenduste arenguvajadus</w:t>
      </w:r>
      <w:r w:rsidR="0091653B" w:rsidRPr="00D1102A">
        <w:rPr>
          <w:rFonts w:asciiTheme="majorBidi" w:hAnsiTheme="majorBidi" w:cstheme="majorBidi"/>
        </w:rPr>
        <w:t>te kaardistamiseks. Selleks püütakse analüüsida</w:t>
      </w:r>
      <w:r w:rsidRPr="00D1102A">
        <w:rPr>
          <w:rFonts w:asciiTheme="majorBidi" w:hAnsiTheme="majorBidi" w:cstheme="majorBidi"/>
        </w:rPr>
        <w:t xml:space="preserve"> noorte</w:t>
      </w:r>
      <w:r w:rsidR="0091653B" w:rsidRPr="00D1102A">
        <w:rPr>
          <w:rFonts w:asciiTheme="majorBidi" w:hAnsiTheme="majorBidi" w:cstheme="majorBidi"/>
        </w:rPr>
        <w:t xml:space="preserve"> ja laste </w:t>
      </w:r>
      <w:r w:rsidRPr="00D1102A">
        <w:rPr>
          <w:rFonts w:asciiTheme="majorBidi" w:hAnsiTheme="majorBidi" w:cstheme="majorBidi"/>
        </w:rPr>
        <w:t xml:space="preserve"> kaasamiseks praegu kasutatavaid meetodeid ja hinnata nende meetodite tõhusust. </w:t>
      </w:r>
      <w:r w:rsidR="004D3ACE" w:rsidRPr="00D1102A">
        <w:rPr>
          <w:rFonts w:asciiTheme="majorBidi" w:hAnsiTheme="majorBidi" w:cstheme="majorBidi"/>
          <w:bCs/>
        </w:rPr>
        <w:t xml:space="preserve">Vajadusel </w:t>
      </w:r>
      <w:r w:rsidR="004D3ACE" w:rsidRPr="00D1102A">
        <w:rPr>
          <w:rFonts w:asciiTheme="majorBidi" w:hAnsiTheme="majorBidi" w:cstheme="majorBidi"/>
          <w:bCs/>
        </w:rPr>
        <w:lastRenderedPageBreak/>
        <w:t xml:space="preserve">moodustatakse töögrupp ja kaasatakse ekspert </w:t>
      </w:r>
      <w:r w:rsidR="004D3ACE" w:rsidRPr="00D1102A">
        <w:rPr>
          <w:rFonts w:asciiTheme="majorBidi" w:hAnsiTheme="majorBidi" w:cstheme="majorBidi"/>
        </w:rPr>
        <w:t>maakondade vabaühenduste arenguvajaduste kaardistamiseks.</w:t>
      </w:r>
    </w:p>
    <w:p w14:paraId="7C17536E" w14:textId="03AD768C" w:rsidR="00ED1E4E" w:rsidRPr="00D1102A" w:rsidRDefault="0091653B" w:rsidP="00D1102A">
      <w:pPr>
        <w:spacing w:line="240" w:lineRule="auto"/>
        <w:rPr>
          <w:rFonts w:asciiTheme="majorBidi" w:hAnsiTheme="majorBidi" w:cstheme="majorBidi"/>
        </w:rPr>
      </w:pPr>
      <w:r w:rsidRPr="00D1102A">
        <w:rPr>
          <w:rFonts w:asciiTheme="majorBidi" w:hAnsiTheme="majorBidi" w:cstheme="majorBidi"/>
        </w:rPr>
        <w:t xml:space="preserve">Ettevalmistuse etapis </w:t>
      </w:r>
      <w:r w:rsidR="00ED1E4E" w:rsidRPr="00D1102A">
        <w:rPr>
          <w:rFonts w:asciiTheme="majorBidi" w:hAnsiTheme="majorBidi" w:cstheme="majorBidi"/>
        </w:rPr>
        <w:t>korraldatakse maakondades ja kohalikes omavalitsustes vabaühenduste ümarlaudu</w:t>
      </w:r>
      <w:r w:rsidRPr="00D1102A">
        <w:rPr>
          <w:rFonts w:asciiTheme="majorBidi" w:hAnsiTheme="majorBidi" w:cstheme="majorBidi"/>
        </w:rPr>
        <w:t xml:space="preserve"> ja muid kohtumisi</w:t>
      </w:r>
      <w:r w:rsidR="00ED1E4E" w:rsidRPr="00D1102A">
        <w:rPr>
          <w:rFonts w:asciiTheme="majorBidi" w:hAnsiTheme="majorBidi" w:cstheme="majorBidi"/>
        </w:rPr>
        <w:t xml:space="preserve"> info kogumiseks</w:t>
      </w:r>
      <w:r w:rsidRPr="00D1102A">
        <w:rPr>
          <w:rFonts w:asciiTheme="majorBidi" w:hAnsiTheme="majorBidi" w:cstheme="majorBidi"/>
        </w:rPr>
        <w:t xml:space="preserve">. Infot kogutakse, et saada selgust </w:t>
      </w:r>
      <w:r w:rsidR="009E4187" w:rsidRPr="00D1102A">
        <w:rPr>
          <w:rFonts w:asciiTheme="majorBidi" w:hAnsiTheme="majorBidi" w:cstheme="majorBidi"/>
        </w:rPr>
        <w:t>vabaühenduste arenguvajadus</w:t>
      </w:r>
      <w:r w:rsidRPr="00D1102A">
        <w:rPr>
          <w:rFonts w:asciiTheme="majorBidi" w:hAnsiTheme="majorBidi" w:cstheme="majorBidi"/>
        </w:rPr>
        <w:t>te kohta</w:t>
      </w:r>
      <w:r w:rsidR="009E4187" w:rsidRPr="00D1102A">
        <w:rPr>
          <w:rFonts w:asciiTheme="majorBidi" w:hAnsiTheme="majorBidi" w:cstheme="majorBidi"/>
        </w:rPr>
        <w:t>, et toetada nende jätkusuutlikkust ja võimekust lapsi ja noori oma tegevustesse kaasata.</w:t>
      </w:r>
      <w:r w:rsidR="00165CC1" w:rsidRPr="00D1102A">
        <w:rPr>
          <w:rFonts w:asciiTheme="majorBidi" w:hAnsiTheme="majorBidi" w:cstheme="majorBidi"/>
        </w:rPr>
        <w:t xml:space="preserve"> Kohtumistel ja ümarlaudades maakondlike vabaühendustega kogutakse sisendit koolitus- ja arendustegevuste programmi välja töötamiseks.</w:t>
      </w:r>
    </w:p>
    <w:p w14:paraId="31267449" w14:textId="77777777" w:rsidR="0091653B" w:rsidRPr="00D1102A" w:rsidRDefault="0091653B" w:rsidP="00D1102A">
      <w:pPr>
        <w:spacing w:line="240" w:lineRule="auto"/>
        <w:rPr>
          <w:rFonts w:asciiTheme="majorBidi" w:hAnsiTheme="majorBidi" w:cstheme="majorBidi"/>
          <w:i/>
        </w:rPr>
      </w:pPr>
    </w:p>
    <w:p w14:paraId="2B47F1E2" w14:textId="1DEE6963" w:rsidR="0091653B" w:rsidRPr="00D1102A" w:rsidRDefault="0091653B" w:rsidP="00D1102A">
      <w:pPr>
        <w:spacing w:line="240" w:lineRule="auto"/>
        <w:rPr>
          <w:rFonts w:asciiTheme="majorBidi" w:hAnsiTheme="majorBidi" w:cstheme="majorBidi"/>
        </w:rPr>
      </w:pPr>
      <w:r w:rsidRPr="00D1102A">
        <w:rPr>
          <w:rFonts w:asciiTheme="majorBidi" w:hAnsiTheme="majorBidi" w:cstheme="majorBidi"/>
        </w:rPr>
        <w:t>Ettevalmistused koolitus- ja arendustegevuste programmi välja töötamiseks vabaühendustele.</w:t>
      </w:r>
    </w:p>
    <w:p w14:paraId="62960ABA" w14:textId="77777777" w:rsidR="0091653B" w:rsidRPr="00D1102A" w:rsidRDefault="0091653B" w:rsidP="00D1102A">
      <w:pPr>
        <w:spacing w:line="240" w:lineRule="auto"/>
        <w:rPr>
          <w:rFonts w:asciiTheme="majorBidi" w:hAnsiTheme="majorBidi" w:cstheme="majorBidi"/>
        </w:rPr>
      </w:pPr>
    </w:p>
    <w:p w14:paraId="266C0719" w14:textId="77777777" w:rsidR="00FE03F5" w:rsidRPr="00D1102A" w:rsidRDefault="00FE03F5" w:rsidP="00D1102A">
      <w:pPr>
        <w:spacing w:line="240" w:lineRule="auto"/>
        <w:outlineLvl w:val="0"/>
        <w:rPr>
          <w:rFonts w:asciiTheme="majorBidi" w:hAnsiTheme="majorBidi" w:cstheme="majorBidi"/>
          <w:bCs/>
        </w:rPr>
      </w:pPr>
    </w:p>
    <w:p w14:paraId="19591EFA" w14:textId="77777777" w:rsidR="00FE03F5" w:rsidRPr="00D1102A" w:rsidRDefault="00FE03F5" w:rsidP="00D1102A">
      <w:pPr>
        <w:spacing w:line="240" w:lineRule="auto"/>
        <w:outlineLvl w:val="0"/>
        <w:rPr>
          <w:rFonts w:asciiTheme="majorBidi" w:hAnsiTheme="majorBidi" w:cstheme="majorBidi"/>
          <w:b/>
        </w:rPr>
      </w:pPr>
      <w:bookmarkStart w:id="1" w:name="_Hlk146447948"/>
      <w:r w:rsidRPr="00D1102A">
        <w:rPr>
          <w:rFonts w:asciiTheme="majorBidi" w:hAnsiTheme="majorBidi" w:cstheme="majorBidi"/>
          <w:b/>
        </w:rPr>
        <w:t>Tabel 2. Tegevustega seotud näitajad</w:t>
      </w:r>
    </w:p>
    <w:bookmarkEnd w:id="1"/>
    <w:p w14:paraId="0B062EF2"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842"/>
        <w:gridCol w:w="1560"/>
        <w:gridCol w:w="2409"/>
      </w:tblGrid>
      <w:tr w:rsidR="002B35D6" w:rsidRPr="00D1102A" w14:paraId="33B8B16D" w14:textId="77777777" w:rsidTr="00262ADC">
        <w:trPr>
          <w:trHeight w:val="670"/>
        </w:trPr>
        <w:tc>
          <w:tcPr>
            <w:tcW w:w="1305" w:type="dxa"/>
          </w:tcPr>
          <w:p w14:paraId="0743B064"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Toetatava tegevuse näitaja nimetus</w:t>
            </w:r>
          </w:p>
        </w:tc>
        <w:tc>
          <w:tcPr>
            <w:tcW w:w="992" w:type="dxa"/>
          </w:tcPr>
          <w:p w14:paraId="4AD2A1D4"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 (2024)</w:t>
            </w:r>
          </w:p>
        </w:tc>
        <w:tc>
          <w:tcPr>
            <w:tcW w:w="993" w:type="dxa"/>
          </w:tcPr>
          <w:p w14:paraId="0D971005"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774E46A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842" w:type="dxa"/>
            <w:hideMark/>
          </w:tcPr>
          <w:p w14:paraId="10F9C01A" w14:textId="4D3DBAB6"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w:t>
            </w:r>
            <w:r w:rsidR="00794AE5" w:rsidRPr="00D1102A">
              <w:rPr>
                <w:rFonts w:asciiTheme="majorBidi" w:hAnsiTheme="majorBidi" w:cstheme="majorBidi"/>
                <w:b/>
                <w:bCs/>
              </w:rPr>
              <w:t>t</w:t>
            </w:r>
            <w:r w:rsidRPr="00D1102A">
              <w:rPr>
                <w:rFonts w:asciiTheme="majorBidi" w:hAnsiTheme="majorBidi" w:cstheme="majorBidi"/>
                <w:b/>
                <w:bCs/>
              </w:rPr>
              <w:t>e väljundid tegevuskava perioodil</w:t>
            </w:r>
          </w:p>
        </w:tc>
        <w:tc>
          <w:tcPr>
            <w:tcW w:w="1560" w:type="dxa"/>
            <w:hideMark/>
          </w:tcPr>
          <w:p w14:paraId="584B5EEA" w14:textId="236B7C20" w:rsidR="00FE03F5" w:rsidRPr="00D1102A" w:rsidRDefault="00794AE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 xml:space="preserve">Alategevuste väljundite </w:t>
            </w:r>
            <w:r w:rsidR="000C53FF" w:rsidRPr="00D1102A">
              <w:rPr>
                <w:rFonts w:asciiTheme="majorBidi" w:hAnsiTheme="majorBidi" w:cstheme="majorBidi"/>
                <w:b/>
                <w:bCs/>
              </w:rPr>
              <w:t>arv</w:t>
            </w:r>
            <w:r w:rsidR="001E3E5D" w:rsidRPr="00D1102A">
              <w:rPr>
                <w:rFonts w:asciiTheme="majorBidi" w:hAnsiTheme="majorBidi" w:cstheme="majorBidi"/>
                <w:b/>
                <w:bCs/>
              </w:rPr>
              <w:t xml:space="preserve"> </w:t>
            </w:r>
            <w:r w:rsidR="00FE03F5" w:rsidRPr="00D1102A">
              <w:rPr>
                <w:rFonts w:asciiTheme="majorBidi" w:hAnsiTheme="majorBidi" w:cstheme="majorBidi"/>
                <w:b/>
                <w:bCs/>
              </w:rPr>
              <w:t>tegevuskava perioodil</w:t>
            </w:r>
          </w:p>
        </w:tc>
        <w:tc>
          <w:tcPr>
            <w:tcW w:w="2409" w:type="dxa"/>
          </w:tcPr>
          <w:p w14:paraId="5E851D0F"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Selgitus</w:t>
            </w:r>
          </w:p>
        </w:tc>
      </w:tr>
      <w:tr w:rsidR="00B90A77" w:rsidRPr="00D1102A" w14:paraId="5C6AE853" w14:textId="77777777" w:rsidTr="00262ADC">
        <w:trPr>
          <w:trHeight w:val="363"/>
        </w:trPr>
        <w:tc>
          <w:tcPr>
            <w:tcW w:w="1305" w:type="dxa"/>
            <w:vMerge w:val="restart"/>
          </w:tcPr>
          <w:p w14:paraId="4F7B686E" w14:textId="77777777" w:rsidR="00B90A77" w:rsidRPr="00D1102A" w:rsidRDefault="00B90A77" w:rsidP="00D1102A">
            <w:pPr>
              <w:autoSpaceDE w:val="0"/>
              <w:autoSpaceDN w:val="0"/>
              <w:adjustRightInd w:val="0"/>
              <w:spacing w:line="240" w:lineRule="auto"/>
              <w:jc w:val="center"/>
              <w:rPr>
                <w:rFonts w:asciiTheme="majorBidi" w:hAnsiTheme="majorBidi" w:cstheme="majorBidi"/>
              </w:rPr>
            </w:pPr>
          </w:p>
          <w:p w14:paraId="4C6228E4" w14:textId="465AA360"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 ja arendus</w:t>
            </w:r>
            <w:r w:rsidR="00487B6F" w:rsidRPr="00D1102A">
              <w:rPr>
                <w:rFonts w:asciiTheme="majorBidi" w:hAnsiTheme="majorBidi" w:cstheme="majorBidi"/>
              </w:rPr>
              <w:t>-</w:t>
            </w:r>
            <w:r w:rsidRPr="00D1102A">
              <w:rPr>
                <w:rFonts w:asciiTheme="majorBidi" w:hAnsiTheme="majorBidi" w:cstheme="majorBidi"/>
              </w:rPr>
              <w:t>tegevuste programm vabaühendustele</w:t>
            </w:r>
          </w:p>
        </w:tc>
        <w:tc>
          <w:tcPr>
            <w:tcW w:w="992" w:type="dxa"/>
            <w:vMerge w:val="restart"/>
          </w:tcPr>
          <w:p w14:paraId="6CC78000" w14:textId="7369E26A" w:rsidR="00B90A77" w:rsidRPr="00D1102A" w:rsidRDefault="00B90A77"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0</w:t>
            </w:r>
          </w:p>
        </w:tc>
        <w:tc>
          <w:tcPr>
            <w:tcW w:w="993" w:type="dxa"/>
            <w:vMerge w:val="restart"/>
          </w:tcPr>
          <w:p w14:paraId="3C8683A6" w14:textId="401FEE53" w:rsidR="00B90A77" w:rsidRPr="00D1102A" w:rsidRDefault="00B90A77"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1</w:t>
            </w:r>
          </w:p>
        </w:tc>
        <w:tc>
          <w:tcPr>
            <w:tcW w:w="1842" w:type="dxa"/>
          </w:tcPr>
          <w:p w14:paraId="0F7556B1" w14:textId="0B70A074" w:rsidR="00B90A77" w:rsidRPr="00D1102A" w:rsidRDefault="005C353B" w:rsidP="00D1102A">
            <w:pPr>
              <w:autoSpaceDE w:val="0"/>
              <w:autoSpaceDN w:val="0"/>
              <w:adjustRightInd w:val="0"/>
              <w:spacing w:line="240" w:lineRule="auto"/>
              <w:rPr>
                <w:rFonts w:asciiTheme="majorBidi" w:hAnsiTheme="majorBidi" w:cstheme="majorBidi"/>
                <w:color w:val="1F497D" w:themeColor="text2"/>
              </w:rPr>
            </w:pPr>
            <w:r w:rsidRPr="00D1102A">
              <w:rPr>
                <w:rFonts w:asciiTheme="majorBidi" w:hAnsiTheme="majorBidi" w:cstheme="majorBidi"/>
              </w:rPr>
              <w:t>P</w:t>
            </w:r>
            <w:r w:rsidR="00B90A77" w:rsidRPr="00D1102A">
              <w:rPr>
                <w:rFonts w:asciiTheme="majorBidi" w:hAnsiTheme="majorBidi" w:cstheme="majorBidi"/>
              </w:rPr>
              <w:t>rogramm</w:t>
            </w:r>
          </w:p>
        </w:tc>
        <w:tc>
          <w:tcPr>
            <w:tcW w:w="1560" w:type="dxa"/>
          </w:tcPr>
          <w:p w14:paraId="238B808C" w14:textId="07443CC9" w:rsidR="00B90A77" w:rsidRPr="00D1102A" w:rsidRDefault="00B90A77" w:rsidP="00D1102A">
            <w:pPr>
              <w:autoSpaceDE w:val="0"/>
              <w:autoSpaceDN w:val="0"/>
              <w:adjustRightInd w:val="0"/>
              <w:spacing w:line="240" w:lineRule="auto"/>
              <w:rPr>
                <w:rFonts w:asciiTheme="majorBidi" w:hAnsiTheme="majorBidi" w:cstheme="majorBidi"/>
                <w:bCs/>
                <w:color w:val="1F497D" w:themeColor="text2"/>
              </w:rPr>
            </w:pPr>
            <w:r w:rsidRPr="00D1102A">
              <w:rPr>
                <w:rFonts w:asciiTheme="majorBidi" w:hAnsiTheme="majorBidi" w:cstheme="majorBidi"/>
                <w:bCs/>
              </w:rPr>
              <w:t>0</w:t>
            </w:r>
          </w:p>
        </w:tc>
        <w:tc>
          <w:tcPr>
            <w:tcW w:w="2409" w:type="dxa"/>
          </w:tcPr>
          <w:p w14:paraId="39CF2FD6" w14:textId="5FDC967A"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Toimub programmi ettevalmistamine</w:t>
            </w:r>
          </w:p>
        </w:tc>
      </w:tr>
      <w:tr w:rsidR="00B90A77" w:rsidRPr="00D1102A" w14:paraId="05976C78" w14:textId="77777777" w:rsidTr="00262ADC">
        <w:trPr>
          <w:trHeight w:val="305"/>
        </w:trPr>
        <w:tc>
          <w:tcPr>
            <w:tcW w:w="1305" w:type="dxa"/>
            <w:vMerge/>
          </w:tcPr>
          <w:p w14:paraId="0C5FB237"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2" w:type="dxa"/>
            <w:vMerge/>
          </w:tcPr>
          <w:p w14:paraId="4E449756"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3" w:type="dxa"/>
            <w:vMerge/>
          </w:tcPr>
          <w:p w14:paraId="386E904A"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1842" w:type="dxa"/>
          </w:tcPr>
          <w:p w14:paraId="04A23CC1" w14:textId="753740D3"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Maakondlik</w:t>
            </w:r>
            <w:r w:rsidR="005C353B" w:rsidRPr="00D1102A">
              <w:rPr>
                <w:rFonts w:asciiTheme="majorBidi" w:hAnsiTheme="majorBidi" w:cstheme="majorBidi"/>
              </w:rPr>
              <w:t>e</w:t>
            </w:r>
            <w:r w:rsidRPr="00D1102A">
              <w:rPr>
                <w:rFonts w:asciiTheme="majorBidi" w:hAnsiTheme="majorBidi" w:cstheme="majorBidi"/>
              </w:rPr>
              <w:t xml:space="preserve"> vabaühenduste </w:t>
            </w:r>
            <w:r w:rsidR="001108B5">
              <w:rPr>
                <w:rFonts w:asciiTheme="majorBidi" w:hAnsiTheme="majorBidi" w:cstheme="majorBidi"/>
              </w:rPr>
              <w:t>kohtumised ja koolitused</w:t>
            </w:r>
          </w:p>
        </w:tc>
        <w:tc>
          <w:tcPr>
            <w:tcW w:w="1560" w:type="dxa"/>
          </w:tcPr>
          <w:p w14:paraId="5F0171BB" w14:textId="595CC8E6" w:rsidR="00B90A77" w:rsidRPr="00D1102A" w:rsidRDefault="00B90A77"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15</w:t>
            </w:r>
          </w:p>
        </w:tc>
        <w:tc>
          <w:tcPr>
            <w:tcW w:w="2409" w:type="dxa"/>
          </w:tcPr>
          <w:p w14:paraId="557506EC" w14:textId="7A2DE979"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 xml:space="preserve">Korraldatakse kuni 15 </w:t>
            </w:r>
            <w:r w:rsidR="001108B5">
              <w:rPr>
                <w:rFonts w:asciiTheme="majorBidi" w:hAnsiTheme="majorBidi" w:cstheme="majorBidi"/>
              </w:rPr>
              <w:t>kohtumist ja koolitust</w:t>
            </w:r>
            <w:r w:rsidR="00165CC1" w:rsidRPr="00D1102A">
              <w:rPr>
                <w:rFonts w:asciiTheme="majorBidi" w:hAnsiTheme="majorBidi" w:cstheme="majorBidi"/>
              </w:rPr>
              <w:t xml:space="preserve"> vabaühendustega </w:t>
            </w:r>
            <w:r w:rsidR="00487B6F" w:rsidRPr="00D1102A">
              <w:rPr>
                <w:rFonts w:asciiTheme="majorBidi" w:hAnsiTheme="majorBidi" w:cstheme="majorBidi"/>
              </w:rPr>
              <w:t>maakondades</w:t>
            </w:r>
          </w:p>
        </w:tc>
      </w:tr>
      <w:tr w:rsidR="00B90A77" w:rsidRPr="00D1102A" w14:paraId="55D60464" w14:textId="77777777" w:rsidTr="00262ADC">
        <w:trPr>
          <w:trHeight w:val="294"/>
        </w:trPr>
        <w:tc>
          <w:tcPr>
            <w:tcW w:w="1305" w:type="dxa"/>
            <w:vMerge/>
          </w:tcPr>
          <w:p w14:paraId="1D28FE2E"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2" w:type="dxa"/>
            <w:vMerge/>
          </w:tcPr>
          <w:p w14:paraId="48ABE23C"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3" w:type="dxa"/>
            <w:vMerge/>
          </w:tcPr>
          <w:p w14:paraId="0512E221"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1842" w:type="dxa"/>
          </w:tcPr>
          <w:p w14:paraId="4079C6A8" w14:textId="395F5580" w:rsidR="00B90A77" w:rsidRPr="00D1102A" w:rsidRDefault="00B90A77" w:rsidP="00D1102A">
            <w:pPr>
              <w:autoSpaceDE w:val="0"/>
              <w:autoSpaceDN w:val="0"/>
              <w:adjustRightInd w:val="0"/>
              <w:spacing w:line="240" w:lineRule="auto"/>
              <w:rPr>
                <w:rFonts w:asciiTheme="majorBidi" w:hAnsiTheme="majorBidi" w:cstheme="majorBidi"/>
              </w:rPr>
            </w:pPr>
          </w:p>
        </w:tc>
        <w:tc>
          <w:tcPr>
            <w:tcW w:w="1560" w:type="dxa"/>
          </w:tcPr>
          <w:p w14:paraId="1AC6FD7D" w14:textId="0324E484" w:rsidR="00B90A77" w:rsidRPr="00D1102A" w:rsidRDefault="00B90A77" w:rsidP="00D1102A">
            <w:pPr>
              <w:autoSpaceDE w:val="0"/>
              <w:autoSpaceDN w:val="0"/>
              <w:adjustRightInd w:val="0"/>
              <w:spacing w:line="240" w:lineRule="auto"/>
              <w:rPr>
                <w:rFonts w:asciiTheme="majorBidi" w:hAnsiTheme="majorBidi" w:cstheme="majorBidi"/>
                <w:bCs/>
              </w:rPr>
            </w:pPr>
          </w:p>
        </w:tc>
        <w:tc>
          <w:tcPr>
            <w:tcW w:w="2409" w:type="dxa"/>
          </w:tcPr>
          <w:p w14:paraId="5EF771CF" w14:textId="1E8583FB" w:rsidR="00B90A77" w:rsidRPr="00D1102A" w:rsidRDefault="00B90A77" w:rsidP="00D1102A">
            <w:pPr>
              <w:autoSpaceDE w:val="0"/>
              <w:autoSpaceDN w:val="0"/>
              <w:adjustRightInd w:val="0"/>
              <w:spacing w:line="240" w:lineRule="auto"/>
              <w:rPr>
                <w:rFonts w:asciiTheme="majorBidi" w:hAnsiTheme="majorBidi" w:cstheme="majorBidi"/>
              </w:rPr>
            </w:pPr>
          </w:p>
        </w:tc>
      </w:tr>
    </w:tbl>
    <w:p w14:paraId="0E734347" w14:textId="77777777" w:rsidR="00FE03F5" w:rsidRPr="00D1102A" w:rsidRDefault="00FE03F5" w:rsidP="00D1102A">
      <w:pPr>
        <w:spacing w:line="240" w:lineRule="auto"/>
        <w:ind w:left="720"/>
        <w:rPr>
          <w:rFonts w:asciiTheme="majorBidi" w:hAnsiTheme="majorBidi" w:cstheme="majorBidi"/>
        </w:rPr>
      </w:pPr>
    </w:p>
    <w:p w14:paraId="57E279B2" w14:textId="06D16C87" w:rsidR="00FE03F5" w:rsidRPr="00D1102A" w:rsidRDefault="00ED1E4E" w:rsidP="00D1102A">
      <w:pPr>
        <w:pStyle w:val="Heading2"/>
        <w:keepLines w:val="0"/>
        <w:widowControl/>
        <w:numPr>
          <w:ilvl w:val="1"/>
          <w:numId w:val="1"/>
        </w:numPr>
        <w:tabs>
          <w:tab w:val="left" w:pos="426"/>
        </w:tabs>
        <w:suppressAutoHyphens w:val="0"/>
        <w:spacing w:before="240" w:after="60" w:line="240" w:lineRule="auto"/>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 </w:t>
      </w:r>
      <w:r w:rsidR="00B9596B" w:rsidRPr="00D1102A">
        <w:rPr>
          <w:rFonts w:asciiTheme="majorBidi" w:hAnsiTheme="majorBidi" w:cstheme="majorBidi"/>
          <w:b/>
          <w:bCs/>
          <w:color w:val="auto"/>
          <w:sz w:val="24"/>
          <w:szCs w:val="24"/>
        </w:rPr>
        <w:t xml:space="preserve">Alategevus: </w:t>
      </w:r>
      <w:r w:rsidR="005B56F8" w:rsidRPr="00D1102A">
        <w:rPr>
          <w:rFonts w:asciiTheme="majorBidi" w:hAnsiTheme="majorBidi" w:cstheme="majorBidi"/>
          <w:b/>
          <w:bCs/>
          <w:color w:val="auto"/>
          <w:sz w:val="24"/>
          <w:szCs w:val="24"/>
        </w:rPr>
        <w:t>Noortele suunatud teadlikkust tõstvate kohtumiste ja sündmuste korraldamine</w:t>
      </w:r>
    </w:p>
    <w:p w14:paraId="2E379B9E" w14:textId="77777777" w:rsidR="00F0322B" w:rsidRPr="00D1102A" w:rsidRDefault="00F0322B" w:rsidP="00D1102A">
      <w:pPr>
        <w:spacing w:line="240" w:lineRule="auto"/>
        <w:rPr>
          <w:rFonts w:asciiTheme="majorBidi" w:hAnsiTheme="majorBidi" w:cstheme="majorBidi"/>
        </w:rPr>
      </w:pPr>
    </w:p>
    <w:p w14:paraId="446A3A58" w14:textId="7D60CBF2" w:rsidR="00F0322B" w:rsidRPr="00D1102A" w:rsidRDefault="00F0322B" w:rsidP="00D1102A">
      <w:pPr>
        <w:spacing w:line="240" w:lineRule="auto"/>
        <w:rPr>
          <w:rFonts w:asciiTheme="majorBidi" w:hAnsiTheme="majorBidi" w:cstheme="majorBidi"/>
          <w:bCs/>
        </w:rPr>
      </w:pPr>
      <w:r w:rsidRPr="00D1102A">
        <w:rPr>
          <w:rFonts w:asciiTheme="majorBidi" w:hAnsiTheme="majorBidi" w:cstheme="majorBidi"/>
          <w:bCs/>
        </w:rPr>
        <w:t xml:space="preserve">Kaardistatakse noorte kaasamisele suunatud sekkumised, mida riik ja omavalitsused noortele suunatult teevad. Vajadusel moodustatakse töögrupp ja kaasatakse ekspert noorte kaasamiseks suunatud sekkumiste ja sekkumiste leviku kaardistamiseks. </w:t>
      </w:r>
      <w:r w:rsidRPr="00D1102A">
        <w:rPr>
          <w:rFonts w:asciiTheme="majorBidi" w:hAnsiTheme="majorBidi" w:cstheme="majorBidi"/>
        </w:rPr>
        <w:t>Töögruppi kaasatakse KÜSKi ja vabaühenduste konsultantide esindajad,  ekspert ning vajadusel spetsialiste, kelle</w:t>
      </w:r>
      <w:r w:rsidR="00242E4D" w:rsidRPr="00D1102A">
        <w:rPr>
          <w:rFonts w:asciiTheme="majorBidi" w:hAnsiTheme="majorBidi" w:cstheme="majorBidi"/>
        </w:rPr>
        <w:t>l</w:t>
      </w:r>
      <w:r w:rsidRPr="00D1102A">
        <w:rPr>
          <w:rFonts w:asciiTheme="majorBidi" w:hAnsiTheme="majorBidi" w:cstheme="majorBidi"/>
        </w:rPr>
        <w:t xml:space="preserve"> on kogemus noorte kaasamiseks suunatud sekkumiste ellu viimisel, saamaks ülevaade</w:t>
      </w:r>
      <w:r w:rsidR="00242E4D" w:rsidRPr="00D1102A">
        <w:rPr>
          <w:rFonts w:asciiTheme="majorBidi" w:hAnsiTheme="majorBidi" w:cstheme="majorBidi"/>
        </w:rPr>
        <w:t>t</w:t>
      </w:r>
      <w:r w:rsidRPr="00D1102A">
        <w:rPr>
          <w:rFonts w:asciiTheme="majorBidi" w:hAnsiTheme="majorBidi" w:cstheme="majorBidi"/>
        </w:rPr>
        <w:t xml:space="preserve"> erinevate noorte kaasamiseks suunatud sekkumistest. </w:t>
      </w:r>
      <w:r w:rsidRPr="00D1102A">
        <w:rPr>
          <w:rFonts w:asciiTheme="majorBidi" w:hAnsiTheme="majorBidi" w:cstheme="majorBidi"/>
          <w:bCs/>
        </w:rPr>
        <w:t>Kaardistuse alusel</w:t>
      </w:r>
      <w:r w:rsidR="00927FC9" w:rsidRPr="00D1102A">
        <w:rPr>
          <w:rFonts w:asciiTheme="majorBidi" w:hAnsiTheme="majorBidi" w:cstheme="majorBidi"/>
          <w:bCs/>
        </w:rPr>
        <w:t xml:space="preserve"> </w:t>
      </w:r>
      <w:r w:rsidR="00242E4D" w:rsidRPr="00D1102A">
        <w:rPr>
          <w:rFonts w:asciiTheme="majorBidi" w:hAnsiTheme="majorBidi" w:cstheme="majorBidi"/>
          <w:bCs/>
        </w:rPr>
        <w:t>alustatakse</w:t>
      </w:r>
      <w:r w:rsidRPr="00D1102A">
        <w:rPr>
          <w:rFonts w:asciiTheme="majorBidi" w:hAnsiTheme="majorBidi" w:cstheme="majorBidi"/>
          <w:bCs/>
        </w:rPr>
        <w:t xml:space="preserve"> tegevus- ja ajakava</w:t>
      </w:r>
      <w:r w:rsidR="00242E4D" w:rsidRPr="00D1102A">
        <w:rPr>
          <w:rFonts w:asciiTheme="majorBidi" w:hAnsiTheme="majorBidi" w:cstheme="majorBidi"/>
          <w:bCs/>
        </w:rPr>
        <w:t xml:space="preserve"> koostamist</w:t>
      </w:r>
      <w:r w:rsidRPr="00D1102A">
        <w:rPr>
          <w:rFonts w:asciiTheme="majorBidi" w:hAnsiTheme="majorBidi" w:cstheme="majorBidi"/>
          <w:bCs/>
        </w:rPr>
        <w:t xml:space="preserve"> noorte kodanikuühiskonna alase teadlikkuse edendamiseks, mis on seostatud teiste üle-eestiliste algatuste plaanidega. </w:t>
      </w:r>
    </w:p>
    <w:p w14:paraId="01060F4C" w14:textId="77777777" w:rsidR="00927FC9" w:rsidRPr="00D1102A" w:rsidRDefault="00927FC9" w:rsidP="00D1102A">
      <w:pPr>
        <w:spacing w:line="240" w:lineRule="auto"/>
        <w:rPr>
          <w:rFonts w:asciiTheme="majorBidi" w:hAnsiTheme="majorBidi" w:cstheme="majorBidi"/>
          <w:bCs/>
        </w:rPr>
      </w:pPr>
    </w:p>
    <w:p w14:paraId="268C7173" w14:textId="65BC764E" w:rsidR="00927FC9" w:rsidRPr="00D1102A" w:rsidRDefault="00927FC9" w:rsidP="00D1102A">
      <w:pPr>
        <w:spacing w:line="240" w:lineRule="auto"/>
        <w:rPr>
          <w:rFonts w:asciiTheme="majorBidi" w:hAnsiTheme="majorBidi" w:cstheme="majorBidi"/>
          <w:bCs/>
        </w:rPr>
      </w:pPr>
      <w:r w:rsidRPr="00D1102A">
        <w:rPr>
          <w:rFonts w:asciiTheme="majorBidi" w:hAnsiTheme="majorBidi" w:cstheme="majorBidi"/>
        </w:rPr>
        <w:t>Noortele korraldatakse ja viiakse läbi kohtumisi, sündmusi ja algatusi, kuhu kaasatakse noortega tegelevaid organisatsioone, vabakonna esindajaid, ettevõtjaid ja teisi sihtrühma esindajaid.</w:t>
      </w:r>
      <w:r w:rsidR="00242E4D" w:rsidRPr="00D1102A">
        <w:rPr>
          <w:rFonts w:asciiTheme="majorBidi" w:hAnsiTheme="majorBidi" w:cstheme="majorBidi"/>
        </w:rPr>
        <w:t xml:space="preserve"> </w:t>
      </w:r>
      <w:r w:rsidRPr="00D1102A">
        <w:rPr>
          <w:rFonts w:asciiTheme="majorBidi" w:hAnsiTheme="majorBidi" w:cstheme="majorBidi"/>
        </w:rPr>
        <w:t>Kohtumiste ja sündmuste eesmärk on tõsta laste ja noorte teadlikkust kodanikuühiskonna olemusest ja seal osalemise võimalustest.</w:t>
      </w:r>
      <w:r w:rsidR="00242E4D" w:rsidRPr="00D1102A">
        <w:rPr>
          <w:rFonts w:asciiTheme="majorBidi" w:hAnsiTheme="majorBidi" w:cstheme="majorBidi"/>
        </w:rPr>
        <w:t xml:space="preserve"> Kohtumiste ja sündmuste ettevalmistamine ja sihtrühmaga suhtlemine sündmuse korraldamiseks.</w:t>
      </w:r>
      <w:r w:rsidRPr="00D1102A">
        <w:rPr>
          <w:rFonts w:asciiTheme="majorBidi" w:hAnsiTheme="majorBidi" w:cstheme="majorBidi"/>
        </w:rPr>
        <w:t xml:space="preserve"> Teavitustegevus</w:t>
      </w:r>
      <w:r w:rsidR="00242E4D" w:rsidRPr="00D1102A">
        <w:rPr>
          <w:rFonts w:asciiTheme="majorBidi" w:hAnsiTheme="majorBidi" w:cstheme="majorBidi"/>
        </w:rPr>
        <w:t xml:space="preserve"> noortele </w:t>
      </w:r>
      <w:r w:rsidRPr="00D1102A">
        <w:rPr>
          <w:rFonts w:asciiTheme="majorBidi" w:hAnsiTheme="majorBidi" w:cstheme="majorBidi"/>
        </w:rPr>
        <w:t>kodanikuühiskonna ja kodanikuühiskonnas osalemise kohta.</w:t>
      </w:r>
    </w:p>
    <w:p w14:paraId="5E3222B4" w14:textId="77777777" w:rsidR="00F0322B" w:rsidRPr="00D1102A" w:rsidRDefault="00F0322B" w:rsidP="00D1102A">
      <w:pPr>
        <w:spacing w:line="240" w:lineRule="auto"/>
        <w:rPr>
          <w:rFonts w:asciiTheme="majorBidi" w:hAnsiTheme="majorBidi" w:cstheme="majorBidi"/>
          <w:bCs/>
        </w:rPr>
      </w:pPr>
    </w:p>
    <w:p w14:paraId="264F9150" w14:textId="77777777" w:rsidR="00FE03F5" w:rsidRPr="00D1102A" w:rsidRDefault="00FE03F5" w:rsidP="00D1102A">
      <w:pPr>
        <w:spacing w:line="240" w:lineRule="auto"/>
        <w:outlineLvl w:val="0"/>
        <w:rPr>
          <w:rFonts w:asciiTheme="majorBidi" w:hAnsiTheme="majorBidi" w:cstheme="majorBidi"/>
          <w:bCs/>
        </w:rPr>
      </w:pPr>
    </w:p>
    <w:p w14:paraId="55867870" w14:textId="77777777" w:rsidR="00FE03F5" w:rsidRPr="00D1102A" w:rsidRDefault="00FE03F5" w:rsidP="00D1102A">
      <w:pPr>
        <w:spacing w:line="240" w:lineRule="auto"/>
        <w:outlineLvl w:val="0"/>
        <w:rPr>
          <w:rFonts w:asciiTheme="majorBidi" w:hAnsiTheme="majorBidi" w:cstheme="majorBidi"/>
          <w:b/>
        </w:rPr>
      </w:pPr>
      <w:r w:rsidRPr="00D1102A">
        <w:rPr>
          <w:rFonts w:asciiTheme="majorBidi" w:hAnsiTheme="majorBidi" w:cstheme="majorBidi"/>
          <w:b/>
        </w:rPr>
        <w:t>Tabel 3. Tegevustega seotud näitajad</w:t>
      </w:r>
    </w:p>
    <w:p w14:paraId="22C73A61"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648"/>
        <w:gridCol w:w="1754"/>
        <w:gridCol w:w="2409"/>
      </w:tblGrid>
      <w:tr w:rsidR="002B35D6" w:rsidRPr="00D1102A" w14:paraId="67EDAFE1" w14:textId="77777777" w:rsidTr="00262ADC">
        <w:trPr>
          <w:trHeight w:val="670"/>
        </w:trPr>
        <w:tc>
          <w:tcPr>
            <w:tcW w:w="1305" w:type="dxa"/>
          </w:tcPr>
          <w:p w14:paraId="50175EF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 xml:space="preserve">Toetatava tegevuse näitaja </w:t>
            </w:r>
            <w:r w:rsidRPr="00D1102A">
              <w:rPr>
                <w:rFonts w:asciiTheme="majorBidi" w:hAnsiTheme="majorBidi" w:cstheme="majorBidi"/>
                <w:b/>
                <w:bCs/>
              </w:rPr>
              <w:lastRenderedPageBreak/>
              <w:t>nimetus</w:t>
            </w:r>
          </w:p>
        </w:tc>
        <w:tc>
          <w:tcPr>
            <w:tcW w:w="992" w:type="dxa"/>
          </w:tcPr>
          <w:p w14:paraId="2BA35817"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lastRenderedPageBreak/>
              <w:t>Siht-tase (2024)</w:t>
            </w:r>
          </w:p>
        </w:tc>
        <w:tc>
          <w:tcPr>
            <w:tcW w:w="993" w:type="dxa"/>
          </w:tcPr>
          <w:p w14:paraId="347737D5"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5CA5B92C"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648" w:type="dxa"/>
            <w:hideMark/>
          </w:tcPr>
          <w:p w14:paraId="5CBDC22C" w14:textId="1B435225"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w:t>
            </w:r>
            <w:r w:rsidR="00794AE5" w:rsidRPr="00D1102A">
              <w:rPr>
                <w:rFonts w:asciiTheme="majorBidi" w:hAnsiTheme="majorBidi" w:cstheme="majorBidi"/>
                <w:b/>
                <w:bCs/>
              </w:rPr>
              <w:t>t</w:t>
            </w:r>
            <w:r w:rsidRPr="00D1102A">
              <w:rPr>
                <w:rFonts w:asciiTheme="majorBidi" w:hAnsiTheme="majorBidi" w:cstheme="majorBidi"/>
                <w:b/>
                <w:bCs/>
              </w:rPr>
              <w:t xml:space="preserve">e väljundid tegevuskava </w:t>
            </w:r>
            <w:r w:rsidRPr="00D1102A">
              <w:rPr>
                <w:rFonts w:asciiTheme="majorBidi" w:hAnsiTheme="majorBidi" w:cstheme="majorBidi"/>
                <w:b/>
                <w:bCs/>
              </w:rPr>
              <w:lastRenderedPageBreak/>
              <w:t>perioodil</w:t>
            </w:r>
          </w:p>
        </w:tc>
        <w:tc>
          <w:tcPr>
            <w:tcW w:w="1754" w:type="dxa"/>
            <w:hideMark/>
          </w:tcPr>
          <w:p w14:paraId="76CEEF1E" w14:textId="70B45596" w:rsidR="00FE03F5" w:rsidRPr="00D1102A" w:rsidRDefault="00794AE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lastRenderedPageBreak/>
              <w:t xml:space="preserve">Alategevuste väljundite </w:t>
            </w:r>
            <w:r w:rsidR="000C53FF" w:rsidRPr="00D1102A">
              <w:rPr>
                <w:rFonts w:asciiTheme="majorBidi" w:hAnsiTheme="majorBidi" w:cstheme="majorBidi"/>
                <w:b/>
                <w:bCs/>
              </w:rPr>
              <w:t xml:space="preserve">arv </w:t>
            </w:r>
            <w:r w:rsidR="00FE03F5" w:rsidRPr="00D1102A">
              <w:rPr>
                <w:rFonts w:asciiTheme="majorBidi" w:hAnsiTheme="majorBidi" w:cstheme="majorBidi"/>
                <w:b/>
                <w:bCs/>
              </w:rPr>
              <w:t xml:space="preserve">tegevuskava </w:t>
            </w:r>
            <w:r w:rsidR="00FE03F5" w:rsidRPr="00D1102A">
              <w:rPr>
                <w:rFonts w:asciiTheme="majorBidi" w:hAnsiTheme="majorBidi" w:cstheme="majorBidi"/>
                <w:b/>
                <w:bCs/>
              </w:rPr>
              <w:lastRenderedPageBreak/>
              <w:t>perioodil</w:t>
            </w:r>
          </w:p>
        </w:tc>
        <w:tc>
          <w:tcPr>
            <w:tcW w:w="2409" w:type="dxa"/>
          </w:tcPr>
          <w:p w14:paraId="7BB849A1"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lastRenderedPageBreak/>
              <w:t>Selgitus</w:t>
            </w:r>
          </w:p>
        </w:tc>
      </w:tr>
      <w:tr w:rsidR="002B35D6" w:rsidRPr="00D1102A" w14:paraId="1440122C" w14:textId="77777777" w:rsidTr="00262ADC">
        <w:trPr>
          <w:trHeight w:val="363"/>
        </w:trPr>
        <w:tc>
          <w:tcPr>
            <w:tcW w:w="1305" w:type="dxa"/>
            <w:vMerge w:val="restart"/>
          </w:tcPr>
          <w:p w14:paraId="24813776" w14:textId="77777777" w:rsidR="00FE03F5" w:rsidRPr="00D1102A" w:rsidRDefault="00FE03F5" w:rsidP="00D1102A">
            <w:pPr>
              <w:autoSpaceDE w:val="0"/>
              <w:autoSpaceDN w:val="0"/>
              <w:adjustRightInd w:val="0"/>
              <w:spacing w:line="240" w:lineRule="auto"/>
              <w:jc w:val="center"/>
              <w:rPr>
                <w:rFonts w:asciiTheme="majorBidi" w:hAnsiTheme="majorBidi" w:cstheme="majorBidi"/>
              </w:rPr>
            </w:pPr>
          </w:p>
          <w:p w14:paraId="0C3972DA" w14:textId="64E3C75F" w:rsidR="00FE03F5" w:rsidRPr="00D1102A" w:rsidRDefault="005B56F8"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Sündmu</w:t>
            </w:r>
            <w:r w:rsidR="00EB3F88" w:rsidRPr="00D1102A">
              <w:rPr>
                <w:rFonts w:asciiTheme="majorBidi" w:hAnsiTheme="majorBidi" w:cstheme="majorBidi"/>
              </w:rPr>
              <w:t>-</w:t>
            </w:r>
            <w:r w:rsidRPr="00D1102A">
              <w:rPr>
                <w:rFonts w:asciiTheme="majorBidi" w:hAnsiTheme="majorBidi" w:cstheme="majorBidi"/>
              </w:rPr>
              <w:t>sed noortele</w:t>
            </w:r>
          </w:p>
        </w:tc>
        <w:tc>
          <w:tcPr>
            <w:tcW w:w="992" w:type="dxa"/>
            <w:vMerge w:val="restart"/>
          </w:tcPr>
          <w:p w14:paraId="12F7C587" w14:textId="084DAE85" w:rsidR="00FE03F5" w:rsidRPr="00D1102A" w:rsidRDefault="005B56F8"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8</w:t>
            </w:r>
          </w:p>
        </w:tc>
        <w:tc>
          <w:tcPr>
            <w:tcW w:w="993" w:type="dxa"/>
            <w:vMerge w:val="restart"/>
          </w:tcPr>
          <w:p w14:paraId="46618596" w14:textId="7D2046C5" w:rsidR="00FE03F5" w:rsidRPr="00D1102A" w:rsidRDefault="005B56F8"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70</w:t>
            </w:r>
          </w:p>
        </w:tc>
        <w:tc>
          <w:tcPr>
            <w:tcW w:w="1648" w:type="dxa"/>
          </w:tcPr>
          <w:p w14:paraId="264EB884" w14:textId="4975B80A" w:rsidR="00FE03F5" w:rsidRPr="00D1102A" w:rsidRDefault="00B05201"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S</w:t>
            </w:r>
            <w:r w:rsidR="00B90A77" w:rsidRPr="00D1102A">
              <w:rPr>
                <w:rFonts w:asciiTheme="majorBidi" w:hAnsiTheme="majorBidi" w:cstheme="majorBidi"/>
              </w:rPr>
              <w:t>ündmus</w:t>
            </w:r>
          </w:p>
        </w:tc>
        <w:tc>
          <w:tcPr>
            <w:tcW w:w="1754" w:type="dxa"/>
          </w:tcPr>
          <w:p w14:paraId="35095E72" w14:textId="7B0058FC" w:rsidR="00FE03F5" w:rsidRPr="00D1102A" w:rsidRDefault="00927FC9"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8</w:t>
            </w:r>
          </w:p>
        </w:tc>
        <w:tc>
          <w:tcPr>
            <w:tcW w:w="2409" w:type="dxa"/>
          </w:tcPr>
          <w:p w14:paraId="4379019F" w14:textId="4544FB23" w:rsidR="00FE03F5" w:rsidRPr="00D1102A" w:rsidRDefault="00262ADC" w:rsidP="00D1102A">
            <w:pPr>
              <w:autoSpaceDE w:val="0"/>
              <w:autoSpaceDN w:val="0"/>
              <w:adjustRightInd w:val="0"/>
              <w:spacing w:line="240" w:lineRule="auto"/>
              <w:rPr>
                <w:rFonts w:asciiTheme="majorBidi" w:hAnsiTheme="majorBidi" w:cstheme="majorBidi"/>
              </w:rPr>
            </w:pPr>
            <w:r>
              <w:rPr>
                <w:rFonts w:asciiTheme="majorBidi" w:hAnsiTheme="majorBidi" w:cstheme="majorBidi"/>
              </w:rPr>
              <w:t>K</w:t>
            </w:r>
            <w:r w:rsidRPr="00D1102A">
              <w:rPr>
                <w:rFonts w:asciiTheme="majorBidi" w:hAnsiTheme="majorBidi" w:cstheme="majorBidi"/>
              </w:rPr>
              <w:t>orraldatakse ja viiakse läbi kohtumisi, sündmusi ja algatusi, kaasat</w:t>
            </w:r>
            <w:r>
              <w:rPr>
                <w:rFonts w:asciiTheme="majorBidi" w:hAnsiTheme="majorBidi" w:cstheme="majorBidi"/>
              </w:rPr>
              <w:t>es</w:t>
            </w:r>
            <w:r w:rsidRPr="00D1102A">
              <w:rPr>
                <w:rFonts w:asciiTheme="majorBidi" w:hAnsiTheme="majorBidi" w:cstheme="majorBidi"/>
              </w:rPr>
              <w:t xml:space="preserve"> sihtrühma esindajaid. </w:t>
            </w:r>
          </w:p>
        </w:tc>
      </w:tr>
      <w:tr w:rsidR="002B35D6" w:rsidRPr="00D1102A" w14:paraId="6B33CA36" w14:textId="77777777" w:rsidTr="00262ADC">
        <w:trPr>
          <w:trHeight w:val="305"/>
        </w:trPr>
        <w:tc>
          <w:tcPr>
            <w:tcW w:w="1305" w:type="dxa"/>
            <w:vMerge/>
          </w:tcPr>
          <w:p w14:paraId="7905DA8D"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992" w:type="dxa"/>
            <w:vMerge/>
          </w:tcPr>
          <w:p w14:paraId="709E58BE"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993" w:type="dxa"/>
            <w:vMerge/>
          </w:tcPr>
          <w:p w14:paraId="05BF653E"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1648" w:type="dxa"/>
          </w:tcPr>
          <w:p w14:paraId="1A9BA483"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1754" w:type="dxa"/>
          </w:tcPr>
          <w:p w14:paraId="6002F6C7" w14:textId="77777777" w:rsidR="00FE03F5" w:rsidRPr="00D1102A" w:rsidRDefault="00FE03F5" w:rsidP="00D1102A">
            <w:pPr>
              <w:autoSpaceDE w:val="0"/>
              <w:autoSpaceDN w:val="0"/>
              <w:adjustRightInd w:val="0"/>
              <w:spacing w:line="240" w:lineRule="auto"/>
              <w:rPr>
                <w:rFonts w:asciiTheme="majorBidi" w:hAnsiTheme="majorBidi" w:cstheme="majorBidi"/>
                <w:bCs/>
              </w:rPr>
            </w:pPr>
          </w:p>
        </w:tc>
        <w:tc>
          <w:tcPr>
            <w:tcW w:w="2409" w:type="dxa"/>
          </w:tcPr>
          <w:p w14:paraId="6CC20B2E" w14:textId="77777777" w:rsidR="00FE03F5" w:rsidRPr="00D1102A" w:rsidRDefault="00FE03F5" w:rsidP="00D1102A">
            <w:pPr>
              <w:autoSpaceDE w:val="0"/>
              <w:autoSpaceDN w:val="0"/>
              <w:adjustRightInd w:val="0"/>
              <w:spacing w:line="240" w:lineRule="auto"/>
              <w:rPr>
                <w:rFonts w:asciiTheme="majorBidi" w:hAnsiTheme="majorBidi" w:cstheme="majorBidi"/>
              </w:rPr>
            </w:pPr>
          </w:p>
        </w:tc>
      </w:tr>
      <w:tr w:rsidR="002B35D6" w:rsidRPr="00D1102A" w14:paraId="4DECA7E2" w14:textId="77777777" w:rsidTr="00262ADC">
        <w:trPr>
          <w:trHeight w:val="294"/>
        </w:trPr>
        <w:tc>
          <w:tcPr>
            <w:tcW w:w="1305" w:type="dxa"/>
            <w:vMerge/>
          </w:tcPr>
          <w:p w14:paraId="3CE1660A"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992" w:type="dxa"/>
            <w:vMerge/>
          </w:tcPr>
          <w:p w14:paraId="2E14612E"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993" w:type="dxa"/>
            <w:vMerge/>
          </w:tcPr>
          <w:p w14:paraId="5EE0E97E"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1648" w:type="dxa"/>
          </w:tcPr>
          <w:p w14:paraId="756A610F" w14:textId="77777777" w:rsidR="00FE03F5" w:rsidRPr="00D1102A" w:rsidRDefault="00FE03F5" w:rsidP="00D1102A">
            <w:pPr>
              <w:autoSpaceDE w:val="0"/>
              <w:autoSpaceDN w:val="0"/>
              <w:adjustRightInd w:val="0"/>
              <w:spacing w:line="240" w:lineRule="auto"/>
              <w:rPr>
                <w:rFonts w:asciiTheme="majorBidi" w:hAnsiTheme="majorBidi" w:cstheme="majorBidi"/>
              </w:rPr>
            </w:pPr>
          </w:p>
        </w:tc>
        <w:tc>
          <w:tcPr>
            <w:tcW w:w="1754" w:type="dxa"/>
          </w:tcPr>
          <w:p w14:paraId="0D1A77EF" w14:textId="77777777" w:rsidR="00FE03F5" w:rsidRPr="00D1102A" w:rsidRDefault="00FE03F5" w:rsidP="00D1102A">
            <w:pPr>
              <w:autoSpaceDE w:val="0"/>
              <w:autoSpaceDN w:val="0"/>
              <w:adjustRightInd w:val="0"/>
              <w:spacing w:line="240" w:lineRule="auto"/>
              <w:rPr>
                <w:rFonts w:asciiTheme="majorBidi" w:hAnsiTheme="majorBidi" w:cstheme="majorBidi"/>
                <w:bCs/>
              </w:rPr>
            </w:pPr>
          </w:p>
        </w:tc>
        <w:tc>
          <w:tcPr>
            <w:tcW w:w="2409" w:type="dxa"/>
          </w:tcPr>
          <w:p w14:paraId="4B77CC7D" w14:textId="77777777" w:rsidR="00FE03F5" w:rsidRPr="00D1102A" w:rsidRDefault="00FE03F5" w:rsidP="00D1102A">
            <w:pPr>
              <w:autoSpaceDE w:val="0"/>
              <w:autoSpaceDN w:val="0"/>
              <w:adjustRightInd w:val="0"/>
              <w:spacing w:line="240" w:lineRule="auto"/>
              <w:rPr>
                <w:rFonts w:asciiTheme="majorBidi" w:hAnsiTheme="majorBidi" w:cstheme="majorBidi"/>
              </w:rPr>
            </w:pPr>
          </w:p>
        </w:tc>
      </w:tr>
    </w:tbl>
    <w:p w14:paraId="0AF16617" w14:textId="77777777" w:rsidR="00FE03F5" w:rsidRPr="00D1102A" w:rsidRDefault="00FE03F5" w:rsidP="00D1102A">
      <w:pPr>
        <w:spacing w:line="240" w:lineRule="auto"/>
        <w:outlineLvl w:val="0"/>
        <w:rPr>
          <w:rFonts w:asciiTheme="majorBidi" w:hAnsiTheme="majorBidi" w:cstheme="majorBidi"/>
          <w:b/>
        </w:rPr>
      </w:pPr>
    </w:p>
    <w:p w14:paraId="0D42D9AC" w14:textId="3F6F5E66" w:rsidR="008145F3" w:rsidRPr="00D1102A" w:rsidRDefault="008145F3" w:rsidP="00D1102A">
      <w:pPr>
        <w:widowControl/>
        <w:suppressAutoHyphens w:val="0"/>
        <w:spacing w:line="240" w:lineRule="auto"/>
        <w:ind w:left="125"/>
        <w:rPr>
          <w:rFonts w:asciiTheme="majorBidi" w:hAnsiTheme="majorBidi" w:cstheme="majorBidi"/>
        </w:rPr>
      </w:pPr>
    </w:p>
    <w:p w14:paraId="58A554F4" w14:textId="77777777" w:rsidR="008145F3" w:rsidRPr="00D1102A" w:rsidRDefault="008145F3" w:rsidP="00D1102A">
      <w:pPr>
        <w:widowControl/>
        <w:suppressAutoHyphens w:val="0"/>
        <w:spacing w:line="240" w:lineRule="auto"/>
        <w:rPr>
          <w:rFonts w:asciiTheme="majorBidi" w:hAnsiTheme="majorBidi" w:cstheme="majorBidi"/>
        </w:rPr>
      </w:pPr>
    </w:p>
    <w:p w14:paraId="475F98BA" w14:textId="2C710CB3" w:rsidR="007A460D" w:rsidRPr="00D1102A" w:rsidRDefault="007A460D" w:rsidP="00D1102A">
      <w:pPr>
        <w:pStyle w:val="ListParagraph"/>
        <w:numPr>
          <w:ilvl w:val="0"/>
          <w:numId w:val="1"/>
        </w:numPr>
        <w:tabs>
          <w:tab w:val="left" w:pos="360"/>
        </w:tabs>
        <w:spacing w:line="240" w:lineRule="auto"/>
        <w:ind w:left="284" w:hanging="284"/>
        <w:rPr>
          <w:rFonts w:asciiTheme="majorBidi" w:hAnsiTheme="majorBidi" w:cstheme="majorBidi"/>
          <w:b/>
          <w:bCs/>
          <w:snapToGrid w:val="0"/>
          <w:szCs w:val="24"/>
        </w:rPr>
      </w:pPr>
      <w:r w:rsidRPr="00D1102A">
        <w:rPr>
          <w:rFonts w:asciiTheme="majorBidi" w:hAnsiTheme="majorBidi" w:cstheme="majorBidi"/>
          <w:b/>
          <w:bCs/>
          <w:snapToGrid w:val="0"/>
          <w:szCs w:val="24"/>
        </w:rPr>
        <w:t xml:space="preserve">Toetatavate tegevuste mõju strateegia „Eesti 2035“ näitajatesse ning seal sisalduvatesse horisontaalsetesse põhimõtetesse </w:t>
      </w:r>
    </w:p>
    <w:p w14:paraId="2000C36F" w14:textId="77777777" w:rsidR="007A460D" w:rsidRPr="00D1102A" w:rsidRDefault="007A460D" w:rsidP="00D1102A">
      <w:pPr>
        <w:widowControl/>
        <w:suppressAutoHyphens w:val="0"/>
        <w:spacing w:line="240" w:lineRule="auto"/>
        <w:rPr>
          <w:rFonts w:asciiTheme="majorBidi" w:hAnsiTheme="majorBidi" w:cstheme="majorBidi"/>
        </w:rPr>
      </w:pPr>
    </w:p>
    <w:p w14:paraId="4614832A"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330F5D54" w14:textId="66E730B5" w:rsidR="001E67D7" w:rsidRPr="00D1102A" w:rsidRDefault="001E67D7"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Eri rahvusest, eri vanuses, erivajadustega inimestele võrdsete võimaluste loomine</w:t>
      </w:r>
      <w:r w:rsidRPr="00D1102A">
        <w:rPr>
          <w:rFonts w:asciiTheme="majorBidi" w:hAnsiTheme="majorBidi" w:cstheme="majorBidi"/>
        </w:rPr>
        <w:t xml:space="preserve"> - </w:t>
      </w:r>
      <w:r w:rsidR="009066EA" w:rsidRPr="00D1102A">
        <w:rPr>
          <w:rFonts w:asciiTheme="majorBidi" w:hAnsiTheme="majorBidi" w:cstheme="majorBidi"/>
        </w:rPr>
        <w:t xml:space="preserve">Arendus- ja koolitustegevuste ning sündmuste käigus käsitletakse muu hulgas ka võrdse kohtlemise teemasid. </w:t>
      </w:r>
      <w:r w:rsidR="009066EA" w:rsidRPr="00D1102A">
        <w:rPr>
          <w:rFonts w:asciiTheme="majorBidi" w:hAnsiTheme="majorBidi" w:cstheme="majorBidi"/>
        </w:rPr>
        <w:cr/>
        <w:t>Avalikkusele suunatud teavitustegevustes ning info- ja koolitusmaterjalide väljatöötamisel järgitakse võrdse kohtlemise põhimõtteid ning välditakse eelarvamuslikke sõnumeid ja kuvandeid vähemusrühmade kohta.</w:t>
      </w:r>
      <w:r w:rsidR="009066EA" w:rsidRPr="00D1102A">
        <w:rPr>
          <w:rFonts w:asciiTheme="majorBidi" w:hAnsiTheme="majorBidi" w:cstheme="majorBidi"/>
        </w:rPr>
        <w:cr/>
        <w:t>Tegevuste otsese sihtrühma hulka kuuluvad ka võrdset kohtlemist edendavad vabaühendused, et edendada nende oskusi kaasata noori oma töösse.</w:t>
      </w:r>
    </w:p>
    <w:p w14:paraId="34E0D7DF" w14:textId="77777777" w:rsidR="009066EA" w:rsidRPr="00D1102A" w:rsidRDefault="009066EA" w:rsidP="00D1102A">
      <w:pPr>
        <w:widowControl/>
        <w:tabs>
          <w:tab w:val="left" w:pos="142"/>
        </w:tabs>
        <w:suppressAutoHyphens w:val="0"/>
        <w:spacing w:line="240" w:lineRule="auto"/>
        <w:ind w:left="125"/>
        <w:rPr>
          <w:rFonts w:asciiTheme="majorBidi" w:hAnsiTheme="majorBidi" w:cstheme="majorBidi"/>
          <w:b/>
          <w:bCs/>
        </w:rPr>
      </w:pPr>
    </w:p>
    <w:p w14:paraId="74FF053E" w14:textId="1BF8CE4F"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r w:rsidRPr="00D1102A">
        <w:rPr>
          <w:rFonts w:asciiTheme="majorBidi" w:hAnsiTheme="majorBidi" w:cstheme="majorBidi"/>
          <w:b/>
          <w:bCs/>
        </w:rPr>
        <w:t>Sooline võrdõiguslikkus</w:t>
      </w:r>
      <w:r w:rsidRPr="00D1102A">
        <w:rPr>
          <w:rFonts w:asciiTheme="majorBidi" w:hAnsiTheme="majorBidi" w:cstheme="majorBidi"/>
        </w:rPr>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1F0701DF"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35C2393A" w14:textId="55C39B27" w:rsidR="002B35D6" w:rsidRPr="00D1102A" w:rsidRDefault="002B35D6"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Ligipääsetavus</w:t>
      </w:r>
      <w:r w:rsidR="009066EA" w:rsidRPr="00D1102A">
        <w:rPr>
          <w:rFonts w:asciiTheme="majorBidi" w:hAnsiTheme="majorBidi" w:cstheme="majorBidi"/>
          <w:b/>
          <w:bCs/>
        </w:rPr>
        <w:t xml:space="preserve"> </w:t>
      </w:r>
      <w:r w:rsidRPr="00D1102A">
        <w:rPr>
          <w:rFonts w:asciiTheme="majorBidi" w:hAnsiTheme="majorBidi" w:cstheme="majorBidi"/>
        </w:rPr>
        <w:t xml:space="preserve">- </w:t>
      </w:r>
      <w:r w:rsidR="001E67D7" w:rsidRPr="00D1102A">
        <w:rPr>
          <w:rFonts w:asciiTheme="majorBidi" w:hAnsiTheme="majorBidi" w:cstheme="majorBidi"/>
        </w:rPr>
        <w:t xml:space="preserve">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50F57D71"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41EE272F" w14:textId="3A235645"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Tegevused panustavad regionaalsesse tasakaalustatud arengusse</w:t>
      </w:r>
      <w:r w:rsidRPr="00D1102A">
        <w:rPr>
          <w:rFonts w:asciiTheme="majorBidi" w:hAnsiTheme="majorBidi" w:cstheme="majorBidi"/>
        </w:rPr>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08ACCA87" w14:textId="52BAF3BA"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rPr>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14:paraId="273A3D01" w14:textId="77777777" w:rsidR="002B35D6" w:rsidRPr="00D1102A" w:rsidRDefault="002B35D6" w:rsidP="00D1102A">
      <w:pPr>
        <w:widowControl/>
        <w:tabs>
          <w:tab w:val="left" w:pos="142"/>
        </w:tabs>
        <w:suppressAutoHyphens w:val="0"/>
        <w:spacing w:line="240" w:lineRule="auto"/>
        <w:rPr>
          <w:rFonts w:asciiTheme="majorBidi" w:hAnsiTheme="majorBidi" w:cstheme="majorBidi"/>
        </w:rPr>
      </w:pPr>
    </w:p>
    <w:p w14:paraId="2E5219E8" w14:textId="4D998CE5" w:rsidR="001E3E5D" w:rsidRPr="00D1102A" w:rsidRDefault="002B35D6"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 xml:space="preserve">Tegevused panustavad </w:t>
      </w:r>
      <w:r w:rsidR="001E3E5D" w:rsidRPr="00D1102A">
        <w:rPr>
          <w:rFonts w:asciiTheme="majorBidi" w:hAnsiTheme="majorBidi" w:cstheme="majorBidi"/>
          <w:b/>
          <w:bCs/>
        </w:rPr>
        <w:t>KOVide haldus- ja arendusvõimekus</w:t>
      </w:r>
      <w:r w:rsidRPr="00D1102A">
        <w:rPr>
          <w:rFonts w:asciiTheme="majorBidi" w:hAnsiTheme="majorBidi" w:cstheme="majorBidi"/>
          <w:b/>
          <w:bCs/>
        </w:rPr>
        <w:t xml:space="preserve">se - </w:t>
      </w:r>
      <w:r w:rsidR="001E3E5D" w:rsidRPr="00D1102A">
        <w:rPr>
          <w:rFonts w:asciiTheme="majorBidi" w:hAnsiTheme="majorBidi" w:cstheme="majorBidi"/>
        </w:rPr>
        <w:t xml:space="preserve">tegevuste raames </w:t>
      </w:r>
      <w:r w:rsidRPr="00D1102A">
        <w:rPr>
          <w:rFonts w:asciiTheme="majorBidi" w:hAnsiTheme="majorBidi" w:cstheme="majorBidi"/>
        </w:rPr>
        <w:t xml:space="preserve">arendatakse </w:t>
      </w:r>
      <w:r w:rsidR="001E3E5D" w:rsidRPr="00D1102A">
        <w:rPr>
          <w:rFonts w:asciiTheme="majorBidi" w:hAnsiTheme="majorBidi" w:cstheme="majorBidi"/>
        </w:rPr>
        <w:t xml:space="preserve">nii maakondlike kodanikuühiskonna konsultantide kui ka kohalike omavalitsuste </w:t>
      </w:r>
      <w:r w:rsidR="001E3E5D" w:rsidRPr="00D1102A">
        <w:rPr>
          <w:rFonts w:asciiTheme="majorBidi" w:hAnsiTheme="majorBidi" w:cstheme="majorBidi"/>
        </w:rPr>
        <w:lastRenderedPageBreak/>
        <w:t>esindajate (näiteks noorsootöötajad, kogukonna koordinaatorid, heaolu ja/või turvalisuse koordinaatorid) teadmisi ja oskusi kaasata noori vabaühenduste tegevustesse. Selleks viiakse läbi ettevalmistavas etapis</w:t>
      </w:r>
      <w:r w:rsidRPr="00D1102A">
        <w:rPr>
          <w:rFonts w:asciiTheme="majorBidi" w:hAnsiTheme="majorBidi" w:cstheme="majorBidi"/>
        </w:rPr>
        <w:t xml:space="preserve"> läbi ümarlaudu maakondades ja kohalikes omavalitsustes, et</w:t>
      </w:r>
      <w:r w:rsidR="001E3E5D" w:rsidRPr="00D1102A">
        <w:rPr>
          <w:rFonts w:asciiTheme="majorBidi" w:hAnsiTheme="majorBidi" w:cstheme="majorBidi"/>
        </w:rPr>
        <w:t xml:space="preserve"> kaardista</w:t>
      </w:r>
      <w:r w:rsidRPr="00D1102A">
        <w:rPr>
          <w:rFonts w:asciiTheme="majorBidi" w:hAnsiTheme="majorBidi" w:cstheme="majorBidi"/>
        </w:rPr>
        <w:t xml:space="preserve">da vabaühenduste võimekus oma tegevustesse lapsi ja noori kaasata. </w:t>
      </w:r>
    </w:p>
    <w:p w14:paraId="462CF7AA" w14:textId="77777777"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p>
    <w:sectPr w:rsidR="009066EA" w:rsidRPr="00D1102A"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FCCCB" w14:textId="77777777" w:rsidR="009339EE" w:rsidRDefault="009339EE" w:rsidP="00DF44DF">
      <w:r>
        <w:separator/>
      </w:r>
    </w:p>
  </w:endnote>
  <w:endnote w:type="continuationSeparator" w:id="0">
    <w:p w14:paraId="4FB7A920" w14:textId="77777777" w:rsidR="009339EE" w:rsidRDefault="009339E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5BC19BCA"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69EC4" w14:textId="77777777" w:rsidR="009339EE" w:rsidRDefault="009339EE" w:rsidP="00DF44DF">
      <w:r>
        <w:separator/>
      </w:r>
    </w:p>
  </w:footnote>
  <w:footnote w:type="continuationSeparator" w:id="0">
    <w:p w14:paraId="48767BF6" w14:textId="77777777" w:rsidR="009339EE" w:rsidRDefault="009339EE" w:rsidP="00DF44DF">
      <w:r>
        <w:continuationSeparator/>
      </w:r>
    </w:p>
  </w:footnote>
  <w:footnote w:id="1">
    <w:p w14:paraId="6969952D" w14:textId="77777777" w:rsidR="00FE03F5" w:rsidRPr="007D63FA" w:rsidRDefault="00FE03F5" w:rsidP="00FE03F5">
      <w:pPr>
        <w:pStyle w:val="FootnoteText"/>
        <w:rPr>
          <w:lang w:val="fi-FI"/>
        </w:rPr>
      </w:pPr>
      <w:r>
        <w:rPr>
          <w:rStyle w:val="FootnoteReference"/>
        </w:rPr>
        <w:footnoteRef/>
      </w:r>
      <w:r w:rsidRPr="007D63FA">
        <w:rPr>
          <w:lang w:val="fi-FI"/>
        </w:rPr>
        <w:t xml:space="preserve"> Näidatakse perioodi algus- ja lõppkuupäev.</w:t>
      </w:r>
    </w:p>
  </w:footnote>
  <w:footnote w:id="2">
    <w:p w14:paraId="68A573E8" w14:textId="77777777" w:rsidR="00FE03F5" w:rsidRPr="007D63FA" w:rsidRDefault="00FE03F5" w:rsidP="00FE03F5">
      <w:pPr>
        <w:pStyle w:val="FootnoteText"/>
        <w:rPr>
          <w:lang w:val="et-EE"/>
        </w:rPr>
      </w:pPr>
      <w:r>
        <w:rPr>
          <w:rStyle w:val="FootnoteReference"/>
        </w:rPr>
        <w:footnoteRef/>
      </w:r>
      <w:r w:rsidRPr="007D63FA">
        <w:rPr>
          <w:lang w:val="fi-FI"/>
        </w:rPr>
        <w:t xml:space="preserve"> </w:t>
      </w:r>
      <w:r>
        <w:rPr>
          <w:lang w:val="et-EE"/>
        </w:rPr>
        <w:t>Näitaja nimetus on sätestatud TAT-is.</w:t>
      </w:r>
    </w:p>
  </w:footnote>
  <w:footnote w:id="3">
    <w:p w14:paraId="2E5C724F" w14:textId="77777777" w:rsidR="00FE03F5" w:rsidRPr="007D63FA" w:rsidRDefault="00FE03F5" w:rsidP="00FE03F5">
      <w:pPr>
        <w:pStyle w:val="FootnoteText"/>
        <w:rPr>
          <w:lang w:val="et-EE"/>
        </w:rPr>
      </w:pPr>
      <w:r>
        <w:rPr>
          <w:rStyle w:val="FootnoteReferenc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6F3"/>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449704C0"/>
    <w:multiLevelType w:val="multilevel"/>
    <w:tmpl w:val="C9765BE6"/>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FB7D4E"/>
    <w:multiLevelType w:val="hybridMultilevel"/>
    <w:tmpl w:val="BD002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7562E7"/>
    <w:multiLevelType w:val="multilevel"/>
    <w:tmpl w:val="1A9418A4"/>
    <w:lvl w:ilvl="0">
      <w:start w:val="2"/>
      <w:numFmt w:val="decimal"/>
      <w:lvlText w:val="%1"/>
      <w:lvlJc w:val="left"/>
      <w:pPr>
        <w:ind w:left="780" w:hanging="780"/>
      </w:pPr>
      <w:rPr>
        <w:rFonts w:asciiTheme="majorHAnsi" w:hAnsiTheme="majorHAnsi" w:cs="Mangal" w:hint="default"/>
        <w:color w:val="365F91" w:themeColor="accent1" w:themeShade="BF"/>
        <w:sz w:val="26"/>
      </w:rPr>
    </w:lvl>
    <w:lvl w:ilvl="1">
      <w:start w:val="2"/>
      <w:numFmt w:val="decimal"/>
      <w:lvlText w:val="%1.%2"/>
      <w:lvlJc w:val="left"/>
      <w:pPr>
        <w:ind w:left="1063" w:hanging="780"/>
      </w:pPr>
      <w:rPr>
        <w:rFonts w:asciiTheme="majorHAnsi" w:hAnsiTheme="majorHAnsi" w:cs="Mangal" w:hint="default"/>
        <w:color w:val="365F91" w:themeColor="accent1" w:themeShade="BF"/>
        <w:sz w:val="26"/>
      </w:rPr>
    </w:lvl>
    <w:lvl w:ilvl="2">
      <w:start w:val="3"/>
      <w:numFmt w:val="decimal"/>
      <w:lvlText w:val="%1.%2.%3"/>
      <w:lvlJc w:val="left"/>
      <w:pPr>
        <w:ind w:left="1346" w:hanging="780"/>
      </w:pPr>
      <w:rPr>
        <w:rFonts w:asciiTheme="majorHAnsi" w:hAnsiTheme="majorHAnsi" w:cs="Mangal" w:hint="default"/>
        <w:color w:val="365F91" w:themeColor="accent1" w:themeShade="BF"/>
        <w:sz w:val="26"/>
      </w:rPr>
    </w:lvl>
    <w:lvl w:ilvl="3">
      <w:start w:val="1"/>
      <w:numFmt w:val="decimal"/>
      <w:lvlText w:val="%1.%2.%3.%4"/>
      <w:lvlJc w:val="left"/>
      <w:pPr>
        <w:ind w:left="1629" w:hanging="780"/>
      </w:pPr>
      <w:rPr>
        <w:rFonts w:asciiTheme="majorHAnsi" w:hAnsiTheme="majorHAnsi" w:cs="Mangal" w:hint="default"/>
        <w:color w:val="365F91" w:themeColor="accent1" w:themeShade="BF"/>
        <w:sz w:val="26"/>
      </w:rPr>
    </w:lvl>
    <w:lvl w:ilvl="4">
      <w:start w:val="1"/>
      <w:numFmt w:val="decimal"/>
      <w:lvlText w:val="%1.%2.%3.%4.%5"/>
      <w:lvlJc w:val="left"/>
      <w:pPr>
        <w:ind w:left="2212" w:hanging="1080"/>
      </w:pPr>
      <w:rPr>
        <w:rFonts w:asciiTheme="majorHAnsi" w:hAnsiTheme="majorHAnsi" w:cs="Mangal" w:hint="default"/>
        <w:color w:val="365F91" w:themeColor="accent1" w:themeShade="BF"/>
        <w:sz w:val="26"/>
      </w:rPr>
    </w:lvl>
    <w:lvl w:ilvl="5">
      <w:start w:val="1"/>
      <w:numFmt w:val="decimal"/>
      <w:lvlText w:val="%1.%2.%3.%4.%5.%6"/>
      <w:lvlJc w:val="left"/>
      <w:pPr>
        <w:ind w:left="2495" w:hanging="1080"/>
      </w:pPr>
      <w:rPr>
        <w:rFonts w:asciiTheme="majorHAnsi" w:hAnsiTheme="majorHAnsi" w:cs="Mangal" w:hint="default"/>
        <w:color w:val="365F91" w:themeColor="accent1" w:themeShade="BF"/>
        <w:sz w:val="26"/>
      </w:rPr>
    </w:lvl>
    <w:lvl w:ilvl="6">
      <w:start w:val="1"/>
      <w:numFmt w:val="decimal"/>
      <w:lvlText w:val="%1.%2.%3.%4.%5.%6.%7"/>
      <w:lvlJc w:val="left"/>
      <w:pPr>
        <w:ind w:left="3138" w:hanging="1440"/>
      </w:pPr>
      <w:rPr>
        <w:rFonts w:asciiTheme="majorHAnsi" w:hAnsiTheme="majorHAnsi" w:cs="Mangal" w:hint="default"/>
        <w:color w:val="365F91" w:themeColor="accent1" w:themeShade="BF"/>
        <w:sz w:val="26"/>
      </w:rPr>
    </w:lvl>
    <w:lvl w:ilvl="7">
      <w:start w:val="1"/>
      <w:numFmt w:val="decimal"/>
      <w:lvlText w:val="%1.%2.%3.%4.%5.%6.%7.%8"/>
      <w:lvlJc w:val="left"/>
      <w:pPr>
        <w:ind w:left="3421" w:hanging="1440"/>
      </w:pPr>
      <w:rPr>
        <w:rFonts w:asciiTheme="majorHAnsi" w:hAnsiTheme="majorHAnsi" w:cs="Mangal" w:hint="default"/>
        <w:color w:val="365F91" w:themeColor="accent1" w:themeShade="BF"/>
        <w:sz w:val="26"/>
      </w:rPr>
    </w:lvl>
    <w:lvl w:ilvl="8">
      <w:start w:val="1"/>
      <w:numFmt w:val="decimal"/>
      <w:lvlText w:val="%1.%2.%3.%4.%5.%6.%7.%8.%9"/>
      <w:lvlJc w:val="left"/>
      <w:pPr>
        <w:ind w:left="4064" w:hanging="1800"/>
      </w:pPr>
      <w:rPr>
        <w:rFonts w:asciiTheme="majorHAnsi" w:hAnsiTheme="majorHAnsi" w:cs="Mangal" w:hint="default"/>
        <w:color w:val="365F91" w:themeColor="accent1" w:themeShade="BF"/>
        <w:sz w:val="26"/>
      </w:rPr>
    </w:lvl>
  </w:abstractNum>
  <w:num w:numId="1" w16cid:durableId="369572318">
    <w:abstractNumId w:val="1"/>
  </w:num>
  <w:num w:numId="2" w16cid:durableId="1970747478">
    <w:abstractNumId w:val="0"/>
  </w:num>
  <w:num w:numId="3" w16cid:durableId="1249117319">
    <w:abstractNumId w:val="4"/>
  </w:num>
  <w:num w:numId="4" w16cid:durableId="1946769764">
    <w:abstractNumId w:val="2"/>
  </w:num>
  <w:num w:numId="5" w16cid:durableId="2473538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3D51"/>
    <w:rsid w:val="00012400"/>
    <w:rsid w:val="0001413B"/>
    <w:rsid w:val="00017C88"/>
    <w:rsid w:val="00027D93"/>
    <w:rsid w:val="0004665A"/>
    <w:rsid w:val="00060947"/>
    <w:rsid w:val="000708EC"/>
    <w:rsid w:val="000716B5"/>
    <w:rsid w:val="00073127"/>
    <w:rsid w:val="00083A8E"/>
    <w:rsid w:val="00084941"/>
    <w:rsid w:val="0009060C"/>
    <w:rsid w:val="000913FC"/>
    <w:rsid w:val="00094FEC"/>
    <w:rsid w:val="000C53FF"/>
    <w:rsid w:val="000D17E9"/>
    <w:rsid w:val="000E4F8D"/>
    <w:rsid w:val="000E50F4"/>
    <w:rsid w:val="000F5E80"/>
    <w:rsid w:val="000F7F07"/>
    <w:rsid w:val="001108B5"/>
    <w:rsid w:val="00110BCA"/>
    <w:rsid w:val="00124999"/>
    <w:rsid w:val="00165CC1"/>
    <w:rsid w:val="00175175"/>
    <w:rsid w:val="001841A2"/>
    <w:rsid w:val="00186343"/>
    <w:rsid w:val="0019795F"/>
    <w:rsid w:val="001A4260"/>
    <w:rsid w:val="001A7D04"/>
    <w:rsid w:val="001B434F"/>
    <w:rsid w:val="001C0595"/>
    <w:rsid w:val="001D4CFB"/>
    <w:rsid w:val="001E3E5D"/>
    <w:rsid w:val="001E67D7"/>
    <w:rsid w:val="001F3685"/>
    <w:rsid w:val="002008A2"/>
    <w:rsid w:val="00201574"/>
    <w:rsid w:val="0022269C"/>
    <w:rsid w:val="00242E4D"/>
    <w:rsid w:val="00262ADC"/>
    <w:rsid w:val="0026456A"/>
    <w:rsid w:val="00270AF3"/>
    <w:rsid w:val="00277610"/>
    <w:rsid w:val="002835BB"/>
    <w:rsid w:val="002903DE"/>
    <w:rsid w:val="00293449"/>
    <w:rsid w:val="002970D6"/>
    <w:rsid w:val="002B35D6"/>
    <w:rsid w:val="002E5053"/>
    <w:rsid w:val="002F254F"/>
    <w:rsid w:val="003050AB"/>
    <w:rsid w:val="00354059"/>
    <w:rsid w:val="00354DA2"/>
    <w:rsid w:val="003617AE"/>
    <w:rsid w:val="003836B4"/>
    <w:rsid w:val="00394DCB"/>
    <w:rsid w:val="0039746E"/>
    <w:rsid w:val="003A0707"/>
    <w:rsid w:val="003B2A9C"/>
    <w:rsid w:val="003D76F1"/>
    <w:rsid w:val="00422A99"/>
    <w:rsid w:val="00435A13"/>
    <w:rsid w:val="0044084D"/>
    <w:rsid w:val="00450989"/>
    <w:rsid w:val="00487B6F"/>
    <w:rsid w:val="004A3512"/>
    <w:rsid w:val="004C1391"/>
    <w:rsid w:val="004D1C94"/>
    <w:rsid w:val="004D2989"/>
    <w:rsid w:val="004D3ACE"/>
    <w:rsid w:val="004E39D2"/>
    <w:rsid w:val="0050252A"/>
    <w:rsid w:val="005257CD"/>
    <w:rsid w:val="00546204"/>
    <w:rsid w:val="00551E24"/>
    <w:rsid w:val="00557534"/>
    <w:rsid w:val="00560A92"/>
    <w:rsid w:val="00560B2E"/>
    <w:rsid w:val="0056160C"/>
    <w:rsid w:val="00562278"/>
    <w:rsid w:val="00564569"/>
    <w:rsid w:val="00566D45"/>
    <w:rsid w:val="005927C1"/>
    <w:rsid w:val="005B56F8"/>
    <w:rsid w:val="005B5CE1"/>
    <w:rsid w:val="005B5E78"/>
    <w:rsid w:val="005B7641"/>
    <w:rsid w:val="005C353B"/>
    <w:rsid w:val="005E3AED"/>
    <w:rsid w:val="005E45BB"/>
    <w:rsid w:val="00602834"/>
    <w:rsid w:val="006127A9"/>
    <w:rsid w:val="0062794E"/>
    <w:rsid w:val="0063139A"/>
    <w:rsid w:val="006501F8"/>
    <w:rsid w:val="00680609"/>
    <w:rsid w:val="006834DC"/>
    <w:rsid w:val="00692618"/>
    <w:rsid w:val="006E16BD"/>
    <w:rsid w:val="006F3BB9"/>
    <w:rsid w:val="006F72D7"/>
    <w:rsid w:val="007056E1"/>
    <w:rsid w:val="0070684C"/>
    <w:rsid w:val="00713327"/>
    <w:rsid w:val="0072322C"/>
    <w:rsid w:val="007278B1"/>
    <w:rsid w:val="007523FA"/>
    <w:rsid w:val="0075695A"/>
    <w:rsid w:val="0076054B"/>
    <w:rsid w:val="00760D0D"/>
    <w:rsid w:val="00780A04"/>
    <w:rsid w:val="00793A3C"/>
    <w:rsid w:val="00794AE5"/>
    <w:rsid w:val="007A0183"/>
    <w:rsid w:val="007A1DE8"/>
    <w:rsid w:val="007A460D"/>
    <w:rsid w:val="007B476E"/>
    <w:rsid w:val="007D1619"/>
    <w:rsid w:val="007D2BF1"/>
    <w:rsid w:val="007D54FC"/>
    <w:rsid w:val="007E773A"/>
    <w:rsid w:val="007F55B0"/>
    <w:rsid w:val="008145F3"/>
    <w:rsid w:val="00816877"/>
    <w:rsid w:val="00835858"/>
    <w:rsid w:val="0084210E"/>
    <w:rsid w:val="008423C5"/>
    <w:rsid w:val="0084562D"/>
    <w:rsid w:val="00857338"/>
    <w:rsid w:val="00887072"/>
    <w:rsid w:val="008919F2"/>
    <w:rsid w:val="0089276C"/>
    <w:rsid w:val="008B05E5"/>
    <w:rsid w:val="008D4634"/>
    <w:rsid w:val="008F0B50"/>
    <w:rsid w:val="009066EA"/>
    <w:rsid w:val="0091653B"/>
    <w:rsid w:val="0091786B"/>
    <w:rsid w:val="00927FC9"/>
    <w:rsid w:val="00932CDE"/>
    <w:rsid w:val="009339EE"/>
    <w:rsid w:val="009370A4"/>
    <w:rsid w:val="00957DD1"/>
    <w:rsid w:val="00965807"/>
    <w:rsid w:val="009709A8"/>
    <w:rsid w:val="00976F7E"/>
    <w:rsid w:val="009E4187"/>
    <w:rsid w:val="009E7F4A"/>
    <w:rsid w:val="00A03D52"/>
    <w:rsid w:val="00A10E66"/>
    <w:rsid w:val="00A1244E"/>
    <w:rsid w:val="00A14D83"/>
    <w:rsid w:val="00A26053"/>
    <w:rsid w:val="00A34DF9"/>
    <w:rsid w:val="00A3675B"/>
    <w:rsid w:val="00A462FA"/>
    <w:rsid w:val="00A5040D"/>
    <w:rsid w:val="00A5558A"/>
    <w:rsid w:val="00A6106F"/>
    <w:rsid w:val="00A95154"/>
    <w:rsid w:val="00AD2EA7"/>
    <w:rsid w:val="00AD32F2"/>
    <w:rsid w:val="00AE7DDE"/>
    <w:rsid w:val="00B05201"/>
    <w:rsid w:val="00B10A8F"/>
    <w:rsid w:val="00B12336"/>
    <w:rsid w:val="00B22D3E"/>
    <w:rsid w:val="00B22D8E"/>
    <w:rsid w:val="00B32E9C"/>
    <w:rsid w:val="00B33EDF"/>
    <w:rsid w:val="00B467D7"/>
    <w:rsid w:val="00B7283E"/>
    <w:rsid w:val="00B76C8F"/>
    <w:rsid w:val="00B81632"/>
    <w:rsid w:val="00B90A77"/>
    <w:rsid w:val="00B9596B"/>
    <w:rsid w:val="00BC1A62"/>
    <w:rsid w:val="00BD078E"/>
    <w:rsid w:val="00BD3CCF"/>
    <w:rsid w:val="00BF4D7C"/>
    <w:rsid w:val="00BF6B6F"/>
    <w:rsid w:val="00C110FE"/>
    <w:rsid w:val="00C24F66"/>
    <w:rsid w:val="00C27B07"/>
    <w:rsid w:val="00C41FC5"/>
    <w:rsid w:val="00C83346"/>
    <w:rsid w:val="00C85452"/>
    <w:rsid w:val="00C90E39"/>
    <w:rsid w:val="00CA583B"/>
    <w:rsid w:val="00CA5F0B"/>
    <w:rsid w:val="00CB2391"/>
    <w:rsid w:val="00CB42F7"/>
    <w:rsid w:val="00CB73D1"/>
    <w:rsid w:val="00CD3A9E"/>
    <w:rsid w:val="00CF2B77"/>
    <w:rsid w:val="00CF4303"/>
    <w:rsid w:val="00CF6EB2"/>
    <w:rsid w:val="00D060A5"/>
    <w:rsid w:val="00D1102A"/>
    <w:rsid w:val="00D40650"/>
    <w:rsid w:val="00D41440"/>
    <w:rsid w:val="00D559F8"/>
    <w:rsid w:val="00D72485"/>
    <w:rsid w:val="00D8202D"/>
    <w:rsid w:val="00D82747"/>
    <w:rsid w:val="00DB573E"/>
    <w:rsid w:val="00DD7825"/>
    <w:rsid w:val="00DF0FA6"/>
    <w:rsid w:val="00DF44DF"/>
    <w:rsid w:val="00E023F6"/>
    <w:rsid w:val="00E03DBB"/>
    <w:rsid w:val="00E206C5"/>
    <w:rsid w:val="00E2683E"/>
    <w:rsid w:val="00E576CA"/>
    <w:rsid w:val="00E6194D"/>
    <w:rsid w:val="00E751FB"/>
    <w:rsid w:val="00EB3F88"/>
    <w:rsid w:val="00ED0FAF"/>
    <w:rsid w:val="00ED1E4E"/>
    <w:rsid w:val="00EE4FCE"/>
    <w:rsid w:val="00EF6CBF"/>
    <w:rsid w:val="00F0322B"/>
    <w:rsid w:val="00F122D1"/>
    <w:rsid w:val="00F21816"/>
    <w:rsid w:val="00F25A4E"/>
    <w:rsid w:val="00F34981"/>
    <w:rsid w:val="00F42718"/>
    <w:rsid w:val="00F505B1"/>
    <w:rsid w:val="00F9645B"/>
    <w:rsid w:val="00FB1EDF"/>
    <w:rsid w:val="00FD4017"/>
    <w:rsid w:val="00FE03F5"/>
    <w:rsid w:val="00FE346A"/>
    <w:rsid w:val="00FF5F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2D8BB6-0CFF-4FC7-BAA3-AEEF42E38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1</TotalTime>
  <Pages>5</Pages>
  <Words>1448</Words>
  <Characters>8404</Characters>
  <Application>Microsoft Office Word</Application>
  <DocSecurity>0</DocSecurity>
  <Lines>70</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cp:lastModifiedBy>
  <cp:revision>3</cp:revision>
  <cp:lastPrinted>2014-04-02T13:57:00Z</cp:lastPrinted>
  <dcterms:created xsi:type="dcterms:W3CDTF">2023-11-07T12:03:00Z</dcterms:created>
  <dcterms:modified xsi:type="dcterms:W3CDTF">2023-11-07T15:03:00Z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