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317F3A" w14:paraId="787F4309" w14:textId="77777777" w:rsidTr="00E47AFA">
        <w:trPr>
          <w:trHeight w:val="2353"/>
        </w:trPr>
        <w:tc>
          <w:tcPr>
            <w:tcW w:w="5387" w:type="dxa"/>
            <w:shd w:val="clear" w:color="auto" w:fill="auto"/>
          </w:tcPr>
          <w:p w14:paraId="2999B57C" w14:textId="77777777" w:rsidR="00317F3A" w:rsidRPr="00A10E66" w:rsidRDefault="00317F3A" w:rsidP="00503A78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5A4F3EA3" wp14:editId="2D22D83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</w:tcPr>
          <w:p w14:paraId="08D40C4C" w14:textId="77777777" w:rsidR="00317F3A" w:rsidRPr="00BC1A62" w:rsidRDefault="00317F3A" w:rsidP="00503A78">
            <w:pPr>
              <w:pStyle w:val="AK"/>
              <w:jc w:val="both"/>
            </w:pPr>
          </w:p>
          <w:p w14:paraId="49E88691" w14:textId="77777777" w:rsidR="00317F3A" w:rsidRPr="00BC1A62" w:rsidRDefault="00317F3A" w:rsidP="00503A78"/>
        </w:tc>
      </w:tr>
      <w:tr w:rsidR="00317F3A" w:rsidRPr="001D4CFB" w14:paraId="17D59DC2" w14:textId="77777777" w:rsidTr="00E47AFA">
        <w:trPr>
          <w:trHeight w:val="1531"/>
        </w:trPr>
        <w:tc>
          <w:tcPr>
            <w:tcW w:w="5387" w:type="dxa"/>
            <w:shd w:val="clear" w:color="auto" w:fill="auto"/>
          </w:tcPr>
          <w:p w14:paraId="453BB2B8" w14:textId="77777777" w:rsidR="00E41702" w:rsidRDefault="00E41702" w:rsidP="00503A78">
            <w:pPr>
              <w:pStyle w:val="Liik"/>
              <w:jc w:val="both"/>
            </w:pPr>
            <w:r>
              <w:t>Määrus</w:t>
            </w:r>
          </w:p>
          <w:p w14:paraId="1E441FD4" w14:textId="77777777" w:rsidR="00E41702" w:rsidRPr="006B118C" w:rsidRDefault="00E41702" w:rsidP="00503A78"/>
          <w:p w14:paraId="3685B978" w14:textId="77777777" w:rsidR="00317F3A" w:rsidRPr="006B118C" w:rsidRDefault="00317F3A" w:rsidP="00503A78"/>
        </w:tc>
        <w:tc>
          <w:tcPr>
            <w:tcW w:w="3685" w:type="dxa"/>
            <w:shd w:val="clear" w:color="auto" w:fill="auto"/>
          </w:tcPr>
          <w:p w14:paraId="432905F0" w14:textId="62F71325" w:rsidR="00317F3A" w:rsidRPr="0076054B" w:rsidRDefault="00097FC4" w:rsidP="00503A78">
            <w:pPr>
              <w:pStyle w:val="Kuupev1"/>
              <w:jc w:val="both"/>
              <w:rPr>
                <w:i/>
                <w:iCs/>
              </w:rPr>
            </w:pPr>
            <w:r>
              <w:fldChar w:fldCharType="begin"/>
            </w:r>
            <w:r w:rsidR="0073117F">
              <w:instrText xml:space="preserve"> delta_regDateTime  \* MERGEFORMAT</w:instrText>
            </w:r>
            <w:r>
              <w:fldChar w:fldCharType="separate"/>
            </w:r>
            <w:r w:rsidR="0073117F">
              <w:t>05.05.2025</w:t>
            </w:r>
            <w:r>
              <w:fldChar w:fldCharType="end"/>
            </w:r>
            <w:r w:rsidR="00317F3A">
              <w:t xml:space="preserve">  nr </w:t>
            </w:r>
            <w:r w:rsidR="00A02530">
              <w:fldChar w:fldCharType="begin"/>
            </w:r>
            <w:r w:rsidR="0073117F">
              <w:instrText xml:space="preserve"> delta_regNumber  \* MERGEFORMAT</w:instrText>
            </w:r>
            <w:r w:rsidR="00A02530">
              <w:fldChar w:fldCharType="separate"/>
            </w:r>
            <w:r w:rsidR="0073117F">
              <w:t>10</w:t>
            </w:r>
            <w:r w:rsidR="00A02530">
              <w:fldChar w:fldCharType="end"/>
            </w:r>
          </w:p>
        </w:tc>
      </w:tr>
      <w:tr w:rsidR="00317F3A" w:rsidRPr="001D4CFB" w14:paraId="57B6022E" w14:textId="77777777" w:rsidTr="00E47AFA">
        <w:trPr>
          <w:trHeight w:val="624"/>
        </w:trPr>
        <w:tc>
          <w:tcPr>
            <w:tcW w:w="5387" w:type="dxa"/>
            <w:shd w:val="clear" w:color="auto" w:fill="auto"/>
          </w:tcPr>
          <w:p w14:paraId="7911DF95" w14:textId="7AFC1BF2" w:rsidR="00317F3A" w:rsidRDefault="00A02530" w:rsidP="00503A78">
            <w:pPr>
              <w:pStyle w:val="Pealkiri1"/>
              <w:jc w:val="both"/>
            </w:pPr>
            <w:r>
              <w:fldChar w:fldCharType="begin"/>
            </w:r>
            <w:r w:rsidR="0073117F">
              <w:instrText xml:space="preserve"> delta_docName  \* MERGEFORMAT</w:instrText>
            </w:r>
            <w:r>
              <w:fldChar w:fldCharType="separate"/>
            </w:r>
            <w:r w:rsidR="0073117F">
              <w:t>Majandus- ja infotehnoloogiaministri 31. jaanuari 2024. a määruse nr 5 „Ettevõtte arenguprogrammi toetus“ muutmine</w:t>
            </w:r>
            <w: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14:paraId="3DBB5B9A" w14:textId="77777777" w:rsidR="00317F3A" w:rsidRDefault="00317F3A" w:rsidP="00503A78"/>
        </w:tc>
      </w:tr>
    </w:tbl>
    <w:p w14:paraId="0B2BDF2A" w14:textId="77777777" w:rsidR="00107596" w:rsidRPr="004F1C74" w:rsidRDefault="00107596" w:rsidP="00503A78">
      <w:pPr>
        <w:pStyle w:val="Tekst"/>
        <w:rPr>
          <w:rFonts w:cs="Times New Roman"/>
          <w:color w:val="202020"/>
          <w:shd w:val="clear" w:color="auto" w:fill="FFFFFF"/>
        </w:rPr>
      </w:pPr>
      <w:r w:rsidRPr="00DE15A4">
        <w:rPr>
          <w:rFonts w:cs="Times New Roman"/>
          <w:color w:val="202020"/>
          <w:shd w:val="clear" w:color="auto" w:fill="FFFFFF"/>
        </w:rPr>
        <w:t xml:space="preserve">Määrus </w:t>
      </w:r>
      <w:r w:rsidRPr="00DE15A4">
        <w:rPr>
          <w:rFonts w:cs="Times New Roman"/>
          <w:shd w:val="clear" w:color="auto" w:fill="FFFFFF"/>
        </w:rPr>
        <w:t>kehtestatakse</w:t>
      </w:r>
      <w:r>
        <w:rPr>
          <w:rFonts w:cs="Times New Roman"/>
          <w:shd w:val="clear" w:color="auto" w:fill="FFFFFF"/>
        </w:rPr>
        <w:t xml:space="preserve"> </w:t>
      </w:r>
      <w:hyperlink r:id="rId5" w:history="1">
        <w:r w:rsidRPr="00DE15A4">
          <w:rPr>
            <w:rFonts w:cs="Times New Roman"/>
            <w:bdr w:val="none" w:sz="0" w:space="0" w:color="auto" w:frame="1"/>
            <w:shd w:val="clear" w:color="auto" w:fill="FFFFFF"/>
          </w:rPr>
          <w:t xml:space="preserve">perioodi 2021–2027 Euroopa Liidu ühtekuuluvus- ja </w:t>
        </w:r>
        <w:proofErr w:type="spellStart"/>
        <w:r w:rsidRPr="00DE15A4">
          <w:rPr>
            <w:rFonts w:cs="Times New Roman"/>
            <w:bdr w:val="none" w:sz="0" w:space="0" w:color="auto" w:frame="1"/>
            <w:shd w:val="clear" w:color="auto" w:fill="FFFFFF"/>
          </w:rPr>
          <w:t>siseturvalisuspoliitika</w:t>
        </w:r>
        <w:proofErr w:type="spellEnd"/>
        <w:r w:rsidRPr="00DE15A4">
          <w:rPr>
            <w:rFonts w:cs="Times New Roman"/>
            <w:bdr w:val="none" w:sz="0" w:space="0" w:color="auto" w:frame="1"/>
            <w:shd w:val="clear" w:color="auto" w:fill="FFFFFF"/>
          </w:rPr>
          <w:t xml:space="preserve"> fondide rakendamise seaduse</w:t>
        </w:r>
      </w:hyperlink>
      <w:r>
        <w:rPr>
          <w:rFonts w:cs="Times New Roman"/>
          <w:shd w:val="clear" w:color="auto" w:fill="FFFFFF"/>
        </w:rPr>
        <w:t xml:space="preserve"> </w:t>
      </w:r>
      <w:r w:rsidRPr="00DE15A4">
        <w:rPr>
          <w:rFonts w:cs="Times New Roman"/>
          <w:color w:val="202020"/>
          <w:shd w:val="clear" w:color="auto" w:fill="FFFFFF"/>
        </w:rPr>
        <w:t>§ </w:t>
      </w:r>
      <w:r w:rsidRPr="004F1C74">
        <w:rPr>
          <w:rFonts w:cs="Times New Roman"/>
          <w:color w:val="202020"/>
          <w:shd w:val="clear" w:color="auto" w:fill="FFFFFF"/>
        </w:rPr>
        <w:t>10 lõike 2 alusel.</w:t>
      </w:r>
    </w:p>
    <w:p w14:paraId="6D59C233" w14:textId="50D3298E" w:rsidR="00194A32" w:rsidRDefault="00194A32" w:rsidP="00503A78">
      <w:pPr>
        <w:pStyle w:val="Tekst"/>
      </w:pPr>
    </w:p>
    <w:p w14:paraId="1EA738F1" w14:textId="77777777" w:rsidR="00107596" w:rsidRPr="004F1C74" w:rsidRDefault="00107596" w:rsidP="00503A78">
      <w:pPr>
        <w:spacing w:line="240" w:lineRule="auto"/>
        <w:contextualSpacing/>
      </w:pPr>
      <w:r w:rsidRPr="004F1C74">
        <w:t>Majandus- ja infotehnoloogiaministri 31. jaanuari 2024. a määruses nr 5 „Ettevõtte arenguprogrammi toetus“ tehakse järgmised muudatused:</w:t>
      </w:r>
    </w:p>
    <w:p w14:paraId="10402788" w14:textId="69F09B1A" w:rsidR="00107596" w:rsidRPr="00AD3314" w:rsidRDefault="00107596" w:rsidP="00503A78">
      <w:pPr>
        <w:spacing w:line="240" w:lineRule="auto"/>
        <w:contextualSpacing/>
      </w:pPr>
    </w:p>
    <w:p w14:paraId="083945CE" w14:textId="5ACCCA8C" w:rsidR="00107596" w:rsidRPr="00DF63D2" w:rsidRDefault="00107596" w:rsidP="00DF63D2">
      <w:r w:rsidRPr="00DF63D2">
        <w:t>1) paragrahvi 1 lõi</w:t>
      </w:r>
      <w:r w:rsidR="00503A78" w:rsidRPr="00DF63D2">
        <w:t>g</w:t>
      </w:r>
      <w:r w:rsidRPr="00DF63D2">
        <w:t>e 3</w:t>
      </w:r>
      <w:r w:rsidR="00503A78" w:rsidRPr="00DF63D2">
        <w:t xml:space="preserve"> </w:t>
      </w:r>
      <w:r w:rsidRPr="00DF63D2">
        <w:t>sõnastatakse järgmiselt:</w:t>
      </w:r>
    </w:p>
    <w:p w14:paraId="1CB26D31" w14:textId="77777777" w:rsidR="00503A78" w:rsidRPr="00DF63D2" w:rsidRDefault="00503A78" w:rsidP="00DF63D2"/>
    <w:p w14:paraId="3DD8634A" w14:textId="2CB794DB" w:rsidR="00503A78" w:rsidRPr="00DF63D2" w:rsidRDefault="00503A78" w:rsidP="00DF63D2">
      <w:pPr>
        <w:pStyle w:val="Tekst"/>
      </w:pPr>
      <w:r w:rsidRPr="00DF63D2">
        <w:t>„</w:t>
      </w:r>
      <w:r w:rsidR="00F00032" w:rsidRPr="00DF63D2">
        <w:t xml:space="preserve">(3) </w:t>
      </w:r>
      <w:r w:rsidRPr="00DF63D2">
        <w:t>Määrust ei kohaldata justiitsministri 28. detsembri 2005. a määruse nr 59 „Kohtule dokumentide esitamise kord” lisas 16 „Eesti majanduse tegevusalade klassifikaator (EMTAK)”</w:t>
      </w:r>
      <w:r w:rsidR="00B93D87" w:rsidRPr="00DF63D2">
        <w:t xml:space="preserve"> (edaspidi EMTAK)</w:t>
      </w:r>
      <w:r w:rsidRPr="00DF63D2">
        <w:t xml:space="preserve"> avaldatud järgmiste tegevusalade projektidele:</w:t>
      </w:r>
    </w:p>
    <w:p w14:paraId="2A4A3CAF" w14:textId="3857299F" w:rsidR="00107596" w:rsidRPr="00DF63D2" w:rsidRDefault="00107596" w:rsidP="00DF63D2">
      <w:pPr>
        <w:pStyle w:val="Tekst"/>
      </w:pPr>
      <w:r w:rsidRPr="00DF63D2">
        <w:t xml:space="preserve">1) põllumajandus, metsamajandus ja kalapüük </w:t>
      </w:r>
      <w:r w:rsidR="008F653D" w:rsidRPr="00DF63D2">
        <w:t>(</w:t>
      </w:r>
      <w:r w:rsidRPr="00DF63D2">
        <w:t>EMTAK, jagu A</w:t>
      </w:r>
      <w:r w:rsidR="008F653D" w:rsidRPr="00DF63D2">
        <w:t>)</w:t>
      </w:r>
      <w:r w:rsidRPr="00DF63D2">
        <w:t xml:space="preserve"> ning kala,</w:t>
      </w:r>
      <w:r w:rsidR="008F653D" w:rsidRPr="00DF63D2">
        <w:t xml:space="preserve"> </w:t>
      </w:r>
      <w:r w:rsidRPr="00DF63D2">
        <w:t xml:space="preserve">koorikloomade ja molluskite töötlemine ja säilitamine </w:t>
      </w:r>
      <w:r w:rsidR="008F653D" w:rsidRPr="00DF63D2">
        <w:t>(</w:t>
      </w:r>
      <w:r w:rsidRPr="00DF63D2">
        <w:t xml:space="preserve">EMTAK, jagu C, </w:t>
      </w:r>
      <w:r w:rsidR="00135B35" w:rsidRPr="00DF63D2">
        <w:t>grupp</w:t>
      </w:r>
      <w:r w:rsidRPr="00DF63D2">
        <w:t xml:space="preserve"> 102</w:t>
      </w:r>
      <w:r w:rsidR="008F653D" w:rsidRPr="00DF63D2">
        <w:t>)</w:t>
      </w:r>
      <w:r w:rsidRPr="00DF63D2">
        <w:t xml:space="preserve">; </w:t>
      </w:r>
    </w:p>
    <w:p w14:paraId="64353E7A" w14:textId="77777777" w:rsidR="00DF63D2" w:rsidRDefault="00107596" w:rsidP="00DF63D2">
      <w:pPr>
        <w:pStyle w:val="Tekst"/>
      </w:pPr>
      <w:r w:rsidRPr="00DF63D2">
        <w:t xml:space="preserve">2) hulgi- ja jaekaubandus </w:t>
      </w:r>
      <w:r w:rsidR="008F653D" w:rsidRPr="00DF63D2">
        <w:t>(</w:t>
      </w:r>
      <w:r w:rsidRPr="00DF63D2">
        <w:t>EMTAK, jagu G</w:t>
      </w:r>
      <w:r w:rsidR="008F653D" w:rsidRPr="00DF63D2">
        <w:t>)</w:t>
      </w:r>
      <w:r w:rsidRPr="00DF63D2">
        <w:t>;</w:t>
      </w:r>
    </w:p>
    <w:p w14:paraId="1850889A" w14:textId="77777777" w:rsidR="00DF63D2" w:rsidRDefault="00107596" w:rsidP="00DF63D2">
      <w:pPr>
        <w:pStyle w:val="Tekst"/>
      </w:pPr>
      <w:r w:rsidRPr="00DF63D2">
        <w:t xml:space="preserve">3) kinnisvaraalane tegevus </w:t>
      </w:r>
      <w:r w:rsidR="008F653D" w:rsidRPr="00DF63D2">
        <w:t>(</w:t>
      </w:r>
      <w:r w:rsidRPr="00DF63D2">
        <w:t>EMTAK, jagu M</w:t>
      </w:r>
      <w:r w:rsidR="008F653D" w:rsidRPr="00DF63D2">
        <w:t>)</w:t>
      </w:r>
      <w:r w:rsidRPr="00DF63D2">
        <w:t>;</w:t>
      </w:r>
    </w:p>
    <w:p w14:paraId="7D6465EC" w14:textId="77777777" w:rsidR="00DF63D2" w:rsidRDefault="00107596" w:rsidP="00DF63D2">
      <w:pPr>
        <w:pStyle w:val="Tekst"/>
      </w:pPr>
      <w:r w:rsidRPr="00DF63D2">
        <w:t xml:space="preserve">4) tubakatoodete tootmine </w:t>
      </w:r>
      <w:r w:rsidR="008F653D" w:rsidRPr="00DF63D2">
        <w:t>(</w:t>
      </w:r>
      <w:r w:rsidRPr="00DF63D2">
        <w:t xml:space="preserve">EMTAK, jagu C, </w:t>
      </w:r>
      <w:r w:rsidR="0091244D" w:rsidRPr="00DF63D2">
        <w:t>grupp</w:t>
      </w:r>
      <w:r w:rsidRPr="00DF63D2">
        <w:t xml:space="preserve"> 120</w:t>
      </w:r>
      <w:r w:rsidR="008F653D" w:rsidRPr="00DF63D2">
        <w:t>)</w:t>
      </w:r>
      <w:r w:rsidRPr="00DF63D2">
        <w:t>;</w:t>
      </w:r>
    </w:p>
    <w:p w14:paraId="00A370D6" w14:textId="77777777" w:rsidR="00DF63D2" w:rsidRDefault="00107596" w:rsidP="00DF63D2">
      <w:pPr>
        <w:pStyle w:val="Tekst"/>
      </w:pPr>
      <w:r w:rsidRPr="00DF63D2">
        <w:t xml:space="preserve">5) hasartmängude ja kihlvedude korraldamine </w:t>
      </w:r>
      <w:r w:rsidR="008F653D" w:rsidRPr="00DF63D2">
        <w:t>(</w:t>
      </w:r>
      <w:r w:rsidRPr="00DF63D2">
        <w:t xml:space="preserve">EMTAK, jagu S, </w:t>
      </w:r>
      <w:r w:rsidR="0091244D" w:rsidRPr="00DF63D2">
        <w:t>grupp</w:t>
      </w:r>
      <w:r w:rsidRPr="00DF63D2">
        <w:t xml:space="preserve"> 920</w:t>
      </w:r>
      <w:r w:rsidR="008F653D" w:rsidRPr="00DF63D2">
        <w:t>)</w:t>
      </w:r>
      <w:r w:rsidRPr="00DF63D2">
        <w:t>;</w:t>
      </w:r>
    </w:p>
    <w:p w14:paraId="6D62D238" w14:textId="77777777" w:rsidR="00DF63D2" w:rsidRDefault="00107596" w:rsidP="00DF63D2">
      <w:pPr>
        <w:pStyle w:val="Tekst"/>
      </w:pPr>
      <w:r w:rsidRPr="00DF63D2">
        <w:t xml:space="preserve">6) juriidilised toimingud ja arvepidamine </w:t>
      </w:r>
      <w:r w:rsidR="008F653D" w:rsidRPr="00DF63D2">
        <w:t>(</w:t>
      </w:r>
      <w:r w:rsidRPr="00DF63D2">
        <w:t>EMTAK, jagu N, osa 69</w:t>
      </w:r>
      <w:r w:rsidR="008F653D" w:rsidRPr="00DF63D2">
        <w:t>)</w:t>
      </w:r>
      <w:r w:rsidRPr="00DF63D2">
        <w:t xml:space="preserve">, peakontorite tegevus ning juhtimisalane nõustamine </w:t>
      </w:r>
      <w:r w:rsidR="008F653D" w:rsidRPr="00DF63D2">
        <w:t>(</w:t>
      </w:r>
      <w:r w:rsidRPr="00DF63D2">
        <w:t>EMTAK, jagu N, osa 70</w:t>
      </w:r>
      <w:r w:rsidR="008F653D" w:rsidRPr="00DF63D2">
        <w:t>)</w:t>
      </w:r>
      <w:r w:rsidRPr="00DF63D2">
        <w:t xml:space="preserve">, reklaamindus, turu-uuringud ja suhtekorraldus </w:t>
      </w:r>
      <w:r w:rsidR="008F653D" w:rsidRPr="00DF63D2">
        <w:t>(</w:t>
      </w:r>
      <w:r w:rsidRPr="00DF63D2">
        <w:t>EMTAK, jagu N, osa 73</w:t>
      </w:r>
      <w:r w:rsidR="008F653D" w:rsidRPr="00DF63D2">
        <w:t>)</w:t>
      </w:r>
      <w:r w:rsidRPr="00DF63D2">
        <w:t>;</w:t>
      </w:r>
    </w:p>
    <w:p w14:paraId="714100F0" w14:textId="77777777" w:rsidR="00DF63D2" w:rsidRDefault="00107596" w:rsidP="00DF63D2">
      <w:pPr>
        <w:pStyle w:val="Tekst"/>
      </w:pPr>
      <w:r w:rsidRPr="00DF63D2">
        <w:t xml:space="preserve">7) rentimine ja kasutusrent </w:t>
      </w:r>
      <w:r w:rsidR="008F653D" w:rsidRPr="00DF63D2">
        <w:t>(</w:t>
      </w:r>
      <w:r w:rsidRPr="00DF63D2">
        <w:t>EMTAK, jagu O, osa 77</w:t>
      </w:r>
      <w:r w:rsidR="008F653D" w:rsidRPr="00DF63D2">
        <w:t>)</w:t>
      </w:r>
      <w:r w:rsidRPr="00DF63D2">
        <w:t xml:space="preserve"> ning tööjõurent ja muud tööjõuteenused </w:t>
      </w:r>
      <w:r w:rsidR="008F653D" w:rsidRPr="00DF63D2">
        <w:t>(</w:t>
      </w:r>
      <w:r w:rsidRPr="00DF63D2">
        <w:t xml:space="preserve">EMTAK, jagu O, </w:t>
      </w:r>
      <w:r w:rsidR="0091244D" w:rsidRPr="00DF63D2">
        <w:t>grupp</w:t>
      </w:r>
      <w:r w:rsidRPr="00DF63D2">
        <w:t xml:space="preserve"> 782</w:t>
      </w:r>
      <w:r w:rsidR="008F653D" w:rsidRPr="00DF63D2">
        <w:t>)</w:t>
      </w:r>
      <w:r w:rsidRPr="00DF63D2">
        <w:t>;</w:t>
      </w:r>
    </w:p>
    <w:p w14:paraId="7D06CB08" w14:textId="65CDF836" w:rsidR="00107596" w:rsidRPr="00DF63D2" w:rsidRDefault="00107596" w:rsidP="00DF63D2">
      <w:pPr>
        <w:pStyle w:val="Tekst"/>
      </w:pPr>
      <w:r w:rsidRPr="00DF63D2">
        <w:t xml:space="preserve">8) kivi- ja pruunsöe kaevandamine </w:t>
      </w:r>
      <w:r w:rsidR="008F653D" w:rsidRPr="00DF63D2">
        <w:t>(</w:t>
      </w:r>
      <w:r w:rsidRPr="00DF63D2">
        <w:t>EMTAK, jagu B, osa 05</w:t>
      </w:r>
      <w:r w:rsidR="008F653D" w:rsidRPr="00DF63D2">
        <w:t>)</w:t>
      </w:r>
      <w:r w:rsidRPr="00DF63D2">
        <w:t xml:space="preserve">, toornafta ja maagaasi tootmine </w:t>
      </w:r>
      <w:r w:rsidR="008F653D" w:rsidRPr="00DF63D2">
        <w:t>(</w:t>
      </w:r>
      <w:r w:rsidRPr="00DF63D2">
        <w:t>EMTAK, jagu B, osa 06</w:t>
      </w:r>
      <w:r w:rsidR="008F653D" w:rsidRPr="00DF63D2">
        <w:t>)</w:t>
      </w:r>
      <w:r w:rsidRPr="00DF63D2">
        <w:t xml:space="preserve">, nafta ja maagaasi tootmist abistavad tegevusalad </w:t>
      </w:r>
      <w:r w:rsidR="008F653D" w:rsidRPr="00DF63D2">
        <w:t>(</w:t>
      </w:r>
      <w:r w:rsidRPr="00DF63D2">
        <w:t xml:space="preserve">EMTAK, jagu B, </w:t>
      </w:r>
      <w:r w:rsidR="0091244D" w:rsidRPr="00DF63D2">
        <w:t>grupp</w:t>
      </w:r>
      <w:r w:rsidRPr="00DF63D2">
        <w:t xml:space="preserve"> 091</w:t>
      </w:r>
      <w:r w:rsidR="008F653D" w:rsidRPr="00DF63D2">
        <w:t>)</w:t>
      </w:r>
      <w:r w:rsidRPr="00DF63D2">
        <w:t xml:space="preserve"> ning koksi ja puhastatud naftatoodete tootmine </w:t>
      </w:r>
      <w:r w:rsidR="008F653D" w:rsidRPr="00DF63D2">
        <w:t>(</w:t>
      </w:r>
      <w:r w:rsidRPr="00DF63D2">
        <w:t>EMTAK, jagu C, osa 19</w:t>
      </w:r>
      <w:r w:rsidR="008F653D" w:rsidRPr="00DF63D2">
        <w:t>)</w:t>
      </w:r>
      <w:r w:rsidRPr="00DF63D2">
        <w:t>.“;</w:t>
      </w:r>
    </w:p>
    <w:p w14:paraId="3680ED8E" w14:textId="622DEA31" w:rsidR="0091244D" w:rsidRDefault="0091244D" w:rsidP="00503A78">
      <w:pPr>
        <w:spacing w:line="240" w:lineRule="auto"/>
        <w:contextualSpacing/>
      </w:pPr>
    </w:p>
    <w:p w14:paraId="2A70B6FE" w14:textId="2A5220F3" w:rsidR="00107596" w:rsidRPr="00AD3314" w:rsidRDefault="008617E4" w:rsidP="00503A78">
      <w:pPr>
        <w:spacing w:line="240" w:lineRule="auto"/>
        <w:contextualSpacing/>
      </w:pPr>
      <w:r>
        <w:rPr>
          <w:b/>
          <w:bCs/>
        </w:rPr>
        <w:t>2</w:t>
      </w:r>
      <w:r w:rsidR="0091244D" w:rsidRPr="000D72FB">
        <w:rPr>
          <w:b/>
          <w:bCs/>
        </w:rPr>
        <w:t>)</w:t>
      </w:r>
      <w:r w:rsidR="0091244D">
        <w:t xml:space="preserve"> </w:t>
      </w:r>
      <w:r w:rsidR="00107596" w:rsidRPr="00AD3314">
        <w:t xml:space="preserve">paragrahvi </w:t>
      </w:r>
      <w:r w:rsidR="00107596">
        <w:t>6</w:t>
      </w:r>
      <w:r w:rsidR="00107596" w:rsidRPr="00AD3314">
        <w:t xml:space="preserve"> </w:t>
      </w:r>
      <w:r w:rsidR="00107596">
        <w:t>täiendatakse</w:t>
      </w:r>
      <w:r w:rsidR="00107596" w:rsidRPr="00AD3314">
        <w:t xml:space="preserve"> </w:t>
      </w:r>
      <w:r w:rsidR="00107596">
        <w:t>lõikega</w:t>
      </w:r>
      <w:r w:rsidR="00107596" w:rsidRPr="00AD3314">
        <w:t xml:space="preserve"> </w:t>
      </w:r>
      <w:r w:rsidR="00107596">
        <w:t>6</w:t>
      </w:r>
      <w:r w:rsidR="00107596" w:rsidRPr="00AD3314">
        <w:t xml:space="preserve"> järgmises sõnastuses:</w:t>
      </w:r>
    </w:p>
    <w:p w14:paraId="4128F142" w14:textId="77777777" w:rsidR="00107596" w:rsidRPr="00AD3314" w:rsidRDefault="00107596" w:rsidP="00503A78">
      <w:pPr>
        <w:spacing w:line="240" w:lineRule="auto"/>
        <w:contextualSpacing/>
      </w:pPr>
    </w:p>
    <w:p w14:paraId="5ABC59A6" w14:textId="06E27351" w:rsidR="00107596" w:rsidRDefault="00451C94" w:rsidP="00503A78">
      <w:pPr>
        <w:spacing w:line="240" w:lineRule="auto"/>
        <w:contextualSpacing/>
      </w:pPr>
      <w:r>
        <w:t xml:space="preserve"> </w:t>
      </w:r>
      <w:r w:rsidR="00107596" w:rsidRPr="00653980">
        <w:t>„</w:t>
      </w:r>
      <w:r w:rsidR="00107596">
        <w:t>(6</w:t>
      </w:r>
      <w:r w:rsidR="00107596" w:rsidRPr="00653980">
        <w:t>) </w:t>
      </w:r>
      <w:r w:rsidR="00107596">
        <w:t xml:space="preserve">Lõigetes 3 ja 4 nimetatud vastava sektorina käsitatakse </w:t>
      </w:r>
      <w:r w:rsidR="00134D21">
        <w:t xml:space="preserve">EMTAK-s </w:t>
      </w:r>
      <w:r w:rsidR="00107596">
        <w:t xml:space="preserve">esitatud tegevusalasid </w:t>
      </w:r>
      <w:r w:rsidR="00107596" w:rsidRPr="00460941">
        <w:t>jao tasandil</w:t>
      </w:r>
      <w:r w:rsidR="00107596">
        <w:t>.“;</w:t>
      </w:r>
    </w:p>
    <w:p w14:paraId="06C82BFF" w14:textId="77777777" w:rsidR="00107596" w:rsidRPr="00653980" w:rsidRDefault="00107596" w:rsidP="00503A78">
      <w:pPr>
        <w:spacing w:line="240" w:lineRule="auto"/>
        <w:contextualSpacing/>
      </w:pPr>
    </w:p>
    <w:p w14:paraId="484C7E53" w14:textId="00A24CCC" w:rsidR="00107596" w:rsidRPr="00653980" w:rsidRDefault="000D72FB" w:rsidP="00503A78">
      <w:pPr>
        <w:spacing w:line="240" w:lineRule="auto"/>
        <w:contextualSpacing/>
      </w:pPr>
      <w:r>
        <w:rPr>
          <w:b/>
          <w:bCs/>
        </w:rPr>
        <w:t>3</w:t>
      </w:r>
      <w:r w:rsidR="00107596">
        <w:rPr>
          <w:b/>
          <w:bCs/>
        </w:rPr>
        <w:t>)</w:t>
      </w:r>
      <w:r w:rsidR="00107596" w:rsidRPr="00653980">
        <w:t xml:space="preserve"> paragrahvi 11 lõi</w:t>
      </w:r>
      <w:r w:rsidR="00107596">
        <w:t>g</w:t>
      </w:r>
      <w:r w:rsidR="00107596" w:rsidRPr="00653980">
        <w:t>e</w:t>
      </w:r>
      <w:r w:rsidR="00107596">
        <w:t>t</w:t>
      </w:r>
      <w:r w:rsidR="00107596" w:rsidRPr="00653980">
        <w:t xml:space="preserve"> 2</w:t>
      </w:r>
      <w:r w:rsidR="00107596">
        <w:t xml:space="preserve"> täiendatakse</w:t>
      </w:r>
      <w:r w:rsidR="00107596" w:rsidRPr="00653980">
        <w:t xml:space="preserve"> punkt</w:t>
      </w:r>
      <w:r w:rsidR="00107596">
        <w:t>iga 4 järgmises sõnastuses</w:t>
      </w:r>
      <w:r w:rsidR="00107596" w:rsidRPr="00653980">
        <w:t>:</w:t>
      </w:r>
    </w:p>
    <w:p w14:paraId="399701D5" w14:textId="77777777" w:rsidR="00107596" w:rsidRPr="00653980" w:rsidRDefault="00107596" w:rsidP="00503A78">
      <w:pPr>
        <w:spacing w:line="240" w:lineRule="auto"/>
        <w:contextualSpacing/>
      </w:pPr>
    </w:p>
    <w:p w14:paraId="712E0D63" w14:textId="77777777" w:rsidR="00107596" w:rsidRPr="001761D8" w:rsidRDefault="00107596" w:rsidP="00503A78">
      <w:pPr>
        <w:spacing w:line="240" w:lineRule="auto"/>
        <w:contextualSpacing/>
      </w:pPr>
      <w:r w:rsidRPr="00653980">
        <w:lastRenderedPageBreak/>
        <w:t>„</w:t>
      </w:r>
      <w:r>
        <w:t>4</w:t>
      </w:r>
      <w:r w:rsidRPr="00653980">
        <w:t>) </w:t>
      </w:r>
      <w:r>
        <w:t>ostetud koolituse kulu.</w:t>
      </w:r>
      <w:r w:rsidRPr="001761D8">
        <w:t>“</w:t>
      </w:r>
      <w:r>
        <w:t>;</w:t>
      </w:r>
    </w:p>
    <w:p w14:paraId="0EC473F9" w14:textId="77777777" w:rsidR="00107596" w:rsidRPr="001761D8" w:rsidRDefault="00107596" w:rsidP="00503A78">
      <w:pPr>
        <w:spacing w:line="240" w:lineRule="auto"/>
        <w:contextualSpacing/>
      </w:pPr>
    </w:p>
    <w:p w14:paraId="21A1C53E" w14:textId="1B677C8C" w:rsidR="00107596" w:rsidRPr="001761D8" w:rsidRDefault="000D72FB" w:rsidP="00503A78">
      <w:pPr>
        <w:spacing w:line="240" w:lineRule="auto"/>
        <w:contextualSpacing/>
      </w:pPr>
      <w:r>
        <w:rPr>
          <w:b/>
          <w:bCs/>
        </w:rPr>
        <w:t>4</w:t>
      </w:r>
      <w:r w:rsidR="00107596" w:rsidRPr="006E090A">
        <w:rPr>
          <w:b/>
          <w:bCs/>
        </w:rPr>
        <w:t>)</w:t>
      </w:r>
      <w:r w:rsidR="00107596" w:rsidRPr="006E090A">
        <w:t xml:space="preserve"> paragrahvi 11 lõike</w:t>
      </w:r>
      <w:r w:rsidR="00107596" w:rsidRPr="001761D8">
        <w:t xml:space="preserve"> 4 punktis</w:t>
      </w:r>
      <w:r w:rsidR="00107596">
        <w:t>t</w:t>
      </w:r>
      <w:r w:rsidR="00107596" w:rsidRPr="001761D8">
        <w:t xml:space="preserve"> 3 ja lõike 5 punktis</w:t>
      </w:r>
      <w:r w:rsidR="00107596">
        <w:t>t</w:t>
      </w:r>
      <w:r w:rsidR="00107596" w:rsidRPr="001761D8">
        <w:t xml:space="preserve"> 1 </w:t>
      </w:r>
      <w:r w:rsidR="00107596">
        <w:t>jäetakse välja tekstiosa „2,“;</w:t>
      </w:r>
    </w:p>
    <w:p w14:paraId="56188E53" w14:textId="77777777" w:rsidR="00107596" w:rsidRDefault="00107596" w:rsidP="00503A78">
      <w:pPr>
        <w:spacing w:line="240" w:lineRule="auto"/>
        <w:contextualSpacing/>
      </w:pPr>
    </w:p>
    <w:p w14:paraId="0718E5D7" w14:textId="3DB15110" w:rsidR="00107596" w:rsidRPr="00653980" w:rsidRDefault="000D72FB" w:rsidP="00503A78">
      <w:pPr>
        <w:spacing w:line="240" w:lineRule="auto"/>
        <w:contextualSpacing/>
      </w:pPr>
      <w:r>
        <w:rPr>
          <w:b/>
          <w:bCs/>
        </w:rPr>
        <w:t>5</w:t>
      </w:r>
      <w:r w:rsidR="00107596" w:rsidRPr="00B01C26">
        <w:rPr>
          <w:b/>
          <w:bCs/>
        </w:rPr>
        <w:t>)</w:t>
      </w:r>
      <w:r w:rsidR="00107596">
        <w:t xml:space="preserve"> </w:t>
      </w:r>
      <w:r w:rsidR="00107596" w:rsidRPr="00653980">
        <w:t>paragrahvi 11 lõi</w:t>
      </w:r>
      <w:r w:rsidR="00107596">
        <w:t>g</w:t>
      </w:r>
      <w:r w:rsidR="00107596" w:rsidRPr="00653980">
        <w:t>e</w:t>
      </w:r>
      <w:r w:rsidR="00107596">
        <w:t>t</w:t>
      </w:r>
      <w:r w:rsidR="00107596" w:rsidRPr="00653980">
        <w:t xml:space="preserve"> </w:t>
      </w:r>
      <w:r w:rsidR="00107596">
        <w:t>4 täiendatakse</w:t>
      </w:r>
      <w:r w:rsidR="00107596" w:rsidRPr="00653980">
        <w:t xml:space="preserve"> punkt</w:t>
      </w:r>
      <w:r w:rsidR="00107596">
        <w:t>iga 4 järgmises sõnastuses</w:t>
      </w:r>
      <w:r w:rsidR="00107596" w:rsidRPr="00653980">
        <w:t>:</w:t>
      </w:r>
    </w:p>
    <w:p w14:paraId="61361ADB" w14:textId="31FEFF77" w:rsidR="00107596" w:rsidRPr="00653980" w:rsidRDefault="00107596" w:rsidP="00503A78">
      <w:pPr>
        <w:spacing w:line="240" w:lineRule="auto"/>
        <w:contextualSpacing/>
      </w:pPr>
    </w:p>
    <w:p w14:paraId="73B134C6" w14:textId="053F6075" w:rsidR="00107596" w:rsidRDefault="00107596" w:rsidP="00503A78">
      <w:pPr>
        <w:spacing w:line="240" w:lineRule="auto"/>
        <w:contextualSpacing/>
      </w:pPr>
      <w:bookmarkStart w:id="0" w:name="_Hlk193901833"/>
      <w:r w:rsidRPr="00653980">
        <w:t>„</w:t>
      </w:r>
      <w:r>
        <w:t>4</w:t>
      </w:r>
      <w:r w:rsidRPr="00653980">
        <w:t>) </w:t>
      </w:r>
      <w:bookmarkEnd w:id="0"/>
      <w:r w:rsidRPr="00B01C26">
        <w:t>protsessiarendus</w:t>
      </w:r>
      <w:r w:rsidR="00F55B0D">
        <w:t>tegevus</w:t>
      </w:r>
      <w:r w:rsidRPr="00B01C26">
        <w:t>ega seotud töötajate personalikulu vastavalt ühendmääruse § 16 lõike 1 punktidele 1, 4 ja 5</w:t>
      </w:r>
      <w:r>
        <w:t>.</w:t>
      </w:r>
      <w:r w:rsidRPr="001761D8">
        <w:t>“</w:t>
      </w:r>
      <w:r>
        <w:t>;</w:t>
      </w:r>
    </w:p>
    <w:p w14:paraId="1767D35C" w14:textId="77777777" w:rsidR="008617E4" w:rsidRDefault="008617E4" w:rsidP="00503A78">
      <w:pPr>
        <w:spacing w:line="240" w:lineRule="auto"/>
        <w:contextualSpacing/>
      </w:pPr>
    </w:p>
    <w:p w14:paraId="2BC8A451" w14:textId="4224A8AB" w:rsidR="008617E4" w:rsidRPr="001761D8" w:rsidRDefault="000D72FB" w:rsidP="00503A78">
      <w:pPr>
        <w:spacing w:line="240" w:lineRule="auto"/>
        <w:contextualSpacing/>
      </w:pPr>
      <w:r>
        <w:rPr>
          <w:b/>
          <w:bCs/>
        </w:rPr>
        <w:t>6</w:t>
      </w:r>
      <w:r w:rsidR="008617E4" w:rsidRPr="003E5B2E">
        <w:rPr>
          <w:b/>
          <w:bCs/>
        </w:rPr>
        <w:t>)</w:t>
      </w:r>
      <w:r w:rsidR="008617E4">
        <w:t xml:space="preserve"> paragrahvi 14 sissejuhatavas lauseosas asendatakse sõna „ettevõtja“ sõnaga „äriühing“;</w:t>
      </w:r>
    </w:p>
    <w:p w14:paraId="70427B60" w14:textId="77777777" w:rsidR="00107596" w:rsidRDefault="00107596" w:rsidP="00503A78">
      <w:pPr>
        <w:spacing w:line="240" w:lineRule="auto"/>
        <w:contextualSpacing/>
      </w:pPr>
    </w:p>
    <w:p w14:paraId="4183FDFF" w14:textId="49EDB413" w:rsidR="00107596" w:rsidRPr="00822A38" w:rsidRDefault="000D72FB" w:rsidP="00503A78">
      <w:pPr>
        <w:spacing w:line="240" w:lineRule="auto"/>
        <w:contextualSpacing/>
      </w:pPr>
      <w:r>
        <w:rPr>
          <w:b/>
          <w:bCs/>
        </w:rPr>
        <w:t>7</w:t>
      </w:r>
      <w:r w:rsidR="00107596">
        <w:rPr>
          <w:b/>
          <w:bCs/>
        </w:rPr>
        <w:t>)</w:t>
      </w:r>
      <w:r w:rsidR="00107596" w:rsidRPr="001761D8">
        <w:t xml:space="preserve"> paragrahvi 26 lõige </w:t>
      </w:r>
      <w:r w:rsidR="00107596" w:rsidRPr="00822A38">
        <w:t>3 tunnistatakse kehtetuks;</w:t>
      </w:r>
    </w:p>
    <w:p w14:paraId="7FB3FDAB" w14:textId="77777777" w:rsidR="00107596" w:rsidRPr="00822A38" w:rsidRDefault="00107596" w:rsidP="00503A78">
      <w:pPr>
        <w:spacing w:line="240" w:lineRule="auto"/>
        <w:contextualSpacing/>
      </w:pPr>
    </w:p>
    <w:p w14:paraId="371787C0" w14:textId="1E99421E" w:rsidR="00107596" w:rsidRPr="00822A38" w:rsidRDefault="000D72FB" w:rsidP="00503A78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kern w:val="0"/>
          <w:lang w:eastAsia="en-US" w:bidi="ar-SA"/>
        </w:rPr>
      </w:pPr>
      <w:r>
        <w:rPr>
          <w:rFonts w:eastAsia="Calibri"/>
          <w:b/>
          <w:bCs/>
          <w:kern w:val="0"/>
          <w:lang w:eastAsia="en-US" w:bidi="ar-SA"/>
        </w:rPr>
        <w:t>8</w:t>
      </w:r>
      <w:r w:rsidR="00107596" w:rsidRPr="006E090A">
        <w:rPr>
          <w:rFonts w:eastAsia="Calibri"/>
          <w:b/>
          <w:bCs/>
          <w:kern w:val="0"/>
          <w:lang w:eastAsia="en-US" w:bidi="ar-SA"/>
        </w:rPr>
        <w:t xml:space="preserve">) </w:t>
      </w:r>
      <w:r w:rsidR="00107596" w:rsidRPr="006E090A">
        <w:rPr>
          <w:rFonts w:eastAsia="Calibri"/>
          <w:kern w:val="0"/>
          <w:lang w:eastAsia="en-US" w:bidi="ar-SA"/>
        </w:rPr>
        <w:t xml:space="preserve">paragrahvi </w:t>
      </w:r>
      <w:r w:rsidR="00107596" w:rsidRPr="006E090A">
        <w:rPr>
          <w:rFonts w:eastAsia="Times New Roman"/>
          <w:color w:val="000000"/>
          <w:kern w:val="0"/>
          <w:lang w:eastAsia="en-US" w:bidi="ar-SA"/>
        </w:rPr>
        <w:t>27 täiendatakse</w:t>
      </w:r>
      <w:r w:rsidR="00107596" w:rsidRPr="00822A38">
        <w:rPr>
          <w:rFonts w:eastAsia="Times New Roman"/>
          <w:color w:val="000000"/>
          <w:kern w:val="0"/>
          <w:lang w:eastAsia="en-US" w:bidi="ar-SA"/>
        </w:rPr>
        <w:t xml:space="preserve"> lõi</w:t>
      </w:r>
      <w:r w:rsidR="00107596">
        <w:rPr>
          <w:rFonts w:eastAsia="Times New Roman"/>
          <w:color w:val="000000"/>
          <w:kern w:val="0"/>
          <w:lang w:eastAsia="en-US" w:bidi="ar-SA"/>
        </w:rPr>
        <w:t>k</w:t>
      </w:r>
      <w:r w:rsidR="00107596" w:rsidRPr="00822A38">
        <w:rPr>
          <w:rFonts w:eastAsia="Times New Roman"/>
          <w:color w:val="000000"/>
          <w:kern w:val="0"/>
          <w:lang w:eastAsia="en-US" w:bidi="ar-SA"/>
        </w:rPr>
        <w:t>e</w:t>
      </w:r>
      <w:r w:rsidR="00107596">
        <w:rPr>
          <w:rFonts w:eastAsia="Times New Roman"/>
          <w:color w:val="000000"/>
          <w:kern w:val="0"/>
          <w:lang w:eastAsia="en-US" w:bidi="ar-SA"/>
        </w:rPr>
        <w:t>ga</w:t>
      </w:r>
      <w:r w:rsidR="00107596" w:rsidRPr="00822A38">
        <w:rPr>
          <w:rFonts w:eastAsia="Times New Roman"/>
          <w:color w:val="000000"/>
          <w:kern w:val="0"/>
          <w:lang w:eastAsia="en-US" w:bidi="ar-SA"/>
        </w:rPr>
        <w:t xml:space="preserve"> 3 järgmises sõnastuses:</w:t>
      </w:r>
    </w:p>
    <w:p w14:paraId="1CBFA9B1" w14:textId="77777777" w:rsidR="00107596" w:rsidRPr="00822A38" w:rsidRDefault="00107596" w:rsidP="00503A78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kern w:val="0"/>
          <w:lang w:eastAsia="en-US" w:bidi="ar-SA"/>
        </w:rPr>
      </w:pPr>
    </w:p>
    <w:p w14:paraId="7FDDB613" w14:textId="77777777" w:rsidR="00107596" w:rsidRDefault="00107596" w:rsidP="00503A78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kern w:val="0"/>
          <w:lang w:eastAsia="en-US" w:bidi="ar-SA"/>
        </w:rPr>
      </w:pPr>
      <w:r w:rsidRPr="00822A38">
        <w:rPr>
          <w:rFonts w:eastAsia="Times New Roman"/>
          <w:color w:val="000000"/>
          <w:kern w:val="0"/>
          <w:lang w:eastAsia="en-US" w:bidi="ar-SA"/>
        </w:rPr>
        <w:t xml:space="preserve">„(3) Toetuse saaja on kohustatud saavutama § 6 lõikes 3 või 4 </w:t>
      </w:r>
      <w:r>
        <w:rPr>
          <w:rFonts w:eastAsia="Times New Roman"/>
          <w:color w:val="000000"/>
          <w:kern w:val="0"/>
          <w:lang w:eastAsia="en-US" w:bidi="ar-SA"/>
        </w:rPr>
        <w:t>sätestatud</w:t>
      </w:r>
      <w:r w:rsidRPr="00822A38">
        <w:rPr>
          <w:rFonts w:eastAsia="Times New Roman"/>
          <w:color w:val="000000"/>
          <w:kern w:val="0"/>
          <w:lang w:eastAsia="en-US" w:bidi="ar-SA"/>
        </w:rPr>
        <w:t xml:space="preserve"> tulemused.“</w:t>
      </w:r>
      <w:r>
        <w:rPr>
          <w:rFonts w:eastAsia="Times New Roman"/>
          <w:color w:val="000000"/>
          <w:kern w:val="0"/>
          <w:lang w:eastAsia="en-US" w:bidi="ar-SA"/>
        </w:rPr>
        <w:t>;</w:t>
      </w:r>
    </w:p>
    <w:p w14:paraId="779F01BE" w14:textId="77777777" w:rsidR="00107596" w:rsidRDefault="00107596" w:rsidP="00503A78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kern w:val="0"/>
          <w:lang w:eastAsia="en-US" w:bidi="ar-SA"/>
        </w:rPr>
      </w:pPr>
    </w:p>
    <w:p w14:paraId="2A12C631" w14:textId="72F259D4" w:rsidR="00107596" w:rsidRDefault="000D72FB" w:rsidP="00503A78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kern w:val="0"/>
          <w:lang w:eastAsia="en-US" w:bidi="ar-SA"/>
        </w:rPr>
      </w:pPr>
      <w:r>
        <w:rPr>
          <w:rFonts w:eastAsia="Times New Roman"/>
          <w:b/>
          <w:bCs/>
          <w:color w:val="000000"/>
          <w:kern w:val="0"/>
          <w:lang w:eastAsia="en-US" w:bidi="ar-SA"/>
        </w:rPr>
        <w:t>9</w:t>
      </w:r>
      <w:r w:rsidR="00107596" w:rsidRPr="0005250F">
        <w:rPr>
          <w:rFonts w:eastAsia="Times New Roman"/>
          <w:b/>
          <w:bCs/>
          <w:color w:val="000000"/>
          <w:kern w:val="0"/>
          <w:lang w:eastAsia="en-US" w:bidi="ar-SA"/>
        </w:rPr>
        <w:t>)</w:t>
      </w:r>
      <w:r w:rsidR="00107596">
        <w:rPr>
          <w:rFonts w:eastAsia="Times New Roman"/>
          <w:color w:val="000000"/>
          <w:kern w:val="0"/>
          <w:lang w:eastAsia="en-US" w:bidi="ar-SA"/>
        </w:rPr>
        <w:t xml:space="preserve"> määrust täiendatakse 11. peatükiga järgmises sõnastuses:</w:t>
      </w:r>
    </w:p>
    <w:p w14:paraId="2D4A1C7F" w14:textId="77777777" w:rsidR="00107596" w:rsidRDefault="00107596" w:rsidP="00503A78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kern w:val="0"/>
          <w:lang w:eastAsia="en-US" w:bidi="ar-SA"/>
        </w:rPr>
      </w:pPr>
    </w:p>
    <w:p w14:paraId="0F33EDAF" w14:textId="77777777" w:rsidR="00107596" w:rsidRDefault="00107596" w:rsidP="003E5B2E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color w:val="000000"/>
          <w:kern w:val="0"/>
          <w:lang w:eastAsia="en-US" w:bidi="ar-SA"/>
        </w:rPr>
      </w:pPr>
      <w:r>
        <w:rPr>
          <w:rFonts w:eastAsia="Times New Roman"/>
          <w:color w:val="000000"/>
          <w:kern w:val="0"/>
          <w:lang w:eastAsia="en-US" w:bidi="ar-SA"/>
        </w:rPr>
        <w:t>„</w:t>
      </w:r>
      <w:r w:rsidRPr="0005250F">
        <w:rPr>
          <w:rFonts w:eastAsia="Times New Roman"/>
          <w:b/>
          <w:bCs/>
          <w:color w:val="000000"/>
          <w:kern w:val="0"/>
          <w:lang w:eastAsia="en-US" w:bidi="ar-SA"/>
        </w:rPr>
        <w:t>11. peatükk</w:t>
      </w:r>
    </w:p>
    <w:p w14:paraId="5632193B" w14:textId="77777777" w:rsidR="00107596" w:rsidRDefault="00107596" w:rsidP="003E5B2E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olor w:val="000000"/>
          <w:kern w:val="0"/>
          <w:lang w:eastAsia="en-US" w:bidi="ar-SA"/>
        </w:rPr>
      </w:pPr>
      <w:r w:rsidRPr="0005250F">
        <w:rPr>
          <w:rFonts w:eastAsia="Times New Roman"/>
          <w:b/>
          <w:bCs/>
          <w:color w:val="000000"/>
          <w:kern w:val="0"/>
          <w:lang w:eastAsia="en-US" w:bidi="ar-SA"/>
        </w:rPr>
        <w:t>Rakendussätted</w:t>
      </w:r>
    </w:p>
    <w:p w14:paraId="5AFED149" w14:textId="77777777" w:rsidR="00107596" w:rsidRDefault="00107596" w:rsidP="00503A78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000000"/>
          <w:kern w:val="0"/>
          <w:lang w:eastAsia="en-US" w:bidi="ar-SA"/>
        </w:rPr>
      </w:pPr>
    </w:p>
    <w:p w14:paraId="7CAFCA16" w14:textId="77777777" w:rsidR="00107596" w:rsidRPr="0005250F" w:rsidRDefault="00107596" w:rsidP="00503A78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000000"/>
          <w:kern w:val="0"/>
          <w:lang w:eastAsia="en-US" w:bidi="ar-SA"/>
        </w:rPr>
      </w:pPr>
      <w:r w:rsidRPr="0005250F">
        <w:rPr>
          <w:rFonts w:eastAsia="Times New Roman"/>
          <w:b/>
          <w:bCs/>
          <w:color w:val="000000"/>
          <w:kern w:val="0"/>
          <w:lang w:eastAsia="en-US" w:bidi="ar-SA"/>
        </w:rPr>
        <w:t xml:space="preserve">§ 31. </w:t>
      </w:r>
      <w:r>
        <w:rPr>
          <w:rFonts w:eastAsia="Times New Roman"/>
          <w:b/>
          <w:bCs/>
          <w:color w:val="000000"/>
          <w:kern w:val="0"/>
          <w:lang w:eastAsia="en-US" w:bidi="ar-SA"/>
        </w:rPr>
        <w:t>Määruse r</w:t>
      </w:r>
      <w:r w:rsidRPr="0005250F">
        <w:rPr>
          <w:rFonts w:eastAsia="Times New Roman"/>
          <w:b/>
          <w:bCs/>
          <w:color w:val="000000"/>
          <w:kern w:val="0"/>
          <w:lang w:eastAsia="en-US" w:bidi="ar-SA"/>
        </w:rPr>
        <w:t>akend</w:t>
      </w:r>
      <w:r>
        <w:rPr>
          <w:rFonts w:eastAsia="Times New Roman"/>
          <w:b/>
          <w:bCs/>
          <w:color w:val="000000"/>
          <w:kern w:val="0"/>
          <w:lang w:eastAsia="en-US" w:bidi="ar-SA"/>
        </w:rPr>
        <w:t>amine</w:t>
      </w:r>
    </w:p>
    <w:p w14:paraId="7EE8B5C2" w14:textId="77777777" w:rsidR="00107596" w:rsidRDefault="00107596" w:rsidP="00503A78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kern w:val="0"/>
          <w:lang w:eastAsia="en-US" w:bidi="ar-SA"/>
        </w:rPr>
      </w:pPr>
    </w:p>
    <w:p w14:paraId="4091D8C6" w14:textId="5E270D1E" w:rsidR="00107596" w:rsidRDefault="00107596" w:rsidP="00503A78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kern w:val="0"/>
          <w:lang w:eastAsia="en-US" w:bidi="ar-SA"/>
        </w:rPr>
      </w:pPr>
      <w:r>
        <w:rPr>
          <w:rFonts w:eastAsia="Times New Roman"/>
          <w:color w:val="000000"/>
          <w:kern w:val="0"/>
          <w:lang w:eastAsia="en-US" w:bidi="ar-SA"/>
        </w:rPr>
        <w:t>Projektile, mille elluviimise</w:t>
      </w:r>
      <w:r w:rsidR="00F55B0D">
        <w:rPr>
          <w:rFonts w:eastAsia="Times New Roman"/>
          <w:color w:val="000000"/>
          <w:kern w:val="0"/>
          <w:lang w:eastAsia="en-US" w:bidi="ar-SA"/>
        </w:rPr>
        <w:t>ks esitati</w:t>
      </w:r>
      <w:r>
        <w:rPr>
          <w:rFonts w:eastAsia="Times New Roman"/>
          <w:color w:val="000000"/>
          <w:kern w:val="0"/>
          <w:lang w:eastAsia="en-US" w:bidi="ar-SA"/>
        </w:rPr>
        <w:t xml:space="preserve"> taotlus enne käesoleva määruse 2025. aasta </w:t>
      </w:r>
      <w:r w:rsidR="005545E5">
        <w:rPr>
          <w:rFonts w:eastAsia="Times New Roman"/>
          <w:color w:val="000000"/>
          <w:kern w:val="0"/>
          <w:lang w:eastAsia="en-US" w:bidi="ar-SA"/>
        </w:rPr>
        <w:t>mais</w:t>
      </w:r>
      <w:r>
        <w:rPr>
          <w:rFonts w:eastAsia="Times New Roman"/>
          <w:color w:val="000000"/>
          <w:kern w:val="0"/>
          <w:lang w:eastAsia="en-US" w:bidi="ar-SA"/>
        </w:rPr>
        <w:t xml:space="preserve"> vastu võetud </w:t>
      </w:r>
      <w:r w:rsidR="00C7470A">
        <w:rPr>
          <w:rFonts w:eastAsia="Times New Roman"/>
          <w:color w:val="000000"/>
          <w:kern w:val="0"/>
          <w:lang w:eastAsia="en-US" w:bidi="ar-SA"/>
        </w:rPr>
        <w:t>muudatuste</w:t>
      </w:r>
      <w:r>
        <w:rPr>
          <w:rFonts w:eastAsia="Times New Roman"/>
          <w:color w:val="000000"/>
          <w:kern w:val="0"/>
          <w:lang w:eastAsia="en-US" w:bidi="ar-SA"/>
        </w:rPr>
        <w:t xml:space="preserve"> jõustumist, kohaldatakse</w:t>
      </w:r>
      <w:r w:rsidR="00C7470A">
        <w:rPr>
          <w:rFonts w:eastAsia="Times New Roman"/>
          <w:color w:val="000000"/>
          <w:kern w:val="0"/>
          <w:lang w:eastAsia="en-US" w:bidi="ar-SA"/>
        </w:rPr>
        <w:t xml:space="preserve"> taotluse esitamise ajal kehtinud</w:t>
      </w:r>
      <w:r>
        <w:rPr>
          <w:rFonts w:eastAsia="Times New Roman"/>
          <w:color w:val="000000"/>
          <w:kern w:val="0"/>
          <w:lang w:eastAsia="en-US" w:bidi="ar-SA"/>
        </w:rPr>
        <w:t xml:space="preserve"> § 11 lõike 4 punkti 3 ja lõike 5 punkti 1</w:t>
      </w:r>
      <w:r w:rsidR="00C7470A">
        <w:rPr>
          <w:rFonts w:eastAsia="Times New Roman"/>
          <w:color w:val="000000"/>
          <w:kern w:val="0"/>
          <w:lang w:eastAsia="en-US" w:bidi="ar-SA"/>
        </w:rPr>
        <w:t xml:space="preserve"> redaktsiooni</w:t>
      </w:r>
      <w:r w:rsidRPr="00FA3CB4">
        <w:rPr>
          <w:rFonts w:eastAsia="Times New Roman"/>
          <w:color w:val="000000"/>
          <w:kern w:val="0"/>
          <w:lang w:eastAsia="en-US" w:bidi="ar-SA"/>
        </w:rPr>
        <w:t>.</w:t>
      </w:r>
      <w:r>
        <w:rPr>
          <w:rFonts w:eastAsia="Times New Roman"/>
          <w:color w:val="000000"/>
          <w:kern w:val="0"/>
          <w:lang w:eastAsia="en-US" w:bidi="ar-SA"/>
        </w:rPr>
        <w:t xml:space="preserve">“. </w:t>
      </w:r>
    </w:p>
    <w:p w14:paraId="07AD5CDD" w14:textId="3E0B94CC" w:rsidR="004211BF" w:rsidRDefault="004211BF" w:rsidP="00503A78">
      <w:pPr>
        <w:pStyle w:val="allikirjastajanimi"/>
        <w:tabs>
          <w:tab w:val="left" w:pos="5387"/>
        </w:tabs>
        <w:spacing w:before="960"/>
        <w:jc w:val="both"/>
      </w:pPr>
      <w:r>
        <w:t>(allkirjastatud digitaalselt)</w:t>
      </w:r>
      <w:r w:rsidR="00E51B27" w:rsidRPr="00E51B27">
        <w:t xml:space="preserve"> </w:t>
      </w:r>
    </w:p>
    <w:p w14:paraId="20D045A1" w14:textId="226206E4" w:rsidR="004211BF" w:rsidRDefault="004211BF" w:rsidP="00503A78">
      <w:pPr>
        <w:tabs>
          <w:tab w:val="left" w:pos="5387"/>
        </w:tabs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73117F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73117F">
        <w:rPr>
          <w:lang w:eastAsia="en-US" w:bidi="ar-SA"/>
        </w:rPr>
        <w:t xml:space="preserve">Erkki </w:t>
      </w:r>
      <w:proofErr w:type="spellStart"/>
      <w:r w:rsidR="0073117F">
        <w:rPr>
          <w:lang w:eastAsia="en-US" w:bidi="ar-SA"/>
        </w:rPr>
        <w:t>Keldo</w:t>
      </w:r>
      <w:proofErr w:type="spellEnd"/>
      <w:r>
        <w:rPr>
          <w:lang w:eastAsia="en-US" w:bidi="ar-SA"/>
        </w:rPr>
        <w:fldChar w:fldCharType="end"/>
      </w:r>
    </w:p>
    <w:p w14:paraId="1413655C" w14:textId="48387558" w:rsidR="003F35DE" w:rsidRDefault="003F35DE" w:rsidP="00503A78">
      <w:pPr>
        <w:tabs>
          <w:tab w:val="left" w:pos="5387"/>
        </w:tabs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73117F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73117F">
        <w:rPr>
          <w:lang w:eastAsia="en-US" w:bidi="ar-SA"/>
        </w:rPr>
        <w:t>majandus- ja tööstusminister</w:t>
      </w:r>
      <w:r>
        <w:rPr>
          <w:lang w:eastAsia="en-US" w:bidi="ar-SA"/>
        </w:rPr>
        <w:fldChar w:fldCharType="end"/>
      </w:r>
    </w:p>
    <w:p w14:paraId="2597C04C" w14:textId="77777777" w:rsidR="003F35DE" w:rsidRDefault="003F35DE" w:rsidP="00503A78">
      <w:pPr>
        <w:tabs>
          <w:tab w:val="left" w:pos="5387"/>
        </w:tabs>
        <w:spacing w:line="240" w:lineRule="auto"/>
        <w:rPr>
          <w:lang w:eastAsia="en-US" w:bidi="ar-SA"/>
        </w:rPr>
      </w:pPr>
    </w:p>
    <w:p w14:paraId="66DF7422" w14:textId="77777777" w:rsidR="00BA11C0" w:rsidRDefault="00BA11C0" w:rsidP="00503A78">
      <w:pPr>
        <w:tabs>
          <w:tab w:val="left" w:pos="5387"/>
        </w:tabs>
        <w:spacing w:line="240" w:lineRule="auto"/>
        <w:rPr>
          <w:lang w:eastAsia="en-US" w:bidi="ar-SA"/>
        </w:rPr>
      </w:pPr>
    </w:p>
    <w:p w14:paraId="594ECE52" w14:textId="77777777" w:rsidR="00847DF4" w:rsidRDefault="00847DF4" w:rsidP="00503A78">
      <w:pPr>
        <w:tabs>
          <w:tab w:val="left" w:pos="5387"/>
        </w:tabs>
        <w:spacing w:line="240" w:lineRule="auto"/>
        <w:rPr>
          <w:lang w:eastAsia="en-US" w:bidi="ar-SA"/>
        </w:rPr>
      </w:pPr>
    </w:p>
    <w:p w14:paraId="722E338F" w14:textId="77777777" w:rsidR="003F35DE" w:rsidRDefault="003F35DE" w:rsidP="00801E21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0FE36805" w14:textId="77777777" w:rsidR="00801E21" w:rsidRDefault="00801E21" w:rsidP="00801E21">
      <w:pPr>
        <w:spacing w:line="240" w:lineRule="auto"/>
        <w:jc w:val="left"/>
        <w:rPr>
          <w:lang w:eastAsia="en-US" w:bidi="ar-SA"/>
        </w:rPr>
      </w:pPr>
      <w:r w:rsidRPr="00801E21">
        <w:rPr>
          <w:lang w:eastAsia="en-US" w:bidi="ar-SA"/>
        </w:rPr>
        <w:t>Sandra Särav-Tammus</w:t>
      </w:r>
    </w:p>
    <w:p w14:paraId="717CD84D" w14:textId="07DEAD98" w:rsidR="003F35DE" w:rsidRDefault="00801E21" w:rsidP="00801E21">
      <w:pPr>
        <w:spacing w:line="240" w:lineRule="auto"/>
        <w:jc w:val="left"/>
        <w:rPr>
          <w:lang w:eastAsia="en-US" w:bidi="ar-SA"/>
        </w:rPr>
      </w:pPr>
      <w:r w:rsidRPr="00801E21">
        <w:rPr>
          <w:lang w:eastAsia="en-US" w:bidi="ar-SA"/>
        </w:rPr>
        <w:t>majanduse ja innovatsiooni asekantsler kantsleri ülesannetes</w:t>
      </w:r>
      <w:r w:rsidR="003F35DE">
        <w:rPr>
          <w:lang w:eastAsia="en-US" w:bidi="ar-SA"/>
        </w:rPr>
        <w:br/>
      </w:r>
    </w:p>
    <w:p w14:paraId="754C707F" w14:textId="5D82FCC7" w:rsidR="004211BF" w:rsidRDefault="004211BF" w:rsidP="00503A78">
      <w:pPr>
        <w:tabs>
          <w:tab w:val="left" w:pos="5387"/>
        </w:tabs>
        <w:spacing w:line="240" w:lineRule="auto"/>
        <w:rPr>
          <w:lang w:eastAsia="en-US" w:bidi="ar-SA"/>
        </w:rPr>
      </w:pPr>
    </w:p>
    <w:p w14:paraId="5B9EB380" w14:textId="41A300BC" w:rsidR="00D3183A" w:rsidRDefault="00D3183A" w:rsidP="00503A78"/>
    <w:sectPr w:rsidR="00D3183A" w:rsidSect="00317F3A">
      <w:pgSz w:w="11906" w:h="16838"/>
      <w:pgMar w:top="907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F3A"/>
    <w:rsid w:val="00051255"/>
    <w:rsid w:val="00097FC4"/>
    <w:rsid w:val="000B0473"/>
    <w:rsid w:val="000C7792"/>
    <w:rsid w:val="000D72FB"/>
    <w:rsid w:val="000E6D84"/>
    <w:rsid w:val="00107596"/>
    <w:rsid w:val="00134D21"/>
    <w:rsid w:val="00135B35"/>
    <w:rsid w:val="001859F1"/>
    <w:rsid w:val="00194A32"/>
    <w:rsid w:val="001A56ED"/>
    <w:rsid w:val="001C03E8"/>
    <w:rsid w:val="001C1D05"/>
    <w:rsid w:val="002524AD"/>
    <w:rsid w:val="0025472F"/>
    <w:rsid w:val="00254E5C"/>
    <w:rsid w:val="002750A7"/>
    <w:rsid w:val="00282D9F"/>
    <w:rsid w:val="0028641C"/>
    <w:rsid w:val="00317F3A"/>
    <w:rsid w:val="003C2E22"/>
    <w:rsid w:val="003E5B2E"/>
    <w:rsid w:val="003F35DE"/>
    <w:rsid w:val="004211BF"/>
    <w:rsid w:val="00451C94"/>
    <w:rsid w:val="004848A6"/>
    <w:rsid w:val="004C132F"/>
    <w:rsid w:val="004F7799"/>
    <w:rsid w:val="00503A78"/>
    <w:rsid w:val="005545E5"/>
    <w:rsid w:val="005607A4"/>
    <w:rsid w:val="00562AC0"/>
    <w:rsid w:val="005914A4"/>
    <w:rsid w:val="00610E9F"/>
    <w:rsid w:val="00625B1B"/>
    <w:rsid w:val="006968ED"/>
    <w:rsid w:val="006F5CDE"/>
    <w:rsid w:val="006F79F4"/>
    <w:rsid w:val="0071217A"/>
    <w:rsid w:val="0073117F"/>
    <w:rsid w:val="007A244E"/>
    <w:rsid w:val="007B33CF"/>
    <w:rsid w:val="007E647D"/>
    <w:rsid w:val="00801E21"/>
    <w:rsid w:val="00821714"/>
    <w:rsid w:val="00847DF4"/>
    <w:rsid w:val="008617E4"/>
    <w:rsid w:val="008F653D"/>
    <w:rsid w:val="00901625"/>
    <w:rsid w:val="0091244D"/>
    <w:rsid w:val="00962682"/>
    <w:rsid w:val="009B20B5"/>
    <w:rsid w:val="009E0045"/>
    <w:rsid w:val="00A02530"/>
    <w:rsid w:val="00A357B9"/>
    <w:rsid w:val="00A77566"/>
    <w:rsid w:val="00AD338E"/>
    <w:rsid w:val="00AE1BCE"/>
    <w:rsid w:val="00B92EAA"/>
    <w:rsid w:val="00B93D87"/>
    <w:rsid w:val="00BA11C0"/>
    <w:rsid w:val="00C17376"/>
    <w:rsid w:val="00C521F4"/>
    <w:rsid w:val="00C7405E"/>
    <w:rsid w:val="00C7470A"/>
    <w:rsid w:val="00CA0401"/>
    <w:rsid w:val="00CA25D3"/>
    <w:rsid w:val="00CC0694"/>
    <w:rsid w:val="00D3183A"/>
    <w:rsid w:val="00D370C9"/>
    <w:rsid w:val="00D43FD5"/>
    <w:rsid w:val="00D47F0B"/>
    <w:rsid w:val="00D62506"/>
    <w:rsid w:val="00DB4209"/>
    <w:rsid w:val="00DE2CB3"/>
    <w:rsid w:val="00DF63D2"/>
    <w:rsid w:val="00E22C83"/>
    <w:rsid w:val="00E37BBF"/>
    <w:rsid w:val="00E41702"/>
    <w:rsid w:val="00E51B27"/>
    <w:rsid w:val="00ED4447"/>
    <w:rsid w:val="00EF6463"/>
    <w:rsid w:val="00F00032"/>
    <w:rsid w:val="00F41645"/>
    <w:rsid w:val="00F47ACE"/>
    <w:rsid w:val="00F55B0D"/>
    <w:rsid w:val="00FA0A85"/>
    <w:rsid w:val="00FE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B31B"/>
  <w15:chartTrackingRefBased/>
  <w15:docId w15:val="{0CE70690-28FF-4DE9-A8DE-4C615A69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7F3A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ableContents">
    <w:name w:val="Table Contents"/>
    <w:basedOn w:val="Normaallaad"/>
    <w:rsid w:val="00317F3A"/>
    <w:pPr>
      <w:suppressLineNumbers/>
    </w:pPr>
  </w:style>
  <w:style w:type="paragraph" w:customStyle="1" w:styleId="AK">
    <w:name w:val="AK"/>
    <w:autoRedefine/>
    <w:qFormat/>
    <w:rsid w:val="00317F3A"/>
    <w:pPr>
      <w:keepNext/>
      <w:keepLines/>
      <w:suppressLineNumbers/>
      <w:spacing w:after="0" w:line="240" w:lineRule="auto"/>
    </w:pPr>
    <w:rPr>
      <w:rFonts w:ascii="Times New Roman" w:eastAsia="SimSun" w:hAnsi="Times New Roman" w:cs="Times New Roman"/>
      <w:bCs/>
      <w:kern w:val="1"/>
      <w:sz w:val="20"/>
      <w:szCs w:val="20"/>
      <w:lang w:eastAsia="zh-CN" w:bidi="hi-IN"/>
    </w:rPr>
  </w:style>
  <w:style w:type="paragraph" w:customStyle="1" w:styleId="Pealkiri1">
    <w:name w:val="Pealkiri1"/>
    <w:autoRedefine/>
    <w:qFormat/>
    <w:rsid w:val="00317F3A"/>
    <w:pPr>
      <w:spacing w:after="560" w:line="240" w:lineRule="auto"/>
    </w:pPr>
    <w:rPr>
      <w:rFonts w:ascii="Times New Roman" w:eastAsia="SimSun" w:hAnsi="Times New Roman" w:cs="Times New Roman"/>
      <w:b/>
      <w:bCs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317F3A"/>
    <w:pPr>
      <w:spacing w:before="840" w:after="0" w:line="240" w:lineRule="auto"/>
      <w:jc w:val="right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317F3A"/>
    <w:pPr>
      <w:spacing w:after="0" w:line="240" w:lineRule="auto"/>
    </w:pPr>
    <w:rPr>
      <w:rFonts w:ascii="Times New Roman" w:eastAsia="SimSun" w:hAnsi="Times New Roman" w:cs="Times New Roman"/>
      <w:caps/>
      <w:kern w:val="24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94A32"/>
    <w:pPr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llikirjastajanimi">
    <w:name w:val="allikirjastaja:nimi"/>
    <w:basedOn w:val="Normaallaad"/>
    <w:next w:val="Normaallaad"/>
    <w:rsid w:val="00194A32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character" w:styleId="Kommentaariviide">
    <w:name w:val="annotation reference"/>
    <w:basedOn w:val="Liguvaikefont"/>
    <w:uiPriority w:val="99"/>
    <w:semiHidden/>
    <w:unhideWhenUsed/>
    <w:rsid w:val="000C779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C7792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C7792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C779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C7792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C779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C779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4211BF"/>
    <w:rPr>
      <w:color w:val="808080"/>
    </w:rPr>
  </w:style>
  <w:style w:type="paragraph" w:styleId="Redaktsioon">
    <w:name w:val="Revision"/>
    <w:hidden/>
    <w:uiPriority w:val="99"/>
    <w:semiHidden/>
    <w:rsid w:val="0091244D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Vahedeta">
    <w:name w:val="No Spacing"/>
    <w:uiPriority w:val="1"/>
    <w:qFormat/>
    <w:rsid w:val="00DF63D2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iigiteataja.ee/akt/dyn=125072024010&amp;id=130062023055!pr10lg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 Männa</dc:creator>
  <cp:keywords/>
  <dc:description/>
  <cp:lastModifiedBy>Merle Järve - RAM</cp:lastModifiedBy>
  <cp:revision>2</cp:revision>
  <cp:lastPrinted>2025-04-04T10:30:00Z</cp:lastPrinted>
  <dcterms:created xsi:type="dcterms:W3CDTF">2025-05-06T06:40:00Z</dcterms:created>
  <dcterms:modified xsi:type="dcterms:W3CDTF">2025-05-06T06:40:00Z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ga_secondsignerJobTitle">
    <vt:lpwstr>{teise allkirjastaja ametikoht}</vt:lpwstr>
  </property>
  <property fmtid="{D5CDD505-2E9C-101B-9397-08002B2CF9AE}" pid="7" name="delta_secondsignerName">
    <vt:lpwstr>{teine allkirjastaja}</vt:lpwstr>
  </property>
  <property fmtid="{D5CDD505-2E9C-101B-9397-08002B2CF9AE}" pid="8" name="delta_signerJobTitle">
    <vt:lpwstr>{ametikoht}</vt:lpwstr>
  </property>
  <property fmtid="{D5CDD505-2E9C-101B-9397-08002B2CF9AE}" pid="9" name="delta_secondsignerJobTitle">
    <vt:lpwstr>{teise allkirjastaja ametikoht}</vt:lpwstr>
  </property>
  <property fmtid="{D5CDD505-2E9C-101B-9397-08002B2CF9AE}" pid="10" name="MSIP_Label_defa4170-0d19-0005-0004-bc88714345d2_Enabled">
    <vt:lpwstr>true</vt:lpwstr>
  </property>
  <property fmtid="{D5CDD505-2E9C-101B-9397-08002B2CF9AE}" pid="11" name="MSIP_Label_defa4170-0d19-0005-0004-bc88714345d2_SetDate">
    <vt:lpwstr>2025-03-26T15:01:08Z</vt:lpwstr>
  </property>
  <property fmtid="{D5CDD505-2E9C-101B-9397-08002B2CF9AE}" pid="12" name="MSIP_Label_defa4170-0d19-0005-0004-bc88714345d2_Method">
    <vt:lpwstr>Standard</vt:lpwstr>
  </property>
  <property fmtid="{D5CDD505-2E9C-101B-9397-08002B2CF9AE}" pid="13" name="MSIP_Label_defa4170-0d19-0005-0004-bc88714345d2_Name">
    <vt:lpwstr>defa4170-0d19-0005-0004-bc88714345d2</vt:lpwstr>
  </property>
  <property fmtid="{D5CDD505-2E9C-101B-9397-08002B2CF9AE}" pid="14" name="MSIP_Label_defa4170-0d19-0005-0004-bc88714345d2_SiteId">
    <vt:lpwstr>8fe098d2-428d-4bd4-9803-7195fe96f0e2</vt:lpwstr>
  </property>
  <property fmtid="{D5CDD505-2E9C-101B-9397-08002B2CF9AE}" pid="15" name="MSIP_Label_defa4170-0d19-0005-0004-bc88714345d2_ActionId">
    <vt:lpwstr>16575569-8f49-4bc6-9b31-7460b54604f3</vt:lpwstr>
  </property>
  <property fmtid="{D5CDD505-2E9C-101B-9397-08002B2CF9AE}" pid="16" name="MSIP_Label_defa4170-0d19-0005-0004-bc88714345d2_ContentBits">
    <vt:lpwstr>0</vt:lpwstr>
  </property>
  <property fmtid="{D5CDD505-2E9C-101B-9397-08002B2CF9AE}" pid="17" name="MSIP_Label_defa4170-0d19-0005-0004-bc88714345d2_Tag">
    <vt:lpwstr>10, 3, 0, 1</vt:lpwstr>
  </property>
</Properties>
</file>