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31A9" w14:textId="77777777" w:rsidR="004277D0" w:rsidRPr="00AB6073" w:rsidRDefault="004277D0" w:rsidP="0002732A">
      <w:pPr>
        <w:pStyle w:val="NormalWeb"/>
        <w:spacing w:before="0" w:beforeAutospacing="0" w:after="0" w:afterAutospacing="0" w:line="300" w:lineRule="exact"/>
        <w:rPr>
          <w:lang w:val="en-GB"/>
        </w:rPr>
      </w:pPr>
    </w:p>
    <w:p w14:paraId="11220D7E" w14:textId="77777777" w:rsidR="004277D0" w:rsidRPr="00AB6073" w:rsidRDefault="004277D0" w:rsidP="0002732A">
      <w:pPr>
        <w:pStyle w:val="NormalWeb"/>
        <w:spacing w:before="0" w:beforeAutospacing="0" w:after="0" w:afterAutospacing="0" w:line="300" w:lineRule="exact"/>
        <w:rPr>
          <w:lang w:val="en-GB"/>
        </w:rPr>
      </w:pPr>
    </w:p>
    <w:p w14:paraId="626C603B" w14:textId="77777777" w:rsidR="004277D0" w:rsidRPr="0002732A" w:rsidRDefault="00E53303" w:rsidP="003649B1">
      <w:pPr>
        <w:pStyle w:val="NormalWeb"/>
        <w:spacing w:before="0" w:beforeAutospacing="0" w:after="0" w:afterAutospacing="0" w:line="300" w:lineRule="exact"/>
        <w:jc w:val="center"/>
        <w:rPr>
          <w:b/>
          <w:bCs/>
          <w:lang w:val="en-GB"/>
        </w:rPr>
      </w:pPr>
      <w:r w:rsidRPr="0002732A">
        <w:rPr>
          <w:b/>
          <w:bCs/>
          <w:lang w:val="en-GB"/>
        </w:rPr>
        <w:t>CONCEPT NOTE</w:t>
      </w:r>
    </w:p>
    <w:p w14:paraId="488BA678" w14:textId="77777777" w:rsidR="0002732A" w:rsidRPr="0002732A" w:rsidRDefault="0002732A" w:rsidP="003649B1">
      <w:pPr>
        <w:pStyle w:val="NormalWeb"/>
        <w:spacing w:before="0" w:beforeAutospacing="0" w:after="0" w:afterAutospacing="0" w:line="300" w:lineRule="exact"/>
        <w:rPr>
          <w:rStyle w:val="Strong"/>
          <w:b w:val="0"/>
          <w:bCs w:val="0"/>
          <w:lang w:val="en-GB"/>
        </w:rPr>
      </w:pPr>
    </w:p>
    <w:p w14:paraId="4709DBED" w14:textId="687F90D2" w:rsidR="00AB6073" w:rsidRPr="003649B1" w:rsidRDefault="003649B1" w:rsidP="003649B1">
      <w:pPr>
        <w:pStyle w:val="NormalWeb"/>
        <w:spacing w:before="0" w:beforeAutospacing="0" w:after="0" w:afterAutospacing="0" w:line="300" w:lineRule="exact"/>
        <w:jc w:val="center"/>
        <w:rPr>
          <w:rStyle w:val="Strong"/>
          <w:lang w:val="en-GB"/>
        </w:rPr>
      </w:pPr>
      <w:r w:rsidRPr="003649B1">
        <w:rPr>
          <w:rStyle w:val="Strong"/>
          <w:lang w:val="en-GB"/>
        </w:rPr>
        <w:t>CONFERENCE OF THE PARLIAMENT OF THE REPUBLIC OF ALBANIA WITH THE EUROPEAN AFFAIRS COMMITTEES OF THE PARLIAMENTS OF EU MEMBER STATES AND CANDIDATE COUNTRIES</w:t>
      </w:r>
    </w:p>
    <w:p w14:paraId="4567296D" w14:textId="55036B54" w:rsidR="003649B1" w:rsidRPr="003649B1" w:rsidRDefault="003649B1" w:rsidP="003649B1">
      <w:pPr>
        <w:spacing w:after="0" w:line="240" w:lineRule="auto"/>
        <w:jc w:val="center"/>
        <w:rPr>
          <w:rFonts w:ascii="Times New Roman" w:eastAsia="Times New Roman" w:hAnsi="Times New Roman" w:cs="Times New Roman"/>
          <w:b/>
          <w:bCs/>
          <w:sz w:val="24"/>
          <w:szCs w:val="24"/>
        </w:rPr>
      </w:pPr>
      <w:r w:rsidRPr="003649B1">
        <w:rPr>
          <w:rStyle w:val="Strong"/>
          <w:rFonts w:ascii="Times New Roman" w:eastAsia="Times New Roman" w:hAnsi="Times New Roman" w:cs="Times New Roman"/>
          <w:sz w:val="24"/>
          <w:szCs w:val="24"/>
        </w:rPr>
        <w:t>EU ENLARGEMENT: A STRATEGIC AGENDA FOR EUROPE’S FUTURE</w:t>
      </w:r>
    </w:p>
    <w:p w14:paraId="3894F426" w14:textId="77777777" w:rsidR="003649B1" w:rsidRPr="003649B1" w:rsidRDefault="003649B1" w:rsidP="00AB6073">
      <w:pPr>
        <w:pStyle w:val="NormalWeb"/>
        <w:spacing w:before="0" w:beforeAutospacing="0" w:after="0" w:afterAutospacing="0" w:line="300" w:lineRule="exact"/>
        <w:jc w:val="center"/>
        <w:rPr>
          <w:rStyle w:val="Strong"/>
          <w:b w:val="0"/>
          <w:bCs w:val="0"/>
          <w:lang w:val="en-GB"/>
        </w:rPr>
      </w:pPr>
    </w:p>
    <w:p w14:paraId="2D08B961" w14:textId="7AC57B10" w:rsidR="005337A6" w:rsidRPr="003649B1" w:rsidRDefault="005337A6" w:rsidP="00AB6073">
      <w:pPr>
        <w:pStyle w:val="NormalWeb"/>
        <w:spacing w:before="0" w:beforeAutospacing="0" w:after="0" w:afterAutospacing="0" w:line="300" w:lineRule="exact"/>
        <w:jc w:val="center"/>
        <w:rPr>
          <w:rStyle w:val="Strong"/>
          <w:b w:val="0"/>
          <w:bCs w:val="0"/>
          <w:i/>
          <w:iCs/>
          <w:lang w:val="en-GB"/>
        </w:rPr>
      </w:pPr>
      <w:r w:rsidRPr="003649B1">
        <w:rPr>
          <w:rStyle w:val="Strong"/>
          <w:b w:val="0"/>
          <w:bCs w:val="0"/>
          <w:i/>
          <w:iCs/>
          <w:lang w:val="en-GB"/>
        </w:rPr>
        <w:t>Tiran</w:t>
      </w:r>
      <w:r w:rsidR="00E53303" w:rsidRPr="003649B1">
        <w:rPr>
          <w:rStyle w:val="Strong"/>
          <w:b w:val="0"/>
          <w:bCs w:val="0"/>
          <w:i/>
          <w:iCs/>
          <w:lang w:val="en-GB"/>
        </w:rPr>
        <w:t>a</w:t>
      </w:r>
      <w:r w:rsidRPr="003649B1">
        <w:rPr>
          <w:rStyle w:val="Strong"/>
          <w:b w:val="0"/>
          <w:bCs w:val="0"/>
          <w:i/>
          <w:iCs/>
          <w:lang w:val="en-GB"/>
        </w:rPr>
        <w:t xml:space="preserve">, </w:t>
      </w:r>
      <w:r w:rsidR="00114AAB" w:rsidRPr="003649B1">
        <w:rPr>
          <w:rStyle w:val="Strong"/>
          <w:b w:val="0"/>
          <w:bCs w:val="0"/>
          <w:i/>
          <w:iCs/>
          <w:lang w:val="en-GB"/>
        </w:rPr>
        <w:t>28</w:t>
      </w:r>
      <w:r w:rsidR="00AB6073" w:rsidRPr="003649B1">
        <w:rPr>
          <w:rStyle w:val="Strong"/>
          <w:b w:val="0"/>
          <w:bCs w:val="0"/>
          <w:i/>
          <w:iCs/>
          <w:lang w:val="en-GB"/>
        </w:rPr>
        <w:t xml:space="preserve"> – </w:t>
      </w:r>
      <w:r w:rsidR="00114AAB" w:rsidRPr="003649B1">
        <w:rPr>
          <w:rStyle w:val="Strong"/>
          <w:b w:val="0"/>
          <w:bCs w:val="0"/>
          <w:i/>
          <w:iCs/>
          <w:lang w:val="en-GB"/>
        </w:rPr>
        <w:t xml:space="preserve">29 </w:t>
      </w:r>
      <w:r w:rsidR="00E53303" w:rsidRPr="003649B1">
        <w:rPr>
          <w:rStyle w:val="Strong"/>
          <w:b w:val="0"/>
          <w:bCs w:val="0"/>
          <w:i/>
          <w:iCs/>
          <w:lang w:val="en-GB"/>
        </w:rPr>
        <w:t>September</w:t>
      </w:r>
      <w:r w:rsidRPr="003649B1">
        <w:rPr>
          <w:rStyle w:val="Strong"/>
          <w:b w:val="0"/>
          <w:bCs w:val="0"/>
          <w:i/>
          <w:iCs/>
          <w:lang w:val="en-GB"/>
        </w:rPr>
        <w:t xml:space="preserve"> 2026</w:t>
      </w:r>
    </w:p>
    <w:p w14:paraId="42BC89B1" w14:textId="77777777" w:rsidR="0037088B" w:rsidRPr="00AB6073" w:rsidRDefault="0037088B" w:rsidP="00AB6073">
      <w:pPr>
        <w:pStyle w:val="NormalWeb"/>
        <w:spacing w:before="0" w:beforeAutospacing="0" w:after="0" w:afterAutospacing="0" w:line="300" w:lineRule="exact"/>
        <w:jc w:val="both"/>
        <w:rPr>
          <w:lang w:val="en-GB"/>
        </w:rPr>
      </w:pPr>
    </w:p>
    <w:p w14:paraId="7290117B" w14:textId="7235F134" w:rsidR="003649B1" w:rsidRPr="00C22633" w:rsidRDefault="003649B1" w:rsidP="003649B1">
      <w:pPr>
        <w:pStyle w:val="NormalWeb"/>
        <w:spacing w:before="0" w:beforeAutospacing="0" w:after="0" w:afterAutospacing="0" w:line="300" w:lineRule="exact"/>
        <w:jc w:val="both"/>
        <w:rPr>
          <w:b/>
          <w:bCs/>
        </w:rPr>
      </w:pPr>
      <w:r w:rsidRPr="00C22633">
        <w:rPr>
          <w:b/>
          <w:bCs/>
        </w:rPr>
        <w:t>1. Context and purpose of the conference</w:t>
      </w:r>
    </w:p>
    <w:p w14:paraId="2FCA1CDE" w14:textId="77777777" w:rsidR="003649B1" w:rsidRPr="00C22633" w:rsidRDefault="003649B1" w:rsidP="003649B1">
      <w:pPr>
        <w:pStyle w:val="NormalWeb"/>
        <w:spacing w:before="0" w:beforeAutospacing="0" w:after="0" w:afterAutospacing="0" w:line="300" w:lineRule="exact"/>
        <w:jc w:val="both"/>
        <w:rPr>
          <w:b/>
          <w:bCs/>
        </w:rPr>
      </w:pPr>
    </w:p>
    <w:p w14:paraId="1BFB8748" w14:textId="77777777" w:rsidR="003649B1" w:rsidRPr="00C22633" w:rsidRDefault="003649B1" w:rsidP="00C22633">
      <w:pPr>
        <w:pStyle w:val="NormalWeb"/>
        <w:spacing w:before="0" w:beforeAutospacing="0" w:after="0" w:afterAutospacing="0" w:line="276" w:lineRule="auto"/>
        <w:jc w:val="both"/>
      </w:pPr>
      <w:r w:rsidRPr="00C22633">
        <w:t>The European Union enlargement process stands at a defining moment, shaped by a rapidly evolving geopolitical environment and the need to strengthen Europe’s unity, resilience and strategic capacity. In this context, enlargement is not only an institutional process, but a strategic investment in peace, stability, security and the future of the European project.</w:t>
      </w:r>
    </w:p>
    <w:p w14:paraId="273D4676" w14:textId="77777777" w:rsidR="003649B1" w:rsidRPr="00C22633" w:rsidRDefault="003649B1" w:rsidP="00C22633">
      <w:pPr>
        <w:pStyle w:val="NormalWeb"/>
        <w:spacing w:before="0" w:beforeAutospacing="0" w:after="0" w:afterAutospacing="0" w:line="276" w:lineRule="auto"/>
        <w:jc w:val="both"/>
      </w:pPr>
    </w:p>
    <w:p w14:paraId="1B81A8B4" w14:textId="77777777" w:rsidR="003649B1" w:rsidRPr="00C22633" w:rsidRDefault="003649B1" w:rsidP="00C22633">
      <w:pPr>
        <w:pStyle w:val="NormalWeb"/>
        <w:spacing w:before="0" w:beforeAutospacing="0" w:after="0" w:afterAutospacing="0" w:line="276" w:lineRule="auto"/>
        <w:jc w:val="both"/>
      </w:pPr>
      <w:r w:rsidRPr="00C22633">
        <w:t>The integration of the Western Balkans and other candidate countries into the European Union represents a significant opportunity to consolidate a Europe based on shared values, democratic principles, the rule of law and stronger regional cooperation.</w:t>
      </w:r>
    </w:p>
    <w:p w14:paraId="428CD72F" w14:textId="77777777" w:rsidR="003649B1" w:rsidRPr="00C22633" w:rsidRDefault="003649B1" w:rsidP="00C22633">
      <w:pPr>
        <w:pStyle w:val="NormalWeb"/>
        <w:spacing w:before="0" w:beforeAutospacing="0" w:after="0" w:afterAutospacing="0" w:line="276" w:lineRule="auto"/>
        <w:jc w:val="both"/>
      </w:pPr>
    </w:p>
    <w:p w14:paraId="5831C92C" w14:textId="65106057" w:rsidR="003649B1" w:rsidRPr="00C22633" w:rsidRDefault="003649B1" w:rsidP="00C22633">
      <w:pPr>
        <w:pStyle w:val="NormalWeb"/>
        <w:spacing w:before="0" w:beforeAutospacing="0" w:after="0" w:afterAutospacing="0" w:line="276" w:lineRule="auto"/>
        <w:jc w:val="both"/>
      </w:pPr>
      <w:r w:rsidRPr="00C22633">
        <w:t>Albania is currently at an advanced stage of this historic journey. Through sustained political commitment, comprehensive reforms and alignment with European standards, Albania has made significant progress in its accession process, demonstrating its readiness to contribute as a future member of the European Union. The opening of all negotiating clusters within 13 months represents an important milestone and reflects the country’s determination to advance toward full membership.</w:t>
      </w:r>
    </w:p>
    <w:p w14:paraId="54FC63DA" w14:textId="77777777" w:rsidR="003649B1" w:rsidRPr="00C22633" w:rsidRDefault="003649B1" w:rsidP="00C22633">
      <w:pPr>
        <w:pStyle w:val="NormalWeb"/>
        <w:spacing w:before="0" w:beforeAutospacing="0" w:after="0" w:afterAutospacing="0" w:line="276" w:lineRule="auto"/>
        <w:jc w:val="both"/>
      </w:pPr>
    </w:p>
    <w:p w14:paraId="4B8F8D8C" w14:textId="08EECB1E" w:rsidR="003649B1" w:rsidRPr="00C22633" w:rsidRDefault="003649B1" w:rsidP="00C22633">
      <w:pPr>
        <w:pStyle w:val="NormalWeb"/>
        <w:spacing w:before="0" w:beforeAutospacing="0" w:after="0" w:afterAutospacing="0" w:line="276" w:lineRule="auto"/>
        <w:jc w:val="both"/>
        <w:rPr>
          <w:lang w:val="en-GB"/>
        </w:rPr>
      </w:pPr>
      <w:r w:rsidRPr="00C22633">
        <w:t>Against this background, the Parliament of Albania will organize an Inter-Parliamentary Conference bringing together representatives of the European affairs committees of EU Member States, Western Balkan partners</w:t>
      </w:r>
      <w:r w:rsidR="00E4377A" w:rsidRPr="00C22633">
        <w:t xml:space="preserve"> and candidate countries, including </w:t>
      </w:r>
      <w:r w:rsidR="00E4377A" w:rsidRPr="00C22633">
        <w:rPr>
          <w:rStyle w:val="Strong"/>
          <w:b w:val="0"/>
          <w:bCs w:val="0"/>
          <w:lang w:val="en-GB"/>
        </w:rPr>
        <w:t>Ukraine, Moldova, Georgia, Türkiye</w:t>
      </w:r>
      <w:r w:rsidR="00E4377A" w:rsidRPr="00C22633">
        <w:rPr>
          <w:lang w:val="en-GB"/>
        </w:rPr>
        <w:t xml:space="preserve">, </w:t>
      </w:r>
      <w:r w:rsidRPr="00C22633">
        <w:t xml:space="preserve">and European institutions. The Conference aims to provide a strategic platform for discussion on the future of EU enlargement, exchange parliamentary perspectives, strengthen cooperation among national parliaments and reaffirm the role of enlargement as a </w:t>
      </w:r>
      <w:r w:rsidR="00C22633" w:rsidRPr="00C22633">
        <w:t xml:space="preserve">strategic </w:t>
      </w:r>
      <w:r w:rsidRPr="00C22633">
        <w:t>driver of democratic transformation, stability, and European unity.</w:t>
      </w:r>
    </w:p>
    <w:p w14:paraId="6D54A3AD" w14:textId="77777777" w:rsidR="003649B1" w:rsidRPr="00C22633" w:rsidRDefault="003649B1" w:rsidP="003649B1">
      <w:pPr>
        <w:pStyle w:val="NormalWeb"/>
        <w:spacing w:before="0" w:beforeAutospacing="0" w:after="0" w:afterAutospacing="0" w:line="276" w:lineRule="auto"/>
        <w:jc w:val="both"/>
      </w:pPr>
    </w:p>
    <w:p w14:paraId="5D361AE2" w14:textId="77777777" w:rsidR="003649B1" w:rsidRPr="00C22633" w:rsidRDefault="003649B1" w:rsidP="003649B1">
      <w:pPr>
        <w:pStyle w:val="NormalWeb"/>
        <w:spacing w:before="0" w:beforeAutospacing="0" w:after="0" w:afterAutospacing="0" w:line="276" w:lineRule="auto"/>
        <w:jc w:val="both"/>
        <w:rPr>
          <w:b/>
          <w:bCs/>
        </w:rPr>
      </w:pPr>
      <w:r w:rsidRPr="00C22633">
        <w:rPr>
          <w:b/>
          <w:bCs/>
        </w:rPr>
        <w:t>2. EU enlargement as a strategic priority for Europe’s future</w:t>
      </w:r>
    </w:p>
    <w:p w14:paraId="263073AB" w14:textId="77777777" w:rsidR="003649B1" w:rsidRPr="00C22633" w:rsidRDefault="003649B1" w:rsidP="003649B1">
      <w:pPr>
        <w:pStyle w:val="NormalWeb"/>
        <w:spacing w:before="0" w:beforeAutospacing="0" w:after="0" w:afterAutospacing="0" w:line="276" w:lineRule="auto"/>
        <w:jc w:val="both"/>
        <w:rPr>
          <w:b/>
          <w:bCs/>
        </w:rPr>
      </w:pPr>
    </w:p>
    <w:p w14:paraId="7FB246EF" w14:textId="77777777" w:rsidR="003649B1" w:rsidRPr="00C22633" w:rsidRDefault="003649B1" w:rsidP="0036224A">
      <w:pPr>
        <w:pStyle w:val="NormalWeb"/>
        <w:spacing w:before="0" w:beforeAutospacing="0" w:after="0" w:afterAutospacing="0" w:line="276" w:lineRule="auto"/>
        <w:jc w:val="both"/>
      </w:pPr>
      <w:r w:rsidRPr="00C22633">
        <w:t>Today’s security environment demonstrates that Europe’s challenges are increasingly interconnected. Geopolitical competition, regional instability, hybrid threats and global uncertainty underline the importance of a stronger, more united and resilient European Union.</w:t>
      </w:r>
    </w:p>
    <w:p w14:paraId="36E2EACA" w14:textId="77777777" w:rsidR="003649B1" w:rsidRPr="00C22633" w:rsidRDefault="003649B1" w:rsidP="0036224A">
      <w:pPr>
        <w:pStyle w:val="NormalWeb"/>
        <w:spacing w:before="0" w:beforeAutospacing="0" w:after="0" w:afterAutospacing="0" w:line="276" w:lineRule="auto"/>
        <w:jc w:val="both"/>
      </w:pPr>
    </w:p>
    <w:p w14:paraId="7558422C" w14:textId="611D426D" w:rsidR="003649B1" w:rsidRPr="00C22633" w:rsidRDefault="00C22633" w:rsidP="0036224A">
      <w:pPr>
        <w:pStyle w:val="NormalWeb"/>
        <w:spacing w:before="0" w:beforeAutospacing="0" w:after="0" w:afterAutospacing="0" w:line="276" w:lineRule="auto"/>
        <w:jc w:val="both"/>
      </w:pPr>
      <w:r>
        <w:t>Therefore</w:t>
      </w:r>
      <w:r w:rsidR="003649B1" w:rsidRPr="00C22633">
        <w:t>, EU enlargement should be viewed as a strategic process that extends the area of peace, democracy and prosperity. A credible and effective enlargement policy strengthens Europe’s influence, reinforces democratic institutions and contributes to long-term stability across the continent.</w:t>
      </w:r>
    </w:p>
    <w:p w14:paraId="6D4F1D67" w14:textId="77777777" w:rsidR="003649B1" w:rsidRPr="00C22633" w:rsidRDefault="003649B1" w:rsidP="0036224A">
      <w:pPr>
        <w:pStyle w:val="NormalWeb"/>
        <w:spacing w:before="0" w:beforeAutospacing="0" w:after="0" w:afterAutospacing="0" w:line="276" w:lineRule="auto"/>
        <w:jc w:val="both"/>
      </w:pPr>
    </w:p>
    <w:p w14:paraId="55EF7BDB" w14:textId="4359F692" w:rsidR="003649B1" w:rsidRPr="00C22633" w:rsidRDefault="003649B1" w:rsidP="0036224A">
      <w:pPr>
        <w:pStyle w:val="NormalWeb"/>
        <w:spacing w:before="0" w:beforeAutospacing="0" w:after="0" w:afterAutospacing="0" w:line="276" w:lineRule="auto"/>
        <w:jc w:val="both"/>
      </w:pPr>
      <w:r w:rsidRPr="00C22633">
        <w:t>For the Western Balkans and all candidate countries, European integration remains the most powerful framework for sustainable reforms, reconciliation and regional cooperation. Progress toward membership represents not only a national aspiration, but a shared European interest.</w:t>
      </w:r>
    </w:p>
    <w:p w14:paraId="2C74C8A1" w14:textId="77777777" w:rsidR="00AB6073" w:rsidRPr="00C22633" w:rsidRDefault="00AB6073" w:rsidP="0036224A">
      <w:pPr>
        <w:pStyle w:val="NormalWeb"/>
        <w:spacing w:before="0" w:beforeAutospacing="0" w:after="0" w:afterAutospacing="0" w:line="276" w:lineRule="auto"/>
        <w:jc w:val="both"/>
        <w:rPr>
          <w:bCs/>
          <w:lang w:val="en-GB"/>
        </w:rPr>
      </w:pPr>
    </w:p>
    <w:p w14:paraId="0EA204B2" w14:textId="6134018F" w:rsidR="00434CC9" w:rsidRPr="00C22633" w:rsidRDefault="003649B1" w:rsidP="00AB6073">
      <w:pPr>
        <w:pStyle w:val="NormalWeb"/>
        <w:spacing w:before="0" w:beforeAutospacing="0" w:after="0" w:afterAutospacing="0" w:line="300" w:lineRule="exact"/>
        <w:jc w:val="both"/>
        <w:rPr>
          <w:b/>
          <w:bCs/>
          <w:lang w:val="en-GB"/>
        </w:rPr>
      </w:pPr>
      <w:r w:rsidRPr="00C22633">
        <w:rPr>
          <w:b/>
          <w:bCs/>
          <w:lang w:val="en-GB"/>
        </w:rPr>
        <w:t>3</w:t>
      </w:r>
      <w:r w:rsidR="006E07F1" w:rsidRPr="00C22633">
        <w:rPr>
          <w:b/>
          <w:bCs/>
          <w:lang w:val="en-GB"/>
        </w:rPr>
        <w:t xml:space="preserve">. </w:t>
      </w:r>
      <w:r w:rsidR="00434CC9" w:rsidRPr="00C22633">
        <w:rPr>
          <w:b/>
          <w:bCs/>
          <w:lang w:val="en-GB"/>
        </w:rPr>
        <w:t>The historical dimension of Albania’s European integration and the embrace of fundamental European principles</w:t>
      </w:r>
    </w:p>
    <w:p w14:paraId="2F746D53" w14:textId="77777777" w:rsidR="00AB6073" w:rsidRPr="00C22633" w:rsidRDefault="00AB6073" w:rsidP="00AB6073">
      <w:pPr>
        <w:pStyle w:val="NormalWeb"/>
        <w:spacing w:before="0" w:beforeAutospacing="0" w:after="0" w:afterAutospacing="0" w:line="300" w:lineRule="exact"/>
        <w:jc w:val="both"/>
        <w:rPr>
          <w:lang w:val="en-GB"/>
        </w:rPr>
      </w:pPr>
    </w:p>
    <w:p w14:paraId="789AE18D" w14:textId="6266ED56" w:rsidR="006E07F1" w:rsidRPr="00C22633" w:rsidRDefault="00434CC9" w:rsidP="0036224A">
      <w:pPr>
        <w:pStyle w:val="NormalWeb"/>
        <w:spacing w:before="0" w:beforeAutospacing="0" w:after="0" w:afterAutospacing="0" w:line="276" w:lineRule="auto"/>
        <w:jc w:val="both"/>
        <w:rPr>
          <w:lang w:val="en-GB"/>
        </w:rPr>
      </w:pPr>
      <w:r w:rsidRPr="00C22633">
        <w:rPr>
          <w:lang w:val="en-GB"/>
        </w:rPr>
        <w:t xml:space="preserve">Albania’s European integration is the result of a long historical process, marked by </w:t>
      </w:r>
      <w:r w:rsidR="00C22633">
        <w:rPr>
          <w:lang w:val="en-GB"/>
        </w:rPr>
        <w:t xml:space="preserve">several </w:t>
      </w:r>
      <w:r w:rsidRPr="00C22633">
        <w:rPr>
          <w:lang w:val="en-GB"/>
        </w:rPr>
        <w:t xml:space="preserve">political, economic and social challenges. During this journey, the country has </w:t>
      </w:r>
      <w:r w:rsidR="00C22633">
        <w:rPr>
          <w:lang w:val="en-GB"/>
        </w:rPr>
        <w:t>revealed</w:t>
      </w:r>
      <w:r w:rsidRPr="00C22633">
        <w:rPr>
          <w:lang w:val="en-GB"/>
        </w:rPr>
        <w:t xml:space="preserve"> its consistent willingness to align itself with the fundamental values and principles upon which the </w:t>
      </w:r>
      <w:r w:rsidR="00C22633">
        <w:rPr>
          <w:lang w:val="en-GB"/>
        </w:rPr>
        <w:t>EU</w:t>
      </w:r>
      <w:r w:rsidRPr="00C22633">
        <w:rPr>
          <w:lang w:val="en-GB"/>
        </w:rPr>
        <w:t xml:space="preserve"> is founded</w:t>
      </w:r>
      <w:r w:rsidR="00C22633">
        <w:rPr>
          <w:lang w:val="en-GB"/>
        </w:rPr>
        <w:t xml:space="preserve">: </w:t>
      </w:r>
      <w:r w:rsidRPr="00C22633">
        <w:rPr>
          <w:lang w:val="en-GB"/>
        </w:rPr>
        <w:t xml:space="preserve">democracy, the rule of law, respect for human rights and </w:t>
      </w:r>
      <w:r w:rsidR="00C22633">
        <w:rPr>
          <w:lang w:val="en-GB"/>
        </w:rPr>
        <w:t xml:space="preserve">free </w:t>
      </w:r>
      <w:r w:rsidRPr="00C22633">
        <w:rPr>
          <w:lang w:val="en-GB"/>
        </w:rPr>
        <w:t>market economy.</w:t>
      </w:r>
    </w:p>
    <w:p w14:paraId="6AE4F0A0" w14:textId="77777777" w:rsidR="00AB6073" w:rsidRPr="00C22633" w:rsidRDefault="00AB6073" w:rsidP="0036224A">
      <w:pPr>
        <w:pStyle w:val="NormalWeb"/>
        <w:spacing w:before="0" w:beforeAutospacing="0" w:after="0" w:afterAutospacing="0" w:line="276" w:lineRule="auto"/>
        <w:jc w:val="both"/>
        <w:rPr>
          <w:lang w:val="en-GB"/>
        </w:rPr>
      </w:pPr>
    </w:p>
    <w:p w14:paraId="68CBC399" w14:textId="5F717650" w:rsidR="0037088B" w:rsidRPr="00C22633" w:rsidRDefault="00434CC9" w:rsidP="0036224A">
      <w:pPr>
        <w:pStyle w:val="NormalWeb"/>
        <w:spacing w:before="0" w:beforeAutospacing="0" w:after="0" w:afterAutospacing="0" w:line="276" w:lineRule="auto"/>
        <w:jc w:val="both"/>
        <w:rPr>
          <w:lang w:val="en-GB"/>
        </w:rPr>
      </w:pPr>
      <w:r w:rsidRPr="00C22633">
        <w:rPr>
          <w:lang w:val="en-GB"/>
        </w:rPr>
        <w:t xml:space="preserve">Albania’s European choice has been clear from the moment the Albanian people were able to freely determine their strategic orientation. This </w:t>
      </w:r>
      <w:r w:rsidR="00A70558" w:rsidRPr="00C22633">
        <w:rPr>
          <w:lang w:val="en-GB"/>
        </w:rPr>
        <w:t>orientation</w:t>
      </w:r>
      <w:r w:rsidRPr="00C22633">
        <w:rPr>
          <w:lang w:val="en-GB"/>
        </w:rPr>
        <w:t xml:space="preserve"> represents </w:t>
      </w:r>
      <w:r w:rsidR="00A70558" w:rsidRPr="00C22633">
        <w:rPr>
          <w:lang w:val="en-GB"/>
        </w:rPr>
        <w:t>not just</w:t>
      </w:r>
      <w:r w:rsidRPr="00C22633">
        <w:rPr>
          <w:lang w:val="en-GB"/>
        </w:rPr>
        <w:t xml:space="preserve"> a political aspiration</w:t>
      </w:r>
      <w:r w:rsidR="00A70558" w:rsidRPr="00C22633">
        <w:rPr>
          <w:lang w:val="en-GB"/>
        </w:rPr>
        <w:t>, but</w:t>
      </w:r>
      <w:r w:rsidRPr="00C22633">
        <w:rPr>
          <w:lang w:val="en-GB"/>
        </w:rPr>
        <w:t xml:space="preserve"> a comprehensive, tangible and enduring commitment to the European Union’s core values and principles. It enjoys broad</w:t>
      </w:r>
      <w:r w:rsidR="00C22633">
        <w:rPr>
          <w:lang w:val="en-GB"/>
        </w:rPr>
        <w:t xml:space="preserve"> political and</w:t>
      </w:r>
      <w:r w:rsidRPr="00C22633">
        <w:rPr>
          <w:lang w:val="en-GB"/>
        </w:rPr>
        <w:t xml:space="preserve"> public support to become an active and contributing </w:t>
      </w:r>
      <w:r w:rsidR="00A70558" w:rsidRPr="00C22633">
        <w:rPr>
          <w:lang w:val="en-GB"/>
        </w:rPr>
        <w:t xml:space="preserve">part </w:t>
      </w:r>
      <w:r w:rsidRPr="00C22633">
        <w:rPr>
          <w:lang w:val="en-GB"/>
        </w:rPr>
        <w:t>of the European project.</w:t>
      </w:r>
    </w:p>
    <w:p w14:paraId="6C569B11" w14:textId="77777777" w:rsidR="00AB6073" w:rsidRPr="00C22633" w:rsidRDefault="00AB6073" w:rsidP="00AB6073">
      <w:pPr>
        <w:pStyle w:val="NormalWeb"/>
        <w:spacing w:before="0" w:beforeAutospacing="0" w:after="0" w:afterAutospacing="0" w:line="300" w:lineRule="exact"/>
        <w:jc w:val="both"/>
        <w:rPr>
          <w:lang w:val="en-GB"/>
        </w:rPr>
      </w:pPr>
    </w:p>
    <w:p w14:paraId="6C1BBBA4" w14:textId="6862EDC1" w:rsidR="006E07F1" w:rsidRPr="00C22633" w:rsidRDefault="003649B1" w:rsidP="00AB6073">
      <w:pPr>
        <w:pStyle w:val="NormalWeb"/>
        <w:spacing w:before="0" w:beforeAutospacing="0" w:after="0" w:afterAutospacing="0" w:line="300" w:lineRule="exact"/>
        <w:jc w:val="both"/>
        <w:rPr>
          <w:b/>
          <w:bCs/>
          <w:lang w:val="en-GB"/>
        </w:rPr>
      </w:pPr>
      <w:r w:rsidRPr="00C22633">
        <w:rPr>
          <w:b/>
          <w:bCs/>
          <w:lang w:val="en-GB"/>
        </w:rPr>
        <w:t>4.</w:t>
      </w:r>
      <w:r w:rsidR="002D3C71" w:rsidRPr="00C22633">
        <w:rPr>
          <w:b/>
          <w:bCs/>
          <w:lang w:val="en-GB"/>
        </w:rPr>
        <w:t xml:space="preserve"> </w:t>
      </w:r>
      <w:r w:rsidR="000D3207" w:rsidRPr="00C22633">
        <w:rPr>
          <w:b/>
          <w:bCs/>
          <w:lang w:val="en-GB"/>
        </w:rPr>
        <w:t>Reform</w:t>
      </w:r>
      <w:r w:rsidR="00A70558" w:rsidRPr="00C22633">
        <w:rPr>
          <w:b/>
          <w:bCs/>
          <w:lang w:val="en-GB"/>
        </w:rPr>
        <w:t>s and the framework of Albania-European Union relations</w:t>
      </w:r>
    </w:p>
    <w:p w14:paraId="314C47E4" w14:textId="77777777" w:rsidR="00AB6073" w:rsidRPr="00C22633" w:rsidRDefault="00AB6073" w:rsidP="00AB6073">
      <w:pPr>
        <w:pStyle w:val="NormalWeb"/>
        <w:spacing w:before="0" w:beforeAutospacing="0" w:after="0" w:afterAutospacing="0" w:line="300" w:lineRule="exact"/>
        <w:jc w:val="both"/>
        <w:rPr>
          <w:rStyle w:val="Strong"/>
          <w:b w:val="0"/>
          <w:lang w:val="en-GB"/>
        </w:rPr>
      </w:pPr>
    </w:p>
    <w:p w14:paraId="76B4A28D" w14:textId="3923F2E7" w:rsidR="00AB6073" w:rsidRPr="00C22633" w:rsidRDefault="00A70558" w:rsidP="0036224A">
      <w:pPr>
        <w:pStyle w:val="NormalWeb"/>
        <w:spacing w:before="0" w:beforeAutospacing="0" w:after="0" w:afterAutospacing="0" w:line="276" w:lineRule="auto"/>
        <w:jc w:val="both"/>
        <w:rPr>
          <w:bCs/>
          <w:lang w:val="en-GB"/>
        </w:rPr>
      </w:pPr>
      <w:r w:rsidRPr="00C22633">
        <w:rPr>
          <w:rStyle w:val="Strong"/>
          <w:b w:val="0"/>
          <w:lang w:val="en-GB"/>
        </w:rPr>
        <w:t>The European integration process has required and continues to require profound reforms in all sectors of state governance. These reforms have been reflected in and assessed through the principal instruments of cooperation between Albania and the European Union, including the 1992 Preferential Agreement, the Stabilization and Association Agreement, visa liberali</w:t>
      </w:r>
      <w:r w:rsidR="002C584C" w:rsidRPr="00C22633">
        <w:rPr>
          <w:rStyle w:val="Strong"/>
          <w:b w:val="0"/>
          <w:lang w:val="en-GB"/>
        </w:rPr>
        <w:t>s</w:t>
      </w:r>
      <w:r w:rsidRPr="00C22633">
        <w:rPr>
          <w:rStyle w:val="Strong"/>
          <w:b w:val="0"/>
          <w:lang w:val="en-GB"/>
        </w:rPr>
        <w:t>ation for the Schengen area and the granting of the candidate country status.</w:t>
      </w:r>
    </w:p>
    <w:p w14:paraId="43CF6F34" w14:textId="77777777" w:rsidR="00AB6073" w:rsidRPr="00C22633" w:rsidRDefault="00AB6073" w:rsidP="0036224A">
      <w:pPr>
        <w:pStyle w:val="NormalWeb"/>
        <w:spacing w:before="0" w:beforeAutospacing="0" w:after="0" w:afterAutospacing="0" w:line="276" w:lineRule="auto"/>
        <w:jc w:val="both"/>
        <w:rPr>
          <w:bCs/>
          <w:lang w:val="en-GB"/>
        </w:rPr>
      </w:pPr>
    </w:p>
    <w:p w14:paraId="6952FD07" w14:textId="27639FAD" w:rsidR="00C36942" w:rsidRPr="00C22633" w:rsidRDefault="00A70558" w:rsidP="0036224A">
      <w:pPr>
        <w:pStyle w:val="NormalWeb"/>
        <w:spacing w:before="0" w:beforeAutospacing="0" w:after="0" w:afterAutospacing="0" w:line="276" w:lineRule="auto"/>
        <w:jc w:val="both"/>
        <w:rPr>
          <w:rStyle w:val="Strong"/>
          <w:b w:val="0"/>
          <w:lang w:val="en-GB"/>
        </w:rPr>
      </w:pPr>
      <w:r w:rsidRPr="00C22633">
        <w:rPr>
          <w:rStyle w:val="Strong"/>
          <w:b w:val="0"/>
          <w:lang w:val="en-GB"/>
        </w:rPr>
        <w:t xml:space="preserve">The opening of accession negotiations </w:t>
      </w:r>
      <w:r w:rsidR="007F235E" w:rsidRPr="00C22633">
        <w:rPr>
          <w:rStyle w:val="Strong"/>
          <w:b w:val="0"/>
          <w:lang w:val="en-GB"/>
        </w:rPr>
        <w:t>for</w:t>
      </w:r>
      <w:r w:rsidRPr="00C22633">
        <w:rPr>
          <w:rStyle w:val="Strong"/>
          <w:b w:val="0"/>
          <w:lang w:val="en-GB"/>
        </w:rPr>
        <w:t xml:space="preserve"> all </w:t>
      </w:r>
      <w:r w:rsidR="007F235E" w:rsidRPr="00C22633">
        <w:rPr>
          <w:rStyle w:val="Strong"/>
          <w:b w:val="0"/>
          <w:lang w:val="en-GB"/>
        </w:rPr>
        <w:t xml:space="preserve">the </w:t>
      </w:r>
      <w:r w:rsidRPr="00C22633">
        <w:rPr>
          <w:rStyle w:val="Strong"/>
          <w:b w:val="0"/>
          <w:lang w:val="en-GB"/>
        </w:rPr>
        <w:t>negotiati</w:t>
      </w:r>
      <w:r w:rsidR="007F235E" w:rsidRPr="00C22633">
        <w:rPr>
          <w:rStyle w:val="Strong"/>
          <w:b w:val="0"/>
          <w:lang w:val="en-GB"/>
        </w:rPr>
        <w:t>ng</w:t>
      </w:r>
      <w:r w:rsidRPr="00C22633">
        <w:rPr>
          <w:rStyle w:val="Strong"/>
          <w:b w:val="0"/>
          <w:lang w:val="en-GB"/>
        </w:rPr>
        <w:t xml:space="preserve"> clusters mark</w:t>
      </w:r>
      <w:r w:rsidR="00C22633">
        <w:rPr>
          <w:rStyle w:val="Strong"/>
          <w:b w:val="0"/>
          <w:lang w:val="en-GB"/>
        </w:rPr>
        <w:t>ed</w:t>
      </w:r>
      <w:r w:rsidRPr="00C22633">
        <w:rPr>
          <w:rStyle w:val="Strong"/>
          <w:b w:val="0"/>
          <w:lang w:val="en-GB"/>
        </w:rPr>
        <w:t xml:space="preserve"> a historic milestone in this process and provide</w:t>
      </w:r>
      <w:r w:rsidR="00C22633">
        <w:rPr>
          <w:rStyle w:val="Strong"/>
          <w:b w:val="0"/>
          <w:lang w:val="en-GB"/>
        </w:rPr>
        <w:t>d</w:t>
      </w:r>
      <w:r w:rsidRPr="00C22633">
        <w:rPr>
          <w:rStyle w:val="Strong"/>
          <w:b w:val="0"/>
          <w:lang w:val="en-GB"/>
        </w:rPr>
        <w:t xml:space="preserve"> clear evidence of Albania’s readiness to undertake serious and long-term reforms</w:t>
      </w:r>
      <w:r w:rsidR="002D47D2" w:rsidRPr="00C22633">
        <w:rPr>
          <w:rStyle w:val="Strong"/>
          <w:b w:val="0"/>
          <w:lang w:val="en-GB"/>
        </w:rPr>
        <w:t>,</w:t>
      </w:r>
      <w:r w:rsidRPr="00C22633">
        <w:rPr>
          <w:rStyle w:val="Strong"/>
          <w:b w:val="0"/>
          <w:lang w:val="en-GB"/>
        </w:rPr>
        <w:t xml:space="preserve"> in line with the Copenhagen Criteria. The </w:t>
      </w:r>
      <w:r w:rsidRPr="00C22633">
        <w:rPr>
          <w:rStyle w:val="Strong"/>
          <w:b w:val="0"/>
          <w:i/>
          <w:lang w:val="en-GB"/>
        </w:rPr>
        <w:t>screening</w:t>
      </w:r>
      <w:r w:rsidRPr="00C22633">
        <w:rPr>
          <w:rStyle w:val="Strong"/>
          <w:b w:val="0"/>
          <w:lang w:val="en-GB"/>
        </w:rPr>
        <w:t xml:space="preserve"> process, </w:t>
      </w:r>
      <w:r w:rsidR="007F235E" w:rsidRPr="00C22633">
        <w:rPr>
          <w:rStyle w:val="Strong"/>
          <w:b w:val="0"/>
          <w:lang w:val="en-GB"/>
        </w:rPr>
        <w:t xml:space="preserve">as </w:t>
      </w:r>
      <w:r w:rsidRPr="00C22633">
        <w:rPr>
          <w:rStyle w:val="Strong"/>
          <w:b w:val="0"/>
          <w:lang w:val="en-GB"/>
        </w:rPr>
        <w:t xml:space="preserve">the first step in accession negotiations, was successfully completed </w:t>
      </w:r>
      <w:r w:rsidR="00C36942" w:rsidRPr="00C22633">
        <w:rPr>
          <w:rStyle w:val="Strong"/>
          <w:b w:val="0"/>
          <w:lang w:val="en-GB"/>
        </w:rPr>
        <w:t xml:space="preserve">in </w:t>
      </w:r>
      <w:r w:rsidRPr="00C22633">
        <w:rPr>
          <w:rStyle w:val="Strong"/>
          <w:b w:val="0"/>
          <w:lang w:val="en-GB"/>
        </w:rPr>
        <w:t>November 2023, demonstrating the capacity of Albania’s public administration.</w:t>
      </w:r>
      <w:r w:rsidR="007F235E" w:rsidRPr="00C22633">
        <w:rPr>
          <w:b/>
          <w:lang w:val="en-GB"/>
        </w:rPr>
        <w:t xml:space="preserve"> </w:t>
      </w:r>
      <w:r w:rsidRPr="00C22633">
        <w:rPr>
          <w:rStyle w:val="Strong"/>
          <w:b w:val="0"/>
          <w:lang w:val="en-GB"/>
        </w:rPr>
        <w:t xml:space="preserve">This process paved the way for </w:t>
      </w:r>
      <w:r w:rsidRPr="00C22633">
        <w:rPr>
          <w:rStyle w:val="Strong"/>
          <w:b w:val="0"/>
          <w:i/>
          <w:lang w:val="en-GB"/>
        </w:rPr>
        <w:t xml:space="preserve">the opening of accession negotiations </w:t>
      </w:r>
      <w:r w:rsidR="007F235E" w:rsidRPr="00C22633">
        <w:rPr>
          <w:rStyle w:val="Strong"/>
          <w:b w:val="0"/>
          <w:i/>
          <w:lang w:val="en-GB"/>
        </w:rPr>
        <w:t>in</w:t>
      </w:r>
      <w:r w:rsidRPr="00C22633">
        <w:rPr>
          <w:rStyle w:val="Strong"/>
          <w:b w:val="0"/>
          <w:i/>
          <w:lang w:val="en-GB"/>
        </w:rPr>
        <w:t xml:space="preserve"> all clusters</w:t>
      </w:r>
      <w:r w:rsidRPr="00C22633">
        <w:rPr>
          <w:rStyle w:val="Strong"/>
          <w:b w:val="0"/>
          <w:lang w:val="en-GB"/>
        </w:rPr>
        <w:t xml:space="preserve">, beginning with Cluster </w:t>
      </w:r>
      <w:r w:rsidR="007F235E" w:rsidRPr="00C22633">
        <w:rPr>
          <w:rStyle w:val="Strong"/>
          <w:b w:val="0"/>
          <w:lang w:val="en-GB"/>
        </w:rPr>
        <w:t>I</w:t>
      </w:r>
      <w:r w:rsidRPr="00C22633">
        <w:rPr>
          <w:rStyle w:val="Strong"/>
          <w:b w:val="0"/>
          <w:lang w:val="en-GB"/>
        </w:rPr>
        <w:t xml:space="preserve">, “Fundamentals,” in October 2024 and concluding with Cluster </w:t>
      </w:r>
      <w:r w:rsidR="007F235E" w:rsidRPr="00C22633">
        <w:rPr>
          <w:rStyle w:val="Strong"/>
          <w:b w:val="0"/>
          <w:lang w:val="en-GB"/>
        </w:rPr>
        <w:t>V</w:t>
      </w:r>
      <w:r w:rsidRPr="00C22633">
        <w:rPr>
          <w:rStyle w:val="Strong"/>
          <w:b w:val="0"/>
          <w:lang w:val="en-GB"/>
        </w:rPr>
        <w:t>, “Agriculture</w:t>
      </w:r>
      <w:r w:rsidR="007F235E" w:rsidRPr="00C22633">
        <w:rPr>
          <w:rStyle w:val="Strong"/>
          <w:b w:val="0"/>
          <w:lang w:val="en-GB"/>
        </w:rPr>
        <w:t>, resources and c</w:t>
      </w:r>
      <w:r w:rsidRPr="00C22633">
        <w:rPr>
          <w:rStyle w:val="Strong"/>
          <w:b w:val="0"/>
          <w:lang w:val="en-GB"/>
        </w:rPr>
        <w:t>ohesion,” in November 2025</w:t>
      </w:r>
      <w:r w:rsidR="00287A5D" w:rsidRPr="00C22633">
        <w:rPr>
          <w:rStyle w:val="FootnoteReference"/>
          <w:lang w:val="en-GB"/>
        </w:rPr>
        <w:footnoteReference w:id="1"/>
      </w:r>
      <w:r w:rsidR="00D31D61" w:rsidRPr="00C22633">
        <w:rPr>
          <w:lang w:val="en-GB"/>
        </w:rPr>
        <w:t>.</w:t>
      </w:r>
      <w:r w:rsidR="00C36942" w:rsidRPr="00C22633">
        <w:rPr>
          <w:lang w:val="en-GB"/>
        </w:rPr>
        <w:t xml:space="preserve"> </w:t>
      </w:r>
      <w:r w:rsidR="00C36942" w:rsidRPr="00C22633">
        <w:rPr>
          <w:rStyle w:val="Strong"/>
          <w:b w:val="0"/>
          <w:lang w:val="en-GB"/>
        </w:rPr>
        <w:t>Further, 8</w:t>
      </w:r>
      <w:r w:rsidR="00C36942" w:rsidRPr="00C22633">
        <w:rPr>
          <w:rStyle w:val="Strong"/>
          <w:b w:val="0"/>
          <w:vertAlign w:val="superscript"/>
          <w:lang w:val="en-GB"/>
        </w:rPr>
        <w:t>th</w:t>
      </w:r>
      <w:r w:rsidR="00696106" w:rsidRPr="00C22633">
        <w:rPr>
          <w:rStyle w:val="Strong"/>
          <w:b w:val="0"/>
          <w:lang w:val="en-GB"/>
        </w:rPr>
        <w:t xml:space="preserve"> </w:t>
      </w:r>
      <w:r w:rsidR="00C30FF3" w:rsidRPr="00C22633">
        <w:rPr>
          <w:rStyle w:val="Strong"/>
          <w:b w:val="0"/>
          <w:lang w:val="en-GB"/>
        </w:rPr>
        <w:t xml:space="preserve">meeting of the Accession Conference with Albania confirmed that Albania has, overall, met the interim benchmarks on </w:t>
      </w:r>
      <w:r w:rsidR="009E5E95" w:rsidRPr="00C22633">
        <w:rPr>
          <w:rStyle w:val="Strong"/>
          <w:b w:val="0"/>
          <w:lang w:val="en-GB"/>
        </w:rPr>
        <w:t>cluster 1 “F</w:t>
      </w:r>
      <w:r w:rsidR="00C30FF3" w:rsidRPr="00C22633">
        <w:rPr>
          <w:rStyle w:val="Strong"/>
          <w:b w:val="0"/>
          <w:lang w:val="en-GB"/>
        </w:rPr>
        <w:t>undamentals</w:t>
      </w:r>
      <w:r w:rsidR="009E5E95" w:rsidRPr="00C22633">
        <w:rPr>
          <w:rStyle w:val="Strong"/>
          <w:b w:val="0"/>
          <w:lang w:val="en-GB"/>
        </w:rPr>
        <w:t>”</w:t>
      </w:r>
      <w:r w:rsidR="00C30FF3" w:rsidRPr="00C22633">
        <w:rPr>
          <w:rStyle w:val="Strong"/>
          <w:b w:val="0"/>
          <w:lang w:val="en-GB"/>
        </w:rPr>
        <w:t xml:space="preserve">, </w:t>
      </w:r>
      <w:r w:rsidR="009E5E95" w:rsidRPr="00C22633">
        <w:rPr>
          <w:rStyle w:val="Strong"/>
          <w:b w:val="0"/>
          <w:lang w:val="en-GB"/>
        </w:rPr>
        <w:t xml:space="preserve">officially opening the way for </w:t>
      </w:r>
      <w:r w:rsidR="00C22633">
        <w:rPr>
          <w:rStyle w:val="Strong"/>
          <w:b w:val="0"/>
          <w:lang w:val="en-GB"/>
        </w:rPr>
        <w:t xml:space="preserve">the </w:t>
      </w:r>
      <w:r w:rsidR="009E5E95" w:rsidRPr="00C22633">
        <w:rPr>
          <w:rStyle w:val="Strong"/>
          <w:b w:val="0"/>
          <w:lang w:val="en-GB"/>
        </w:rPr>
        <w:t>country to enter the closing phase of negotiations for EU membership</w:t>
      </w:r>
      <w:r w:rsidR="00754941" w:rsidRPr="00C22633">
        <w:rPr>
          <w:rStyle w:val="FootnoteReference"/>
          <w:bCs/>
          <w:lang w:val="en-GB"/>
        </w:rPr>
        <w:footnoteReference w:id="2"/>
      </w:r>
      <w:r w:rsidR="00754941" w:rsidRPr="00C22633">
        <w:rPr>
          <w:rStyle w:val="Strong"/>
          <w:b w:val="0"/>
          <w:lang w:val="en-GB"/>
        </w:rPr>
        <w:t>.</w:t>
      </w:r>
    </w:p>
    <w:p w14:paraId="503FEB9F" w14:textId="77777777" w:rsidR="00AB6073" w:rsidRPr="00C22633" w:rsidRDefault="00AB6073" w:rsidP="0036224A">
      <w:pPr>
        <w:pStyle w:val="NormalWeb"/>
        <w:spacing w:before="0" w:beforeAutospacing="0" w:after="0" w:afterAutospacing="0" w:line="276" w:lineRule="auto"/>
        <w:jc w:val="both"/>
        <w:rPr>
          <w:rStyle w:val="Strong"/>
          <w:b w:val="0"/>
          <w:lang w:val="en-GB"/>
        </w:rPr>
      </w:pPr>
    </w:p>
    <w:p w14:paraId="3C2912A6" w14:textId="06B2874B" w:rsidR="00811FAE" w:rsidRPr="00C22633" w:rsidRDefault="007F235E" w:rsidP="0036224A">
      <w:pPr>
        <w:pStyle w:val="NormalWeb"/>
        <w:spacing w:before="0" w:beforeAutospacing="0" w:after="0" w:afterAutospacing="0" w:line="276" w:lineRule="auto"/>
        <w:jc w:val="both"/>
        <w:rPr>
          <w:rStyle w:val="Strong"/>
          <w:b w:val="0"/>
          <w:lang w:val="en-GB"/>
        </w:rPr>
      </w:pPr>
      <w:r w:rsidRPr="00C22633">
        <w:rPr>
          <w:rStyle w:val="Strong"/>
          <w:b w:val="0"/>
          <w:lang w:val="en-GB"/>
        </w:rPr>
        <w:t xml:space="preserve">Parliament has contributed to the preparation of the Negotiating Positions for the opening of accession negotiations with the </w:t>
      </w:r>
      <w:r w:rsidR="00994D5E">
        <w:rPr>
          <w:rStyle w:val="Strong"/>
          <w:b w:val="0"/>
          <w:lang w:val="en-GB"/>
        </w:rPr>
        <w:t>EU</w:t>
      </w:r>
      <w:r w:rsidRPr="00C22633">
        <w:rPr>
          <w:rStyle w:val="Strong"/>
          <w:b w:val="0"/>
          <w:lang w:val="en-GB"/>
        </w:rPr>
        <w:t xml:space="preserve"> for each of the six clusters and their respective chapters, through the recommendations provided by the Committee on Europe and Foreign </w:t>
      </w:r>
      <w:r w:rsidR="00994D5E">
        <w:rPr>
          <w:rStyle w:val="Strong"/>
          <w:b w:val="0"/>
          <w:lang w:val="en-GB"/>
        </w:rPr>
        <w:t>Affairs</w:t>
      </w:r>
      <w:r w:rsidRPr="00C22633">
        <w:rPr>
          <w:rStyle w:val="Strong"/>
          <w:b w:val="0"/>
          <w:lang w:val="en-GB"/>
        </w:rPr>
        <w:t>.</w:t>
      </w:r>
      <w:r w:rsidR="00994D5E">
        <w:rPr>
          <w:rStyle w:val="Strong"/>
          <w:b w:val="0"/>
          <w:lang w:val="en-GB"/>
        </w:rPr>
        <w:t xml:space="preserve"> </w:t>
      </w:r>
      <w:r w:rsidR="003649B1" w:rsidRPr="00C22633">
        <w:rPr>
          <w:rStyle w:val="Strong"/>
          <w:b w:val="0"/>
          <w:lang w:val="en-GB"/>
        </w:rPr>
        <w:t>Albania</w:t>
      </w:r>
      <w:r w:rsidR="00ED3111" w:rsidRPr="00C22633">
        <w:rPr>
          <w:rStyle w:val="Strong"/>
          <w:b w:val="0"/>
          <w:lang w:val="en-GB"/>
        </w:rPr>
        <w:t xml:space="preserve"> is focused on fulfilling EU membership standards and advancing to the provisional closure of negotiations on individual negotiating chapters</w:t>
      </w:r>
      <w:r w:rsidRPr="00C22633">
        <w:rPr>
          <w:rStyle w:val="Strong"/>
          <w:b w:val="0"/>
          <w:lang w:val="en-GB"/>
        </w:rPr>
        <w:t>.</w:t>
      </w:r>
    </w:p>
    <w:p w14:paraId="2F288FB8" w14:textId="77777777" w:rsidR="00AB6073" w:rsidRPr="00C22633" w:rsidRDefault="00AB6073" w:rsidP="0036224A">
      <w:pPr>
        <w:pStyle w:val="NormalWeb"/>
        <w:spacing w:before="0" w:beforeAutospacing="0" w:after="0" w:afterAutospacing="0" w:line="276" w:lineRule="auto"/>
        <w:jc w:val="both"/>
        <w:rPr>
          <w:bCs/>
          <w:lang w:val="en-GB"/>
        </w:rPr>
      </w:pPr>
    </w:p>
    <w:p w14:paraId="0EBD4665" w14:textId="043A4384" w:rsidR="006E07F1" w:rsidRPr="00C22633" w:rsidRDefault="003649B1" w:rsidP="0036224A">
      <w:pPr>
        <w:pStyle w:val="NormalWeb"/>
        <w:spacing w:before="0" w:beforeAutospacing="0" w:after="0" w:afterAutospacing="0" w:line="276" w:lineRule="auto"/>
        <w:jc w:val="both"/>
        <w:rPr>
          <w:b/>
          <w:bCs/>
          <w:lang w:val="en-GB"/>
        </w:rPr>
      </w:pPr>
      <w:r w:rsidRPr="00C22633">
        <w:rPr>
          <w:b/>
          <w:bCs/>
          <w:lang w:val="en-GB"/>
        </w:rPr>
        <w:t>5</w:t>
      </w:r>
      <w:r w:rsidR="006E07F1" w:rsidRPr="00C22633">
        <w:rPr>
          <w:b/>
          <w:bCs/>
          <w:lang w:val="en-GB"/>
        </w:rPr>
        <w:t xml:space="preserve">. </w:t>
      </w:r>
      <w:r w:rsidR="00815E01" w:rsidRPr="00C22633">
        <w:rPr>
          <w:b/>
          <w:bCs/>
          <w:lang w:val="en-GB"/>
        </w:rPr>
        <w:t>The role of parliaments and inter-parliamentary cooperation</w:t>
      </w:r>
    </w:p>
    <w:p w14:paraId="7386AB16" w14:textId="77777777" w:rsidR="00AB6073" w:rsidRPr="00C22633" w:rsidRDefault="00AB6073" w:rsidP="0036224A">
      <w:pPr>
        <w:pStyle w:val="NormalWeb"/>
        <w:spacing w:before="0" w:beforeAutospacing="0" w:after="0" w:afterAutospacing="0" w:line="276" w:lineRule="auto"/>
        <w:jc w:val="both"/>
        <w:rPr>
          <w:rStyle w:val="Strong"/>
          <w:b w:val="0"/>
          <w:lang w:val="en-GB"/>
        </w:rPr>
      </w:pPr>
    </w:p>
    <w:p w14:paraId="0E424D3D" w14:textId="46137545" w:rsidR="00815E01" w:rsidRPr="00C22633" w:rsidRDefault="00815E01" w:rsidP="0036224A">
      <w:pPr>
        <w:pStyle w:val="NormalWeb"/>
        <w:spacing w:before="0" w:beforeAutospacing="0" w:after="0" w:afterAutospacing="0" w:line="276" w:lineRule="auto"/>
        <w:jc w:val="both"/>
        <w:rPr>
          <w:rStyle w:val="Strong"/>
          <w:b w:val="0"/>
          <w:lang w:val="en-GB"/>
        </w:rPr>
      </w:pPr>
      <w:r w:rsidRPr="00C22633">
        <w:rPr>
          <w:rStyle w:val="Strong"/>
          <w:b w:val="0"/>
          <w:lang w:val="en-GB"/>
        </w:rPr>
        <w:t>Parliaments have fundamental role in the enlargement process of the European Union, particularly in ensuring democratic legitimacy, ensuring the implementation of key reforms, overseeing the process of accession negotiations and strengthening institutional transparency and accountability.</w:t>
      </w:r>
    </w:p>
    <w:p w14:paraId="088EE887" w14:textId="77777777" w:rsidR="00DA1872" w:rsidRPr="00C22633" w:rsidRDefault="00DA1872" w:rsidP="0036224A">
      <w:pPr>
        <w:pStyle w:val="NormalWeb"/>
        <w:spacing w:before="0" w:beforeAutospacing="0" w:after="0" w:afterAutospacing="0" w:line="276" w:lineRule="auto"/>
        <w:jc w:val="both"/>
        <w:rPr>
          <w:bCs/>
          <w:lang w:val="en-GB"/>
        </w:rPr>
      </w:pPr>
    </w:p>
    <w:p w14:paraId="2099C7A6" w14:textId="10F3FB34" w:rsidR="00B072E7" w:rsidRPr="00C22633" w:rsidRDefault="00994D5E" w:rsidP="0036224A">
      <w:pPr>
        <w:pStyle w:val="NormalWeb"/>
        <w:spacing w:before="0" w:beforeAutospacing="0" w:after="0" w:afterAutospacing="0" w:line="276" w:lineRule="auto"/>
        <w:jc w:val="both"/>
        <w:rPr>
          <w:lang w:val="en-GB"/>
        </w:rPr>
      </w:pPr>
      <w:r>
        <w:rPr>
          <w:bCs/>
          <w:lang w:val="en-GB"/>
        </w:rPr>
        <w:t xml:space="preserve">The </w:t>
      </w:r>
      <w:r w:rsidR="00B072E7" w:rsidRPr="00C22633">
        <w:rPr>
          <w:bCs/>
          <w:lang w:val="en-GB"/>
        </w:rPr>
        <w:t>Parliament of Albania plays a key role in the EU accession process through its legislative function, adopting the legal acts</w:t>
      </w:r>
      <w:r w:rsidR="00B072E7" w:rsidRPr="00C22633">
        <w:rPr>
          <w:lang w:val="en-GB"/>
        </w:rPr>
        <w:t xml:space="preserve"> necessary to align Albanian legislation with the EU acquis. Recent legislative amendments provide procedures to expedite the review of draft laws aimed at approximating European Union legislation, while safeguarding the quality of the lawmaking process. Parliament exercises democratic oversight over the work of the government, as well as over the activity and effectiveness of independent institutions in meeting the requirements of EU accession. Through the National Council for European Integration, Parliament serves as an inclusive platform for political dialogue and cooperation among the governing majority, the opposition and civil society. At the </w:t>
      </w:r>
      <w:r>
        <w:rPr>
          <w:lang w:val="en-GB"/>
        </w:rPr>
        <w:t>end</w:t>
      </w:r>
      <w:r w:rsidR="00B072E7" w:rsidRPr="00C22633">
        <w:rPr>
          <w:lang w:val="en-GB"/>
        </w:rPr>
        <w:t xml:space="preserve"> of this journey, Parliament will have the historic responsibility of ratifying the Treaty of Albania’s Accession to the European Union.</w:t>
      </w:r>
    </w:p>
    <w:p w14:paraId="47E78B91" w14:textId="77777777" w:rsidR="00DA1872" w:rsidRPr="00C22633" w:rsidRDefault="00DA1872" w:rsidP="0036224A">
      <w:pPr>
        <w:pStyle w:val="NormalWeb"/>
        <w:spacing w:before="0" w:beforeAutospacing="0" w:after="0" w:afterAutospacing="0" w:line="276" w:lineRule="auto"/>
        <w:jc w:val="both"/>
        <w:rPr>
          <w:lang w:val="en-GB"/>
        </w:rPr>
      </w:pPr>
    </w:p>
    <w:p w14:paraId="468CDE68" w14:textId="05E80994" w:rsidR="00B072E7" w:rsidRPr="00C22633" w:rsidRDefault="00994D5E" w:rsidP="0036224A">
      <w:pPr>
        <w:pStyle w:val="NormalWeb"/>
        <w:spacing w:before="0" w:beforeAutospacing="0" w:after="0" w:afterAutospacing="0" w:line="276" w:lineRule="auto"/>
        <w:jc w:val="both"/>
        <w:rPr>
          <w:rStyle w:val="Strong"/>
          <w:b w:val="0"/>
          <w:lang w:val="en-GB"/>
        </w:rPr>
      </w:pPr>
      <w:r>
        <w:rPr>
          <w:rStyle w:val="Strong"/>
          <w:b w:val="0"/>
          <w:lang w:val="en-GB"/>
        </w:rPr>
        <w:t>In this spirit</w:t>
      </w:r>
      <w:r w:rsidR="00B072E7" w:rsidRPr="00C22633">
        <w:rPr>
          <w:rStyle w:val="Strong"/>
          <w:b w:val="0"/>
          <w:lang w:val="en-GB"/>
        </w:rPr>
        <w:t xml:space="preserve">, the Conference aims to contribute to strengthening inter-parliamentary dialogue on the European Union enlargement process, promote the exchange of experiences and parliamentary best practices in the field of European integration, and reaffirm the role of parliaments in safeguarding and </w:t>
      </w:r>
      <w:r w:rsidR="00B25AEC" w:rsidRPr="00C22633">
        <w:rPr>
          <w:rStyle w:val="Strong"/>
          <w:b w:val="0"/>
          <w:lang w:val="en-GB"/>
        </w:rPr>
        <w:t>promoting</w:t>
      </w:r>
      <w:r w:rsidR="00B072E7" w:rsidRPr="00C22633">
        <w:rPr>
          <w:rStyle w:val="Strong"/>
          <w:b w:val="0"/>
          <w:lang w:val="en-GB"/>
        </w:rPr>
        <w:t xml:space="preserve"> the fundamental principles and shared European values</w:t>
      </w:r>
      <w:r w:rsidR="00B25AEC" w:rsidRPr="00C22633">
        <w:rPr>
          <w:rStyle w:val="Strong"/>
          <w:b w:val="0"/>
          <w:lang w:val="en-GB"/>
        </w:rPr>
        <w:t xml:space="preserve">, to the function of </w:t>
      </w:r>
      <w:r w:rsidR="00B072E7" w:rsidRPr="00C22633">
        <w:rPr>
          <w:rStyle w:val="Strong"/>
          <w:b w:val="0"/>
          <w:lang w:val="en-GB"/>
        </w:rPr>
        <w:t>a credible, inclusive and sustainable enlargement process.</w:t>
      </w:r>
    </w:p>
    <w:p w14:paraId="1975E23D" w14:textId="77777777" w:rsidR="003649B1" w:rsidRPr="00C22633" w:rsidRDefault="003649B1" w:rsidP="0036224A">
      <w:pPr>
        <w:pStyle w:val="NormalWeb"/>
        <w:spacing w:before="0" w:beforeAutospacing="0" w:after="0" w:afterAutospacing="0" w:line="276" w:lineRule="auto"/>
        <w:jc w:val="both"/>
        <w:rPr>
          <w:rStyle w:val="Strong"/>
          <w:b w:val="0"/>
          <w:lang w:val="en-GB"/>
        </w:rPr>
      </w:pPr>
    </w:p>
    <w:p w14:paraId="473E548D" w14:textId="65278EB7" w:rsidR="003649B1" w:rsidRPr="00C22633" w:rsidRDefault="003649B1" w:rsidP="0036224A">
      <w:pPr>
        <w:pStyle w:val="NormalWeb"/>
        <w:spacing w:before="0" w:beforeAutospacing="0" w:after="0" w:afterAutospacing="0" w:line="276" w:lineRule="auto"/>
        <w:jc w:val="both"/>
        <w:rPr>
          <w:b/>
          <w:bCs/>
        </w:rPr>
      </w:pPr>
      <w:r w:rsidRPr="00C22633">
        <w:rPr>
          <w:b/>
          <w:bCs/>
        </w:rPr>
        <w:t>6. Objectives of the Conference</w:t>
      </w:r>
    </w:p>
    <w:p w14:paraId="0A4CEA8D" w14:textId="77777777" w:rsidR="003649B1" w:rsidRPr="00994D5E" w:rsidRDefault="003649B1" w:rsidP="0036224A">
      <w:pPr>
        <w:pStyle w:val="NormalWeb"/>
        <w:spacing w:before="0" w:beforeAutospacing="0" w:after="0" w:afterAutospacing="0" w:line="276" w:lineRule="auto"/>
        <w:jc w:val="both"/>
        <w:rPr>
          <w:b/>
          <w:bCs/>
          <w:sz w:val="12"/>
          <w:szCs w:val="12"/>
        </w:rPr>
      </w:pPr>
    </w:p>
    <w:p w14:paraId="3D3E7279" w14:textId="77777777" w:rsidR="003649B1" w:rsidRPr="00C22633" w:rsidRDefault="003649B1" w:rsidP="0036224A">
      <w:pPr>
        <w:pStyle w:val="NormalWeb"/>
        <w:spacing w:before="0" w:beforeAutospacing="0" w:after="0" w:afterAutospacing="0" w:line="276" w:lineRule="auto"/>
        <w:jc w:val="both"/>
        <w:rPr>
          <w:bCs/>
        </w:rPr>
      </w:pPr>
      <w:r w:rsidRPr="00C22633">
        <w:rPr>
          <w:bCs/>
        </w:rPr>
        <w:t>The Conference aims to:</w:t>
      </w:r>
    </w:p>
    <w:p w14:paraId="1FBA7037" w14:textId="77777777" w:rsidR="003649B1" w:rsidRPr="00C22633" w:rsidRDefault="003649B1" w:rsidP="0036224A">
      <w:pPr>
        <w:pStyle w:val="NormalWeb"/>
        <w:numPr>
          <w:ilvl w:val="0"/>
          <w:numId w:val="13"/>
        </w:numPr>
        <w:spacing w:before="0" w:beforeAutospacing="0" w:after="0" w:afterAutospacing="0" w:line="276" w:lineRule="auto"/>
        <w:jc w:val="both"/>
        <w:rPr>
          <w:bCs/>
        </w:rPr>
      </w:pPr>
      <w:r w:rsidRPr="00C22633">
        <w:rPr>
          <w:bCs/>
        </w:rPr>
        <w:t>strengthen political and parliamentary dialogue on the future of EU enlargement;</w:t>
      </w:r>
    </w:p>
    <w:p w14:paraId="4E6FA2CE" w14:textId="77777777" w:rsidR="003649B1" w:rsidRPr="00C22633" w:rsidRDefault="003649B1" w:rsidP="0036224A">
      <w:pPr>
        <w:pStyle w:val="NormalWeb"/>
        <w:numPr>
          <w:ilvl w:val="0"/>
          <w:numId w:val="13"/>
        </w:numPr>
        <w:spacing w:before="0" w:beforeAutospacing="0" w:after="0" w:afterAutospacing="0" w:line="276" w:lineRule="auto"/>
        <w:jc w:val="both"/>
        <w:rPr>
          <w:bCs/>
        </w:rPr>
      </w:pPr>
      <w:r w:rsidRPr="00C22633">
        <w:rPr>
          <w:bCs/>
        </w:rPr>
        <w:t>exchange experiences and best practices among European affairs committees;</w:t>
      </w:r>
    </w:p>
    <w:p w14:paraId="2BC594D9" w14:textId="7A585C36" w:rsidR="003649B1" w:rsidRPr="00C22633" w:rsidRDefault="003649B1" w:rsidP="0036224A">
      <w:pPr>
        <w:pStyle w:val="NormalWeb"/>
        <w:numPr>
          <w:ilvl w:val="0"/>
          <w:numId w:val="13"/>
        </w:numPr>
        <w:spacing w:before="0" w:beforeAutospacing="0" w:after="0" w:afterAutospacing="0" w:line="276" w:lineRule="auto"/>
        <w:jc w:val="both"/>
        <w:rPr>
          <w:bCs/>
        </w:rPr>
      </w:pPr>
      <w:r w:rsidRPr="00C22633">
        <w:rPr>
          <w:bCs/>
        </w:rPr>
        <w:t>discuss the strategic importance of integrating the Western Balkans and EU candidate countries into the European Union;</w:t>
      </w:r>
    </w:p>
    <w:p w14:paraId="55EC24C5" w14:textId="2660132A" w:rsidR="003649B1" w:rsidRPr="00C22633" w:rsidRDefault="003649B1" w:rsidP="0036224A">
      <w:pPr>
        <w:pStyle w:val="NormalWeb"/>
        <w:numPr>
          <w:ilvl w:val="0"/>
          <w:numId w:val="13"/>
        </w:numPr>
        <w:spacing w:before="0" w:beforeAutospacing="0" w:after="0" w:afterAutospacing="0" w:line="276" w:lineRule="auto"/>
        <w:jc w:val="both"/>
        <w:rPr>
          <w:bCs/>
        </w:rPr>
      </w:pPr>
      <w:r w:rsidRPr="00C22633">
        <w:rPr>
          <w:bCs/>
        </w:rPr>
        <w:t>highlight Albania’s progress and path to the European integration process;</w:t>
      </w:r>
    </w:p>
    <w:p w14:paraId="5F4B6E89" w14:textId="77777777" w:rsidR="003649B1" w:rsidRPr="00C22633" w:rsidRDefault="003649B1" w:rsidP="0036224A">
      <w:pPr>
        <w:pStyle w:val="NormalWeb"/>
        <w:numPr>
          <w:ilvl w:val="0"/>
          <w:numId w:val="13"/>
        </w:numPr>
        <w:spacing w:before="0" w:beforeAutospacing="0" w:after="0" w:afterAutospacing="0" w:line="276" w:lineRule="auto"/>
        <w:jc w:val="both"/>
        <w:rPr>
          <w:bCs/>
        </w:rPr>
      </w:pPr>
      <w:r w:rsidRPr="00C22633">
        <w:rPr>
          <w:bCs/>
        </w:rPr>
        <w:t>reaffirm the role of parliaments in advancing reforms, democratic resilience and European unity.</w:t>
      </w:r>
    </w:p>
    <w:p w14:paraId="253D10FA" w14:textId="77777777" w:rsidR="00811FAE" w:rsidRPr="00C22633" w:rsidRDefault="00811FAE" w:rsidP="0036224A">
      <w:pPr>
        <w:pStyle w:val="NormalWeb"/>
        <w:spacing w:before="0" w:beforeAutospacing="0" w:after="0" w:afterAutospacing="0" w:line="276" w:lineRule="auto"/>
        <w:jc w:val="both"/>
        <w:rPr>
          <w:bCs/>
          <w:lang w:val="en-GB"/>
        </w:rPr>
      </w:pPr>
    </w:p>
    <w:p w14:paraId="32C10E74" w14:textId="009ABF11" w:rsidR="00E66F2D" w:rsidRPr="00C22633" w:rsidRDefault="003649B1" w:rsidP="0036224A">
      <w:pPr>
        <w:pStyle w:val="NormalWeb"/>
        <w:spacing w:before="0" w:beforeAutospacing="0" w:after="0" w:afterAutospacing="0" w:line="276" w:lineRule="auto"/>
        <w:jc w:val="both"/>
        <w:rPr>
          <w:b/>
          <w:bCs/>
          <w:lang w:val="en-GB"/>
        </w:rPr>
      </w:pPr>
      <w:r w:rsidRPr="00C22633">
        <w:rPr>
          <w:b/>
          <w:bCs/>
          <w:lang w:val="en-GB"/>
        </w:rPr>
        <w:t>7</w:t>
      </w:r>
      <w:r w:rsidR="00E66F2D" w:rsidRPr="00C22633">
        <w:rPr>
          <w:b/>
          <w:bCs/>
          <w:lang w:val="en-GB"/>
        </w:rPr>
        <w:t>. P</w:t>
      </w:r>
      <w:r w:rsidR="00B25AEC" w:rsidRPr="00C22633">
        <w:rPr>
          <w:b/>
          <w:bCs/>
          <w:lang w:val="en-GB"/>
        </w:rPr>
        <w:t>articipants</w:t>
      </w:r>
    </w:p>
    <w:p w14:paraId="6082168D" w14:textId="77777777" w:rsidR="00DA1872" w:rsidRPr="00994D5E" w:rsidRDefault="00DA1872" w:rsidP="0036224A">
      <w:pPr>
        <w:pStyle w:val="NormalWeb"/>
        <w:spacing w:before="0" w:beforeAutospacing="0" w:after="0" w:afterAutospacing="0" w:line="276" w:lineRule="auto"/>
        <w:jc w:val="both"/>
        <w:rPr>
          <w:sz w:val="12"/>
          <w:szCs w:val="12"/>
          <w:lang w:val="en-GB"/>
        </w:rPr>
      </w:pPr>
    </w:p>
    <w:p w14:paraId="7B727DEE" w14:textId="7922E9A8" w:rsidR="00DA1872" w:rsidRPr="00C22633" w:rsidRDefault="00B25AEC" w:rsidP="0036224A">
      <w:pPr>
        <w:pStyle w:val="NormalWeb"/>
        <w:numPr>
          <w:ilvl w:val="0"/>
          <w:numId w:val="11"/>
        </w:numPr>
        <w:spacing w:before="0" w:beforeAutospacing="0" w:after="0" w:afterAutospacing="0" w:line="276" w:lineRule="auto"/>
        <w:jc w:val="both"/>
        <w:rPr>
          <w:lang w:val="en-GB"/>
        </w:rPr>
      </w:pPr>
      <w:r w:rsidRPr="00C22633">
        <w:rPr>
          <w:lang w:val="en-GB"/>
        </w:rPr>
        <w:t xml:space="preserve">Representatives of parliaments </w:t>
      </w:r>
      <w:r w:rsidR="00CC58CF" w:rsidRPr="00C22633">
        <w:rPr>
          <w:lang w:val="en-GB"/>
        </w:rPr>
        <w:t>(</w:t>
      </w:r>
      <w:r w:rsidRPr="00C22633">
        <w:rPr>
          <w:lang w:val="en-GB"/>
        </w:rPr>
        <w:t>Low Chambers and Senates</w:t>
      </w:r>
      <w:r w:rsidR="00CC58CF" w:rsidRPr="00C22633">
        <w:rPr>
          <w:lang w:val="en-GB"/>
        </w:rPr>
        <w:t xml:space="preserve">) </w:t>
      </w:r>
      <w:r w:rsidRPr="00C22633">
        <w:rPr>
          <w:lang w:val="en-GB"/>
        </w:rPr>
        <w:t xml:space="preserve">of EU member countries </w:t>
      </w:r>
      <w:r w:rsidR="00E66F2D" w:rsidRPr="00C22633">
        <w:rPr>
          <w:lang w:val="en-GB"/>
        </w:rPr>
        <w:t>(</w:t>
      </w:r>
      <w:r w:rsidR="00452F67" w:rsidRPr="00C22633">
        <w:rPr>
          <w:lang w:val="en-GB"/>
        </w:rPr>
        <w:t>6</w:t>
      </w:r>
      <w:r w:rsidR="007F3F95" w:rsidRPr="00C22633">
        <w:rPr>
          <w:lang w:val="en-GB"/>
        </w:rPr>
        <w:t xml:space="preserve"> </w:t>
      </w:r>
      <w:r w:rsidRPr="00C22633">
        <w:rPr>
          <w:lang w:val="en-GB"/>
        </w:rPr>
        <w:t>representatives from “bicameral” parliaments and 3 representatives from “unicameral” parliaments, for every member country) members of Committees on European/Foreign Affairs</w:t>
      </w:r>
      <w:r w:rsidR="00AB6073" w:rsidRPr="00C22633">
        <w:rPr>
          <w:lang w:val="en-GB"/>
        </w:rPr>
        <w:t>,</w:t>
      </w:r>
    </w:p>
    <w:p w14:paraId="0781408F" w14:textId="4B6AD322" w:rsidR="00DA1872" w:rsidRPr="00C22633" w:rsidRDefault="00B25AEC" w:rsidP="0036224A">
      <w:pPr>
        <w:pStyle w:val="NormalWeb"/>
        <w:numPr>
          <w:ilvl w:val="0"/>
          <w:numId w:val="11"/>
        </w:numPr>
        <w:spacing w:before="0" w:beforeAutospacing="0" w:after="0" w:afterAutospacing="0" w:line="276" w:lineRule="auto"/>
        <w:jc w:val="both"/>
        <w:rPr>
          <w:lang w:val="en-GB"/>
        </w:rPr>
      </w:pPr>
      <w:r w:rsidRPr="00C22633">
        <w:rPr>
          <w:rStyle w:val="Strong"/>
          <w:b w:val="0"/>
          <w:bCs w:val="0"/>
          <w:lang w:val="en-GB"/>
        </w:rPr>
        <w:t>Representatives of the</w:t>
      </w:r>
      <w:r w:rsidR="005C744F" w:rsidRPr="00C22633">
        <w:rPr>
          <w:rStyle w:val="Strong"/>
          <w:b w:val="0"/>
          <w:bCs w:val="0"/>
          <w:lang w:val="en-GB"/>
        </w:rPr>
        <w:t xml:space="preserve"> parliaments of</w:t>
      </w:r>
      <w:r w:rsidRPr="00C22633">
        <w:rPr>
          <w:rStyle w:val="Strong"/>
          <w:b w:val="0"/>
          <w:bCs w:val="0"/>
          <w:lang w:val="en-GB"/>
        </w:rPr>
        <w:t xml:space="preserve"> Western Balkans countries</w:t>
      </w:r>
      <w:r w:rsidR="00AB6073" w:rsidRPr="00C22633">
        <w:rPr>
          <w:lang w:val="en-GB"/>
        </w:rPr>
        <w:t>,</w:t>
      </w:r>
    </w:p>
    <w:p w14:paraId="62CF0F07" w14:textId="04355CDE" w:rsidR="00DA1872" w:rsidRPr="00C22633" w:rsidRDefault="005C744F" w:rsidP="0036224A">
      <w:pPr>
        <w:pStyle w:val="NormalWeb"/>
        <w:numPr>
          <w:ilvl w:val="0"/>
          <w:numId w:val="11"/>
        </w:numPr>
        <w:spacing w:before="0" w:beforeAutospacing="0" w:after="0" w:afterAutospacing="0" w:line="276" w:lineRule="auto"/>
        <w:jc w:val="both"/>
        <w:rPr>
          <w:lang w:val="en-GB"/>
        </w:rPr>
      </w:pPr>
      <w:r w:rsidRPr="00C22633">
        <w:rPr>
          <w:rStyle w:val="Strong"/>
          <w:b w:val="0"/>
          <w:bCs w:val="0"/>
          <w:lang w:val="en-GB"/>
        </w:rPr>
        <w:t xml:space="preserve">Representatives of the parliaments of EU candidate countries, Ukraine, Moldova, Georgia, </w:t>
      </w:r>
      <w:r w:rsidR="00994D5E" w:rsidRPr="00C22633">
        <w:rPr>
          <w:rStyle w:val="Strong"/>
          <w:b w:val="0"/>
          <w:bCs w:val="0"/>
          <w:lang w:val="en-GB"/>
        </w:rPr>
        <w:t>T</w:t>
      </w:r>
      <w:r w:rsidR="00994D5E">
        <w:rPr>
          <w:rStyle w:val="Strong"/>
          <w:b w:val="0"/>
          <w:bCs w:val="0"/>
          <w:lang w:val="en-GB"/>
        </w:rPr>
        <w:t>ürkiye,</w:t>
      </w:r>
    </w:p>
    <w:p w14:paraId="039E312A" w14:textId="1BFDC08B" w:rsidR="00DA1872" w:rsidRPr="00C22633" w:rsidRDefault="005C744F" w:rsidP="0036224A">
      <w:pPr>
        <w:pStyle w:val="NormalWeb"/>
        <w:numPr>
          <w:ilvl w:val="0"/>
          <w:numId w:val="11"/>
        </w:numPr>
        <w:spacing w:before="0" w:beforeAutospacing="0" w:after="0" w:afterAutospacing="0" w:line="276" w:lineRule="auto"/>
        <w:jc w:val="both"/>
        <w:rPr>
          <w:lang w:val="en-GB"/>
        </w:rPr>
      </w:pPr>
      <w:r w:rsidRPr="00C22633">
        <w:rPr>
          <w:lang w:val="en-GB"/>
        </w:rPr>
        <w:t>Representatives of European institutions</w:t>
      </w:r>
      <w:r w:rsidR="00AB6073" w:rsidRPr="00C22633">
        <w:rPr>
          <w:lang w:val="en-GB"/>
        </w:rPr>
        <w:t>,</w:t>
      </w:r>
    </w:p>
    <w:p w14:paraId="10EFCB33" w14:textId="67996AAC" w:rsidR="00CC58CF" w:rsidRPr="00C22633" w:rsidRDefault="005C744F" w:rsidP="0036224A">
      <w:pPr>
        <w:pStyle w:val="NormalWeb"/>
        <w:numPr>
          <w:ilvl w:val="0"/>
          <w:numId w:val="11"/>
        </w:numPr>
        <w:spacing w:before="0" w:beforeAutospacing="0" w:after="0" w:afterAutospacing="0" w:line="276" w:lineRule="auto"/>
        <w:jc w:val="both"/>
        <w:rPr>
          <w:lang w:val="en-GB"/>
        </w:rPr>
      </w:pPr>
      <w:r w:rsidRPr="00C22633">
        <w:rPr>
          <w:lang w:val="en-GB"/>
        </w:rPr>
        <w:t>Representatives of diplomatic corps of the countries participating in the conference</w:t>
      </w:r>
      <w:r w:rsidR="00CC58CF" w:rsidRPr="00C22633">
        <w:rPr>
          <w:lang w:val="en-GB"/>
        </w:rPr>
        <w:t>.</w:t>
      </w:r>
    </w:p>
    <w:p w14:paraId="427ADDF5" w14:textId="77777777" w:rsidR="00811FAE" w:rsidRPr="00C22633" w:rsidRDefault="00811FAE" w:rsidP="0036224A">
      <w:pPr>
        <w:pStyle w:val="NormalWeb"/>
        <w:spacing w:before="0" w:beforeAutospacing="0" w:after="0" w:afterAutospacing="0" w:line="276" w:lineRule="auto"/>
        <w:jc w:val="both"/>
        <w:rPr>
          <w:lang w:val="en-GB"/>
        </w:rPr>
      </w:pPr>
    </w:p>
    <w:p w14:paraId="7EA1C5D5" w14:textId="4DBF6167" w:rsidR="00E66F2D" w:rsidRPr="00C22633" w:rsidRDefault="00994D5E" w:rsidP="0036224A">
      <w:pPr>
        <w:pStyle w:val="NormalWeb"/>
        <w:spacing w:before="0" w:beforeAutospacing="0" w:after="0" w:afterAutospacing="0" w:line="276" w:lineRule="auto"/>
        <w:jc w:val="both"/>
        <w:rPr>
          <w:b/>
          <w:bCs/>
          <w:lang w:val="en-GB"/>
        </w:rPr>
      </w:pPr>
      <w:r>
        <w:rPr>
          <w:b/>
          <w:bCs/>
          <w:lang w:val="en-GB"/>
        </w:rPr>
        <w:t>8</w:t>
      </w:r>
      <w:r w:rsidR="00E66F2D" w:rsidRPr="00C22633">
        <w:rPr>
          <w:b/>
          <w:bCs/>
          <w:lang w:val="en-GB"/>
        </w:rPr>
        <w:t xml:space="preserve">. </w:t>
      </w:r>
      <w:r w:rsidR="005C744F" w:rsidRPr="00C22633">
        <w:rPr>
          <w:b/>
          <w:bCs/>
          <w:lang w:val="en-GB"/>
        </w:rPr>
        <w:t>Conclusion</w:t>
      </w:r>
    </w:p>
    <w:p w14:paraId="49121729" w14:textId="77777777" w:rsidR="00DA1872" w:rsidRPr="00994D5E" w:rsidRDefault="00DA1872" w:rsidP="0036224A">
      <w:pPr>
        <w:pStyle w:val="NormalWeb"/>
        <w:spacing w:before="0" w:beforeAutospacing="0" w:after="0" w:afterAutospacing="0" w:line="276" w:lineRule="auto"/>
        <w:jc w:val="both"/>
        <w:rPr>
          <w:rStyle w:val="Strong"/>
          <w:b w:val="0"/>
          <w:sz w:val="12"/>
          <w:szCs w:val="12"/>
          <w:lang w:val="en-GB"/>
        </w:rPr>
      </w:pPr>
    </w:p>
    <w:p w14:paraId="3E1D8BBB" w14:textId="77777777" w:rsidR="000A260A" w:rsidRPr="00C22633" w:rsidRDefault="000A260A" w:rsidP="0036224A">
      <w:pPr>
        <w:pStyle w:val="NormalWeb"/>
        <w:spacing w:before="0" w:beforeAutospacing="0" w:after="0" w:afterAutospacing="0" w:line="276" w:lineRule="auto"/>
        <w:jc w:val="both"/>
        <w:rPr>
          <w:bCs/>
        </w:rPr>
      </w:pPr>
      <w:r w:rsidRPr="00C22633">
        <w:rPr>
          <w:bCs/>
        </w:rPr>
        <w:t>The Conference will provide an opportunity to reaffirm a shared commitment to a stronger, more united and more resilient Europe.</w:t>
      </w:r>
    </w:p>
    <w:p w14:paraId="301F1931" w14:textId="77777777" w:rsidR="000A260A" w:rsidRPr="00C22633" w:rsidRDefault="000A260A" w:rsidP="0036224A">
      <w:pPr>
        <w:pStyle w:val="NormalWeb"/>
        <w:spacing w:before="0" w:beforeAutospacing="0" w:after="0" w:afterAutospacing="0" w:line="276" w:lineRule="auto"/>
        <w:jc w:val="both"/>
        <w:rPr>
          <w:bCs/>
        </w:rPr>
      </w:pPr>
    </w:p>
    <w:p w14:paraId="0E8650EA" w14:textId="5B958ACD" w:rsidR="000A260A" w:rsidRPr="00C22633" w:rsidRDefault="000A260A" w:rsidP="0036224A">
      <w:pPr>
        <w:pStyle w:val="NormalWeb"/>
        <w:spacing w:before="0" w:beforeAutospacing="0" w:after="0" w:afterAutospacing="0" w:line="276" w:lineRule="auto"/>
        <w:jc w:val="both"/>
        <w:rPr>
          <w:bCs/>
        </w:rPr>
      </w:pPr>
      <w:r w:rsidRPr="00C22633">
        <w:rPr>
          <w:bCs/>
        </w:rPr>
        <w:t>It will highlight that EU enlargement is a process of institutional accession</w:t>
      </w:r>
      <w:r w:rsidR="00994D5E">
        <w:rPr>
          <w:bCs/>
        </w:rPr>
        <w:t xml:space="preserve">- based on the criteria, reforms and merit- </w:t>
      </w:r>
      <w:r w:rsidRPr="00C22633">
        <w:rPr>
          <w:bCs/>
        </w:rPr>
        <w:t xml:space="preserve">but also a strategic project for Europe’s future, </w:t>
      </w:r>
      <w:r w:rsidR="00994D5E">
        <w:rPr>
          <w:bCs/>
        </w:rPr>
        <w:t xml:space="preserve">in </w:t>
      </w:r>
      <w:r w:rsidRPr="00C22633">
        <w:rPr>
          <w:bCs/>
        </w:rPr>
        <w:t>strengthening peace, stability, democratic values and cooperation across the continent.</w:t>
      </w:r>
    </w:p>
    <w:p w14:paraId="5FC32F16" w14:textId="77777777" w:rsidR="000A260A" w:rsidRPr="00C22633" w:rsidRDefault="000A260A" w:rsidP="0036224A">
      <w:pPr>
        <w:pStyle w:val="NormalWeb"/>
        <w:spacing w:before="0" w:beforeAutospacing="0" w:after="0" w:afterAutospacing="0" w:line="276" w:lineRule="auto"/>
        <w:jc w:val="both"/>
        <w:rPr>
          <w:bCs/>
        </w:rPr>
      </w:pPr>
    </w:p>
    <w:p w14:paraId="51DADB87" w14:textId="447DD3F6" w:rsidR="000A260A" w:rsidRPr="00C22633" w:rsidRDefault="000A260A" w:rsidP="0036224A">
      <w:pPr>
        <w:pStyle w:val="NormalWeb"/>
        <w:spacing w:before="0" w:beforeAutospacing="0" w:after="0" w:afterAutospacing="0" w:line="276" w:lineRule="auto"/>
        <w:jc w:val="both"/>
        <w:rPr>
          <w:bCs/>
        </w:rPr>
      </w:pPr>
      <w:r w:rsidRPr="00C22633">
        <w:rPr>
          <w:bCs/>
        </w:rPr>
        <w:t>Through this Conference, the Parliament of Albania aims to contribute to a forward-looking regional and European dialogue and demonstrate Albania’s commitment and readiness to become an active and responsible member of the European family.</w:t>
      </w:r>
    </w:p>
    <w:p w14:paraId="7D749EBB" w14:textId="7F338835" w:rsidR="007A41B4" w:rsidRPr="00AB6073" w:rsidRDefault="007A41B4" w:rsidP="0036224A">
      <w:pPr>
        <w:pStyle w:val="NormalWeb"/>
        <w:spacing w:before="0" w:beforeAutospacing="0" w:after="0" w:afterAutospacing="0" w:line="276" w:lineRule="auto"/>
        <w:jc w:val="both"/>
        <w:rPr>
          <w:lang w:val="en-GB"/>
        </w:rPr>
      </w:pPr>
    </w:p>
    <w:sectPr w:rsidR="007A41B4" w:rsidRPr="00AB6073" w:rsidSect="007F3F95">
      <w:headerReference w:type="default" r:id="rId8"/>
      <w:footerReference w:type="default" r:id="rId9"/>
      <w:headerReference w:type="first" r:id="rId10"/>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26C3A" w14:textId="77777777" w:rsidR="00A618D2" w:rsidRDefault="00A618D2" w:rsidP="004277D0">
      <w:pPr>
        <w:spacing w:after="0" w:line="240" w:lineRule="auto"/>
      </w:pPr>
      <w:r>
        <w:separator/>
      </w:r>
    </w:p>
  </w:endnote>
  <w:endnote w:type="continuationSeparator" w:id="0">
    <w:p w14:paraId="632A5A7B" w14:textId="77777777" w:rsidR="00A618D2" w:rsidRDefault="00A618D2" w:rsidP="00427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857717"/>
      <w:docPartObj>
        <w:docPartGallery w:val="Page Numbers (Bottom of Page)"/>
        <w:docPartUnique/>
      </w:docPartObj>
    </w:sdtPr>
    <w:sdtEndPr>
      <w:rPr>
        <w:noProof/>
      </w:rPr>
    </w:sdtEndPr>
    <w:sdtContent>
      <w:p w14:paraId="2F4FDFB6" w14:textId="77777777" w:rsidR="002D47D2" w:rsidRDefault="002D47D2">
        <w:pPr>
          <w:pStyle w:val="Footer"/>
          <w:jc w:val="center"/>
        </w:pPr>
        <w:r>
          <w:rPr>
            <w:noProof/>
          </w:rPr>
          <w:fldChar w:fldCharType="begin"/>
        </w:r>
        <w:r>
          <w:rPr>
            <w:noProof/>
          </w:rPr>
          <w:instrText xml:space="preserve"> PAGE   \* MERGEFORMAT </w:instrText>
        </w:r>
        <w:r>
          <w:rPr>
            <w:noProof/>
          </w:rPr>
          <w:fldChar w:fldCharType="separate"/>
        </w:r>
        <w:r w:rsidR="00696106">
          <w:rPr>
            <w:noProof/>
          </w:rPr>
          <w:t>3</w:t>
        </w:r>
        <w:r>
          <w:rPr>
            <w:noProof/>
          </w:rPr>
          <w:fldChar w:fldCharType="end"/>
        </w:r>
      </w:p>
    </w:sdtContent>
  </w:sdt>
  <w:p w14:paraId="2646213C" w14:textId="77777777" w:rsidR="002D47D2" w:rsidRDefault="002D4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0A078" w14:textId="77777777" w:rsidR="00A618D2" w:rsidRDefault="00A618D2" w:rsidP="004277D0">
      <w:pPr>
        <w:spacing w:after="0" w:line="240" w:lineRule="auto"/>
      </w:pPr>
      <w:r>
        <w:separator/>
      </w:r>
    </w:p>
  </w:footnote>
  <w:footnote w:type="continuationSeparator" w:id="0">
    <w:p w14:paraId="7CAA2C75" w14:textId="77777777" w:rsidR="00A618D2" w:rsidRDefault="00A618D2" w:rsidP="004277D0">
      <w:pPr>
        <w:spacing w:after="0" w:line="240" w:lineRule="auto"/>
      </w:pPr>
      <w:r>
        <w:continuationSeparator/>
      </w:r>
    </w:p>
  </w:footnote>
  <w:footnote w:id="1">
    <w:p w14:paraId="1B103A2E" w14:textId="098CE0FB" w:rsidR="002D47D2" w:rsidRPr="00AB6073" w:rsidRDefault="002D47D2" w:rsidP="007F3F95">
      <w:pPr>
        <w:spacing w:after="0" w:line="240" w:lineRule="auto"/>
        <w:jc w:val="both"/>
        <w:rPr>
          <w:rFonts w:ascii="Times New Roman" w:hAnsi="Times New Roman" w:cs="Times New Roman"/>
          <w:i/>
          <w:iCs/>
          <w:color w:val="0E1833"/>
          <w:sz w:val="18"/>
          <w:szCs w:val="18"/>
          <w:lang w:val="en-GB"/>
        </w:rPr>
      </w:pPr>
      <w:r w:rsidRPr="00AB6073">
        <w:rPr>
          <w:rStyle w:val="FootnoteReference"/>
          <w:rFonts w:ascii="Times New Roman" w:hAnsi="Times New Roman" w:cs="Times New Roman"/>
          <w:i/>
          <w:iCs/>
          <w:sz w:val="18"/>
          <w:szCs w:val="18"/>
        </w:rPr>
        <w:footnoteRef/>
      </w:r>
      <w:r w:rsidR="00C30FF3" w:rsidRPr="00AB6073">
        <w:rPr>
          <w:rFonts w:ascii="Times New Roman" w:hAnsi="Times New Roman" w:cs="Times New Roman"/>
          <w:i/>
          <w:iCs/>
          <w:color w:val="0E1833"/>
          <w:spacing w:val="-8"/>
          <w:sz w:val="18"/>
          <w:szCs w:val="18"/>
          <w:u w:val="single"/>
          <w:lang w:val="sq-AL"/>
        </w:rPr>
        <w:t>1</w:t>
      </w:r>
      <w:r w:rsidR="00C30FF3" w:rsidRPr="00AB6073">
        <w:rPr>
          <w:rFonts w:ascii="Times New Roman" w:hAnsi="Times New Roman" w:cs="Times New Roman"/>
          <w:i/>
          <w:iCs/>
          <w:color w:val="0E1833"/>
          <w:sz w:val="18"/>
          <w:szCs w:val="18"/>
          <w:u w:val="single"/>
          <w:vertAlign w:val="superscript"/>
          <w:lang w:val="en-GB"/>
        </w:rPr>
        <w:t>st</w:t>
      </w:r>
      <w:r w:rsidR="00C30FF3" w:rsidRPr="00AB6073">
        <w:rPr>
          <w:rFonts w:ascii="Times New Roman" w:hAnsi="Times New Roman" w:cs="Times New Roman"/>
          <w:i/>
          <w:iCs/>
          <w:color w:val="0E1833"/>
          <w:spacing w:val="-8"/>
          <w:sz w:val="18"/>
          <w:szCs w:val="18"/>
          <w:u w:val="single"/>
          <w:lang w:val="sq-AL"/>
        </w:rPr>
        <w:t xml:space="preserve"> </w:t>
      </w:r>
      <w:r w:rsidRPr="00AB6073">
        <w:rPr>
          <w:rFonts w:ascii="Times New Roman" w:hAnsi="Times New Roman" w:cs="Times New Roman"/>
          <w:i/>
          <w:iCs/>
          <w:color w:val="0E1833"/>
          <w:spacing w:val="-8"/>
          <w:sz w:val="18"/>
          <w:szCs w:val="18"/>
          <w:u w:val="single"/>
          <w:lang w:val="en-GB"/>
        </w:rPr>
        <w:t>Intergovernmental Conference</w:t>
      </w:r>
      <w:r w:rsidRPr="00AB6073">
        <w:rPr>
          <w:rFonts w:ascii="Times New Roman" w:hAnsi="Times New Roman" w:cs="Times New Roman"/>
          <w:i/>
          <w:iCs/>
          <w:color w:val="0E1833"/>
          <w:spacing w:val="-8"/>
          <w:sz w:val="18"/>
          <w:szCs w:val="18"/>
          <w:lang w:val="en-GB"/>
        </w:rPr>
        <w:t>, 19 July 2022 gave the green light to the opening of negotiations with Albania</w:t>
      </w:r>
      <w:r w:rsidR="00AB6073" w:rsidRPr="00AB6073">
        <w:rPr>
          <w:rFonts w:ascii="Times New Roman" w:hAnsi="Times New Roman" w:cs="Times New Roman"/>
          <w:i/>
          <w:iCs/>
          <w:color w:val="0E1833"/>
          <w:spacing w:val="-8"/>
          <w:sz w:val="18"/>
          <w:szCs w:val="18"/>
          <w:lang w:val="en-GB"/>
        </w:rPr>
        <w:t>,</w:t>
      </w:r>
    </w:p>
    <w:p w14:paraId="5894C90E" w14:textId="13F30476" w:rsidR="002D47D2" w:rsidRPr="00AB6073" w:rsidRDefault="00C30FF3" w:rsidP="00287A5D">
      <w:pPr>
        <w:shd w:val="clear" w:color="auto" w:fill="FFFFFF"/>
        <w:spacing w:after="0" w:line="240" w:lineRule="auto"/>
        <w:jc w:val="both"/>
        <w:textAlignment w:val="baseline"/>
        <w:rPr>
          <w:rFonts w:ascii="Times New Roman" w:hAnsi="Times New Roman" w:cs="Times New Roman"/>
          <w:i/>
          <w:iCs/>
          <w:color w:val="0E1833"/>
          <w:sz w:val="18"/>
          <w:szCs w:val="18"/>
          <w:lang w:val="en-GB"/>
        </w:rPr>
      </w:pPr>
      <w:r w:rsidRPr="00AB6073">
        <w:rPr>
          <w:rFonts w:ascii="Times New Roman" w:hAnsi="Times New Roman" w:cs="Times New Roman"/>
          <w:i/>
          <w:iCs/>
          <w:color w:val="0E1833"/>
          <w:sz w:val="18"/>
          <w:szCs w:val="18"/>
          <w:u w:val="single"/>
          <w:lang w:val="en-GB"/>
        </w:rPr>
        <w:t>2</w:t>
      </w:r>
      <w:r w:rsidRPr="00AB6073">
        <w:rPr>
          <w:rFonts w:ascii="Times New Roman" w:hAnsi="Times New Roman" w:cs="Times New Roman"/>
          <w:i/>
          <w:iCs/>
          <w:color w:val="0E1833"/>
          <w:sz w:val="18"/>
          <w:szCs w:val="18"/>
          <w:u w:val="single"/>
          <w:vertAlign w:val="superscript"/>
          <w:lang w:val="en-GB"/>
        </w:rPr>
        <w:t>nd</w:t>
      </w:r>
      <w:r w:rsidR="00AB6073" w:rsidRPr="00AB6073">
        <w:rPr>
          <w:rFonts w:ascii="Times New Roman" w:hAnsi="Times New Roman" w:cs="Times New Roman"/>
          <w:i/>
          <w:iCs/>
          <w:color w:val="0E1833"/>
          <w:sz w:val="18"/>
          <w:szCs w:val="18"/>
          <w:u w:val="single"/>
          <w:lang w:val="en-GB"/>
        </w:rPr>
        <w:t xml:space="preserve"> Intergovernmental C</w:t>
      </w:r>
      <w:r w:rsidR="002D47D2" w:rsidRPr="00AB6073">
        <w:rPr>
          <w:rFonts w:ascii="Times New Roman" w:hAnsi="Times New Roman" w:cs="Times New Roman"/>
          <w:i/>
          <w:iCs/>
          <w:color w:val="0E1833"/>
          <w:sz w:val="18"/>
          <w:szCs w:val="18"/>
          <w:u w:val="single"/>
          <w:lang w:val="en-GB"/>
        </w:rPr>
        <w:t>onference</w:t>
      </w:r>
      <w:r w:rsidR="002D47D2" w:rsidRPr="00AB6073">
        <w:rPr>
          <w:rFonts w:ascii="Times New Roman" w:hAnsi="Times New Roman" w:cs="Times New Roman"/>
          <w:i/>
          <w:iCs/>
          <w:color w:val="0E1833"/>
          <w:sz w:val="18"/>
          <w:szCs w:val="18"/>
          <w:lang w:val="en-GB"/>
        </w:rPr>
        <w:t>, 15 October 2024, marked the opening of negotiations for Cluster 1 “Fundamentals,” (contains 5 chapters, including the political and economic criteria)</w:t>
      </w:r>
      <w:r w:rsidR="00AB6073" w:rsidRPr="00AB6073">
        <w:rPr>
          <w:rFonts w:ascii="Times New Roman" w:hAnsi="Times New Roman" w:cs="Times New Roman"/>
          <w:i/>
          <w:iCs/>
          <w:color w:val="0E1833"/>
          <w:sz w:val="18"/>
          <w:szCs w:val="18"/>
          <w:lang w:val="en-GB"/>
        </w:rPr>
        <w:t>,</w:t>
      </w:r>
    </w:p>
    <w:p w14:paraId="5EF20FD3" w14:textId="6CFECDA6" w:rsidR="002D47D2" w:rsidRPr="00AB6073" w:rsidRDefault="00C30FF3" w:rsidP="00287A5D">
      <w:pPr>
        <w:shd w:val="clear" w:color="auto" w:fill="FFFFFF"/>
        <w:spacing w:after="0" w:line="240" w:lineRule="auto"/>
        <w:jc w:val="both"/>
        <w:textAlignment w:val="baseline"/>
        <w:rPr>
          <w:rFonts w:ascii="Times New Roman" w:hAnsi="Times New Roman" w:cs="Times New Roman"/>
          <w:i/>
          <w:iCs/>
          <w:color w:val="0E1833"/>
          <w:sz w:val="18"/>
          <w:szCs w:val="18"/>
          <w:lang w:val="en-GB"/>
        </w:rPr>
      </w:pPr>
      <w:r w:rsidRPr="00AB6073">
        <w:rPr>
          <w:rFonts w:ascii="Times New Roman" w:hAnsi="Times New Roman" w:cs="Times New Roman"/>
          <w:i/>
          <w:iCs/>
          <w:color w:val="0E1833"/>
          <w:sz w:val="18"/>
          <w:szCs w:val="18"/>
          <w:u w:val="single"/>
          <w:lang w:val="en-GB"/>
        </w:rPr>
        <w:t>3</w:t>
      </w:r>
      <w:r w:rsidRPr="00AB6073">
        <w:rPr>
          <w:rFonts w:ascii="Times New Roman" w:hAnsi="Times New Roman" w:cs="Times New Roman"/>
          <w:i/>
          <w:iCs/>
          <w:color w:val="0E1833"/>
          <w:sz w:val="18"/>
          <w:szCs w:val="18"/>
          <w:u w:val="single"/>
          <w:vertAlign w:val="superscript"/>
          <w:lang w:val="en-GB"/>
        </w:rPr>
        <w:t>rd</w:t>
      </w:r>
      <w:r w:rsidRPr="00AB6073">
        <w:rPr>
          <w:rFonts w:ascii="Times New Roman" w:hAnsi="Times New Roman" w:cs="Times New Roman"/>
          <w:i/>
          <w:iCs/>
          <w:color w:val="0E1833"/>
          <w:sz w:val="18"/>
          <w:szCs w:val="18"/>
          <w:u w:val="single"/>
          <w:lang w:val="en-GB"/>
        </w:rPr>
        <w:t xml:space="preserve"> </w:t>
      </w:r>
      <w:r w:rsidR="00AB6073" w:rsidRPr="00AB6073">
        <w:rPr>
          <w:rFonts w:ascii="Times New Roman" w:hAnsi="Times New Roman" w:cs="Times New Roman"/>
          <w:i/>
          <w:iCs/>
          <w:color w:val="0E1833"/>
          <w:sz w:val="18"/>
          <w:szCs w:val="18"/>
          <w:u w:val="single"/>
          <w:lang w:val="en-GB"/>
        </w:rPr>
        <w:t xml:space="preserve">Intergovernmental </w:t>
      </w:r>
      <w:r w:rsidR="002D47D2" w:rsidRPr="00AB6073">
        <w:rPr>
          <w:rFonts w:ascii="Times New Roman" w:hAnsi="Times New Roman" w:cs="Times New Roman"/>
          <w:i/>
          <w:iCs/>
          <w:color w:val="0E1833"/>
          <w:sz w:val="18"/>
          <w:szCs w:val="18"/>
          <w:u w:val="single"/>
          <w:lang w:val="en-GB"/>
        </w:rPr>
        <w:t>Conference</w:t>
      </w:r>
      <w:r w:rsidR="002D47D2" w:rsidRPr="00AB6073">
        <w:rPr>
          <w:rFonts w:ascii="Times New Roman" w:hAnsi="Times New Roman" w:cs="Times New Roman"/>
          <w:i/>
          <w:iCs/>
          <w:color w:val="0E1833"/>
          <w:sz w:val="18"/>
          <w:szCs w:val="18"/>
          <w:lang w:val="en-GB"/>
        </w:rPr>
        <w:t>, 17 December 2024, marked the opening of negotiations for Cluster 6 “Foreign Relations (2 chapters)</w:t>
      </w:r>
      <w:r w:rsidR="00AB6073" w:rsidRPr="00AB6073">
        <w:rPr>
          <w:rFonts w:ascii="Times New Roman" w:hAnsi="Times New Roman" w:cs="Times New Roman"/>
          <w:i/>
          <w:iCs/>
          <w:color w:val="0E1833"/>
          <w:sz w:val="18"/>
          <w:szCs w:val="18"/>
          <w:lang w:val="en-GB"/>
        </w:rPr>
        <w:t>,</w:t>
      </w:r>
    </w:p>
    <w:p w14:paraId="07560785" w14:textId="06244EA5" w:rsidR="002D47D2" w:rsidRPr="00AB6073" w:rsidRDefault="00C30FF3" w:rsidP="00287A5D">
      <w:pPr>
        <w:shd w:val="clear" w:color="auto" w:fill="FFFFFF"/>
        <w:spacing w:after="0" w:line="240" w:lineRule="auto"/>
        <w:jc w:val="both"/>
        <w:textAlignment w:val="baseline"/>
        <w:rPr>
          <w:rFonts w:ascii="Times New Roman" w:hAnsi="Times New Roman" w:cs="Times New Roman"/>
          <w:i/>
          <w:iCs/>
          <w:color w:val="0E1833"/>
          <w:sz w:val="18"/>
          <w:szCs w:val="18"/>
          <w:lang w:val="en-GB"/>
        </w:rPr>
      </w:pPr>
      <w:r w:rsidRPr="00AB6073">
        <w:rPr>
          <w:rFonts w:ascii="Times New Roman" w:hAnsi="Times New Roman" w:cs="Times New Roman"/>
          <w:i/>
          <w:iCs/>
          <w:color w:val="0E1833"/>
          <w:sz w:val="18"/>
          <w:szCs w:val="18"/>
          <w:u w:val="single"/>
          <w:lang w:val="en-GB"/>
        </w:rPr>
        <w:t>4</w:t>
      </w:r>
      <w:r w:rsidRPr="00AB6073">
        <w:rPr>
          <w:rFonts w:ascii="Times New Roman" w:hAnsi="Times New Roman" w:cs="Times New Roman"/>
          <w:i/>
          <w:iCs/>
          <w:color w:val="0E1833"/>
          <w:sz w:val="18"/>
          <w:szCs w:val="18"/>
          <w:u w:val="single"/>
          <w:vertAlign w:val="superscript"/>
          <w:lang w:val="en-GB"/>
        </w:rPr>
        <w:t>th</w:t>
      </w:r>
      <w:r w:rsidRPr="00AB6073">
        <w:rPr>
          <w:rFonts w:ascii="Times New Roman" w:hAnsi="Times New Roman" w:cs="Times New Roman"/>
          <w:i/>
          <w:iCs/>
          <w:color w:val="0E1833"/>
          <w:sz w:val="18"/>
          <w:szCs w:val="18"/>
          <w:u w:val="single"/>
          <w:lang w:val="en-GB"/>
        </w:rPr>
        <w:t xml:space="preserve"> </w:t>
      </w:r>
      <w:r w:rsidR="00AB6073" w:rsidRPr="00AB6073">
        <w:rPr>
          <w:rFonts w:ascii="Times New Roman" w:hAnsi="Times New Roman" w:cs="Times New Roman"/>
          <w:i/>
          <w:iCs/>
          <w:color w:val="0E1833"/>
          <w:sz w:val="18"/>
          <w:szCs w:val="18"/>
          <w:u w:val="single"/>
          <w:lang w:val="en-GB"/>
        </w:rPr>
        <w:t xml:space="preserve">Intergovernmental </w:t>
      </w:r>
      <w:r w:rsidR="002D47D2" w:rsidRPr="00AB6073">
        <w:rPr>
          <w:rFonts w:ascii="Times New Roman" w:hAnsi="Times New Roman" w:cs="Times New Roman"/>
          <w:i/>
          <w:iCs/>
          <w:color w:val="0E1833"/>
          <w:sz w:val="18"/>
          <w:szCs w:val="18"/>
          <w:u w:val="single"/>
          <w:lang w:val="en-GB"/>
        </w:rPr>
        <w:t>Conference</w:t>
      </w:r>
      <w:r w:rsidR="002D47D2" w:rsidRPr="00AB6073">
        <w:rPr>
          <w:rFonts w:ascii="Times New Roman" w:hAnsi="Times New Roman" w:cs="Times New Roman"/>
          <w:i/>
          <w:iCs/>
          <w:color w:val="0E1833"/>
          <w:sz w:val="18"/>
          <w:szCs w:val="18"/>
          <w:lang w:val="en-GB"/>
        </w:rPr>
        <w:t>, 14 April 2025, marked the opening of negotiations for Cluster 2 “Internal Market” (9 chapters)</w:t>
      </w:r>
      <w:r w:rsidR="00AB6073" w:rsidRPr="00AB6073">
        <w:rPr>
          <w:rFonts w:ascii="Times New Roman" w:hAnsi="Times New Roman" w:cs="Times New Roman"/>
          <w:i/>
          <w:iCs/>
          <w:color w:val="0E1833"/>
          <w:sz w:val="18"/>
          <w:szCs w:val="18"/>
          <w:lang w:val="en-GB"/>
        </w:rPr>
        <w:t>,</w:t>
      </w:r>
    </w:p>
    <w:p w14:paraId="0A6B2215" w14:textId="39E9D4CD" w:rsidR="002D47D2" w:rsidRPr="00AB6073" w:rsidRDefault="00C30FF3" w:rsidP="00287A5D">
      <w:pPr>
        <w:shd w:val="clear" w:color="auto" w:fill="FFFFFF"/>
        <w:spacing w:after="0" w:line="240" w:lineRule="auto"/>
        <w:jc w:val="both"/>
        <w:textAlignment w:val="baseline"/>
        <w:rPr>
          <w:rFonts w:ascii="Times New Roman" w:hAnsi="Times New Roman" w:cs="Times New Roman"/>
          <w:i/>
          <w:iCs/>
          <w:color w:val="0E1833"/>
          <w:sz w:val="18"/>
          <w:szCs w:val="18"/>
          <w:lang w:val="en-GB"/>
        </w:rPr>
      </w:pPr>
      <w:r w:rsidRPr="00AB6073">
        <w:rPr>
          <w:rFonts w:ascii="Times New Roman" w:hAnsi="Times New Roman" w:cs="Times New Roman"/>
          <w:i/>
          <w:iCs/>
          <w:color w:val="0E1833"/>
          <w:sz w:val="18"/>
          <w:szCs w:val="18"/>
          <w:u w:val="single"/>
          <w:lang w:val="en-GB"/>
        </w:rPr>
        <w:t>5</w:t>
      </w:r>
      <w:r w:rsidRPr="00AB6073">
        <w:rPr>
          <w:rFonts w:ascii="Times New Roman" w:hAnsi="Times New Roman" w:cs="Times New Roman"/>
          <w:i/>
          <w:iCs/>
          <w:color w:val="0E1833"/>
          <w:sz w:val="18"/>
          <w:szCs w:val="18"/>
          <w:u w:val="single"/>
          <w:vertAlign w:val="superscript"/>
          <w:lang w:val="en-GB"/>
        </w:rPr>
        <w:t>th</w:t>
      </w:r>
      <w:r w:rsidRPr="00AB6073">
        <w:rPr>
          <w:rFonts w:ascii="Times New Roman" w:hAnsi="Times New Roman" w:cs="Times New Roman"/>
          <w:i/>
          <w:iCs/>
          <w:color w:val="0E1833"/>
          <w:sz w:val="18"/>
          <w:szCs w:val="18"/>
          <w:u w:val="single"/>
          <w:lang w:val="en-GB"/>
        </w:rPr>
        <w:t xml:space="preserve"> </w:t>
      </w:r>
      <w:r w:rsidR="00AB6073" w:rsidRPr="00AB6073">
        <w:rPr>
          <w:rFonts w:ascii="Times New Roman" w:hAnsi="Times New Roman" w:cs="Times New Roman"/>
          <w:i/>
          <w:iCs/>
          <w:color w:val="0E1833"/>
          <w:sz w:val="18"/>
          <w:szCs w:val="18"/>
          <w:u w:val="single"/>
          <w:lang w:val="en-GB"/>
        </w:rPr>
        <w:t xml:space="preserve">Intergovernmental </w:t>
      </w:r>
      <w:r w:rsidR="002D47D2" w:rsidRPr="00AB6073">
        <w:rPr>
          <w:rFonts w:ascii="Times New Roman" w:hAnsi="Times New Roman" w:cs="Times New Roman"/>
          <w:i/>
          <w:iCs/>
          <w:color w:val="0E1833"/>
          <w:sz w:val="18"/>
          <w:szCs w:val="18"/>
          <w:u w:val="single"/>
          <w:lang w:val="en-GB"/>
        </w:rPr>
        <w:t>Conference</w:t>
      </w:r>
      <w:r w:rsidR="002D47D2" w:rsidRPr="00AB6073">
        <w:rPr>
          <w:rFonts w:ascii="Times New Roman" w:hAnsi="Times New Roman" w:cs="Times New Roman"/>
          <w:i/>
          <w:iCs/>
          <w:color w:val="0E1833"/>
          <w:sz w:val="18"/>
          <w:szCs w:val="18"/>
          <w:lang w:val="en-GB"/>
        </w:rPr>
        <w:t>, 22 May 2025, opening of negotiations for Cluster 3 “Competitiveness and Inclusive Growth” (8 chapters)</w:t>
      </w:r>
      <w:r w:rsidR="00AB6073">
        <w:rPr>
          <w:rFonts w:ascii="Times New Roman" w:hAnsi="Times New Roman" w:cs="Times New Roman"/>
          <w:i/>
          <w:iCs/>
          <w:color w:val="0E1833"/>
          <w:sz w:val="18"/>
          <w:szCs w:val="18"/>
          <w:lang w:val="en-GB"/>
        </w:rPr>
        <w:t>,</w:t>
      </w:r>
    </w:p>
    <w:p w14:paraId="4B072BE9" w14:textId="5A95938A" w:rsidR="002D47D2" w:rsidRPr="00AB6073" w:rsidRDefault="00C30FF3" w:rsidP="00287A5D">
      <w:pPr>
        <w:shd w:val="clear" w:color="auto" w:fill="FFFFFF"/>
        <w:spacing w:after="0" w:line="240" w:lineRule="auto"/>
        <w:jc w:val="both"/>
        <w:textAlignment w:val="baseline"/>
        <w:rPr>
          <w:rFonts w:ascii="Times New Roman" w:hAnsi="Times New Roman" w:cs="Times New Roman"/>
          <w:i/>
          <w:iCs/>
          <w:color w:val="0E1833"/>
          <w:spacing w:val="-2"/>
          <w:sz w:val="18"/>
          <w:szCs w:val="18"/>
          <w:lang w:val="en-GB"/>
        </w:rPr>
      </w:pPr>
      <w:r w:rsidRPr="00AB6073">
        <w:rPr>
          <w:rFonts w:ascii="Times New Roman" w:hAnsi="Times New Roman" w:cs="Times New Roman"/>
          <w:i/>
          <w:iCs/>
          <w:color w:val="0E1833"/>
          <w:spacing w:val="-2"/>
          <w:sz w:val="18"/>
          <w:szCs w:val="18"/>
          <w:u w:val="single"/>
          <w:lang w:val="en-GB"/>
        </w:rPr>
        <w:t>6</w:t>
      </w:r>
      <w:r w:rsidRPr="00AB6073">
        <w:rPr>
          <w:rFonts w:ascii="Times New Roman" w:hAnsi="Times New Roman" w:cs="Times New Roman"/>
          <w:i/>
          <w:iCs/>
          <w:color w:val="0E1833"/>
          <w:spacing w:val="-2"/>
          <w:sz w:val="18"/>
          <w:szCs w:val="18"/>
          <w:u w:val="single"/>
          <w:vertAlign w:val="superscript"/>
          <w:lang w:val="en-GB"/>
        </w:rPr>
        <w:t>th</w:t>
      </w:r>
      <w:r w:rsidRPr="00AB6073">
        <w:rPr>
          <w:rFonts w:ascii="Times New Roman" w:hAnsi="Times New Roman" w:cs="Times New Roman"/>
          <w:i/>
          <w:iCs/>
          <w:color w:val="0E1833"/>
          <w:spacing w:val="-2"/>
          <w:sz w:val="18"/>
          <w:szCs w:val="18"/>
          <w:u w:val="single"/>
          <w:lang w:val="en-GB"/>
        </w:rPr>
        <w:t xml:space="preserve"> </w:t>
      </w:r>
      <w:r w:rsidR="00AB6073" w:rsidRPr="00AB6073">
        <w:rPr>
          <w:rFonts w:ascii="Times New Roman" w:hAnsi="Times New Roman" w:cs="Times New Roman"/>
          <w:i/>
          <w:iCs/>
          <w:color w:val="0E1833"/>
          <w:spacing w:val="-2"/>
          <w:sz w:val="18"/>
          <w:szCs w:val="18"/>
          <w:u w:val="single"/>
          <w:lang w:val="en-GB"/>
        </w:rPr>
        <w:t>Intergovernmental</w:t>
      </w:r>
      <w:r w:rsidR="002D47D2" w:rsidRPr="00AB6073">
        <w:rPr>
          <w:rFonts w:ascii="Times New Roman" w:hAnsi="Times New Roman" w:cs="Times New Roman"/>
          <w:i/>
          <w:iCs/>
          <w:color w:val="0E1833"/>
          <w:spacing w:val="-2"/>
          <w:sz w:val="18"/>
          <w:szCs w:val="18"/>
          <w:u w:val="single"/>
          <w:lang w:val="en-GB"/>
        </w:rPr>
        <w:t xml:space="preserve"> </w:t>
      </w:r>
      <w:r w:rsidR="002D47D2" w:rsidRPr="00AB6073">
        <w:rPr>
          <w:rFonts w:ascii="Times New Roman" w:hAnsi="Times New Roman" w:cs="Times New Roman"/>
          <w:i/>
          <w:iCs/>
          <w:color w:val="0E1833"/>
          <w:sz w:val="18"/>
          <w:szCs w:val="18"/>
          <w:u w:val="single"/>
          <w:lang w:val="en-GB"/>
        </w:rPr>
        <w:t>Conference</w:t>
      </w:r>
      <w:r w:rsidR="002D47D2" w:rsidRPr="00AB6073">
        <w:rPr>
          <w:rFonts w:ascii="Times New Roman" w:hAnsi="Times New Roman" w:cs="Times New Roman"/>
          <w:i/>
          <w:iCs/>
          <w:color w:val="0E1833"/>
          <w:spacing w:val="-2"/>
          <w:sz w:val="18"/>
          <w:szCs w:val="18"/>
          <w:lang w:val="en-GB"/>
        </w:rPr>
        <w:t xml:space="preserve">, 16 September 2025 </w:t>
      </w:r>
      <w:r w:rsidR="002D47D2" w:rsidRPr="00AB6073">
        <w:rPr>
          <w:rFonts w:ascii="Times New Roman" w:hAnsi="Times New Roman" w:cs="Times New Roman"/>
          <w:i/>
          <w:iCs/>
          <w:color w:val="0E1833"/>
          <w:sz w:val="18"/>
          <w:szCs w:val="18"/>
          <w:lang w:val="en-GB"/>
        </w:rPr>
        <w:t xml:space="preserve">opening of negotiations for Cluster </w:t>
      </w:r>
      <w:r w:rsidR="002D47D2" w:rsidRPr="00AB6073">
        <w:rPr>
          <w:rFonts w:ascii="Times New Roman" w:hAnsi="Times New Roman" w:cs="Times New Roman"/>
          <w:i/>
          <w:iCs/>
          <w:color w:val="0E1833"/>
          <w:spacing w:val="-2"/>
          <w:sz w:val="18"/>
          <w:szCs w:val="18"/>
          <w:lang w:val="en-GB"/>
        </w:rPr>
        <w:t>4 “Green agenda and sustainable connectivity” (4 chapters</w:t>
      </w:r>
      <w:r w:rsidR="00AB6073">
        <w:rPr>
          <w:rFonts w:ascii="Times New Roman" w:hAnsi="Times New Roman" w:cs="Times New Roman"/>
          <w:i/>
          <w:iCs/>
          <w:color w:val="0E1833"/>
          <w:spacing w:val="-2"/>
          <w:sz w:val="18"/>
          <w:szCs w:val="18"/>
          <w:lang w:val="en-GB"/>
        </w:rPr>
        <w:t>),</w:t>
      </w:r>
    </w:p>
    <w:p w14:paraId="6D2C70E5" w14:textId="45EED4AA" w:rsidR="002D47D2" w:rsidRPr="00AB6073" w:rsidRDefault="00C30FF3" w:rsidP="00287A5D">
      <w:pPr>
        <w:shd w:val="clear" w:color="auto" w:fill="FFFFFF"/>
        <w:spacing w:after="0" w:line="240" w:lineRule="auto"/>
        <w:jc w:val="both"/>
        <w:textAlignment w:val="baseline"/>
        <w:rPr>
          <w:rFonts w:ascii="Times New Roman" w:hAnsi="Times New Roman" w:cs="Times New Roman"/>
          <w:i/>
          <w:iCs/>
          <w:color w:val="0E1833"/>
          <w:sz w:val="18"/>
          <w:szCs w:val="18"/>
          <w:lang w:val="en-GB"/>
        </w:rPr>
      </w:pPr>
      <w:r w:rsidRPr="00AB6073">
        <w:rPr>
          <w:rFonts w:ascii="Times New Roman" w:hAnsi="Times New Roman" w:cs="Times New Roman"/>
          <w:i/>
          <w:iCs/>
          <w:color w:val="0E1833"/>
          <w:sz w:val="18"/>
          <w:szCs w:val="18"/>
          <w:u w:val="single"/>
          <w:lang w:val="en-GB"/>
        </w:rPr>
        <w:t>7</w:t>
      </w:r>
      <w:r w:rsidRPr="00AB6073">
        <w:rPr>
          <w:rFonts w:ascii="Times New Roman" w:hAnsi="Times New Roman" w:cs="Times New Roman"/>
          <w:i/>
          <w:iCs/>
          <w:color w:val="0E1833"/>
          <w:sz w:val="18"/>
          <w:szCs w:val="18"/>
          <w:u w:val="single"/>
          <w:vertAlign w:val="superscript"/>
          <w:lang w:val="en-GB"/>
        </w:rPr>
        <w:t>th</w:t>
      </w:r>
      <w:r w:rsidRPr="00AB6073">
        <w:rPr>
          <w:rFonts w:ascii="Times New Roman" w:hAnsi="Times New Roman" w:cs="Times New Roman"/>
          <w:i/>
          <w:iCs/>
          <w:color w:val="0E1833"/>
          <w:sz w:val="18"/>
          <w:szCs w:val="18"/>
          <w:u w:val="single"/>
          <w:lang w:val="en-GB"/>
        </w:rPr>
        <w:t xml:space="preserve"> </w:t>
      </w:r>
      <w:r w:rsidR="00AB6073" w:rsidRPr="00AB6073">
        <w:rPr>
          <w:rFonts w:ascii="Times New Roman" w:hAnsi="Times New Roman" w:cs="Times New Roman"/>
          <w:i/>
          <w:iCs/>
          <w:color w:val="0E1833"/>
          <w:sz w:val="18"/>
          <w:szCs w:val="18"/>
          <w:u w:val="single"/>
          <w:lang w:val="en-GB"/>
        </w:rPr>
        <w:t xml:space="preserve">Intergovernmental </w:t>
      </w:r>
      <w:r w:rsidR="002D47D2" w:rsidRPr="00AB6073">
        <w:rPr>
          <w:rFonts w:ascii="Times New Roman" w:hAnsi="Times New Roman" w:cs="Times New Roman"/>
          <w:i/>
          <w:iCs/>
          <w:color w:val="0E1833"/>
          <w:sz w:val="18"/>
          <w:szCs w:val="18"/>
          <w:u w:val="single"/>
          <w:lang w:val="en-GB"/>
        </w:rPr>
        <w:t>Conference</w:t>
      </w:r>
      <w:r w:rsidR="002D47D2" w:rsidRPr="00AB6073">
        <w:rPr>
          <w:rFonts w:ascii="Times New Roman" w:hAnsi="Times New Roman" w:cs="Times New Roman"/>
          <w:i/>
          <w:iCs/>
          <w:color w:val="0E1833"/>
          <w:sz w:val="18"/>
          <w:szCs w:val="18"/>
          <w:lang w:val="en-GB"/>
        </w:rPr>
        <w:t xml:space="preserve">, 17 November 2025, opening of negotiations for Cluster 5 “Resources, </w:t>
      </w:r>
      <w:r w:rsidRPr="00AB6073">
        <w:rPr>
          <w:rFonts w:ascii="Times New Roman" w:hAnsi="Times New Roman" w:cs="Times New Roman"/>
          <w:i/>
          <w:iCs/>
          <w:color w:val="0E1833"/>
          <w:sz w:val="18"/>
          <w:szCs w:val="18"/>
          <w:lang w:val="en-GB"/>
        </w:rPr>
        <w:t>agriculture</w:t>
      </w:r>
      <w:r w:rsidR="002D47D2" w:rsidRPr="00AB6073">
        <w:rPr>
          <w:rFonts w:ascii="Times New Roman" w:hAnsi="Times New Roman" w:cs="Times New Roman"/>
          <w:i/>
          <w:iCs/>
          <w:color w:val="0E1833"/>
          <w:sz w:val="18"/>
          <w:szCs w:val="18"/>
          <w:lang w:val="en-GB"/>
        </w:rPr>
        <w:t xml:space="preserve"> and cohesion” (5 chapters)</w:t>
      </w:r>
      <w:r w:rsidR="00AB6073">
        <w:rPr>
          <w:rFonts w:ascii="Times New Roman" w:hAnsi="Times New Roman" w:cs="Times New Roman"/>
          <w:i/>
          <w:iCs/>
          <w:color w:val="0E1833"/>
          <w:sz w:val="18"/>
          <w:szCs w:val="18"/>
          <w:lang w:val="en-GB"/>
        </w:rPr>
        <w:t>,</w:t>
      </w:r>
    </w:p>
  </w:footnote>
  <w:footnote w:id="2">
    <w:p w14:paraId="5CF3E691" w14:textId="63AFBE03" w:rsidR="00754941" w:rsidRPr="00AB6073" w:rsidRDefault="00754941">
      <w:pPr>
        <w:pStyle w:val="FootnoteText"/>
        <w:rPr>
          <w:rFonts w:ascii="Times New Roman" w:hAnsi="Times New Roman" w:cs="Times New Roman"/>
          <w:i/>
          <w:iCs/>
          <w:color w:val="0E1833"/>
          <w:sz w:val="18"/>
          <w:szCs w:val="18"/>
          <w:lang w:val="en-GB"/>
        </w:rPr>
      </w:pPr>
      <w:r w:rsidRPr="00AB6073">
        <w:rPr>
          <w:rStyle w:val="FootnoteReference"/>
          <w:rFonts w:ascii="Times New Roman" w:hAnsi="Times New Roman" w:cs="Times New Roman"/>
          <w:i/>
          <w:iCs/>
          <w:sz w:val="18"/>
          <w:szCs w:val="18"/>
          <w:lang w:val="en-GB"/>
        </w:rPr>
        <w:footnoteRef/>
      </w:r>
      <w:r w:rsidRPr="00AB6073">
        <w:rPr>
          <w:rFonts w:ascii="Times New Roman" w:hAnsi="Times New Roman" w:cs="Times New Roman"/>
          <w:i/>
          <w:iCs/>
          <w:sz w:val="18"/>
          <w:szCs w:val="18"/>
          <w:lang w:val="en-GB"/>
        </w:rPr>
        <w:t xml:space="preserve"> </w:t>
      </w:r>
      <w:r w:rsidR="00C30FF3" w:rsidRPr="00AB6073">
        <w:rPr>
          <w:rFonts w:ascii="Times New Roman" w:hAnsi="Times New Roman" w:cs="Times New Roman"/>
          <w:i/>
          <w:iCs/>
          <w:sz w:val="18"/>
          <w:szCs w:val="18"/>
          <w:u w:val="single"/>
          <w:lang w:val="en-GB"/>
        </w:rPr>
        <w:t>8</w:t>
      </w:r>
      <w:r w:rsidR="00C30FF3" w:rsidRPr="00AB6073">
        <w:rPr>
          <w:rFonts w:ascii="Times New Roman" w:hAnsi="Times New Roman" w:cs="Times New Roman"/>
          <w:i/>
          <w:iCs/>
          <w:sz w:val="18"/>
          <w:szCs w:val="18"/>
          <w:u w:val="single"/>
          <w:vertAlign w:val="superscript"/>
          <w:lang w:val="en-GB"/>
        </w:rPr>
        <w:t>th</w:t>
      </w:r>
      <w:r w:rsidR="00C30FF3" w:rsidRPr="00AB6073">
        <w:rPr>
          <w:rFonts w:ascii="Times New Roman" w:hAnsi="Times New Roman" w:cs="Times New Roman"/>
          <w:i/>
          <w:iCs/>
          <w:sz w:val="18"/>
          <w:szCs w:val="18"/>
          <w:u w:val="single"/>
          <w:lang w:val="en-GB"/>
        </w:rPr>
        <w:t xml:space="preserve"> </w:t>
      </w:r>
      <w:r w:rsidR="00AB6073" w:rsidRPr="00AB6073">
        <w:rPr>
          <w:rFonts w:ascii="Times New Roman" w:hAnsi="Times New Roman" w:cs="Times New Roman"/>
          <w:i/>
          <w:iCs/>
          <w:sz w:val="18"/>
          <w:szCs w:val="18"/>
          <w:u w:val="single"/>
          <w:lang w:val="en-GB"/>
        </w:rPr>
        <w:t xml:space="preserve">Intergovernmental </w:t>
      </w:r>
      <w:r w:rsidR="00C30FF3" w:rsidRPr="00AB6073">
        <w:rPr>
          <w:rFonts w:ascii="Times New Roman" w:hAnsi="Times New Roman" w:cs="Times New Roman"/>
          <w:i/>
          <w:iCs/>
          <w:color w:val="0E1833"/>
          <w:sz w:val="18"/>
          <w:szCs w:val="18"/>
          <w:u w:val="single"/>
          <w:lang w:val="en-GB"/>
        </w:rPr>
        <w:t xml:space="preserve">Conference, </w:t>
      </w:r>
      <w:r w:rsidR="00C30FF3" w:rsidRPr="00AB6073">
        <w:rPr>
          <w:rFonts w:ascii="Times New Roman" w:hAnsi="Times New Roman" w:cs="Times New Roman"/>
          <w:i/>
          <w:iCs/>
          <w:color w:val="0E1833"/>
          <w:sz w:val="18"/>
          <w:szCs w:val="18"/>
          <w:lang w:val="en-GB"/>
        </w:rPr>
        <w:t>26 May 2026, marked the official beginning of the final phase of negotiations (closure of chapters)</w:t>
      </w:r>
      <w:r w:rsidR="00AB6073">
        <w:rPr>
          <w:rFonts w:ascii="Times New Roman" w:hAnsi="Times New Roman" w:cs="Times New Roman"/>
          <w:i/>
          <w:iCs/>
          <w:color w:val="0E1833"/>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601D" w14:textId="77777777" w:rsidR="002D47D2" w:rsidRDefault="002D47D2" w:rsidP="004277D0">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5CC1" w14:textId="77777777" w:rsidR="002D47D2" w:rsidRDefault="002D47D2" w:rsidP="00A17516">
    <w:pPr>
      <w:tabs>
        <w:tab w:val="left" w:pos="1125"/>
        <w:tab w:val="center" w:pos="4320"/>
      </w:tabs>
      <w:rPr>
        <w:rFonts w:ascii="Arial" w:hAnsi="Arial" w:cs="Arial"/>
        <w:sz w:val="28"/>
        <w:szCs w:val="20"/>
      </w:rPr>
    </w:pPr>
    <w:r>
      <w:rPr>
        <w:noProof/>
      </w:rPr>
      <w:drawing>
        <wp:anchor distT="0" distB="0" distL="114300" distR="114300" simplePos="0" relativeHeight="251663360" behindDoc="0" locked="0" layoutInCell="1" allowOverlap="1" wp14:anchorId="1F327D10" wp14:editId="6EF48967">
          <wp:simplePos x="0" y="0"/>
          <wp:positionH relativeFrom="column">
            <wp:posOffset>2714625</wp:posOffset>
          </wp:positionH>
          <wp:positionV relativeFrom="paragraph">
            <wp:posOffset>12700</wp:posOffset>
          </wp:positionV>
          <wp:extent cx="504190" cy="666115"/>
          <wp:effectExtent l="0" t="0" r="0" b="635"/>
          <wp:wrapSquare wrapText="bothSides"/>
          <wp:docPr id="27" name="Picture 27" descr="stema mengjyr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tema mengjyra"/>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 cy="666115"/>
                  </a:xfrm>
                  <a:prstGeom prst="rect">
                    <a:avLst/>
                  </a:prstGeom>
                  <a:noFill/>
                </pic:spPr>
              </pic:pic>
            </a:graphicData>
          </a:graphic>
        </wp:anchor>
      </w:drawing>
    </w:r>
  </w:p>
  <w:p w14:paraId="60EF1DDF" w14:textId="77777777" w:rsidR="002D47D2" w:rsidRDefault="002D47D2" w:rsidP="00A17516">
    <w:pPr>
      <w:pStyle w:val="Caption"/>
      <w:rPr>
        <w:szCs w:val="24"/>
        <w:lang w:val="it-IT"/>
      </w:rPr>
    </w:pPr>
  </w:p>
  <w:p w14:paraId="5059D1F9" w14:textId="77777777" w:rsidR="002D47D2" w:rsidRDefault="002D47D2" w:rsidP="00A17516">
    <w:pPr>
      <w:pStyle w:val="Caption"/>
      <w:rPr>
        <w:szCs w:val="24"/>
        <w:lang w:val="it-IT"/>
      </w:rPr>
    </w:pPr>
  </w:p>
  <w:p w14:paraId="20D90EC2" w14:textId="77777777" w:rsidR="002D47D2" w:rsidRDefault="002D47D2" w:rsidP="00A17516">
    <w:pPr>
      <w:pStyle w:val="Caption"/>
      <w:rPr>
        <w:rFonts w:ascii="Times New Roman" w:hAnsi="Times New Roman" w:cs="Times New Roman"/>
        <w:szCs w:val="24"/>
        <w:lang w:val="it-IT"/>
      </w:rPr>
    </w:pPr>
    <w:r>
      <w:rPr>
        <w:rFonts w:ascii="Times New Roman" w:hAnsi="Times New Roman" w:cs="Times New Roman"/>
        <w:noProof/>
        <w:szCs w:val="24"/>
      </w:rPr>
      <w:drawing>
        <wp:inline distT="0" distB="0" distL="0" distR="0" wp14:anchorId="36483645" wp14:editId="0B56C6AB">
          <wp:extent cx="6115050" cy="165100"/>
          <wp:effectExtent l="0" t="0" r="0" b="0"/>
          <wp:docPr id="28" name="Picture 28" descr="model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li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5050" cy="165100"/>
                  </a:xfrm>
                  <a:prstGeom prst="rect">
                    <a:avLst/>
                  </a:prstGeom>
                  <a:noFill/>
                  <a:ln>
                    <a:noFill/>
                  </a:ln>
                </pic:spPr>
              </pic:pic>
            </a:graphicData>
          </a:graphic>
        </wp:inline>
      </w:drawing>
    </w:r>
  </w:p>
  <w:p w14:paraId="4217DF06" w14:textId="77777777" w:rsidR="002D47D2" w:rsidRDefault="002D47D2" w:rsidP="00A17516">
    <w:pPr>
      <w:pStyle w:val="Caption"/>
      <w:rPr>
        <w:rFonts w:ascii="Times New Roman" w:eastAsia="Arial Unicode MS" w:hAnsi="Times New Roman" w:cs="Times New Roman"/>
        <w:b/>
        <w:spacing w:val="40"/>
        <w:szCs w:val="24"/>
        <w:lang w:val="it-IT"/>
      </w:rPr>
    </w:pPr>
    <w:r>
      <w:rPr>
        <w:rFonts w:ascii="Times New Roman" w:eastAsia="Arial Unicode MS" w:hAnsi="Times New Roman" w:cs="Times New Roman"/>
        <w:b/>
        <w:spacing w:val="40"/>
        <w:szCs w:val="24"/>
        <w:lang w:val="it-IT"/>
      </w:rPr>
      <w:t>REPUBLI</w:t>
    </w:r>
    <w:r w:rsidR="007162BD">
      <w:rPr>
        <w:rFonts w:ascii="Times New Roman" w:eastAsia="Arial Unicode MS" w:hAnsi="Times New Roman" w:cs="Times New Roman"/>
        <w:b/>
        <w:spacing w:val="40"/>
        <w:szCs w:val="24"/>
        <w:lang w:val="it-IT"/>
      </w:rPr>
      <w:t>C</w:t>
    </w:r>
    <w:r>
      <w:rPr>
        <w:rFonts w:ascii="Times New Roman" w:eastAsia="Arial Unicode MS" w:hAnsi="Times New Roman" w:cs="Times New Roman"/>
        <w:b/>
        <w:spacing w:val="40"/>
        <w:szCs w:val="24"/>
        <w:lang w:val="it-IT"/>
      </w:rPr>
      <w:t xml:space="preserve"> </w:t>
    </w:r>
    <w:r w:rsidR="007162BD">
      <w:rPr>
        <w:rFonts w:ascii="Times New Roman" w:eastAsia="Arial Unicode MS" w:hAnsi="Times New Roman" w:cs="Times New Roman"/>
        <w:b/>
        <w:spacing w:val="40"/>
        <w:szCs w:val="24"/>
        <w:lang w:val="it-IT"/>
      </w:rPr>
      <w:t>OF ALBANIA</w:t>
    </w:r>
  </w:p>
  <w:p w14:paraId="28D3CC03" w14:textId="77777777" w:rsidR="002D47D2" w:rsidRDefault="007162BD" w:rsidP="00A17516">
    <w:pPr>
      <w:jc w:val="center"/>
    </w:pPr>
    <w:r>
      <w:rPr>
        <w:rFonts w:ascii="Times New Roman" w:hAnsi="Times New Roman" w:cs="Times New Roman"/>
        <w:b/>
        <w:sz w:val="24"/>
        <w:szCs w:val="24"/>
        <w:lang w:val="it-IT"/>
      </w:rPr>
      <w:t>THE PARLIAMENT</w:t>
    </w:r>
  </w:p>
  <w:p w14:paraId="604658F8" w14:textId="77777777" w:rsidR="002D47D2" w:rsidRDefault="002D4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2B89"/>
    <w:multiLevelType w:val="hybridMultilevel"/>
    <w:tmpl w:val="6FD85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357A6"/>
    <w:multiLevelType w:val="multilevel"/>
    <w:tmpl w:val="8AB6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903FE"/>
    <w:multiLevelType w:val="hybridMultilevel"/>
    <w:tmpl w:val="CDA6CEBA"/>
    <w:lvl w:ilvl="0" w:tplc="FBA0AB00">
      <w:start w:val="17"/>
      <w:numFmt w:val="bullet"/>
      <w:lvlText w:val="-"/>
      <w:lvlJc w:val="left"/>
      <w:pPr>
        <w:ind w:left="630" w:hanging="360"/>
      </w:pPr>
      <w:rPr>
        <w:rFonts w:ascii="Calibri Light" w:eastAsia="Calibri" w:hAnsi="Calibri Light" w:cs="Calibri Light"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8BE7554"/>
    <w:multiLevelType w:val="multilevel"/>
    <w:tmpl w:val="BC66379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19A33949"/>
    <w:multiLevelType w:val="multilevel"/>
    <w:tmpl w:val="A9E0968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1D877596"/>
    <w:multiLevelType w:val="multilevel"/>
    <w:tmpl w:val="9B28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C28A0"/>
    <w:multiLevelType w:val="hybridMultilevel"/>
    <w:tmpl w:val="34B46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FD33FF"/>
    <w:multiLevelType w:val="hybridMultilevel"/>
    <w:tmpl w:val="17125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533B6"/>
    <w:multiLevelType w:val="multilevel"/>
    <w:tmpl w:val="0B9CE17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51240E31"/>
    <w:multiLevelType w:val="multilevel"/>
    <w:tmpl w:val="2DC0AD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8AA39AC"/>
    <w:multiLevelType w:val="multilevel"/>
    <w:tmpl w:val="95DCB4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666E54F8"/>
    <w:multiLevelType w:val="hybridMultilevel"/>
    <w:tmpl w:val="CBC0264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4971427"/>
    <w:multiLevelType w:val="multilevel"/>
    <w:tmpl w:val="B6BE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1162087">
    <w:abstractNumId w:val="12"/>
  </w:num>
  <w:num w:numId="2" w16cid:durableId="1106998156">
    <w:abstractNumId w:val="9"/>
  </w:num>
  <w:num w:numId="3" w16cid:durableId="1022170396">
    <w:abstractNumId w:val="10"/>
  </w:num>
  <w:num w:numId="4" w16cid:durableId="1311595141">
    <w:abstractNumId w:val="8"/>
  </w:num>
  <w:num w:numId="5" w16cid:durableId="1627469188">
    <w:abstractNumId w:val="3"/>
  </w:num>
  <w:num w:numId="6" w16cid:durableId="771168443">
    <w:abstractNumId w:val="4"/>
  </w:num>
  <w:num w:numId="7" w16cid:durableId="1926262248">
    <w:abstractNumId w:val="1"/>
  </w:num>
  <w:num w:numId="8" w16cid:durableId="1078134396">
    <w:abstractNumId w:val="11"/>
  </w:num>
  <w:num w:numId="9" w16cid:durableId="483859124">
    <w:abstractNumId w:val="2"/>
  </w:num>
  <w:num w:numId="10" w16cid:durableId="390227800">
    <w:abstractNumId w:val="6"/>
  </w:num>
  <w:num w:numId="11" w16cid:durableId="1113982233">
    <w:abstractNumId w:val="7"/>
  </w:num>
  <w:num w:numId="12" w16cid:durableId="510990612">
    <w:abstractNumId w:val="0"/>
  </w:num>
  <w:num w:numId="13" w16cid:durableId="2451913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EC1"/>
    <w:rsid w:val="000141A7"/>
    <w:rsid w:val="00022B05"/>
    <w:rsid w:val="0002732A"/>
    <w:rsid w:val="00033597"/>
    <w:rsid w:val="000461C4"/>
    <w:rsid w:val="00081A0B"/>
    <w:rsid w:val="00097CC5"/>
    <w:rsid w:val="000A260A"/>
    <w:rsid w:val="000A557A"/>
    <w:rsid w:val="000D043C"/>
    <w:rsid w:val="000D3207"/>
    <w:rsid w:val="00114AAB"/>
    <w:rsid w:val="00127021"/>
    <w:rsid w:val="0016386B"/>
    <w:rsid w:val="001839FB"/>
    <w:rsid w:val="001A365B"/>
    <w:rsid w:val="001C2768"/>
    <w:rsid w:val="001C6A5F"/>
    <w:rsid w:val="001D3BC2"/>
    <w:rsid w:val="0022314E"/>
    <w:rsid w:val="002252B4"/>
    <w:rsid w:val="00245170"/>
    <w:rsid w:val="0025481A"/>
    <w:rsid w:val="002709E8"/>
    <w:rsid w:val="00286101"/>
    <w:rsid w:val="00287A5D"/>
    <w:rsid w:val="00292BA1"/>
    <w:rsid w:val="00295CCD"/>
    <w:rsid w:val="002A013E"/>
    <w:rsid w:val="002A49B1"/>
    <w:rsid w:val="002B21CE"/>
    <w:rsid w:val="002C584C"/>
    <w:rsid w:val="002D031F"/>
    <w:rsid w:val="002D3C71"/>
    <w:rsid w:val="002D47D2"/>
    <w:rsid w:val="002E0CC7"/>
    <w:rsid w:val="002E2675"/>
    <w:rsid w:val="002E37F2"/>
    <w:rsid w:val="0030704A"/>
    <w:rsid w:val="00312E24"/>
    <w:rsid w:val="00321630"/>
    <w:rsid w:val="00323471"/>
    <w:rsid w:val="003240B2"/>
    <w:rsid w:val="0036224A"/>
    <w:rsid w:val="003649B1"/>
    <w:rsid w:val="00365BE7"/>
    <w:rsid w:val="0037088B"/>
    <w:rsid w:val="00385A3B"/>
    <w:rsid w:val="00387FAC"/>
    <w:rsid w:val="003A6008"/>
    <w:rsid w:val="003A676E"/>
    <w:rsid w:val="003E73D7"/>
    <w:rsid w:val="003F1634"/>
    <w:rsid w:val="00403AB8"/>
    <w:rsid w:val="00407F1E"/>
    <w:rsid w:val="00410BA2"/>
    <w:rsid w:val="00414D10"/>
    <w:rsid w:val="004277D0"/>
    <w:rsid w:val="00431290"/>
    <w:rsid w:val="00434CC9"/>
    <w:rsid w:val="00452F67"/>
    <w:rsid w:val="004562A3"/>
    <w:rsid w:val="0048345C"/>
    <w:rsid w:val="004A6903"/>
    <w:rsid w:val="004B389C"/>
    <w:rsid w:val="004B3BBC"/>
    <w:rsid w:val="004B6F8C"/>
    <w:rsid w:val="004C3AA5"/>
    <w:rsid w:val="004D69DC"/>
    <w:rsid w:val="004F7E48"/>
    <w:rsid w:val="00510F00"/>
    <w:rsid w:val="005337A6"/>
    <w:rsid w:val="005363C2"/>
    <w:rsid w:val="005377BB"/>
    <w:rsid w:val="00543874"/>
    <w:rsid w:val="005522E4"/>
    <w:rsid w:val="0056002D"/>
    <w:rsid w:val="00560A14"/>
    <w:rsid w:val="00561A44"/>
    <w:rsid w:val="00572508"/>
    <w:rsid w:val="0058017B"/>
    <w:rsid w:val="00580575"/>
    <w:rsid w:val="00582EC1"/>
    <w:rsid w:val="005C744F"/>
    <w:rsid w:val="005E4893"/>
    <w:rsid w:val="005E54CA"/>
    <w:rsid w:val="006133FA"/>
    <w:rsid w:val="00631B8F"/>
    <w:rsid w:val="0066726C"/>
    <w:rsid w:val="00673AEC"/>
    <w:rsid w:val="00677C1E"/>
    <w:rsid w:val="00693C27"/>
    <w:rsid w:val="00696106"/>
    <w:rsid w:val="00696959"/>
    <w:rsid w:val="006A204E"/>
    <w:rsid w:val="006E07F1"/>
    <w:rsid w:val="006F4D4D"/>
    <w:rsid w:val="007162BD"/>
    <w:rsid w:val="00717210"/>
    <w:rsid w:val="007512C0"/>
    <w:rsid w:val="00754941"/>
    <w:rsid w:val="00756E17"/>
    <w:rsid w:val="0076599A"/>
    <w:rsid w:val="00782B1D"/>
    <w:rsid w:val="007A41B4"/>
    <w:rsid w:val="007A4A43"/>
    <w:rsid w:val="007B3481"/>
    <w:rsid w:val="007B50AC"/>
    <w:rsid w:val="007C4912"/>
    <w:rsid w:val="007F235E"/>
    <w:rsid w:val="007F3F95"/>
    <w:rsid w:val="00801812"/>
    <w:rsid w:val="00803D7F"/>
    <w:rsid w:val="00811FAE"/>
    <w:rsid w:val="00815E01"/>
    <w:rsid w:val="00821E47"/>
    <w:rsid w:val="008309FD"/>
    <w:rsid w:val="0085196E"/>
    <w:rsid w:val="0085230A"/>
    <w:rsid w:val="008705BE"/>
    <w:rsid w:val="00877A53"/>
    <w:rsid w:val="00890963"/>
    <w:rsid w:val="008A02BB"/>
    <w:rsid w:val="008B53B7"/>
    <w:rsid w:val="008B63A6"/>
    <w:rsid w:val="008D6BA2"/>
    <w:rsid w:val="008E2DE3"/>
    <w:rsid w:val="008E3A16"/>
    <w:rsid w:val="0091073C"/>
    <w:rsid w:val="009245CC"/>
    <w:rsid w:val="00925C1D"/>
    <w:rsid w:val="00955686"/>
    <w:rsid w:val="00974FB6"/>
    <w:rsid w:val="00982721"/>
    <w:rsid w:val="00994D5E"/>
    <w:rsid w:val="009953F2"/>
    <w:rsid w:val="009A4B70"/>
    <w:rsid w:val="009A4CAA"/>
    <w:rsid w:val="009A53B1"/>
    <w:rsid w:val="009A6773"/>
    <w:rsid w:val="009B7779"/>
    <w:rsid w:val="009E5E95"/>
    <w:rsid w:val="00A10583"/>
    <w:rsid w:val="00A140DE"/>
    <w:rsid w:val="00A17516"/>
    <w:rsid w:val="00A20068"/>
    <w:rsid w:val="00A217F5"/>
    <w:rsid w:val="00A237F3"/>
    <w:rsid w:val="00A26ADA"/>
    <w:rsid w:val="00A46562"/>
    <w:rsid w:val="00A523D8"/>
    <w:rsid w:val="00A618D2"/>
    <w:rsid w:val="00A70558"/>
    <w:rsid w:val="00A718C7"/>
    <w:rsid w:val="00A90605"/>
    <w:rsid w:val="00AA3B9C"/>
    <w:rsid w:val="00AA4B44"/>
    <w:rsid w:val="00AB6073"/>
    <w:rsid w:val="00AD1AFE"/>
    <w:rsid w:val="00AE4ACC"/>
    <w:rsid w:val="00B072E7"/>
    <w:rsid w:val="00B20483"/>
    <w:rsid w:val="00B25AEC"/>
    <w:rsid w:val="00B372E9"/>
    <w:rsid w:val="00B56A37"/>
    <w:rsid w:val="00B570B4"/>
    <w:rsid w:val="00B6207E"/>
    <w:rsid w:val="00B94DB6"/>
    <w:rsid w:val="00B965EF"/>
    <w:rsid w:val="00BA2D96"/>
    <w:rsid w:val="00BB3B66"/>
    <w:rsid w:val="00BC11CA"/>
    <w:rsid w:val="00BD2951"/>
    <w:rsid w:val="00C0593F"/>
    <w:rsid w:val="00C206CE"/>
    <w:rsid w:val="00C22633"/>
    <w:rsid w:val="00C30FF3"/>
    <w:rsid w:val="00C36942"/>
    <w:rsid w:val="00C44D89"/>
    <w:rsid w:val="00C45CFD"/>
    <w:rsid w:val="00C5287F"/>
    <w:rsid w:val="00C67A85"/>
    <w:rsid w:val="00C67AB7"/>
    <w:rsid w:val="00C771EC"/>
    <w:rsid w:val="00C969E5"/>
    <w:rsid w:val="00CC58CF"/>
    <w:rsid w:val="00CE2047"/>
    <w:rsid w:val="00CE3565"/>
    <w:rsid w:val="00D010D4"/>
    <w:rsid w:val="00D26EF0"/>
    <w:rsid w:val="00D31D61"/>
    <w:rsid w:val="00D342CC"/>
    <w:rsid w:val="00D35B52"/>
    <w:rsid w:val="00D555FE"/>
    <w:rsid w:val="00D92881"/>
    <w:rsid w:val="00D93991"/>
    <w:rsid w:val="00DA0ADD"/>
    <w:rsid w:val="00DA1872"/>
    <w:rsid w:val="00DA5A4F"/>
    <w:rsid w:val="00DA7C1D"/>
    <w:rsid w:val="00DB3EEB"/>
    <w:rsid w:val="00DC0232"/>
    <w:rsid w:val="00DE1ABD"/>
    <w:rsid w:val="00DE68B5"/>
    <w:rsid w:val="00E35729"/>
    <w:rsid w:val="00E40DD5"/>
    <w:rsid w:val="00E4377A"/>
    <w:rsid w:val="00E53303"/>
    <w:rsid w:val="00E63E03"/>
    <w:rsid w:val="00E66284"/>
    <w:rsid w:val="00E66C5B"/>
    <w:rsid w:val="00E66F2D"/>
    <w:rsid w:val="00EB2ECC"/>
    <w:rsid w:val="00ED3111"/>
    <w:rsid w:val="00F06269"/>
    <w:rsid w:val="00F16BE9"/>
    <w:rsid w:val="00F32330"/>
    <w:rsid w:val="00F54782"/>
    <w:rsid w:val="00F66416"/>
    <w:rsid w:val="00F8105E"/>
    <w:rsid w:val="00F83B1A"/>
    <w:rsid w:val="00F85079"/>
    <w:rsid w:val="00F959ED"/>
    <w:rsid w:val="00FA08F6"/>
    <w:rsid w:val="00FC355F"/>
    <w:rsid w:val="00FD05C7"/>
    <w:rsid w:val="00FD393F"/>
    <w:rsid w:val="00FE4E6C"/>
    <w:rsid w:val="00FF5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56BDF"/>
  <w15:docId w15:val="{589FB293-2129-46E6-B495-B9926F09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31F"/>
  </w:style>
  <w:style w:type="paragraph" w:styleId="Heading1">
    <w:name w:val="heading 1"/>
    <w:basedOn w:val="Normal"/>
    <w:next w:val="Normal"/>
    <w:link w:val="Heading1Char"/>
    <w:uiPriority w:val="9"/>
    <w:qFormat/>
    <w:rsid w:val="001638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E07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E07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E07F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E07F1"/>
    <w:rPr>
      <w:rFonts w:ascii="Times New Roman" w:eastAsia="Times New Roman" w:hAnsi="Times New Roman" w:cs="Times New Roman"/>
      <w:b/>
      <w:bCs/>
      <w:sz w:val="27"/>
      <w:szCs w:val="27"/>
    </w:rPr>
  </w:style>
  <w:style w:type="paragraph" w:styleId="NormalWeb">
    <w:name w:val="Normal (Web)"/>
    <w:basedOn w:val="Normal"/>
    <w:uiPriority w:val="99"/>
    <w:unhideWhenUsed/>
    <w:rsid w:val="006E07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07F1"/>
    <w:rPr>
      <w:b/>
      <w:bCs/>
    </w:rPr>
  </w:style>
  <w:style w:type="paragraph" w:styleId="BalloonText">
    <w:name w:val="Balloon Text"/>
    <w:basedOn w:val="Normal"/>
    <w:link w:val="BalloonTextChar"/>
    <w:uiPriority w:val="99"/>
    <w:semiHidden/>
    <w:unhideWhenUsed/>
    <w:rsid w:val="005363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3C2"/>
    <w:rPr>
      <w:rFonts w:ascii="Segoe UI" w:hAnsi="Segoe UI" w:cs="Segoe UI"/>
      <w:sz w:val="18"/>
      <w:szCs w:val="18"/>
    </w:rPr>
  </w:style>
  <w:style w:type="paragraph" w:styleId="Header">
    <w:name w:val="header"/>
    <w:basedOn w:val="Normal"/>
    <w:link w:val="HeaderChar"/>
    <w:uiPriority w:val="99"/>
    <w:unhideWhenUsed/>
    <w:rsid w:val="00427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7D0"/>
  </w:style>
  <w:style w:type="paragraph" w:styleId="Footer">
    <w:name w:val="footer"/>
    <w:basedOn w:val="Normal"/>
    <w:link w:val="FooterChar"/>
    <w:uiPriority w:val="99"/>
    <w:unhideWhenUsed/>
    <w:rsid w:val="00427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7D0"/>
  </w:style>
  <w:style w:type="paragraph" w:styleId="Caption">
    <w:name w:val="caption"/>
    <w:basedOn w:val="Normal"/>
    <w:next w:val="Normal"/>
    <w:semiHidden/>
    <w:unhideWhenUsed/>
    <w:qFormat/>
    <w:rsid w:val="004277D0"/>
    <w:pPr>
      <w:spacing w:after="0" w:line="240" w:lineRule="auto"/>
      <w:jc w:val="center"/>
    </w:pPr>
    <w:rPr>
      <w:rFonts w:ascii="Calibri" w:eastAsia="Times New Roman" w:hAnsi="Calibri" w:cs="Calibri"/>
      <w:sz w:val="24"/>
      <w:szCs w:val="20"/>
    </w:rPr>
  </w:style>
  <w:style w:type="character" w:styleId="Emphasis">
    <w:name w:val="Emphasis"/>
    <w:basedOn w:val="DefaultParagraphFont"/>
    <w:uiPriority w:val="20"/>
    <w:qFormat/>
    <w:rsid w:val="00BA2D96"/>
    <w:rPr>
      <w:i/>
      <w:iCs/>
    </w:rPr>
  </w:style>
  <w:style w:type="character" w:styleId="CommentReference">
    <w:name w:val="annotation reference"/>
    <w:basedOn w:val="DefaultParagraphFont"/>
    <w:uiPriority w:val="99"/>
    <w:semiHidden/>
    <w:unhideWhenUsed/>
    <w:rsid w:val="00A17516"/>
    <w:rPr>
      <w:sz w:val="16"/>
      <w:szCs w:val="16"/>
    </w:rPr>
  </w:style>
  <w:style w:type="paragraph" w:styleId="CommentText">
    <w:name w:val="annotation text"/>
    <w:basedOn w:val="Normal"/>
    <w:link w:val="CommentTextChar"/>
    <w:uiPriority w:val="99"/>
    <w:semiHidden/>
    <w:unhideWhenUsed/>
    <w:rsid w:val="00A17516"/>
    <w:pPr>
      <w:spacing w:line="240" w:lineRule="auto"/>
    </w:pPr>
    <w:rPr>
      <w:sz w:val="20"/>
      <w:szCs w:val="20"/>
    </w:rPr>
  </w:style>
  <w:style w:type="character" w:customStyle="1" w:styleId="CommentTextChar">
    <w:name w:val="Comment Text Char"/>
    <w:basedOn w:val="DefaultParagraphFont"/>
    <w:link w:val="CommentText"/>
    <w:uiPriority w:val="99"/>
    <w:semiHidden/>
    <w:rsid w:val="00A17516"/>
    <w:rPr>
      <w:sz w:val="20"/>
      <w:szCs w:val="20"/>
    </w:rPr>
  </w:style>
  <w:style w:type="paragraph" w:styleId="CommentSubject">
    <w:name w:val="annotation subject"/>
    <w:basedOn w:val="CommentText"/>
    <w:next w:val="CommentText"/>
    <w:link w:val="CommentSubjectChar"/>
    <w:uiPriority w:val="99"/>
    <w:semiHidden/>
    <w:unhideWhenUsed/>
    <w:rsid w:val="00A17516"/>
    <w:rPr>
      <w:b/>
      <w:bCs/>
    </w:rPr>
  </w:style>
  <w:style w:type="character" w:customStyle="1" w:styleId="CommentSubjectChar">
    <w:name w:val="Comment Subject Char"/>
    <w:basedOn w:val="CommentTextChar"/>
    <w:link w:val="CommentSubject"/>
    <w:uiPriority w:val="99"/>
    <w:semiHidden/>
    <w:rsid w:val="00A17516"/>
    <w:rPr>
      <w:b/>
      <w:bCs/>
      <w:sz w:val="20"/>
      <w:szCs w:val="20"/>
    </w:rPr>
  </w:style>
  <w:style w:type="paragraph" w:styleId="Revision">
    <w:name w:val="Revision"/>
    <w:hidden/>
    <w:uiPriority w:val="99"/>
    <w:semiHidden/>
    <w:rsid w:val="00D35B52"/>
    <w:pPr>
      <w:spacing w:after="0" w:line="240" w:lineRule="auto"/>
    </w:pPr>
  </w:style>
  <w:style w:type="character" w:customStyle="1" w:styleId="Heading1Char">
    <w:name w:val="Heading 1 Char"/>
    <w:basedOn w:val="DefaultParagraphFont"/>
    <w:link w:val="Heading1"/>
    <w:uiPriority w:val="9"/>
    <w:rsid w:val="0016386B"/>
    <w:rPr>
      <w:rFonts w:asciiTheme="majorHAnsi" w:eastAsiaTheme="majorEastAsia" w:hAnsiTheme="majorHAnsi" w:cstheme="majorBidi"/>
      <w:color w:val="2E74B5" w:themeColor="accent1" w:themeShade="BF"/>
      <w:sz w:val="32"/>
      <w:szCs w:val="32"/>
    </w:rPr>
  </w:style>
  <w:style w:type="paragraph" w:styleId="ListParagraph">
    <w:name w:val="List Paragraph"/>
    <w:aliases w:val="Akapit z listą BS,List Paragraph1,Bullet1,Lettre d'introduction,AETS - LP 01,List Paragraph 2,Normal bullet 2,Bullet Points,Liststycke SKL,Paragraphe de liste PBLH,Llista Nivell1,Lista de nivel 1,Graph &amp; Table tite,Titre1,r2,Liste 1,L,Ann"/>
    <w:basedOn w:val="Normal"/>
    <w:link w:val="ListParagraphChar"/>
    <w:uiPriority w:val="34"/>
    <w:qFormat/>
    <w:rsid w:val="00287A5D"/>
    <w:pPr>
      <w:ind w:left="720"/>
      <w:contextualSpacing/>
    </w:pPr>
  </w:style>
  <w:style w:type="character" w:customStyle="1" w:styleId="ListParagraphChar">
    <w:name w:val="List Paragraph Char"/>
    <w:aliases w:val="Akapit z listą BS Char,List Paragraph1 Char,Bullet1 Char,Lettre d'introduction Char,AETS - LP 01 Char,List Paragraph 2 Char,Normal bullet 2 Char,Bullet Points Char,Liststycke SKL Char,Paragraphe de liste PBLH Char,Llista Nivell1 Char"/>
    <w:link w:val="ListParagraph"/>
    <w:uiPriority w:val="34"/>
    <w:qFormat/>
    <w:locked/>
    <w:rsid w:val="00287A5D"/>
  </w:style>
  <w:style w:type="paragraph" w:styleId="FootnoteText">
    <w:name w:val="footnote text"/>
    <w:basedOn w:val="Normal"/>
    <w:link w:val="FootnoteTextChar"/>
    <w:uiPriority w:val="99"/>
    <w:semiHidden/>
    <w:unhideWhenUsed/>
    <w:rsid w:val="00287A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7A5D"/>
    <w:rPr>
      <w:sz w:val="20"/>
      <w:szCs w:val="20"/>
    </w:rPr>
  </w:style>
  <w:style w:type="character" w:styleId="FootnoteReference">
    <w:name w:val="footnote reference"/>
    <w:basedOn w:val="DefaultParagraphFont"/>
    <w:uiPriority w:val="99"/>
    <w:semiHidden/>
    <w:unhideWhenUsed/>
    <w:rsid w:val="00287A5D"/>
    <w:rPr>
      <w:vertAlign w:val="superscript"/>
    </w:rPr>
  </w:style>
  <w:style w:type="character" w:styleId="Hyperlink">
    <w:name w:val="Hyperlink"/>
    <w:basedOn w:val="DefaultParagraphFont"/>
    <w:uiPriority w:val="99"/>
    <w:semiHidden/>
    <w:unhideWhenUsed/>
    <w:rsid w:val="00CE20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307">
      <w:bodyDiv w:val="1"/>
      <w:marLeft w:val="0"/>
      <w:marRight w:val="0"/>
      <w:marTop w:val="0"/>
      <w:marBottom w:val="0"/>
      <w:divBdr>
        <w:top w:val="none" w:sz="0" w:space="0" w:color="auto"/>
        <w:left w:val="none" w:sz="0" w:space="0" w:color="auto"/>
        <w:bottom w:val="none" w:sz="0" w:space="0" w:color="auto"/>
        <w:right w:val="none" w:sz="0" w:space="0" w:color="auto"/>
      </w:divBdr>
    </w:div>
    <w:div w:id="7563938">
      <w:bodyDiv w:val="1"/>
      <w:marLeft w:val="0"/>
      <w:marRight w:val="0"/>
      <w:marTop w:val="0"/>
      <w:marBottom w:val="0"/>
      <w:divBdr>
        <w:top w:val="none" w:sz="0" w:space="0" w:color="auto"/>
        <w:left w:val="none" w:sz="0" w:space="0" w:color="auto"/>
        <w:bottom w:val="none" w:sz="0" w:space="0" w:color="auto"/>
        <w:right w:val="none" w:sz="0" w:space="0" w:color="auto"/>
      </w:divBdr>
    </w:div>
    <w:div w:id="92671560">
      <w:bodyDiv w:val="1"/>
      <w:marLeft w:val="0"/>
      <w:marRight w:val="0"/>
      <w:marTop w:val="0"/>
      <w:marBottom w:val="0"/>
      <w:divBdr>
        <w:top w:val="none" w:sz="0" w:space="0" w:color="auto"/>
        <w:left w:val="none" w:sz="0" w:space="0" w:color="auto"/>
        <w:bottom w:val="none" w:sz="0" w:space="0" w:color="auto"/>
        <w:right w:val="none" w:sz="0" w:space="0" w:color="auto"/>
      </w:divBdr>
    </w:div>
    <w:div w:id="151138387">
      <w:bodyDiv w:val="1"/>
      <w:marLeft w:val="0"/>
      <w:marRight w:val="0"/>
      <w:marTop w:val="0"/>
      <w:marBottom w:val="0"/>
      <w:divBdr>
        <w:top w:val="none" w:sz="0" w:space="0" w:color="auto"/>
        <w:left w:val="none" w:sz="0" w:space="0" w:color="auto"/>
        <w:bottom w:val="none" w:sz="0" w:space="0" w:color="auto"/>
        <w:right w:val="none" w:sz="0" w:space="0" w:color="auto"/>
      </w:divBdr>
    </w:div>
    <w:div w:id="317660522">
      <w:bodyDiv w:val="1"/>
      <w:marLeft w:val="0"/>
      <w:marRight w:val="0"/>
      <w:marTop w:val="0"/>
      <w:marBottom w:val="0"/>
      <w:divBdr>
        <w:top w:val="none" w:sz="0" w:space="0" w:color="auto"/>
        <w:left w:val="none" w:sz="0" w:space="0" w:color="auto"/>
        <w:bottom w:val="none" w:sz="0" w:space="0" w:color="auto"/>
        <w:right w:val="none" w:sz="0" w:space="0" w:color="auto"/>
      </w:divBdr>
    </w:div>
    <w:div w:id="367219095">
      <w:bodyDiv w:val="1"/>
      <w:marLeft w:val="0"/>
      <w:marRight w:val="0"/>
      <w:marTop w:val="0"/>
      <w:marBottom w:val="0"/>
      <w:divBdr>
        <w:top w:val="none" w:sz="0" w:space="0" w:color="auto"/>
        <w:left w:val="none" w:sz="0" w:space="0" w:color="auto"/>
        <w:bottom w:val="none" w:sz="0" w:space="0" w:color="auto"/>
        <w:right w:val="none" w:sz="0" w:space="0" w:color="auto"/>
      </w:divBdr>
    </w:div>
    <w:div w:id="410540049">
      <w:bodyDiv w:val="1"/>
      <w:marLeft w:val="0"/>
      <w:marRight w:val="0"/>
      <w:marTop w:val="0"/>
      <w:marBottom w:val="0"/>
      <w:divBdr>
        <w:top w:val="none" w:sz="0" w:space="0" w:color="auto"/>
        <w:left w:val="none" w:sz="0" w:space="0" w:color="auto"/>
        <w:bottom w:val="none" w:sz="0" w:space="0" w:color="auto"/>
        <w:right w:val="none" w:sz="0" w:space="0" w:color="auto"/>
      </w:divBdr>
    </w:div>
    <w:div w:id="450981799">
      <w:bodyDiv w:val="1"/>
      <w:marLeft w:val="0"/>
      <w:marRight w:val="0"/>
      <w:marTop w:val="0"/>
      <w:marBottom w:val="0"/>
      <w:divBdr>
        <w:top w:val="none" w:sz="0" w:space="0" w:color="auto"/>
        <w:left w:val="none" w:sz="0" w:space="0" w:color="auto"/>
        <w:bottom w:val="none" w:sz="0" w:space="0" w:color="auto"/>
        <w:right w:val="none" w:sz="0" w:space="0" w:color="auto"/>
      </w:divBdr>
    </w:div>
    <w:div w:id="674385795">
      <w:bodyDiv w:val="1"/>
      <w:marLeft w:val="0"/>
      <w:marRight w:val="0"/>
      <w:marTop w:val="0"/>
      <w:marBottom w:val="0"/>
      <w:divBdr>
        <w:top w:val="none" w:sz="0" w:space="0" w:color="auto"/>
        <w:left w:val="none" w:sz="0" w:space="0" w:color="auto"/>
        <w:bottom w:val="none" w:sz="0" w:space="0" w:color="auto"/>
        <w:right w:val="none" w:sz="0" w:space="0" w:color="auto"/>
      </w:divBdr>
      <w:divsChild>
        <w:div w:id="495651365">
          <w:marLeft w:val="0"/>
          <w:marRight w:val="0"/>
          <w:marTop w:val="0"/>
          <w:marBottom w:val="0"/>
          <w:divBdr>
            <w:top w:val="none" w:sz="0" w:space="0" w:color="auto"/>
            <w:left w:val="none" w:sz="0" w:space="0" w:color="auto"/>
            <w:bottom w:val="none" w:sz="0" w:space="0" w:color="auto"/>
            <w:right w:val="none" w:sz="0" w:space="0" w:color="auto"/>
          </w:divBdr>
        </w:div>
      </w:divsChild>
    </w:div>
    <w:div w:id="803429058">
      <w:bodyDiv w:val="1"/>
      <w:marLeft w:val="0"/>
      <w:marRight w:val="0"/>
      <w:marTop w:val="0"/>
      <w:marBottom w:val="0"/>
      <w:divBdr>
        <w:top w:val="none" w:sz="0" w:space="0" w:color="auto"/>
        <w:left w:val="none" w:sz="0" w:space="0" w:color="auto"/>
        <w:bottom w:val="none" w:sz="0" w:space="0" w:color="auto"/>
        <w:right w:val="none" w:sz="0" w:space="0" w:color="auto"/>
      </w:divBdr>
    </w:div>
    <w:div w:id="937522762">
      <w:bodyDiv w:val="1"/>
      <w:marLeft w:val="0"/>
      <w:marRight w:val="0"/>
      <w:marTop w:val="0"/>
      <w:marBottom w:val="0"/>
      <w:divBdr>
        <w:top w:val="none" w:sz="0" w:space="0" w:color="auto"/>
        <w:left w:val="none" w:sz="0" w:space="0" w:color="auto"/>
        <w:bottom w:val="none" w:sz="0" w:space="0" w:color="auto"/>
        <w:right w:val="none" w:sz="0" w:space="0" w:color="auto"/>
      </w:divBdr>
    </w:div>
    <w:div w:id="1072045260">
      <w:bodyDiv w:val="1"/>
      <w:marLeft w:val="0"/>
      <w:marRight w:val="0"/>
      <w:marTop w:val="0"/>
      <w:marBottom w:val="0"/>
      <w:divBdr>
        <w:top w:val="none" w:sz="0" w:space="0" w:color="auto"/>
        <w:left w:val="none" w:sz="0" w:space="0" w:color="auto"/>
        <w:bottom w:val="none" w:sz="0" w:space="0" w:color="auto"/>
        <w:right w:val="none" w:sz="0" w:space="0" w:color="auto"/>
      </w:divBdr>
    </w:div>
    <w:div w:id="1097869413">
      <w:bodyDiv w:val="1"/>
      <w:marLeft w:val="0"/>
      <w:marRight w:val="0"/>
      <w:marTop w:val="0"/>
      <w:marBottom w:val="0"/>
      <w:divBdr>
        <w:top w:val="none" w:sz="0" w:space="0" w:color="auto"/>
        <w:left w:val="none" w:sz="0" w:space="0" w:color="auto"/>
        <w:bottom w:val="none" w:sz="0" w:space="0" w:color="auto"/>
        <w:right w:val="none" w:sz="0" w:space="0" w:color="auto"/>
      </w:divBdr>
    </w:div>
    <w:div w:id="1301956356">
      <w:bodyDiv w:val="1"/>
      <w:marLeft w:val="0"/>
      <w:marRight w:val="0"/>
      <w:marTop w:val="0"/>
      <w:marBottom w:val="0"/>
      <w:divBdr>
        <w:top w:val="none" w:sz="0" w:space="0" w:color="auto"/>
        <w:left w:val="none" w:sz="0" w:space="0" w:color="auto"/>
        <w:bottom w:val="none" w:sz="0" w:space="0" w:color="auto"/>
        <w:right w:val="none" w:sz="0" w:space="0" w:color="auto"/>
      </w:divBdr>
    </w:div>
    <w:div w:id="1723868095">
      <w:bodyDiv w:val="1"/>
      <w:marLeft w:val="0"/>
      <w:marRight w:val="0"/>
      <w:marTop w:val="0"/>
      <w:marBottom w:val="0"/>
      <w:divBdr>
        <w:top w:val="none" w:sz="0" w:space="0" w:color="auto"/>
        <w:left w:val="none" w:sz="0" w:space="0" w:color="auto"/>
        <w:bottom w:val="none" w:sz="0" w:space="0" w:color="auto"/>
        <w:right w:val="none" w:sz="0" w:space="0" w:color="auto"/>
      </w:divBdr>
    </w:div>
    <w:div w:id="1788114981">
      <w:bodyDiv w:val="1"/>
      <w:marLeft w:val="0"/>
      <w:marRight w:val="0"/>
      <w:marTop w:val="0"/>
      <w:marBottom w:val="0"/>
      <w:divBdr>
        <w:top w:val="none" w:sz="0" w:space="0" w:color="auto"/>
        <w:left w:val="none" w:sz="0" w:space="0" w:color="auto"/>
        <w:bottom w:val="none" w:sz="0" w:space="0" w:color="auto"/>
        <w:right w:val="none" w:sz="0" w:space="0" w:color="auto"/>
      </w:divBdr>
    </w:div>
    <w:div w:id="1854568990">
      <w:bodyDiv w:val="1"/>
      <w:marLeft w:val="0"/>
      <w:marRight w:val="0"/>
      <w:marTop w:val="0"/>
      <w:marBottom w:val="0"/>
      <w:divBdr>
        <w:top w:val="none" w:sz="0" w:space="0" w:color="auto"/>
        <w:left w:val="none" w:sz="0" w:space="0" w:color="auto"/>
        <w:bottom w:val="none" w:sz="0" w:space="0" w:color="auto"/>
        <w:right w:val="none" w:sz="0" w:space="0" w:color="auto"/>
      </w:divBdr>
    </w:div>
    <w:div w:id="1898122178">
      <w:bodyDiv w:val="1"/>
      <w:marLeft w:val="0"/>
      <w:marRight w:val="0"/>
      <w:marTop w:val="0"/>
      <w:marBottom w:val="0"/>
      <w:divBdr>
        <w:top w:val="none" w:sz="0" w:space="0" w:color="auto"/>
        <w:left w:val="none" w:sz="0" w:space="0" w:color="auto"/>
        <w:bottom w:val="none" w:sz="0" w:space="0" w:color="auto"/>
        <w:right w:val="none" w:sz="0" w:space="0" w:color="auto"/>
      </w:divBdr>
    </w:div>
    <w:div w:id="214565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footer" Target="footer1.xml" /></Relationships>
</file>

<file path=word/_rels/header2.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D4B07-96E5-4231-B197-1EAC4C627851}">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defa4170-0d19-0005-0004-bc88714345d2}" enabled="1" method="Standard" siteId="{829dacc4-3f6a-4f01-8c73-3a3f5b07ef18}"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Sherbimi i Integrimit Europian</dc:creator>
  <cp:lastModifiedBy>Tesila Polena</cp:lastModifiedBy>
  <cp:revision>2</cp:revision>
  <cp:lastPrinted>2026-03-04T12:55:00Z</cp:lastPrinted>
  <dcterms:created xsi:type="dcterms:W3CDTF">2026-06-23T14:20:00Z</dcterms:created>
  <dcterms:modified xsi:type="dcterms:W3CDTF">2026-06-23T14:20:00Z</dcterms:modified>
</cp:coreProperties>
</file>