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439C5" w14:textId="4E4828BD" w:rsidR="008E4E6F" w:rsidRDefault="008E4E6F" w:rsidP="009B44E4">
      <w:pPr>
        <w:jc w:val="both"/>
        <w:outlineLvl w:val="0"/>
        <w:rPr>
          <w:rFonts w:ascii="Arial" w:eastAsia="Times New Roman" w:hAnsi="Arial" w:cs="Arial"/>
          <w:b/>
          <w:bCs/>
          <w:color w:val="222222"/>
          <w:kern w:val="36"/>
          <w:sz w:val="28"/>
          <w:szCs w:val="28"/>
          <w:lang w:eastAsia="en-GB"/>
        </w:rPr>
      </w:pP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r>
        <w:rPr>
          <w:rFonts w:ascii="Arial" w:eastAsia="Times New Roman" w:hAnsi="Arial" w:cs="Arial"/>
          <w:b/>
          <w:bCs/>
          <w:color w:val="222222"/>
          <w:kern w:val="36"/>
          <w:sz w:val="28"/>
          <w:szCs w:val="28"/>
          <w:lang w:eastAsia="en-GB"/>
        </w:rPr>
        <w:tab/>
      </w:r>
    </w:p>
    <w:p w14:paraId="67EDBD09" w14:textId="0F34A5D9" w:rsidR="00D65CD8" w:rsidRDefault="00D65CD8" w:rsidP="00D65CD8">
      <w:pPr>
        <w:jc w:val="center"/>
        <w:outlineLvl w:val="0"/>
        <w:rPr>
          <w:rFonts w:ascii="Times New Roman" w:eastAsia="Times New Roman" w:hAnsi="Times New Roman" w:cs="Times New Roman"/>
          <w:b/>
          <w:bCs/>
          <w:color w:val="222222"/>
          <w:kern w:val="36"/>
          <w:sz w:val="32"/>
          <w:szCs w:val="32"/>
          <w:lang w:eastAsia="en-GB"/>
        </w:rPr>
      </w:pPr>
      <w:r>
        <w:rPr>
          <w:rFonts w:ascii="Times New Roman" w:eastAsia="Times New Roman" w:hAnsi="Times New Roman" w:cs="Times New Roman"/>
          <w:b/>
          <w:bCs/>
          <w:color w:val="222222"/>
          <w:kern w:val="36"/>
          <w:sz w:val="32"/>
          <w:szCs w:val="32"/>
          <w:lang w:eastAsia="en-GB"/>
        </w:rPr>
        <w:t>Kohaliku omavalitsuse volikogu valimise seaduse § 5 täiendamise seadus</w:t>
      </w:r>
      <w:r w:rsidR="009E0A53">
        <w:rPr>
          <w:rFonts w:ascii="Times New Roman" w:eastAsia="Times New Roman" w:hAnsi="Times New Roman" w:cs="Times New Roman"/>
          <w:b/>
          <w:bCs/>
          <w:color w:val="222222"/>
          <w:kern w:val="36"/>
          <w:sz w:val="32"/>
          <w:szCs w:val="32"/>
          <w:lang w:eastAsia="en-GB"/>
        </w:rPr>
        <w:t>e seletuskiri</w:t>
      </w:r>
    </w:p>
    <w:p w14:paraId="5D2B59B9" w14:textId="0F45B4E7" w:rsidR="00122DD1" w:rsidRPr="008E4E6F" w:rsidRDefault="00122DD1" w:rsidP="009B44E4">
      <w:pPr>
        <w:jc w:val="both"/>
      </w:pPr>
    </w:p>
    <w:p w14:paraId="0039CC8D" w14:textId="4468ED67" w:rsidR="00122DD1" w:rsidRDefault="00122DD1" w:rsidP="009B44E4">
      <w:pPr>
        <w:jc w:val="both"/>
      </w:pPr>
    </w:p>
    <w:p w14:paraId="08685A65" w14:textId="4344C7B5" w:rsidR="00122DD1" w:rsidRPr="005E011F" w:rsidRDefault="00122DD1" w:rsidP="009B44E4">
      <w:pPr>
        <w:pStyle w:val="Loendilik"/>
        <w:numPr>
          <w:ilvl w:val="0"/>
          <w:numId w:val="2"/>
        </w:numPr>
        <w:jc w:val="both"/>
        <w:rPr>
          <w:b/>
          <w:bCs/>
        </w:rPr>
      </w:pPr>
      <w:r w:rsidRPr="005E011F">
        <w:rPr>
          <w:b/>
          <w:bCs/>
        </w:rPr>
        <w:t>Sissejuhatus</w:t>
      </w:r>
    </w:p>
    <w:p w14:paraId="0FEA4C63" w14:textId="10266677" w:rsidR="00122DD1" w:rsidRDefault="00122DD1" w:rsidP="009B44E4">
      <w:pPr>
        <w:jc w:val="both"/>
        <w:rPr>
          <w:b/>
          <w:bCs/>
        </w:rPr>
      </w:pPr>
    </w:p>
    <w:p w14:paraId="60BE37C7" w14:textId="021550B6" w:rsidR="00CA7163" w:rsidRDefault="008E4E6F" w:rsidP="009B44E4">
      <w:pPr>
        <w:jc w:val="both"/>
      </w:pPr>
      <w:r>
        <w:t>Kohalike omavalituste valimised toimu</w:t>
      </w:r>
      <w:r w:rsidR="00C11E7D">
        <w:t>vad</w:t>
      </w:r>
      <w:r>
        <w:t xml:space="preserve"> </w:t>
      </w:r>
      <w:r w:rsidR="00674B7A">
        <w:t xml:space="preserve">vähem kui </w:t>
      </w:r>
      <w:r>
        <w:t xml:space="preserve">aasta pärast. </w:t>
      </w:r>
      <w:r w:rsidR="00674B7A">
        <w:t>Tegu on esimeste kohalike omavalitsuste valimistega p</w:t>
      </w:r>
      <w:r>
        <w:t xml:space="preserve">ärast </w:t>
      </w:r>
      <w:r w:rsidR="00FE299B">
        <w:t>24.</w:t>
      </w:r>
      <w:r w:rsidR="00674B7A">
        <w:t xml:space="preserve"> </w:t>
      </w:r>
      <w:r w:rsidR="00FE299B">
        <w:t>veebruari</w:t>
      </w:r>
      <w:r w:rsidR="00674B7A">
        <w:t>l 2022. aastal alanud Vene Föderatsiooni</w:t>
      </w:r>
      <w:r>
        <w:t xml:space="preserve"> täiemahulis</w:t>
      </w:r>
      <w:r w:rsidR="00674B7A">
        <w:t xml:space="preserve">t agressiooni </w:t>
      </w:r>
      <w:r>
        <w:t>Ukraina</w:t>
      </w:r>
      <w:r w:rsidR="00674B7A">
        <w:t xml:space="preserve"> vastu</w:t>
      </w:r>
      <w:r w:rsidR="00FE299B">
        <w:t xml:space="preserve">. Täna kehtiva seaduse järgi on neil valimistel </w:t>
      </w:r>
      <w:r>
        <w:t>valimisõigus</w:t>
      </w:r>
      <w:r w:rsidR="00FE299B">
        <w:t xml:space="preserve"> </w:t>
      </w:r>
      <w:r>
        <w:t>ka Vene Föderatsiooni kodanikel</w:t>
      </w:r>
      <w:r w:rsidR="00674B7A">
        <w:t xml:space="preserve">, kuigi Riigikogu </w:t>
      </w:r>
      <w:r w:rsidR="00C11E7D">
        <w:t xml:space="preserve">on </w:t>
      </w:r>
      <w:r w:rsidR="00674B7A">
        <w:t>tunnista</w:t>
      </w:r>
      <w:r w:rsidR="00C11E7D">
        <w:t>nud</w:t>
      </w:r>
      <w:r w:rsidR="00674B7A">
        <w:t xml:space="preserve"> </w:t>
      </w:r>
      <w:bookmarkStart w:id="0" w:name="_Hlk180580482"/>
      <w:r>
        <w:t>18.</w:t>
      </w:r>
      <w:r w:rsidR="00674B7A">
        <w:t xml:space="preserve"> </w:t>
      </w:r>
      <w:r>
        <w:t>oktoob</w:t>
      </w:r>
      <w:r w:rsidR="00674B7A">
        <w:t>ril</w:t>
      </w:r>
      <w:r>
        <w:t xml:space="preserve"> 2023 </w:t>
      </w:r>
      <w:r w:rsidR="00674B7A">
        <w:t xml:space="preserve">ülekaaluka häälteenamusega </w:t>
      </w:r>
      <w:r>
        <w:t xml:space="preserve">Venemaa režiimi terroristlikuks ja </w:t>
      </w:r>
      <w:bookmarkStart w:id="1" w:name="_Hlk180580742"/>
      <w:r>
        <w:t>Venemaa Föderatsiooni terrorismi toetavaks riigiks.</w:t>
      </w:r>
      <w:r w:rsidR="00FE299B">
        <w:t xml:space="preserve"> </w:t>
      </w:r>
    </w:p>
    <w:bookmarkEnd w:id="1"/>
    <w:p w14:paraId="3D170920" w14:textId="77777777" w:rsidR="00CA7163" w:rsidRDefault="00CA7163" w:rsidP="009B44E4">
      <w:pPr>
        <w:jc w:val="both"/>
      </w:pPr>
    </w:p>
    <w:bookmarkEnd w:id="0"/>
    <w:p w14:paraId="1546800D" w14:textId="7A460FA6" w:rsidR="00CA7163" w:rsidRDefault="00920FAC" w:rsidP="009B44E4">
      <w:pPr>
        <w:jc w:val="both"/>
      </w:pPr>
      <w:r>
        <w:t>Riigikogu</w:t>
      </w:r>
      <w:r w:rsidR="00FE299B">
        <w:t xml:space="preserve"> ülesanne on kooskõlas </w:t>
      </w:r>
      <w:r>
        <w:t>Eesti Vabariigi</w:t>
      </w:r>
      <w:r w:rsidR="00FE299B">
        <w:t xml:space="preserve"> põhiseaduse </w:t>
      </w:r>
      <w:r>
        <w:t>ja</w:t>
      </w:r>
      <w:r w:rsidR="00FE299B">
        <w:t xml:space="preserve"> rahvusvahelise õiguse normidega </w:t>
      </w:r>
      <w:r>
        <w:t>tagada</w:t>
      </w:r>
      <w:r w:rsidR="00FE299B">
        <w:t xml:space="preserve"> Eestis vabade</w:t>
      </w:r>
      <w:r>
        <w:t xml:space="preserve"> ja</w:t>
      </w:r>
      <w:r w:rsidR="00FE299B">
        <w:t xml:space="preserve"> sõltumatute valimiste </w:t>
      </w:r>
      <w:r>
        <w:t xml:space="preserve">läbiviimiseks vajalik </w:t>
      </w:r>
      <w:r w:rsidR="00FE299B">
        <w:t>seadusandlik keskkond, mis lähtub põhiseaduse preambulas</w:t>
      </w:r>
      <w:r w:rsidR="00574908">
        <w:t xml:space="preserve"> määratletud</w:t>
      </w:r>
      <w:r w:rsidR="00CA7163">
        <w:t xml:space="preserve"> </w:t>
      </w:r>
      <w:r w:rsidR="00FE299B">
        <w:t>Eesti rahva riiklik</w:t>
      </w:r>
      <w:r w:rsidR="00B12361">
        <w:t>u</w:t>
      </w:r>
      <w:r w:rsidR="00FE299B">
        <w:t xml:space="preserve"> enesemääramise </w:t>
      </w:r>
      <w:r w:rsidR="00C11E7D">
        <w:t xml:space="preserve">võõrandamatust </w:t>
      </w:r>
      <w:r w:rsidR="00FE299B">
        <w:t>õiguse</w:t>
      </w:r>
      <w:r w:rsidR="00C11E7D">
        <w:t>st</w:t>
      </w:r>
      <w:r w:rsidR="00FE299B">
        <w:t xml:space="preserve">. </w:t>
      </w:r>
      <w:r w:rsidR="00C11E7D">
        <w:t>Seega ei tohiks Venemaa k</w:t>
      </w:r>
      <w:r w:rsidR="00FE299B">
        <w:t>odanikel, kelle riik</w:t>
      </w:r>
      <w:r w:rsidR="00574908">
        <w:t>i</w:t>
      </w:r>
      <w:r w:rsidR="00FE299B">
        <w:t xml:space="preserve"> </w:t>
      </w:r>
      <w:r w:rsidR="00574908">
        <w:t>juhib</w:t>
      </w:r>
      <w:r w:rsidR="00FE299B">
        <w:t xml:space="preserve"> </w:t>
      </w:r>
      <w:r w:rsidR="00C11E7D">
        <w:t xml:space="preserve">praegu </w:t>
      </w:r>
      <w:r w:rsidR="00FE299B">
        <w:t>terroristlik režiim</w:t>
      </w:r>
      <w:r w:rsidR="00574908">
        <w:t>,</w:t>
      </w:r>
      <w:r w:rsidR="00FE299B">
        <w:t xml:space="preserve"> </w:t>
      </w:r>
      <w:r w:rsidR="0009745A">
        <w:t>säärase</w:t>
      </w:r>
      <w:r w:rsidR="00FE299B">
        <w:t xml:space="preserve"> režiimi </w:t>
      </w:r>
      <w:r w:rsidR="00C11E7D">
        <w:t>võimulpüsimise ajal olla</w:t>
      </w:r>
      <w:r w:rsidR="00FE299B">
        <w:t xml:space="preserve"> Eesti riigiasjades poliitilise kaasarääkimise õigust.</w:t>
      </w:r>
      <w:r w:rsidR="00CA7163">
        <w:t xml:space="preserve"> </w:t>
      </w:r>
    </w:p>
    <w:p w14:paraId="60E1B649" w14:textId="77777777" w:rsidR="00CA7163" w:rsidRDefault="00CA7163" w:rsidP="009B44E4">
      <w:pPr>
        <w:jc w:val="both"/>
      </w:pPr>
    </w:p>
    <w:p w14:paraId="65A4BADF" w14:textId="77777777" w:rsidR="008E4E6F" w:rsidRDefault="008E4E6F" w:rsidP="009B44E4">
      <w:pPr>
        <w:jc w:val="both"/>
        <w:rPr>
          <w:b/>
          <w:bCs/>
        </w:rPr>
      </w:pPr>
    </w:p>
    <w:p w14:paraId="7864688F" w14:textId="15C1F5AA" w:rsidR="00CA7163" w:rsidRPr="005E011F" w:rsidRDefault="00122DD1" w:rsidP="009B44E4">
      <w:pPr>
        <w:pStyle w:val="Loendilik"/>
        <w:numPr>
          <w:ilvl w:val="0"/>
          <w:numId w:val="2"/>
        </w:numPr>
        <w:jc w:val="both"/>
        <w:rPr>
          <w:b/>
          <w:bCs/>
        </w:rPr>
      </w:pPr>
      <w:r w:rsidRPr="005E011F">
        <w:rPr>
          <w:b/>
          <w:bCs/>
        </w:rPr>
        <w:t>Seaduse eesmärk</w:t>
      </w:r>
    </w:p>
    <w:p w14:paraId="4F13CF8B" w14:textId="77777777" w:rsidR="00CA7163" w:rsidRDefault="00CA7163" w:rsidP="009B44E4">
      <w:pPr>
        <w:jc w:val="both"/>
      </w:pPr>
    </w:p>
    <w:p w14:paraId="0E0AEB00" w14:textId="38B1667A" w:rsidR="00FE299B" w:rsidRDefault="00CA7163" w:rsidP="009B44E4">
      <w:pPr>
        <w:jc w:val="both"/>
      </w:pPr>
      <w:r>
        <w:t>Kodakondsus oma olemuselt on inimese ja riigi vaheline leping, side</w:t>
      </w:r>
      <w:r w:rsidR="0009745A">
        <w:t xml:space="preserve"> ja</w:t>
      </w:r>
      <w:r>
        <w:t xml:space="preserve"> lojaalsustunnistus. </w:t>
      </w:r>
      <w:r w:rsidR="0009745A">
        <w:t>Venemaa – Ukraina sõja ja Venemaast lähtuva julgeolekuohu kontekstis on oluline rõhutada, et Venemaa kodanike näol on ühemõtteliselt tegu Vene relvajõudude teenistuskohuslaste</w:t>
      </w:r>
      <w:r w:rsidR="002167C3">
        <w:t>ga</w:t>
      </w:r>
      <w:r w:rsidR="0009745A">
        <w:t>.</w:t>
      </w:r>
    </w:p>
    <w:p w14:paraId="0B7B3D4B" w14:textId="11EB2CAF" w:rsidR="00CA7163" w:rsidRDefault="00CA7163" w:rsidP="009B44E4">
      <w:pPr>
        <w:jc w:val="both"/>
      </w:pPr>
    </w:p>
    <w:p w14:paraId="34BAC4B9" w14:textId="06545F29" w:rsidR="00122DD1" w:rsidRPr="00FC7B15" w:rsidRDefault="00CA7163" w:rsidP="009B44E4">
      <w:pPr>
        <w:jc w:val="both"/>
      </w:pPr>
      <w:r>
        <w:t xml:space="preserve">Käesoleva seaduse eesmärk on minimaliseerida </w:t>
      </w:r>
      <w:r w:rsidR="0002439E">
        <w:t>Venemaa kodanike</w:t>
      </w:r>
      <w:r>
        <w:t xml:space="preserve"> mõju Eesti ühiskonna</w:t>
      </w:r>
      <w:r w:rsidR="00CE4B3A">
        <w:t xml:space="preserve"> poliitilistes</w:t>
      </w:r>
      <w:r>
        <w:t xml:space="preserve"> valikutes, </w:t>
      </w:r>
      <w:r w:rsidR="00CE4B3A">
        <w:t xml:space="preserve">kuni Riigikogu tunnistab, et Venemaa näol ei ole </w:t>
      </w:r>
      <w:r w:rsidR="002167C3">
        <w:t xml:space="preserve">enam </w:t>
      </w:r>
      <w:r w:rsidR="00CE4B3A">
        <w:t xml:space="preserve">tegemist terroristlikku režiimiga või otsustab </w:t>
      </w:r>
      <w:r w:rsidR="0002439E">
        <w:t xml:space="preserve">mingil </w:t>
      </w:r>
      <w:r w:rsidR="00CE4B3A">
        <w:t>muul põhjustel taastada nende kodanike valimisõigus</w:t>
      </w:r>
      <w:r w:rsidR="008326EC">
        <w:t>e</w:t>
      </w:r>
      <w:r w:rsidR="00CE4B3A">
        <w:t xml:space="preserve">. </w:t>
      </w:r>
      <w:r w:rsidR="00CC2064">
        <w:t xml:space="preserve">Ennekõike puudutab see neid kohalikke omavalitsusi, kus VF kodanikel on oluline kaal </w:t>
      </w:r>
      <w:r w:rsidR="00546A00">
        <w:t>omavalitsus</w:t>
      </w:r>
      <w:r w:rsidR="00CC2064">
        <w:t>juhtide valimisel ning sellest lähtuva</w:t>
      </w:r>
      <w:r w:rsidR="00546A00">
        <w:t>lt</w:t>
      </w:r>
      <w:r w:rsidR="00CC2064">
        <w:t xml:space="preserve"> </w:t>
      </w:r>
      <w:r w:rsidR="00546A00">
        <w:t xml:space="preserve">ka </w:t>
      </w:r>
      <w:r w:rsidR="00CC2064">
        <w:t xml:space="preserve">väärtusruumi kehtestamisel </w:t>
      </w:r>
      <w:r w:rsidR="00546A00">
        <w:t>ning</w:t>
      </w:r>
      <w:r w:rsidR="00CC2064">
        <w:t xml:space="preserve"> tulevikku puudutavate otsuste tegemisel. </w:t>
      </w:r>
      <w:r w:rsidR="00546A00">
        <w:t xml:space="preserve">Ühtlasi </w:t>
      </w:r>
      <w:r w:rsidR="00FC7B15">
        <w:t xml:space="preserve">vähendab see VF </w:t>
      </w:r>
      <w:r w:rsidR="00546A00">
        <w:t xml:space="preserve">võimaliku </w:t>
      </w:r>
      <w:r w:rsidR="00FC7B15">
        <w:t>mõjutustegevuse ulatust eesolevatel kohalikel valimistel</w:t>
      </w:r>
      <w:r w:rsidR="00CC2064">
        <w:t xml:space="preserve">. </w:t>
      </w:r>
    </w:p>
    <w:p w14:paraId="4B154376" w14:textId="09C9EB66" w:rsidR="008E4E6F" w:rsidRDefault="008E4E6F" w:rsidP="009B44E4">
      <w:pPr>
        <w:jc w:val="both"/>
        <w:rPr>
          <w:b/>
          <w:bCs/>
        </w:rPr>
      </w:pPr>
    </w:p>
    <w:p w14:paraId="22586041" w14:textId="77777777" w:rsidR="008E4E6F" w:rsidRDefault="008E4E6F" w:rsidP="009B44E4">
      <w:pPr>
        <w:jc w:val="both"/>
        <w:rPr>
          <w:b/>
          <w:bCs/>
        </w:rPr>
      </w:pPr>
    </w:p>
    <w:p w14:paraId="0221751E" w14:textId="3D4B9225" w:rsidR="00122DD1" w:rsidRPr="005E011F" w:rsidRDefault="00122DD1" w:rsidP="009B44E4">
      <w:pPr>
        <w:pStyle w:val="Loendilik"/>
        <w:numPr>
          <w:ilvl w:val="0"/>
          <w:numId w:val="2"/>
        </w:numPr>
        <w:jc w:val="both"/>
        <w:rPr>
          <w:b/>
          <w:bCs/>
        </w:rPr>
      </w:pPr>
      <w:r w:rsidRPr="005E011F">
        <w:rPr>
          <w:b/>
          <w:bCs/>
        </w:rPr>
        <w:t>Sisu ja võrdlev analüüs</w:t>
      </w:r>
    </w:p>
    <w:p w14:paraId="43B5589A" w14:textId="1F14E7BC" w:rsidR="00FC7B15" w:rsidRPr="005E011F" w:rsidRDefault="00FC7B15" w:rsidP="009B44E4">
      <w:pPr>
        <w:jc w:val="both"/>
      </w:pPr>
    </w:p>
    <w:p w14:paraId="000ADE55" w14:textId="571E99B2" w:rsidR="00FC7B15" w:rsidRPr="005E011F" w:rsidRDefault="00FC7B15" w:rsidP="009B44E4">
      <w:pPr>
        <w:pStyle w:val="Loendilik"/>
        <w:numPr>
          <w:ilvl w:val="1"/>
          <w:numId w:val="2"/>
        </w:numPr>
        <w:jc w:val="both"/>
      </w:pPr>
      <w:r w:rsidRPr="005E011F">
        <w:t>Tänases siseriikliku</w:t>
      </w:r>
      <w:r w:rsidR="00DB5592">
        <w:t>s</w:t>
      </w:r>
      <w:r w:rsidRPr="005E011F">
        <w:t xml:space="preserve"> seadusandluses on ennekõike asjassepuutuvateks säteteks EV põhiseadus</w:t>
      </w:r>
      <w:r w:rsidR="00DB5592">
        <w:t>e</w:t>
      </w:r>
      <w:r w:rsidRPr="005E011F">
        <w:t xml:space="preserve"> § 156 ja </w:t>
      </w:r>
      <w:r w:rsidR="005E011F" w:rsidRPr="005E011F">
        <w:t>kohalike omavalitsuste volikogude valimise seadus</w:t>
      </w:r>
      <w:r w:rsidR="00DB5592">
        <w:t>e</w:t>
      </w:r>
      <w:r w:rsidR="005E011F" w:rsidRPr="005E011F">
        <w:t xml:space="preserve"> (KOVVS) § 5. Olemuslikult seotud nende sätetega on ka põhiseaduse §11, mis üldse annab võimaluse õiguste piiramiseks. </w:t>
      </w:r>
      <w:r w:rsidR="00DC2710">
        <w:t>Tähtis</w:t>
      </w:r>
      <w:r w:rsidR="005E011F" w:rsidRPr="005E011F">
        <w:t xml:space="preserve"> on märkida, et kuivõrd Riigikohus on korduvalt rõhutanud valimisõiguse olemuslikku vastavust just põhiõigusele, on oluline piirangutest kõneleda just läbi põhiseadusest tuleneva õiguse. </w:t>
      </w:r>
    </w:p>
    <w:p w14:paraId="20CF7E0E" w14:textId="0899B273" w:rsidR="005E011F" w:rsidRDefault="005E011F" w:rsidP="009B44E4">
      <w:pPr>
        <w:jc w:val="both"/>
      </w:pPr>
    </w:p>
    <w:p w14:paraId="0B5F888C" w14:textId="77777777" w:rsidR="005E011F" w:rsidRDefault="005E011F" w:rsidP="009B44E4">
      <w:pPr>
        <w:jc w:val="both"/>
      </w:pPr>
    </w:p>
    <w:p w14:paraId="21A8176E" w14:textId="4AE56D23" w:rsidR="005E011F" w:rsidRPr="005E011F" w:rsidRDefault="005E011F" w:rsidP="009B44E4">
      <w:pPr>
        <w:jc w:val="both"/>
        <w:rPr>
          <w:i/>
          <w:iCs/>
          <w:sz w:val="20"/>
          <w:szCs w:val="20"/>
        </w:rPr>
      </w:pPr>
      <w:r w:rsidRPr="005E011F">
        <w:rPr>
          <w:i/>
          <w:iCs/>
          <w:sz w:val="20"/>
          <w:szCs w:val="20"/>
        </w:rPr>
        <w:t xml:space="preserve">Kehtivad redaktsioonid: </w:t>
      </w:r>
    </w:p>
    <w:p w14:paraId="7A5E8892" w14:textId="77777777" w:rsidR="005E011F" w:rsidRPr="005E011F" w:rsidRDefault="005E011F" w:rsidP="009B44E4">
      <w:pPr>
        <w:jc w:val="both"/>
        <w:rPr>
          <w:i/>
          <w:iCs/>
          <w:sz w:val="20"/>
          <w:szCs w:val="20"/>
        </w:rPr>
      </w:pPr>
    </w:p>
    <w:p w14:paraId="305DBA2F" w14:textId="4D088DD0" w:rsidR="005E011F" w:rsidRDefault="005E011F" w:rsidP="009B44E4">
      <w:pPr>
        <w:jc w:val="both"/>
        <w:rPr>
          <w:b/>
          <w:bCs/>
          <w:i/>
          <w:iCs/>
          <w:sz w:val="20"/>
          <w:szCs w:val="20"/>
        </w:rPr>
      </w:pPr>
      <w:r w:rsidRPr="005E011F">
        <w:rPr>
          <w:b/>
          <w:bCs/>
          <w:i/>
          <w:iCs/>
          <w:sz w:val="20"/>
          <w:szCs w:val="20"/>
        </w:rPr>
        <w:t>Põhiseadus</w:t>
      </w:r>
    </w:p>
    <w:p w14:paraId="63930C4A" w14:textId="1B4B4DA0" w:rsidR="005E011F" w:rsidRDefault="005E011F" w:rsidP="009B44E4">
      <w:pPr>
        <w:jc w:val="both"/>
        <w:rPr>
          <w:b/>
          <w:bCs/>
          <w:i/>
          <w:iCs/>
          <w:sz w:val="20"/>
          <w:szCs w:val="20"/>
        </w:rPr>
      </w:pPr>
    </w:p>
    <w:p w14:paraId="63A42207" w14:textId="77777777" w:rsidR="005E011F" w:rsidRPr="005E011F" w:rsidRDefault="005E011F" w:rsidP="009B44E4">
      <w:pPr>
        <w:jc w:val="both"/>
        <w:rPr>
          <w:i/>
          <w:iCs/>
          <w:sz w:val="20"/>
          <w:szCs w:val="20"/>
        </w:rPr>
      </w:pPr>
      <w:r w:rsidRPr="005E011F">
        <w:rPr>
          <w:rStyle w:val="Tugev"/>
          <w:rFonts w:ascii="Arial" w:hAnsi="Arial" w:cs="Arial"/>
          <w:b w:val="0"/>
          <w:bCs w:val="0"/>
          <w:i/>
          <w:iCs/>
          <w:color w:val="202020"/>
          <w:sz w:val="20"/>
          <w:szCs w:val="20"/>
          <w:bdr w:val="none" w:sz="0" w:space="0" w:color="auto" w:frame="1"/>
        </w:rPr>
        <w:t>§ 11</w:t>
      </w:r>
      <w:r w:rsidRPr="005E011F">
        <w:rPr>
          <w:rStyle w:val="Tugev"/>
          <w:rFonts w:ascii="Arial" w:hAnsi="Arial" w:cs="Arial"/>
          <w:i/>
          <w:iCs/>
          <w:color w:val="202020"/>
          <w:sz w:val="20"/>
          <w:szCs w:val="20"/>
          <w:bdr w:val="none" w:sz="0" w:space="0" w:color="auto" w:frame="1"/>
        </w:rPr>
        <w:t>.</w:t>
      </w:r>
      <w:bookmarkStart w:id="2" w:name="para11"/>
      <w:r w:rsidRPr="005E011F">
        <w:rPr>
          <w:rFonts w:ascii="Arial" w:hAnsi="Arial" w:cs="Arial"/>
          <w:i/>
          <w:iCs/>
          <w:color w:val="0061AA"/>
          <w:sz w:val="20"/>
          <w:szCs w:val="20"/>
          <w:bdr w:val="none" w:sz="0" w:space="0" w:color="auto" w:frame="1"/>
        </w:rPr>
        <w:t> </w:t>
      </w:r>
      <w:r w:rsidRPr="005E011F">
        <w:rPr>
          <w:rStyle w:val="apple-converted-space"/>
          <w:rFonts w:ascii="Arial" w:hAnsi="Arial" w:cs="Arial"/>
          <w:i/>
          <w:iCs/>
          <w:color w:val="0061AA"/>
          <w:sz w:val="20"/>
          <w:szCs w:val="20"/>
          <w:bdr w:val="none" w:sz="0" w:space="0" w:color="auto" w:frame="1"/>
        </w:rPr>
        <w:t> </w:t>
      </w:r>
      <w:bookmarkStart w:id="3" w:name="para11lg1"/>
      <w:bookmarkEnd w:id="2"/>
      <w:r w:rsidRPr="005E011F">
        <w:rPr>
          <w:rFonts w:ascii="Arial" w:hAnsi="Arial" w:cs="Arial"/>
          <w:i/>
          <w:iCs/>
          <w:color w:val="0061AA"/>
          <w:sz w:val="20"/>
          <w:szCs w:val="20"/>
          <w:bdr w:val="none" w:sz="0" w:space="0" w:color="auto" w:frame="1"/>
        </w:rPr>
        <w:t> </w:t>
      </w:r>
      <w:r w:rsidRPr="005E011F">
        <w:rPr>
          <w:rStyle w:val="apple-converted-space"/>
          <w:rFonts w:ascii="Arial" w:hAnsi="Arial" w:cs="Arial"/>
          <w:i/>
          <w:iCs/>
          <w:color w:val="0061AA"/>
          <w:sz w:val="20"/>
          <w:szCs w:val="20"/>
          <w:bdr w:val="none" w:sz="0" w:space="0" w:color="auto" w:frame="1"/>
        </w:rPr>
        <w:t> </w:t>
      </w:r>
      <w:bookmarkEnd w:id="3"/>
      <w:r w:rsidRPr="005E011F">
        <w:rPr>
          <w:rFonts w:ascii="Arial" w:hAnsi="Arial" w:cs="Arial"/>
          <w:i/>
          <w:iCs/>
          <w:color w:val="202020"/>
          <w:sz w:val="20"/>
          <w:szCs w:val="20"/>
          <w:shd w:val="clear" w:color="auto" w:fill="FFFFFF"/>
        </w:rPr>
        <w:t>Õigusi ja vabadusi tohib piirata ainult kooskõlas põhiseadusega. Need piirangud peavad olema demokraatlikus ühiskonnas vajalikud ega tohi moonutada piiratavate õiguste ja vabaduste olemust.</w:t>
      </w:r>
    </w:p>
    <w:p w14:paraId="549B5E2A" w14:textId="77777777" w:rsidR="005E011F" w:rsidRPr="005E011F" w:rsidRDefault="005E011F" w:rsidP="009B44E4">
      <w:pPr>
        <w:jc w:val="both"/>
        <w:rPr>
          <w:i/>
          <w:iCs/>
          <w:sz w:val="20"/>
          <w:szCs w:val="20"/>
        </w:rPr>
      </w:pPr>
    </w:p>
    <w:p w14:paraId="5B35EEF3" w14:textId="77777777" w:rsidR="005E011F" w:rsidRPr="005E011F" w:rsidRDefault="005E011F" w:rsidP="009B44E4">
      <w:pPr>
        <w:pStyle w:val="paragraph"/>
        <w:spacing w:before="0" w:beforeAutospacing="0" w:after="0" w:afterAutospacing="0"/>
        <w:jc w:val="both"/>
        <w:rPr>
          <w:rFonts w:ascii="Arial" w:hAnsi="Arial" w:cs="Arial"/>
          <w:i/>
          <w:iCs/>
          <w:color w:val="202020"/>
          <w:sz w:val="20"/>
          <w:szCs w:val="20"/>
        </w:rPr>
      </w:pPr>
      <w:r w:rsidRPr="005E011F">
        <w:rPr>
          <w:rStyle w:val="Tugev"/>
          <w:rFonts w:ascii="Arial" w:hAnsi="Arial" w:cs="Arial"/>
          <w:b w:val="0"/>
          <w:bCs w:val="0"/>
          <w:i/>
          <w:iCs/>
          <w:color w:val="202020"/>
          <w:sz w:val="20"/>
          <w:szCs w:val="20"/>
          <w:bdr w:val="none" w:sz="0" w:space="0" w:color="auto" w:frame="1"/>
        </w:rPr>
        <w:t>§ 156.</w:t>
      </w:r>
      <w:bookmarkStart w:id="4" w:name="para156"/>
      <w:r w:rsidRPr="005E011F">
        <w:rPr>
          <w:rFonts w:ascii="Arial" w:hAnsi="Arial" w:cs="Arial"/>
          <w:i/>
          <w:iCs/>
          <w:color w:val="0061AA"/>
          <w:sz w:val="20"/>
          <w:szCs w:val="20"/>
          <w:bdr w:val="none" w:sz="0" w:space="0" w:color="auto" w:frame="1"/>
        </w:rPr>
        <w:t> </w:t>
      </w:r>
      <w:r w:rsidRPr="005E011F">
        <w:rPr>
          <w:rStyle w:val="apple-converted-space"/>
          <w:rFonts w:ascii="Arial" w:hAnsi="Arial" w:cs="Arial"/>
          <w:i/>
          <w:iCs/>
          <w:color w:val="0061AA"/>
          <w:sz w:val="20"/>
          <w:szCs w:val="20"/>
          <w:bdr w:val="none" w:sz="0" w:space="0" w:color="auto" w:frame="1"/>
        </w:rPr>
        <w:t> </w:t>
      </w:r>
      <w:bookmarkStart w:id="5" w:name="para156lg1"/>
      <w:bookmarkEnd w:id="4"/>
      <w:r w:rsidRPr="005E011F">
        <w:rPr>
          <w:rFonts w:ascii="Arial" w:hAnsi="Arial" w:cs="Arial"/>
          <w:i/>
          <w:iCs/>
          <w:color w:val="0061AA"/>
          <w:sz w:val="20"/>
          <w:szCs w:val="20"/>
          <w:bdr w:val="none" w:sz="0" w:space="0" w:color="auto" w:frame="1"/>
        </w:rPr>
        <w:t> </w:t>
      </w:r>
      <w:r w:rsidRPr="005E011F">
        <w:rPr>
          <w:rStyle w:val="apple-converted-space"/>
          <w:rFonts w:ascii="Arial" w:hAnsi="Arial" w:cs="Arial"/>
          <w:i/>
          <w:iCs/>
          <w:color w:val="0061AA"/>
          <w:sz w:val="20"/>
          <w:szCs w:val="20"/>
          <w:bdr w:val="none" w:sz="0" w:space="0" w:color="auto" w:frame="1"/>
        </w:rPr>
        <w:t> </w:t>
      </w:r>
      <w:bookmarkEnd w:id="5"/>
      <w:r w:rsidRPr="005E011F">
        <w:rPr>
          <w:rFonts w:ascii="Arial" w:hAnsi="Arial" w:cs="Arial"/>
          <w:i/>
          <w:iCs/>
          <w:color w:val="202020"/>
          <w:sz w:val="20"/>
          <w:szCs w:val="20"/>
        </w:rPr>
        <w:t>Kohaliku omavalitsuse esinduskogu on volikogu, kes valitakse vabadel valimistel neljaks aastaks. Seadusega võib volikogu volituste perioodi lühendada seoses kohaliku omavalitsuse üksuste ühinemise või jagunemisega või volikogu tegutsemisvõimetusega. Valimised on üldised, ühetaolised ja otsesed. Hääletamine on salajane.</w:t>
      </w:r>
      <w:r w:rsidRPr="005E011F">
        <w:rPr>
          <w:rFonts w:ascii="Arial" w:hAnsi="Arial" w:cs="Arial"/>
          <w:i/>
          <w:iCs/>
          <w:color w:val="202020"/>
          <w:sz w:val="20"/>
          <w:szCs w:val="20"/>
        </w:rPr>
        <w:br/>
      </w:r>
      <w:r w:rsidRPr="005E011F">
        <w:rPr>
          <w:rStyle w:val="mm"/>
          <w:rFonts w:ascii="Arial" w:hAnsi="Arial" w:cs="Arial"/>
          <w:i/>
          <w:iCs/>
          <w:color w:val="202020"/>
          <w:sz w:val="20"/>
          <w:szCs w:val="20"/>
          <w:bdr w:val="none" w:sz="0" w:space="0" w:color="auto" w:frame="1"/>
        </w:rPr>
        <w:t>[</w:t>
      </w:r>
      <w:hyperlink r:id="rId5" w:history="1">
        <w:r w:rsidRPr="005E011F">
          <w:rPr>
            <w:rStyle w:val="Hperlink"/>
            <w:rFonts w:ascii="Arial" w:hAnsi="Arial" w:cs="Arial"/>
            <w:i/>
            <w:iCs/>
            <w:color w:val="551A8B"/>
            <w:sz w:val="20"/>
            <w:szCs w:val="20"/>
            <w:u w:val="none"/>
            <w:bdr w:val="none" w:sz="0" w:space="0" w:color="auto" w:frame="1"/>
          </w:rPr>
          <w:t>RT I 2003, 29, 174</w:t>
        </w:r>
      </w:hyperlink>
      <w:r w:rsidRPr="005E011F">
        <w:rPr>
          <w:rStyle w:val="apple-converted-space"/>
          <w:rFonts w:ascii="Arial" w:hAnsi="Arial" w:cs="Arial"/>
          <w:i/>
          <w:iCs/>
          <w:color w:val="202020"/>
          <w:sz w:val="20"/>
          <w:szCs w:val="20"/>
          <w:bdr w:val="none" w:sz="0" w:space="0" w:color="auto" w:frame="1"/>
        </w:rPr>
        <w:t> </w:t>
      </w:r>
      <w:r w:rsidRPr="005E011F">
        <w:rPr>
          <w:rStyle w:val="mm"/>
          <w:rFonts w:ascii="Arial" w:hAnsi="Arial" w:cs="Arial"/>
          <w:i/>
          <w:iCs/>
          <w:color w:val="202020"/>
          <w:sz w:val="20"/>
          <w:szCs w:val="20"/>
          <w:bdr w:val="none" w:sz="0" w:space="0" w:color="auto" w:frame="1"/>
        </w:rPr>
        <w:t>- jõust. 17.10.2005]</w:t>
      </w:r>
      <w:r w:rsidRPr="005E011F">
        <w:rPr>
          <w:rStyle w:val="apple-converted-space"/>
          <w:rFonts w:ascii="Arial" w:hAnsi="Arial" w:cs="Arial"/>
          <w:i/>
          <w:iCs/>
          <w:color w:val="202020"/>
          <w:sz w:val="20"/>
          <w:szCs w:val="20"/>
          <w:bdr w:val="none" w:sz="0" w:space="0" w:color="auto" w:frame="1"/>
        </w:rPr>
        <w:t> </w:t>
      </w:r>
    </w:p>
    <w:p w14:paraId="3F1CB47F" w14:textId="77777777" w:rsidR="005E011F" w:rsidRPr="005E011F" w:rsidRDefault="005E011F" w:rsidP="009B44E4">
      <w:pPr>
        <w:pStyle w:val="Normaallaadveeb"/>
        <w:spacing w:before="0" w:beforeAutospacing="0" w:after="0" w:afterAutospacing="0"/>
        <w:jc w:val="both"/>
        <w:rPr>
          <w:rFonts w:ascii="Arial" w:hAnsi="Arial" w:cs="Arial"/>
          <w:i/>
          <w:iCs/>
          <w:color w:val="202020"/>
          <w:sz w:val="20"/>
          <w:szCs w:val="20"/>
        </w:rPr>
      </w:pPr>
      <w:bookmarkStart w:id="6" w:name="para156lg2"/>
      <w:r w:rsidRPr="005E011F">
        <w:rPr>
          <w:rFonts w:ascii="Arial" w:hAnsi="Arial" w:cs="Arial"/>
          <w:i/>
          <w:iCs/>
          <w:color w:val="0061AA"/>
          <w:sz w:val="20"/>
          <w:szCs w:val="20"/>
          <w:bdr w:val="none" w:sz="0" w:space="0" w:color="auto" w:frame="1"/>
        </w:rPr>
        <w:t> </w:t>
      </w:r>
      <w:r w:rsidRPr="005E011F">
        <w:rPr>
          <w:rStyle w:val="apple-converted-space"/>
          <w:rFonts w:ascii="Arial" w:hAnsi="Arial" w:cs="Arial"/>
          <w:i/>
          <w:iCs/>
          <w:color w:val="0061AA"/>
          <w:sz w:val="20"/>
          <w:szCs w:val="20"/>
          <w:bdr w:val="none" w:sz="0" w:space="0" w:color="auto" w:frame="1"/>
        </w:rPr>
        <w:t> </w:t>
      </w:r>
      <w:bookmarkEnd w:id="6"/>
      <w:r w:rsidRPr="005E011F">
        <w:rPr>
          <w:rFonts w:ascii="Arial" w:hAnsi="Arial" w:cs="Arial"/>
          <w:i/>
          <w:iCs/>
          <w:color w:val="202020"/>
          <w:sz w:val="20"/>
          <w:szCs w:val="20"/>
        </w:rPr>
        <w:t>Kohaliku omavalitsuse volikogu valimistel on seaduses ettenähtud tingimustel hääleõiguslikud selle omavalitsuse maa-alal püsivalt elavad isikud, kes on vähemalt kuusteist aastat vanad.</w:t>
      </w:r>
      <w:r w:rsidRPr="005E011F">
        <w:rPr>
          <w:rFonts w:ascii="Arial" w:hAnsi="Arial" w:cs="Arial"/>
          <w:i/>
          <w:iCs/>
          <w:color w:val="202020"/>
          <w:sz w:val="20"/>
          <w:szCs w:val="20"/>
        </w:rPr>
        <w:br/>
      </w:r>
      <w:r w:rsidRPr="005E011F">
        <w:rPr>
          <w:rStyle w:val="mm"/>
          <w:rFonts w:ascii="Arial" w:hAnsi="Arial" w:cs="Arial"/>
          <w:i/>
          <w:iCs/>
          <w:color w:val="202020"/>
          <w:sz w:val="20"/>
          <w:szCs w:val="20"/>
          <w:bdr w:val="none" w:sz="0" w:space="0" w:color="auto" w:frame="1"/>
        </w:rPr>
        <w:t>[</w:t>
      </w:r>
      <w:hyperlink r:id="rId6" w:history="1">
        <w:r w:rsidRPr="005E011F">
          <w:rPr>
            <w:rStyle w:val="Hperlink"/>
            <w:rFonts w:ascii="Arial" w:hAnsi="Arial" w:cs="Arial"/>
            <w:i/>
            <w:iCs/>
            <w:color w:val="551A8B"/>
            <w:sz w:val="20"/>
            <w:szCs w:val="20"/>
            <w:u w:val="none"/>
            <w:bdr w:val="none" w:sz="0" w:space="0" w:color="auto" w:frame="1"/>
          </w:rPr>
          <w:t>RT I, 15.05.2015, 1</w:t>
        </w:r>
      </w:hyperlink>
      <w:r w:rsidRPr="005E011F">
        <w:rPr>
          <w:rStyle w:val="apple-converted-space"/>
          <w:rFonts w:ascii="Arial" w:hAnsi="Arial" w:cs="Arial"/>
          <w:i/>
          <w:iCs/>
          <w:color w:val="202020"/>
          <w:sz w:val="20"/>
          <w:szCs w:val="20"/>
          <w:bdr w:val="none" w:sz="0" w:space="0" w:color="auto" w:frame="1"/>
        </w:rPr>
        <w:t> </w:t>
      </w:r>
      <w:r w:rsidRPr="005E011F">
        <w:rPr>
          <w:rStyle w:val="mm"/>
          <w:rFonts w:ascii="Arial" w:hAnsi="Arial" w:cs="Arial"/>
          <w:i/>
          <w:iCs/>
          <w:color w:val="202020"/>
          <w:sz w:val="20"/>
          <w:szCs w:val="20"/>
          <w:bdr w:val="none" w:sz="0" w:space="0" w:color="auto" w:frame="1"/>
        </w:rPr>
        <w:t>- jõust. 13.08.2015]</w:t>
      </w:r>
    </w:p>
    <w:p w14:paraId="1B0FFE11" w14:textId="6B06211F" w:rsidR="005E011F" w:rsidRDefault="005E011F" w:rsidP="009B44E4">
      <w:pPr>
        <w:jc w:val="both"/>
        <w:rPr>
          <w:i/>
          <w:iCs/>
          <w:sz w:val="20"/>
          <w:szCs w:val="20"/>
        </w:rPr>
      </w:pPr>
    </w:p>
    <w:p w14:paraId="6531A04A" w14:textId="77777777" w:rsidR="005E011F" w:rsidRPr="005E011F" w:rsidRDefault="005E011F" w:rsidP="009B44E4">
      <w:pPr>
        <w:jc w:val="both"/>
        <w:rPr>
          <w:b/>
          <w:bCs/>
          <w:i/>
          <w:iCs/>
          <w:sz w:val="20"/>
          <w:szCs w:val="20"/>
        </w:rPr>
      </w:pPr>
    </w:p>
    <w:p w14:paraId="0AE21F2A" w14:textId="4393C592" w:rsidR="00FC7B15" w:rsidRPr="005E011F" w:rsidRDefault="005E011F" w:rsidP="009B44E4">
      <w:pPr>
        <w:jc w:val="both"/>
        <w:rPr>
          <w:b/>
          <w:bCs/>
          <w:i/>
          <w:iCs/>
          <w:sz w:val="20"/>
          <w:szCs w:val="20"/>
        </w:rPr>
      </w:pPr>
      <w:r w:rsidRPr="005E011F">
        <w:rPr>
          <w:b/>
          <w:bCs/>
          <w:i/>
          <w:iCs/>
          <w:sz w:val="20"/>
          <w:szCs w:val="20"/>
        </w:rPr>
        <w:t>Kohalike omavalitsuste volikogude valimise seadus</w:t>
      </w:r>
    </w:p>
    <w:p w14:paraId="6316399A" w14:textId="66ACAD46" w:rsidR="00FC7B15" w:rsidRPr="005E011F" w:rsidRDefault="00FC7B15" w:rsidP="009B44E4">
      <w:pPr>
        <w:jc w:val="both"/>
        <w:rPr>
          <w:i/>
          <w:iCs/>
          <w:sz w:val="20"/>
          <w:szCs w:val="20"/>
        </w:rPr>
      </w:pPr>
    </w:p>
    <w:p w14:paraId="1E59DB75" w14:textId="77777777" w:rsidR="00FC7B15" w:rsidRPr="005E011F" w:rsidRDefault="00FC7B15" w:rsidP="009B44E4">
      <w:pPr>
        <w:jc w:val="both"/>
        <w:outlineLvl w:val="2"/>
        <w:rPr>
          <w:rFonts w:ascii="Arial" w:eastAsia="Times New Roman" w:hAnsi="Arial" w:cs="Arial"/>
          <w:i/>
          <w:iCs/>
          <w:color w:val="000000"/>
          <w:sz w:val="20"/>
          <w:szCs w:val="20"/>
          <w:lang w:eastAsia="en-GB"/>
        </w:rPr>
      </w:pPr>
      <w:r w:rsidRPr="005E011F">
        <w:rPr>
          <w:rFonts w:ascii="Arial" w:eastAsia="Times New Roman" w:hAnsi="Arial" w:cs="Arial"/>
          <w:i/>
          <w:iCs/>
          <w:color w:val="000000"/>
          <w:sz w:val="20"/>
          <w:szCs w:val="20"/>
          <w:bdr w:val="none" w:sz="0" w:space="0" w:color="auto" w:frame="1"/>
          <w:lang w:eastAsia="en-GB"/>
        </w:rPr>
        <w:t>§ 5. </w:t>
      </w:r>
      <w:r w:rsidRPr="005E011F">
        <w:rPr>
          <w:rFonts w:ascii="Arial" w:eastAsia="Times New Roman" w:hAnsi="Arial" w:cs="Arial"/>
          <w:i/>
          <w:iCs/>
          <w:color w:val="0061AA"/>
          <w:sz w:val="20"/>
          <w:szCs w:val="20"/>
          <w:bdr w:val="none" w:sz="0" w:space="0" w:color="auto" w:frame="1"/>
          <w:lang w:eastAsia="en-GB"/>
        </w:rPr>
        <w:t>  </w:t>
      </w:r>
      <w:r w:rsidRPr="005E011F">
        <w:rPr>
          <w:rFonts w:ascii="Arial" w:eastAsia="Times New Roman" w:hAnsi="Arial" w:cs="Arial"/>
          <w:i/>
          <w:iCs/>
          <w:color w:val="000000"/>
          <w:sz w:val="20"/>
          <w:szCs w:val="20"/>
          <w:lang w:eastAsia="en-GB"/>
        </w:rPr>
        <w:t>Hääletamis- ja kandideerimisõigus</w:t>
      </w:r>
    </w:p>
    <w:p w14:paraId="7844DBFC" w14:textId="77777777" w:rsidR="00FC7B15" w:rsidRPr="005E011F" w:rsidRDefault="00FC7B15" w:rsidP="009B44E4">
      <w:pPr>
        <w:jc w:val="both"/>
        <w:outlineLvl w:val="2"/>
        <w:rPr>
          <w:rFonts w:ascii="Arial" w:eastAsia="Times New Roman" w:hAnsi="Arial" w:cs="Arial"/>
          <w:i/>
          <w:iCs/>
          <w:color w:val="000000"/>
          <w:sz w:val="20"/>
          <w:szCs w:val="20"/>
          <w:lang w:eastAsia="en-GB"/>
        </w:rPr>
      </w:pPr>
    </w:p>
    <w:p w14:paraId="04B85381" w14:textId="77777777" w:rsidR="00FC7B15" w:rsidRPr="005E011F" w:rsidRDefault="00FC7B15" w:rsidP="009B44E4">
      <w:pPr>
        <w:jc w:val="both"/>
        <w:rPr>
          <w:rFonts w:ascii="Arial" w:eastAsia="Times New Roman" w:hAnsi="Arial" w:cs="Arial"/>
          <w:i/>
          <w:iCs/>
          <w:color w:val="202020"/>
          <w:sz w:val="20"/>
          <w:szCs w:val="20"/>
          <w:lang w:eastAsia="en-GB"/>
        </w:rPr>
      </w:pPr>
      <w:r w:rsidRPr="005E011F">
        <w:rPr>
          <w:rFonts w:ascii="Arial" w:eastAsia="Times New Roman" w:hAnsi="Arial" w:cs="Arial"/>
          <w:i/>
          <w:iCs/>
          <w:color w:val="0061AA"/>
          <w:sz w:val="20"/>
          <w:szCs w:val="20"/>
          <w:bdr w:val="none" w:sz="0" w:space="0" w:color="auto" w:frame="1"/>
          <w:lang w:eastAsia="en-GB"/>
        </w:rPr>
        <w:t>  </w:t>
      </w:r>
      <w:r w:rsidRPr="005E011F">
        <w:rPr>
          <w:rFonts w:ascii="Arial" w:eastAsia="Times New Roman" w:hAnsi="Arial" w:cs="Arial"/>
          <w:i/>
          <w:iCs/>
          <w:color w:val="202020"/>
          <w:sz w:val="20"/>
          <w:szCs w:val="20"/>
          <w:lang w:eastAsia="en-GB"/>
        </w:rPr>
        <w:t>(1) Hääletamisõigus on Eesti kodanikul ja Euroopa Liidu kodanikul, kes on valimispäevaks saanud 16-aastaseks ja kelle püsiv elukoht, see on elukoht, mille aadressiandmed on kantud Eesti rahvastikuregistrisse (edaspidi </w:t>
      </w:r>
      <w:r w:rsidRPr="005E011F">
        <w:rPr>
          <w:rFonts w:ascii="Arial" w:eastAsia="Times New Roman" w:hAnsi="Arial" w:cs="Arial"/>
          <w:i/>
          <w:iCs/>
          <w:color w:val="202020"/>
          <w:sz w:val="20"/>
          <w:szCs w:val="20"/>
          <w:bdr w:val="none" w:sz="0" w:space="0" w:color="auto" w:frame="1"/>
          <w:lang w:eastAsia="en-GB"/>
        </w:rPr>
        <w:t>rahvastikuregister</w:t>
      </w:r>
      <w:r w:rsidRPr="005E011F">
        <w:rPr>
          <w:rFonts w:ascii="Arial" w:eastAsia="Times New Roman" w:hAnsi="Arial" w:cs="Arial"/>
          <w:i/>
          <w:iCs/>
          <w:color w:val="202020"/>
          <w:sz w:val="20"/>
          <w:szCs w:val="20"/>
          <w:lang w:eastAsia="en-GB"/>
        </w:rPr>
        <w:t>), asub vastavas vallas või linnas.</w:t>
      </w:r>
      <w:r w:rsidRPr="005E011F">
        <w:rPr>
          <w:rFonts w:ascii="Arial" w:eastAsia="Times New Roman" w:hAnsi="Arial" w:cs="Arial"/>
          <w:i/>
          <w:iCs/>
          <w:color w:val="202020"/>
          <w:sz w:val="20"/>
          <w:szCs w:val="20"/>
          <w:lang w:eastAsia="en-GB"/>
        </w:rPr>
        <w:br/>
      </w:r>
      <w:r w:rsidRPr="005E011F">
        <w:rPr>
          <w:rFonts w:ascii="Arial" w:eastAsia="Times New Roman" w:hAnsi="Arial" w:cs="Arial"/>
          <w:i/>
          <w:iCs/>
          <w:color w:val="202020"/>
          <w:sz w:val="20"/>
          <w:szCs w:val="20"/>
          <w:bdr w:val="none" w:sz="0" w:space="0" w:color="auto" w:frame="1"/>
          <w:lang w:eastAsia="en-GB"/>
        </w:rPr>
        <w:t>[</w:t>
      </w:r>
      <w:hyperlink r:id="rId7" w:history="1">
        <w:r w:rsidRPr="005E011F">
          <w:rPr>
            <w:rFonts w:ascii="Arial" w:eastAsia="Times New Roman" w:hAnsi="Arial" w:cs="Arial"/>
            <w:i/>
            <w:iCs/>
            <w:color w:val="551A8B"/>
            <w:sz w:val="20"/>
            <w:szCs w:val="20"/>
            <w:u w:val="single"/>
            <w:bdr w:val="none" w:sz="0" w:space="0" w:color="auto" w:frame="1"/>
            <w:lang w:eastAsia="en-GB"/>
          </w:rPr>
          <w:t>RT I, 22.01.2016, 7</w:t>
        </w:r>
      </w:hyperlink>
      <w:r w:rsidRPr="005E011F">
        <w:rPr>
          <w:rFonts w:ascii="Arial" w:eastAsia="Times New Roman" w:hAnsi="Arial" w:cs="Arial"/>
          <w:i/>
          <w:iCs/>
          <w:color w:val="202020"/>
          <w:sz w:val="20"/>
          <w:szCs w:val="20"/>
          <w:bdr w:val="none" w:sz="0" w:space="0" w:color="auto" w:frame="1"/>
          <w:lang w:eastAsia="en-GB"/>
        </w:rPr>
        <w:t> - jõust. 01.02.2016] </w:t>
      </w:r>
    </w:p>
    <w:p w14:paraId="2E682034" w14:textId="77777777" w:rsidR="00FC7B15" w:rsidRPr="005E011F" w:rsidRDefault="00FC7B15" w:rsidP="009B44E4">
      <w:pPr>
        <w:jc w:val="both"/>
        <w:rPr>
          <w:rFonts w:ascii="Arial" w:eastAsia="Times New Roman" w:hAnsi="Arial" w:cs="Arial"/>
          <w:i/>
          <w:iCs/>
          <w:color w:val="202020"/>
          <w:sz w:val="20"/>
          <w:szCs w:val="20"/>
          <w:lang w:eastAsia="en-GB"/>
        </w:rPr>
      </w:pPr>
      <w:r w:rsidRPr="005E011F">
        <w:rPr>
          <w:rFonts w:ascii="Arial" w:eastAsia="Times New Roman" w:hAnsi="Arial" w:cs="Arial"/>
          <w:b/>
          <w:bCs/>
          <w:i/>
          <w:iCs/>
          <w:color w:val="0061AA"/>
          <w:sz w:val="20"/>
          <w:szCs w:val="20"/>
          <w:bdr w:val="none" w:sz="0" w:space="0" w:color="auto" w:frame="1"/>
          <w:lang w:eastAsia="en-GB"/>
        </w:rPr>
        <w:t>  </w:t>
      </w:r>
      <w:r w:rsidRPr="005E011F">
        <w:rPr>
          <w:rFonts w:ascii="Arial" w:eastAsia="Times New Roman" w:hAnsi="Arial" w:cs="Arial"/>
          <w:b/>
          <w:bCs/>
          <w:i/>
          <w:iCs/>
          <w:color w:val="202020"/>
          <w:sz w:val="20"/>
          <w:szCs w:val="20"/>
          <w:lang w:eastAsia="en-GB"/>
        </w:rPr>
        <w:t>(2) Hääletamisõigus on välismaalasel, kes vastab käesoleva paragrahvi lõikes 1 nimetatud tingimustele ja kes:</w:t>
      </w:r>
      <w:r w:rsidRPr="005E011F">
        <w:rPr>
          <w:rFonts w:ascii="Arial" w:eastAsia="Times New Roman" w:hAnsi="Arial" w:cs="Arial"/>
          <w:b/>
          <w:bCs/>
          <w:i/>
          <w:iCs/>
          <w:color w:val="202020"/>
          <w:sz w:val="20"/>
          <w:szCs w:val="20"/>
          <w:lang w:eastAsia="en-GB"/>
        </w:rPr>
        <w:br/>
      </w:r>
      <w:r w:rsidRPr="005E011F">
        <w:rPr>
          <w:rFonts w:ascii="Arial" w:eastAsia="Times New Roman" w:hAnsi="Arial" w:cs="Arial"/>
          <w:b/>
          <w:bCs/>
          <w:i/>
          <w:iCs/>
          <w:color w:val="0061AA"/>
          <w:sz w:val="20"/>
          <w:szCs w:val="20"/>
          <w:bdr w:val="none" w:sz="0" w:space="0" w:color="auto" w:frame="1"/>
          <w:lang w:eastAsia="en-GB"/>
        </w:rPr>
        <w:t>  </w:t>
      </w:r>
      <w:r w:rsidRPr="005E011F">
        <w:rPr>
          <w:rFonts w:ascii="Arial" w:eastAsia="Times New Roman" w:hAnsi="Arial" w:cs="Arial"/>
          <w:b/>
          <w:bCs/>
          <w:i/>
          <w:iCs/>
          <w:color w:val="202020"/>
          <w:sz w:val="20"/>
          <w:szCs w:val="20"/>
          <w:lang w:eastAsia="en-GB"/>
        </w:rPr>
        <w:t>1) elab Eestis pikaajalise elaniku elamisloa või alalise elamisõiguse alusel</w:t>
      </w:r>
      <w:r w:rsidRPr="005E011F">
        <w:rPr>
          <w:rFonts w:ascii="Arial" w:eastAsia="Times New Roman" w:hAnsi="Arial" w:cs="Arial"/>
          <w:i/>
          <w:iCs/>
          <w:color w:val="202020"/>
          <w:sz w:val="20"/>
          <w:szCs w:val="20"/>
          <w:lang w:eastAsia="en-GB"/>
        </w:rPr>
        <w:t>.</w:t>
      </w:r>
      <w:r w:rsidRPr="005E011F">
        <w:rPr>
          <w:rFonts w:ascii="Arial" w:eastAsia="Times New Roman" w:hAnsi="Arial" w:cs="Arial"/>
          <w:i/>
          <w:iCs/>
          <w:color w:val="202020"/>
          <w:sz w:val="20"/>
          <w:szCs w:val="20"/>
          <w:lang w:eastAsia="en-GB"/>
        </w:rPr>
        <w:br/>
      </w:r>
      <w:r w:rsidRPr="005E011F">
        <w:rPr>
          <w:rFonts w:ascii="Arial" w:eastAsia="Times New Roman" w:hAnsi="Arial" w:cs="Arial"/>
          <w:i/>
          <w:iCs/>
          <w:color w:val="0061AA"/>
          <w:sz w:val="20"/>
          <w:szCs w:val="20"/>
          <w:bdr w:val="none" w:sz="0" w:space="0" w:color="auto" w:frame="1"/>
          <w:lang w:eastAsia="en-GB"/>
        </w:rPr>
        <w:t>  </w:t>
      </w:r>
      <w:r w:rsidRPr="005E011F">
        <w:rPr>
          <w:rFonts w:ascii="Arial" w:eastAsia="Times New Roman" w:hAnsi="Arial" w:cs="Arial"/>
          <w:i/>
          <w:iCs/>
          <w:color w:val="202020"/>
          <w:sz w:val="20"/>
          <w:szCs w:val="20"/>
          <w:lang w:eastAsia="en-GB"/>
        </w:rPr>
        <w:t>2) </w:t>
      </w:r>
      <w:r w:rsidRPr="005E011F">
        <w:rPr>
          <w:rFonts w:ascii="Arial" w:eastAsia="Times New Roman" w:hAnsi="Arial" w:cs="Arial"/>
          <w:i/>
          <w:iCs/>
          <w:color w:val="202020"/>
          <w:sz w:val="20"/>
          <w:szCs w:val="20"/>
          <w:bdr w:val="none" w:sz="0" w:space="0" w:color="auto" w:frame="1"/>
          <w:lang w:eastAsia="en-GB"/>
        </w:rPr>
        <w:t>[kehtetu -  </w:t>
      </w:r>
      <w:hyperlink r:id="rId8" w:history="1">
        <w:r w:rsidRPr="005E011F">
          <w:rPr>
            <w:rFonts w:ascii="Arial" w:eastAsia="Times New Roman" w:hAnsi="Arial" w:cs="Arial"/>
            <w:i/>
            <w:iCs/>
            <w:color w:val="551A8B"/>
            <w:sz w:val="20"/>
            <w:szCs w:val="20"/>
            <w:u w:val="single"/>
            <w:bdr w:val="none" w:sz="0" w:space="0" w:color="auto" w:frame="1"/>
            <w:lang w:eastAsia="en-GB"/>
          </w:rPr>
          <w:t>RT I 2006, 48, 358</w:t>
        </w:r>
      </w:hyperlink>
      <w:r w:rsidRPr="005E011F">
        <w:rPr>
          <w:rFonts w:ascii="Arial" w:eastAsia="Times New Roman" w:hAnsi="Arial" w:cs="Arial"/>
          <w:i/>
          <w:iCs/>
          <w:color w:val="202020"/>
          <w:sz w:val="20"/>
          <w:szCs w:val="20"/>
          <w:bdr w:val="none" w:sz="0" w:space="0" w:color="auto" w:frame="1"/>
          <w:lang w:eastAsia="en-GB"/>
        </w:rPr>
        <w:t> - jõust. 18.11.2006] </w:t>
      </w:r>
    </w:p>
    <w:p w14:paraId="6BA84866" w14:textId="77777777" w:rsidR="00FC7B15" w:rsidRPr="005E011F" w:rsidRDefault="00FC7B15" w:rsidP="009B44E4">
      <w:pPr>
        <w:jc w:val="both"/>
        <w:rPr>
          <w:rFonts w:ascii="Arial" w:eastAsia="Times New Roman" w:hAnsi="Arial" w:cs="Arial"/>
          <w:i/>
          <w:iCs/>
          <w:color w:val="202020"/>
          <w:sz w:val="20"/>
          <w:szCs w:val="20"/>
          <w:lang w:eastAsia="en-GB"/>
        </w:rPr>
      </w:pPr>
      <w:r w:rsidRPr="005E011F">
        <w:rPr>
          <w:rFonts w:ascii="Arial" w:eastAsia="Times New Roman" w:hAnsi="Arial" w:cs="Arial"/>
          <w:i/>
          <w:iCs/>
          <w:color w:val="0061AA"/>
          <w:sz w:val="20"/>
          <w:szCs w:val="20"/>
          <w:bdr w:val="none" w:sz="0" w:space="0" w:color="auto" w:frame="1"/>
          <w:lang w:eastAsia="en-GB"/>
        </w:rPr>
        <w:t>  </w:t>
      </w:r>
      <w:r w:rsidRPr="005E011F">
        <w:rPr>
          <w:rFonts w:ascii="Arial" w:eastAsia="Times New Roman" w:hAnsi="Arial" w:cs="Arial"/>
          <w:i/>
          <w:iCs/>
          <w:color w:val="202020"/>
          <w:sz w:val="20"/>
          <w:szCs w:val="20"/>
          <w:lang w:eastAsia="en-GB"/>
        </w:rPr>
        <w:t>(3) Hääleõiguslik ei ole isik, kes on valimisõiguse osas teovõimetuks tunnistatud.</w:t>
      </w:r>
    </w:p>
    <w:p w14:paraId="31EE6545" w14:textId="77777777" w:rsidR="00FC7B15" w:rsidRPr="005E011F" w:rsidRDefault="00FC7B15" w:rsidP="009B44E4">
      <w:pPr>
        <w:jc w:val="both"/>
        <w:rPr>
          <w:rFonts w:ascii="Arial" w:eastAsia="Times New Roman" w:hAnsi="Arial" w:cs="Arial"/>
          <w:i/>
          <w:iCs/>
          <w:color w:val="202020"/>
          <w:sz w:val="20"/>
          <w:szCs w:val="20"/>
          <w:lang w:eastAsia="en-GB"/>
        </w:rPr>
      </w:pPr>
      <w:r w:rsidRPr="005E011F">
        <w:rPr>
          <w:rFonts w:ascii="Arial" w:eastAsia="Times New Roman" w:hAnsi="Arial" w:cs="Arial"/>
          <w:i/>
          <w:iCs/>
          <w:color w:val="0061AA"/>
          <w:sz w:val="20"/>
          <w:szCs w:val="20"/>
          <w:bdr w:val="none" w:sz="0" w:space="0" w:color="auto" w:frame="1"/>
          <w:lang w:eastAsia="en-GB"/>
        </w:rPr>
        <w:t>  </w:t>
      </w:r>
      <w:r w:rsidRPr="005E011F">
        <w:rPr>
          <w:rFonts w:ascii="Arial" w:eastAsia="Times New Roman" w:hAnsi="Arial" w:cs="Arial"/>
          <w:i/>
          <w:iCs/>
          <w:color w:val="202020"/>
          <w:sz w:val="20"/>
          <w:szCs w:val="20"/>
          <w:lang w:eastAsia="en-GB"/>
        </w:rPr>
        <w:t>(4) Hääletamisest ei võta osa isik, kes on kohtu poolt süüdi mõistetud ja kannab karistust kinnipidamiskohas.</w:t>
      </w:r>
    </w:p>
    <w:p w14:paraId="21AFD76B" w14:textId="77777777" w:rsidR="00FC7B15" w:rsidRPr="005E011F" w:rsidRDefault="00FC7B15" w:rsidP="009B44E4">
      <w:pPr>
        <w:jc w:val="both"/>
        <w:rPr>
          <w:rFonts w:ascii="Arial" w:eastAsia="Times New Roman" w:hAnsi="Arial" w:cs="Arial"/>
          <w:i/>
          <w:iCs/>
          <w:color w:val="202020"/>
          <w:sz w:val="20"/>
          <w:szCs w:val="20"/>
          <w:lang w:eastAsia="en-GB"/>
        </w:rPr>
      </w:pPr>
      <w:r w:rsidRPr="005E011F">
        <w:rPr>
          <w:rFonts w:ascii="Arial" w:eastAsia="Times New Roman" w:hAnsi="Arial" w:cs="Arial"/>
          <w:i/>
          <w:iCs/>
          <w:color w:val="0061AA"/>
          <w:sz w:val="20"/>
          <w:szCs w:val="20"/>
          <w:bdr w:val="none" w:sz="0" w:space="0" w:color="auto" w:frame="1"/>
          <w:lang w:eastAsia="en-GB"/>
        </w:rPr>
        <w:t>  </w:t>
      </w:r>
      <w:r w:rsidRPr="005E011F">
        <w:rPr>
          <w:rFonts w:ascii="Arial" w:eastAsia="Times New Roman" w:hAnsi="Arial" w:cs="Arial"/>
          <w:i/>
          <w:iCs/>
          <w:color w:val="202020"/>
          <w:sz w:val="20"/>
          <w:szCs w:val="20"/>
          <w:lang w:eastAsia="en-GB"/>
        </w:rPr>
        <w:t>(5) Kandideerimisõigus on igal hääleõiguslikul Eesti kodanikul ja Euroopa Liidu kodanikul, kes on kandidaatide registreerimise viimaseks päevaks saanud 18-aastaseks ja kelle püsiv elukoht asub hiljemalt valimisaasta 1. augustil vastavas vallas või linnas.</w:t>
      </w:r>
      <w:r w:rsidRPr="005E011F">
        <w:rPr>
          <w:rFonts w:ascii="Arial" w:eastAsia="Times New Roman" w:hAnsi="Arial" w:cs="Arial"/>
          <w:i/>
          <w:iCs/>
          <w:color w:val="202020"/>
          <w:sz w:val="20"/>
          <w:szCs w:val="20"/>
          <w:lang w:eastAsia="en-GB"/>
        </w:rPr>
        <w:br/>
      </w:r>
      <w:r w:rsidRPr="005E011F">
        <w:rPr>
          <w:rFonts w:ascii="Arial" w:eastAsia="Times New Roman" w:hAnsi="Arial" w:cs="Arial"/>
          <w:i/>
          <w:iCs/>
          <w:color w:val="202020"/>
          <w:sz w:val="20"/>
          <w:szCs w:val="20"/>
          <w:bdr w:val="none" w:sz="0" w:space="0" w:color="auto" w:frame="1"/>
          <w:lang w:eastAsia="en-GB"/>
        </w:rPr>
        <w:t>[</w:t>
      </w:r>
      <w:hyperlink r:id="rId9" w:history="1">
        <w:r w:rsidRPr="005E011F">
          <w:rPr>
            <w:rFonts w:ascii="Arial" w:eastAsia="Times New Roman" w:hAnsi="Arial" w:cs="Arial"/>
            <w:i/>
            <w:iCs/>
            <w:color w:val="551A8B"/>
            <w:sz w:val="20"/>
            <w:szCs w:val="20"/>
            <w:u w:val="single"/>
            <w:bdr w:val="none" w:sz="0" w:space="0" w:color="auto" w:frame="1"/>
            <w:lang w:eastAsia="en-GB"/>
          </w:rPr>
          <w:t>RT I, 22.01.2016, 7</w:t>
        </w:r>
      </w:hyperlink>
      <w:r w:rsidRPr="005E011F">
        <w:rPr>
          <w:rFonts w:ascii="Arial" w:eastAsia="Times New Roman" w:hAnsi="Arial" w:cs="Arial"/>
          <w:i/>
          <w:iCs/>
          <w:color w:val="202020"/>
          <w:sz w:val="20"/>
          <w:szCs w:val="20"/>
          <w:bdr w:val="none" w:sz="0" w:space="0" w:color="auto" w:frame="1"/>
          <w:lang w:eastAsia="en-GB"/>
        </w:rPr>
        <w:t> - jõust. 01.02.2016] </w:t>
      </w:r>
    </w:p>
    <w:p w14:paraId="71E7E50E" w14:textId="584503E9" w:rsidR="00FC7B15" w:rsidRDefault="00FC7B15" w:rsidP="009B44E4">
      <w:pPr>
        <w:jc w:val="both"/>
        <w:rPr>
          <w:rFonts w:ascii="Arial" w:eastAsia="Times New Roman" w:hAnsi="Arial" w:cs="Arial"/>
          <w:i/>
          <w:iCs/>
          <w:color w:val="202020"/>
          <w:sz w:val="20"/>
          <w:szCs w:val="20"/>
          <w:bdr w:val="none" w:sz="0" w:space="0" w:color="auto" w:frame="1"/>
          <w:lang w:eastAsia="en-GB"/>
        </w:rPr>
      </w:pPr>
      <w:r w:rsidRPr="005E011F">
        <w:rPr>
          <w:rFonts w:ascii="Arial" w:eastAsia="Times New Roman" w:hAnsi="Arial" w:cs="Arial"/>
          <w:i/>
          <w:iCs/>
          <w:color w:val="0061AA"/>
          <w:sz w:val="20"/>
          <w:szCs w:val="20"/>
          <w:bdr w:val="none" w:sz="0" w:space="0" w:color="auto" w:frame="1"/>
          <w:lang w:eastAsia="en-GB"/>
        </w:rPr>
        <w:t>  </w:t>
      </w:r>
      <w:r w:rsidRPr="005E011F">
        <w:rPr>
          <w:rFonts w:ascii="Arial" w:eastAsia="Times New Roman" w:hAnsi="Arial" w:cs="Arial"/>
          <w:i/>
          <w:iCs/>
          <w:color w:val="202020"/>
          <w:sz w:val="20"/>
          <w:szCs w:val="20"/>
          <w:lang w:eastAsia="en-GB"/>
        </w:rPr>
        <w:t>(6) Volikogu liikmeks ei või kandideerida tegevväelane ega isik, kes on kohtu poolt süüdi mõistetud kuriteos ja kannab vanglakaristust.</w:t>
      </w:r>
      <w:r w:rsidRPr="005E011F">
        <w:rPr>
          <w:rFonts w:ascii="Arial" w:eastAsia="Times New Roman" w:hAnsi="Arial" w:cs="Arial"/>
          <w:i/>
          <w:iCs/>
          <w:color w:val="202020"/>
          <w:sz w:val="20"/>
          <w:szCs w:val="20"/>
          <w:lang w:eastAsia="en-GB"/>
        </w:rPr>
        <w:br/>
      </w:r>
      <w:r w:rsidRPr="005E011F">
        <w:rPr>
          <w:rFonts w:ascii="Arial" w:eastAsia="Times New Roman" w:hAnsi="Arial" w:cs="Arial"/>
          <w:i/>
          <w:iCs/>
          <w:color w:val="202020"/>
          <w:sz w:val="20"/>
          <w:szCs w:val="20"/>
          <w:bdr w:val="none" w:sz="0" w:space="0" w:color="auto" w:frame="1"/>
          <w:lang w:eastAsia="en-GB"/>
        </w:rPr>
        <w:t>[</w:t>
      </w:r>
      <w:hyperlink r:id="rId10" w:history="1">
        <w:r w:rsidRPr="005E011F">
          <w:rPr>
            <w:rFonts w:ascii="Arial" w:eastAsia="Times New Roman" w:hAnsi="Arial" w:cs="Arial"/>
            <w:i/>
            <w:iCs/>
            <w:color w:val="551A8B"/>
            <w:sz w:val="20"/>
            <w:szCs w:val="20"/>
            <w:u w:val="single"/>
            <w:bdr w:val="none" w:sz="0" w:space="0" w:color="auto" w:frame="1"/>
            <w:lang w:eastAsia="en-GB"/>
          </w:rPr>
          <w:t>RT I, 10.07.2012, 3</w:t>
        </w:r>
      </w:hyperlink>
      <w:r w:rsidRPr="005E011F">
        <w:rPr>
          <w:rFonts w:ascii="Arial" w:eastAsia="Times New Roman" w:hAnsi="Arial" w:cs="Arial"/>
          <w:i/>
          <w:iCs/>
          <w:color w:val="202020"/>
          <w:sz w:val="20"/>
          <w:szCs w:val="20"/>
          <w:bdr w:val="none" w:sz="0" w:space="0" w:color="auto" w:frame="1"/>
          <w:lang w:eastAsia="en-GB"/>
        </w:rPr>
        <w:t> - jõust. 01.04.2013]</w:t>
      </w:r>
    </w:p>
    <w:p w14:paraId="6AB3F9E7" w14:textId="77777777" w:rsidR="00546A00" w:rsidRPr="005E011F" w:rsidRDefault="00546A00" w:rsidP="009B44E4">
      <w:pPr>
        <w:jc w:val="both"/>
        <w:rPr>
          <w:rFonts w:ascii="Arial" w:eastAsia="Times New Roman" w:hAnsi="Arial" w:cs="Arial"/>
          <w:i/>
          <w:iCs/>
          <w:color w:val="202020"/>
          <w:sz w:val="20"/>
          <w:szCs w:val="20"/>
          <w:lang w:eastAsia="en-GB"/>
        </w:rPr>
      </w:pPr>
    </w:p>
    <w:p w14:paraId="7A93B837" w14:textId="3DF26EB4" w:rsidR="005E011F" w:rsidRDefault="005E011F" w:rsidP="009B44E4">
      <w:pPr>
        <w:pStyle w:val="Loendilik"/>
        <w:numPr>
          <w:ilvl w:val="1"/>
          <w:numId w:val="2"/>
        </w:numPr>
        <w:jc w:val="both"/>
      </w:pPr>
      <w:r>
        <w:t>Seega</w:t>
      </w:r>
      <w:r w:rsidR="003C2796">
        <w:t xml:space="preserve"> annab põhiseadus hääleõiguse kohalikel valimistel </w:t>
      </w:r>
      <w:r w:rsidR="003C2796" w:rsidRPr="003C2796">
        <w:t>seaduses ettenähtud tingimustel selle omavalitsuse maa-alal püsivalt elavatele isikutele, kes on vähemalt kuusteist aastat vanad.</w:t>
      </w:r>
    </w:p>
    <w:p w14:paraId="188DC26A" w14:textId="116819E1" w:rsidR="003C2796" w:rsidRDefault="003C2796" w:rsidP="009B44E4">
      <w:pPr>
        <w:pStyle w:val="Loendilik"/>
        <w:jc w:val="both"/>
      </w:pPr>
    </w:p>
    <w:p w14:paraId="20417993" w14:textId="185BE124" w:rsidR="003C2796" w:rsidRPr="003C2796" w:rsidRDefault="003C2796" w:rsidP="009B44E4">
      <w:pPr>
        <w:jc w:val="both"/>
      </w:pPr>
      <w:r w:rsidRPr="003C2796">
        <w:t>Need seaduses ettenähtud tingimused, millele põhiseadus viitab, on sätestatud KOVVS-s, seades eeldus</w:t>
      </w:r>
      <w:r>
        <w:t>t</w:t>
      </w:r>
      <w:r w:rsidRPr="003C2796">
        <w:t xml:space="preserve">eks pikaajalise elaniku elamisloa või alalise elamisõiguse. </w:t>
      </w:r>
    </w:p>
    <w:p w14:paraId="21ACA6C5" w14:textId="7786A469" w:rsidR="003C2796" w:rsidRDefault="003C2796" w:rsidP="009B44E4">
      <w:pPr>
        <w:pStyle w:val="Loendilik"/>
        <w:jc w:val="both"/>
      </w:pPr>
    </w:p>
    <w:p w14:paraId="035E4FFA" w14:textId="03A60963" w:rsidR="003C2796" w:rsidRPr="003C2796" w:rsidRDefault="003C2796" w:rsidP="009B44E4">
      <w:pPr>
        <w:jc w:val="both"/>
      </w:pPr>
      <w:r w:rsidRPr="003C2796">
        <w:t xml:space="preserve">Kuivõrd põhiseadus kehtestab valimisõiguse, tuleb tõdeda, et seda õigust ära võtta saaks vaid põhiseaduse muutmise </w:t>
      </w:r>
      <w:r w:rsidR="00636B0E">
        <w:t>korral</w:t>
      </w:r>
      <w:r w:rsidRPr="003C2796">
        <w:t>.</w:t>
      </w:r>
    </w:p>
    <w:p w14:paraId="2F75BE22" w14:textId="530BECE0" w:rsidR="003C2796" w:rsidRDefault="003C2796" w:rsidP="009B44E4">
      <w:pPr>
        <w:pStyle w:val="Loendilik"/>
        <w:jc w:val="both"/>
      </w:pPr>
    </w:p>
    <w:p w14:paraId="417D999C" w14:textId="4AAA6099" w:rsidR="003C2796" w:rsidRDefault="003C2796" w:rsidP="009B44E4">
      <w:pPr>
        <w:jc w:val="both"/>
      </w:pPr>
      <w:r>
        <w:t xml:space="preserve">Küll aga viitab põhiseadus selgelt tõsiasjale, et tingimusi hääleõiguse osas saab seada teiste seadustega ning just seda käesoleva seaduse muudatus taotleb, põhinedes seejuures täielikult põhiseaduse </w:t>
      </w:r>
      <w:r w:rsidRPr="003C2796">
        <w:t>§</w:t>
      </w:r>
      <w:r>
        <w:t>-l</w:t>
      </w:r>
      <w:r w:rsidRPr="003C2796">
        <w:t xml:space="preserve"> 11</w:t>
      </w:r>
      <w:r w:rsidRPr="003C2796">
        <w:rPr>
          <w:b/>
          <w:bCs/>
        </w:rPr>
        <w:t>,</w:t>
      </w:r>
      <w:r w:rsidRPr="003C2796">
        <w:t xml:space="preserve"> mille kohaselt õigusi ja vabadusi tohib piirata ainult kooskõlas põhiseadusega. Need piirangud peavad olema demokraatlikus ühiskonnas vajalikud ega tohi moonutada piiratavate õiguste ja vabaduste olemust.</w:t>
      </w:r>
    </w:p>
    <w:p w14:paraId="0548AE18" w14:textId="504B8065" w:rsidR="00EB1809" w:rsidRDefault="00EB1809" w:rsidP="009B44E4">
      <w:pPr>
        <w:pStyle w:val="Loendilik"/>
        <w:jc w:val="both"/>
      </w:pPr>
    </w:p>
    <w:p w14:paraId="58A37E7A" w14:textId="7B934263" w:rsidR="00EB1809" w:rsidRDefault="00636B0E" w:rsidP="009B44E4">
      <w:pPr>
        <w:jc w:val="both"/>
      </w:pPr>
      <w:r>
        <w:t>O</w:t>
      </w:r>
      <w:r w:rsidR="00EB1809" w:rsidRPr="00EB1809">
        <w:t>lgu siinkohal märgitud, e</w:t>
      </w:r>
      <w:r w:rsidR="00EB1809">
        <w:t xml:space="preserve">t ka </w:t>
      </w:r>
      <w:r w:rsidR="00EB1809" w:rsidRPr="00EB1809">
        <w:t>EV kodanike puhul pole valimisõigus absoluutne. Põhiseaduse § 58 annab võimaluse seadusega piirata nende Eesti kodanike osavõttu hääletamisest, kes on kohtu poolt süüdi mõistetud ja kannavad karistust kinnipidamiskohtades. Selle sätte puhul on oluline</w:t>
      </w:r>
      <w:r w:rsidR="00EB1809">
        <w:t xml:space="preserve"> märkida</w:t>
      </w:r>
      <w:r w:rsidR="00EB1809" w:rsidRPr="00EB1809">
        <w:t xml:space="preserve">, et põhiseadus ei ole selles suhtes absoluutne ja annab võimaluse, mida ka KOVVS </w:t>
      </w:r>
      <w:r>
        <w:t>rakendatakse</w:t>
      </w:r>
      <w:r w:rsidR="00EB1809" w:rsidRPr="00EB1809">
        <w:t>, sest § 5 lg 4 sätestab, et hääletamisest ei võta osa isik, kes on kohtu poolt süüdi mõistetud ja kannab karistust kinnipidamiskohas.</w:t>
      </w:r>
      <w:r w:rsidR="00EB1809">
        <w:t xml:space="preserve"> </w:t>
      </w:r>
    </w:p>
    <w:p w14:paraId="63FD311D" w14:textId="77777777" w:rsidR="00EB1809" w:rsidRDefault="00EB1809" w:rsidP="009B44E4">
      <w:pPr>
        <w:jc w:val="both"/>
      </w:pPr>
    </w:p>
    <w:p w14:paraId="0B8B3501" w14:textId="09395AB9" w:rsidR="003C2796" w:rsidRDefault="00EB1809" w:rsidP="009B44E4">
      <w:pPr>
        <w:jc w:val="both"/>
      </w:pPr>
      <w:r>
        <w:t xml:space="preserve">Seega saab </w:t>
      </w:r>
      <w:r w:rsidR="00636B0E">
        <w:t xml:space="preserve">kehtiva </w:t>
      </w:r>
      <w:r>
        <w:t>praktika kohaselt seadusega piirata põhiõigust</w:t>
      </w:r>
      <w:r w:rsidR="00636B0E">
        <w:t xml:space="preserve"> juhul</w:t>
      </w:r>
      <w:r>
        <w:t>, kui põhiseadus selleks volituse annab</w:t>
      </w:r>
      <w:r w:rsidR="00636B0E">
        <w:t>.</w:t>
      </w:r>
      <w:r>
        <w:t xml:space="preserve"> </w:t>
      </w:r>
      <w:r w:rsidR="00636B0E">
        <w:t>J</w:t>
      </w:r>
      <w:r>
        <w:t xml:space="preserve">ust seda põhiseadus välismaalaste valimisõiguse puhul teeb, viidates hääletamisõiguse puhul seaduses sätestatud tingimustele. </w:t>
      </w:r>
    </w:p>
    <w:p w14:paraId="3558DDDD" w14:textId="77777777" w:rsidR="00EB1809" w:rsidRPr="00EB1809" w:rsidRDefault="00EB1809" w:rsidP="009B44E4">
      <w:pPr>
        <w:jc w:val="both"/>
      </w:pPr>
    </w:p>
    <w:p w14:paraId="07B002F4" w14:textId="32931F2B" w:rsidR="003C2796" w:rsidRDefault="00EB1809" w:rsidP="009B44E4">
      <w:pPr>
        <w:pStyle w:val="Loendilik"/>
        <w:numPr>
          <w:ilvl w:val="1"/>
          <w:numId w:val="2"/>
        </w:numPr>
        <w:jc w:val="both"/>
      </w:pPr>
      <w:r>
        <w:t>Seadusest tuleneva võimaluse olemasolul tuleb analüüsida, kas ja millistel juhtudel on selline piirang õige, vajalik</w:t>
      </w:r>
      <w:r w:rsidR="006E5F7D">
        <w:t xml:space="preserve"> ehk </w:t>
      </w:r>
      <w:r>
        <w:t>proportsionaalne</w:t>
      </w:r>
      <w:r w:rsidR="00636B0E">
        <w:t xml:space="preserve"> ning</w:t>
      </w:r>
      <w:r w:rsidR="006E5F7D">
        <w:t xml:space="preserve"> </w:t>
      </w:r>
      <w:r w:rsidR="00636B0E">
        <w:t xml:space="preserve">ühtlasi </w:t>
      </w:r>
      <w:r w:rsidR="006E5F7D">
        <w:t>mõõdukas,</w:t>
      </w:r>
      <w:r w:rsidR="00BC7D11">
        <w:t xml:space="preserve"> sest ka </w:t>
      </w:r>
      <w:r w:rsidR="00BC7D11" w:rsidRPr="00BC7D11">
        <w:t>kaalutlusõiguse teostamisel peab seadusandja järgima põhiõiguste piiramise üldpõhimõtteid.</w:t>
      </w:r>
    </w:p>
    <w:p w14:paraId="2708AFDC" w14:textId="134F5661" w:rsidR="00BC7D11" w:rsidRDefault="00BC7D11" w:rsidP="009B44E4">
      <w:pPr>
        <w:pStyle w:val="Loendilik"/>
        <w:jc w:val="both"/>
      </w:pPr>
    </w:p>
    <w:p w14:paraId="776AE8D4" w14:textId="0E911739" w:rsidR="00D83E3B" w:rsidRDefault="00636B0E" w:rsidP="009B44E4">
      <w:pPr>
        <w:pStyle w:val="Loendilik"/>
        <w:numPr>
          <w:ilvl w:val="2"/>
          <w:numId w:val="2"/>
        </w:numPr>
        <w:jc w:val="both"/>
      </w:pPr>
      <w:r>
        <w:t>Hinnates p</w:t>
      </w:r>
      <w:r w:rsidR="00BC7D11">
        <w:t>iirangu sobivust selle eesmärgist lähtudes tuleb küsida</w:t>
      </w:r>
      <w:r>
        <w:t>:</w:t>
      </w:r>
      <w:r w:rsidR="00BC7D11">
        <w:t xml:space="preserve"> kas VF kodanike kohalikel valimistel valimisõiguse piiramine vähendab </w:t>
      </w:r>
      <w:r w:rsidR="00D83E3B">
        <w:t>terroristliku režiimiga riigi koda</w:t>
      </w:r>
      <w:r>
        <w:t>nike</w:t>
      </w:r>
      <w:r w:rsidR="00D83E3B">
        <w:t xml:space="preserve"> </w:t>
      </w:r>
      <w:r>
        <w:t xml:space="preserve">poliitilises elus </w:t>
      </w:r>
      <w:r w:rsidR="00D83E3B">
        <w:t xml:space="preserve">kaasarääkimise õigust ja võimalust, piirates selle läbi VF mõjutustegevust. Vastus on jaatav, seega </w:t>
      </w:r>
      <w:r>
        <w:t xml:space="preserve">on </w:t>
      </w:r>
      <w:r w:rsidR="00D83E3B">
        <w:t>piirang sobiv ja eesmärgi</w:t>
      </w:r>
      <w:r>
        <w:t>pärane</w:t>
      </w:r>
      <w:r w:rsidR="00D83E3B">
        <w:t xml:space="preserve">. </w:t>
      </w:r>
    </w:p>
    <w:p w14:paraId="169640D9" w14:textId="77777777" w:rsidR="00D83E3B" w:rsidRDefault="00D83E3B" w:rsidP="009B44E4">
      <w:pPr>
        <w:pStyle w:val="Loendilik"/>
        <w:ind w:left="1080"/>
        <w:jc w:val="both"/>
      </w:pPr>
    </w:p>
    <w:p w14:paraId="1CB57FB9" w14:textId="26D096A5" w:rsidR="00D83E3B" w:rsidRDefault="00D83E3B" w:rsidP="00DE422E">
      <w:pPr>
        <w:pStyle w:val="Loendilik"/>
        <w:numPr>
          <w:ilvl w:val="2"/>
          <w:numId w:val="2"/>
        </w:numPr>
        <w:jc w:val="both"/>
      </w:pPr>
      <w:r>
        <w:t xml:space="preserve">Piirangu vajalikkuse kriteeriumi puhul on </w:t>
      </w:r>
      <w:r w:rsidR="007505BB">
        <w:t>väga</w:t>
      </w:r>
      <w:r>
        <w:t xml:space="preserve"> oluline hinnata konteksti, milles 2025</w:t>
      </w:r>
      <w:r w:rsidR="00886911">
        <w:t>. aasta</w:t>
      </w:r>
      <w:r>
        <w:t xml:space="preserve"> kohalike omavalitsuste valimised toimuvad. Need valimised toimuvad ajal, mil VF on agressorina kallale tunginud Ukrainale ja peab seal täiemahulist sõda. </w:t>
      </w:r>
      <w:r w:rsidR="001960CD">
        <w:t>Venemaa terrori</w:t>
      </w:r>
      <w:r w:rsidR="00ED519D">
        <w:t xml:space="preserve">stlik režiim võib kaasata Eestis elavaid Venemaa kodanikke kui sõjaväekohuslasi </w:t>
      </w:r>
      <w:r w:rsidR="00707101">
        <w:t>agressiivsesse vallutus</w:t>
      </w:r>
      <w:r w:rsidR="00ED519D">
        <w:t xml:space="preserve">sõtta Ukraina vastu. </w:t>
      </w:r>
      <w:r>
        <w:t xml:space="preserve">Seega, andmata hinnangut ühelegi üksikisikule </w:t>
      </w:r>
      <w:r w:rsidR="00707101">
        <w:t xml:space="preserve">eraldi, </w:t>
      </w:r>
      <w:r>
        <w:t xml:space="preserve">on tegemist olukorraga, kus Eesti Vabariik toetab igakülgselt vaba Ukraina ja seega vaba Euroopa enesemääramise õigust, </w:t>
      </w:r>
      <w:r w:rsidR="009C4E85">
        <w:t>garanteerides</w:t>
      </w:r>
      <w:r>
        <w:t xml:space="preserve"> </w:t>
      </w:r>
      <w:r w:rsidR="00707101">
        <w:t>samal ajal valimisõiguse</w:t>
      </w:r>
      <w:r>
        <w:t xml:space="preserve"> terroristliku režiimiga riig</w:t>
      </w:r>
      <w:r w:rsidR="00707101">
        <w:t>i kodanikele, kes on sõjaväekohustuse osas Vene Föderatsiooni õiguse subjektid</w:t>
      </w:r>
      <w:r>
        <w:t>. Venemaa on riik, mis ei aktsepteeri riikide vaba enesemääramiseõigust</w:t>
      </w:r>
      <w:r w:rsidR="00707101">
        <w:t xml:space="preserve"> ega</w:t>
      </w:r>
      <w:r>
        <w:t xml:space="preserve"> demokraatiat, tema mõjutustegevuse ja sekkumise </w:t>
      </w:r>
      <w:r w:rsidR="00707101">
        <w:t>ulatus</w:t>
      </w:r>
      <w:r>
        <w:t xml:space="preserve"> vabade riikide siseasjadesse ja demokraatlikesse protsessidesse ei vaja siinkohal täiendavat tõendamist. </w:t>
      </w:r>
      <w:r w:rsidR="009C4E85">
        <w:t xml:space="preserve">Samuti on praegusele </w:t>
      </w:r>
      <w:r>
        <w:t>Venemaa</w:t>
      </w:r>
      <w:r w:rsidR="009C4E85">
        <w:t xml:space="preserve"> terroristlikule režiimile</w:t>
      </w:r>
      <w:r>
        <w:t xml:space="preserve"> omane </w:t>
      </w:r>
      <w:r w:rsidR="00707101">
        <w:t xml:space="preserve">hoida </w:t>
      </w:r>
      <w:r>
        <w:t xml:space="preserve">oma kodanikke, </w:t>
      </w:r>
      <w:r w:rsidR="009C4E85">
        <w:t xml:space="preserve">sealhulgas </w:t>
      </w:r>
      <w:r>
        <w:t xml:space="preserve">ka neid, kes elavad väljapool VF territooriumi </w:t>
      </w:r>
      <w:r w:rsidR="00461E7C">
        <w:t xml:space="preserve">oma moonutatud infoväljas, mõjutada neid nii valeinfo kui ka muul kujul mõjutustegevustega.  </w:t>
      </w:r>
    </w:p>
    <w:p w14:paraId="52DF32C9" w14:textId="57AC367D" w:rsidR="00471DCE" w:rsidRDefault="00471DCE" w:rsidP="009B44E4">
      <w:pPr>
        <w:pStyle w:val="Loendilik"/>
        <w:ind w:left="1080"/>
        <w:jc w:val="both"/>
      </w:pPr>
    </w:p>
    <w:p w14:paraId="27AA50A4" w14:textId="00126590" w:rsidR="00ED33FF" w:rsidRDefault="00471DCE" w:rsidP="009B44E4">
      <w:pPr>
        <w:pStyle w:val="Loendilik"/>
        <w:ind w:left="1080"/>
        <w:jc w:val="both"/>
      </w:pPr>
      <w:r>
        <w:t xml:space="preserve">Proportsionaalsust hinnates tuleb ka küsida, mis on selle piirangu negatiivsed tagajärjed </w:t>
      </w:r>
      <w:r w:rsidR="009C4E85">
        <w:t>ning</w:t>
      </w:r>
      <w:r>
        <w:t xml:space="preserve"> kas need ei kaalu siiski üles piirangu </w:t>
      </w:r>
      <w:r w:rsidR="009C4E85">
        <w:t>rakendamata jätmist</w:t>
      </w:r>
      <w:r>
        <w:t xml:space="preserve">. Selle piirangu negatiivseks tagajärjeks on </w:t>
      </w:r>
      <w:r w:rsidR="009C4E85">
        <w:t>kahtlemata</w:t>
      </w:r>
      <w:r>
        <w:t xml:space="preserve"> Eestis elavate VF kodanike rahulolematus, mis valimisõiguse peatamisega kaasneb. </w:t>
      </w:r>
    </w:p>
    <w:p w14:paraId="5CCF05F9" w14:textId="77777777" w:rsidR="009C4E85" w:rsidRDefault="009C4E85" w:rsidP="009B44E4">
      <w:pPr>
        <w:pStyle w:val="Loendilik"/>
        <w:ind w:left="1080"/>
        <w:jc w:val="both"/>
        <w:rPr>
          <w:color w:val="000000" w:themeColor="text1"/>
        </w:rPr>
      </w:pPr>
    </w:p>
    <w:p w14:paraId="3F3C0996" w14:textId="6FBDE974" w:rsidR="00DD693C" w:rsidRDefault="00ED33FF" w:rsidP="009B44E4">
      <w:pPr>
        <w:pStyle w:val="Loendilik"/>
        <w:ind w:left="1080"/>
        <w:jc w:val="both"/>
        <w:rPr>
          <w:color w:val="000000" w:themeColor="text1"/>
        </w:rPr>
      </w:pPr>
      <w:r>
        <w:rPr>
          <w:color w:val="000000" w:themeColor="text1"/>
        </w:rPr>
        <w:t xml:space="preserve">Kõige tundlikum küsimus proportsionaalsusest puudutab </w:t>
      </w:r>
      <w:r w:rsidR="00950E49">
        <w:rPr>
          <w:color w:val="000000" w:themeColor="text1"/>
        </w:rPr>
        <w:t>neid Venemaa kodanikke</w:t>
      </w:r>
      <w:r>
        <w:rPr>
          <w:color w:val="000000" w:themeColor="text1"/>
        </w:rPr>
        <w:t>, kes on Eesti riigile lojaalsed</w:t>
      </w:r>
      <w:r w:rsidR="00950E49">
        <w:rPr>
          <w:color w:val="000000" w:themeColor="text1"/>
        </w:rPr>
        <w:t xml:space="preserve"> ega</w:t>
      </w:r>
      <w:r>
        <w:rPr>
          <w:color w:val="000000" w:themeColor="text1"/>
        </w:rPr>
        <w:t xml:space="preserve"> osale agressorriigi </w:t>
      </w:r>
      <w:r w:rsidR="00950E49">
        <w:rPr>
          <w:color w:val="000000" w:themeColor="text1"/>
        </w:rPr>
        <w:t>libavalimistel</w:t>
      </w:r>
      <w:r>
        <w:rPr>
          <w:color w:val="000000" w:themeColor="text1"/>
        </w:rPr>
        <w:t xml:space="preserve"> ning sooviks</w:t>
      </w:r>
      <w:r w:rsidR="00950E49">
        <w:rPr>
          <w:color w:val="000000" w:themeColor="text1"/>
        </w:rPr>
        <w:t>id omandada Eesti kodakondsuse, aga</w:t>
      </w:r>
      <w:r>
        <w:rPr>
          <w:color w:val="000000" w:themeColor="text1"/>
        </w:rPr>
        <w:t xml:space="preserve"> </w:t>
      </w:r>
      <w:r w:rsidR="00950E49">
        <w:rPr>
          <w:color w:val="000000" w:themeColor="text1"/>
        </w:rPr>
        <w:t xml:space="preserve">kellel </w:t>
      </w:r>
      <w:r>
        <w:rPr>
          <w:color w:val="000000" w:themeColor="text1"/>
        </w:rPr>
        <w:t xml:space="preserve">VF </w:t>
      </w:r>
      <w:r w:rsidR="00950E49">
        <w:rPr>
          <w:color w:val="000000" w:themeColor="text1"/>
        </w:rPr>
        <w:t>riikliku poliitika tagajärjel pole võimalik</w:t>
      </w:r>
      <w:r>
        <w:rPr>
          <w:color w:val="000000" w:themeColor="text1"/>
        </w:rPr>
        <w:t xml:space="preserve"> vabaneda V</w:t>
      </w:r>
      <w:r w:rsidR="00950E49">
        <w:rPr>
          <w:color w:val="000000" w:themeColor="text1"/>
        </w:rPr>
        <w:t>enemaa</w:t>
      </w:r>
      <w:r>
        <w:rPr>
          <w:color w:val="000000" w:themeColor="text1"/>
        </w:rPr>
        <w:t xml:space="preserve"> kodakondsusest</w:t>
      </w:r>
      <w:r w:rsidR="00AB1A8B">
        <w:rPr>
          <w:color w:val="000000" w:themeColor="text1"/>
        </w:rPr>
        <w:t xml:space="preserve"> ning sellega kaasnevast sõjaväekohustusest</w:t>
      </w:r>
      <w:r>
        <w:rPr>
          <w:color w:val="000000" w:themeColor="text1"/>
        </w:rPr>
        <w:t xml:space="preserve">. Nende puhul </w:t>
      </w:r>
      <w:r w:rsidR="00AB1A8B">
        <w:rPr>
          <w:color w:val="000000" w:themeColor="text1"/>
        </w:rPr>
        <w:t xml:space="preserve">on võimalik, et kohalikel valimistel </w:t>
      </w:r>
      <w:r w:rsidR="00DD693C">
        <w:rPr>
          <w:color w:val="000000" w:themeColor="text1"/>
        </w:rPr>
        <w:t xml:space="preserve"> </w:t>
      </w:r>
      <w:r w:rsidR="00AB1A8B">
        <w:rPr>
          <w:color w:val="000000" w:themeColor="text1"/>
        </w:rPr>
        <w:t xml:space="preserve">valimisõiguse </w:t>
      </w:r>
      <w:r w:rsidR="00DD693C">
        <w:rPr>
          <w:color w:val="000000" w:themeColor="text1"/>
        </w:rPr>
        <w:t>piira</w:t>
      </w:r>
      <w:r w:rsidR="00AB1A8B">
        <w:rPr>
          <w:color w:val="000000" w:themeColor="text1"/>
        </w:rPr>
        <w:t>mine võib proportsionaalsuse piiri tõesti ületada</w:t>
      </w:r>
      <w:r w:rsidR="00DD693C">
        <w:rPr>
          <w:color w:val="000000" w:themeColor="text1"/>
        </w:rPr>
        <w:t xml:space="preserve">. Samas ei ole võimalik </w:t>
      </w:r>
      <w:r w:rsidR="00950E49">
        <w:rPr>
          <w:color w:val="000000" w:themeColor="text1"/>
        </w:rPr>
        <w:t xml:space="preserve">seda gruppi teistest Eestis elavatest Venemaa kodanikest </w:t>
      </w:r>
      <w:r w:rsidR="00AB1A8B">
        <w:rPr>
          <w:color w:val="000000" w:themeColor="text1"/>
        </w:rPr>
        <w:t>e</w:t>
      </w:r>
      <w:r w:rsidR="00DD693C">
        <w:rPr>
          <w:color w:val="000000" w:themeColor="text1"/>
        </w:rPr>
        <w:t>ristada</w:t>
      </w:r>
      <w:r w:rsidR="00AB1A8B">
        <w:rPr>
          <w:color w:val="000000" w:themeColor="text1"/>
        </w:rPr>
        <w:t>.</w:t>
      </w:r>
      <w:r w:rsidR="00DD693C">
        <w:rPr>
          <w:color w:val="000000" w:themeColor="text1"/>
        </w:rPr>
        <w:t xml:space="preserve"> EV põhiseaduse preambula juurde naastes tuleb möönda, et proportsionaalsust </w:t>
      </w:r>
      <w:r w:rsidR="00AB1A8B">
        <w:rPr>
          <w:color w:val="000000" w:themeColor="text1"/>
        </w:rPr>
        <w:t xml:space="preserve">tervikuna </w:t>
      </w:r>
      <w:r w:rsidR="00DD693C">
        <w:rPr>
          <w:color w:val="000000" w:themeColor="text1"/>
        </w:rPr>
        <w:t xml:space="preserve">hinnates kaalub EV enesemääramise õigus ja vabad ning sõltumatud valimised </w:t>
      </w:r>
      <w:r w:rsidR="00AB1A8B">
        <w:rPr>
          <w:color w:val="000000" w:themeColor="text1"/>
        </w:rPr>
        <w:t xml:space="preserve">siiski </w:t>
      </w:r>
      <w:r w:rsidR="00DD693C">
        <w:rPr>
          <w:color w:val="000000" w:themeColor="text1"/>
        </w:rPr>
        <w:t xml:space="preserve">üles ka nende inimeste valimisõiguse peatamise kohalikel valimistel. </w:t>
      </w:r>
    </w:p>
    <w:p w14:paraId="273EE0BF" w14:textId="3240D089" w:rsidR="00AA6EC7" w:rsidRDefault="00AA6EC7" w:rsidP="009B44E4">
      <w:pPr>
        <w:pStyle w:val="Loendilik"/>
        <w:ind w:left="1080"/>
        <w:jc w:val="both"/>
        <w:rPr>
          <w:color w:val="000000" w:themeColor="text1"/>
        </w:rPr>
      </w:pPr>
    </w:p>
    <w:p w14:paraId="64EF0A95" w14:textId="7D6C1B1A" w:rsidR="00DD693C" w:rsidRPr="00AA6EC7" w:rsidRDefault="00AA6EC7" w:rsidP="009B44E4">
      <w:pPr>
        <w:pStyle w:val="Loendilik"/>
        <w:ind w:left="1080"/>
        <w:jc w:val="both"/>
        <w:rPr>
          <w:color w:val="000000" w:themeColor="text1"/>
        </w:rPr>
      </w:pPr>
      <w:r w:rsidRPr="00D83E3B">
        <w:t>Seega</w:t>
      </w:r>
      <w:r w:rsidR="00AB1A8B">
        <w:t>:</w:t>
      </w:r>
      <w:r w:rsidRPr="00D83E3B">
        <w:t xml:space="preserve"> </w:t>
      </w:r>
      <w:r>
        <w:t xml:space="preserve">kokkuvõttes </w:t>
      </w:r>
      <w:r w:rsidRPr="00D83E3B">
        <w:t>on terroristliku režiimiga rii</w:t>
      </w:r>
      <w:r w:rsidR="00AB1A8B">
        <w:t>gi</w:t>
      </w:r>
      <w:r w:rsidRPr="00D83E3B">
        <w:t xml:space="preserve"> kodanike valimisõiguse piiramine vajalik</w:t>
      </w:r>
      <w:r>
        <w:t>.</w:t>
      </w:r>
    </w:p>
    <w:p w14:paraId="7C57DE3D" w14:textId="51F5C27F" w:rsidR="00461E7C" w:rsidRDefault="00461E7C" w:rsidP="009B44E4">
      <w:pPr>
        <w:pStyle w:val="Loendilik"/>
        <w:ind w:left="1080"/>
        <w:jc w:val="both"/>
      </w:pPr>
    </w:p>
    <w:p w14:paraId="5C33512F" w14:textId="70725859" w:rsidR="00461E7C" w:rsidRPr="00D83E3B" w:rsidRDefault="00461E7C" w:rsidP="009B44E4">
      <w:pPr>
        <w:pStyle w:val="Loendilik"/>
        <w:numPr>
          <w:ilvl w:val="2"/>
          <w:numId w:val="2"/>
        </w:numPr>
        <w:jc w:val="both"/>
      </w:pPr>
      <w:r>
        <w:t xml:space="preserve">Jõudes järeldusele, et VF kodanike valimisõiguse piiramine </w:t>
      </w:r>
      <w:r w:rsidR="00C91E79">
        <w:t xml:space="preserve">kohalike omavalitsuste valimistel </w:t>
      </w:r>
      <w:r>
        <w:t xml:space="preserve">on põhjendatud ja vajalik, tuleb seadusandjal </w:t>
      </w:r>
      <w:r w:rsidR="00C91E79">
        <w:t xml:space="preserve">veel </w:t>
      </w:r>
      <w:r>
        <w:t>põhjendada, kas selline piirang on</w:t>
      </w:r>
      <w:r w:rsidR="00AA6EC7">
        <w:t xml:space="preserve"> ka mõõdukas.</w:t>
      </w:r>
    </w:p>
    <w:p w14:paraId="2611A0FF" w14:textId="44BB9DB7" w:rsidR="00D83E3B" w:rsidRDefault="00D83E3B" w:rsidP="009B44E4">
      <w:pPr>
        <w:pStyle w:val="Loendilik"/>
        <w:ind w:left="1080"/>
        <w:jc w:val="both"/>
      </w:pPr>
    </w:p>
    <w:p w14:paraId="6FE436CB" w14:textId="238EB257" w:rsidR="00C91E79" w:rsidRDefault="00AA6EC7" w:rsidP="00C91E79">
      <w:pPr>
        <w:ind w:left="1080"/>
        <w:jc w:val="both"/>
      </w:pPr>
      <w:r>
        <w:rPr>
          <w:color w:val="000000" w:themeColor="text1"/>
        </w:rPr>
        <w:t xml:space="preserve">Mõõdukuse kriteeriumi kindlustamiseks lähtub käesolev seaduse muudatus </w:t>
      </w:r>
      <w:r w:rsidR="00C91E79">
        <w:rPr>
          <w:color w:val="000000" w:themeColor="text1"/>
        </w:rPr>
        <w:t xml:space="preserve">ajutisuse printiibist, s.t piirang lakkab kehtimast, kui Riigikogu muudab ära oma </w:t>
      </w:r>
      <w:r w:rsidR="00C91E79">
        <w:t xml:space="preserve">18. oktoobri 2023. aasta otsuse, millega Venemaal valitsev režiim tunnistati terroristlikuks ja </w:t>
      </w:r>
      <w:r w:rsidR="00C91E79" w:rsidRPr="00C91E79">
        <w:t xml:space="preserve">Venemaa Föderatsioon terrorismi toetavaks riigiks. </w:t>
      </w:r>
      <w:r w:rsidR="00C91E79">
        <w:t xml:space="preserve"> </w:t>
      </w:r>
    </w:p>
    <w:p w14:paraId="21170861" w14:textId="77777777" w:rsidR="00C91E79" w:rsidRDefault="00C91E79" w:rsidP="00C91E79">
      <w:pPr>
        <w:jc w:val="both"/>
      </w:pPr>
    </w:p>
    <w:p w14:paraId="656D0855" w14:textId="7D6787FC" w:rsidR="00122DD1" w:rsidRPr="001E1152" w:rsidRDefault="00AA6EC7" w:rsidP="009B44E4">
      <w:pPr>
        <w:pStyle w:val="Loendilik"/>
        <w:ind w:left="1080"/>
        <w:jc w:val="both"/>
      </w:pPr>
      <w:r w:rsidRPr="00D83E3B">
        <w:t>Seega</w:t>
      </w:r>
      <w:r>
        <w:t xml:space="preserve"> </w:t>
      </w:r>
      <w:r w:rsidRPr="00D83E3B">
        <w:t>on terroristliku režiimiga rii</w:t>
      </w:r>
      <w:r w:rsidR="00465262">
        <w:t>gi</w:t>
      </w:r>
      <w:r w:rsidRPr="00D83E3B">
        <w:t xml:space="preserve"> kodanike valimisõiguse piiramine </w:t>
      </w:r>
      <w:r>
        <w:t xml:space="preserve">õige, </w:t>
      </w:r>
      <w:r w:rsidRPr="00D83E3B">
        <w:t>vajalik</w:t>
      </w:r>
      <w:r>
        <w:t xml:space="preserve"> ja oma </w:t>
      </w:r>
      <w:r w:rsidR="00465262">
        <w:t>kindlalt</w:t>
      </w:r>
      <w:r>
        <w:t xml:space="preserve"> piiritletud ajalise piirangu kaudu ka mõõdukas.</w:t>
      </w:r>
    </w:p>
    <w:p w14:paraId="5BD32CA4" w14:textId="4F647016" w:rsidR="00122DD1" w:rsidRDefault="00122DD1" w:rsidP="009B44E4">
      <w:pPr>
        <w:jc w:val="both"/>
        <w:rPr>
          <w:b/>
          <w:bCs/>
        </w:rPr>
      </w:pPr>
    </w:p>
    <w:p w14:paraId="744A35B7" w14:textId="77777777" w:rsidR="008E4E6F" w:rsidRDefault="008E4E6F" w:rsidP="009B44E4">
      <w:pPr>
        <w:jc w:val="both"/>
        <w:rPr>
          <w:b/>
          <w:bCs/>
        </w:rPr>
      </w:pPr>
    </w:p>
    <w:p w14:paraId="5B2CD408" w14:textId="548AD5C2" w:rsidR="00122DD1" w:rsidRPr="009B44E4" w:rsidRDefault="00122DD1" w:rsidP="009B44E4">
      <w:pPr>
        <w:pStyle w:val="Loendilik"/>
        <w:numPr>
          <w:ilvl w:val="0"/>
          <w:numId w:val="2"/>
        </w:numPr>
        <w:jc w:val="both"/>
        <w:rPr>
          <w:b/>
          <w:bCs/>
        </w:rPr>
      </w:pPr>
      <w:r w:rsidRPr="009B44E4">
        <w:rPr>
          <w:b/>
          <w:bCs/>
        </w:rPr>
        <w:t>Vastavus rahvusvahelisele õigusele</w:t>
      </w:r>
    </w:p>
    <w:p w14:paraId="196A0AFB" w14:textId="42B570F8" w:rsidR="00122DD1" w:rsidRDefault="00122DD1" w:rsidP="009B44E4">
      <w:pPr>
        <w:jc w:val="both"/>
        <w:rPr>
          <w:b/>
          <w:bCs/>
        </w:rPr>
      </w:pPr>
    </w:p>
    <w:p w14:paraId="26FBD195" w14:textId="3BA2AAD5" w:rsidR="001E1152" w:rsidRDefault="001E1152" w:rsidP="009B44E4">
      <w:pPr>
        <w:jc w:val="both"/>
      </w:pPr>
      <w:r>
        <w:t>Rahvusvaheline õigus aktsepteerib üheselt iga riigi õigus</w:t>
      </w:r>
      <w:r w:rsidR="00903596">
        <w:t>t</w:t>
      </w:r>
      <w:r>
        <w:t xml:space="preserve"> otsustada </w:t>
      </w:r>
      <w:r w:rsidR="004A3A3B">
        <w:t xml:space="preserve">välismaalaste </w:t>
      </w:r>
      <w:r>
        <w:t>valimisõigus</w:t>
      </w:r>
      <w:r w:rsidR="004A3A3B">
        <w:t>e üle</w:t>
      </w:r>
      <w:r>
        <w:t xml:space="preserve"> oma ajaloolistest, kultuurilistest ja õiguslikest taustsüsteemidest lähtuvalt. Seega on välismaalaste valimisõiguse piiramine, mis järgib põhiseaduse sisu ja protsessireegleid ning õigusriigile omase kaalutlusotsuse põhimõtteid, igati rahvusvahelise õigusega kooskõlas. </w:t>
      </w:r>
    </w:p>
    <w:p w14:paraId="22F935C9" w14:textId="77777777" w:rsidR="001E1152" w:rsidRDefault="001E1152" w:rsidP="009B44E4">
      <w:pPr>
        <w:jc w:val="both"/>
      </w:pPr>
    </w:p>
    <w:p w14:paraId="45BBAF36" w14:textId="2F5B56CA" w:rsidR="001E1152" w:rsidRPr="001E1152" w:rsidRDefault="001E1152" w:rsidP="009B44E4">
      <w:pPr>
        <w:jc w:val="both"/>
      </w:pPr>
      <w:r>
        <w:t xml:space="preserve">Ka Euroopa Inimõiguste Kohus on korduvalt rõhutanud, et õiguspärane valimisõiguse regulatsioon on eri riikides eri aegadel erinev, sõltudes konkreetse riigi ajaloolisest arengust ning kultuurilisest ja poliitilisest taustast. </w:t>
      </w:r>
    </w:p>
    <w:p w14:paraId="71093769" w14:textId="77777777" w:rsidR="001E1152" w:rsidRDefault="001E1152" w:rsidP="009B44E4">
      <w:pPr>
        <w:jc w:val="both"/>
        <w:rPr>
          <w:b/>
          <w:bCs/>
        </w:rPr>
      </w:pPr>
    </w:p>
    <w:p w14:paraId="4262EFD4" w14:textId="63BBD02C" w:rsidR="001E1152" w:rsidRDefault="001E1152" w:rsidP="009B44E4">
      <w:pPr>
        <w:jc w:val="both"/>
      </w:pPr>
      <w:r>
        <w:t xml:space="preserve">Seejuures üks esimesi põhimõtteid, mida rahvusvahelises õiguses hinnatakse kõikide valimisõiguse piirangutega on küsimus </w:t>
      </w:r>
      <w:r w:rsidR="00BC7D11">
        <w:t xml:space="preserve">nn </w:t>
      </w:r>
      <w:r w:rsidR="00BC7D11">
        <w:rPr>
          <w:rFonts w:ascii="Times New Roman,Bold" w:hAnsi="Times New Roman,Bold"/>
        </w:rPr>
        <w:t>kodaniku-kombel käitumisega</w:t>
      </w:r>
      <w:r>
        <w:rPr>
          <w:rFonts w:ascii="Times New Roman,Bold" w:hAnsi="Times New Roman,Bold"/>
        </w:rPr>
        <w:t xml:space="preserve">, </w:t>
      </w:r>
      <w:r w:rsidR="00BC7D11">
        <w:rPr>
          <w:rFonts w:ascii="Times New Roman,Bold" w:hAnsi="Times New Roman,Bold"/>
        </w:rPr>
        <w:t xml:space="preserve">kodaniku-vastutusega </w:t>
      </w:r>
      <w:r w:rsidR="00BC7D11">
        <w:t xml:space="preserve">ning </w:t>
      </w:r>
      <w:r w:rsidR="00BC7D11">
        <w:rPr>
          <w:rFonts w:ascii="Times New Roman,Bold" w:hAnsi="Times New Roman,Bold"/>
        </w:rPr>
        <w:t>austusega õigusriigi põhimõtte vastu</w:t>
      </w:r>
      <w:r w:rsidR="00BC7D11">
        <w:t xml:space="preserve">. </w:t>
      </w:r>
    </w:p>
    <w:p w14:paraId="372E02F3" w14:textId="7B33EB62" w:rsidR="001E1152" w:rsidRDefault="001E1152" w:rsidP="009B44E4">
      <w:pPr>
        <w:jc w:val="both"/>
      </w:pPr>
    </w:p>
    <w:p w14:paraId="7D4F710C" w14:textId="41304497" w:rsidR="00C8187B" w:rsidRDefault="001E1152" w:rsidP="009B44E4">
      <w:pPr>
        <w:jc w:val="both"/>
      </w:pPr>
      <w:r>
        <w:t xml:space="preserve">Rääkides </w:t>
      </w:r>
      <w:r w:rsidR="004A3A3B">
        <w:t xml:space="preserve">Venemaa kui </w:t>
      </w:r>
      <w:r>
        <w:t>terroristliku režiimiga rii</w:t>
      </w:r>
      <w:r w:rsidR="004A3A3B">
        <w:t>gi</w:t>
      </w:r>
      <w:r>
        <w:t xml:space="preserve"> kodanike puhul nendest kriteeriumitest tuleb </w:t>
      </w:r>
      <w:r w:rsidR="00CB7DA6">
        <w:t xml:space="preserve">esimese asjana </w:t>
      </w:r>
      <w:r>
        <w:t xml:space="preserve">küsida, kas neil inimestel on olnud võimalus juba varem </w:t>
      </w:r>
      <w:r w:rsidR="004A3A3B">
        <w:t>loobuda</w:t>
      </w:r>
      <w:r w:rsidR="00CB7DA6">
        <w:t xml:space="preserve"> VF kodakondsusest </w:t>
      </w:r>
      <w:r w:rsidR="004A3A3B">
        <w:t>ning</w:t>
      </w:r>
      <w:r w:rsidR="00CB7DA6">
        <w:t xml:space="preserve"> asuda taotlema E</w:t>
      </w:r>
      <w:r w:rsidR="004A3A3B">
        <w:t>esti Vabariigi</w:t>
      </w:r>
      <w:r w:rsidR="00CB7DA6">
        <w:t xml:space="preserve"> kodakondsust</w:t>
      </w:r>
      <w:r w:rsidR="004A3A3B">
        <w:t>?</w:t>
      </w:r>
      <w:r w:rsidR="00CB7DA6">
        <w:t xml:space="preserve"> Enne 2022</w:t>
      </w:r>
      <w:r w:rsidR="004A3A3B">
        <w:t>. aastat</w:t>
      </w:r>
      <w:r w:rsidR="00CB7DA6">
        <w:t xml:space="preserve"> on see võimalus </w:t>
      </w:r>
      <w:r w:rsidR="004A3A3B">
        <w:t>neil</w:t>
      </w:r>
      <w:r w:rsidR="00CB7DA6">
        <w:t xml:space="preserve"> olnud</w:t>
      </w:r>
      <w:r w:rsidR="004A3A3B">
        <w:t>.</w:t>
      </w:r>
      <w:r w:rsidR="00CB7DA6">
        <w:t xml:space="preserve"> </w:t>
      </w:r>
      <w:r w:rsidR="004A3A3B">
        <w:t>N</w:t>
      </w:r>
      <w:r w:rsidR="00CB7DA6">
        <w:t xml:space="preserve">ende valik </w:t>
      </w:r>
      <w:r w:rsidR="004A3A3B">
        <w:t>V</w:t>
      </w:r>
      <w:r w:rsidR="00CB7DA6">
        <w:t>F kodakondsuse</w:t>
      </w:r>
      <w:r w:rsidR="004A3A3B">
        <w:t xml:space="preserve"> kasuks</w:t>
      </w:r>
      <w:r w:rsidR="00CB7DA6">
        <w:t xml:space="preserve"> on olnud nende </w:t>
      </w:r>
      <w:r w:rsidR="004A3A3B">
        <w:t xml:space="preserve">isiklik </w:t>
      </w:r>
      <w:r w:rsidR="00CB7DA6">
        <w:t>valik. S</w:t>
      </w:r>
      <w:r w:rsidR="00043A0F">
        <w:t xml:space="preserve">amas </w:t>
      </w:r>
      <w:r w:rsidR="00CB7DA6">
        <w:t xml:space="preserve">tuleb möönda, et 2022. aasta Venemaa </w:t>
      </w:r>
      <w:r w:rsidR="004A3A3B">
        <w:t xml:space="preserve">laiaulatusliku </w:t>
      </w:r>
      <w:r w:rsidR="00CB7DA6">
        <w:t xml:space="preserve">kallaletungi </w:t>
      </w:r>
      <w:r w:rsidR="004A3A3B">
        <w:t xml:space="preserve">kontekstis </w:t>
      </w:r>
      <w:r w:rsidR="00CB7DA6">
        <w:t>Ukraina</w:t>
      </w:r>
      <w:r w:rsidR="004A3A3B">
        <w:t xml:space="preserve"> vastu</w:t>
      </w:r>
      <w:r w:rsidR="00CB7DA6">
        <w:t xml:space="preserve"> on kindlasti </w:t>
      </w:r>
      <w:r w:rsidR="004A3A3B">
        <w:t>ka neid Eestis elavaid Venemaa kodanikke</w:t>
      </w:r>
      <w:r w:rsidR="00CB7DA6">
        <w:t xml:space="preserve">, kellel on tekkinud </w:t>
      </w:r>
      <w:r w:rsidR="00687D68">
        <w:t xml:space="preserve">pärast seda </w:t>
      </w:r>
      <w:r w:rsidR="00CB7DA6">
        <w:t xml:space="preserve">soov agressorriigi kodakondsusest </w:t>
      </w:r>
      <w:r w:rsidR="004A3A3B">
        <w:t>loobuda, aga</w:t>
      </w:r>
      <w:r w:rsidR="00CB7DA6">
        <w:t xml:space="preserve"> samal ajal on muutunud sellest vabanemine VF </w:t>
      </w:r>
      <w:r w:rsidR="004A3A3B">
        <w:t>kodakondsuspoliitika</w:t>
      </w:r>
      <w:r w:rsidR="00CB7DA6">
        <w:t xml:space="preserve"> tõttu </w:t>
      </w:r>
      <w:r w:rsidR="004A3A3B">
        <w:t xml:space="preserve">sisuliselt </w:t>
      </w:r>
      <w:r w:rsidR="00CB7DA6">
        <w:t xml:space="preserve">võimatuks. </w:t>
      </w:r>
      <w:r w:rsidR="00C8187B">
        <w:t xml:space="preserve">Seega </w:t>
      </w:r>
      <w:r w:rsidR="004A3A3B">
        <w:t xml:space="preserve">on </w:t>
      </w:r>
      <w:r w:rsidR="00C8187B">
        <w:t xml:space="preserve">neil </w:t>
      </w:r>
      <w:r w:rsidR="004A3A3B">
        <w:t xml:space="preserve">olnud </w:t>
      </w:r>
      <w:r w:rsidR="00C8187B">
        <w:t xml:space="preserve">võimalus saada Eesti kodakondseteks. Vastutus selle eest, et nad seda teinud ei ole, lasub ennekõike neil endil. </w:t>
      </w:r>
    </w:p>
    <w:p w14:paraId="3FCD2A0E" w14:textId="3CD341D0" w:rsidR="00C8187B" w:rsidRDefault="00C8187B" w:rsidP="009B44E4">
      <w:pPr>
        <w:jc w:val="both"/>
      </w:pPr>
    </w:p>
    <w:p w14:paraId="0F90A387" w14:textId="790BA4C6" w:rsidR="00C8187B" w:rsidRDefault="00C8187B" w:rsidP="009B44E4">
      <w:pPr>
        <w:jc w:val="both"/>
      </w:pPr>
      <w:r>
        <w:t>Rahvusvaheli</w:t>
      </w:r>
      <w:r w:rsidR="00687D68">
        <w:t>ses</w:t>
      </w:r>
      <w:r>
        <w:t xml:space="preserve"> õigus</w:t>
      </w:r>
      <w:r w:rsidR="00687D68">
        <w:t>es</w:t>
      </w:r>
      <w:r>
        <w:t xml:space="preserve"> </w:t>
      </w:r>
      <w:r w:rsidR="00687D68">
        <w:t xml:space="preserve">on </w:t>
      </w:r>
      <w:r>
        <w:t xml:space="preserve">valimisõiguse piiramise </w:t>
      </w:r>
      <w:r w:rsidR="00687D68">
        <w:t xml:space="preserve">teatud juhtudel </w:t>
      </w:r>
      <w:r>
        <w:t>kasuta</w:t>
      </w:r>
      <w:r w:rsidR="00687D68">
        <w:t>tud</w:t>
      </w:r>
      <w:r>
        <w:t xml:space="preserve"> ka loogikat, et kui </w:t>
      </w:r>
      <w:r w:rsidR="00687D68">
        <w:t>inimene</w:t>
      </w:r>
      <w:r>
        <w:t xml:space="preserve"> ei ole käitunud täiel määral selle riigi kodanikule seatud ootuste kohaselt ning pole austanud õigusriigi põhimõtteid, võib</w:t>
      </w:r>
      <w:r w:rsidR="00687D68">
        <w:t xml:space="preserve"> see esile kutsuda</w:t>
      </w:r>
      <w:r>
        <w:t xml:space="preserve"> hukkamõistu</w:t>
      </w:r>
      <w:r w:rsidR="00687D68">
        <w:t xml:space="preserve"> ja</w:t>
      </w:r>
      <w:r>
        <w:t xml:space="preserve"> „karistu</w:t>
      </w:r>
      <w:r w:rsidR="00687D68">
        <w:t>se</w:t>
      </w:r>
      <w:r>
        <w:t xml:space="preserve">“ valimisõiguse piiramise kaudu. </w:t>
      </w:r>
    </w:p>
    <w:p w14:paraId="623491C0" w14:textId="15C851E9" w:rsidR="00C8187B" w:rsidRDefault="00C8187B" w:rsidP="009B44E4">
      <w:pPr>
        <w:jc w:val="both"/>
      </w:pPr>
    </w:p>
    <w:p w14:paraId="61E1605A" w14:textId="1646D13C" w:rsidR="00920901" w:rsidRDefault="00C8187B" w:rsidP="009B44E4">
      <w:pPr>
        <w:jc w:val="both"/>
      </w:pPr>
      <w:r>
        <w:t xml:space="preserve">Antud seadusemuudatus </w:t>
      </w:r>
      <w:r w:rsidR="00687D68">
        <w:t xml:space="preserve">seda eesmärki </w:t>
      </w:r>
      <w:r>
        <w:t>ei sisalda</w:t>
      </w:r>
      <w:r w:rsidR="00687D68">
        <w:t>. Samas on</w:t>
      </w:r>
      <w:r>
        <w:t xml:space="preserve"> seda rahvusvahelise õiguse aspekti on oluline </w:t>
      </w:r>
      <w:r w:rsidR="00687D68">
        <w:t>esile tuua</w:t>
      </w:r>
      <w:r>
        <w:t xml:space="preserve">, hindamaks juba ette vastuargumente, kui keegi väidab tundvat end </w:t>
      </w:r>
      <w:r w:rsidR="00687D68">
        <w:t xml:space="preserve">selle seadusemuudatuse tõttu </w:t>
      </w:r>
      <w:r>
        <w:t xml:space="preserve">justkui karistatud. </w:t>
      </w:r>
    </w:p>
    <w:p w14:paraId="7EE75918" w14:textId="7F712448" w:rsidR="00920901" w:rsidRDefault="00920901" w:rsidP="009B44E4">
      <w:pPr>
        <w:jc w:val="both"/>
      </w:pPr>
    </w:p>
    <w:p w14:paraId="0CC80467" w14:textId="71780343" w:rsidR="00920901" w:rsidRPr="00920901" w:rsidRDefault="00920901" w:rsidP="009B44E4">
      <w:pPr>
        <w:jc w:val="both"/>
      </w:pPr>
      <w:r w:rsidRPr="00920901">
        <w:t>Lõpetuseks</w:t>
      </w:r>
      <w:r w:rsidR="00687D68">
        <w:t>:</w:t>
      </w:r>
      <w:r w:rsidRPr="00920901">
        <w:t xml:space="preserve"> rahvusvahelise õiguse ja praktika kontekstis tuleb märkida, et ka Euroopa kohaliku omavalitsuse harta suunab meid vaid järgima valimiste korraldamisel demokraatia põhimõtteid. Demokraatia reeglid on loetud järgituks ka Euroopa Liidu riikides, kus kohalikel valimistel kolmandate riikide kodanikud valida ei saa (näiteks Tšehhi Vabariik, Saksamaa, Prantsusmaa jt, kokku 12 riiki).</w:t>
      </w:r>
    </w:p>
    <w:p w14:paraId="3289E94D" w14:textId="19DB4A8F" w:rsidR="00920901" w:rsidRPr="00920901" w:rsidRDefault="00920901" w:rsidP="009B44E4">
      <w:pPr>
        <w:jc w:val="both"/>
      </w:pPr>
    </w:p>
    <w:p w14:paraId="4BEBED7F" w14:textId="77777777" w:rsidR="00920901" w:rsidRPr="00920901" w:rsidRDefault="00920901" w:rsidP="009B44E4">
      <w:pPr>
        <w:jc w:val="both"/>
      </w:pPr>
    </w:p>
    <w:p w14:paraId="05DCCF91" w14:textId="2CEFF0DA" w:rsidR="00122DD1" w:rsidRPr="009B44E4" w:rsidRDefault="00122DD1" w:rsidP="009B44E4">
      <w:pPr>
        <w:pStyle w:val="Loendilik"/>
        <w:numPr>
          <w:ilvl w:val="0"/>
          <w:numId w:val="2"/>
        </w:numPr>
        <w:jc w:val="both"/>
        <w:rPr>
          <w:b/>
          <w:bCs/>
        </w:rPr>
      </w:pPr>
      <w:r w:rsidRPr="009B44E4">
        <w:rPr>
          <w:b/>
          <w:bCs/>
        </w:rPr>
        <w:t>Seaduse mõjud</w:t>
      </w:r>
    </w:p>
    <w:p w14:paraId="7DBA0B92" w14:textId="418AF9D8" w:rsidR="00920901" w:rsidRDefault="00920901" w:rsidP="009B44E4">
      <w:pPr>
        <w:jc w:val="both"/>
        <w:rPr>
          <w:b/>
          <w:bCs/>
        </w:rPr>
      </w:pPr>
    </w:p>
    <w:p w14:paraId="0B9FAC0A" w14:textId="5853C4A2" w:rsidR="00920901" w:rsidRDefault="00920901" w:rsidP="009B44E4">
      <w:pPr>
        <w:jc w:val="both"/>
      </w:pPr>
      <w:r>
        <w:t>Seadus puudutab</w:t>
      </w:r>
      <w:r w:rsidR="00F63D4E">
        <w:t xml:space="preserve"> Eestis elavaid</w:t>
      </w:r>
      <w:r>
        <w:t xml:space="preserve"> V</w:t>
      </w:r>
      <w:r w:rsidR="00ED5445">
        <w:t>enemaa Föderatsiooni</w:t>
      </w:r>
      <w:r>
        <w:t xml:space="preserve"> kodanikk</w:t>
      </w:r>
      <w:r w:rsidR="00F63D4E">
        <w:t>e</w:t>
      </w:r>
      <w:r>
        <w:t xml:space="preserve">. </w:t>
      </w:r>
    </w:p>
    <w:p w14:paraId="2019AC7C" w14:textId="13FADC94" w:rsidR="00920901" w:rsidRDefault="00920901" w:rsidP="009B44E4">
      <w:pPr>
        <w:jc w:val="both"/>
      </w:pPr>
    </w:p>
    <w:p w14:paraId="3B5AAC2A" w14:textId="79122021" w:rsidR="00CC2064" w:rsidRDefault="00920901" w:rsidP="009B44E4">
      <w:pPr>
        <w:jc w:val="both"/>
      </w:pPr>
      <w:r>
        <w:t xml:space="preserve">Kordamata siinkohal eeltoodud põhjendusi tasub märkida, et selle seaduse mõju avaldub kindlasti ka selles, et </w:t>
      </w:r>
      <w:r w:rsidR="00F63D4E">
        <w:t>Venemaa kodanikud</w:t>
      </w:r>
      <w:r>
        <w:t>, kelle valimisõigus kohalike</w:t>
      </w:r>
      <w:r w:rsidR="00F63D4E">
        <w:t>l</w:t>
      </w:r>
      <w:r>
        <w:t xml:space="preserve"> valimiste</w:t>
      </w:r>
      <w:r w:rsidR="00F63D4E">
        <w:t>l peatakse</w:t>
      </w:r>
      <w:r>
        <w:t xml:space="preserve">, ei saa </w:t>
      </w:r>
      <w:r w:rsidR="00F63D4E">
        <w:t>enam senises mahus k</w:t>
      </w:r>
      <w:r>
        <w:t xml:space="preserve">ohaliku elu </w:t>
      </w:r>
      <w:r w:rsidR="00F63D4E">
        <w:t>korraldamisel kaasa rääkida</w:t>
      </w:r>
      <w:r>
        <w:t xml:space="preserve">. Samas puudutab vaid see poliitilist valimisõigust ehk otsustamist, kes võiks olla kohaliku tasandi juhid </w:t>
      </w:r>
      <w:r w:rsidR="00F63D4E">
        <w:t xml:space="preserve">ega </w:t>
      </w:r>
      <w:r w:rsidR="00ED5445">
        <w:t>käsita</w:t>
      </w:r>
      <w:r>
        <w:t xml:space="preserve"> </w:t>
      </w:r>
      <w:r w:rsidR="00F63D4E">
        <w:t>tegevust</w:t>
      </w:r>
      <w:r>
        <w:t xml:space="preserve"> kodanikuühenduses või lihtsalt aktiivse kodanikuna. </w:t>
      </w:r>
      <w:r w:rsidR="00D87412">
        <w:t xml:space="preserve">Valimisõigus on privileeg, mille annab riik, võtab riik ja peatab riik. </w:t>
      </w:r>
      <w:r>
        <w:t xml:space="preserve">Arvestades Ukraina </w:t>
      </w:r>
      <w:r w:rsidR="00F63D4E">
        <w:t>sõja</w:t>
      </w:r>
      <w:r>
        <w:t>kogemust tuleb tõdeda, et kohaliku elu küsimused on vägagi seotud riigi, sealhulgas siseju</w:t>
      </w:r>
      <w:r w:rsidR="00CC2064">
        <w:t>l</w:t>
      </w:r>
      <w:r>
        <w:t>geoleku</w:t>
      </w:r>
      <w:r w:rsidR="00CC2064">
        <w:t xml:space="preserve"> </w:t>
      </w:r>
      <w:r w:rsidR="00ED5445">
        <w:t>toimimisega</w:t>
      </w:r>
      <w:r w:rsidR="00CC2064">
        <w:t xml:space="preserve"> ning </w:t>
      </w:r>
      <w:r w:rsidR="00F63D4E">
        <w:t xml:space="preserve">pole </w:t>
      </w:r>
      <w:r w:rsidR="00ED5445">
        <w:t>seetõttu juba ammu</w:t>
      </w:r>
      <w:r w:rsidR="00CC2064">
        <w:t xml:space="preserve"> </w:t>
      </w:r>
      <w:r w:rsidR="00F63D4E">
        <w:t>oma loomult</w:t>
      </w:r>
      <w:r w:rsidR="00CC2064">
        <w:t xml:space="preserve"> teisejärguli</w:t>
      </w:r>
      <w:r w:rsidR="00F63D4E">
        <w:t>sed</w:t>
      </w:r>
      <w:r w:rsidR="00CC2064">
        <w:t xml:space="preserve">. </w:t>
      </w:r>
    </w:p>
    <w:p w14:paraId="304B000B" w14:textId="77777777" w:rsidR="00E1753E" w:rsidRDefault="00E1753E" w:rsidP="009B44E4">
      <w:pPr>
        <w:jc w:val="both"/>
      </w:pPr>
    </w:p>
    <w:p w14:paraId="12186879" w14:textId="09937E63" w:rsidR="00D87412" w:rsidRDefault="00CC2064" w:rsidP="009B44E4">
      <w:pPr>
        <w:jc w:val="both"/>
      </w:pPr>
      <w:r>
        <w:t xml:space="preserve">Kokkuvõttes kaaluvad seaduse positiivsed mõjud üles negatiivsed. </w:t>
      </w:r>
      <w:r w:rsidR="00E1753E">
        <w:t>Seaduse</w:t>
      </w:r>
      <w:r>
        <w:t>muudatus on kooskõlas nii EV põhiseaduse kui rahvusvahelise õiguse põhimõtetega ja täidab selgelt eesmärki hoida Eesti Vabariigi tulevikku puudutavate otsuste tegemine selgelt demokraatlikel alustel, mis lähtu</w:t>
      </w:r>
      <w:r w:rsidR="00E1753E">
        <w:t>vad</w:t>
      </w:r>
      <w:r>
        <w:t xml:space="preserve"> </w:t>
      </w:r>
      <w:r w:rsidR="009B44E4">
        <w:t xml:space="preserve">meie </w:t>
      </w:r>
      <w:r>
        <w:t xml:space="preserve">rahva vabast tahtest ja põhiseaduse eesmärkidest.  </w:t>
      </w:r>
    </w:p>
    <w:p w14:paraId="06E19083" w14:textId="7EA4E866" w:rsidR="00D87412" w:rsidRPr="00D87412" w:rsidRDefault="00D87412" w:rsidP="009B44E4">
      <w:pPr>
        <w:jc w:val="both"/>
      </w:pPr>
    </w:p>
    <w:p w14:paraId="2262FD01" w14:textId="257FCCE0" w:rsidR="00D87412" w:rsidRPr="00D87412" w:rsidRDefault="00D87412" w:rsidP="009B44E4">
      <w:pPr>
        <w:jc w:val="both"/>
      </w:pPr>
      <w:r w:rsidRPr="00D87412">
        <w:t>Põhiseadust</w:t>
      </w:r>
      <w:r w:rsidR="00E1753E">
        <w:t>,</w:t>
      </w:r>
      <w:r w:rsidRPr="00D87412">
        <w:t xml:space="preserve"> nagu ka kõiki EV kehtivaid teisi seadusi kohaldatakse </w:t>
      </w:r>
      <w:r w:rsidR="00E1753E">
        <w:t xml:space="preserve">ja </w:t>
      </w:r>
      <w:r w:rsidRPr="00D87412">
        <w:t xml:space="preserve">tõlgendatakse </w:t>
      </w:r>
      <w:r w:rsidR="00E1753E">
        <w:t xml:space="preserve">põhiseaduse </w:t>
      </w:r>
      <w:r w:rsidRPr="00D87412">
        <w:t>preambulas kajastatud väärtusi ning Eesti ühiskondliku sise- ja väliskonteksti silmas pidades. Põhiseaduse preambula kohaselt on Eesti riik "loodud kaitseks sisemisele ja välisele rahule ning peab "tagama eesti rahvuse, keele ja kultuuri säilimise läbi aegade…".</w:t>
      </w:r>
      <w:r>
        <w:t xml:space="preserve"> </w:t>
      </w:r>
      <w:r w:rsidRPr="00D87412">
        <w:t xml:space="preserve">Need ülimad eesmärgid kohustavad </w:t>
      </w:r>
      <w:r w:rsidR="00E1753E">
        <w:t>Riigikogu</w:t>
      </w:r>
      <w:r w:rsidRPr="00D87412">
        <w:t xml:space="preserve"> rakendama kõiki vajalikke ja asjakohaseid abinõusid </w:t>
      </w:r>
      <w:r w:rsidR="009B44E4">
        <w:t xml:space="preserve">nende </w:t>
      </w:r>
      <w:r w:rsidRPr="00D87412">
        <w:t xml:space="preserve">eesmärkide ja väärtuste kaitseks. </w:t>
      </w:r>
      <w:r w:rsidR="00E1753E">
        <w:t>Eesti r</w:t>
      </w:r>
      <w:r w:rsidRPr="00D87412">
        <w:t>ahvuse, keele ja kultuuri hoidmise ja säilimise põhiseaduslik ülesanne laieneb ka kõikidele omavalitsustele sõltumata nende asukohast ja rahvuslikust koosseisust.</w:t>
      </w:r>
      <w:r w:rsidR="009B44E4">
        <w:t xml:space="preserve"> </w:t>
      </w:r>
      <w:r w:rsidR="00E1753E">
        <w:t>S</w:t>
      </w:r>
      <w:r w:rsidR="009B44E4">
        <w:t xml:space="preserve">elleks, et seda põhiseadusest tulenevat kohustust täita, </w:t>
      </w:r>
      <w:r w:rsidR="00E1753E">
        <w:t xml:space="preserve">on </w:t>
      </w:r>
      <w:r w:rsidR="00ED5445">
        <w:t>igati õigustatud</w:t>
      </w:r>
      <w:r w:rsidR="00E1753E">
        <w:t xml:space="preserve"> piirata</w:t>
      </w:r>
      <w:r w:rsidR="009B44E4">
        <w:t xml:space="preserve"> </w:t>
      </w:r>
      <w:r w:rsidR="00E1753E">
        <w:t xml:space="preserve">Venemaa kui </w:t>
      </w:r>
      <w:r w:rsidR="009B44E4">
        <w:t>terroristliku režiimiga rii</w:t>
      </w:r>
      <w:r w:rsidR="00E1753E">
        <w:t>gi</w:t>
      </w:r>
      <w:r w:rsidR="009B44E4">
        <w:t xml:space="preserve"> kodanike valimisõigust. </w:t>
      </w:r>
    </w:p>
    <w:p w14:paraId="3F06E73B" w14:textId="77777777" w:rsidR="00D87412" w:rsidRPr="00D87412" w:rsidRDefault="00D87412" w:rsidP="00122DD1"/>
    <w:p w14:paraId="7292601B" w14:textId="747DD6E1" w:rsidR="00122DD1" w:rsidRDefault="00122DD1" w:rsidP="00122DD1">
      <w:pPr>
        <w:rPr>
          <w:b/>
          <w:bCs/>
        </w:rPr>
      </w:pPr>
    </w:p>
    <w:p w14:paraId="1AA9654F" w14:textId="0191ED63" w:rsidR="00122DD1" w:rsidRDefault="009B44E4" w:rsidP="009B44E4">
      <w:pPr>
        <w:pStyle w:val="Loendilik"/>
        <w:numPr>
          <w:ilvl w:val="0"/>
          <w:numId w:val="2"/>
        </w:numPr>
        <w:rPr>
          <w:b/>
          <w:bCs/>
        </w:rPr>
      </w:pPr>
      <w:r>
        <w:rPr>
          <w:b/>
          <w:bCs/>
        </w:rPr>
        <w:t>Seaduse rakendamine</w:t>
      </w:r>
    </w:p>
    <w:p w14:paraId="2653B39D" w14:textId="741E5630" w:rsidR="009B44E4" w:rsidRDefault="009B44E4" w:rsidP="009B44E4">
      <w:pPr>
        <w:rPr>
          <w:b/>
          <w:bCs/>
        </w:rPr>
      </w:pPr>
    </w:p>
    <w:p w14:paraId="4ADD6C91" w14:textId="0F5D9D8A" w:rsidR="009B44E4" w:rsidRDefault="009B44E4" w:rsidP="00E1753E">
      <w:pPr>
        <w:jc w:val="both"/>
      </w:pPr>
      <w:r>
        <w:t>Nii siseriiklik kui rahvusvaheline hea tava näevad ette, et valimisõigusega seotud seadusemuudatused oleks piisavalt pikka aega ette teada. Kohalike omavalitsuste valimisteni on aasta</w:t>
      </w:r>
      <w:r w:rsidR="00E1753E">
        <w:t xml:space="preserve"> aega</w:t>
      </w:r>
      <w:r>
        <w:t xml:space="preserve">, seega seaduse vastuvõtmisel on piisavalt aega selle rakendamiseks ning kõikide </w:t>
      </w:r>
      <w:r w:rsidR="00E1753E">
        <w:t>selleks</w:t>
      </w:r>
      <w:r>
        <w:t xml:space="preserve"> vaja</w:t>
      </w:r>
      <w:r w:rsidR="00E1753E">
        <w:t>like i</w:t>
      </w:r>
      <w:r>
        <w:t xml:space="preserve">nstitutsionaalsete ja infotehnoloogiliste muudatuste elluviimiseks.  </w:t>
      </w:r>
    </w:p>
    <w:p w14:paraId="1571782C" w14:textId="3D1BFCF0" w:rsidR="00F81530" w:rsidRDefault="00F81530" w:rsidP="00E1753E">
      <w:pPr>
        <w:jc w:val="both"/>
      </w:pPr>
    </w:p>
    <w:p w14:paraId="75C34B91" w14:textId="735BEE2B" w:rsidR="00F81530" w:rsidRDefault="00F81530" w:rsidP="00E1753E">
      <w:pPr>
        <w:jc w:val="both"/>
      </w:pPr>
      <w:r>
        <w:t>--------------------------------------------------------------------------------------------------------------------------</w:t>
      </w:r>
    </w:p>
    <w:p w14:paraId="350961EC" w14:textId="43FE655D" w:rsidR="00F81530" w:rsidRDefault="00F81530" w:rsidP="00E1753E">
      <w:pPr>
        <w:jc w:val="both"/>
      </w:pPr>
    </w:p>
    <w:p w14:paraId="11837755" w14:textId="7B85A37C" w:rsidR="00F81530" w:rsidRDefault="00F81530" w:rsidP="00E1753E">
      <w:pPr>
        <w:jc w:val="both"/>
      </w:pPr>
    </w:p>
    <w:p w14:paraId="50DDC14F" w14:textId="664DD7E0" w:rsidR="00F81530" w:rsidRDefault="00F81530" w:rsidP="00E1753E">
      <w:pPr>
        <w:jc w:val="both"/>
      </w:pPr>
    </w:p>
    <w:p w14:paraId="535FA6F5" w14:textId="20F5B188" w:rsidR="00F81530" w:rsidRDefault="00F81530" w:rsidP="00E1753E">
      <w:pPr>
        <w:jc w:val="both"/>
      </w:pPr>
      <w:r>
        <w:t>Algatab Riigikogu liige</w:t>
      </w:r>
      <w:r>
        <w:tab/>
      </w:r>
      <w:r>
        <w:tab/>
      </w:r>
      <w:r>
        <w:tab/>
      </w:r>
      <w:r>
        <w:tab/>
      </w:r>
      <w:r>
        <w:tab/>
      </w:r>
      <w:r>
        <w:tab/>
      </w:r>
      <w:r>
        <w:tab/>
      </w:r>
      <w:r>
        <w:tab/>
        <w:t>24.10.2024</w:t>
      </w:r>
    </w:p>
    <w:p w14:paraId="4A9EFA0D" w14:textId="591219B4" w:rsidR="00F81530" w:rsidRPr="009B44E4" w:rsidRDefault="00F81530" w:rsidP="00E1753E">
      <w:pPr>
        <w:jc w:val="both"/>
      </w:pPr>
      <w:r>
        <w:t>Leo Kunnas</w:t>
      </w:r>
    </w:p>
    <w:sectPr w:rsidR="00F81530" w:rsidRPr="009B4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34358"/>
    <w:multiLevelType w:val="hybridMultilevel"/>
    <w:tmpl w:val="A6CC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E29F4"/>
    <w:multiLevelType w:val="multilevel"/>
    <w:tmpl w:val="517A1C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4231735">
    <w:abstractNumId w:val="0"/>
  </w:num>
  <w:num w:numId="2" w16cid:durableId="1555193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D1"/>
    <w:rsid w:val="0002439E"/>
    <w:rsid w:val="00043A0F"/>
    <w:rsid w:val="0009745A"/>
    <w:rsid w:val="00122DD1"/>
    <w:rsid w:val="001960CD"/>
    <w:rsid w:val="001E1152"/>
    <w:rsid w:val="002167C3"/>
    <w:rsid w:val="003631A7"/>
    <w:rsid w:val="003C2796"/>
    <w:rsid w:val="00461E7C"/>
    <w:rsid w:val="00465262"/>
    <w:rsid w:val="00471DCE"/>
    <w:rsid w:val="004A3A3B"/>
    <w:rsid w:val="00543457"/>
    <w:rsid w:val="00546871"/>
    <w:rsid w:val="00546A00"/>
    <w:rsid w:val="00574908"/>
    <w:rsid w:val="005E011F"/>
    <w:rsid w:val="00636B0E"/>
    <w:rsid w:val="00674B7A"/>
    <w:rsid w:val="00687D68"/>
    <w:rsid w:val="006E5F7D"/>
    <w:rsid w:val="00707101"/>
    <w:rsid w:val="007505BB"/>
    <w:rsid w:val="0076190D"/>
    <w:rsid w:val="00764340"/>
    <w:rsid w:val="00791EBC"/>
    <w:rsid w:val="008326EC"/>
    <w:rsid w:val="00886911"/>
    <w:rsid w:val="008E4E6F"/>
    <w:rsid w:val="00903596"/>
    <w:rsid w:val="00920901"/>
    <w:rsid w:val="00920FAC"/>
    <w:rsid w:val="00950E49"/>
    <w:rsid w:val="009B44E4"/>
    <w:rsid w:val="009C4E85"/>
    <w:rsid w:val="009E0A53"/>
    <w:rsid w:val="00AA6EC7"/>
    <w:rsid w:val="00AB1A8B"/>
    <w:rsid w:val="00B12361"/>
    <w:rsid w:val="00B128C5"/>
    <w:rsid w:val="00B4693C"/>
    <w:rsid w:val="00BC7D11"/>
    <w:rsid w:val="00C11E7D"/>
    <w:rsid w:val="00C8187B"/>
    <w:rsid w:val="00C91E79"/>
    <w:rsid w:val="00CA7163"/>
    <w:rsid w:val="00CB7DA6"/>
    <w:rsid w:val="00CC2064"/>
    <w:rsid w:val="00CE4B3A"/>
    <w:rsid w:val="00D65CD8"/>
    <w:rsid w:val="00D83E3B"/>
    <w:rsid w:val="00D87412"/>
    <w:rsid w:val="00DB5592"/>
    <w:rsid w:val="00DC2710"/>
    <w:rsid w:val="00DD693C"/>
    <w:rsid w:val="00E1753E"/>
    <w:rsid w:val="00EB1809"/>
    <w:rsid w:val="00EC66A3"/>
    <w:rsid w:val="00ED33FF"/>
    <w:rsid w:val="00ED519D"/>
    <w:rsid w:val="00ED5445"/>
    <w:rsid w:val="00F63D4E"/>
    <w:rsid w:val="00F81530"/>
    <w:rsid w:val="00FC7B15"/>
    <w:rsid w:val="00FE299B"/>
    <w:rsid w:val="00FF2D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2966"/>
  <w15:chartTrackingRefBased/>
  <w15:docId w15:val="{3E57C197-9475-D340-AB36-9F411535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22DD1"/>
    <w:pPr>
      <w:ind w:left="720"/>
      <w:contextualSpacing/>
    </w:pPr>
  </w:style>
  <w:style w:type="character" w:styleId="Tugev">
    <w:name w:val="Strong"/>
    <w:basedOn w:val="Liguvaikefont"/>
    <w:uiPriority w:val="22"/>
    <w:qFormat/>
    <w:rsid w:val="00FC7B15"/>
    <w:rPr>
      <w:b/>
      <w:bCs/>
    </w:rPr>
  </w:style>
  <w:style w:type="character" w:customStyle="1" w:styleId="apple-converted-space">
    <w:name w:val="apple-converted-space"/>
    <w:basedOn w:val="Liguvaikefont"/>
    <w:rsid w:val="00FC7B15"/>
  </w:style>
  <w:style w:type="paragraph" w:customStyle="1" w:styleId="paragraph">
    <w:name w:val="paragraph"/>
    <w:basedOn w:val="Normaallaad"/>
    <w:rsid w:val="00FC7B15"/>
    <w:pPr>
      <w:spacing w:before="100" w:beforeAutospacing="1" w:after="100" w:afterAutospacing="1"/>
    </w:pPr>
    <w:rPr>
      <w:rFonts w:ascii="Times New Roman" w:eastAsia="Times New Roman" w:hAnsi="Times New Roman" w:cs="Times New Roman"/>
      <w:lang w:eastAsia="en-GB"/>
    </w:rPr>
  </w:style>
  <w:style w:type="character" w:customStyle="1" w:styleId="mm">
    <w:name w:val="mm"/>
    <w:basedOn w:val="Liguvaikefont"/>
    <w:rsid w:val="00FC7B15"/>
  </w:style>
  <w:style w:type="character" w:styleId="Hperlink">
    <w:name w:val="Hyperlink"/>
    <w:basedOn w:val="Liguvaikefont"/>
    <w:uiPriority w:val="99"/>
    <w:semiHidden/>
    <w:unhideWhenUsed/>
    <w:rsid w:val="00FC7B15"/>
    <w:rPr>
      <w:color w:val="0000FF"/>
      <w:u w:val="single"/>
    </w:rPr>
  </w:style>
  <w:style w:type="paragraph" w:styleId="Normaallaadveeb">
    <w:name w:val="Normal (Web)"/>
    <w:basedOn w:val="Normaallaad"/>
    <w:uiPriority w:val="99"/>
    <w:semiHidden/>
    <w:unhideWhenUsed/>
    <w:rsid w:val="00FC7B15"/>
    <w:pPr>
      <w:spacing w:before="100" w:beforeAutospacing="1" w:after="100" w:afterAutospacing="1"/>
    </w:pPr>
    <w:rPr>
      <w:rFonts w:ascii="Times New Roman" w:eastAsia="Times New Roman" w:hAnsi="Times New Roman" w:cs="Times New Roman"/>
      <w:lang w:eastAsia="en-GB"/>
    </w:rPr>
  </w:style>
  <w:style w:type="character" w:styleId="Klastatudhperlink">
    <w:name w:val="FollowedHyperlink"/>
    <w:basedOn w:val="Liguvaikefont"/>
    <w:uiPriority w:val="99"/>
    <w:semiHidden/>
    <w:unhideWhenUsed/>
    <w:rsid w:val="005E011F"/>
    <w:rPr>
      <w:color w:val="954F72" w:themeColor="followedHyperlink"/>
      <w:u w:val="single"/>
    </w:rPr>
  </w:style>
  <w:style w:type="paragraph" w:styleId="Jutumullitekst">
    <w:name w:val="Balloon Text"/>
    <w:basedOn w:val="Normaallaad"/>
    <w:link w:val="JutumullitekstMrk"/>
    <w:uiPriority w:val="99"/>
    <w:semiHidden/>
    <w:unhideWhenUsed/>
    <w:rsid w:val="00DB559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B5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60358">
      <w:bodyDiv w:val="1"/>
      <w:marLeft w:val="0"/>
      <w:marRight w:val="0"/>
      <w:marTop w:val="0"/>
      <w:marBottom w:val="0"/>
      <w:divBdr>
        <w:top w:val="none" w:sz="0" w:space="0" w:color="auto"/>
        <w:left w:val="none" w:sz="0" w:space="0" w:color="auto"/>
        <w:bottom w:val="none" w:sz="0" w:space="0" w:color="auto"/>
        <w:right w:val="none" w:sz="0" w:space="0" w:color="auto"/>
      </w:divBdr>
    </w:div>
    <w:div w:id="1511916820">
      <w:bodyDiv w:val="1"/>
      <w:marLeft w:val="0"/>
      <w:marRight w:val="0"/>
      <w:marTop w:val="0"/>
      <w:marBottom w:val="0"/>
      <w:divBdr>
        <w:top w:val="none" w:sz="0" w:space="0" w:color="auto"/>
        <w:left w:val="none" w:sz="0" w:space="0" w:color="auto"/>
        <w:bottom w:val="none" w:sz="0" w:space="0" w:color="auto"/>
        <w:right w:val="none" w:sz="0" w:space="0" w:color="auto"/>
      </w:divBdr>
    </w:div>
    <w:div w:id="17591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747471" TargetMode="External"/><Relationship Id="rId3" Type="http://schemas.openxmlformats.org/officeDocument/2006/relationships/settings" Target="settings.xml"/><Relationship Id="rId7" Type="http://schemas.openxmlformats.org/officeDocument/2006/relationships/hyperlink" Target="https://www.riigiteataja.ee/akt/12201201600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115052015001" TargetMode="External"/><Relationship Id="rId11" Type="http://schemas.openxmlformats.org/officeDocument/2006/relationships/fontTable" Target="fontTable.xml"/><Relationship Id="rId5" Type="http://schemas.openxmlformats.org/officeDocument/2006/relationships/hyperlink" Target="https://www.riigiteataja.ee/akt/550572" TargetMode="External"/><Relationship Id="rId10" Type="http://schemas.openxmlformats.org/officeDocument/2006/relationships/hyperlink" Target="https://www.riigiteataja.ee/akt/110072012003" TargetMode="External"/><Relationship Id="rId4" Type="http://schemas.openxmlformats.org/officeDocument/2006/relationships/webSettings" Target="webSettings.xml"/><Relationship Id="rId9" Type="http://schemas.openxmlformats.org/officeDocument/2006/relationships/hyperlink" Target="https://www.riigiteataja.ee/akt/122012016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2249</Words>
  <Characters>13046</Characters>
  <Application>Microsoft Office Word</Application>
  <DocSecurity>0</DocSecurity>
  <Lines>108</Lines>
  <Paragraphs>30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Lavly Perling</dc:creator>
  <cp:keywords/>
  <dc:description/>
  <cp:lastModifiedBy>Raina Liiv</cp:lastModifiedBy>
  <cp:revision>2</cp:revision>
  <cp:lastPrinted>2024-10-23T14:05:00Z</cp:lastPrinted>
  <dcterms:created xsi:type="dcterms:W3CDTF">2024-10-24T07:45:00Z</dcterms:created>
  <dcterms:modified xsi:type="dcterms:W3CDTF">2024-10-24T07:45:00Z</dcterms:modified>
</cp:coreProperties>
</file>