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ADC44" w14:textId="48517382" w:rsidR="006B1555" w:rsidRPr="00874322" w:rsidRDefault="00302D22" w:rsidP="006B1555">
      <w:pPr>
        <w:ind w:firstLine="708"/>
        <w:jc w:val="right"/>
        <w:rPr>
          <w:szCs w:val="24"/>
        </w:rPr>
      </w:pPr>
      <w:r>
        <w:rPr>
          <w:szCs w:val="24"/>
        </w:rPr>
        <w:t>1</w:t>
      </w:r>
      <w:r w:rsidR="00E03440">
        <w:rPr>
          <w:szCs w:val="24"/>
        </w:rPr>
        <w:t>4</w:t>
      </w:r>
      <w:r w:rsidR="006B1555">
        <w:rPr>
          <w:szCs w:val="24"/>
        </w:rPr>
        <w:t>.11</w:t>
      </w:r>
      <w:r w:rsidR="006B1555" w:rsidRPr="00874322">
        <w:rPr>
          <w:szCs w:val="24"/>
        </w:rPr>
        <w:t>.202</w:t>
      </w:r>
      <w:r w:rsidR="006B1555">
        <w:rPr>
          <w:szCs w:val="24"/>
        </w:rPr>
        <w:t>5</w:t>
      </w:r>
    </w:p>
    <w:p w14:paraId="7AE1126A" w14:textId="77777777" w:rsidR="006B1555" w:rsidRPr="009C62B1" w:rsidRDefault="006B1555" w:rsidP="006B1555">
      <w:pPr>
        <w:rPr>
          <w:b/>
          <w:sz w:val="32"/>
          <w:szCs w:val="32"/>
        </w:rPr>
      </w:pPr>
    </w:p>
    <w:p w14:paraId="278C540F" w14:textId="77777777" w:rsidR="006B1555" w:rsidRPr="009C62B1" w:rsidRDefault="006B1555" w:rsidP="006B1555">
      <w:pPr>
        <w:jc w:val="center"/>
        <w:rPr>
          <w:b/>
          <w:sz w:val="32"/>
        </w:rPr>
      </w:pPr>
      <w:r w:rsidRPr="00105FAE">
        <w:rPr>
          <w:b/>
          <w:sz w:val="32"/>
          <w:szCs w:val="32"/>
        </w:rPr>
        <w:t>Elektrituruseaduse</w:t>
      </w:r>
      <w:r>
        <w:rPr>
          <w:b/>
          <w:sz w:val="32"/>
          <w:szCs w:val="32"/>
        </w:rPr>
        <w:t xml:space="preserve"> ja teiste seaduste</w:t>
      </w:r>
      <w:r w:rsidRPr="00105FAE">
        <w:rPr>
          <w:b/>
          <w:sz w:val="32"/>
          <w:szCs w:val="32"/>
        </w:rPr>
        <w:t xml:space="preserve"> </w:t>
      </w:r>
      <w:r w:rsidRPr="009C62B1">
        <w:rPr>
          <w:b/>
          <w:sz w:val="32"/>
          <w:szCs w:val="32"/>
        </w:rPr>
        <w:t>muutmise seaduse</w:t>
      </w:r>
      <w:r>
        <w:rPr>
          <w:b/>
          <w:sz w:val="32"/>
          <w:szCs w:val="32"/>
        </w:rPr>
        <w:t xml:space="preserve"> eelnõu</w:t>
      </w:r>
      <w:r w:rsidRPr="009C62B1">
        <w:rPr>
          <w:b/>
          <w:sz w:val="32"/>
        </w:rPr>
        <w:t xml:space="preserve"> seletuskiri</w:t>
      </w:r>
    </w:p>
    <w:p w14:paraId="4D819E7D" w14:textId="77777777" w:rsidR="006B1555" w:rsidRPr="009C62B1" w:rsidRDefault="006B1555" w:rsidP="006B1555">
      <w:pPr>
        <w:spacing w:before="240" w:after="240"/>
      </w:pPr>
    </w:p>
    <w:p w14:paraId="00A9EF7D" w14:textId="77777777" w:rsidR="006B1555" w:rsidRPr="00F57E3D" w:rsidRDefault="006B1555" w:rsidP="006B1555">
      <w:pPr>
        <w:pStyle w:val="Loendilik"/>
        <w:numPr>
          <w:ilvl w:val="0"/>
          <w:numId w:val="2"/>
        </w:numPr>
        <w:rPr>
          <w:b/>
        </w:rPr>
      </w:pPr>
      <w:r w:rsidRPr="00F57E3D">
        <w:rPr>
          <w:b/>
        </w:rPr>
        <w:t>Sissejuhatus</w:t>
      </w:r>
    </w:p>
    <w:p w14:paraId="12554C3B" w14:textId="77777777" w:rsidR="006B1555" w:rsidRDefault="006B1555" w:rsidP="006B1555">
      <w:pPr>
        <w:numPr>
          <w:ilvl w:val="1"/>
          <w:numId w:val="2"/>
        </w:numPr>
        <w:outlineLvl w:val="0"/>
        <w:rPr>
          <w:b/>
        </w:rPr>
      </w:pPr>
      <w:r w:rsidRPr="009C62B1">
        <w:rPr>
          <w:b/>
        </w:rPr>
        <w:t>Sisukokkuvõte</w:t>
      </w:r>
    </w:p>
    <w:p w14:paraId="6D5A214A" w14:textId="77777777" w:rsidR="006B1555" w:rsidRPr="009C62B1" w:rsidRDefault="006B1555" w:rsidP="006B1555">
      <w:pPr>
        <w:outlineLvl w:val="0"/>
        <w:rPr>
          <w:b/>
        </w:rPr>
      </w:pPr>
    </w:p>
    <w:p w14:paraId="35BBFF85" w14:textId="6B5F9284" w:rsidR="006B1555" w:rsidRDefault="006B1555" w:rsidP="006B1555">
      <w:pPr>
        <w:widowControl w:val="0"/>
        <w:rPr>
          <w:rFonts w:eastAsia="SimSun" w:cs="Times New Roman"/>
          <w:bCs/>
          <w:szCs w:val="24"/>
          <w:lang w:eastAsia="zh-CN"/>
        </w:rPr>
      </w:pPr>
      <w:r>
        <w:rPr>
          <w:bCs/>
        </w:rPr>
        <w:t>E</w:t>
      </w:r>
      <w:r w:rsidRPr="009C62B1">
        <w:rPr>
          <w:bCs/>
        </w:rPr>
        <w:t xml:space="preserve">elnõuga võetakse Eesti õigusesse üle </w:t>
      </w:r>
      <w:r w:rsidRPr="00DC0B83">
        <w:rPr>
          <w:bCs/>
        </w:rPr>
        <w:t>Euroopa Parlamendi ja nõukogu direktiiv (EL) 2024/1711, millega muudetakse direktiive (EL) 2018/2001 ja (EL) 2019/944</w:t>
      </w:r>
      <w:r>
        <w:rPr>
          <w:bCs/>
        </w:rPr>
        <w:t xml:space="preserve"> seoses liidu elektrituru korrastamise parandamisega </w:t>
      </w:r>
      <w:r w:rsidRPr="00A61309">
        <w:rPr>
          <w:bCs/>
        </w:rPr>
        <w:t>(</w:t>
      </w:r>
      <w:r w:rsidRPr="006A7ED2">
        <w:rPr>
          <w:bCs/>
        </w:rPr>
        <w:t>ELT L, 2024/1711, 26.</w:t>
      </w:r>
      <w:r>
        <w:rPr>
          <w:bCs/>
        </w:rPr>
        <w:t>0</w:t>
      </w:r>
      <w:r w:rsidRPr="006A7ED2">
        <w:rPr>
          <w:bCs/>
        </w:rPr>
        <w:t>6.2024, ELI: </w:t>
      </w:r>
      <w:hyperlink r:id="rId12" w:tgtFrame="_blank" w:tooltip="Annab juurdepääsu sellele dokumendile tema  ELI URI kaudu." w:history="1">
        <w:r w:rsidRPr="006A7ED2">
          <w:rPr>
            <w:rStyle w:val="Hperlink"/>
            <w:bCs/>
          </w:rPr>
          <w:t>http://data.europa.eu/eli/dir/2024/1711/oj</w:t>
        </w:r>
      </w:hyperlink>
      <w:r w:rsidRPr="006A7ED2">
        <w:rPr>
          <w:bCs/>
        </w:rPr>
        <w:t>)</w:t>
      </w:r>
      <w:r>
        <w:rPr>
          <w:bCs/>
        </w:rPr>
        <w:t xml:space="preserve"> (edaspidi ka </w:t>
      </w:r>
      <w:r w:rsidRPr="0080235D">
        <w:rPr>
          <w:bCs/>
          <w:i/>
          <w:iCs/>
        </w:rPr>
        <w:t>direktiiv</w:t>
      </w:r>
      <w:r>
        <w:rPr>
          <w:bCs/>
        </w:rPr>
        <w:t xml:space="preserve">), </w:t>
      </w:r>
      <w:r w:rsidRPr="004105C2">
        <w:rPr>
          <w:bCs/>
        </w:rPr>
        <w:t>Euroopa Parlamendi ja nõukogu direktiiv (EL) 2024/1785, millega muudetaks</w:t>
      </w:r>
      <w:r>
        <w:rPr>
          <w:bCs/>
        </w:rPr>
        <w:t>e</w:t>
      </w:r>
      <w:r w:rsidRPr="004105C2">
        <w:rPr>
          <w:bCs/>
        </w:rPr>
        <w:t xml:space="preserve"> direktiiv</w:t>
      </w:r>
      <w:r>
        <w:rPr>
          <w:bCs/>
        </w:rPr>
        <w:t>i</w:t>
      </w:r>
      <w:r w:rsidRPr="004105C2">
        <w:rPr>
          <w:bCs/>
        </w:rPr>
        <w:t xml:space="preserve"> 2010/75/EL tööstusheidete kohta (saastuse kompleksne vältimine ja kontroll) ning nõukogu direktiivi 1999/31/EÜ prügilate kohta</w:t>
      </w:r>
      <w:r>
        <w:rPr>
          <w:bCs/>
        </w:rPr>
        <w:t xml:space="preserve"> (ELT L, 2024/1785, 15.07.2024, ELI: </w:t>
      </w:r>
      <w:hyperlink r:id="rId13" w:tooltip="Gives access to this document through its ELI URI." w:history="1">
        <w:r w:rsidRPr="009030A4">
          <w:rPr>
            <w:rStyle w:val="Hperlink"/>
            <w:bCs/>
          </w:rPr>
          <w:t>http://data.europa.eu/eli/dir/2024/1785/oj</w:t>
        </w:r>
      </w:hyperlink>
      <w:r>
        <w:rPr>
          <w:bCs/>
        </w:rPr>
        <w:t>)</w:t>
      </w:r>
      <w:r w:rsidRPr="004105C2">
        <w:rPr>
          <w:bCs/>
        </w:rPr>
        <w:t xml:space="preserve"> (edaspidi </w:t>
      </w:r>
      <w:r>
        <w:rPr>
          <w:bCs/>
        </w:rPr>
        <w:t xml:space="preserve">ka </w:t>
      </w:r>
      <w:r w:rsidRPr="004105C2">
        <w:rPr>
          <w:bCs/>
        </w:rPr>
        <w:t>tööstusheite direktiiv)</w:t>
      </w:r>
      <w:r>
        <w:rPr>
          <w:bCs/>
        </w:rPr>
        <w:t xml:space="preserve"> ning rakendatakse Euroopa Parlamendi ja nõukogu määrus </w:t>
      </w:r>
      <w:r w:rsidRPr="00625631">
        <w:rPr>
          <w:rFonts w:eastAsia="SimSun" w:cs="Times New Roman"/>
          <w:szCs w:val="24"/>
          <w:lang w:eastAsia="zh-CN"/>
        </w:rPr>
        <w:t>(EL) 2024/1106,</w:t>
      </w:r>
      <w:r>
        <w:t xml:space="preserve"> </w:t>
      </w:r>
      <w:r w:rsidRPr="002E2CB6">
        <w:t>m</w:t>
      </w:r>
      <w:r w:rsidRPr="00625631">
        <w:rPr>
          <w:rFonts w:eastAsia="SimSun" w:cs="Times New Roman"/>
          <w:szCs w:val="24"/>
          <w:lang w:eastAsia="zh-CN"/>
        </w:rPr>
        <w:t>illega muudetakse määrusi (EL) nr 1227/2011 ja (EL) 2019/942, et parandada liidu kaitset turuga manipuleerimise eest energia hulgimüügiturul</w:t>
      </w:r>
      <w:r>
        <w:t xml:space="preserve"> (ELT L, </w:t>
      </w:r>
      <w:r w:rsidRPr="006A7ED2">
        <w:t>2024/1106, 17.04.2024, ELI: </w:t>
      </w:r>
      <w:hyperlink r:id="rId14" w:history="1">
        <w:r w:rsidRPr="006A7ED2">
          <w:rPr>
            <w:rStyle w:val="Hperlink"/>
          </w:rPr>
          <w:t>http://data.europa.eu/eli/reg/2024/1106/oj</w:t>
        </w:r>
      </w:hyperlink>
      <w:r w:rsidRPr="001B4997">
        <w:t>)</w:t>
      </w:r>
      <w:r>
        <w:t xml:space="preserve"> (edaspidi ka</w:t>
      </w:r>
      <w:r w:rsidR="00374C44">
        <w:t xml:space="preserve"> </w:t>
      </w:r>
      <w:r w:rsidR="00374C44" w:rsidRPr="00F24067">
        <w:rPr>
          <w:i/>
          <w:iCs/>
        </w:rPr>
        <w:t>REMIT</w:t>
      </w:r>
      <w:r w:rsidRPr="00F24067">
        <w:rPr>
          <w:i/>
          <w:iCs/>
        </w:rPr>
        <w:t xml:space="preserve"> </w:t>
      </w:r>
      <w:r w:rsidRPr="00625631">
        <w:rPr>
          <w:i/>
          <w:iCs/>
        </w:rPr>
        <w:t>määrus</w:t>
      </w:r>
      <w:r>
        <w:t>)</w:t>
      </w:r>
      <w:r>
        <w:rPr>
          <w:bCs/>
        </w:rPr>
        <w:t xml:space="preserve">. </w:t>
      </w:r>
    </w:p>
    <w:p w14:paraId="08465548" w14:textId="77777777" w:rsidR="006B1555" w:rsidRDefault="006B1555" w:rsidP="006B1555">
      <w:pPr>
        <w:widowControl w:val="0"/>
        <w:rPr>
          <w:rFonts w:eastAsia="SimSun" w:cs="Times New Roman"/>
          <w:bCs/>
          <w:szCs w:val="24"/>
          <w:lang w:eastAsia="zh-CN"/>
        </w:rPr>
      </w:pPr>
    </w:p>
    <w:p w14:paraId="0D4254F8" w14:textId="77777777" w:rsidR="006B1555" w:rsidRDefault="006B1555" w:rsidP="006B1555">
      <w:pPr>
        <w:widowControl w:val="0"/>
        <w:rPr>
          <w:rFonts w:cs="Times New Roman"/>
          <w:szCs w:val="24"/>
        </w:rPr>
      </w:pPr>
      <w:r>
        <w:rPr>
          <w:rFonts w:cs="Times New Roman"/>
          <w:szCs w:val="24"/>
        </w:rPr>
        <w:t>E</w:t>
      </w:r>
      <w:r w:rsidRPr="009C62B1">
        <w:rPr>
          <w:rFonts w:cs="Times New Roman"/>
          <w:szCs w:val="24"/>
        </w:rPr>
        <w:t>elnõu</w:t>
      </w:r>
      <w:r>
        <w:rPr>
          <w:rFonts w:cs="Times New Roman"/>
          <w:szCs w:val="24"/>
        </w:rPr>
        <w:t>kohase seadusega muudetakse elektrituruseadust, maagaasiseadust, riigihangete seadust ja tööstusheite seadust.</w:t>
      </w:r>
    </w:p>
    <w:p w14:paraId="44C26F35" w14:textId="77777777" w:rsidR="006B1555" w:rsidRDefault="006B1555" w:rsidP="006B1555">
      <w:pPr>
        <w:widowControl w:val="0"/>
        <w:rPr>
          <w:rFonts w:cs="Times New Roman"/>
          <w:szCs w:val="24"/>
        </w:rPr>
      </w:pPr>
    </w:p>
    <w:p w14:paraId="7231182C" w14:textId="77777777" w:rsidR="006B1555" w:rsidRDefault="006B1555" w:rsidP="006B1555">
      <w:pPr>
        <w:widowControl w:val="0"/>
        <w:rPr>
          <w:rFonts w:cs="Times New Roman"/>
          <w:szCs w:val="24"/>
        </w:rPr>
      </w:pPr>
      <w:r>
        <w:rPr>
          <w:rFonts w:cs="Times New Roman"/>
          <w:szCs w:val="24"/>
        </w:rPr>
        <w:t>E</w:t>
      </w:r>
      <w:r w:rsidRPr="009C62B1">
        <w:rPr>
          <w:rFonts w:cs="Times New Roman"/>
          <w:szCs w:val="24"/>
        </w:rPr>
        <w:t>lektrituruseaduse</w:t>
      </w:r>
      <w:r>
        <w:rPr>
          <w:rFonts w:cs="Times New Roman"/>
          <w:szCs w:val="24"/>
        </w:rPr>
        <w:t>sse lisatakse:</w:t>
      </w:r>
    </w:p>
    <w:p w14:paraId="60793A9B" w14:textId="77777777" w:rsidR="006B1555" w:rsidRDefault="006B1555" w:rsidP="006B1555">
      <w:pPr>
        <w:pStyle w:val="Loendilik"/>
        <w:widowControl w:val="0"/>
        <w:numPr>
          <w:ilvl w:val="0"/>
          <w:numId w:val="16"/>
        </w:numPr>
        <w:rPr>
          <w:rFonts w:cs="Times New Roman"/>
        </w:rPr>
      </w:pPr>
      <w:r>
        <w:rPr>
          <w:rFonts w:cs="Times New Roman"/>
        </w:rPr>
        <w:t>paindliku elektrivõrguga</w:t>
      </w:r>
      <w:r w:rsidRPr="00F57367">
        <w:rPr>
          <w:rFonts w:cs="Times New Roman"/>
        </w:rPr>
        <w:t xml:space="preserve"> liitumise võimalus piirkondades, kus võrgu</w:t>
      </w:r>
      <w:r>
        <w:rPr>
          <w:rFonts w:cs="Times New Roman"/>
        </w:rPr>
        <w:t xml:space="preserve"> </w:t>
      </w:r>
      <w:r w:rsidRPr="00F57367">
        <w:rPr>
          <w:rFonts w:cs="Times New Roman"/>
        </w:rPr>
        <w:t>võimsus uute ühenduste jaoks on piiratud</w:t>
      </w:r>
      <w:r>
        <w:rPr>
          <w:rFonts w:cs="Times New Roman"/>
        </w:rPr>
        <w:t>;</w:t>
      </w:r>
    </w:p>
    <w:p w14:paraId="25CA386F" w14:textId="77777777" w:rsidR="006B1555" w:rsidRDefault="006B1555" w:rsidP="006B1555">
      <w:pPr>
        <w:pStyle w:val="Loendilik"/>
        <w:widowControl w:val="0"/>
        <w:numPr>
          <w:ilvl w:val="0"/>
          <w:numId w:val="16"/>
        </w:numPr>
        <w:rPr>
          <w:rFonts w:cs="Times New Roman"/>
        </w:rPr>
      </w:pPr>
      <w:r w:rsidRPr="00F57367">
        <w:rPr>
          <w:rFonts w:cs="Times New Roman"/>
        </w:rPr>
        <w:t>tarbijate elektrivõrgust lahtiühendamise keeld kohtuvälise menetluse lahendamise ajal</w:t>
      </w:r>
      <w:r>
        <w:rPr>
          <w:rFonts w:cs="Times New Roman"/>
        </w:rPr>
        <w:t>;</w:t>
      </w:r>
    </w:p>
    <w:p w14:paraId="59E3B1EB" w14:textId="77777777" w:rsidR="006B1555" w:rsidRDefault="006B1555" w:rsidP="006B1555">
      <w:pPr>
        <w:pStyle w:val="Loendilik"/>
        <w:widowControl w:val="0"/>
        <w:numPr>
          <w:ilvl w:val="0"/>
          <w:numId w:val="16"/>
        </w:numPr>
        <w:rPr>
          <w:rFonts w:cs="Times New Roman"/>
        </w:rPr>
      </w:pPr>
      <w:r w:rsidRPr="00F57367">
        <w:rPr>
          <w:rFonts w:cs="Times New Roman"/>
        </w:rPr>
        <w:t>avatud tarnijatele kohustus kasutada riskimaandusstrateegiaid</w:t>
      </w:r>
      <w:r>
        <w:rPr>
          <w:rFonts w:cs="Times New Roman"/>
        </w:rPr>
        <w:t xml:space="preserve"> </w:t>
      </w:r>
      <w:r w:rsidRPr="00357509">
        <w:rPr>
          <w:rFonts w:cs="Times New Roman"/>
        </w:rPr>
        <w:t>fikseeritud hinnaga lepingute</w:t>
      </w:r>
      <w:r>
        <w:rPr>
          <w:rFonts w:cs="Times New Roman"/>
        </w:rPr>
        <w:t xml:space="preserve"> puhul;</w:t>
      </w:r>
    </w:p>
    <w:p w14:paraId="0F2D7C09" w14:textId="77777777" w:rsidR="006B1555" w:rsidRDefault="006B1555" w:rsidP="006B1555">
      <w:pPr>
        <w:pStyle w:val="Loendilik"/>
        <w:widowControl w:val="0"/>
        <w:numPr>
          <w:ilvl w:val="0"/>
          <w:numId w:val="16"/>
        </w:numPr>
        <w:rPr>
          <w:rFonts w:cs="Times New Roman"/>
        </w:rPr>
      </w:pPr>
      <w:r w:rsidRPr="00F57367">
        <w:rPr>
          <w:rFonts w:cs="Times New Roman"/>
        </w:rPr>
        <w:t>võrgutasude metoodikale esitatava</w:t>
      </w:r>
      <w:r>
        <w:rPr>
          <w:rFonts w:cs="Times New Roman"/>
        </w:rPr>
        <w:t>te</w:t>
      </w:r>
      <w:r w:rsidRPr="00F57367">
        <w:rPr>
          <w:rFonts w:cs="Times New Roman"/>
        </w:rPr>
        <w:t xml:space="preserve"> nõu</w:t>
      </w:r>
      <w:r>
        <w:rPr>
          <w:rFonts w:cs="Times New Roman"/>
        </w:rPr>
        <w:t>ete täpsustus</w:t>
      </w:r>
      <w:r w:rsidRPr="00F57367">
        <w:rPr>
          <w:rFonts w:cs="Times New Roman"/>
        </w:rPr>
        <w:t>, mis peab looma võrguettevõtjale stiimulid paindlikkusteenuste kasutuselevõtuks</w:t>
      </w:r>
      <w:r>
        <w:rPr>
          <w:rFonts w:cs="Times New Roman"/>
        </w:rPr>
        <w:t xml:space="preserve"> </w:t>
      </w:r>
    </w:p>
    <w:p w14:paraId="5EFC1BD1" w14:textId="77777777" w:rsidR="006B1555" w:rsidRDefault="006B1555" w:rsidP="006B1555">
      <w:pPr>
        <w:pStyle w:val="Loendilik"/>
        <w:widowControl w:val="0"/>
        <w:numPr>
          <w:ilvl w:val="0"/>
          <w:numId w:val="16"/>
        </w:numPr>
        <w:rPr>
          <w:rFonts w:cs="Times New Roman"/>
        </w:rPr>
      </w:pPr>
      <w:r w:rsidRPr="00F57367">
        <w:rPr>
          <w:rFonts w:cs="Times New Roman"/>
        </w:rPr>
        <w:t>õiguslik alus selleks, et</w:t>
      </w:r>
      <w:r>
        <w:rPr>
          <w:rFonts w:cs="Times New Roman"/>
        </w:rPr>
        <w:t xml:space="preserve"> </w:t>
      </w:r>
      <w:r w:rsidRPr="00F57367">
        <w:rPr>
          <w:rFonts w:cs="Times New Roman"/>
        </w:rPr>
        <w:t>tarbijad, kes toodavad ja tarbivad taastuvenergiat samas hoones või kortermajas, saa</w:t>
      </w:r>
      <w:r>
        <w:rPr>
          <w:rFonts w:cs="Times New Roman"/>
        </w:rPr>
        <w:t>ksid</w:t>
      </w:r>
      <w:r w:rsidRPr="00F57367">
        <w:rPr>
          <w:rFonts w:cs="Times New Roman"/>
        </w:rPr>
        <w:t xml:space="preserve"> osaleda ühiselt toodetud taastuvenergia jagamises tarbijapaigaldise </w:t>
      </w:r>
      <w:r>
        <w:rPr>
          <w:rFonts w:cs="Times New Roman"/>
        </w:rPr>
        <w:t>piires;</w:t>
      </w:r>
    </w:p>
    <w:p w14:paraId="08C403C3" w14:textId="77777777" w:rsidR="006B1555" w:rsidRPr="00F57367" w:rsidRDefault="006B1555" w:rsidP="006B1555">
      <w:pPr>
        <w:pStyle w:val="Loendilik"/>
        <w:widowControl w:val="0"/>
        <w:numPr>
          <w:ilvl w:val="0"/>
          <w:numId w:val="16"/>
        </w:numPr>
        <w:rPr>
          <w:rFonts w:cs="Times New Roman"/>
        </w:rPr>
      </w:pPr>
      <w:r w:rsidRPr="00C144AC">
        <w:rPr>
          <w:bCs/>
        </w:rPr>
        <w:t xml:space="preserve">tootmissuunalise võimsuse mittekasutamise tasu </w:t>
      </w:r>
      <w:r>
        <w:rPr>
          <w:bCs/>
        </w:rPr>
        <w:t>vabastus</w:t>
      </w:r>
      <w:r w:rsidRPr="00C144AC">
        <w:rPr>
          <w:bCs/>
        </w:rPr>
        <w:t xml:space="preserve"> kuni 15 kW</w:t>
      </w:r>
      <w:r w:rsidRPr="005A6620">
        <w:rPr>
          <w:bCs/>
        </w:rPr>
        <w:t xml:space="preserve"> </w:t>
      </w:r>
      <w:r w:rsidRPr="00C144AC">
        <w:rPr>
          <w:bCs/>
        </w:rPr>
        <w:t>netovõimsusega tootmisseadmetele</w:t>
      </w:r>
      <w:r>
        <w:rPr>
          <w:bCs/>
        </w:rPr>
        <w:t>;</w:t>
      </w:r>
    </w:p>
    <w:p w14:paraId="62D0F35B" w14:textId="51B8CB19" w:rsidR="006B1555" w:rsidRDefault="006B1555" w:rsidP="006B1555">
      <w:pPr>
        <w:pStyle w:val="Loendilik"/>
        <w:numPr>
          <w:ilvl w:val="0"/>
          <w:numId w:val="16"/>
        </w:numPr>
      </w:pPr>
      <w:r w:rsidRPr="00F57367">
        <w:t>riigi julgeoleku</w:t>
      </w:r>
      <w:r>
        <w:t xml:space="preserve"> põhimõtted</w:t>
      </w:r>
      <w:r w:rsidRPr="00F57367">
        <w:t xml:space="preserve"> elektri</w:t>
      </w:r>
      <w:r>
        <w:t>paigaldistes</w:t>
      </w:r>
      <w:r w:rsidRPr="00F57367">
        <w:t xml:space="preserve"> kasutatav</w:t>
      </w:r>
      <w:r>
        <w:t>at</w:t>
      </w:r>
      <w:r w:rsidRPr="00F57367">
        <w:t xml:space="preserve"> riist- või tarkvara </w:t>
      </w:r>
      <w:r>
        <w:t>hankides</w:t>
      </w:r>
      <w:r w:rsidR="000A4E8F">
        <w:t>, rakendades mehhanismi vastavate võrguseadmete kontrollimiseks ja võrku lubamiseks</w:t>
      </w:r>
      <w:r>
        <w:t>;</w:t>
      </w:r>
    </w:p>
    <w:p w14:paraId="0514C7A6" w14:textId="77777777" w:rsidR="006B1555" w:rsidRDefault="006B1555" w:rsidP="006B1555">
      <w:pPr>
        <w:pStyle w:val="Loendilik"/>
        <w:numPr>
          <w:ilvl w:val="0"/>
          <w:numId w:val="16"/>
        </w:numPr>
      </w:pPr>
      <w:r>
        <w:t xml:space="preserve">üldteenuse hankimise regulatsiooni muudatus, kus </w:t>
      </w:r>
      <w:r w:rsidRPr="00E64533">
        <w:t>riigihan</w:t>
      </w:r>
      <w:r>
        <w:t>k</w:t>
      </w:r>
      <w:r w:rsidRPr="00E64533">
        <w:t>e korraldamise kohustus asenda</w:t>
      </w:r>
      <w:r>
        <w:t>takse</w:t>
      </w:r>
      <w:r w:rsidRPr="00E64533">
        <w:t xml:space="preserve"> konkurssi korraldamise kohustusega</w:t>
      </w:r>
      <w:r>
        <w:t>;</w:t>
      </w:r>
    </w:p>
    <w:p w14:paraId="093BD9C4" w14:textId="0AF2EDC4" w:rsidR="006B1555" w:rsidRDefault="006B1555" w:rsidP="006B1555">
      <w:pPr>
        <w:pStyle w:val="Loendilik"/>
        <w:numPr>
          <w:ilvl w:val="0"/>
          <w:numId w:val="16"/>
        </w:numPr>
      </w:pPr>
      <w:r>
        <w:t xml:space="preserve">elutähtsa teenuse osutaja (edaspidi ka </w:t>
      </w:r>
      <w:r w:rsidRPr="006A7ED2">
        <w:rPr>
          <w:i/>
          <w:iCs/>
        </w:rPr>
        <w:t>ETO</w:t>
      </w:r>
      <w:r>
        <w:t>) määratluse muutmine</w:t>
      </w:r>
      <w:r w:rsidR="000A4E8F">
        <w:t xml:space="preserve"> senisest madalamaks, et reageerida elektrisüsteemi muutustele ja geopoliitilisele olukorrale (200 MW tasemelt 90 MW tasemele)</w:t>
      </w:r>
      <w:r>
        <w:t>;</w:t>
      </w:r>
    </w:p>
    <w:p w14:paraId="581DD8FE" w14:textId="77777777" w:rsidR="006B1555" w:rsidRDefault="006B1555" w:rsidP="006B1555">
      <w:pPr>
        <w:pStyle w:val="Loendilik"/>
        <w:numPr>
          <w:ilvl w:val="0"/>
          <w:numId w:val="16"/>
        </w:numPr>
      </w:pPr>
      <w:r w:rsidRPr="000911C2">
        <w:rPr>
          <w:rFonts w:eastAsia="SimSun" w:cs="Times New Roman"/>
        </w:rPr>
        <w:t>reservvõimsuse mehhanismi rahastamise kulu jagunemine</w:t>
      </w:r>
      <w:r>
        <w:rPr>
          <w:rFonts w:eastAsia="SimSun" w:cs="Times New Roman"/>
        </w:rPr>
        <w:t>;</w:t>
      </w:r>
    </w:p>
    <w:p w14:paraId="0C1A693C" w14:textId="77777777" w:rsidR="006B1555" w:rsidRDefault="006B1555" w:rsidP="006B1555">
      <w:pPr>
        <w:pStyle w:val="Loendilik"/>
        <w:numPr>
          <w:ilvl w:val="0"/>
          <w:numId w:val="16"/>
        </w:numPr>
      </w:pPr>
      <w:r w:rsidRPr="00D1103D">
        <w:rPr>
          <w:rFonts w:cs="Times New Roman"/>
        </w:rPr>
        <w:lastRenderedPageBreak/>
        <w:t>Elektri ja gaasi hulgituru manipuleerimise eest kaitsmise määrusega (EL) 2024/1106</w:t>
      </w:r>
      <w:r>
        <w:rPr>
          <w:rStyle w:val="Allmrkuseviide"/>
          <w:rFonts w:cs="Times New Roman"/>
        </w:rPr>
        <w:footnoteReference w:id="2"/>
      </w:r>
      <w:r w:rsidRPr="00D1103D">
        <w:rPr>
          <w:rFonts w:cs="Times New Roman"/>
        </w:rPr>
        <w:t xml:space="preserve"> sätestatud trahvimäärade uuendamine</w:t>
      </w:r>
      <w:r>
        <w:rPr>
          <w:rFonts w:cs="Times New Roman"/>
        </w:rPr>
        <w:t>.</w:t>
      </w:r>
    </w:p>
    <w:p w14:paraId="6C43D7EB" w14:textId="77777777" w:rsidR="006B1555" w:rsidRDefault="006B1555" w:rsidP="006B1555">
      <w:pPr>
        <w:pStyle w:val="Loendilik"/>
      </w:pPr>
    </w:p>
    <w:p w14:paraId="01BF4A43" w14:textId="77777777" w:rsidR="006B1555" w:rsidRPr="00180974" w:rsidRDefault="006B1555" w:rsidP="006B1555">
      <w:pPr>
        <w:spacing w:line="259" w:lineRule="auto"/>
        <w:rPr>
          <w:rFonts w:eastAsia="Aptos" w:cs="Arial"/>
          <w:kern w:val="2"/>
          <w:szCs w:val="24"/>
          <w14:ligatures w14:val="standardContextual"/>
        </w:rPr>
      </w:pPr>
      <w:r w:rsidRPr="00180974">
        <w:rPr>
          <w:rFonts w:eastAsia="Aptos" w:cs="Arial"/>
          <w:kern w:val="2"/>
          <w:szCs w:val="24"/>
          <w14:ligatures w14:val="standardContextual"/>
        </w:rPr>
        <w:t>Trahvimäärade tõstmine tuleneb määrusest, mille artikkel 18a sätestab maksimaalsed trahvimäärad, mida elektri- ja gaasituru regulaator (Eestis Konkurentsiamet) saab rikkumiste korral rakendada. Harmoniseeritud trahvimäärad on Euroopa Liidus (EL) kehtestatud selleks, et</w:t>
      </w:r>
      <w:r w:rsidRPr="00180974">
        <w:rPr>
          <w:rFonts w:ascii="Aptos" w:eastAsia="Aptos" w:hAnsi="Aptos" w:cs="Arial"/>
          <w:kern w:val="2"/>
          <w:sz w:val="22"/>
          <w14:ligatures w14:val="standardContextual"/>
        </w:rPr>
        <w:t xml:space="preserve"> </w:t>
      </w:r>
      <w:r w:rsidRPr="00180974">
        <w:rPr>
          <w:rFonts w:eastAsia="Aptos" w:cs="Arial"/>
          <w:kern w:val="2"/>
          <w:szCs w:val="24"/>
          <w14:ligatures w14:val="standardContextual"/>
        </w:rPr>
        <w:t xml:space="preserve">tagada määruse rikkumise korral kõigis liikmesriikides trahvide järjepidev kohaldamine. Selleks on määruses kehtestatud loetelu trahvidest ja teistest meetmetest, mida riiklikud elektri- ja gaasituru regulaatorid peaksid saama rakendada. Maksimaalsed trahvimäärad ei piira siiski Konkurentsiameti võimalust kehtestada juhtumipõhiselt väiksemaid trahve. Karistused määruse rikkumise eest peaksid olema proportsionaalsed, mõjusad ja heidutavad ning kajastama rikkumise liiki, võttes arvesse </w:t>
      </w:r>
      <w:r w:rsidRPr="00180974">
        <w:rPr>
          <w:rFonts w:eastAsia="Aptos" w:cs="Arial"/>
          <w:i/>
          <w:iCs/>
          <w:kern w:val="2"/>
          <w:szCs w:val="24"/>
          <w14:ligatures w14:val="standardContextual"/>
        </w:rPr>
        <w:t>ne bis in idem</w:t>
      </w:r>
      <w:r w:rsidRPr="00180974">
        <w:rPr>
          <w:rFonts w:eastAsia="Aptos" w:cs="Arial"/>
          <w:kern w:val="2"/>
          <w:szCs w:val="24"/>
          <w14:ligatures w14:val="standardContextual"/>
        </w:rPr>
        <w:t xml:space="preserve"> (mitte kaks korda sama asja eest) karistamise põhimõtet.</w:t>
      </w:r>
    </w:p>
    <w:p w14:paraId="2290916E" w14:textId="77777777" w:rsidR="006B1555" w:rsidRDefault="006B1555" w:rsidP="006B1555">
      <w:pPr>
        <w:widowControl w:val="0"/>
        <w:rPr>
          <w:rFonts w:cs="Times New Roman"/>
        </w:rPr>
      </w:pPr>
    </w:p>
    <w:p w14:paraId="1F27FF6F" w14:textId="77777777" w:rsidR="006B1555" w:rsidRDefault="006B1555" w:rsidP="006B1555">
      <w:pPr>
        <w:widowControl w:val="0"/>
        <w:rPr>
          <w:rFonts w:cs="Times New Roman"/>
        </w:rPr>
      </w:pPr>
      <w:r>
        <w:t xml:space="preserve">Maagaasiseaduses tehtavate </w:t>
      </w:r>
      <w:r w:rsidRPr="00D1103D">
        <w:t xml:space="preserve">muudatustega antakse Konkurentsiametile selgemad volitused järelevalve teostamiseks ja sätestatakse karistusmäärad </w:t>
      </w:r>
      <w:r w:rsidRPr="510A726D">
        <w:rPr>
          <w:szCs w:val="24"/>
        </w:rPr>
        <w:t>määruses sätestatud</w:t>
      </w:r>
      <w:r w:rsidRPr="00D1103D">
        <w:t xml:space="preserve"> kohustuste rikkumiste korral.</w:t>
      </w:r>
    </w:p>
    <w:p w14:paraId="5C7F00F7" w14:textId="77777777" w:rsidR="006B1555" w:rsidRDefault="006B1555" w:rsidP="006B1555">
      <w:pPr>
        <w:widowControl w:val="0"/>
        <w:rPr>
          <w:rFonts w:cs="Times New Roman"/>
        </w:rPr>
      </w:pPr>
    </w:p>
    <w:p w14:paraId="0F54F40D" w14:textId="77777777" w:rsidR="006B1555" w:rsidRDefault="006B1555" w:rsidP="006B1555">
      <w:pPr>
        <w:widowControl w:val="0"/>
        <w:rPr>
          <w:rFonts w:cs="Times New Roman"/>
        </w:rPr>
      </w:pPr>
      <w:r>
        <w:rPr>
          <w:rFonts w:cs="Times New Roman"/>
        </w:rPr>
        <w:t>Riigihangete seaduses sätestatakse muudatus, mille</w:t>
      </w:r>
      <w:r w:rsidRPr="004F5C83">
        <w:rPr>
          <w:rFonts w:cs="Times New Roman"/>
        </w:rPr>
        <w:t xml:space="preserve"> eesmärk on vabastada Eestis energia tootmise ja selle võrku müümisega seonduvad tegevused riigihangete reeglitest</w:t>
      </w:r>
      <w:r>
        <w:rPr>
          <w:rFonts w:cs="Times New Roman"/>
        </w:rPr>
        <w:t xml:space="preserve"> vastavalt </w:t>
      </w:r>
      <w:r w:rsidRPr="004F5C83">
        <w:rPr>
          <w:rFonts w:cs="Times New Roman"/>
        </w:rPr>
        <w:t>Euroopa Parlamendi ja Euroopa Liidu Nõukogu direktiiv</w:t>
      </w:r>
      <w:r>
        <w:rPr>
          <w:rFonts w:cs="Times New Roman"/>
        </w:rPr>
        <w:t>i</w:t>
      </w:r>
      <w:r w:rsidRPr="004F5C83">
        <w:rPr>
          <w:rFonts w:cs="Times New Roman"/>
        </w:rPr>
        <w:t xml:space="preserve"> 2014/25/EL artikli 35 lõikele 1</w:t>
      </w:r>
      <w:r>
        <w:rPr>
          <w:rFonts w:cs="Times New Roman"/>
        </w:rPr>
        <w:t>.</w:t>
      </w:r>
    </w:p>
    <w:p w14:paraId="492354EA" w14:textId="77777777" w:rsidR="006B1555" w:rsidRDefault="006B1555" w:rsidP="006B1555">
      <w:pPr>
        <w:widowControl w:val="0"/>
      </w:pPr>
    </w:p>
    <w:p w14:paraId="6B7D65B4" w14:textId="77777777" w:rsidR="006B1555" w:rsidRDefault="006B1555" w:rsidP="006B1555">
      <w:pPr>
        <w:widowControl w:val="0"/>
      </w:pPr>
      <w:r>
        <w:t>Eelnõuga kavandatavad muudatused on vajalikud, et võtta üle direktiiv (EL) 2024/1711 ja lahendada elektriturul praktikas esile kerkinud kitsaskohti</w:t>
      </w:r>
      <w:r w:rsidRPr="001E378F">
        <w:t xml:space="preserve"> seoses üldteenuse hankimisega</w:t>
      </w:r>
      <w:r>
        <w:t xml:space="preserve">, riigi julgeoleku tagamisega  </w:t>
      </w:r>
      <w:r w:rsidRPr="00746818">
        <w:t>võrguteenuse osutamiseks</w:t>
      </w:r>
      <w:r>
        <w:t xml:space="preserve"> ja kasutamiseks</w:t>
      </w:r>
      <w:r w:rsidRPr="00746818">
        <w:t xml:space="preserve"> elektrivõrgus kasutatavat riist- või tarkvara hanki</w:t>
      </w:r>
      <w:r>
        <w:t>misel ning ETO määratluse muutmisel,</w:t>
      </w:r>
      <w:r w:rsidRPr="0079344F">
        <w:rPr>
          <w:bCs/>
        </w:rPr>
        <w:t xml:space="preserve"> </w:t>
      </w:r>
      <w:r>
        <w:t xml:space="preserve">võrgutasude metoodikale esitatavate nõuetega ja </w:t>
      </w:r>
      <w:r w:rsidRPr="510A726D">
        <w:rPr>
          <w:szCs w:val="24"/>
        </w:rPr>
        <w:t>määrusest tulenevate nõuete tõhus kohaldamine Eestis</w:t>
      </w:r>
      <w:r>
        <w:t xml:space="preserve">. Muudatuste eesmärk on kaitsta tarbijaid võrgust lahtiühendamise eest kohtuvälise menetluse ajal ja võimaldada tarbijatel energiat jagada. Muudatusel on tarbijatele positiivne mõju, kuna paraneb nende kaitse ja tekivad lisavõimalused elektriturul osaleda. </w:t>
      </w:r>
    </w:p>
    <w:p w14:paraId="44B39C48" w14:textId="77777777" w:rsidR="006B1555" w:rsidRDefault="006B1555" w:rsidP="006B1555">
      <w:pPr>
        <w:widowControl w:val="0"/>
      </w:pPr>
    </w:p>
    <w:p w14:paraId="397F5398" w14:textId="6F3F0F27" w:rsidR="006B1555" w:rsidRDefault="006B1555" w:rsidP="006B1555">
      <w:pPr>
        <w:widowControl w:val="0"/>
        <w:rPr>
          <w:szCs w:val="24"/>
        </w:rPr>
      </w:pPr>
      <w:r>
        <w:t xml:space="preserve">Eelnõuga kaasneb positiivne mõju kuni 15 kW (kaasa arvatud) tootmissuunalise võrguvõimsuse omanikele, kuna muudatuse jõustumise järgselt ei rakenduks neile nõue kord aastas vähemalt 95% ulatuses oma liitumisvõimsust vähemalt ühe kauplemisperioodi ulatuses kasutada ning seeläbi </w:t>
      </w:r>
      <w:r w:rsidR="00CA3F64">
        <w:t xml:space="preserve">maksta </w:t>
      </w:r>
      <w:r>
        <w:t>alakasutustasu.</w:t>
      </w:r>
    </w:p>
    <w:p w14:paraId="64B6B519" w14:textId="77777777" w:rsidR="006B1555" w:rsidRDefault="006B1555" w:rsidP="006B1555">
      <w:pPr>
        <w:widowControl w:val="0"/>
      </w:pPr>
    </w:p>
    <w:p w14:paraId="504E79D7" w14:textId="77777777" w:rsidR="006B1555" w:rsidRDefault="006B1555" w:rsidP="006B1555">
      <w:pPr>
        <w:widowControl w:val="0"/>
      </w:pPr>
      <w:r w:rsidRPr="008D29CE">
        <w:t>Seaduseelnõuga kavandatavate muudatuste tulemusena võrguettevõtjate kohustused senisega võrreldes kasvavad.</w:t>
      </w:r>
      <w:r>
        <w:t xml:space="preserve"> </w:t>
      </w:r>
      <w:r w:rsidRPr="008D29CE">
        <w:t>Halduskoormuse kasv võrguettevõtjale tuleb peamiselt paindliku liitumise pakkumiseks vajalike süsteemide ja tingimuste välja töötamisest, riist- ja tarkvarahangete korraldamisest riigijulgeoleku tagamiseks, võrguga  ühendatud kuni 15</w:t>
      </w:r>
      <w:r w:rsidRPr="008D29CE">
        <w:noBreakHyphen/>
        <w:t>kilovatiste tootmisvõimsuste alakasutustasust vabastamise tõttu muudatuste tegemisest IT-süsteemides ning energia jagamise arvelduspõhimõtete välja töötamisest ning AVP</w:t>
      </w:r>
      <w:r>
        <w:t>-s</w:t>
      </w:r>
      <w:r w:rsidRPr="008D29CE">
        <w:t xml:space="preserve"> uuenduste sisse viimisest.</w:t>
      </w:r>
    </w:p>
    <w:p w14:paraId="6DA50D50" w14:textId="77777777" w:rsidR="006B1555" w:rsidRPr="008D29CE" w:rsidRDefault="006B1555" w:rsidP="006B1555">
      <w:pPr>
        <w:widowControl w:val="0"/>
      </w:pPr>
    </w:p>
    <w:p w14:paraId="6FFC9897" w14:textId="77777777" w:rsidR="006B1555" w:rsidRDefault="006B1555" w:rsidP="006B1555">
      <w:pPr>
        <w:widowControl w:val="0"/>
      </w:pPr>
      <w:r w:rsidRPr="008D29CE">
        <w:t>Halduskoormus väheneb võrguettevõtjale seoses üldteenuse hankimise regulatsiooni muudatusega, sest lihtsustatud protseduur konkursi näol (vähem bürokraatiat, lühemad tähtajad, vähem nõudeid jne) nõuab vähem ressursse.</w:t>
      </w:r>
    </w:p>
    <w:p w14:paraId="4876D3AA" w14:textId="77777777" w:rsidR="006B1555" w:rsidRDefault="006B1555" w:rsidP="006B1555">
      <w:pPr>
        <w:widowControl w:val="0"/>
      </w:pPr>
    </w:p>
    <w:p w14:paraId="11A2EF83" w14:textId="77777777" w:rsidR="006B1555" w:rsidRPr="008D29CE" w:rsidRDefault="006B1555" w:rsidP="006B1555">
      <w:pPr>
        <w:widowControl w:val="0"/>
      </w:pPr>
      <w:r>
        <w:t xml:space="preserve">Halduskoormus väheneb ka ettevõtjatele, sest muudatustega </w:t>
      </w:r>
      <w:r w:rsidRPr="00A15D4C">
        <w:t>loobu</w:t>
      </w:r>
      <w:r>
        <w:t>takse</w:t>
      </w:r>
      <w:r w:rsidRPr="00A15D4C">
        <w:t xml:space="preserve"> elektrituruseaduses sätestatud kohustusest elektriettevõtjatele tellida audiitorkontroll arvetel ja reklaammaterjalidel esitatud info kohta.</w:t>
      </w:r>
      <w:r>
        <w:t xml:space="preserve"> T</w:t>
      </w:r>
      <w:r w:rsidRPr="00A15D4C">
        <w:t>aastuvenergia tootjatel</w:t>
      </w:r>
      <w:r>
        <w:t>e rakendatakse</w:t>
      </w:r>
      <w:r w:rsidRPr="00A15D4C">
        <w:t xml:space="preserve"> riigihangete vabastamise erandit</w:t>
      </w:r>
      <w:r>
        <w:t>, mis tõttu</w:t>
      </w:r>
      <w:r w:rsidRPr="00A15D4C">
        <w:t xml:space="preserve"> ei pea </w:t>
      </w:r>
      <w:r>
        <w:t xml:space="preserve">erandit </w:t>
      </w:r>
      <w:r w:rsidRPr="00A15D4C">
        <w:t>taotlema enam läbi riigi</w:t>
      </w:r>
      <w:r>
        <w:t xml:space="preserve"> ning u</w:t>
      </w:r>
      <w:r w:rsidRPr="00A15D4C">
        <w:t xml:space="preserve">utel liitujatel </w:t>
      </w:r>
      <w:r>
        <w:t xml:space="preserve">kaotatakse </w:t>
      </w:r>
      <w:r w:rsidRPr="00A15D4C">
        <w:t>tootmise muutmise keel</w:t>
      </w:r>
      <w:r>
        <w:t>d.</w:t>
      </w:r>
    </w:p>
    <w:p w14:paraId="32CB2465" w14:textId="77777777" w:rsidR="006B1555" w:rsidRPr="008D29CE" w:rsidRDefault="006B1555" w:rsidP="006B1555">
      <w:pPr>
        <w:widowControl w:val="0"/>
      </w:pPr>
    </w:p>
    <w:p w14:paraId="36400C2F" w14:textId="1BB3501B" w:rsidR="006B1555" w:rsidRPr="008D29CE" w:rsidRDefault="006B1555" w:rsidP="006B1555">
      <w:pPr>
        <w:widowControl w:val="0"/>
      </w:pPr>
      <w:r w:rsidRPr="008D29CE">
        <w:t xml:space="preserve">Uutele </w:t>
      </w:r>
      <w:r w:rsidR="000A4E8F">
        <w:t xml:space="preserve">elektri elutähtsa teenuse osutajatele ehk </w:t>
      </w:r>
      <w:r w:rsidRPr="008D29CE">
        <w:t>ETO-dele kaasneb täiendav halduskoormus. Halduskoormuse tõus sõltub ettevõtte suurusest ja sellest, milliseid elektrijaamasid või paigaldisi omatakse.</w:t>
      </w:r>
      <w:r>
        <w:t xml:space="preserve"> </w:t>
      </w:r>
      <w:r w:rsidR="00C64444">
        <w:t>Laieneb isikute ring, kellel tuleb k</w:t>
      </w:r>
      <w:r w:rsidRPr="008D29CE">
        <w:t xml:space="preserve">oostada riskianalüüs ja toimepidevusplaan </w:t>
      </w:r>
      <w:r w:rsidR="00C64444">
        <w:t>elutähtsa teenuse toimepidevust koordineerivale asutusele (</w:t>
      </w:r>
      <w:r w:rsidRPr="008D29CE">
        <w:t>ETKA-le</w:t>
      </w:r>
      <w:r w:rsidR="00C64444">
        <w:t>)</w:t>
      </w:r>
      <w:r w:rsidRPr="008D29CE">
        <w:t>, rakendada tuleb E</w:t>
      </w:r>
      <w:r w:rsidR="004A25CD">
        <w:t>-</w:t>
      </w:r>
      <w:r w:rsidRPr="008D29CE">
        <w:t>ITS</w:t>
      </w:r>
      <w:r w:rsidR="004A25CD">
        <w:t xml:space="preserve"> (Eesti infoturbestandard)</w:t>
      </w:r>
      <w:r w:rsidRPr="008D29CE">
        <w:t xml:space="preserve"> või ISO standardit, seda lisaks kõikidele muudele uue küberturvalisuse seaduse nõuetele. Sellega kaasneb süsteemi riskianalüüsi kohustus. Lisaks tuleb teostada E-ITS audit. </w:t>
      </w:r>
      <w:r w:rsidR="00C64444">
        <w:t>Senine ETO-ks olemise kriteerium oli 200 MW tootmisseadme omamine, muudatuse järgselt on ETO-ks ettevõtja, kellel on kokku vähemalt 90 MW ulatuses elektritootmist, salvestust või tarbimise juhtimist (agregeerimist).</w:t>
      </w:r>
      <w:r w:rsidRPr="008D29CE">
        <w:t xml:space="preserve"> </w:t>
      </w:r>
      <w:r w:rsidR="004E4CD0">
        <w:t>Selle järgi lisandub seaduse jõustumisel kaks uut ETO-t: Enefit Green AS ja Utilitas OÜ. Lähiajal lisandub nimekirja täiendavalt neli ettevõtjat, kellel on tänase seisuga uued tootmis- või salvestusseadmed rajamisel:</w:t>
      </w:r>
      <w:r w:rsidR="00FB041E">
        <w:t xml:space="preserve"> </w:t>
      </w:r>
      <w:r w:rsidR="00FB041E">
        <w:rPr>
          <w:rFonts w:cs="Times New Roman"/>
          <w:szCs w:val="24"/>
        </w:rPr>
        <w:t>Estiko Energia OÜ, Evecon OÜ, KC Energy OÜ ja Sunly AS.</w:t>
      </w:r>
    </w:p>
    <w:p w14:paraId="52204A94" w14:textId="77777777" w:rsidR="006B1555" w:rsidRPr="008D29CE" w:rsidRDefault="006B1555" w:rsidP="006B1555">
      <w:pPr>
        <w:widowControl w:val="0"/>
      </w:pPr>
    </w:p>
    <w:p w14:paraId="3BD9F1FF" w14:textId="77777777" w:rsidR="006B1555" w:rsidRDefault="006B1555" w:rsidP="006B1555">
      <w:pPr>
        <w:widowControl w:val="0"/>
      </w:pPr>
      <w:r w:rsidRPr="008D29CE">
        <w:t>Muudatuste tulemusel suureneb Konkurentsiameti töökoormus. Põhiline töökoormuse kasv tuleneb määruse jõustumisega kaasnevast vajadusest teostada üksikasjalikumat ja laiemat elektri hulgituru (sh nii päev-ette, päevasisene kui ka reguleerimisturg) järelevalvet.</w:t>
      </w:r>
      <w:r>
        <w:t xml:space="preserve"> Tulenevalt riist- ja tarkvaraga seotud julgeolekusätete lisamisest suureneb TTJA töökoormus. Suurenemine tuleneb täiendavast menetlustegevusest ning järelevalvest, mis on vajalikud kontrollimaks riist-ja tarkvara sobivust võrguteenuse pakkumiseks.</w:t>
      </w:r>
    </w:p>
    <w:p w14:paraId="3325A27F" w14:textId="77777777" w:rsidR="006B1555" w:rsidRDefault="006B1555" w:rsidP="006B1555">
      <w:pPr>
        <w:widowControl w:val="0"/>
      </w:pPr>
    </w:p>
    <w:p w14:paraId="45D7BA54" w14:textId="77777777" w:rsidR="006B1555" w:rsidRPr="00505EFE" w:rsidRDefault="006B1555" w:rsidP="006B1555">
      <w:r>
        <w:t>Rahandusministeeriumi töökoormus väheneb a</w:t>
      </w:r>
      <w:r w:rsidRPr="00505EFE">
        <w:t xml:space="preserve">ndes hankijatele õiguse esitada ka ise soovi korral taotlus Euroopa Komisjonile </w:t>
      </w:r>
      <w:r>
        <w:t>erandi taotlemiseks</w:t>
      </w:r>
      <w:r w:rsidRPr="00505EFE">
        <w:rPr>
          <w:rFonts w:eastAsia="Times New Roman" w:cs="Times New Roman"/>
          <w:lang w:eastAsia="et-EE"/>
        </w:rPr>
        <w:t xml:space="preserve"> </w:t>
      </w:r>
      <w:r w:rsidRPr="00505EFE">
        <w:t>vabastada Eestis energia tootmise ja selle võrku müümisega seonduvad tegevused riigihangete reeglitest</w:t>
      </w:r>
      <w:r>
        <w:t>. Samas</w:t>
      </w:r>
      <w:r w:rsidRPr="00505EFE">
        <w:t xml:space="preserve"> riik </w:t>
      </w:r>
      <w:r>
        <w:t xml:space="preserve">ei </w:t>
      </w:r>
      <w:r w:rsidRPr="00505EFE">
        <w:t>kaotaks erandi taotlemise protsessi osas kontrolli</w:t>
      </w:r>
      <w:r>
        <w:t xml:space="preserve">, seda </w:t>
      </w:r>
      <w:r w:rsidRPr="00505EFE">
        <w:t xml:space="preserve">põhjusel, et Euroopa Komisjon kaasab igal juhul vastava liikmesriigi erandi andmise hindamise protsessi hinnangu saamiseks turu olukorra kohta. </w:t>
      </w:r>
    </w:p>
    <w:p w14:paraId="0013FA57" w14:textId="77777777" w:rsidR="006B1555" w:rsidRDefault="006B1555" w:rsidP="006B1555">
      <w:pPr>
        <w:widowControl w:val="0"/>
      </w:pPr>
    </w:p>
    <w:p w14:paraId="19779C92" w14:textId="77777777" w:rsidR="006B1555" w:rsidRPr="00F57E3D" w:rsidRDefault="006B1555" w:rsidP="006B1555">
      <w:pPr>
        <w:pStyle w:val="Loendilik"/>
        <w:widowControl w:val="0"/>
        <w:numPr>
          <w:ilvl w:val="1"/>
          <w:numId w:val="2"/>
        </w:numPr>
        <w:rPr>
          <w:b/>
        </w:rPr>
      </w:pPr>
      <w:r w:rsidRPr="00F57E3D">
        <w:rPr>
          <w:b/>
        </w:rPr>
        <w:t>Eelnõu ettevalmistaja</w:t>
      </w:r>
    </w:p>
    <w:p w14:paraId="1CBE5307" w14:textId="77777777" w:rsidR="006B1555" w:rsidRPr="00F57E3D" w:rsidRDefault="006B1555" w:rsidP="006B1555">
      <w:pPr>
        <w:pStyle w:val="Loendilik"/>
        <w:widowControl w:val="0"/>
        <w:ind w:left="0"/>
        <w:rPr>
          <w:b/>
        </w:rPr>
      </w:pPr>
    </w:p>
    <w:p w14:paraId="4C83E756" w14:textId="77777777" w:rsidR="006B1555" w:rsidRPr="00D42D0E" w:rsidRDefault="006B1555" w:rsidP="006B1555">
      <w:pPr>
        <w:spacing w:before="120"/>
      </w:pPr>
      <w:r w:rsidRPr="009C62B1">
        <w:t xml:space="preserve">Eelnõu ja seletuskirja on ette valmistanud </w:t>
      </w:r>
      <w:r w:rsidRPr="009C62B1">
        <w:rPr>
          <w:rFonts w:eastAsia="Calibri"/>
        </w:rPr>
        <w:t>K</w:t>
      </w:r>
      <w:r>
        <w:rPr>
          <w:rFonts w:eastAsia="Calibri"/>
        </w:rPr>
        <w:t>liima</w:t>
      </w:r>
      <w:r w:rsidRPr="009C62B1">
        <w:rPr>
          <w:rFonts w:eastAsia="Calibri"/>
        </w:rPr>
        <w:t>ministeeriumi (</w:t>
      </w:r>
      <w:r>
        <w:rPr>
          <w:rFonts w:eastAsia="Calibri"/>
        </w:rPr>
        <w:t>KLM</w:t>
      </w:r>
      <w:r w:rsidRPr="009C62B1">
        <w:rPr>
          <w:rFonts w:eastAsia="Calibri"/>
        </w:rPr>
        <w:t>) energeetikaosakonna</w:t>
      </w:r>
      <w:r>
        <w:rPr>
          <w:rFonts w:eastAsia="Calibri"/>
        </w:rPr>
        <w:t>st</w:t>
      </w:r>
      <w:r w:rsidRPr="009C62B1">
        <w:rPr>
          <w:rFonts w:eastAsia="Calibri"/>
        </w:rPr>
        <w:t xml:space="preserve"> </w:t>
      </w:r>
      <w:r>
        <w:rPr>
          <w:rFonts w:eastAsia="Calibri"/>
        </w:rPr>
        <w:t xml:space="preserve">energiaturgude </w:t>
      </w:r>
      <w:r w:rsidRPr="009C62B1">
        <w:rPr>
          <w:rFonts w:eastAsia="Calibri"/>
        </w:rPr>
        <w:t xml:space="preserve">ekspert </w:t>
      </w:r>
      <w:r w:rsidRPr="009C62B1">
        <w:t xml:space="preserve">Marie-Ursula Vaks </w:t>
      </w:r>
      <w:r w:rsidRPr="009C62B1">
        <w:rPr>
          <w:rFonts w:eastAsia="Calibri"/>
        </w:rPr>
        <w:t>(</w:t>
      </w:r>
      <w:hyperlink r:id="rId15" w:history="1">
        <w:r w:rsidRPr="00240164">
          <w:rPr>
            <w:rStyle w:val="Hperlink"/>
            <w:rFonts w:eastAsia="Calibri"/>
          </w:rPr>
          <w:t>marie-ursula.vaks@kliimaministeerium.ee</w:t>
        </w:r>
      </w:hyperlink>
      <w:r>
        <w:t>, 53956695</w:t>
      </w:r>
      <w:r w:rsidRPr="00874322">
        <w:rPr>
          <w:rFonts w:eastAsia="Calibri"/>
        </w:rPr>
        <w:t>)</w:t>
      </w:r>
      <w:r>
        <w:rPr>
          <w:rFonts w:eastAsia="Calibri"/>
        </w:rPr>
        <w:t>, taastuvenergia valdkonnajuht Tauno Hilimon (</w:t>
      </w:r>
      <w:hyperlink r:id="rId16" w:history="1">
        <w:r w:rsidRPr="00D1470E">
          <w:rPr>
            <w:rStyle w:val="Hperlink"/>
            <w:rFonts w:eastAsia="Calibri"/>
          </w:rPr>
          <w:t>tauno.hilimon@kliimaministeerium.ee</w:t>
        </w:r>
      </w:hyperlink>
      <w:r>
        <w:rPr>
          <w:rFonts w:eastAsia="Calibri"/>
        </w:rPr>
        <w:t xml:space="preserve">, 625 6476), </w:t>
      </w:r>
      <w:r w:rsidRPr="00D42D0E">
        <w:t>energiavõrkude ekspert Thérèse Liis Kilk (</w:t>
      </w:r>
      <w:hyperlink r:id="rId17" w:history="1">
        <w:r w:rsidRPr="006A13CE">
          <w:rPr>
            <w:rStyle w:val="Hperlink"/>
          </w:rPr>
          <w:t>liis.kilk@kliimaministeerium.ee</w:t>
        </w:r>
      </w:hyperlink>
      <w:r w:rsidRPr="00D42D0E">
        <w:t>, 6256493) ja varustuskindluse nõunik Kristjan Kaldmaa (</w:t>
      </w:r>
      <w:hyperlink r:id="rId18" w:history="1">
        <w:r w:rsidRPr="006A13CE">
          <w:rPr>
            <w:rStyle w:val="Hperlink"/>
          </w:rPr>
          <w:t>kristjan.kaldmaa@kliimaministeerium.ee</w:t>
        </w:r>
      </w:hyperlink>
      <w:r w:rsidRPr="00D42D0E">
        <w:t>,</w:t>
      </w:r>
      <w:r>
        <w:rPr>
          <w:rFonts w:ascii="Segoe UI" w:eastAsia="Times New Roman" w:hAnsi="Segoe UI" w:cs="Segoe UI"/>
          <w:color w:val="1C4269"/>
          <w:sz w:val="20"/>
          <w:szCs w:val="20"/>
          <w:lang w:eastAsia="et-EE"/>
        </w:rPr>
        <w:t xml:space="preserve"> </w:t>
      </w:r>
      <w:r w:rsidRPr="00D42D0E">
        <w:t>58851135)</w:t>
      </w:r>
      <w:r w:rsidRPr="00874322">
        <w:rPr>
          <w:rFonts w:eastAsia="Calibri"/>
        </w:rPr>
        <w:t>.</w:t>
      </w:r>
      <w:r>
        <w:rPr>
          <w:rFonts w:eastAsia="Calibri"/>
        </w:rPr>
        <w:t xml:space="preserve"> </w:t>
      </w:r>
      <w:r w:rsidRPr="00AB7239">
        <w:rPr>
          <w:rFonts w:eastAsia="Calibri"/>
        </w:rPr>
        <w:t>Eelnõu ja seletuskirja juriidilis</w:t>
      </w:r>
      <w:r>
        <w:rPr>
          <w:rFonts w:eastAsia="Calibri"/>
        </w:rPr>
        <w:t xml:space="preserve">e ekspertiisi teostasid </w:t>
      </w:r>
      <w:r w:rsidRPr="00AB7239">
        <w:rPr>
          <w:rFonts w:eastAsia="Calibri"/>
        </w:rPr>
        <w:t>Kliimaministeeriumi õigusosakonna nõunik</w:t>
      </w:r>
      <w:r>
        <w:rPr>
          <w:rFonts w:eastAsia="Calibri"/>
        </w:rPr>
        <w:t xml:space="preserve">ud </w:t>
      </w:r>
      <w:r w:rsidRPr="00105448">
        <w:rPr>
          <w:rFonts w:eastAsia="Calibri"/>
        </w:rPr>
        <w:t>Anna-Liisa Kotsjuba</w:t>
      </w:r>
      <w:r>
        <w:rPr>
          <w:rFonts w:eastAsia="Calibri"/>
        </w:rPr>
        <w:t xml:space="preserve"> (teenistussuhe lõppenud), </w:t>
      </w:r>
      <w:r w:rsidRPr="00FC7C4E">
        <w:rPr>
          <w:rFonts w:eastAsia="Calibri"/>
        </w:rPr>
        <w:t>Käthlin Oeselg</w:t>
      </w:r>
      <w:r>
        <w:rPr>
          <w:rFonts w:eastAsia="Calibri"/>
        </w:rPr>
        <w:t xml:space="preserve"> (</w:t>
      </w:r>
      <w:hyperlink r:id="rId19" w:history="1">
        <w:r w:rsidRPr="00214997">
          <w:rPr>
            <w:rStyle w:val="Hperlink"/>
          </w:rPr>
          <w:t>kathlin.oeselg@kliimaministeerium.ee</w:t>
        </w:r>
      </w:hyperlink>
      <w:r>
        <w:rPr>
          <w:rFonts w:eastAsia="Calibri"/>
        </w:rPr>
        <w:t>) ja Kristel Soodla (</w:t>
      </w:r>
      <w:hyperlink r:id="rId20" w:history="1">
        <w:r w:rsidRPr="00B673C3">
          <w:rPr>
            <w:rStyle w:val="Hperlink"/>
            <w:rFonts w:eastAsia="Calibri"/>
          </w:rPr>
          <w:t>kristel.soodla@kliimaministeerium.ee</w:t>
        </w:r>
      </w:hyperlink>
      <w:r>
        <w:rPr>
          <w:rFonts w:eastAsia="Calibri"/>
        </w:rPr>
        <w:t>)</w:t>
      </w:r>
      <w:r w:rsidRPr="00AB7239">
        <w:rPr>
          <w:rFonts w:eastAsia="Calibri"/>
        </w:rPr>
        <w:t xml:space="preserve">. </w:t>
      </w:r>
      <w:r>
        <w:rPr>
          <w:rFonts w:eastAsia="Calibri"/>
        </w:rPr>
        <w:t>Eelnõu on keeletoimetanud</w:t>
      </w:r>
      <w:r w:rsidRPr="00AB7239">
        <w:rPr>
          <w:rFonts w:eastAsia="Calibri"/>
        </w:rPr>
        <w:t xml:space="preserve"> Justiits</w:t>
      </w:r>
      <w:r>
        <w:rPr>
          <w:rFonts w:eastAsia="Calibri"/>
        </w:rPr>
        <w:t>- ja Digi</w:t>
      </w:r>
      <w:r w:rsidRPr="00AB7239">
        <w:rPr>
          <w:rFonts w:eastAsia="Calibri"/>
        </w:rPr>
        <w:t>ministeeriumi õigusloome korralduse talituse toimetaja</w:t>
      </w:r>
      <w:r>
        <w:rPr>
          <w:rFonts w:eastAsia="Calibri"/>
        </w:rPr>
        <w:t>d Inge Mehide (</w:t>
      </w:r>
      <w:hyperlink r:id="rId21" w:history="1">
        <w:r w:rsidRPr="00B673C3">
          <w:rPr>
            <w:rStyle w:val="Hperlink"/>
            <w:rFonts w:eastAsia="Calibri"/>
          </w:rPr>
          <w:t>inge.mehide@justdigi.ee</w:t>
        </w:r>
      </w:hyperlink>
      <w:r>
        <w:rPr>
          <w:rFonts w:eastAsia="Calibri"/>
        </w:rPr>
        <w:t xml:space="preserve">) ja Merike Koppel </w:t>
      </w:r>
      <w:r w:rsidRPr="000F508D">
        <w:rPr>
          <w:rFonts w:eastAsia="Calibri"/>
          <w:u w:val="single"/>
        </w:rPr>
        <w:t>(</w:t>
      </w:r>
      <w:hyperlink r:id="rId22" w:history="1">
        <w:r w:rsidRPr="00AA0767">
          <w:rPr>
            <w:rStyle w:val="Hperlink"/>
            <w:rFonts w:eastAsia="Calibri"/>
          </w:rPr>
          <w:t>merike.koppel@justdigi.ee</w:t>
        </w:r>
      </w:hyperlink>
      <w:r w:rsidRPr="000F508D">
        <w:rPr>
          <w:rFonts w:eastAsia="Calibri"/>
          <w:u w:val="single"/>
        </w:rPr>
        <w:t>)</w:t>
      </w:r>
      <w:r w:rsidRPr="00AB7239">
        <w:rPr>
          <w:rFonts w:eastAsia="Calibri"/>
        </w:rPr>
        <w:t xml:space="preserve">. </w:t>
      </w:r>
    </w:p>
    <w:p w14:paraId="7B4EB3EB" w14:textId="77777777" w:rsidR="006B1555" w:rsidRDefault="006B1555" w:rsidP="006B1555">
      <w:pPr>
        <w:pStyle w:val="Kehatekst"/>
        <w:spacing w:before="0" w:after="0"/>
        <w:rPr>
          <w:b/>
        </w:rPr>
      </w:pPr>
    </w:p>
    <w:p w14:paraId="15592ADF" w14:textId="77777777" w:rsidR="006B1555" w:rsidRDefault="006B1555" w:rsidP="006B1555">
      <w:pPr>
        <w:pStyle w:val="Kehatekst"/>
        <w:numPr>
          <w:ilvl w:val="1"/>
          <w:numId w:val="2"/>
        </w:numPr>
        <w:spacing w:before="0" w:after="0"/>
        <w:rPr>
          <w:b/>
        </w:rPr>
      </w:pPr>
      <w:r w:rsidRPr="00440ABC">
        <w:rPr>
          <w:b/>
        </w:rPr>
        <w:t>Märkused</w:t>
      </w:r>
    </w:p>
    <w:p w14:paraId="18CE6117" w14:textId="77777777" w:rsidR="006B1555" w:rsidRPr="00440ABC" w:rsidRDefault="006B1555" w:rsidP="006B1555">
      <w:pPr>
        <w:pStyle w:val="Kehatekst"/>
        <w:spacing w:before="0" w:after="0"/>
        <w:rPr>
          <w:b/>
        </w:rPr>
      </w:pPr>
    </w:p>
    <w:p w14:paraId="406F6C0C" w14:textId="77777777" w:rsidR="006B1555" w:rsidRDefault="006B1555" w:rsidP="006B1555">
      <w:pPr>
        <w:pStyle w:val="Kehatekst"/>
        <w:spacing w:before="0" w:after="0"/>
      </w:pPr>
      <w:r w:rsidRPr="002C375E">
        <w:t xml:space="preserve">Eelnõu ei ole seotud ühegi muu menetluses oleva eelnõu ega Vabariigi Valitsuse </w:t>
      </w:r>
      <w:r w:rsidRPr="002C375E">
        <w:lastRenderedPageBreak/>
        <w:t xml:space="preserve">tegevusprogrammiga. Eelnõuga võetakse üle Euroopa Parlamendi ja nõukogu direktiiv </w:t>
      </w:r>
      <w:r w:rsidRPr="002C375E">
        <w:rPr>
          <w:bCs/>
        </w:rPr>
        <w:t>(EL) 2024/1711 elektrituru korralduse parandamiseks</w:t>
      </w:r>
      <w:r>
        <w:rPr>
          <w:bCs/>
        </w:rPr>
        <w:t xml:space="preserve"> ja </w:t>
      </w:r>
      <w:r w:rsidRPr="0008753B">
        <w:rPr>
          <w:bCs/>
        </w:rPr>
        <w:t xml:space="preserve">rakendatakse Euroopa Parlamendi ja nõukogu määrust (EL) 2024/1106 </w:t>
      </w:r>
      <w:r w:rsidRPr="002C375E">
        <w:rPr>
          <w:bCs/>
        </w:rPr>
        <w:t xml:space="preserve">ning </w:t>
      </w:r>
      <w:r w:rsidRPr="002C375E">
        <w:t xml:space="preserve">muudetakse elektrituruseaduse (edaspidi </w:t>
      </w:r>
      <w:r w:rsidRPr="002C375E">
        <w:rPr>
          <w:i/>
        </w:rPr>
        <w:t>ELTS</w:t>
      </w:r>
      <w:r w:rsidRPr="002C375E">
        <w:t xml:space="preserve">) </w:t>
      </w:r>
      <w:r w:rsidRPr="00B71939">
        <w:t>18. juuli 2025. a redaktsiooni (RT I, 08.07.2025,</w:t>
      </w:r>
      <w:r w:rsidRPr="00BF0AB8">
        <w:t xml:space="preserve"> 41), maagaasiseaduse 18. oktoobri 2024. a. redaktsiooni (RT I 08.10.2024, 12)</w:t>
      </w:r>
      <w:r>
        <w:t>,</w:t>
      </w:r>
      <w:r w:rsidRPr="00BF0AB8">
        <w:t xml:space="preserve"> </w:t>
      </w:r>
      <w:r w:rsidRPr="00B71939">
        <w:t xml:space="preserve">riigihangete seaduse 1. </w:t>
      </w:r>
      <w:r>
        <w:t>oktoobri</w:t>
      </w:r>
      <w:r w:rsidRPr="00B71939">
        <w:t xml:space="preserve"> 2025. a redaktsiooni (RT I, </w:t>
      </w:r>
      <w:r>
        <w:t>12</w:t>
      </w:r>
      <w:r w:rsidRPr="00B71939">
        <w:t xml:space="preserve">.07.2025, </w:t>
      </w:r>
      <w:r>
        <w:t>25</w:t>
      </w:r>
      <w:r w:rsidRPr="00B71939">
        <w:t>)</w:t>
      </w:r>
      <w:r>
        <w:t xml:space="preserve"> ja võetakse üle </w:t>
      </w:r>
      <w:r w:rsidRPr="00407E71">
        <w:rPr>
          <w:bCs/>
        </w:rPr>
        <w:t>Euroopa Parlamendi ja nõukogu direktiiv (EL) 2024/1785</w:t>
      </w:r>
      <w:r>
        <w:rPr>
          <w:bCs/>
        </w:rPr>
        <w:t xml:space="preserve"> ning muudetakse tööstusheite seaduse (edaspidi ka </w:t>
      </w:r>
      <w:r>
        <w:rPr>
          <w:bCs/>
          <w:i/>
          <w:iCs/>
        </w:rPr>
        <w:t>THS)</w:t>
      </w:r>
      <w:r>
        <w:rPr>
          <w:bCs/>
        </w:rPr>
        <w:t xml:space="preserve"> 1. septembri 2025. a redaktsiooni (RT I, 08.07.2025, 69)</w:t>
      </w:r>
      <w:r w:rsidRPr="00B71939">
        <w:t>.</w:t>
      </w:r>
    </w:p>
    <w:p w14:paraId="0D90E726" w14:textId="77777777" w:rsidR="006B1555" w:rsidRPr="00440ABC" w:rsidRDefault="006B1555" w:rsidP="006B1555">
      <w:pPr>
        <w:pStyle w:val="Kehatekst"/>
        <w:spacing w:before="0" w:after="0"/>
        <w:rPr>
          <w:color w:val="FF0000"/>
        </w:rPr>
      </w:pPr>
    </w:p>
    <w:p w14:paraId="0B0047AB" w14:textId="77777777" w:rsidR="006B1555" w:rsidRDefault="006B1555" w:rsidP="006B1555">
      <w:pPr>
        <w:rPr>
          <w:rFonts w:eastAsia="Calibri" w:cs="Times New Roman"/>
          <w:szCs w:val="24"/>
        </w:rPr>
      </w:pPr>
      <w:r w:rsidRPr="00440ABC">
        <w:rPr>
          <w:rFonts w:eastAsia="Calibri" w:cs="Times New Roman"/>
          <w:szCs w:val="24"/>
        </w:rPr>
        <w:t>Tuginedes Vabariigi Valitsuse 22.12.2011</w:t>
      </w:r>
      <w:r>
        <w:rPr>
          <w:rFonts w:eastAsia="Calibri" w:cs="Times New Roman"/>
          <w:szCs w:val="24"/>
        </w:rPr>
        <w:t>. a</w:t>
      </w:r>
      <w:r w:rsidRPr="00440ABC">
        <w:rPr>
          <w:rFonts w:eastAsia="Calibri" w:cs="Times New Roman"/>
          <w:szCs w:val="24"/>
        </w:rPr>
        <w:t xml:space="preserve"> määruse nr 180 „Hea õigusloome ja normitehnika eeskiri“ § 1 lõike 2 punktile </w:t>
      </w:r>
      <w:r>
        <w:rPr>
          <w:rFonts w:eastAsia="Calibri" w:cs="Times New Roman"/>
          <w:szCs w:val="24"/>
        </w:rPr>
        <w:t xml:space="preserve">1 ja </w:t>
      </w:r>
      <w:r w:rsidRPr="00440ABC">
        <w:rPr>
          <w:rFonts w:eastAsia="Calibri" w:cs="Times New Roman"/>
          <w:szCs w:val="24"/>
        </w:rPr>
        <w:t xml:space="preserve">2, mis sätestab, et seaduseelnõu väljatöötamiskavatsus ei ole nõutav, kui eelnõu </w:t>
      </w:r>
      <w:r>
        <w:rPr>
          <w:rFonts w:eastAsia="Calibri" w:cs="Times New Roman"/>
          <w:szCs w:val="24"/>
        </w:rPr>
        <w:t xml:space="preserve">menetlus on kiireloomuline ja </w:t>
      </w:r>
      <w:r w:rsidRPr="00440ABC">
        <w:rPr>
          <w:rFonts w:eastAsia="Calibri" w:cs="Times New Roman"/>
          <w:szCs w:val="24"/>
        </w:rPr>
        <w:t>käsitleb E</w:t>
      </w:r>
      <w:r>
        <w:rPr>
          <w:rFonts w:eastAsia="Calibri" w:cs="Times New Roman"/>
          <w:szCs w:val="24"/>
        </w:rPr>
        <w:t xml:space="preserve">Li </w:t>
      </w:r>
      <w:r w:rsidRPr="00440ABC">
        <w:rPr>
          <w:rFonts w:eastAsia="Calibri" w:cs="Times New Roman"/>
          <w:szCs w:val="24"/>
        </w:rPr>
        <w:t>õiguse rakendamist, ei ole tehtud seaduseelnõu väljatöötamiskavatsust.</w:t>
      </w:r>
      <w:r>
        <w:rPr>
          <w:rFonts w:eastAsia="Calibri" w:cs="Times New Roman"/>
          <w:szCs w:val="24"/>
        </w:rPr>
        <w:t xml:space="preserve"> Eelnõu kiireloomulisus tuleneb peamiselt sellest, et direktiivi ülevõtmise tähtaeg oli 2025. aasta jaanuaris. Ühtlasi sisaldab eelnõu muudatusi, millele on pööranud tähelepanu Õiguskantsler ning mille jõustumine aitaks tagada </w:t>
      </w:r>
      <w:r w:rsidRPr="00AD7A06">
        <w:rPr>
          <w:rFonts w:eastAsia="Calibri" w:cs="Times New Roman"/>
          <w:szCs w:val="24"/>
        </w:rPr>
        <w:t>tarbija ja elektrimüüja õiguste ja kohustuste tasakaal</w:t>
      </w:r>
      <w:r>
        <w:rPr>
          <w:rFonts w:eastAsia="Calibri" w:cs="Times New Roman"/>
          <w:szCs w:val="24"/>
        </w:rPr>
        <w:t>u seoses elektrilepingute ühepoolse muutmisega.</w:t>
      </w:r>
    </w:p>
    <w:p w14:paraId="24CA1AB4" w14:textId="77777777" w:rsidR="006B1555" w:rsidRPr="00440ABC" w:rsidRDefault="006B1555" w:rsidP="006B1555">
      <w:pPr>
        <w:rPr>
          <w:rFonts w:eastAsia="Calibri" w:cs="Times New Roman"/>
          <w:szCs w:val="24"/>
        </w:rPr>
      </w:pPr>
    </w:p>
    <w:p w14:paraId="786F2BFA" w14:textId="77777777" w:rsidR="006B1555" w:rsidRPr="00440ABC" w:rsidRDefault="006B1555" w:rsidP="006B1555">
      <w:pPr>
        <w:pStyle w:val="Kehatekst"/>
        <w:spacing w:before="0" w:after="0"/>
      </w:pPr>
      <w:r w:rsidRPr="00440ABC">
        <w:t>Eelnõu vastuvõtmiseks on vaja Riigikogu poolthäälte enamust.</w:t>
      </w:r>
    </w:p>
    <w:p w14:paraId="5BF705B0" w14:textId="77777777" w:rsidR="006B1555" w:rsidRPr="00F57E3D" w:rsidRDefault="006B1555" w:rsidP="006B1555">
      <w:pPr>
        <w:pStyle w:val="Loendilik"/>
        <w:numPr>
          <w:ilvl w:val="0"/>
          <w:numId w:val="2"/>
        </w:numPr>
        <w:spacing w:before="240"/>
        <w:rPr>
          <w:b/>
        </w:rPr>
      </w:pPr>
      <w:r w:rsidRPr="00F57E3D">
        <w:rPr>
          <w:b/>
        </w:rPr>
        <w:t>Seaduse eesmärk</w:t>
      </w:r>
    </w:p>
    <w:p w14:paraId="2EA2121F" w14:textId="77777777" w:rsidR="006B1555" w:rsidRPr="00F57E3D" w:rsidRDefault="006B1555" w:rsidP="006B1555">
      <w:pPr>
        <w:pStyle w:val="Loendilik"/>
        <w:spacing w:before="0" w:after="0"/>
        <w:ind w:left="0"/>
        <w:rPr>
          <w:b/>
        </w:rPr>
      </w:pPr>
    </w:p>
    <w:p w14:paraId="58336040" w14:textId="69D5DA88" w:rsidR="00374C44" w:rsidRDefault="006B1555" w:rsidP="00374C44">
      <w:pPr>
        <w:widowControl w:val="0"/>
        <w:rPr>
          <w:rFonts w:cs="Times New Roman"/>
          <w:bCs/>
          <w:szCs w:val="24"/>
        </w:rPr>
      </w:pPr>
      <w:r w:rsidRPr="001B4C2E">
        <w:rPr>
          <w:rFonts w:eastAsia="SimSun" w:cs="Times New Roman"/>
          <w:szCs w:val="24"/>
          <w:lang w:eastAsia="zh-CN"/>
        </w:rPr>
        <w:t xml:space="preserve">Kavandatud </w:t>
      </w:r>
      <w:r w:rsidRPr="00AD7A06">
        <w:rPr>
          <w:rFonts w:eastAsia="SimSun" w:cs="Times New Roman"/>
          <w:bCs/>
          <w:szCs w:val="24"/>
          <w:lang w:eastAsia="zh-CN"/>
        </w:rPr>
        <w:t>seaduseelnõuga võetakse</w:t>
      </w:r>
      <w:r w:rsidRPr="001B4C2E">
        <w:rPr>
          <w:rFonts w:eastAsia="SimSun" w:cs="Times New Roman"/>
          <w:szCs w:val="24"/>
          <w:lang w:eastAsia="zh-CN"/>
        </w:rPr>
        <w:t xml:space="preserve"> üle</w:t>
      </w:r>
      <w:r w:rsidRPr="0074235B">
        <w:rPr>
          <w:rFonts w:eastAsia="SimSun" w:cs="Times New Roman"/>
          <w:bCs/>
          <w:szCs w:val="24"/>
          <w:lang w:eastAsia="zh-CN"/>
        </w:rPr>
        <w:t xml:space="preserve"> Euroopa Parlamendi ja nõukogu direktiivi</w:t>
      </w:r>
      <w:r>
        <w:rPr>
          <w:rFonts w:eastAsia="SimSun" w:cs="Times New Roman"/>
          <w:bCs/>
          <w:szCs w:val="24"/>
          <w:lang w:eastAsia="zh-CN"/>
        </w:rPr>
        <w:t>ga</w:t>
      </w:r>
      <w:r w:rsidRPr="0074235B">
        <w:rPr>
          <w:rFonts w:eastAsia="SimSun" w:cs="Times New Roman"/>
          <w:bCs/>
          <w:szCs w:val="24"/>
          <w:lang w:eastAsia="zh-CN"/>
        </w:rPr>
        <w:t xml:space="preserve"> (EL) 2024/1711 </w:t>
      </w:r>
      <w:r>
        <w:rPr>
          <w:rFonts w:eastAsia="SimSun" w:cs="Times New Roman"/>
          <w:bCs/>
          <w:szCs w:val="24"/>
          <w:lang w:eastAsia="zh-CN"/>
        </w:rPr>
        <w:t xml:space="preserve">tehtud </w:t>
      </w:r>
      <w:r w:rsidRPr="0074235B">
        <w:rPr>
          <w:rFonts w:eastAsia="SimSun" w:cs="Times New Roman"/>
          <w:bCs/>
          <w:szCs w:val="24"/>
          <w:lang w:eastAsia="zh-CN"/>
        </w:rPr>
        <w:t>muudatused</w:t>
      </w:r>
      <w:r>
        <w:rPr>
          <w:rFonts w:eastAsia="SimSun" w:cs="Times New Roman"/>
          <w:bCs/>
          <w:szCs w:val="24"/>
          <w:lang w:eastAsia="zh-CN"/>
        </w:rPr>
        <w:t xml:space="preserve"> </w:t>
      </w:r>
      <w:r w:rsidRPr="0074235B">
        <w:rPr>
          <w:rFonts w:eastAsia="SimSun" w:cs="Times New Roman"/>
          <w:bCs/>
          <w:szCs w:val="24"/>
          <w:lang w:eastAsia="zh-CN"/>
        </w:rPr>
        <w:t>elektrituru korralduse parandamiseks. Elektrienergia siseturu korralduse parandamise eesmärk on hästi lõimitud energiaturg, mis võimaldab liikmesriikidel saada kõigis turutingimustes ühtsest energiaturust majanduslikku kasu</w:t>
      </w:r>
      <w:r>
        <w:rPr>
          <w:rFonts w:eastAsia="SimSun" w:cs="Times New Roman"/>
          <w:bCs/>
          <w:szCs w:val="24"/>
          <w:lang w:eastAsia="zh-CN"/>
        </w:rPr>
        <w:t>,</w:t>
      </w:r>
      <w:r w:rsidRPr="0074235B">
        <w:rPr>
          <w:rFonts w:eastAsia="SimSun" w:cs="Times New Roman"/>
          <w:bCs/>
          <w:szCs w:val="24"/>
          <w:lang w:eastAsia="zh-CN"/>
        </w:rPr>
        <w:t xml:space="preserve"> tagab ühtlasi varustuskindluse ja toetab CO</w:t>
      </w:r>
      <w:r w:rsidRPr="00422068">
        <w:rPr>
          <w:rFonts w:eastAsia="SimSun" w:cs="Times New Roman"/>
          <w:bCs/>
          <w:szCs w:val="24"/>
          <w:vertAlign w:val="subscript"/>
          <w:lang w:eastAsia="zh-CN"/>
        </w:rPr>
        <w:t>2</w:t>
      </w:r>
      <w:r w:rsidRPr="0074235B">
        <w:rPr>
          <w:rFonts w:eastAsia="SimSun" w:cs="Times New Roman"/>
          <w:bCs/>
          <w:szCs w:val="24"/>
          <w:lang w:eastAsia="zh-CN"/>
        </w:rPr>
        <w:t xml:space="preserve"> heite vähendamist, et saavutada liidu kliimaneutraalsuse eesmärk.</w:t>
      </w:r>
      <w:r w:rsidR="00374C44" w:rsidRPr="00374C44">
        <w:rPr>
          <w:rFonts w:cs="Times New Roman"/>
          <w:bCs/>
          <w:szCs w:val="24"/>
        </w:rPr>
        <w:t xml:space="preserve"> </w:t>
      </w:r>
      <w:r w:rsidR="00374C44" w:rsidRPr="0026289C">
        <w:rPr>
          <w:rFonts w:cs="Times New Roman"/>
          <w:bCs/>
          <w:szCs w:val="24"/>
        </w:rPr>
        <w:t>Direktiivi ülevõtmistabel on toodud käesoleva seletuskirja lisas</w:t>
      </w:r>
      <w:r w:rsidR="00374C44">
        <w:rPr>
          <w:rFonts w:cs="Times New Roman"/>
          <w:bCs/>
          <w:szCs w:val="24"/>
        </w:rPr>
        <w:t xml:space="preserve"> 1</w:t>
      </w:r>
      <w:r w:rsidR="00374C44" w:rsidRPr="0026289C">
        <w:rPr>
          <w:rFonts w:cs="Times New Roman"/>
          <w:bCs/>
          <w:szCs w:val="24"/>
        </w:rPr>
        <w:t>.</w:t>
      </w:r>
    </w:p>
    <w:p w14:paraId="39717768" w14:textId="77777777" w:rsidR="006B1555" w:rsidRDefault="006B1555" w:rsidP="006B1555">
      <w:pPr>
        <w:rPr>
          <w:rFonts w:eastAsia="SimSun" w:cs="Times New Roman"/>
          <w:bCs/>
          <w:szCs w:val="24"/>
          <w:lang w:eastAsia="zh-CN"/>
        </w:rPr>
      </w:pPr>
    </w:p>
    <w:p w14:paraId="50FE9D5B" w14:textId="7C43FE14" w:rsidR="006B1555" w:rsidRDefault="006B1555" w:rsidP="006B1555">
      <w:pPr>
        <w:rPr>
          <w:rFonts w:eastAsia="SimSun" w:cs="Times New Roman"/>
          <w:bCs/>
          <w:szCs w:val="24"/>
          <w:lang w:eastAsia="zh-CN"/>
        </w:rPr>
      </w:pPr>
      <w:r w:rsidRPr="00C51F5F">
        <w:rPr>
          <w:rFonts w:eastAsia="SimSun" w:cs="Times New Roman"/>
          <w:bCs/>
          <w:szCs w:val="24"/>
          <w:lang w:eastAsia="zh-CN"/>
        </w:rPr>
        <w:t xml:space="preserve">Energiakriisi taustal on praegune elektrituru korraldus esile toonud mitmesuguseid </w:t>
      </w:r>
      <w:r w:rsidR="00080BD7">
        <w:rPr>
          <w:rFonts w:eastAsia="SimSun" w:cs="Times New Roman"/>
          <w:bCs/>
          <w:szCs w:val="24"/>
          <w:lang w:eastAsia="zh-CN"/>
        </w:rPr>
        <w:t>kitsaskohti</w:t>
      </w:r>
      <w:r w:rsidRPr="00C51F5F">
        <w:rPr>
          <w:rFonts w:eastAsia="SimSun" w:cs="Times New Roman"/>
          <w:bCs/>
          <w:szCs w:val="24"/>
          <w:lang w:eastAsia="zh-CN"/>
        </w:rPr>
        <w:t>, mis on seotud lühiajalistel elektriturgudel esinevate kõrgete ja volatiilsete fossiilkütuse</w:t>
      </w:r>
      <w:r>
        <w:rPr>
          <w:rFonts w:eastAsia="SimSun" w:cs="Times New Roman"/>
          <w:bCs/>
          <w:szCs w:val="24"/>
          <w:lang w:eastAsia="zh-CN"/>
        </w:rPr>
        <w:t xml:space="preserve"> </w:t>
      </w:r>
      <w:r w:rsidRPr="00C51F5F">
        <w:rPr>
          <w:rFonts w:eastAsia="SimSun" w:cs="Times New Roman"/>
          <w:bCs/>
          <w:szCs w:val="24"/>
          <w:lang w:eastAsia="zh-CN"/>
        </w:rPr>
        <w:t xml:space="preserve">hindade mõjuga ning sunnivad kodumajapidamisi ja ettevõtjaid seisma silmitsi hüppelise hinnakõikumisega ja </w:t>
      </w:r>
      <w:r>
        <w:rPr>
          <w:rFonts w:eastAsia="SimSun" w:cs="Times New Roman"/>
          <w:bCs/>
          <w:szCs w:val="24"/>
          <w:lang w:eastAsia="zh-CN"/>
        </w:rPr>
        <w:t>selle</w:t>
      </w:r>
      <w:r w:rsidRPr="00C51F5F">
        <w:rPr>
          <w:rFonts w:eastAsia="SimSun" w:cs="Times New Roman"/>
          <w:bCs/>
          <w:szCs w:val="24"/>
          <w:lang w:eastAsia="zh-CN"/>
        </w:rPr>
        <w:t xml:space="preserve"> mõjuga elektriarvetel</w:t>
      </w:r>
      <w:r>
        <w:rPr>
          <w:rFonts w:eastAsia="SimSun" w:cs="Times New Roman"/>
          <w:bCs/>
          <w:szCs w:val="24"/>
          <w:lang w:eastAsia="zh-CN"/>
        </w:rPr>
        <w:t>e</w:t>
      </w:r>
      <w:r w:rsidRPr="00C51F5F">
        <w:rPr>
          <w:rFonts w:eastAsia="SimSun" w:cs="Times New Roman"/>
          <w:bCs/>
          <w:szCs w:val="24"/>
          <w:lang w:eastAsia="zh-CN"/>
        </w:rPr>
        <w:t>.</w:t>
      </w:r>
      <w:r>
        <w:rPr>
          <w:rFonts w:eastAsia="SimSun" w:cs="Times New Roman"/>
          <w:bCs/>
          <w:szCs w:val="24"/>
          <w:lang w:eastAsia="zh-CN"/>
        </w:rPr>
        <w:t xml:space="preserve"> </w:t>
      </w:r>
      <w:r w:rsidR="00080BD7">
        <w:rPr>
          <w:rFonts w:eastAsia="SimSun" w:cs="Times New Roman"/>
          <w:bCs/>
          <w:szCs w:val="24"/>
          <w:lang w:eastAsia="zh-CN"/>
        </w:rPr>
        <w:t>Eelnõuga kavandatavad muudatused tagavad</w:t>
      </w:r>
      <w:r w:rsidRPr="0026289C">
        <w:rPr>
          <w:rFonts w:eastAsia="SimSun" w:cs="Times New Roman"/>
          <w:bCs/>
          <w:szCs w:val="24"/>
          <w:lang w:eastAsia="zh-CN"/>
        </w:rPr>
        <w:t xml:space="preserve">, et </w:t>
      </w:r>
      <w:r>
        <w:rPr>
          <w:rFonts w:eastAsia="SimSun" w:cs="Times New Roman"/>
          <w:bCs/>
          <w:szCs w:val="24"/>
          <w:lang w:eastAsia="zh-CN"/>
        </w:rPr>
        <w:t xml:space="preserve">tarbijad on </w:t>
      </w:r>
      <w:r w:rsidRPr="0026289C">
        <w:rPr>
          <w:rFonts w:eastAsia="SimSun" w:cs="Times New Roman"/>
          <w:bCs/>
          <w:szCs w:val="24"/>
          <w:lang w:eastAsia="zh-CN"/>
        </w:rPr>
        <w:t>kaits</w:t>
      </w:r>
      <w:r>
        <w:rPr>
          <w:rFonts w:eastAsia="SimSun" w:cs="Times New Roman"/>
          <w:bCs/>
          <w:szCs w:val="24"/>
          <w:lang w:eastAsia="zh-CN"/>
        </w:rPr>
        <w:t xml:space="preserve">tud </w:t>
      </w:r>
      <w:r w:rsidRPr="0026289C">
        <w:rPr>
          <w:rFonts w:eastAsia="SimSun" w:cs="Times New Roman"/>
          <w:bCs/>
          <w:szCs w:val="24"/>
          <w:lang w:eastAsia="zh-CN"/>
        </w:rPr>
        <w:t>energia</w:t>
      </w:r>
      <w:r>
        <w:rPr>
          <w:rFonts w:eastAsia="SimSun" w:cs="Times New Roman"/>
          <w:bCs/>
          <w:szCs w:val="24"/>
          <w:lang w:eastAsia="zh-CN"/>
        </w:rPr>
        <w:t>hinna</w:t>
      </w:r>
      <w:r w:rsidRPr="0026289C">
        <w:rPr>
          <w:rFonts w:eastAsia="SimSun" w:cs="Times New Roman"/>
          <w:bCs/>
          <w:szCs w:val="24"/>
          <w:lang w:eastAsia="zh-CN"/>
        </w:rPr>
        <w:t>kriiside eest</w:t>
      </w:r>
      <w:r>
        <w:rPr>
          <w:rFonts w:eastAsia="SimSun" w:cs="Times New Roman"/>
          <w:bCs/>
          <w:szCs w:val="24"/>
          <w:lang w:eastAsia="zh-CN"/>
        </w:rPr>
        <w:t xml:space="preserve"> ning võrgust lahtiühendamise eest </w:t>
      </w:r>
      <w:r w:rsidRPr="00765B0B">
        <w:rPr>
          <w:rFonts w:eastAsia="SimSun" w:cs="Times New Roman"/>
          <w:bCs/>
          <w:szCs w:val="24"/>
          <w:lang w:eastAsia="zh-CN"/>
        </w:rPr>
        <w:t>kohtuvälise menetluse lahendamise ajal</w:t>
      </w:r>
      <w:r>
        <w:rPr>
          <w:rFonts w:eastAsia="SimSun" w:cs="Times New Roman"/>
          <w:bCs/>
          <w:szCs w:val="24"/>
          <w:lang w:eastAsia="zh-CN"/>
        </w:rPr>
        <w:t>.</w:t>
      </w:r>
    </w:p>
    <w:p w14:paraId="52E79E53" w14:textId="77777777" w:rsidR="006B1555" w:rsidRDefault="006B1555" w:rsidP="006B1555">
      <w:pPr>
        <w:rPr>
          <w:rFonts w:eastAsia="SimSun" w:cs="Times New Roman"/>
          <w:bCs/>
          <w:strike/>
          <w:szCs w:val="24"/>
          <w:lang w:eastAsia="zh-CN"/>
        </w:rPr>
      </w:pPr>
    </w:p>
    <w:p w14:paraId="1AB1B012" w14:textId="77777777" w:rsidR="006B1555" w:rsidRDefault="006B1555" w:rsidP="006B1555">
      <w:pPr>
        <w:widowControl w:val="0"/>
        <w:rPr>
          <w:rFonts w:cs="Times New Roman"/>
          <w:bCs/>
          <w:szCs w:val="24"/>
        </w:rPr>
      </w:pPr>
      <w:r>
        <w:rPr>
          <w:rFonts w:cs="Times New Roman"/>
          <w:bCs/>
          <w:szCs w:val="24"/>
        </w:rPr>
        <w:t>Võrguühenduse kasutajate võimalus sõlmida paindlik liitumisleping p</w:t>
      </w:r>
      <w:r w:rsidRPr="00765B0B">
        <w:rPr>
          <w:rFonts w:cs="Times New Roman"/>
          <w:bCs/>
          <w:szCs w:val="24"/>
        </w:rPr>
        <w:t>iirkondades, kus elektrivõr</w:t>
      </w:r>
      <w:r>
        <w:rPr>
          <w:rFonts w:cs="Times New Roman"/>
          <w:bCs/>
          <w:szCs w:val="24"/>
        </w:rPr>
        <w:t>gu</w:t>
      </w:r>
      <w:r w:rsidRPr="00765B0B">
        <w:rPr>
          <w:rFonts w:cs="Times New Roman"/>
          <w:bCs/>
          <w:szCs w:val="24"/>
        </w:rPr>
        <w:t xml:space="preserve"> võimsus</w:t>
      </w:r>
      <w:r>
        <w:rPr>
          <w:rFonts w:cs="Times New Roman"/>
          <w:bCs/>
          <w:szCs w:val="24"/>
        </w:rPr>
        <w:t xml:space="preserve"> uutele liitujatele</w:t>
      </w:r>
      <w:r w:rsidRPr="00765B0B">
        <w:rPr>
          <w:rFonts w:cs="Times New Roman"/>
          <w:bCs/>
          <w:szCs w:val="24"/>
        </w:rPr>
        <w:t xml:space="preserve"> on piiratud</w:t>
      </w:r>
      <w:r>
        <w:rPr>
          <w:rFonts w:cs="Times New Roman"/>
          <w:bCs/>
          <w:szCs w:val="24"/>
        </w:rPr>
        <w:t>, pakub ka võrguettevõtjale lahendust hajaasustuste arendamiseks</w:t>
      </w:r>
      <w:r w:rsidRPr="00765B0B">
        <w:rPr>
          <w:rFonts w:cs="Times New Roman"/>
          <w:bCs/>
          <w:szCs w:val="24"/>
        </w:rPr>
        <w:t xml:space="preserve">, tagades, et prioriteediks on </w:t>
      </w:r>
      <w:r>
        <w:rPr>
          <w:rFonts w:cs="Times New Roman"/>
          <w:bCs/>
          <w:szCs w:val="24"/>
        </w:rPr>
        <w:t xml:space="preserve">planeeritud </w:t>
      </w:r>
      <w:r w:rsidRPr="00765B0B">
        <w:rPr>
          <w:rFonts w:cs="Times New Roman"/>
          <w:bCs/>
          <w:szCs w:val="24"/>
        </w:rPr>
        <w:t>võrgu tugevdamine</w:t>
      </w:r>
      <w:r>
        <w:rPr>
          <w:rFonts w:cs="Times New Roman"/>
          <w:bCs/>
          <w:szCs w:val="24"/>
        </w:rPr>
        <w:t>. P</w:t>
      </w:r>
      <w:r w:rsidRPr="00765B0B">
        <w:rPr>
          <w:rFonts w:cs="Times New Roman"/>
          <w:bCs/>
          <w:szCs w:val="24"/>
        </w:rPr>
        <w:t xml:space="preserve">aindlikke </w:t>
      </w:r>
      <w:r>
        <w:rPr>
          <w:rFonts w:cs="Times New Roman"/>
          <w:bCs/>
          <w:szCs w:val="24"/>
        </w:rPr>
        <w:t xml:space="preserve">liitumisi </w:t>
      </w:r>
      <w:r w:rsidRPr="00765B0B">
        <w:rPr>
          <w:rFonts w:cs="Times New Roman"/>
          <w:bCs/>
          <w:szCs w:val="24"/>
        </w:rPr>
        <w:t xml:space="preserve">võimaldatakse alalise lahendusena piirkondades, kus võrgu tugevdamine ei ole tõhus, ning võrguühendust taotlevatele võrgukasutajatele muudetakse võimalikult nähtavaks eeldatavad piirangud, mis paindliku </w:t>
      </w:r>
      <w:r>
        <w:rPr>
          <w:rFonts w:cs="Times New Roman"/>
          <w:bCs/>
          <w:szCs w:val="24"/>
        </w:rPr>
        <w:t xml:space="preserve">liitumise </w:t>
      </w:r>
      <w:r w:rsidRPr="00765B0B">
        <w:rPr>
          <w:rFonts w:cs="Times New Roman"/>
          <w:bCs/>
          <w:szCs w:val="24"/>
        </w:rPr>
        <w:t xml:space="preserve">lepingu </w:t>
      </w:r>
      <w:r>
        <w:rPr>
          <w:rFonts w:cs="Times New Roman"/>
          <w:bCs/>
          <w:szCs w:val="24"/>
        </w:rPr>
        <w:t xml:space="preserve">puhul </w:t>
      </w:r>
      <w:r w:rsidRPr="00765B0B">
        <w:rPr>
          <w:rFonts w:cs="Times New Roman"/>
          <w:bCs/>
          <w:szCs w:val="24"/>
        </w:rPr>
        <w:t>kehtivad.</w:t>
      </w:r>
    </w:p>
    <w:p w14:paraId="2DBC54D1" w14:textId="77777777" w:rsidR="006B1555" w:rsidRDefault="006B1555" w:rsidP="006B1555">
      <w:pPr>
        <w:widowControl w:val="0"/>
        <w:rPr>
          <w:rFonts w:cs="Times New Roman"/>
          <w:bCs/>
          <w:szCs w:val="24"/>
        </w:rPr>
      </w:pPr>
    </w:p>
    <w:p w14:paraId="2D0EAB32" w14:textId="77777777" w:rsidR="006B1555" w:rsidRDefault="006B1555" w:rsidP="006B1555">
      <w:pPr>
        <w:widowControl w:val="0"/>
        <w:rPr>
          <w:rFonts w:cs="Times New Roman"/>
          <w:bCs/>
          <w:szCs w:val="24"/>
        </w:rPr>
      </w:pPr>
      <w:r>
        <w:t>Tarbijad, kes toodavad ja tarbivad taastuvenergiat samas hoones või kortermajas, saavad osaleda ühiselt toodetud taastuvenergia jagamises tarbijapaigaldise sees eeldusel, et tootmine ja tarbimine toimuvad sama liitumispunkti piires.</w:t>
      </w:r>
    </w:p>
    <w:p w14:paraId="26CA6BC4" w14:textId="77777777" w:rsidR="006B1555" w:rsidRDefault="006B1555" w:rsidP="006B1555">
      <w:pPr>
        <w:widowControl w:val="0"/>
        <w:rPr>
          <w:rFonts w:cs="Times New Roman"/>
          <w:bCs/>
          <w:szCs w:val="24"/>
        </w:rPr>
      </w:pPr>
    </w:p>
    <w:p w14:paraId="78365834" w14:textId="77777777" w:rsidR="006B1555" w:rsidRDefault="006B1555" w:rsidP="006B1555">
      <w:pPr>
        <w:widowControl w:val="0"/>
      </w:pPr>
      <w:r>
        <w:rPr>
          <w:rFonts w:cs="Times New Roman"/>
          <w:bCs/>
          <w:szCs w:val="24"/>
        </w:rPr>
        <w:t xml:space="preserve">Elektrituru korralduse parandamiseks täpsustatakse seaduses </w:t>
      </w:r>
      <w:r w:rsidRPr="00C62045">
        <w:rPr>
          <w:rFonts w:cs="Times New Roman"/>
          <w:bCs/>
          <w:szCs w:val="24"/>
        </w:rPr>
        <w:t>võrgutasude metoodikale esitatavate nõu</w:t>
      </w:r>
      <w:r>
        <w:rPr>
          <w:rFonts w:cs="Times New Roman"/>
          <w:bCs/>
          <w:szCs w:val="24"/>
        </w:rPr>
        <w:t>deid</w:t>
      </w:r>
      <w:r w:rsidRPr="00C62045">
        <w:rPr>
          <w:rFonts w:cs="Times New Roman"/>
          <w:bCs/>
          <w:szCs w:val="24"/>
        </w:rPr>
        <w:t>, mis peab looma võrguettevõtjale stiimulid paindlikkusteenuste kasutuselevõtuks</w:t>
      </w:r>
      <w:r>
        <w:rPr>
          <w:rFonts w:cs="Times New Roman"/>
          <w:bCs/>
          <w:szCs w:val="24"/>
        </w:rPr>
        <w:t xml:space="preserve">, </w:t>
      </w:r>
      <w:r w:rsidRPr="00C62045">
        <w:rPr>
          <w:rFonts w:cs="Times New Roman"/>
          <w:bCs/>
          <w:szCs w:val="24"/>
        </w:rPr>
        <w:t>riigi julgeoleku põhimõtte</w:t>
      </w:r>
      <w:r>
        <w:rPr>
          <w:rFonts w:cs="Times New Roman"/>
          <w:bCs/>
          <w:szCs w:val="24"/>
        </w:rPr>
        <w:t>i</w:t>
      </w:r>
      <w:r w:rsidRPr="00C62045">
        <w:rPr>
          <w:rFonts w:cs="Times New Roman"/>
          <w:bCs/>
          <w:szCs w:val="24"/>
        </w:rPr>
        <w:t>d elektri</w:t>
      </w:r>
      <w:r>
        <w:rPr>
          <w:rFonts w:cs="Times New Roman"/>
          <w:bCs/>
          <w:szCs w:val="24"/>
        </w:rPr>
        <w:t>paigaldistes</w:t>
      </w:r>
      <w:r w:rsidRPr="00C62045">
        <w:rPr>
          <w:rFonts w:cs="Times New Roman"/>
          <w:bCs/>
          <w:szCs w:val="24"/>
        </w:rPr>
        <w:t xml:space="preserve"> kasutatavat riist- või tarkvara hanki</w:t>
      </w:r>
      <w:r>
        <w:rPr>
          <w:rFonts w:cs="Times New Roman"/>
          <w:bCs/>
          <w:szCs w:val="24"/>
        </w:rPr>
        <w:t xml:space="preserve">des ja </w:t>
      </w:r>
      <w:r w:rsidRPr="00141B05">
        <w:rPr>
          <w:rFonts w:cs="Times New Roman"/>
          <w:szCs w:val="24"/>
        </w:rPr>
        <w:t>elutähtsa teenuse osutaja</w:t>
      </w:r>
      <w:r>
        <w:rPr>
          <w:rFonts w:cs="Times New Roman"/>
          <w:szCs w:val="24"/>
        </w:rPr>
        <w:t xml:space="preserve"> määratlust</w:t>
      </w:r>
      <w:r>
        <w:rPr>
          <w:rFonts w:cs="Times New Roman"/>
          <w:bCs/>
          <w:szCs w:val="24"/>
        </w:rPr>
        <w:t xml:space="preserve"> ning muudetakse </w:t>
      </w:r>
      <w:r w:rsidRPr="00C62045">
        <w:rPr>
          <w:rFonts w:cs="Times New Roman"/>
          <w:bCs/>
          <w:szCs w:val="24"/>
        </w:rPr>
        <w:t>üldteenuse hankimise regulatsiooni</w:t>
      </w:r>
      <w:r>
        <w:rPr>
          <w:rFonts w:cs="Times New Roman"/>
          <w:bCs/>
          <w:szCs w:val="24"/>
        </w:rPr>
        <w:t xml:space="preserve"> riigihankest konkursiks</w:t>
      </w:r>
      <w:r w:rsidRPr="00C62045">
        <w:rPr>
          <w:rFonts w:cs="Times New Roman"/>
          <w:bCs/>
          <w:szCs w:val="24"/>
        </w:rPr>
        <w:t>.</w:t>
      </w:r>
      <w:r>
        <w:rPr>
          <w:rFonts w:cs="Times New Roman"/>
          <w:bCs/>
          <w:szCs w:val="24"/>
        </w:rPr>
        <w:t xml:space="preserve"> Täpsustame ka elektrimüüja ühepoolse lepingu muutmise sätet, et kaitsta tarbijaid elektrimüüjate laia tõlgendamisruumi eest ning vabastame </w:t>
      </w:r>
      <w:r w:rsidRPr="00C144AC">
        <w:rPr>
          <w:bCs/>
        </w:rPr>
        <w:lastRenderedPageBreak/>
        <w:t>tootmissuunalise võimsuse mittekasutamise tasu</w:t>
      </w:r>
      <w:r>
        <w:rPr>
          <w:bCs/>
        </w:rPr>
        <w:t>st</w:t>
      </w:r>
      <w:r w:rsidRPr="00C144AC">
        <w:rPr>
          <w:bCs/>
        </w:rPr>
        <w:t xml:space="preserve"> kuni 15 kW</w:t>
      </w:r>
      <w:r w:rsidRPr="005A6620">
        <w:rPr>
          <w:bCs/>
        </w:rPr>
        <w:t xml:space="preserve"> </w:t>
      </w:r>
      <w:r w:rsidRPr="00C144AC">
        <w:rPr>
          <w:bCs/>
        </w:rPr>
        <w:t>netovõimsusega tootmisseadme</w:t>
      </w:r>
      <w:r>
        <w:rPr>
          <w:bCs/>
        </w:rPr>
        <w:t>d.</w:t>
      </w:r>
    </w:p>
    <w:p w14:paraId="57E2AC50" w14:textId="77777777" w:rsidR="006B1555" w:rsidRDefault="006B1555" w:rsidP="006B1555">
      <w:pPr>
        <w:widowControl w:val="0"/>
        <w:rPr>
          <w:bCs/>
        </w:rPr>
      </w:pPr>
    </w:p>
    <w:p w14:paraId="2DF968C8" w14:textId="3C0B237A" w:rsidR="006B1555" w:rsidRDefault="006B1555" w:rsidP="006B1555">
      <w:pPr>
        <w:widowControl w:val="0"/>
        <w:rPr>
          <w:rFonts w:cs="Times New Roman"/>
          <w:bCs/>
          <w:szCs w:val="24"/>
        </w:rPr>
      </w:pPr>
      <w:r w:rsidRPr="00141B05">
        <w:rPr>
          <w:rFonts w:cs="Times New Roman"/>
          <w:szCs w:val="24"/>
        </w:rPr>
        <w:t>Elektrituruseadus</w:t>
      </w:r>
      <w:r>
        <w:rPr>
          <w:rFonts w:cs="Times New Roman"/>
          <w:szCs w:val="24"/>
        </w:rPr>
        <w:t>es muudetakse</w:t>
      </w:r>
      <w:r w:rsidRPr="00141B05">
        <w:rPr>
          <w:rFonts w:cs="Times New Roman"/>
          <w:szCs w:val="24"/>
        </w:rPr>
        <w:t xml:space="preserve"> </w:t>
      </w:r>
      <w:r w:rsidR="008F06B3">
        <w:rPr>
          <w:rFonts w:cs="Times New Roman"/>
          <w:szCs w:val="24"/>
        </w:rPr>
        <w:t>ETO</w:t>
      </w:r>
      <w:r w:rsidRPr="00141B05">
        <w:rPr>
          <w:rFonts w:cs="Times New Roman"/>
          <w:szCs w:val="24"/>
        </w:rPr>
        <w:t xml:space="preserve"> </w:t>
      </w:r>
      <w:r>
        <w:rPr>
          <w:rFonts w:cs="Times New Roman"/>
          <w:szCs w:val="24"/>
        </w:rPr>
        <w:t xml:space="preserve">piiri, mis </w:t>
      </w:r>
      <w:r w:rsidRPr="00141B05">
        <w:rPr>
          <w:rFonts w:cs="Times New Roman"/>
          <w:szCs w:val="24"/>
        </w:rPr>
        <w:t xml:space="preserve">on 2009. </w:t>
      </w:r>
      <w:r>
        <w:rPr>
          <w:rFonts w:cs="Times New Roman"/>
          <w:szCs w:val="24"/>
        </w:rPr>
        <w:t xml:space="preserve">aastast alates </w:t>
      </w:r>
      <w:r w:rsidR="008F06B3">
        <w:rPr>
          <w:rFonts w:cs="Times New Roman"/>
          <w:szCs w:val="24"/>
        </w:rPr>
        <w:t>olnud tasemel 200 MW</w:t>
      </w:r>
      <w:r>
        <w:rPr>
          <w:rFonts w:cs="Times New Roman"/>
          <w:szCs w:val="24"/>
        </w:rPr>
        <w:t>.</w:t>
      </w:r>
      <w:r w:rsidR="008F06B3">
        <w:rPr>
          <w:rFonts w:cs="Times New Roman"/>
          <w:szCs w:val="24"/>
        </w:rPr>
        <w:t xml:space="preserve"> Uue käsitluse kohaselt on ETO-ks ettevõtja, kellel on vähemalt 90 MW ulatuses elektritootmise võimsust, salvestust või tarbimise juhtimise võimekust.</w:t>
      </w:r>
      <w:r>
        <w:rPr>
          <w:rFonts w:cs="Times New Roman"/>
          <w:szCs w:val="24"/>
        </w:rPr>
        <w:t xml:space="preserve"> Muudatuste eesmärk on</w:t>
      </w:r>
      <w:r w:rsidRPr="00141B05">
        <w:rPr>
          <w:rFonts w:cs="Times New Roman"/>
          <w:szCs w:val="24"/>
        </w:rPr>
        <w:t xml:space="preserve"> arvestad</w:t>
      </w:r>
      <w:r>
        <w:rPr>
          <w:rFonts w:cs="Times New Roman"/>
          <w:szCs w:val="24"/>
        </w:rPr>
        <w:t>a</w:t>
      </w:r>
      <w:r w:rsidRPr="00141B05">
        <w:rPr>
          <w:rFonts w:cs="Times New Roman"/>
          <w:szCs w:val="24"/>
        </w:rPr>
        <w:t xml:space="preserve"> vahepeal toimunud  ja tulevasi elektrisüsteemi muudatusi tootjate vaatest</w:t>
      </w:r>
      <w:r>
        <w:rPr>
          <w:rFonts w:cs="Times New Roman"/>
          <w:szCs w:val="24"/>
        </w:rPr>
        <w:t xml:space="preserve"> ning muuta selgemaks elutähtsa teenuse osutamisega kaasnevad kohustused</w:t>
      </w:r>
      <w:r w:rsidRPr="00141B05">
        <w:rPr>
          <w:rFonts w:cs="Times New Roman"/>
          <w:szCs w:val="24"/>
        </w:rPr>
        <w:t>.</w:t>
      </w:r>
    </w:p>
    <w:p w14:paraId="543593D3" w14:textId="77777777" w:rsidR="006B1555" w:rsidRDefault="006B1555" w:rsidP="006B1555">
      <w:pPr>
        <w:widowControl w:val="0"/>
        <w:rPr>
          <w:rFonts w:cs="Times New Roman"/>
          <w:bCs/>
          <w:szCs w:val="24"/>
        </w:rPr>
      </w:pPr>
    </w:p>
    <w:p w14:paraId="2674F752" w14:textId="7F1B88C0" w:rsidR="006B1555" w:rsidRDefault="006B1555" w:rsidP="006B1555">
      <w:pPr>
        <w:widowControl w:val="0"/>
        <w:rPr>
          <w:szCs w:val="24"/>
        </w:rPr>
      </w:pPr>
      <w:r w:rsidRPr="510A726D">
        <w:rPr>
          <w:szCs w:val="24"/>
        </w:rPr>
        <w:t>Eelnõuga muudetakse elektrituru</w:t>
      </w:r>
      <w:r>
        <w:rPr>
          <w:szCs w:val="24"/>
        </w:rPr>
        <w:t>seadust</w:t>
      </w:r>
      <w:r w:rsidRPr="510A726D">
        <w:rPr>
          <w:szCs w:val="24"/>
        </w:rPr>
        <w:t xml:space="preserve"> ja maagaasiseadust, et tagada</w:t>
      </w:r>
      <w:r w:rsidR="00374C44">
        <w:rPr>
          <w:szCs w:val="24"/>
        </w:rPr>
        <w:t xml:space="preserve"> </w:t>
      </w:r>
      <w:r w:rsidR="008F06B3">
        <w:rPr>
          <w:szCs w:val="24"/>
        </w:rPr>
        <w:t xml:space="preserve">Euroopa Parlamendi ja nõukogu määruse (EL) nr 1227/2011 </w:t>
      </w:r>
      <w:r w:rsidR="008F06B3" w:rsidRPr="008F06B3">
        <w:rPr>
          <w:szCs w:val="24"/>
        </w:rPr>
        <w:t xml:space="preserve">energia hulgimüügituru terviklikkuse ja läbipaistvuse kohta </w:t>
      </w:r>
      <w:r w:rsidR="008F06B3">
        <w:rPr>
          <w:szCs w:val="24"/>
        </w:rPr>
        <w:t xml:space="preserve">(nn </w:t>
      </w:r>
      <w:r w:rsidR="00374C44">
        <w:rPr>
          <w:szCs w:val="24"/>
        </w:rPr>
        <w:t>REMIT</w:t>
      </w:r>
      <w:r w:rsidR="008F06B3">
        <w:rPr>
          <w:szCs w:val="24"/>
        </w:rPr>
        <w:t xml:space="preserve"> määrus)</w:t>
      </w:r>
      <w:r w:rsidR="008F06B3">
        <w:rPr>
          <w:rStyle w:val="Allmrkuseviide"/>
          <w:szCs w:val="24"/>
        </w:rPr>
        <w:footnoteReference w:id="3"/>
      </w:r>
      <w:r w:rsidRPr="510A726D">
        <w:rPr>
          <w:szCs w:val="24"/>
        </w:rPr>
        <w:t xml:space="preserve"> nõuete tõhus rakendamine Eestis. Muudatustega antakse Konkurentsiametile selgemad volitused järelevalve teostamiseks ja sätestatakse karistusmäärad määruses sätestatud kohustuste rikkumiste korral. Lisaks muudetakse ettekirjutuste täitmata jätmisel kohaldatavaid sunniraha piirmäärasid ning viiakse sisse mitmed tehnilised ja juriidilised täpsustused. </w:t>
      </w:r>
      <w:r>
        <w:rPr>
          <w:szCs w:val="24"/>
        </w:rPr>
        <w:t>M</w:t>
      </w:r>
      <w:r w:rsidRPr="510A726D">
        <w:rPr>
          <w:szCs w:val="24"/>
        </w:rPr>
        <w:t>äärusega kehtestatud reeglid on suunatud elektri- ja gaasiturul manipulatsioonide ja siseteabe ebaseadusliku kasutamise ennetamisele, milleks tõstetakse elektri ja gaasi hulgituru reeglite rikkumiste eest määratud trahve.</w:t>
      </w:r>
      <w:r>
        <w:rPr>
          <w:szCs w:val="24"/>
        </w:rPr>
        <w:t xml:space="preserve"> </w:t>
      </w:r>
      <w:r w:rsidRPr="000C5CA5">
        <w:rPr>
          <w:szCs w:val="24"/>
        </w:rPr>
        <w:t>Turuosalis</w:t>
      </w:r>
      <w:r>
        <w:rPr>
          <w:szCs w:val="24"/>
        </w:rPr>
        <w:t>ed,</w:t>
      </w:r>
      <w:r w:rsidRPr="000C5CA5">
        <w:rPr>
          <w:szCs w:val="24"/>
        </w:rPr>
        <w:t xml:space="preserve"> keda muudatus eelkõige mõjutab</w:t>
      </w:r>
      <w:r>
        <w:rPr>
          <w:szCs w:val="24"/>
        </w:rPr>
        <w:t>,</w:t>
      </w:r>
      <w:r w:rsidRPr="000C5CA5">
        <w:rPr>
          <w:szCs w:val="24"/>
        </w:rPr>
        <w:t xml:space="preserve"> on ettevõtted, kes kauplevad elektri- ja gaasihulgiturul, samuti ka põhivõrguettevõtja või suurema tarbimismahuga lõpptarbijad. Teisisõnu isikud, kaasa arvatud põhivõrguettevõtja, kes sõlmib tehinguid ning annab muu hulgas kauplemiskorraldusi ühel või mitmel energia hulgimüügiturul.</w:t>
      </w:r>
    </w:p>
    <w:p w14:paraId="7040CD51" w14:textId="77777777" w:rsidR="006B1555" w:rsidRDefault="006B1555" w:rsidP="006B1555">
      <w:pPr>
        <w:widowControl w:val="0"/>
        <w:rPr>
          <w:szCs w:val="24"/>
        </w:rPr>
      </w:pPr>
    </w:p>
    <w:p w14:paraId="0111960A" w14:textId="731A2080" w:rsidR="006B1555" w:rsidRDefault="006B1555" w:rsidP="006B1555">
      <w:pPr>
        <w:rPr>
          <w:rFonts w:cs="Times New Roman"/>
          <w:color w:val="000000" w:themeColor="text1"/>
        </w:rPr>
      </w:pPr>
      <w:r>
        <w:rPr>
          <w:rFonts w:cs="Times New Roman"/>
          <w:color w:val="000000" w:themeColor="text1"/>
        </w:rPr>
        <w:t>Lisaks muudetakse</w:t>
      </w:r>
      <w:r w:rsidRPr="00A4671C">
        <w:rPr>
          <w:rFonts w:cs="Times New Roman"/>
          <w:color w:val="000000" w:themeColor="text1"/>
        </w:rPr>
        <w:t xml:space="preserve"> reservvõimsuse mehhanismi rahastamise kulu jagunemise põhimõtet selliselt, et tasu kogutakse üksnes elektrienergia tarbimiselt tippnõudluse perioodidel, mitte enam kogu tarbimismahu pealt. Tippnõudluse ajavahemikud kehtestab määrusega valdkonna eest vastutav minister. Muudatused on vajalikud, et viia seadus kooskõlla </w:t>
      </w:r>
      <w:r w:rsidR="00B7700C">
        <w:rPr>
          <w:rFonts w:cs="Times New Roman"/>
          <w:color w:val="000000" w:themeColor="text1"/>
        </w:rPr>
        <w:t xml:space="preserve">Eesti jaoks </w:t>
      </w:r>
      <w:r w:rsidR="00F24067">
        <w:rPr>
          <w:rFonts w:cs="Times New Roman"/>
          <w:color w:val="000000" w:themeColor="text1"/>
        </w:rPr>
        <w:t>28. oktoobril</w:t>
      </w:r>
      <w:r w:rsidR="00B7700C">
        <w:rPr>
          <w:rFonts w:cs="Times New Roman"/>
          <w:color w:val="000000" w:themeColor="text1"/>
        </w:rPr>
        <w:t xml:space="preserve"> 2025 saadud strateegilise reservi riigiabi loaga</w:t>
      </w:r>
      <w:r w:rsidR="00F24067">
        <w:rPr>
          <w:rStyle w:val="Allmrkuseviide"/>
          <w:rFonts w:cs="Times New Roman"/>
          <w:color w:val="000000" w:themeColor="text1"/>
        </w:rPr>
        <w:footnoteReference w:id="4"/>
      </w:r>
      <w:r w:rsidR="00B7700C">
        <w:rPr>
          <w:rFonts w:cs="Times New Roman"/>
          <w:color w:val="000000" w:themeColor="text1"/>
        </w:rPr>
        <w:t>.</w:t>
      </w:r>
      <w:r w:rsidRPr="00A4671C">
        <w:rPr>
          <w:rFonts w:cs="Times New Roman"/>
          <w:color w:val="000000" w:themeColor="text1"/>
        </w:rPr>
        <w:t xml:space="preserve"> </w:t>
      </w:r>
    </w:p>
    <w:p w14:paraId="1AB5A99E" w14:textId="77777777" w:rsidR="006B1555" w:rsidRDefault="006B1555" w:rsidP="006B1555">
      <w:pPr>
        <w:rPr>
          <w:rFonts w:cs="Times New Roman"/>
          <w:color w:val="000000" w:themeColor="text1"/>
        </w:rPr>
      </w:pPr>
    </w:p>
    <w:p w14:paraId="4638DDC7" w14:textId="77777777" w:rsidR="006B1555" w:rsidRPr="00D566C5" w:rsidRDefault="006B1555" w:rsidP="006B1555">
      <w:pPr>
        <w:rPr>
          <w:rFonts w:cs="Times New Roman"/>
          <w:color w:val="000000" w:themeColor="text1"/>
        </w:rPr>
      </w:pPr>
      <w:r w:rsidRPr="00420ECE">
        <w:rPr>
          <w:rFonts w:cs="Times New Roman"/>
          <w:color w:val="000000" w:themeColor="text1"/>
        </w:rPr>
        <w:t>Riigihangete seaduses sätestatakse muudatus, mille eesmärk on vabastada Eestis energia tootmise ja selle võrku müümisega seonduvad tegevused riigihangete reeglitest vastavalt Euroopa Parlamendi ja Euroopa Liidu Nõukogu direktiivi 2014/25/EL artikli 35 lõikele 1.</w:t>
      </w:r>
      <w:r>
        <w:rPr>
          <w:rFonts w:cs="Times New Roman"/>
          <w:color w:val="000000" w:themeColor="text1"/>
        </w:rPr>
        <w:t xml:space="preserve"> </w:t>
      </w:r>
      <w:r w:rsidRPr="00D566C5">
        <w:rPr>
          <w:rFonts w:cs="Times New Roman"/>
          <w:color w:val="000000" w:themeColor="text1"/>
        </w:rPr>
        <w:t>Muudatus viib riigihangete protsessi vastavusse E</w:t>
      </w:r>
      <w:r>
        <w:rPr>
          <w:rFonts w:cs="Times New Roman"/>
          <w:color w:val="000000" w:themeColor="text1"/>
        </w:rPr>
        <w:t xml:space="preserve">Lis </w:t>
      </w:r>
      <w:r w:rsidRPr="00D566C5">
        <w:rPr>
          <w:rFonts w:cs="Times New Roman"/>
          <w:color w:val="000000" w:themeColor="text1"/>
        </w:rPr>
        <w:t>eksisteerivate parimate tavadega, soodustades konkurentsivõimelisemat ja tõhusamat turukeskkonda, sealjuures vähendades riigi töökoormust.</w:t>
      </w:r>
    </w:p>
    <w:p w14:paraId="0EA0F64C" w14:textId="77777777" w:rsidR="006B1555" w:rsidRPr="00420ECE" w:rsidRDefault="006B1555" w:rsidP="006B1555">
      <w:pPr>
        <w:rPr>
          <w:rFonts w:cs="Times New Roman"/>
          <w:color w:val="000000" w:themeColor="text1"/>
        </w:rPr>
      </w:pPr>
    </w:p>
    <w:p w14:paraId="5015790E" w14:textId="4AA51E29" w:rsidR="006B1555" w:rsidRDefault="006B1555" w:rsidP="006B1555">
      <w:pPr>
        <w:rPr>
          <w:rFonts w:cs="Times New Roman"/>
          <w:color w:val="000000" w:themeColor="text1"/>
        </w:rPr>
      </w:pPr>
      <w:r>
        <w:rPr>
          <w:rFonts w:cs="Times New Roman"/>
          <w:color w:val="000000" w:themeColor="text1"/>
        </w:rPr>
        <w:t xml:space="preserve">Tööstusheite seaduse muudatustega võetakse üle </w:t>
      </w:r>
      <w:r>
        <w:rPr>
          <w:rFonts w:cs="Times New Roman"/>
          <w:color w:val="000000" w:themeColor="text1"/>
          <w:szCs w:val="24"/>
        </w:rPr>
        <w:t>tööstusheite</w:t>
      </w:r>
      <w:r w:rsidRPr="00C12254">
        <w:rPr>
          <w:rFonts w:cs="Times New Roman"/>
          <w:color w:val="000000" w:themeColor="text1"/>
          <w:szCs w:val="24"/>
        </w:rPr>
        <w:t xml:space="preserve"> direktiiv 2010/75/EL, mille kohaselt peavad liikmesriigid looma mehhanismi, </w:t>
      </w:r>
      <w:r w:rsidR="00D45C8A" w:rsidRPr="00D45C8A">
        <w:rPr>
          <w:rFonts w:cs="Times New Roman"/>
          <w:color w:val="000000" w:themeColor="text1"/>
          <w:szCs w:val="24"/>
        </w:rPr>
        <w:t>mis võimaldab ajutiselt kohaldada kompleksloaga käitiste suhtes leebemaid heite piirväärtusi erandkorras</w:t>
      </w:r>
      <w:r w:rsidR="00D45C8A" w:rsidRPr="00D45C8A">
        <w:rPr>
          <w:rFonts w:cs="Times New Roman"/>
          <w:color w:val="000000" w:themeColor="text1"/>
          <w:kern w:val="2"/>
          <w:szCs w:val="24"/>
          <w14:ligatures w14:val="standardContextual"/>
        </w:rPr>
        <w:t xml:space="preserve"> </w:t>
      </w:r>
      <w:r w:rsidR="00D45C8A" w:rsidRPr="00D45C8A">
        <w:rPr>
          <w:rFonts w:cs="Times New Roman"/>
          <w:color w:val="000000" w:themeColor="text1"/>
          <w:szCs w:val="24"/>
        </w:rPr>
        <w:t>kui esinevad käitaja ja riigi kontrolli alt väljas olevad erakorralised asjaolud</w:t>
      </w:r>
      <w:r w:rsidR="00D45C8A">
        <w:rPr>
          <w:rFonts w:cs="Times New Roman"/>
          <w:color w:val="000000" w:themeColor="text1"/>
          <w:szCs w:val="24"/>
        </w:rPr>
        <w:t>.</w:t>
      </w:r>
      <w:r w:rsidR="00D45C8A" w:rsidRPr="00D45C8A">
        <w:rPr>
          <w:rFonts w:cs="Times New Roman"/>
          <w:color w:val="000000" w:themeColor="text1"/>
          <w:kern w:val="2"/>
          <w:szCs w:val="24"/>
          <w14:ligatures w14:val="standardContextual"/>
        </w:rPr>
        <w:t xml:space="preserve"> </w:t>
      </w:r>
      <w:r w:rsidR="00D45C8A">
        <w:rPr>
          <w:rFonts w:cs="Times New Roman"/>
          <w:color w:val="000000" w:themeColor="text1"/>
          <w:kern w:val="2"/>
          <w:szCs w:val="24"/>
          <w14:ligatures w14:val="standardContextual"/>
        </w:rPr>
        <w:t>E</w:t>
      </w:r>
      <w:r w:rsidR="00D45C8A" w:rsidRPr="00D45C8A">
        <w:rPr>
          <w:rFonts w:cs="Times New Roman"/>
          <w:color w:val="000000" w:themeColor="text1"/>
          <w:szCs w:val="24"/>
        </w:rPr>
        <w:t>randi kohaldamine on lubatud ajutiselt ja vaid ulatuses, mis on hädavajalik kriisiolukorra ületamiseks, tagades samal ajal, et keskkonnakahju oleks minimaalne.</w:t>
      </w:r>
      <w:r w:rsidR="00D45C8A">
        <w:rPr>
          <w:rFonts w:cs="Times New Roman"/>
          <w:color w:val="000000" w:themeColor="text1"/>
          <w:szCs w:val="24"/>
        </w:rPr>
        <w:t xml:space="preserve"> </w:t>
      </w:r>
      <w:r w:rsidRPr="00C12254">
        <w:rPr>
          <w:rFonts w:cs="Times New Roman"/>
          <w:color w:val="000000" w:themeColor="text1"/>
          <w:szCs w:val="24"/>
        </w:rPr>
        <w:t>Arvestades Eesti asukohta, väikest turumahtu ja sõltuvust rahvusvahelistest tarneahelatest, on geopoliitilise olukorra ebastabiilsuse tingimustes vältimatu ette näha võimalus kriisiolukorras ajutiselt kohandada käitiste keskkonnanõudeid</w:t>
      </w:r>
      <w:r>
        <w:rPr>
          <w:rFonts w:cs="Times New Roman"/>
          <w:color w:val="000000" w:themeColor="text1"/>
          <w:szCs w:val="24"/>
        </w:rPr>
        <w:t>.</w:t>
      </w:r>
    </w:p>
    <w:p w14:paraId="62D1F7CF" w14:textId="77777777" w:rsidR="006B1555" w:rsidRDefault="006B1555" w:rsidP="006B1555">
      <w:pPr>
        <w:widowControl w:val="0"/>
        <w:rPr>
          <w:rFonts w:cs="Times New Roman"/>
          <w:bCs/>
          <w:szCs w:val="24"/>
        </w:rPr>
      </w:pPr>
    </w:p>
    <w:p w14:paraId="2C1CA55B" w14:textId="77777777" w:rsidR="006B1555" w:rsidRDefault="006B1555" w:rsidP="006B1555">
      <w:pPr>
        <w:rPr>
          <w:b/>
        </w:rPr>
      </w:pPr>
      <w:r w:rsidRPr="00B140CF">
        <w:rPr>
          <w:b/>
        </w:rPr>
        <w:t>3.</w:t>
      </w:r>
      <w:r>
        <w:rPr>
          <w:b/>
        </w:rPr>
        <w:t xml:space="preserve"> </w:t>
      </w:r>
      <w:r w:rsidRPr="00B140CF">
        <w:rPr>
          <w:b/>
        </w:rPr>
        <w:t>Eelnõu sisu ja võrdlev analüüs</w:t>
      </w:r>
    </w:p>
    <w:p w14:paraId="62004FC6" w14:textId="77777777" w:rsidR="006B1555" w:rsidRPr="008406D7" w:rsidRDefault="006B1555" w:rsidP="006B1555">
      <w:pPr>
        <w:pStyle w:val="Normaallaadveeb"/>
        <w:jc w:val="both"/>
        <w:rPr>
          <w:lang w:val="et-EE"/>
        </w:rPr>
      </w:pPr>
      <w:r w:rsidRPr="00843034">
        <w:rPr>
          <w:lang w:val="et-EE"/>
        </w:rPr>
        <w:t xml:space="preserve">Eelnõu koosneb </w:t>
      </w:r>
      <w:r>
        <w:rPr>
          <w:lang w:val="et-EE"/>
        </w:rPr>
        <w:t>viies</w:t>
      </w:r>
      <w:r w:rsidRPr="008406D7">
        <w:rPr>
          <w:lang w:val="et-EE"/>
        </w:rPr>
        <w:t>t</w:t>
      </w:r>
      <w:r w:rsidRPr="00843034">
        <w:rPr>
          <w:lang w:val="et-EE"/>
        </w:rPr>
        <w:t xml:space="preserve"> paragrahvist, millest esimesega muudetakse ja täiendatakse </w:t>
      </w:r>
      <w:r>
        <w:rPr>
          <w:lang w:val="et-EE"/>
        </w:rPr>
        <w:t>elektrituruseadust</w:t>
      </w:r>
      <w:r w:rsidRPr="008406D7">
        <w:rPr>
          <w:lang w:val="et-EE"/>
        </w:rPr>
        <w:t>,</w:t>
      </w:r>
      <w:r w:rsidRPr="009F79DA">
        <w:rPr>
          <w:lang w:val="et-EE"/>
        </w:rPr>
        <w:t xml:space="preserve"> teise paragrahviga muudetakse</w:t>
      </w:r>
      <w:r>
        <w:rPr>
          <w:lang w:val="et-EE"/>
        </w:rPr>
        <w:t xml:space="preserve"> ja täiendatakse</w:t>
      </w:r>
      <w:r w:rsidRPr="009F79DA">
        <w:rPr>
          <w:lang w:val="et-EE"/>
        </w:rPr>
        <w:t xml:space="preserve"> </w:t>
      </w:r>
      <w:r w:rsidRPr="008406D7">
        <w:rPr>
          <w:lang w:val="et-EE"/>
        </w:rPr>
        <w:t xml:space="preserve">maagaasiseadust, </w:t>
      </w:r>
      <w:r>
        <w:rPr>
          <w:lang w:val="et-EE"/>
        </w:rPr>
        <w:t>kolman</w:t>
      </w:r>
      <w:r w:rsidRPr="008406D7">
        <w:rPr>
          <w:lang w:val="et-EE"/>
        </w:rPr>
        <w:t xml:space="preserve">das </w:t>
      </w:r>
      <w:r w:rsidRPr="008406D7">
        <w:rPr>
          <w:lang w:val="et-EE"/>
        </w:rPr>
        <w:lastRenderedPageBreak/>
        <w:t>paragrahvis muudetakse riigihangete seadust</w:t>
      </w:r>
      <w:r w:rsidRPr="009F79DA">
        <w:rPr>
          <w:lang w:val="et-EE"/>
        </w:rPr>
        <w:t xml:space="preserve"> ja </w:t>
      </w:r>
      <w:r>
        <w:rPr>
          <w:lang w:val="et-EE"/>
        </w:rPr>
        <w:t>neljandas paragrahvis</w:t>
      </w:r>
      <w:r w:rsidRPr="00843034">
        <w:rPr>
          <w:lang w:val="et-EE"/>
        </w:rPr>
        <w:t xml:space="preserve"> </w:t>
      </w:r>
      <w:r>
        <w:rPr>
          <w:lang w:val="et-EE"/>
        </w:rPr>
        <w:t xml:space="preserve">muudetakse ja täiendatakse tööstusheite seadust ning viiendas paragrahvis </w:t>
      </w:r>
      <w:r w:rsidRPr="00843034">
        <w:rPr>
          <w:lang w:val="et-EE"/>
        </w:rPr>
        <w:t>reguleeritakse seaduse jõustumise aega.</w:t>
      </w:r>
    </w:p>
    <w:p w14:paraId="41015637" w14:textId="77777777" w:rsidR="006B1555" w:rsidRPr="00BA192B" w:rsidRDefault="006B1555" w:rsidP="006B1555">
      <w:pPr>
        <w:rPr>
          <w:b/>
        </w:rPr>
      </w:pPr>
      <w:r w:rsidRPr="00BC39A6">
        <w:rPr>
          <w:b/>
        </w:rPr>
        <w:t>3.1. Elektrituruseaduse muutmine</w:t>
      </w:r>
    </w:p>
    <w:p w14:paraId="6B555C69" w14:textId="77777777" w:rsidR="006B1555" w:rsidRDefault="006B1555" w:rsidP="006B1555">
      <w:pPr>
        <w:rPr>
          <w:b/>
        </w:rPr>
      </w:pPr>
    </w:p>
    <w:p w14:paraId="44C71F95" w14:textId="77777777" w:rsidR="006B1555" w:rsidRDefault="006B1555" w:rsidP="006B1555">
      <w:pPr>
        <w:rPr>
          <w:b/>
        </w:rPr>
      </w:pPr>
      <w:r w:rsidRPr="00AC7A0B">
        <w:rPr>
          <w:b/>
        </w:rPr>
        <w:t xml:space="preserve">ELTS § 1 </w:t>
      </w:r>
    </w:p>
    <w:p w14:paraId="26135F49" w14:textId="77777777" w:rsidR="006B1555" w:rsidRPr="00B71939" w:rsidRDefault="006B1555" w:rsidP="006B1555">
      <w:pPr>
        <w:rPr>
          <w:rFonts w:eastAsia="Times New Roman" w:cs="Times New Roman"/>
          <w:bCs/>
          <w:color w:val="000000"/>
          <w:lang w:eastAsia="et-EE"/>
        </w:rPr>
      </w:pPr>
      <w:r>
        <w:rPr>
          <w:b/>
        </w:rPr>
        <w:t>Lõike</w:t>
      </w:r>
      <w:r w:rsidRPr="00AC7A0B">
        <w:rPr>
          <w:b/>
        </w:rPr>
        <w:t xml:space="preserve"> 2</w:t>
      </w:r>
      <w:r w:rsidRPr="00B71939">
        <w:rPr>
          <w:rFonts w:eastAsia="Times New Roman" w:cs="Times New Roman"/>
          <w:bCs/>
          <w:color w:val="000000"/>
          <w:lang w:eastAsia="et-EE"/>
        </w:rPr>
        <w:t xml:space="preserve"> lause sõnastust </w:t>
      </w:r>
      <w:r>
        <w:rPr>
          <w:rFonts w:eastAsia="Times New Roman" w:cs="Times New Roman"/>
          <w:bCs/>
          <w:color w:val="000000"/>
          <w:lang w:eastAsia="et-EE"/>
        </w:rPr>
        <w:t xml:space="preserve">täiendatakse </w:t>
      </w:r>
      <w:r w:rsidRPr="00B71939">
        <w:rPr>
          <w:rFonts w:eastAsia="Times New Roman" w:cs="Times New Roman"/>
          <w:bCs/>
          <w:color w:val="000000"/>
          <w:lang w:eastAsia="et-EE"/>
        </w:rPr>
        <w:t xml:space="preserve">eesmärgiga anda selge sõnum, et </w:t>
      </w:r>
      <w:r>
        <w:rPr>
          <w:rFonts w:eastAsia="Times New Roman" w:cs="Times New Roman"/>
          <w:bCs/>
          <w:color w:val="000000"/>
          <w:lang w:eastAsia="et-EE"/>
        </w:rPr>
        <w:t xml:space="preserve">ELTSga sätestatava regulatsiooni eesmärgiks on lisaks </w:t>
      </w:r>
      <w:r w:rsidRPr="00B71939">
        <w:rPr>
          <w:rFonts w:eastAsia="Times New Roman" w:cs="Times New Roman"/>
          <w:bCs/>
          <w:color w:val="000000"/>
          <w:lang w:eastAsia="et-EE"/>
        </w:rPr>
        <w:t>varustuskindlus</w:t>
      </w:r>
      <w:r>
        <w:rPr>
          <w:rFonts w:eastAsia="Times New Roman" w:cs="Times New Roman"/>
          <w:bCs/>
          <w:color w:val="000000"/>
          <w:lang w:eastAsia="et-EE"/>
        </w:rPr>
        <w:t xml:space="preserve">e tagamisele </w:t>
      </w:r>
      <w:r w:rsidRPr="00441D89">
        <w:rPr>
          <w:rFonts w:eastAsia="Times New Roman" w:cs="Times New Roman"/>
          <w:bCs/>
          <w:color w:val="000000"/>
          <w:lang w:eastAsia="et-EE"/>
        </w:rPr>
        <w:t>tagada</w:t>
      </w:r>
      <w:r>
        <w:rPr>
          <w:rFonts w:eastAsia="Times New Roman" w:cs="Times New Roman"/>
          <w:bCs/>
          <w:color w:val="000000"/>
          <w:lang w:eastAsia="et-EE"/>
        </w:rPr>
        <w:t xml:space="preserve"> ka</w:t>
      </w:r>
      <w:r w:rsidRPr="00441D89">
        <w:rPr>
          <w:rFonts w:eastAsia="Times New Roman" w:cs="Times New Roman"/>
          <w:bCs/>
          <w:color w:val="000000"/>
          <w:lang w:eastAsia="et-EE"/>
        </w:rPr>
        <w:t xml:space="preserve"> kindel, usaldusväärne, efektiivne, konkurentsivõimelise lõpphinnaga ning keskkonnanõuetele ja tarbijate vajadustele vastav elektrivarustus</w:t>
      </w:r>
      <w:r w:rsidRPr="00B71939">
        <w:rPr>
          <w:rFonts w:eastAsia="Times New Roman" w:cs="Times New Roman"/>
          <w:bCs/>
          <w:color w:val="000000"/>
          <w:lang w:eastAsia="et-EE"/>
        </w:rPr>
        <w:t>.</w:t>
      </w:r>
    </w:p>
    <w:p w14:paraId="503B4A49" w14:textId="77777777" w:rsidR="006B1555" w:rsidRDefault="006B1555" w:rsidP="006B1555">
      <w:pPr>
        <w:rPr>
          <w:b/>
        </w:rPr>
      </w:pPr>
    </w:p>
    <w:p w14:paraId="0D9DB966" w14:textId="77777777" w:rsidR="006B1555" w:rsidRDefault="006B1555" w:rsidP="006B1555">
      <w:pPr>
        <w:rPr>
          <w:b/>
        </w:rPr>
      </w:pPr>
      <w:r w:rsidRPr="00A97F61">
        <w:rPr>
          <w:b/>
        </w:rPr>
        <w:t xml:space="preserve">ELTS § 3 </w:t>
      </w:r>
    </w:p>
    <w:p w14:paraId="76DE4097" w14:textId="77777777" w:rsidR="006B1555" w:rsidRDefault="006B1555" w:rsidP="006B1555">
      <w:r>
        <w:rPr>
          <w:b/>
        </w:rPr>
        <w:t>Punktiga</w:t>
      </w:r>
      <w:r w:rsidRPr="00A97F61">
        <w:rPr>
          <w:b/>
        </w:rPr>
        <w:t xml:space="preserve"> 1</w:t>
      </w:r>
      <w:r w:rsidRPr="00A97F61">
        <w:rPr>
          <w:b/>
          <w:vertAlign w:val="superscript"/>
        </w:rPr>
        <w:t>4</w:t>
      </w:r>
      <w:r>
        <w:rPr>
          <w:bCs/>
        </w:rPr>
        <w:t xml:space="preserve"> m</w:t>
      </w:r>
      <w:r w:rsidRPr="00422068">
        <w:rPr>
          <w:bCs/>
        </w:rPr>
        <w:t>uudetakse</w:t>
      </w:r>
      <w:r w:rsidRPr="00DA7BBE">
        <w:t xml:space="preserve"> mõiste </w:t>
      </w:r>
      <w:r w:rsidRPr="004B2A11">
        <w:rPr>
          <w:rFonts w:eastAsia="Times New Roman" w:cs="Times New Roman"/>
          <w:bCs/>
          <w:i/>
          <w:iCs/>
          <w:color w:val="000000"/>
          <w:lang w:eastAsia="et-EE"/>
        </w:rPr>
        <w:t>aktiivne võrguteenuse kasutaja</w:t>
      </w:r>
      <w:r>
        <w:rPr>
          <w:rFonts w:eastAsia="Times New Roman" w:cs="Times New Roman"/>
          <w:bCs/>
          <w:color w:val="000000"/>
          <w:lang w:eastAsia="et-EE"/>
        </w:rPr>
        <w:t xml:space="preserve"> sõnastust, lisades aktiivse võrguteenuse kasutaja tegevuste nimistusse energiajagamine, ning eemaldatakse nõue toota energiat</w:t>
      </w:r>
      <w:r w:rsidRPr="004B2A11">
        <w:rPr>
          <w:rFonts w:eastAsia="Times New Roman" w:cs="Times New Roman"/>
          <w:bCs/>
          <w:color w:val="000000"/>
          <w:lang w:eastAsia="et-EE"/>
        </w:rPr>
        <w:t xml:space="preserve"> tema omandis oleval kinnistul</w:t>
      </w:r>
      <w:r>
        <w:rPr>
          <w:rFonts w:eastAsia="Times New Roman" w:cs="Times New Roman"/>
          <w:bCs/>
          <w:color w:val="000000"/>
          <w:lang w:eastAsia="et-EE"/>
        </w:rPr>
        <w:t xml:space="preserve">. Aktiivsed võrguteenuse kasutajad saavad võimaluse parandada oma tootmisvõimet ning osaleda veelgi aktiivsemalt elektriturul. </w:t>
      </w:r>
      <w:r w:rsidRPr="0043420B">
        <w:rPr>
          <w:rFonts w:eastAsia="Times New Roman" w:cs="Times New Roman"/>
          <w:bCs/>
          <w:color w:val="000000"/>
          <w:lang w:eastAsia="et-EE"/>
        </w:rPr>
        <w:t xml:space="preserve">Aktiivse võrguteenuse kasutajate rühma liikmete arv ei ole määratletud. Aktiivse võrguteenuse kasutaja omatoodetud ja salvestatud elekter </w:t>
      </w:r>
      <w:r>
        <w:rPr>
          <w:rFonts w:eastAsia="Times New Roman" w:cs="Times New Roman"/>
          <w:bCs/>
          <w:color w:val="000000"/>
          <w:lang w:eastAsia="et-EE"/>
        </w:rPr>
        <w:t>ei pea enam olema</w:t>
      </w:r>
      <w:r w:rsidRPr="0043420B">
        <w:rPr>
          <w:rFonts w:eastAsia="Times New Roman" w:cs="Times New Roman"/>
          <w:bCs/>
          <w:color w:val="000000"/>
          <w:lang w:eastAsia="et-EE"/>
        </w:rPr>
        <w:t xml:space="preserve"> toodetud ja salvestatud tema enda kinnistul tarbijale või tarbijate rühmale kuuluval maaüksusel või hoones.</w:t>
      </w:r>
      <w:r>
        <w:rPr>
          <w:rFonts w:eastAsia="Times New Roman" w:cs="Times New Roman"/>
          <w:bCs/>
          <w:color w:val="000000"/>
          <w:lang w:eastAsia="et-EE"/>
        </w:rPr>
        <w:t xml:space="preserve"> Direktiiv annab võimaluse aktiivsetel võrguteenuse kasutajatel tegeleda elektritootmise ja salvestamisega ka neile otseselt mitte kuuluval kinnistul, maaüksusel või hoones.</w:t>
      </w:r>
      <w:r w:rsidRPr="0043420B">
        <w:rPr>
          <w:rFonts w:eastAsia="Times New Roman" w:cs="Times New Roman"/>
          <w:bCs/>
          <w:color w:val="000000"/>
          <w:lang w:eastAsia="et-EE"/>
        </w:rPr>
        <w:t xml:space="preserve"> </w:t>
      </w:r>
      <w:r>
        <w:rPr>
          <w:rFonts w:eastAsia="Times New Roman" w:cs="Times New Roman"/>
          <w:bCs/>
          <w:color w:val="000000"/>
          <w:lang w:eastAsia="et-EE"/>
        </w:rPr>
        <w:t>Endiselt jääb t</w:t>
      </w:r>
      <w:r w:rsidRPr="0043420B">
        <w:rPr>
          <w:rFonts w:eastAsia="Times New Roman" w:cs="Times New Roman"/>
          <w:bCs/>
          <w:color w:val="000000"/>
          <w:lang w:eastAsia="et-EE"/>
        </w:rPr>
        <w:t>ingimuseks, et selline tegevus ei kujuta endast aktiivse võrguteenuse kasutaja peamist äri- või kutsetegevust. Teistsugune toimimine ei liigituks enam aktiivse võrguteenuse kasutaja mõiste alla, vaid oleks iseloomulik juba tootjale. Kõik tarbijad peaksid saama kasu elektriturul vahetust osalemisest, eelkõige sellest, et nad muudavad oma tarbimist vastavalt turusignaalidele ja saavad kasu madalamatest elektrihindadest. Tarbijatel on ülisuur tähtsus paindlikkuse saavutamisel, mis on vajalik elektrivõrgu kohandamiseks taastuvelektri pidevalt muutuvale tootmisele ja hajatootmisele.</w:t>
      </w:r>
      <w:r>
        <w:rPr>
          <w:rFonts w:eastAsia="Times New Roman" w:cs="Times New Roman"/>
          <w:bCs/>
          <w:color w:val="000000"/>
          <w:lang w:eastAsia="et-EE"/>
        </w:rPr>
        <w:t xml:space="preserve"> Aktiivse võrguteenuse kasutaja omatoodetud ülejääva </w:t>
      </w:r>
      <w:r w:rsidRPr="005842DC">
        <w:rPr>
          <w:rFonts w:eastAsia="Times New Roman" w:cs="Times New Roman"/>
          <w:bCs/>
          <w:lang w:eastAsia="et-EE"/>
        </w:rPr>
        <w:t>e</w:t>
      </w:r>
      <w:r w:rsidRPr="005842DC">
        <w:t>nergia</w:t>
      </w:r>
      <w:r>
        <w:t xml:space="preserve"> </w:t>
      </w:r>
      <w:r w:rsidRPr="005842DC">
        <w:t xml:space="preserve">jagamine </w:t>
      </w:r>
      <w:r>
        <w:t>leevendab</w:t>
      </w:r>
      <w:r w:rsidRPr="005842DC">
        <w:t xml:space="preserve"> kõrgete energiahindade mõju ning võimestab suuremat rühma tarbijaid</w:t>
      </w:r>
      <w:r>
        <w:t>,</w:t>
      </w:r>
      <w:r w:rsidRPr="005842DC">
        <w:t xml:space="preserve"> nagu kaitsetud tarbijad ja energiaostuvõimetud tarbijad, kel muidu ei ole rahaliste või ruumiliste piirangute tõttu võimalust saada aktiivseks tarbijaks</w:t>
      </w:r>
      <w:r>
        <w:t>. Ühtlasi</w:t>
      </w:r>
      <w:r w:rsidRPr="005842DC">
        <w:t xml:space="preserve"> ai</w:t>
      </w:r>
      <w:r>
        <w:t>tab energiajagamine</w:t>
      </w:r>
      <w:r w:rsidRPr="005842DC">
        <w:t xml:space="preserve"> suurendada </w:t>
      </w:r>
      <w:r>
        <w:t>uute tootmis- ja salvestusvõimsuste rajamist</w:t>
      </w:r>
      <w:r w:rsidRPr="005842DC">
        <w:t xml:space="preserve">. </w:t>
      </w:r>
      <w:r>
        <w:t>A</w:t>
      </w:r>
      <w:r w:rsidRPr="005842DC">
        <w:t>sjakohas</w:t>
      </w:r>
      <w:r>
        <w:t>eid</w:t>
      </w:r>
      <w:r w:rsidRPr="005842DC">
        <w:t xml:space="preserve"> hinnasignaale ja salvestusüksus</w:t>
      </w:r>
      <w:r>
        <w:t>i</w:t>
      </w:r>
      <w:r w:rsidRPr="005842DC">
        <w:t xml:space="preserve"> lõimi</w:t>
      </w:r>
      <w:r>
        <w:t>des</w:t>
      </w:r>
      <w:r w:rsidRPr="005842DC">
        <w:t xml:space="preserve"> võib elektrijagamine aidata luua aluse selleks, et ära kasutada väiksemate tarbijate paindlikkus</w:t>
      </w:r>
      <w:r>
        <w:t>t</w:t>
      </w:r>
      <w:r w:rsidRPr="005842DC">
        <w:t>.</w:t>
      </w:r>
    </w:p>
    <w:p w14:paraId="4760C615" w14:textId="77777777" w:rsidR="006B1555" w:rsidRDefault="006B1555" w:rsidP="006B1555"/>
    <w:p w14:paraId="669BFCC0" w14:textId="77777777" w:rsidR="006B1555" w:rsidRDefault="006B1555" w:rsidP="006B1555">
      <w:pPr>
        <w:rPr>
          <w:b/>
          <w:bCs/>
        </w:rPr>
      </w:pPr>
      <w:r>
        <w:rPr>
          <w:b/>
          <w:bCs/>
        </w:rPr>
        <w:t>ELTS § 21</w:t>
      </w:r>
      <w:r w:rsidRPr="00AD7A06">
        <w:rPr>
          <w:b/>
          <w:bCs/>
          <w:vertAlign w:val="superscript"/>
        </w:rPr>
        <w:t>1</w:t>
      </w:r>
      <w:r>
        <w:rPr>
          <w:b/>
          <w:bCs/>
        </w:rPr>
        <w:t xml:space="preserve"> ja 21</w:t>
      </w:r>
      <w:r w:rsidRPr="00AD7A06">
        <w:rPr>
          <w:b/>
          <w:bCs/>
          <w:vertAlign w:val="superscript"/>
        </w:rPr>
        <w:t>2</w:t>
      </w:r>
      <w:r>
        <w:rPr>
          <w:b/>
          <w:bCs/>
        </w:rPr>
        <w:t xml:space="preserve"> </w:t>
      </w:r>
    </w:p>
    <w:p w14:paraId="093C4BE3" w14:textId="061767E4" w:rsidR="006B1555" w:rsidRDefault="008F06B3" w:rsidP="006B1555">
      <w:pPr>
        <w:rPr>
          <w:rFonts w:cs="Times New Roman"/>
          <w:szCs w:val="24"/>
        </w:rPr>
      </w:pPr>
      <w:r>
        <w:rPr>
          <w:rFonts w:cs="Times New Roman"/>
          <w:szCs w:val="24"/>
        </w:rPr>
        <w:t xml:space="preserve">Muudatusega vähendatakse elektri ETO-de piirmäära. Senise regulatsiooni järgi on ETO-ks elektritootja, kelle elektrijaama netovõimsus on suurem kui 200 MW. Uueks piirmääraks saab 90 MW ning lisatakse elektritootmisele ka salvestus ja tarbimise juhtimine (agregeerimine). </w:t>
      </w:r>
      <w:r w:rsidR="006B1555" w:rsidRPr="00141B05">
        <w:rPr>
          <w:rFonts w:cs="Times New Roman"/>
          <w:szCs w:val="24"/>
        </w:rPr>
        <w:t>E</w:t>
      </w:r>
      <w:r w:rsidR="006B1555">
        <w:rPr>
          <w:rFonts w:cs="Times New Roman"/>
          <w:szCs w:val="24"/>
        </w:rPr>
        <w:t>elnõu koostamise hetkel kehtiv ELTSi redaktsioon</w:t>
      </w:r>
      <w:r w:rsidR="006B1555" w:rsidRPr="00141B05">
        <w:rPr>
          <w:rFonts w:cs="Times New Roman"/>
          <w:szCs w:val="24"/>
        </w:rPr>
        <w:t xml:space="preserve"> sätestab, et  hädaolukorra seaduse § 36 lõike 1</w:t>
      </w:r>
      <w:r w:rsidR="006B1555" w:rsidRPr="00141B05">
        <w:rPr>
          <w:rFonts w:cs="Times New Roman"/>
          <w:szCs w:val="24"/>
          <w:vertAlign w:val="superscript"/>
        </w:rPr>
        <w:t>1</w:t>
      </w:r>
      <w:r w:rsidR="006B1555" w:rsidRPr="00141B05">
        <w:rPr>
          <w:rFonts w:cs="Times New Roman"/>
          <w:szCs w:val="24"/>
        </w:rPr>
        <w:t xml:space="preserve"> punktis 1 nimetatud elutähtsa teenuse osutaja on tootja, kelle elektrijaama netovõimsus on suurem kui 200 MW. Antud piir sätestati </w:t>
      </w:r>
      <w:r w:rsidR="006B1555">
        <w:rPr>
          <w:rFonts w:cs="Times New Roman"/>
          <w:szCs w:val="24"/>
        </w:rPr>
        <w:t>ELTSi</w:t>
      </w:r>
      <w:r w:rsidR="006B1555" w:rsidRPr="00141B05">
        <w:rPr>
          <w:rFonts w:cs="Times New Roman"/>
          <w:szCs w:val="24"/>
        </w:rPr>
        <w:t xml:space="preserve">s 2009. aastal ning see vajab uuendamist, arvestades vahepeal toimunud  ja tulevasi elektrisüsteemi muudatusi tootjate vaatest. </w:t>
      </w:r>
      <w:r w:rsidR="006B1555">
        <w:rPr>
          <w:rFonts w:cs="Times New Roman"/>
          <w:szCs w:val="24"/>
        </w:rPr>
        <w:t xml:space="preserve">Lisaks tuleb arvesse </w:t>
      </w:r>
      <w:r w:rsidR="006B1555" w:rsidRPr="00700C75">
        <w:rPr>
          <w:rFonts w:cs="Times New Roman"/>
          <w:szCs w:val="24"/>
        </w:rPr>
        <w:t>võtta julgeolekuolukorra muutust regioonis ning üleüldisi julgeolekuga seotud trende, näiteks küberohte.</w:t>
      </w:r>
    </w:p>
    <w:p w14:paraId="210149F0" w14:textId="77777777" w:rsidR="004A25CD" w:rsidRPr="00700C75" w:rsidRDefault="004A25CD" w:rsidP="006B1555">
      <w:pPr>
        <w:rPr>
          <w:rFonts w:cs="Times New Roman"/>
          <w:szCs w:val="24"/>
        </w:rPr>
      </w:pPr>
    </w:p>
    <w:p w14:paraId="6937F9C9" w14:textId="77777777" w:rsidR="006B1555" w:rsidRPr="00700C75" w:rsidRDefault="006B1555" w:rsidP="006B1555">
      <w:pPr>
        <w:rPr>
          <w:rFonts w:cs="Times New Roman"/>
          <w:szCs w:val="24"/>
        </w:rPr>
      </w:pPr>
      <w:r w:rsidRPr="670FAECA">
        <w:rPr>
          <w:rFonts w:cs="Times New Roman"/>
          <w:szCs w:val="24"/>
        </w:rPr>
        <w:t xml:space="preserve">Esiteks </w:t>
      </w:r>
      <w:r w:rsidRPr="7758867C">
        <w:rPr>
          <w:rFonts w:cs="Times New Roman"/>
          <w:szCs w:val="24"/>
        </w:rPr>
        <w:t xml:space="preserve">tuleb </w:t>
      </w:r>
      <w:r w:rsidRPr="0DBF6015">
        <w:rPr>
          <w:rFonts w:cs="Times New Roman"/>
          <w:szCs w:val="24"/>
        </w:rPr>
        <w:t xml:space="preserve">ETO </w:t>
      </w:r>
      <w:r w:rsidRPr="74DA9088">
        <w:rPr>
          <w:rFonts w:cs="Times New Roman"/>
          <w:szCs w:val="24"/>
        </w:rPr>
        <w:t xml:space="preserve">piiri </w:t>
      </w:r>
      <w:r w:rsidRPr="681480E6">
        <w:rPr>
          <w:rFonts w:cs="Times New Roman"/>
          <w:szCs w:val="24"/>
        </w:rPr>
        <w:t xml:space="preserve">laiendada </w:t>
      </w:r>
      <w:r w:rsidRPr="588BEE32">
        <w:rPr>
          <w:rFonts w:cs="Times New Roman"/>
          <w:szCs w:val="24"/>
        </w:rPr>
        <w:t xml:space="preserve">tootja </w:t>
      </w:r>
      <w:r w:rsidRPr="4A3437C9">
        <w:rPr>
          <w:rFonts w:cs="Times New Roman"/>
          <w:szCs w:val="24"/>
        </w:rPr>
        <w:t xml:space="preserve">asemel </w:t>
      </w:r>
      <w:r w:rsidRPr="363455DF">
        <w:rPr>
          <w:rFonts w:cs="Times New Roman"/>
          <w:szCs w:val="24"/>
        </w:rPr>
        <w:t xml:space="preserve">laiemalt elektripaigaldistele, kaasates ka </w:t>
      </w:r>
      <w:r>
        <w:rPr>
          <w:rFonts w:cs="Times New Roman"/>
          <w:szCs w:val="24"/>
        </w:rPr>
        <w:t xml:space="preserve"> energiasalvestusüksuseid</w:t>
      </w:r>
      <w:r w:rsidRPr="363455DF">
        <w:rPr>
          <w:rFonts w:cs="Times New Roman"/>
          <w:szCs w:val="24"/>
        </w:rPr>
        <w:t xml:space="preserve">, mis </w:t>
      </w:r>
      <w:r w:rsidRPr="689A439E">
        <w:rPr>
          <w:rFonts w:cs="Times New Roman"/>
          <w:szCs w:val="24"/>
        </w:rPr>
        <w:t xml:space="preserve">on järjest </w:t>
      </w:r>
      <w:r w:rsidRPr="39F12F8C">
        <w:rPr>
          <w:rFonts w:cs="Times New Roman"/>
          <w:szCs w:val="24"/>
        </w:rPr>
        <w:t xml:space="preserve">suuremad ja omavad </w:t>
      </w:r>
      <w:r w:rsidRPr="3ED52B1F">
        <w:rPr>
          <w:rFonts w:cs="Times New Roman"/>
          <w:szCs w:val="24"/>
        </w:rPr>
        <w:t xml:space="preserve">võrgu vaatest olulist </w:t>
      </w:r>
      <w:r w:rsidRPr="2F339E36">
        <w:rPr>
          <w:rFonts w:cs="Times New Roman"/>
          <w:szCs w:val="24"/>
        </w:rPr>
        <w:t xml:space="preserve">mõju. </w:t>
      </w:r>
      <w:r w:rsidRPr="41552192">
        <w:rPr>
          <w:rFonts w:cs="Times New Roman"/>
          <w:szCs w:val="24"/>
        </w:rPr>
        <w:t xml:space="preserve">Teiseks tuleb </w:t>
      </w:r>
      <w:r w:rsidRPr="652DBAD8">
        <w:rPr>
          <w:rFonts w:cs="Times New Roman"/>
          <w:szCs w:val="24"/>
        </w:rPr>
        <w:t>ETO</w:t>
      </w:r>
      <w:r w:rsidRPr="41552192">
        <w:rPr>
          <w:rFonts w:cs="Times New Roman"/>
          <w:szCs w:val="24"/>
        </w:rPr>
        <w:t xml:space="preserve"> piiri määramisel </w:t>
      </w:r>
      <w:r w:rsidRPr="5FB8ED84">
        <w:rPr>
          <w:rFonts w:cs="Times New Roman"/>
          <w:szCs w:val="24"/>
        </w:rPr>
        <w:t xml:space="preserve">vaadata mitte vaid </w:t>
      </w:r>
      <w:r w:rsidRPr="3099E441">
        <w:rPr>
          <w:rFonts w:cs="Times New Roman"/>
          <w:szCs w:val="24"/>
        </w:rPr>
        <w:t xml:space="preserve">ühe </w:t>
      </w:r>
      <w:r w:rsidRPr="45B93CB8">
        <w:rPr>
          <w:rFonts w:cs="Times New Roman"/>
          <w:szCs w:val="24"/>
        </w:rPr>
        <w:t>konkreetse paigaldise suurust</w:t>
      </w:r>
      <w:r>
        <w:rPr>
          <w:rFonts w:cs="Times New Roman"/>
          <w:szCs w:val="24"/>
        </w:rPr>
        <w:t>,</w:t>
      </w:r>
      <w:r w:rsidRPr="45B93CB8">
        <w:rPr>
          <w:rFonts w:cs="Times New Roman"/>
          <w:szCs w:val="24"/>
        </w:rPr>
        <w:t xml:space="preserve"> vaid </w:t>
      </w:r>
      <w:r w:rsidRPr="189B6423">
        <w:rPr>
          <w:rFonts w:cs="Times New Roman"/>
          <w:szCs w:val="24"/>
        </w:rPr>
        <w:t xml:space="preserve">kogu </w:t>
      </w:r>
      <w:r w:rsidRPr="45A6FBB7">
        <w:rPr>
          <w:rFonts w:cs="Times New Roman"/>
          <w:szCs w:val="24"/>
        </w:rPr>
        <w:t xml:space="preserve">kontserni või </w:t>
      </w:r>
      <w:r w:rsidRPr="1D2BB945">
        <w:rPr>
          <w:rFonts w:cs="Times New Roman"/>
          <w:szCs w:val="24"/>
        </w:rPr>
        <w:t xml:space="preserve">ettevõtte </w:t>
      </w:r>
      <w:r w:rsidRPr="4AA373E7">
        <w:rPr>
          <w:rFonts w:cs="Times New Roman"/>
          <w:szCs w:val="24"/>
        </w:rPr>
        <w:t xml:space="preserve">võimsuste mahtu </w:t>
      </w:r>
      <w:r w:rsidRPr="41DFF483">
        <w:rPr>
          <w:rFonts w:cs="Times New Roman"/>
          <w:szCs w:val="24"/>
        </w:rPr>
        <w:t xml:space="preserve">koos, kuna </w:t>
      </w:r>
      <w:r w:rsidRPr="6EC5C664">
        <w:rPr>
          <w:rFonts w:cs="Times New Roman"/>
          <w:szCs w:val="24"/>
        </w:rPr>
        <w:t>kübertu</w:t>
      </w:r>
      <w:r>
        <w:rPr>
          <w:rFonts w:cs="Times New Roman"/>
          <w:szCs w:val="24"/>
        </w:rPr>
        <w:t>r</w:t>
      </w:r>
      <w:r w:rsidRPr="6EC5C664">
        <w:rPr>
          <w:rFonts w:cs="Times New Roman"/>
          <w:szCs w:val="24"/>
        </w:rPr>
        <w:t xml:space="preserve">ve on </w:t>
      </w:r>
      <w:r>
        <w:rPr>
          <w:rFonts w:cs="Times New Roman"/>
          <w:szCs w:val="24"/>
        </w:rPr>
        <w:t xml:space="preserve">üldjuhul </w:t>
      </w:r>
      <w:r w:rsidRPr="5FD7FF4D">
        <w:rPr>
          <w:rFonts w:cs="Times New Roman"/>
          <w:szCs w:val="24"/>
        </w:rPr>
        <w:t>korraldatud</w:t>
      </w:r>
      <w:r w:rsidRPr="6EC5C664">
        <w:rPr>
          <w:rFonts w:cs="Times New Roman"/>
          <w:szCs w:val="24"/>
        </w:rPr>
        <w:t xml:space="preserve"> </w:t>
      </w:r>
      <w:r w:rsidRPr="0A1038E8">
        <w:rPr>
          <w:rFonts w:cs="Times New Roman"/>
          <w:szCs w:val="24"/>
        </w:rPr>
        <w:t xml:space="preserve">neil </w:t>
      </w:r>
      <w:r w:rsidRPr="339A6081">
        <w:rPr>
          <w:rFonts w:cs="Times New Roman"/>
          <w:szCs w:val="24"/>
        </w:rPr>
        <w:t>ühiselt. Energeetikasektor</w:t>
      </w:r>
      <w:r w:rsidRPr="00700C75">
        <w:rPr>
          <w:rFonts w:cs="Times New Roman"/>
          <w:szCs w:val="24"/>
        </w:rPr>
        <w:t xml:space="preserve"> on küberrünnakute jaoks </w:t>
      </w:r>
      <w:r>
        <w:rPr>
          <w:rFonts w:cs="Times New Roman"/>
          <w:szCs w:val="24"/>
        </w:rPr>
        <w:t xml:space="preserve">endiselt </w:t>
      </w:r>
      <w:r w:rsidRPr="00700C75">
        <w:rPr>
          <w:rFonts w:cs="Times New Roman"/>
          <w:szCs w:val="24"/>
        </w:rPr>
        <w:t xml:space="preserve">atraktiivne sihtmärk, sest selle </w:t>
      </w:r>
      <w:r w:rsidRPr="00700C75">
        <w:rPr>
          <w:rFonts w:cs="Times New Roman"/>
          <w:szCs w:val="24"/>
        </w:rPr>
        <w:lastRenderedPageBreak/>
        <w:t xml:space="preserve">töökindlusest sõltub paljude teiste ühiskonna jaoks kriitiliste teenuste toimepidevus. Viimastel aastatel on üldine küberohutase maailmas tõusnud kõigis sektorites, sh energeetikasektoris. </w:t>
      </w:r>
    </w:p>
    <w:p w14:paraId="2376884F" w14:textId="77777777" w:rsidR="006B1555" w:rsidRDefault="006B1555" w:rsidP="006B1555">
      <w:pPr>
        <w:rPr>
          <w:rFonts w:cs="Times New Roman"/>
          <w:szCs w:val="24"/>
        </w:rPr>
      </w:pPr>
      <w:r w:rsidRPr="00700C75">
        <w:rPr>
          <w:rFonts w:cs="Times New Roman"/>
          <w:szCs w:val="24"/>
        </w:rPr>
        <w:t>Kaugligipääs on üks sagedasemaid ründevektoreid, mis tähendab, et distantsilt ligipääsetavad süsteemid võivad osutuda ründaja sisenemisteeks kriitilisse taristusse.  Juhul kui süsteem on nõrgalt kaitstud ja aset leiab ulatuslik intsident, võib see mõjutada ettevõtet ennast (sh</w:t>
      </w:r>
      <w:r>
        <w:rPr>
          <w:rFonts w:cs="Times New Roman"/>
          <w:szCs w:val="24"/>
        </w:rPr>
        <w:t xml:space="preserve"> põhjustada</w:t>
      </w:r>
      <w:r w:rsidRPr="00700C75">
        <w:rPr>
          <w:rFonts w:cs="Times New Roman"/>
          <w:szCs w:val="24"/>
        </w:rPr>
        <w:t xml:space="preserve"> mainekahju), kuid samuti ka Eesti elektriga varustatust. ETO-d on kohustatud järgima kõrgendatud küberturvalisuse nõudeid.</w:t>
      </w:r>
    </w:p>
    <w:p w14:paraId="155814F2" w14:textId="77777777" w:rsidR="006B1555" w:rsidRPr="00700C75" w:rsidRDefault="006B1555" w:rsidP="006B1555">
      <w:pPr>
        <w:rPr>
          <w:rFonts w:cs="Times New Roman"/>
          <w:szCs w:val="24"/>
        </w:rPr>
      </w:pPr>
    </w:p>
    <w:p w14:paraId="6F283E02" w14:textId="77777777" w:rsidR="006B1555" w:rsidRDefault="006B1555" w:rsidP="006B1555">
      <w:pPr>
        <w:rPr>
          <w:rFonts w:cs="Times New Roman"/>
          <w:szCs w:val="24"/>
        </w:rPr>
      </w:pPr>
      <w:r w:rsidRPr="00700C75">
        <w:rPr>
          <w:rFonts w:cs="Times New Roman"/>
          <w:szCs w:val="24"/>
        </w:rPr>
        <w:t xml:space="preserve">Kaugligipääs on tänapäeval lahutamatu osa ettevõtte toimimisel, kuid selle turvaline kasutamine on võtmetähtsusega. Eestis on elektritootmine üha rohkem hajutatud ning kaugligipääsu turvaline kasutamine on eriti oluline päikese- ja tuuleparkide ning </w:t>
      </w:r>
      <w:r>
        <w:rPr>
          <w:rFonts w:cs="Times New Roman"/>
          <w:szCs w:val="24"/>
        </w:rPr>
        <w:t>energiasalvestuse</w:t>
      </w:r>
      <w:r w:rsidRPr="00700C75">
        <w:rPr>
          <w:rFonts w:cs="Times New Roman"/>
          <w:szCs w:val="24"/>
        </w:rPr>
        <w:t xml:space="preserve"> näitel, kuid samuti ka teiste ettevõtete näitel. </w:t>
      </w:r>
    </w:p>
    <w:p w14:paraId="75DFD878" w14:textId="77777777" w:rsidR="006B1555" w:rsidRPr="00700C75" w:rsidRDefault="006B1555" w:rsidP="006B1555">
      <w:pPr>
        <w:rPr>
          <w:rFonts w:cs="Times New Roman"/>
          <w:szCs w:val="24"/>
        </w:rPr>
      </w:pPr>
    </w:p>
    <w:p w14:paraId="27807CA4" w14:textId="77777777" w:rsidR="006B1555" w:rsidRPr="00700C75" w:rsidRDefault="006B1555" w:rsidP="006B1555">
      <w:pPr>
        <w:rPr>
          <w:rFonts w:cs="Times New Roman"/>
          <w:szCs w:val="24"/>
        </w:rPr>
      </w:pPr>
      <w:r w:rsidRPr="00700C75">
        <w:rPr>
          <w:rFonts w:cs="Times New Roman"/>
          <w:szCs w:val="24"/>
        </w:rPr>
        <w:t>Kaugligipääsuga seotud ning muid relevantseid küberohte on käsitletud ka hiljutistes raportites ning hinnangutes:</w:t>
      </w:r>
    </w:p>
    <w:p w14:paraId="073A5B99" w14:textId="77777777" w:rsidR="006B1555" w:rsidRPr="00700C75" w:rsidRDefault="006B1555" w:rsidP="006B1555">
      <w:pPr>
        <w:pStyle w:val="Loendilik"/>
        <w:numPr>
          <w:ilvl w:val="0"/>
          <w:numId w:val="26"/>
        </w:numPr>
        <w:spacing w:before="0" w:after="160" w:line="259" w:lineRule="auto"/>
        <w:rPr>
          <w:rFonts w:cs="Times New Roman"/>
        </w:rPr>
      </w:pPr>
      <w:r w:rsidRPr="00700C75">
        <w:rPr>
          <w:rFonts w:cs="Times New Roman"/>
          <w:b/>
          <w:bCs/>
        </w:rPr>
        <w:t>Elering</w:t>
      </w:r>
      <w:r w:rsidRPr="00700C75">
        <w:rPr>
          <w:rFonts w:cs="Times New Roman"/>
        </w:rPr>
        <w:t xml:space="preserve"> toob 2024.</w:t>
      </w:r>
      <w:r>
        <w:rPr>
          <w:rFonts w:cs="Times New Roman"/>
        </w:rPr>
        <w:t xml:space="preserve"> </w:t>
      </w:r>
      <w:r w:rsidRPr="00700C75">
        <w:rPr>
          <w:rFonts w:cs="Times New Roman"/>
        </w:rPr>
        <w:t>a varustuskindluse aruandes välja, et tänaseks on Hiina tehnoloogia osakaal ja selle kontrollitavad tootmisvõimsused Eesti energiasüsteemis saavutanud mahud ja taseme, kus see vajab kindlasti tähelepanu ja käsitlemist nii turuosaliste poolt, kuid ka riigi poolt.</w:t>
      </w:r>
      <w:r>
        <w:rPr>
          <w:rStyle w:val="Allmrkuseviide"/>
          <w:rFonts w:cs="Times New Roman"/>
        </w:rPr>
        <w:footnoteReference w:id="5"/>
      </w:r>
      <w:r w:rsidRPr="00700C75">
        <w:rPr>
          <w:rFonts w:cs="Times New Roman"/>
        </w:rPr>
        <w:t xml:space="preserve"> </w:t>
      </w:r>
    </w:p>
    <w:p w14:paraId="64D8C303" w14:textId="77777777" w:rsidR="006B1555" w:rsidRPr="00700C75" w:rsidRDefault="006B1555" w:rsidP="006B1555">
      <w:pPr>
        <w:pStyle w:val="Loendilik"/>
        <w:numPr>
          <w:ilvl w:val="0"/>
          <w:numId w:val="26"/>
        </w:numPr>
        <w:spacing w:before="0" w:after="160" w:line="259" w:lineRule="auto"/>
        <w:rPr>
          <w:rFonts w:cs="Times New Roman"/>
        </w:rPr>
      </w:pPr>
      <w:r w:rsidRPr="00700C75">
        <w:rPr>
          <w:rFonts w:cs="Times New Roman"/>
          <w:b/>
          <w:bCs/>
        </w:rPr>
        <w:t xml:space="preserve">Välisluureamet </w:t>
      </w:r>
      <w:r w:rsidRPr="00700C75">
        <w:rPr>
          <w:rFonts w:cs="Times New Roman"/>
        </w:rPr>
        <w:t>toob esile taastuvenergia kohta, et mida rohkem Eesti elektrist toodavad päikesepargid, seda suurem mõju oleks sellisel manipulatsioonil riigi elektritootmisvõimsusele. Tuleb vältida olukorda, kus keegi kolmas osapool võib hakata riigi elektrivarustust ära kasutama luureinfo kogumiseks või majandusliku ja poliitilise surve avaldamiseks.</w:t>
      </w:r>
      <w:r>
        <w:rPr>
          <w:rStyle w:val="Allmrkuseviide"/>
          <w:rFonts w:cs="Times New Roman"/>
        </w:rPr>
        <w:footnoteReference w:id="6"/>
      </w:r>
      <w:r w:rsidRPr="00700C75">
        <w:rPr>
          <w:rFonts w:cs="Times New Roman"/>
        </w:rPr>
        <w:t xml:space="preserve"> </w:t>
      </w:r>
    </w:p>
    <w:p w14:paraId="6ABE4066" w14:textId="77777777" w:rsidR="006B1555" w:rsidRPr="00700C75" w:rsidRDefault="006B1555" w:rsidP="006B1555">
      <w:pPr>
        <w:pStyle w:val="Loendilik"/>
        <w:numPr>
          <w:ilvl w:val="0"/>
          <w:numId w:val="26"/>
        </w:numPr>
        <w:spacing w:before="0" w:after="160" w:line="259" w:lineRule="auto"/>
        <w:rPr>
          <w:rFonts w:cs="Times New Roman"/>
        </w:rPr>
      </w:pPr>
      <w:r w:rsidRPr="00700C75">
        <w:rPr>
          <w:rFonts w:cs="Times New Roman"/>
          <w:b/>
          <w:bCs/>
        </w:rPr>
        <w:t xml:space="preserve">KAPO </w:t>
      </w:r>
      <w:r w:rsidRPr="00700C75">
        <w:rPr>
          <w:rFonts w:cs="Times New Roman"/>
        </w:rPr>
        <w:t>hinnangul, arvestades süsteemide suurt omavahelist seotust, võib prognoosida ka tarneahelate ja kolmandate osapoolte kaudu tehtavate rünnete sagenemist. Kuna üha rohkem kasutatakse pilveteenuseid, võib näha ka pilveteenustega seonduvate rünnete kasvu.</w:t>
      </w:r>
      <w:r>
        <w:rPr>
          <w:rStyle w:val="Allmrkuseviide"/>
          <w:rFonts w:cs="Times New Roman"/>
        </w:rPr>
        <w:footnoteReference w:id="7"/>
      </w:r>
      <w:r w:rsidRPr="00700C75">
        <w:rPr>
          <w:rFonts w:cs="Times New Roman"/>
        </w:rPr>
        <w:t xml:space="preserve"> </w:t>
      </w:r>
    </w:p>
    <w:p w14:paraId="1FB981FE" w14:textId="77777777" w:rsidR="006B1555" w:rsidRPr="00700C75" w:rsidRDefault="006B1555" w:rsidP="006B1555">
      <w:pPr>
        <w:pStyle w:val="Loendilik"/>
        <w:numPr>
          <w:ilvl w:val="0"/>
          <w:numId w:val="26"/>
        </w:numPr>
        <w:spacing w:before="0" w:after="160" w:line="259" w:lineRule="auto"/>
        <w:rPr>
          <w:rFonts w:cs="Times New Roman"/>
        </w:rPr>
      </w:pPr>
      <w:r w:rsidRPr="00700C75">
        <w:rPr>
          <w:rFonts w:cs="Times New Roman"/>
          <w:b/>
          <w:bCs/>
        </w:rPr>
        <w:t xml:space="preserve">RIA </w:t>
      </w:r>
      <w:r w:rsidRPr="00700C75">
        <w:rPr>
          <w:rFonts w:cs="Times New Roman"/>
        </w:rPr>
        <w:t>hinnangul suurendavad küberriski realiseerumise tõenäosust jätkuvalt  taastuvenergia osakaalu lisandumine. Küberohustajate poolt on kasvanud huvi tarneahelarünnakute vastu, kus saab ühe sisenemispunkti kaudu mõjutada paljusid erinevaid ettevõtteid.</w:t>
      </w:r>
      <w:r>
        <w:rPr>
          <w:rStyle w:val="Allmrkuseviide"/>
          <w:rFonts w:cs="Times New Roman"/>
        </w:rPr>
        <w:footnoteReference w:id="8"/>
      </w:r>
      <w:r w:rsidRPr="00700C75">
        <w:rPr>
          <w:rFonts w:cs="Times New Roman"/>
        </w:rPr>
        <w:t xml:space="preserve">  </w:t>
      </w:r>
    </w:p>
    <w:p w14:paraId="2ABCA732" w14:textId="77777777" w:rsidR="006B1555" w:rsidRPr="00700C75" w:rsidRDefault="006B1555" w:rsidP="006B1555">
      <w:pPr>
        <w:pStyle w:val="Loendilik"/>
        <w:numPr>
          <w:ilvl w:val="0"/>
          <w:numId w:val="26"/>
        </w:numPr>
        <w:spacing w:before="0" w:after="160" w:line="259" w:lineRule="auto"/>
        <w:rPr>
          <w:rFonts w:cs="Times New Roman"/>
        </w:rPr>
      </w:pPr>
      <w:r w:rsidRPr="00700C75">
        <w:rPr>
          <w:rFonts w:cs="Times New Roman"/>
          <w:b/>
          <w:bCs/>
        </w:rPr>
        <w:t xml:space="preserve">Riigikantselei </w:t>
      </w:r>
      <w:r w:rsidRPr="00700C75">
        <w:rPr>
          <w:rFonts w:cs="Times New Roman"/>
        </w:rPr>
        <w:t>toob Eesti riskianalüüsis küberohtude kohta välja, et võrreldes eelmise hindamisega on ohu realiseerumise tõenäosus kasvanud.</w:t>
      </w:r>
      <w:r>
        <w:rPr>
          <w:rStyle w:val="Allmrkuseviide"/>
          <w:rFonts w:cs="Times New Roman"/>
        </w:rPr>
        <w:footnoteReference w:id="9"/>
      </w:r>
      <w:r w:rsidRPr="00700C75">
        <w:rPr>
          <w:rFonts w:cs="Times New Roman"/>
        </w:rPr>
        <w:t xml:space="preserve"> </w:t>
      </w:r>
    </w:p>
    <w:p w14:paraId="2266EC4D" w14:textId="77777777" w:rsidR="006B1555" w:rsidRPr="00141B05" w:rsidRDefault="006B1555" w:rsidP="006B1555">
      <w:pPr>
        <w:rPr>
          <w:rFonts w:cs="Times New Roman"/>
          <w:szCs w:val="24"/>
        </w:rPr>
      </w:pPr>
    </w:p>
    <w:p w14:paraId="61841638" w14:textId="77777777" w:rsidR="006B1555" w:rsidRDefault="006B1555" w:rsidP="006B1555">
      <w:pPr>
        <w:rPr>
          <w:rFonts w:cs="Times New Roman"/>
          <w:szCs w:val="24"/>
        </w:rPr>
      </w:pPr>
      <w:r>
        <w:rPr>
          <w:rFonts w:cs="Times New Roman"/>
          <w:szCs w:val="24"/>
        </w:rPr>
        <w:t xml:space="preserve">Peale küberohtude tuleb arvesse võtta ka muid suundumusi. </w:t>
      </w:r>
      <w:r w:rsidRPr="00141B05">
        <w:rPr>
          <w:rFonts w:cs="Times New Roman"/>
          <w:szCs w:val="24"/>
        </w:rPr>
        <w:t>Viimastel aastatel on energiatootmine muutunud detsentraliseeritumaks ning seda trendi on näha ka tulevikus.</w:t>
      </w:r>
      <w:r>
        <w:rPr>
          <w:rFonts w:cs="Times New Roman"/>
          <w:szCs w:val="24"/>
        </w:rPr>
        <w:t xml:space="preserve"> Ühelt poolt on hajutatud tootmine positiivne varustuskindlusele, sh võttes arvesse ka Ukraina sõja õppetunde. Siiski, hajutatud tootmise puhul tuleb endiselt pöörata tähelepanu küberturvalisusele ja füüsilisele turvalisusele.</w:t>
      </w:r>
      <w:r w:rsidRPr="00141B05">
        <w:rPr>
          <w:rFonts w:cs="Times New Roman"/>
          <w:szCs w:val="24"/>
        </w:rPr>
        <w:t xml:space="preserve"> Üle Eesti on loodud suuremaid päikeseparke ja valminud on ka mitmeid maismaa tuuleparke</w:t>
      </w:r>
      <w:r>
        <w:rPr>
          <w:rFonts w:cs="Times New Roman"/>
          <w:szCs w:val="24"/>
        </w:rPr>
        <w:t xml:space="preserve"> ning akuparke</w:t>
      </w:r>
      <w:r w:rsidRPr="00141B05">
        <w:rPr>
          <w:rFonts w:cs="Times New Roman"/>
          <w:szCs w:val="24"/>
        </w:rPr>
        <w:t>. Eesti praegused tootmisvõimsused on välja toodud allolevas tabelis, kus on loetletud tootjate esitatud installeeritud tootmisvõimsused Eestis asuvatele suurematele tootmisüksustele</w:t>
      </w:r>
      <w:r>
        <w:rPr>
          <w:rFonts w:cs="Times New Roman"/>
          <w:szCs w:val="24"/>
        </w:rPr>
        <w:t>.</w:t>
      </w:r>
    </w:p>
    <w:p w14:paraId="235550CA" w14:textId="77777777" w:rsidR="006B1555" w:rsidRPr="00141B05" w:rsidRDefault="006B1555" w:rsidP="006B1555">
      <w:pPr>
        <w:rPr>
          <w:rFonts w:cs="Times New Roman"/>
          <w:szCs w:val="24"/>
        </w:rPr>
      </w:pPr>
    </w:p>
    <w:p w14:paraId="1B09252F" w14:textId="13962F99" w:rsidR="006B1555" w:rsidRPr="00B0098F" w:rsidRDefault="006B1555" w:rsidP="006B1555">
      <w:pPr>
        <w:pStyle w:val="Pealdis"/>
        <w:keepNext/>
        <w:rPr>
          <w:rFonts w:ascii="Times New Roman" w:hAnsi="Times New Roman" w:cs="Times New Roman"/>
          <w:i w:val="0"/>
          <w:iCs w:val="0"/>
          <w:color w:val="auto"/>
          <w:sz w:val="24"/>
          <w:szCs w:val="24"/>
        </w:rPr>
      </w:pPr>
      <w:r w:rsidRPr="00B0098F">
        <w:rPr>
          <w:rFonts w:ascii="Times New Roman" w:hAnsi="Times New Roman" w:cs="Times New Roman"/>
          <w:i w:val="0"/>
          <w:iCs w:val="0"/>
          <w:color w:val="auto"/>
          <w:sz w:val="24"/>
          <w:szCs w:val="24"/>
        </w:rPr>
        <w:lastRenderedPageBreak/>
        <w:t xml:space="preserve">Tabel </w:t>
      </w:r>
      <w:r w:rsidRPr="00B0098F">
        <w:rPr>
          <w:rFonts w:ascii="Times New Roman" w:hAnsi="Times New Roman" w:cs="Times New Roman"/>
          <w:i w:val="0"/>
          <w:iCs w:val="0"/>
          <w:color w:val="auto"/>
          <w:sz w:val="24"/>
          <w:szCs w:val="24"/>
        </w:rPr>
        <w:fldChar w:fldCharType="begin"/>
      </w:r>
      <w:r w:rsidRPr="00B0098F">
        <w:rPr>
          <w:rFonts w:ascii="Times New Roman" w:hAnsi="Times New Roman" w:cs="Times New Roman"/>
          <w:i w:val="0"/>
          <w:iCs w:val="0"/>
          <w:color w:val="auto"/>
          <w:sz w:val="24"/>
          <w:szCs w:val="24"/>
        </w:rPr>
        <w:instrText xml:space="preserve"> SEQ Tabel \* ARABIC </w:instrText>
      </w:r>
      <w:r w:rsidRPr="00B0098F">
        <w:rPr>
          <w:rFonts w:ascii="Times New Roman" w:hAnsi="Times New Roman" w:cs="Times New Roman"/>
          <w:i w:val="0"/>
          <w:iCs w:val="0"/>
          <w:color w:val="auto"/>
          <w:sz w:val="24"/>
          <w:szCs w:val="24"/>
        </w:rPr>
        <w:fldChar w:fldCharType="separate"/>
      </w:r>
      <w:r w:rsidRPr="00B0098F">
        <w:rPr>
          <w:rFonts w:ascii="Times New Roman" w:hAnsi="Times New Roman" w:cs="Times New Roman"/>
          <w:i w:val="0"/>
          <w:iCs w:val="0"/>
          <w:noProof/>
          <w:color w:val="auto"/>
          <w:sz w:val="24"/>
          <w:szCs w:val="24"/>
        </w:rPr>
        <w:t>1</w:t>
      </w:r>
      <w:r w:rsidRPr="00B0098F">
        <w:rPr>
          <w:rFonts w:ascii="Times New Roman" w:hAnsi="Times New Roman" w:cs="Times New Roman"/>
          <w:i w:val="0"/>
          <w:iCs w:val="0"/>
          <w:color w:val="auto"/>
          <w:sz w:val="24"/>
          <w:szCs w:val="24"/>
        </w:rPr>
        <w:fldChar w:fldCharType="end"/>
      </w:r>
      <w:r w:rsidRPr="00B0098F">
        <w:rPr>
          <w:rFonts w:ascii="Times New Roman" w:hAnsi="Times New Roman" w:cs="Times New Roman"/>
          <w:i w:val="0"/>
          <w:iCs w:val="0"/>
          <w:color w:val="auto"/>
          <w:sz w:val="24"/>
          <w:szCs w:val="24"/>
        </w:rPr>
        <w:t>.</w:t>
      </w:r>
      <w:r>
        <w:rPr>
          <w:rFonts w:ascii="Times New Roman" w:hAnsi="Times New Roman" w:cs="Times New Roman"/>
          <w:i w:val="0"/>
          <w:iCs w:val="0"/>
          <w:color w:val="auto"/>
          <w:sz w:val="24"/>
          <w:szCs w:val="24"/>
        </w:rPr>
        <w:t xml:space="preserve"> </w:t>
      </w:r>
      <w:r w:rsidRPr="00B0098F">
        <w:rPr>
          <w:rFonts w:ascii="Times New Roman" w:hAnsi="Times New Roman" w:cs="Times New Roman"/>
          <w:i w:val="0"/>
          <w:iCs w:val="0"/>
          <w:color w:val="auto"/>
          <w:sz w:val="24"/>
          <w:szCs w:val="24"/>
        </w:rPr>
        <w:t>2025.</w:t>
      </w:r>
      <w:r w:rsidR="004A25CD">
        <w:rPr>
          <w:rFonts w:ascii="Times New Roman" w:hAnsi="Times New Roman" w:cs="Times New Roman"/>
          <w:i w:val="0"/>
          <w:iCs w:val="0"/>
          <w:color w:val="auto"/>
          <w:sz w:val="24"/>
          <w:szCs w:val="24"/>
        </w:rPr>
        <w:t xml:space="preserve"> </w:t>
      </w:r>
      <w:r w:rsidRPr="00B0098F">
        <w:rPr>
          <w:rFonts w:ascii="Times New Roman" w:hAnsi="Times New Roman" w:cs="Times New Roman"/>
          <w:i w:val="0"/>
          <w:iCs w:val="0"/>
          <w:color w:val="auto"/>
          <w:sz w:val="24"/>
          <w:szCs w:val="24"/>
        </w:rPr>
        <w:t xml:space="preserve">a tootmisvõimsused </w:t>
      </w:r>
    </w:p>
    <w:tbl>
      <w:tblPr>
        <w:tblStyle w:val="Kontuurtabel"/>
        <w:tblW w:w="0" w:type="auto"/>
        <w:tblLook w:val="04A0" w:firstRow="1" w:lastRow="0" w:firstColumn="1" w:lastColumn="0" w:noHBand="0" w:noVBand="1"/>
      </w:tblPr>
      <w:tblGrid>
        <w:gridCol w:w="4531"/>
        <w:gridCol w:w="4530"/>
      </w:tblGrid>
      <w:tr w:rsidR="006B1555" w:rsidRPr="00141B05" w14:paraId="6848B48A" w14:textId="77777777" w:rsidTr="00B86045">
        <w:tc>
          <w:tcPr>
            <w:tcW w:w="4531" w:type="dxa"/>
            <w:shd w:val="clear" w:color="auto" w:fill="DBE5F1" w:themeFill="accent1" w:themeFillTint="33"/>
          </w:tcPr>
          <w:p w14:paraId="48E440B5" w14:textId="77777777" w:rsidR="006B1555" w:rsidRPr="00141B05" w:rsidRDefault="006B1555" w:rsidP="00B86045">
            <w:pPr>
              <w:rPr>
                <w:rFonts w:cs="Times New Roman"/>
                <w:szCs w:val="24"/>
              </w:rPr>
            </w:pPr>
            <w:r w:rsidRPr="00141B05">
              <w:rPr>
                <w:rFonts w:cs="Times New Roman"/>
                <w:szCs w:val="24"/>
              </w:rPr>
              <w:t>Tüüp</w:t>
            </w:r>
          </w:p>
        </w:tc>
        <w:tc>
          <w:tcPr>
            <w:tcW w:w="4531" w:type="dxa"/>
            <w:shd w:val="clear" w:color="auto" w:fill="DBE5F1" w:themeFill="accent1" w:themeFillTint="33"/>
          </w:tcPr>
          <w:p w14:paraId="77934847" w14:textId="77777777" w:rsidR="006B1555" w:rsidRPr="00141B05" w:rsidRDefault="006B1555" w:rsidP="00B86045">
            <w:pPr>
              <w:rPr>
                <w:rFonts w:cs="Times New Roman"/>
                <w:szCs w:val="24"/>
              </w:rPr>
            </w:pPr>
            <w:r w:rsidRPr="00141B05">
              <w:rPr>
                <w:rFonts w:cs="Times New Roman"/>
                <w:szCs w:val="24"/>
              </w:rPr>
              <w:t>Tootmisvõimsus (MW) 2024.a seisuga</w:t>
            </w:r>
          </w:p>
        </w:tc>
      </w:tr>
      <w:tr w:rsidR="006B1555" w:rsidRPr="00141B05" w14:paraId="2A6433E6" w14:textId="77777777" w:rsidTr="00B86045">
        <w:tc>
          <w:tcPr>
            <w:tcW w:w="4531" w:type="dxa"/>
          </w:tcPr>
          <w:p w14:paraId="48430FF0" w14:textId="77777777" w:rsidR="006B1555" w:rsidRPr="00141B05" w:rsidRDefault="006B1555" w:rsidP="00B86045">
            <w:pPr>
              <w:rPr>
                <w:rFonts w:cs="Times New Roman"/>
                <w:szCs w:val="24"/>
              </w:rPr>
            </w:pPr>
            <w:r w:rsidRPr="00141B05">
              <w:rPr>
                <w:rFonts w:cs="Times New Roman"/>
                <w:szCs w:val="24"/>
              </w:rPr>
              <w:t>Elektrijaamad</w:t>
            </w:r>
          </w:p>
        </w:tc>
        <w:tc>
          <w:tcPr>
            <w:tcW w:w="4531" w:type="dxa"/>
          </w:tcPr>
          <w:p w14:paraId="4FC7430D" w14:textId="77777777" w:rsidR="006B1555" w:rsidRPr="00141B05" w:rsidRDefault="006B1555" w:rsidP="00B86045">
            <w:pPr>
              <w:rPr>
                <w:rFonts w:cs="Times New Roman"/>
                <w:szCs w:val="24"/>
              </w:rPr>
            </w:pPr>
            <w:r w:rsidRPr="00141B05">
              <w:rPr>
                <w:rFonts w:cs="Times New Roman"/>
                <w:szCs w:val="24"/>
              </w:rPr>
              <w:t>1340 MW</w:t>
            </w:r>
            <w:r w:rsidRPr="00141B05">
              <w:rPr>
                <w:rStyle w:val="Allmrkuseviide"/>
                <w:rFonts w:cs="Times New Roman"/>
                <w:szCs w:val="24"/>
              </w:rPr>
              <w:footnoteReference w:id="10"/>
            </w:r>
          </w:p>
        </w:tc>
      </w:tr>
      <w:tr w:rsidR="006B1555" w:rsidRPr="00141B05" w14:paraId="4496B99E" w14:textId="77777777" w:rsidTr="00B86045">
        <w:tc>
          <w:tcPr>
            <w:tcW w:w="4531" w:type="dxa"/>
          </w:tcPr>
          <w:p w14:paraId="6127C0CA" w14:textId="77777777" w:rsidR="006B1555" w:rsidRPr="00141B05" w:rsidRDefault="006B1555" w:rsidP="00B86045">
            <w:pPr>
              <w:rPr>
                <w:rFonts w:cs="Times New Roman"/>
                <w:szCs w:val="24"/>
              </w:rPr>
            </w:pPr>
            <w:r w:rsidRPr="00141B05">
              <w:rPr>
                <w:rFonts w:cs="Times New Roman"/>
                <w:szCs w:val="24"/>
              </w:rPr>
              <w:t>Koostootmisjaamad</w:t>
            </w:r>
          </w:p>
        </w:tc>
        <w:tc>
          <w:tcPr>
            <w:tcW w:w="4531" w:type="dxa"/>
          </w:tcPr>
          <w:p w14:paraId="4D1BF51A" w14:textId="77777777" w:rsidR="006B1555" w:rsidRPr="00141B05" w:rsidRDefault="006B1555" w:rsidP="00B86045">
            <w:pPr>
              <w:rPr>
                <w:rFonts w:cs="Times New Roman"/>
                <w:szCs w:val="24"/>
              </w:rPr>
            </w:pPr>
            <w:r w:rsidRPr="00141B05">
              <w:rPr>
                <w:rFonts w:cs="Times New Roman"/>
                <w:szCs w:val="24"/>
              </w:rPr>
              <w:t>269,1 MW</w:t>
            </w:r>
            <w:r w:rsidRPr="00141B05">
              <w:rPr>
                <w:rStyle w:val="Allmrkuseviide"/>
                <w:rFonts w:cs="Times New Roman"/>
                <w:szCs w:val="24"/>
              </w:rPr>
              <w:footnoteReference w:id="11"/>
            </w:r>
          </w:p>
        </w:tc>
      </w:tr>
      <w:tr w:rsidR="006B1555" w:rsidRPr="00141B05" w14:paraId="35FB22FB" w14:textId="77777777" w:rsidTr="00B86045">
        <w:tc>
          <w:tcPr>
            <w:tcW w:w="4531" w:type="dxa"/>
          </w:tcPr>
          <w:p w14:paraId="655BADB3" w14:textId="77777777" w:rsidR="006B1555" w:rsidRPr="00141B05" w:rsidRDefault="006B1555" w:rsidP="00B86045">
            <w:pPr>
              <w:rPr>
                <w:rFonts w:cs="Times New Roman"/>
                <w:szCs w:val="24"/>
              </w:rPr>
            </w:pPr>
            <w:r w:rsidRPr="00141B05">
              <w:rPr>
                <w:rFonts w:cs="Times New Roman"/>
                <w:szCs w:val="24"/>
              </w:rPr>
              <w:t>Hüdroelektrijaamad</w:t>
            </w:r>
          </w:p>
        </w:tc>
        <w:tc>
          <w:tcPr>
            <w:tcW w:w="4531" w:type="dxa"/>
          </w:tcPr>
          <w:p w14:paraId="09239AED" w14:textId="77777777" w:rsidR="006B1555" w:rsidRPr="00141B05" w:rsidRDefault="006B1555" w:rsidP="00B86045">
            <w:pPr>
              <w:rPr>
                <w:rFonts w:cs="Times New Roman"/>
                <w:szCs w:val="24"/>
              </w:rPr>
            </w:pPr>
            <w:r w:rsidRPr="00141B05">
              <w:rPr>
                <w:rFonts w:cs="Times New Roman"/>
                <w:szCs w:val="24"/>
              </w:rPr>
              <w:t>8 MW</w:t>
            </w:r>
            <w:r w:rsidRPr="00141B05">
              <w:rPr>
                <w:rStyle w:val="Allmrkuseviide"/>
                <w:rFonts w:cs="Times New Roman"/>
                <w:szCs w:val="24"/>
              </w:rPr>
              <w:footnoteReference w:id="12"/>
            </w:r>
          </w:p>
        </w:tc>
      </w:tr>
      <w:tr w:rsidR="006B1555" w:rsidRPr="00141B05" w14:paraId="227D51B4" w14:textId="77777777" w:rsidTr="00B86045">
        <w:tc>
          <w:tcPr>
            <w:tcW w:w="4531" w:type="dxa"/>
          </w:tcPr>
          <w:p w14:paraId="7E79C974" w14:textId="77777777" w:rsidR="006B1555" w:rsidRPr="00141B05" w:rsidRDefault="006B1555" w:rsidP="00B86045">
            <w:pPr>
              <w:rPr>
                <w:rFonts w:cs="Times New Roman"/>
                <w:szCs w:val="24"/>
              </w:rPr>
            </w:pPr>
            <w:r w:rsidRPr="00141B05">
              <w:rPr>
                <w:rFonts w:cs="Times New Roman"/>
                <w:szCs w:val="24"/>
              </w:rPr>
              <w:t>Tuuleelektrijaamad</w:t>
            </w:r>
          </w:p>
        </w:tc>
        <w:tc>
          <w:tcPr>
            <w:tcW w:w="4531" w:type="dxa"/>
          </w:tcPr>
          <w:p w14:paraId="213251EA" w14:textId="77777777" w:rsidR="006B1555" w:rsidRPr="00141B05" w:rsidRDefault="006B1555" w:rsidP="00B86045">
            <w:pPr>
              <w:rPr>
                <w:rFonts w:cs="Times New Roman"/>
                <w:szCs w:val="24"/>
              </w:rPr>
            </w:pPr>
            <w:r>
              <w:rPr>
                <w:rFonts w:cs="Times New Roman"/>
                <w:szCs w:val="24"/>
              </w:rPr>
              <w:t xml:space="preserve">771,36 </w:t>
            </w:r>
            <w:r w:rsidRPr="00141B05">
              <w:rPr>
                <w:rFonts w:cs="Times New Roman"/>
                <w:szCs w:val="24"/>
              </w:rPr>
              <w:t xml:space="preserve"> MW</w:t>
            </w:r>
            <w:r>
              <w:rPr>
                <w:rStyle w:val="Allmrkuseviide"/>
                <w:rFonts w:cs="Times New Roman"/>
                <w:szCs w:val="24"/>
              </w:rPr>
              <w:footnoteReference w:id="13"/>
            </w:r>
          </w:p>
        </w:tc>
      </w:tr>
      <w:tr w:rsidR="006B1555" w:rsidRPr="00141B05" w14:paraId="74AACA35" w14:textId="77777777" w:rsidTr="00B86045">
        <w:tc>
          <w:tcPr>
            <w:tcW w:w="4531" w:type="dxa"/>
          </w:tcPr>
          <w:p w14:paraId="3CB43C1C" w14:textId="77777777" w:rsidR="006B1555" w:rsidRPr="00141B05" w:rsidRDefault="006B1555" w:rsidP="00B86045">
            <w:pPr>
              <w:rPr>
                <w:rFonts w:cs="Times New Roman"/>
                <w:szCs w:val="24"/>
              </w:rPr>
            </w:pPr>
            <w:r w:rsidRPr="00141B05">
              <w:rPr>
                <w:rFonts w:cs="Times New Roman"/>
                <w:szCs w:val="24"/>
              </w:rPr>
              <w:t>Päikeseelektrijaamad (agregeeritult)</w:t>
            </w:r>
          </w:p>
        </w:tc>
        <w:tc>
          <w:tcPr>
            <w:tcW w:w="4531" w:type="dxa"/>
          </w:tcPr>
          <w:p w14:paraId="6972D037" w14:textId="77777777" w:rsidR="006B1555" w:rsidRPr="00141B05" w:rsidRDefault="006B1555" w:rsidP="00B86045">
            <w:pPr>
              <w:rPr>
                <w:rFonts w:cs="Times New Roman"/>
                <w:szCs w:val="24"/>
              </w:rPr>
            </w:pPr>
            <w:r>
              <w:rPr>
                <w:rFonts w:cs="Times New Roman"/>
                <w:szCs w:val="24"/>
              </w:rPr>
              <w:t>1210</w:t>
            </w:r>
            <w:r w:rsidRPr="00141B05">
              <w:rPr>
                <w:rFonts w:cs="Times New Roman"/>
                <w:szCs w:val="24"/>
              </w:rPr>
              <w:t xml:space="preserve"> MW</w:t>
            </w:r>
            <w:r>
              <w:rPr>
                <w:rStyle w:val="Allmrkuseviide"/>
                <w:rFonts w:cs="Times New Roman"/>
                <w:szCs w:val="24"/>
              </w:rPr>
              <w:footnoteReference w:id="14"/>
            </w:r>
          </w:p>
        </w:tc>
      </w:tr>
    </w:tbl>
    <w:p w14:paraId="571C5999" w14:textId="77777777" w:rsidR="006B1555" w:rsidRPr="00141B05" w:rsidRDefault="006B1555" w:rsidP="006B1555">
      <w:pPr>
        <w:rPr>
          <w:rFonts w:cs="Times New Roman"/>
          <w:szCs w:val="24"/>
        </w:rPr>
      </w:pPr>
    </w:p>
    <w:p w14:paraId="75A636A5" w14:textId="296A1CA7" w:rsidR="006B1555" w:rsidRDefault="006B1555" w:rsidP="006B1555">
      <w:pPr>
        <w:rPr>
          <w:rFonts w:cs="Times New Roman"/>
          <w:szCs w:val="24"/>
        </w:rPr>
      </w:pPr>
      <w:r w:rsidRPr="00141B05">
        <w:rPr>
          <w:rFonts w:cs="Times New Roman"/>
          <w:szCs w:val="24"/>
        </w:rPr>
        <w:t>Tuule- ja päiksepargid moodustavad märgatava osa Eestis asuvast tootmisvõimsusest</w:t>
      </w:r>
      <w:r>
        <w:rPr>
          <w:rFonts w:cs="Times New Roman"/>
          <w:szCs w:val="24"/>
        </w:rPr>
        <w:t xml:space="preserve"> ning nendel on oluline roll elektriga varustatuse tagamisel. Üleüldse on 2025. aasta seisuga kogu elektrisüsteemi peale kokku tootmis</w:t>
      </w:r>
      <w:r w:rsidR="004A25CD">
        <w:rPr>
          <w:rFonts w:cs="Times New Roman"/>
          <w:szCs w:val="24"/>
        </w:rPr>
        <w:t>s</w:t>
      </w:r>
      <w:r>
        <w:rPr>
          <w:rFonts w:cs="Times New Roman"/>
          <w:szCs w:val="24"/>
        </w:rPr>
        <w:t>eadmeid</w:t>
      </w:r>
      <w:r w:rsidRPr="00141B05">
        <w:rPr>
          <w:rFonts w:cs="Times New Roman"/>
          <w:szCs w:val="24"/>
        </w:rPr>
        <w:t xml:space="preserve"> 22</w:t>
      </w:r>
      <w:r w:rsidR="004A25CD">
        <w:rPr>
          <w:rFonts w:cs="Times New Roman"/>
          <w:szCs w:val="24"/>
        </w:rPr>
        <w:t xml:space="preserve"> </w:t>
      </w:r>
      <w:r w:rsidRPr="00141B05">
        <w:rPr>
          <w:rFonts w:cs="Times New Roman"/>
          <w:szCs w:val="24"/>
        </w:rPr>
        <w:t>340</w:t>
      </w:r>
      <w:r>
        <w:rPr>
          <w:rFonts w:cs="Times New Roman"/>
          <w:szCs w:val="24"/>
        </w:rPr>
        <w:t xml:space="preserve"> tk</w:t>
      </w:r>
      <w:r w:rsidRPr="00141B05">
        <w:rPr>
          <w:rFonts w:cs="Times New Roman"/>
          <w:szCs w:val="24"/>
        </w:rPr>
        <w:t>, millest valdav enamus on alla 50 kW.</w:t>
      </w:r>
      <w:r w:rsidRPr="00141B05">
        <w:rPr>
          <w:rStyle w:val="Allmrkuseviide"/>
          <w:rFonts w:cs="Times New Roman"/>
          <w:szCs w:val="24"/>
        </w:rPr>
        <w:footnoteReference w:id="15"/>
      </w:r>
      <w:r w:rsidRPr="00141B05">
        <w:rPr>
          <w:rFonts w:cs="Times New Roman"/>
          <w:szCs w:val="24"/>
        </w:rPr>
        <w:t xml:space="preserve"> Alla 50 kW </w:t>
      </w:r>
      <w:r>
        <w:rPr>
          <w:rFonts w:cs="Times New Roman"/>
          <w:szCs w:val="24"/>
        </w:rPr>
        <w:t>(kokku 17 603 tk)</w:t>
      </w:r>
      <w:r w:rsidRPr="00141B05">
        <w:rPr>
          <w:rFonts w:cs="Times New Roman"/>
          <w:szCs w:val="24"/>
        </w:rPr>
        <w:t xml:space="preserve"> moodustavad ligikaudu 80% kogu tervikust ning valdavalt on tegemist päikeseelektrijaamadega (näiteks </w:t>
      </w:r>
      <w:r>
        <w:rPr>
          <w:rFonts w:cs="Times New Roman"/>
          <w:szCs w:val="24"/>
        </w:rPr>
        <w:t xml:space="preserve">eramajade </w:t>
      </w:r>
      <w:r w:rsidRPr="00141B05">
        <w:rPr>
          <w:rFonts w:cs="Times New Roman"/>
          <w:szCs w:val="24"/>
        </w:rPr>
        <w:t xml:space="preserve">katusele paigaldatud päikesepaneelid). </w:t>
      </w:r>
      <w:r>
        <w:rPr>
          <w:rFonts w:cs="Times New Roman"/>
          <w:szCs w:val="24"/>
        </w:rPr>
        <w:t xml:space="preserve"> Üha suuremat rolli hakkavad tulevikus mängima elektrisalvestusüksused (nt projektide realiseerumise korral pumphüdro salvestustehnoloogial põhinevad ettevõtted), millest tulenevalt tuuakse elektrituruseaduse ETO määratlusse sisse „energiasalvestusüksused“.</w:t>
      </w:r>
    </w:p>
    <w:p w14:paraId="704663E8" w14:textId="77777777" w:rsidR="004A25CD" w:rsidRPr="00141B05" w:rsidRDefault="004A25CD" w:rsidP="006B1555">
      <w:pPr>
        <w:rPr>
          <w:rFonts w:cs="Times New Roman"/>
          <w:szCs w:val="24"/>
        </w:rPr>
      </w:pPr>
    </w:p>
    <w:p w14:paraId="048B3FA5" w14:textId="12789BEA" w:rsidR="006B1555" w:rsidRDefault="006B1555" w:rsidP="006B1555">
      <w:pPr>
        <w:rPr>
          <w:rFonts w:cs="Times New Roman"/>
          <w:szCs w:val="24"/>
        </w:rPr>
      </w:pPr>
      <w:r>
        <w:rPr>
          <w:rFonts w:cs="Times New Roman"/>
          <w:szCs w:val="24"/>
        </w:rPr>
        <w:t xml:space="preserve">Mõned näited uutest ETO-dest. </w:t>
      </w:r>
      <w:r w:rsidRPr="00141B05">
        <w:rPr>
          <w:rFonts w:cs="Times New Roman"/>
          <w:szCs w:val="24"/>
        </w:rPr>
        <w:t xml:space="preserve">ETO </w:t>
      </w:r>
      <w:r>
        <w:rPr>
          <w:rFonts w:cs="Times New Roman"/>
          <w:szCs w:val="24"/>
        </w:rPr>
        <w:t xml:space="preserve">uueks </w:t>
      </w:r>
      <w:r w:rsidRPr="00141B05">
        <w:rPr>
          <w:rFonts w:cs="Times New Roman"/>
          <w:szCs w:val="24"/>
        </w:rPr>
        <w:t>piiriks</w:t>
      </w:r>
      <w:r w:rsidR="008F06B3">
        <w:rPr>
          <w:rFonts w:cs="Times New Roman"/>
          <w:szCs w:val="24"/>
        </w:rPr>
        <w:t xml:space="preserve"> sätestatakse eelnõuga </w:t>
      </w:r>
      <w:r w:rsidRPr="00141B05">
        <w:rPr>
          <w:rFonts w:cs="Times New Roman"/>
          <w:szCs w:val="24"/>
        </w:rPr>
        <w:t>90 MW</w:t>
      </w:r>
      <w:r w:rsidR="008F06B3">
        <w:rPr>
          <w:rFonts w:cs="Times New Roman"/>
          <w:szCs w:val="24"/>
        </w:rPr>
        <w:t>. Uue kriteeriumi järgi lisandub ETO nimekirja</w:t>
      </w:r>
      <w:r>
        <w:rPr>
          <w:rFonts w:cs="Times New Roman"/>
          <w:szCs w:val="24"/>
        </w:rPr>
        <w:t xml:space="preserve"> 15. oktoobri 2025. a seisuga</w:t>
      </w:r>
      <w:r w:rsidRPr="00141B05">
        <w:rPr>
          <w:rFonts w:cs="Times New Roman"/>
          <w:szCs w:val="24"/>
        </w:rPr>
        <w:t xml:space="preserve"> Enefit Green AS</w:t>
      </w:r>
      <w:r>
        <w:rPr>
          <w:rFonts w:cs="Times New Roman"/>
          <w:szCs w:val="24"/>
        </w:rPr>
        <w:t xml:space="preserve"> (alates 2026.a maist nimetusega Enefit AS)</w:t>
      </w:r>
      <w:r w:rsidRPr="00141B05">
        <w:rPr>
          <w:rFonts w:cs="Times New Roman"/>
          <w:szCs w:val="24"/>
        </w:rPr>
        <w:t>, mis kuulub AS Eesti Energia kontserni. Enefit Green AS omab Sopi tuuleparki võimsusega 254,9 MW (Sopi Purtse 175,2 MW ja Sopi-Tootsi 79,7 MW)</w:t>
      </w:r>
      <w:r w:rsidRPr="00141B05">
        <w:rPr>
          <w:rStyle w:val="Allmrkuseviide"/>
          <w:rFonts w:cs="Times New Roman"/>
          <w:szCs w:val="24"/>
        </w:rPr>
        <w:footnoteReference w:id="16"/>
      </w:r>
      <w:r w:rsidRPr="00141B05">
        <w:rPr>
          <w:rFonts w:cs="Times New Roman"/>
          <w:szCs w:val="24"/>
        </w:rPr>
        <w:t xml:space="preserve"> ja Sopi päikeseparki 74 MW, mis on kokku 329 MW. Tegemist on märkimisväärse taastuvenergia võimsusega, kuid täna kehtiva sõnastusega poleks tegemist elutähtsa teenuse osutajaga (ETO), kuna</w:t>
      </w:r>
      <w:r>
        <w:rPr>
          <w:rFonts w:cs="Times New Roman"/>
          <w:szCs w:val="24"/>
        </w:rPr>
        <w:t xml:space="preserve"> tuuliku võimsus on alla 200 MW.</w:t>
      </w:r>
      <w:r w:rsidRPr="00141B05">
        <w:rPr>
          <w:rFonts w:cs="Times New Roman"/>
          <w:szCs w:val="24"/>
        </w:rPr>
        <w:t xml:space="preserve"> Täna</w:t>
      </w:r>
      <w:r>
        <w:rPr>
          <w:rFonts w:cs="Times New Roman"/>
          <w:szCs w:val="24"/>
        </w:rPr>
        <w:t>s</w:t>
      </w:r>
      <w:r w:rsidRPr="00141B05">
        <w:rPr>
          <w:rFonts w:cs="Times New Roman"/>
          <w:szCs w:val="24"/>
        </w:rPr>
        <w:t>e regulatsiooni kohaselt on tootja ETO, kui üks tema elektrijaam</w:t>
      </w:r>
      <w:r>
        <w:rPr>
          <w:rFonts w:cs="Times New Roman"/>
          <w:szCs w:val="24"/>
        </w:rPr>
        <w:t xml:space="preserve"> (antud juhul tuulik)</w:t>
      </w:r>
      <w:r w:rsidRPr="00141B05">
        <w:rPr>
          <w:rFonts w:cs="Times New Roman"/>
          <w:szCs w:val="24"/>
        </w:rPr>
        <w:t xml:space="preserve"> on 200 MW netovõimsusega. Eestis on hetkel ainsaks ETO-ks Enefit Power AS, mis samuti kuulub Eesti Energia kontserni ning kellele kuulub Auvere elektrijaam 272 MW koos vanade põlevkiviplokkidega.</w:t>
      </w:r>
    </w:p>
    <w:p w14:paraId="6D155F66" w14:textId="77777777" w:rsidR="006B1555" w:rsidRPr="00141B05" w:rsidRDefault="006B1555" w:rsidP="006B1555">
      <w:pPr>
        <w:rPr>
          <w:rFonts w:cs="Times New Roman"/>
          <w:szCs w:val="24"/>
        </w:rPr>
      </w:pPr>
    </w:p>
    <w:p w14:paraId="67F9D0AD" w14:textId="77777777" w:rsidR="006B1555" w:rsidRPr="00141B05" w:rsidRDefault="006B1555" w:rsidP="006B1555">
      <w:pPr>
        <w:rPr>
          <w:rFonts w:cs="Times New Roman"/>
          <w:szCs w:val="24"/>
        </w:rPr>
      </w:pPr>
      <w:r>
        <w:rPr>
          <w:rFonts w:cs="Times New Roman"/>
          <w:szCs w:val="24"/>
        </w:rPr>
        <w:t>Näiteks Utilitas OÜ kontserni kuuluvad ettevõtted omavad</w:t>
      </w:r>
      <w:r w:rsidRPr="00141B05">
        <w:rPr>
          <w:rFonts w:cs="Times New Roman"/>
          <w:szCs w:val="24"/>
        </w:rPr>
        <w:t xml:space="preserve"> Eestis koostootmisjaamasid, päikeseparke ja tuuleparke. Kokku oma</w:t>
      </w:r>
      <w:r>
        <w:rPr>
          <w:rFonts w:cs="Times New Roman"/>
          <w:szCs w:val="24"/>
        </w:rPr>
        <w:t>takse</w:t>
      </w:r>
      <w:r w:rsidRPr="00141B05">
        <w:rPr>
          <w:rFonts w:cs="Times New Roman"/>
          <w:szCs w:val="24"/>
        </w:rPr>
        <w:t xml:space="preserve"> </w:t>
      </w:r>
      <w:r>
        <w:rPr>
          <w:rFonts w:cs="Times New Roman"/>
          <w:szCs w:val="24"/>
        </w:rPr>
        <w:t xml:space="preserve">üle </w:t>
      </w:r>
      <w:r w:rsidRPr="00141B05">
        <w:rPr>
          <w:rFonts w:cs="Times New Roman"/>
          <w:szCs w:val="24"/>
        </w:rPr>
        <w:t xml:space="preserve">110 MW tootmist, ehk uue ETO määratluse järgi muutuvad ka nemad </w:t>
      </w:r>
      <w:r>
        <w:rPr>
          <w:rFonts w:cs="Times New Roman"/>
          <w:szCs w:val="24"/>
        </w:rPr>
        <w:t xml:space="preserve">elektrituruseaduse mõistes </w:t>
      </w:r>
      <w:r w:rsidRPr="00141B05">
        <w:rPr>
          <w:rFonts w:cs="Times New Roman"/>
          <w:szCs w:val="24"/>
        </w:rPr>
        <w:t xml:space="preserve">ETO-ks. </w:t>
      </w:r>
      <w:r>
        <w:rPr>
          <w:rFonts w:cs="Times New Roman"/>
          <w:szCs w:val="24"/>
        </w:rPr>
        <w:t>ETO-ks muutub tulenevalt suurima tootmisvõimsuse loogika alusel OÜ Utilitas Tallinna Elektrijaam (Väo koostootmisjaamad 46 MW ja Väo päikesepargid 10,25 MW, kokku 56,25 MW), juhul kui kontsernisiseselt ei otsustata teisiti.</w:t>
      </w:r>
    </w:p>
    <w:p w14:paraId="75C76A2A" w14:textId="77777777" w:rsidR="006B1555" w:rsidRPr="00141B05" w:rsidRDefault="006B1555" w:rsidP="006B1555">
      <w:pPr>
        <w:rPr>
          <w:rFonts w:cs="Times New Roman"/>
          <w:szCs w:val="24"/>
        </w:rPr>
      </w:pPr>
    </w:p>
    <w:p w14:paraId="7E40CDFB" w14:textId="77777777" w:rsidR="006B1555" w:rsidRPr="00141B05" w:rsidRDefault="006B1555" w:rsidP="006B1555">
      <w:pPr>
        <w:rPr>
          <w:rFonts w:cs="Times New Roman"/>
          <w:szCs w:val="24"/>
        </w:rPr>
      </w:pPr>
      <w:r w:rsidRPr="00141B05">
        <w:rPr>
          <w:rFonts w:cs="Times New Roman"/>
          <w:szCs w:val="24"/>
        </w:rPr>
        <w:t xml:space="preserve"> Utilitas </w:t>
      </w:r>
      <w:r>
        <w:rPr>
          <w:rFonts w:cs="Times New Roman"/>
          <w:szCs w:val="24"/>
        </w:rPr>
        <w:t>OÜ kontsernis on</w:t>
      </w:r>
      <w:r w:rsidRPr="00141B05">
        <w:rPr>
          <w:rFonts w:cs="Times New Roman"/>
          <w:szCs w:val="24"/>
        </w:rPr>
        <w:t xml:space="preserve"> </w:t>
      </w:r>
      <w:r>
        <w:rPr>
          <w:rFonts w:cs="Times New Roman"/>
          <w:szCs w:val="24"/>
        </w:rPr>
        <w:t>Eestis järgmised tootmisüksused</w:t>
      </w:r>
      <w:r w:rsidRPr="00141B05">
        <w:rPr>
          <w:rFonts w:cs="Times New Roman"/>
          <w:szCs w:val="24"/>
        </w:rPr>
        <w:t>:</w:t>
      </w:r>
      <w:r w:rsidRPr="00141B05">
        <w:rPr>
          <w:rStyle w:val="Allmrkuseviide"/>
          <w:rFonts w:cs="Times New Roman"/>
          <w:szCs w:val="24"/>
        </w:rPr>
        <w:footnoteReference w:id="17"/>
      </w:r>
    </w:p>
    <w:p w14:paraId="172B18C9" w14:textId="77777777" w:rsidR="006B1555" w:rsidRPr="00141B05" w:rsidRDefault="006B1555" w:rsidP="006B1555">
      <w:pPr>
        <w:pStyle w:val="Loendilik"/>
        <w:numPr>
          <w:ilvl w:val="0"/>
          <w:numId w:val="23"/>
        </w:numPr>
        <w:spacing w:before="0" w:after="160" w:line="259" w:lineRule="auto"/>
        <w:ind w:left="720"/>
        <w:rPr>
          <w:rFonts w:cs="Times New Roman"/>
        </w:rPr>
      </w:pPr>
      <w:r w:rsidRPr="00141B05">
        <w:rPr>
          <w:rFonts w:cs="Times New Roman"/>
        </w:rPr>
        <w:t>Koostootmisjaamad</w:t>
      </w:r>
    </w:p>
    <w:p w14:paraId="6B62A192" w14:textId="77777777" w:rsidR="006B1555" w:rsidRPr="00141B05" w:rsidRDefault="006B1555" w:rsidP="006B1555">
      <w:pPr>
        <w:pStyle w:val="Loendilik"/>
        <w:numPr>
          <w:ilvl w:val="1"/>
          <w:numId w:val="23"/>
        </w:numPr>
        <w:spacing w:before="0" w:after="160" w:line="259" w:lineRule="auto"/>
        <w:ind w:left="1440"/>
        <w:rPr>
          <w:rFonts w:cs="Times New Roman"/>
        </w:rPr>
      </w:pPr>
      <w:r w:rsidRPr="00141B05">
        <w:rPr>
          <w:rFonts w:cs="Times New Roman"/>
        </w:rPr>
        <w:t>Väo I, elektriline võimsus kuni 25 MW</w:t>
      </w:r>
    </w:p>
    <w:p w14:paraId="41DD53FA" w14:textId="77777777" w:rsidR="006B1555" w:rsidRPr="00141B05" w:rsidRDefault="006B1555" w:rsidP="006B1555">
      <w:pPr>
        <w:pStyle w:val="Loendilik"/>
        <w:numPr>
          <w:ilvl w:val="1"/>
          <w:numId w:val="23"/>
        </w:numPr>
        <w:spacing w:before="0" w:after="160" w:line="259" w:lineRule="auto"/>
        <w:ind w:left="1440"/>
        <w:rPr>
          <w:rFonts w:cs="Times New Roman"/>
        </w:rPr>
      </w:pPr>
      <w:r w:rsidRPr="00141B05">
        <w:rPr>
          <w:rFonts w:cs="Times New Roman"/>
        </w:rPr>
        <w:t>Väo II, elektriline võimsus kuni 21 MW</w:t>
      </w:r>
    </w:p>
    <w:p w14:paraId="62EB7410" w14:textId="77777777" w:rsidR="006B1555" w:rsidRPr="00141B05" w:rsidRDefault="006B1555" w:rsidP="006B1555">
      <w:pPr>
        <w:pStyle w:val="Loendilik"/>
        <w:numPr>
          <w:ilvl w:val="1"/>
          <w:numId w:val="23"/>
        </w:numPr>
        <w:spacing w:before="0" w:after="160" w:line="259" w:lineRule="auto"/>
        <w:ind w:left="1440"/>
        <w:rPr>
          <w:rFonts w:cs="Times New Roman"/>
        </w:rPr>
      </w:pPr>
      <w:r w:rsidRPr="00141B05">
        <w:rPr>
          <w:rFonts w:cs="Times New Roman"/>
        </w:rPr>
        <w:t>Mustamäe, elektriline võimsus kuni 10 MW</w:t>
      </w:r>
    </w:p>
    <w:p w14:paraId="7DD06645" w14:textId="77777777" w:rsidR="006B1555" w:rsidRPr="00141B05" w:rsidRDefault="006B1555" w:rsidP="006B1555">
      <w:pPr>
        <w:pStyle w:val="Loendilik"/>
        <w:numPr>
          <w:ilvl w:val="1"/>
          <w:numId w:val="23"/>
        </w:numPr>
        <w:spacing w:before="0" w:after="160" w:line="259" w:lineRule="auto"/>
        <w:ind w:left="1440"/>
        <w:rPr>
          <w:rFonts w:cs="Times New Roman"/>
        </w:rPr>
      </w:pPr>
      <w:r w:rsidRPr="00141B05">
        <w:rPr>
          <w:rFonts w:cs="Times New Roman"/>
        </w:rPr>
        <w:t>Paide, elektriline võimsus kuni 2 MW</w:t>
      </w:r>
    </w:p>
    <w:p w14:paraId="3EF06AD0" w14:textId="77777777" w:rsidR="006B1555" w:rsidRPr="00141B05" w:rsidRDefault="006B1555" w:rsidP="006B1555">
      <w:pPr>
        <w:pStyle w:val="Loendilik"/>
        <w:numPr>
          <w:ilvl w:val="0"/>
          <w:numId w:val="23"/>
        </w:numPr>
        <w:spacing w:before="0" w:after="160" w:line="259" w:lineRule="auto"/>
        <w:ind w:left="720"/>
        <w:rPr>
          <w:rFonts w:cs="Times New Roman"/>
        </w:rPr>
      </w:pPr>
      <w:r w:rsidRPr="00141B05">
        <w:rPr>
          <w:rFonts w:cs="Times New Roman"/>
        </w:rPr>
        <w:t>Tuulepargid</w:t>
      </w:r>
      <w:r>
        <w:rPr>
          <w:rFonts w:cs="Times New Roman"/>
        </w:rPr>
        <w:t xml:space="preserve"> (Utilitas Wind OÜ)</w:t>
      </w:r>
    </w:p>
    <w:p w14:paraId="283E903F" w14:textId="77777777" w:rsidR="006B1555" w:rsidRPr="00141B05" w:rsidRDefault="006B1555" w:rsidP="006B1555">
      <w:pPr>
        <w:pStyle w:val="Loendilik"/>
        <w:numPr>
          <w:ilvl w:val="1"/>
          <w:numId w:val="23"/>
        </w:numPr>
        <w:spacing w:before="0" w:after="160" w:line="259" w:lineRule="auto"/>
        <w:ind w:left="1440"/>
        <w:rPr>
          <w:rFonts w:cs="Times New Roman"/>
        </w:rPr>
      </w:pPr>
      <w:r w:rsidRPr="00141B05">
        <w:rPr>
          <w:rFonts w:cs="Times New Roman"/>
        </w:rPr>
        <w:t>Saarde, koguvõimsus 39 MW</w:t>
      </w:r>
    </w:p>
    <w:p w14:paraId="03307CD5" w14:textId="77777777" w:rsidR="006B1555" w:rsidRPr="00141B05" w:rsidRDefault="006B1555" w:rsidP="006B1555">
      <w:pPr>
        <w:pStyle w:val="Loendilik"/>
        <w:numPr>
          <w:ilvl w:val="1"/>
          <w:numId w:val="23"/>
        </w:numPr>
        <w:spacing w:before="0" w:after="160" w:line="259" w:lineRule="auto"/>
        <w:ind w:left="1440"/>
        <w:rPr>
          <w:rFonts w:cs="Times New Roman"/>
        </w:rPr>
      </w:pPr>
      <w:r>
        <w:rPr>
          <w:rFonts w:cs="Times New Roman"/>
        </w:rPr>
        <w:lastRenderedPageBreak/>
        <w:t>Aseri, koguvõimsus 4,7 MW</w:t>
      </w:r>
    </w:p>
    <w:p w14:paraId="7631B6D7" w14:textId="77777777" w:rsidR="006B1555" w:rsidRPr="00141B05" w:rsidRDefault="006B1555" w:rsidP="006B1555">
      <w:pPr>
        <w:pStyle w:val="Loendilik"/>
        <w:numPr>
          <w:ilvl w:val="0"/>
          <w:numId w:val="23"/>
        </w:numPr>
        <w:spacing w:before="0" w:after="160" w:line="259" w:lineRule="auto"/>
        <w:ind w:left="720"/>
        <w:rPr>
          <w:rFonts w:cs="Times New Roman"/>
        </w:rPr>
      </w:pPr>
      <w:r w:rsidRPr="00141B05">
        <w:rPr>
          <w:rFonts w:cs="Times New Roman"/>
        </w:rPr>
        <w:t>Päikesepargid</w:t>
      </w:r>
    </w:p>
    <w:p w14:paraId="6C40508A" w14:textId="77777777" w:rsidR="006B1555" w:rsidRPr="00141B05" w:rsidRDefault="006B1555" w:rsidP="006B1555">
      <w:pPr>
        <w:pStyle w:val="Loendilik"/>
        <w:numPr>
          <w:ilvl w:val="1"/>
          <w:numId w:val="23"/>
        </w:numPr>
        <w:spacing w:before="0" w:after="160" w:line="259" w:lineRule="auto"/>
        <w:ind w:left="1440"/>
        <w:rPr>
          <w:rFonts w:cs="Times New Roman"/>
        </w:rPr>
      </w:pPr>
      <w:r w:rsidRPr="00141B05">
        <w:rPr>
          <w:rFonts w:cs="Times New Roman"/>
        </w:rPr>
        <w:t>Väo I,  koguvõimsus 0,95 MW</w:t>
      </w:r>
    </w:p>
    <w:p w14:paraId="7A5EA767" w14:textId="77777777" w:rsidR="006B1555" w:rsidRPr="00141B05" w:rsidRDefault="006B1555" w:rsidP="006B1555">
      <w:pPr>
        <w:pStyle w:val="Loendilik"/>
        <w:numPr>
          <w:ilvl w:val="1"/>
          <w:numId w:val="23"/>
        </w:numPr>
        <w:spacing w:before="0" w:after="160" w:line="259" w:lineRule="auto"/>
        <w:ind w:left="1440"/>
        <w:rPr>
          <w:rFonts w:cs="Times New Roman"/>
        </w:rPr>
      </w:pPr>
      <w:r w:rsidRPr="00141B05">
        <w:rPr>
          <w:rFonts w:cs="Times New Roman"/>
        </w:rPr>
        <w:t>Väo 2, koguvõimsus 9,3 MW</w:t>
      </w:r>
    </w:p>
    <w:p w14:paraId="1C492291" w14:textId="77777777" w:rsidR="006B1555" w:rsidRPr="00141B05" w:rsidRDefault="006B1555" w:rsidP="006B1555">
      <w:pPr>
        <w:pStyle w:val="Loendilik"/>
        <w:numPr>
          <w:ilvl w:val="1"/>
          <w:numId w:val="23"/>
        </w:numPr>
        <w:spacing w:before="0" w:after="160" w:line="259" w:lineRule="auto"/>
        <w:ind w:left="1440"/>
        <w:rPr>
          <w:rFonts w:cs="Times New Roman"/>
        </w:rPr>
      </w:pPr>
      <w:r w:rsidRPr="00141B05">
        <w:rPr>
          <w:rFonts w:cs="Times New Roman"/>
        </w:rPr>
        <w:t>Kangruvälja, koguvõimsus 0,79 MW</w:t>
      </w:r>
    </w:p>
    <w:p w14:paraId="3CBFC9CD" w14:textId="77777777" w:rsidR="006B1555" w:rsidRDefault="006B1555" w:rsidP="006B1555">
      <w:pPr>
        <w:rPr>
          <w:rFonts w:cs="Times New Roman"/>
          <w:szCs w:val="24"/>
        </w:rPr>
      </w:pPr>
      <w:r w:rsidRPr="00141B05">
        <w:rPr>
          <w:rFonts w:cs="Times New Roman"/>
          <w:szCs w:val="24"/>
        </w:rPr>
        <w:t xml:space="preserve">Kuigi </w:t>
      </w:r>
      <w:r>
        <w:rPr>
          <w:rFonts w:cs="Times New Roman"/>
          <w:szCs w:val="24"/>
        </w:rPr>
        <w:t>eelnõu koostamise seisuga</w:t>
      </w:r>
      <w:r w:rsidRPr="00141B05">
        <w:rPr>
          <w:rFonts w:cs="Times New Roman"/>
          <w:szCs w:val="24"/>
        </w:rPr>
        <w:t xml:space="preserve"> ei lisandu juurde palju ETO-sid tootjate vaatest, siis oluline on silmas pidada ka tulevikus uusi võimalikke elektrijaamasid, näiteks gaasielektrijaamad, samuti pikemas vaates uued tuuleparkide arendused, </w:t>
      </w:r>
      <w:r>
        <w:rPr>
          <w:rFonts w:cs="Times New Roman"/>
          <w:szCs w:val="24"/>
        </w:rPr>
        <w:t>energiasalvestusüksused</w:t>
      </w:r>
      <w:r w:rsidRPr="00141B05">
        <w:rPr>
          <w:rFonts w:cs="Times New Roman"/>
          <w:szCs w:val="24"/>
        </w:rPr>
        <w:t xml:space="preserve"> jne</w:t>
      </w:r>
      <w:r>
        <w:rPr>
          <w:rFonts w:cs="Times New Roman"/>
          <w:szCs w:val="24"/>
        </w:rPr>
        <w:t xml:space="preserve"> (näiteks Energiasalv Pakri OÜ poolt arendatav vesisalvestuslahendus Paldiskis)</w:t>
      </w:r>
      <w:r w:rsidRPr="00141B05">
        <w:rPr>
          <w:rFonts w:cs="Times New Roman"/>
          <w:szCs w:val="24"/>
        </w:rPr>
        <w:t xml:space="preserve">. </w:t>
      </w:r>
      <w:r>
        <w:rPr>
          <w:rFonts w:cs="Times New Roman"/>
          <w:szCs w:val="24"/>
        </w:rPr>
        <w:t>Tõenõoliselt lisanduvad järgmistel aastatel lisaks eelmainitule uuteks ETO-deks Estiko Energia OÜ, Evecon OÜ, KC Energy OÜ ja Sunly AS.</w:t>
      </w:r>
    </w:p>
    <w:p w14:paraId="35EED95D" w14:textId="77777777" w:rsidR="004A25CD" w:rsidRPr="00141B05" w:rsidRDefault="004A25CD" w:rsidP="006B1555">
      <w:pPr>
        <w:rPr>
          <w:rFonts w:cs="Times New Roman"/>
          <w:szCs w:val="24"/>
        </w:rPr>
      </w:pPr>
    </w:p>
    <w:p w14:paraId="24AD8EFF" w14:textId="77777777" w:rsidR="006B1555" w:rsidRDefault="006B1555" w:rsidP="006B1555">
      <w:pPr>
        <w:rPr>
          <w:rFonts w:cs="Times New Roman"/>
          <w:szCs w:val="24"/>
        </w:rPr>
      </w:pPr>
      <w:r w:rsidRPr="00141B05">
        <w:rPr>
          <w:rFonts w:cs="Times New Roman"/>
          <w:szCs w:val="24"/>
        </w:rPr>
        <w:t>Põhjendus uueks 90 MW piiriks tuleneb sellest, et Eesti elektrisüsteem on üha rohkem detsentraliseeritud</w:t>
      </w:r>
      <w:r>
        <w:rPr>
          <w:rFonts w:cs="Times New Roman"/>
          <w:szCs w:val="24"/>
        </w:rPr>
        <w:t xml:space="preserve"> ja väiksemad tootmisüksused mängivad üha olulisemat rolli elektriga varustamisel</w:t>
      </w:r>
      <w:r w:rsidRPr="00141B05">
        <w:rPr>
          <w:rFonts w:cs="Times New Roman"/>
          <w:szCs w:val="24"/>
        </w:rPr>
        <w:t xml:space="preserve">. </w:t>
      </w:r>
      <w:r>
        <w:rPr>
          <w:rFonts w:cs="Times New Roman"/>
          <w:szCs w:val="24"/>
        </w:rPr>
        <w:t xml:space="preserve">Samuti tulev arvestada elektrisüsteemi toimimisel ka </w:t>
      </w:r>
      <w:r w:rsidRPr="66716316">
        <w:rPr>
          <w:rFonts w:cs="Times New Roman"/>
          <w:szCs w:val="24"/>
        </w:rPr>
        <w:t xml:space="preserve">Eesti </w:t>
      </w:r>
      <w:r w:rsidRPr="62BF2FAC">
        <w:rPr>
          <w:rFonts w:cs="Times New Roman"/>
          <w:szCs w:val="24"/>
        </w:rPr>
        <w:t>elektrisüsteemi saartalitluse</w:t>
      </w:r>
      <w:r>
        <w:rPr>
          <w:rFonts w:cs="Times New Roman"/>
          <w:szCs w:val="24"/>
        </w:rPr>
        <w:t xml:space="preserve"> olukorraga.</w:t>
      </w:r>
    </w:p>
    <w:p w14:paraId="31539817" w14:textId="77777777" w:rsidR="006B1555" w:rsidRDefault="006B1555" w:rsidP="006B1555">
      <w:pPr>
        <w:rPr>
          <w:rFonts w:cs="Times New Roman"/>
          <w:szCs w:val="24"/>
        </w:rPr>
      </w:pPr>
    </w:p>
    <w:p w14:paraId="6EFE80D2" w14:textId="0CB382BB" w:rsidR="006B1555" w:rsidRDefault="008F06B3" w:rsidP="006B1555">
      <w:pPr>
        <w:rPr>
          <w:rFonts w:cs="Times New Roman"/>
          <w:szCs w:val="24"/>
        </w:rPr>
      </w:pPr>
      <w:r>
        <w:rPr>
          <w:rFonts w:cs="Times New Roman"/>
          <w:szCs w:val="24"/>
        </w:rPr>
        <w:t>Elektrisüsteemi stabiilsuse tagamisel on stsenaariume, mille korral</w:t>
      </w:r>
      <w:r w:rsidR="006B1555" w:rsidRPr="00212513">
        <w:rPr>
          <w:rFonts w:cs="Times New Roman"/>
          <w:szCs w:val="24"/>
        </w:rPr>
        <w:t xml:space="preserve"> suurim ühikvõimsus, mille väljalülitumisel on elektrisüsteemi stabiilne töö tagatud</w:t>
      </w:r>
      <w:r>
        <w:rPr>
          <w:rFonts w:cs="Times New Roman"/>
          <w:szCs w:val="24"/>
        </w:rPr>
        <w:t>, on</w:t>
      </w:r>
      <w:r w:rsidR="006B1555" w:rsidRPr="00212513">
        <w:rPr>
          <w:rFonts w:cs="Times New Roman"/>
          <w:szCs w:val="24"/>
        </w:rPr>
        <w:t xml:space="preserve"> 100 MW. Kuna teatud </w:t>
      </w:r>
      <w:r>
        <w:rPr>
          <w:rFonts w:cs="Times New Roman"/>
          <w:szCs w:val="24"/>
        </w:rPr>
        <w:t>olukordades</w:t>
      </w:r>
      <w:r w:rsidR="006B1555" w:rsidRPr="00212513">
        <w:rPr>
          <w:rFonts w:cs="Times New Roman"/>
          <w:szCs w:val="24"/>
        </w:rPr>
        <w:t xml:space="preserve"> </w:t>
      </w:r>
      <w:r w:rsidR="006B1555">
        <w:rPr>
          <w:rFonts w:cs="Times New Roman"/>
          <w:szCs w:val="24"/>
        </w:rPr>
        <w:t xml:space="preserve">on </w:t>
      </w:r>
      <w:r w:rsidR="006B1555" w:rsidRPr="00212513">
        <w:rPr>
          <w:rFonts w:cs="Times New Roman"/>
          <w:szCs w:val="24"/>
        </w:rPr>
        <w:t>ka sellise ühikvõimsuse korral võimalik sagedusautomaatika osaline töötamine, siis</w:t>
      </w:r>
      <w:r w:rsidR="00B13D0E">
        <w:rPr>
          <w:rFonts w:cs="Times New Roman"/>
          <w:szCs w:val="24"/>
        </w:rPr>
        <w:t xml:space="preserve"> vastava modelleerimise</w:t>
      </w:r>
      <w:r w:rsidR="006B1555" w:rsidRPr="00212513">
        <w:rPr>
          <w:rFonts w:cs="Times New Roman"/>
          <w:szCs w:val="24"/>
        </w:rPr>
        <w:t xml:space="preserve"> võimaliku ebatäpsuse arvesse võtmiseks </w:t>
      </w:r>
      <w:r w:rsidR="006B1555">
        <w:rPr>
          <w:rFonts w:cs="Times New Roman"/>
          <w:szCs w:val="24"/>
        </w:rPr>
        <w:t>tuleb</w:t>
      </w:r>
      <w:r w:rsidR="006B1555" w:rsidRPr="00212513">
        <w:rPr>
          <w:rFonts w:cs="Times New Roman"/>
          <w:szCs w:val="24"/>
        </w:rPr>
        <w:t xml:space="preserve"> kasutusele</w:t>
      </w:r>
      <w:r w:rsidR="006B1555">
        <w:rPr>
          <w:rFonts w:cs="Times New Roman"/>
          <w:szCs w:val="24"/>
        </w:rPr>
        <w:t xml:space="preserve"> võtta</w:t>
      </w:r>
      <w:r w:rsidR="006B1555" w:rsidRPr="00212513">
        <w:rPr>
          <w:rFonts w:cs="Times New Roman"/>
          <w:szCs w:val="24"/>
        </w:rPr>
        <w:t xml:space="preserve"> teatud varutegur ühikvõimsuse suhtes –</w:t>
      </w:r>
      <w:r w:rsidR="00B13D0E">
        <w:rPr>
          <w:rFonts w:cs="Times New Roman"/>
          <w:szCs w:val="24"/>
        </w:rPr>
        <w:t xml:space="preserve"> </w:t>
      </w:r>
      <w:r w:rsidR="006B1555" w:rsidRPr="00212513">
        <w:rPr>
          <w:rFonts w:cs="Times New Roman"/>
          <w:szCs w:val="24"/>
        </w:rPr>
        <w:t xml:space="preserve">10 % ehk 10 MW. </w:t>
      </w:r>
      <w:r w:rsidR="006B1555">
        <w:rPr>
          <w:rFonts w:cs="Times New Roman"/>
          <w:szCs w:val="24"/>
        </w:rPr>
        <w:t xml:space="preserve">Sellest tulenevalt </w:t>
      </w:r>
      <w:r w:rsidR="00A45A46">
        <w:rPr>
          <w:rFonts w:cs="Times New Roman"/>
          <w:szCs w:val="24"/>
        </w:rPr>
        <w:t xml:space="preserve">sätestab eelnõu ETO piiriks </w:t>
      </w:r>
      <w:r w:rsidR="006B1555" w:rsidRPr="00212513">
        <w:rPr>
          <w:rFonts w:cs="Times New Roman"/>
          <w:szCs w:val="24"/>
        </w:rPr>
        <w:t>90 MW.</w:t>
      </w:r>
      <w:r w:rsidR="00B13D0E">
        <w:rPr>
          <w:rFonts w:cs="Times New Roman"/>
          <w:szCs w:val="24"/>
        </w:rPr>
        <w:t xml:space="preserve"> Vastavad modelleerimised viidi läbi Balti elektrisüsteemi kiirendatud sünkroniseerimise raames Gdanski instituudi poolt.</w:t>
      </w:r>
    </w:p>
    <w:p w14:paraId="113BA753" w14:textId="77777777" w:rsidR="006B1555" w:rsidRDefault="006B1555" w:rsidP="006B1555">
      <w:pPr>
        <w:rPr>
          <w:rFonts w:cs="Times New Roman"/>
          <w:szCs w:val="24"/>
        </w:rPr>
      </w:pPr>
    </w:p>
    <w:p w14:paraId="388EE7CE" w14:textId="77777777" w:rsidR="006B1555" w:rsidRDefault="006B1555" w:rsidP="006B1555">
      <w:pPr>
        <w:rPr>
          <w:rFonts w:cs="Times New Roman"/>
          <w:szCs w:val="24"/>
        </w:rPr>
      </w:pPr>
      <w:r w:rsidRPr="00141B05">
        <w:rPr>
          <w:rFonts w:cs="Times New Roman"/>
          <w:szCs w:val="24"/>
        </w:rPr>
        <w:t>Lisaks võetakse edaspidi aluseks kontserni</w:t>
      </w:r>
      <w:r>
        <w:rPr>
          <w:rFonts w:cs="Times New Roman"/>
          <w:szCs w:val="24"/>
        </w:rPr>
        <w:t xml:space="preserve"> kuulumist</w:t>
      </w:r>
      <w:r w:rsidRPr="00141B05">
        <w:rPr>
          <w:rFonts w:cs="Times New Roman"/>
          <w:szCs w:val="24"/>
        </w:rPr>
        <w:t xml:space="preserve">. Kui mitmel juriidilisel isikul on väikesed </w:t>
      </w:r>
      <w:r>
        <w:rPr>
          <w:rFonts w:cs="Times New Roman"/>
          <w:szCs w:val="24"/>
        </w:rPr>
        <w:t>elektri</w:t>
      </w:r>
      <w:r w:rsidRPr="00141B05">
        <w:rPr>
          <w:rFonts w:cs="Times New Roman"/>
          <w:szCs w:val="24"/>
        </w:rPr>
        <w:t>jaamad</w:t>
      </w:r>
      <w:r>
        <w:rPr>
          <w:rFonts w:cs="Times New Roman"/>
          <w:szCs w:val="24"/>
        </w:rPr>
        <w:t xml:space="preserve"> või paigaldised</w:t>
      </w:r>
      <w:r w:rsidRPr="00141B05">
        <w:rPr>
          <w:rFonts w:cs="Times New Roman"/>
          <w:szCs w:val="24"/>
        </w:rPr>
        <w:t xml:space="preserve">, aga nad kuuluvad samasse kontserni, võib nende mõju võrgu töökindlusele olla kokkuvõttes suur. </w:t>
      </w:r>
      <w:r>
        <w:rPr>
          <w:rFonts w:cs="Times New Roman"/>
          <w:szCs w:val="24"/>
        </w:rPr>
        <w:t>Eelnõuga kavandatud sõnastus ELTS § 21</w:t>
      </w:r>
      <w:r>
        <w:rPr>
          <w:rFonts w:cs="Times New Roman"/>
          <w:szCs w:val="24"/>
          <w:vertAlign w:val="superscript"/>
        </w:rPr>
        <w:t>1</w:t>
      </w:r>
      <w:r>
        <w:rPr>
          <w:rFonts w:cs="Times New Roman"/>
          <w:szCs w:val="24"/>
        </w:rPr>
        <w:t xml:space="preserve"> lõike 1 punktis 1 </w:t>
      </w:r>
      <w:r w:rsidRPr="00141B05">
        <w:rPr>
          <w:rFonts w:cs="Times New Roman"/>
          <w:szCs w:val="24"/>
        </w:rPr>
        <w:t xml:space="preserve">takistab võimalust vältida elutähtsa teenuse staatust lihtsalt ettevõtte struktuuri kaudu. </w:t>
      </w:r>
    </w:p>
    <w:p w14:paraId="5D5F9CB5" w14:textId="77777777" w:rsidR="006B1555" w:rsidRDefault="006B1555" w:rsidP="006B1555">
      <w:pPr>
        <w:rPr>
          <w:rFonts w:cs="Times New Roman"/>
          <w:szCs w:val="24"/>
        </w:rPr>
      </w:pPr>
    </w:p>
    <w:p w14:paraId="380BA18C" w14:textId="77777777" w:rsidR="006B1555" w:rsidRDefault="006B1555" w:rsidP="006B1555">
      <w:pPr>
        <w:rPr>
          <w:rFonts w:eastAsia="Times New Roman" w:cs="Times New Roman"/>
          <w:szCs w:val="24"/>
        </w:rPr>
      </w:pPr>
      <w:r w:rsidRPr="004504C7">
        <w:rPr>
          <w:rFonts w:eastAsia="Times New Roman" w:cs="Times New Roman"/>
          <w:szCs w:val="24"/>
        </w:rPr>
        <w:t xml:space="preserve">Kuna elutähtsa teenuse osutaja määratlemisel lähtutakse ka teistel kontserni ettevõtetel Eestis olevate tootmisvõimsuste netovõimsusest, kes on ka omakorda elektrituruseaduse § 5 ning § 6 lg 1 p 1 tähenduses turuosalised, täpsustatakse, et kontserni tasemel ei määrata uue </w:t>
      </w:r>
      <w:r>
        <w:rPr>
          <w:rFonts w:eastAsia="Times New Roman" w:cs="Times New Roman"/>
          <w:szCs w:val="24"/>
        </w:rPr>
        <w:t>§</w:t>
      </w:r>
      <w:r w:rsidRPr="004504C7">
        <w:rPr>
          <w:rFonts w:eastAsia="Times New Roman" w:cs="Times New Roman"/>
          <w:szCs w:val="24"/>
        </w:rPr>
        <w:t xml:space="preserve"> 21</w:t>
      </w:r>
      <w:r w:rsidRPr="00A43583">
        <w:rPr>
          <w:rFonts w:eastAsia="Times New Roman" w:cs="Times New Roman"/>
          <w:szCs w:val="24"/>
          <w:vertAlign w:val="superscript"/>
        </w:rPr>
        <w:t>1</w:t>
      </w:r>
      <w:r w:rsidRPr="004504C7">
        <w:rPr>
          <w:rFonts w:eastAsia="Times New Roman" w:cs="Times New Roman"/>
          <w:szCs w:val="24"/>
        </w:rPr>
        <w:t xml:space="preserve"> </w:t>
      </w:r>
      <w:r>
        <w:rPr>
          <w:rFonts w:eastAsia="Times New Roman" w:cs="Times New Roman"/>
          <w:szCs w:val="24"/>
        </w:rPr>
        <w:t xml:space="preserve">lõike 1 </w:t>
      </w:r>
      <w:r w:rsidRPr="004504C7">
        <w:rPr>
          <w:rFonts w:eastAsia="Times New Roman" w:cs="Times New Roman"/>
          <w:szCs w:val="24"/>
        </w:rPr>
        <w:t xml:space="preserve">punkti 1 sõnastuse valguses rohkemat kui ühte elutähtsateenuse osutajat. Elutähtsa teenuse osutajaks määratava juriidilise isiku valikul lähtutakse </w:t>
      </w:r>
      <w:r>
        <w:rPr>
          <w:rFonts w:eastAsia="Times New Roman" w:cs="Times New Roman"/>
          <w:szCs w:val="24"/>
        </w:rPr>
        <w:t xml:space="preserve">üldjuhul </w:t>
      </w:r>
      <w:r w:rsidRPr="004504C7">
        <w:rPr>
          <w:rFonts w:eastAsia="Times New Roman" w:cs="Times New Roman"/>
          <w:szCs w:val="24"/>
        </w:rPr>
        <w:t>kontserni ettevõttest, kellel portfellis on kõige suurem tootmisüksus.</w:t>
      </w:r>
      <w:r>
        <w:rPr>
          <w:rFonts w:eastAsia="Times New Roman" w:cs="Times New Roman"/>
          <w:szCs w:val="24"/>
        </w:rPr>
        <w:t xml:space="preserve"> Siiski jäetakse vabadus kontsernisiseseks otsustamiseks. Näiteks kui ühes kontsernis ollakse juba koostootmisjaamade näitel ETO kaugkütte osutamisel, siis kontserniüleselt võidakse otsustada, et sama ETO muutub ETO-ks ka elektrituruseaduse mõistes. See vähendab kontsernisisest halduskoormust ning tagab, et kontsernis on üks konkreetne ettevõtja, mis täidab ETO-le pandud kohustusi, sealhulgas on sel juhul vajalik koostada vaid üks riskiohutusplaan.</w:t>
      </w:r>
    </w:p>
    <w:p w14:paraId="314150E0" w14:textId="77777777" w:rsidR="006B1555" w:rsidRDefault="006B1555" w:rsidP="006B1555">
      <w:pPr>
        <w:rPr>
          <w:rFonts w:eastAsia="Times New Roman" w:cs="Times New Roman"/>
          <w:szCs w:val="24"/>
        </w:rPr>
      </w:pPr>
    </w:p>
    <w:p w14:paraId="31C8731F" w14:textId="77777777" w:rsidR="006B1555" w:rsidRDefault="006B1555" w:rsidP="006B1555">
      <w:pPr>
        <w:rPr>
          <w:rFonts w:eastAsia="Times New Roman" w:cs="Times New Roman"/>
          <w:szCs w:val="24"/>
        </w:rPr>
      </w:pPr>
      <w:r>
        <w:rPr>
          <w:rFonts w:eastAsia="Times New Roman" w:cs="Times New Roman"/>
          <w:szCs w:val="24"/>
        </w:rPr>
        <w:t>Tähelepanu tuleb juhtida ka ajaraamile, mis hetkest hakkavad ETO-ks olemise kohustused kehtima. Kuigi käesoleva eelnõu elutähtsa teenuse osutaja piiri puudutavad muudatused hakkavad kehtima üldkorras, siis ETO-ks määramine toimub hiljem. Tulenevalt hiljuti jõustunud hädaolukorraseaduse (HOS)</w:t>
      </w:r>
      <w:r>
        <w:rPr>
          <w:rStyle w:val="Allmrkuseviide"/>
          <w:rFonts w:eastAsia="Times New Roman" w:cs="Times New Roman"/>
          <w:szCs w:val="24"/>
        </w:rPr>
        <w:footnoteReference w:id="18"/>
      </w:r>
      <w:r>
        <w:rPr>
          <w:rFonts w:eastAsia="Times New Roman" w:cs="Times New Roman"/>
          <w:szCs w:val="24"/>
        </w:rPr>
        <w:t xml:space="preserve"> muudatustest toimub see järgneva loogika alusel:</w:t>
      </w:r>
    </w:p>
    <w:p w14:paraId="71F54C9E" w14:textId="77777777" w:rsidR="006B1555" w:rsidRDefault="006B1555" w:rsidP="006B1555">
      <w:pPr>
        <w:pStyle w:val="Loendilik"/>
        <w:numPr>
          <w:ilvl w:val="0"/>
          <w:numId w:val="23"/>
        </w:numPr>
        <w:rPr>
          <w:rFonts w:eastAsia="Times New Roman" w:cs="Times New Roman"/>
        </w:rPr>
      </w:pPr>
      <w:r>
        <w:rPr>
          <w:rFonts w:eastAsia="Times New Roman" w:cs="Times New Roman"/>
        </w:rPr>
        <w:t>HOS</w:t>
      </w:r>
      <w:r w:rsidRPr="002B0FE2">
        <w:rPr>
          <w:rFonts w:eastAsia="Times New Roman" w:cs="Times New Roman"/>
        </w:rPr>
        <w:t xml:space="preserve"> </w:t>
      </w:r>
      <w:r>
        <w:rPr>
          <w:rFonts w:eastAsia="Times New Roman" w:cs="Times New Roman"/>
        </w:rPr>
        <w:t xml:space="preserve">§ 38 lõike </w:t>
      </w:r>
      <w:r w:rsidRPr="002B0FE2">
        <w:rPr>
          <w:rFonts w:eastAsia="Times New Roman" w:cs="Times New Roman"/>
        </w:rPr>
        <w:t>1</w:t>
      </w:r>
      <w:r w:rsidRPr="00BF51AC">
        <w:rPr>
          <w:rFonts w:eastAsia="Times New Roman" w:cs="Times New Roman"/>
          <w:vertAlign w:val="superscript"/>
        </w:rPr>
        <w:t>2</w:t>
      </w:r>
      <w:r>
        <w:rPr>
          <w:rFonts w:eastAsia="Times New Roman" w:cs="Times New Roman"/>
        </w:rPr>
        <w:t xml:space="preserve"> sätestab, et e</w:t>
      </w:r>
      <w:r w:rsidRPr="002B0FE2">
        <w:rPr>
          <w:rFonts w:eastAsia="Times New Roman" w:cs="Times New Roman"/>
        </w:rPr>
        <w:t xml:space="preserve">lutähtsa teenuse toimepidevust korraldav asutus või </w:t>
      </w:r>
      <w:r>
        <w:rPr>
          <w:rFonts w:eastAsia="Times New Roman" w:cs="Times New Roman"/>
        </w:rPr>
        <w:t xml:space="preserve">HOS § 37 lõike 5 alusel määratud asutus </w:t>
      </w:r>
      <w:r w:rsidRPr="002B0FE2">
        <w:rPr>
          <w:rFonts w:eastAsia="Times New Roman" w:cs="Times New Roman"/>
        </w:rPr>
        <w:t xml:space="preserve">annab haldusakti isiku elutähtsa teenuse osutajaks määramise kohta 30 päeva jooksul isiku elutähtsa teenuse osutaja tingimustele vastavusest </w:t>
      </w:r>
      <w:r w:rsidRPr="002B0FE2">
        <w:rPr>
          <w:rFonts w:eastAsia="Times New Roman" w:cs="Times New Roman"/>
        </w:rPr>
        <w:lastRenderedPageBreak/>
        <w:t>teada saamisest arvates.</w:t>
      </w:r>
      <w:r>
        <w:rPr>
          <w:rFonts w:eastAsia="Times New Roman" w:cs="Times New Roman"/>
        </w:rPr>
        <w:t xml:space="preserve"> Ehk kui käesolev eelnõu jõustub, siis antakse teada 30 päeva jooksul, et ettevõte vastab tingimustele.</w:t>
      </w:r>
    </w:p>
    <w:p w14:paraId="6A8939DD" w14:textId="77777777" w:rsidR="006B1555" w:rsidRDefault="006B1555" w:rsidP="006B1555">
      <w:pPr>
        <w:rPr>
          <w:rFonts w:eastAsia="Times New Roman" w:cs="Times New Roman"/>
        </w:rPr>
      </w:pPr>
      <w:r>
        <w:rPr>
          <w:rFonts w:eastAsia="Times New Roman" w:cs="Times New Roman"/>
        </w:rPr>
        <w:t>Kuna ETO-ks olemisega kaasnevad kohustused küberturvalisuse tagamiseks, küberturvalisuse seaduse ja E-ITS rakendamiseks ning riski- ja toimepidevusplaani koostamiseks, siis lepitakse kokku mõistlik üleminekuaeg elutähtsat teenust korraldava asutuse ja uue ETO puhul. Tulenevalt HOS § 38 lõike 1</w:t>
      </w:r>
      <w:r>
        <w:rPr>
          <w:rFonts w:eastAsia="Times New Roman" w:cs="Times New Roman"/>
          <w:vertAlign w:val="superscript"/>
        </w:rPr>
        <w:t>3</w:t>
      </w:r>
      <w:r>
        <w:rPr>
          <w:rFonts w:eastAsia="Times New Roman" w:cs="Times New Roman"/>
        </w:rPr>
        <w:t xml:space="preserve"> punkti 3 alusel ei tohi uute kohustuste tähtaeg olla rohkem kui 5 aastat. Käesolevate muudatuste puhul saab tõenäoliselt üleminekuajaks olema  kohustuste täitmiseks ligikaudu üks aasta, kuid see selgub elutähtsat teenust korraldava asutuse ja uue ETO</w:t>
      </w:r>
      <w:r w:rsidRPr="00BF51AC">
        <w:rPr>
          <w:rFonts w:eastAsia="Times New Roman" w:cs="Times New Roman"/>
        </w:rPr>
        <w:t>-ga suhtluse põhjal.</w:t>
      </w:r>
    </w:p>
    <w:p w14:paraId="4CA1FC57" w14:textId="77777777" w:rsidR="004A25CD" w:rsidRPr="00B57218" w:rsidRDefault="004A25CD" w:rsidP="006B1555">
      <w:pPr>
        <w:rPr>
          <w:rFonts w:eastAsia="Times New Roman" w:cs="Times New Roman"/>
        </w:rPr>
      </w:pPr>
    </w:p>
    <w:p w14:paraId="2D7DC5DA" w14:textId="259BCFC0" w:rsidR="006B1555" w:rsidRDefault="006B1555" w:rsidP="006B1555">
      <w:pPr>
        <w:rPr>
          <w:rFonts w:cs="Times New Roman"/>
          <w:szCs w:val="24"/>
        </w:rPr>
      </w:pPr>
      <w:r>
        <w:rPr>
          <w:rFonts w:cs="Times New Roman"/>
          <w:szCs w:val="24"/>
        </w:rPr>
        <w:t>Täiendavalt muudetakse § 21</w:t>
      </w:r>
      <w:r w:rsidRPr="00B0098F">
        <w:rPr>
          <w:rFonts w:cs="Times New Roman"/>
          <w:szCs w:val="24"/>
          <w:vertAlign w:val="superscript"/>
        </w:rPr>
        <w:t>1</w:t>
      </w:r>
      <w:r>
        <w:rPr>
          <w:rFonts w:cs="Times New Roman"/>
          <w:szCs w:val="24"/>
        </w:rPr>
        <w:t xml:space="preserve"> lõike 2 lisamisega päästeüksuse olemasolu vajadust ning luuakse erandid. </w:t>
      </w:r>
      <w:r w:rsidR="00291E4C">
        <w:rPr>
          <w:rFonts w:cs="Times New Roman"/>
          <w:szCs w:val="24"/>
        </w:rPr>
        <w:t xml:space="preserve">Kehtiva õiguse järgi </w:t>
      </w:r>
      <w:r>
        <w:rPr>
          <w:rFonts w:cs="Times New Roman"/>
          <w:szCs w:val="24"/>
        </w:rPr>
        <w:t>on päästeüksus tagatud näiteks põlevkivijaamadel Eesti Energial näitel. Tegemist on massiivse infrastruktuuri ja väga spetsiifilise elektri tootmisvaldkonnaga, kus on vaja spetsiaalsete oskustega päästetöötajaid. Siiski, taastuvenergia tehnoloogiate ja energiasalvestusüksuste puhul puudub vajadus päästeüksuste omamisele, kuna tegemist on kaugelt juhitava tootmise ja salvestamisega ning kohapeal üldjuhul ei viibi regulaarselt inimesi. Lisaks energiasalvestusüksuste puhul on kasutusel ka isekustutussüsteemid ja muud ennetavad ohutussüsteemid, kui peaks tekkima tulekahju. Ehitiste ja tootmisseadmete puhul tuleb järgida tuleohutusnõudeid ja ehitusseadustikku. Elutähtsa teenuse osutaja enda huvides on rakendada täiendavaid lisameetmeid kahjude vähendamiseks (kustutussüsteemid, tuletõkkeuksed jm).</w:t>
      </w:r>
    </w:p>
    <w:p w14:paraId="4D1C0B9E" w14:textId="77777777" w:rsidR="006B1555" w:rsidRDefault="006B1555" w:rsidP="006B1555">
      <w:pPr>
        <w:rPr>
          <w:rFonts w:cs="Times New Roman"/>
          <w:szCs w:val="24"/>
        </w:rPr>
      </w:pPr>
    </w:p>
    <w:p w14:paraId="47F69AEB" w14:textId="77777777" w:rsidR="006B1555" w:rsidRDefault="006B1555" w:rsidP="006B1555">
      <w:pPr>
        <w:rPr>
          <w:rFonts w:cs="Times New Roman"/>
          <w:szCs w:val="24"/>
        </w:rPr>
      </w:pPr>
      <w:r>
        <w:rPr>
          <w:rFonts w:cs="Times New Roman"/>
          <w:szCs w:val="24"/>
        </w:rPr>
        <w:t>Muudatused, mis on seotud bürokraatia vähendamisega uutele ETO-dele, sätestatakse eraldi määruses „Elutähtsa teenuse kirjeldus elektriga varustamisel“.</w:t>
      </w:r>
      <w:r>
        <w:rPr>
          <w:rStyle w:val="Allmrkuseviide"/>
          <w:rFonts w:cs="Times New Roman"/>
          <w:szCs w:val="24"/>
        </w:rPr>
        <w:footnoteReference w:id="19"/>
      </w:r>
      <w:r>
        <w:rPr>
          <w:rFonts w:cs="Times New Roman"/>
          <w:szCs w:val="24"/>
        </w:rPr>
        <w:t xml:space="preserve"> Lisaks täpsustatakse määruses, millisest võimsusest alates objekte tuleb riskianalüüsides kajastada. Näiteks kui ettevõttel on 10 kW ulatuses päikesepaneele enda kontori katusel ning see pole kuidagi seotud ettevõtte teiste tootmisüksuste juhtimissüsteemidega, siis seda ei pea kajastama riskianalüüsis.</w:t>
      </w:r>
    </w:p>
    <w:p w14:paraId="5AA20023" w14:textId="77777777" w:rsidR="006B1555" w:rsidRDefault="006B1555" w:rsidP="006B1555">
      <w:pPr>
        <w:rPr>
          <w:b/>
          <w:bCs/>
        </w:rPr>
      </w:pPr>
    </w:p>
    <w:p w14:paraId="13EC2598" w14:textId="77777777" w:rsidR="006B1555" w:rsidRDefault="006B1555" w:rsidP="006B1555">
      <w:pPr>
        <w:rPr>
          <w:b/>
          <w:bCs/>
        </w:rPr>
      </w:pPr>
      <w:r>
        <w:rPr>
          <w:b/>
          <w:bCs/>
        </w:rPr>
        <w:t xml:space="preserve">ELTS § 39 </w:t>
      </w:r>
    </w:p>
    <w:p w14:paraId="656AFAC1" w14:textId="77777777" w:rsidR="006B1555" w:rsidRDefault="006B1555" w:rsidP="006B1555">
      <w:pPr>
        <w:rPr>
          <w:b/>
          <w:bCs/>
        </w:rPr>
      </w:pPr>
      <w:r>
        <w:rPr>
          <w:b/>
          <w:bCs/>
        </w:rPr>
        <w:t>Lõige 1 punkt 1</w:t>
      </w:r>
      <w:r w:rsidRPr="00AD7A06">
        <w:rPr>
          <w:b/>
          <w:bCs/>
          <w:vertAlign w:val="superscript"/>
        </w:rPr>
        <w:t>2</w:t>
      </w:r>
    </w:p>
    <w:p w14:paraId="5422A357" w14:textId="77777777" w:rsidR="006B1555" w:rsidRPr="00AD7A06" w:rsidRDefault="006B1555" w:rsidP="006B1555">
      <w:r>
        <w:t>Süsteemihalduril on kõige paremad võimalused elektri lõpphinna kujundamiseks (elektrivõrguga võimalikult kiire ja soodne liitumine, võrguteenuse kvaliteetne ja soodne tagamine, elektrisüsteemi kõrvalteenuste tagamine võimalikult väikse kuluga, näiteks tasakaalustamisvõimsuse tasu jne). Lisanduva kohustuse järgi peab süsteemihaldur arendama elektriturgu selliselt, et tagatud oleks võimalikult soodne elektri lõpphind (hind koos turuhinna, võrgutasu ja teiste tasudega) käsikäes vajaliku varustuskindluse tasemega.</w:t>
      </w:r>
    </w:p>
    <w:p w14:paraId="4FE129A7" w14:textId="77777777" w:rsidR="006B1555" w:rsidRDefault="006B1555" w:rsidP="006B1555">
      <w:pPr>
        <w:rPr>
          <w:b/>
          <w:bCs/>
        </w:rPr>
      </w:pPr>
    </w:p>
    <w:p w14:paraId="0C07DED6" w14:textId="77777777" w:rsidR="006B1555" w:rsidRDefault="006B1555" w:rsidP="006B1555">
      <w:pPr>
        <w:rPr>
          <w:b/>
          <w:bCs/>
          <w:vertAlign w:val="superscript"/>
        </w:rPr>
      </w:pPr>
      <w:r>
        <w:rPr>
          <w:b/>
          <w:bCs/>
        </w:rPr>
        <w:t>Lõige 2</w:t>
      </w:r>
      <w:r>
        <w:rPr>
          <w:b/>
          <w:bCs/>
          <w:vertAlign w:val="superscript"/>
        </w:rPr>
        <w:t>2</w:t>
      </w:r>
    </w:p>
    <w:p w14:paraId="24FC7230" w14:textId="77777777" w:rsidR="006B1555" w:rsidRPr="00944227" w:rsidRDefault="006B1555" w:rsidP="006B1555">
      <w:r>
        <w:t xml:space="preserve">Seaduse </w:t>
      </w:r>
      <w:r w:rsidRPr="00944227">
        <w:t xml:space="preserve">täpsustamine on vajalik selgitamaks asjaolu, et tootmissuunalise võimsuse piiramise rakendamist ja </w:t>
      </w:r>
      <w:r>
        <w:t>ELTS</w:t>
      </w:r>
      <w:r w:rsidRPr="00944227">
        <w:t xml:space="preserve"> </w:t>
      </w:r>
      <w:r>
        <w:t>§</w:t>
      </w:r>
      <w:r w:rsidRPr="00944227">
        <w:t xml:space="preserve"> 39 l</w:t>
      </w:r>
      <w:r>
        <w:t>õikes</w:t>
      </w:r>
      <w:r w:rsidRPr="00944227">
        <w:t xml:space="preserve"> 2</w:t>
      </w:r>
      <w:r w:rsidRPr="00944227">
        <w:rPr>
          <w:vertAlign w:val="superscript"/>
        </w:rPr>
        <w:t xml:space="preserve">2 </w:t>
      </w:r>
      <w:r w:rsidRPr="00944227">
        <w:t>nimetatud metoodika alusel piiramise eest hüvitise maksmist kohaldatakse ainult</w:t>
      </w:r>
      <w:r>
        <w:t xml:space="preserve"> sellise</w:t>
      </w:r>
      <w:r w:rsidRPr="00944227">
        <w:t xml:space="preserve"> põhivõrguga liitunud tootja suhtes, kes on liitunud </w:t>
      </w:r>
      <w:r>
        <w:t>2025. aasta 13. juunil jõustunud elektrituruseaduse muudatusega kehtestatud</w:t>
      </w:r>
      <w:r w:rsidRPr="00944227">
        <w:t xml:space="preserve"> n</w:t>
      </w:r>
      <w:r>
        <w:t>iinimetatud</w:t>
      </w:r>
      <w:r w:rsidRPr="00944227">
        <w:t xml:space="preserve"> fikseeritud liitumistasu </w:t>
      </w:r>
      <w:r>
        <w:t>kontseptsiooni</w:t>
      </w:r>
      <w:r w:rsidRPr="00944227">
        <w:t xml:space="preserve"> alusel ehk pärast </w:t>
      </w:r>
      <w:r>
        <w:t>ELTS §</w:t>
      </w:r>
      <w:r w:rsidRPr="00944227">
        <w:t xml:space="preserve"> 72 lõike 6</w:t>
      </w:r>
      <w:r w:rsidRPr="00944227">
        <w:rPr>
          <w:vertAlign w:val="superscript"/>
        </w:rPr>
        <w:t>3</w:t>
      </w:r>
      <w:r w:rsidRPr="00944227">
        <w:t xml:space="preserve"> jõustumist. </w:t>
      </w:r>
      <w:r>
        <w:t>Muudatus võimaldab kehtestada toomissuunalise võimsuse piiramise hüvitamise ainult nendele tootjatele, kes on liitunud ülekandevõrguga uue liitumistasu regulatsiooni järgselt ning ainult kellele on võimalik piiramise eest hüvitist maksta. Nii on tagatud</w:t>
      </w:r>
      <w:r w:rsidRPr="00944227">
        <w:t xml:space="preserve"> võrdne kohtlemine tootjate vahel, kes on liitunud enne uue liitumistasu süsteemi jõustumist ja pärast selle jõustumist, kuna enne uue liitumistasu süsteemi jõustumist liitunud tootjad on oma liitumislepingu raames</w:t>
      </w:r>
      <w:r>
        <w:t xml:space="preserve"> juba</w:t>
      </w:r>
      <w:r w:rsidRPr="00944227">
        <w:t xml:space="preserve"> tasunud ülekandevõrgu läbilaskevõime suurendamise investeeringute kulud kogu ulatuses.</w:t>
      </w:r>
      <w:r>
        <w:t xml:space="preserve"> See tähendab, et nendele liitujatele ei ole põhjendatud piiramise eest hüvitist maksta.</w:t>
      </w:r>
      <w:r w:rsidRPr="00944227">
        <w:t xml:space="preserve"> Seevastu uue liitumistasu süsteemi alusel</w:t>
      </w:r>
      <w:r>
        <w:t xml:space="preserve"> (jõustunud 13.06.2025)</w:t>
      </w:r>
      <w:r w:rsidRPr="00944227">
        <w:t xml:space="preserve"> liituvate tootjate jaoks vajalikud võrgu </w:t>
      </w:r>
      <w:r w:rsidRPr="00944227">
        <w:lastRenderedPageBreak/>
        <w:t>läbilaskevõime suurendamise</w:t>
      </w:r>
      <w:r>
        <w:t>ga</w:t>
      </w:r>
      <w:r w:rsidRPr="00944227">
        <w:t xml:space="preserve"> seotud investeering</w:t>
      </w:r>
      <w:r>
        <w:t>u</w:t>
      </w:r>
      <w:r w:rsidRPr="00944227">
        <w:t>kulud sotsialiseeritakse osaliselt üldises</w:t>
      </w:r>
      <w:r>
        <w:t xml:space="preserve"> ülekande</w:t>
      </w:r>
      <w:r w:rsidRPr="00944227">
        <w:t xml:space="preserve"> võrgutasus</w:t>
      </w:r>
      <w:r>
        <w:t xml:space="preserve"> ning neile kehtib ka tootmissuunalise piiramise võimalus</w:t>
      </w:r>
      <w:r w:rsidRPr="00944227">
        <w:t>.</w:t>
      </w:r>
    </w:p>
    <w:p w14:paraId="03B568FE" w14:textId="77777777" w:rsidR="006B1555" w:rsidRDefault="006B1555" w:rsidP="006B1555">
      <w:pPr>
        <w:rPr>
          <w:b/>
          <w:bCs/>
        </w:rPr>
      </w:pPr>
    </w:p>
    <w:p w14:paraId="61898BAC" w14:textId="77777777" w:rsidR="006B1555" w:rsidRDefault="006B1555" w:rsidP="006B1555">
      <w:pPr>
        <w:rPr>
          <w:b/>
          <w:bCs/>
        </w:rPr>
      </w:pPr>
      <w:r w:rsidRPr="00B0098F">
        <w:rPr>
          <w:b/>
          <w:bCs/>
        </w:rPr>
        <w:t xml:space="preserve">ELTS 42 </w:t>
      </w:r>
    </w:p>
    <w:p w14:paraId="74C0368C" w14:textId="05084E46" w:rsidR="006B1555" w:rsidRDefault="006B1555" w:rsidP="006B1555">
      <w:r>
        <w:rPr>
          <w:b/>
          <w:bCs/>
        </w:rPr>
        <w:t xml:space="preserve">Lõike 3 punkt 9 </w:t>
      </w:r>
      <w:r>
        <w:t xml:space="preserve">tunnistatakse kehtetuks. Tegemist on tehnilist laadi muudatusega, sest </w:t>
      </w:r>
      <w:r w:rsidRPr="00517F2D">
        <w:t>tarbimiskajas osalemise tingimustega seotud õigused ja kohustused</w:t>
      </w:r>
      <w:r w:rsidRPr="00517F2D" w:rsidDel="00B74665">
        <w:t xml:space="preserve"> </w:t>
      </w:r>
      <w:r>
        <w:t xml:space="preserve">kehtestatakse </w:t>
      </w:r>
      <w:r w:rsidRPr="00517F2D">
        <w:t>elektrituru toimimise võrgueeskirja</w:t>
      </w:r>
      <w:r>
        <w:t>s</w:t>
      </w:r>
      <w:r w:rsidR="00154DB2">
        <w:t xml:space="preserve">, mitte elektrisüsteemi toimimise võrgueeskirjas. Eeltoodust tulenevalt </w:t>
      </w:r>
      <w:r>
        <w:t>elektrisüsteemi toimimise võrgueeskiri ei vaja vastavat volitusnormi.</w:t>
      </w:r>
    </w:p>
    <w:p w14:paraId="0CF99CBD" w14:textId="77777777" w:rsidR="006B1555" w:rsidRPr="00BF2E16" w:rsidRDefault="006B1555" w:rsidP="006B1555"/>
    <w:p w14:paraId="5EFEA625" w14:textId="19448DB1" w:rsidR="006B1555" w:rsidRPr="00BF2E16" w:rsidRDefault="006B1555" w:rsidP="006B1555">
      <w:pPr>
        <w:rPr>
          <w:rFonts w:eastAsia="Times New Roman" w:cs="Times New Roman"/>
          <w:color w:val="000000"/>
          <w:lang w:eastAsia="et-EE"/>
        </w:rPr>
      </w:pPr>
      <w:r>
        <w:rPr>
          <w:b/>
          <w:bCs/>
        </w:rPr>
        <w:t>Lõike</w:t>
      </w:r>
      <w:r w:rsidRPr="00B0098F">
        <w:rPr>
          <w:b/>
          <w:bCs/>
        </w:rPr>
        <w:t xml:space="preserve"> 3</w:t>
      </w:r>
      <w:r>
        <w:rPr>
          <w:b/>
          <w:bCs/>
        </w:rPr>
        <w:t xml:space="preserve"> punktiga 11 </w:t>
      </w:r>
      <w:r>
        <w:t xml:space="preserve">laiendatakse volitusnormi, et määruses „Elektrisüsteemi toimimise võrgueeskiri“ oleks võimalik täpsemalt sätestada vajaminevad nõuded ja kord elektripaigaldistele riist- ja tarkvara näitel. </w:t>
      </w:r>
      <w:r w:rsidR="00154DB2">
        <w:t xml:space="preserve">Eelnimetatud määruses </w:t>
      </w:r>
      <w:r>
        <w:t>täpsustatakse</w:t>
      </w:r>
      <w:r w:rsidR="00154DB2">
        <w:t xml:space="preserve"> ka</w:t>
      </w:r>
      <w:r>
        <w:t xml:space="preserve"> riist- ja tarkvara tähendust, sest riistvara on väga lai mõiste ning sinna alla kuuluvad ka mutrid, poldid, kuid ka seadmed. Samuti võimaldab volitusnormi laiendus täpsustada kaasnevaid tegevusi TTJA-le ja võrguettevõtjatele. Volitusnormi muudatus on otseselt seotud eelnõuga lisatava §-iga </w:t>
      </w:r>
      <w:r w:rsidRPr="00BF2E16">
        <w:rPr>
          <w:rFonts w:eastAsia="Times New Roman" w:cs="Times New Roman"/>
          <w:color w:val="000000"/>
          <w:lang w:eastAsia="et-EE"/>
        </w:rPr>
        <w:t>65</w:t>
      </w:r>
      <w:r w:rsidRPr="00BF2E16">
        <w:rPr>
          <w:rFonts w:eastAsia="Times New Roman" w:cs="Times New Roman"/>
          <w:color w:val="000000"/>
          <w:vertAlign w:val="superscript"/>
          <w:lang w:eastAsia="et-EE"/>
        </w:rPr>
        <w:t>1</w:t>
      </w:r>
      <w:r w:rsidRPr="00BF2E16">
        <w:rPr>
          <w:rFonts w:eastAsia="Times New Roman" w:cs="Times New Roman"/>
          <w:color w:val="000000"/>
          <w:lang w:eastAsia="et-EE"/>
        </w:rPr>
        <w:t>, mis käsitleb nõudeid elektripaigaldistele riigi julgeoleku tagamiseks.</w:t>
      </w:r>
      <w:r>
        <w:rPr>
          <w:rFonts w:eastAsia="Times New Roman" w:cs="Times New Roman"/>
          <w:color w:val="000000"/>
          <w:lang w:eastAsia="et-EE"/>
        </w:rPr>
        <w:t xml:space="preserve"> </w:t>
      </w:r>
      <w:r w:rsidRPr="00BF2E16">
        <w:rPr>
          <w:rFonts w:eastAsia="Times New Roman" w:cs="Times New Roman"/>
          <w:color w:val="000000"/>
          <w:lang w:eastAsia="et-EE"/>
        </w:rPr>
        <w:t xml:space="preserve">Kõnealused nõuded võrgueeskirja </w:t>
      </w:r>
      <w:r w:rsidR="00154DB2">
        <w:rPr>
          <w:rFonts w:eastAsia="Times New Roman" w:cs="Times New Roman"/>
          <w:color w:val="000000"/>
          <w:lang w:eastAsia="et-EE"/>
        </w:rPr>
        <w:t>muutmisel valmistab ette</w:t>
      </w:r>
      <w:r w:rsidR="00154DB2" w:rsidRPr="00BF2E16">
        <w:rPr>
          <w:rFonts w:eastAsia="Times New Roman" w:cs="Times New Roman"/>
          <w:color w:val="000000"/>
          <w:lang w:eastAsia="et-EE"/>
        </w:rPr>
        <w:t xml:space="preserve"> </w:t>
      </w:r>
      <w:r w:rsidRPr="00BF2E16">
        <w:rPr>
          <w:rFonts w:eastAsia="Times New Roman" w:cs="Times New Roman"/>
          <w:color w:val="000000"/>
          <w:lang w:eastAsia="et-EE"/>
        </w:rPr>
        <w:t xml:space="preserve">TTJA koostöös KAPO ja </w:t>
      </w:r>
      <w:r w:rsidR="008C73DC">
        <w:rPr>
          <w:rFonts w:eastAsia="Times New Roman" w:cs="Times New Roman"/>
          <w:color w:val="000000"/>
          <w:lang w:eastAsia="et-EE"/>
        </w:rPr>
        <w:t>Välisluureameti</w:t>
      </w:r>
      <w:r w:rsidRPr="00BF2E16">
        <w:rPr>
          <w:rFonts w:eastAsia="Times New Roman" w:cs="Times New Roman"/>
          <w:color w:val="000000"/>
          <w:lang w:eastAsia="et-EE"/>
        </w:rPr>
        <w:t>ga</w:t>
      </w:r>
      <w:r w:rsidR="008C73DC">
        <w:rPr>
          <w:rFonts w:eastAsia="Times New Roman" w:cs="Times New Roman"/>
          <w:color w:val="000000"/>
          <w:lang w:eastAsia="et-EE"/>
        </w:rPr>
        <w:t xml:space="preserve"> (edaspidi </w:t>
      </w:r>
      <w:r w:rsidR="008C73DC" w:rsidRPr="00302D22">
        <w:rPr>
          <w:rFonts w:eastAsia="Times New Roman" w:cs="Times New Roman"/>
          <w:i/>
          <w:iCs/>
          <w:color w:val="000000"/>
          <w:lang w:eastAsia="et-EE"/>
        </w:rPr>
        <w:t>VLA</w:t>
      </w:r>
      <w:r w:rsidR="008C73DC">
        <w:rPr>
          <w:rFonts w:eastAsia="Times New Roman" w:cs="Times New Roman"/>
          <w:color w:val="000000"/>
          <w:lang w:eastAsia="et-EE"/>
        </w:rPr>
        <w:t>)</w:t>
      </w:r>
      <w:r w:rsidRPr="00BF2E16">
        <w:rPr>
          <w:rFonts w:eastAsia="Times New Roman" w:cs="Times New Roman"/>
          <w:color w:val="000000"/>
          <w:lang w:eastAsia="et-EE"/>
        </w:rPr>
        <w:t>.</w:t>
      </w:r>
    </w:p>
    <w:p w14:paraId="6A38CF14" w14:textId="77777777" w:rsidR="006B1555" w:rsidRPr="00BF2E16" w:rsidRDefault="006B1555" w:rsidP="006B1555"/>
    <w:p w14:paraId="206D12DA" w14:textId="77777777" w:rsidR="006B1555" w:rsidRDefault="006B1555" w:rsidP="006B1555">
      <w:pPr>
        <w:rPr>
          <w:b/>
        </w:rPr>
      </w:pPr>
      <w:r>
        <w:rPr>
          <w:b/>
        </w:rPr>
        <w:t xml:space="preserve">ELTS § 42 </w:t>
      </w:r>
    </w:p>
    <w:p w14:paraId="1378EDD8" w14:textId="1AEDE61C" w:rsidR="006B1555" w:rsidRDefault="006B1555" w:rsidP="006B1555">
      <w:pPr>
        <w:rPr>
          <w:b/>
        </w:rPr>
      </w:pPr>
      <w:r>
        <w:rPr>
          <w:b/>
        </w:rPr>
        <w:t>Lõike 4 punkt</w:t>
      </w:r>
      <w:r w:rsidR="008C73DC">
        <w:rPr>
          <w:b/>
        </w:rPr>
        <w:t>i</w:t>
      </w:r>
      <w:r>
        <w:rPr>
          <w:b/>
        </w:rPr>
        <w:t xml:space="preserve"> 6 </w:t>
      </w:r>
      <w:r>
        <w:rPr>
          <w:rFonts w:eastAsia="Times New Roman" w:cs="Times New Roman"/>
          <w:bCs/>
          <w:szCs w:val="24"/>
        </w:rPr>
        <w:t>muudatusega täiendatakse e</w:t>
      </w:r>
      <w:r w:rsidRPr="00A30FF2">
        <w:rPr>
          <w:rFonts w:eastAsia="Times New Roman" w:cs="Times New Roman"/>
          <w:bCs/>
          <w:szCs w:val="24"/>
        </w:rPr>
        <w:t>lektrituru toimimise võrgueeskirja volitusnorm</w:t>
      </w:r>
      <w:r>
        <w:rPr>
          <w:rFonts w:eastAsia="Times New Roman" w:cs="Times New Roman"/>
          <w:bCs/>
          <w:szCs w:val="24"/>
        </w:rPr>
        <w:t>i loetelu</w:t>
      </w:r>
      <w:r w:rsidRPr="00A30FF2">
        <w:rPr>
          <w:rFonts w:eastAsia="Times New Roman" w:cs="Times New Roman"/>
          <w:bCs/>
          <w:szCs w:val="24"/>
        </w:rPr>
        <w:t>, nii et selles oleks hõlmatud ka üldteenuse osutamiseks müüja leidmise konkursi korraldamise kord.</w:t>
      </w:r>
    </w:p>
    <w:p w14:paraId="2149373C" w14:textId="77777777" w:rsidR="006B1555" w:rsidRDefault="006B1555" w:rsidP="006B1555">
      <w:pPr>
        <w:rPr>
          <w:b/>
        </w:rPr>
      </w:pPr>
    </w:p>
    <w:p w14:paraId="10D8C261" w14:textId="77777777" w:rsidR="006B1555" w:rsidRDefault="006B1555" w:rsidP="006B1555">
      <w:pPr>
        <w:rPr>
          <w:b/>
        </w:rPr>
      </w:pPr>
      <w:r>
        <w:rPr>
          <w:b/>
        </w:rPr>
        <w:t>ELTS § 42</w:t>
      </w:r>
      <w:r>
        <w:rPr>
          <w:b/>
          <w:vertAlign w:val="superscript"/>
        </w:rPr>
        <w:t>3</w:t>
      </w:r>
      <w:r>
        <w:rPr>
          <w:b/>
        </w:rPr>
        <w:t xml:space="preserve"> </w:t>
      </w:r>
    </w:p>
    <w:p w14:paraId="66A5C4F3" w14:textId="77777777" w:rsidR="006B1555" w:rsidRDefault="006B1555" w:rsidP="006B1555">
      <w:pPr>
        <w:rPr>
          <w:b/>
        </w:rPr>
      </w:pPr>
      <w:r>
        <w:rPr>
          <w:b/>
        </w:rPr>
        <w:t>Lõige 2</w:t>
      </w:r>
    </w:p>
    <w:p w14:paraId="00818396" w14:textId="0F5F7926" w:rsidR="006B1555" w:rsidRPr="00AD7A06" w:rsidRDefault="006B1555" w:rsidP="006B1555">
      <w:pPr>
        <w:rPr>
          <w:bCs/>
        </w:rPr>
      </w:pPr>
      <w:r w:rsidRPr="00AD7A06">
        <w:rPr>
          <w:rFonts w:cs="Times New Roman"/>
          <w:color w:val="000000" w:themeColor="text1"/>
        </w:rPr>
        <w:t>Eelnõu kohaselt asendatakse elektrituruseaduse § 42</w:t>
      </w:r>
      <w:r w:rsidRPr="00AD7A06">
        <w:rPr>
          <w:rFonts w:cs="Times New Roman"/>
          <w:color w:val="000000" w:themeColor="text1"/>
          <w:vertAlign w:val="superscript"/>
        </w:rPr>
        <w:t>3</w:t>
      </w:r>
      <w:r w:rsidRPr="00AD7A06">
        <w:rPr>
          <w:rFonts w:cs="Times New Roman"/>
          <w:color w:val="000000" w:themeColor="text1"/>
        </w:rPr>
        <w:t xml:space="preserve"> lõikes 2 senine viide „Komisjoni kliima-, keskkonnakaitse- ja energiaalase riigiabi suunistele“ (CEEAG) üldisema viitega „</w:t>
      </w:r>
      <w:r>
        <w:rPr>
          <w:rFonts w:cs="Times New Roman"/>
          <w:color w:val="000000" w:themeColor="text1"/>
        </w:rPr>
        <w:t>L</w:t>
      </w:r>
      <w:r w:rsidRPr="00AD7A06">
        <w:rPr>
          <w:rFonts w:cs="Times New Roman"/>
          <w:color w:val="000000" w:themeColor="text1"/>
        </w:rPr>
        <w:t>iidu riigiabi reeglitele“. Muudatuse tingi</w:t>
      </w:r>
      <w:r>
        <w:rPr>
          <w:rFonts w:cs="Times New Roman"/>
          <w:color w:val="000000" w:themeColor="text1"/>
        </w:rPr>
        <w:t>b</w:t>
      </w:r>
      <w:r w:rsidRPr="00AD7A06">
        <w:rPr>
          <w:rFonts w:cs="Times New Roman"/>
          <w:color w:val="000000" w:themeColor="text1"/>
        </w:rPr>
        <w:t xml:space="preserve"> riigiabi loa taotlemise protsessi pikenemine. Kui algselt oli plaanis taotleda riigiabi luba CEEAG alusel, siis mitteametlike konsultatsioonide käigus Euroopa Komisjoniga selgus, et nüüd tuleb osaliselt lähtuda ka uuest riigiabi raamistikust, mis on seotud puhta tööstuse tegevuskavaga (nn </w:t>
      </w:r>
      <w:r w:rsidRPr="00B0098F">
        <w:rPr>
          <w:rFonts w:cs="Times New Roman"/>
          <w:i/>
          <w:iCs/>
          <w:color w:val="000000" w:themeColor="text1"/>
        </w:rPr>
        <w:t>Clean Industrial Deal State Aid Framework</w:t>
      </w:r>
      <w:r w:rsidRPr="00AD7A06">
        <w:rPr>
          <w:rFonts w:cs="Times New Roman"/>
          <w:color w:val="000000" w:themeColor="text1"/>
        </w:rPr>
        <w:t>). Et tagada vastavus mõlemale kohalduvale raamistikule ja vältida tulevikus sarnaseid muudatusvajadusi, kasutatakse seaduses üldisemat sõnastust „Euroopa Liidu riigiabi reeglid“</w:t>
      </w:r>
      <w:r w:rsidR="008C73DC">
        <w:rPr>
          <w:rFonts w:cs="Times New Roman"/>
          <w:color w:val="000000" w:themeColor="text1"/>
        </w:rPr>
        <w:t>.</w:t>
      </w:r>
    </w:p>
    <w:p w14:paraId="03A1B4CA" w14:textId="77777777" w:rsidR="006B1555" w:rsidRPr="005566AF" w:rsidRDefault="006B1555" w:rsidP="006B1555">
      <w:pPr>
        <w:rPr>
          <w:b/>
        </w:rPr>
      </w:pPr>
    </w:p>
    <w:p w14:paraId="6DA14BB3" w14:textId="77777777" w:rsidR="006B1555" w:rsidRDefault="006B1555" w:rsidP="006B1555">
      <w:pPr>
        <w:rPr>
          <w:b/>
        </w:rPr>
      </w:pPr>
      <w:r>
        <w:rPr>
          <w:b/>
        </w:rPr>
        <w:t>ELTS § 42</w:t>
      </w:r>
      <w:r w:rsidRPr="00AD7A06">
        <w:rPr>
          <w:b/>
          <w:vertAlign w:val="superscript"/>
        </w:rPr>
        <w:t>4</w:t>
      </w:r>
      <w:r>
        <w:rPr>
          <w:b/>
        </w:rPr>
        <w:t xml:space="preserve"> </w:t>
      </w:r>
    </w:p>
    <w:p w14:paraId="5FE1FEB4" w14:textId="77777777" w:rsidR="006B1555" w:rsidRDefault="006B1555" w:rsidP="006B1555">
      <w:pPr>
        <w:rPr>
          <w:b/>
        </w:rPr>
      </w:pPr>
      <w:r>
        <w:rPr>
          <w:b/>
        </w:rPr>
        <w:t xml:space="preserve">Lõige 1 </w:t>
      </w:r>
    </w:p>
    <w:p w14:paraId="7BF536E6" w14:textId="77777777" w:rsidR="006B1555" w:rsidRDefault="006B1555" w:rsidP="006B1555">
      <w:pPr>
        <w:rPr>
          <w:rFonts w:cs="Times New Roman"/>
        </w:rPr>
      </w:pPr>
      <w:r w:rsidRPr="00B0098F">
        <w:rPr>
          <w:rFonts w:cs="Times New Roman"/>
        </w:rPr>
        <w:t>Muudatusega kehtestatakse rahastamiskoormus ainult tippnõudluse perioodi tarbimise alusel. Muudatuse eesmärk on täpsustada reservvõimsuse mehhanismi kulude jaotust selliselt, et need koonduksid tarbijatele, kes tarbivad elektrit süsteemi maksimaalse nõudluse ehk tippnõudluse perioodidel. Kasutatakse terminit „tippnõudlus“, kuna see on juba kasutusel ELTS § 39 lg 7 p-s 5.</w:t>
      </w:r>
    </w:p>
    <w:p w14:paraId="09480AE5" w14:textId="77777777" w:rsidR="006B1555" w:rsidRPr="00B0098F" w:rsidRDefault="006B1555" w:rsidP="006B1555">
      <w:pPr>
        <w:rPr>
          <w:rFonts w:cs="Times New Roman"/>
        </w:rPr>
      </w:pPr>
    </w:p>
    <w:p w14:paraId="2BD6B80D" w14:textId="77777777" w:rsidR="006B1555" w:rsidRDefault="006B1555" w:rsidP="006B1555">
      <w:pPr>
        <w:rPr>
          <w:rFonts w:cs="Times New Roman"/>
        </w:rPr>
      </w:pPr>
      <w:r w:rsidRPr="00B0098F">
        <w:rPr>
          <w:rFonts w:cs="Times New Roman"/>
        </w:rPr>
        <w:t>Strateegilise reservi teenuse käivitumine on planeeritud 1</w:t>
      </w:r>
      <w:r>
        <w:rPr>
          <w:rFonts w:cs="Times New Roman"/>
        </w:rPr>
        <w:t>.</w:t>
      </w:r>
      <w:r w:rsidRPr="00B0098F">
        <w:rPr>
          <w:rFonts w:cs="Times New Roman"/>
        </w:rPr>
        <w:t xml:space="preserve"> jaanuar</w:t>
      </w:r>
      <w:r>
        <w:rPr>
          <w:rFonts w:cs="Times New Roman"/>
        </w:rPr>
        <w:t>il</w:t>
      </w:r>
      <w:r w:rsidRPr="00B0098F">
        <w:rPr>
          <w:rFonts w:cs="Times New Roman"/>
        </w:rPr>
        <w:t xml:space="preserve"> 2027. Selleks, et jõuda reserviga õigeaegselt teenuseni, on tarvis vähempakkumine välja kuulutada hiljemalt 2025. aasta lõpus. Vähempakkumise ettevalmistustööde ning abi andmise eelduseks on riigiabi luba Euroopa Komisjonilt</w:t>
      </w:r>
      <w:r>
        <w:rPr>
          <w:rFonts w:cs="Times New Roman"/>
        </w:rPr>
        <w:t>. 28. oktoobril 2025. a kiitis Euroopa Komisjon heaks strateegilise reservi riigiabi meetme.</w:t>
      </w:r>
    </w:p>
    <w:p w14:paraId="675FA1CA" w14:textId="77777777" w:rsidR="006B1555" w:rsidRPr="00B0098F" w:rsidRDefault="006B1555" w:rsidP="006B1555">
      <w:pPr>
        <w:rPr>
          <w:rFonts w:cs="Times New Roman"/>
        </w:rPr>
      </w:pPr>
    </w:p>
    <w:p w14:paraId="5ACE9EC5" w14:textId="77777777" w:rsidR="006B1555" w:rsidRDefault="006B1555" w:rsidP="006B1555">
      <w:pPr>
        <w:rPr>
          <w:rFonts w:cs="Times New Roman"/>
        </w:rPr>
      </w:pPr>
      <w:r w:rsidRPr="00B0098F">
        <w:rPr>
          <w:rFonts w:cs="Times New Roman"/>
        </w:rPr>
        <w:t>CEEAG suuniste</w:t>
      </w:r>
      <w:r w:rsidRPr="004B014D">
        <w:t xml:space="preserve"> </w:t>
      </w:r>
      <w:r w:rsidRPr="00B0098F">
        <w:rPr>
          <w:rFonts w:cs="Times New Roman"/>
        </w:rPr>
        <w:t xml:space="preserve">punkti 367 ja Komisjoni mitteametliku arvamuse kohaselt saab strateegilise reservi rahastamine toimuda üksnes tiputarbimise pinnalt. Euroopa Komisjon on varasemalt </w:t>
      </w:r>
      <w:r w:rsidRPr="00B0098F">
        <w:rPr>
          <w:rFonts w:cs="Times New Roman"/>
        </w:rPr>
        <w:lastRenderedPageBreak/>
        <w:t>aktsepteerinud sarnast lähenemist, kus rahastamise kulu jaotatakse tipukoormuse tarbimisele (nt Soome strateegiline reserv</w:t>
      </w:r>
      <w:r w:rsidRPr="00B0098F">
        <w:rPr>
          <w:rStyle w:val="Allmrkuseviide"/>
          <w:rFonts w:cs="Times New Roman"/>
        </w:rPr>
        <w:footnoteReference w:id="20"/>
      </w:r>
      <w:r w:rsidRPr="00B0098F">
        <w:rPr>
          <w:rFonts w:cs="Times New Roman"/>
        </w:rPr>
        <w:t>).</w:t>
      </w:r>
    </w:p>
    <w:p w14:paraId="43ADC3FB" w14:textId="77777777" w:rsidR="006B1555" w:rsidRPr="00B0098F" w:rsidRDefault="006B1555" w:rsidP="006B1555">
      <w:pPr>
        <w:rPr>
          <w:rFonts w:cs="Times New Roman"/>
        </w:rPr>
      </w:pPr>
    </w:p>
    <w:p w14:paraId="7C445AE8" w14:textId="77777777" w:rsidR="006B1555" w:rsidRPr="00B0098F" w:rsidRDefault="006B1555" w:rsidP="006B1555">
      <w:pPr>
        <w:rPr>
          <w:rFonts w:cs="Times New Roman"/>
        </w:rPr>
      </w:pPr>
      <w:r w:rsidRPr="00B0098F">
        <w:rPr>
          <w:rFonts w:cs="Times New Roman"/>
        </w:rPr>
        <w:t>Tippnõudlusest tulenev täiendav koormus elektrisüsteemile on mehhanismi vajaduse peamine ajend. Seetõttu on majanduslikult ja õiguspoliitiliselt põhjendatud, et kulud jaotuvad ainult neile tarbijatele, kelle tarbimine langeb nendesse kriitilistesse ajavahemikesse.</w:t>
      </w:r>
    </w:p>
    <w:p w14:paraId="6560779B" w14:textId="77777777" w:rsidR="006B1555" w:rsidRDefault="006B1555" w:rsidP="006B1555">
      <w:pPr>
        <w:rPr>
          <w:b/>
        </w:rPr>
      </w:pPr>
    </w:p>
    <w:p w14:paraId="40D962EE" w14:textId="77777777" w:rsidR="006B1555" w:rsidRDefault="006B1555" w:rsidP="006B1555">
      <w:pPr>
        <w:rPr>
          <w:b/>
        </w:rPr>
      </w:pPr>
      <w:r>
        <w:rPr>
          <w:b/>
        </w:rPr>
        <w:t>Lõige 2</w:t>
      </w:r>
    </w:p>
    <w:p w14:paraId="6EB51455" w14:textId="77777777" w:rsidR="006B1555" w:rsidRPr="00B0098F" w:rsidRDefault="006B1555" w:rsidP="006B1555">
      <w:pPr>
        <w:rPr>
          <w:rFonts w:cs="Times New Roman"/>
          <w:color w:val="000000" w:themeColor="text1"/>
        </w:rPr>
      </w:pPr>
      <w:r w:rsidRPr="00B0098F">
        <w:rPr>
          <w:rFonts w:cs="Times New Roman"/>
          <w:color w:val="000000" w:themeColor="text1"/>
        </w:rPr>
        <w:t xml:space="preserve">Muudatusega täpsustatakse hinnangut tippnõudluse </w:t>
      </w:r>
      <w:r>
        <w:rPr>
          <w:rFonts w:cs="Times New Roman"/>
          <w:color w:val="000000" w:themeColor="text1"/>
        </w:rPr>
        <w:t xml:space="preserve">aastase </w:t>
      </w:r>
      <w:r w:rsidRPr="00B0098F">
        <w:rPr>
          <w:rFonts w:cs="Times New Roman"/>
          <w:color w:val="000000" w:themeColor="text1"/>
        </w:rPr>
        <w:t xml:space="preserve">koguse osas. Muudatuse eesmärk on tagada, et süsteemihalduri koostatud iga-aastane hinnang sisaldab andmeid </w:t>
      </w:r>
      <w:r>
        <w:rPr>
          <w:rFonts w:cs="Times New Roman"/>
          <w:color w:val="000000" w:themeColor="text1"/>
        </w:rPr>
        <w:t xml:space="preserve">just </w:t>
      </w:r>
      <w:r w:rsidRPr="00B0098F">
        <w:rPr>
          <w:rFonts w:cs="Times New Roman"/>
          <w:color w:val="000000" w:themeColor="text1"/>
        </w:rPr>
        <w:t xml:space="preserve">tippnõudluse ajal tarbitava elektrienergia mahu kohta. </w:t>
      </w:r>
      <w:r>
        <w:rPr>
          <w:rFonts w:cs="Times New Roman"/>
          <w:color w:val="000000" w:themeColor="text1"/>
        </w:rPr>
        <w:t>Täpsustus</w:t>
      </w:r>
      <w:r w:rsidRPr="00B0098F">
        <w:rPr>
          <w:rFonts w:cs="Times New Roman"/>
          <w:color w:val="000000" w:themeColor="text1"/>
        </w:rPr>
        <w:t xml:space="preserve"> on vajalik, sest tasu tuleb koguda tippnõudluse perioodidel tarbitava elektri eest.</w:t>
      </w:r>
    </w:p>
    <w:p w14:paraId="33D9F2D9" w14:textId="77777777" w:rsidR="006B1555" w:rsidRDefault="006B1555" w:rsidP="006B1555">
      <w:pPr>
        <w:rPr>
          <w:b/>
        </w:rPr>
      </w:pPr>
    </w:p>
    <w:p w14:paraId="4B462CF2" w14:textId="77777777" w:rsidR="006B1555" w:rsidRDefault="006B1555" w:rsidP="006B1555">
      <w:pPr>
        <w:rPr>
          <w:b/>
        </w:rPr>
      </w:pPr>
      <w:r>
        <w:rPr>
          <w:b/>
        </w:rPr>
        <w:t>Lõige 3</w:t>
      </w:r>
    </w:p>
    <w:p w14:paraId="5E373001" w14:textId="77777777" w:rsidR="006B1555" w:rsidRPr="00B0098F" w:rsidRDefault="006B1555" w:rsidP="006B1555">
      <w:pPr>
        <w:rPr>
          <w:rFonts w:cs="Times New Roman"/>
          <w:color w:val="000000" w:themeColor="text1"/>
        </w:rPr>
      </w:pPr>
      <w:r w:rsidRPr="00B0098F">
        <w:rPr>
          <w:rFonts w:cs="Times New Roman"/>
          <w:color w:val="000000" w:themeColor="text1"/>
        </w:rPr>
        <w:t>Muudatusega täpsustatakse, et andmeid kogutakse jaotusvõrguettevõtjalt ja liinivaldajalt tippnõudluse perioodide kohta. Kuna süsteemihaldur ise ei kogu üksikasjalikke andmeid iga tarbija tarbimise ajalisest jaotusest, on vaja kasutada võrguteenuse osutajate andmestikku hinnangute ja arvestuse koostamiseks.</w:t>
      </w:r>
    </w:p>
    <w:p w14:paraId="06398C61" w14:textId="77777777" w:rsidR="006B1555" w:rsidRDefault="006B1555" w:rsidP="006B1555">
      <w:pPr>
        <w:rPr>
          <w:b/>
        </w:rPr>
      </w:pPr>
    </w:p>
    <w:p w14:paraId="68CB1BEF" w14:textId="77777777" w:rsidR="006B1555" w:rsidRDefault="006B1555" w:rsidP="006B1555">
      <w:pPr>
        <w:rPr>
          <w:b/>
        </w:rPr>
      </w:pPr>
      <w:r>
        <w:rPr>
          <w:b/>
        </w:rPr>
        <w:t>Lõige 4</w:t>
      </w:r>
    </w:p>
    <w:p w14:paraId="52FB9097" w14:textId="77777777" w:rsidR="006B1555" w:rsidRPr="00BA1421" w:rsidRDefault="006B1555" w:rsidP="006B1555">
      <w:pPr>
        <w:rPr>
          <w:b/>
        </w:rPr>
      </w:pPr>
      <w:r w:rsidRPr="00B0098F">
        <w:rPr>
          <w:rFonts w:cs="Times New Roman"/>
        </w:rPr>
        <w:t>Muudatusega täpsustatakse sätet selliselt, et ühikukulu (€/</w:t>
      </w:r>
      <w:r>
        <w:rPr>
          <w:rFonts w:cs="Times New Roman"/>
        </w:rPr>
        <w:t>M</w:t>
      </w:r>
      <w:r w:rsidRPr="00B0098F">
        <w:rPr>
          <w:rFonts w:cs="Times New Roman"/>
        </w:rPr>
        <w:t>Wh)  arvutatakse ainult tippnõudluse perioodi tarbimisele. Kui rahastamine põhineb ainult tippnõudluse perioodi tarbimisel, peab ka ühikukulu põhinema vastava tarbimisperioodi mahul. See tagab kulude vastavuse tegelikule koormustekitajale.</w:t>
      </w:r>
    </w:p>
    <w:p w14:paraId="17E6D8DC" w14:textId="77777777" w:rsidR="006B1555" w:rsidRPr="0022057B" w:rsidRDefault="006B1555" w:rsidP="006B1555">
      <w:pPr>
        <w:rPr>
          <w:b/>
        </w:rPr>
      </w:pPr>
    </w:p>
    <w:p w14:paraId="0E1A27E6" w14:textId="77777777" w:rsidR="006B1555" w:rsidRDefault="006B1555" w:rsidP="006B1555">
      <w:pPr>
        <w:rPr>
          <w:b/>
        </w:rPr>
      </w:pPr>
      <w:r>
        <w:rPr>
          <w:b/>
        </w:rPr>
        <w:t>Lõige 5</w:t>
      </w:r>
    </w:p>
    <w:p w14:paraId="1C7949F8" w14:textId="77777777" w:rsidR="006B1555" w:rsidRPr="00B0098F" w:rsidRDefault="006B1555" w:rsidP="006B1555">
      <w:pPr>
        <w:rPr>
          <w:rFonts w:cs="Times New Roman"/>
        </w:rPr>
      </w:pPr>
      <w:r w:rsidRPr="00B0098F">
        <w:rPr>
          <w:rFonts w:cs="Times New Roman"/>
        </w:rPr>
        <w:t>Lõiget 5 täiendatakse selliselt, et arvel kajastub reservvõimsuse mehhanismi kulu ainult juhul, kui konkreetne tarbimine toimus tippnõudluse ajal. Sellega tagatakse, et tarbijale edastatav hinnasignaal on sihipärane ja õiglane – ainult need, kelle tarbimine loob vajaduse reservvõimsuse järele, maksavad selle eest.</w:t>
      </w:r>
    </w:p>
    <w:p w14:paraId="74177766" w14:textId="77777777" w:rsidR="006B1555" w:rsidRPr="0022057B" w:rsidRDefault="006B1555" w:rsidP="006B1555">
      <w:pPr>
        <w:rPr>
          <w:b/>
        </w:rPr>
      </w:pPr>
    </w:p>
    <w:p w14:paraId="434C68C2" w14:textId="77777777" w:rsidR="006B1555" w:rsidRDefault="006B1555" w:rsidP="006B1555">
      <w:pPr>
        <w:rPr>
          <w:b/>
        </w:rPr>
      </w:pPr>
      <w:r>
        <w:rPr>
          <w:b/>
        </w:rPr>
        <w:t>Lõige 6</w:t>
      </w:r>
    </w:p>
    <w:p w14:paraId="655BB91C" w14:textId="77777777" w:rsidR="006B1555" w:rsidRPr="00B0098F" w:rsidRDefault="006B1555" w:rsidP="006B1555">
      <w:pPr>
        <w:rPr>
          <w:rFonts w:cs="Times New Roman"/>
        </w:rPr>
      </w:pPr>
      <w:r w:rsidRPr="00B0098F">
        <w:rPr>
          <w:rFonts w:cs="Times New Roman"/>
        </w:rPr>
        <w:t>Muudatusega täpsustatakse sõnastust, et võrguettevõtjate poolt süsteemihaldurile esitatavad andmed peavad kajastama üksnes tippnõudluse ajal osutatud võrguteenuste mahtu ja otseliini kaudu</w:t>
      </w:r>
      <w:r>
        <w:rPr>
          <w:rFonts w:cs="Times New Roman"/>
        </w:rPr>
        <w:t xml:space="preserve"> tippnõudluse ajal</w:t>
      </w:r>
      <w:r w:rsidRPr="00B0098F">
        <w:rPr>
          <w:rFonts w:cs="Times New Roman"/>
        </w:rPr>
        <w:t xml:space="preserve"> tarbitud elektrienergia kogust. Andmete täpsustamine on oluline, et oleks võimalik teha korrektsed arveldused ja määrata kulu õigesti.</w:t>
      </w:r>
      <w:r>
        <w:rPr>
          <w:b/>
        </w:rPr>
        <w:t xml:space="preserve"> </w:t>
      </w:r>
      <w:r w:rsidRPr="00B0098F">
        <w:rPr>
          <w:rFonts w:cs="Times New Roman"/>
        </w:rPr>
        <w:t>Muudatusega täpsustatakse õigusselguse eesmärgil sätte sõnastust, vältimaks tõlgendust, nagu peaksid võrguettevõtjad tasuma süsteemihaldurile mehhanismikulu sõltumata tippnõudlusest.</w:t>
      </w:r>
    </w:p>
    <w:p w14:paraId="0AD950D3" w14:textId="77777777" w:rsidR="006B1555" w:rsidRPr="00216577" w:rsidRDefault="006B1555" w:rsidP="006B1555">
      <w:pPr>
        <w:rPr>
          <w:b/>
        </w:rPr>
      </w:pPr>
    </w:p>
    <w:p w14:paraId="4DFE6679" w14:textId="77777777" w:rsidR="006B1555" w:rsidRDefault="006B1555" w:rsidP="006B1555">
      <w:pPr>
        <w:rPr>
          <w:b/>
        </w:rPr>
      </w:pPr>
      <w:r>
        <w:rPr>
          <w:b/>
        </w:rPr>
        <w:t>Lõige 9</w:t>
      </w:r>
    </w:p>
    <w:p w14:paraId="33AE1629" w14:textId="77777777" w:rsidR="006B1555" w:rsidRPr="006F5498" w:rsidRDefault="006B1555" w:rsidP="006B1555">
      <w:pPr>
        <w:rPr>
          <w:rFonts w:cs="Times New Roman"/>
        </w:rPr>
      </w:pPr>
      <w:r w:rsidRPr="00B0098F">
        <w:rPr>
          <w:rFonts w:cs="Times New Roman"/>
        </w:rPr>
        <w:t>§</w:t>
      </w:r>
      <w:r>
        <w:rPr>
          <w:rFonts w:cs="Times New Roman"/>
        </w:rPr>
        <w:t>-i</w:t>
      </w:r>
      <w:r w:rsidRPr="00B0098F">
        <w:rPr>
          <w:rFonts w:cs="Times New Roman"/>
        </w:rPr>
        <w:t xml:space="preserve"> 42⁴ lisatakse uus volitusnorm, millega antakse valdkonna eest vastutavale ministrile volitus määrusega kehtestada tippnõudluse perioodid. Tippnõudluse ajaperioodid sõltuvad tehnilistest süsteemikoormuse analüüsidest ning võivad ajas muutuda. Selleks, et tagada jätkuv vastavus Euroopa Liidu riigiabi reeglitele (nt CEEAG-ile), on vajalik </w:t>
      </w:r>
      <w:r w:rsidRPr="006F5498">
        <w:rPr>
          <w:rFonts w:cs="Times New Roman"/>
        </w:rPr>
        <w:t>paindlikkus kogumisperioodi kohandamiseks juhul, kui tiputarbimise mustrid kliima või muude tegurite tõttu tulevikus muutuvad. Seepärast jäetakse täpsem otsustusõigus ministrile määruse tasandil.</w:t>
      </w:r>
    </w:p>
    <w:p w14:paraId="3894F371" w14:textId="77777777" w:rsidR="006B1555" w:rsidRDefault="006B1555" w:rsidP="006B1555">
      <w:pPr>
        <w:rPr>
          <w:b/>
        </w:rPr>
      </w:pPr>
    </w:p>
    <w:p w14:paraId="454C1A01" w14:textId="77777777" w:rsidR="006B1555" w:rsidRDefault="006B1555" w:rsidP="006B1555">
      <w:pPr>
        <w:rPr>
          <w:b/>
        </w:rPr>
      </w:pPr>
      <w:r>
        <w:rPr>
          <w:b/>
        </w:rPr>
        <w:t>ELTS § 42</w:t>
      </w:r>
      <w:r w:rsidRPr="00AD7A06">
        <w:rPr>
          <w:b/>
          <w:vertAlign w:val="superscript"/>
        </w:rPr>
        <w:t>7</w:t>
      </w:r>
      <w:r>
        <w:rPr>
          <w:b/>
        </w:rPr>
        <w:t xml:space="preserve"> </w:t>
      </w:r>
    </w:p>
    <w:p w14:paraId="138E7E0B" w14:textId="77777777" w:rsidR="006B1555" w:rsidRDefault="006B1555" w:rsidP="006B1555">
      <w:pPr>
        <w:rPr>
          <w:b/>
        </w:rPr>
      </w:pPr>
      <w:r>
        <w:rPr>
          <w:b/>
        </w:rPr>
        <w:t>Lõige 8</w:t>
      </w:r>
    </w:p>
    <w:p w14:paraId="5C863221" w14:textId="77777777" w:rsidR="006B1555" w:rsidRDefault="006B1555" w:rsidP="006B1555">
      <w:pPr>
        <w:rPr>
          <w:b/>
        </w:rPr>
      </w:pPr>
      <w:r>
        <w:lastRenderedPageBreak/>
        <w:t>Muudatuse eesmärk on edendada energiasalvestusüksuste rajamist ja elektriturul osalemist ning tekitada elektritootjatega samaväärset konkurentsi topeltmaksustamise kaotamise ja seeläbi energiasalvestusüksuste käitamiskulude vähendamise kaudu.</w:t>
      </w:r>
    </w:p>
    <w:p w14:paraId="233DF66E" w14:textId="77777777" w:rsidR="006B1555" w:rsidRDefault="006B1555" w:rsidP="006B1555">
      <w:pPr>
        <w:rPr>
          <w:b/>
        </w:rPr>
      </w:pPr>
    </w:p>
    <w:p w14:paraId="1B2396A8" w14:textId="77777777" w:rsidR="006B1555" w:rsidRDefault="006B1555" w:rsidP="006B1555">
      <w:pPr>
        <w:rPr>
          <w:b/>
        </w:rPr>
      </w:pPr>
      <w:r w:rsidRPr="005E28FB">
        <w:rPr>
          <w:b/>
        </w:rPr>
        <w:t xml:space="preserve">ELTS § </w:t>
      </w:r>
      <w:r>
        <w:rPr>
          <w:b/>
        </w:rPr>
        <w:t>43</w:t>
      </w:r>
      <w:r w:rsidRPr="00BF2E16">
        <w:rPr>
          <w:b/>
          <w:vertAlign w:val="superscript"/>
        </w:rPr>
        <w:t>1</w:t>
      </w:r>
      <w:r>
        <w:rPr>
          <w:b/>
        </w:rPr>
        <w:t xml:space="preserve"> </w:t>
      </w:r>
    </w:p>
    <w:p w14:paraId="168F2A5E" w14:textId="578875B7" w:rsidR="006B1555" w:rsidRDefault="006B1555" w:rsidP="006B1555">
      <w:r>
        <w:t xml:space="preserve">Seadust täiendatakse uue paragrahviga, milles sätestatakse tarnija kohustus tagada </w:t>
      </w:r>
      <w:r w:rsidRPr="004A67EA">
        <w:rPr>
          <w:rFonts w:eastAsia="Times New Roman" w:cs="Times New Roman"/>
          <w:color w:val="000000"/>
          <w:kern w:val="2"/>
          <w:szCs w:val="24"/>
          <w:lang w:eastAsia="et-EE"/>
          <w14:ligatures w14:val="standardContextual"/>
        </w:rPr>
        <w:t>tähtajalise fikseeritud elektrihinnaga lepingu pakkumisel</w:t>
      </w:r>
      <w:r w:rsidRPr="004A67EA">
        <w:rPr>
          <w:rFonts w:eastAsia="Times New Roman" w:cs="Times New Roman"/>
          <w:color w:val="000000"/>
          <w:szCs w:val="24"/>
          <w:lang w:eastAsia="et-EE"/>
        </w:rPr>
        <w:t xml:space="preserve"> </w:t>
      </w:r>
      <w:r>
        <w:t>tarne lepinguga riskimaandusstrateegiad, et vähendada tarnehäirete ohtu, ehk et fikseeritud hinnaga lepingute puhul kehtiks lepingus kokkulepitud hind kuni lepingu tähtaja lõpuni ka energiahinnakriiside ajal. Kui tarnijad ei taga, et nende elektriportfellis on riskid piisavalt maandatud, võib elektri hulgimüügihindade muutus tähendada neile finantsriski ja põhjustada elektriportfelli tõrkeid. Kulud võivad sel juhul kanduda üle tarbijatele ja teistele võrgukasutajatele. Seepärast peavad kindlaksmääratud hinna ja tähtajaga elektrivarustuslepingute pakkumise korral olema tarnijate riskid asjakohaselt maandatud. Asjakohases riskimaandusstrateegias tuleks arvesse võtta tarnija juurdepääsu oma toodangule, tema kapitalisatsiooni ja sõltuvust hulgimüügituru hindade muutumisest, samuti tarnija suurust või turu struktuuri.</w:t>
      </w:r>
      <w:r w:rsidRPr="00CA3E06">
        <w:t xml:space="preserve"> </w:t>
      </w:r>
      <w:r w:rsidRPr="00636B38">
        <w:t>Tarnijad saavad riskimaandusstrateegiatena kasutada finantsinstrumente näiteks Eesti-Soome piiril finantsülekandeõigusi (</w:t>
      </w:r>
      <w:r w:rsidRPr="00636B38">
        <w:rPr>
          <w:i/>
          <w:iCs/>
        </w:rPr>
        <w:t>financial transmission rights, FTR</w:t>
      </w:r>
      <w:r w:rsidRPr="00636B38">
        <w:t>), sõlmida otselepinguid (</w:t>
      </w:r>
      <w:r w:rsidRPr="00636B38">
        <w:rPr>
          <w:i/>
          <w:iCs/>
        </w:rPr>
        <w:t>over the counter, OTC</w:t>
      </w:r>
      <w:r w:rsidRPr="00636B38">
        <w:t>) muuhulgas taastuvenergia tootjatega või rajada ise tootmisvõimsusi. NordPool on Baltikumi turule toomas täiendavaid finantsinstrumente</w:t>
      </w:r>
      <w:r w:rsidRPr="00636B38">
        <w:rPr>
          <w:rStyle w:val="Allmrkuseviide"/>
        </w:rPr>
        <w:footnoteReference w:id="21"/>
      </w:r>
      <w:r w:rsidRPr="00636B38">
        <w:t>, mis võimaldavad elektrihinna riske maandada.</w:t>
      </w:r>
    </w:p>
    <w:p w14:paraId="0D5907BB" w14:textId="77777777" w:rsidR="006B1555" w:rsidRPr="00914797" w:rsidRDefault="006B1555" w:rsidP="006B1555"/>
    <w:p w14:paraId="2B8A5186" w14:textId="77777777" w:rsidR="006B1555" w:rsidRDefault="006B1555" w:rsidP="006B1555">
      <w:pPr>
        <w:rPr>
          <w:b/>
          <w:bCs/>
        </w:rPr>
      </w:pPr>
      <w:r>
        <w:rPr>
          <w:b/>
          <w:bCs/>
        </w:rPr>
        <w:t xml:space="preserve">ELTS § 44 </w:t>
      </w:r>
    </w:p>
    <w:p w14:paraId="74664B2E" w14:textId="77777777" w:rsidR="006B1555" w:rsidRDefault="006B1555" w:rsidP="006B1555">
      <w:r>
        <w:rPr>
          <w:b/>
          <w:bCs/>
        </w:rPr>
        <w:t>Lõige 4</w:t>
      </w:r>
      <w:r>
        <w:rPr>
          <w:b/>
          <w:bCs/>
          <w:vertAlign w:val="superscript"/>
        </w:rPr>
        <w:t>1</w:t>
      </w:r>
      <w:r>
        <w:rPr>
          <w:b/>
          <w:bCs/>
        </w:rPr>
        <w:t xml:space="preserve"> </w:t>
      </w:r>
    </w:p>
    <w:p w14:paraId="135F2B2F" w14:textId="77777777" w:rsidR="006B1555" w:rsidRDefault="006B1555" w:rsidP="006B1555">
      <w:r w:rsidRPr="00E64533">
        <w:t>S</w:t>
      </w:r>
      <w:r>
        <w:t>eoses</w:t>
      </w:r>
      <w:r w:rsidRPr="00E64533">
        <w:t xml:space="preserve"> üldteenuse osutamist puudutavatele sätete</w:t>
      </w:r>
      <w:r>
        <w:t xml:space="preserve"> muutmisega</w:t>
      </w:r>
      <w:r w:rsidRPr="00E64533">
        <w:t xml:space="preserve"> tuleb riigihan</w:t>
      </w:r>
      <w:r>
        <w:t>k</w:t>
      </w:r>
      <w:r w:rsidRPr="00E64533">
        <w:t>e korraldamise kohustus asendada konkursi korraldamise kohustusega ka § 44 lõikes 4</w:t>
      </w:r>
      <w:r w:rsidRPr="00E64533">
        <w:rPr>
          <w:vertAlign w:val="superscript"/>
        </w:rPr>
        <w:t>1</w:t>
      </w:r>
      <w:r w:rsidRPr="00E64533">
        <w:t>, mis reguleerib elektrienergia müüki avatud tarne katkemise korra</w:t>
      </w:r>
      <w:r>
        <w:t>l.</w:t>
      </w:r>
    </w:p>
    <w:p w14:paraId="45086D23" w14:textId="77777777" w:rsidR="006B1555" w:rsidRDefault="006B1555" w:rsidP="006B1555"/>
    <w:p w14:paraId="6F4FA0FE" w14:textId="77777777" w:rsidR="006B1555" w:rsidRDefault="006B1555" w:rsidP="006B1555">
      <w:pPr>
        <w:rPr>
          <w:b/>
          <w:bCs/>
        </w:rPr>
      </w:pPr>
      <w:r>
        <w:rPr>
          <w:b/>
          <w:bCs/>
        </w:rPr>
        <w:t>ELTS § 58</w:t>
      </w:r>
      <w:r>
        <w:rPr>
          <w:b/>
          <w:bCs/>
          <w:vertAlign w:val="superscript"/>
        </w:rPr>
        <w:t>3</w:t>
      </w:r>
      <w:r>
        <w:rPr>
          <w:b/>
          <w:bCs/>
        </w:rPr>
        <w:t xml:space="preserve"> </w:t>
      </w:r>
    </w:p>
    <w:p w14:paraId="5CE022D6" w14:textId="77777777" w:rsidR="006B1555" w:rsidRDefault="006B1555" w:rsidP="006B1555">
      <w:pPr>
        <w:rPr>
          <w:b/>
          <w:bCs/>
        </w:rPr>
      </w:pPr>
      <w:r>
        <w:rPr>
          <w:b/>
          <w:bCs/>
        </w:rPr>
        <w:t>Lõige 4</w:t>
      </w:r>
    </w:p>
    <w:p w14:paraId="1DA5619B" w14:textId="29B62847" w:rsidR="006B1555" w:rsidRDefault="006B1555" w:rsidP="006B1555">
      <w:r>
        <w:t>Muudatusega kehtestatakse õiguslik alus selleks, et kodutarbijad ja ettevõtjad, kes toodavad ja tarbivad taastuvenergiat samas hoones või kortermajas, saavad osaleda ühiselt toodetud taastuvenergia jagamises tarbijapaigaldise sees eeldusel, et tootmine ja tarbimine toimuvad</w:t>
      </w:r>
      <w:r w:rsidR="007A5AF5">
        <w:t xml:space="preserve"> samal kinnistul ja</w:t>
      </w:r>
      <w:r>
        <w:t xml:space="preserve"> sama liitumispunkti piires. Kehtivas seaduses ei ole sätestatud, kuidas täpsemalt tarbija saab elektrijagamises osaleda ja millised kulud talle rakenduvad. Elektri jagamist tarbijapaigaldise piires visualiseerivad allolevad skeemid.</w:t>
      </w:r>
    </w:p>
    <w:p w14:paraId="6C9E466E" w14:textId="77777777" w:rsidR="006B1555" w:rsidRDefault="006B1555" w:rsidP="006B1555"/>
    <w:p w14:paraId="0F00E2F9" w14:textId="77777777" w:rsidR="006B1555" w:rsidRDefault="006B1555" w:rsidP="006B1555">
      <w:pPr>
        <w:jc w:val="center"/>
      </w:pPr>
      <w:r>
        <w:rPr>
          <w:noProof/>
        </w:rPr>
        <w:lastRenderedPageBreak/>
        <w:drawing>
          <wp:inline distT="0" distB="0" distL="0" distR="0" wp14:anchorId="302183C1" wp14:editId="0F2A48DE">
            <wp:extent cx="5627811" cy="2520000"/>
            <wp:effectExtent l="0" t="0" r="0" b="0"/>
            <wp:docPr id="520763344" name="Pilt 3" descr="Pilt, millel on kujutatud kuvatõmmis, Graafika, disain&#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512618" name="Pilt 3" descr="Pilt, millel on kujutatud kuvatõmmis, Graafika, disain&#10;&#10;Kirjeldus on genereeritud automaatsel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627811" cy="2520000"/>
                    </a:xfrm>
                    <a:prstGeom prst="rect">
                      <a:avLst/>
                    </a:prstGeom>
                    <a:noFill/>
                  </pic:spPr>
                </pic:pic>
              </a:graphicData>
            </a:graphic>
          </wp:inline>
        </w:drawing>
      </w:r>
    </w:p>
    <w:p w14:paraId="30102B6C" w14:textId="77777777" w:rsidR="006B1555" w:rsidRDefault="006B1555" w:rsidP="006B1555">
      <w:pPr>
        <w:jc w:val="center"/>
      </w:pPr>
      <w:r>
        <w:rPr>
          <w:noProof/>
        </w:rPr>
        <w:drawing>
          <wp:inline distT="0" distB="0" distL="0" distR="0" wp14:anchorId="6E38F5A0" wp14:editId="0F1AB8A5">
            <wp:extent cx="2567786" cy="2398815"/>
            <wp:effectExtent l="0" t="0" r="0" b="1905"/>
            <wp:docPr id="1580158869" name="Pilt 8" descr="Pilt, millel on kujutatud kuvatõmmis, diagramm, Graafika, graafiline disain&#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390043" name="Pilt 8" descr="Pilt, millel on kujutatud kuvatõmmis, diagramm, Graafika, graafiline disain&#10;&#10;Kirjeldus on genereeritud automaatsel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80635" cy="2410819"/>
                    </a:xfrm>
                    <a:prstGeom prst="rect">
                      <a:avLst/>
                    </a:prstGeom>
                    <a:noFill/>
                  </pic:spPr>
                </pic:pic>
              </a:graphicData>
            </a:graphic>
          </wp:inline>
        </w:drawing>
      </w:r>
    </w:p>
    <w:p w14:paraId="775E9437" w14:textId="77777777" w:rsidR="006B1555" w:rsidRDefault="006B1555" w:rsidP="006B1555"/>
    <w:p w14:paraId="0268F4DA" w14:textId="77777777" w:rsidR="006B1555" w:rsidRDefault="006B1555" w:rsidP="006B1555">
      <w:pPr>
        <w:jc w:val="center"/>
      </w:pPr>
      <w:r>
        <w:rPr>
          <w:noProof/>
        </w:rPr>
        <w:drawing>
          <wp:inline distT="0" distB="0" distL="0" distR="0" wp14:anchorId="55326ECC" wp14:editId="1E2F13E3">
            <wp:extent cx="5678098" cy="2520000"/>
            <wp:effectExtent l="0" t="0" r="0" b="0"/>
            <wp:docPr id="601340384" name="Pilt 7" descr="Pilt, millel on kujutatud kuvatõmmis&#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482724" name="Pilt 7" descr="Pilt, millel on kujutatud kuvatõmmis&#10;&#10;Kirjeldus on genereeritud automaatsel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678098" cy="2520000"/>
                    </a:xfrm>
                    <a:prstGeom prst="rect">
                      <a:avLst/>
                    </a:prstGeom>
                    <a:noFill/>
                  </pic:spPr>
                </pic:pic>
              </a:graphicData>
            </a:graphic>
          </wp:inline>
        </w:drawing>
      </w:r>
    </w:p>
    <w:p w14:paraId="0F85EDD8" w14:textId="77777777" w:rsidR="006B1555" w:rsidRDefault="006B1555" w:rsidP="006B1555"/>
    <w:p w14:paraId="2002361D" w14:textId="77777777" w:rsidR="006B1555" w:rsidRDefault="006B1555" w:rsidP="006B1555">
      <w:r>
        <w:t>E</w:t>
      </w:r>
      <w:r w:rsidRPr="00A149D5">
        <w:t>esmärk on soodustada oma tarbeks toodetud taastuvenergia kasutamist ning lihtsustada energia jagamist tarbijate vahel hoone või kinnistu sees.</w:t>
      </w:r>
      <w:r>
        <w:t xml:space="preserve"> Tehniliselt on praegu võimalik liitumispunkti piires energiat jagada, kui kõik tarbijad on nõus ühiselt elektrit soetama. Elektri ühisost tähendab, et tarbija loobub oma õigusest ise endale sobiv elektrimüüja valida ja elektrileping sõlmida, samuti vähendab elektri ühisost tarbija huvi oma tarbimist juhtida.</w:t>
      </w:r>
      <w:r w:rsidRPr="00A65BA2">
        <w:rPr>
          <w:rFonts w:asciiTheme="minorHAnsi" w:hAnsiTheme="minorHAnsi"/>
          <w:kern w:val="2"/>
          <w:szCs w:val="24"/>
          <w14:ligatures w14:val="standardContextual"/>
        </w:rPr>
        <w:t xml:space="preserve"> </w:t>
      </w:r>
      <w:r w:rsidRPr="00A65BA2">
        <w:t xml:space="preserve">Elektri ühisost mõjutab ennekõike elektrimüüjat, kellel </w:t>
      </w:r>
      <w:r>
        <w:t>saab olema</w:t>
      </w:r>
      <w:r w:rsidRPr="00A65BA2">
        <w:t xml:space="preserve"> üks leping suurema tarbijagrupiga. Võrguettevõtja jaoks jääb võrguteenuse osutamise kohustus samaks, kuid andmete edastamises </w:t>
      </w:r>
      <w:r w:rsidRPr="00A65BA2">
        <w:lastRenderedPageBreak/>
        <w:t>peab hakkama arvestama omatoodetud elektrienergia koguseid, mille arvelt võrgutasu küsida ei saa.</w:t>
      </w:r>
      <w:r>
        <w:t xml:space="preserve"> </w:t>
      </w:r>
      <w:r w:rsidRPr="00A149D5">
        <w:t xml:space="preserve">Ühise liitumispunkti kaudu elektrienergia jagamine võimaldab elanikel ühiselt hoones toodetud </w:t>
      </w:r>
      <w:r>
        <w:t>taastuv</w:t>
      </w:r>
      <w:r w:rsidRPr="00A149D5">
        <w:t>e</w:t>
      </w:r>
      <w:r>
        <w:t>nergiaga oma arveid vähendada.</w:t>
      </w:r>
    </w:p>
    <w:p w14:paraId="0FE2BB53" w14:textId="77777777" w:rsidR="006B1555" w:rsidRDefault="006B1555" w:rsidP="006B1555"/>
    <w:p w14:paraId="083908E4" w14:textId="77777777" w:rsidR="006B1555" w:rsidRDefault="006B1555" w:rsidP="006B1555">
      <w:pPr>
        <w:rPr>
          <w:b/>
          <w:bCs/>
        </w:rPr>
      </w:pPr>
      <w:r>
        <w:rPr>
          <w:b/>
          <w:bCs/>
        </w:rPr>
        <w:t>ELTS § 59</w:t>
      </w:r>
      <w:r w:rsidRPr="00BF2E16">
        <w:rPr>
          <w:b/>
          <w:bCs/>
          <w:vertAlign w:val="superscript"/>
        </w:rPr>
        <w:t>2</w:t>
      </w:r>
    </w:p>
    <w:p w14:paraId="0F16CCFA" w14:textId="77777777" w:rsidR="006B1555" w:rsidRDefault="006B1555" w:rsidP="006B1555">
      <w:pPr>
        <w:rPr>
          <w:b/>
          <w:bCs/>
        </w:rPr>
      </w:pPr>
      <w:r>
        <w:rPr>
          <w:b/>
          <w:bCs/>
        </w:rPr>
        <w:t>Lõige 1</w:t>
      </w:r>
    </w:p>
    <w:p w14:paraId="78C2447F" w14:textId="4276F806" w:rsidR="006B1555" w:rsidRPr="008B7782" w:rsidRDefault="006B1555" w:rsidP="006B1555">
      <w:r>
        <w:t>Muudatusega saab süsteemihaldur õiguse elektrienergia jagamise funktsionaalsuse loomiseks andmevahetusplatvormile ja selle haldamiseks vajalikud kulud</w:t>
      </w:r>
      <w:r w:rsidR="007A5AF5">
        <w:t xml:space="preserve"> ning jaotusvõrguettevõtja saab andmete esitamisega seotud kulud</w:t>
      </w:r>
      <w:r>
        <w:t xml:space="preserve"> rahastada taastuvenergia tasust. </w:t>
      </w:r>
      <w:r w:rsidRPr="004E799B">
        <w:t xml:space="preserve">Andmevahetusplatvormi funktsionaalsus on </w:t>
      </w:r>
      <w:r w:rsidRPr="00BF2E16">
        <w:t>kriitilise tähtsusega</w:t>
      </w:r>
      <w:r w:rsidRPr="004E799B">
        <w:t xml:space="preserve"> </w:t>
      </w:r>
      <w:r>
        <w:t>elektrienergia jagamise</w:t>
      </w:r>
      <w:r w:rsidRPr="004E799B">
        <w:t xml:space="preserve"> mudeli </w:t>
      </w:r>
      <w:r w:rsidRPr="00BF2E16">
        <w:t>praktiliseks rakendamiseks</w:t>
      </w:r>
      <w:r w:rsidRPr="004E799B">
        <w:t>.</w:t>
      </w:r>
      <w:r>
        <w:t xml:space="preserve"> </w:t>
      </w:r>
      <w:r w:rsidRPr="00E21F34">
        <w:t xml:space="preserve">See võimaldab </w:t>
      </w:r>
      <w:r w:rsidR="006F495D">
        <w:t>korteriühistu</w:t>
      </w:r>
      <w:r>
        <w:t xml:space="preserve"> </w:t>
      </w:r>
      <w:r w:rsidRPr="00E21F34">
        <w:t xml:space="preserve">tarbijatel </w:t>
      </w:r>
      <w:r w:rsidRPr="00BF2E16">
        <w:t>jagada lokaalselt toodetud elektrit</w:t>
      </w:r>
      <w:r w:rsidRPr="00E21F34">
        <w:t xml:space="preserve"> samas hoones</w:t>
      </w:r>
      <w:r>
        <w:t>, mis</w:t>
      </w:r>
      <w:r w:rsidRPr="00E21F34">
        <w:t xml:space="preserve"> suurendab </w:t>
      </w:r>
      <w:r w:rsidRPr="00BF2E16">
        <w:t>energiatõhusust</w:t>
      </w:r>
      <w:r w:rsidRPr="00E06699">
        <w:t>,</w:t>
      </w:r>
      <w:r w:rsidRPr="00E21F34">
        <w:t xml:space="preserve"> vähendab võrgukadusid ja parandab kohaliku energiatootmise kasutust.</w:t>
      </w:r>
      <w:r w:rsidRPr="00BF2E16">
        <w:t xml:space="preserve"> Süsteemihalduri poolt lood</w:t>
      </w:r>
      <w:r>
        <w:t>av</w:t>
      </w:r>
      <w:r w:rsidRPr="00BF2E16">
        <w:t xml:space="preserve"> funktsionaalsus tagab, et elektrienergiat saaks jagada ühistel standarditel ja turvalisel moel.</w:t>
      </w:r>
      <w:r>
        <w:t xml:space="preserve"> </w:t>
      </w:r>
      <w:r w:rsidRPr="00C92D29">
        <w:t xml:space="preserve">Tsentraalne lahendus tagab andmete </w:t>
      </w:r>
      <w:r w:rsidRPr="00BF2E16">
        <w:t>usaldusväärsuse ja täpsuse</w:t>
      </w:r>
      <w:r w:rsidRPr="00C92D29">
        <w:t>, mis on oluline nii arveldamiseks, maksustamiseks kui ka võrgu planeerimiseks.</w:t>
      </w:r>
      <w:r w:rsidR="008156BD">
        <w:t xml:space="preserve"> J</w:t>
      </w:r>
      <w:r w:rsidR="008156BD" w:rsidRPr="007A5AF5">
        <w:t xml:space="preserve">aotusvõrguettevõtjal tekib seoses andmete esitamisega </w:t>
      </w:r>
      <w:r w:rsidR="008156BD">
        <w:t xml:space="preserve">ka </w:t>
      </w:r>
      <w:r w:rsidR="008156BD" w:rsidRPr="007A5AF5">
        <w:t>kulusid (arendus-, hooldus-, tööjõukulud jms), mis on seotud konkreetse teenuse osutamisega</w:t>
      </w:r>
      <w:r w:rsidR="008156BD">
        <w:t xml:space="preserve">. </w:t>
      </w:r>
      <w:r w:rsidRPr="005A18A6">
        <w:t xml:space="preserve">Taastuvenergia tasu on mõeldud just </w:t>
      </w:r>
      <w:r w:rsidRPr="00BF2E16">
        <w:t>taastuvenergia tootmise toetamiseks</w:t>
      </w:r>
      <w:r w:rsidRPr="005A18A6">
        <w:t xml:space="preserve"> ja </w:t>
      </w:r>
      <w:r w:rsidRPr="00BF2E16">
        <w:t>võrgu arendamiseks</w:t>
      </w:r>
      <w:r w:rsidRPr="005A18A6">
        <w:t xml:space="preserve"> selle integreerimiseks.</w:t>
      </w:r>
      <w:r w:rsidRPr="008B7782">
        <w:t xml:space="preserve"> Seega on rahastamine taastuvenergia tasust </w:t>
      </w:r>
      <w:r w:rsidRPr="00BF2E16">
        <w:t>loogiline ja sihipärane</w:t>
      </w:r>
      <w:r w:rsidRPr="008B7782">
        <w:t>.</w:t>
      </w:r>
    </w:p>
    <w:p w14:paraId="4FCAA662" w14:textId="77777777" w:rsidR="006B1555" w:rsidRPr="00BF2E16" w:rsidRDefault="006B1555" w:rsidP="006B1555">
      <w:r w:rsidRPr="00BF2E16">
        <w:t xml:space="preserve"> </w:t>
      </w:r>
    </w:p>
    <w:p w14:paraId="2C5DED52" w14:textId="77777777" w:rsidR="006B1555" w:rsidRDefault="006B1555" w:rsidP="006B1555">
      <w:pPr>
        <w:rPr>
          <w:b/>
          <w:bCs/>
        </w:rPr>
      </w:pPr>
      <w:r w:rsidRPr="008B7782">
        <w:rPr>
          <w:b/>
          <w:bCs/>
        </w:rPr>
        <w:t xml:space="preserve">ELTS § 65 </w:t>
      </w:r>
    </w:p>
    <w:p w14:paraId="2A6635F6" w14:textId="77777777" w:rsidR="006B1555" w:rsidRPr="008B7782" w:rsidRDefault="006B1555" w:rsidP="006B1555">
      <w:pPr>
        <w:rPr>
          <w:b/>
          <w:bCs/>
        </w:rPr>
      </w:pPr>
      <w:r>
        <w:rPr>
          <w:b/>
          <w:bCs/>
        </w:rPr>
        <w:t>Lõiked</w:t>
      </w:r>
      <w:r w:rsidRPr="008B7782">
        <w:rPr>
          <w:b/>
          <w:bCs/>
        </w:rPr>
        <w:t xml:space="preserve"> 1</w:t>
      </w:r>
      <w:r w:rsidRPr="00D74A4B">
        <w:rPr>
          <w:b/>
          <w:bCs/>
          <w:vertAlign w:val="superscript"/>
        </w:rPr>
        <w:t>3</w:t>
      </w:r>
      <w:r w:rsidRPr="008B7782">
        <w:rPr>
          <w:b/>
          <w:bCs/>
        </w:rPr>
        <w:t xml:space="preserve"> ja 1</w:t>
      </w:r>
      <w:r w:rsidRPr="00D74A4B">
        <w:rPr>
          <w:b/>
          <w:bCs/>
          <w:vertAlign w:val="superscript"/>
        </w:rPr>
        <w:t>4</w:t>
      </w:r>
    </w:p>
    <w:p w14:paraId="2E30E9AC" w14:textId="77777777" w:rsidR="006B1555" w:rsidRDefault="006B1555" w:rsidP="006B1555">
      <w:r>
        <w:t>Seaduse paragrahvi 65 täiendatakse lõigetega 1</w:t>
      </w:r>
      <w:r w:rsidRPr="00A93AA9">
        <w:rPr>
          <w:vertAlign w:val="superscript"/>
        </w:rPr>
        <w:t>3</w:t>
      </w:r>
      <w:r>
        <w:t xml:space="preserve"> ja 1</w:t>
      </w:r>
      <w:r>
        <w:rPr>
          <w:vertAlign w:val="superscript"/>
        </w:rPr>
        <w:t>4</w:t>
      </w:r>
      <w:r>
        <w:t>, millega kehtestatakse jaotusvõrguettevõtjale nõue pakkuda oma teeninduspiirkonnas võimalust sõlmida paindliku liitumist. Piirkondades, kus elektrivõrgu võimsus on piiratud, peab võrguühendust taotleval võrgukasutajal olema võimalik sõlmida püsikindluseta paindlik liitumisleping. Kõnealune leping on üldjuhul tähtajaline ning peaks näiteks arvesse võtma energia salvestamist või piirama aega, mil tootmisseade saab võrku suunata elektrienergiat või -võimsust, mida on võimalik turule viia, võimaldades selle osalist kättesaadavaks tegemist.</w:t>
      </w:r>
    </w:p>
    <w:p w14:paraId="25813404" w14:textId="77777777" w:rsidR="006B1555" w:rsidRDefault="006B1555" w:rsidP="006B1555"/>
    <w:p w14:paraId="68B550B2" w14:textId="77777777" w:rsidR="006B1555" w:rsidRDefault="006B1555" w:rsidP="006B1555">
      <w:r>
        <w:t xml:space="preserve">Jaotusvõrguettevõtjal ei pruugi olla võimalik paindlikkus liitumislepingus märkida lepingu tähtaega, kuivõrd see on seotud võrguinvesteeringu realiseerimisega. Kuigi investeeringute valmimisel on hinnangulised tähtajad, siis sõltub võrgu arendamine mitmetest asjaoludest: võrguettevõtja eelarvelistest vahenditest (võrgutasu ei kata investeeringute vajadusi täies ulatuses), planeerimise ja ehitamise käigus ilmnenud takistustest (keelualad, vaidlused maaomanikega) jne. Seega saab paindlik liitumine olla piiratud võrgu ehitustööde valmimisega, mis ei pruugi võrguettevõtjale kuupäevaliselt teada olla. </w:t>
      </w:r>
    </w:p>
    <w:p w14:paraId="0EE5B54D" w14:textId="77777777" w:rsidR="006B1555" w:rsidRDefault="006B1555" w:rsidP="006B1555"/>
    <w:p w14:paraId="1D690F62" w14:textId="77777777" w:rsidR="006B1555" w:rsidRDefault="006B1555" w:rsidP="006B1555">
      <w:r>
        <w:t xml:space="preserve">Paindliku liitumise lepingud võimaldavad võrguettevõtjal tavapäraselt võrgu tugevdamise plaanidega edasi liikuda. Paindlikud liitumised muudetakse püsikindlaks niipea, kui võrk on selleks valmis. </w:t>
      </w:r>
      <w:r w:rsidRPr="00D939C4">
        <w:t xml:space="preserve">Samuti on võimalus pakkuda paindlikku liitumist püsiva lahendusena olukorras, kus võrgu arendamine antud piirkonnas ei ole optimaalne või kui turuosaline ise on püsiva </w:t>
      </w:r>
      <w:r w:rsidRPr="007C1AB4">
        <w:t xml:space="preserve">paindliku liitumisega nõus (nt </w:t>
      </w:r>
      <w:r>
        <w:t>kui puudujääki kompenseerivad elektri</w:t>
      </w:r>
      <w:r w:rsidRPr="007C1AB4">
        <w:t xml:space="preserve">salvestid). </w:t>
      </w:r>
    </w:p>
    <w:p w14:paraId="627FF638" w14:textId="77777777" w:rsidR="006B1555" w:rsidRPr="007C1AB4" w:rsidRDefault="006B1555" w:rsidP="006B1555"/>
    <w:p w14:paraId="6215B774" w14:textId="77777777" w:rsidR="006B1555" w:rsidRDefault="006B1555" w:rsidP="006B1555">
      <w:r>
        <w:t xml:space="preserve">Taotlevale võrgukasutajale antakse võimalikult selget teavet, mida kujutavad endast eeldatavad piirangud, mis paindliku liitumise lepingu puhul kehtivad. </w:t>
      </w:r>
    </w:p>
    <w:p w14:paraId="762BD9AB" w14:textId="77777777" w:rsidR="006B1555" w:rsidRDefault="006B1555" w:rsidP="006B1555"/>
    <w:p w14:paraId="0B4A70FB" w14:textId="77777777" w:rsidR="006B1555" w:rsidRDefault="006B1555" w:rsidP="006B1555">
      <w:r>
        <w:t>P</w:t>
      </w:r>
      <w:r w:rsidRPr="007C1AB4">
        <w:t xml:space="preserve">õhjendatud juhul </w:t>
      </w:r>
      <w:r>
        <w:t xml:space="preserve">võib jaotusvõrguettevõtja </w:t>
      </w:r>
      <w:r w:rsidRPr="007C1AB4">
        <w:t>paindliku liitumispakkumise väljastamisest keelduda, eelkõige juhul, kui puudub paindliku liitumisühenduse pakkumiseks tehniline võimekus</w:t>
      </w:r>
      <w:r>
        <w:t>.</w:t>
      </w:r>
    </w:p>
    <w:p w14:paraId="41DD0A66" w14:textId="77777777" w:rsidR="006B1555" w:rsidRDefault="006B1555" w:rsidP="006B1555"/>
    <w:p w14:paraId="57E4D441" w14:textId="77777777" w:rsidR="006B1555" w:rsidRDefault="006B1555" w:rsidP="006B1555">
      <w:r>
        <w:lastRenderedPageBreak/>
        <w:t>Liitumise tüüptingimused koostab võrguettevõtja ning avaldab need oma veebilehel.</w:t>
      </w:r>
    </w:p>
    <w:p w14:paraId="00AF9C5B" w14:textId="77777777" w:rsidR="006B1555" w:rsidRDefault="006B1555" w:rsidP="006B1555"/>
    <w:p w14:paraId="6C0E0142" w14:textId="77777777" w:rsidR="006B1555" w:rsidRDefault="006B1555" w:rsidP="006B1555">
      <w:pPr>
        <w:rPr>
          <w:b/>
          <w:bCs/>
        </w:rPr>
      </w:pPr>
      <w:r>
        <w:rPr>
          <w:b/>
          <w:bCs/>
        </w:rPr>
        <w:t>Lõige 3 punkt 4</w:t>
      </w:r>
    </w:p>
    <w:p w14:paraId="705335A3" w14:textId="77777777" w:rsidR="006B1555" w:rsidRDefault="006B1555" w:rsidP="006B1555">
      <w:r>
        <w:t>Muudetakse § 65 lõike 3 punkti 4 sõnastust. Võrguettevõtjal on õigus keelduda võrguteenuse osutamisest, kui tema võrgus puudub võrguteenuse osutamiseks vajalik edastamisvõimsus. Paindliku liitumise nõude valguses tuleb kõnealuse punkti sõnastust täiendada ning lisada peale edastamisvõimsuse puudumise ka paindliku liitumise kokkuleppeni mittejõudmine. Vajaliku edastamisevõimsuse puudumine võib tähendada muuhulgas ka seda, et vastavas piirkonnas ei ole võimalik uusi liitujaid püsikindlalt võrguga ühendada, mis tõttu on asjakohane kõnealuses piirkonnas paindliku liitumise võimaluse loomine.</w:t>
      </w:r>
    </w:p>
    <w:p w14:paraId="433DB2EA" w14:textId="77777777" w:rsidR="006B1555" w:rsidRDefault="006B1555" w:rsidP="006B1555">
      <w:pPr>
        <w:rPr>
          <w:rFonts w:eastAsia="Times New Roman" w:cs="Times New Roman"/>
          <w:b/>
          <w:bCs/>
          <w:lang w:eastAsia="et-EE"/>
        </w:rPr>
      </w:pPr>
    </w:p>
    <w:p w14:paraId="310588DC" w14:textId="77777777" w:rsidR="006B1555" w:rsidRDefault="006B1555" w:rsidP="006B1555">
      <w:pPr>
        <w:rPr>
          <w:rFonts w:eastAsia="Times New Roman" w:cs="Times New Roman"/>
          <w:b/>
          <w:bCs/>
          <w:vertAlign w:val="superscript"/>
          <w:lang w:eastAsia="et-EE"/>
        </w:rPr>
      </w:pPr>
      <w:r>
        <w:rPr>
          <w:rFonts w:eastAsia="Times New Roman" w:cs="Times New Roman"/>
          <w:b/>
          <w:bCs/>
          <w:lang w:eastAsia="et-EE"/>
        </w:rPr>
        <w:t>ELTS § 65</w:t>
      </w:r>
      <w:r>
        <w:rPr>
          <w:rFonts w:eastAsia="Times New Roman" w:cs="Times New Roman"/>
          <w:b/>
          <w:bCs/>
          <w:vertAlign w:val="superscript"/>
          <w:lang w:eastAsia="et-EE"/>
        </w:rPr>
        <w:t>1</w:t>
      </w:r>
      <w:r>
        <w:rPr>
          <w:rFonts w:eastAsia="Times New Roman" w:cs="Times New Roman"/>
          <w:b/>
          <w:bCs/>
          <w:lang w:eastAsia="et-EE"/>
        </w:rPr>
        <w:t xml:space="preserve"> </w:t>
      </w:r>
    </w:p>
    <w:p w14:paraId="3C602F32" w14:textId="77777777" w:rsidR="006B1555" w:rsidRDefault="006B1555" w:rsidP="006B1555">
      <w:r>
        <w:t>Seadust täiendatakse §-ga 65</w:t>
      </w:r>
      <w:r>
        <w:rPr>
          <w:vertAlign w:val="superscript"/>
        </w:rPr>
        <w:t>1</w:t>
      </w:r>
      <w:r>
        <w:t>. L</w:t>
      </w:r>
      <w:r w:rsidRPr="00524827">
        <w:t>õike 1</w:t>
      </w:r>
      <w:r>
        <w:t xml:space="preserve"> </w:t>
      </w:r>
      <w:r w:rsidRPr="00E87DC8">
        <w:t xml:space="preserve">kohaselt ei tohi </w:t>
      </w:r>
      <w:r>
        <w:t>võrgu</w:t>
      </w:r>
      <w:r w:rsidRPr="00E87DC8">
        <w:t>teenuse osutamise</w:t>
      </w:r>
      <w:r>
        <w:t>ks ja kasutamiseks</w:t>
      </w:r>
      <w:r w:rsidRPr="00E87DC8">
        <w:t xml:space="preserve"> kasutatav riist- või tarkvara ohustada riigi julgeolekut.</w:t>
      </w:r>
      <w:r>
        <w:t xml:space="preserve"> </w:t>
      </w:r>
      <w:r w:rsidRPr="00833FF7">
        <w:t>Mõiste</w:t>
      </w:r>
      <w:r>
        <w:t>t</w:t>
      </w:r>
      <w:r w:rsidRPr="00833FF7">
        <w:t xml:space="preserve"> „riigi julgeolek“ on</w:t>
      </w:r>
      <w:r>
        <w:t xml:space="preserve"> seletatud</w:t>
      </w:r>
      <w:r w:rsidRPr="00833FF7">
        <w:t xml:space="preserve"> Riigikogu 2017. a kinnitatud julgeolekupoliitika alustes (edaspidi JPA)</w:t>
      </w:r>
      <w:r>
        <w:rPr>
          <w:rStyle w:val="Allmrkuseviide"/>
        </w:rPr>
        <w:footnoteReference w:id="22"/>
      </w:r>
      <w:r w:rsidRPr="00833FF7">
        <w:t xml:space="preserve"> ja Vabariigi Valitsuse kinnitatud riigikaitse arengukavas 20</w:t>
      </w:r>
      <w:r>
        <w:t>22</w:t>
      </w:r>
      <w:r w:rsidRPr="00833FF7">
        <w:t>–20</w:t>
      </w:r>
      <w:r>
        <w:t>31</w:t>
      </w:r>
      <w:r w:rsidRPr="00833FF7">
        <w:t xml:space="preserve"> (edaspidi RKAK)</w:t>
      </w:r>
      <w:r>
        <w:rPr>
          <w:rStyle w:val="Allmrkuseviide"/>
        </w:rPr>
        <w:footnoteReference w:id="23"/>
      </w:r>
      <w:r w:rsidRPr="00833FF7">
        <w:t>. JPA sätestab Eesti julgeolekupoliitika eesmärgina kindlustada Eesti riigi iseseisvus ja sõltumatus, rahva ja riigi kestmine, territoriaalne terviklikkus, põhiseaduslik kord ja elanikkonna turvalisus. RKAK määrab ühe olulise riigikaitse tegevussuunana riigi ja ühiskonna toimimise mis</w:t>
      </w:r>
      <w:r>
        <w:t xml:space="preserve"> </w:t>
      </w:r>
      <w:r w:rsidRPr="00833FF7">
        <w:t xml:space="preserve">tahes olukorras. See hõlmab elutähtsate teenuste või muude riigikaitse tähenduses oluliste teenuste toimepidevuse tagamist. </w:t>
      </w:r>
      <w:r>
        <w:t>Elektri võrgu</w:t>
      </w:r>
      <w:r w:rsidRPr="00833FF7">
        <w:t>teenus kuulu</w:t>
      </w:r>
      <w:r>
        <w:t>b</w:t>
      </w:r>
      <w:r w:rsidRPr="00833FF7">
        <w:t xml:space="preserve"> elutähtsate teenuste hulka.</w:t>
      </w:r>
      <w:r w:rsidRPr="00833FF7">
        <w:br/>
      </w:r>
    </w:p>
    <w:p w14:paraId="50FF71BF" w14:textId="77777777" w:rsidR="006B1555" w:rsidRDefault="006B1555" w:rsidP="006B1555">
      <w:r w:rsidRPr="00833FF7">
        <w:t xml:space="preserve">Laia riigikaitse seisukohast on seega oluline, et riigi ja ühiskonna harjumuspärast toimimist tagavate teenuste kasutatavus ei satuks </w:t>
      </w:r>
      <w:r>
        <w:t xml:space="preserve">ohtu </w:t>
      </w:r>
      <w:r w:rsidRPr="00833FF7">
        <w:t xml:space="preserve">võrguseadmete tarkvaravigade, võimalike tootja tekitatud tehnoloogiliste „tagauste“ või </w:t>
      </w:r>
      <w:r>
        <w:t>võrguseadmete</w:t>
      </w:r>
      <w:r w:rsidRPr="00833FF7">
        <w:t xml:space="preserve"> vastu suunatud pahatahtlike rünnakute ja manipulatsioonide tõttu</w:t>
      </w:r>
      <w:r>
        <w:rPr>
          <w:rStyle w:val="Allmrkuseviide"/>
        </w:rPr>
        <w:footnoteReference w:id="24"/>
      </w:r>
      <w:r w:rsidRPr="00833FF7">
        <w:t xml:space="preserve">. Samuti on oluline tagada, et sidevõrgud ei oleks monokultuursed (ühe konkreetse tootja tehnoloogiaga üles ehitatud), mis tekitab sõltuvuse </w:t>
      </w:r>
      <w:r>
        <w:t xml:space="preserve">sellest </w:t>
      </w:r>
      <w:r w:rsidRPr="00833FF7">
        <w:t xml:space="preserve">tootjast ning võimendab </w:t>
      </w:r>
      <w:r>
        <w:t>temaga</w:t>
      </w:r>
      <w:r w:rsidRPr="00833FF7">
        <w:t xml:space="preserve"> seotud riske</w:t>
      </w:r>
      <w:r>
        <w:rPr>
          <w:rStyle w:val="Allmrkuseviide"/>
        </w:rPr>
        <w:footnoteReference w:id="25"/>
      </w:r>
      <w:r w:rsidRPr="00833FF7">
        <w:t>.</w:t>
      </w:r>
    </w:p>
    <w:p w14:paraId="72BB8B65" w14:textId="77777777" w:rsidR="006B1555" w:rsidRDefault="006B1555" w:rsidP="006B1555"/>
    <w:p w14:paraId="1FDF87D2" w14:textId="77777777" w:rsidR="006B1555" w:rsidRDefault="006B1555" w:rsidP="006B1555">
      <w:r>
        <w:t>L</w:t>
      </w:r>
      <w:r w:rsidRPr="00524827">
        <w:t>õi</w:t>
      </w:r>
      <w:r>
        <w:t>g</w:t>
      </w:r>
      <w:r w:rsidRPr="00524827">
        <w:t>e 2</w:t>
      </w:r>
      <w:r>
        <w:t xml:space="preserve"> sätestab asjaolud, mille ilmnemise korral võrgu</w:t>
      </w:r>
      <w:r w:rsidRPr="00E87DC8">
        <w:t>teenuse osutamise</w:t>
      </w:r>
      <w:r>
        <w:t>ks</w:t>
      </w:r>
      <w:r w:rsidRPr="00E87DC8">
        <w:t xml:space="preserve"> </w:t>
      </w:r>
      <w:r>
        <w:t>elektri</w:t>
      </w:r>
      <w:r w:rsidRPr="00E87DC8">
        <w:t>võrgus kasutatav riist- või tarkvara saab ohustada riigi julgeolekut</w:t>
      </w:r>
      <w:r>
        <w:t>. Säte viitab elektroonilise side seaduse (ESS) § 87</w:t>
      </w:r>
      <w:r>
        <w:rPr>
          <w:vertAlign w:val="superscript"/>
        </w:rPr>
        <w:t>3</w:t>
      </w:r>
      <w:r>
        <w:t xml:space="preserve"> lõikele 2, kus on loetletud, et </w:t>
      </w:r>
      <w:r w:rsidRPr="00E87DC8">
        <w:t>kasutatav riist- või tarkvara saab ohustada riigi julgeolekut</w:t>
      </w:r>
      <w:r>
        <w:t xml:space="preserve"> järgmiste asjaolude tõttu:</w:t>
      </w:r>
    </w:p>
    <w:p w14:paraId="5D6A4CF1" w14:textId="77777777" w:rsidR="006B1555" w:rsidRDefault="006B1555" w:rsidP="006B1555">
      <w:r w:rsidRPr="00E87DC8">
        <w:t xml:space="preserve">1) selle tootjast, hooldus- või tugiteenuste pakkujast tuleneva </w:t>
      </w:r>
      <w:r>
        <w:t>suure</w:t>
      </w:r>
      <w:r w:rsidRPr="00E87DC8">
        <w:t xml:space="preserve"> riski tõttu (edaspidi </w:t>
      </w:r>
      <w:r>
        <w:t>suure</w:t>
      </w:r>
      <w:r w:rsidRPr="00E87DC8">
        <w:t xml:space="preserve"> riskiga riist- või tarkvara) või</w:t>
      </w:r>
    </w:p>
    <w:p w14:paraId="5216A898" w14:textId="77777777" w:rsidR="006B1555" w:rsidRDefault="006B1555" w:rsidP="006B1555">
      <w:r w:rsidRPr="00E87DC8">
        <w:t>2) riist- või tarkvara tehnilistest omadustest või seadistustest tuleneva riski tõttu.</w:t>
      </w:r>
    </w:p>
    <w:p w14:paraId="4A4EB067" w14:textId="77777777" w:rsidR="006B1555" w:rsidRDefault="006B1555" w:rsidP="006B1555"/>
    <w:p w14:paraId="47D22972" w14:textId="77777777" w:rsidR="006B1555" w:rsidRDefault="006B1555" w:rsidP="006B1555">
      <w:r w:rsidRPr="00ED5392">
        <w:t>Esimes</w:t>
      </w:r>
      <w:r>
        <w:t>es punktis nimetatud ohud</w:t>
      </w:r>
      <w:r w:rsidRPr="00ED5392">
        <w:t xml:space="preserve"> on seotud tarneahelaga ning lähtu</w:t>
      </w:r>
      <w:r>
        <w:t>vad</w:t>
      </w:r>
      <w:r w:rsidRPr="00ED5392">
        <w:t xml:space="preserve"> konkreetse</w:t>
      </w:r>
      <w:r>
        <w:t>st</w:t>
      </w:r>
      <w:r w:rsidRPr="00ED5392">
        <w:t xml:space="preserve"> ettevõtja</w:t>
      </w:r>
      <w:r>
        <w:t>st</w:t>
      </w:r>
      <w:r w:rsidRPr="00ED5392">
        <w:t xml:space="preserve">. Selleks ettevõtjaks on kas konkreetse riist- või tarkvara tootja või </w:t>
      </w:r>
      <w:r>
        <w:t>tegevusloaga võrguettevõtjale</w:t>
      </w:r>
      <w:r w:rsidRPr="00ED5392">
        <w:t xml:space="preserve"> hooldus- või tugiteenust pakkuv ettevõtja. Riist- või tarkvara tehnilistest omadustest või seadistusest tulenevad ohud on seotud tehnoloogia endaga. Näiteks on tegemist tehnoloogilise ohuga siis, kui sidevõrgus kasutatav seadistus ei taga side konfidentsiaalsust ehk kõrvalisel osapoolel on võimalik sidet pealt kuulata.</w:t>
      </w:r>
    </w:p>
    <w:p w14:paraId="648CE5EF" w14:textId="77777777" w:rsidR="006B1555" w:rsidRDefault="006B1555" w:rsidP="006B1555">
      <w:pPr>
        <w:spacing w:before="240"/>
      </w:pPr>
      <w:r>
        <w:lastRenderedPageBreak/>
        <w:t>L</w:t>
      </w:r>
      <w:r w:rsidRPr="00524827">
        <w:t>õike 3</w:t>
      </w:r>
      <w:r>
        <w:t xml:space="preserve"> kohaselt tuleb suure</w:t>
      </w:r>
      <w:r w:rsidRPr="00833FF7">
        <w:t xml:space="preserve"> riskiga riist- või tarkvara hin</w:t>
      </w:r>
      <w:r>
        <w:t>nates</w:t>
      </w:r>
      <w:r w:rsidRPr="00833FF7">
        <w:t xml:space="preserve"> arvest</w:t>
      </w:r>
      <w:r>
        <w:t>ada</w:t>
      </w:r>
      <w:r w:rsidRPr="00833FF7">
        <w:t xml:space="preserve"> muu hulgas </w:t>
      </w:r>
      <w:r>
        <w:t xml:space="preserve">ESS-i </w:t>
      </w:r>
      <w:r w:rsidRPr="00833FF7">
        <w:t>§ 87</w:t>
      </w:r>
      <w:r>
        <w:rPr>
          <w:vertAlign w:val="superscript"/>
        </w:rPr>
        <w:t>3</w:t>
      </w:r>
      <w:r>
        <w:t xml:space="preserve"> </w:t>
      </w:r>
      <w:r w:rsidRPr="00833FF7">
        <w:t>lõikes 3 loetletud tea</w:t>
      </w:r>
      <w:r>
        <w:t>bega. ESS-i § 87</w:t>
      </w:r>
      <w:r>
        <w:rPr>
          <w:vertAlign w:val="superscript"/>
        </w:rPr>
        <w:t>3</w:t>
      </w:r>
      <w:r>
        <w:t xml:space="preserve"> on kehtestatud e</w:t>
      </w:r>
      <w:r w:rsidRPr="00ED5392">
        <w:t>lektroonilise side seaduse, ehitusseadustiku ja riigilõivuseaduse muutmise seadus</w:t>
      </w:r>
      <w:r>
        <w:t>ega</w:t>
      </w:r>
      <w:r w:rsidRPr="00ED5392">
        <w:t xml:space="preserve"> </w:t>
      </w:r>
      <w:r>
        <w:t>(</w:t>
      </w:r>
      <w:r w:rsidRPr="00ED5392">
        <w:t>437 SE</w:t>
      </w:r>
      <w:r>
        <w:t>)</w:t>
      </w:r>
      <w:r>
        <w:rPr>
          <w:rStyle w:val="Allmrkuseviide"/>
        </w:rPr>
        <w:footnoteReference w:id="26"/>
      </w:r>
      <w:r>
        <w:t>. 437 SE seletuskirjas põhjendatakse loetelu järgmiselt:</w:t>
      </w:r>
    </w:p>
    <w:p w14:paraId="0C5DF4C5" w14:textId="77777777" w:rsidR="006B1555" w:rsidRPr="00E87DC8" w:rsidRDefault="006B1555" w:rsidP="006B1555">
      <w:pPr>
        <w:spacing w:before="240"/>
        <w:rPr>
          <w:i/>
          <w:iCs/>
        </w:rPr>
      </w:pPr>
      <w:r w:rsidRPr="00E87DC8">
        <w:rPr>
          <w:i/>
          <w:iCs/>
        </w:rPr>
        <w:t>ESS § 87</w:t>
      </w:r>
      <w:r w:rsidRPr="00E87DC8">
        <w:rPr>
          <w:i/>
          <w:iCs/>
          <w:vertAlign w:val="superscript"/>
        </w:rPr>
        <w:t>3</w:t>
      </w:r>
      <w:r w:rsidRPr="00E87DC8">
        <w:rPr>
          <w:i/>
          <w:iCs/>
        </w:rPr>
        <w:t xml:space="preserve"> lõikes 3 esitatakse näitlik loetelu, millist teavet riist- või tarkvara tootjast, hooldus- või tugiteenuste pakkujast tuleneva kõrge riski hindamisel muu hulgas arvestatakse ning mis võib osutada riist- või tarkvaraga seotud kõrgele riskile. Loetelu ei tähenda, et kui üks tingimus on täidetud, oleks tegu automaatselt kõrge riskiga riist- või tarkvaraga. Hinnang, kas tegu on kõrge riskiga tootja, hooldus- või tugiteenuste pakkujaga, tehakse riist- või tarkvara kasutusloa menetluses riskihinnangu baasil. Ühe loetelus nimetatud punkti täitmine võib põhimõtteliselt kaasa tuua kõrge riski, kuid eeldusel, et see on piisavalt põhjendatud ja kaalukas.</w:t>
      </w:r>
    </w:p>
    <w:p w14:paraId="0B83CF1C" w14:textId="77777777" w:rsidR="006B1555" w:rsidRPr="00C320A2" w:rsidRDefault="006B1555" w:rsidP="006B1555">
      <w:pPr>
        <w:spacing w:before="240"/>
      </w:pPr>
      <w:r>
        <w:t>Võrguteenuse puhul on analoogselt sideteenusega tegemist elutähtsa teenusega, mistõttu on riskihindamine riist- või tarkvara hankides põhjendatud. Samuti on võrguteenuse osutajatel asjakohane arvestada riskihindamise käigus ESS-i § 87</w:t>
      </w:r>
      <w:r>
        <w:rPr>
          <w:vertAlign w:val="superscript"/>
        </w:rPr>
        <w:t>3</w:t>
      </w:r>
      <w:r>
        <w:t xml:space="preserve"> lõikes 3 nimetatud teabega. 437 SE seletuskiri loetleb lisaselgitused ESS-i § 87</w:t>
      </w:r>
      <w:r>
        <w:rPr>
          <w:vertAlign w:val="superscript"/>
        </w:rPr>
        <w:t>3</w:t>
      </w:r>
      <w:r>
        <w:t xml:space="preserve"> lõikes 3 nimetatud teabe kohta:</w:t>
      </w:r>
    </w:p>
    <w:p w14:paraId="5AAD18B9" w14:textId="77777777" w:rsidR="006B1555" w:rsidRDefault="006B1555" w:rsidP="006B1555">
      <w:pPr>
        <w:spacing w:before="240"/>
        <w:rPr>
          <w:i/>
          <w:iCs/>
        </w:rPr>
      </w:pPr>
      <w:r w:rsidRPr="00BA4F13">
        <w:rPr>
          <w:i/>
          <w:iCs/>
        </w:rPr>
        <w:t>Punktid, mida tootja, hooldus- või tugiteenuste pakkuja kohta riskianalüüsis muu hulgas hinnatakse on järgnevad:</w:t>
      </w:r>
    </w:p>
    <w:p w14:paraId="3D9A49D9" w14:textId="77777777" w:rsidR="006B1555" w:rsidRDefault="006B1555" w:rsidP="006B1555">
      <w:pPr>
        <w:spacing w:before="240"/>
        <w:rPr>
          <w:i/>
          <w:iCs/>
        </w:rPr>
      </w:pPr>
      <w:r w:rsidRPr="00E87DC8">
        <w:rPr>
          <w:i/>
          <w:iCs/>
        </w:rPr>
        <w:t>1) tema asukoht või peakontor on riigis (edaspidi asukohariik), mis ei ole Euroopa Liidu (edaspidi EL), Põhja-Atlandi Lepingu Organisatsiooni (edaspidi NATO) ega Majandusliku Koostöö või Arengu Organisatsiooni (edaspidi OECD) liikmesriik;</w:t>
      </w:r>
    </w:p>
    <w:p w14:paraId="630FDF19" w14:textId="77777777" w:rsidR="006B1555" w:rsidRDefault="006B1555" w:rsidP="006B1555">
      <w:pPr>
        <w:spacing w:before="240"/>
        <w:rPr>
          <w:i/>
          <w:iCs/>
        </w:rPr>
      </w:pPr>
      <w:r w:rsidRPr="00E87DC8">
        <w:rPr>
          <w:i/>
          <w:iCs/>
        </w:rPr>
        <w:t xml:space="preserve">2) tema asukohariigis ei järgita demokraatliku õigusriigi põhimõtteid või ei austata inimõigusi; </w:t>
      </w:r>
    </w:p>
    <w:p w14:paraId="72EEB70B" w14:textId="77777777" w:rsidR="006B1555" w:rsidRDefault="006B1555" w:rsidP="006B1555">
      <w:pPr>
        <w:spacing w:before="240"/>
        <w:rPr>
          <w:i/>
          <w:iCs/>
        </w:rPr>
      </w:pPr>
      <w:r w:rsidRPr="00E87DC8">
        <w:rPr>
          <w:i/>
          <w:iCs/>
        </w:rPr>
        <w:t>3) tema asukohariigis ei kaitsta muu riigi isikute intellektuaalomandit, isikuandmeid või ärisaladust;</w:t>
      </w:r>
    </w:p>
    <w:p w14:paraId="4AF10F97" w14:textId="77777777" w:rsidR="006B1555" w:rsidRDefault="006B1555" w:rsidP="006B1555">
      <w:pPr>
        <w:spacing w:before="240"/>
        <w:rPr>
          <w:i/>
          <w:iCs/>
        </w:rPr>
      </w:pPr>
      <w:r w:rsidRPr="00E87DC8">
        <w:rPr>
          <w:i/>
          <w:iCs/>
        </w:rPr>
        <w:t>4) tema asukohariik käitub küberruumis agressiivselt;</w:t>
      </w:r>
    </w:p>
    <w:p w14:paraId="1CEFF198" w14:textId="77777777" w:rsidR="006B1555" w:rsidRDefault="006B1555" w:rsidP="006B1555">
      <w:pPr>
        <w:spacing w:before="240"/>
        <w:rPr>
          <w:i/>
          <w:iCs/>
        </w:rPr>
      </w:pPr>
      <w:r w:rsidRPr="00E87DC8">
        <w:rPr>
          <w:i/>
          <w:iCs/>
        </w:rPr>
        <w:t>5) asukohariigile on EL-i, NATO või OECD liikmesriigid omistanud küberrünnakuid;</w:t>
      </w:r>
    </w:p>
    <w:p w14:paraId="3C14109D" w14:textId="77777777" w:rsidR="006B1555" w:rsidRDefault="006B1555" w:rsidP="006B1555">
      <w:pPr>
        <w:spacing w:before="240"/>
        <w:rPr>
          <w:i/>
          <w:iCs/>
        </w:rPr>
      </w:pPr>
      <w:r w:rsidRPr="00E87DC8">
        <w:rPr>
          <w:i/>
          <w:iCs/>
        </w:rPr>
        <w:t>6) ta allub sõltumatu kohtuliku kontrollita asukohariigi või muu välisriigi valitsusele või riigiasutusele;</w:t>
      </w:r>
    </w:p>
    <w:p w14:paraId="68CE19F2" w14:textId="77777777" w:rsidR="006B1555" w:rsidRDefault="006B1555" w:rsidP="006B1555">
      <w:pPr>
        <w:spacing w:before="240"/>
        <w:rPr>
          <w:i/>
          <w:iCs/>
        </w:rPr>
      </w:pPr>
      <w:r w:rsidRPr="00E87DC8">
        <w:rPr>
          <w:i/>
          <w:iCs/>
        </w:rPr>
        <w:t>7) tema asukohariik või muu välisriik võib kohustada teda tegutsema Eesti riigi julgeolekut ohustaval viisil;</w:t>
      </w:r>
    </w:p>
    <w:p w14:paraId="45C63A9F" w14:textId="77777777" w:rsidR="006B1555" w:rsidRDefault="006B1555" w:rsidP="006B1555">
      <w:pPr>
        <w:spacing w:before="240"/>
        <w:rPr>
          <w:i/>
          <w:iCs/>
        </w:rPr>
      </w:pPr>
      <w:r w:rsidRPr="00E87DC8">
        <w:rPr>
          <w:i/>
          <w:iCs/>
        </w:rPr>
        <w:t>8) tema majandustegevus ei põhine turupõhisel konkurentsil või selleks ei ole asukohariigis loodud piisavaid tingimusi;</w:t>
      </w:r>
    </w:p>
    <w:p w14:paraId="60C3BA34" w14:textId="77777777" w:rsidR="006B1555" w:rsidRDefault="006B1555" w:rsidP="006B1555">
      <w:pPr>
        <w:spacing w:before="240"/>
        <w:rPr>
          <w:i/>
          <w:iCs/>
        </w:rPr>
      </w:pPr>
      <w:r w:rsidRPr="00E87DC8">
        <w:rPr>
          <w:i/>
          <w:iCs/>
        </w:rPr>
        <w:t>9) tema omandistruktuur, organisatsiooniline ülesehitus või juhtimisstruktuur ei ole läbipaistev;</w:t>
      </w:r>
    </w:p>
    <w:p w14:paraId="4FCB51EE" w14:textId="77777777" w:rsidR="006B1555" w:rsidRDefault="006B1555" w:rsidP="006B1555">
      <w:pPr>
        <w:spacing w:before="240"/>
        <w:rPr>
          <w:i/>
          <w:iCs/>
        </w:rPr>
      </w:pPr>
      <w:r w:rsidRPr="00E87DC8">
        <w:rPr>
          <w:i/>
          <w:iCs/>
        </w:rPr>
        <w:t>10) tema rahastamine ei ole läbipaistev;</w:t>
      </w:r>
    </w:p>
    <w:p w14:paraId="4612E6A9" w14:textId="77777777" w:rsidR="006B1555" w:rsidRDefault="006B1555" w:rsidP="006B1555">
      <w:pPr>
        <w:spacing w:before="240"/>
        <w:rPr>
          <w:i/>
          <w:iCs/>
        </w:rPr>
      </w:pPr>
      <w:r w:rsidRPr="00E87DC8">
        <w:rPr>
          <w:i/>
          <w:iCs/>
        </w:rPr>
        <w:t>11) tema tooted või teenused sisaldavad turvanõrkusi ning nende kõrvaldamiseks ei ole rakendatud piisavaid turvameetmeid;</w:t>
      </w:r>
    </w:p>
    <w:p w14:paraId="5E27BB02" w14:textId="77777777" w:rsidR="006B1555" w:rsidRPr="00E87DC8" w:rsidRDefault="006B1555" w:rsidP="006B1555">
      <w:pPr>
        <w:spacing w:before="240"/>
        <w:rPr>
          <w:i/>
          <w:iCs/>
        </w:rPr>
      </w:pPr>
      <w:r w:rsidRPr="00E87DC8">
        <w:rPr>
          <w:i/>
          <w:iCs/>
        </w:rPr>
        <w:lastRenderedPageBreak/>
        <w:t>12) ta ei ole järjepidevalt võimeline tagama toodete või teenuste tarneid, välja arvatud vääramatu jõu tõttu.</w:t>
      </w:r>
    </w:p>
    <w:p w14:paraId="353E1EDC" w14:textId="77777777" w:rsidR="006B1555" w:rsidRPr="00E87DC8" w:rsidRDefault="006B1555" w:rsidP="006B1555">
      <w:pPr>
        <w:spacing w:before="240"/>
        <w:rPr>
          <w:i/>
          <w:iCs/>
        </w:rPr>
      </w:pPr>
      <w:r w:rsidRPr="00E87DC8">
        <w:rPr>
          <w:i/>
          <w:iCs/>
        </w:rPr>
        <w:t>Eesti on EL, NATO ja OECD liikmesriik. Nende organisatsioonide liikmesriikides asuvad ettevõtjad on üldiselt vähem riskantsed, kuna nendes riikides kehtivad kokkulepped, väärtused ja põhimõtted, mis ühilduvad Eesti riigi julgeoleku huvidega. OECD liikmesriike ühendavad väärtused nagu avatud turumajandus, demokraatlik pluralism ja inimõiguste austamine ning NATO liikmesriike isikute vabadus, demokraatia, inimõigused ja õigusriik. EL põhimõtted on inimõiguste austamine, demokraatia, õigusriik, inimväärikus, vabadus ning muud EL õigusaktides sätestatud põhimõtted. Neid väärtusi kandvad riigid on üldiselt vähem tõenäolised sekkuma oma riigis asuva ettevõtja tegevusse eesmärgiga kahjustada Eesti riigi julgeolekut.</w:t>
      </w:r>
    </w:p>
    <w:p w14:paraId="2B329D50" w14:textId="77777777" w:rsidR="006B1555" w:rsidRPr="00E87DC8" w:rsidRDefault="006B1555" w:rsidP="006B1555">
      <w:pPr>
        <w:spacing w:before="240"/>
        <w:rPr>
          <w:i/>
          <w:iCs/>
        </w:rPr>
      </w:pPr>
      <w:r w:rsidRPr="00E87DC8">
        <w:rPr>
          <w:i/>
          <w:iCs/>
        </w:rPr>
        <w:t>Sarnaselt eeltooduga on väiksem risk taolisele sekkumisele, kui asukohariigis järgitakse demokraatliku õigusriigi põhimõtteid ja austatakse inimõigusi ning kaitstakse muu riigi isikute intellektuaalomandit, isikuandmeid ja ärisaladust.</w:t>
      </w:r>
    </w:p>
    <w:p w14:paraId="4FC9D32A" w14:textId="77777777" w:rsidR="006B1555" w:rsidRPr="00E87DC8" w:rsidRDefault="006B1555" w:rsidP="006B1555">
      <w:pPr>
        <w:spacing w:before="240"/>
        <w:rPr>
          <w:i/>
          <w:iCs/>
        </w:rPr>
      </w:pPr>
      <w:r w:rsidRPr="00E87DC8">
        <w:rPr>
          <w:i/>
          <w:iCs/>
        </w:rPr>
        <w:t>Demokraatliku õigusriigi põhimõte tähendab, et kehtivad sellised õiguse üldpõhimõtted, mida tunnustatakse Euroopa õigusruumis. Õigusriigi all on mõeldud õigusriiki laiemas tähenduses ehk mitte ainult riiki, kus on olemas seadused, vaid on olemas ka põhiõigused, võimude lahusus, sõltumatud kohtud ja seadusi järgiv haldus.</w:t>
      </w:r>
    </w:p>
    <w:p w14:paraId="0CB6C894" w14:textId="77777777" w:rsidR="006B1555" w:rsidRPr="00E87DC8" w:rsidRDefault="006B1555" w:rsidP="006B1555">
      <w:pPr>
        <w:spacing w:before="240"/>
        <w:rPr>
          <w:i/>
          <w:iCs/>
        </w:rPr>
      </w:pPr>
      <w:r w:rsidRPr="00E87DC8">
        <w:rPr>
          <w:i/>
          <w:iCs/>
        </w:rPr>
        <w:t>Riik, kus kaitstakse muu riigi isikute intellektuaalomandit, isikuandmeid ja ärisaladust, on vähem tõenäoline sekkuma enda riigis asuva ettevõtja tegevusse eesmärgiga teise riigi isikute intellektuaalomandit, isikuandmeid või ärisaladust rikkuda. Kuna sidevõrke läbib suur hulk andmeid, millest osa on tundlikud andmed, peab olema kindlus, et sidevõrkudes kasutatava riist- ja tarkvara kaudu nendele andmetele kolmandatel isikutel ja riikidel õigusvastaselt juurdepääsu pole.</w:t>
      </w:r>
    </w:p>
    <w:p w14:paraId="5B3992D5" w14:textId="77777777" w:rsidR="006B1555" w:rsidRPr="00E87DC8" w:rsidRDefault="006B1555" w:rsidP="006B1555">
      <w:pPr>
        <w:spacing w:before="240"/>
        <w:rPr>
          <w:i/>
          <w:iCs/>
        </w:rPr>
      </w:pPr>
      <w:r w:rsidRPr="00E87DC8">
        <w:rPr>
          <w:i/>
          <w:iCs/>
        </w:rPr>
        <w:t>Teave, et asukohariik käitub küberruumis agressiivselt või EL, NATO või OECD liikmesriigid on asukohariigile omistanud küberrünnakuid, indikeerib, et asukohariik võib taolisi küberrünnakuid korraldada sidevõrkude tehnoloogia kaudu ka Eesti vastu.</w:t>
      </w:r>
    </w:p>
    <w:p w14:paraId="4AC2D0A4" w14:textId="77777777" w:rsidR="006B1555" w:rsidRPr="00E87DC8" w:rsidRDefault="006B1555" w:rsidP="006B1555">
      <w:pPr>
        <w:spacing w:before="240"/>
        <w:rPr>
          <w:i/>
          <w:iCs/>
        </w:rPr>
      </w:pPr>
      <w:r w:rsidRPr="00E87DC8">
        <w:rPr>
          <w:i/>
          <w:iCs/>
        </w:rPr>
        <w:t>Punktid selle kohta, kas ettevõtja allub sõltumatu kohtuliku kontrollita asukohariigi või muu välisriigi valitsusele või riigiasutusel ning kas tema asukohariik või muu välisriik võib kohustada teda tegutsema Eesti riigi julgeolekut ohustaval viisil, baseeruvad eelkõige teise riigi õigusruumi hindamisel. Kui näiteks asukohariigi õigusaktid võimaldavad kohtuliku kontrollita anda ettevõtjale korraldusi luure või riigikaitse huvides teise riigi järele luurata, on see ohumärk Eesti riigi julgeoleku aspektist.</w:t>
      </w:r>
    </w:p>
    <w:p w14:paraId="2ECB068F" w14:textId="77777777" w:rsidR="006B1555" w:rsidRPr="00E87DC8" w:rsidRDefault="006B1555" w:rsidP="006B1555">
      <w:pPr>
        <w:spacing w:before="240"/>
        <w:rPr>
          <w:i/>
          <w:iCs/>
        </w:rPr>
      </w:pPr>
      <w:r w:rsidRPr="00E87DC8">
        <w:rPr>
          <w:i/>
          <w:iCs/>
        </w:rPr>
        <w:t>Punktid 8-10 (kas tema majandustegevus ei põhine turupõhisel konkurentsil või selleks ei ole asukohariigis loodud piisavaid tingimusi; tema omandistruktuur, organisatsiooniline ülesehitus või juhtimisstruktuur ei ole läbipaistev; tema rahastamine ei ole läbipaistev) indikeerivad eelkõige seda, et ettevõtjal võib olla varjatud sidemeid välisriigi valitsusega, mis panevad teda sõltuma selle välisriigi valitsuse tahtest ning luure ja agressiivse teiste riikide mõjutamise kaalutlustest.</w:t>
      </w:r>
    </w:p>
    <w:p w14:paraId="3DC773C4" w14:textId="77777777" w:rsidR="006B1555" w:rsidRPr="00E87DC8" w:rsidRDefault="006B1555" w:rsidP="006B1555">
      <w:pPr>
        <w:spacing w:before="240"/>
        <w:rPr>
          <w:i/>
          <w:iCs/>
        </w:rPr>
      </w:pPr>
      <w:r w:rsidRPr="00E87DC8">
        <w:rPr>
          <w:i/>
          <w:iCs/>
        </w:rPr>
        <w:t xml:space="preserve">Punktid 11-12 (tema tooted või teenused sisaldavad turvanõrkusi ning nende kõrvaldamiseks ei ole rakendatud piisavaid turvameetmeid; ta ei ole järjepidevalt võimeline tagama toodete või teenuste tarneid, välja arvatud vääramatu jõu tõttu) keskenduvad eelkõige sellele, kas tootja, hooldus- või tugiteenuse pakkuja ise tähtsustab küberturvalisust ning on suuteline tarneid tagama. Kui ettevõtja ise küberturvalisust ei tähtsusta, on suurem risk, et tema riist- ja tarkvara sisaldab ohtlikke turvanõrkusi. Kui ettevõtja järjepidevalt, ka pahatahtlikult, tarneid </w:t>
      </w:r>
      <w:r w:rsidRPr="00E87DC8">
        <w:rPr>
          <w:i/>
          <w:iCs/>
        </w:rPr>
        <w:lastRenderedPageBreak/>
        <w:t>ei taga, seab see ohtu sidevõrgu toimimise ja turvalisuse, sest sidevõrk vajab uuendamist nii riist- kui ka tarkvara puhul.</w:t>
      </w:r>
    </w:p>
    <w:p w14:paraId="27B0FB8C" w14:textId="77777777" w:rsidR="006B1555" w:rsidRPr="00E87DC8" w:rsidRDefault="006B1555" w:rsidP="006B1555">
      <w:pPr>
        <w:spacing w:before="240" w:after="240"/>
        <w:rPr>
          <w:i/>
          <w:iCs/>
        </w:rPr>
      </w:pPr>
      <w:r w:rsidRPr="00E87DC8">
        <w:rPr>
          <w:i/>
          <w:iCs/>
        </w:rPr>
        <w:t>2019. aasta Euroopa Liidu riskianalüüsis toodi välja, et oluline on hinnata iga tehnoloogia tootja riskiprofiili. Muu hulgas tuleb riskianalüüsi kohaselt analüüsida ettevõtete sõltumatust Euroopa Liidu välistest riikidest, et välistada tehnoloogia kaudu poliitiliste huvide realiseerimist. Selleks on vaja arvesse võtta ettevõtte ja valitsuse seoseid, ettevõttele kohaldatavaid õigusakte (kas õigusaktid lähtuvad demokraatlikest printsiipidest ning andmekaitse põhimõtetest), ettevõtte juhtimise läbipaistvust ning kolmandate riikide võimet rakendada ettevõtte üle sunnimehhanisme. Riskianalüüsi olulisim sõnum on see, et IKT kasutamise puhul peab riskide hindamine olema kõikehõlmav, mitte ainult tehniliste aspektide keskne.</w:t>
      </w:r>
    </w:p>
    <w:p w14:paraId="4BAEFF6D" w14:textId="77777777" w:rsidR="006B1555" w:rsidRPr="00E87DC8" w:rsidRDefault="006B1555" w:rsidP="006B1555">
      <w:pPr>
        <w:spacing w:before="240"/>
        <w:rPr>
          <w:i/>
          <w:iCs/>
        </w:rPr>
      </w:pPr>
      <w:r w:rsidRPr="00E87DC8">
        <w:rPr>
          <w:i/>
          <w:iCs/>
        </w:rPr>
        <w:t>Pidades silmas digiühiskonna arengut ning IKT arengu tõttu muutunud julgeolekuolukorda, on vajalik, et enne sidevõrkude jaoks vajaliku riist- või tarkvara kasutusele võtmist tagatakse nende kooskõla riigi julgeoleku huvidega. Riigi julgeoleku huvidega kooskõla hindamisel kontrollitakse muu hulgas tarnijate riskiprofiile.</w:t>
      </w:r>
    </w:p>
    <w:p w14:paraId="1389E313" w14:textId="77777777" w:rsidR="006B1555" w:rsidRDefault="006B1555" w:rsidP="006B1555">
      <w:pPr>
        <w:spacing w:before="240"/>
        <w:rPr>
          <w:i/>
        </w:rPr>
      </w:pPr>
      <w:r w:rsidRPr="00E87DC8">
        <w:rPr>
          <w:i/>
          <w:iCs/>
        </w:rPr>
        <w:t>Lisaks tootjale tuleb hinnata ning kontrollida ka hooldus- või tugiteenust pakkuvaid juriidilisi isikuid – nt kui tema tooted või teenused sisaldavad turvanõrkusi ning nende kõrvaldamiseks ei ole rakendatud piisavaid turvameetmeid. Näiteks hiljutine SolarWinds Orion’i intsident näitab, et ka tarneahelas olevatele ohtudele tuleb tähelepanu pöörata</w:t>
      </w:r>
      <w:r>
        <w:rPr>
          <w:rStyle w:val="Allmrkuseviide"/>
          <w:i/>
          <w:iCs/>
        </w:rPr>
        <w:footnoteReference w:id="27"/>
      </w:r>
      <w:r w:rsidRPr="00E87DC8">
        <w:rPr>
          <w:i/>
          <w:iCs/>
        </w:rPr>
        <w:t>.</w:t>
      </w:r>
    </w:p>
    <w:p w14:paraId="2BD907A7" w14:textId="77777777" w:rsidR="006B1555" w:rsidRDefault="006B1555" w:rsidP="006B1555">
      <w:pPr>
        <w:spacing w:before="240"/>
      </w:pPr>
      <w:r>
        <w:t>Kokkuvõtvalt, ühetaolised nõuded nii suurte kui väikeste võrkudega seotud riist- ja tarkvarale on vajalikud, et tagada ühtlane võrgu turvalisus. Kui tegemist pole suletud jaotusvõrguga, vaid hoopis Eesti elektrisüsteemiga ühendatud võrguga, siis on ühtsed nõuded vajalikud. Ka intsidendid väiksemates võrkudes, mis tulenevad nõrkustest riist- ja tarkvaras võivad mõjutada piirkonna elektriga varustamist. Samuti on küberturvalisusega seotud riske esile toonud RIA, Välisluureamet, Riigikantselei (vt käesoleva seletuskirja põhjendusi punktis ELTS 21</w:t>
      </w:r>
      <w:r>
        <w:rPr>
          <w:vertAlign w:val="superscript"/>
        </w:rPr>
        <w:t>1</w:t>
      </w:r>
      <w:r>
        <w:t xml:space="preserve"> ja 21</w:t>
      </w:r>
      <w:r>
        <w:rPr>
          <w:vertAlign w:val="superscript"/>
        </w:rPr>
        <w:t>2</w:t>
      </w:r>
      <w:r>
        <w:t xml:space="preserve">). </w:t>
      </w:r>
    </w:p>
    <w:p w14:paraId="40074A8A" w14:textId="77777777" w:rsidR="006B1555" w:rsidRDefault="006B1555" w:rsidP="00A27C9D">
      <w:r>
        <w:t>Täiendavalt, ü</w:t>
      </w:r>
      <w:r w:rsidRPr="00691620">
        <w:t xml:space="preserve">hetaolised nõuded tagavad, et kõik turuosalised – sõltumata suurusest – tegutsevad samadel alustel. See välistab olukorra, kus väiksemad ettevõtted võiksid saada konkurentsieelise, kuna neile ei kohalduks samad </w:t>
      </w:r>
      <w:r>
        <w:t>nõuded</w:t>
      </w:r>
      <w:r w:rsidRPr="00691620">
        <w:t xml:space="preserve"> kui suurematele ettevõtetele. Samuti välditakse turu killustumist ja tagatakse õiglane konkurents</w:t>
      </w:r>
      <w:r>
        <w:t>.</w:t>
      </w:r>
    </w:p>
    <w:p w14:paraId="7271B93D" w14:textId="11448FA3" w:rsidR="00A27C9D" w:rsidRPr="00A27C9D" w:rsidRDefault="00A27C9D" w:rsidP="0034584B"/>
    <w:p w14:paraId="6D818383" w14:textId="596C0C38" w:rsidR="00A27C9D" w:rsidRDefault="00A27C9D" w:rsidP="00A27C9D">
      <w:pPr>
        <w:ind w:left="10"/>
      </w:pPr>
      <w:r w:rsidRPr="00A27C9D">
        <w:t xml:space="preserve">Lõige </w:t>
      </w:r>
      <w:r w:rsidR="0034584B">
        <w:t>4</w:t>
      </w:r>
      <w:r w:rsidRPr="00A27C9D">
        <w:t xml:space="preserve"> sätestab võrguettevõtjale kohustuse riigi julgeoleku tagamiseks teavitada võrgus kasutatavast riist- ja tarkvarast Tarbijakaitse ja Tehnilise Järelevalve Ametit. Teavitatav riist- ja tarkvara, mille kohta teavitatakse, on  piiratud ainult seadmetega, mis võimaldavad kaugligipääsu ning mida on võimalik kaugelt juhtida.</w:t>
      </w:r>
    </w:p>
    <w:p w14:paraId="0F3E25EC" w14:textId="77777777" w:rsidR="00A27C9D" w:rsidRPr="00A27C9D" w:rsidRDefault="00A27C9D" w:rsidP="00A27C9D">
      <w:pPr>
        <w:ind w:left="10"/>
      </w:pPr>
    </w:p>
    <w:p w14:paraId="1C9F344D" w14:textId="11CCF960" w:rsidR="00A27C9D" w:rsidRPr="00A27C9D" w:rsidRDefault="00A27C9D" w:rsidP="00A27C9D">
      <w:pPr>
        <w:ind w:left="10"/>
      </w:pPr>
      <w:r w:rsidRPr="00A27C9D">
        <w:t xml:space="preserve">Lõige </w:t>
      </w:r>
      <w:r w:rsidR="0034584B">
        <w:t>5</w:t>
      </w:r>
      <w:r w:rsidRPr="00A27C9D">
        <w:t xml:space="preserve"> sätestab teavitamiskohustuse ulatuse ning täpsemad nõuded, kohustuse täitmise tähtaja ja teavituse esitamise korra. Volitusnorm  sätestab elektrisüsteemis toimimise võrgueeskirjas võrguteenuse osutamiseks ja kasutamiseks kohaldatavad täpsemad julgeolekunõuded riist- ja tarkvarale, teavitamiskohustuse ulatus ning selle kohustuse täpsemad nõuded, täitmise tähtaja ja teavituse esitamise kord</w:t>
      </w:r>
      <w:r w:rsidR="0034584B">
        <w:t xml:space="preserve"> </w:t>
      </w:r>
      <w:r w:rsidR="0034584B" w:rsidRPr="0034584B">
        <w:t>ning kasutusloa taotlemise kohustuse ulatus, täpsemad nõuded, menetluse tähtaeg ja kord ning kasutusloa tähtaja erisused</w:t>
      </w:r>
      <w:r w:rsidRPr="00A27C9D">
        <w:t>. Kõnealused nõuded võrgueeskirja muutmisel valmistab ette TTJA koostöös KAPO ja VLA-ga.</w:t>
      </w:r>
    </w:p>
    <w:p w14:paraId="22A61D41" w14:textId="5F7A7C3F" w:rsidR="00A27C9D" w:rsidRDefault="00A27C9D" w:rsidP="00A27C9D">
      <w:pPr>
        <w:ind w:left="10"/>
      </w:pPr>
      <w:r w:rsidRPr="00A27C9D">
        <w:t xml:space="preserve">Teavitamiskohustus on kõigil võrguettevõtetel (sh väiksematel). Väiksemate ettevõtete puhul ei rakendata loakohustust (vt lõige </w:t>
      </w:r>
      <w:r w:rsidR="0034584B">
        <w:t>6</w:t>
      </w:r>
      <w:r w:rsidRPr="00A27C9D">
        <w:t xml:space="preserve">), et tagada väiksemat halduskoormust. Teavitamiskohustuse tulemusel tekib TTJA-l parem ülevaade ka väiksemates võrkudes </w:t>
      </w:r>
      <w:r w:rsidRPr="00A27C9D">
        <w:lastRenderedPageBreak/>
        <w:t>kasutatavatest seadmetest. Kui selgub, et seal võib olla seadmeid, mis kujutavad mingisugust ohtu, siis TTJA saab sellele reageerida ja suuniseid anda.</w:t>
      </w:r>
    </w:p>
    <w:p w14:paraId="3A1BDA4D" w14:textId="77777777" w:rsidR="00A27C9D" w:rsidRPr="00A27C9D" w:rsidRDefault="00A27C9D" w:rsidP="00A27C9D">
      <w:pPr>
        <w:ind w:left="10"/>
      </w:pPr>
    </w:p>
    <w:p w14:paraId="59BD11B1" w14:textId="2C8A1180" w:rsidR="00A27C9D" w:rsidRDefault="00A27C9D" w:rsidP="00A27C9D">
      <w:pPr>
        <w:ind w:left="10"/>
      </w:pPr>
      <w:r w:rsidRPr="00A27C9D">
        <w:t xml:space="preserve">Lõige </w:t>
      </w:r>
      <w:r w:rsidR="0034584B">
        <w:t>6</w:t>
      </w:r>
      <w:r w:rsidRPr="00A27C9D">
        <w:t xml:space="preserve"> sätestab, et riigi julgeoleku tagamiseks on võrguettevõtja kohustatud taotlema võrgu riist- või tarkvara kasutusluba Tarbijakaitse ja Tehnilise Järelevalve Ametilt. Võrgueeskirjas täpsustatakse täpsemad nõuded kasutusloa protsessile, kuid see on sarnane ESS-i praktikale. Kasutusloa taotlemine mõjutab ainult suuremaid ETO-sid (Elektrilevi, Viru Elektrivõrgud, Elering).</w:t>
      </w:r>
    </w:p>
    <w:p w14:paraId="64A47F99" w14:textId="77777777" w:rsidR="00A27C9D" w:rsidRPr="00A27C9D" w:rsidRDefault="00A27C9D" w:rsidP="00A27C9D">
      <w:pPr>
        <w:ind w:left="10"/>
      </w:pPr>
    </w:p>
    <w:p w14:paraId="455C8D4A" w14:textId="48BF4BDE" w:rsidR="00A27C9D" w:rsidRDefault="00A27C9D" w:rsidP="00A27C9D">
      <w:pPr>
        <w:ind w:left="10"/>
      </w:pPr>
      <w:r w:rsidRPr="00A27C9D">
        <w:t xml:space="preserve">Lõige </w:t>
      </w:r>
      <w:r w:rsidR="0034584B">
        <w:t>7</w:t>
      </w:r>
      <w:r w:rsidRPr="00A27C9D">
        <w:t xml:space="preserve"> seab riist- või tarkvara kasutusloa taotlemise kohustuse ulatuse, täpsemad nõuded, menetluse tähtaja ja korra ning kasutusloa tähtaja erisused. Täpsem raamistik kehtestatakse elektrisüsteemi toimimise võrgueeskirjas koostöös TTJA, RIA, KAPO ja VLA-ga 2026. aasta alguses.</w:t>
      </w:r>
    </w:p>
    <w:p w14:paraId="029BD45A" w14:textId="77777777" w:rsidR="00A27C9D" w:rsidRPr="00A27C9D" w:rsidRDefault="00A27C9D" w:rsidP="00A27C9D">
      <w:pPr>
        <w:ind w:left="10"/>
      </w:pPr>
    </w:p>
    <w:p w14:paraId="0AA52F7F" w14:textId="0FB0CE43" w:rsidR="00A27C9D" w:rsidRDefault="00A27C9D" w:rsidP="00A27C9D">
      <w:pPr>
        <w:ind w:left="10"/>
      </w:pPr>
      <w:r w:rsidRPr="00A27C9D">
        <w:t xml:space="preserve">Lõige </w:t>
      </w:r>
      <w:r w:rsidR="0034584B">
        <w:t>8</w:t>
      </w:r>
      <w:r w:rsidRPr="00A27C9D">
        <w:t xml:space="preserve"> sätestab, et lõigetes </w:t>
      </w:r>
      <w:r w:rsidR="0034584B">
        <w:t>5</w:t>
      </w:r>
      <w:r w:rsidRPr="00A27C9D">
        <w:t xml:space="preserve"> ja </w:t>
      </w:r>
      <w:r w:rsidR="0034584B">
        <w:t>7</w:t>
      </w:r>
      <w:r w:rsidRPr="00A27C9D">
        <w:t xml:space="preserve"> nimetatud elektrisüsteemi toimimise võrgueeskirja kehtestamisel arvestab Vabariigi Valitsus elektrivõrgu, selle riist- või tarkvara ning selle kaudu osutatava võrguteenuse olulisust ning neist tulenevaid võimalikke ohte riigi julgeolekule. Sisuliselt annab see lõige Vabariigi Valitsusele kaalumispiirid, millest Vabariigi Valitsus lähtub kui otsustab millise ulatuse ja täpsemate nõuetega teavitus- ja loamenetluskohustus võrgueeskirjas kehtestada. Nt võib Vabariigi Valitsus otsustada kehtestada kasutusloa taotlemise kohustuse üksnes teatud võrguettevõtjatele. Esialgu on plaanis kehtestada kohustus üksnes elutähtsa teenuse osutajatele, kellel on suurim osakaal võrguteenuste puhul (põhivõrguettevõtja Elering ning jaotusvõrguettevõtjad Elektrilevi ja Viru Elektrivõrgud).</w:t>
      </w:r>
    </w:p>
    <w:p w14:paraId="2D9C31BF" w14:textId="77777777" w:rsidR="00A27C9D" w:rsidRPr="00A27C9D" w:rsidRDefault="00A27C9D" w:rsidP="00A27C9D">
      <w:pPr>
        <w:ind w:left="10"/>
      </w:pPr>
    </w:p>
    <w:p w14:paraId="7E1BC5EB" w14:textId="77777777" w:rsidR="00A27C9D" w:rsidRPr="00A27C9D" w:rsidRDefault="00A27C9D" w:rsidP="00A27C9D">
      <w:pPr>
        <w:ind w:left="10"/>
        <w:rPr>
          <w:b/>
          <w:bCs/>
          <w:vertAlign w:val="superscript"/>
        </w:rPr>
      </w:pPr>
      <w:r w:rsidRPr="00A27C9D">
        <w:rPr>
          <w:b/>
          <w:bCs/>
        </w:rPr>
        <w:t>ELTS § 65</w:t>
      </w:r>
      <w:r w:rsidRPr="00A27C9D">
        <w:rPr>
          <w:b/>
          <w:bCs/>
          <w:vertAlign w:val="superscript"/>
        </w:rPr>
        <w:t>2</w:t>
      </w:r>
    </w:p>
    <w:p w14:paraId="0A84BDB6" w14:textId="6197C5BD" w:rsidR="00A27C9D" w:rsidRPr="00A27C9D" w:rsidRDefault="00A27C9D" w:rsidP="00A27C9D">
      <w:pPr>
        <w:ind w:left="10"/>
      </w:pPr>
      <w:r w:rsidRPr="00A27C9D">
        <w:t>Lõige 1 sätestab, et §65</w:t>
      </w:r>
      <w:r w:rsidRPr="00A27C9D">
        <w:rPr>
          <w:vertAlign w:val="superscript"/>
        </w:rPr>
        <w:t>1</w:t>
      </w:r>
      <w:r w:rsidRPr="00A27C9D">
        <w:t xml:space="preserve"> lõikes </w:t>
      </w:r>
      <w:r w:rsidR="0034584B">
        <w:t>6</w:t>
      </w:r>
      <w:r w:rsidRPr="00A27C9D">
        <w:t xml:space="preserve">  nimetatud riist- ja tarkvara kasutusloa taotluse esitamise tähtaeg määratakse kindlaks elektrisüsteemi toimimise võrgueeskirjas. Taotluse tähtaja määramisel esmalt konsulteeritakse ka võrguettevõtjatega, mis ajaks on nad võimelised taotlust esitama.</w:t>
      </w:r>
    </w:p>
    <w:p w14:paraId="216EB3FA" w14:textId="77777777" w:rsidR="00A27C9D" w:rsidRPr="00A27C9D" w:rsidRDefault="00A27C9D" w:rsidP="00A27C9D">
      <w:pPr>
        <w:ind w:left="10"/>
      </w:pPr>
    </w:p>
    <w:p w14:paraId="2EFB54E3" w14:textId="77777777" w:rsidR="00A27C9D" w:rsidRPr="00A27C9D" w:rsidRDefault="00A27C9D" w:rsidP="00A27C9D">
      <w:pPr>
        <w:ind w:left="10"/>
      </w:pPr>
      <w:r w:rsidRPr="00A27C9D">
        <w:t xml:space="preserve">Lõikega 2 sätestatakse loogika, kuidas toimub infovahetus ja päringud. Riist- või tarkvara kasutusloa taotluse saamisel küsib Tarbijakaitse ja Tehnilise Järelevalve Amet julgeolekuasutustelt ja Riigi Infosüsteemi Ametilt arvamuse, kas võrguettevõtja riist- või tarkvara kasutusloa taotluses nimetatud riist- või tarkvara ohustab riigi julgeolekut. Kui saadud arvamuse kohaselt võib riist- või tarkvara ohustada riigi julgeolekut, küsib Tarbijakaitse ja Tehnilise Järelevalve Amet enne võrguettevõtja riist- või tarkvara kasutusloa taotluse lahendamist kooskõlastuse Vabariigi Valitsuse julgeolekukomisjoni põhimääruses nimetatud organilt (küberjulgeoleku nõukogult). </w:t>
      </w:r>
    </w:p>
    <w:p w14:paraId="7AF464D9" w14:textId="77777777" w:rsidR="00A27C9D" w:rsidRPr="00A27C9D" w:rsidRDefault="00A27C9D" w:rsidP="00A27C9D">
      <w:pPr>
        <w:ind w:left="10"/>
      </w:pPr>
    </w:p>
    <w:p w14:paraId="0CCDD79D" w14:textId="77777777" w:rsidR="00A27C9D" w:rsidRPr="00A27C9D" w:rsidRDefault="00A27C9D" w:rsidP="00A27C9D">
      <w:pPr>
        <w:ind w:left="10"/>
      </w:pPr>
      <w:r w:rsidRPr="00A27C9D">
        <w:t xml:space="preserve">Lõikes 3 sätestatakse hindamisloogika. Küberjulgeoleku nõukogu võib kooskõlastamisel teha ettepaneku keelata riist- või tarkvara kasutusloa taotluses nimetatud riist- või tarkvara kasutamine või seada selle kasutamisele tingimused. Riist- või tarkvara kasutamise tingimus võib muu hulgas olla kasutamise tähtaeg, kasutamine teatud elektrivõrgu osades, funktsioonides või seadistustega. Juhul kui on võimalik riske maandada alternatiivsete meetmete rakendamisega (nt tootjapoolse kaugligipääsu eemaldamisega või kontrollimisega inverterites), siis esmalt eelistatakse seda. </w:t>
      </w:r>
    </w:p>
    <w:p w14:paraId="4FD56266" w14:textId="77777777" w:rsidR="00A27C9D" w:rsidRPr="00A27C9D" w:rsidRDefault="00A27C9D" w:rsidP="00A27C9D">
      <w:pPr>
        <w:ind w:left="10"/>
      </w:pPr>
    </w:p>
    <w:p w14:paraId="482CBE04" w14:textId="0959C5D5" w:rsidR="00A27C9D" w:rsidRPr="00A27C9D" w:rsidRDefault="00A27C9D" w:rsidP="00A27C9D">
      <w:pPr>
        <w:ind w:left="10"/>
      </w:pPr>
      <w:r w:rsidRPr="00A27C9D">
        <w:t xml:space="preserve">Lõige 4 sätestab TTJA tegevused seoses kasutusloaga seotud tegevustega. Arvestades käesoleva paragrahvi lõigetes </w:t>
      </w:r>
      <w:r w:rsidR="0034584B">
        <w:t>3</w:t>
      </w:r>
      <w:r w:rsidRPr="00A27C9D">
        <w:t xml:space="preserve"> ja </w:t>
      </w:r>
      <w:r w:rsidR="0034584B">
        <w:t>4</w:t>
      </w:r>
      <w:r w:rsidRPr="00A27C9D">
        <w:t xml:space="preserve"> sätestatuga, otsustab TTJA riist- või tarkvara kasutusloa taotluse rahuldamise, tingimusliku rahuldamise või rahuldamata jätmise.</w:t>
      </w:r>
    </w:p>
    <w:p w14:paraId="77828CEC" w14:textId="77777777" w:rsidR="00A27C9D" w:rsidRPr="00A27C9D" w:rsidRDefault="00A27C9D" w:rsidP="00A27C9D">
      <w:pPr>
        <w:ind w:left="10"/>
      </w:pPr>
    </w:p>
    <w:p w14:paraId="66652208" w14:textId="77777777" w:rsidR="00A27C9D" w:rsidRPr="00A27C9D" w:rsidRDefault="00A27C9D" w:rsidP="00A27C9D">
      <w:pPr>
        <w:ind w:left="10"/>
      </w:pPr>
      <w:r w:rsidRPr="00A27C9D">
        <w:lastRenderedPageBreak/>
        <w:t>Lõige 5 sätestab, et riist- või tarkvarale, mis ei ohusta riigi julgeolekut, antakse kasutusluba kaheksaks aastaks. Juhul kui selle perioodi sees selgub, et kasutusoas olevate seadmetele on tekkinud mingid riskid, siis TTJA-l on ülevaade nendest ning siis teavitab ta sellest võrguettevõtet. Riist- või tarkvarale, mis ohustab riigi julgeolekut, ei anta kasutusluba või antakse tingimuslik kasutusluba, sõltuvalt, millises ulatuses eksisteerib oht või puudused.</w:t>
      </w:r>
    </w:p>
    <w:p w14:paraId="4CFEF00D" w14:textId="77777777" w:rsidR="006B1555" w:rsidRDefault="006B1555" w:rsidP="006B1555">
      <w:pPr>
        <w:ind w:left="10"/>
        <w:rPr>
          <w:rFonts w:eastAsia="Times New Roman" w:cs="Times New Roman"/>
          <w:color w:val="000000"/>
          <w:lang w:eastAsia="et-EE"/>
        </w:rPr>
      </w:pPr>
    </w:p>
    <w:p w14:paraId="6B4C0BFF" w14:textId="77777777" w:rsidR="006B1555" w:rsidRDefault="006B1555" w:rsidP="006B1555">
      <w:pPr>
        <w:ind w:left="11" w:hanging="11"/>
        <w:rPr>
          <w:rFonts w:eastAsia="Times New Roman" w:cs="Times New Roman"/>
          <w:b/>
          <w:bCs/>
          <w:color w:val="000000"/>
          <w:lang w:eastAsia="et-EE"/>
        </w:rPr>
      </w:pPr>
      <w:r>
        <w:rPr>
          <w:rFonts w:eastAsia="Times New Roman" w:cs="Times New Roman"/>
          <w:b/>
          <w:bCs/>
          <w:color w:val="000000"/>
          <w:lang w:eastAsia="et-EE"/>
        </w:rPr>
        <w:t xml:space="preserve">ELTS § 67 </w:t>
      </w:r>
    </w:p>
    <w:p w14:paraId="5F751757" w14:textId="77777777" w:rsidR="006B1555" w:rsidRDefault="006B1555" w:rsidP="006B1555">
      <w:pPr>
        <w:ind w:left="11" w:hanging="11"/>
        <w:rPr>
          <w:rFonts w:eastAsia="Times New Roman" w:cs="Times New Roman"/>
          <w:color w:val="000000"/>
          <w:lang w:eastAsia="et-EE"/>
        </w:rPr>
      </w:pPr>
      <w:r>
        <w:rPr>
          <w:rFonts w:eastAsia="Times New Roman" w:cs="Times New Roman"/>
          <w:b/>
          <w:bCs/>
          <w:color w:val="000000"/>
          <w:lang w:eastAsia="et-EE"/>
        </w:rPr>
        <w:t>Lõige 10</w:t>
      </w:r>
    </w:p>
    <w:p w14:paraId="2A0D5F6A" w14:textId="77777777" w:rsidR="006B1555" w:rsidRDefault="006B1555" w:rsidP="006B1555">
      <w:pPr>
        <w:ind w:left="11" w:hanging="11"/>
        <w:rPr>
          <w:rFonts w:eastAsia="Times New Roman" w:cs="Times New Roman"/>
          <w:color w:val="000000"/>
          <w:lang w:eastAsia="et-EE"/>
        </w:rPr>
      </w:pPr>
      <w:r>
        <w:rPr>
          <w:rFonts w:eastAsia="Times New Roman" w:cs="Times New Roman"/>
          <w:color w:val="000000"/>
          <w:lang w:eastAsia="et-EE"/>
        </w:rPr>
        <w:t>Seaduse § 67 lõikes</w:t>
      </w:r>
      <w:r w:rsidRPr="00894363">
        <w:rPr>
          <w:rFonts w:eastAsia="Times New Roman" w:cs="Times New Roman"/>
          <w:color w:val="000000"/>
          <w:lang w:eastAsia="et-EE"/>
        </w:rPr>
        <w:t xml:space="preserve"> </w:t>
      </w:r>
      <w:r>
        <w:rPr>
          <w:rFonts w:eastAsia="Times New Roman" w:cs="Times New Roman"/>
          <w:color w:val="000000"/>
          <w:lang w:eastAsia="et-EE"/>
        </w:rPr>
        <w:t>10</w:t>
      </w:r>
      <w:r w:rsidRPr="00894363">
        <w:rPr>
          <w:rFonts w:eastAsia="Times New Roman" w:cs="Times New Roman"/>
          <w:color w:val="000000"/>
          <w:lang w:eastAsia="et-EE"/>
        </w:rPr>
        <w:t xml:space="preserve"> täpsustatakse, et </w:t>
      </w:r>
      <w:r>
        <w:rPr>
          <w:rFonts w:eastAsia="Times New Roman" w:cs="Times New Roman"/>
          <w:color w:val="000000"/>
          <w:lang w:eastAsia="et-EE"/>
        </w:rPr>
        <w:t>§ 58</w:t>
      </w:r>
      <w:r w:rsidRPr="007C1AB4">
        <w:rPr>
          <w:rFonts w:eastAsia="Times New Roman" w:cs="Times New Roman"/>
          <w:color w:val="000000"/>
          <w:vertAlign w:val="superscript"/>
          <w:lang w:eastAsia="et-EE"/>
        </w:rPr>
        <w:t>3</w:t>
      </w:r>
      <w:r>
        <w:rPr>
          <w:rFonts w:eastAsia="Times New Roman" w:cs="Times New Roman"/>
          <w:color w:val="000000"/>
          <w:lang w:eastAsia="et-EE"/>
        </w:rPr>
        <w:t xml:space="preserve"> lõikes 4 nimetatud tarbimiskoha</w:t>
      </w:r>
      <w:r w:rsidRPr="00894363">
        <w:rPr>
          <w:rFonts w:eastAsia="Times New Roman" w:cs="Times New Roman"/>
          <w:color w:val="000000"/>
          <w:lang w:eastAsia="et-EE"/>
        </w:rPr>
        <w:t xml:space="preserve"> piires elektrit jagades toimub kauplemisperioodil tootmis- ja tarbimissuunalise elektrienergia saldeerimine. Saldeerimine pikema ajavälba puhul ei ole põhjendatud, kuna see toob kaasa elektrisüsteemi ebaefektiivse toimimise</w:t>
      </w:r>
      <w:r>
        <w:rPr>
          <w:rFonts w:eastAsia="Times New Roman" w:cs="Times New Roman"/>
          <w:color w:val="000000"/>
          <w:lang w:eastAsia="et-EE"/>
        </w:rPr>
        <w:t xml:space="preserve"> ja mõju elektribörsi hinnale. Näiteks aasta jooksul saldeeritav elektrienergia toob kaasa olukorra mil suvel toodetud elektrit kasutavad tarbijad talvel, kuigi talveperioodil toodetud elekter on kallim – see on mõnes EL riigis toonud kaasa olukorra, kus suvel on sadadesse eurodesse küündivad negatiivsed elektrihinnad ja talvel tuleb elektrimüüjal soetada tarbijale müügiks kallimat elektrienergiat, mille eest tarbija ei tasu kuna ta saldeerib suvel toodetud elektrit oma talvisest tarbimisest</w:t>
      </w:r>
      <w:r w:rsidRPr="00894363">
        <w:rPr>
          <w:rFonts w:eastAsia="Times New Roman" w:cs="Times New Roman"/>
          <w:color w:val="000000"/>
          <w:lang w:eastAsia="et-EE"/>
        </w:rPr>
        <w:t>.</w:t>
      </w:r>
      <w:r>
        <w:rPr>
          <w:rFonts w:eastAsia="Times New Roman" w:cs="Times New Roman"/>
          <w:color w:val="000000"/>
          <w:lang w:eastAsia="et-EE"/>
        </w:rPr>
        <w:t xml:space="preserve"> Elektri börsihinnad, mis ei peegelda elektrituru tegelikku olukorda, võivad tuua kaasa elektrisüsteemi ebaefektiivse toimise ja ohud varustuskindlusele. </w:t>
      </w:r>
      <w:r w:rsidRPr="00894363">
        <w:rPr>
          <w:rFonts w:eastAsia="Times New Roman" w:cs="Times New Roman"/>
          <w:color w:val="000000"/>
          <w:lang w:eastAsia="et-EE"/>
        </w:rPr>
        <w:t>Tarbijatevahelise kokkuleppe all on mõeldud seda, et tarbijad, nt korteriühistu liikmed, lepivad kokku, millised korterid osalevad elektri jagamises ja millistel alustel elektrit jagatakse. Näiteks võivad korteriühistu liikmed leppida kokku, et jagamise aluseks võetakse korterite põrandapind, või otsustada jätta elektri jagamisest kõrvale korterid, kes ei ole taastuvelektri tootmisseadme rajamisse panustanud.</w:t>
      </w:r>
    </w:p>
    <w:p w14:paraId="5E12342E" w14:textId="77777777" w:rsidR="006B1555" w:rsidRDefault="006B1555" w:rsidP="006B1555">
      <w:pPr>
        <w:ind w:left="11" w:hanging="11"/>
        <w:rPr>
          <w:rFonts w:eastAsia="Times New Roman" w:cs="Times New Roman"/>
          <w:color w:val="000000"/>
          <w:lang w:eastAsia="et-EE"/>
        </w:rPr>
      </w:pPr>
    </w:p>
    <w:p w14:paraId="7B68BE45" w14:textId="77777777" w:rsidR="006B1555" w:rsidRDefault="006B1555" w:rsidP="006B1555">
      <w:pPr>
        <w:rPr>
          <w:b/>
          <w:bCs/>
        </w:rPr>
      </w:pPr>
      <w:r>
        <w:rPr>
          <w:b/>
          <w:bCs/>
        </w:rPr>
        <w:t xml:space="preserve">ELTS § 70 </w:t>
      </w:r>
    </w:p>
    <w:p w14:paraId="7C585D0A" w14:textId="77777777" w:rsidR="006B1555" w:rsidRDefault="006B1555" w:rsidP="006B1555">
      <w:pPr>
        <w:rPr>
          <w:b/>
          <w:bCs/>
        </w:rPr>
      </w:pPr>
      <w:r>
        <w:rPr>
          <w:b/>
          <w:bCs/>
        </w:rPr>
        <w:t xml:space="preserve">Lõige 8 </w:t>
      </w:r>
    </w:p>
    <w:p w14:paraId="64F65220" w14:textId="77777777" w:rsidR="006B1555" w:rsidRDefault="006B1555" w:rsidP="006B1555">
      <w:r>
        <w:t>Muudetakse § 70 lõike 8 sõnastust, mida täiendatakse nõudega anda teavet muu hulgas ka paindliku liitumise võimaluste kohta. Direktiivist lisanduv nõue loob kohustuse jaotusvõrguettevõtjale anda muuhulgas infot ka paindliku ühenduse loomise võimalikkuse kohta ülekoormatud piirkondades, seda muidugi konfidentsiaalsuse nõuet silmas pidades. Võrdsetel alustel informatsiooni andmine tähendab võrguettevõtja jaoks, et teave jõuab üheaegselt kõigini näiteks veebilehe kaudu.</w:t>
      </w:r>
    </w:p>
    <w:p w14:paraId="58B97B74" w14:textId="77777777" w:rsidR="006B1555" w:rsidRDefault="006B1555" w:rsidP="006B1555">
      <w:pPr>
        <w:ind w:left="11" w:hanging="11"/>
        <w:rPr>
          <w:rFonts w:eastAsia="Times New Roman" w:cs="Times New Roman"/>
          <w:color w:val="000000"/>
          <w:lang w:eastAsia="et-EE"/>
        </w:rPr>
      </w:pPr>
    </w:p>
    <w:p w14:paraId="5EC1E535" w14:textId="77777777" w:rsidR="006B1555" w:rsidRDefault="006B1555" w:rsidP="006B1555">
      <w:pPr>
        <w:ind w:left="11" w:hanging="11"/>
        <w:rPr>
          <w:rFonts w:eastAsia="Times New Roman" w:cs="Times New Roman"/>
          <w:b/>
          <w:bCs/>
          <w:color w:val="000000"/>
          <w:lang w:eastAsia="et-EE"/>
        </w:rPr>
      </w:pPr>
      <w:r>
        <w:rPr>
          <w:rFonts w:eastAsia="Times New Roman" w:cs="Times New Roman"/>
          <w:b/>
          <w:bCs/>
          <w:color w:val="000000"/>
          <w:lang w:eastAsia="et-EE"/>
        </w:rPr>
        <w:t xml:space="preserve">ELTS § 72 </w:t>
      </w:r>
    </w:p>
    <w:p w14:paraId="4F831AD0" w14:textId="77777777" w:rsidR="006B1555" w:rsidRPr="0080235D" w:rsidRDefault="006B1555" w:rsidP="006B1555">
      <w:pPr>
        <w:ind w:left="11" w:hanging="11"/>
        <w:rPr>
          <w:rFonts w:eastAsia="Times New Roman" w:cs="Times New Roman"/>
          <w:b/>
          <w:bCs/>
          <w:color w:val="000000"/>
          <w:lang w:eastAsia="et-EE"/>
        </w:rPr>
      </w:pPr>
      <w:r>
        <w:rPr>
          <w:rFonts w:eastAsia="Times New Roman" w:cs="Times New Roman"/>
          <w:b/>
          <w:bCs/>
          <w:color w:val="000000"/>
          <w:lang w:eastAsia="et-EE"/>
        </w:rPr>
        <w:t>Lõige 4</w:t>
      </w:r>
    </w:p>
    <w:p w14:paraId="73A8815D" w14:textId="77777777" w:rsidR="006B1555" w:rsidRDefault="006B1555" w:rsidP="006B1555">
      <w:pPr>
        <w:ind w:left="11" w:hanging="11"/>
        <w:rPr>
          <w:rFonts w:eastAsia="Times New Roman" w:cs="Times New Roman"/>
          <w:color w:val="000000"/>
          <w:lang w:eastAsia="et-EE"/>
        </w:rPr>
      </w:pPr>
      <w:r>
        <w:rPr>
          <w:rFonts w:eastAsia="Times New Roman" w:cs="Times New Roman"/>
          <w:color w:val="000000"/>
          <w:lang w:eastAsia="et-EE"/>
        </w:rPr>
        <w:t>T</w:t>
      </w:r>
      <w:r w:rsidRPr="00EC7D54">
        <w:rPr>
          <w:rFonts w:eastAsia="Times New Roman" w:cs="Times New Roman"/>
          <w:color w:val="000000"/>
          <w:lang w:eastAsia="et-EE"/>
        </w:rPr>
        <w:t>äiendatakse</w:t>
      </w:r>
      <w:r>
        <w:rPr>
          <w:rFonts w:eastAsia="Times New Roman" w:cs="Times New Roman"/>
          <w:color w:val="000000"/>
          <w:lang w:eastAsia="et-EE"/>
        </w:rPr>
        <w:t xml:space="preserve"> §</w:t>
      </w:r>
      <w:r w:rsidRPr="00753851">
        <w:rPr>
          <w:rFonts w:eastAsia="Times New Roman" w:cs="Times New Roman"/>
          <w:color w:val="000000"/>
          <w:lang w:eastAsia="et-EE"/>
        </w:rPr>
        <w:t xml:space="preserve"> 7</w:t>
      </w:r>
      <w:r>
        <w:rPr>
          <w:rFonts w:eastAsia="Times New Roman" w:cs="Times New Roman"/>
          <w:color w:val="000000"/>
          <w:lang w:eastAsia="et-EE"/>
        </w:rPr>
        <w:t>2</w:t>
      </w:r>
      <w:r w:rsidRPr="00753851">
        <w:rPr>
          <w:rFonts w:eastAsia="Times New Roman" w:cs="Times New Roman"/>
          <w:color w:val="000000"/>
          <w:lang w:eastAsia="et-EE"/>
        </w:rPr>
        <w:t xml:space="preserve"> lõike</w:t>
      </w:r>
      <w:r>
        <w:rPr>
          <w:rFonts w:eastAsia="Times New Roman" w:cs="Times New Roman"/>
          <w:color w:val="000000"/>
          <w:lang w:eastAsia="et-EE"/>
        </w:rPr>
        <w:t xml:space="preserve"> 4 teist lauset Konkurentsiameti kasutatava v</w:t>
      </w:r>
      <w:r w:rsidRPr="00753851">
        <w:rPr>
          <w:rFonts w:eastAsia="Times New Roman" w:cs="Times New Roman"/>
          <w:color w:val="000000"/>
          <w:lang w:eastAsia="et-EE"/>
        </w:rPr>
        <w:t xml:space="preserve">õrgutasude </w:t>
      </w:r>
      <w:r>
        <w:rPr>
          <w:rFonts w:eastAsia="Times New Roman" w:cs="Times New Roman"/>
          <w:color w:val="000000"/>
          <w:lang w:eastAsia="et-EE"/>
        </w:rPr>
        <w:t xml:space="preserve">metoodika asjus. </w:t>
      </w:r>
      <w:r w:rsidRPr="00524827">
        <w:rPr>
          <w:rFonts w:eastAsia="Times New Roman" w:cs="Times New Roman"/>
          <w:color w:val="000000"/>
          <w:lang w:eastAsia="et-EE"/>
        </w:rPr>
        <w:t>Konkurentsiameti metoodika pea</w:t>
      </w:r>
      <w:r>
        <w:rPr>
          <w:rFonts w:eastAsia="Times New Roman" w:cs="Times New Roman"/>
          <w:color w:val="000000"/>
          <w:lang w:eastAsia="et-EE"/>
        </w:rPr>
        <w:t>b</w:t>
      </w:r>
      <w:r w:rsidRPr="00524827">
        <w:rPr>
          <w:rFonts w:eastAsia="Times New Roman" w:cs="Times New Roman"/>
          <w:color w:val="000000"/>
          <w:lang w:eastAsia="et-EE"/>
        </w:rPr>
        <w:t xml:space="preserve"> arvestama</w:t>
      </w:r>
      <w:r>
        <w:rPr>
          <w:rFonts w:eastAsia="Times New Roman" w:cs="Times New Roman"/>
          <w:color w:val="000000"/>
          <w:lang w:eastAsia="et-EE"/>
        </w:rPr>
        <w:t>, et v</w:t>
      </w:r>
      <w:r w:rsidRPr="00B01D20">
        <w:rPr>
          <w:rFonts w:eastAsia="Times New Roman" w:cs="Times New Roman"/>
          <w:color w:val="000000"/>
          <w:lang w:eastAsia="et-EE"/>
        </w:rPr>
        <w:t>õrguta</w:t>
      </w:r>
      <w:r>
        <w:rPr>
          <w:rFonts w:eastAsia="Times New Roman" w:cs="Times New Roman"/>
          <w:color w:val="000000"/>
          <w:lang w:eastAsia="et-EE"/>
        </w:rPr>
        <w:t>sud</w:t>
      </w:r>
      <w:r w:rsidRPr="00B01D20">
        <w:rPr>
          <w:rFonts w:eastAsia="Times New Roman" w:cs="Times New Roman"/>
          <w:color w:val="000000"/>
          <w:lang w:eastAsia="et-EE"/>
        </w:rPr>
        <w:t xml:space="preserve"> pea</w:t>
      </w:r>
      <w:r>
        <w:rPr>
          <w:rFonts w:eastAsia="Times New Roman" w:cs="Times New Roman"/>
          <w:color w:val="000000"/>
          <w:lang w:eastAsia="et-EE"/>
        </w:rPr>
        <w:t>vad</w:t>
      </w:r>
      <w:r w:rsidRPr="00B01D20">
        <w:rPr>
          <w:rFonts w:eastAsia="Times New Roman" w:cs="Times New Roman"/>
          <w:color w:val="000000"/>
          <w:lang w:eastAsia="et-EE"/>
        </w:rPr>
        <w:t xml:space="preserve"> pakkuma võrguettevõtjatele stiimuleid kasutada paindlikkusteenuseid, eelkõige tarbimiskaja ja energia salvestamist</w:t>
      </w:r>
      <w:r>
        <w:rPr>
          <w:rFonts w:eastAsia="Times New Roman" w:cs="Times New Roman"/>
          <w:color w:val="000000"/>
          <w:lang w:eastAsia="et-EE"/>
        </w:rPr>
        <w:t>. Võrguettevõtjal puudub muidu võimalus</w:t>
      </w:r>
      <w:r w:rsidRPr="00B01D20">
        <w:rPr>
          <w:rFonts w:eastAsia="Times New Roman" w:cs="Times New Roman"/>
          <w:color w:val="000000"/>
          <w:lang w:eastAsia="et-EE"/>
        </w:rPr>
        <w:t xml:space="preserve"> arendad</w:t>
      </w:r>
      <w:r>
        <w:rPr>
          <w:rFonts w:eastAsia="Times New Roman" w:cs="Times New Roman"/>
          <w:color w:val="000000"/>
          <w:lang w:eastAsia="et-EE"/>
        </w:rPr>
        <w:t>a</w:t>
      </w:r>
      <w:r w:rsidRPr="00B01D20">
        <w:rPr>
          <w:rFonts w:eastAsia="Times New Roman" w:cs="Times New Roman"/>
          <w:color w:val="000000"/>
          <w:lang w:eastAsia="et-EE"/>
        </w:rPr>
        <w:t xml:space="preserve"> uuenduslikke lahendusi olemasoleva võrgu optimeerimiseks ja paindlikkusteenuste hankimiseks. </w:t>
      </w:r>
      <w:r>
        <w:rPr>
          <w:rFonts w:eastAsia="Times New Roman" w:cs="Times New Roman"/>
          <w:color w:val="000000"/>
          <w:lang w:eastAsia="et-EE"/>
        </w:rPr>
        <w:t>V</w:t>
      </w:r>
      <w:r w:rsidRPr="00B01D20">
        <w:rPr>
          <w:rFonts w:eastAsia="Times New Roman" w:cs="Times New Roman"/>
          <w:color w:val="000000"/>
          <w:lang w:eastAsia="et-EE"/>
        </w:rPr>
        <w:t xml:space="preserve">õrgutariifid </w:t>
      </w:r>
      <w:r>
        <w:rPr>
          <w:rFonts w:eastAsia="Times New Roman" w:cs="Times New Roman"/>
          <w:color w:val="000000"/>
          <w:lang w:eastAsia="et-EE"/>
        </w:rPr>
        <w:t xml:space="preserve">tuleb </w:t>
      </w:r>
      <w:r w:rsidRPr="00B01D20">
        <w:rPr>
          <w:rFonts w:eastAsia="Times New Roman" w:cs="Times New Roman"/>
          <w:color w:val="000000"/>
          <w:lang w:eastAsia="et-EE"/>
        </w:rPr>
        <w:t>kavandada nii, et neis võetaks arvesse võrguettevõtjate tegevus- ja kapitalikulusid või mõlema tõhusat kombinatsiooni, et elektrisüsteemi kulutõhusalt käitada. Kulude kajastamise nõue ei tohi piirata võimalust jaotada kulud tõhusalt ümber, kui kohaldatakse ajapõhiseid võrgutasusid. See aita</w:t>
      </w:r>
      <w:r>
        <w:rPr>
          <w:rFonts w:eastAsia="Times New Roman" w:cs="Times New Roman"/>
          <w:color w:val="000000"/>
          <w:lang w:eastAsia="et-EE"/>
        </w:rPr>
        <w:t>b</w:t>
      </w:r>
      <w:r w:rsidRPr="00B01D20">
        <w:rPr>
          <w:rFonts w:eastAsia="Times New Roman" w:cs="Times New Roman"/>
          <w:color w:val="000000"/>
          <w:lang w:eastAsia="et-EE"/>
        </w:rPr>
        <w:t xml:space="preserve"> taastuvatest energiaallikatest saadud energiat võimalikult väheste kuludega rohkem elektrisüsteemi lõimida ja võimaldaks lõpptarbijatel oma paindlikkuslahendusi</w:t>
      </w:r>
      <w:r>
        <w:rPr>
          <w:rFonts w:eastAsia="Times New Roman" w:cs="Times New Roman"/>
          <w:color w:val="000000"/>
          <w:lang w:eastAsia="et-EE"/>
        </w:rPr>
        <w:t xml:space="preserve"> </w:t>
      </w:r>
      <w:r w:rsidRPr="00B01D20">
        <w:rPr>
          <w:rFonts w:eastAsia="Times New Roman" w:cs="Times New Roman"/>
          <w:color w:val="000000"/>
          <w:lang w:eastAsia="et-EE"/>
        </w:rPr>
        <w:t xml:space="preserve">väärtustada. </w:t>
      </w:r>
      <w:r>
        <w:rPr>
          <w:rFonts w:eastAsia="Times New Roman" w:cs="Times New Roman"/>
          <w:color w:val="000000"/>
          <w:lang w:eastAsia="et-EE"/>
        </w:rPr>
        <w:t>Konkurentsiametil</w:t>
      </w:r>
      <w:r w:rsidRPr="00B01D20">
        <w:rPr>
          <w:rFonts w:eastAsia="Times New Roman" w:cs="Times New Roman"/>
          <w:color w:val="000000"/>
          <w:lang w:eastAsia="et-EE"/>
        </w:rPr>
        <w:t xml:space="preserve"> on keskne roll piisavate investeeringute tagamisel võrgu vajalikuks arendamiseks, laiendamiseks ja tugevdamiseks. </w:t>
      </w:r>
      <w:r>
        <w:rPr>
          <w:rFonts w:eastAsia="Times New Roman" w:cs="Times New Roman"/>
          <w:color w:val="000000"/>
          <w:lang w:eastAsia="et-EE"/>
        </w:rPr>
        <w:t xml:space="preserve">Konkurentsiamet </w:t>
      </w:r>
      <w:r w:rsidRPr="00B01D20">
        <w:rPr>
          <w:rFonts w:eastAsia="Times New Roman" w:cs="Times New Roman"/>
          <w:color w:val="000000"/>
          <w:lang w:eastAsia="et-EE"/>
        </w:rPr>
        <w:t>pea</w:t>
      </w:r>
      <w:r>
        <w:rPr>
          <w:rFonts w:eastAsia="Times New Roman" w:cs="Times New Roman"/>
          <w:color w:val="000000"/>
          <w:lang w:eastAsia="et-EE"/>
        </w:rPr>
        <w:t>b</w:t>
      </w:r>
      <w:r w:rsidRPr="00B01D20">
        <w:rPr>
          <w:rFonts w:eastAsia="Times New Roman" w:cs="Times New Roman"/>
          <w:color w:val="000000"/>
          <w:lang w:eastAsia="et-EE"/>
        </w:rPr>
        <w:t xml:space="preserve"> </w:t>
      </w:r>
      <w:r>
        <w:rPr>
          <w:rFonts w:eastAsia="Times New Roman" w:cs="Times New Roman"/>
          <w:color w:val="000000"/>
          <w:lang w:eastAsia="et-EE"/>
        </w:rPr>
        <w:t xml:space="preserve">edendama </w:t>
      </w:r>
      <w:r w:rsidRPr="00B01D20">
        <w:rPr>
          <w:rFonts w:eastAsia="Times New Roman" w:cs="Times New Roman"/>
          <w:color w:val="000000"/>
          <w:lang w:eastAsia="et-EE"/>
        </w:rPr>
        <w:t xml:space="preserve">selle </w:t>
      </w:r>
      <w:r>
        <w:rPr>
          <w:rFonts w:eastAsia="Times New Roman" w:cs="Times New Roman"/>
          <w:color w:val="000000"/>
          <w:lang w:eastAsia="et-EE"/>
        </w:rPr>
        <w:t xml:space="preserve">investeeringu </w:t>
      </w:r>
      <w:r w:rsidRPr="00B01D20">
        <w:rPr>
          <w:rFonts w:eastAsia="Times New Roman" w:cs="Times New Roman"/>
          <w:color w:val="000000"/>
          <w:lang w:eastAsia="et-EE"/>
        </w:rPr>
        <w:t>kasutamist, ergutades võrgu arendamist</w:t>
      </w:r>
      <w:r>
        <w:rPr>
          <w:rFonts w:eastAsia="Times New Roman" w:cs="Times New Roman"/>
          <w:color w:val="000000"/>
          <w:lang w:eastAsia="et-EE"/>
        </w:rPr>
        <w:t xml:space="preserve">, et </w:t>
      </w:r>
      <w:r w:rsidRPr="00B01D20">
        <w:rPr>
          <w:rFonts w:eastAsia="Times New Roman" w:cs="Times New Roman"/>
          <w:color w:val="000000"/>
          <w:lang w:eastAsia="et-EE"/>
        </w:rPr>
        <w:t>tulla toime taastuvenergia tootmisega, sealhulgas vajaduse korral taastuvenergia eelisarendusaladel</w:t>
      </w:r>
      <w:r>
        <w:rPr>
          <w:rFonts w:eastAsia="Times New Roman" w:cs="Times New Roman"/>
          <w:color w:val="000000"/>
          <w:lang w:eastAsia="et-EE"/>
        </w:rPr>
        <w:t>.</w:t>
      </w:r>
    </w:p>
    <w:p w14:paraId="2277CAE4" w14:textId="77777777" w:rsidR="006B1555" w:rsidRDefault="006B1555" w:rsidP="006B1555">
      <w:pPr>
        <w:rPr>
          <w:rFonts w:eastAsia="Times New Roman" w:cs="Times New Roman"/>
          <w:b/>
          <w:bCs/>
          <w:lang w:eastAsia="et-EE"/>
        </w:rPr>
      </w:pPr>
    </w:p>
    <w:p w14:paraId="68AF5B47" w14:textId="77777777" w:rsidR="006B1555" w:rsidRDefault="006B1555" w:rsidP="006B1555">
      <w:pPr>
        <w:rPr>
          <w:rFonts w:eastAsia="Times New Roman" w:cs="Times New Roman"/>
          <w:b/>
          <w:bCs/>
          <w:lang w:eastAsia="et-EE"/>
        </w:rPr>
      </w:pPr>
      <w:r>
        <w:rPr>
          <w:rFonts w:eastAsia="Times New Roman" w:cs="Times New Roman"/>
          <w:b/>
          <w:bCs/>
          <w:lang w:eastAsia="et-EE"/>
        </w:rPr>
        <w:t>ELTS § 75</w:t>
      </w:r>
      <w:r>
        <w:rPr>
          <w:rFonts w:eastAsia="Times New Roman" w:cs="Times New Roman"/>
          <w:b/>
          <w:bCs/>
          <w:vertAlign w:val="superscript"/>
          <w:lang w:eastAsia="et-EE"/>
        </w:rPr>
        <w:t>1</w:t>
      </w:r>
      <w:r>
        <w:rPr>
          <w:rFonts w:eastAsia="Times New Roman" w:cs="Times New Roman"/>
          <w:b/>
          <w:bCs/>
          <w:lang w:eastAsia="et-EE"/>
        </w:rPr>
        <w:t xml:space="preserve"> </w:t>
      </w:r>
    </w:p>
    <w:p w14:paraId="2A4D9374" w14:textId="77777777" w:rsidR="006B1555" w:rsidRPr="00A97F61" w:rsidRDefault="006B1555" w:rsidP="006B1555">
      <w:pPr>
        <w:rPr>
          <w:rFonts w:eastAsia="Times New Roman" w:cs="Times New Roman"/>
          <w:b/>
          <w:bCs/>
          <w:lang w:eastAsia="et-EE"/>
        </w:rPr>
      </w:pPr>
      <w:r>
        <w:rPr>
          <w:rFonts w:eastAsia="Times New Roman" w:cs="Times New Roman"/>
          <w:b/>
          <w:bCs/>
          <w:lang w:eastAsia="et-EE"/>
        </w:rPr>
        <w:t>Lõige 4</w:t>
      </w:r>
    </w:p>
    <w:p w14:paraId="7D1E88C0" w14:textId="77777777" w:rsidR="006B1555" w:rsidRDefault="006B1555" w:rsidP="006B1555">
      <w:pPr>
        <w:rPr>
          <w:rFonts w:eastAsia="Times New Roman" w:cs="Times New Roman"/>
          <w:lang w:eastAsia="et-EE"/>
        </w:rPr>
      </w:pPr>
      <w:r w:rsidRPr="0080235D">
        <w:rPr>
          <w:rFonts w:eastAsia="Times New Roman" w:cs="Times New Roman"/>
          <w:lang w:eastAsia="et-EE"/>
        </w:rPr>
        <w:lastRenderedPageBreak/>
        <w:t>P</w:t>
      </w:r>
      <w:r>
        <w:rPr>
          <w:rFonts w:eastAsia="Times New Roman" w:cs="Times New Roman"/>
          <w:lang w:eastAsia="et-EE"/>
        </w:rPr>
        <w:t>aragrahv 75</w:t>
      </w:r>
      <w:r w:rsidRPr="001D231D">
        <w:rPr>
          <w:rFonts w:eastAsia="Times New Roman" w:cs="Times New Roman"/>
          <w:vertAlign w:val="superscript"/>
          <w:lang w:eastAsia="et-EE"/>
        </w:rPr>
        <w:t>1</w:t>
      </w:r>
      <w:r>
        <w:rPr>
          <w:rFonts w:eastAsia="Times New Roman" w:cs="Times New Roman"/>
          <w:lang w:eastAsia="et-EE"/>
        </w:rPr>
        <w:t xml:space="preserve"> lõige 4 tunnistatakse kehtetuks, et vähendada bürokraatiat. ELTSi</w:t>
      </w:r>
      <w:r w:rsidRPr="00A37978">
        <w:rPr>
          <w:rFonts w:eastAsia="Times New Roman" w:cs="Times New Roman"/>
          <w:lang w:eastAsia="et-EE"/>
        </w:rPr>
        <w:t xml:space="preserve">s </w:t>
      </w:r>
      <w:r w:rsidRPr="00A140C5">
        <w:rPr>
          <w:rFonts w:eastAsia="Times New Roman" w:cs="Times New Roman"/>
          <w:lang w:eastAsia="et-EE"/>
        </w:rPr>
        <w:t xml:space="preserve">ei ole vaja </w:t>
      </w:r>
      <w:r w:rsidRPr="00A37978">
        <w:rPr>
          <w:rFonts w:eastAsia="Times New Roman" w:cs="Times New Roman"/>
          <w:lang w:eastAsia="et-EE"/>
        </w:rPr>
        <w:t>sätestada eraldi audiitori kontrolli reklaami ja arvete info osas, ku</w:t>
      </w:r>
      <w:r w:rsidRPr="00A140C5">
        <w:rPr>
          <w:rFonts w:eastAsia="Times New Roman" w:cs="Times New Roman"/>
          <w:lang w:eastAsia="et-EE"/>
        </w:rPr>
        <w:t>na</w:t>
      </w:r>
      <w:r w:rsidRPr="00A37978">
        <w:rPr>
          <w:rFonts w:eastAsia="Times New Roman" w:cs="Times New Roman"/>
          <w:lang w:eastAsia="et-EE"/>
        </w:rPr>
        <w:t xml:space="preserve"> see on juba kaetud reklaamiseaduse</w:t>
      </w:r>
      <w:r w:rsidRPr="00A140C5">
        <w:rPr>
          <w:rFonts w:eastAsia="Times New Roman" w:cs="Times New Roman"/>
          <w:lang w:eastAsia="et-EE"/>
        </w:rPr>
        <w:t>, t</w:t>
      </w:r>
      <w:r w:rsidRPr="00A37978">
        <w:rPr>
          <w:rFonts w:eastAsia="Times New Roman" w:cs="Times New Roman"/>
          <w:lang w:eastAsia="et-EE"/>
        </w:rPr>
        <w:t>arbijakaitseseaduse</w:t>
      </w:r>
      <w:r w:rsidRPr="00A140C5">
        <w:rPr>
          <w:rFonts w:eastAsia="Times New Roman" w:cs="Times New Roman"/>
          <w:lang w:eastAsia="et-EE"/>
        </w:rPr>
        <w:t xml:space="preserve"> ja raamatupidamise seaduse</w:t>
      </w:r>
      <w:r w:rsidRPr="00A37978">
        <w:rPr>
          <w:rFonts w:eastAsia="Times New Roman" w:cs="Times New Roman"/>
          <w:lang w:eastAsia="et-EE"/>
        </w:rPr>
        <w:t>ga. Reklaamiseadus (§ 3 ja § 4)</w:t>
      </w:r>
      <w:r w:rsidRPr="00A140C5">
        <w:rPr>
          <w:rFonts w:eastAsia="Times New Roman" w:cs="Times New Roman"/>
          <w:lang w:eastAsia="et-EE"/>
        </w:rPr>
        <w:t xml:space="preserve"> sätestab, et r</w:t>
      </w:r>
      <w:r w:rsidRPr="00A37978">
        <w:rPr>
          <w:rFonts w:eastAsia="Times New Roman" w:cs="Times New Roman"/>
          <w:lang w:eastAsia="et-EE"/>
        </w:rPr>
        <w:t>eklaam peab olema tõene, selge ja mitteeksitav</w:t>
      </w:r>
      <w:r w:rsidRPr="00A140C5">
        <w:rPr>
          <w:rFonts w:eastAsia="Times New Roman" w:cs="Times New Roman"/>
          <w:lang w:eastAsia="et-EE"/>
        </w:rPr>
        <w:t xml:space="preserve"> ning k</w:t>
      </w:r>
      <w:r w:rsidRPr="00A37978">
        <w:rPr>
          <w:rFonts w:eastAsia="Times New Roman" w:cs="Times New Roman"/>
          <w:lang w:eastAsia="et-EE"/>
        </w:rPr>
        <w:t>eelatud on reklaam, mis jätab tarbijale eksliku mulje.</w:t>
      </w:r>
      <w:r w:rsidRPr="00A140C5">
        <w:rPr>
          <w:rFonts w:eastAsia="Times New Roman" w:cs="Times New Roman"/>
          <w:lang w:eastAsia="et-EE"/>
        </w:rPr>
        <w:t xml:space="preserve"> </w:t>
      </w:r>
      <w:r w:rsidRPr="00A37978">
        <w:rPr>
          <w:rFonts w:eastAsia="Times New Roman" w:cs="Times New Roman"/>
          <w:lang w:eastAsia="et-EE"/>
        </w:rPr>
        <w:t>Tarbijakaitseseadus (§ 16 ja § 27)</w:t>
      </w:r>
      <w:r w:rsidRPr="00A140C5">
        <w:rPr>
          <w:rFonts w:eastAsia="Times New Roman" w:cs="Times New Roman"/>
          <w:lang w:eastAsia="et-EE"/>
        </w:rPr>
        <w:t xml:space="preserve"> k</w:t>
      </w:r>
      <w:r w:rsidRPr="00A37978">
        <w:rPr>
          <w:rFonts w:eastAsia="Times New Roman" w:cs="Times New Roman"/>
          <w:lang w:eastAsia="et-EE"/>
        </w:rPr>
        <w:t>eelab ebaausa kaubandustava, sealhulgas eksitava info toote omaduste kohta</w:t>
      </w:r>
      <w:r w:rsidRPr="00A140C5">
        <w:rPr>
          <w:rFonts w:eastAsia="Times New Roman" w:cs="Times New Roman"/>
          <w:lang w:eastAsia="et-EE"/>
        </w:rPr>
        <w:t xml:space="preserve"> ning n</w:t>
      </w:r>
      <w:r w:rsidRPr="00A37978">
        <w:rPr>
          <w:rFonts w:eastAsia="Times New Roman" w:cs="Times New Roman"/>
          <w:lang w:eastAsia="et-EE"/>
        </w:rPr>
        <w:t>õuab, et esitatud teave (sh arvetel ja pakkumistes) oleks arusaadav ja täpne.</w:t>
      </w:r>
      <w:r w:rsidRPr="00A140C5">
        <w:rPr>
          <w:rFonts w:eastAsia="Times New Roman" w:cs="Times New Roman"/>
          <w:lang w:eastAsia="et-EE"/>
        </w:rPr>
        <w:t xml:space="preserve"> </w:t>
      </w:r>
      <w:r w:rsidRPr="00A37978">
        <w:rPr>
          <w:rFonts w:eastAsia="Times New Roman" w:cs="Times New Roman"/>
          <w:lang w:eastAsia="et-EE"/>
        </w:rPr>
        <w:t>Raamatupidamise seadus ja rahanduse järelevalve normid võimaldavad juba audiitoril hinnata ettevõtte aruandluse ning tegevuse usaldusväärsust, sealhulgas taastuvenergia väiteid.</w:t>
      </w:r>
    </w:p>
    <w:p w14:paraId="1771361F" w14:textId="77777777" w:rsidR="006B1555" w:rsidRDefault="006B1555" w:rsidP="006B1555">
      <w:pPr>
        <w:rPr>
          <w:rFonts w:eastAsia="Times New Roman" w:cs="Times New Roman"/>
          <w:b/>
          <w:bCs/>
          <w:highlight w:val="yellow"/>
          <w:lang w:eastAsia="et-EE"/>
        </w:rPr>
      </w:pPr>
    </w:p>
    <w:p w14:paraId="6D360D37" w14:textId="77777777" w:rsidR="006B1555" w:rsidRDefault="006B1555" w:rsidP="006B1555">
      <w:pPr>
        <w:rPr>
          <w:rFonts w:eastAsia="Times New Roman" w:cs="Times New Roman"/>
          <w:b/>
          <w:bCs/>
          <w:vertAlign w:val="superscript"/>
          <w:lang w:eastAsia="et-EE"/>
        </w:rPr>
      </w:pPr>
      <w:r w:rsidRPr="00B71939">
        <w:rPr>
          <w:rFonts w:eastAsia="Times New Roman" w:cs="Times New Roman"/>
          <w:b/>
          <w:bCs/>
          <w:lang w:eastAsia="et-EE"/>
        </w:rPr>
        <w:t>ELTS § 76</w:t>
      </w:r>
      <w:r w:rsidRPr="00B71939">
        <w:rPr>
          <w:rFonts w:eastAsia="Times New Roman" w:cs="Times New Roman"/>
          <w:b/>
          <w:bCs/>
          <w:vertAlign w:val="superscript"/>
          <w:lang w:eastAsia="et-EE"/>
        </w:rPr>
        <w:t xml:space="preserve">1 </w:t>
      </w:r>
    </w:p>
    <w:p w14:paraId="4DA5DB89" w14:textId="77777777" w:rsidR="006B1555" w:rsidRPr="00B71939" w:rsidRDefault="006B1555" w:rsidP="006B1555">
      <w:pPr>
        <w:rPr>
          <w:rFonts w:eastAsia="Times New Roman" w:cs="Times New Roman"/>
          <w:b/>
          <w:bCs/>
          <w:vertAlign w:val="superscript"/>
          <w:lang w:eastAsia="et-EE"/>
        </w:rPr>
      </w:pPr>
      <w:r>
        <w:rPr>
          <w:rFonts w:eastAsia="Times New Roman" w:cs="Times New Roman"/>
          <w:b/>
          <w:bCs/>
          <w:lang w:eastAsia="et-EE"/>
        </w:rPr>
        <w:t>Lõiked</w:t>
      </w:r>
      <w:r w:rsidRPr="00B71939">
        <w:rPr>
          <w:rFonts w:eastAsia="Times New Roman" w:cs="Times New Roman"/>
          <w:b/>
          <w:bCs/>
          <w:lang w:eastAsia="et-EE"/>
        </w:rPr>
        <w:t xml:space="preserve"> 2 – 2</w:t>
      </w:r>
      <w:r w:rsidRPr="00B71939">
        <w:rPr>
          <w:rFonts w:eastAsia="Times New Roman" w:cs="Times New Roman"/>
          <w:b/>
          <w:bCs/>
          <w:vertAlign w:val="superscript"/>
          <w:lang w:eastAsia="et-EE"/>
        </w:rPr>
        <w:t>2</w:t>
      </w:r>
    </w:p>
    <w:p w14:paraId="6EE3E79D" w14:textId="77777777" w:rsidR="006B1555" w:rsidRDefault="006B1555" w:rsidP="006B1555">
      <w:r>
        <w:t>Paragrahvis 76</w:t>
      </w:r>
      <w:r w:rsidRPr="00A023C1">
        <w:rPr>
          <w:vertAlign w:val="superscript"/>
        </w:rPr>
        <w:t>1</w:t>
      </w:r>
      <w:r>
        <w:t xml:space="preserve"> tehtud muudatuste eesmärk on üldteenuse osutaja leidmise protsessi muuta. Muudatuse tulemusel leiab võrguettevõtja üldteenuse osutaja konkursi teel ning on vajalik muuta üldteenuse osutaja määramine võrguettevõtja jaoks võrreldes tänase olukorraga selgemaks.</w:t>
      </w:r>
    </w:p>
    <w:p w14:paraId="383971DD" w14:textId="77777777" w:rsidR="006B1555" w:rsidRDefault="006B1555" w:rsidP="006B1555">
      <w:pPr>
        <w:rPr>
          <w:rFonts w:eastAsia="Times New Roman" w:cs="Times New Roman"/>
          <w:b/>
          <w:bCs/>
          <w:lang w:eastAsia="et-EE"/>
        </w:rPr>
      </w:pPr>
    </w:p>
    <w:p w14:paraId="0ED200A2" w14:textId="77777777" w:rsidR="006B1555" w:rsidRPr="00F8686E" w:rsidRDefault="006B1555" w:rsidP="006B1555">
      <w:pPr>
        <w:rPr>
          <w:rFonts w:eastAsia="Times New Roman" w:cs="Times New Roman"/>
          <w:b/>
          <w:bCs/>
          <w:lang w:eastAsia="et-EE"/>
        </w:rPr>
      </w:pPr>
      <w:r>
        <w:rPr>
          <w:rFonts w:eastAsia="Times New Roman" w:cs="Times New Roman"/>
          <w:b/>
          <w:bCs/>
          <w:lang w:eastAsia="et-EE"/>
        </w:rPr>
        <w:t>Lõiked</w:t>
      </w:r>
      <w:r w:rsidRPr="00F8686E">
        <w:rPr>
          <w:rFonts w:eastAsia="Times New Roman" w:cs="Times New Roman"/>
          <w:b/>
          <w:bCs/>
          <w:lang w:eastAsia="et-EE"/>
        </w:rPr>
        <w:t xml:space="preserve"> 2</w:t>
      </w:r>
      <w:r w:rsidRPr="00F8686E">
        <w:rPr>
          <w:rFonts w:eastAsia="Times New Roman" w:cs="Times New Roman"/>
          <w:b/>
          <w:bCs/>
          <w:vertAlign w:val="superscript"/>
          <w:lang w:eastAsia="et-EE"/>
        </w:rPr>
        <w:t>4</w:t>
      </w:r>
      <w:r w:rsidRPr="00F8686E">
        <w:rPr>
          <w:rFonts w:eastAsia="Times New Roman" w:cs="Times New Roman"/>
          <w:b/>
          <w:bCs/>
          <w:lang w:eastAsia="et-EE"/>
        </w:rPr>
        <w:t xml:space="preserve"> ja 2</w:t>
      </w:r>
      <w:r w:rsidRPr="00F8686E">
        <w:rPr>
          <w:rFonts w:eastAsia="Times New Roman" w:cs="Times New Roman"/>
          <w:b/>
          <w:bCs/>
          <w:vertAlign w:val="superscript"/>
          <w:lang w:eastAsia="et-EE"/>
        </w:rPr>
        <w:t>5</w:t>
      </w:r>
    </w:p>
    <w:p w14:paraId="296EF60F" w14:textId="77777777" w:rsidR="006B1555" w:rsidRPr="00F8686E" w:rsidRDefault="006B1555" w:rsidP="006B1555">
      <w:r w:rsidRPr="00F8686E">
        <w:t>Seadust täiendatakse uute lõigetega, millega sätestatakse konkursi väljakuulutamise teavitus (§ 76</w:t>
      </w:r>
      <w:r w:rsidRPr="00F8686E">
        <w:rPr>
          <w:vertAlign w:val="superscript"/>
        </w:rPr>
        <w:t>1</w:t>
      </w:r>
      <w:r w:rsidRPr="00F8686E">
        <w:t xml:space="preserve"> lg 2</w:t>
      </w:r>
      <w:r w:rsidRPr="00F8686E">
        <w:rPr>
          <w:vertAlign w:val="superscript"/>
        </w:rPr>
        <w:t>4</w:t>
      </w:r>
      <w:r w:rsidRPr="00F8686E">
        <w:t>). Uue lõikega 2</w:t>
      </w:r>
      <w:r w:rsidRPr="00F8686E">
        <w:rPr>
          <w:vertAlign w:val="superscript"/>
        </w:rPr>
        <w:t>5</w:t>
      </w:r>
      <w:r w:rsidRPr="00F8686E">
        <w:t xml:space="preserve"> sätestatakse, et üldteenuse osutamise konkursi kord kehtestatakse elektrituru toimimise võrgueeskirjas.</w:t>
      </w:r>
    </w:p>
    <w:p w14:paraId="20E26190" w14:textId="77777777" w:rsidR="006B1555" w:rsidRPr="00F8686E" w:rsidRDefault="006B1555" w:rsidP="006B1555">
      <w:pPr>
        <w:rPr>
          <w:rFonts w:eastAsia="Times New Roman" w:cs="Times New Roman"/>
          <w:b/>
          <w:bCs/>
          <w:lang w:eastAsia="et-EE"/>
        </w:rPr>
      </w:pPr>
    </w:p>
    <w:p w14:paraId="27C58910" w14:textId="77777777" w:rsidR="006B1555" w:rsidRDefault="006B1555" w:rsidP="006B1555">
      <w:pPr>
        <w:rPr>
          <w:rFonts w:eastAsia="Times New Roman" w:cs="Times New Roman"/>
          <w:b/>
          <w:bCs/>
          <w:lang w:eastAsia="et-EE"/>
        </w:rPr>
      </w:pPr>
      <w:r w:rsidRPr="00F8686E">
        <w:rPr>
          <w:rFonts w:eastAsia="Times New Roman" w:cs="Times New Roman"/>
          <w:b/>
          <w:bCs/>
          <w:lang w:eastAsia="et-EE"/>
        </w:rPr>
        <w:t>ELTS § 76</w:t>
      </w:r>
      <w:r w:rsidRPr="00F8686E">
        <w:rPr>
          <w:rFonts w:eastAsia="Times New Roman" w:cs="Times New Roman"/>
          <w:b/>
          <w:bCs/>
          <w:vertAlign w:val="superscript"/>
          <w:lang w:eastAsia="et-EE"/>
        </w:rPr>
        <w:t>2</w:t>
      </w:r>
      <w:r w:rsidRPr="00F8686E">
        <w:rPr>
          <w:rFonts w:eastAsia="Times New Roman" w:cs="Times New Roman"/>
          <w:b/>
          <w:bCs/>
          <w:lang w:eastAsia="et-EE"/>
        </w:rPr>
        <w:t xml:space="preserve"> </w:t>
      </w:r>
    </w:p>
    <w:p w14:paraId="6027E3AE" w14:textId="77777777" w:rsidR="006B1555" w:rsidRPr="00F8686E" w:rsidRDefault="006B1555" w:rsidP="006B1555">
      <w:pPr>
        <w:rPr>
          <w:rFonts w:eastAsia="Times New Roman" w:cs="Times New Roman"/>
          <w:b/>
          <w:bCs/>
          <w:lang w:eastAsia="et-EE"/>
        </w:rPr>
      </w:pPr>
      <w:r>
        <w:rPr>
          <w:rFonts w:eastAsia="Times New Roman" w:cs="Times New Roman"/>
          <w:b/>
          <w:bCs/>
          <w:lang w:eastAsia="et-EE"/>
        </w:rPr>
        <w:t>Lõiked</w:t>
      </w:r>
      <w:r w:rsidRPr="00F8686E">
        <w:rPr>
          <w:rFonts w:eastAsia="Times New Roman" w:cs="Times New Roman"/>
          <w:b/>
          <w:bCs/>
          <w:lang w:eastAsia="et-EE"/>
        </w:rPr>
        <w:t xml:space="preserve"> 1 ja 2</w:t>
      </w:r>
    </w:p>
    <w:p w14:paraId="7556853E" w14:textId="77777777" w:rsidR="006B1555" w:rsidRDefault="006B1555" w:rsidP="006B1555">
      <w:r>
        <w:t>Paragrahvis 76</w:t>
      </w:r>
      <w:r>
        <w:rPr>
          <w:vertAlign w:val="superscript"/>
        </w:rPr>
        <w:t>2</w:t>
      </w:r>
      <w:r>
        <w:t xml:space="preserve"> tehtud muudatuste eesmärk on üldteenuse osutaja leidmise protsessi muuta. Muudatuse tulemusel leiab võrguettevõtja üldteenuse osutaja konkursi teel ning on vajalik, et muuta üldteenuse osutaja määramine võrguettevõtja jaoks võrreldes tänase olukorraga selgemaks.</w:t>
      </w:r>
    </w:p>
    <w:p w14:paraId="13427F1B" w14:textId="77777777" w:rsidR="006B1555" w:rsidRPr="00F8686E" w:rsidRDefault="006B1555" w:rsidP="006B1555">
      <w:pPr>
        <w:rPr>
          <w:rFonts w:eastAsia="Times New Roman" w:cs="Times New Roman"/>
          <w:b/>
          <w:bCs/>
          <w:lang w:eastAsia="et-EE"/>
        </w:rPr>
      </w:pPr>
    </w:p>
    <w:p w14:paraId="7912F1B7" w14:textId="77777777" w:rsidR="006B1555" w:rsidRPr="00F8686E" w:rsidRDefault="006B1555" w:rsidP="006B1555">
      <w:pPr>
        <w:rPr>
          <w:rFonts w:eastAsia="Times New Roman" w:cs="Times New Roman"/>
          <w:b/>
          <w:bCs/>
          <w:szCs w:val="24"/>
          <w:lang w:eastAsia="et-EE"/>
        </w:rPr>
      </w:pPr>
      <w:r>
        <w:rPr>
          <w:rFonts w:eastAsia="Times New Roman" w:cs="Times New Roman"/>
          <w:b/>
          <w:bCs/>
          <w:lang w:eastAsia="et-EE"/>
        </w:rPr>
        <w:t>Lõiked</w:t>
      </w:r>
      <w:r w:rsidRPr="00F8686E">
        <w:rPr>
          <w:rFonts w:eastAsia="Times New Roman" w:cs="Times New Roman"/>
          <w:b/>
          <w:bCs/>
          <w:szCs w:val="24"/>
          <w:lang w:eastAsia="et-EE"/>
        </w:rPr>
        <w:t xml:space="preserve"> 3 ja 4 </w:t>
      </w:r>
    </w:p>
    <w:p w14:paraId="66D0018C" w14:textId="77777777" w:rsidR="006B1555" w:rsidRDefault="006B1555" w:rsidP="006B1555">
      <w:r>
        <w:t>Seaduse § 76</w:t>
      </w:r>
      <w:r w:rsidRPr="00894363">
        <w:rPr>
          <w:vertAlign w:val="superscript"/>
        </w:rPr>
        <w:t>2</w:t>
      </w:r>
      <w:r>
        <w:t xml:space="preserve"> täiendatakse uute lõigetega 3 ja 4 t</w:t>
      </w:r>
      <w:r w:rsidRPr="00894363">
        <w:t>agamaks üldteenuse osutamise jätkuvus ja tarbijate jaoks üleminek ühelt müüjalt teisele</w:t>
      </w:r>
      <w:r>
        <w:t xml:space="preserve"> </w:t>
      </w:r>
      <w:r w:rsidRPr="00894363">
        <w:t>võimalikult sujuvalt</w:t>
      </w:r>
      <w:r>
        <w:t>.</w:t>
      </w:r>
    </w:p>
    <w:p w14:paraId="54D852AA" w14:textId="77777777" w:rsidR="006B1555" w:rsidRDefault="006B1555" w:rsidP="006B1555"/>
    <w:p w14:paraId="09E838CD" w14:textId="77777777" w:rsidR="006B1555" w:rsidRDefault="006B1555" w:rsidP="006B1555">
      <w:pPr>
        <w:rPr>
          <w:b/>
          <w:bCs/>
        </w:rPr>
      </w:pPr>
      <w:r>
        <w:rPr>
          <w:b/>
          <w:bCs/>
        </w:rPr>
        <w:t>ELTS § 87</w:t>
      </w:r>
      <w:r>
        <w:rPr>
          <w:b/>
          <w:bCs/>
          <w:vertAlign w:val="superscript"/>
        </w:rPr>
        <w:t>1</w:t>
      </w:r>
      <w:r>
        <w:rPr>
          <w:b/>
          <w:bCs/>
        </w:rPr>
        <w:t xml:space="preserve"> </w:t>
      </w:r>
    </w:p>
    <w:p w14:paraId="2CD7B94F" w14:textId="77777777" w:rsidR="006B1555" w:rsidRDefault="006B1555" w:rsidP="006B1555">
      <w:pPr>
        <w:rPr>
          <w:b/>
          <w:bCs/>
        </w:rPr>
      </w:pPr>
      <w:r>
        <w:rPr>
          <w:b/>
          <w:bCs/>
        </w:rPr>
        <w:t>Lõige 4</w:t>
      </w:r>
    </w:p>
    <w:p w14:paraId="6AECE550" w14:textId="77777777" w:rsidR="006B1555" w:rsidRDefault="006B1555" w:rsidP="006B1555">
      <w:r>
        <w:t>Paragrahvi esimeses lauses tehtud muudatuse eesmärk on ühtlustada erinevate tootmistehnoloogiate (välja arvatud avameretuuleenergia) puhul ette nähtud oodatavat tootmise alustamise aega. Näiteks olukorras, kus tootmise tehnoloogiat muudetakse päikesepaneelidest salvestusseadmeks, jääks vastasel juhul kehtima üheaastane tähtaeg tootmise alustamiseks, kuid see ei pruugi olla nt akuseadmete tarneaegade pikenemise tõttu enam realistlik ning vältimaks võimalikku alakasutustasu arve edasi lükkamise taotluse esitamise vajadust ühtlustatakse kõigi tootmistehnoloogiate (välja arvatud avameretuuleenergia, mis on märkimisväärselt keerukam kui maismaatuuleenergia jt tehnoloogiate rajamine, vajades spetsiaalset tehnikat ja logistikat) puhul tootmise alustamiseks ette nähtud tähtaeg kahele aastale. Vältimaks spekulatsioone korduva tootmise tehnoloogia muutmise kaudu, jääb kehtima perioodi arvestamise algusaeg. Näiteks kui 1. oktoobril 2024 esitati liitumistaotlus päikesepargi rajamiseks, millele seni kehtis tootmise alustamiseks aeg üks aasta, siis taotledes 30. septembril 2025 tootmistehnoloogia muutmist akupargiks, hakkab kehtima sellele turuosalisele tootmise alustamiseks kaheaastane tähtaeg, mille algust loetakse endiselt 1. oktoobrist 2024 ning enne alakasutustasu arvestuse algust jääb seega veel üks aasta (kuni 1. oktoobrini 2026, millest alates hakkab alakasutustasu arvestus). Senise regulatsiooni järgi pidi juba 1. oktoobrist 2025 peale hakkama selle liitumistaotluse suhtes alakasutustasu arvestus.</w:t>
      </w:r>
    </w:p>
    <w:p w14:paraId="1D261132" w14:textId="77777777" w:rsidR="006B1555" w:rsidRDefault="006B1555" w:rsidP="006B1555"/>
    <w:p w14:paraId="586E6AA1" w14:textId="77777777" w:rsidR="006B1555" w:rsidRPr="00FF184B" w:rsidRDefault="006B1555" w:rsidP="006B1555">
      <w:r>
        <w:t>Käesoleva seadusemuudatuse kehtima hakkamise järel esitatud liitumistaotluste puhul ühtlustuvad erinevate tehnoloogiate puhul tootmise alustamiseks ette nähtud tähtajad ning eespool kirjeldatud tähtaja pikenemise võimalust enam üldjuhul ei teki.</w:t>
      </w:r>
    </w:p>
    <w:p w14:paraId="1EFD768F" w14:textId="77777777" w:rsidR="006B1555" w:rsidRDefault="006B1555" w:rsidP="006B1555"/>
    <w:p w14:paraId="7CBA1E24" w14:textId="77777777" w:rsidR="006B1555" w:rsidRDefault="006B1555" w:rsidP="006B1555">
      <w:pPr>
        <w:rPr>
          <w:b/>
          <w:bCs/>
          <w:vertAlign w:val="superscript"/>
        </w:rPr>
      </w:pPr>
      <w:r>
        <w:rPr>
          <w:b/>
          <w:bCs/>
        </w:rPr>
        <w:t>Lõige 4</w:t>
      </w:r>
      <w:r>
        <w:rPr>
          <w:b/>
          <w:bCs/>
          <w:vertAlign w:val="superscript"/>
        </w:rPr>
        <w:t>3</w:t>
      </w:r>
    </w:p>
    <w:p w14:paraId="0B235540" w14:textId="77777777" w:rsidR="006B1555" w:rsidRDefault="006B1555" w:rsidP="006B1555">
      <w:r>
        <w:t>Seadust täiendatakse § 87</w:t>
      </w:r>
      <w:r w:rsidRPr="00B71939">
        <w:rPr>
          <w:vertAlign w:val="superscript"/>
        </w:rPr>
        <w:t>1</w:t>
      </w:r>
      <w:r>
        <w:t xml:space="preserve"> lõikega 4</w:t>
      </w:r>
      <w:r w:rsidRPr="00B71939">
        <w:rPr>
          <w:vertAlign w:val="superscript"/>
        </w:rPr>
        <w:t>3</w:t>
      </w:r>
      <w:r>
        <w:t>, mis loob võimaluse alates 2025. aasta 13. juunist esitatud liitumistaotlustes toodud tehnoloogiat piiramatult (s.o enam ei tule piirduda vaid salvestusel,  kütuse põletamisel või vesinikul põhineva tehnoloogiaga) muuta ning erinevatele tootmise tehnoloogiatele on ette nähtud sama paragrahvi lõikes 4 tootmise alustamiseks erinev aeg. Käesoleva muudatusega nähakse ette võimalus, et nii varasemates kui ka pärast 2025. aasta 13. juunit esitatud liitumistaotluses toodud tootmise tehnoloogia muutmise taotluse korral ühekordselt tootmise alustamiseks ette nähtud aeg muutub vastavalt sellele tehnoloogiale kehtivale tootmise alustamiseks ette nähtud ajale. Näiteks ei ole realistlik, et kui esmane liitumistaotlus esitati pärast 2025. aasta 13. juunit ehk lähtudes uuest, fikseeritud liitumistasude kontseptsioonist päikesepaneelide rajamiseks (millele seni kehtis tootmise alustamiseks ette nähtud üheaastane periood, kuid käesoleva eelnõuga ühtlustatakse tootmise alustamiseks ette nähtud ajaperiood kõigile tehnoloogiatele kahele aastale, välja arvatud avameretuuleenergia, millele jääb kehtima kolm aastat tootmise alustamise tähtajaks) ning seejärel esitati taotlus tootmise tehnoloogia muutmiseks näiteks tuulepargi rajamiseks maismaale, oleks võimalik esialgsele tehnoloogiale kehtinud ühe aasta jooksul selle maismaatuulepark valmis saada. Seega nähakse seaduses ette võimalus ühekordselt selle perioodi pikenemiseks vastavalt valitud tehnoloogiale kehtivale tootmise alustamise tähtajale (maksimaalne võimalik aeg tootmise alustamiseks on seega kolm aastat kui seni liitumistaotluses kirjas olnud tehnoloogia on võimalik muuta avameretuuleenergiaks, kuid selle perioodi arvestamise algust hakatakse lugema algses taotluses näidatud algusajast).</w:t>
      </w:r>
    </w:p>
    <w:p w14:paraId="658A29A0" w14:textId="77777777" w:rsidR="006B1555" w:rsidRDefault="006B1555" w:rsidP="006B1555"/>
    <w:p w14:paraId="006BD3DE" w14:textId="77777777" w:rsidR="006B1555" w:rsidRDefault="006B1555" w:rsidP="006B1555">
      <w:r>
        <w:t>Kuna tarnaegade pikenemine ja arendajatest mittesõltuvatest menetlustest tulenevad viivitused on aktuaalsed ka juba praegu arendamisel olevate tootmisvõimsuste puhul, ei ole erinev kohtlemine selles küsimuses sõltuva</w:t>
      </w:r>
      <w:r w:rsidRPr="65006B6F">
        <w:t>lt liitumistaotluse esitamise ajast</w:t>
      </w:r>
      <w:r>
        <w:t xml:space="preserve"> põhjendatud ning seega</w:t>
      </w:r>
      <w:r w:rsidRPr="65006B6F">
        <w:t xml:space="preserve"> laienda</w:t>
      </w:r>
      <w:r>
        <w:t>takse võimalust tootmise alustamiseks ette nähtud aja muutumiseks</w:t>
      </w:r>
      <w:r w:rsidRPr="65006B6F">
        <w:t xml:space="preserve"> ka varasema</w:t>
      </w:r>
      <w:r>
        <w:t>lt esitatud liitumis</w:t>
      </w:r>
      <w:r w:rsidRPr="65006B6F">
        <w:t>taotluste suhtes</w:t>
      </w:r>
      <w:r>
        <w:t xml:space="preserve">. </w:t>
      </w:r>
      <w:r w:rsidRPr="003E566F">
        <w:t>Tootmise alustamise perioodi</w:t>
      </w:r>
      <w:r>
        <w:t xml:space="preserve">ga seotud muudatuse </w:t>
      </w:r>
      <w:r w:rsidRPr="003E566F">
        <w:t xml:space="preserve">lubamine </w:t>
      </w:r>
      <w:r>
        <w:t>soodustab eelkõige nende</w:t>
      </w:r>
      <w:r w:rsidRPr="003E566F">
        <w:t xml:space="preserve"> liitumisvõimsuse kasutuselevõttu, </w:t>
      </w:r>
      <w:r>
        <w:t>mille puhul</w:t>
      </w:r>
      <w:r w:rsidRPr="003E566F">
        <w:t xml:space="preserve"> oli</w:t>
      </w:r>
      <w:r>
        <w:t xml:space="preserve"> 17.03.2023 jõustunud</w:t>
      </w:r>
      <w:r w:rsidRPr="003E566F">
        <w:t xml:space="preserve"> </w:t>
      </w:r>
      <w:r>
        <w:t xml:space="preserve">elektrituruseaduse muudatuse </w:t>
      </w:r>
      <w:r w:rsidRPr="003E566F">
        <w:t>ajal liitumisleping võrguettevõtja poolt täidetud,</w:t>
      </w:r>
      <w:r>
        <w:t xml:space="preserve"> kuid mille puhul </w:t>
      </w:r>
      <w:r w:rsidRPr="00F73D0E">
        <w:t xml:space="preserve">arendajad </w:t>
      </w:r>
      <w:r>
        <w:t xml:space="preserve">ei saanud </w:t>
      </w:r>
      <w:r w:rsidRPr="00F73D0E">
        <w:t xml:space="preserve">arvestada oma projektide planeerimisel ja liitumislepingute sõlmimisel sellega, et </w:t>
      </w:r>
      <w:r>
        <w:t>edaspidi määratakse projektidele</w:t>
      </w:r>
      <w:r w:rsidRPr="00F73D0E">
        <w:t xml:space="preserve"> konkreet</w:t>
      </w:r>
      <w:r>
        <w:t>ne</w:t>
      </w:r>
      <w:r w:rsidRPr="00F73D0E">
        <w:t xml:space="preserve"> tähta</w:t>
      </w:r>
      <w:r>
        <w:t xml:space="preserve">eg </w:t>
      </w:r>
      <w:r w:rsidRPr="00F73D0E">
        <w:t>projekti valmimiseks. Nende arendajate projektid</w:t>
      </w:r>
      <w:r>
        <w:t xml:space="preserve">e puhul võib esineda </w:t>
      </w:r>
      <w:r w:rsidRPr="00F73D0E">
        <w:t>eripära</w:t>
      </w:r>
      <w:r>
        <w:t>sid</w:t>
      </w:r>
      <w:r w:rsidRPr="00F73D0E">
        <w:t>, mis ei võimalda sedavõrd kiire</w:t>
      </w:r>
      <w:r>
        <w:t>t valmimist, kuid tõenäoliselt o</w:t>
      </w:r>
      <w:r w:rsidRPr="00F73D0E">
        <w:t>n need arendajad juba teinud märkimisväärseid kulutusi liitumispunkti valmimise</w:t>
      </w:r>
      <w:r>
        <w:t xml:space="preserve">ga seoses ning saaksid antud seadusemuudatuse kaudu </w:t>
      </w:r>
      <w:r w:rsidRPr="000D7E44">
        <w:t>varasemalt plaanitud pika valmimisaja</w:t>
      </w:r>
      <w:r>
        <w:t xml:space="preserve"> vm</w:t>
      </w:r>
      <w:r w:rsidRPr="000D7E44">
        <w:t xml:space="preserve"> eripäradega projektid </w:t>
      </w:r>
      <w:r>
        <w:t xml:space="preserve">soovi korral </w:t>
      </w:r>
      <w:r w:rsidRPr="000D7E44">
        <w:t xml:space="preserve">asendada kiiremini </w:t>
      </w:r>
      <w:r>
        <w:t>valmivate</w:t>
      </w:r>
      <w:r w:rsidRPr="000D7E44">
        <w:t xml:space="preserve"> lahendustega nagu nt akusalvestid</w:t>
      </w:r>
      <w:r>
        <w:t>, mida on võimalik kasutada energiasüsteemi bilansi tagamiseks ja taastuvenergialahenduste tasakaalustamiseks.</w:t>
      </w:r>
    </w:p>
    <w:p w14:paraId="43AB9EF9" w14:textId="77777777" w:rsidR="006B1555" w:rsidRDefault="006B1555" w:rsidP="006B1555"/>
    <w:p w14:paraId="29FEA08F" w14:textId="77777777" w:rsidR="006B1555" w:rsidRDefault="006B1555" w:rsidP="006B1555">
      <w:pPr>
        <w:rPr>
          <w:b/>
          <w:bCs/>
        </w:rPr>
      </w:pPr>
      <w:r>
        <w:rPr>
          <w:b/>
          <w:bCs/>
        </w:rPr>
        <w:t>Lõige 5</w:t>
      </w:r>
    </w:p>
    <w:p w14:paraId="286254AF" w14:textId="77777777" w:rsidR="006B1555" w:rsidRDefault="006B1555" w:rsidP="006B1555">
      <w:r w:rsidRPr="008C6073">
        <w:t>Seadus</w:t>
      </w:r>
      <w:r>
        <w:t>e sõnastust täpsustatakse, et luua</w:t>
      </w:r>
      <w:r w:rsidRPr="008C6073">
        <w:t xml:space="preserve"> lisaks olemasolevale reeglistikule võimalus</w:t>
      </w:r>
      <w:r>
        <w:t xml:space="preserve"> </w:t>
      </w:r>
      <w:r w:rsidRPr="008C6073">
        <w:t xml:space="preserve">alates 2025. aasta 13. juunist esitatud liitumistaotlustes toodud tehnoloogiat muuta </w:t>
      </w:r>
      <w:r>
        <w:t xml:space="preserve">selles </w:t>
      </w:r>
      <w:r w:rsidRPr="008C6073">
        <w:t xml:space="preserve">ulatuses, </w:t>
      </w:r>
      <w:r>
        <w:t>milles</w:t>
      </w:r>
      <w:r w:rsidRPr="008C6073">
        <w:t xml:space="preserve"> muudatusega ei kaasne liitumislepingus sätestatud tootmissuunaline võimsuse suurendamine</w:t>
      </w:r>
      <w:r>
        <w:t xml:space="preserve"> (kuid tootmise tehnoloogia valikule vahetusel piiranguid ei ole)</w:t>
      </w:r>
      <w:r w:rsidRPr="008C6073">
        <w:t>. Senistele</w:t>
      </w:r>
      <w:r>
        <w:t xml:space="preserve"> (enne 2025. aasta 13. juunit esitatud)</w:t>
      </w:r>
      <w:r w:rsidRPr="008C6073">
        <w:t xml:space="preserve"> taotlustele jääb kehtima võimalus muuta tootmistehnoloogiat vaid kütuse põletamisel, vesinikul või salvestamisel põhinevaks elektritootmiseks. Samuti jääb kehtima võimalus lisada liitumistaotluses toodud tehnoloogiale teisi tehnoloogiaid kuni ei suurendata liitumislepingus sätestatud tootmissuunalist </w:t>
      </w:r>
      <w:r>
        <w:t>võrguühenduse läbilaskevõimet</w:t>
      </w:r>
      <w:r w:rsidRPr="008C6073">
        <w:t xml:space="preserve">. </w:t>
      </w:r>
      <w:r>
        <w:lastRenderedPageBreak/>
        <w:t>Muudatus on tingitud sellest, et s</w:t>
      </w:r>
      <w:r w:rsidRPr="008C6073">
        <w:t>eoses 2025. aasta 13. juunil rakendunud uue ülekandevõrguga liitumise kontseptsiooniga</w:t>
      </w:r>
      <w:r>
        <w:t xml:space="preserve"> puudub vajadus võimalikeks sellisteks spekulatsioonideks, et tootmissuunalist võrguühenduse läbilaskevõimet</w:t>
      </w:r>
      <w:r w:rsidRPr="008C6073">
        <w:t xml:space="preserve"> mõnes ülekandevõrgu osas vähem eeltööd vajava tootmistehnoloogiaga broneerida, kuna üle Eesti kehtivad olemasolev</w:t>
      </w:r>
      <w:r>
        <w:t xml:space="preserve">a põhivõrgu ulatuses </w:t>
      </w:r>
      <w:r w:rsidRPr="008C6073">
        <w:t>võrgutugevdustele ja võrguühenduse rajamisele ülekandevõrguhalduri veebilehel  avalikustatud ning Konkurentsiameti kinnitatud metoodikale tuginevad fikseeritud hinnad.</w:t>
      </w:r>
    </w:p>
    <w:p w14:paraId="5F578308" w14:textId="77777777" w:rsidR="006B1555" w:rsidRDefault="006B1555" w:rsidP="006B1555"/>
    <w:p w14:paraId="3B4AB25B" w14:textId="77777777" w:rsidR="006B1555" w:rsidRDefault="006B1555" w:rsidP="006B1555">
      <w:pPr>
        <w:rPr>
          <w:b/>
          <w:bCs/>
        </w:rPr>
      </w:pPr>
      <w:r>
        <w:rPr>
          <w:b/>
          <w:bCs/>
        </w:rPr>
        <w:t>Lõige 6</w:t>
      </w:r>
      <w:r>
        <w:rPr>
          <w:b/>
          <w:bCs/>
          <w:vertAlign w:val="superscript"/>
        </w:rPr>
        <w:t>2</w:t>
      </w:r>
    </w:p>
    <w:p w14:paraId="3BA92ED7" w14:textId="77777777" w:rsidR="006B1555" w:rsidRPr="00DB3148" w:rsidRDefault="006B1555" w:rsidP="006B1555">
      <w:r>
        <w:t>Seadust täiendatakse eesmärgiga lisada</w:t>
      </w:r>
      <w:r w:rsidRPr="00DB3148">
        <w:t xml:space="preserve"> tootjatele juurde täiendavat õigusselgust tuues</w:t>
      </w:r>
      <w:r>
        <w:t xml:space="preserve"> välja</w:t>
      </w:r>
      <w:r w:rsidRPr="00DB3148">
        <w:t xml:space="preserve"> konkreetsed tootjast sõltumatud põhjused</w:t>
      </w:r>
      <w:r>
        <w:t xml:space="preserve"> sama paragrahvi</w:t>
      </w:r>
      <w:r w:rsidRPr="00DB3148">
        <w:t xml:space="preserve"> lõikes 6 sätestatud tasu rakendamise edasilükkamiseks võrguettevõtja poolt, mis </w:t>
      </w:r>
      <w:r>
        <w:t xml:space="preserve">ühtlasi </w:t>
      </w:r>
      <w:r w:rsidRPr="00DB3148">
        <w:t xml:space="preserve">aitaks võrguettevõtjal </w:t>
      </w:r>
      <w:r>
        <w:t>tõhusamalt</w:t>
      </w:r>
      <w:r w:rsidRPr="00DB3148">
        <w:t xml:space="preserve"> ja kindlamalt kasutada seaduse poolt antud kaalutlusõigust.</w:t>
      </w:r>
    </w:p>
    <w:p w14:paraId="6476C984" w14:textId="77777777" w:rsidR="006B1555" w:rsidRDefault="006B1555" w:rsidP="006B1555"/>
    <w:p w14:paraId="3C1DBDDF" w14:textId="77777777" w:rsidR="006B1555" w:rsidRDefault="006B1555" w:rsidP="006B1555">
      <w:pPr>
        <w:rPr>
          <w:b/>
          <w:vertAlign w:val="superscript"/>
        </w:rPr>
      </w:pPr>
      <w:r>
        <w:rPr>
          <w:b/>
        </w:rPr>
        <w:t>Lõige 6</w:t>
      </w:r>
      <w:r>
        <w:rPr>
          <w:b/>
          <w:vertAlign w:val="superscript"/>
        </w:rPr>
        <w:t>4</w:t>
      </w:r>
    </w:p>
    <w:p w14:paraId="026CC797" w14:textId="1D08855C" w:rsidR="006B1555" w:rsidRDefault="006B1555" w:rsidP="006B1555">
      <w:pPr>
        <w:rPr>
          <w:bCs/>
        </w:rPr>
      </w:pPr>
      <w:r w:rsidRPr="00C144AC">
        <w:rPr>
          <w:bCs/>
        </w:rPr>
        <w:t>Seadust täiendatakse § 87</w:t>
      </w:r>
      <w:r w:rsidRPr="00C144AC">
        <w:rPr>
          <w:bCs/>
          <w:vertAlign w:val="superscript"/>
        </w:rPr>
        <w:t>1</w:t>
      </w:r>
      <w:r w:rsidRPr="00C144AC">
        <w:rPr>
          <w:bCs/>
        </w:rPr>
        <w:t xml:space="preserve"> lõikega 6</w:t>
      </w:r>
      <w:r w:rsidRPr="00C144AC">
        <w:rPr>
          <w:bCs/>
          <w:vertAlign w:val="superscript"/>
        </w:rPr>
        <w:t>4</w:t>
      </w:r>
      <w:r w:rsidRPr="00C144AC">
        <w:rPr>
          <w:bCs/>
        </w:rPr>
        <w:t>, millega nähakse ette tootmissuunalise võimsuse mittekasutamise tasu rakendamise erisus kuni 15 kW (kaasa arvatud) netovõimsusega tootmisseadmetele</w:t>
      </w:r>
      <w:r>
        <w:rPr>
          <w:bCs/>
        </w:rPr>
        <w:t xml:space="preserve"> (s.o mikrotootjatele)</w:t>
      </w:r>
      <w:r w:rsidRPr="00C144AC">
        <w:rPr>
          <w:bCs/>
        </w:rPr>
        <w:t xml:space="preserve"> ehk kui ülejäänud tootjad peavad käesoleva paragrahvi lõikes 4 nimetatud perioodi möödumisel vähemalt ühe kauplemisperioodi jooksul mõõdetult kasutama oma liitumislepingujärgset tootmisvõimsust</w:t>
      </w:r>
      <w:r>
        <w:rPr>
          <w:bCs/>
        </w:rPr>
        <w:t xml:space="preserve"> (s.o võrgulepingus sätestatud võrguühenduse läbilaskevõimet)</w:t>
      </w:r>
      <w:r w:rsidRPr="00C144AC">
        <w:rPr>
          <w:bCs/>
        </w:rPr>
        <w:t xml:space="preserve"> vähemalt 95 protsendi ulatuses, siis kuni 15 kW (kaasa arvatud) netovõimsusega tootmisseadme</w:t>
      </w:r>
      <w:r>
        <w:rPr>
          <w:bCs/>
        </w:rPr>
        <w:t>d</w:t>
      </w:r>
      <w:r w:rsidRPr="00C144AC">
        <w:rPr>
          <w:bCs/>
        </w:rPr>
        <w:t xml:space="preserve"> </w:t>
      </w:r>
      <w:r>
        <w:rPr>
          <w:bCs/>
        </w:rPr>
        <w:t>on tootmissuunalise võimsuse mittekasutamise tasust täielikult vabastatud</w:t>
      </w:r>
      <w:r w:rsidRPr="00C144AC">
        <w:rPr>
          <w:bCs/>
        </w:rPr>
        <w:t>. Tootmissuunalise võimsuse mittekasutamise tasu ehk alakasutustasu norm kehtestati 17. märtsil 2023</w:t>
      </w:r>
      <w:r>
        <w:rPr>
          <w:bCs/>
        </w:rPr>
        <w:t xml:space="preserve"> ning erisus mikrotootjatele kehtestatakse tagasiulatuvalt alates sellest kuupäevast.</w:t>
      </w:r>
      <w:r w:rsidRPr="00C144AC">
        <w:rPr>
          <w:bCs/>
        </w:rPr>
        <w:t xml:space="preserve"> </w:t>
      </w:r>
      <w:r>
        <w:rPr>
          <w:bCs/>
        </w:rPr>
        <w:t>Seega edaspidi rakendatakse tootmissuunalise võimsuse mittekasutamise tasu üle 15 kW tootmisseadmetele, kuid mitte enam tootmisseadmetele võimsusega kuni 15 kW (kaasa arvatud).</w:t>
      </w:r>
    </w:p>
    <w:p w14:paraId="22319405" w14:textId="77777777" w:rsidR="006B1555" w:rsidRDefault="006B1555" w:rsidP="006B1555">
      <w:pPr>
        <w:rPr>
          <w:bCs/>
        </w:rPr>
      </w:pPr>
    </w:p>
    <w:p w14:paraId="63084514" w14:textId="77777777" w:rsidR="006B1555" w:rsidRPr="00824AC2" w:rsidRDefault="006B1555" w:rsidP="006B1555">
      <w:pPr>
        <w:rPr>
          <w:b/>
        </w:rPr>
      </w:pPr>
      <w:r>
        <w:rPr>
          <w:b/>
        </w:rPr>
        <w:t>Lõige 7</w:t>
      </w:r>
    </w:p>
    <w:p w14:paraId="4F4F0920" w14:textId="77777777" w:rsidR="006B1555" w:rsidRDefault="006B1555" w:rsidP="006B1555">
      <w:pPr>
        <w:rPr>
          <w:bCs/>
        </w:rPr>
      </w:pPr>
      <w:r>
        <w:rPr>
          <w:bCs/>
        </w:rPr>
        <w:t xml:space="preserve">Muudatusega laiendatakse </w:t>
      </w:r>
      <w:r w:rsidRPr="003F3098">
        <w:rPr>
          <w:bCs/>
        </w:rPr>
        <w:t>tootmissuunalise võrguühenduse mittekasutamisega seonduva alakasutustasu vabastamise aluseid saartalitlusvõime tagamise teenuses osutamise juhul.</w:t>
      </w:r>
      <w:r>
        <w:rPr>
          <w:bCs/>
        </w:rPr>
        <w:t xml:space="preserve"> Samuti nähakse s</w:t>
      </w:r>
      <w:r w:rsidRPr="003F3098">
        <w:rPr>
          <w:bCs/>
        </w:rPr>
        <w:t xml:space="preserve">eadusemuudatusega ette võrgulepingujärgse tootmissuunalise võimsuse </w:t>
      </w:r>
      <w:r>
        <w:rPr>
          <w:bCs/>
        </w:rPr>
        <w:t xml:space="preserve">(s.o võrgulepingus sätestatud võrguühenduse läbilaskevõime) </w:t>
      </w:r>
      <w:r w:rsidRPr="003F3098">
        <w:rPr>
          <w:bCs/>
        </w:rPr>
        <w:t>kasutamise kohustus 95 protsendi ulatuses (sarnaselt juba kehtivale liitumislepingujärgse tootmissuunalise võimsuse 95 protsendi ulatuses kasutamise kohustusele). Kui</w:t>
      </w:r>
      <w:r>
        <w:rPr>
          <w:bCs/>
        </w:rPr>
        <w:t xml:space="preserve"> </w:t>
      </w:r>
      <w:r w:rsidRPr="003F3098">
        <w:rPr>
          <w:bCs/>
        </w:rPr>
        <w:t>seaduse</w:t>
      </w:r>
      <w:r>
        <w:rPr>
          <w:bCs/>
        </w:rPr>
        <w:t>muudatuse</w:t>
      </w:r>
      <w:r w:rsidRPr="003F3098">
        <w:rPr>
          <w:bCs/>
        </w:rPr>
        <w:t xml:space="preserve"> algse eelnõu alusel eksisteeriks tootjaliitumine võimsusega 100 MVA ja kui tootja toodab alakasutustasu arvestusperioodil 94% lepingulisest võim</w:t>
      </w:r>
      <w:r>
        <w:rPr>
          <w:bCs/>
        </w:rPr>
        <w:t>s</w:t>
      </w:r>
      <w:r w:rsidRPr="003F3098">
        <w:rPr>
          <w:bCs/>
        </w:rPr>
        <w:t>usest, siis peab võrguettevõtja talle esitama alakasutustasu nõude algse eelnõu teksti alusel 6% ulatuses. Seaduse täpsustuse järel tuleks aga arvesse võtta, et tootmiskohustus ise ei ole enam 100%, vaid on 95% lepingulisest võimusest ning sel juhul tuleb tootjale esitada alakasutustasu nõue 1% tootmisvõimuse ulatuses.</w:t>
      </w:r>
    </w:p>
    <w:p w14:paraId="261DE9F1" w14:textId="77777777" w:rsidR="006B1555" w:rsidRPr="003F3098" w:rsidRDefault="006B1555" w:rsidP="006B1555">
      <w:pPr>
        <w:rPr>
          <w:bCs/>
        </w:rPr>
      </w:pPr>
    </w:p>
    <w:p w14:paraId="64A489CE" w14:textId="77777777" w:rsidR="006B1555" w:rsidRDefault="006B1555" w:rsidP="006B1555">
      <w:pPr>
        <w:rPr>
          <w:bCs/>
        </w:rPr>
      </w:pPr>
      <w:r>
        <w:rPr>
          <w:bCs/>
        </w:rPr>
        <w:t>Senisest</w:t>
      </w:r>
      <w:r w:rsidRPr="003F3098">
        <w:rPr>
          <w:bCs/>
        </w:rPr>
        <w:t xml:space="preserve"> suurem paindlikkus on vajalik, sest praktikas on osutunud tootjal täpselt 100% lepingulise võimsuse saavutamine keeruliseks ja on tekitanud täiendava ja põhjendamatu riski oma lepingulise tootmisvõimsuse ületamiseks ja sellega ühtlasi võrgulepingu rikkumiseks ainult jäiga 100% võimsuse tootmisnõude tõttu. Täpsustus täidab jätkuvalt seaduse mõtet ja eeldab, et liitumislepinguga tootmisseade on lubatud ulatuses valminud või olemasolevat, võrgulepinguga tootmisseadet kasutatakse pea maksimaalses ulatuses.</w:t>
      </w:r>
    </w:p>
    <w:p w14:paraId="17479A13" w14:textId="77777777" w:rsidR="006B1555" w:rsidRDefault="006B1555" w:rsidP="006B1555">
      <w:pPr>
        <w:rPr>
          <w:bCs/>
        </w:rPr>
      </w:pPr>
    </w:p>
    <w:p w14:paraId="30EE9682" w14:textId="77777777" w:rsidR="006B1555" w:rsidRPr="003F3098" w:rsidRDefault="006B1555" w:rsidP="006B1555">
      <w:pPr>
        <w:rPr>
          <w:bCs/>
        </w:rPr>
      </w:pPr>
      <w:r>
        <w:rPr>
          <w:bCs/>
        </w:rPr>
        <w:t>Oluline on märkida, et tootmissuunalise võimsuse mittekasutamise arvestuses ei ole määravaks tootmisseadme tootmisvõimsus, vaid liitumis- või võrgulepingus sätestatud võrguühenduse läbilaskevõime (mis võib olla kokku lepitud madalamal tasemel kui tootmisseadme maksimaalne võimalik tootmisvõimsus).</w:t>
      </w:r>
    </w:p>
    <w:p w14:paraId="4C10B744" w14:textId="77777777" w:rsidR="006B1555" w:rsidRDefault="006B1555" w:rsidP="006B1555">
      <w:pPr>
        <w:rPr>
          <w:b/>
          <w:bCs/>
        </w:rPr>
      </w:pPr>
    </w:p>
    <w:p w14:paraId="385394D4" w14:textId="77777777" w:rsidR="006B1555" w:rsidRPr="00824AC2" w:rsidRDefault="006B1555" w:rsidP="006B1555">
      <w:pPr>
        <w:rPr>
          <w:b/>
        </w:rPr>
      </w:pPr>
      <w:r>
        <w:rPr>
          <w:b/>
        </w:rPr>
        <w:lastRenderedPageBreak/>
        <w:t>Lõige 7</w:t>
      </w:r>
      <w:r>
        <w:rPr>
          <w:b/>
          <w:vertAlign w:val="superscript"/>
        </w:rPr>
        <w:t>3</w:t>
      </w:r>
    </w:p>
    <w:p w14:paraId="79815CC8" w14:textId="77777777" w:rsidR="006B1555" w:rsidRPr="00A97F61" w:rsidRDefault="006B1555" w:rsidP="006B1555">
      <w:r>
        <w:t>Seadust täiendatakse § 87</w:t>
      </w:r>
      <w:r w:rsidRPr="007C4165">
        <w:rPr>
          <w:vertAlign w:val="superscript"/>
        </w:rPr>
        <w:t>1</w:t>
      </w:r>
      <w:r>
        <w:t xml:space="preserve"> lõikega 7</w:t>
      </w:r>
      <w:r w:rsidRPr="007C4165">
        <w:rPr>
          <w:vertAlign w:val="superscript"/>
        </w:rPr>
        <w:t>3</w:t>
      </w:r>
      <w:r>
        <w:t xml:space="preserve"> sarnaselt liitumislepingutele kehtiva erisusega sama paragrahvi lõikes 6</w:t>
      </w:r>
      <w:r>
        <w:rPr>
          <w:vertAlign w:val="superscript"/>
        </w:rPr>
        <w:t>4</w:t>
      </w:r>
      <w:r>
        <w:t xml:space="preserve"> ka kuni 15 kW (kaasa arvatud) netovõimsusega tootmissuunalistele võrgulepingutele selliselt, et tootmissuunalise võimsuse (s.o võrgulepingus sätestatud võrguühenduse läbilaskevõime) mittekasutamise tasu, mida on nimetatud käesoleva paragrahvi lõikes 7 ei kohaldata kuni 15 kW tootmissuunalise võimsusega turuosalistele.</w:t>
      </w:r>
    </w:p>
    <w:p w14:paraId="72D167B4" w14:textId="77777777" w:rsidR="006B1555" w:rsidRDefault="006B1555" w:rsidP="006B1555">
      <w:pPr>
        <w:rPr>
          <w:rFonts w:eastAsia="Times New Roman" w:cs="Times New Roman"/>
          <w:b/>
          <w:bCs/>
          <w:lang w:eastAsia="et-EE"/>
        </w:rPr>
      </w:pPr>
    </w:p>
    <w:p w14:paraId="668458C1" w14:textId="77777777" w:rsidR="006B1555" w:rsidRDefault="006B1555" w:rsidP="006B1555">
      <w:pPr>
        <w:rPr>
          <w:rFonts w:eastAsia="Times New Roman" w:cs="Times New Roman"/>
          <w:b/>
          <w:bCs/>
          <w:lang w:eastAsia="et-EE"/>
        </w:rPr>
      </w:pPr>
      <w:r>
        <w:rPr>
          <w:rFonts w:eastAsia="Times New Roman" w:cs="Times New Roman"/>
          <w:b/>
          <w:bCs/>
          <w:lang w:eastAsia="et-EE"/>
        </w:rPr>
        <w:t xml:space="preserve">ELTS § 89 </w:t>
      </w:r>
    </w:p>
    <w:p w14:paraId="7E4DC165" w14:textId="77777777" w:rsidR="006B1555" w:rsidRDefault="006B1555" w:rsidP="006B1555">
      <w:pPr>
        <w:rPr>
          <w:rFonts w:eastAsia="Times New Roman" w:cs="Times New Roman"/>
          <w:b/>
          <w:bCs/>
          <w:lang w:eastAsia="et-EE"/>
        </w:rPr>
      </w:pPr>
      <w:r>
        <w:rPr>
          <w:rFonts w:eastAsia="Times New Roman" w:cs="Times New Roman"/>
          <w:b/>
          <w:bCs/>
          <w:lang w:eastAsia="et-EE"/>
        </w:rPr>
        <w:t>Lõiked 3</w:t>
      </w:r>
      <w:r w:rsidRPr="00AD7A06">
        <w:rPr>
          <w:rFonts w:eastAsia="Times New Roman" w:cs="Times New Roman"/>
          <w:b/>
          <w:bCs/>
          <w:vertAlign w:val="superscript"/>
          <w:lang w:eastAsia="et-EE"/>
        </w:rPr>
        <w:t>1</w:t>
      </w:r>
      <w:r>
        <w:rPr>
          <w:rFonts w:eastAsia="Times New Roman" w:cs="Times New Roman"/>
          <w:b/>
          <w:bCs/>
          <w:lang w:eastAsia="et-EE"/>
        </w:rPr>
        <w:t xml:space="preserve"> ja 4</w:t>
      </w:r>
    </w:p>
    <w:p w14:paraId="0801455E" w14:textId="77777777" w:rsidR="006B1555" w:rsidRPr="00AD7A06" w:rsidRDefault="006B1555" w:rsidP="006B1555">
      <w:pPr>
        <w:rPr>
          <w:rFonts w:cs="Times New Roman"/>
        </w:rPr>
      </w:pPr>
      <w:r>
        <w:rPr>
          <w:rFonts w:eastAsia="Times New Roman" w:cs="Times New Roman"/>
          <w:lang w:eastAsia="et-EE"/>
        </w:rPr>
        <w:t>Õiguskantsler pöördus Kliimaministeeriumi poole</w:t>
      </w:r>
      <w:r>
        <w:rPr>
          <w:rStyle w:val="Allmrkuseviide"/>
          <w:rFonts w:eastAsia="Times New Roman" w:cs="Times New Roman"/>
          <w:lang w:eastAsia="et-EE"/>
        </w:rPr>
        <w:footnoteReference w:id="28"/>
      </w:r>
      <w:r>
        <w:rPr>
          <w:rFonts w:eastAsia="Times New Roman" w:cs="Times New Roman"/>
          <w:lang w:eastAsia="et-EE"/>
        </w:rPr>
        <w:t xml:space="preserve"> juhtides tähelepanu asjaolule, et esialgsel kujul tekitab kõnealune säte mitmeid</w:t>
      </w:r>
      <w:r w:rsidRPr="002A5DEC">
        <w:rPr>
          <w:rFonts w:eastAsia="Times New Roman" w:cs="Times New Roman"/>
          <w:lang w:eastAsia="et-EE"/>
        </w:rPr>
        <w:t xml:space="preserve"> tõlgendusvõimalusi ja pole teada, kuidas vaidlust lahendavad organid sätet tõlgendaks.</w:t>
      </w:r>
      <w:r>
        <w:rPr>
          <w:rFonts w:eastAsia="Times New Roman" w:cs="Times New Roman"/>
          <w:lang w:eastAsia="et-EE"/>
        </w:rPr>
        <w:t xml:space="preserve"> Õiguskantsler tegi ettepaneku</w:t>
      </w:r>
      <w:r>
        <w:rPr>
          <w:rStyle w:val="Allmrkuseviide"/>
          <w:rFonts w:eastAsia="Times New Roman" w:cs="Times New Roman"/>
          <w:lang w:eastAsia="et-EE"/>
        </w:rPr>
        <w:footnoteReference w:id="29"/>
      </w:r>
      <w:r>
        <w:rPr>
          <w:rFonts w:eastAsia="Times New Roman" w:cs="Times New Roman"/>
          <w:lang w:eastAsia="et-EE"/>
        </w:rPr>
        <w:t xml:space="preserve"> normi täpsustada ja tõi ühe lahendusena välja lisada sättesse konkreetne normiviide kuluallikale, mille suhtes soovitakse erandit teha (nt viidata ELTS § 53</w:t>
      </w:r>
      <w:r>
        <w:rPr>
          <w:rFonts w:eastAsia="Times New Roman" w:cs="Times New Roman"/>
          <w:vertAlign w:val="superscript"/>
          <w:lang w:eastAsia="et-EE"/>
        </w:rPr>
        <w:t xml:space="preserve">1 </w:t>
      </w:r>
      <w:r>
        <w:rPr>
          <w:rFonts w:eastAsia="Times New Roman" w:cs="Times New Roman"/>
          <w:lang w:eastAsia="et-EE"/>
        </w:rPr>
        <w:t>lõikele 1).</w:t>
      </w:r>
      <w:r w:rsidRPr="002A5DEC">
        <w:rPr>
          <w:rFonts w:eastAsia="Times New Roman" w:cs="Times New Roman"/>
          <w:lang w:eastAsia="et-EE"/>
        </w:rPr>
        <w:t xml:space="preserve"> </w:t>
      </w:r>
      <w:r>
        <w:rPr>
          <w:rFonts w:eastAsia="Times New Roman" w:cs="Times New Roman"/>
          <w:lang w:eastAsia="et-EE"/>
        </w:rPr>
        <w:t xml:space="preserve">Eeltoodust tulenevalt </w:t>
      </w:r>
      <w:r w:rsidRPr="00AD7A06">
        <w:rPr>
          <w:rFonts w:eastAsia="Times New Roman" w:cs="Times New Roman"/>
          <w:lang w:eastAsia="et-EE"/>
        </w:rPr>
        <w:t>parandatakse sätte õigusselgust</w:t>
      </w:r>
      <w:r>
        <w:rPr>
          <w:rFonts w:eastAsia="Times New Roman" w:cs="Times New Roman"/>
          <w:lang w:eastAsia="et-EE"/>
        </w:rPr>
        <w:t xml:space="preserve">, et </w:t>
      </w:r>
      <w:r w:rsidRPr="003F5E77">
        <w:rPr>
          <w:rFonts w:eastAsia="Times New Roman" w:cs="Times New Roman"/>
          <w:lang w:eastAsia="et-EE"/>
        </w:rPr>
        <w:t xml:space="preserve">tarbija ja elektrimüüja õiguste ja kohustuste tasakaal </w:t>
      </w:r>
      <w:r>
        <w:rPr>
          <w:rFonts w:eastAsia="Times New Roman" w:cs="Times New Roman"/>
          <w:lang w:eastAsia="et-EE"/>
        </w:rPr>
        <w:t>ei oleks kallutatud</w:t>
      </w:r>
      <w:r w:rsidRPr="003F5E77">
        <w:rPr>
          <w:rFonts w:eastAsia="Times New Roman" w:cs="Times New Roman"/>
          <w:lang w:eastAsia="et-EE"/>
        </w:rPr>
        <w:t xml:space="preserve"> märkimisväärselt müüja </w:t>
      </w:r>
      <w:r w:rsidRPr="009101A6">
        <w:rPr>
          <w:rFonts w:eastAsia="Times New Roman" w:cs="Times New Roman"/>
          <w:lang w:eastAsia="et-EE"/>
        </w:rPr>
        <w:t>kasuks.</w:t>
      </w:r>
      <w:r>
        <w:rPr>
          <w:rFonts w:eastAsia="Times New Roman" w:cs="Times New Roman"/>
          <w:lang w:eastAsia="et-EE"/>
        </w:rPr>
        <w:t xml:space="preserve"> Sätte esialgne eesmärk oli võimaldada </w:t>
      </w:r>
      <w:r w:rsidRPr="00AD7A06">
        <w:rPr>
          <w:rFonts w:eastAsia="Times New Roman" w:cs="Times New Roman"/>
          <w:szCs w:val="24"/>
        </w:rPr>
        <w:t>müüja</w:t>
      </w:r>
      <w:r>
        <w:rPr>
          <w:rFonts w:eastAsia="Times New Roman" w:cs="Times New Roman"/>
          <w:szCs w:val="24"/>
        </w:rPr>
        <w:t>l ühepoolselt</w:t>
      </w:r>
      <w:r w:rsidRPr="00AD7A06">
        <w:rPr>
          <w:rFonts w:eastAsia="Times New Roman" w:cs="Times New Roman"/>
          <w:szCs w:val="24"/>
        </w:rPr>
        <w:t xml:space="preserve"> elektrilepingu ja agregeerimislepingu tingimusi muuta</w:t>
      </w:r>
      <w:r>
        <w:rPr>
          <w:rFonts w:eastAsia="Times New Roman" w:cs="Times New Roman"/>
          <w:szCs w:val="24"/>
        </w:rPr>
        <w:t xml:space="preserve">, et finantseerida </w:t>
      </w:r>
      <w:r>
        <w:rPr>
          <w:rFonts w:cs="Times New Roman"/>
        </w:rPr>
        <w:t>t</w:t>
      </w:r>
      <w:r w:rsidRPr="00AD7A06">
        <w:rPr>
          <w:rFonts w:cs="Times New Roman"/>
        </w:rPr>
        <w:t>asakaalustamisvõimsuse hankimise kulu</w:t>
      </w:r>
      <w:r>
        <w:rPr>
          <w:rFonts w:cs="Times New Roman"/>
        </w:rPr>
        <w:t>, mida müüja peab koguma tarbijalt ja tootjalt (ELTS § 53</w:t>
      </w:r>
      <w:r w:rsidRPr="00AD7A06">
        <w:rPr>
          <w:rFonts w:cs="Times New Roman"/>
          <w:vertAlign w:val="superscript"/>
        </w:rPr>
        <w:t>1</w:t>
      </w:r>
      <w:r>
        <w:rPr>
          <w:rFonts w:cs="Times New Roman"/>
        </w:rPr>
        <w:t xml:space="preserve"> lg 3). Vastavalt muudetakse ka lõiget 4.</w:t>
      </w:r>
    </w:p>
    <w:p w14:paraId="33CEDC6C" w14:textId="77777777" w:rsidR="006B1555" w:rsidRPr="00AD7A06" w:rsidRDefault="006B1555" w:rsidP="006B1555">
      <w:pPr>
        <w:rPr>
          <w:rFonts w:eastAsia="Times New Roman" w:cs="Times New Roman"/>
          <w:lang w:eastAsia="et-EE"/>
        </w:rPr>
      </w:pPr>
    </w:p>
    <w:p w14:paraId="21EAFAB2" w14:textId="77777777" w:rsidR="006B1555" w:rsidRDefault="006B1555" w:rsidP="006B1555">
      <w:pPr>
        <w:rPr>
          <w:rFonts w:eastAsia="Times New Roman" w:cs="Times New Roman"/>
          <w:b/>
          <w:bCs/>
          <w:lang w:eastAsia="et-EE"/>
        </w:rPr>
      </w:pPr>
      <w:r>
        <w:rPr>
          <w:rFonts w:eastAsia="Times New Roman" w:cs="Times New Roman"/>
          <w:b/>
          <w:bCs/>
          <w:lang w:eastAsia="et-EE"/>
        </w:rPr>
        <w:t xml:space="preserve">ELTS § 90 </w:t>
      </w:r>
    </w:p>
    <w:p w14:paraId="4EA041E0" w14:textId="77777777" w:rsidR="006B1555" w:rsidRPr="00A97F61" w:rsidRDefault="006B1555" w:rsidP="006B1555">
      <w:pPr>
        <w:rPr>
          <w:rFonts w:eastAsia="Times New Roman" w:cs="Times New Roman"/>
          <w:b/>
          <w:bCs/>
          <w:lang w:eastAsia="et-EE"/>
        </w:rPr>
      </w:pPr>
      <w:r>
        <w:rPr>
          <w:rFonts w:eastAsia="Times New Roman" w:cs="Times New Roman"/>
          <w:b/>
          <w:bCs/>
          <w:lang w:eastAsia="et-EE"/>
        </w:rPr>
        <w:t>Lõiked 14 ja 15</w:t>
      </w:r>
    </w:p>
    <w:p w14:paraId="750C0597" w14:textId="77777777" w:rsidR="006B1555" w:rsidRDefault="006B1555" w:rsidP="006B1555">
      <w:pPr>
        <w:rPr>
          <w:rFonts w:eastAsia="Times New Roman" w:cs="Times New Roman"/>
          <w:lang w:eastAsia="et-EE"/>
        </w:rPr>
      </w:pPr>
      <w:r>
        <w:rPr>
          <w:rFonts w:eastAsia="Times New Roman" w:cs="Times New Roman"/>
          <w:lang w:eastAsia="et-EE"/>
        </w:rPr>
        <w:t xml:space="preserve">Seaduse paragrahvi § 90 täiendatakse lõigetega 14 ja 15. </w:t>
      </w:r>
      <w:r w:rsidRPr="007A4709">
        <w:rPr>
          <w:rFonts w:eastAsia="Times New Roman" w:cs="Times New Roman"/>
          <w:lang w:eastAsia="et-EE"/>
        </w:rPr>
        <w:t xml:space="preserve">Tarbijatel on õigus kasutada oma </w:t>
      </w:r>
      <w:r>
        <w:rPr>
          <w:rFonts w:eastAsia="Times New Roman" w:cs="Times New Roman"/>
          <w:lang w:eastAsia="et-EE"/>
        </w:rPr>
        <w:t xml:space="preserve">võrguettevõtja </w:t>
      </w:r>
      <w:r w:rsidRPr="007A4709">
        <w:rPr>
          <w:rFonts w:eastAsia="Times New Roman" w:cs="Times New Roman"/>
          <w:lang w:eastAsia="et-EE"/>
        </w:rPr>
        <w:t xml:space="preserve">hallatavaid kaebuste esitamise menetlusi ja vaidluste kohtuvälise lahendamise menetlusi, et tagada oma õiguste tulemuslik jõustamine </w:t>
      </w:r>
      <w:r>
        <w:rPr>
          <w:rFonts w:eastAsia="Times New Roman" w:cs="Times New Roman"/>
          <w:lang w:eastAsia="et-EE"/>
        </w:rPr>
        <w:t>ning</w:t>
      </w:r>
      <w:r w:rsidRPr="007A4709">
        <w:rPr>
          <w:rFonts w:eastAsia="Times New Roman" w:cs="Times New Roman"/>
          <w:lang w:eastAsia="et-EE"/>
        </w:rPr>
        <w:t xml:space="preserve"> mitte sattuda ebasoodsasse olukorda </w:t>
      </w:r>
      <w:r>
        <w:rPr>
          <w:rFonts w:eastAsia="Times New Roman" w:cs="Times New Roman"/>
          <w:lang w:eastAsia="et-EE"/>
        </w:rPr>
        <w:t>võrguettevõtjaga</w:t>
      </w:r>
      <w:r w:rsidRPr="007A4709">
        <w:rPr>
          <w:rFonts w:eastAsia="Times New Roman" w:cs="Times New Roman"/>
          <w:lang w:eastAsia="et-EE"/>
        </w:rPr>
        <w:t xml:space="preserve"> tekkinud erimeelsuste </w:t>
      </w:r>
      <w:r>
        <w:rPr>
          <w:rFonts w:eastAsia="Times New Roman" w:cs="Times New Roman"/>
          <w:lang w:eastAsia="et-EE"/>
        </w:rPr>
        <w:t>korral</w:t>
      </w:r>
      <w:r w:rsidRPr="007A4709">
        <w:rPr>
          <w:rFonts w:eastAsia="Times New Roman" w:cs="Times New Roman"/>
          <w:lang w:eastAsia="et-EE"/>
        </w:rPr>
        <w:t>, eelkõige seoses arvetega või tasumisele kuuluvate summadega. Kui tarbijad neid menetlusi kasutavad, ei tohi võrguettevõtjad lõpetada lepinguid endiselt vaidluse esemeks olevate faktide alusel.</w:t>
      </w:r>
    </w:p>
    <w:p w14:paraId="693F5C2D" w14:textId="77777777" w:rsidR="006B1555" w:rsidRDefault="006B1555" w:rsidP="006B1555">
      <w:pPr>
        <w:rPr>
          <w:rFonts w:eastAsia="Times New Roman" w:cs="Times New Roman"/>
          <w:lang w:eastAsia="et-EE"/>
        </w:rPr>
      </w:pPr>
    </w:p>
    <w:p w14:paraId="3EC020F6" w14:textId="77777777" w:rsidR="006B1555" w:rsidRDefault="006B1555" w:rsidP="006B1555">
      <w:pPr>
        <w:rPr>
          <w:rFonts w:eastAsia="Times New Roman" w:cs="Times New Roman"/>
          <w:lang w:eastAsia="et-EE"/>
        </w:rPr>
      </w:pPr>
      <w:r w:rsidRPr="00EC7D54">
        <w:rPr>
          <w:rFonts w:eastAsia="Times New Roman" w:cs="Times New Roman"/>
          <w:lang w:eastAsia="et-EE"/>
        </w:rPr>
        <w:t>Võrgust lahtiühendamise keeld kehti</w:t>
      </w:r>
      <w:r>
        <w:rPr>
          <w:rFonts w:eastAsia="Times New Roman" w:cs="Times New Roman"/>
          <w:lang w:eastAsia="et-EE"/>
        </w:rPr>
        <w:t>b</w:t>
      </w:r>
      <w:r w:rsidRPr="00EC7D54">
        <w:rPr>
          <w:rFonts w:eastAsia="Times New Roman" w:cs="Times New Roman"/>
          <w:lang w:eastAsia="et-EE"/>
        </w:rPr>
        <w:t xml:space="preserve"> üksnes vaidluse esemeks olevate faktiliste asjaolude suhtes ja kohtuvälise menetluse kuritarvitamist (sh menetluse ajal edasiste arvete tasumata jätmist) tuleb vältida.</w:t>
      </w:r>
      <w:r>
        <w:rPr>
          <w:rFonts w:eastAsia="Times New Roman" w:cs="Times New Roman"/>
          <w:lang w:eastAsia="et-EE"/>
        </w:rPr>
        <w:t xml:space="preserve"> Näiteks on v</w:t>
      </w:r>
      <w:r w:rsidRPr="007E5738">
        <w:rPr>
          <w:rFonts w:eastAsia="Times New Roman" w:cs="Times New Roman"/>
          <w:lang w:eastAsia="et-EE"/>
        </w:rPr>
        <w:t>õrguettevõtja</w:t>
      </w:r>
      <w:r w:rsidRPr="005B13D9">
        <w:rPr>
          <w:rFonts w:eastAsia="Times New Roman" w:cs="Times New Roman"/>
          <w:lang w:eastAsia="et-EE"/>
        </w:rPr>
        <w:t>l õigus</w:t>
      </w:r>
      <w:r w:rsidRPr="007E5738">
        <w:rPr>
          <w:rFonts w:eastAsia="Times New Roman" w:cs="Times New Roman"/>
          <w:lang w:eastAsia="et-EE"/>
        </w:rPr>
        <w:t xml:space="preserve"> viivitamata katkestada tarbija võrguühendus, kui tarbija</w:t>
      </w:r>
      <w:r w:rsidRPr="005B13D9">
        <w:rPr>
          <w:rFonts w:eastAsia="Times New Roman" w:cs="Times New Roman"/>
          <w:lang w:eastAsia="et-EE"/>
        </w:rPr>
        <w:t xml:space="preserve"> </w:t>
      </w:r>
      <w:r w:rsidRPr="007E5738">
        <w:rPr>
          <w:rFonts w:eastAsia="Times New Roman" w:cs="Times New Roman"/>
          <w:lang w:eastAsia="et-EE"/>
        </w:rPr>
        <w:t xml:space="preserve">omavoliliselt suurendab </w:t>
      </w:r>
      <w:r w:rsidRPr="005B13D9">
        <w:rPr>
          <w:rFonts w:eastAsia="Times New Roman" w:cs="Times New Roman"/>
          <w:lang w:eastAsia="et-EE"/>
        </w:rPr>
        <w:t xml:space="preserve">võrguettevõtja poolt </w:t>
      </w:r>
      <w:r w:rsidRPr="007E5738">
        <w:rPr>
          <w:rFonts w:eastAsia="Times New Roman" w:cs="Times New Roman"/>
          <w:lang w:eastAsia="et-EE"/>
        </w:rPr>
        <w:t>piiratud võimsust</w:t>
      </w:r>
      <w:r w:rsidRPr="005B13D9">
        <w:rPr>
          <w:rFonts w:eastAsia="Times New Roman" w:cs="Times New Roman"/>
          <w:lang w:eastAsia="et-EE"/>
        </w:rPr>
        <w:t xml:space="preserve"> või </w:t>
      </w:r>
      <w:r w:rsidRPr="007E5738">
        <w:rPr>
          <w:rFonts w:eastAsia="Times New Roman" w:cs="Times New Roman"/>
          <w:lang w:eastAsia="et-EE"/>
        </w:rPr>
        <w:t xml:space="preserve">kasutab elektrienergiat </w:t>
      </w:r>
      <w:r w:rsidRPr="005B13D9">
        <w:rPr>
          <w:rFonts w:eastAsia="Times New Roman" w:cs="Times New Roman"/>
          <w:lang w:eastAsia="et-EE"/>
        </w:rPr>
        <w:t>ja</w:t>
      </w:r>
      <w:r w:rsidRPr="007E5738">
        <w:rPr>
          <w:rFonts w:eastAsia="Times New Roman" w:cs="Times New Roman"/>
          <w:lang w:eastAsia="et-EE"/>
        </w:rPr>
        <w:t xml:space="preserve"> võrguteenust ebaseaduslikult</w:t>
      </w:r>
      <w:r w:rsidRPr="005B13D9">
        <w:rPr>
          <w:rFonts w:eastAsia="Times New Roman" w:cs="Times New Roman"/>
          <w:lang w:eastAsia="et-EE"/>
        </w:rPr>
        <w:t xml:space="preserve"> või</w:t>
      </w:r>
      <w:r w:rsidRPr="007E5738">
        <w:rPr>
          <w:rFonts w:eastAsia="Times New Roman" w:cs="Times New Roman"/>
          <w:lang w:eastAsia="et-EE"/>
        </w:rPr>
        <w:t xml:space="preserve"> kasutab elektripaigaldisi, mis ei ole nõuetekohased, on ohtlikud, häirivad kogu võrgu toimimist või ohustavad </w:t>
      </w:r>
      <w:r w:rsidRPr="005B13D9">
        <w:rPr>
          <w:rFonts w:eastAsia="Times New Roman" w:cs="Times New Roman"/>
          <w:lang w:eastAsia="et-EE"/>
        </w:rPr>
        <w:t>v</w:t>
      </w:r>
      <w:r w:rsidRPr="007E5738">
        <w:rPr>
          <w:rFonts w:eastAsia="Times New Roman" w:cs="Times New Roman"/>
          <w:lang w:eastAsia="et-EE"/>
        </w:rPr>
        <w:t>arustuskindlust.</w:t>
      </w:r>
      <w:r w:rsidRPr="007E5738">
        <w:rPr>
          <w:rFonts w:eastAsia="Times New Roman" w:cs="Times New Roman"/>
          <w:lang w:eastAsia="et-EE"/>
        </w:rPr>
        <w:br/>
      </w:r>
    </w:p>
    <w:p w14:paraId="6BBD4572" w14:textId="77777777" w:rsidR="006B1555" w:rsidRDefault="006B1555" w:rsidP="006B1555">
      <w:pPr>
        <w:rPr>
          <w:rFonts w:eastAsia="Times New Roman" w:cs="Times New Roman"/>
          <w:lang w:eastAsia="et-EE"/>
        </w:rPr>
      </w:pPr>
      <w:r>
        <w:rPr>
          <w:rFonts w:eastAsia="Times New Roman" w:cs="Times New Roman"/>
          <w:lang w:eastAsia="et-EE"/>
        </w:rPr>
        <w:t>Võrguettevõtjad</w:t>
      </w:r>
      <w:r w:rsidRPr="007A4709">
        <w:rPr>
          <w:rFonts w:eastAsia="Times New Roman" w:cs="Times New Roman"/>
          <w:lang w:eastAsia="et-EE"/>
        </w:rPr>
        <w:t xml:space="preserve"> ja tarbijad pea</w:t>
      </w:r>
      <w:r>
        <w:rPr>
          <w:rFonts w:eastAsia="Times New Roman" w:cs="Times New Roman"/>
          <w:lang w:eastAsia="et-EE"/>
        </w:rPr>
        <w:t>vad</w:t>
      </w:r>
      <w:r w:rsidRPr="007A4709">
        <w:rPr>
          <w:rFonts w:eastAsia="Times New Roman" w:cs="Times New Roman"/>
          <w:lang w:eastAsia="et-EE"/>
        </w:rPr>
        <w:t xml:space="preserve"> </w:t>
      </w:r>
      <w:r>
        <w:rPr>
          <w:rFonts w:eastAsia="Times New Roman" w:cs="Times New Roman"/>
          <w:lang w:eastAsia="et-EE"/>
        </w:rPr>
        <w:t>jätkuvalt</w:t>
      </w:r>
      <w:r w:rsidRPr="007A4709">
        <w:rPr>
          <w:rFonts w:eastAsia="Times New Roman" w:cs="Times New Roman"/>
          <w:lang w:eastAsia="et-EE"/>
        </w:rPr>
        <w:t xml:space="preserve"> täitma oma lepingulisi õigusi ja kohustusi, eelkõige elektrienergia</w:t>
      </w:r>
      <w:r>
        <w:rPr>
          <w:rFonts w:eastAsia="Times New Roman" w:cs="Times New Roman"/>
          <w:lang w:eastAsia="et-EE"/>
        </w:rPr>
        <w:t>t</w:t>
      </w:r>
      <w:r w:rsidRPr="007A4709">
        <w:rPr>
          <w:rFonts w:eastAsia="Times New Roman" w:cs="Times New Roman"/>
          <w:lang w:eastAsia="et-EE"/>
        </w:rPr>
        <w:t xml:space="preserve"> tarnim</w:t>
      </w:r>
      <w:r>
        <w:rPr>
          <w:rFonts w:eastAsia="Times New Roman" w:cs="Times New Roman"/>
          <w:lang w:eastAsia="et-EE"/>
        </w:rPr>
        <w:t>a</w:t>
      </w:r>
      <w:r w:rsidRPr="007A4709">
        <w:rPr>
          <w:rFonts w:eastAsia="Times New Roman" w:cs="Times New Roman"/>
          <w:lang w:eastAsia="et-EE"/>
        </w:rPr>
        <w:t xml:space="preserve"> ja selle eest maksm</w:t>
      </w:r>
      <w:r>
        <w:rPr>
          <w:rFonts w:eastAsia="Times New Roman" w:cs="Times New Roman"/>
          <w:lang w:eastAsia="et-EE"/>
        </w:rPr>
        <w:t>a</w:t>
      </w:r>
      <w:r w:rsidRPr="007A4709">
        <w:rPr>
          <w:rFonts w:eastAsia="Times New Roman" w:cs="Times New Roman"/>
          <w:lang w:eastAsia="et-EE"/>
        </w:rPr>
        <w:t>, ning kaebuste esitamise menetlus ei tohi olla aluseks kuritarvitamisele, mis võimaldaks tarbijal kõrvale hoida</w:t>
      </w:r>
      <w:r>
        <w:rPr>
          <w:rFonts w:eastAsia="Times New Roman" w:cs="Times New Roman"/>
          <w:lang w:eastAsia="et-EE"/>
        </w:rPr>
        <w:t xml:space="preserve"> </w:t>
      </w:r>
      <w:r w:rsidRPr="007A4709">
        <w:rPr>
          <w:rFonts w:eastAsia="Times New Roman" w:cs="Times New Roman"/>
          <w:lang w:eastAsia="et-EE"/>
        </w:rPr>
        <w:t>oma lepingulistest kohustustest, sealhulgas arvete tasumisest.</w:t>
      </w:r>
      <w:r>
        <w:rPr>
          <w:rFonts w:eastAsia="Times New Roman" w:cs="Times New Roman"/>
          <w:lang w:eastAsia="et-EE"/>
        </w:rPr>
        <w:t xml:space="preserve">  </w:t>
      </w:r>
    </w:p>
    <w:p w14:paraId="571E1C93" w14:textId="77777777" w:rsidR="006B1555" w:rsidRDefault="006B1555" w:rsidP="006B1555">
      <w:pPr>
        <w:rPr>
          <w:rFonts w:eastAsia="Times New Roman" w:cs="Times New Roman"/>
          <w:lang w:eastAsia="et-EE"/>
        </w:rPr>
      </w:pPr>
    </w:p>
    <w:p w14:paraId="393B1E7A" w14:textId="77777777" w:rsidR="006B1555" w:rsidRPr="00C14537" w:rsidRDefault="006B1555" w:rsidP="006B1555">
      <w:pPr>
        <w:rPr>
          <w:rFonts w:eastAsia="Times New Roman" w:cs="Times New Roman"/>
          <w:lang w:eastAsia="et-EE"/>
        </w:rPr>
      </w:pPr>
      <w:r w:rsidRPr="009A61E8">
        <w:rPr>
          <w:rFonts w:eastAsia="Times New Roman" w:cs="Times New Roman"/>
          <w:lang w:eastAsia="et-EE"/>
        </w:rPr>
        <w:t>Enne võrguühendamise katkestamist on võrguettevõtja kohustatud edastama tarbijale asjakohase teate, mis peab sisaldama lisaks võrguühenduse katkestamise põhjusele ka muuhulgas sotsiaalhoolekande seaduses sätestatud võimalusi ning alternatiivseid maksevõimalusi.</w:t>
      </w:r>
      <w:r>
        <w:rPr>
          <w:rFonts w:eastAsia="Times New Roman" w:cs="Times New Roman"/>
          <w:lang w:eastAsia="et-EE"/>
        </w:rPr>
        <w:t xml:space="preserve"> </w:t>
      </w:r>
      <w:r w:rsidRPr="00DF7B5C">
        <w:rPr>
          <w:rFonts w:eastAsia="Times New Roman" w:cs="Times New Roman"/>
          <w:lang w:eastAsia="et-EE"/>
        </w:rPr>
        <w:t xml:space="preserve">Eestis aidatakse </w:t>
      </w:r>
      <w:r>
        <w:rPr>
          <w:rFonts w:eastAsia="Times New Roman" w:cs="Times New Roman"/>
          <w:lang w:eastAsia="et-EE"/>
        </w:rPr>
        <w:t>muuhulgas</w:t>
      </w:r>
      <w:r w:rsidRPr="00DF7B5C">
        <w:rPr>
          <w:rFonts w:eastAsia="Times New Roman" w:cs="Times New Roman"/>
          <w:lang w:eastAsia="et-EE"/>
        </w:rPr>
        <w:t xml:space="preserve"> energiaostuvõimetuid tarbijaid läbi sotsiaalhoolekande seaduse</w:t>
      </w:r>
      <w:r>
        <w:rPr>
          <w:rFonts w:eastAsia="Times New Roman" w:cs="Times New Roman"/>
          <w:lang w:eastAsia="et-EE"/>
        </w:rPr>
        <w:t>, kus t</w:t>
      </w:r>
      <w:r w:rsidRPr="00DF7B5C">
        <w:rPr>
          <w:rFonts w:eastAsia="Times New Roman" w:cs="Times New Roman"/>
          <w:lang w:eastAsia="et-EE"/>
        </w:rPr>
        <w:t>oimetulekutoetuse maksmise aluseks on ka elektrienergia eest tasumine arvestatud.</w:t>
      </w:r>
    </w:p>
    <w:p w14:paraId="2C0CF774" w14:textId="77777777" w:rsidR="006B1555" w:rsidRPr="00C14537" w:rsidRDefault="006B1555" w:rsidP="006B1555">
      <w:pPr>
        <w:rPr>
          <w:rFonts w:eastAsia="Times New Roman" w:cs="Times New Roman"/>
          <w:lang w:eastAsia="et-EE"/>
        </w:rPr>
      </w:pPr>
    </w:p>
    <w:p w14:paraId="087DDB69" w14:textId="77777777" w:rsidR="006B1555" w:rsidRDefault="006B1555" w:rsidP="006B1555">
      <w:pPr>
        <w:rPr>
          <w:rFonts w:eastAsia="Times New Roman" w:cs="Times New Roman"/>
          <w:lang w:eastAsia="et-EE"/>
        </w:rPr>
      </w:pPr>
      <w:r w:rsidRPr="00C14537">
        <w:rPr>
          <w:rFonts w:eastAsia="Times New Roman" w:cs="Times New Roman"/>
          <w:lang w:eastAsia="et-EE"/>
        </w:rPr>
        <w:lastRenderedPageBreak/>
        <w:t>Ühtlasi kehtib võrguühenduse katkestamise keeld ainult juhul, kui kaebus on esitatud võrguettevõtja vastu. ELTS § 90 lg 1 kohaselt on võrguühenduse katkestamise õigus üksnes võrguettevõtjal ja üksnes juhul, kui tarbija on jätnud tasumata võrgutasu või üldteenuse</w:t>
      </w:r>
      <w:r>
        <w:rPr>
          <w:rFonts w:eastAsia="Times New Roman" w:cs="Times New Roman"/>
          <w:lang w:eastAsia="et-EE"/>
        </w:rPr>
        <w:t xml:space="preserve"> või </w:t>
      </w:r>
      <w:r w:rsidRPr="00C14537">
        <w:rPr>
          <w:rFonts w:eastAsia="Times New Roman" w:cs="Times New Roman"/>
          <w:lang w:eastAsia="et-EE"/>
        </w:rPr>
        <w:t>avatud tarne katkemise eest makstava tasu. Seega ei tohi kaebuse esitamine elektrimüüja vastu takistada võrguettevõtjal võrguühendust katkestada, kui võrguühenduse katkestamise põhjuseks on võrguettevõtjale võrguteenuse tasu maksmata jätmine.</w:t>
      </w:r>
      <w:r>
        <w:rPr>
          <w:rFonts w:eastAsia="Times New Roman" w:cs="Times New Roman"/>
          <w:lang w:eastAsia="et-EE"/>
        </w:rPr>
        <w:t xml:space="preserve"> </w:t>
      </w:r>
      <w:r>
        <w:t xml:space="preserve"> K</w:t>
      </w:r>
      <w:r w:rsidRPr="00E4686B">
        <w:rPr>
          <w:rFonts w:eastAsia="Times New Roman" w:cs="Times New Roman"/>
          <w:lang w:eastAsia="et-EE"/>
        </w:rPr>
        <w:t>ui tarbija kaebus jäetakse menetlusse võtmata või rahuldamata</w:t>
      </w:r>
      <w:r>
        <w:rPr>
          <w:rFonts w:eastAsia="Times New Roman" w:cs="Times New Roman"/>
          <w:lang w:eastAsia="et-EE"/>
        </w:rPr>
        <w:t xml:space="preserve"> peab võrguettevõtja järgima v</w:t>
      </w:r>
      <w:r w:rsidRPr="00B00A2D">
        <w:rPr>
          <w:rFonts w:eastAsia="Times New Roman" w:cs="Times New Roman"/>
          <w:lang w:eastAsia="et-EE"/>
        </w:rPr>
        <w:t>õrgu</w:t>
      </w:r>
      <w:r>
        <w:rPr>
          <w:rFonts w:eastAsia="Times New Roman" w:cs="Times New Roman"/>
          <w:lang w:eastAsia="et-EE"/>
        </w:rPr>
        <w:t>ühenduse katkestamisel seadusest tulenevat korda.</w:t>
      </w:r>
    </w:p>
    <w:p w14:paraId="5F56FC72" w14:textId="77777777" w:rsidR="006B1555" w:rsidRPr="00C14537" w:rsidRDefault="006B1555" w:rsidP="006B1555">
      <w:pPr>
        <w:rPr>
          <w:rFonts w:eastAsia="Times New Roman" w:cs="Times New Roman"/>
          <w:lang w:eastAsia="et-EE"/>
        </w:rPr>
      </w:pPr>
    </w:p>
    <w:p w14:paraId="271F8F30" w14:textId="77777777" w:rsidR="006B1555" w:rsidRDefault="006B1555" w:rsidP="006B1555">
      <w:pPr>
        <w:rPr>
          <w:rFonts w:eastAsia="Times New Roman" w:cs="Times New Roman"/>
          <w:lang w:eastAsia="et-EE"/>
        </w:rPr>
      </w:pPr>
      <w:r w:rsidRPr="00C14537">
        <w:rPr>
          <w:rFonts w:eastAsia="Times New Roman" w:cs="Times New Roman"/>
          <w:lang w:eastAsia="et-EE"/>
        </w:rPr>
        <w:t>Müüja poolt võrguettevõtjale tehtava taotlusega tarbija võrguühenduse katkestamiseks saab toimuda juhul, kui võrguettevõtja on loovutanud võrguteenuse tasu nõuded elektrimüüjale, kes on sõlminud võrguettevõtjaga lepingu ühisarve esitamiseks. Need elektrimüüjad saavad võrguettevõtjalt tellida võrguühenduse katkestuse, kui tarbija on elektrimüüjale jätnud võrguteenuse eest tasu maksmata. Samas on võrguettevõtjal soov või vajadus teatud olukorras võrguühenduse katkestamisest keelduda või seda edasi lükata. Näiteks, kui võlgnevuses olev tarbija on elutähtsa teenuse osutaja, samuti kui katkestada soovitakse eratarbija võrguühendust pühade ajal ja nädalavahetustel.</w:t>
      </w:r>
      <w:r>
        <w:rPr>
          <w:rFonts w:eastAsia="Times New Roman" w:cs="Times New Roman"/>
          <w:lang w:eastAsia="et-EE"/>
        </w:rPr>
        <w:t xml:space="preserve"> Sellisel juhul võib võrguettevõtja jätta taotluse rahuldamata.</w:t>
      </w:r>
      <w:r w:rsidRPr="00C14537">
        <w:rPr>
          <w:rFonts w:eastAsia="Times New Roman" w:cs="Times New Roman"/>
          <w:lang w:eastAsia="et-EE"/>
        </w:rPr>
        <w:t xml:space="preserve">  </w:t>
      </w:r>
    </w:p>
    <w:p w14:paraId="00C4DBE3" w14:textId="77777777" w:rsidR="006B1555" w:rsidRPr="0080235D" w:rsidRDefault="006B1555" w:rsidP="006B1555">
      <w:pPr>
        <w:rPr>
          <w:bCs/>
        </w:rPr>
      </w:pPr>
    </w:p>
    <w:p w14:paraId="1B3456D4" w14:textId="77777777" w:rsidR="006B1555" w:rsidRDefault="006B1555" w:rsidP="006B1555">
      <w:pPr>
        <w:rPr>
          <w:rFonts w:eastAsia="Times New Roman" w:cs="Times New Roman"/>
          <w:b/>
          <w:bCs/>
          <w:lang w:eastAsia="et-EE"/>
        </w:rPr>
      </w:pPr>
      <w:r w:rsidRPr="00B71939">
        <w:rPr>
          <w:rFonts w:eastAsia="Times New Roman" w:cs="Times New Roman"/>
          <w:b/>
          <w:bCs/>
          <w:lang w:eastAsia="et-EE"/>
        </w:rPr>
        <w:t xml:space="preserve">ELTS </w:t>
      </w:r>
      <w:r>
        <w:rPr>
          <w:rFonts w:eastAsia="Times New Roman" w:cs="Times New Roman"/>
          <w:b/>
          <w:bCs/>
          <w:lang w:eastAsia="et-EE"/>
        </w:rPr>
        <w:t xml:space="preserve">§ 92 </w:t>
      </w:r>
    </w:p>
    <w:p w14:paraId="41F3C1CF" w14:textId="77777777" w:rsidR="006B1555" w:rsidRDefault="006B1555" w:rsidP="006B1555">
      <w:pPr>
        <w:rPr>
          <w:rFonts w:eastAsia="Times New Roman" w:cs="Times New Roman"/>
          <w:lang w:eastAsia="et-EE"/>
        </w:rPr>
      </w:pPr>
      <w:r>
        <w:rPr>
          <w:rFonts w:eastAsia="Times New Roman" w:cs="Times New Roman"/>
          <w:b/>
          <w:bCs/>
          <w:lang w:eastAsia="et-EE"/>
        </w:rPr>
        <w:t>Lõige 4</w:t>
      </w:r>
      <w:r>
        <w:rPr>
          <w:rFonts w:eastAsia="Times New Roman" w:cs="Times New Roman"/>
          <w:b/>
          <w:bCs/>
          <w:vertAlign w:val="superscript"/>
          <w:lang w:eastAsia="et-EE"/>
        </w:rPr>
        <w:t>2</w:t>
      </w:r>
      <w:r>
        <w:rPr>
          <w:rFonts w:eastAsia="Times New Roman" w:cs="Times New Roman"/>
          <w:lang w:eastAsia="et-EE"/>
        </w:rPr>
        <w:t xml:space="preserve"> </w:t>
      </w:r>
    </w:p>
    <w:p w14:paraId="3F5EE96B" w14:textId="77777777" w:rsidR="006B1555" w:rsidRDefault="006B1555" w:rsidP="006B1555">
      <w:pPr>
        <w:rPr>
          <w:rFonts w:eastAsia="Times New Roman" w:cs="Times New Roman"/>
          <w:lang w:eastAsia="et-EE"/>
        </w:rPr>
      </w:pPr>
      <w:r>
        <w:rPr>
          <w:rFonts w:eastAsia="Times New Roman" w:cs="Times New Roman"/>
          <w:lang w:eastAsia="et-EE"/>
        </w:rPr>
        <w:t>Seaduse §-i 92 täiendatakse lõikega 4</w:t>
      </w:r>
      <w:r w:rsidRPr="00C14537">
        <w:rPr>
          <w:rFonts w:eastAsia="Times New Roman" w:cs="Times New Roman"/>
          <w:vertAlign w:val="superscript"/>
          <w:lang w:eastAsia="et-EE"/>
        </w:rPr>
        <w:t>2</w:t>
      </w:r>
      <w:r>
        <w:rPr>
          <w:rFonts w:eastAsia="Times New Roman" w:cs="Times New Roman"/>
          <w:lang w:eastAsia="et-EE"/>
        </w:rPr>
        <w:t xml:space="preserve">. </w:t>
      </w:r>
      <w:r w:rsidRPr="007A4709">
        <w:rPr>
          <w:rFonts w:eastAsia="Times New Roman" w:cs="Times New Roman"/>
          <w:lang w:eastAsia="et-EE"/>
        </w:rPr>
        <w:t xml:space="preserve">Tarbijatel on õigus kasutada oma </w:t>
      </w:r>
      <w:r>
        <w:rPr>
          <w:rFonts w:eastAsia="Times New Roman" w:cs="Times New Roman"/>
          <w:lang w:eastAsia="et-EE"/>
        </w:rPr>
        <w:t xml:space="preserve">elektrimüüja </w:t>
      </w:r>
      <w:r w:rsidRPr="007A4709">
        <w:rPr>
          <w:rFonts w:eastAsia="Times New Roman" w:cs="Times New Roman"/>
          <w:lang w:eastAsia="et-EE"/>
        </w:rPr>
        <w:t xml:space="preserve">hallatavaid kaebuste esitamise menetlusi ja vaidluste kohtuvälise lahendamise menetlusi, et tagada oma õiguste tulemuslik jõustamine </w:t>
      </w:r>
      <w:r>
        <w:rPr>
          <w:rFonts w:eastAsia="Times New Roman" w:cs="Times New Roman"/>
          <w:lang w:eastAsia="et-EE"/>
        </w:rPr>
        <w:t>ning</w:t>
      </w:r>
      <w:r w:rsidRPr="007A4709">
        <w:rPr>
          <w:rFonts w:eastAsia="Times New Roman" w:cs="Times New Roman"/>
          <w:lang w:eastAsia="et-EE"/>
        </w:rPr>
        <w:t xml:space="preserve"> mitte sattuda ebasoodsasse olukorda </w:t>
      </w:r>
      <w:r>
        <w:rPr>
          <w:rFonts w:eastAsia="Times New Roman" w:cs="Times New Roman"/>
          <w:lang w:eastAsia="et-EE"/>
        </w:rPr>
        <w:t>elektrimüüjaga</w:t>
      </w:r>
      <w:r w:rsidRPr="007A4709">
        <w:rPr>
          <w:rFonts w:eastAsia="Times New Roman" w:cs="Times New Roman"/>
          <w:lang w:eastAsia="et-EE"/>
        </w:rPr>
        <w:t xml:space="preserve"> tekkinud erimeelsuste </w:t>
      </w:r>
      <w:r>
        <w:rPr>
          <w:rFonts w:eastAsia="Times New Roman" w:cs="Times New Roman"/>
          <w:lang w:eastAsia="et-EE"/>
        </w:rPr>
        <w:t>korral</w:t>
      </w:r>
      <w:r w:rsidRPr="007A4709">
        <w:rPr>
          <w:rFonts w:eastAsia="Times New Roman" w:cs="Times New Roman"/>
          <w:lang w:eastAsia="et-EE"/>
        </w:rPr>
        <w:t xml:space="preserve">, eelkõige seoses arvetega või tasumisele kuuluvate summadega. Kui tarbijad neid menetlusi kasutavad, ei tohiks </w:t>
      </w:r>
      <w:r>
        <w:rPr>
          <w:rFonts w:eastAsia="Times New Roman" w:cs="Times New Roman"/>
          <w:lang w:eastAsia="et-EE"/>
        </w:rPr>
        <w:t>elektrimüüjad</w:t>
      </w:r>
      <w:r w:rsidRPr="007A4709">
        <w:rPr>
          <w:rFonts w:eastAsia="Times New Roman" w:cs="Times New Roman"/>
          <w:lang w:eastAsia="et-EE"/>
        </w:rPr>
        <w:t xml:space="preserve"> lõpetada lepinguid endiselt vaidluse esemeks olevate faktide alusel.</w:t>
      </w:r>
    </w:p>
    <w:p w14:paraId="372D8D7B" w14:textId="77777777" w:rsidR="006B1555" w:rsidRDefault="006B1555" w:rsidP="006B1555">
      <w:pPr>
        <w:rPr>
          <w:rFonts w:eastAsia="Times New Roman" w:cs="Times New Roman"/>
          <w:lang w:eastAsia="et-EE"/>
        </w:rPr>
      </w:pPr>
    </w:p>
    <w:p w14:paraId="699978D4" w14:textId="77777777" w:rsidR="006B1555" w:rsidRDefault="006B1555" w:rsidP="006B1555">
      <w:pPr>
        <w:rPr>
          <w:rFonts w:eastAsia="Times New Roman" w:cs="Times New Roman"/>
          <w:lang w:eastAsia="et-EE"/>
        </w:rPr>
      </w:pPr>
      <w:r>
        <w:rPr>
          <w:rFonts w:eastAsia="Times New Roman" w:cs="Times New Roman"/>
          <w:lang w:eastAsia="et-EE"/>
        </w:rPr>
        <w:t>Elektrimüüjad</w:t>
      </w:r>
      <w:r w:rsidRPr="007A4709">
        <w:rPr>
          <w:rFonts w:eastAsia="Times New Roman" w:cs="Times New Roman"/>
          <w:lang w:eastAsia="et-EE"/>
        </w:rPr>
        <w:t xml:space="preserve"> ja tarbijad pea</w:t>
      </w:r>
      <w:r>
        <w:rPr>
          <w:rFonts w:eastAsia="Times New Roman" w:cs="Times New Roman"/>
          <w:lang w:eastAsia="et-EE"/>
        </w:rPr>
        <w:t>vad</w:t>
      </w:r>
      <w:r w:rsidRPr="007A4709">
        <w:rPr>
          <w:rFonts w:eastAsia="Times New Roman" w:cs="Times New Roman"/>
          <w:lang w:eastAsia="et-EE"/>
        </w:rPr>
        <w:t xml:space="preserve"> </w:t>
      </w:r>
      <w:r>
        <w:rPr>
          <w:rFonts w:eastAsia="Times New Roman" w:cs="Times New Roman"/>
          <w:lang w:eastAsia="et-EE"/>
        </w:rPr>
        <w:t>jätkuvalt</w:t>
      </w:r>
      <w:r w:rsidRPr="007A4709">
        <w:rPr>
          <w:rFonts w:eastAsia="Times New Roman" w:cs="Times New Roman"/>
          <w:lang w:eastAsia="et-EE"/>
        </w:rPr>
        <w:t xml:space="preserve"> täitma oma lepingulisi õigusi ja kohustusi, eelkõige elektrienergia</w:t>
      </w:r>
      <w:r>
        <w:rPr>
          <w:rFonts w:eastAsia="Times New Roman" w:cs="Times New Roman"/>
          <w:lang w:eastAsia="et-EE"/>
        </w:rPr>
        <w:t>t</w:t>
      </w:r>
      <w:r w:rsidRPr="007A4709">
        <w:rPr>
          <w:rFonts w:eastAsia="Times New Roman" w:cs="Times New Roman"/>
          <w:lang w:eastAsia="et-EE"/>
        </w:rPr>
        <w:t xml:space="preserve"> tarnim</w:t>
      </w:r>
      <w:r>
        <w:rPr>
          <w:rFonts w:eastAsia="Times New Roman" w:cs="Times New Roman"/>
          <w:lang w:eastAsia="et-EE"/>
        </w:rPr>
        <w:t>a</w:t>
      </w:r>
      <w:r w:rsidRPr="007A4709">
        <w:rPr>
          <w:rFonts w:eastAsia="Times New Roman" w:cs="Times New Roman"/>
          <w:lang w:eastAsia="et-EE"/>
        </w:rPr>
        <w:t xml:space="preserve"> ja selle eest maksm</w:t>
      </w:r>
      <w:r>
        <w:rPr>
          <w:rFonts w:eastAsia="Times New Roman" w:cs="Times New Roman"/>
          <w:lang w:eastAsia="et-EE"/>
        </w:rPr>
        <w:t>a</w:t>
      </w:r>
      <w:r w:rsidRPr="007A4709">
        <w:rPr>
          <w:rFonts w:eastAsia="Times New Roman" w:cs="Times New Roman"/>
          <w:lang w:eastAsia="et-EE"/>
        </w:rPr>
        <w:t>, ning kaebuste esitamise menetlus ei tohiks olla aluseks kuritarvitamisele, mis võimaldaks tarbijatel kõrvale hoida</w:t>
      </w:r>
      <w:r>
        <w:rPr>
          <w:rFonts w:eastAsia="Times New Roman" w:cs="Times New Roman"/>
          <w:lang w:eastAsia="et-EE"/>
        </w:rPr>
        <w:t xml:space="preserve"> </w:t>
      </w:r>
      <w:r w:rsidRPr="007A4709">
        <w:rPr>
          <w:rFonts w:eastAsia="Times New Roman" w:cs="Times New Roman"/>
          <w:lang w:eastAsia="et-EE"/>
        </w:rPr>
        <w:t>oma lepingulistest kohustustest, sealhulgas arvete tasumisest.</w:t>
      </w:r>
      <w:r>
        <w:rPr>
          <w:rFonts w:eastAsia="Times New Roman" w:cs="Times New Roman"/>
          <w:lang w:eastAsia="et-EE"/>
        </w:rPr>
        <w:t xml:space="preserve"> </w:t>
      </w:r>
    </w:p>
    <w:p w14:paraId="3FBD525B" w14:textId="77777777" w:rsidR="006B1555" w:rsidRDefault="006B1555" w:rsidP="006B1555">
      <w:pPr>
        <w:rPr>
          <w:rFonts w:eastAsia="Times New Roman" w:cs="Times New Roman"/>
          <w:lang w:eastAsia="et-EE"/>
        </w:rPr>
      </w:pPr>
    </w:p>
    <w:p w14:paraId="5D0D31C4" w14:textId="77777777" w:rsidR="006B1555" w:rsidRPr="00C14537" w:rsidRDefault="006B1555" w:rsidP="006B1555">
      <w:pPr>
        <w:rPr>
          <w:rFonts w:eastAsia="Times New Roman" w:cs="Times New Roman"/>
          <w:lang w:eastAsia="et-EE"/>
        </w:rPr>
      </w:pPr>
      <w:r w:rsidRPr="00DF7B5C">
        <w:rPr>
          <w:rFonts w:eastAsia="Times New Roman" w:cs="Times New Roman"/>
          <w:lang w:eastAsia="et-EE"/>
        </w:rPr>
        <w:t xml:space="preserve">Eestis aidatakse </w:t>
      </w:r>
      <w:r>
        <w:rPr>
          <w:rFonts w:eastAsia="Times New Roman" w:cs="Times New Roman"/>
          <w:lang w:eastAsia="et-EE"/>
        </w:rPr>
        <w:t>muuhulgas</w:t>
      </w:r>
      <w:r w:rsidRPr="00DF7B5C">
        <w:rPr>
          <w:rFonts w:eastAsia="Times New Roman" w:cs="Times New Roman"/>
          <w:lang w:eastAsia="et-EE"/>
        </w:rPr>
        <w:t xml:space="preserve"> energiaostuvõimetuid tarbijaid läbi sotsiaalhoolekande seaduse</w:t>
      </w:r>
      <w:r>
        <w:rPr>
          <w:rFonts w:eastAsia="Times New Roman" w:cs="Times New Roman"/>
          <w:lang w:eastAsia="et-EE"/>
        </w:rPr>
        <w:t>, kus t</w:t>
      </w:r>
      <w:r w:rsidRPr="00DF7B5C">
        <w:rPr>
          <w:rFonts w:eastAsia="Times New Roman" w:cs="Times New Roman"/>
          <w:lang w:eastAsia="et-EE"/>
        </w:rPr>
        <w:t>oimetulekutoetuse maksmise aluseks on ka elektrienergia eest tasumine arvestatud.</w:t>
      </w:r>
    </w:p>
    <w:p w14:paraId="5E3B1BB2" w14:textId="77777777" w:rsidR="006B1555" w:rsidRDefault="006B1555" w:rsidP="006B1555">
      <w:pPr>
        <w:spacing w:before="240"/>
        <w:rPr>
          <w:rFonts w:eastAsia="Times New Roman" w:cs="Times New Roman"/>
          <w:b/>
          <w:bCs/>
          <w:lang w:eastAsia="et-EE"/>
        </w:rPr>
      </w:pPr>
      <w:r>
        <w:rPr>
          <w:rFonts w:eastAsia="Times New Roman" w:cs="Times New Roman"/>
          <w:b/>
          <w:bCs/>
          <w:lang w:eastAsia="et-EE"/>
        </w:rPr>
        <w:t xml:space="preserve">ELTS § 93 </w:t>
      </w:r>
    </w:p>
    <w:p w14:paraId="1CA2604C" w14:textId="77777777" w:rsidR="006B1555" w:rsidRPr="00F840A1" w:rsidRDefault="006B1555" w:rsidP="006B1555">
      <w:pPr>
        <w:rPr>
          <w:rFonts w:eastAsia="Times New Roman" w:cs="Times New Roman"/>
          <w:b/>
          <w:bCs/>
          <w:lang w:eastAsia="et-EE"/>
        </w:rPr>
      </w:pPr>
      <w:r>
        <w:rPr>
          <w:rFonts w:eastAsia="Times New Roman" w:cs="Times New Roman"/>
          <w:b/>
          <w:bCs/>
          <w:lang w:eastAsia="et-EE"/>
        </w:rPr>
        <w:t>Lõige 4</w:t>
      </w:r>
      <w:r>
        <w:rPr>
          <w:rFonts w:eastAsia="Times New Roman" w:cs="Times New Roman"/>
          <w:b/>
          <w:bCs/>
          <w:vertAlign w:val="superscript"/>
          <w:lang w:eastAsia="et-EE"/>
        </w:rPr>
        <w:t>2</w:t>
      </w:r>
    </w:p>
    <w:p w14:paraId="1C54F4EA" w14:textId="77777777" w:rsidR="006B1555" w:rsidRPr="00310826" w:rsidRDefault="006B1555" w:rsidP="006B1555">
      <w:pPr>
        <w:rPr>
          <w:u w:val="single"/>
        </w:rPr>
      </w:pPr>
      <w:r w:rsidRPr="002C7ED8">
        <w:rPr>
          <w:rFonts w:eastAsia="Times New Roman" w:cs="Times New Roman"/>
          <w:lang w:eastAsia="et-EE"/>
        </w:rPr>
        <w:t>Seaduse</w:t>
      </w:r>
      <w:r>
        <w:rPr>
          <w:rFonts w:eastAsia="Times New Roman" w:cs="Times New Roman"/>
          <w:b/>
          <w:bCs/>
          <w:lang w:eastAsia="et-EE"/>
        </w:rPr>
        <w:t xml:space="preserve"> </w:t>
      </w:r>
      <w:r>
        <w:t>§ 93 täiendatakse lõikega 4</w:t>
      </w:r>
      <w:r>
        <w:rPr>
          <w:vertAlign w:val="superscript"/>
        </w:rPr>
        <w:t>2</w:t>
      </w:r>
      <w:r>
        <w:t>, mille kohaselt teostab käesoleva seaduse §-s 65</w:t>
      </w:r>
      <w:r w:rsidRPr="002C7ED8">
        <w:rPr>
          <w:vertAlign w:val="superscript"/>
        </w:rPr>
        <w:t>1</w:t>
      </w:r>
      <w:r>
        <w:t xml:space="preserve"> sätestatud nõuete üle järelevalvet Tarbijakaitse ja Tehnilise Järelevalve amet (TTJA). TTJA teostab järelevalvet ka ESS analoogsetele sätetele, mistõttu on mõistlik ka ELTS alusel kehtestatud nõuetele järelevalve teostamisel analoogselt jätkata. </w:t>
      </w:r>
    </w:p>
    <w:p w14:paraId="02447C6B" w14:textId="77777777" w:rsidR="006B1555" w:rsidRDefault="006B1555" w:rsidP="006B1555">
      <w:pPr>
        <w:rPr>
          <w:rFonts w:eastAsia="Times New Roman" w:cs="Times New Roman"/>
          <w:lang w:eastAsia="et-EE"/>
        </w:rPr>
      </w:pPr>
    </w:p>
    <w:p w14:paraId="1865CC52" w14:textId="77777777" w:rsidR="006B1555" w:rsidRDefault="006B1555" w:rsidP="006B1555">
      <w:pPr>
        <w:rPr>
          <w:b/>
        </w:rPr>
      </w:pPr>
      <w:r>
        <w:rPr>
          <w:b/>
        </w:rPr>
        <w:t>Lõige 6 punkt 1</w:t>
      </w:r>
      <w:r w:rsidRPr="007502A9">
        <w:rPr>
          <w:b/>
          <w:vertAlign w:val="superscript"/>
        </w:rPr>
        <w:t>1</w:t>
      </w:r>
    </w:p>
    <w:p w14:paraId="145C2928" w14:textId="77777777" w:rsidR="006B1555" w:rsidRPr="007502A9" w:rsidRDefault="006B1555" w:rsidP="006B1555">
      <w:pPr>
        <w:spacing w:line="259" w:lineRule="auto"/>
        <w:rPr>
          <w:rFonts w:eastAsia="Aptos" w:cs="Arial"/>
          <w:kern w:val="2"/>
          <w:szCs w:val="24"/>
          <w14:ligatures w14:val="standardContextual"/>
        </w:rPr>
      </w:pPr>
      <w:r>
        <w:rPr>
          <w:rFonts w:eastAsia="Aptos" w:cs="Arial"/>
          <w:kern w:val="2"/>
          <w:szCs w:val="24"/>
          <w14:ligatures w14:val="standardContextual"/>
        </w:rPr>
        <w:t>Seaduse</w:t>
      </w:r>
      <w:r w:rsidRPr="007502A9">
        <w:rPr>
          <w:rFonts w:eastAsia="Aptos" w:cs="Arial"/>
          <w:kern w:val="2"/>
          <w:szCs w:val="24"/>
          <w14:ligatures w14:val="standardContextual"/>
        </w:rPr>
        <w:t xml:space="preserve"> § 93 lõike 6 punkti 1</w:t>
      </w:r>
      <w:r w:rsidRPr="007502A9">
        <w:rPr>
          <w:rFonts w:eastAsia="Aptos" w:cs="Arial"/>
          <w:kern w:val="2"/>
          <w:szCs w:val="24"/>
          <w:vertAlign w:val="superscript"/>
          <w14:ligatures w14:val="standardContextual"/>
        </w:rPr>
        <w:t>1</w:t>
      </w:r>
      <w:r w:rsidRPr="007502A9">
        <w:rPr>
          <w:rFonts w:eastAsia="Aptos" w:cs="Arial"/>
          <w:kern w:val="2"/>
          <w:szCs w:val="24"/>
          <w14:ligatures w14:val="standardContextual"/>
        </w:rPr>
        <w:t xml:space="preserve"> </w:t>
      </w:r>
      <w:r>
        <w:rPr>
          <w:rFonts w:eastAsia="Aptos" w:cs="Arial"/>
          <w:kern w:val="2"/>
          <w:szCs w:val="24"/>
          <w14:ligatures w14:val="standardContextual"/>
        </w:rPr>
        <w:t xml:space="preserve">muudetakse </w:t>
      </w:r>
      <w:r w:rsidRPr="007502A9">
        <w:rPr>
          <w:rFonts w:eastAsia="Aptos" w:cs="Arial"/>
          <w:kern w:val="2"/>
          <w:szCs w:val="24"/>
          <w14:ligatures w14:val="standardContextual"/>
        </w:rPr>
        <w:t>ja lisatakse</w:t>
      </w:r>
      <w:r>
        <w:rPr>
          <w:rFonts w:eastAsia="Aptos" w:cs="Arial"/>
          <w:kern w:val="2"/>
          <w:szCs w:val="24"/>
          <w14:ligatures w14:val="standardContextual"/>
        </w:rPr>
        <w:t xml:space="preserve"> </w:t>
      </w:r>
      <w:r w:rsidRPr="00801A2A">
        <w:rPr>
          <w:rFonts w:eastAsia="Times New Roman" w:cs="Times New Roman"/>
          <w:color w:val="202020"/>
          <w:szCs w:val="24"/>
          <w:lang w:eastAsia="et-EE"/>
        </w:rPr>
        <w:t>Euroopa Parlamendi ja nõukogu määruse (EL) nr 1227/2011</w:t>
      </w:r>
      <w:r>
        <w:rPr>
          <w:rFonts w:eastAsia="Times New Roman" w:cs="Times New Roman"/>
          <w:color w:val="202020"/>
          <w:szCs w:val="24"/>
          <w:lang w:eastAsia="et-EE"/>
        </w:rPr>
        <w:t xml:space="preserve"> </w:t>
      </w:r>
      <w:r w:rsidRPr="00C92EE3">
        <w:rPr>
          <w:rFonts w:eastAsia="Times New Roman" w:cs="Times New Roman"/>
          <w:szCs w:val="24"/>
          <w:lang w:eastAsia="et-EE"/>
        </w:rPr>
        <w:t xml:space="preserve">energia hulgimüügituru terviklikkuse ja läbipaistvuse kohta (ELT L 326, 08.12.2011, lk 1–16) </w:t>
      </w:r>
      <w:r>
        <w:rPr>
          <w:rFonts w:eastAsia="Aptos" w:cs="Arial"/>
          <w:kern w:val="2"/>
          <w:szCs w:val="24"/>
          <w14:ligatures w14:val="standardContextual"/>
        </w:rPr>
        <w:t xml:space="preserve">(edaspidi ka </w:t>
      </w:r>
      <w:r w:rsidRPr="00C92EE3">
        <w:rPr>
          <w:rFonts w:eastAsia="Aptos" w:cs="Arial"/>
          <w:i/>
          <w:iCs/>
          <w:kern w:val="2"/>
          <w:szCs w:val="24"/>
          <w14:ligatures w14:val="standardContextual"/>
        </w:rPr>
        <w:t>REMIT</w:t>
      </w:r>
      <w:r>
        <w:rPr>
          <w:rFonts w:eastAsia="Aptos" w:cs="Arial"/>
          <w:i/>
          <w:iCs/>
          <w:kern w:val="2"/>
          <w:szCs w:val="24"/>
          <w14:ligatures w14:val="standardContextual"/>
        </w:rPr>
        <w:t xml:space="preserve"> </w:t>
      </w:r>
      <w:r w:rsidRPr="00C92EE3">
        <w:rPr>
          <w:rFonts w:eastAsia="Aptos" w:cs="Arial"/>
          <w:i/>
          <w:iCs/>
          <w:kern w:val="2"/>
          <w:szCs w:val="24"/>
          <w14:ligatures w14:val="standardContextual"/>
        </w:rPr>
        <w:t>määrus</w:t>
      </w:r>
      <w:r>
        <w:rPr>
          <w:rFonts w:eastAsia="Aptos" w:cs="Arial"/>
          <w:kern w:val="2"/>
          <w:szCs w:val="24"/>
          <w14:ligatures w14:val="standardContextual"/>
        </w:rPr>
        <w:t>)</w:t>
      </w:r>
      <w:r w:rsidRPr="007502A9">
        <w:rPr>
          <w:rFonts w:eastAsia="Aptos" w:cs="Arial"/>
          <w:kern w:val="2"/>
          <w:szCs w:val="24"/>
          <w14:ligatures w14:val="standardContextual"/>
        </w:rPr>
        <w:t xml:space="preserve"> esimesel viitamisel määruse täispikk pealkiri</w:t>
      </w:r>
      <w:r>
        <w:rPr>
          <w:rFonts w:eastAsia="Aptos" w:cs="Arial"/>
          <w:kern w:val="2"/>
          <w:szCs w:val="24"/>
          <w14:ligatures w14:val="standardContextual"/>
        </w:rPr>
        <w:t xml:space="preserve"> ja esmakordse avaldamise andmed</w:t>
      </w:r>
      <w:r w:rsidRPr="007502A9">
        <w:rPr>
          <w:rFonts w:eastAsia="Aptos" w:cs="Arial"/>
          <w:kern w:val="2"/>
          <w:szCs w:val="24"/>
          <w14:ligatures w14:val="standardContextual"/>
        </w:rPr>
        <w:t>.</w:t>
      </w:r>
    </w:p>
    <w:p w14:paraId="2EA392F6" w14:textId="77777777" w:rsidR="006B1555" w:rsidRDefault="006B1555" w:rsidP="006B1555">
      <w:pPr>
        <w:rPr>
          <w:b/>
        </w:rPr>
      </w:pPr>
    </w:p>
    <w:p w14:paraId="5449C062" w14:textId="77777777" w:rsidR="006B1555" w:rsidRPr="0080235D" w:rsidRDefault="006B1555" w:rsidP="006B1555">
      <w:pPr>
        <w:rPr>
          <w:b/>
        </w:rPr>
      </w:pPr>
      <w:r>
        <w:rPr>
          <w:b/>
        </w:rPr>
        <w:t>Lõige 6 punkt 8</w:t>
      </w:r>
      <w:r>
        <w:rPr>
          <w:b/>
          <w:vertAlign w:val="superscript"/>
        </w:rPr>
        <w:t>1</w:t>
      </w:r>
    </w:p>
    <w:p w14:paraId="2C66415A" w14:textId="77777777" w:rsidR="006B1555" w:rsidRDefault="006B1555" w:rsidP="006B1555">
      <w:r>
        <w:t>Seaduse § 93 lõiget 6 täiendatakse punktiga 8</w:t>
      </w:r>
      <w:r w:rsidRPr="00A93AA9">
        <w:rPr>
          <w:vertAlign w:val="superscript"/>
        </w:rPr>
        <w:t>1</w:t>
      </w:r>
      <w:r>
        <w:t xml:space="preserve">. </w:t>
      </w:r>
      <w:r w:rsidRPr="00CA3E06">
        <w:t xml:space="preserve">Konkurentsiamet kontrollib, kas avatud tarnija on </w:t>
      </w:r>
      <w:r>
        <w:t xml:space="preserve">fikseeritud lepingute pakkumisel </w:t>
      </w:r>
      <w:r w:rsidRPr="00CA3E06">
        <w:t>riskimaandusstrateegiad kasutusele võtnud</w:t>
      </w:r>
      <w:r w:rsidRPr="00A023C1">
        <w:t xml:space="preserve">, ilma üksikute tarnijate positsioone või strateegiaid eraldi läbi vaatamata. </w:t>
      </w:r>
      <w:r>
        <w:t xml:space="preserve">Tarnijad saavad </w:t>
      </w:r>
      <w:r>
        <w:lastRenderedPageBreak/>
        <w:t>riskimaandusstrateegiatena kasutada finantsinstrumente näiteks Eesti-Soome piiril finantsülekandeõigusi (</w:t>
      </w:r>
      <w:r>
        <w:rPr>
          <w:i/>
          <w:iCs/>
        </w:rPr>
        <w:t>financial transmission rights, FTR</w:t>
      </w:r>
      <w:r>
        <w:t>), sõlmida otselepinguid (</w:t>
      </w:r>
      <w:r>
        <w:rPr>
          <w:i/>
          <w:iCs/>
        </w:rPr>
        <w:t>over the counter, OTC</w:t>
      </w:r>
      <w:r>
        <w:t>) muuhulgas taastuvenergia tootjatega või rajada ise tootmisvõimsusi. NordPool on Baltikumi turule toomas täiendavaid finantsinstrumente</w:t>
      </w:r>
      <w:r>
        <w:rPr>
          <w:rStyle w:val="Allmrkuseviide"/>
        </w:rPr>
        <w:footnoteReference w:id="30"/>
      </w:r>
      <w:r>
        <w:t>, mis võimaldavad elektrihinna riske maandada.</w:t>
      </w:r>
    </w:p>
    <w:p w14:paraId="69E5D3B0" w14:textId="77777777" w:rsidR="006B1555" w:rsidRPr="0080235D" w:rsidRDefault="006B1555" w:rsidP="006B1555">
      <w:pPr>
        <w:rPr>
          <w:b/>
        </w:rPr>
      </w:pPr>
    </w:p>
    <w:p w14:paraId="30F6F768" w14:textId="77777777" w:rsidR="006B1555" w:rsidRPr="0080235D" w:rsidRDefault="006B1555" w:rsidP="006B1555">
      <w:pPr>
        <w:rPr>
          <w:rFonts w:eastAsia="Times New Roman" w:cs="Times New Roman"/>
          <w:b/>
          <w:bCs/>
          <w:lang w:eastAsia="et-EE"/>
        </w:rPr>
      </w:pPr>
      <w:r>
        <w:rPr>
          <w:rFonts w:eastAsia="Times New Roman" w:cs="Times New Roman"/>
          <w:b/>
          <w:bCs/>
          <w:lang w:eastAsia="et-EE"/>
        </w:rPr>
        <w:t>Lõige 6 punkt 22</w:t>
      </w:r>
      <w:r>
        <w:rPr>
          <w:rFonts w:eastAsia="Times New Roman" w:cs="Times New Roman"/>
          <w:b/>
          <w:bCs/>
          <w:vertAlign w:val="superscript"/>
          <w:lang w:eastAsia="et-EE"/>
        </w:rPr>
        <w:t>1</w:t>
      </w:r>
    </w:p>
    <w:p w14:paraId="0D7E1CE9" w14:textId="77777777" w:rsidR="006B1555" w:rsidRDefault="006B1555" w:rsidP="006B1555">
      <w:pPr>
        <w:rPr>
          <w:rFonts w:eastAsia="Times New Roman" w:cs="Times New Roman"/>
          <w:lang w:eastAsia="et-EE"/>
        </w:rPr>
      </w:pPr>
      <w:r w:rsidRPr="00B71939">
        <w:rPr>
          <w:rFonts w:eastAsia="Times New Roman" w:cs="Times New Roman"/>
          <w:lang w:eastAsia="et-EE"/>
        </w:rPr>
        <w:t>Seaduse</w:t>
      </w:r>
      <w:r>
        <w:rPr>
          <w:rFonts w:eastAsia="Times New Roman" w:cs="Times New Roman"/>
          <w:b/>
          <w:bCs/>
          <w:lang w:eastAsia="et-EE"/>
        </w:rPr>
        <w:t xml:space="preserve"> </w:t>
      </w:r>
      <w:r>
        <w:rPr>
          <w:rFonts w:eastAsia="Times New Roman" w:cs="Times New Roman"/>
          <w:lang w:eastAsia="et-EE"/>
        </w:rPr>
        <w:t>§ 93 lõiget 6 punkti 22</w:t>
      </w:r>
      <w:r w:rsidRPr="00C66A4E">
        <w:rPr>
          <w:rFonts w:eastAsia="Times New Roman" w:cs="Times New Roman"/>
          <w:vertAlign w:val="superscript"/>
          <w:lang w:eastAsia="et-EE"/>
        </w:rPr>
        <w:t>1</w:t>
      </w:r>
      <w:r>
        <w:rPr>
          <w:rFonts w:eastAsia="Times New Roman" w:cs="Times New Roman"/>
          <w:vertAlign w:val="superscript"/>
          <w:lang w:eastAsia="et-EE"/>
        </w:rPr>
        <w:t xml:space="preserve"> </w:t>
      </w:r>
      <w:r>
        <w:rPr>
          <w:rFonts w:eastAsia="Times New Roman" w:cs="Times New Roman"/>
          <w:lang w:eastAsia="et-EE"/>
        </w:rPr>
        <w:t>muudetakse ja täpsustatakse direktiivist tulenevalt Konkurentsiameti ülesannet jälgida, et turuosalised ei seaks takistusi ega piiranguid omatoodetud elektrienergia tarbimisele ja energiakogukondade arendamisele. Nimistut täiendatakse hajutatud energiatootmise ja võrguga ühendamise, energiajagamise ning taastuvenergiakogukondade arendamisega.</w:t>
      </w:r>
      <w:r w:rsidRPr="00055B15">
        <w:t xml:space="preserve"> </w:t>
      </w:r>
      <w:r w:rsidRPr="00055B15">
        <w:rPr>
          <w:rFonts w:eastAsia="Times New Roman" w:cs="Times New Roman"/>
          <w:lang w:eastAsia="et-EE"/>
        </w:rPr>
        <w:t>See tagab võrdse konkurentsi ja tarbijate vabaduse kiiresti muutuval energiaturul. Konkurentsiamet peab vältima olukorda, kus suured turuosalised kasutavad oma domineerivat positsiooni uute, väiksemate ja innovatiivsete ärimudelite (nt energiakogukonnad, energiajagamine) väljatõrjumiseks või takistamiseks. Energia kogutoodangust järjest suurem osa tuleb väikestelt, hajutatud allikatelt (nt päikesepaneelid katustel). Taastuvenergiakogukonnad, energiajagamine ja omatoodetud energia tarbimine on uued ärimudelid, mis on kriitilise tähtsusega rohepöörde ja kliimaeesmärkide saavutamisel. Kui turuosalised seavad neile tegevustele takistusi, aeglustub üleminek puhtale energiale. Hajutatud tootmine (sh energia jagamine ja salvestamine) aitab vähendada koormust elektrivõrgule ja suurendab energiajulgeolekut. Kui suured turuosalised takistavad väiketootmist, võib see tulevikus kaasa tuua suurema vajaduse kallite võrguinvesteeringute järele. Konkurentsiameti roll on tagada, et tarbijatel ja väiketootjatel oleks õigus oma energiat kasutada, jagada ja müüa ning jälgib, et lahendused oleksid turupõhised ja süsteemi jaoks tervikuna efektiivsed. Konkurentsiameti kontroll on hädavajalik, et Eesti energiaturg areneks õiglaselt, läbipaistvalt ja tarbijakeskselt, toetades samal ajal üleminekut säästvale energiamajandusele.</w:t>
      </w:r>
    </w:p>
    <w:p w14:paraId="3A27DF1A" w14:textId="77777777" w:rsidR="006B1555" w:rsidRDefault="006B1555" w:rsidP="006B1555">
      <w:pPr>
        <w:rPr>
          <w:rFonts w:eastAsia="Times New Roman" w:cs="Times New Roman"/>
          <w:lang w:eastAsia="et-EE"/>
        </w:rPr>
      </w:pPr>
    </w:p>
    <w:p w14:paraId="26A6B4B9" w14:textId="77777777" w:rsidR="006B1555" w:rsidRDefault="006B1555" w:rsidP="006B1555">
      <w:pPr>
        <w:rPr>
          <w:b/>
          <w:bCs/>
          <w:szCs w:val="24"/>
        </w:rPr>
      </w:pPr>
      <w:r>
        <w:rPr>
          <w:b/>
          <w:bCs/>
          <w:szCs w:val="24"/>
        </w:rPr>
        <w:t>Lõige 6 punkt 30</w:t>
      </w:r>
    </w:p>
    <w:p w14:paraId="646FF399" w14:textId="77777777" w:rsidR="006B1555" w:rsidRDefault="006B1555" w:rsidP="006B1555">
      <w:pPr>
        <w:rPr>
          <w:szCs w:val="24"/>
        </w:rPr>
      </w:pPr>
      <w:r w:rsidRPr="00AD7A06">
        <w:rPr>
          <w:szCs w:val="24"/>
        </w:rPr>
        <w:t>Konkurentsiamet hindab põhivõrguettevõtja (Elering) taotlusel, kas sündmus vastab vääramatu jõu kriteeriumitele vastavalt EL määrusele 2016/1719 (võimsuse jaotamise forvardturu eeskiri), täpsemalt artiklile 56.</w:t>
      </w:r>
      <w:r>
        <w:rPr>
          <w:szCs w:val="24"/>
        </w:rPr>
        <w:t xml:space="preserve"> </w:t>
      </w:r>
      <w:r w:rsidRPr="00AD7A06">
        <w:rPr>
          <w:szCs w:val="24"/>
        </w:rPr>
        <w:t>Selle hindamise eesmärk on</w:t>
      </w:r>
      <w:r>
        <w:rPr>
          <w:szCs w:val="24"/>
        </w:rPr>
        <w:t xml:space="preserve"> k</w:t>
      </w:r>
      <w:r w:rsidRPr="00AD7A06">
        <w:rPr>
          <w:szCs w:val="24"/>
        </w:rPr>
        <w:t xml:space="preserve">ontrollida, kas erakorraline sündmus (nt </w:t>
      </w:r>
      <w:r>
        <w:rPr>
          <w:szCs w:val="24"/>
        </w:rPr>
        <w:t>taristu lõhkumine või rivist välja viimine</w:t>
      </w:r>
      <w:r w:rsidRPr="00AD7A06">
        <w:rPr>
          <w:szCs w:val="24"/>
        </w:rPr>
        <w:t>) oli ettenägematu ja ületamatu</w:t>
      </w:r>
      <w:r>
        <w:rPr>
          <w:szCs w:val="24"/>
        </w:rPr>
        <w:t xml:space="preserve"> ning t</w:t>
      </w:r>
      <w:r w:rsidRPr="00AD7A06">
        <w:rPr>
          <w:szCs w:val="24"/>
        </w:rPr>
        <w:t xml:space="preserve">agada, </w:t>
      </w:r>
      <w:r>
        <w:rPr>
          <w:szCs w:val="24"/>
        </w:rPr>
        <w:t>e</w:t>
      </w:r>
      <w:r w:rsidRPr="00D571F3">
        <w:rPr>
          <w:szCs w:val="24"/>
        </w:rPr>
        <w:t>t olukorrad, mis mõjutavad elektri ülekandevõimsuse kättesaadavust (näiteks ulatuslikud rikked, looduskatastroofid jms), saaksid adekvaatse õigusliku käsitluse ja ei tooks põhjendamatuid sanktsioone põhivõrguettevõtjale.</w:t>
      </w:r>
    </w:p>
    <w:p w14:paraId="35E11EFB" w14:textId="77777777" w:rsidR="006B1555" w:rsidRDefault="006B1555" w:rsidP="006B1555">
      <w:pPr>
        <w:rPr>
          <w:b/>
          <w:bCs/>
          <w:szCs w:val="24"/>
        </w:rPr>
      </w:pPr>
    </w:p>
    <w:p w14:paraId="186E5A54" w14:textId="77777777" w:rsidR="006B1555" w:rsidRDefault="006B1555" w:rsidP="006B1555">
      <w:pPr>
        <w:rPr>
          <w:szCs w:val="24"/>
        </w:rPr>
      </w:pPr>
      <w:r>
        <w:rPr>
          <w:b/>
          <w:bCs/>
          <w:szCs w:val="24"/>
        </w:rPr>
        <w:t>Lõige 12</w:t>
      </w:r>
      <w:r w:rsidRPr="510A726D">
        <w:rPr>
          <w:szCs w:val="24"/>
        </w:rPr>
        <w:t xml:space="preserve"> </w:t>
      </w:r>
    </w:p>
    <w:p w14:paraId="5C8C0581" w14:textId="77777777" w:rsidR="006B1555" w:rsidRDefault="006B1555" w:rsidP="006B1555">
      <w:pPr>
        <w:rPr>
          <w:szCs w:val="24"/>
        </w:rPr>
      </w:pPr>
      <w:r>
        <w:rPr>
          <w:szCs w:val="24"/>
        </w:rPr>
        <w:t xml:space="preserve">Seadust </w:t>
      </w:r>
      <w:r w:rsidRPr="510A726D">
        <w:rPr>
          <w:szCs w:val="24"/>
        </w:rPr>
        <w:t>täiendatakse §-i 93 lõikega 12</w:t>
      </w:r>
      <w:r>
        <w:rPr>
          <w:szCs w:val="24"/>
        </w:rPr>
        <w:t xml:space="preserve">, millega tuuakse ELTSis välja, et Konkurentsiametil on alates 11. aprillist 2024 kehtima hakanud REMIT määruse kohased pädevused teostada järelevalvet ja määrata karistusi. Kuigi määrus on otsekohalduv ja siseriiklikku õigusesse määruseid üle ei võeta, võib määruse rakendamise tõhustamiseks olla vajalik teatud sätteid siseriiklikus õiguses viidata või vastavalt määruses sätestatule täpsustada (nt trahvimäärade osas). Näiteks on Konkurentsiametil </w:t>
      </w:r>
      <w:r w:rsidRPr="00716B62">
        <w:rPr>
          <w:szCs w:val="24"/>
        </w:rPr>
        <w:t xml:space="preserve">õigus tutvuda kõigi dokumentidega või mis tahes vormis muude andmetega, mis võiksid olla </w:t>
      </w:r>
      <w:r>
        <w:rPr>
          <w:szCs w:val="24"/>
        </w:rPr>
        <w:t>Konkurentsiameti</w:t>
      </w:r>
      <w:r w:rsidRPr="00716B62">
        <w:rPr>
          <w:szCs w:val="24"/>
        </w:rPr>
        <w:t xml:space="preserve"> ülesannete täitmiseks olulised, ja saada või teha nende dokumentide koopiaid, teha kohapealseid kontrolle või uurimisi ning nõuda </w:t>
      </w:r>
      <w:r>
        <w:rPr>
          <w:szCs w:val="24"/>
        </w:rPr>
        <w:t xml:space="preserve">REMIT </w:t>
      </w:r>
      <w:r w:rsidRPr="00716B62">
        <w:rPr>
          <w:szCs w:val="24"/>
        </w:rPr>
        <w:t>määruse nõuete rikkumise korral parandus- ja ennetusmeetmete võtmist.</w:t>
      </w:r>
      <w:r>
        <w:rPr>
          <w:szCs w:val="24"/>
        </w:rPr>
        <w:t xml:space="preserve"> Täpsemalt on REMIT määruse artikkel 13 punkt 2 kohaselt Konkurentsiametil õigus minimaalselt järgmistele uurimis- ja jõustamisvolitustele:</w:t>
      </w:r>
    </w:p>
    <w:p w14:paraId="02BC2086" w14:textId="77777777" w:rsidR="006B1555" w:rsidRPr="00C96823" w:rsidRDefault="006B1555" w:rsidP="006B1555">
      <w:pPr>
        <w:rPr>
          <w:szCs w:val="24"/>
        </w:rPr>
      </w:pPr>
      <w:r w:rsidRPr="00C96823">
        <w:rPr>
          <w:szCs w:val="24"/>
        </w:rPr>
        <w:lastRenderedPageBreak/>
        <w:t xml:space="preserve">a) </w:t>
      </w:r>
      <w:r>
        <w:rPr>
          <w:szCs w:val="24"/>
        </w:rPr>
        <w:t xml:space="preserve"> </w:t>
      </w:r>
      <w:r w:rsidRPr="00C96823">
        <w:rPr>
          <w:szCs w:val="24"/>
        </w:rPr>
        <w:t>omada juurdepääsu kõigile vajalikele dokumentidele hoolimata nende vormist ja saada nende dokumentide koopiad;</w:t>
      </w:r>
    </w:p>
    <w:p w14:paraId="0638756C" w14:textId="77777777" w:rsidR="006B1555" w:rsidRPr="00C96823" w:rsidRDefault="006B1555" w:rsidP="006B1555">
      <w:pPr>
        <w:rPr>
          <w:szCs w:val="24"/>
        </w:rPr>
      </w:pPr>
      <w:r w:rsidRPr="00C96823">
        <w:rPr>
          <w:szCs w:val="24"/>
        </w:rPr>
        <w:t>b)</w:t>
      </w:r>
      <w:r>
        <w:rPr>
          <w:szCs w:val="24"/>
        </w:rPr>
        <w:t xml:space="preserve"> </w:t>
      </w:r>
      <w:r w:rsidRPr="00C96823">
        <w:rPr>
          <w:szCs w:val="24"/>
        </w:rPr>
        <w:t>nõuda teavet kõigilt asjaomastelt isikutelt, ka nendelt, kes on järjestikku seotud korralduste edastamise või asjaomaste tehingute tegemisega, ja neid volitanud isikutelt, ning vajaduse korral kutsuda selliseid isikuid või volitavaid isikuid selgitusi andma;</w:t>
      </w:r>
    </w:p>
    <w:p w14:paraId="3EFD6151" w14:textId="77777777" w:rsidR="006B1555" w:rsidRPr="00C96823" w:rsidRDefault="006B1555" w:rsidP="006B1555">
      <w:pPr>
        <w:rPr>
          <w:szCs w:val="24"/>
        </w:rPr>
      </w:pPr>
      <w:r w:rsidRPr="00C96823">
        <w:rPr>
          <w:szCs w:val="24"/>
        </w:rPr>
        <w:t>c) korraldada kohapeal kontrolle;</w:t>
      </w:r>
    </w:p>
    <w:p w14:paraId="198B29EC" w14:textId="77777777" w:rsidR="006B1555" w:rsidRPr="00C96823" w:rsidRDefault="006B1555" w:rsidP="006B1555">
      <w:pPr>
        <w:rPr>
          <w:szCs w:val="24"/>
        </w:rPr>
      </w:pPr>
      <w:r w:rsidRPr="00C96823">
        <w:rPr>
          <w:szCs w:val="24"/>
        </w:rPr>
        <w:t>d) nõuda olemasolevaid telefonikõnede salvestusi ja tõendeid andmete edastamise kohta;</w:t>
      </w:r>
    </w:p>
    <w:p w14:paraId="0AD4148F" w14:textId="77777777" w:rsidR="006B1555" w:rsidRPr="00C96823" w:rsidRDefault="006B1555" w:rsidP="006B1555">
      <w:pPr>
        <w:rPr>
          <w:szCs w:val="24"/>
        </w:rPr>
      </w:pPr>
      <w:r w:rsidRPr="00C96823">
        <w:rPr>
          <w:szCs w:val="24"/>
        </w:rPr>
        <w:t>e) nõuda sellise tegevuse lõpetamist, mis on vastuolus käesoleva määruse või selle kohaselt vastuvõetud delegeeritud õigusaktide või rakendusaktidega;</w:t>
      </w:r>
    </w:p>
    <w:p w14:paraId="052572EA" w14:textId="77777777" w:rsidR="006B1555" w:rsidRPr="00C96823" w:rsidRDefault="006B1555" w:rsidP="006B1555">
      <w:pPr>
        <w:rPr>
          <w:szCs w:val="24"/>
        </w:rPr>
      </w:pPr>
      <w:r w:rsidRPr="00C96823">
        <w:rPr>
          <w:szCs w:val="24"/>
        </w:rPr>
        <w:t>f) taotleda kohtult vara külmutamist või arestimist;</w:t>
      </w:r>
    </w:p>
    <w:p w14:paraId="08B640FF" w14:textId="77777777" w:rsidR="006B1555" w:rsidRDefault="006B1555" w:rsidP="006B1555">
      <w:pPr>
        <w:rPr>
          <w:szCs w:val="24"/>
        </w:rPr>
      </w:pPr>
      <w:r w:rsidRPr="00C96823">
        <w:rPr>
          <w:szCs w:val="24"/>
        </w:rPr>
        <w:t>g) taotleda, et kohus või pädev asutus kehtestaks kutsetegevuse ajutise keelu.</w:t>
      </w:r>
    </w:p>
    <w:p w14:paraId="52E81CC6" w14:textId="77777777" w:rsidR="006B1555" w:rsidRDefault="006B1555" w:rsidP="006B1555">
      <w:pPr>
        <w:rPr>
          <w:szCs w:val="24"/>
        </w:rPr>
      </w:pPr>
    </w:p>
    <w:p w14:paraId="2DA4C33A" w14:textId="77777777" w:rsidR="006B1555" w:rsidRDefault="006B1555" w:rsidP="006B1555">
      <w:pPr>
        <w:rPr>
          <w:szCs w:val="24"/>
        </w:rPr>
      </w:pPr>
      <w:r>
        <w:rPr>
          <w:szCs w:val="24"/>
        </w:rPr>
        <w:t xml:space="preserve">Eelnevalt nimetatud volitusi tuleb täita kooskõlas siseriikliku õigusega. REMIT määruse artikkel 13 lõike 1 kohaselt tagab liikmesriik, et Konkurentsiametil oleks kõik tema ülesannete täitmiseks vajalikud volitused olemas. Käesolev muudatus tagab, et Konkurentsiametil oleks sõnaselge järelevalvevolitus kõigi REMIT määruse nõuete üle. Analoogselt on lahendatud väärtpaberituruseaduse (VPTS) kohaselt Finantsintspektsiooni õigused </w:t>
      </w:r>
      <w:r w:rsidRPr="00057939">
        <w:rPr>
          <w:szCs w:val="24"/>
        </w:rPr>
        <w:t>Euroopa Parlamendi ja nõukogu määruse (EL) 2022/2554 nõuete kohase täitmise üle järelevalve</w:t>
      </w:r>
      <w:r>
        <w:rPr>
          <w:szCs w:val="24"/>
        </w:rPr>
        <w:t>t teostada (VPTS § 230 lõige 7).</w:t>
      </w:r>
    </w:p>
    <w:p w14:paraId="24E2661B" w14:textId="77777777" w:rsidR="006B1555" w:rsidRDefault="006B1555" w:rsidP="006B1555">
      <w:pPr>
        <w:rPr>
          <w:szCs w:val="24"/>
        </w:rPr>
      </w:pPr>
    </w:p>
    <w:p w14:paraId="1C73F214" w14:textId="77777777" w:rsidR="006B1555" w:rsidRDefault="006B1555" w:rsidP="006B1555">
      <w:pPr>
        <w:rPr>
          <w:szCs w:val="24"/>
        </w:rPr>
      </w:pPr>
      <w:r>
        <w:rPr>
          <w:szCs w:val="24"/>
        </w:rPr>
        <w:t>Kehtiva ELTS § 93 lõige 6 punkti 1</w:t>
      </w:r>
      <w:r>
        <w:rPr>
          <w:szCs w:val="24"/>
          <w:vertAlign w:val="superscript"/>
        </w:rPr>
        <w:t>1</w:t>
      </w:r>
      <w:r>
        <w:rPr>
          <w:szCs w:val="24"/>
        </w:rPr>
        <w:t xml:space="preserve"> kohaselt kontrollib Konkurentsiamet REMIT määruse nõuete täitmist ja ELTS § 101</w:t>
      </w:r>
      <w:r>
        <w:rPr>
          <w:szCs w:val="24"/>
          <w:vertAlign w:val="superscript"/>
        </w:rPr>
        <w:t>4</w:t>
      </w:r>
      <w:r>
        <w:rPr>
          <w:szCs w:val="24"/>
        </w:rPr>
        <w:t xml:space="preserve"> kohaselt saab Konkurentsiamet karistada rahatrahviga enne 2024. a 11. aprilli kehtinud REMIT määruse artiklites 3-5 sätestatud nõuete täitmata jätmise eest (täpsemalt siseteabel põhineva kauplemise keelu, siseteabe avaldamise kohustuse ja turuga manipuleerimise keelu rikkumise eest). Alates 11. aprillist 2024 kehtima hakanud REMIT määruse kohaselt laieneb Konkurentsiameti pädevus teostada järelevalvet ja määrata karistusi lisaks eelnevalt mainitud valdkondades ka algoritmkauplemise, andmete kogumise, turuosaliste registreerimise, turu kuritarvitamise keelu, teabe andmise ja ametialaste tehingute vahendamise  nõuete rikkumise eest. </w:t>
      </w:r>
      <w:r w:rsidRPr="510A726D">
        <w:rPr>
          <w:szCs w:val="24"/>
        </w:rPr>
        <w:t>Lisaks sätestatakse REMIT</w:t>
      </w:r>
      <w:r>
        <w:rPr>
          <w:szCs w:val="24"/>
        </w:rPr>
        <w:t xml:space="preserve"> määruse</w:t>
      </w:r>
      <w:r w:rsidRPr="510A726D">
        <w:rPr>
          <w:szCs w:val="24"/>
        </w:rPr>
        <w:t xml:space="preserve"> artikkel 18 punkti 6 alusel, et Konkurentsiametil on õigus avalikustada oma veebilehel rikkumiste </w:t>
      </w:r>
      <w:r>
        <w:rPr>
          <w:szCs w:val="24"/>
        </w:rPr>
        <w:t xml:space="preserve">kohta </w:t>
      </w:r>
      <w:r w:rsidRPr="510A726D">
        <w:rPr>
          <w:szCs w:val="24"/>
        </w:rPr>
        <w:t>määratud karistused. Muudatus</w:t>
      </w:r>
      <w:r>
        <w:rPr>
          <w:szCs w:val="24"/>
        </w:rPr>
        <w:t>ettepaneku tingis asjaolu, et avalikku tähelepanu väärib info, et rikkumistele järgneb karistus.</w:t>
      </w:r>
      <w:r w:rsidRPr="510A726D">
        <w:rPr>
          <w:szCs w:val="24"/>
        </w:rPr>
        <w:t xml:space="preserve"> </w:t>
      </w:r>
      <w:r>
        <w:rPr>
          <w:szCs w:val="24"/>
        </w:rPr>
        <w:t xml:space="preserve">Eesmärk on </w:t>
      </w:r>
      <w:r w:rsidRPr="510A726D">
        <w:rPr>
          <w:szCs w:val="24"/>
        </w:rPr>
        <w:t>paranda</w:t>
      </w:r>
      <w:r>
        <w:rPr>
          <w:szCs w:val="24"/>
        </w:rPr>
        <w:t>da</w:t>
      </w:r>
      <w:r w:rsidRPr="510A726D">
        <w:rPr>
          <w:szCs w:val="24"/>
        </w:rPr>
        <w:t xml:space="preserve"> turuosaliste teadlikkust ja </w:t>
      </w:r>
      <w:r>
        <w:rPr>
          <w:szCs w:val="24"/>
        </w:rPr>
        <w:t xml:space="preserve">seeläbi </w:t>
      </w:r>
      <w:r w:rsidRPr="510A726D">
        <w:rPr>
          <w:szCs w:val="24"/>
        </w:rPr>
        <w:t>ai</w:t>
      </w:r>
      <w:r>
        <w:rPr>
          <w:szCs w:val="24"/>
        </w:rPr>
        <w:t>data</w:t>
      </w:r>
      <w:r w:rsidRPr="510A726D">
        <w:rPr>
          <w:szCs w:val="24"/>
        </w:rPr>
        <w:t xml:space="preserve"> hoida ära</w:t>
      </w:r>
      <w:r>
        <w:rPr>
          <w:szCs w:val="24"/>
        </w:rPr>
        <w:t xml:space="preserve"> nii esmakordseid kui ka</w:t>
      </w:r>
      <w:r w:rsidRPr="510A726D">
        <w:rPr>
          <w:szCs w:val="24"/>
        </w:rPr>
        <w:t xml:space="preserve"> korduvaid rikkumisi.</w:t>
      </w:r>
    </w:p>
    <w:p w14:paraId="271A9BB2" w14:textId="77777777" w:rsidR="006B1555" w:rsidRDefault="006B1555" w:rsidP="006B1555">
      <w:pPr>
        <w:rPr>
          <w:szCs w:val="24"/>
        </w:rPr>
      </w:pPr>
      <w:r>
        <w:rPr>
          <w:szCs w:val="24"/>
        </w:rPr>
        <w:t xml:space="preserve"> </w:t>
      </w:r>
    </w:p>
    <w:p w14:paraId="42D3B882" w14:textId="77777777" w:rsidR="006B1555" w:rsidRDefault="006B1555" w:rsidP="006B1555">
      <w:pPr>
        <w:rPr>
          <w:szCs w:val="24"/>
        </w:rPr>
      </w:pPr>
      <w:r w:rsidRPr="004D3E53">
        <w:rPr>
          <w:szCs w:val="24"/>
        </w:rPr>
        <w:t>Konkurentsiameti õigust teabe avaldamiseks tuleb tasakaalustada mitme õigusliku kaalutlusega. Avalikustamine pea</w:t>
      </w:r>
      <w:r>
        <w:rPr>
          <w:szCs w:val="24"/>
        </w:rPr>
        <w:t>b</w:t>
      </w:r>
      <w:r w:rsidRPr="004D3E53">
        <w:rPr>
          <w:szCs w:val="24"/>
        </w:rPr>
        <w:t xml:space="preserve"> põhinema eelkõige avalikul huvil, mille eesmärk on ennetada turuosaliste poolt toimepandavaid sarnaseid rikkumisi ning tõsta turu läbipaistvust. Avalikustamine on eriti põhjendatud juhtudel, kus rikkumine puudutab süsteemset või korduvat käitumist, millel võib olla oluline mõju elektri hulgiturule või lõpptarbijatele.</w:t>
      </w:r>
      <w:r>
        <w:rPr>
          <w:szCs w:val="24"/>
        </w:rPr>
        <w:t xml:space="preserve"> </w:t>
      </w:r>
    </w:p>
    <w:p w14:paraId="4F5A1995" w14:textId="77777777" w:rsidR="006B1555" w:rsidRDefault="006B1555" w:rsidP="006B1555">
      <w:pPr>
        <w:rPr>
          <w:szCs w:val="24"/>
        </w:rPr>
      </w:pPr>
    </w:p>
    <w:p w14:paraId="4E945879" w14:textId="77777777" w:rsidR="006B1555" w:rsidRPr="002D24A2" w:rsidRDefault="006B1555" w:rsidP="006B1555">
      <w:pPr>
        <w:rPr>
          <w:szCs w:val="24"/>
        </w:rPr>
      </w:pPr>
      <w:r>
        <w:rPr>
          <w:szCs w:val="24"/>
        </w:rPr>
        <w:t>Turuosalisteks on antud juhul elektri süsteemihaldur Elering ning elektri hulgituru osalised, sh bilansihaldurid ja avatud tarnijad.</w:t>
      </w:r>
    </w:p>
    <w:p w14:paraId="2C12F0A7" w14:textId="77777777" w:rsidR="006B1555" w:rsidRDefault="006B1555" w:rsidP="006B1555">
      <w:pPr>
        <w:rPr>
          <w:szCs w:val="24"/>
        </w:rPr>
      </w:pPr>
    </w:p>
    <w:p w14:paraId="6DA6F036" w14:textId="77777777" w:rsidR="006B1555" w:rsidRDefault="006B1555" w:rsidP="006B1555">
      <w:pPr>
        <w:rPr>
          <w:b/>
          <w:bCs/>
          <w:szCs w:val="24"/>
        </w:rPr>
      </w:pPr>
      <w:r>
        <w:rPr>
          <w:b/>
          <w:bCs/>
          <w:szCs w:val="24"/>
        </w:rPr>
        <w:t xml:space="preserve">ELTS § 94 </w:t>
      </w:r>
    </w:p>
    <w:p w14:paraId="385A34A3" w14:textId="77777777" w:rsidR="006B1555" w:rsidRDefault="006B1555" w:rsidP="006B1555">
      <w:pPr>
        <w:rPr>
          <w:b/>
          <w:bCs/>
          <w:szCs w:val="24"/>
        </w:rPr>
      </w:pPr>
      <w:r>
        <w:rPr>
          <w:b/>
          <w:bCs/>
          <w:szCs w:val="24"/>
        </w:rPr>
        <w:t>Lõige 3</w:t>
      </w:r>
    </w:p>
    <w:p w14:paraId="77A23624" w14:textId="77777777" w:rsidR="006B1555" w:rsidRDefault="006B1555" w:rsidP="006B1555">
      <w:pPr>
        <w:rPr>
          <w:szCs w:val="24"/>
        </w:rPr>
      </w:pPr>
      <w:r>
        <w:rPr>
          <w:szCs w:val="24"/>
        </w:rPr>
        <w:t>§ 94 lõikes 3 nähakse ette TTJA-le järelevalve teostamiseks vajalikud järelevalve erimeetmed korrakaitseseaduse (</w:t>
      </w:r>
      <w:r w:rsidRPr="000A3345">
        <w:rPr>
          <w:rFonts w:eastAsia="Times New Roman" w:cs="Times New Roman"/>
          <w:color w:val="000000"/>
          <w:szCs w:val="24"/>
          <w:lang w:eastAsia="et-EE"/>
        </w:rPr>
        <w:t>§-d 30, 31, 32, 49, 50, 51, 52 ja 53</w:t>
      </w:r>
      <w:r>
        <w:rPr>
          <w:rFonts w:eastAsia="Times New Roman" w:cs="Times New Roman"/>
          <w:color w:val="000000"/>
          <w:szCs w:val="24"/>
          <w:lang w:eastAsia="et-EE"/>
        </w:rPr>
        <w:t>)</w:t>
      </w:r>
      <w:r w:rsidRPr="000A3345">
        <w:rPr>
          <w:rFonts w:eastAsia="Times New Roman" w:cs="Times New Roman"/>
          <w:color w:val="000000"/>
          <w:szCs w:val="24"/>
          <w:lang w:eastAsia="et-EE"/>
        </w:rPr>
        <w:t xml:space="preserve"> </w:t>
      </w:r>
      <w:r>
        <w:rPr>
          <w:szCs w:val="24"/>
        </w:rPr>
        <w:t xml:space="preserve"> alusel. Järelevalvemeetmed on vajalikud eelnõus kavandatud </w:t>
      </w:r>
      <w:r w:rsidRPr="00F9292A">
        <w:rPr>
          <w:szCs w:val="24"/>
        </w:rPr>
        <w:t>§</w:t>
      </w:r>
      <w:r>
        <w:rPr>
          <w:szCs w:val="24"/>
        </w:rPr>
        <w:t>-is</w:t>
      </w:r>
      <w:r w:rsidRPr="00F9292A">
        <w:rPr>
          <w:szCs w:val="24"/>
        </w:rPr>
        <w:t xml:space="preserve"> 65</w:t>
      </w:r>
      <w:r w:rsidRPr="00C165F2">
        <w:rPr>
          <w:szCs w:val="24"/>
          <w:vertAlign w:val="superscript"/>
        </w:rPr>
        <w:t>1</w:t>
      </w:r>
      <w:r>
        <w:rPr>
          <w:szCs w:val="24"/>
        </w:rPr>
        <w:t xml:space="preserve"> („</w:t>
      </w:r>
      <w:r w:rsidRPr="00F9292A">
        <w:rPr>
          <w:szCs w:val="24"/>
        </w:rPr>
        <w:t>Nõuded elektripaigaldistele riigi julgeoleku tagamiseks</w:t>
      </w:r>
      <w:r>
        <w:rPr>
          <w:szCs w:val="24"/>
        </w:rPr>
        <w:t>“) sätestatu üle järelevalve teostamiseks. Eesmärk on tagada, et kui selgub, et võrgus kasutatakse v</w:t>
      </w:r>
      <w:r w:rsidRPr="00F9292A">
        <w:rPr>
          <w:szCs w:val="24"/>
        </w:rPr>
        <w:t xml:space="preserve">õrguteenuse osutamiseks ja kasutamiseks tarvitatav riist- või tarkvara </w:t>
      </w:r>
      <w:r>
        <w:rPr>
          <w:szCs w:val="24"/>
        </w:rPr>
        <w:t>ohustab riigi julgeolekut ning kui ettevõtja keeldub igasugusest koostööst, siis TTJA-l on uurimistegevuste jaoks võimalik rakendada vajaminevaid erimeetmeid proportsionaalsuse põhimõtetel.</w:t>
      </w:r>
      <w:r w:rsidRPr="00F9292A">
        <w:rPr>
          <w:szCs w:val="24"/>
        </w:rPr>
        <w:t xml:space="preserve"> </w:t>
      </w:r>
      <w:r>
        <w:rPr>
          <w:szCs w:val="24"/>
        </w:rPr>
        <w:t xml:space="preserve"> Viidatud </w:t>
      </w:r>
      <w:r>
        <w:rPr>
          <w:szCs w:val="24"/>
        </w:rPr>
        <w:lastRenderedPageBreak/>
        <w:t xml:space="preserve">korrakaitseseaduse paragrahvides sätestatud erimeetmed annavad TTJA-le õiguse järgmisteks tegevusteks: </w:t>
      </w:r>
    </w:p>
    <w:p w14:paraId="2503F69F" w14:textId="77777777" w:rsidR="006B1555" w:rsidRDefault="006B1555" w:rsidP="006B1555">
      <w:pPr>
        <w:pStyle w:val="Loendilik"/>
        <w:numPr>
          <w:ilvl w:val="0"/>
          <w:numId w:val="23"/>
        </w:numPr>
      </w:pPr>
      <w:r>
        <w:t>§ 30 sätestab õiguse küsitleda ja nõuda vajaminevaid dokumente.</w:t>
      </w:r>
    </w:p>
    <w:p w14:paraId="2418E8D6" w14:textId="77777777" w:rsidR="006B1555" w:rsidRDefault="006B1555" w:rsidP="006B1555">
      <w:pPr>
        <w:pStyle w:val="Loendilik"/>
        <w:numPr>
          <w:ilvl w:val="0"/>
          <w:numId w:val="23"/>
        </w:numPr>
      </w:pPr>
      <w:r>
        <w:t>§ 31 sätestab õiguse kutsuda järelevalvealuse isiku ametiruumi asjaolude väljaselgitamiseks. Kui isik väldib teadlikult kohale ilmumist või eirab kutseid, võib TTJA ametiabi korras paluda politseil inimese sundtoomist asjaolude väljaselgitamiseks.</w:t>
      </w:r>
    </w:p>
    <w:p w14:paraId="6AA9209F" w14:textId="77777777" w:rsidR="006B1555" w:rsidRDefault="006B1555" w:rsidP="006B1555">
      <w:pPr>
        <w:pStyle w:val="Loendilik"/>
        <w:numPr>
          <w:ilvl w:val="0"/>
          <w:numId w:val="23"/>
        </w:numPr>
      </w:pPr>
      <w:r>
        <w:t>§ 32 sätestab õiguse isikusamasust tuvastada (isikut tõendava dokumendi küsimine).</w:t>
      </w:r>
    </w:p>
    <w:p w14:paraId="75556D84" w14:textId="77777777" w:rsidR="006B1555" w:rsidRDefault="006B1555" w:rsidP="006B1555">
      <w:pPr>
        <w:pStyle w:val="Loendilik"/>
        <w:numPr>
          <w:ilvl w:val="0"/>
          <w:numId w:val="23"/>
        </w:numPr>
      </w:pPr>
      <w:r>
        <w:t>§ 49 sätestab õiguse vallasasja läbivaatuseks.</w:t>
      </w:r>
    </w:p>
    <w:p w14:paraId="69576786" w14:textId="77777777" w:rsidR="006B1555" w:rsidRDefault="006B1555" w:rsidP="006B1555">
      <w:pPr>
        <w:pStyle w:val="Loendilik"/>
        <w:numPr>
          <w:ilvl w:val="0"/>
          <w:numId w:val="23"/>
        </w:numPr>
      </w:pPr>
      <w:r>
        <w:t>§ 50 sätestab õiguse valdusesse sisenemiseks.</w:t>
      </w:r>
    </w:p>
    <w:p w14:paraId="592B6236" w14:textId="77777777" w:rsidR="006B1555" w:rsidRDefault="006B1555" w:rsidP="006B1555">
      <w:pPr>
        <w:pStyle w:val="Loendilik"/>
        <w:numPr>
          <w:ilvl w:val="0"/>
          <w:numId w:val="23"/>
        </w:numPr>
      </w:pPr>
      <w:r>
        <w:t>§ 51 sätestab õiguse valduse läbivaatuseks.</w:t>
      </w:r>
    </w:p>
    <w:p w14:paraId="706385FC" w14:textId="77777777" w:rsidR="006B1555" w:rsidRDefault="006B1555" w:rsidP="006B1555">
      <w:pPr>
        <w:pStyle w:val="Loendilik"/>
        <w:numPr>
          <w:ilvl w:val="0"/>
          <w:numId w:val="23"/>
        </w:numPr>
      </w:pPr>
      <w:r>
        <w:t>§ 52 sätestab õiguse vallasasja hoiulevõtmiseks.</w:t>
      </w:r>
    </w:p>
    <w:p w14:paraId="3518029E" w14:textId="77777777" w:rsidR="006B1555" w:rsidRDefault="006B1555" w:rsidP="006B1555">
      <w:pPr>
        <w:pStyle w:val="Loendilik"/>
        <w:numPr>
          <w:ilvl w:val="0"/>
          <w:numId w:val="23"/>
        </w:numPr>
      </w:pPr>
      <w:r>
        <w:t>§ 53 sätestab õiguse vajadusel hoiulevõetud vallasasja müümiseks või hävitamiseks.</w:t>
      </w:r>
    </w:p>
    <w:p w14:paraId="75293ACA" w14:textId="77777777" w:rsidR="006B1555" w:rsidRDefault="006B1555" w:rsidP="006B1555">
      <w:pPr>
        <w:rPr>
          <w:szCs w:val="24"/>
        </w:rPr>
      </w:pPr>
    </w:p>
    <w:p w14:paraId="49C15DF4" w14:textId="77777777" w:rsidR="006B1555" w:rsidRDefault="006B1555" w:rsidP="006B1555">
      <w:pPr>
        <w:rPr>
          <w:b/>
          <w:bCs/>
          <w:szCs w:val="24"/>
        </w:rPr>
      </w:pPr>
      <w:r>
        <w:rPr>
          <w:b/>
          <w:bCs/>
          <w:szCs w:val="24"/>
        </w:rPr>
        <w:t xml:space="preserve">ELTS § 95 </w:t>
      </w:r>
    </w:p>
    <w:p w14:paraId="1A3E3C2D" w14:textId="77777777" w:rsidR="006B1555" w:rsidRDefault="006B1555" w:rsidP="006B1555">
      <w:pPr>
        <w:rPr>
          <w:b/>
          <w:bCs/>
          <w:szCs w:val="24"/>
        </w:rPr>
      </w:pPr>
      <w:r>
        <w:rPr>
          <w:b/>
          <w:bCs/>
          <w:szCs w:val="24"/>
        </w:rPr>
        <w:t>Lõige 4</w:t>
      </w:r>
    </w:p>
    <w:p w14:paraId="6097385A" w14:textId="77777777" w:rsidR="006B1555" w:rsidRDefault="006B1555" w:rsidP="006B1555">
      <w:pPr>
        <w:rPr>
          <w:szCs w:val="24"/>
        </w:rPr>
      </w:pPr>
      <w:r>
        <w:rPr>
          <w:szCs w:val="24"/>
        </w:rPr>
        <w:t xml:space="preserve">ELTS § 95 lõike 4 teine ja kolmas lause tunnistatakse kehtetuks. Sunniraha määrad on ajale jalgu jäänud ning neid tuleb uuendada. </w:t>
      </w:r>
    </w:p>
    <w:p w14:paraId="2459C2C4" w14:textId="77777777" w:rsidR="006B1555" w:rsidRDefault="006B1555" w:rsidP="006B1555">
      <w:pPr>
        <w:rPr>
          <w:szCs w:val="24"/>
        </w:rPr>
      </w:pPr>
    </w:p>
    <w:p w14:paraId="2291AC87" w14:textId="77777777" w:rsidR="006B1555" w:rsidRPr="009F7787" w:rsidRDefault="006B1555" w:rsidP="006B1555">
      <w:pPr>
        <w:rPr>
          <w:b/>
          <w:bCs/>
          <w:szCs w:val="24"/>
          <w:vertAlign w:val="superscript"/>
        </w:rPr>
      </w:pPr>
      <w:r>
        <w:rPr>
          <w:b/>
          <w:bCs/>
          <w:szCs w:val="24"/>
        </w:rPr>
        <w:t>Lõiked</w:t>
      </w:r>
      <w:r w:rsidRPr="006C1DA9">
        <w:rPr>
          <w:b/>
          <w:bCs/>
          <w:szCs w:val="24"/>
        </w:rPr>
        <w:t xml:space="preserve"> 4</w:t>
      </w:r>
      <w:r w:rsidRPr="006C1DA9">
        <w:rPr>
          <w:b/>
          <w:bCs/>
          <w:szCs w:val="24"/>
          <w:vertAlign w:val="superscript"/>
        </w:rPr>
        <w:t>1</w:t>
      </w:r>
      <w:r w:rsidRPr="009F7787">
        <w:rPr>
          <w:szCs w:val="24"/>
        </w:rPr>
        <w:t>–</w:t>
      </w:r>
      <w:r w:rsidRPr="006C1DA9">
        <w:rPr>
          <w:b/>
          <w:bCs/>
          <w:szCs w:val="24"/>
        </w:rPr>
        <w:t>4</w:t>
      </w:r>
      <w:r w:rsidRPr="006C1DA9">
        <w:rPr>
          <w:b/>
          <w:bCs/>
          <w:szCs w:val="24"/>
          <w:vertAlign w:val="superscript"/>
        </w:rPr>
        <w:t>3</w:t>
      </w:r>
      <w:r>
        <w:rPr>
          <w:b/>
          <w:bCs/>
          <w:szCs w:val="24"/>
          <w:vertAlign w:val="superscript"/>
        </w:rPr>
        <w:t xml:space="preserve"> </w:t>
      </w:r>
    </w:p>
    <w:p w14:paraId="499469EB" w14:textId="77777777" w:rsidR="006B1555" w:rsidRDefault="006B1555" w:rsidP="006B1555">
      <w:pPr>
        <w:rPr>
          <w:szCs w:val="24"/>
        </w:rPr>
      </w:pPr>
      <w:r>
        <w:rPr>
          <w:szCs w:val="24"/>
        </w:rPr>
        <w:t xml:space="preserve">Seaduse §-i 95 täiendatakse lõigetega </w:t>
      </w:r>
      <w:r w:rsidRPr="009F7787">
        <w:rPr>
          <w:szCs w:val="24"/>
        </w:rPr>
        <w:t>4</w:t>
      </w:r>
      <w:r w:rsidRPr="009F7787">
        <w:rPr>
          <w:szCs w:val="24"/>
          <w:vertAlign w:val="superscript"/>
        </w:rPr>
        <w:t>1</w:t>
      </w:r>
      <w:r w:rsidRPr="009F7787">
        <w:rPr>
          <w:szCs w:val="24"/>
        </w:rPr>
        <w:t>–4</w:t>
      </w:r>
      <w:r w:rsidRPr="009F7787">
        <w:rPr>
          <w:szCs w:val="24"/>
          <w:vertAlign w:val="superscript"/>
        </w:rPr>
        <w:t>3</w:t>
      </w:r>
      <w:r w:rsidRPr="009F7787">
        <w:rPr>
          <w:szCs w:val="24"/>
        </w:rPr>
        <w:t>,</w:t>
      </w:r>
      <w:r>
        <w:rPr>
          <w:szCs w:val="24"/>
        </w:rPr>
        <w:t xml:space="preserve"> mis</w:t>
      </w:r>
      <w:r w:rsidRPr="510A726D">
        <w:rPr>
          <w:szCs w:val="24"/>
        </w:rPr>
        <w:t xml:space="preserve"> reguleerivad Konkurentsiameti ettekirjutuse täitmata jätmise või ebakohase täitmise korral rakendatavat sunniraha. Näiteks võib amet nõuda ELTS § 58 lõike 4 alusel tootjalt, liinivaldajalt ja võrguettevõtjalt, kelle liini või võrguga on tootja tootmisseadmed ühendatud, andmeid, mis on vajalikud käesoleva ELTS § 58 lõike 3 alusel esitatud teabe kontrollimiseks. Amet saab teha ettekirjutuse, et isik esitaks nõutud teabe.</w:t>
      </w:r>
      <w:r>
        <w:rPr>
          <w:szCs w:val="24"/>
        </w:rPr>
        <w:t xml:space="preserve"> </w:t>
      </w:r>
      <w:r w:rsidRPr="00382561">
        <w:rPr>
          <w:szCs w:val="24"/>
        </w:rPr>
        <w:t>Teave ja selgitused erinevad andmed turuosalise osas, mis on vajalikud järelevalvetegemiseks</w:t>
      </w:r>
      <w:r>
        <w:rPr>
          <w:szCs w:val="24"/>
        </w:rPr>
        <w:t xml:space="preserve">. Nõutud teave võib olla vastavalt vajadusele nt isiku kauplemisandmed või selgitused tema kauplemisstrateegia kohta. </w:t>
      </w:r>
      <w:r w:rsidRPr="510A726D">
        <w:rPr>
          <w:szCs w:val="24"/>
        </w:rPr>
        <w:t>Juhul kui isik nõutud teavet ei esita, saab Konkurentsiamet määrata sunniraha ja selle sisse nõuda ning seda seni kuni isik ametile teabe esitab.</w:t>
      </w:r>
    </w:p>
    <w:p w14:paraId="5DB04305" w14:textId="77777777" w:rsidR="006B1555" w:rsidRDefault="006B1555" w:rsidP="006B1555">
      <w:pPr>
        <w:rPr>
          <w:szCs w:val="24"/>
        </w:rPr>
      </w:pPr>
    </w:p>
    <w:p w14:paraId="4E08112C" w14:textId="77777777" w:rsidR="006B1555" w:rsidRDefault="006B1555" w:rsidP="006B1555">
      <w:pPr>
        <w:rPr>
          <w:szCs w:val="24"/>
        </w:rPr>
      </w:pPr>
      <w:r>
        <w:rPr>
          <w:szCs w:val="24"/>
        </w:rPr>
        <w:t>§ 95 lõigetes 4</w:t>
      </w:r>
      <w:r>
        <w:rPr>
          <w:szCs w:val="24"/>
          <w:vertAlign w:val="superscript"/>
        </w:rPr>
        <w:t>1</w:t>
      </w:r>
      <w:r>
        <w:rPr>
          <w:szCs w:val="24"/>
        </w:rPr>
        <w:t xml:space="preserve"> ning 4</w:t>
      </w:r>
      <w:r>
        <w:rPr>
          <w:szCs w:val="24"/>
          <w:vertAlign w:val="superscript"/>
        </w:rPr>
        <w:t>2</w:t>
      </w:r>
      <w:r>
        <w:rPr>
          <w:szCs w:val="24"/>
        </w:rPr>
        <w:t xml:space="preserve"> nähakse ette füüsilisele ja juriidilise isikule määratava sunniraha maksimummäär. Sunniraha määrad on rakendatud sarnaselt finantsvaldkonna õigusaktides</w:t>
      </w:r>
      <w:r>
        <w:rPr>
          <w:rStyle w:val="Allmrkuseviide"/>
        </w:rPr>
        <w:footnoteReference w:id="31"/>
      </w:r>
      <w:r>
        <w:rPr>
          <w:szCs w:val="24"/>
        </w:rPr>
        <w:t xml:space="preserve"> sätestatuga, nii et füüsilisele isikule saab sunniraha määrata </w:t>
      </w:r>
      <w:r w:rsidRPr="00294571">
        <w:rPr>
          <w:szCs w:val="24"/>
        </w:rPr>
        <w:t xml:space="preserve">kuni 5000 eurot </w:t>
      </w:r>
      <w:r>
        <w:rPr>
          <w:szCs w:val="24"/>
        </w:rPr>
        <w:t xml:space="preserve">ning juriidilisele isikule kuni 100 000 eurot (kehtivas seaduses kehtib alates 2013. aastast sunniraha määr 1300 eurot olenemata sellest, kas tegemist on korduva rikkumisega). Kehtivas seaduses ei eristata ka füüsilisest ning juriidilisest isiku elektriettevõtjale määratud sunniraha ja sunniraha suurus 1300 eurot on tänaseks ajale jalgu jäänud, ega oma heidutavat mõju. </w:t>
      </w:r>
    </w:p>
    <w:p w14:paraId="2687B694" w14:textId="77777777" w:rsidR="006B1555" w:rsidRDefault="006B1555" w:rsidP="006B1555">
      <w:pPr>
        <w:rPr>
          <w:szCs w:val="24"/>
        </w:rPr>
      </w:pPr>
    </w:p>
    <w:p w14:paraId="3F740D54" w14:textId="77777777" w:rsidR="006B1555" w:rsidRDefault="006B1555" w:rsidP="006B1555">
      <w:pPr>
        <w:rPr>
          <w:szCs w:val="24"/>
        </w:rPr>
      </w:pPr>
      <w:r>
        <w:rPr>
          <w:szCs w:val="24"/>
        </w:rPr>
        <w:t>§ 95 lõikes 4</w:t>
      </w:r>
      <w:r w:rsidRPr="009F7787">
        <w:rPr>
          <w:szCs w:val="24"/>
          <w:vertAlign w:val="superscript"/>
        </w:rPr>
        <w:t>3</w:t>
      </w:r>
      <w:r>
        <w:rPr>
          <w:szCs w:val="24"/>
        </w:rPr>
        <w:t xml:space="preserve"> nähakse ette põhivõrguettevõtjale määratav </w:t>
      </w:r>
      <w:r w:rsidRPr="009F7787">
        <w:rPr>
          <w:szCs w:val="24"/>
        </w:rPr>
        <w:t xml:space="preserve">sunniraha </w:t>
      </w:r>
      <w:r>
        <w:rPr>
          <w:szCs w:val="24"/>
        </w:rPr>
        <w:t>maksimum</w:t>
      </w:r>
      <w:r w:rsidRPr="009F7787">
        <w:rPr>
          <w:szCs w:val="24"/>
        </w:rPr>
        <w:t>määr käesoleva seaduse §-s 18</w:t>
      </w:r>
      <w:r w:rsidRPr="009F7787">
        <w:rPr>
          <w:szCs w:val="24"/>
          <w:vertAlign w:val="superscript"/>
        </w:rPr>
        <w:t>1</w:t>
      </w:r>
      <w:r w:rsidRPr="009F7787">
        <w:rPr>
          <w:szCs w:val="24"/>
        </w:rPr>
        <w:t xml:space="preserve"> sätestatud nõuete rikkumise korral</w:t>
      </w:r>
      <w:r>
        <w:rPr>
          <w:szCs w:val="24"/>
        </w:rPr>
        <w:t xml:space="preserve">, milleks </w:t>
      </w:r>
      <w:r w:rsidRPr="009F7787">
        <w:rPr>
          <w:szCs w:val="24"/>
        </w:rPr>
        <w:t>on üheksa miljonit eurot</w:t>
      </w:r>
      <w:r>
        <w:rPr>
          <w:szCs w:val="24"/>
        </w:rPr>
        <w:t>.</w:t>
      </w:r>
    </w:p>
    <w:p w14:paraId="623026E1" w14:textId="77777777" w:rsidR="006B1555" w:rsidRDefault="006B1555" w:rsidP="006B1555">
      <w:pPr>
        <w:rPr>
          <w:szCs w:val="24"/>
        </w:rPr>
      </w:pPr>
    </w:p>
    <w:p w14:paraId="6C507DFF" w14:textId="77777777" w:rsidR="006B1555" w:rsidRDefault="006B1555" w:rsidP="006B1555">
      <w:pPr>
        <w:rPr>
          <w:szCs w:val="24"/>
          <w:lang w:eastAsia="et-EE"/>
        </w:rPr>
      </w:pPr>
      <w:r w:rsidRPr="510A726D">
        <w:rPr>
          <w:szCs w:val="24"/>
        </w:rPr>
        <w:t>Sunniraha võib määrata maksimaalselt kuni nimetatud määras, see tähendab üksnes juhul kui haldusorgani kaalutlusõigus seda konkreetsel juhul õigustab.</w:t>
      </w:r>
      <w:r>
        <w:rPr>
          <w:szCs w:val="24"/>
        </w:rPr>
        <w:t xml:space="preserve"> Siinkohal tuleb haldusorganil arvestada mitme kumuleeruva teguriga. </w:t>
      </w:r>
      <w:r w:rsidRPr="00992750">
        <w:rPr>
          <w:szCs w:val="24"/>
        </w:rPr>
        <w:t>Üks peamisi tegureid on rikkumise raskus ja selle mõju turu terviklikkusele või tarbijatele – näiteks juhul, kui turuosaline hoi</w:t>
      </w:r>
      <w:r>
        <w:rPr>
          <w:szCs w:val="24"/>
        </w:rPr>
        <w:t>du</w:t>
      </w:r>
      <w:r w:rsidRPr="00992750">
        <w:rPr>
          <w:szCs w:val="24"/>
        </w:rPr>
        <w:t xml:space="preserve">b sihilikult </w:t>
      </w:r>
      <w:r>
        <w:rPr>
          <w:szCs w:val="24"/>
        </w:rPr>
        <w:t>avaldamast</w:t>
      </w:r>
      <w:r w:rsidRPr="00992750">
        <w:rPr>
          <w:szCs w:val="24"/>
        </w:rPr>
        <w:t xml:space="preserve"> siseteavet, mis mõjutab energia hinda, või takistab teabe kogumist, mis on oluline süsteemse riskihindamise jaoks.</w:t>
      </w:r>
      <w:r w:rsidRPr="510A726D">
        <w:rPr>
          <w:szCs w:val="24"/>
        </w:rPr>
        <w:t xml:space="preserve"> </w:t>
      </w:r>
      <w:r w:rsidRPr="00992750">
        <w:rPr>
          <w:szCs w:val="24"/>
        </w:rPr>
        <w:t>Teiseks tuleks arvesse võtta rikkumise kestust</w:t>
      </w:r>
      <w:r>
        <w:rPr>
          <w:szCs w:val="24"/>
        </w:rPr>
        <w:t>. P</w:t>
      </w:r>
      <w:r w:rsidRPr="00992750">
        <w:rPr>
          <w:szCs w:val="24"/>
        </w:rPr>
        <w:t>ikemaajalised või korduvalt toime pandud rikkumised võivad õigustada sunniraha määramist üle</w:t>
      </w:r>
      <w:r>
        <w:rPr>
          <w:szCs w:val="24"/>
        </w:rPr>
        <w:t>m</w:t>
      </w:r>
      <w:r w:rsidRPr="00992750">
        <w:rPr>
          <w:szCs w:val="24"/>
        </w:rPr>
        <w:t xml:space="preserve">määras. Samuti on </w:t>
      </w:r>
      <w:r>
        <w:rPr>
          <w:szCs w:val="24"/>
        </w:rPr>
        <w:t xml:space="preserve">olulise </w:t>
      </w:r>
      <w:r w:rsidRPr="00992750">
        <w:rPr>
          <w:szCs w:val="24"/>
        </w:rPr>
        <w:t xml:space="preserve">tähtsusega isiku varasem koostöövalmidus ja järelevalveasutuse ettekirjutustele </w:t>
      </w:r>
      <w:r w:rsidRPr="00992750">
        <w:rPr>
          <w:szCs w:val="24"/>
        </w:rPr>
        <w:lastRenderedPageBreak/>
        <w:t xml:space="preserve">reageerimine. Kui on alust arvata, et isik on tegutsenud sihilikult või süsteemselt, tuleks kaaluda sunniraha määramist maksimaalses ulatuses, et tagada </w:t>
      </w:r>
      <w:r>
        <w:rPr>
          <w:szCs w:val="24"/>
        </w:rPr>
        <w:t>meetme</w:t>
      </w:r>
      <w:r w:rsidRPr="00992750">
        <w:rPr>
          <w:szCs w:val="24"/>
        </w:rPr>
        <w:t xml:space="preserve"> heidutav mõju</w:t>
      </w:r>
      <w:r>
        <w:rPr>
          <w:szCs w:val="24"/>
        </w:rPr>
        <w:t xml:space="preserve">. </w:t>
      </w:r>
      <w:r w:rsidRPr="510A726D">
        <w:rPr>
          <w:szCs w:val="24"/>
          <w:lang w:eastAsia="et-EE"/>
        </w:rPr>
        <w:t>Rakendatavad sunniraha määrad peavad heidutama rikkujaid ja võtma ära võimaluse teenida rikkumiste arvelt kasu</w:t>
      </w:r>
      <w:r>
        <w:rPr>
          <w:szCs w:val="24"/>
          <w:lang w:eastAsia="et-EE"/>
        </w:rPr>
        <w:t>. Näiteks ELTS §</w:t>
      </w:r>
      <w:r>
        <w:rPr>
          <w:szCs w:val="24"/>
          <w:lang w:eastAsia="et-EE"/>
        </w:rPr>
        <w:noBreakHyphen/>
        <w:t>s 73 on sätestatud võrguettevõtjale kohtustus kooskõlastada Konkurentsiametiga võrgutasud ning §-s 74 on sätestatud võrguettevõtjale kohustus võrgutasud avaldada</w:t>
      </w:r>
      <w:r w:rsidRPr="510A726D">
        <w:rPr>
          <w:szCs w:val="24"/>
          <w:lang w:eastAsia="et-EE"/>
        </w:rPr>
        <w:t>.</w:t>
      </w:r>
      <w:r>
        <w:rPr>
          <w:szCs w:val="24"/>
          <w:lang w:eastAsia="et-EE"/>
        </w:rPr>
        <w:t xml:space="preserve"> Vastavat kooskõlastamis- ja avaldamiskohustust rikkudes on võrguettevõtjal võimalik nt katta võrgutasudega võrguteenuse osutamisega mitteseotud kulusid, jätta tagamata investeeringud </w:t>
      </w:r>
      <w:r w:rsidRPr="00625721">
        <w:rPr>
          <w:szCs w:val="24"/>
          <w:lang w:eastAsia="et-EE"/>
        </w:rPr>
        <w:t xml:space="preserve">elutähtsa teenuse toimepidevuse </w:t>
      </w:r>
      <w:r>
        <w:rPr>
          <w:szCs w:val="24"/>
          <w:lang w:eastAsia="et-EE"/>
        </w:rPr>
        <w:t>tagamiseks ning ka teenida põhjendamatut tulu. Näiteks Elektrilevi OÜ-l on üle 533 000 võrguteenuse kliendi</w:t>
      </w:r>
      <w:r>
        <w:rPr>
          <w:rStyle w:val="Allmrkuseviide"/>
          <w:lang w:eastAsia="et-EE"/>
        </w:rPr>
        <w:footnoteReference w:id="32"/>
      </w:r>
      <w:r>
        <w:rPr>
          <w:szCs w:val="24"/>
          <w:lang w:eastAsia="et-EE"/>
        </w:rPr>
        <w:t>, kellelt ettevõtja võtab võrgutasu. Sellise kliendibaasiga ettevõtja suhtes rakendatav sunniraha määr peab omama heidutavat mõju.</w:t>
      </w:r>
      <w:r w:rsidRPr="510A726D">
        <w:rPr>
          <w:szCs w:val="24"/>
        </w:rPr>
        <w:t xml:space="preserve"> </w:t>
      </w:r>
      <w:r w:rsidRPr="510A726D">
        <w:rPr>
          <w:szCs w:val="24"/>
          <w:lang w:eastAsia="et-EE"/>
        </w:rPr>
        <w:t>Juriidilise isiku puhul on lisaalternatiivina võimalik rakendada sunniraha määras, mis vastab kuni 15 protsendile aastasest kogukäibest vastavalt viimasele kättesaadavale juhtimisorgani poolt kinnitanud raamatupidamise aastaaruandele. Juhul kui juriidiline isik on emaettevõtja või sellise emaettevõtja tütarettevõtja, kes peab koostama konsolideeritud raamatupidamise aruandeid, on eelpool nimetatud kogukäive aastane kogukäive või asjaomase tululiigi kogukäive viimase kättesaadava konsolideeritud raamatupidamise aastaaruande järgi, mille on heaks kiitnud kõrgeima taseme emaettevõtja juhtimisorgan.</w:t>
      </w:r>
    </w:p>
    <w:p w14:paraId="66FE8DEE" w14:textId="77777777" w:rsidR="006B1555" w:rsidRDefault="006B1555" w:rsidP="006B1555">
      <w:pPr>
        <w:rPr>
          <w:b/>
          <w:bCs/>
          <w:szCs w:val="24"/>
        </w:rPr>
      </w:pPr>
    </w:p>
    <w:p w14:paraId="4E97CBB0" w14:textId="77777777" w:rsidR="006B1555" w:rsidRDefault="006B1555" w:rsidP="006B1555">
      <w:pPr>
        <w:rPr>
          <w:b/>
          <w:bCs/>
          <w:szCs w:val="24"/>
        </w:rPr>
      </w:pPr>
      <w:r>
        <w:rPr>
          <w:b/>
          <w:bCs/>
          <w:szCs w:val="24"/>
        </w:rPr>
        <w:t>Lõige 6</w:t>
      </w:r>
    </w:p>
    <w:p w14:paraId="306DEBD1" w14:textId="6E9C22EF" w:rsidR="006B1555" w:rsidRDefault="006B1555" w:rsidP="006B1555">
      <w:pPr>
        <w:rPr>
          <w:rFonts w:eastAsia="Times New Roman" w:cs="Times New Roman"/>
          <w:color w:val="000000"/>
          <w:szCs w:val="24"/>
          <w:lang w:eastAsia="et-EE"/>
        </w:rPr>
      </w:pPr>
      <w:r>
        <w:rPr>
          <w:rFonts w:eastAsia="Times New Roman" w:cs="Times New Roman"/>
          <w:color w:val="000000"/>
          <w:szCs w:val="24"/>
          <w:lang w:eastAsia="et-EE"/>
        </w:rPr>
        <w:t>Lisatava lõikega täpsustatakse</w:t>
      </w:r>
      <w:r w:rsidR="000C442C">
        <w:rPr>
          <w:rFonts w:eastAsia="Times New Roman" w:cs="Times New Roman"/>
          <w:color w:val="000000"/>
          <w:szCs w:val="24"/>
          <w:lang w:eastAsia="et-EE"/>
        </w:rPr>
        <w:t>, et</w:t>
      </w:r>
      <w:r>
        <w:rPr>
          <w:rFonts w:eastAsia="Times New Roman" w:cs="Times New Roman"/>
          <w:color w:val="000000"/>
          <w:szCs w:val="24"/>
          <w:lang w:eastAsia="et-EE"/>
        </w:rPr>
        <w:t xml:space="preserve"> ELTS</w:t>
      </w:r>
      <w:r w:rsidRPr="00622DD1">
        <w:rPr>
          <w:rFonts w:eastAsia="Times New Roman" w:cs="Times New Roman"/>
          <w:color w:val="000000"/>
          <w:szCs w:val="24"/>
          <w:lang w:eastAsia="et-EE"/>
        </w:rPr>
        <w:t xml:space="preserve"> § 65</w:t>
      </w:r>
      <w:r w:rsidRPr="00622DD1">
        <w:rPr>
          <w:rFonts w:eastAsia="Times New Roman" w:cs="Times New Roman"/>
          <w:color w:val="000000"/>
          <w:szCs w:val="24"/>
          <w:vertAlign w:val="superscript"/>
          <w:lang w:eastAsia="et-EE"/>
        </w:rPr>
        <w:t>1</w:t>
      </w:r>
      <w:r w:rsidRPr="00622DD1">
        <w:rPr>
          <w:rFonts w:eastAsia="Times New Roman" w:cs="Times New Roman"/>
          <w:color w:val="000000"/>
          <w:szCs w:val="24"/>
          <w:lang w:eastAsia="et-EE"/>
        </w:rPr>
        <w:t xml:space="preserve"> nimetatud kohustuse täitmise tagamiseks</w:t>
      </w:r>
      <w:r w:rsidR="00382ADE">
        <w:rPr>
          <w:rFonts w:eastAsia="Times New Roman" w:cs="Times New Roman"/>
          <w:color w:val="000000"/>
          <w:szCs w:val="24"/>
          <w:lang w:eastAsia="et-EE"/>
        </w:rPr>
        <w:t xml:space="preserve"> on</w:t>
      </w:r>
      <w:r>
        <w:rPr>
          <w:rFonts w:eastAsia="Times New Roman" w:cs="Times New Roman"/>
          <w:color w:val="000000"/>
          <w:szCs w:val="24"/>
          <w:lang w:eastAsia="et-EE"/>
        </w:rPr>
        <w:t xml:space="preserve"> TTJA-l </w:t>
      </w:r>
      <w:r w:rsidRPr="00622DD1">
        <w:rPr>
          <w:rFonts w:eastAsia="Times New Roman" w:cs="Times New Roman"/>
          <w:color w:val="000000"/>
          <w:szCs w:val="24"/>
          <w:lang w:eastAsia="et-EE"/>
        </w:rPr>
        <w:t xml:space="preserve">õigus teha </w:t>
      </w:r>
      <w:r>
        <w:rPr>
          <w:rFonts w:eastAsia="Times New Roman" w:cs="Times New Roman"/>
          <w:color w:val="000000"/>
          <w:szCs w:val="24"/>
          <w:lang w:eastAsia="et-EE"/>
        </w:rPr>
        <w:t>võrguettevõtjale</w:t>
      </w:r>
      <w:r w:rsidRPr="00A41F9D">
        <w:rPr>
          <w:rFonts w:eastAsia="Times New Roman" w:cs="Times New Roman"/>
          <w:color w:val="000000"/>
          <w:szCs w:val="24"/>
          <w:lang w:eastAsia="et-EE"/>
        </w:rPr>
        <w:t xml:space="preserve"> või</w:t>
      </w:r>
      <w:r>
        <w:rPr>
          <w:rFonts w:eastAsia="Times New Roman" w:cs="Times New Roman"/>
          <w:color w:val="000000"/>
          <w:szCs w:val="24"/>
          <w:lang w:eastAsia="et-EE"/>
        </w:rPr>
        <w:t xml:space="preserve"> võrguteenuse</w:t>
      </w:r>
      <w:r w:rsidRPr="00A41F9D">
        <w:rPr>
          <w:rFonts w:eastAsia="Times New Roman" w:cs="Times New Roman"/>
          <w:color w:val="000000"/>
          <w:szCs w:val="24"/>
          <w:lang w:eastAsia="et-EE"/>
        </w:rPr>
        <w:t xml:space="preserve"> kasutajale ettekirjutus, mille täitmata jätmise korral on asendustäitmise ja sunniraha seaduses sätestatud korras rakendatava sunniraha ülemmäär füüsilise isiku puhul 5000 eurot ja juriidilise isiku puhul kuni 100 000 eurot või kuni 15 protsenti tema aastasest kogukäibest vastavalt viimasele kättesaadavale juhtorgani kinnitatud raamatupidamise aastaaruandele</w:t>
      </w:r>
      <w:r>
        <w:rPr>
          <w:rFonts w:eastAsia="Times New Roman" w:cs="Times New Roman"/>
          <w:color w:val="000000"/>
          <w:szCs w:val="24"/>
          <w:lang w:eastAsia="et-EE"/>
        </w:rPr>
        <w:t>.</w:t>
      </w:r>
    </w:p>
    <w:p w14:paraId="03FC7258" w14:textId="77777777" w:rsidR="006B1555" w:rsidRDefault="006B1555" w:rsidP="006B1555">
      <w:pPr>
        <w:rPr>
          <w:b/>
          <w:bCs/>
          <w:szCs w:val="24"/>
        </w:rPr>
      </w:pPr>
    </w:p>
    <w:p w14:paraId="06BB3D0A" w14:textId="77777777" w:rsidR="006B1555" w:rsidRDefault="006B1555" w:rsidP="006B1555">
      <w:pPr>
        <w:rPr>
          <w:b/>
          <w:bCs/>
          <w:szCs w:val="24"/>
        </w:rPr>
      </w:pPr>
      <w:r>
        <w:rPr>
          <w:b/>
          <w:bCs/>
          <w:szCs w:val="24"/>
        </w:rPr>
        <w:t>ELTS § 101</w:t>
      </w:r>
      <w:r w:rsidRPr="00B71939">
        <w:rPr>
          <w:b/>
          <w:bCs/>
          <w:szCs w:val="24"/>
          <w:vertAlign w:val="superscript"/>
        </w:rPr>
        <w:t>1</w:t>
      </w:r>
      <w:r>
        <w:rPr>
          <w:b/>
          <w:bCs/>
          <w:szCs w:val="24"/>
        </w:rPr>
        <w:t xml:space="preserve"> </w:t>
      </w:r>
    </w:p>
    <w:p w14:paraId="58215C68" w14:textId="77777777" w:rsidR="006B1555" w:rsidRDefault="006B1555" w:rsidP="006B1555">
      <w:pPr>
        <w:rPr>
          <w:b/>
          <w:bCs/>
          <w:szCs w:val="24"/>
        </w:rPr>
      </w:pPr>
      <w:r>
        <w:rPr>
          <w:b/>
          <w:bCs/>
          <w:szCs w:val="24"/>
        </w:rPr>
        <w:t>Lõige 2</w:t>
      </w:r>
      <w:r w:rsidRPr="510A726D">
        <w:rPr>
          <w:b/>
          <w:bCs/>
          <w:szCs w:val="24"/>
        </w:rPr>
        <w:t xml:space="preserve"> </w:t>
      </w:r>
    </w:p>
    <w:p w14:paraId="12E2EF54" w14:textId="77777777" w:rsidR="006B1555" w:rsidRDefault="006B1555" w:rsidP="006B1555">
      <w:pPr>
        <w:rPr>
          <w:szCs w:val="24"/>
        </w:rPr>
      </w:pPr>
      <w:r>
        <w:rPr>
          <w:szCs w:val="24"/>
        </w:rPr>
        <w:t>M</w:t>
      </w:r>
      <w:r w:rsidRPr="510A726D">
        <w:rPr>
          <w:szCs w:val="24"/>
        </w:rPr>
        <w:t>uudetakse § 101</w:t>
      </w:r>
      <w:r w:rsidRPr="510A726D">
        <w:rPr>
          <w:szCs w:val="24"/>
          <w:vertAlign w:val="superscript"/>
        </w:rPr>
        <w:t>1</w:t>
      </w:r>
      <w:r w:rsidRPr="510A726D">
        <w:rPr>
          <w:szCs w:val="24"/>
        </w:rPr>
        <w:t xml:space="preserve"> lõi</w:t>
      </w:r>
      <w:r>
        <w:rPr>
          <w:szCs w:val="24"/>
        </w:rPr>
        <w:t>g</w:t>
      </w:r>
      <w:r w:rsidRPr="510A726D">
        <w:rPr>
          <w:szCs w:val="24"/>
        </w:rPr>
        <w:t>e</w:t>
      </w:r>
      <w:r>
        <w:rPr>
          <w:szCs w:val="24"/>
        </w:rPr>
        <w:t>t</w:t>
      </w:r>
      <w:r w:rsidRPr="510A726D">
        <w:rPr>
          <w:szCs w:val="24"/>
        </w:rPr>
        <w:t xml:space="preserve"> 2, senine trahvimäär 3200 eurot juriidilise isiku puhul asendatakse trahvimääraga </w:t>
      </w:r>
      <w:r>
        <w:rPr>
          <w:szCs w:val="24"/>
        </w:rPr>
        <w:t>400</w:t>
      </w:r>
      <w:r w:rsidRPr="510A726D">
        <w:rPr>
          <w:szCs w:val="24"/>
        </w:rPr>
        <w:t xml:space="preserve"> 000 eurot. Muudatus on vajalik, et tagada rikkumiste eest kohaldatavate sanktsioonide tõhusus. Kehtiv trahvimäär 3200 eurot </w:t>
      </w:r>
      <w:r>
        <w:rPr>
          <w:szCs w:val="24"/>
        </w:rPr>
        <w:t xml:space="preserve">on </w:t>
      </w:r>
      <w:r w:rsidRPr="510A726D">
        <w:rPr>
          <w:szCs w:val="24"/>
        </w:rPr>
        <w:t>kehti</w:t>
      </w:r>
      <w:r>
        <w:rPr>
          <w:szCs w:val="24"/>
        </w:rPr>
        <w:t>nud</w:t>
      </w:r>
      <w:r w:rsidRPr="510A726D">
        <w:rPr>
          <w:szCs w:val="24"/>
        </w:rPr>
        <w:t xml:space="preserve"> aastast 2011 </w:t>
      </w:r>
      <w:r>
        <w:rPr>
          <w:szCs w:val="24"/>
        </w:rPr>
        <w:t>ning</w:t>
      </w:r>
      <w:r w:rsidRPr="510A726D">
        <w:rPr>
          <w:szCs w:val="24"/>
        </w:rPr>
        <w:t xml:space="preserve"> on tänaseks ajale jalgu jäänud ega oma rikkumis</w:t>
      </w:r>
      <w:r>
        <w:rPr>
          <w:szCs w:val="24"/>
        </w:rPr>
        <w:t>tele</w:t>
      </w:r>
      <w:r w:rsidRPr="510A726D">
        <w:rPr>
          <w:szCs w:val="24"/>
        </w:rPr>
        <w:t xml:space="preserve"> ennetavat mõju. Trahvimäär on kooskõlas karistusseadustiku (</w:t>
      </w:r>
      <w:r>
        <w:rPr>
          <w:szCs w:val="24"/>
        </w:rPr>
        <w:t xml:space="preserve">edaspidi </w:t>
      </w:r>
      <w:r w:rsidRPr="00B860C2">
        <w:rPr>
          <w:i/>
          <w:iCs/>
          <w:szCs w:val="24"/>
        </w:rPr>
        <w:t>KarS</w:t>
      </w:r>
      <w:r w:rsidRPr="510A726D">
        <w:rPr>
          <w:szCs w:val="24"/>
        </w:rPr>
        <w:t>) § 47 lõikega 2, mille kohaselt võib juriidilisele isikule kohaldada rahatrahvi 100–400 000 eurot.</w:t>
      </w:r>
    </w:p>
    <w:p w14:paraId="2704326C" w14:textId="77777777" w:rsidR="006B1555" w:rsidRDefault="006B1555" w:rsidP="006B1555">
      <w:pPr>
        <w:rPr>
          <w:szCs w:val="24"/>
        </w:rPr>
      </w:pPr>
    </w:p>
    <w:p w14:paraId="670F28F5" w14:textId="77777777" w:rsidR="006B1555" w:rsidRDefault="006B1555" w:rsidP="006B1555">
      <w:pPr>
        <w:rPr>
          <w:szCs w:val="24"/>
        </w:rPr>
      </w:pPr>
      <w:r>
        <w:rPr>
          <w:b/>
          <w:bCs/>
          <w:szCs w:val="24"/>
        </w:rPr>
        <w:t>ELTS § 101</w:t>
      </w:r>
      <w:r w:rsidRPr="00B71939">
        <w:rPr>
          <w:b/>
          <w:bCs/>
          <w:szCs w:val="24"/>
          <w:vertAlign w:val="superscript"/>
        </w:rPr>
        <w:t>4</w:t>
      </w:r>
      <w:r>
        <w:rPr>
          <w:szCs w:val="24"/>
        </w:rPr>
        <w:t xml:space="preserve"> </w:t>
      </w:r>
    </w:p>
    <w:p w14:paraId="4BA32308" w14:textId="77777777" w:rsidR="006B1555" w:rsidRDefault="006B1555" w:rsidP="006B1555">
      <w:pPr>
        <w:rPr>
          <w:rFonts w:cs="Times New Roman"/>
          <w:szCs w:val="24"/>
        </w:rPr>
      </w:pPr>
      <w:r>
        <w:rPr>
          <w:szCs w:val="24"/>
        </w:rPr>
        <w:t xml:space="preserve">Tunnistatakse kehtetuks </w:t>
      </w:r>
      <w:r>
        <w:rPr>
          <w:rFonts w:cs="Times New Roman"/>
          <w:szCs w:val="24"/>
        </w:rPr>
        <w:t>§ 101</w:t>
      </w:r>
      <w:r>
        <w:rPr>
          <w:rFonts w:cs="Times New Roman"/>
          <w:szCs w:val="24"/>
          <w:vertAlign w:val="superscript"/>
        </w:rPr>
        <w:t>4</w:t>
      </w:r>
      <w:r>
        <w:rPr>
          <w:rFonts w:cs="Times New Roman"/>
          <w:szCs w:val="24"/>
        </w:rPr>
        <w:t>, kuna selle asemel kehtestatakse uued REMIT määrusega kooskõlas olevad §-d 101</w:t>
      </w:r>
      <w:r>
        <w:rPr>
          <w:rFonts w:cs="Times New Roman"/>
          <w:szCs w:val="24"/>
          <w:vertAlign w:val="superscript"/>
        </w:rPr>
        <w:t>6</w:t>
      </w:r>
      <w:r w:rsidRPr="000B3243">
        <w:rPr>
          <w:rFonts w:cs="Times New Roman"/>
          <w:szCs w:val="24"/>
        </w:rPr>
        <w:t>–</w:t>
      </w:r>
      <w:r w:rsidRPr="002A0DF9">
        <w:rPr>
          <w:rFonts w:cs="Times New Roman"/>
          <w:szCs w:val="24"/>
        </w:rPr>
        <w:t>101</w:t>
      </w:r>
      <w:r>
        <w:rPr>
          <w:rFonts w:cs="Times New Roman"/>
          <w:szCs w:val="24"/>
          <w:vertAlign w:val="superscript"/>
        </w:rPr>
        <w:t>10</w:t>
      </w:r>
      <w:r>
        <w:rPr>
          <w:rFonts w:cs="Times New Roman"/>
          <w:szCs w:val="24"/>
        </w:rPr>
        <w:t xml:space="preserve"> ja muudetakse §-i </w:t>
      </w:r>
      <w:r w:rsidRPr="002D24A2">
        <w:rPr>
          <w:rFonts w:cs="Times New Roman"/>
          <w:szCs w:val="24"/>
        </w:rPr>
        <w:t>103</w:t>
      </w:r>
      <w:r w:rsidRPr="002D24A2">
        <w:rPr>
          <w:rFonts w:cs="Times New Roman"/>
          <w:szCs w:val="24"/>
          <w:vertAlign w:val="superscript"/>
        </w:rPr>
        <w:t>1</w:t>
      </w:r>
      <w:r w:rsidRPr="002D24A2">
        <w:rPr>
          <w:rFonts w:cs="Times New Roman"/>
          <w:szCs w:val="24"/>
        </w:rPr>
        <w:t>.</w:t>
      </w:r>
      <w:r>
        <w:rPr>
          <w:rFonts w:cs="Times New Roman"/>
          <w:szCs w:val="24"/>
        </w:rPr>
        <w:t xml:space="preserve"> Seadusesse lisatavad §-id </w:t>
      </w:r>
      <w:r w:rsidRPr="008D039A">
        <w:rPr>
          <w:rFonts w:cs="Times New Roman"/>
          <w:szCs w:val="24"/>
        </w:rPr>
        <w:t>101</w:t>
      </w:r>
      <w:r w:rsidRPr="00AD7A06">
        <w:rPr>
          <w:rFonts w:cs="Times New Roman"/>
          <w:szCs w:val="24"/>
          <w:vertAlign w:val="superscript"/>
        </w:rPr>
        <w:t>6</w:t>
      </w:r>
      <w:r w:rsidRPr="008D039A">
        <w:rPr>
          <w:rFonts w:cs="Times New Roman"/>
          <w:szCs w:val="24"/>
        </w:rPr>
        <w:t xml:space="preserve"> - 101</w:t>
      </w:r>
      <w:r w:rsidRPr="00AD7A06">
        <w:rPr>
          <w:rFonts w:cs="Times New Roman"/>
          <w:szCs w:val="24"/>
          <w:vertAlign w:val="superscript"/>
        </w:rPr>
        <w:t>9</w:t>
      </w:r>
      <w:r w:rsidRPr="008D039A">
        <w:rPr>
          <w:rFonts w:cs="Times New Roman"/>
          <w:szCs w:val="24"/>
        </w:rPr>
        <w:t xml:space="preserve"> puudutavad kõik </w:t>
      </w:r>
      <w:r>
        <w:rPr>
          <w:rFonts w:cs="Times New Roman"/>
          <w:szCs w:val="24"/>
        </w:rPr>
        <w:t>e</w:t>
      </w:r>
      <w:r w:rsidRPr="008D039A">
        <w:rPr>
          <w:rFonts w:cs="Times New Roman"/>
          <w:szCs w:val="24"/>
        </w:rPr>
        <w:t>nergia hulgimüügituru tingimuste rikkumiste eest karistusi</w:t>
      </w:r>
      <w:r>
        <w:rPr>
          <w:rFonts w:cs="Times New Roman"/>
          <w:szCs w:val="24"/>
        </w:rPr>
        <w:t xml:space="preserve"> ning kirjutatakse nende §-ide alt </w:t>
      </w:r>
      <w:r w:rsidRPr="008D039A">
        <w:rPr>
          <w:rFonts w:cs="Times New Roman"/>
          <w:szCs w:val="24"/>
        </w:rPr>
        <w:t>täpsemalt lahti.</w:t>
      </w:r>
    </w:p>
    <w:p w14:paraId="4C83D68D" w14:textId="77777777" w:rsidR="006B1555" w:rsidRDefault="006B1555" w:rsidP="006B1555">
      <w:pPr>
        <w:rPr>
          <w:rFonts w:cs="Times New Roman"/>
          <w:szCs w:val="24"/>
        </w:rPr>
      </w:pPr>
    </w:p>
    <w:p w14:paraId="78CAC798" w14:textId="77777777" w:rsidR="006B1555" w:rsidRPr="008F0A00" w:rsidRDefault="006B1555" w:rsidP="006B1555">
      <w:pPr>
        <w:rPr>
          <w:rFonts w:cs="Times New Roman"/>
          <w:szCs w:val="24"/>
        </w:rPr>
      </w:pPr>
      <w:r>
        <w:rPr>
          <w:rFonts w:cs="Times New Roman"/>
          <w:szCs w:val="24"/>
        </w:rPr>
        <w:t>Konkurentsiamet on seni ELTS § 101</w:t>
      </w:r>
      <w:r w:rsidRPr="00203074">
        <w:rPr>
          <w:rFonts w:cs="Times New Roman"/>
          <w:szCs w:val="24"/>
          <w:vertAlign w:val="superscript"/>
        </w:rPr>
        <w:t>4</w:t>
      </w:r>
      <w:r>
        <w:rPr>
          <w:rFonts w:cs="Times New Roman"/>
          <w:szCs w:val="24"/>
        </w:rPr>
        <w:t xml:space="preserve"> rikkumise kohta viinud läbi menetluse ja määranud rahatrahvi ühel korral – </w:t>
      </w:r>
      <w:r>
        <w:rPr>
          <w:szCs w:val="24"/>
        </w:rPr>
        <w:t>2015. aastal. A</w:t>
      </w:r>
      <w:r w:rsidRPr="00A25B95">
        <w:rPr>
          <w:szCs w:val="24"/>
        </w:rPr>
        <w:t xml:space="preserve">met määras 04.11.2015 Elering AS-ile 2014. aasta juunis toime pandud </w:t>
      </w:r>
      <w:r>
        <w:rPr>
          <w:szCs w:val="24"/>
        </w:rPr>
        <w:t>REMIT määruse</w:t>
      </w:r>
      <w:r w:rsidRPr="00A25B95">
        <w:rPr>
          <w:szCs w:val="24"/>
        </w:rPr>
        <w:t xml:space="preserve"> rikkumise eest </w:t>
      </w:r>
      <w:r>
        <w:rPr>
          <w:szCs w:val="24"/>
        </w:rPr>
        <w:t>ELTS-i</w:t>
      </w:r>
      <w:r w:rsidRPr="00A25B95">
        <w:rPr>
          <w:szCs w:val="24"/>
        </w:rPr>
        <w:t xml:space="preserve"> alusel rahatrahvi 10 000 eurot. Elering AS teostas 2014. aasta juulis Eesti ja Soome vahelise Estlink2 elektriühenduse hooldus- ja süvistustöid, mis põhjustasid nimetatud ühenduse katkestuse. Elering AS ei avalikustanud hooldustööde osas õigeaegselt siseteavet, rikkudes sellega REMIT</w:t>
      </w:r>
      <w:r>
        <w:rPr>
          <w:szCs w:val="24"/>
        </w:rPr>
        <w:t xml:space="preserve"> määruse</w:t>
      </w:r>
      <w:r w:rsidRPr="00A25B95">
        <w:rPr>
          <w:szCs w:val="24"/>
        </w:rPr>
        <w:t xml:space="preserve"> sätestatud siseteabe avalikustamise kohustust.</w:t>
      </w:r>
      <w:r>
        <w:rPr>
          <w:rStyle w:val="Allmrkuseviide"/>
        </w:rPr>
        <w:footnoteReference w:id="33"/>
      </w:r>
    </w:p>
    <w:p w14:paraId="16581366" w14:textId="77777777" w:rsidR="006B1555" w:rsidRDefault="006B1555" w:rsidP="006B1555">
      <w:pPr>
        <w:rPr>
          <w:b/>
          <w:bCs/>
          <w:szCs w:val="24"/>
        </w:rPr>
      </w:pPr>
    </w:p>
    <w:p w14:paraId="4BECE939" w14:textId="77777777" w:rsidR="006B1555" w:rsidRDefault="006B1555" w:rsidP="006B1555">
      <w:pPr>
        <w:rPr>
          <w:szCs w:val="24"/>
        </w:rPr>
      </w:pPr>
      <w:r>
        <w:rPr>
          <w:b/>
          <w:bCs/>
          <w:szCs w:val="24"/>
        </w:rPr>
        <w:t>ELTS § 101</w:t>
      </w:r>
      <w:r w:rsidRPr="00B71939">
        <w:rPr>
          <w:b/>
          <w:bCs/>
          <w:szCs w:val="24"/>
          <w:vertAlign w:val="superscript"/>
        </w:rPr>
        <w:t>6</w:t>
      </w:r>
      <w:r>
        <w:rPr>
          <w:szCs w:val="24"/>
        </w:rPr>
        <w:t xml:space="preserve"> </w:t>
      </w:r>
    </w:p>
    <w:p w14:paraId="5ABC203F" w14:textId="77777777" w:rsidR="006B1555" w:rsidRDefault="006B1555" w:rsidP="006B1555">
      <w:pPr>
        <w:rPr>
          <w:rFonts w:cs="Times New Roman"/>
          <w:szCs w:val="24"/>
        </w:rPr>
      </w:pPr>
      <w:r>
        <w:rPr>
          <w:szCs w:val="24"/>
        </w:rPr>
        <w:t xml:space="preserve">Seadust täiendatakse </w:t>
      </w:r>
      <w:r>
        <w:rPr>
          <w:rFonts w:cs="Times New Roman"/>
          <w:szCs w:val="24"/>
        </w:rPr>
        <w:t>§-ga 101</w:t>
      </w:r>
      <w:r>
        <w:rPr>
          <w:rFonts w:cs="Times New Roman"/>
          <w:szCs w:val="24"/>
          <w:vertAlign w:val="superscript"/>
        </w:rPr>
        <w:t>6</w:t>
      </w:r>
      <w:r>
        <w:rPr>
          <w:rFonts w:cs="Times New Roman"/>
          <w:szCs w:val="24"/>
        </w:rPr>
        <w:t>. Nimetatud sätte lisamine seadusesse on vajalik REMIT määruse artiklis 18 sätestatud trahvimäärade rakendamiseks.</w:t>
      </w:r>
    </w:p>
    <w:p w14:paraId="7E2E0A58" w14:textId="77777777" w:rsidR="006B1555" w:rsidRDefault="006B1555" w:rsidP="006B1555">
      <w:pPr>
        <w:rPr>
          <w:b/>
          <w:bCs/>
          <w:szCs w:val="24"/>
        </w:rPr>
      </w:pPr>
    </w:p>
    <w:p w14:paraId="474FBCAB" w14:textId="77777777" w:rsidR="006B1555" w:rsidRDefault="006B1555" w:rsidP="006B1555">
      <w:pPr>
        <w:rPr>
          <w:szCs w:val="24"/>
        </w:rPr>
      </w:pPr>
      <w:r w:rsidRPr="00B71939">
        <w:rPr>
          <w:szCs w:val="24"/>
        </w:rPr>
        <w:t>Seaduse § 101</w:t>
      </w:r>
      <w:r w:rsidRPr="00B71939">
        <w:rPr>
          <w:szCs w:val="24"/>
          <w:vertAlign w:val="superscript"/>
        </w:rPr>
        <w:t>6</w:t>
      </w:r>
      <w:r>
        <w:rPr>
          <w:szCs w:val="24"/>
        </w:rPr>
        <w:t xml:space="preserve"> alusel kehtestatakse trahvid</w:t>
      </w:r>
      <w:r w:rsidRPr="00500E39">
        <w:rPr>
          <w:szCs w:val="24"/>
        </w:rPr>
        <w:t xml:space="preserve"> </w:t>
      </w:r>
      <w:r>
        <w:rPr>
          <w:szCs w:val="24"/>
        </w:rPr>
        <w:t>s</w:t>
      </w:r>
      <w:r w:rsidRPr="00500E39">
        <w:rPr>
          <w:szCs w:val="24"/>
        </w:rPr>
        <w:t>is</w:t>
      </w:r>
      <w:r>
        <w:rPr>
          <w:szCs w:val="24"/>
        </w:rPr>
        <w:t>e</w:t>
      </w:r>
      <w:r w:rsidRPr="00500E39">
        <w:rPr>
          <w:szCs w:val="24"/>
        </w:rPr>
        <w:t>teabel põhineva kauplemise keelu rikkumi</w:t>
      </w:r>
      <w:r>
        <w:rPr>
          <w:szCs w:val="24"/>
        </w:rPr>
        <w:t>se eest. Siseteave on täpset laadi avalikustamata teave, mis on otse või kaudselt seotud ühe või mitme energia hulgimüügitootega ning millel võib avaldamise korral olla tõenäoliselt märkimisväärne mõju kõnealuste energia hulgimüügitoodete hinnale.</w:t>
      </w:r>
      <w:r>
        <w:rPr>
          <w:rStyle w:val="Allmrkuseviide"/>
        </w:rPr>
        <w:footnoteReference w:id="34"/>
      </w:r>
      <w:r>
        <w:rPr>
          <w:szCs w:val="24"/>
        </w:rPr>
        <w:t xml:space="preserve"> Siseteabega on tegemist, kui kõik neli eeltoodud kumulatiivset tingimust on täidetud.</w:t>
      </w:r>
    </w:p>
    <w:p w14:paraId="5905B8C6" w14:textId="77777777" w:rsidR="006B1555" w:rsidRDefault="006B1555" w:rsidP="006B1555">
      <w:pPr>
        <w:rPr>
          <w:szCs w:val="24"/>
        </w:rPr>
      </w:pPr>
    </w:p>
    <w:p w14:paraId="4B8E56CD" w14:textId="77777777" w:rsidR="006B1555" w:rsidRDefault="006B1555" w:rsidP="006B1555">
      <w:pPr>
        <w:rPr>
          <w:szCs w:val="24"/>
        </w:rPr>
      </w:pPr>
      <w:r>
        <w:rPr>
          <w:szCs w:val="24"/>
        </w:rPr>
        <w:t>S</w:t>
      </w:r>
      <w:r w:rsidRPr="00530FB5">
        <w:rPr>
          <w:szCs w:val="24"/>
        </w:rPr>
        <w:t>iseteavet valdavatel isikutel on keelatud:</w:t>
      </w:r>
    </w:p>
    <w:p w14:paraId="2EA4CC44" w14:textId="77777777" w:rsidR="006B1555" w:rsidRPr="00530FB5" w:rsidRDefault="006B1555" w:rsidP="006B1555">
      <w:pPr>
        <w:rPr>
          <w:szCs w:val="24"/>
        </w:rPr>
      </w:pPr>
      <w:r w:rsidRPr="00530FB5">
        <w:rPr>
          <w:szCs w:val="24"/>
        </w:rPr>
        <w:t>a) kasutada kõnealust teavet selleks, et enda või kolmanda isiku arvel otse või kaudselt</w:t>
      </w:r>
      <w:r>
        <w:rPr>
          <w:rStyle w:val="Allmrkuseviide"/>
        </w:rPr>
        <w:footnoteReference w:id="35"/>
      </w:r>
      <w:r w:rsidRPr="00530FB5">
        <w:rPr>
          <w:szCs w:val="24"/>
        </w:rPr>
        <w:t xml:space="preserve"> omandada või loovutada või püüda omandada või</w:t>
      </w:r>
      <w:r>
        <w:rPr>
          <w:szCs w:val="24"/>
        </w:rPr>
        <w:t xml:space="preserve"> </w:t>
      </w:r>
      <w:r w:rsidRPr="00530FB5">
        <w:rPr>
          <w:szCs w:val="24"/>
        </w:rPr>
        <w:t>loovutada sellise teabega seotud energia hulgimüügitooteid;</w:t>
      </w:r>
    </w:p>
    <w:p w14:paraId="033D25B9" w14:textId="77777777" w:rsidR="006B1555" w:rsidRPr="00530FB5" w:rsidRDefault="006B1555" w:rsidP="006B1555">
      <w:pPr>
        <w:rPr>
          <w:szCs w:val="24"/>
        </w:rPr>
      </w:pPr>
      <w:r w:rsidRPr="00530FB5">
        <w:rPr>
          <w:szCs w:val="24"/>
        </w:rPr>
        <w:t>b) avalikustada siseteavet teistele isikutele, välja arvatud juhul, kui seda tehakse asjaomase isiku töö, ametikoha või ülesannetega seotud tavapärase tegevuse käigus;</w:t>
      </w:r>
    </w:p>
    <w:p w14:paraId="5BDCD597" w14:textId="77777777" w:rsidR="006B1555" w:rsidRDefault="006B1555" w:rsidP="006B1555">
      <w:pPr>
        <w:rPr>
          <w:szCs w:val="24"/>
        </w:rPr>
      </w:pPr>
      <w:r w:rsidRPr="00530FB5">
        <w:rPr>
          <w:szCs w:val="24"/>
        </w:rPr>
        <w:t>c) anda siseteabe põhjal teistele isikutele soovitusi või mõjutada neid, et</w:t>
      </w:r>
      <w:r>
        <w:rPr>
          <w:szCs w:val="24"/>
        </w:rPr>
        <w:t xml:space="preserve"> </w:t>
      </w:r>
      <w:r w:rsidRPr="00530FB5">
        <w:rPr>
          <w:szCs w:val="24"/>
        </w:rPr>
        <w:t>nad ostaksid või omandaksid selliseid energia hulgimüügitooteid, millega kõnealune teave on seotud.</w:t>
      </w:r>
    </w:p>
    <w:p w14:paraId="41FAE237" w14:textId="77777777" w:rsidR="006B1555" w:rsidRDefault="006B1555" w:rsidP="006B1555">
      <w:pPr>
        <w:rPr>
          <w:szCs w:val="24"/>
        </w:rPr>
      </w:pPr>
      <w:r w:rsidRPr="00530FB5">
        <w:rPr>
          <w:szCs w:val="24"/>
        </w:rPr>
        <w:t>Siseteabel põhinevaks kauplemiseks peetakse ka siseteabe kasutamist</w:t>
      </w:r>
      <w:r>
        <w:rPr>
          <w:szCs w:val="24"/>
        </w:rPr>
        <w:t xml:space="preserve"> </w:t>
      </w:r>
      <w:r w:rsidRPr="00530FB5">
        <w:rPr>
          <w:szCs w:val="24"/>
        </w:rPr>
        <w:t>selle teabega seotud energia hulgimüügitoote kohta antud korralduse tühistamiseks või muutmiseks, või muuks kauplemisega seotud toiminguks, kui korraldus anti enne, kui asjaomane isik sai siseteabe oma valdusse</w:t>
      </w:r>
      <w:r>
        <w:rPr>
          <w:szCs w:val="24"/>
        </w:rPr>
        <w:t>.</w:t>
      </w:r>
    </w:p>
    <w:p w14:paraId="50C53916" w14:textId="77777777" w:rsidR="006B1555" w:rsidRDefault="006B1555" w:rsidP="006B1555">
      <w:pPr>
        <w:rPr>
          <w:szCs w:val="24"/>
        </w:rPr>
      </w:pPr>
    </w:p>
    <w:p w14:paraId="392BEA6B" w14:textId="77777777" w:rsidR="006B1555" w:rsidRDefault="006B1555" w:rsidP="006B1555">
      <w:pPr>
        <w:rPr>
          <w:szCs w:val="24"/>
        </w:rPr>
      </w:pPr>
      <w:r>
        <w:rPr>
          <w:szCs w:val="24"/>
        </w:rPr>
        <w:t>Võimalikud märgid siseteabel põhineva kauplemise kohta on järgmised:</w:t>
      </w:r>
    </w:p>
    <w:p w14:paraId="64CCD426" w14:textId="77777777" w:rsidR="006B1555" w:rsidRDefault="006B1555" w:rsidP="006B1555">
      <w:pPr>
        <w:rPr>
          <w:szCs w:val="24"/>
        </w:rPr>
      </w:pPr>
      <w:r>
        <w:rPr>
          <w:szCs w:val="24"/>
        </w:rPr>
        <w:t>a) h</w:t>
      </w:r>
      <w:r w:rsidRPr="00DD4D24">
        <w:rPr>
          <w:szCs w:val="24"/>
        </w:rPr>
        <w:t>ulgimüügitoote(te) kauplemismahtude olulised ja/või ootamatud muutused enne siseteabeks kvalifitseeruva asjaolu avaldamist või ilmnemist</w:t>
      </w:r>
      <w:r>
        <w:rPr>
          <w:szCs w:val="24"/>
        </w:rPr>
        <w:t>;</w:t>
      </w:r>
    </w:p>
    <w:p w14:paraId="20F3A85F" w14:textId="77777777" w:rsidR="006B1555" w:rsidRDefault="006B1555" w:rsidP="006B1555">
      <w:pPr>
        <w:rPr>
          <w:szCs w:val="24"/>
        </w:rPr>
      </w:pPr>
      <w:r>
        <w:rPr>
          <w:szCs w:val="24"/>
        </w:rPr>
        <w:t>b) hulgimüügitoote(te) hindade olulised ja/või ootamatud muutused enne siseteabeks kvalifitseeruva asjaolu avaldamist või ilmnemist;</w:t>
      </w:r>
    </w:p>
    <w:p w14:paraId="3E8F13F0" w14:textId="77777777" w:rsidR="006B1555" w:rsidRDefault="006B1555" w:rsidP="006B1555">
      <w:pPr>
        <w:rPr>
          <w:szCs w:val="24"/>
        </w:rPr>
      </w:pPr>
      <w:r>
        <w:rPr>
          <w:szCs w:val="24"/>
        </w:rPr>
        <w:t>c) hulgimüügitoote(te) turuosalise kauplemiskäitumise muutused enne siseteabeks kvalifitseeruva asjaolu avaldamist või ilmnemist;</w:t>
      </w:r>
    </w:p>
    <w:p w14:paraId="11FCA659" w14:textId="77777777" w:rsidR="006B1555" w:rsidRDefault="006B1555" w:rsidP="006B1555">
      <w:pPr>
        <w:rPr>
          <w:szCs w:val="24"/>
        </w:rPr>
      </w:pPr>
      <w:r>
        <w:rPr>
          <w:szCs w:val="24"/>
        </w:rPr>
        <w:t>d) t</w:t>
      </w:r>
      <w:r w:rsidRPr="003D1605">
        <w:rPr>
          <w:szCs w:val="24"/>
        </w:rPr>
        <w:t>uruosalise (potentsiaalne) kasumi suurenemine või muutus, mis tuleneb tema positsiooni muutumisest konkreetsete hulgimüügi energiatoodete ja/või finantsinstrumendi suhtes enne siseteabeks kvalifitseeruva asjaolu avaldamist või ilmnemist</w:t>
      </w:r>
      <w:r>
        <w:rPr>
          <w:szCs w:val="24"/>
        </w:rPr>
        <w:t>;</w:t>
      </w:r>
    </w:p>
    <w:p w14:paraId="248654BD" w14:textId="77777777" w:rsidR="006B1555" w:rsidRDefault="006B1555" w:rsidP="006B1555">
      <w:pPr>
        <w:rPr>
          <w:szCs w:val="24"/>
        </w:rPr>
      </w:pPr>
      <w:r>
        <w:rPr>
          <w:szCs w:val="24"/>
        </w:rPr>
        <w:t>e) s</w:t>
      </w:r>
      <w:r w:rsidRPr="00E300B1">
        <w:rPr>
          <w:szCs w:val="24"/>
        </w:rPr>
        <w:t>iseteabega seotud muude REMIT</w:t>
      </w:r>
      <w:r>
        <w:rPr>
          <w:szCs w:val="24"/>
        </w:rPr>
        <w:t xml:space="preserve"> määruse </w:t>
      </w:r>
      <w:r w:rsidRPr="00E300B1">
        <w:rPr>
          <w:szCs w:val="24"/>
        </w:rPr>
        <w:t>kohustuste mittetäitmine viitab samuti siseringitehingute võimalikkusele.</w:t>
      </w:r>
    </w:p>
    <w:p w14:paraId="506D972C" w14:textId="77777777" w:rsidR="006B1555" w:rsidRDefault="006B1555" w:rsidP="006B1555">
      <w:pPr>
        <w:rPr>
          <w:szCs w:val="24"/>
        </w:rPr>
      </w:pPr>
      <w:r>
        <w:rPr>
          <w:szCs w:val="24"/>
        </w:rPr>
        <w:t>Konkurentsiameti ülesanne on elektri hulgiturul avastada ja tõkestada siseteabel põhinevat kauplemist.</w:t>
      </w:r>
    </w:p>
    <w:p w14:paraId="174D5BE3" w14:textId="77777777" w:rsidR="006B1555" w:rsidRDefault="006B1555" w:rsidP="006B1555">
      <w:pPr>
        <w:rPr>
          <w:szCs w:val="24"/>
        </w:rPr>
      </w:pPr>
    </w:p>
    <w:p w14:paraId="0DCAD255" w14:textId="77777777" w:rsidR="006B1555" w:rsidRDefault="006B1555" w:rsidP="006B1555">
      <w:pPr>
        <w:rPr>
          <w:szCs w:val="24"/>
        </w:rPr>
      </w:pPr>
      <w:r>
        <w:rPr>
          <w:b/>
          <w:bCs/>
          <w:szCs w:val="24"/>
        </w:rPr>
        <w:t>ELTS § 101</w:t>
      </w:r>
      <w:r>
        <w:rPr>
          <w:b/>
          <w:bCs/>
          <w:szCs w:val="24"/>
          <w:vertAlign w:val="superscript"/>
        </w:rPr>
        <w:t>7</w:t>
      </w:r>
      <w:r>
        <w:rPr>
          <w:szCs w:val="24"/>
        </w:rPr>
        <w:t xml:space="preserve"> </w:t>
      </w:r>
    </w:p>
    <w:p w14:paraId="38F3C991" w14:textId="77777777" w:rsidR="006B1555" w:rsidRDefault="006B1555" w:rsidP="006B1555">
      <w:pPr>
        <w:rPr>
          <w:szCs w:val="24"/>
        </w:rPr>
      </w:pPr>
      <w:r>
        <w:rPr>
          <w:szCs w:val="24"/>
        </w:rPr>
        <w:t xml:space="preserve">Seadust täiendatakse </w:t>
      </w:r>
      <w:r>
        <w:rPr>
          <w:rFonts w:cs="Times New Roman"/>
          <w:szCs w:val="24"/>
        </w:rPr>
        <w:t>§-ga 101</w:t>
      </w:r>
      <w:r>
        <w:rPr>
          <w:rFonts w:cs="Times New Roman"/>
          <w:szCs w:val="24"/>
          <w:vertAlign w:val="superscript"/>
        </w:rPr>
        <w:t>7</w:t>
      </w:r>
      <w:r>
        <w:rPr>
          <w:rFonts w:cs="Times New Roman"/>
          <w:szCs w:val="24"/>
        </w:rPr>
        <w:t>. Nimetatud sätte lisamine seadusesse on vajalik REMIT määruse artiklis 18 sätestatud trahvimäärade rakendamiseks.</w:t>
      </w:r>
      <w:r>
        <w:rPr>
          <w:szCs w:val="24"/>
        </w:rPr>
        <w:t xml:space="preserve"> </w:t>
      </w:r>
      <w:r w:rsidRPr="00B71939">
        <w:rPr>
          <w:szCs w:val="24"/>
        </w:rPr>
        <w:t>Seaduse § 101</w:t>
      </w:r>
      <w:r w:rsidRPr="00B71939">
        <w:rPr>
          <w:szCs w:val="24"/>
          <w:vertAlign w:val="superscript"/>
        </w:rPr>
        <w:t>7</w:t>
      </w:r>
      <w:r>
        <w:rPr>
          <w:szCs w:val="24"/>
        </w:rPr>
        <w:t xml:space="preserve"> alusel kehtestatakse trahvid </w:t>
      </w:r>
      <w:r w:rsidRPr="00380D83">
        <w:rPr>
          <w:szCs w:val="24"/>
        </w:rPr>
        <w:t>siseteabe avaldamise kohustuse rikkumise eest</w:t>
      </w:r>
      <w:r>
        <w:rPr>
          <w:szCs w:val="24"/>
        </w:rPr>
        <w:t>.</w:t>
      </w:r>
    </w:p>
    <w:p w14:paraId="7B888C79" w14:textId="77777777" w:rsidR="006B1555" w:rsidRDefault="006B1555" w:rsidP="006B1555">
      <w:pPr>
        <w:rPr>
          <w:szCs w:val="24"/>
        </w:rPr>
      </w:pPr>
      <w:r w:rsidRPr="00B91EB1">
        <w:rPr>
          <w:szCs w:val="24"/>
        </w:rPr>
        <w:lastRenderedPageBreak/>
        <w:t>Turuosalised avalikustavad tulemuslikult ja õigeaegselt nende</w:t>
      </w:r>
      <w:r>
        <w:rPr>
          <w:szCs w:val="24"/>
        </w:rPr>
        <w:t xml:space="preserve"> </w:t>
      </w:r>
      <w:r w:rsidRPr="00B91EB1">
        <w:rPr>
          <w:szCs w:val="24"/>
        </w:rPr>
        <w:t>valduses oleva siseteabe, mis käsitleb äritegevust või rajatisi, mida asjaomane turuosaline, tema ema- või sidusettevõtja kas osaliselt või täielikult omab või kontrollib või mille operatiivtegevuse eest kõnealune turuosaline või ettevõtja kas osaliselt või täielikult vastutab.</w:t>
      </w:r>
      <w:r>
        <w:rPr>
          <w:szCs w:val="24"/>
        </w:rPr>
        <w:t xml:space="preserve"> Konkurentsiameti ülesanne on elektri hulgiturul avastada ja tõkestada siseteabe avaldamise kohustuse rikkumist.</w:t>
      </w:r>
    </w:p>
    <w:p w14:paraId="40820521" w14:textId="77777777" w:rsidR="006B1555" w:rsidRDefault="006B1555" w:rsidP="006B1555">
      <w:pPr>
        <w:rPr>
          <w:szCs w:val="24"/>
        </w:rPr>
      </w:pPr>
    </w:p>
    <w:p w14:paraId="570B908A" w14:textId="77777777" w:rsidR="006B1555" w:rsidRDefault="006B1555" w:rsidP="006B1555">
      <w:pPr>
        <w:rPr>
          <w:szCs w:val="24"/>
        </w:rPr>
      </w:pPr>
      <w:r>
        <w:rPr>
          <w:b/>
          <w:bCs/>
          <w:szCs w:val="24"/>
        </w:rPr>
        <w:t>ELTS § 101</w:t>
      </w:r>
      <w:r>
        <w:rPr>
          <w:b/>
          <w:bCs/>
          <w:szCs w:val="24"/>
          <w:vertAlign w:val="superscript"/>
        </w:rPr>
        <w:t>8</w:t>
      </w:r>
      <w:r>
        <w:rPr>
          <w:szCs w:val="24"/>
        </w:rPr>
        <w:t xml:space="preserve"> </w:t>
      </w:r>
    </w:p>
    <w:p w14:paraId="71B4D7E5" w14:textId="77777777" w:rsidR="006B1555" w:rsidRDefault="006B1555" w:rsidP="006B1555">
      <w:pPr>
        <w:rPr>
          <w:rFonts w:cs="Times New Roman"/>
          <w:szCs w:val="24"/>
        </w:rPr>
      </w:pPr>
      <w:r>
        <w:rPr>
          <w:szCs w:val="24"/>
        </w:rPr>
        <w:t xml:space="preserve">Seadust täiendatakse </w:t>
      </w:r>
      <w:r>
        <w:rPr>
          <w:rFonts w:cs="Times New Roman"/>
          <w:szCs w:val="24"/>
        </w:rPr>
        <w:t>§-ga 101</w:t>
      </w:r>
      <w:r>
        <w:rPr>
          <w:rFonts w:cs="Times New Roman"/>
          <w:szCs w:val="24"/>
          <w:vertAlign w:val="superscript"/>
        </w:rPr>
        <w:t>8</w:t>
      </w:r>
      <w:r>
        <w:rPr>
          <w:rFonts w:cs="Times New Roman"/>
          <w:szCs w:val="24"/>
        </w:rPr>
        <w:t>. Nimetatud sätte lisamine seadusesse on vajalik REMIT määruse artiklis 18 sätestatud trahvimäärade rakendamiseks.</w:t>
      </w:r>
    </w:p>
    <w:p w14:paraId="41CB5D42" w14:textId="77777777" w:rsidR="006B1555" w:rsidRDefault="006B1555" w:rsidP="006B1555">
      <w:pPr>
        <w:rPr>
          <w:szCs w:val="24"/>
        </w:rPr>
      </w:pPr>
    </w:p>
    <w:p w14:paraId="31C58A90" w14:textId="77777777" w:rsidR="006B1555" w:rsidRDefault="006B1555" w:rsidP="006B1555">
      <w:pPr>
        <w:rPr>
          <w:szCs w:val="24"/>
        </w:rPr>
      </w:pPr>
      <w:r w:rsidRPr="00B71939">
        <w:rPr>
          <w:szCs w:val="24"/>
        </w:rPr>
        <w:t>Seaduse § 101</w:t>
      </w:r>
      <w:r w:rsidRPr="00B71939">
        <w:rPr>
          <w:szCs w:val="24"/>
          <w:vertAlign w:val="superscript"/>
        </w:rPr>
        <w:t>8</w:t>
      </w:r>
      <w:r>
        <w:rPr>
          <w:szCs w:val="24"/>
        </w:rPr>
        <w:t xml:space="preserve"> alusel kehtestatakse trahvid </w:t>
      </w:r>
      <w:r w:rsidRPr="00F632CB">
        <w:rPr>
          <w:szCs w:val="24"/>
        </w:rPr>
        <w:t>elektri hulgimüügiturul manipuleerimise eest</w:t>
      </w:r>
      <w:r>
        <w:rPr>
          <w:szCs w:val="24"/>
        </w:rPr>
        <w:t>.</w:t>
      </w:r>
    </w:p>
    <w:p w14:paraId="02618B23" w14:textId="77777777" w:rsidR="006B1555" w:rsidRDefault="006B1555" w:rsidP="006B1555">
      <w:pPr>
        <w:rPr>
          <w:szCs w:val="24"/>
        </w:rPr>
      </w:pPr>
    </w:p>
    <w:p w14:paraId="73236280" w14:textId="77777777" w:rsidR="006B1555" w:rsidRDefault="006B1555" w:rsidP="006B1555">
      <w:pPr>
        <w:rPr>
          <w:rFonts w:cs="Times New Roman"/>
          <w:szCs w:val="24"/>
        </w:rPr>
      </w:pPr>
      <w:r>
        <w:rPr>
          <w:szCs w:val="24"/>
        </w:rPr>
        <w:t>Elektri hulgiturul</w:t>
      </w:r>
      <w:r w:rsidRPr="00F42A71">
        <w:rPr>
          <w:szCs w:val="24"/>
        </w:rPr>
        <w:t xml:space="preserve"> keelatakse turuga manipuleerimine või turuga manipuleerimise katsed.</w:t>
      </w:r>
      <w:r>
        <w:rPr>
          <w:szCs w:val="24"/>
        </w:rPr>
        <w:t xml:space="preserve"> Konkurentsiameti ülesanne on elektri hulgiturul avastada ja tõkestada turuga manipuleerimine </w:t>
      </w:r>
      <w:r w:rsidRPr="000533D3">
        <w:rPr>
          <w:rFonts w:cs="Times New Roman"/>
          <w:szCs w:val="24"/>
        </w:rPr>
        <w:t>või turuga manipuleerimise katsed.</w:t>
      </w:r>
    </w:p>
    <w:p w14:paraId="2F86CFD3" w14:textId="77777777" w:rsidR="006B1555" w:rsidRPr="000533D3" w:rsidRDefault="006B1555" w:rsidP="006B1555">
      <w:pPr>
        <w:rPr>
          <w:rFonts w:cs="Times New Roman"/>
          <w:szCs w:val="24"/>
        </w:rPr>
      </w:pPr>
    </w:p>
    <w:p w14:paraId="61DF9DDA" w14:textId="77777777" w:rsidR="006B1555" w:rsidRDefault="006B1555" w:rsidP="006B1555">
      <w:pPr>
        <w:rPr>
          <w:rFonts w:cs="Times New Roman"/>
          <w:szCs w:val="24"/>
        </w:rPr>
      </w:pPr>
      <w:r w:rsidRPr="510A726D">
        <w:rPr>
          <w:rFonts w:cs="Times New Roman"/>
          <w:szCs w:val="24"/>
        </w:rPr>
        <w:t>Turuga manipuleerimise alla kuuluvad järgmised tegevused:</w:t>
      </w:r>
    </w:p>
    <w:p w14:paraId="5AB7A9FB" w14:textId="77777777" w:rsidR="006B1555" w:rsidRDefault="006B1555" w:rsidP="006B1555">
      <w:pPr>
        <w:rPr>
          <w:rFonts w:cs="Times New Roman"/>
          <w:szCs w:val="24"/>
        </w:rPr>
      </w:pPr>
      <w:r w:rsidRPr="00721434">
        <w:rPr>
          <w:rFonts w:cs="Times New Roman"/>
          <w:szCs w:val="24"/>
        </w:rPr>
        <w:t>a) tehingu sõlmimine või kauplemiskorralduse andmine, muutmine või tühistamine või mis tahes muu energia hulgimüügitoodetega seotud tegevus,</w:t>
      </w:r>
    </w:p>
    <w:p w14:paraId="5300F0B4" w14:textId="77777777" w:rsidR="006B1555" w:rsidRDefault="006B1555" w:rsidP="006B1555">
      <w:pPr>
        <w:ind w:left="708"/>
        <w:rPr>
          <w:rFonts w:cs="Times New Roman"/>
          <w:szCs w:val="24"/>
        </w:rPr>
      </w:pPr>
      <w:r w:rsidRPr="00721434">
        <w:rPr>
          <w:rFonts w:cs="Times New Roman"/>
          <w:szCs w:val="24"/>
        </w:rPr>
        <w:t>i) mis annab või tõenäoliselt annab valesid või eksitavaid teateid energia hulgimüügitoodete pakkumise, nõudluse või hinna kohta;</w:t>
      </w:r>
    </w:p>
    <w:p w14:paraId="661F0028" w14:textId="77777777" w:rsidR="006B1555" w:rsidRDefault="006B1555" w:rsidP="006B1555">
      <w:pPr>
        <w:ind w:left="708"/>
        <w:rPr>
          <w:rFonts w:cs="Times New Roman"/>
          <w:szCs w:val="24"/>
        </w:rPr>
      </w:pPr>
      <w:r w:rsidRPr="00721434">
        <w:rPr>
          <w:rFonts w:cs="Times New Roman"/>
          <w:szCs w:val="24"/>
        </w:rPr>
        <w:t>ii) millega üks isik või mitu koostööd tegevat isikut kindlustavad või tõenäoliselt kindlustavad ühe või mitme energia hulgimüügitoote hinna kunstlikul tasemel hoidmise, välja arvatud juhul, kui tehingu sõlminud või kauplemiskorralduse andnud isik tõendab, et tema tegevusel on õiguspärased põhjused ning selline tehing või kauplemiskorraldus on kooskõlas asjaomasel energia hulgimüügiturul tunnustatud tavadega, või</w:t>
      </w:r>
    </w:p>
    <w:p w14:paraId="4E55E568" w14:textId="77777777" w:rsidR="006B1555" w:rsidRDefault="006B1555" w:rsidP="006B1555">
      <w:pPr>
        <w:ind w:left="708"/>
        <w:rPr>
          <w:rFonts w:cs="Times New Roman"/>
          <w:szCs w:val="24"/>
        </w:rPr>
      </w:pPr>
      <w:r w:rsidRPr="00721434">
        <w:rPr>
          <w:rFonts w:cs="Times New Roman"/>
          <w:szCs w:val="24"/>
        </w:rPr>
        <w:t>iii) mille puhul kasutatakse fiktiivseid vahendeid või muud liiki pettust või võtteid, millega antakse või tõenäoliselt antakse valesid või eksitavaid teateid energia hulgimüügitoodete pakkumise, nõudluse või hinna kohta</w:t>
      </w:r>
      <w:r>
        <w:rPr>
          <w:rFonts w:cs="Times New Roman"/>
          <w:szCs w:val="24"/>
        </w:rPr>
        <w:t>.</w:t>
      </w:r>
    </w:p>
    <w:p w14:paraId="504EAFAE" w14:textId="77777777" w:rsidR="006B1555" w:rsidRDefault="006B1555" w:rsidP="006B1555">
      <w:pPr>
        <w:rPr>
          <w:rFonts w:cs="Times New Roman"/>
          <w:szCs w:val="24"/>
        </w:rPr>
      </w:pPr>
      <w:r w:rsidRPr="00721434">
        <w:rPr>
          <w:rFonts w:cs="Times New Roman"/>
          <w:szCs w:val="24"/>
        </w:rPr>
        <w:t>b) teabe levitamine meedia, sealhulgas interneti kaudu või muul viisil, mis annab või tõenäoliselt annab energia hulgimüügitoodete pakkumise, nõudluse või hinna kohta valesid või eksitavaid teateid, kaasa arvatud kuulduste või valede või eksitavate uudiste levitamine, kui teavet levitanud isik teadis või oleks pidanud teadma, et teave on vale või eksitav.</w:t>
      </w:r>
      <w:r>
        <w:rPr>
          <w:rFonts w:cs="Times New Roman"/>
          <w:szCs w:val="24"/>
        </w:rPr>
        <w:t xml:space="preserve"> </w:t>
      </w:r>
      <w:r w:rsidRPr="00721434">
        <w:rPr>
          <w:rFonts w:cs="Times New Roman"/>
          <w:szCs w:val="24"/>
        </w:rPr>
        <w:t>Kui teavet levitatakse ajakirjanduslikul või kunstilise väljenduse eesmärgil, võetakse sellise teabe levitamise hindamisel arvesse teistes meediakanalites ajakirjandusvabadust ja sõnavabadust reguleerivaid norme, välja arvatud juhul, kui</w:t>
      </w:r>
    </w:p>
    <w:p w14:paraId="75B68B70" w14:textId="77777777" w:rsidR="006B1555" w:rsidRDefault="006B1555" w:rsidP="006B1555">
      <w:pPr>
        <w:ind w:left="708"/>
        <w:rPr>
          <w:rFonts w:cs="Times New Roman"/>
          <w:szCs w:val="24"/>
        </w:rPr>
      </w:pPr>
      <w:r w:rsidRPr="00721434">
        <w:rPr>
          <w:rFonts w:cs="Times New Roman"/>
          <w:szCs w:val="24"/>
        </w:rPr>
        <w:t>i) teavet levitavad isikud saavad kõnealuse teabe levitamisest otse või kaudselt eeliseid või kasu, või</w:t>
      </w:r>
    </w:p>
    <w:p w14:paraId="771030BC" w14:textId="77777777" w:rsidR="006B1555" w:rsidRDefault="006B1555" w:rsidP="006B1555">
      <w:pPr>
        <w:ind w:left="708"/>
        <w:rPr>
          <w:rFonts w:cs="Times New Roman"/>
          <w:szCs w:val="24"/>
        </w:rPr>
      </w:pPr>
      <w:r w:rsidRPr="00721434">
        <w:rPr>
          <w:rFonts w:cs="Times New Roman"/>
          <w:szCs w:val="24"/>
        </w:rPr>
        <w:t>ii) teave avaldatakse või seda levitatakse kavatsusega eksitada turgu energia hulgimüügitoodete pakkumise, nõudluse ja hinna osas</w:t>
      </w:r>
      <w:r>
        <w:rPr>
          <w:rFonts w:cs="Times New Roman"/>
          <w:szCs w:val="24"/>
        </w:rPr>
        <w:t>.</w:t>
      </w:r>
    </w:p>
    <w:p w14:paraId="432A8F9D" w14:textId="77777777" w:rsidR="006B1555" w:rsidRDefault="006B1555" w:rsidP="006B1555">
      <w:pPr>
        <w:rPr>
          <w:rFonts w:cs="Times New Roman"/>
          <w:szCs w:val="24"/>
        </w:rPr>
      </w:pPr>
      <w:r w:rsidRPr="00721434">
        <w:rPr>
          <w:rFonts w:cs="Times New Roman"/>
          <w:szCs w:val="24"/>
        </w:rPr>
        <w:t>c) võrdlusalusega seotud vale või eksitava teabe edastamine või valede või eksitavate sisendandmete esitamine, kui teabe edastanud või sisendandmed esitanud isik teadis või oleks pidanud teadma, et teave on vale või eksitav või sisendandmed valed või eksitavad, või mis tahes muu tegevus, mis põhjustab võrdlusaluse arvutusega manipuleerimist.</w:t>
      </w:r>
    </w:p>
    <w:p w14:paraId="52D4427D" w14:textId="77777777" w:rsidR="006B1555" w:rsidRDefault="006B1555" w:rsidP="006B1555">
      <w:pPr>
        <w:rPr>
          <w:rFonts w:cs="Times New Roman"/>
          <w:szCs w:val="24"/>
        </w:rPr>
      </w:pPr>
      <w:r>
        <w:rPr>
          <w:rFonts w:cs="Times New Roman"/>
          <w:szCs w:val="24"/>
        </w:rPr>
        <w:t>T</w:t>
      </w:r>
      <w:r w:rsidRPr="00721434">
        <w:rPr>
          <w:rFonts w:cs="Times New Roman"/>
          <w:szCs w:val="24"/>
        </w:rPr>
        <w:t>uruga manipuleerimise katse</w:t>
      </w:r>
      <w:r>
        <w:rPr>
          <w:rFonts w:cs="Times New Roman"/>
          <w:szCs w:val="24"/>
        </w:rPr>
        <w:t xml:space="preserve"> alla kuuluvad järgmised tegevused:</w:t>
      </w:r>
    </w:p>
    <w:p w14:paraId="3407A80D" w14:textId="77777777" w:rsidR="006B1555" w:rsidRDefault="006B1555" w:rsidP="006B1555">
      <w:pPr>
        <w:rPr>
          <w:rFonts w:cs="Times New Roman"/>
          <w:szCs w:val="24"/>
        </w:rPr>
      </w:pPr>
      <w:r w:rsidRPr="00721434">
        <w:rPr>
          <w:rFonts w:cs="Times New Roman"/>
          <w:szCs w:val="24"/>
        </w:rPr>
        <w:t>a) tehingu sõlmimine, kauplemiskorralduse andmine või mõne muu meetme võtmine seoses energia hulgimüügitootega selleks, et:</w:t>
      </w:r>
    </w:p>
    <w:p w14:paraId="24C6D11E" w14:textId="77777777" w:rsidR="006B1555" w:rsidRDefault="006B1555" w:rsidP="006B1555">
      <w:pPr>
        <w:ind w:left="708"/>
        <w:rPr>
          <w:rFonts w:cs="Times New Roman"/>
          <w:szCs w:val="24"/>
        </w:rPr>
      </w:pPr>
      <w:r w:rsidRPr="00721434">
        <w:rPr>
          <w:rFonts w:cs="Times New Roman"/>
          <w:szCs w:val="24"/>
        </w:rPr>
        <w:t>i) anda valesid või eksitavaid teateid energia hulgimüügitoodete pakkumise, nõudluse või hinna kohta,</w:t>
      </w:r>
    </w:p>
    <w:p w14:paraId="7A512FEE" w14:textId="77777777" w:rsidR="006B1555" w:rsidRDefault="006B1555" w:rsidP="006B1555">
      <w:pPr>
        <w:ind w:left="708"/>
        <w:rPr>
          <w:rFonts w:cs="Times New Roman"/>
          <w:szCs w:val="24"/>
        </w:rPr>
      </w:pPr>
      <w:r w:rsidRPr="00721434">
        <w:rPr>
          <w:rFonts w:cs="Times New Roman"/>
          <w:szCs w:val="24"/>
        </w:rPr>
        <w:t xml:space="preserve">ii) kindlustada ühe või mitme energia hulgimüügitoote hinna kunstlikul tasemel hoidmine, välja arvatud juhul, kui tehingu sõlminud või kauplemiskorralduse andnud isik tõendab, et tema tegevusel on õiguspärased põhjused ning kõnealune tehing või </w:t>
      </w:r>
      <w:r w:rsidRPr="00721434">
        <w:rPr>
          <w:rFonts w:cs="Times New Roman"/>
          <w:szCs w:val="24"/>
        </w:rPr>
        <w:lastRenderedPageBreak/>
        <w:t>kauplemiskorraldus on kooskõlas asjaomasel energia hulgimüügiturul tunnustatud tavadega, või</w:t>
      </w:r>
    </w:p>
    <w:p w14:paraId="17A8BAF8" w14:textId="77777777" w:rsidR="006B1555" w:rsidRDefault="006B1555" w:rsidP="006B1555">
      <w:pPr>
        <w:ind w:left="708"/>
        <w:rPr>
          <w:rFonts w:cs="Times New Roman"/>
          <w:szCs w:val="24"/>
        </w:rPr>
      </w:pPr>
      <w:r w:rsidRPr="00721434">
        <w:rPr>
          <w:rFonts w:cs="Times New Roman"/>
          <w:szCs w:val="24"/>
        </w:rPr>
        <w:t>iii) kasutada fiktiivseid vahendeid või muud liiki pettust või võtteid, millega antakse või tõenäoliselt antakse valesid või eksitavaid märguandeid energia hulgimüügitoodete pakkumise, nõudluse või hinna kohta, või</w:t>
      </w:r>
    </w:p>
    <w:p w14:paraId="3F197929" w14:textId="77777777" w:rsidR="006B1555" w:rsidRDefault="006B1555" w:rsidP="006B1555">
      <w:pPr>
        <w:rPr>
          <w:rFonts w:cs="Times New Roman"/>
          <w:szCs w:val="24"/>
        </w:rPr>
      </w:pPr>
      <w:r w:rsidRPr="00721434">
        <w:rPr>
          <w:rFonts w:cs="Times New Roman"/>
          <w:szCs w:val="24"/>
        </w:rPr>
        <w:t>b) teabe levitamine meediakanalites, sealhulgas Internetis, või muul viisil, kavatsusega anda energia hulgimüügitoodete pakkumise, nõudluse või hinna kohta valesid või eksitavaid teateid</w:t>
      </w:r>
      <w:r>
        <w:rPr>
          <w:rFonts w:cs="Times New Roman"/>
          <w:szCs w:val="24"/>
        </w:rPr>
        <w:t>.</w:t>
      </w:r>
    </w:p>
    <w:p w14:paraId="4F49F528" w14:textId="77777777" w:rsidR="006B1555" w:rsidRDefault="006B1555" w:rsidP="006B1555">
      <w:pPr>
        <w:rPr>
          <w:rFonts w:cs="Times New Roman"/>
          <w:szCs w:val="24"/>
        </w:rPr>
      </w:pPr>
      <w:r>
        <w:rPr>
          <w:rFonts w:cs="Times New Roman"/>
          <w:szCs w:val="24"/>
        </w:rPr>
        <w:t xml:space="preserve">Turuga manipuleerimise üle teostab Konkurentsiamet järelevalvet vastavasisulise taotluse saamisel või omal algatusel. Järelevalvet teostamiseks peavad esinema alus ja ajend.  Järelevalvet teostades analüüsib Konkurentsiamet asjakohastest infokanalitest avalikult kättesaadavat infot. Vajadusel pöördub amet asjassepuutuvate turuosaliste poole täiendava teabe (nt teave </w:t>
      </w:r>
      <w:r w:rsidRPr="00721434">
        <w:rPr>
          <w:rFonts w:cs="Times New Roman"/>
          <w:szCs w:val="24"/>
        </w:rPr>
        <w:t>energia hulgimüügitoodete pakkumise, nõudluse või hinna kohta</w:t>
      </w:r>
      <w:r>
        <w:rPr>
          <w:rFonts w:cs="Times New Roman"/>
          <w:szCs w:val="24"/>
        </w:rPr>
        <w:t>, kauplemiskorralduste ja tehingute kohta) ja selgituste saamiseks.</w:t>
      </w:r>
    </w:p>
    <w:p w14:paraId="634EE282" w14:textId="77777777" w:rsidR="006B1555" w:rsidRDefault="006B1555" w:rsidP="006B1555">
      <w:pPr>
        <w:ind w:left="708"/>
        <w:rPr>
          <w:rFonts w:cs="Times New Roman"/>
          <w:szCs w:val="24"/>
        </w:rPr>
      </w:pPr>
    </w:p>
    <w:p w14:paraId="64549367" w14:textId="77777777" w:rsidR="006B1555" w:rsidRDefault="006B1555" w:rsidP="006B1555">
      <w:pPr>
        <w:rPr>
          <w:szCs w:val="24"/>
        </w:rPr>
      </w:pPr>
      <w:r>
        <w:rPr>
          <w:b/>
          <w:bCs/>
          <w:szCs w:val="24"/>
        </w:rPr>
        <w:t>ELTS § 101</w:t>
      </w:r>
      <w:r>
        <w:rPr>
          <w:b/>
          <w:bCs/>
          <w:szCs w:val="24"/>
          <w:vertAlign w:val="superscript"/>
        </w:rPr>
        <w:t>9</w:t>
      </w:r>
      <w:r>
        <w:rPr>
          <w:szCs w:val="24"/>
        </w:rPr>
        <w:t xml:space="preserve"> </w:t>
      </w:r>
    </w:p>
    <w:p w14:paraId="1BA7D221" w14:textId="77777777" w:rsidR="006B1555" w:rsidRDefault="006B1555" w:rsidP="006B1555">
      <w:pPr>
        <w:rPr>
          <w:rFonts w:cs="Times New Roman"/>
          <w:szCs w:val="24"/>
        </w:rPr>
      </w:pPr>
      <w:r>
        <w:rPr>
          <w:szCs w:val="24"/>
        </w:rPr>
        <w:t xml:space="preserve">Seadust täiendatakse </w:t>
      </w:r>
      <w:r>
        <w:rPr>
          <w:rFonts w:cs="Times New Roman"/>
          <w:szCs w:val="24"/>
        </w:rPr>
        <w:t>§-ga 101</w:t>
      </w:r>
      <w:r>
        <w:rPr>
          <w:rFonts w:cs="Times New Roman"/>
          <w:szCs w:val="24"/>
          <w:vertAlign w:val="superscript"/>
        </w:rPr>
        <w:t>9</w:t>
      </w:r>
      <w:r>
        <w:rPr>
          <w:rFonts w:cs="Times New Roman"/>
          <w:szCs w:val="24"/>
        </w:rPr>
        <w:t>. Nimetatud sätte lisamine seadusesse on vajalik REMIT määruse artiklis 18 sätestatud trahvimäärade rakendamiseks.</w:t>
      </w:r>
    </w:p>
    <w:p w14:paraId="1034EB32" w14:textId="77777777" w:rsidR="006B1555" w:rsidRDefault="006B1555" w:rsidP="006B1555">
      <w:pPr>
        <w:rPr>
          <w:b/>
          <w:bCs/>
          <w:szCs w:val="24"/>
        </w:rPr>
      </w:pPr>
    </w:p>
    <w:p w14:paraId="592FA146" w14:textId="77777777" w:rsidR="006B1555" w:rsidRDefault="006B1555" w:rsidP="006B1555">
      <w:pPr>
        <w:rPr>
          <w:szCs w:val="24"/>
        </w:rPr>
      </w:pPr>
      <w:r w:rsidRPr="00B71939">
        <w:rPr>
          <w:szCs w:val="24"/>
        </w:rPr>
        <w:t>Seaduse § 101</w:t>
      </w:r>
      <w:r w:rsidRPr="00B71939">
        <w:rPr>
          <w:szCs w:val="24"/>
          <w:vertAlign w:val="superscript"/>
        </w:rPr>
        <w:t>9</w:t>
      </w:r>
      <w:r>
        <w:rPr>
          <w:szCs w:val="24"/>
        </w:rPr>
        <w:t xml:space="preserve"> alusel kehtestatakse trahvid</w:t>
      </w:r>
      <w:r w:rsidRPr="00F632CB">
        <w:t xml:space="preserve"> </w:t>
      </w:r>
      <w:r w:rsidRPr="00F632CB">
        <w:rPr>
          <w:szCs w:val="24"/>
        </w:rPr>
        <w:t>registreerimise kohustuse rikkumi</w:t>
      </w:r>
      <w:r>
        <w:rPr>
          <w:szCs w:val="24"/>
        </w:rPr>
        <w:t>se eest.</w:t>
      </w:r>
    </w:p>
    <w:p w14:paraId="134AD88B" w14:textId="77777777" w:rsidR="006B1555" w:rsidRDefault="006B1555" w:rsidP="006B1555">
      <w:pPr>
        <w:rPr>
          <w:szCs w:val="24"/>
        </w:rPr>
      </w:pPr>
    </w:p>
    <w:p w14:paraId="3962055E" w14:textId="77777777" w:rsidR="006B1555" w:rsidRDefault="006B1555" w:rsidP="006B1555">
      <w:pPr>
        <w:rPr>
          <w:szCs w:val="24"/>
        </w:rPr>
      </w:pPr>
      <w:r w:rsidRPr="007F689E">
        <w:rPr>
          <w:szCs w:val="24"/>
        </w:rPr>
        <w:t xml:space="preserve">Turuosalised, kes sõlmivad tehinguid, millest tuleb </w:t>
      </w:r>
      <w:r>
        <w:rPr>
          <w:szCs w:val="24"/>
        </w:rPr>
        <w:t>ACER-ile</w:t>
      </w:r>
      <w:r w:rsidRPr="007F689E">
        <w:rPr>
          <w:szCs w:val="24"/>
        </w:rPr>
        <w:t xml:space="preserve"> teatada, registreerivad end selle liikmesriigi</w:t>
      </w:r>
      <w:r>
        <w:rPr>
          <w:szCs w:val="24"/>
        </w:rPr>
        <w:t xml:space="preserve"> elektri- ja gaasituru regulaatori (Eestis Konkurentsiamet)</w:t>
      </w:r>
      <w:r w:rsidRPr="007F689E">
        <w:rPr>
          <w:szCs w:val="24"/>
        </w:rPr>
        <w:t xml:space="preserve"> juures, kus on nende asu- või elukoht.</w:t>
      </w:r>
      <w:r>
        <w:rPr>
          <w:szCs w:val="24"/>
        </w:rPr>
        <w:t xml:space="preserve"> T</w:t>
      </w:r>
      <w:r w:rsidRPr="00087D53">
        <w:rPr>
          <w:szCs w:val="24"/>
        </w:rPr>
        <w:t>uruosaline</w:t>
      </w:r>
      <w:r>
        <w:rPr>
          <w:szCs w:val="24"/>
        </w:rPr>
        <w:t xml:space="preserve"> on antud juhul</w:t>
      </w:r>
      <w:r w:rsidRPr="00087D53">
        <w:rPr>
          <w:szCs w:val="24"/>
        </w:rPr>
        <w:t xml:space="preserve"> iga isik, kaasa arvatud põhivõrguettevõtja, jaotusvõrguettevõtja, hoidlate haldur ja LNG rajatiste haldur, kes sõlmib tehinguid ning annab muu hulgas kauplemiskorraldusi ühel või mitmel energia hulgimüügiturul</w:t>
      </w:r>
      <w:r>
        <w:rPr>
          <w:szCs w:val="24"/>
        </w:rPr>
        <w:t>.</w:t>
      </w:r>
      <w:r>
        <w:rPr>
          <w:rStyle w:val="Allmrkuseviide"/>
        </w:rPr>
        <w:footnoteReference w:id="36"/>
      </w:r>
    </w:p>
    <w:p w14:paraId="0074BBD2" w14:textId="77777777" w:rsidR="006B1555" w:rsidRDefault="006B1555" w:rsidP="006B1555">
      <w:pPr>
        <w:rPr>
          <w:szCs w:val="24"/>
        </w:rPr>
      </w:pPr>
    </w:p>
    <w:p w14:paraId="19562482" w14:textId="77777777" w:rsidR="006B1555" w:rsidRDefault="006B1555" w:rsidP="006B1555">
      <w:pPr>
        <w:rPr>
          <w:szCs w:val="24"/>
        </w:rPr>
      </w:pPr>
      <w:r>
        <w:rPr>
          <w:szCs w:val="24"/>
        </w:rPr>
        <w:t>Konkurentsiameti ülesanne on kontrollida ega turuosalised, kes peavad tehingutest teatama ACER-ile, ei ole registreerimise kohustusi rikkunud ja kui on siis määrata vajadusel trahv.</w:t>
      </w:r>
    </w:p>
    <w:p w14:paraId="18C35211" w14:textId="77777777" w:rsidR="006B1555" w:rsidRDefault="006B1555" w:rsidP="006B1555">
      <w:pPr>
        <w:rPr>
          <w:b/>
          <w:bCs/>
          <w:szCs w:val="24"/>
        </w:rPr>
      </w:pPr>
    </w:p>
    <w:p w14:paraId="1830160E" w14:textId="77777777" w:rsidR="006B1555" w:rsidRDefault="006B1555" w:rsidP="006B1555">
      <w:pPr>
        <w:rPr>
          <w:szCs w:val="24"/>
        </w:rPr>
      </w:pPr>
      <w:r>
        <w:rPr>
          <w:b/>
          <w:bCs/>
          <w:szCs w:val="24"/>
        </w:rPr>
        <w:t>ELTS § 101</w:t>
      </w:r>
      <w:r>
        <w:rPr>
          <w:b/>
          <w:bCs/>
          <w:szCs w:val="24"/>
          <w:vertAlign w:val="superscript"/>
        </w:rPr>
        <w:t>10</w:t>
      </w:r>
      <w:r>
        <w:rPr>
          <w:szCs w:val="24"/>
        </w:rPr>
        <w:t xml:space="preserve"> </w:t>
      </w:r>
    </w:p>
    <w:p w14:paraId="07CAD7F1" w14:textId="77777777" w:rsidR="006B1555" w:rsidRDefault="006B1555" w:rsidP="006B1555">
      <w:pPr>
        <w:rPr>
          <w:rFonts w:cs="Times New Roman"/>
          <w:szCs w:val="24"/>
        </w:rPr>
      </w:pPr>
      <w:r>
        <w:rPr>
          <w:szCs w:val="24"/>
        </w:rPr>
        <w:t xml:space="preserve">Seadust täiendatakse </w:t>
      </w:r>
      <w:r>
        <w:rPr>
          <w:rFonts w:cs="Times New Roman"/>
          <w:szCs w:val="24"/>
        </w:rPr>
        <w:t>§-ga 101</w:t>
      </w:r>
      <w:r>
        <w:rPr>
          <w:rFonts w:cs="Times New Roman"/>
          <w:szCs w:val="24"/>
          <w:vertAlign w:val="superscript"/>
        </w:rPr>
        <w:t>10</w:t>
      </w:r>
      <w:r>
        <w:rPr>
          <w:rFonts w:cs="Times New Roman"/>
          <w:szCs w:val="24"/>
        </w:rPr>
        <w:t>. Nimetatud sätte lisamine seadusesse on vajalik REMIT määruse artiklis 18 sätestatud trahvimäärade rakendamiseks.</w:t>
      </w:r>
    </w:p>
    <w:p w14:paraId="0BCAE0E7" w14:textId="77777777" w:rsidR="006B1555" w:rsidRDefault="006B1555" w:rsidP="006B1555">
      <w:pPr>
        <w:rPr>
          <w:b/>
          <w:bCs/>
          <w:szCs w:val="24"/>
        </w:rPr>
      </w:pPr>
    </w:p>
    <w:p w14:paraId="0122BD6D" w14:textId="77777777" w:rsidR="006B1555" w:rsidRDefault="006B1555" w:rsidP="006B1555">
      <w:pPr>
        <w:rPr>
          <w:szCs w:val="24"/>
        </w:rPr>
      </w:pPr>
      <w:r w:rsidRPr="00B71939">
        <w:rPr>
          <w:szCs w:val="24"/>
        </w:rPr>
        <w:t>Seaduse § 101</w:t>
      </w:r>
      <w:r w:rsidRPr="00B71939">
        <w:rPr>
          <w:szCs w:val="24"/>
          <w:vertAlign w:val="superscript"/>
        </w:rPr>
        <w:t>10</w:t>
      </w:r>
      <w:r>
        <w:rPr>
          <w:szCs w:val="24"/>
        </w:rPr>
        <w:t xml:space="preserve"> alusel kehtestatakse trahvid</w:t>
      </w:r>
      <w:r w:rsidRPr="00F632CB">
        <w:t xml:space="preserve"> </w:t>
      </w:r>
      <w:r w:rsidRPr="00F632CB">
        <w:rPr>
          <w:szCs w:val="24"/>
        </w:rPr>
        <w:t>ametialaselt tehinguid vahendavate või täitvate isikute kohustuste rikkumise eest</w:t>
      </w:r>
      <w:r>
        <w:rPr>
          <w:szCs w:val="24"/>
        </w:rPr>
        <w:t>.</w:t>
      </w:r>
    </w:p>
    <w:p w14:paraId="2CC99C9C" w14:textId="77777777" w:rsidR="006B1555" w:rsidRDefault="006B1555" w:rsidP="006B1555">
      <w:pPr>
        <w:rPr>
          <w:szCs w:val="24"/>
        </w:rPr>
      </w:pPr>
    </w:p>
    <w:p w14:paraId="4D89C9A0" w14:textId="77777777" w:rsidR="006B1555" w:rsidRDefault="006B1555" w:rsidP="006B1555">
      <w:pPr>
        <w:rPr>
          <w:szCs w:val="24"/>
        </w:rPr>
      </w:pPr>
      <w:r w:rsidRPr="009F682C">
        <w:rPr>
          <w:szCs w:val="24"/>
        </w:rPr>
        <w:t>Iga energia hulgimüügitoodetega seoses ametialaselt tehinguid vahendav isik</w:t>
      </w:r>
      <w:r>
        <w:rPr>
          <w:szCs w:val="24"/>
        </w:rPr>
        <w:t xml:space="preserve"> (nt elektribörs „Nord Pool“)</w:t>
      </w:r>
      <w:r w:rsidRPr="009F682C">
        <w:rPr>
          <w:szCs w:val="24"/>
        </w:rPr>
        <w:t xml:space="preserve">, kellel on põhjust kahtlustada, et kauplemiskorraldus või tehing, sealhulgas selle tühistamine või muutmine, olenemata sellest, kas see on esitatud organiseeritud turul või väljaspool seda, võib rikkuda </w:t>
      </w:r>
      <w:r>
        <w:rPr>
          <w:szCs w:val="24"/>
        </w:rPr>
        <w:t xml:space="preserve">REMIT määruse </w:t>
      </w:r>
      <w:r w:rsidRPr="009F682C">
        <w:rPr>
          <w:szCs w:val="24"/>
        </w:rPr>
        <w:t xml:space="preserve">artikli 3, 4 või 5 nõudeid, teatab sellest </w:t>
      </w:r>
      <w:r>
        <w:rPr>
          <w:szCs w:val="24"/>
        </w:rPr>
        <w:t>ACER</w:t>
      </w:r>
      <w:r>
        <w:rPr>
          <w:szCs w:val="24"/>
        </w:rPr>
        <w:noBreakHyphen/>
        <w:t>ile</w:t>
      </w:r>
      <w:r w:rsidRPr="009F682C">
        <w:rPr>
          <w:szCs w:val="24"/>
        </w:rPr>
        <w:t xml:space="preserve"> ja </w:t>
      </w:r>
      <w:r>
        <w:rPr>
          <w:szCs w:val="24"/>
        </w:rPr>
        <w:t>elektri- ja gaasituru regulaatorile</w:t>
      </w:r>
      <w:r w:rsidRPr="009F682C">
        <w:rPr>
          <w:szCs w:val="24"/>
        </w:rPr>
        <w:t xml:space="preserve"> viivitamata</w:t>
      </w:r>
      <w:r>
        <w:rPr>
          <w:szCs w:val="24"/>
        </w:rPr>
        <w:t xml:space="preserve">. </w:t>
      </w:r>
    </w:p>
    <w:p w14:paraId="3A08EE9E" w14:textId="77777777" w:rsidR="006B1555" w:rsidRDefault="006B1555" w:rsidP="006B1555">
      <w:pPr>
        <w:rPr>
          <w:szCs w:val="24"/>
        </w:rPr>
      </w:pPr>
    </w:p>
    <w:p w14:paraId="03B70808" w14:textId="77777777" w:rsidR="006B1555" w:rsidRDefault="006B1555" w:rsidP="006B1555">
      <w:pPr>
        <w:rPr>
          <w:szCs w:val="24"/>
        </w:rPr>
      </w:pPr>
      <w:r>
        <w:rPr>
          <w:szCs w:val="24"/>
        </w:rPr>
        <w:t xml:space="preserve">Konkurentsiameti kohustus on vajadusel määrata trahv, kui </w:t>
      </w:r>
      <w:r w:rsidRPr="009F682C">
        <w:rPr>
          <w:szCs w:val="24"/>
        </w:rPr>
        <w:t>ametialaselt tehinguid vahendavate või täitvate isikute kohustus</w:t>
      </w:r>
      <w:r>
        <w:rPr>
          <w:szCs w:val="24"/>
        </w:rPr>
        <w:t>i</w:t>
      </w:r>
      <w:r w:rsidRPr="009F682C">
        <w:rPr>
          <w:szCs w:val="24"/>
        </w:rPr>
        <w:t xml:space="preserve"> </w:t>
      </w:r>
      <w:r>
        <w:rPr>
          <w:szCs w:val="24"/>
        </w:rPr>
        <w:t>rikutakse.</w:t>
      </w:r>
    </w:p>
    <w:p w14:paraId="1FBBCC36" w14:textId="77777777" w:rsidR="006B1555" w:rsidRPr="00AD7A06" w:rsidRDefault="006B1555" w:rsidP="006B1555">
      <w:r w:rsidRPr="00AD7A06">
        <w:t>Aastatuluna arvestatakse (</w:t>
      </w:r>
      <w:hyperlink r:id="rId26" w:history="1">
        <w:r w:rsidRPr="00AD7A06">
          <w:t>https://www.emta.ee/eraklient/maksud-ja-tasumine/maksusoodustused/maksuvaba-tulu-arvestamine</w:t>
        </w:r>
      </w:hyperlink>
      <w:r w:rsidRPr="00AD7A06">
        <w:t>):</w:t>
      </w:r>
    </w:p>
    <w:p w14:paraId="0295FB07" w14:textId="77777777" w:rsidR="006B1555" w:rsidRPr="00AD7A06" w:rsidRDefault="006B1555" w:rsidP="006B1555">
      <w:pPr>
        <w:pStyle w:val="Loendilik"/>
        <w:numPr>
          <w:ilvl w:val="0"/>
          <w:numId w:val="34"/>
        </w:numPr>
      </w:pPr>
      <w:r w:rsidRPr="00AD7A06">
        <w:t>töötasu ja muu tasu (puhkusetasu, toetus, haigushüvitis vm);</w:t>
      </w:r>
    </w:p>
    <w:p w14:paraId="4ECBF2FD" w14:textId="77777777" w:rsidR="006B1555" w:rsidRPr="00AD7A06" w:rsidRDefault="006B1555" w:rsidP="006B1555">
      <w:pPr>
        <w:pStyle w:val="Loendilik"/>
        <w:numPr>
          <w:ilvl w:val="0"/>
          <w:numId w:val="34"/>
        </w:numPr>
      </w:pPr>
      <w:r w:rsidRPr="00AD7A06">
        <w:t>võlaõigusliku lepingu alusel osutatud teenuse eest saadud tasu;</w:t>
      </w:r>
    </w:p>
    <w:p w14:paraId="0135BDA4" w14:textId="77777777" w:rsidR="006B1555" w:rsidRDefault="006B1555" w:rsidP="006B1555">
      <w:pPr>
        <w:pStyle w:val="Loendilik"/>
        <w:numPr>
          <w:ilvl w:val="0"/>
          <w:numId w:val="34"/>
        </w:numPr>
      </w:pPr>
      <w:r w:rsidRPr="00AD7A06">
        <w:t>ettevõtlustulu;</w:t>
      </w:r>
    </w:p>
    <w:p w14:paraId="05B8EC03" w14:textId="77777777" w:rsidR="006B1555" w:rsidRPr="00AD7A06" w:rsidRDefault="006B1555" w:rsidP="006B1555">
      <w:pPr>
        <w:pStyle w:val="Loendilik"/>
        <w:numPr>
          <w:ilvl w:val="0"/>
          <w:numId w:val="34"/>
        </w:numPr>
      </w:pPr>
      <w:r w:rsidRPr="00AD7A06">
        <w:lastRenderedPageBreak/>
        <w:t>kasu vara võõrandamisest;</w:t>
      </w:r>
    </w:p>
    <w:p w14:paraId="2242E1BF" w14:textId="77777777" w:rsidR="006B1555" w:rsidRPr="00AD7A06" w:rsidRDefault="006B1555" w:rsidP="006B1555">
      <w:pPr>
        <w:pStyle w:val="Loendilik"/>
        <w:numPr>
          <w:ilvl w:val="0"/>
          <w:numId w:val="34"/>
        </w:numPr>
      </w:pPr>
      <w:r w:rsidRPr="00AD7A06">
        <w:t>rendi- ja üüritulu, litsentsitasu, intress;</w:t>
      </w:r>
    </w:p>
    <w:p w14:paraId="7ADB1344" w14:textId="77777777" w:rsidR="006B1555" w:rsidRPr="00AD7A06" w:rsidRDefault="006B1555" w:rsidP="006B1555">
      <w:pPr>
        <w:pStyle w:val="Loendilik"/>
        <w:numPr>
          <w:ilvl w:val="0"/>
          <w:numId w:val="34"/>
        </w:numPr>
      </w:pPr>
      <w:r w:rsidRPr="00AD7A06">
        <w:t>dividend;</w:t>
      </w:r>
    </w:p>
    <w:p w14:paraId="417EFF11" w14:textId="77777777" w:rsidR="006B1555" w:rsidRPr="00AD7A06" w:rsidRDefault="006B1555" w:rsidP="006B1555">
      <w:pPr>
        <w:pStyle w:val="Loendilik"/>
        <w:numPr>
          <w:ilvl w:val="0"/>
          <w:numId w:val="34"/>
        </w:numPr>
      </w:pPr>
      <w:r w:rsidRPr="00AD7A06">
        <w:t>maksustatav riiklik pension, sh I sambast paindlik vanaduspension ja kutsealade sooduspensionid, nt sooduspension tervist kahjustaval kutsealal töötanutele, väljateenitud aastate pension ning politseiniku, prokuröri, kohtuniku, riigikontrolli, õiguskantsleri pension, kui inimene ei ole jõudnud veel vanaduspensioniikka;</w:t>
      </w:r>
    </w:p>
    <w:p w14:paraId="400C0BDD" w14:textId="77777777" w:rsidR="006B1555" w:rsidRPr="00AD7A06" w:rsidRDefault="006B1555" w:rsidP="006B1555">
      <w:pPr>
        <w:pStyle w:val="Loendilik"/>
        <w:numPr>
          <w:ilvl w:val="0"/>
          <w:numId w:val="34"/>
        </w:numPr>
      </w:pPr>
      <w:r w:rsidRPr="00AD7A06">
        <w:t>täiendava kogumispensioni (III samba) väljamakse, mis on maksustatud maksumääraga 20%;</w:t>
      </w:r>
    </w:p>
    <w:p w14:paraId="292FEB36" w14:textId="77777777" w:rsidR="006B1555" w:rsidRPr="00AD7A06" w:rsidRDefault="006B1555" w:rsidP="006B1555">
      <w:pPr>
        <w:pStyle w:val="Loendilik"/>
        <w:numPr>
          <w:ilvl w:val="0"/>
          <w:numId w:val="34"/>
        </w:numPr>
      </w:pPr>
      <w:r w:rsidRPr="00AD7A06">
        <w:t>toetus, stipendium, preemia, hüvitis või muu tulu;</w:t>
      </w:r>
    </w:p>
    <w:p w14:paraId="2E5F4CDC" w14:textId="77777777" w:rsidR="006B1555" w:rsidRPr="00AD7A06" w:rsidRDefault="006B1555" w:rsidP="006B1555">
      <w:pPr>
        <w:pStyle w:val="Loendilik"/>
        <w:numPr>
          <w:ilvl w:val="0"/>
          <w:numId w:val="34"/>
        </w:numPr>
      </w:pPr>
      <w:r w:rsidRPr="00AD7A06">
        <w:t>Eesti äriühingult saadud dividend, mis on maksustatud määraga 22/78 ning dividend, millelt on kinnipeetud tulumaks 7%;</w:t>
      </w:r>
    </w:p>
    <w:p w14:paraId="19147063" w14:textId="77777777" w:rsidR="006B1555" w:rsidRPr="00AD7A06" w:rsidRDefault="006B1555" w:rsidP="006B1555">
      <w:pPr>
        <w:pStyle w:val="Loendilik"/>
        <w:numPr>
          <w:ilvl w:val="0"/>
          <w:numId w:val="34"/>
        </w:numPr>
      </w:pPr>
      <w:r w:rsidRPr="00AD7A06">
        <w:t>välismaalt saadud dividendilt võib olla tulumaks juba kinni peetud või tasutud (saadud dividend läheb arvesse brutosummas).</w:t>
      </w:r>
    </w:p>
    <w:p w14:paraId="40283EFC" w14:textId="77777777" w:rsidR="006B1555" w:rsidRDefault="006B1555" w:rsidP="006B1555">
      <w:pPr>
        <w:rPr>
          <w:szCs w:val="24"/>
        </w:rPr>
      </w:pPr>
      <w:r w:rsidRPr="00AD7A06">
        <w:rPr>
          <w:szCs w:val="24"/>
        </w:rPr>
        <w:t>Väärteo kohtuväline menetleja saab füüsilise isiku eelmise kalendriaasta sissetuleku kohta andmeid peamiselt Maksu- ja Tolliametile esitatava ametliku päringu kaudu. Selleks on mitu õiguslikku alust:</w:t>
      </w:r>
    </w:p>
    <w:p w14:paraId="63052C27" w14:textId="77777777" w:rsidR="006B1555" w:rsidRPr="00AD7A06" w:rsidRDefault="006B1555" w:rsidP="006B1555">
      <w:pPr>
        <w:rPr>
          <w:b/>
          <w:bCs/>
          <w:szCs w:val="24"/>
        </w:rPr>
      </w:pPr>
      <w:r w:rsidRPr="00AD7A06">
        <w:rPr>
          <w:b/>
          <w:bCs/>
          <w:szCs w:val="24"/>
        </w:rPr>
        <w:t>Väärteomenetluse seadustiku üldine alus:</w:t>
      </w:r>
    </w:p>
    <w:p w14:paraId="587BAF81" w14:textId="77777777" w:rsidR="006B1555" w:rsidRPr="00AD7A06" w:rsidRDefault="006B1555" w:rsidP="006B1555">
      <w:pPr>
        <w:pStyle w:val="Loendilik"/>
        <w:numPr>
          <w:ilvl w:val="0"/>
          <w:numId w:val="35"/>
        </w:numPr>
      </w:pPr>
      <w:r w:rsidRPr="00AD7A06">
        <w:t>Õigus nõuda dokumente ja andmeid: Väärteomenetluse seadustik (VTMS) § 31 lg 2 annab kohtuvälisele menetlejale selgesõnalise õiguse nõuda füüsiliselt ja juriidiliselt isikult väärteoasja lahendamiseks vajalikku dokumenti, eset või muud objekti. Sissetuleku andmed on vajalikud dokumendid, eriti kui seadus näeb ette sissetulekust sõltuva karistuse määramise.</w:t>
      </w:r>
    </w:p>
    <w:p w14:paraId="1C08D1D0" w14:textId="77777777" w:rsidR="006B1555" w:rsidRPr="00AD7A06" w:rsidRDefault="006B1555" w:rsidP="006B1555">
      <w:pPr>
        <w:rPr>
          <w:b/>
          <w:bCs/>
          <w:szCs w:val="24"/>
        </w:rPr>
      </w:pPr>
      <w:r w:rsidRPr="00AD7A06">
        <w:rPr>
          <w:b/>
          <w:bCs/>
          <w:szCs w:val="24"/>
        </w:rPr>
        <w:t>Kriminaalmenetluse seadustiku (KrMS) kohaldamine:</w:t>
      </w:r>
    </w:p>
    <w:p w14:paraId="1965EC43" w14:textId="77777777" w:rsidR="006B1555" w:rsidRDefault="006B1555" w:rsidP="006B1555">
      <w:r w:rsidRPr="00AD7A06">
        <w:t>Kuna väärteomenetluses kohaldatakse tõendite kogumisel kriminaalmenetluse sätteid (VTMS § 31 lg 1), siis laienevad kohtuvälisele menetlejale ka uurimisasutuse õigused andmete kogumisel.</w:t>
      </w:r>
    </w:p>
    <w:p w14:paraId="762575B1" w14:textId="77777777" w:rsidR="006B1555" w:rsidRPr="00AD7A06" w:rsidRDefault="006B1555" w:rsidP="006B1555"/>
    <w:p w14:paraId="1620FFB7" w14:textId="77777777" w:rsidR="006B1555" w:rsidRDefault="006B1555" w:rsidP="006B1555">
      <w:pPr>
        <w:rPr>
          <w:szCs w:val="24"/>
        </w:rPr>
      </w:pPr>
      <w:r w:rsidRPr="00AD7A06">
        <w:rPr>
          <w:b/>
          <w:bCs/>
          <w:szCs w:val="24"/>
        </w:rPr>
        <w:t>Üldine õigus andmeid nõuda:</w:t>
      </w:r>
      <w:r w:rsidRPr="00AD7A06">
        <w:rPr>
          <w:szCs w:val="24"/>
        </w:rPr>
        <w:t> </w:t>
      </w:r>
    </w:p>
    <w:p w14:paraId="0AFEBF10" w14:textId="77777777" w:rsidR="006B1555" w:rsidRDefault="006B1555" w:rsidP="006B1555">
      <w:pPr>
        <w:rPr>
          <w:szCs w:val="24"/>
        </w:rPr>
      </w:pPr>
      <w:r w:rsidRPr="00AD7A06">
        <w:rPr>
          <w:szCs w:val="24"/>
        </w:rPr>
        <w:t xml:space="preserve">KrMS § 32 lg 2 annab uurimisasutusele üldise õiguse nõuda kriminaalasja lahendamiseks </w:t>
      </w:r>
      <w:r w:rsidRPr="00797096">
        <w:rPr>
          <w:szCs w:val="24"/>
        </w:rPr>
        <w:t>vajaliku dokumendi või andmete esitamist.</w:t>
      </w:r>
    </w:p>
    <w:p w14:paraId="69F48966" w14:textId="77777777" w:rsidR="006B1555" w:rsidRPr="00797096" w:rsidRDefault="006B1555" w:rsidP="006B1555">
      <w:pPr>
        <w:rPr>
          <w:szCs w:val="24"/>
        </w:rPr>
      </w:pPr>
    </w:p>
    <w:p w14:paraId="6547FDEC" w14:textId="77777777" w:rsidR="006B1555" w:rsidRPr="00797096" w:rsidRDefault="006B1555" w:rsidP="006B1555">
      <w:pPr>
        <w:rPr>
          <w:b/>
          <w:bCs/>
          <w:szCs w:val="24"/>
        </w:rPr>
      </w:pPr>
      <w:r w:rsidRPr="00797096">
        <w:rPr>
          <w:b/>
          <w:bCs/>
          <w:szCs w:val="24"/>
        </w:rPr>
        <w:t>Protsess praktikas:</w:t>
      </w:r>
    </w:p>
    <w:p w14:paraId="15E527D8" w14:textId="77777777" w:rsidR="006B1555" w:rsidRDefault="006B1555" w:rsidP="006B1555">
      <w:pPr>
        <w:rPr>
          <w:szCs w:val="24"/>
        </w:rPr>
      </w:pPr>
      <w:r w:rsidRPr="00797096">
        <w:rPr>
          <w:szCs w:val="24"/>
        </w:rPr>
        <w:t>Vajaduse tekkimine: </w:t>
      </w:r>
    </w:p>
    <w:p w14:paraId="13364C88" w14:textId="77777777" w:rsidR="006B1555" w:rsidRPr="00797096" w:rsidRDefault="006B1555" w:rsidP="006B1555">
      <w:pPr>
        <w:rPr>
          <w:szCs w:val="24"/>
        </w:rPr>
      </w:pPr>
      <w:r w:rsidRPr="00797096">
        <w:rPr>
          <w:szCs w:val="24"/>
        </w:rPr>
        <w:t>Kohtuväline menetleja tuvastab, et väärteo eest karistuse määramiseks on vaja teada menetlusaluse isiku sissetulekut.</w:t>
      </w:r>
    </w:p>
    <w:p w14:paraId="2522C6B0" w14:textId="77777777" w:rsidR="006B1555" w:rsidRDefault="006B1555" w:rsidP="006B1555">
      <w:pPr>
        <w:rPr>
          <w:szCs w:val="24"/>
        </w:rPr>
      </w:pPr>
      <w:r w:rsidRPr="00797096">
        <w:rPr>
          <w:szCs w:val="24"/>
        </w:rPr>
        <w:t>Ametlik päring: </w:t>
      </w:r>
    </w:p>
    <w:p w14:paraId="422D1A24" w14:textId="77777777" w:rsidR="006B1555" w:rsidRPr="00797096" w:rsidRDefault="006B1555" w:rsidP="006B1555">
      <w:pPr>
        <w:rPr>
          <w:szCs w:val="24"/>
        </w:rPr>
      </w:pPr>
      <w:r w:rsidRPr="00797096">
        <w:rPr>
          <w:szCs w:val="24"/>
        </w:rPr>
        <w:t>Menetleja koostab ametliku päringu Maksu- ja Tolliametile, viidates oma seaduslikule õigusele (VTMS § 31 lg 2 ja KrMS § 32 lg 2) ja menetluses olevale väärteoasjale.</w:t>
      </w:r>
    </w:p>
    <w:p w14:paraId="5750A680" w14:textId="77777777" w:rsidR="006B1555" w:rsidRDefault="006B1555" w:rsidP="006B1555">
      <w:pPr>
        <w:rPr>
          <w:szCs w:val="24"/>
        </w:rPr>
      </w:pPr>
      <w:r w:rsidRPr="00797096">
        <w:rPr>
          <w:szCs w:val="24"/>
        </w:rPr>
        <w:t>Andmete edastamine: </w:t>
      </w:r>
    </w:p>
    <w:p w14:paraId="4C106B05" w14:textId="77777777" w:rsidR="006B1555" w:rsidRPr="00797096" w:rsidRDefault="006B1555" w:rsidP="006B1555">
      <w:pPr>
        <w:rPr>
          <w:szCs w:val="24"/>
        </w:rPr>
      </w:pPr>
      <w:r w:rsidRPr="00797096">
        <w:rPr>
          <w:szCs w:val="24"/>
        </w:rPr>
        <w:t>Maksu- ja Tolliamet on kohustatud päringule vastama ja väljastama küsitud andmed, mis pärinevad isiku tuludeklaratsioonist.</w:t>
      </w:r>
    </w:p>
    <w:p w14:paraId="2CE67596" w14:textId="77777777" w:rsidR="006B1555" w:rsidRPr="00797096" w:rsidRDefault="006B1555" w:rsidP="006B1555">
      <w:pPr>
        <w:rPr>
          <w:szCs w:val="24"/>
        </w:rPr>
      </w:pPr>
      <w:r w:rsidRPr="00797096">
        <w:rPr>
          <w:szCs w:val="24"/>
        </w:rPr>
        <w:t>Muud võimalikud, kuid vähem levinud viisid:</w:t>
      </w:r>
    </w:p>
    <w:p w14:paraId="2039BC02" w14:textId="77777777" w:rsidR="006B1555" w:rsidRPr="00797096" w:rsidRDefault="006B1555" w:rsidP="006B1555">
      <w:pPr>
        <w:rPr>
          <w:szCs w:val="24"/>
        </w:rPr>
      </w:pPr>
      <w:r w:rsidRPr="00797096">
        <w:rPr>
          <w:szCs w:val="24"/>
        </w:rPr>
        <w:t>Nõudmine otse isikult: Menetleja võib ülekuulamise käigus (VTMS § 65) küsida isikult andmeid tema sissetuleku kohta ja paluda esitada vastavaid dokumente (nt pangakonto väljavõte). Samas on menetlusalusel isikul õigus keelduda ütluste andmisest (KrMS § 34 lg 1 p 1).</w:t>
      </w:r>
    </w:p>
    <w:p w14:paraId="61EE5B43" w14:textId="77777777" w:rsidR="006B1555" w:rsidRDefault="006B1555" w:rsidP="006B1555">
      <w:pPr>
        <w:rPr>
          <w:szCs w:val="24"/>
        </w:rPr>
      </w:pPr>
      <w:r w:rsidRPr="00797096">
        <w:rPr>
          <w:szCs w:val="24"/>
        </w:rPr>
        <w:t xml:space="preserve">Andmete töötlemisel, sealhulgas nende kogumisel ja kasutamisel, peab kohtuväline menetleja alati järgima isikuandmete </w:t>
      </w:r>
      <w:r w:rsidRPr="00AD7A06">
        <w:rPr>
          <w:szCs w:val="24"/>
        </w:rPr>
        <w:t xml:space="preserve">kaitse seaduse ja Euroopa Liidu isikuandmete kaitse üldmääruse </w:t>
      </w:r>
      <w:r w:rsidRPr="00AD7A06">
        <w:rPr>
          <w:szCs w:val="24"/>
        </w:rPr>
        <w:lastRenderedPageBreak/>
        <w:t>(GDPR) nõudeid, tagades, et andmeid kasutatakse ainult seaduslikul eesmärgil ja vajalikus mahus.</w:t>
      </w:r>
    </w:p>
    <w:p w14:paraId="102FFE92" w14:textId="77777777" w:rsidR="006B1555" w:rsidRDefault="006B1555" w:rsidP="006B1555">
      <w:pPr>
        <w:rPr>
          <w:szCs w:val="24"/>
        </w:rPr>
      </w:pPr>
    </w:p>
    <w:p w14:paraId="1C45E9BA" w14:textId="77777777" w:rsidR="006B1555" w:rsidRPr="00AD7A06" w:rsidRDefault="006B1555" w:rsidP="006B1555">
      <w:pPr>
        <w:rPr>
          <w:szCs w:val="24"/>
        </w:rPr>
      </w:pPr>
      <w:r w:rsidRPr="00AD7A06">
        <w:rPr>
          <w:szCs w:val="24"/>
        </w:rPr>
        <w:t>Juriidilise isiku käive on aastane kogukäive vastavalt viimasele kättesaadavale juhtimisorgani kinnitatud raamatupidamise aruandele. Kui juriidiline isik on emaettevõtja või sellise emaettevõtja tütarettevõtja, kes peab koostama konsolideeritud finantsaruandeid, siis on eelnevalt nimetatud kogukäive aastane kogukäive või vastav tululiik viimase kättesaadava konsolideeritud raamatupidamise aruande järgi, mille on heaks kiitnud kõrgeima taseme emaettevõtja juhtimisorgan.</w:t>
      </w:r>
    </w:p>
    <w:p w14:paraId="4124515F" w14:textId="77777777" w:rsidR="006B1555" w:rsidRPr="00AD7A06" w:rsidRDefault="006B1555" w:rsidP="006B1555">
      <w:pPr>
        <w:rPr>
          <w:szCs w:val="24"/>
        </w:rPr>
      </w:pPr>
    </w:p>
    <w:p w14:paraId="29528A52" w14:textId="77777777" w:rsidR="006B1555" w:rsidRDefault="006B1555" w:rsidP="006B1555">
      <w:pPr>
        <w:rPr>
          <w:b/>
          <w:bCs/>
          <w:szCs w:val="24"/>
        </w:rPr>
      </w:pPr>
      <w:r>
        <w:rPr>
          <w:b/>
          <w:bCs/>
          <w:szCs w:val="24"/>
        </w:rPr>
        <w:t xml:space="preserve">ELTS § 103 </w:t>
      </w:r>
    </w:p>
    <w:p w14:paraId="5E913957" w14:textId="77777777" w:rsidR="006B1555" w:rsidRDefault="006B1555" w:rsidP="006B1555">
      <w:pPr>
        <w:rPr>
          <w:b/>
          <w:bCs/>
          <w:szCs w:val="24"/>
        </w:rPr>
      </w:pPr>
      <w:r>
        <w:rPr>
          <w:b/>
          <w:bCs/>
          <w:szCs w:val="24"/>
        </w:rPr>
        <w:t>Lõiked 1 ja 2</w:t>
      </w:r>
    </w:p>
    <w:p w14:paraId="04519860" w14:textId="77777777" w:rsidR="006B1555" w:rsidRPr="00A67ED4" w:rsidRDefault="006B1555" w:rsidP="006B1555">
      <w:pPr>
        <w:rPr>
          <w:szCs w:val="24"/>
        </w:rPr>
      </w:pPr>
      <w:r>
        <w:rPr>
          <w:szCs w:val="24"/>
        </w:rPr>
        <w:t xml:space="preserve">Seaduse §-s 103 muudetakse kehtestatud trahvimäärasid </w:t>
      </w:r>
      <w:r w:rsidRPr="00AA3813">
        <w:rPr>
          <w:szCs w:val="24"/>
        </w:rPr>
        <w:t>Konkurentsiametile või süsteemihaldurile kohustusliku teabe esitamata jätmise eest</w:t>
      </w:r>
      <w:r>
        <w:rPr>
          <w:szCs w:val="24"/>
        </w:rPr>
        <w:t xml:space="preserve">. Füüsilise isiku poolt toime pandud rikkumise puhul suurendatakse trahvimäära 100 trahviühikult 300 trahviühikule ja juriidilise isiku trahvimäära piiri 1300 eurolt 400 000 eurole. Kehtiv trahvimäär 1300 </w:t>
      </w:r>
      <w:r w:rsidRPr="00E007B4">
        <w:rPr>
          <w:szCs w:val="24"/>
        </w:rPr>
        <w:t>eurot</w:t>
      </w:r>
      <w:r>
        <w:rPr>
          <w:szCs w:val="24"/>
        </w:rPr>
        <w:t xml:space="preserve"> kehtib aastast 2011 ning </w:t>
      </w:r>
      <w:r w:rsidRPr="00E007B4">
        <w:rPr>
          <w:szCs w:val="24"/>
        </w:rPr>
        <w:t xml:space="preserve">on tänaseks ajale jalgu jäänud ega oma </w:t>
      </w:r>
      <w:r>
        <w:rPr>
          <w:szCs w:val="24"/>
        </w:rPr>
        <w:t>rikkumisi ennetavat</w:t>
      </w:r>
      <w:r w:rsidRPr="00E007B4">
        <w:rPr>
          <w:szCs w:val="24"/>
        </w:rPr>
        <w:t xml:space="preserve"> mõju.</w:t>
      </w:r>
      <w:r>
        <w:rPr>
          <w:szCs w:val="24"/>
        </w:rPr>
        <w:t xml:space="preserve"> Uus trahvimäär on ühtlustatud maksimaalsete trahvimääradega ELTS </w:t>
      </w:r>
      <w:r w:rsidRPr="00A541D2">
        <w:rPr>
          <w:szCs w:val="24"/>
        </w:rPr>
        <w:t>§ 101</w:t>
      </w:r>
      <w:r w:rsidRPr="00471591">
        <w:rPr>
          <w:szCs w:val="24"/>
          <w:vertAlign w:val="superscript"/>
        </w:rPr>
        <w:t>1</w:t>
      </w:r>
      <w:r w:rsidRPr="00A541D2">
        <w:rPr>
          <w:szCs w:val="24"/>
        </w:rPr>
        <w:t xml:space="preserve"> lõi</w:t>
      </w:r>
      <w:r>
        <w:rPr>
          <w:szCs w:val="24"/>
        </w:rPr>
        <w:t>kes</w:t>
      </w:r>
      <w:r w:rsidRPr="00A541D2">
        <w:rPr>
          <w:szCs w:val="24"/>
        </w:rPr>
        <w:t xml:space="preserve"> 2</w:t>
      </w:r>
      <w:r>
        <w:rPr>
          <w:szCs w:val="24"/>
        </w:rPr>
        <w:t>, §-s 101</w:t>
      </w:r>
      <w:r>
        <w:rPr>
          <w:szCs w:val="24"/>
          <w:vertAlign w:val="superscript"/>
        </w:rPr>
        <w:t>3</w:t>
      </w:r>
      <w:r>
        <w:rPr>
          <w:szCs w:val="24"/>
        </w:rPr>
        <w:t xml:space="preserve"> ja </w:t>
      </w:r>
      <w:r w:rsidRPr="00A541D2">
        <w:rPr>
          <w:szCs w:val="24"/>
        </w:rPr>
        <w:t>§</w:t>
      </w:r>
      <w:r>
        <w:rPr>
          <w:szCs w:val="24"/>
        </w:rPr>
        <w:t> </w:t>
      </w:r>
      <w:r w:rsidRPr="00A541D2">
        <w:rPr>
          <w:szCs w:val="24"/>
        </w:rPr>
        <w:t>101</w:t>
      </w:r>
      <w:r>
        <w:rPr>
          <w:szCs w:val="24"/>
          <w:vertAlign w:val="superscript"/>
        </w:rPr>
        <w:t>4</w:t>
      </w:r>
      <w:r w:rsidRPr="00A541D2">
        <w:rPr>
          <w:szCs w:val="24"/>
        </w:rPr>
        <w:t xml:space="preserve"> lõi</w:t>
      </w:r>
      <w:r>
        <w:rPr>
          <w:szCs w:val="24"/>
        </w:rPr>
        <w:t>kes</w:t>
      </w:r>
      <w:r w:rsidRPr="00A541D2">
        <w:rPr>
          <w:szCs w:val="24"/>
        </w:rPr>
        <w:t xml:space="preserve"> </w:t>
      </w:r>
      <w:r>
        <w:rPr>
          <w:szCs w:val="24"/>
        </w:rPr>
        <w:t>2. Trahvimäärad on kooskõlas KarS § 1 lõikega 1, mille kohaselt võib m</w:t>
      </w:r>
      <w:r w:rsidRPr="003E6CB1">
        <w:rPr>
          <w:szCs w:val="24"/>
        </w:rPr>
        <w:t>uudes seadustes sätestatud väärtegude eest karistamiseks nendes seadustes sätestada</w:t>
      </w:r>
      <w:r>
        <w:rPr>
          <w:szCs w:val="24"/>
        </w:rPr>
        <w:t xml:space="preserve"> KarSi</w:t>
      </w:r>
      <w:r w:rsidRPr="003E6CB1">
        <w:rPr>
          <w:szCs w:val="24"/>
        </w:rPr>
        <w:t xml:space="preserve"> üldosast erisusi</w:t>
      </w:r>
      <w:r w:rsidRPr="003010CE">
        <w:rPr>
          <w:szCs w:val="24"/>
        </w:rPr>
        <w:t>, võttes arvesse reguleeritava valdkonna eripära</w:t>
      </w:r>
      <w:r>
        <w:rPr>
          <w:szCs w:val="24"/>
        </w:rPr>
        <w:t>.</w:t>
      </w:r>
    </w:p>
    <w:p w14:paraId="494F3F37" w14:textId="77777777" w:rsidR="006B1555" w:rsidRDefault="006B1555" w:rsidP="006B1555">
      <w:pPr>
        <w:rPr>
          <w:szCs w:val="24"/>
        </w:rPr>
      </w:pPr>
    </w:p>
    <w:p w14:paraId="0038FE7F" w14:textId="77777777" w:rsidR="006B1555" w:rsidRDefault="006B1555" w:rsidP="006B1555">
      <w:pPr>
        <w:rPr>
          <w:szCs w:val="24"/>
        </w:rPr>
      </w:pPr>
      <w:r>
        <w:rPr>
          <w:b/>
          <w:bCs/>
          <w:szCs w:val="24"/>
        </w:rPr>
        <w:t>ELTS § 103</w:t>
      </w:r>
      <w:r w:rsidRPr="00B71939">
        <w:rPr>
          <w:b/>
          <w:bCs/>
          <w:szCs w:val="24"/>
          <w:vertAlign w:val="superscript"/>
        </w:rPr>
        <w:t>1</w:t>
      </w:r>
      <w:r>
        <w:rPr>
          <w:szCs w:val="24"/>
        </w:rPr>
        <w:t xml:space="preserve"> </w:t>
      </w:r>
    </w:p>
    <w:p w14:paraId="2587F5A0" w14:textId="77777777" w:rsidR="006B1555" w:rsidRDefault="006B1555" w:rsidP="006B1555">
      <w:pPr>
        <w:rPr>
          <w:szCs w:val="24"/>
        </w:rPr>
      </w:pPr>
      <w:r>
        <w:rPr>
          <w:szCs w:val="24"/>
        </w:rPr>
        <w:t>Seadust täiendatakse §-ga 103</w:t>
      </w:r>
      <w:r>
        <w:rPr>
          <w:szCs w:val="24"/>
          <w:vertAlign w:val="superscript"/>
        </w:rPr>
        <w:t>1</w:t>
      </w:r>
      <w:r>
        <w:rPr>
          <w:szCs w:val="24"/>
        </w:rPr>
        <w:t xml:space="preserve"> ja kehtestatakse andmete kogumise nõude rikkumisele kehtivad trahvimäärad. Andmete esitamise nõuded on sätestatud REMIT määruse artiklis 8.</w:t>
      </w:r>
    </w:p>
    <w:p w14:paraId="6BE6CA66" w14:textId="77777777" w:rsidR="006B1555" w:rsidRDefault="006B1555" w:rsidP="006B1555">
      <w:pPr>
        <w:rPr>
          <w:szCs w:val="24"/>
        </w:rPr>
      </w:pPr>
    </w:p>
    <w:p w14:paraId="0FEF9A07" w14:textId="77777777" w:rsidR="006B1555" w:rsidRDefault="006B1555" w:rsidP="006B1555">
      <w:pPr>
        <w:rPr>
          <w:b/>
          <w:bCs/>
          <w:szCs w:val="24"/>
        </w:rPr>
      </w:pPr>
      <w:r>
        <w:rPr>
          <w:b/>
          <w:bCs/>
          <w:szCs w:val="24"/>
        </w:rPr>
        <w:t xml:space="preserve">ELTS § 105 </w:t>
      </w:r>
    </w:p>
    <w:p w14:paraId="75F4B277" w14:textId="77777777" w:rsidR="006B1555" w:rsidRDefault="006B1555" w:rsidP="006B1555">
      <w:pPr>
        <w:rPr>
          <w:szCs w:val="24"/>
        </w:rPr>
      </w:pPr>
      <w:r>
        <w:rPr>
          <w:b/>
          <w:bCs/>
          <w:szCs w:val="24"/>
        </w:rPr>
        <w:t>Lõige 2</w:t>
      </w:r>
      <w:r>
        <w:rPr>
          <w:szCs w:val="24"/>
        </w:rPr>
        <w:t xml:space="preserve"> </w:t>
      </w:r>
    </w:p>
    <w:p w14:paraId="476F7AB6" w14:textId="77777777" w:rsidR="006B1555" w:rsidRPr="00C30C68" w:rsidRDefault="006B1555" w:rsidP="006B1555">
      <w:pPr>
        <w:rPr>
          <w:szCs w:val="24"/>
        </w:rPr>
      </w:pPr>
      <w:r>
        <w:rPr>
          <w:szCs w:val="24"/>
        </w:rPr>
        <w:t>P</w:t>
      </w:r>
      <w:r w:rsidRPr="00A70F03">
        <w:rPr>
          <w:szCs w:val="24"/>
        </w:rPr>
        <w:t>aragrahvi 105 lõikes</w:t>
      </w:r>
      <w:r>
        <w:rPr>
          <w:szCs w:val="24"/>
        </w:rPr>
        <w:t xml:space="preserve"> 2 asendatakse</w:t>
      </w:r>
      <w:r w:rsidRPr="00A70F03">
        <w:rPr>
          <w:szCs w:val="24"/>
        </w:rPr>
        <w:t xml:space="preserve"> arv „3200“ arvuga „400 000“</w:t>
      </w:r>
      <w:r>
        <w:rPr>
          <w:szCs w:val="24"/>
        </w:rPr>
        <w:t xml:space="preserve"> ehk suurendatakse juriidiliste isikule määratavat maksimaalset trahvimäära teabesaladuse hoidmise kohustuse rikkumise korral.</w:t>
      </w:r>
      <w:r w:rsidRPr="00C30C68">
        <w:rPr>
          <w:szCs w:val="24"/>
        </w:rPr>
        <w:t xml:space="preserve"> Muudatus on vajalik, et tagada rikkumiste eest kohaldatavate sanktsioonide tõhusus. Kehtiv trahvimäär 3200 eurot on kehtinud aastast 2011 ning on tänaseks ajale jalgu jäänud ega oma rikkumistele ennetavat mõju. Trahvimäär on kooskõlas karistusseadustiku (edaspidi </w:t>
      </w:r>
      <w:r w:rsidRPr="00C30C68">
        <w:rPr>
          <w:i/>
          <w:iCs/>
          <w:szCs w:val="24"/>
        </w:rPr>
        <w:t>KarS</w:t>
      </w:r>
      <w:r w:rsidRPr="00C30C68">
        <w:rPr>
          <w:szCs w:val="24"/>
        </w:rPr>
        <w:t>) § 47 lõikega 2, mille kohaselt võib juriidilisele isikule kohaldada rahatrahvi 100–400 000 eurot.</w:t>
      </w:r>
    </w:p>
    <w:p w14:paraId="1AC37F25" w14:textId="77777777" w:rsidR="006B1555" w:rsidRPr="00D4311F" w:rsidRDefault="006B1555" w:rsidP="006B1555">
      <w:pPr>
        <w:rPr>
          <w:szCs w:val="24"/>
        </w:rPr>
      </w:pPr>
    </w:p>
    <w:p w14:paraId="58F17EEA" w14:textId="77777777" w:rsidR="006B1555" w:rsidRDefault="006B1555" w:rsidP="006B1555">
      <w:pPr>
        <w:rPr>
          <w:szCs w:val="24"/>
        </w:rPr>
      </w:pPr>
      <w:r>
        <w:rPr>
          <w:b/>
          <w:bCs/>
          <w:szCs w:val="24"/>
        </w:rPr>
        <w:t>ELTS § 106</w:t>
      </w:r>
      <w:r>
        <w:rPr>
          <w:szCs w:val="24"/>
        </w:rPr>
        <w:t xml:space="preserve"> </w:t>
      </w:r>
    </w:p>
    <w:p w14:paraId="439EB3FE" w14:textId="77777777" w:rsidR="006B1555" w:rsidRDefault="006B1555" w:rsidP="006B1555">
      <w:pPr>
        <w:rPr>
          <w:szCs w:val="24"/>
        </w:rPr>
      </w:pPr>
      <w:r>
        <w:rPr>
          <w:szCs w:val="24"/>
        </w:rPr>
        <w:t xml:space="preserve">Muudatusega kehtestatakse väärtegude aegumistähtaeg 5 aastat. </w:t>
      </w:r>
      <w:r w:rsidRPr="001173D7">
        <w:rPr>
          <w:szCs w:val="24"/>
        </w:rPr>
        <w:t>Kehtiv</w:t>
      </w:r>
      <w:r>
        <w:rPr>
          <w:szCs w:val="24"/>
        </w:rPr>
        <w:t xml:space="preserve"> </w:t>
      </w:r>
      <w:r w:rsidRPr="001173D7">
        <w:rPr>
          <w:szCs w:val="24"/>
        </w:rPr>
        <w:t xml:space="preserve">KarS § 1 lõige </w:t>
      </w:r>
      <w:r>
        <w:rPr>
          <w:szCs w:val="24"/>
        </w:rPr>
        <w:t>1</w:t>
      </w:r>
      <w:r w:rsidRPr="001173D7">
        <w:rPr>
          <w:szCs w:val="24"/>
        </w:rPr>
        <w:t xml:space="preserve"> näeb ette, et </w:t>
      </w:r>
      <w:r>
        <w:rPr>
          <w:szCs w:val="24"/>
        </w:rPr>
        <w:t>m</w:t>
      </w:r>
      <w:r w:rsidRPr="00AD7A06">
        <w:rPr>
          <w:szCs w:val="24"/>
        </w:rPr>
        <w:t>uudes seadustes sätestatud väärtegude eest karistamiseks võib nendes seadustes sätestada käesoleva seadustiku üldosast erisusi, kui seda nõuab reguleeritava valdkonna eripära.</w:t>
      </w:r>
    </w:p>
    <w:p w14:paraId="3A6C0113" w14:textId="77777777" w:rsidR="006B1555" w:rsidRPr="0093747C" w:rsidRDefault="006B1555" w:rsidP="006B1555">
      <w:pPr>
        <w:rPr>
          <w:szCs w:val="24"/>
        </w:rPr>
      </w:pPr>
      <w:r w:rsidRPr="0093747C">
        <w:rPr>
          <w:szCs w:val="24"/>
        </w:rPr>
        <w:t xml:space="preserve">Eestis on energia hulgimüügituru rikkumiste uurimine väärteomenetluse korras keeruline mitmel põhjusel, mis tulenevad nii </w:t>
      </w:r>
      <w:r>
        <w:rPr>
          <w:szCs w:val="24"/>
        </w:rPr>
        <w:t>ELi</w:t>
      </w:r>
      <w:r w:rsidRPr="0093747C">
        <w:rPr>
          <w:szCs w:val="24"/>
        </w:rPr>
        <w:t xml:space="preserve"> otsekohalduvast regulatsioonist kui ka Eesti siseriikliku väärteomenetluse eripäradest. Peamised väljakutsed on seotud piiriülese koostöö, uurimisvolituste piiratuse ja menetluse keerukusega.</w:t>
      </w:r>
    </w:p>
    <w:p w14:paraId="5C71FBA9" w14:textId="77777777" w:rsidR="006B1555" w:rsidRPr="0093747C" w:rsidRDefault="006B1555" w:rsidP="006B1555">
      <w:pPr>
        <w:rPr>
          <w:szCs w:val="24"/>
        </w:rPr>
      </w:pPr>
    </w:p>
    <w:p w14:paraId="1BD0605B" w14:textId="77777777" w:rsidR="006B1555" w:rsidRDefault="006B1555" w:rsidP="006B1555">
      <w:pPr>
        <w:rPr>
          <w:szCs w:val="24"/>
        </w:rPr>
      </w:pPr>
      <w:r w:rsidRPr="0093747C">
        <w:rPr>
          <w:szCs w:val="24"/>
        </w:rPr>
        <w:t>Elektri hulgiturg on oma olemuselt piiriülene, mis tähendab, et tehingud ja turuosalised tegutsevad sageli mitme riigi jurisdiktsioonis. Rikkumised võivad hõlmata keerukaid aheltehinguid ja osalisi erinevates riikides, muutes tõendite kogumise ja süüdlaste vastutusele võtmise äärmiselt keeruliseks. See eeldab pidevat ja tõhusat koostööd teiste riikide järelevalveasutustega, mille koordineerimine on aeganõudev ja ressurssimahukas. Rääkimata sellest, et tuleb arvestada teiste riikide järelevalveasutuste piiratud ressursse ja prioriteete.</w:t>
      </w:r>
    </w:p>
    <w:p w14:paraId="240D545C" w14:textId="77777777" w:rsidR="006B1555" w:rsidRPr="0093747C" w:rsidRDefault="006B1555" w:rsidP="006B1555">
      <w:pPr>
        <w:rPr>
          <w:szCs w:val="24"/>
        </w:rPr>
      </w:pPr>
    </w:p>
    <w:p w14:paraId="2E6A03F9" w14:textId="77777777" w:rsidR="006B1555" w:rsidRPr="0093747C" w:rsidRDefault="006B1555" w:rsidP="006B1555">
      <w:pPr>
        <w:rPr>
          <w:szCs w:val="24"/>
        </w:rPr>
      </w:pPr>
      <w:r w:rsidRPr="0093747C">
        <w:rPr>
          <w:szCs w:val="24"/>
        </w:rPr>
        <w:lastRenderedPageBreak/>
        <w:t xml:space="preserve">REMIT </w:t>
      </w:r>
      <w:r>
        <w:rPr>
          <w:szCs w:val="24"/>
        </w:rPr>
        <w:t xml:space="preserve">määrus </w:t>
      </w:r>
      <w:r w:rsidRPr="0093747C">
        <w:rPr>
          <w:szCs w:val="24"/>
        </w:rPr>
        <w:t>on olemuslikult üldsõnaline. Seda täpsustab oluliselt n-ö REMIT-i juhis, mis on aga vaid soovitusliku iseloomuga. See tähendab, et kui turuosaline ka rikub REMIT-i juhises toodud põhimõtteid, ei saa seda talle rikkumisena ette heita.</w:t>
      </w:r>
    </w:p>
    <w:p w14:paraId="342723ED" w14:textId="77777777" w:rsidR="006B1555" w:rsidRDefault="006B1555" w:rsidP="006B1555">
      <w:pPr>
        <w:rPr>
          <w:szCs w:val="24"/>
        </w:rPr>
      </w:pPr>
    </w:p>
    <w:p w14:paraId="5C9A04FA" w14:textId="77777777" w:rsidR="006B1555" w:rsidRDefault="006B1555" w:rsidP="006B1555">
      <w:pPr>
        <w:rPr>
          <w:szCs w:val="24"/>
        </w:rPr>
      </w:pPr>
      <w:r w:rsidRPr="0093747C">
        <w:rPr>
          <w:szCs w:val="24"/>
        </w:rPr>
        <w:t>Rikkumise tõendamist raskendab oluliselt tõendite lubatavuse küsimus. Selleks, et selgitada välja, kas tegemist võib olla rikkumisega, peab amet turuosalistelt teavet küsima. Teavet on ametil õigus nõuda järelevalvemenetluse käigus. Järelevalvemenetluses kogutud teabe kasutamine väärteomenetluses on piiratud nn enese mittesüüstamise privileegiga. Järelevalvemenetluses sunni (nt sunniraha) ähvardusel saadud tõendeid ei saa väärteomenetluses otse kasutada süüdistuse alusena. Väärteomenetluses on isikul õigus keelduda ütluste andmisest, mis võiksid teda süüstada. See loob olukorra, kus järelevalveasutusel on teave võimalikust rikkumisest, kuid selle tõendamine väärteomenetluses on seaduslike piirangute tõttu peaaegu võimatu.</w:t>
      </w:r>
    </w:p>
    <w:p w14:paraId="1BBDC869" w14:textId="77777777" w:rsidR="006B1555" w:rsidRPr="0093747C" w:rsidRDefault="006B1555" w:rsidP="006B1555">
      <w:pPr>
        <w:rPr>
          <w:szCs w:val="24"/>
        </w:rPr>
      </w:pPr>
    </w:p>
    <w:p w14:paraId="5ABE1299" w14:textId="77777777" w:rsidR="006B1555" w:rsidRDefault="006B1555" w:rsidP="006B1555">
      <w:pPr>
        <w:rPr>
          <w:szCs w:val="24"/>
        </w:rPr>
      </w:pPr>
      <w:r w:rsidRPr="0093747C">
        <w:rPr>
          <w:szCs w:val="24"/>
        </w:rPr>
        <w:t>Lisaks ülaltoodule muudab menetluse keerukaks ka see, et energiaturul tegutsevad reeglina juriidilised isikud (ettevõtjad). Väärteomenetluses on vaja tuvastada konkreetse füüsilise isiku (nt juhatuse liikme, töötaja) süüline tegu või tegevusetus, kes juriidilise isiku nimel tegutses ja kellel oli kohustus turu reegleid järgida. See seostamise keerukus on praktikas suur probleem. Lisaks on oluline arvestada Eesti väärteomenetluse eripäraga, kus rõhuasetus on pigem üksikisiku vastutusel, mis ei pruugi olla piisavalt paindlik keerukate korporatiivsete rikkumiste puhul.</w:t>
      </w:r>
    </w:p>
    <w:p w14:paraId="48DC6919" w14:textId="77777777" w:rsidR="006B1555" w:rsidRPr="0093747C" w:rsidRDefault="006B1555" w:rsidP="006B1555">
      <w:pPr>
        <w:rPr>
          <w:szCs w:val="24"/>
        </w:rPr>
      </w:pPr>
    </w:p>
    <w:p w14:paraId="4AB8C50A" w14:textId="77777777" w:rsidR="006B1555" w:rsidRPr="0093747C" w:rsidRDefault="006B1555" w:rsidP="006B1555">
      <w:pPr>
        <w:rPr>
          <w:szCs w:val="24"/>
        </w:rPr>
      </w:pPr>
      <w:r w:rsidRPr="0093747C">
        <w:rPr>
          <w:szCs w:val="24"/>
        </w:rPr>
        <w:t>Oluliseks väljakutseks on ka kohtupraktika, mis vahel kaldub seisukohale, et kui rikkumisega ei ole kaasnenud konkreetset ja mõõdetavat reaalset kahju turule või tarbijatele, siis ei pruugi tegemist olla väärteoga või on karistuse määramine raskendatud. Energiaturgu manipuleerivate tehingute korral on reaalset kahju sageli äärmiselt keeruline tõendada ja rahaliselt hinnata. Samuti on oluline TSO-de roll, kellel sageli õnnestub rikkumis ennetada, näiteks mitte võimaldades turumanipulatsioonikahtlusega pakkumistel turule jõuda. Olemuslikult on mistahes rikkumine oht turu toimimisele, mis tõttu peaks olema võimalik resoluutselt karistada ka selliseid turuosalisi, kelle toime pandud rikkumine neist sõltumatutel põhjuselt reaalset kahju ei tekitanud. Sageli seisneb kahju turu läbipaistmatuses, usalduse vähenemises või potentsiaalses ohu tekitamises turu stabiilsusele, mis ei väljendu alati otseses rahalises kaotuses konkreetsele isikule või rahalise võiduna rikkujale. See hoiak takistab karistuse kohaldamist isegi siis, kui rikkumine on sisuliselt aset leidnud ja on vastuolus REMIT-i eesmärgiga, mis keskendub turu terviklikkuse kaitsmisele, olenemata reaalsest kahjust või kasust.</w:t>
      </w:r>
    </w:p>
    <w:p w14:paraId="2D6BEC1F" w14:textId="77777777" w:rsidR="006B1555" w:rsidRPr="0093747C" w:rsidRDefault="006B1555" w:rsidP="006B1555">
      <w:pPr>
        <w:rPr>
          <w:b/>
          <w:bCs/>
          <w:szCs w:val="24"/>
        </w:rPr>
      </w:pPr>
    </w:p>
    <w:p w14:paraId="204E32C9" w14:textId="77777777" w:rsidR="006B1555" w:rsidRPr="0093747C" w:rsidRDefault="006B1555" w:rsidP="006B1555">
      <w:pPr>
        <w:rPr>
          <w:b/>
          <w:bCs/>
          <w:szCs w:val="24"/>
        </w:rPr>
      </w:pPr>
      <w:r w:rsidRPr="0093747C">
        <w:rPr>
          <w:b/>
          <w:bCs/>
          <w:szCs w:val="24"/>
        </w:rPr>
        <w:t>Euroopa Liidu ja Eesti õiguse koosmõju</w:t>
      </w:r>
    </w:p>
    <w:p w14:paraId="72FF1478" w14:textId="77777777" w:rsidR="006B1555" w:rsidRPr="0093747C" w:rsidRDefault="006B1555" w:rsidP="006B1555">
      <w:pPr>
        <w:rPr>
          <w:b/>
          <w:bCs/>
          <w:szCs w:val="24"/>
        </w:rPr>
      </w:pPr>
      <w:r w:rsidRPr="0093747C">
        <w:rPr>
          <w:szCs w:val="24"/>
        </w:rPr>
        <w:t>Energia hulgimüügiturgu reguleerib REMIT</w:t>
      </w:r>
      <w:r>
        <w:rPr>
          <w:szCs w:val="24"/>
        </w:rPr>
        <w:t xml:space="preserve"> määrus</w:t>
      </w:r>
      <w:r w:rsidRPr="0093747C">
        <w:rPr>
          <w:szCs w:val="24"/>
        </w:rPr>
        <w:t>. See määrus on Eestis otsekohalduv ja seab turuosalistele ranged kohustused ning keelab turuga manipuleerimise ja siseteabe alusel kauplemise.</w:t>
      </w:r>
    </w:p>
    <w:p w14:paraId="3EC13C6D" w14:textId="77777777" w:rsidR="006B1555" w:rsidRDefault="006B1555" w:rsidP="006B1555">
      <w:pPr>
        <w:rPr>
          <w:szCs w:val="24"/>
        </w:rPr>
      </w:pPr>
      <w:r w:rsidRPr="0093747C">
        <w:rPr>
          <w:szCs w:val="24"/>
        </w:rPr>
        <w:t xml:space="preserve">REMIT </w:t>
      </w:r>
      <w:r>
        <w:rPr>
          <w:szCs w:val="24"/>
        </w:rPr>
        <w:t xml:space="preserve">määrus </w:t>
      </w:r>
      <w:r w:rsidRPr="0093747C">
        <w:rPr>
          <w:szCs w:val="24"/>
        </w:rPr>
        <w:t>näeb ette, et riiklikud reguleerivad asutused (Eestis Konkurentsiamet) peavad tegema tihedat koostööd Energeetikasektorit Reguleerivate Asutuste Koostööametiga (ACER) ja teiste liikmesriikide regulaatoritega, et avastada ja ennetada piiriüleseid rikkumisi.</w:t>
      </w:r>
    </w:p>
    <w:p w14:paraId="1637ECC1" w14:textId="77777777" w:rsidR="006B1555" w:rsidRPr="0093747C" w:rsidRDefault="006B1555" w:rsidP="006B1555">
      <w:pPr>
        <w:rPr>
          <w:szCs w:val="24"/>
        </w:rPr>
      </w:pPr>
    </w:p>
    <w:p w14:paraId="7A8262B4" w14:textId="77777777" w:rsidR="006B1555" w:rsidRPr="0093747C" w:rsidRDefault="006B1555" w:rsidP="006B1555">
      <w:pPr>
        <w:rPr>
          <w:b/>
          <w:bCs/>
          <w:szCs w:val="24"/>
        </w:rPr>
      </w:pPr>
      <w:r w:rsidRPr="0093747C">
        <w:rPr>
          <w:b/>
          <w:bCs/>
          <w:szCs w:val="24"/>
        </w:rPr>
        <w:t>Väärteomenetluse piirangud ja väljakutsed</w:t>
      </w:r>
    </w:p>
    <w:p w14:paraId="7711953D" w14:textId="77777777" w:rsidR="006B1555" w:rsidRPr="0093747C" w:rsidRDefault="006B1555" w:rsidP="006B1555">
      <w:pPr>
        <w:rPr>
          <w:szCs w:val="24"/>
        </w:rPr>
      </w:pPr>
      <w:r w:rsidRPr="0093747C">
        <w:rPr>
          <w:szCs w:val="24"/>
        </w:rPr>
        <w:t>VTMS sätestab korra, kuidas väärtegusid uuritakse ja menetletakse. Energia hulgimüügituru rikkumiste puhul tekivad aga järgmised takistused:</w:t>
      </w:r>
    </w:p>
    <w:p w14:paraId="78973D1E" w14:textId="77777777" w:rsidR="006B1555" w:rsidRPr="0093747C" w:rsidRDefault="006B1555" w:rsidP="006B1555">
      <w:pPr>
        <w:numPr>
          <w:ilvl w:val="0"/>
          <w:numId w:val="36"/>
        </w:numPr>
        <w:rPr>
          <w:szCs w:val="24"/>
        </w:rPr>
      </w:pPr>
      <w:r w:rsidRPr="0093747C">
        <w:rPr>
          <w:b/>
          <w:bCs/>
          <w:szCs w:val="24"/>
        </w:rPr>
        <w:t>Piiratud uurimisvolitused:</w:t>
      </w:r>
      <w:r w:rsidRPr="0093747C">
        <w:rPr>
          <w:szCs w:val="24"/>
        </w:rPr>
        <w:t xml:space="preserve"> VTMS annab kohtuvälisele menetlejale (nt Konkurentsiametile) teatud uurimisvolitused, nagu isikute ülekuulamine ja dokumentide nõudmine. REMIT-ist tulenevate keerukate ja sageli piiriüleste rikkumiste uurimiseks, mis võivad hõlmata keerulisi finantsinstrumente ja kauplemisstrateegiaid, ei pruugi nendest volitustest piisata. REMIT näeb ette ulatuslikumad uurimisvolitused, sealhulgas </w:t>
      </w:r>
      <w:r w:rsidRPr="0093747C">
        <w:rPr>
          <w:szCs w:val="24"/>
        </w:rPr>
        <w:lastRenderedPageBreak/>
        <w:t>kohapealsed kontrollid ja teabe vahetamine teiste riikide asutustega, mis võib olla Eesti väärteomenetluse raames keeruline teostada.</w:t>
      </w:r>
    </w:p>
    <w:p w14:paraId="5D10A0C2" w14:textId="77777777" w:rsidR="006B1555" w:rsidRPr="0093747C" w:rsidRDefault="006B1555" w:rsidP="006B1555">
      <w:pPr>
        <w:numPr>
          <w:ilvl w:val="0"/>
          <w:numId w:val="36"/>
        </w:numPr>
        <w:rPr>
          <w:szCs w:val="24"/>
        </w:rPr>
      </w:pPr>
      <w:r w:rsidRPr="0093747C">
        <w:rPr>
          <w:b/>
          <w:bCs/>
          <w:szCs w:val="24"/>
        </w:rPr>
        <w:t>Piiriülene koostöö:</w:t>
      </w:r>
      <w:r w:rsidRPr="0093747C">
        <w:rPr>
          <w:szCs w:val="24"/>
        </w:rPr>
        <w:t> Energia hulgimüügiturud on olemuselt piiriülesed. Rikkumised võivad toimuda mitmes riigis samaaegselt või olla seotud mitme riigi turuosalistega. REMIT nõuab tihedat koostööd ja teabevahetust erinevate riikide regulaatorite vahel. Eesti väärteomenetluse seadustik on aga peamiselt suunatud siseriiklike rikkumiste menetlemisele ja ei pruugi pakkuda piisavalt paindlikke mehhanisme rahvusvaheliseks koostööks ja tõendite kogumiseks.</w:t>
      </w:r>
    </w:p>
    <w:p w14:paraId="61F40BDD" w14:textId="77777777" w:rsidR="006B1555" w:rsidRPr="0093747C" w:rsidRDefault="006B1555" w:rsidP="006B1555">
      <w:pPr>
        <w:numPr>
          <w:ilvl w:val="0"/>
          <w:numId w:val="36"/>
        </w:numPr>
        <w:rPr>
          <w:szCs w:val="24"/>
        </w:rPr>
      </w:pPr>
      <w:r w:rsidRPr="0093747C">
        <w:rPr>
          <w:b/>
          <w:bCs/>
          <w:szCs w:val="24"/>
        </w:rPr>
        <w:t>Menetluse keerukus ja ajakulu:</w:t>
      </w:r>
      <w:r w:rsidRPr="0093747C">
        <w:rPr>
          <w:szCs w:val="24"/>
        </w:rPr>
        <w:t> Energia hulgimüügituru rikkumiste uurimine nõuab eriteadmisi energeetika, finantsturgude ja andmeanalüüsi valdkonnas. Tõendite kogumine ja analüüsimine võib olla aeganõudev ja ressursimahukas. Väärteomenetluse raames, kus menetlustähtajad on sageli lühemad ja menetlus lihtsustatud võrreldes kriminaalmenetlusega, võib keerukate turumanipulatsiooni juhtumite uurimine osutuda problemaatiliseks. Samuti on üks aspektiks, et energia hulgimüügiturul tegutsevad juriidilised isikud, aga väärteomenetluses on vaja tuvastada konkreetse füüsilise isiku (nt juriidilise isiku juhatuse liikme, töötaja), kes juriidilise isiku nimel tegutses, süüline tegu või tegevusetus, mis seisneb energia hulgimüügituru reeglite rikkumises.</w:t>
      </w:r>
    </w:p>
    <w:p w14:paraId="6A7811DF" w14:textId="77777777" w:rsidR="006B1555" w:rsidRPr="0093747C" w:rsidRDefault="006B1555" w:rsidP="006B1555">
      <w:pPr>
        <w:rPr>
          <w:b/>
          <w:bCs/>
          <w:szCs w:val="24"/>
        </w:rPr>
      </w:pPr>
    </w:p>
    <w:p w14:paraId="1B528A21" w14:textId="77777777" w:rsidR="006B1555" w:rsidRPr="0093747C" w:rsidRDefault="006B1555" w:rsidP="006B1555">
      <w:pPr>
        <w:rPr>
          <w:szCs w:val="24"/>
        </w:rPr>
      </w:pPr>
      <w:r w:rsidRPr="0093747C">
        <w:rPr>
          <w:szCs w:val="24"/>
        </w:rPr>
        <w:t>Kaheaastane väärteo aegumistähtaeg võib energia hulgimüügituru rikkumiste uurimiseks osutuda liiga lühikeseks just menetluse keerukuse ja ajakulu tõttu. Põhjused on järgmised:</w:t>
      </w:r>
    </w:p>
    <w:p w14:paraId="4889DFF7" w14:textId="77777777" w:rsidR="006B1555" w:rsidRPr="0093747C" w:rsidRDefault="006B1555" w:rsidP="006B1555">
      <w:pPr>
        <w:rPr>
          <w:szCs w:val="24"/>
        </w:rPr>
      </w:pPr>
      <w:r w:rsidRPr="0093747C">
        <w:rPr>
          <w:b/>
          <w:bCs/>
          <w:szCs w:val="24"/>
        </w:rPr>
        <w:t>Andmete kogumise ja analüüsi tohutu maht ja keerukus:</w:t>
      </w:r>
    </w:p>
    <w:p w14:paraId="6C61E79C" w14:textId="77777777" w:rsidR="006B1555" w:rsidRPr="0093747C" w:rsidRDefault="006B1555" w:rsidP="006B1555">
      <w:pPr>
        <w:numPr>
          <w:ilvl w:val="0"/>
          <w:numId w:val="37"/>
        </w:numPr>
        <w:rPr>
          <w:szCs w:val="24"/>
        </w:rPr>
      </w:pPr>
      <w:r w:rsidRPr="0093747C">
        <w:rPr>
          <w:b/>
          <w:bCs/>
          <w:szCs w:val="24"/>
        </w:rPr>
        <w:t>Massiivsed andmehulgad:</w:t>
      </w:r>
      <w:r w:rsidRPr="0093747C">
        <w:rPr>
          <w:szCs w:val="24"/>
        </w:rPr>
        <w:t> Energia hulgimüügiturgudel tehakse iga päev tuhandeid tehinguid ja kauplemiskorraldusi. REMIT-i kohaselt peavad turuosalised nendest tehingutest teavitama ACER-it. See loob tohutu andmebaasi, mille läbitöötamine rikkumiste tuvastamiseks on aeganõudev.</w:t>
      </w:r>
    </w:p>
    <w:p w14:paraId="02FF468F" w14:textId="77777777" w:rsidR="006B1555" w:rsidRPr="0093747C" w:rsidRDefault="006B1555" w:rsidP="006B1555">
      <w:pPr>
        <w:numPr>
          <w:ilvl w:val="0"/>
          <w:numId w:val="37"/>
        </w:numPr>
        <w:rPr>
          <w:szCs w:val="24"/>
        </w:rPr>
      </w:pPr>
      <w:r w:rsidRPr="0093747C">
        <w:rPr>
          <w:b/>
          <w:bCs/>
          <w:szCs w:val="24"/>
        </w:rPr>
        <w:t>Keerukad kauplemisstrateegiad:</w:t>
      </w:r>
      <w:r w:rsidRPr="0093747C">
        <w:rPr>
          <w:szCs w:val="24"/>
        </w:rPr>
        <w:t> Turuga manipuleerimine ei ole tihti lihtne ja ilmne tegevus. See võib hõlmata keerukaid ja pealtnäha legitiimseid kauplemisstrateegiaid, mis on jaotatud pikema perioodi peale. Rikkumise mustri tuvastamine nõuab spetsiifilisi teadmisi ja põhjalikku andmeanalüüsi, et eristada ebaseaduslikku tegevust tavapärasest turukäitumisest.</w:t>
      </w:r>
    </w:p>
    <w:p w14:paraId="16428B3B" w14:textId="77777777" w:rsidR="006B1555" w:rsidRPr="0093747C" w:rsidRDefault="006B1555" w:rsidP="006B1555">
      <w:pPr>
        <w:numPr>
          <w:ilvl w:val="0"/>
          <w:numId w:val="37"/>
        </w:numPr>
        <w:rPr>
          <w:szCs w:val="24"/>
        </w:rPr>
      </w:pPr>
      <w:r w:rsidRPr="0093747C">
        <w:rPr>
          <w:b/>
          <w:bCs/>
          <w:szCs w:val="24"/>
        </w:rPr>
        <w:t>Algoritmkauplemine:</w:t>
      </w:r>
      <w:r w:rsidRPr="0093747C">
        <w:rPr>
          <w:szCs w:val="24"/>
        </w:rPr>
        <w:t> Suur osa tehingutest tehakse algoritmide abil, mis muudab kavatsuse ja tegevuse tagamaade uurimise veelgi keerulisemaks. Menetlejad peavad analüüsima mitte ainult tehinguid, vaid ka kauplemissüsteemide loogikat.</w:t>
      </w:r>
    </w:p>
    <w:p w14:paraId="11E42184" w14:textId="77777777" w:rsidR="006B1555" w:rsidRPr="0093747C" w:rsidRDefault="006B1555" w:rsidP="006B1555">
      <w:pPr>
        <w:rPr>
          <w:szCs w:val="24"/>
        </w:rPr>
      </w:pPr>
      <w:r w:rsidRPr="0093747C">
        <w:rPr>
          <w:b/>
          <w:bCs/>
          <w:szCs w:val="24"/>
        </w:rPr>
        <w:t>Aeganõudev rahvusvaheline koostöö:</w:t>
      </w:r>
    </w:p>
    <w:p w14:paraId="77E68F94" w14:textId="77777777" w:rsidR="006B1555" w:rsidRPr="0093747C" w:rsidRDefault="006B1555" w:rsidP="006B1555">
      <w:pPr>
        <w:numPr>
          <w:ilvl w:val="0"/>
          <w:numId w:val="38"/>
        </w:numPr>
        <w:rPr>
          <w:szCs w:val="24"/>
        </w:rPr>
      </w:pPr>
      <w:r w:rsidRPr="0093747C">
        <w:rPr>
          <w:b/>
          <w:bCs/>
          <w:szCs w:val="24"/>
        </w:rPr>
        <w:t>Piiriülene turg:</w:t>
      </w:r>
      <w:r w:rsidRPr="0093747C">
        <w:rPr>
          <w:szCs w:val="24"/>
        </w:rPr>
        <w:t> Euroopa energiaturg on integreeritud, mis tähendab, et tehingud ja nende mõju ületavad riigipiire. Rikkumine, mis pannakse toime ühes riigis, võib mõjutada hindu mitmes teises riigis.</w:t>
      </w:r>
    </w:p>
    <w:p w14:paraId="631F1DAB" w14:textId="77777777" w:rsidR="006B1555" w:rsidRPr="0093747C" w:rsidRDefault="006B1555" w:rsidP="006B1555">
      <w:pPr>
        <w:numPr>
          <w:ilvl w:val="0"/>
          <w:numId w:val="38"/>
        </w:numPr>
        <w:rPr>
          <w:szCs w:val="24"/>
        </w:rPr>
      </w:pPr>
      <w:r w:rsidRPr="0093747C">
        <w:rPr>
          <w:b/>
          <w:bCs/>
          <w:szCs w:val="24"/>
        </w:rPr>
        <w:t>Teabevahetus ja uurimisrühmad:</w:t>
      </w:r>
      <w:r w:rsidRPr="0093747C">
        <w:rPr>
          <w:szCs w:val="24"/>
        </w:rPr>
        <w:t> Rikkumise uurimiseks on Konkurentsiametil vaja teha tihedat koostööd ACER-i ja teiste liikmesriikide regulaatoritega. See hõlmab ametlike teabenõuete esitamist, andmete vahetamist ja vajadusel ühiste uurimisrühmade moodustamist. Rahvusvaheline asjaajamine, tõlkimine ja eri riikide õigussüsteemide kooskõlastamine on paratamatult aeganõudev protsess.</w:t>
      </w:r>
    </w:p>
    <w:p w14:paraId="3BC22188" w14:textId="77777777" w:rsidR="006B1555" w:rsidRPr="0093747C" w:rsidRDefault="006B1555" w:rsidP="006B1555">
      <w:pPr>
        <w:numPr>
          <w:ilvl w:val="0"/>
          <w:numId w:val="38"/>
        </w:numPr>
        <w:rPr>
          <w:szCs w:val="24"/>
        </w:rPr>
      </w:pPr>
      <w:r w:rsidRPr="0093747C">
        <w:rPr>
          <w:b/>
          <w:bCs/>
          <w:szCs w:val="24"/>
        </w:rPr>
        <w:t>Andmete saamine kolmandatelt osapooltelt:</w:t>
      </w:r>
      <w:r w:rsidRPr="0093747C">
        <w:rPr>
          <w:szCs w:val="24"/>
        </w:rPr>
        <w:t> Uurimise käigus võib tekkida vajadus koguda teavet ka börsidelt, maakleritelt või teistelt turuosalistelt, kes võivad asuda erinevates jurisdiktsioonides, mis lisab menetlusele veelgi ajalist ja administratiivset keerukust.</w:t>
      </w:r>
    </w:p>
    <w:p w14:paraId="218D3447" w14:textId="77777777" w:rsidR="006B1555" w:rsidRPr="0093747C" w:rsidRDefault="006B1555" w:rsidP="006B1555">
      <w:pPr>
        <w:rPr>
          <w:szCs w:val="24"/>
        </w:rPr>
      </w:pPr>
      <w:r w:rsidRPr="0093747C">
        <w:rPr>
          <w:b/>
          <w:bCs/>
          <w:szCs w:val="24"/>
        </w:rPr>
        <w:t>Rikkumise avastamise viibimine:</w:t>
      </w:r>
    </w:p>
    <w:p w14:paraId="411B416A" w14:textId="77777777" w:rsidR="006B1555" w:rsidRPr="0093747C" w:rsidRDefault="006B1555" w:rsidP="006B1555">
      <w:pPr>
        <w:numPr>
          <w:ilvl w:val="0"/>
          <w:numId w:val="39"/>
        </w:numPr>
        <w:rPr>
          <w:szCs w:val="24"/>
        </w:rPr>
      </w:pPr>
      <w:r w:rsidRPr="0093747C">
        <w:rPr>
          <w:b/>
          <w:bCs/>
          <w:szCs w:val="24"/>
        </w:rPr>
        <w:t>Peidetud iseloom:</w:t>
      </w:r>
      <w:r w:rsidRPr="0093747C">
        <w:rPr>
          <w:szCs w:val="24"/>
        </w:rPr>
        <w:t> Turumanipulatsiooni katsed on sageli varjatud ja nende avastamine ei pruugi toimuda kohe pärast teo toimepanemist. Tihti avastatakse kahtlane tegevus alles tagantjärele, kui analüüsitakse pikema perioodi turuandmeid ja märgatakse anomaaliaid.</w:t>
      </w:r>
    </w:p>
    <w:p w14:paraId="4DA94D22" w14:textId="77777777" w:rsidR="006B1555" w:rsidRPr="0093747C" w:rsidRDefault="006B1555" w:rsidP="006B1555">
      <w:pPr>
        <w:numPr>
          <w:ilvl w:val="0"/>
          <w:numId w:val="39"/>
        </w:numPr>
        <w:rPr>
          <w:szCs w:val="24"/>
        </w:rPr>
      </w:pPr>
      <w:r w:rsidRPr="0093747C">
        <w:rPr>
          <w:b/>
          <w:bCs/>
          <w:szCs w:val="24"/>
        </w:rPr>
        <w:t>Andmete laekumise ajakava:</w:t>
      </w:r>
      <w:r w:rsidRPr="0093747C">
        <w:rPr>
          <w:szCs w:val="24"/>
        </w:rPr>
        <w:t xml:space="preserve"> Kuigi tehinguandmed edastatakse ACER-ile, võtab nende koondamine, esmane analüüs ja kahtlaste mustrite tuvastamine aega. Seega võib rikkumise </w:t>
      </w:r>
      <w:r w:rsidRPr="0093747C">
        <w:rPr>
          <w:szCs w:val="24"/>
        </w:rPr>
        <w:lastRenderedPageBreak/>
        <w:t>avastamise ja menetluse algatamise hetke vahele jääda märkimisväärne ajaperiood, mis lühendab niigi piiratud aegumistähtaega.</w:t>
      </w:r>
    </w:p>
    <w:p w14:paraId="7300F215" w14:textId="77777777" w:rsidR="006B1555" w:rsidRPr="0093747C" w:rsidRDefault="006B1555" w:rsidP="006B1555">
      <w:pPr>
        <w:rPr>
          <w:szCs w:val="24"/>
        </w:rPr>
      </w:pPr>
      <w:r w:rsidRPr="0093747C">
        <w:rPr>
          <w:b/>
          <w:bCs/>
          <w:szCs w:val="24"/>
        </w:rPr>
        <w:t>Menetluse formaalsed nõuded:</w:t>
      </w:r>
    </w:p>
    <w:p w14:paraId="0653FC94" w14:textId="77777777" w:rsidR="006B1555" w:rsidRPr="0093747C" w:rsidRDefault="006B1555" w:rsidP="006B1555">
      <w:pPr>
        <w:numPr>
          <w:ilvl w:val="0"/>
          <w:numId w:val="40"/>
        </w:numPr>
        <w:rPr>
          <w:szCs w:val="24"/>
        </w:rPr>
      </w:pPr>
      <w:r w:rsidRPr="0093747C">
        <w:rPr>
          <w:b/>
          <w:bCs/>
          <w:szCs w:val="24"/>
        </w:rPr>
        <w:t>Tõendite kogumine ja vormistamine:</w:t>
      </w:r>
      <w:r w:rsidRPr="0093747C">
        <w:rPr>
          <w:szCs w:val="24"/>
        </w:rPr>
        <w:t> Isegi kui kahtlus on tekkinud, nõuab väärteomenetluse alustamine piisavate tõendite kogumist ja nõuetekohast vormistamist. See hõlmab tunnistajate ülekuulamist, dokumentide analüüsimist ja ekspertiiside tellimist. Iga selline toiming võtab aega.</w:t>
      </w:r>
    </w:p>
    <w:p w14:paraId="5F0D7170" w14:textId="77777777" w:rsidR="006B1555" w:rsidRPr="0093747C" w:rsidRDefault="006B1555" w:rsidP="006B1555">
      <w:pPr>
        <w:numPr>
          <w:ilvl w:val="0"/>
          <w:numId w:val="40"/>
        </w:numPr>
        <w:rPr>
          <w:szCs w:val="24"/>
        </w:rPr>
      </w:pPr>
      <w:r w:rsidRPr="0093747C">
        <w:rPr>
          <w:b/>
          <w:bCs/>
          <w:szCs w:val="24"/>
        </w:rPr>
        <w:t>Menetlusõiguste tagamine:</w:t>
      </w:r>
      <w:r w:rsidRPr="0093747C">
        <w:rPr>
          <w:szCs w:val="24"/>
        </w:rPr>
        <w:t> Menetluse käigus tuleb tagada menetlusaluse isiku õigused, sealhulgas õigus tutvuda materjalidega ja esitada vastuväiteid, mis võib menetlust pikendada.</w:t>
      </w:r>
    </w:p>
    <w:p w14:paraId="21C5ADF5" w14:textId="77777777" w:rsidR="006B1555" w:rsidRDefault="006B1555" w:rsidP="006B1555">
      <w:pPr>
        <w:rPr>
          <w:szCs w:val="24"/>
        </w:rPr>
      </w:pPr>
      <w:r w:rsidRPr="0093747C">
        <w:rPr>
          <w:szCs w:val="24"/>
        </w:rPr>
        <w:t>Kokkuvõttes võib energia hulgimüügituru rikkumise uurimine alates esialgsest kahtlusest kuni piisavate tõendite kogumiseni, mis võimaldaksid süüdistust esitada, kesta kauem kui kaks aastat. Andmemahukus, rahvusvahelise koostöö vajadus ja rikkumiste peiteline iseloom on peamised tegurid, miks kaheaastane aegumistähtaeg seab tõhusa järelevalve teostamisele ja rikkujate vastutusele võtmisele tõsised piirangud.</w:t>
      </w:r>
      <w:r>
        <w:rPr>
          <w:szCs w:val="24"/>
        </w:rPr>
        <w:t xml:space="preserve"> Võttes arvesse elektri hulgituru rikkumiste keerukust, on viieaastane aegumistähtaeg põhjendatud.</w:t>
      </w:r>
    </w:p>
    <w:p w14:paraId="37AF426E" w14:textId="77777777" w:rsidR="006B1555" w:rsidRDefault="006B1555" w:rsidP="006B1555">
      <w:pPr>
        <w:rPr>
          <w:szCs w:val="24"/>
        </w:rPr>
      </w:pPr>
    </w:p>
    <w:p w14:paraId="5994592A" w14:textId="77777777" w:rsidR="006B1555" w:rsidRDefault="006B1555" w:rsidP="006B1555">
      <w:pPr>
        <w:rPr>
          <w:b/>
          <w:bCs/>
          <w:szCs w:val="24"/>
        </w:rPr>
      </w:pPr>
      <w:r>
        <w:rPr>
          <w:b/>
          <w:bCs/>
          <w:szCs w:val="24"/>
        </w:rPr>
        <w:t>ELTS § 111</w:t>
      </w:r>
      <w:r>
        <w:rPr>
          <w:b/>
          <w:bCs/>
          <w:szCs w:val="24"/>
          <w:vertAlign w:val="superscript"/>
        </w:rPr>
        <w:t>3</w:t>
      </w:r>
      <w:r>
        <w:rPr>
          <w:b/>
          <w:bCs/>
          <w:szCs w:val="24"/>
        </w:rPr>
        <w:t xml:space="preserve"> </w:t>
      </w:r>
    </w:p>
    <w:p w14:paraId="2B2D8CFB" w14:textId="77777777" w:rsidR="006B1555" w:rsidRDefault="006B1555" w:rsidP="006B1555">
      <w:pPr>
        <w:rPr>
          <w:b/>
          <w:bCs/>
          <w:szCs w:val="24"/>
          <w:vertAlign w:val="superscript"/>
        </w:rPr>
      </w:pPr>
      <w:r>
        <w:rPr>
          <w:b/>
          <w:bCs/>
          <w:szCs w:val="24"/>
        </w:rPr>
        <w:t>Lõige 17</w:t>
      </w:r>
      <w:r>
        <w:rPr>
          <w:b/>
          <w:bCs/>
          <w:szCs w:val="24"/>
          <w:vertAlign w:val="superscript"/>
        </w:rPr>
        <w:t>1</w:t>
      </w:r>
    </w:p>
    <w:p w14:paraId="0D86422B" w14:textId="75886EA8" w:rsidR="006B1555" w:rsidRPr="0024012C" w:rsidRDefault="006B1555" w:rsidP="006B1555">
      <w:pPr>
        <w:rPr>
          <w:szCs w:val="24"/>
        </w:rPr>
      </w:pPr>
      <w:r w:rsidRPr="00184759">
        <w:rPr>
          <w:szCs w:val="24"/>
        </w:rPr>
        <w:t>Seaduse § 111</w:t>
      </w:r>
      <w:r w:rsidRPr="00184759">
        <w:rPr>
          <w:szCs w:val="24"/>
          <w:vertAlign w:val="superscript"/>
        </w:rPr>
        <w:t>3</w:t>
      </w:r>
      <w:r w:rsidRPr="00184759">
        <w:rPr>
          <w:szCs w:val="24"/>
        </w:rPr>
        <w:t xml:space="preserve"> lõike 17</w:t>
      </w:r>
      <w:r w:rsidRPr="00184759">
        <w:rPr>
          <w:szCs w:val="24"/>
          <w:vertAlign w:val="superscript"/>
        </w:rPr>
        <w:t>1</w:t>
      </w:r>
      <w:r w:rsidRPr="00184759">
        <w:rPr>
          <w:szCs w:val="24"/>
        </w:rPr>
        <w:t xml:space="preserve"> sõnastust muudetakse selliselt, et alla 15 kW (kaasa arvatud) tootmissuunalise võimsuse liitumis- ja võrgulepingu omanikele rakendub käesoleva seadusega loodud leevendus tagasiulatuvalt alates tootmissuunalise võimsuse mittekasutamise tasu esmakordsest rakendamisest alates 2023. aasta 17. märtsist.</w:t>
      </w:r>
      <w:r>
        <w:rPr>
          <w:szCs w:val="24"/>
        </w:rPr>
        <w:t xml:space="preserve"> Muudatus on tingitud asjaolust, et taastuvenergia mikrotootjate (s.o alla 15 kW tootmissuunalise võimsusega tootmisseadmete), kes on enamasti kas kodumajapidamised või väikeettevõtted, koormamine samade nõuetega nagu suurtootjaid, on ebaproportsionaalne. </w:t>
      </w:r>
      <w:r w:rsidR="00F559D8">
        <w:rPr>
          <w:szCs w:val="24"/>
        </w:rPr>
        <w:t xml:space="preserve">ELTSis </w:t>
      </w:r>
      <w:r>
        <w:rPr>
          <w:szCs w:val="24"/>
        </w:rPr>
        <w:t>on väiketootjate eripäras</w:t>
      </w:r>
      <w:r w:rsidR="00135AB3">
        <w:rPr>
          <w:szCs w:val="24"/>
        </w:rPr>
        <w:t>id arvestades</w:t>
      </w:r>
      <w:r>
        <w:rPr>
          <w:szCs w:val="24"/>
        </w:rPr>
        <w:t xml:space="preserve"> </w:t>
      </w:r>
      <w:r w:rsidR="00135AB3">
        <w:rPr>
          <w:szCs w:val="24"/>
        </w:rPr>
        <w:t>tehtud</w:t>
      </w:r>
      <w:r w:rsidR="00135AB3" w:rsidDel="00135AB3">
        <w:rPr>
          <w:szCs w:val="24"/>
        </w:rPr>
        <w:t xml:space="preserve"> </w:t>
      </w:r>
      <w:r>
        <w:rPr>
          <w:szCs w:val="24"/>
        </w:rPr>
        <w:t xml:space="preserve">neile mitmeid lihtsustusi eesmärgiga motiveerida kodumajapidamisi ja väiketalusid investeerima taastuvenergiaprojektidesse. </w:t>
      </w:r>
      <w:r w:rsidR="00135AB3">
        <w:rPr>
          <w:szCs w:val="24"/>
        </w:rPr>
        <w:t>Kuna p</w:t>
      </w:r>
      <w:r>
        <w:rPr>
          <w:szCs w:val="24"/>
        </w:rPr>
        <w:t>aljudel sellistel tootjatel puudub võimalus ja võimekus oma tootmist juhtida, sest päikeseenergia toodang sõltub ilmast ning liitumispunktis tootmissuunalise võimsuse kasutus</w:t>
      </w:r>
      <w:r w:rsidR="00135AB3">
        <w:rPr>
          <w:szCs w:val="24"/>
        </w:rPr>
        <w:t xml:space="preserve"> sõltub</w:t>
      </w:r>
      <w:r>
        <w:rPr>
          <w:szCs w:val="24"/>
        </w:rPr>
        <w:t xml:space="preserve"> samaaegsest tarbimisest, siis regulaarselt 95% ulatuses oma tootmissuunalise võimsuse kasutamise nõude kehtestamine alla 15 kW (kaasa arvatud) liitumis- ja võrgulepingu omanikele on ebarealistlik. Tagasiulatuv rakendamine on vajalik õigusliku järjepidevuse jaoks, et seadusemuudatusega ei loodaks uusi ebavõrdsusi ja välditaks varasema regulatsiooni ebaproportsionaalsust. Nii vabastatakse väikesed tootjad, kes ei saanud piisavalt kiiresti oma tegevust kohandada pärast tasu kehtestamist, nn alakasutustasu maksmise nõudest tagasiulatuvalt.</w:t>
      </w:r>
    </w:p>
    <w:p w14:paraId="72A51BF2" w14:textId="77777777" w:rsidR="006B1555" w:rsidRPr="0024012C" w:rsidRDefault="006B1555" w:rsidP="006B1555">
      <w:pPr>
        <w:rPr>
          <w:szCs w:val="24"/>
        </w:rPr>
      </w:pPr>
    </w:p>
    <w:p w14:paraId="432E1930" w14:textId="77777777" w:rsidR="006B1555" w:rsidRDefault="006B1555" w:rsidP="006B1555">
      <w:pPr>
        <w:rPr>
          <w:rFonts w:eastAsia="Times New Roman" w:cs="Times New Roman"/>
          <w:b/>
          <w:bCs/>
          <w:color w:val="000000"/>
          <w:lang w:eastAsia="et-EE"/>
        </w:rPr>
      </w:pPr>
      <w:r>
        <w:rPr>
          <w:rFonts w:eastAsia="Times New Roman" w:cs="Times New Roman"/>
          <w:b/>
          <w:bCs/>
          <w:color w:val="000000"/>
          <w:lang w:eastAsia="et-EE"/>
        </w:rPr>
        <w:t>Lõige 18</w:t>
      </w:r>
    </w:p>
    <w:p w14:paraId="5A890D18" w14:textId="77777777" w:rsidR="006B1555" w:rsidRDefault="006B1555" w:rsidP="006B1555">
      <w:pPr>
        <w:rPr>
          <w:rFonts w:eastAsia="Aptos" w:cs="Times New Roman"/>
          <w:szCs w:val="24"/>
          <w14:ligatures w14:val="standardContextual"/>
        </w:rPr>
      </w:pPr>
      <w:r>
        <w:rPr>
          <w:rFonts w:eastAsia="Times New Roman" w:cs="Times New Roman"/>
          <w:color w:val="000000"/>
          <w:lang w:eastAsia="et-EE"/>
        </w:rPr>
        <w:t>Seaduse</w:t>
      </w:r>
      <w:r w:rsidRPr="00D13116">
        <w:rPr>
          <w:rFonts w:eastAsia="Times New Roman" w:cs="Times New Roman"/>
          <w:color w:val="000000"/>
          <w:lang w:eastAsia="et-EE"/>
        </w:rPr>
        <w:t xml:space="preserve"> täiendamise vajadus on tingitud asjaolust, et praktikas esines </w:t>
      </w:r>
      <w:r>
        <w:rPr>
          <w:rFonts w:eastAsia="Times New Roman" w:cs="Times New Roman"/>
          <w:color w:val="000000"/>
          <w:lang w:eastAsia="et-EE"/>
        </w:rPr>
        <w:t>sätte väära tõlgendust ning puudus</w:t>
      </w:r>
      <w:r w:rsidRPr="00D13116">
        <w:rPr>
          <w:rFonts w:eastAsia="Times New Roman" w:cs="Times New Roman"/>
          <w:color w:val="000000"/>
          <w:lang w:eastAsia="et-EE"/>
        </w:rPr>
        <w:t xml:space="preserve"> sätte</w:t>
      </w:r>
      <w:r>
        <w:rPr>
          <w:rFonts w:eastAsia="Times New Roman" w:cs="Times New Roman"/>
          <w:color w:val="000000"/>
          <w:lang w:eastAsia="et-EE"/>
        </w:rPr>
        <w:t xml:space="preserve"> sisu</w:t>
      </w:r>
      <w:r w:rsidRPr="00D13116">
        <w:rPr>
          <w:rFonts w:eastAsia="Times New Roman" w:cs="Times New Roman"/>
          <w:color w:val="000000"/>
          <w:lang w:eastAsia="et-EE"/>
        </w:rPr>
        <w:t xml:space="preserve"> </w:t>
      </w:r>
      <w:r>
        <w:rPr>
          <w:rFonts w:eastAsia="Times New Roman" w:cs="Times New Roman"/>
          <w:color w:val="000000"/>
          <w:lang w:eastAsia="et-EE"/>
        </w:rPr>
        <w:t xml:space="preserve">üheselt </w:t>
      </w:r>
      <w:r w:rsidRPr="00D13116">
        <w:rPr>
          <w:rFonts w:eastAsia="Times New Roman" w:cs="Times New Roman"/>
          <w:color w:val="000000"/>
          <w:lang w:eastAsia="et-EE"/>
        </w:rPr>
        <w:t>mõist</w:t>
      </w:r>
      <w:r>
        <w:rPr>
          <w:rFonts w:eastAsia="Times New Roman" w:cs="Times New Roman"/>
          <w:color w:val="000000"/>
          <w:lang w:eastAsia="et-EE"/>
        </w:rPr>
        <w:t>etavus</w:t>
      </w:r>
      <w:r w:rsidRPr="00D13116">
        <w:rPr>
          <w:rFonts w:eastAsia="Times New Roman" w:cs="Times New Roman"/>
          <w:color w:val="000000"/>
          <w:lang w:eastAsia="et-EE"/>
        </w:rPr>
        <w:t>. Eksitava tõlgenduse kohaselt võis muudetavat lõiget mõista viisil, et alakasutustasu rakendamise erisus kohaldub automaatselt igale tootmisseadmele, mis asub riikliku julgeoleku tagamise eesmärgil kehtestatud piirangute alal sõltumata asjaolust, kas riigikaitseline piirang on selle tootmisseadme rajamist</w:t>
      </w:r>
      <w:r>
        <w:rPr>
          <w:rFonts w:eastAsia="Times New Roman" w:cs="Times New Roman"/>
          <w:color w:val="000000"/>
          <w:lang w:eastAsia="et-EE"/>
        </w:rPr>
        <w:t xml:space="preserve"> ning sellega elektrienergia tootmist</w:t>
      </w:r>
      <w:r w:rsidRPr="00D13116">
        <w:rPr>
          <w:rFonts w:eastAsia="Times New Roman" w:cs="Times New Roman"/>
          <w:color w:val="000000"/>
          <w:lang w:eastAsia="et-EE"/>
        </w:rPr>
        <w:t xml:space="preserve"> takistanud või takistab seda tulevikus. Samuti vajab selgitamist, et kehtiva seaduse kohaselt kohaldatakse alakasutustasu vabastust m</w:t>
      </w:r>
      <w:r>
        <w:rPr>
          <w:rFonts w:eastAsia="Times New Roman" w:cs="Times New Roman"/>
          <w:color w:val="000000"/>
          <w:lang w:eastAsia="et-EE"/>
        </w:rPr>
        <w:t>uuhulgas ka</w:t>
      </w:r>
      <w:r w:rsidRPr="00D13116">
        <w:rPr>
          <w:rFonts w:eastAsia="Times New Roman" w:cs="Times New Roman"/>
          <w:color w:val="000000"/>
          <w:lang w:eastAsia="et-EE"/>
        </w:rPr>
        <w:t xml:space="preserve"> võrgulepingu suhtes, kuna põhivõrgus liitunud võimsus, mille puhul on tootmisseade rajamata, on fikseeritud ka võrgulepingus. Kuigi muudetavat sätet tuli mõista juba alates selle lisamisest seadusesse 2023. aastal vastavalt järgnevale selgitusele, siis muudatuse kohaselt rõhutatakse asjaolu, et alakasutustasust ei ole vabastatud riigikaitselis</w:t>
      </w:r>
      <w:r>
        <w:rPr>
          <w:rFonts w:eastAsia="Times New Roman" w:cs="Times New Roman"/>
          <w:color w:val="000000"/>
          <w:lang w:eastAsia="et-EE"/>
        </w:rPr>
        <w:t xml:space="preserve">e piiranguga alal selline </w:t>
      </w:r>
      <w:r w:rsidRPr="00D13116">
        <w:rPr>
          <w:rFonts w:eastAsia="Times New Roman" w:cs="Times New Roman"/>
          <w:color w:val="000000"/>
          <w:lang w:eastAsia="et-EE"/>
        </w:rPr>
        <w:t>juba rajatud tootmisseade, mille puhul piiranguala olemasolu</w:t>
      </w:r>
      <w:r>
        <w:rPr>
          <w:rFonts w:eastAsia="Times New Roman" w:cs="Times New Roman"/>
          <w:color w:val="000000"/>
          <w:lang w:eastAsia="et-EE"/>
        </w:rPr>
        <w:t xml:space="preserve"> sisuliselt</w:t>
      </w:r>
      <w:r w:rsidRPr="00D13116">
        <w:rPr>
          <w:rFonts w:eastAsia="Times New Roman" w:cs="Times New Roman"/>
          <w:color w:val="000000"/>
          <w:lang w:eastAsia="et-EE"/>
        </w:rPr>
        <w:t xml:space="preserve"> ei takista elektrienergia tootmist</w:t>
      </w:r>
      <w:r>
        <w:rPr>
          <w:rFonts w:eastAsia="Times New Roman" w:cs="Times New Roman"/>
          <w:color w:val="000000"/>
          <w:lang w:eastAsia="et-EE"/>
        </w:rPr>
        <w:t xml:space="preserve"> ega sellega jätkamist</w:t>
      </w:r>
      <w:r w:rsidRPr="00D13116">
        <w:rPr>
          <w:rFonts w:eastAsia="Times New Roman" w:cs="Times New Roman"/>
          <w:color w:val="000000"/>
          <w:lang w:eastAsia="et-EE"/>
        </w:rPr>
        <w:t xml:space="preserve">. </w:t>
      </w:r>
      <w:r w:rsidRPr="00A574F4">
        <w:rPr>
          <w:rFonts w:eastAsia="Aptos" w:cs="Times New Roman"/>
          <w:szCs w:val="24"/>
          <w14:ligatures w14:val="standardContextual"/>
        </w:rPr>
        <w:t xml:space="preserve">Alakasutustasu rakendamise erisus ei laiene automaatselt kõikidele tootmisseadmetele, mis asuvad osaliselt või täielikult riikliku julgeoleku tagamise eesmärgil </w:t>
      </w:r>
      <w:r w:rsidRPr="00A574F4">
        <w:rPr>
          <w:rFonts w:eastAsia="Aptos" w:cs="Times New Roman"/>
          <w:szCs w:val="24"/>
          <w14:ligatures w14:val="standardContextual"/>
        </w:rPr>
        <w:lastRenderedPageBreak/>
        <w:t>kehtestatud piirangute alal, vaid sõltub reaalsest rajamise ja elektrienergia tootmise takistamisest.</w:t>
      </w:r>
    </w:p>
    <w:p w14:paraId="56C83692" w14:textId="77777777" w:rsidR="006B1555" w:rsidRPr="00A574F4" w:rsidRDefault="006B1555" w:rsidP="006B1555">
      <w:pPr>
        <w:rPr>
          <w:rFonts w:eastAsia="Aptos" w:cs="Times New Roman"/>
          <w:szCs w:val="24"/>
          <w14:ligatures w14:val="standardContextual"/>
        </w:rPr>
      </w:pPr>
    </w:p>
    <w:p w14:paraId="59E26B9C" w14:textId="77777777" w:rsidR="006B1555" w:rsidRPr="00A574F4" w:rsidRDefault="006B1555" w:rsidP="006B1555">
      <w:pPr>
        <w:rPr>
          <w:rFonts w:eastAsia="Aptos" w:cs="Times New Roman"/>
          <w:szCs w:val="24"/>
          <w14:ligatures w14:val="standardContextual"/>
        </w:rPr>
      </w:pPr>
      <w:r w:rsidRPr="00A574F4">
        <w:rPr>
          <w:rFonts w:eastAsia="Aptos" w:cs="Times New Roman"/>
          <w:szCs w:val="24"/>
          <w14:ligatures w14:val="standardContextual"/>
        </w:rPr>
        <w:t xml:space="preserve">Seega olukorras, kus tootja on sõlminud tootmissuunalise ajutise võrgulepingu või alalise võrgulepingu tootmisvõimsuse kasutamiseks </w:t>
      </w:r>
      <w:r>
        <w:rPr>
          <w:rFonts w:eastAsia="Aptos" w:cs="Times New Roman"/>
          <w:szCs w:val="24"/>
          <w14:ligatures w14:val="standardContextual"/>
        </w:rPr>
        <w:t xml:space="preserve">näiteks </w:t>
      </w:r>
      <w:r w:rsidRPr="00A574F4">
        <w:rPr>
          <w:rFonts w:eastAsia="Aptos" w:cs="Times New Roman"/>
          <w:szCs w:val="24"/>
          <w14:ligatures w14:val="standardContextual"/>
        </w:rPr>
        <w:t>70 MVA ulatuses ning lepingulist võimsust on riigikaitselise piiranguga alal juba rajatud tuulikutega 40 MVA ulatuses kasutatud (toodetud elektrienergiat), siis ei ole nimetatud 40 MVA puhul tegemist elektrienergia tootmist või tootmisega jätkamist takistava sisulise takistusega ELTS § 111</w:t>
      </w:r>
      <w:r w:rsidRPr="00A574F4">
        <w:rPr>
          <w:rFonts w:eastAsia="Aptos" w:cs="Times New Roman"/>
          <w:szCs w:val="24"/>
          <w:vertAlign w:val="superscript"/>
          <w14:ligatures w14:val="standardContextual"/>
        </w:rPr>
        <w:t>3</w:t>
      </w:r>
      <w:r w:rsidRPr="00A574F4">
        <w:rPr>
          <w:rFonts w:eastAsia="Aptos" w:cs="Times New Roman"/>
          <w:szCs w:val="24"/>
          <w14:ligatures w14:val="standardContextual"/>
        </w:rPr>
        <w:t xml:space="preserve"> lg 18 tähenduses.</w:t>
      </w:r>
    </w:p>
    <w:p w14:paraId="5E472114" w14:textId="77777777" w:rsidR="006B1555" w:rsidRPr="00A574F4" w:rsidRDefault="006B1555" w:rsidP="006B1555">
      <w:pPr>
        <w:rPr>
          <w:rFonts w:eastAsia="Times New Roman" w:cs="Times New Roman"/>
          <w:lang w:eastAsia="et-EE"/>
        </w:rPr>
      </w:pPr>
    </w:p>
    <w:p w14:paraId="69CCDB33" w14:textId="77777777" w:rsidR="006B1555" w:rsidRDefault="006B1555" w:rsidP="006B1555">
      <w:pPr>
        <w:rPr>
          <w:rFonts w:eastAsia="Times New Roman" w:cs="Times New Roman"/>
          <w:color w:val="000000"/>
          <w:lang w:eastAsia="et-EE"/>
        </w:rPr>
      </w:pPr>
      <w:r w:rsidRPr="00D13116">
        <w:rPr>
          <w:rFonts w:eastAsia="Times New Roman" w:cs="Times New Roman"/>
          <w:color w:val="000000"/>
          <w:lang w:eastAsia="et-EE"/>
        </w:rPr>
        <w:t xml:space="preserve">Samuti ei ole alakasutustasust vabastatud </w:t>
      </w:r>
      <w:r>
        <w:rPr>
          <w:rFonts w:eastAsia="Times New Roman" w:cs="Times New Roman"/>
          <w:color w:val="000000"/>
          <w:lang w:eastAsia="et-EE"/>
        </w:rPr>
        <w:t>rajatavad</w:t>
      </w:r>
      <w:r w:rsidRPr="00D13116">
        <w:rPr>
          <w:rFonts w:eastAsia="Times New Roman" w:cs="Times New Roman"/>
          <w:color w:val="000000"/>
          <w:lang w:eastAsia="et-EE"/>
        </w:rPr>
        <w:t xml:space="preserve"> tootmissead</w:t>
      </w:r>
      <w:r>
        <w:rPr>
          <w:rFonts w:eastAsia="Times New Roman" w:cs="Times New Roman"/>
          <w:color w:val="000000"/>
          <w:lang w:eastAsia="et-EE"/>
        </w:rPr>
        <w:t>m</w:t>
      </w:r>
      <w:r w:rsidRPr="00D13116">
        <w:rPr>
          <w:rFonts w:eastAsia="Times New Roman" w:cs="Times New Roman"/>
          <w:color w:val="000000"/>
          <w:lang w:eastAsia="et-EE"/>
        </w:rPr>
        <w:t>e</w:t>
      </w:r>
      <w:r>
        <w:rPr>
          <w:rFonts w:eastAsia="Times New Roman" w:cs="Times New Roman"/>
          <w:color w:val="000000"/>
          <w:lang w:eastAsia="et-EE"/>
        </w:rPr>
        <w:t>d</w:t>
      </w:r>
      <w:r w:rsidRPr="00D13116">
        <w:rPr>
          <w:rFonts w:eastAsia="Times New Roman" w:cs="Times New Roman"/>
          <w:color w:val="000000"/>
          <w:lang w:eastAsia="et-EE"/>
        </w:rPr>
        <w:t>, mis planeeritakse ja rajatakse riikliku julgeoleku tagamise eesmärgil kehtestatud piirangute piirkonda, kuid mille puhul piiranguala ei takista</w:t>
      </w:r>
      <w:r>
        <w:rPr>
          <w:rFonts w:eastAsia="Times New Roman" w:cs="Times New Roman"/>
          <w:color w:val="000000"/>
          <w:lang w:eastAsia="et-EE"/>
        </w:rPr>
        <w:t xml:space="preserve"> sisuliselt</w:t>
      </w:r>
      <w:r w:rsidRPr="00D13116">
        <w:rPr>
          <w:rFonts w:eastAsia="Times New Roman" w:cs="Times New Roman"/>
          <w:color w:val="000000"/>
          <w:lang w:eastAsia="et-EE"/>
        </w:rPr>
        <w:t xml:space="preserve"> </w:t>
      </w:r>
      <w:r>
        <w:rPr>
          <w:rFonts w:eastAsia="Times New Roman" w:cs="Times New Roman"/>
          <w:color w:val="000000"/>
          <w:lang w:eastAsia="et-EE"/>
        </w:rPr>
        <w:t>nende</w:t>
      </w:r>
      <w:r w:rsidRPr="00D13116">
        <w:rPr>
          <w:rFonts w:eastAsia="Times New Roman" w:cs="Times New Roman"/>
          <w:color w:val="000000"/>
          <w:lang w:eastAsia="et-EE"/>
        </w:rPr>
        <w:t xml:space="preserve"> rajamist. </w:t>
      </w:r>
      <w:r>
        <w:rPr>
          <w:rFonts w:eastAsia="Times New Roman" w:cs="Times New Roman"/>
          <w:color w:val="000000"/>
          <w:lang w:eastAsia="et-EE"/>
        </w:rPr>
        <w:t>Ehk juhul kui riigikaitselise piiranguga alal kehtib rajatavale tuulepargile kõrguspiirang, siis madalama tuulepargi saab siiski rajada ning olemasolevate tuuleparkidega, millel on kehtiv võrguleping, tuleb tootmissuunaline võimsus kasutusele võtta, maksta tootmissuunalise võimsuse mittekasutamise tasu või oma tootmissuunalisest võrgu läbilaskevõimest loobuda.</w:t>
      </w:r>
      <w:r w:rsidRPr="00A574F4">
        <w:rPr>
          <w:rFonts w:eastAsia="Times New Roman" w:cs="Times New Roman"/>
          <w:color w:val="000000"/>
          <w:lang w:eastAsia="et-EE"/>
        </w:rPr>
        <w:t xml:space="preserve"> Seega olukorras, kus tootjal ei ole lubatud piirangualal püstitada tuulikuid maksimaalse tipukõrgusega 240 meetrit, kuid lubatud on püstitada tuulikuid maksimaalse kõrgusega 100 meetrit, siis sellisel juhul ei ole tegemist riigikaitseliste piirangutest tuleneva sisulise takistusega, mis takistab lepingulise tootmisvõimsuse kasutamist. </w:t>
      </w:r>
      <w:r>
        <w:rPr>
          <w:rFonts w:eastAsia="Times New Roman" w:cs="Times New Roman"/>
          <w:color w:val="000000"/>
          <w:lang w:eastAsia="et-EE"/>
        </w:rPr>
        <w:t xml:space="preserve">Sarnaselt juhul kui põlevkivielektrijaamad on riigikaitselise piiranguga alal võrguga ühendatud ja sisulisi takistusi nende tootmissuunalise võimsuse kasutusele võtmiseks ei ole, tuleb tootmissuunalist võimsust kasutada, maksta tootmissuunalise võimsuse mittekasutamise tasu või oma tootmissuunalisest võrgu läbilaskevõimest loobuda. </w:t>
      </w:r>
      <w:r w:rsidRPr="00A574F4">
        <w:rPr>
          <w:rFonts w:eastAsia="Times New Roman" w:cs="Times New Roman"/>
          <w:color w:val="000000"/>
          <w:lang w:eastAsia="et-EE"/>
        </w:rPr>
        <w:t>Seega juhul, kui riigikaitselise piiranguga alal on juba rajatud põlevkivielektrijaam, mis on võrguga ühendatud, siis puudub sisuline taksitus sellega elektrienergia tootmiseks. Samuti olukorras, kus riigikaitselise piiranguga alal paikneb juba rajatud  põlevkivielektrijaam või sinna planeeritakse uue põlevkivielektrijaama rajamist (või muul tehnoloogial põhinev elektrijaam), kuid piirangualal on keelatud uute tuuleelektrijaama rajamine ning alternatiivina ei ole lubatud ka väiksema kõrgusega tuulikute rajamist, siis on tegemist  sisulise piiranguga ainult uue tuuleelektrijaama rajamisel.</w:t>
      </w:r>
    </w:p>
    <w:p w14:paraId="730212AF" w14:textId="77777777" w:rsidR="006B1555" w:rsidRDefault="006B1555" w:rsidP="006B1555">
      <w:pPr>
        <w:rPr>
          <w:rFonts w:eastAsia="Times New Roman" w:cs="Times New Roman"/>
          <w:color w:val="000000"/>
          <w:lang w:eastAsia="et-EE"/>
        </w:rPr>
      </w:pPr>
    </w:p>
    <w:p w14:paraId="3193B7A4" w14:textId="77777777" w:rsidR="006B1555" w:rsidRPr="00D13116" w:rsidRDefault="006B1555" w:rsidP="006B1555">
      <w:pPr>
        <w:rPr>
          <w:rFonts w:eastAsia="Times New Roman" w:cs="Times New Roman"/>
          <w:color w:val="000000"/>
          <w:lang w:eastAsia="et-EE"/>
        </w:rPr>
      </w:pPr>
      <w:r w:rsidRPr="00D13116">
        <w:rPr>
          <w:rFonts w:eastAsia="Times New Roman" w:cs="Times New Roman"/>
          <w:color w:val="000000"/>
          <w:lang w:eastAsia="et-EE"/>
        </w:rPr>
        <w:t xml:space="preserve">Sätte sõnastuse täiendamine ei muuda seni kehtinud lõiget sisuliselt, kuna </w:t>
      </w:r>
      <w:r>
        <w:rPr>
          <w:rFonts w:eastAsia="Times New Roman" w:cs="Times New Roman"/>
          <w:color w:val="000000"/>
          <w:lang w:eastAsia="et-EE"/>
        </w:rPr>
        <w:t xml:space="preserve">2023. aasta 17. märtsist </w:t>
      </w:r>
      <w:r w:rsidRPr="00D13116">
        <w:rPr>
          <w:rFonts w:eastAsia="Times New Roman" w:cs="Times New Roman"/>
          <w:color w:val="000000"/>
          <w:lang w:eastAsia="et-EE"/>
        </w:rPr>
        <w:t>kehtestatud normi tuli juba algselt eelnevalt kirjeldatud viisil mõista</w:t>
      </w:r>
      <w:r>
        <w:rPr>
          <w:rFonts w:eastAsia="Times New Roman" w:cs="Times New Roman"/>
          <w:color w:val="000000"/>
          <w:lang w:eastAsia="et-EE"/>
        </w:rPr>
        <w:t>, seda on sellisel viisil rakendatud</w:t>
      </w:r>
      <w:r w:rsidRPr="00D13116">
        <w:rPr>
          <w:rFonts w:eastAsia="Times New Roman" w:cs="Times New Roman"/>
          <w:color w:val="000000"/>
          <w:lang w:eastAsia="et-EE"/>
        </w:rPr>
        <w:t xml:space="preserve"> ja sellest lähtuvalt on ka käesoleva selgituse mõju sätte tõlgendamisel tagasiulatuv.</w:t>
      </w:r>
    </w:p>
    <w:p w14:paraId="0AF8CFFE" w14:textId="77777777" w:rsidR="006B1555" w:rsidRPr="0080235D" w:rsidRDefault="006B1555" w:rsidP="006B1555">
      <w:pPr>
        <w:rPr>
          <w:rFonts w:eastAsia="Times New Roman" w:cs="Times New Roman"/>
          <w:color w:val="000000"/>
          <w:lang w:eastAsia="et-EE"/>
        </w:rPr>
      </w:pPr>
    </w:p>
    <w:p w14:paraId="06500CB5" w14:textId="15BA8F11" w:rsidR="006B1555" w:rsidRPr="0080235D" w:rsidRDefault="006B1555" w:rsidP="006B1555">
      <w:pPr>
        <w:rPr>
          <w:rFonts w:eastAsia="Times New Roman" w:cs="Times New Roman"/>
          <w:b/>
          <w:bCs/>
          <w:color w:val="000000"/>
          <w:lang w:eastAsia="et-EE"/>
        </w:rPr>
      </w:pPr>
      <w:r>
        <w:rPr>
          <w:rFonts w:eastAsia="Times New Roman" w:cs="Times New Roman"/>
          <w:b/>
          <w:bCs/>
          <w:color w:val="000000"/>
          <w:lang w:eastAsia="et-EE"/>
        </w:rPr>
        <w:t>Lõiked 31–3</w:t>
      </w:r>
      <w:r w:rsidR="005472C4">
        <w:rPr>
          <w:rFonts w:eastAsia="Times New Roman" w:cs="Times New Roman"/>
          <w:b/>
          <w:bCs/>
          <w:color w:val="000000"/>
          <w:lang w:eastAsia="et-EE"/>
        </w:rPr>
        <w:t>4</w:t>
      </w:r>
    </w:p>
    <w:p w14:paraId="48042F87" w14:textId="305361E3" w:rsidR="006B1555" w:rsidRPr="00D568B4" w:rsidRDefault="006B1555" w:rsidP="006B1555">
      <w:pPr>
        <w:rPr>
          <w:rFonts w:eastAsia="Times New Roman" w:cs="Times New Roman"/>
          <w:color w:val="000000"/>
          <w:lang w:eastAsia="et-EE"/>
        </w:rPr>
      </w:pPr>
      <w:r w:rsidRPr="0080235D">
        <w:rPr>
          <w:rFonts w:eastAsia="Times New Roman" w:cs="Times New Roman"/>
          <w:color w:val="000000"/>
          <w:lang w:eastAsia="et-EE"/>
        </w:rPr>
        <w:t>Seadust</w:t>
      </w:r>
      <w:r>
        <w:rPr>
          <w:rFonts w:eastAsia="Times New Roman" w:cs="Times New Roman"/>
          <w:color w:val="000000"/>
          <w:lang w:eastAsia="et-EE"/>
        </w:rPr>
        <w:t xml:space="preserve"> </w:t>
      </w:r>
      <w:r w:rsidRPr="007D3918">
        <w:rPr>
          <w:rFonts w:eastAsia="Times New Roman" w:cs="Times New Roman"/>
          <w:color w:val="000000"/>
          <w:lang w:eastAsia="et-EE"/>
        </w:rPr>
        <w:t>täiendatakse</w:t>
      </w:r>
      <w:r>
        <w:rPr>
          <w:rFonts w:eastAsia="Times New Roman" w:cs="Times New Roman"/>
          <w:color w:val="000000"/>
          <w:lang w:eastAsia="et-EE"/>
        </w:rPr>
        <w:t xml:space="preserve"> § 111</w:t>
      </w:r>
      <w:r w:rsidRPr="00A93AA9">
        <w:rPr>
          <w:rFonts w:eastAsia="Times New Roman" w:cs="Times New Roman"/>
          <w:color w:val="000000"/>
          <w:vertAlign w:val="superscript"/>
          <w:lang w:eastAsia="et-EE"/>
        </w:rPr>
        <w:t>3</w:t>
      </w:r>
      <w:r>
        <w:rPr>
          <w:rFonts w:eastAsia="Times New Roman" w:cs="Times New Roman"/>
          <w:color w:val="000000"/>
          <w:lang w:eastAsia="et-EE"/>
        </w:rPr>
        <w:t xml:space="preserve"> </w:t>
      </w:r>
      <w:r w:rsidRPr="00B47F32">
        <w:rPr>
          <w:rFonts w:eastAsia="Times New Roman" w:cs="Times New Roman"/>
          <w:color w:val="000000"/>
          <w:lang w:eastAsia="et-EE"/>
        </w:rPr>
        <w:t xml:space="preserve">lõikega </w:t>
      </w:r>
      <w:r>
        <w:rPr>
          <w:rFonts w:eastAsia="Times New Roman" w:cs="Times New Roman"/>
          <w:color w:val="000000"/>
          <w:lang w:eastAsia="et-EE"/>
        </w:rPr>
        <w:t>31</w:t>
      </w:r>
      <w:r w:rsidRPr="00B47F32">
        <w:rPr>
          <w:rFonts w:eastAsia="Times New Roman" w:cs="Times New Roman"/>
          <w:color w:val="000000"/>
          <w:lang w:eastAsia="et-EE"/>
        </w:rPr>
        <w:t>. Lisatava lõike kohaselt loob süsteemihaldur andmevahetusplatvormile liidese, mis võimaldab näiteks korteriühistul platvormil elektrijagamises osalemiseks end registreerida ja määratleda põhimõtted, mille alusel korterielanike vahel elektrit jagatakse. Liides koondab endas kauplemisperioodide kaupa saldeeritud mõõteandmed ja edastab need võrguettevõtjale, kes vastutab osutatud võrguteenuse eest arveldamise ja mõõteandmete elektrimüüjale edastamise eest.</w:t>
      </w:r>
      <w:r>
        <w:rPr>
          <w:rFonts w:eastAsia="Times New Roman" w:cs="Times New Roman"/>
          <w:color w:val="000000"/>
          <w:lang w:eastAsia="et-EE"/>
        </w:rPr>
        <w:t xml:space="preserve"> </w:t>
      </w:r>
      <w:r w:rsidRPr="00D568B4">
        <w:rPr>
          <w:rFonts w:eastAsia="Times New Roman" w:cs="Times New Roman"/>
          <w:color w:val="000000"/>
          <w:lang w:eastAsia="et-EE"/>
        </w:rPr>
        <w:t xml:space="preserve">Eestis on kortermajade elektriga varustamisel võimalik kasutada kahte erinevat lahendust: ühisost või üksikost. Ühisostu korral on kortermajal üks võrguleping ja tarbimise mõõtmine. Sellisel juhul on ühistul sõlmitud elektrimüügileping maja kogu elektri tarbimise katmiseks. See sisaldab ka iga üksiku korteri tarbimist ja ühistu ise jagab kulu korterite vahel. Sellist lahendust kasutavad 10% kortermajadest. 90% kortermajadest kasutab üksikostu, mis tähendab, et igal korteril on eraldi mõõtmine ja </w:t>
      </w:r>
      <w:r w:rsidR="00135AB3">
        <w:rPr>
          <w:rFonts w:eastAsia="Times New Roman" w:cs="Times New Roman"/>
          <w:color w:val="000000"/>
          <w:lang w:eastAsia="et-EE"/>
        </w:rPr>
        <w:t xml:space="preserve">on </w:t>
      </w:r>
      <w:r w:rsidRPr="00D568B4">
        <w:rPr>
          <w:rFonts w:eastAsia="Times New Roman" w:cs="Times New Roman"/>
          <w:color w:val="000000"/>
          <w:lang w:eastAsia="et-EE"/>
        </w:rPr>
        <w:t>sõlmitud võrguleping võrguettevõtjaga</w:t>
      </w:r>
      <w:r>
        <w:rPr>
          <w:rStyle w:val="Allmrkuseviide"/>
          <w:rFonts w:eastAsia="Times New Roman" w:cs="Times New Roman"/>
          <w:color w:val="000000"/>
          <w:lang w:eastAsia="et-EE"/>
        </w:rPr>
        <w:footnoteReference w:id="37"/>
      </w:r>
      <w:r w:rsidRPr="00D568B4">
        <w:rPr>
          <w:rFonts w:eastAsia="Times New Roman" w:cs="Times New Roman"/>
          <w:color w:val="000000"/>
          <w:lang w:eastAsia="et-EE"/>
        </w:rPr>
        <w:t xml:space="preserve">. </w:t>
      </w:r>
    </w:p>
    <w:p w14:paraId="2AD93963" w14:textId="77777777" w:rsidR="00135AB3" w:rsidRDefault="00135AB3" w:rsidP="006B1555">
      <w:pPr>
        <w:rPr>
          <w:rFonts w:eastAsia="Times New Roman" w:cs="Times New Roman"/>
          <w:color w:val="000000"/>
          <w:lang w:eastAsia="et-EE"/>
        </w:rPr>
      </w:pPr>
    </w:p>
    <w:p w14:paraId="151AD8C3" w14:textId="4701E37B" w:rsidR="006B1555" w:rsidRPr="00D568B4" w:rsidRDefault="006B1555" w:rsidP="006B1555">
      <w:pPr>
        <w:rPr>
          <w:rFonts w:eastAsia="Times New Roman" w:cs="Times New Roman"/>
          <w:color w:val="000000"/>
          <w:lang w:eastAsia="et-EE"/>
        </w:rPr>
      </w:pPr>
      <w:r w:rsidRPr="00D568B4">
        <w:rPr>
          <w:rFonts w:eastAsia="Times New Roman" w:cs="Times New Roman"/>
          <w:color w:val="000000"/>
          <w:lang w:eastAsia="et-EE"/>
        </w:rPr>
        <w:t xml:space="preserve">Energiajagamise probleem on tõusetunud kortermajade puhul, mis kasutavad üksikostu. Antud hetkel õiguslik olukord takistab päikesepaneelide paigaldamist selliste kortermajade katustele, sest iga korteri omanik peab täiendavalt tasuma võrgutasu tarbitud taastuvenergia koguse pealt. Lisaks samade tarbimisnäitude pealt esitab arve ka elektrimüüja. Käesolev seadusemuudatus kohustab Eesti süsteemihaldurit looma tehnilise lahenduse, et likvideerida takistused üksikostu kortermajade omatoodetud taastuvenergia tarbimiseks.  Seadusemuudatusel on oluline mõju taastuvenergia kasutamise laiendamiseks kortermajades. </w:t>
      </w:r>
    </w:p>
    <w:p w14:paraId="41FA8090" w14:textId="77777777" w:rsidR="006B1555" w:rsidRPr="00B47F32" w:rsidRDefault="006B1555" w:rsidP="006B1555">
      <w:pPr>
        <w:rPr>
          <w:rFonts w:eastAsia="Times New Roman" w:cs="Times New Roman"/>
          <w:color w:val="000000"/>
          <w:lang w:eastAsia="et-EE"/>
        </w:rPr>
      </w:pPr>
    </w:p>
    <w:p w14:paraId="4222F858" w14:textId="77777777" w:rsidR="006B1555" w:rsidRDefault="006B1555" w:rsidP="006B1555">
      <w:pPr>
        <w:rPr>
          <w:rFonts w:eastAsia="Times New Roman" w:cs="Times New Roman"/>
          <w:color w:val="000000"/>
          <w:lang w:eastAsia="et-EE"/>
        </w:rPr>
      </w:pPr>
      <w:r w:rsidRPr="00B47F32">
        <w:rPr>
          <w:rFonts w:eastAsia="Times New Roman" w:cs="Times New Roman"/>
          <w:color w:val="000000"/>
          <w:lang w:eastAsia="et-EE"/>
        </w:rPr>
        <w:t>Lisaks täiendatakse § 111</w:t>
      </w:r>
      <w:r w:rsidRPr="00B47F32">
        <w:rPr>
          <w:rFonts w:eastAsia="Times New Roman" w:cs="Times New Roman"/>
          <w:color w:val="000000"/>
          <w:vertAlign w:val="superscript"/>
          <w:lang w:eastAsia="et-EE"/>
        </w:rPr>
        <w:t>3</w:t>
      </w:r>
      <w:r w:rsidRPr="00B47F32">
        <w:rPr>
          <w:rFonts w:eastAsia="Times New Roman" w:cs="Times New Roman"/>
          <w:color w:val="000000"/>
          <w:lang w:eastAsia="et-EE"/>
        </w:rPr>
        <w:t xml:space="preserve"> lõikega </w:t>
      </w:r>
      <w:r>
        <w:rPr>
          <w:rFonts w:eastAsia="Times New Roman" w:cs="Times New Roman"/>
          <w:color w:val="000000"/>
          <w:lang w:eastAsia="et-EE"/>
        </w:rPr>
        <w:t>32</w:t>
      </w:r>
      <w:r w:rsidRPr="00B47F32">
        <w:rPr>
          <w:rFonts w:eastAsia="Times New Roman" w:cs="Times New Roman"/>
          <w:color w:val="000000"/>
          <w:lang w:eastAsia="et-EE"/>
        </w:rPr>
        <w:t>, mis sätestab võrguettevõtjale kohustuse korraldada üldteenuse osutaja leidmise konkurss 2027</w:t>
      </w:r>
      <w:r>
        <w:rPr>
          <w:rFonts w:eastAsia="Times New Roman" w:cs="Times New Roman"/>
          <w:color w:val="000000"/>
          <w:lang w:eastAsia="et-EE"/>
        </w:rPr>
        <w:t xml:space="preserve">. aasta 1. juunist jõustuvate lepingute sõlmimiseks. Seejuures muudatuse </w:t>
      </w:r>
      <w:r w:rsidRPr="00894363">
        <w:rPr>
          <w:rFonts w:eastAsia="Times New Roman" w:cs="Times New Roman"/>
          <w:color w:val="000000"/>
          <w:lang w:eastAsia="et-EE"/>
        </w:rPr>
        <w:t>kohaselt ei muuda konkursi korraldamise kohustus kehtetuks enne eelnõu jõustumist sõlmitud lepinguid üldteenuse osutamiseks ja elektrienergia müügiks avatud tarne katkemise korral.</w:t>
      </w:r>
    </w:p>
    <w:p w14:paraId="529E0E40" w14:textId="77777777" w:rsidR="006B1555" w:rsidRDefault="006B1555" w:rsidP="006B1555">
      <w:pPr>
        <w:rPr>
          <w:rFonts w:eastAsia="Times New Roman" w:cs="Times New Roman"/>
          <w:color w:val="000000"/>
          <w:lang w:eastAsia="et-EE"/>
        </w:rPr>
      </w:pPr>
    </w:p>
    <w:p w14:paraId="149595A1" w14:textId="77777777" w:rsidR="006B1555" w:rsidRDefault="006B1555" w:rsidP="006B1555">
      <w:pPr>
        <w:rPr>
          <w:rFonts w:cs="Times New Roman"/>
          <w:szCs w:val="24"/>
        </w:rPr>
      </w:pPr>
      <w:r w:rsidRPr="00321737">
        <w:rPr>
          <w:szCs w:val="24"/>
        </w:rPr>
        <w:t>Sama paragrahvi lisatav lõige 3</w:t>
      </w:r>
      <w:r>
        <w:rPr>
          <w:szCs w:val="24"/>
        </w:rPr>
        <w:t>3</w:t>
      </w:r>
      <w:r w:rsidRPr="000E2454">
        <w:rPr>
          <w:szCs w:val="24"/>
        </w:rPr>
        <w:t xml:space="preserve"> </w:t>
      </w:r>
      <w:r w:rsidRPr="00DA2BFA">
        <w:rPr>
          <w:rFonts w:cs="Times New Roman"/>
          <w:szCs w:val="24"/>
        </w:rPr>
        <w:t>sätesta</w:t>
      </w:r>
      <w:r>
        <w:rPr>
          <w:rFonts w:cs="Times New Roman"/>
          <w:szCs w:val="24"/>
        </w:rPr>
        <w:t>b</w:t>
      </w:r>
      <w:r w:rsidRPr="00DA2BFA">
        <w:rPr>
          <w:rFonts w:cs="Times New Roman"/>
          <w:szCs w:val="24"/>
        </w:rPr>
        <w:t>, et</w:t>
      </w:r>
      <w:r w:rsidRPr="000E2454">
        <w:rPr>
          <w:rFonts w:cs="Times New Roman"/>
          <w:szCs w:val="24"/>
        </w:rPr>
        <w:t xml:space="preserve"> enne</w:t>
      </w:r>
      <w:r w:rsidRPr="00BA1503">
        <w:rPr>
          <w:rFonts w:cs="Times New Roman"/>
          <w:szCs w:val="24"/>
        </w:rPr>
        <w:t xml:space="preserve"> käesoleva seaduse muudatus</w:t>
      </w:r>
      <w:r>
        <w:rPr>
          <w:rFonts w:cs="Times New Roman"/>
          <w:szCs w:val="24"/>
        </w:rPr>
        <w:t>t</w:t>
      </w:r>
      <w:r w:rsidRPr="00BA1503">
        <w:rPr>
          <w:rFonts w:cs="Times New Roman"/>
          <w:szCs w:val="24"/>
        </w:rPr>
        <w:t xml:space="preserve">e jõustumist alustatud </w:t>
      </w:r>
      <w:r>
        <w:rPr>
          <w:rFonts w:cs="Times New Roman"/>
          <w:szCs w:val="24"/>
        </w:rPr>
        <w:t>väärtegude kohtuvälised</w:t>
      </w:r>
      <w:r w:rsidRPr="00BA1503">
        <w:rPr>
          <w:rFonts w:cs="Times New Roman"/>
          <w:szCs w:val="24"/>
        </w:rPr>
        <w:t xml:space="preserve"> menetlused menetletakse lõpuni menetluse alustamise ajal kehtinud õigusaktide kohaselt</w:t>
      </w:r>
      <w:r>
        <w:rPr>
          <w:rFonts w:cs="Times New Roman"/>
          <w:szCs w:val="24"/>
        </w:rPr>
        <w:t>. See tähendab seda, et k</w:t>
      </w:r>
      <w:r w:rsidRPr="000E2454">
        <w:rPr>
          <w:rFonts w:cs="Times New Roman"/>
          <w:szCs w:val="24"/>
        </w:rPr>
        <w:t>aristusi, mis põhinevad suuremal trahvimääral, saab hakata määrama või mõistma nendele isikutele, kes panevad teo toime 1.</w:t>
      </w:r>
      <w:r>
        <w:rPr>
          <w:rFonts w:cs="Times New Roman"/>
          <w:szCs w:val="24"/>
        </w:rPr>
        <w:t> mail</w:t>
      </w:r>
      <w:r w:rsidRPr="000E2454">
        <w:rPr>
          <w:rFonts w:cs="Times New Roman"/>
          <w:szCs w:val="24"/>
        </w:rPr>
        <w:t xml:space="preserve"> 2026 või pärast seda. Kui isik on teo toime pannud 3</w:t>
      </w:r>
      <w:r>
        <w:rPr>
          <w:rFonts w:cs="Times New Roman"/>
          <w:szCs w:val="24"/>
        </w:rPr>
        <w:t>0</w:t>
      </w:r>
      <w:r w:rsidRPr="000E2454">
        <w:rPr>
          <w:rFonts w:cs="Times New Roman"/>
          <w:szCs w:val="24"/>
        </w:rPr>
        <w:t xml:space="preserve">. </w:t>
      </w:r>
      <w:r>
        <w:rPr>
          <w:rFonts w:cs="Times New Roman"/>
          <w:szCs w:val="24"/>
        </w:rPr>
        <w:t>aprillil</w:t>
      </w:r>
      <w:r w:rsidRPr="000E2454">
        <w:rPr>
          <w:rFonts w:cs="Times New Roman"/>
          <w:szCs w:val="24"/>
        </w:rPr>
        <w:t xml:space="preserve"> 202</w:t>
      </w:r>
      <w:r>
        <w:rPr>
          <w:rFonts w:cs="Times New Roman"/>
          <w:szCs w:val="24"/>
        </w:rPr>
        <w:t>6</w:t>
      </w:r>
      <w:r w:rsidRPr="000E2454">
        <w:rPr>
          <w:rFonts w:cs="Times New Roman"/>
          <w:szCs w:val="24"/>
        </w:rPr>
        <w:t xml:space="preserve">, st enne seadusemuudatuse jõustumist, kohaldatakse tema karistamisel enne 1. </w:t>
      </w:r>
      <w:r>
        <w:rPr>
          <w:rFonts w:cs="Times New Roman"/>
          <w:szCs w:val="24"/>
        </w:rPr>
        <w:t>maid</w:t>
      </w:r>
      <w:r w:rsidRPr="000E2454">
        <w:rPr>
          <w:rFonts w:cs="Times New Roman"/>
          <w:szCs w:val="24"/>
        </w:rPr>
        <w:t xml:space="preserve"> 2026 kehtinud trahvimäärasid.</w:t>
      </w:r>
    </w:p>
    <w:p w14:paraId="4999F5F0" w14:textId="77777777" w:rsidR="006B1555" w:rsidRDefault="006B1555" w:rsidP="006B1555">
      <w:pPr>
        <w:rPr>
          <w:rFonts w:cs="Times New Roman"/>
          <w:szCs w:val="24"/>
        </w:rPr>
      </w:pPr>
    </w:p>
    <w:p w14:paraId="327CD7B9" w14:textId="77777777" w:rsidR="006B1555" w:rsidRPr="00D956F0" w:rsidRDefault="006B1555" w:rsidP="006B1555">
      <w:pPr>
        <w:rPr>
          <w:rFonts w:cs="Times New Roman"/>
          <w:szCs w:val="24"/>
        </w:rPr>
      </w:pPr>
      <w:r>
        <w:rPr>
          <w:rFonts w:cs="Times New Roman"/>
          <w:szCs w:val="24"/>
        </w:rPr>
        <w:t>L</w:t>
      </w:r>
      <w:r w:rsidRPr="00E17908">
        <w:rPr>
          <w:rFonts w:cs="Times New Roman"/>
          <w:szCs w:val="24"/>
        </w:rPr>
        <w:t xml:space="preserve">õike </w:t>
      </w:r>
      <w:r>
        <w:rPr>
          <w:rFonts w:cs="Times New Roman"/>
          <w:szCs w:val="24"/>
        </w:rPr>
        <w:t>34</w:t>
      </w:r>
      <w:r w:rsidRPr="00E17908">
        <w:rPr>
          <w:rFonts w:cs="Times New Roman"/>
          <w:szCs w:val="24"/>
        </w:rPr>
        <w:t xml:space="preserve"> eesmärk on pikendada võrguettevõtjatele, kellel puudub praegu vastav tehniline võimekus, tähtaega, millal tekib kohustus pakkuda paindlikke liitumisi ning võimaldada aega arendada välja vajalikud infotehnoloogilised lahendused ning luua vajalikud funktsionaalsused ja nende juba olemasolevate</w:t>
      </w:r>
      <w:r>
        <w:rPr>
          <w:rFonts w:cs="Times New Roman"/>
          <w:szCs w:val="24"/>
        </w:rPr>
        <w:t xml:space="preserve"> </w:t>
      </w:r>
      <w:r w:rsidRPr="00E17908">
        <w:rPr>
          <w:rFonts w:cs="Times New Roman"/>
          <w:szCs w:val="24"/>
        </w:rPr>
        <w:t>süsteemidega integreerimise võimekus. Selleks, et suuremal hulgal paindlikke liitujaid hallata ja juhtida, on vajalik arendada kaugjuhtimiseks sobilik süsteem ning määrata paindlike liitumiste tingimused pilootprojektide põhjal ehk paindlikke liitumisi saab sellisel juhul võrguettevõtja võimaldada järk-järgult üha laiapõhjalisemalt ja vastavalt olemasolevatele tehnilistele lahendustele laiendada seda võimekust kogu teeninduspiirkonna ulatuses. Teadaolevalt on suurima jaotusvõrguettevõtja puhul mikrotootjate kaugjuhtimisega seotud esmane võimekus seotud uue SCADA (Supervisory Control and Data Acquisition) süsteemi tarnimisega, mis peaks toimuma 2027. aastaks.</w:t>
      </w:r>
    </w:p>
    <w:p w14:paraId="7A6C9E62" w14:textId="77777777" w:rsidR="006B1555" w:rsidRDefault="006B1555" w:rsidP="006B1555">
      <w:pPr>
        <w:rPr>
          <w:rFonts w:eastAsia="Times New Roman" w:cs="Times New Roman"/>
          <w:color w:val="000000"/>
          <w:lang w:eastAsia="et-EE"/>
        </w:rPr>
      </w:pPr>
      <w:r w:rsidRPr="00894363">
        <w:rPr>
          <w:rFonts w:eastAsia="Times New Roman" w:cs="Times New Roman"/>
          <w:color w:val="000000"/>
          <w:lang w:eastAsia="et-EE"/>
        </w:rPr>
        <w:t xml:space="preserve">   </w:t>
      </w:r>
    </w:p>
    <w:p w14:paraId="411F9D39" w14:textId="77777777" w:rsidR="006B1555" w:rsidRDefault="006B1555" w:rsidP="006B1555">
      <w:pPr>
        <w:spacing w:after="5" w:line="271" w:lineRule="auto"/>
        <w:ind w:left="10"/>
        <w:rPr>
          <w:rFonts w:eastAsia="Times New Roman" w:cs="Times New Roman"/>
          <w:color w:val="000000"/>
          <w:lang w:eastAsia="et-EE"/>
        </w:rPr>
      </w:pPr>
      <w:r>
        <w:rPr>
          <w:rFonts w:eastAsia="Times New Roman" w:cs="Times New Roman"/>
          <w:b/>
          <w:bCs/>
          <w:color w:val="000000"/>
          <w:lang w:eastAsia="et-EE"/>
        </w:rPr>
        <w:t>ELTS-i</w:t>
      </w:r>
      <w:r w:rsidRPr="009573C9">
        <w:rPr>
          <w:rFonts w:eastAsia="Times New Roman" w:cs="Times New Roman"/>
          <w:color w:val="000000"/>
          <w:lang w:eastAsia="et-EE"/>
        </w:rPr>
        <w:t xml:space="preserve"> normitehnilist märkust </w:t>
      </w:r>
      <w:r>
        <w:rPr>
          <w:rFonts w:eastAsia="Times New Roman" w:cs="Times New Roman"/>
          <w:color w:val="000000"/>
          <w:lang w:eastAsia="et-EE"/>
        </w:rPr>
        <w:t xml:space="preserve">täiendatakse </w:t>
      </w:r>
      <w:r w:rsidRPr="009573C9">
        <w:rPr>
          <w:rFonts w:eastAsia="Times New Roman" w:cs="Times New Roman"/>
          <w:color w:val="000000"/>
          <w:lang w:eastAsia="et-EE"/>
        </w:rPr>
        <w:t>tekstiosaga „Euroopa Parlamendi ja nõukogu direktiiv (EL) 2024/1711, millega muudetakse direktiive (EL) 2018/2001 ja (EL) 2019/944 seoses liidu elektrituru korralduse parandamisega (ELT L, 2024/1711, 26.</w:t>
      </w:r>
      <w:r>
        <w:rPr>
          <w:rFonts w:eastAsia="Times New Roman" w:cs="Times New Roman"/>
          <w:color w:val="000000"/>
          <w:lang w:eastAsia="et-EE"/>
        </w:rPr>
        <w:t>0</w:t>
      </w:r>
      <w:r w:rsidRPr="009573C9">
        <w:rPr>
          <w:rFonts w:eastAsia="Times New Roman" w:cs="Times New Roman"/>
          <w:color w:val="000000"/>
          <w:lang w:eastAsia="et-EE"/>
        </w:rPr>
        <w:t>6.2024)“.</w:t>
      </w:r>
    </w:p>
    <w:p w14:paraId="74DF6753" w14:textId="77777777" w:rsidR="006B1555" w:rsidRDefault="006B1555" w:rsidP="006B1555">
      <w:pPr>
        <w:rPr>
          <w:rFonts w:eastAsia="Times New Roman" w:cs="Times New Roman"/>
          <w:lang w:eastAsia="et-EE"/>
        </w:rPr>
      </w:pPr>
    </w:p>
    <w:p w14:paraId="398BD044" w14:textId="77777777" w:rsidR="006B1555" w:rsidRDefault="006B1555" w:rsidP="006B1555">
      <w:pPr>
        <w:rPr>
          <w:rFonts w:eastAsia="Times New Roman" w:cs="Times New Roman"/>
          <w:b/>
          <w:lang w:eastAsia="et-EE"/>
        </w:rPr>
      </w:pPr>
      <w:r w:rsidRPr="00FF0813">
        <w:rPr>
          <w:rFonts w:eastAsia="Times New Roman" w:cs="Times New Roman"/>
          <w:b/>
          <w:lang w:eastAsia="et-EE"/>
        </w:rPr>
        <w:t>3.</w:t>
      </w:r>
      <w:r>
        <w:rPr>
          <w:rFonts w:eastAsia="Times New Roman" w:cs="Times New Roman"/>
          <w:b/>
          <w:lang w:eastAsia="et-EE"/>
        </w:rPr>
        <w:t>2</w:t>
      </w:r>
      <w:r w:rsidRPr="00FF0813">
        <w:rPr>
          <w:rFonts w:eastAsia="Times New Roman" w:cs="Times New Roman"/>
          <w:b/>
          <w:lang w:eastAsia="et-EE"/>
        </w:rPr>
        <w:t>.</w:t>
      </w:r>
      <w:r>
        <w:rPr>
          <w:rFonts w:eastAsia="Times New Roman" w:cs="Times New Roman"/>
          <w:b/>
          <w:lang w:eastAsia="et-EE"/>
        </w:rPr>
        <w:t xml:space="preserve"> Maagaasiseaduse muutmine</w:t>
      </w:r>
    </w:p>
    <w:p w14:paraId="43C196F2" w14:textId="77777777" w:rsidR="006B1555" w:rsidRDefault="006B1555" w:rsidP="006B1555">
      <w:pPr>
        <w:rPr>
          <w:rFonts w:eastAsia="Times New Roman" w:cs="Times New Roman"/>
          <w:b/>
          <w:lang w:eastAsia="et-EE"/>
        </w:rPr>
      </w:pPr>
    </w:p>
    <w:p w14:paraId="74C89E5F" w14:textId="77777777" w:rsidR="006B1555" w:rsidRDefault="006B1555" w:rsidP="006B1555">
      <w:pPr>
        <w:rPr>
          <w:b/>
          <w:bCs/>
          <w:szCs w:val="24"/>
        </w:rPr>
      </w:pPr>
      <w:r>
        <w:rPr>
          <w:b/>
          <w:bCs/>
          <w:szCs w:val="24"/>
        </w:rPr>
        <w:t>MGS § 37</w:t>
      </w:r>
      <w:r w:rsidRPr="0040525D">
        <w:rPr>
          <w:b/>
          <w:bCs/>
          <w:szCs w:val="24"/>
          <w:vertAlign w:val="superscript"/>
        </w:rPr>
        <w:t>2</w:t>
      </w:r>
      <w:r>
        <w:rPr>
          <w:b/>
          <w:bCs/>
          <w:szCs w:val="24"/>
        </w:rPr>
        <w:t xml:space="preserve"> lg 2</w:t>
      </w:r>
      <w:r w:rsidRPr="0040525D">
        <w:rPr>
          <w:b/>
          <w:bCs/>
          <w:szCs w:val="24"/>
          <w:vertAlign w:val="superscript"/>
        </w:rPr>
        <w:t>1</w:t>
      </w:r>
    </w:p>
    <w:p w14:paraId="4F70A842" w14:textId="77777777" w:rsidR="006B1555" w:rsidRDefault="006B1555" w:rsidP="006B1555">
      <w:pPr>
        <w:rPr>
          <w:szCs w:val="24"/>
        </w:rPr>
      </w:pPr>
      <w:r>
        <w:rPr>
          <w:szCs w:val="24"/>
        </w:rPr>
        <w:t>MGSi §-i 37</w:t>
      </w:r>
      <w:r>
        <w:rPr>
          <w:szCs w:val="24"/>
          <w:vertAlign w:val="superscript"/>
        </w:rPr>
        <w:t>2</w:t>
      </w:r>
      <w:r>
        <w:rPr>
          <w:szCs w:val="24"/>
        </w:rPr>
        <w:t xml:space="preserve"> täiendatakse lõikega 2</w:t>
      </w:r>
      <w:r>
        <w:rPr>
          <w:szCs w:val="24"/>
          <w:vertAlign w:val="superscript"/>
        </w:rPr>
        <w:t>1</w:t>
      </w:r>
      <w:r>
        <w:rPr>
          <w:szCs w:val="24"/>
        </w:rPr>
        <w:t>. Muudatusega</w:t>
      </w:r>
      <w:r w:rsidRPr="002D7710">
        <w:rPr>
          <w:szCs w:val="24"/>
        </w:rPr>
        <w:t xml:space="preserve"> antakse Konkurentsiametile selgesõnaline õigus kasutada kõiki REMIT</w:t>
      </w:r>
      <w:r>
        <w:rPr>
          <w:szCs w:val="24"/>
        </w:rPr>
        <w:t xml:space="preserve"> </w:t>
      </w:r>
      <w:r w:rsidRPr="002D7710">
        <w:rPr>
          <w:szCs w:val="24"/>
        </w:rPr>
        <w:t>määruses sätestatud järelevalvevolitusi.</w:t>
      </w:r>
      <w:r>
        <w:rPr>
          <w:szCs w:val="24"/>
        </w:rPr>
        <w:t xml:space="preserve"> Lisaks sätestatakse REMIT määruse artikkel 18 punktist 6 lähtuvalt, et </w:t>
      </w:r>
      <w:r w:rsidRPr="002D7710">
        <w:rPr>
          <w:szCs w:val="24"/>
        </w:rPr>
        <w:t>Konkurentsiamet</w:t>
      </w:r>
      <w:r>
        <w:rPr>
          <w:szCs w:val="24"/>
        </w:rPr>
        <w:t xml:space="preserve">il on õigus </w:t>
      </w:r>
      <w:r w:rsidRPr="002D7710">
        <w:rPr>
          <w:szCs w:val="24"/>
        </w:rPr>
        <w:t xml:space="preserve">avalikustada oma veebilehel rikkumiste </w:t>
      </w:r>
      <w:r>
        <w:rPr>
          <w:szCs w:val="24"/>
        </w:rPr>
        <w:t>kohta määratud karistused. Eelnõusse kavandatud muudatuse tingis asjaolu, et avalikku tähelepanu väärib teave rikkumiste eest järgnevatest karistustest. Eesmärk on</w:t>
      </w:r>
      <w:r w:rsidRPr="002D7710">
        <w:rPr>
          <w:szCs w:val="24"/>
        </w:rPr>
        <w:t xml:space="preserve"> </w:t>
      </w:r>
      <w:r>
        <w:rPr>
          <w:szCs w:val="24"/>
        </w:rPr>
        <w:t>parandada</w:t>
      </w:r>
      <w:r w:rsidRPr="002D7710">
        <w:rPr>
          <w:szCs w:val="24"/>
        </w:rPr>
        <w:t xml:space="preserve"> turuosaliste teadlikkust ja </w:t>
      </w:r>
      <w:r>
        <w:rPr>
          <w:szCs w:val="24"/>
        </w:rPr>
        <w:t xml:space="preserve">seeläbi aidata hoida ära nii esmakordseid kui ka korduvaid rikkumisi. </w:t>
      </w:r>
    </w:p>
    <w:p w14:paraId="2FF3CEA9" w14:textId="77777777" w:rsidR="006B1555" w:rsidRDefault="006B1555" w:rsidP="006B1555">
      <w:pPr>
        <w:rPr>
          <w:szCs w:val="24"/>
        </w:rPr>
      </w:pPr>
    </w:p>
    <w:p w14:paraId="374BE557" w14:textId="77777777" w:rsidR="006B1555" w:rsidRDefault="006B1555" w:rsidP="006B1555">
      <w:pPr>
        <w:rPr>
          <w:szCs w:val="24"/>
        </w:rPr>
      </w:pPr>
      <w:r w:rsidRPr="004D3E53">
        <w:rPr>
          <w:szCs w:val="24"/>
        </w:rPr>
        <w:lastRenderedPageBreak/>
        <w:t>Konkurentsiameti õigust teabe avaldamiseks tuleb tasakaalustada mitme õigusliku kaalutlusega.</w:t>
      </w:r>
      <w:r>
        <w:rPr>
          <w:szCs w:val="24"/>
        </w:rPr>
        <w:t xml:space="preserve"> REMIT määruse artikkel 18 punkt 6 selgitab, et</w:t>
      </w:r>
      <w:r w:rsidRPr="00891731">
        <w:t xml:space="preserve"> </w:t>
      </w:r>
      <w:r w:rsidRPr="00891731">
        <w:rPr>
          <w:szCs w:val="24"/>
        </w:rPr>
        <w:t>riiklik reguleeriv asutus võib avalikustada meetmed või karistused, mis on määratud käesoleva määruse rikkumise eest, välja arvatud juhul, kui selline üldsusele avalikustamine tekitaks asjaomastele isikutele ebaproportsionaalset kahju.</w:t>
      </w:r>
      <w:r w:rsidRPr="004D3E53">
        <w:rPr>
          <w:szCs w:val="24"/>
        </w:rPr>
        <w:t xml:space="preserve"> Avalikustamine pea</w:t>
      </w:r>
      <w:r>
        <w:rPr>
          <w:szCs w:val="24"/>
        </w:rPr>
        <w:t>b</w:t>
      </w:r>
      <w:r w:rsidRPr="004D3E53">
        <w:rPr>
          <w:szCs w:val="24"/>
        </w:rPr>
        <w:t xml:space="preserve"> põhinema eelkõige avalikul huvil, mille eesmärk on ennetada turuosaliste poolt toimepandavaid sarnaseid rikkumisi ning tõsta turu läbipaistvust. Avalikustamine on eriti põhjendatud juhtudel, kus rikkumine puudutab süsteemset või korduvat käitumist, millel võib olla oluline mõju elektri või gaasi hulgiturule või lõpptarbijatele.</w:t>
      </w:r>
    </w:p>
    <w:p w14:paraId="75A9FA11" w14:textId="77777777" w:rsidR="006B1555" w:rsidRDefault="006B1555" w:rsidP="006B1555">
      <w:pPr>
        <w:rPr>
          <w:szCs w:val="24"/>
        </w:rPr>
      </w:pPr>
    </w:p>
    <w:p w14:paraId="14EB589D" w14:textId="77777777" w:rsidR="006B1555" w:rsidRPr="00542313" w:rsidRDefault="006B1555" w:rsidP="006B1555">
      <w:pPr>
        <w:rPr>
          <w:szCs w:val="24"/>
        </w:rPr>
      </w:pPr>
      <w:r>
        <w:rPr>
          <w:szCs w:val="24"/>
        </w:rPr>
        <w:t>Turuosalisteks on antud juhul gaasi süsteemihaldur Elering ning gaasi hulgituru osalised, sh bilansihaldurid ja avatud tarnijad.</w:t>
      </w:r>
    </w:p>
    <w:p w14:paraId="23B32B05" w14:textId="77777777" w:rsidR="006B1555" w:rsidRDefault="006B1555" w:rsidP="006B1555">
      <w:pPr>
        <w:rPr>
          <w:szCs w:val="24"/>
        </w:rPr>
      </w:pPr>
    </w:p>
    <w:p w14:paraId="2B862A32" w14:textId="77777777" w:rsidR="006B1555" w:rsidRDefault="006B1555" w:rsidP="006B1555">
      <w:pPr>
        <w:rPr>
          <w:szCs w:val="24"/>
        </w:rPr>
      </w:pPr>
      <w:r>
        <w:rPr>
          <w:b/>
          <w:bCs/>
          <w:szCs w:val="24"/>
        </w:rPr>
        <w:t>MGS § 38</w:t>
      </w:r>
      <w:r w:rsidRPr="0040525D">
        <w:rPr>
          <w:b/>
          <w:bCs/>
          <w:szCs w:val="24"/>
          <w:vertAlign w:val="superscript"/>
        </w:rPr>
        <w:t>2</w:t>
      </w:r>
      <w:r>
        <w:rPr>
          <w:szCs w:val="24"/>
        </w:rPr>
        <w:t xml:space="preserve"> </w:t>
      </w:r>
    </w:p>
    <w:p w14:paraId="550D8FA9" w14:textId="77777777" w:rsidR="006B1555" w:rsidRDefault="006B1555" w:rsidP="006B1555">
      <w:pPr>
        <w:rPr>
          <w:rFonts w:eastAsia="Times New Roman" w:cs="Times New Roman"/>
          <w:color w:val="000000"/>
          <w:lang w:eastAsia="et-EE"/>
        </w:rPr>
      </w:pPr>
      <w:r>
        <w:rPr>
          <w:szCs w:val="24"/>
        </w:rPr>
        <w:t xml:space="preserve">Seaduse </w:t>
      </w:r>
      <w:r w:rsidRPr="00D328B4">
        <w:rPr>
          <w:rFonts w:eastAsia="Times New Roman" w:cs="Times New Roman"/>
          <w:color w:val="000000"/>
          <w:lang w:eastAsia="et-EE"/>
        </w:rPr>
        <w:t>§-i</w:t>
      </w:r>
      <w:r w:rsidRPr="00092FCF">
        <w:rPr>
          <w:rFonts w:eastAsia="Times New Roman" w:cs="Times New Roman"/>
          <w:color w:val="000000"/>
          <w:lang w:eastAsia="et-EE"/>
        </w:rPr>
        <w:t xml:space="preserve"> 38</w:t>
      </w:r>
      <w:r w:rsidRPr="00092FCF">
        <w:rPr>
          <w:rFonts w:eastAsia="Times New Roman" w:cs="Times New Roman"/>
          <w:color w:val="000000"/>
          <w:vertAlign w:val="superscript"/>
          <w:lang w:eastAsia="et-EE"/>
        </w:rPr>
        <w:t>2</w:t>
      </w:r>
      <w:r>
        <w:rPr>
          <w:rFonts w:eastAsia="Times New Roman" w:cs="Times New Roman"/>
          <w:color w:val="000000"/>
          <w:lang w:eastAsia="et-EE"/>
        </w:rPr>
        <w:t xml:space="preserve"> tekst loetakse lõikeks 1 ning lõike 1 teine lause tunnistatakse kehtetuks, see regulatsiooni põhimõte viiakse üle sama paragrahvi lõigetesse 2 ja 3.</w:t>
      </w:r>
    </w:p>
    <w:p w14:paraId="044D3BE3" w14:textId="77777777" w:rsidR="006B1555" w:rsidRDefault="006B1555" w:rsidP="006B1555">
      <w:pPr>
        <w:rPr>
          <w:szCs w:val="24"/>
        </w:rPr>
      </w:pPr>
    </w:p>
    <w:p w14:paraId="21FF1FC0" w14:textId="77777777" w:rsidR="006B1555" w:rsidRDefault="006B1555" w:rsidP="006B1555">
      <w:pPr>
        <w:rPr>
          <w:szCs w:val="24"/>
        </w:rPr>
      </w:pPr>
      <w:r w:rsidRPr="0040525D">
        <w:rPr>
          <w:szCs w:val="24"/>
        </w:rPr>
        <w:t>Seaduse</w:t>
      </w:r>
      <w:r>
        <w:rPr>
          <w:szCs w:val="24"/>
        </w:rPr>
        <w:t xml:space="preserve"> §-i 38</w:t>
      </w:r>
      <w:r>
        <w:rPr>
          <w:szCs w:val="24"/>
          <w:vertAlign w:val="superscript"/>
        </w:rPr>
        <w:t>2</w:t>
      </w:r>
      <w:r>
        <w:rPr>
          <w:szCs w:val="24"/>
        </w:rPr>
        <w:t xml:space="preserve"> lisatakse lõiked 2 ja 3, mis reguleerivad Konkurentsiameti ettekirjutuse</w:t>
      </w:r>
      <w:r w:rsidRPr="00294571">
        <w:rPr>
          <w:szCs w:val="24"/>
        </w:rPr>
        <w:t xml:space="preserve"> täitmata jätmise või eb</w:t>
      </w:r>
      <w:r>
        <w:rPr>
          <w:szCs w:val="24"/>
        </w:rPr>
        <w:t>akohase täitmise korral rakendatav</w:t>
      </w:r>
      <w:r w:rsidRPr="00294571">
        <w:rPr>
          <w:szCs w:val="24"/>
        </w:rPr>
        <w:t>a</w:t>
      </w:r>
      <w:r>
        <w:rPr>
          <w:szCs w:val="24"/>
        </w:rPr>
        <w:t>t</w:t>
      </w:r>
      <w:r w:rsidRPr="00294571">
        <w:rPr>
          <w:szCs w:val="24"/>
        </w:rPr>
        <w:t xml:space="preserve"> </w:t>
      </w:r>
      <w:r>
        <w:rPr>
          <w:szCs w:val="24"/>
        </w:rPr>
        <w:t>sunniraha.</w:t>
      </w:r>
    </w:p>
    <w:p w14:paraId="5371C9A3" w14:textId="77777777" w:rsidR="006B1555" w:rsidRDefault="006B1555" w:rsidP="006B1555">
      <w:pPr>
        <w:rPr>
          <w:szCs w:val="24"/>
        </w:rPr>
      </w:pPr>
    </w:p>
    <w:p w14:paraId="4F515798" w14:textId="77777777" w:rsidR="006B1555" w:rsidRDefault="006B1555" w:rsidP="006B1555">
      <w:pPr>
        <w:rPr>
          <w:szCs w:val="24"/>
        </w:rPr>
      </w:pPr>
      <w:r>
        <w:rPr>
          <w:szCs w:val="24"/>
        </w:rPr>
        <w:t>Lõigetes 2 ning 3 nähakse ette füüsilisele ja juriidilise isikule määratava sunniraha maksimummäär. Sunniraha määra on rakendatud sarnaselt finantsvaldkonna õigusaktides</w:t>
      </w:r>
      <w:r>
        <w:rPr>
          <w:rStyle w:val="Allmrkuseviide"/>
        </w:rPr>
        <w:footnoteReference w:id="38"/>
      </w:r>
      <w:r>
        <w:rPr>
          <w:szCs w:val="24"/>
        </w:rPr>
        <w:t xml:space="preserve"> sätestatuga, nii et füüsilisele isikule saab sunniraha määrata </w:t>
      </w:r>
      <w:r w:rsidRPr="00294571">
        <w:rPr>
          <w:szCs w:val="24"/>
        </w:rPr>
        <w:t xml:space="preserve">kuni 5000 eurot </w:t>
      </w:r>
      <w:r>
        <w:rPr>
          <w:szCs w:val="24"/>
        </w:rPr>
        <w:t>ning juriidilisele isikule kuni 100 000 eurot (kehtivas seaduses 1300 eurot olenemata sellest, kas tegemist on korduva rikkumisega). Kehtivas seaduses ei eristata ka füüsilisele ning juriidilisele isikule määratud sunniraha ja sunniraha suurus 1300 eurot on tänaseks ajale jalgu jäänud, ega oma heidutavat mõju.</w:t>
      </w:r>
    </w:p>
    <w:p w14:paraId="7E9A32D7" w14:textId="77777777" w:rsidR="006B1555" w:rsidRDefault="006B1555" w:rsidP="006B1555">
      <w:pPr>
        <w:rPr>
          <w:szCs w:val="24"/>
        </w:rPr>
      </w:pPr>
    </w:p>
    <w:p w14:paraId="7C9D4D06" w14:textId="77777777" w:rsidR="006B1555" w:rsidRPr="00542313" w:rsidRDefault="006B1555" w:rsidP="006B1555">
      <w:pPr>
        <w:rPr>
          <w:szCs w:val="24"/>
        </w:rPr>
      </w:pPr>
      <w:r>
        <w:rPr>
          <w:szCs w:val="24"/>
        </w:rPr>
        <w:t xml:space="preserve">Sunniraha võib määrata maksimaalselt kuni nimetatud määras, see tähendab üksnes juhul kui haldusorgani kaalutlusõigus seda konkreetsel juhul õigustab. Siinkohal tuleb haldusorganil arvestada mitme kumuleeruva teguriga. </w:t>
      </w:r>
      <w:r w:rsidRPr="00992750">
        <w:rPr>
          <w:szCs w:val="24"/>
        </w:rPr>
        <w:t>Üks peamisi tegureid on rikkumise raskus ja selle mõju turu terviklikkusele või tarbijatele – näiteks juhul, kui turuosaline hoi</w:t>
      </w:r>
      <w:r>
        <w:rPr>
          <w:szCs w:val="24"/>
        </w:rPr>
        <w:t>du</w:t>
      </w:r>
      <w:r w:rsidRPr="00992750">
        <w:rPr>
          <w:szCs w:val="24"/>
        </w:rPr>
        <w:t xml:space="preserve">b sihilikult </w:t>
      </w:r>
      <w:r>
        <w:rPr>
          <w:szCs w:val="24"/>
        </w:rPr>
        <w:t>avaldamast</w:t>
      </w:r>
      <w:r w:rsidRPr="00992750">
        <w:rPr>
          <w:szCs w:val="24"/>
        </w:rPr>
        <w:t xml:space="preserve"> siseteavet, mis mõjutab energia hinda, või takistab teabe kogumist, mis on oluline süsteemse riskihindamise jaoks.</w:t>
      </w:r>
      <w:r w:rsidRPr="510A726D">
        <w:rPr>
          <w:szCs w:val="24"/>
        </w:rPr>
        <w:t xml:space="preserve"> </w:t>
      </w:r>
      <w:r w:rsidRPr="00992750">
        <w:rPr>
          <w:szCs w:val="24"/>
        </w:rPr>
        <w:t>Teiseks tuleks arvesse võtta rikkumise kestust</w:t>
      </w:r>
      <w:r>
        <w:rPr>
          <w:szCs w:val="24"/>
        </w:rPr>
        <w:t>. P</w:t>
      </w:r>
      <w:r w:rsidRPr="00992750">
        <w:rPr>
          <w:szCs w:val="24"/>
        </w:rPr>
        <w:t>ikemaajalised või korduvalt toime pandud rikkumised võivad õigustada sunniraha määramist üle</w:t>
      </w:r>
      <w:r>
        <w:rPr>
          <w:szCs w:val="24"/>
        </w:rPr>
        <w:t>m</w:t>
      </w:r>
      <w:r w:rsidRPr="00992750">
        <w:rPr>
          <w:szCs w:val="24"/>
        </w:rPr>
        <w:t xml:space="preserve">määras. Samuti on </w:t>
      </w:r>
      <w:r>
        <w:rPr>
          <w:szCs w:val="24"/>
        </w:rPr>
        <w:t xml:space="preserve">olulise </w:t>
      </w:r>
      <w:r w:rsidRPr="00992750">
        <w:rPr>
          <w:szCs w:val="24"/>
        </w:rPr>
        <w:t xml:space="preserve">tähtsusega isiku varasem koostöövalmidus ja järelevalveasutuse ettekirjutustele reageerimine. Kui on alust arvata, et isik on tegutsenud sihilikult või süsteemselt, tuleks kaaluda sunniraha määramist maksimaalses ulatuses, et tagada </w:t>
      </w:r>
      <w:r>
        <w:rPr>
          <w:szCs w:val="24"/>
        </w:rPr>
        <w:t>meetme</w:t>
      </w:r>
      <w:r w:rsidRPr="00992750">
        <w:rPr>
          <w:szCs w:val="24"/>
        </w:rPr>
        <w:t xml:space="preserve"> heidutav mõju</w:t>
      </w:r>
      <w:r>
        <w:rPr>
          <w:szCs w:val="24"/>
        </w:rPr>
        <w:t xml:space="preserve">.  </w:t>
      </w:r>
      <w:r w:rsidRPr="00AF77BC">
        <w:rPr>
          <w:bCs/>
          <w:szCs w:val="24"/>
          <w:lang w:eastAsia="et-EE"/>
        </w:rPr>
        <w:t xml:space="preserve">Rakendatavad sunniraha määrad </w:t>
      </w:r>
      <w:r>
        <w:rPr>
          <w:bCs/>
          <w:szCs w:val="24"/>
          <w:lang w:eastAsia="et-EE"/>
        </w:rPr>
        <w:t>peavad</w:t>
      </w:r>
      <w:r w:rsidRPr="00AF77BC">
        <w:rPr>
          <w:bCs/>
          <w:szCs w:val="24"/>
          <w:lang w:eastAsia="et-EE"/>
        </w:rPr>
        <w:t xml:space="preserve"> heidutama rikkujaid ja võtma ära võimaluse teenida rikkumiste arvelt kasu.</w:t>
      </w:r>
      <w:r>
        <w:rPr>
          <w:bCs/>
          <w:szCs w:val="24"/>
          <w:lang w:eastAsia="et-EE"/>
        </w:rPr>
        <w:t xml:space="preserve"> </w:t>
      </w:r>
      <w:r>
        <w:rPr>
          <w:szCs w:val="24"/>
          <w:lang w:eastAsia="et-EE"/>
        </w:rPr>
        <w:t>Näiteks MGS § 23 lg-s 4 on sätestatud võrguettevõtjale kohtustus kooskõlastada Konkurentsiametiga võrguteenuste ning § 23 lg-s 6 on sätestatud võrguettevõtjale kohustus võrguteenuste hinnad avaldada</w:t>
      </w:r>
      <w:r w:rsidRPr="510A726D">
        <w:rPr>
          <w:szCs w:val="24"/>
          <w:lang w:eastAsia="et-EE"/>
        </w:rPr>
        <w:t>.</w:t>
      </w:r>
      <w:r>
        <w:rPr>
          <w:szCs w:val="24"/>
          <w:lang w:eastAsia="et-EE"/>
        </w:rPr>
        <w:t xml:space="preserve"> Vastavat kooskõlastamis- ja avaldamiskohustust rikkudes on võrguettevõtjal võimalik nt katta võrgutasudega võrguteenuse osutamisega mitteseotud kulusid, jätta tagamata investeeringud </w:t>
      </w:r>
      <w:r w:rsidRPr="00625721">
        <w:rPr>
          <w:szCs w:val="24"/>
          <w:lang w:eastAsia="et-EE"/>
        </w:rPr>
        <w:t xml:space="preserve">elutähtsa teenuse toimepidevuse </w:t>
      </w:r>
      <w:r>
        <w:rPr>
          <w:szCs w:val="24"/>
          <w:lang w:eastAsia="et-EE"/>
        </w:rPr>
        <w:t>tagamiseks ning ka teenida põhjendamatut tulu.</w:t>
      </w:r>
      <w:r>
        <w:rPr>
          <w:szCs w:val="24"/>
        </w:rPr>
        <w:t xml:space="preserve"> Näiteks AS-il Gaasivõrk jaotusvõrguga on ühendatud ligi 45 000 tarbimispunkti</w:t>
      </w:r>
      <w:r>
        <w:rPr>
          <w:rStyle w:val="Allmrkuseviide"/>
        </w:rPr>
        <w:footnoteReference w:id="39"/>
      </w:r>
      <w:r>
        <w:rPr>
          <w:szCs w:val="24"/>
        </w:rPr>
        <w:t xml:space="preserve">, millega seotud tarbijatelt </w:t>
      </w:r>
      <w:r>
        <w:rPr>
          <w:szCs w:val="24"/>
          <w:lang w:eastAsia="et-EE"/>
        </w:rPr>
        <w:t xml:space="preserve">ettevõtja võtab võrgutasu. Sellise kliendibaasiga ettevõtja suhtes rakendatav sunniraha määr peab omama heidutavat mõju. </w:t>
      </w:r>
      <w:r>
        <w:rPr>
          <w:bCs/>
          <w:szCs w:val="24"/>
          <w:lang w:eastAsia="et-EE"/>
        </w:rPr>
        <w:t>Juriidilise isiku puhul on lisaalternatiivina võimalik rakendada sunniraha määras, mis vastab kuni 15 protsendile</w:t>
      </w:r>
      <w:r w:rsidRPr="003770C5">
        <w:rPr>
          <w:bCs/>
          <w:szCs w:val="24"/>
          <w:lang w:eastAsia="et-EE"/>
        </w:rPr>
        <w:t xml:space="preserve"> </w:t>
      </w:r>
      <w:r w:rsidRPr="003770C5">
        <w:rPr>
          <w:bCs/>
          <w:szCs w:val="24"/>
          <w:lang w:eastAsia="et-EE"/>
        </w:rPr>
        <w:lastRenderedPageBreak/>
        <w:t>aastasest kogukäibest vastavalt viimasele kättesaadavale juhtimisorgani poolt kinnitanud raamatupidamise aastaaruandele. Juhul kui juriidiline isik on emaettevõtja või sellise emaettevõtja tütarettevõtja, kes peab koostama konsolidee</w:t>
      </w:r>
      <w:r>
        <w:rPr>
          <w:bCs/>
          <w:szCs w:val="24"/>
          <w:lang w:eastAsia="et-EE"/>
        </w:rPr>
        <w:t xml:space="preserve">ritud raamatupidamise aruandeid, on eelpool </w:t>
      </w:r>
      <w:r w:rsidRPr="003770C5">
        <w:rPr>
          <w:bCs/>
          <w:szCs w:val="24"/>
          <w:lang w:eastAsia="et-EE"/>
        </w:rPr>
        <w:t>nimetatud kogukäi</w:t>
      </w:r>
      <w:r>
        <w:rPr>
          <w:bCs/>
          <w:szCs w:val="24"/>
          <w:lang w:eastAsia="et-EE"/>
        </w:rPr>
        <w:t>ve</w:t>
      </w:r>
      <w:r w:rsidRPr="003770C5">
        <w:rPr>
          <w:bCs/>
          <w:szCs w:val="24"/>
          <w:lang w:eastAsia="et-EE"/>
        </w:rPr>
        <w:t xml:space="preserve"> aastane kogukäive või asjaomase tululiigi kogukäive viimase kättesaadava konsolideeritud raamatupidamise aastaaruande järgi, mille on heaks kiitnud kõrgeima taseme emaettevõtja juhtimisorgan.</w:t>
      </w:r>
    </w:p>
    <w:p w14:paraId="39A0E72D" w14:textId="77777777" w:rsidR="006B1555" w:rsidRDefault="006B1555" w:rsidP="006B1555">
      <w:pPr>
        <w:rPr>
          <w:szCs w:val="24"/>
        </w:rPr>
      </w:pPr>
    </w:p>
    <w:p w14:paraId="6CD176E5" w14:textId="77777777" w:rsidR="006B1555" w:rsidRDefault="006B1555" w:rsidP="006B1555">
      <w:pPr>
        <w:rPr>
          <w:szCs w:val="24"/>
        </w:rPr>
      </w:pPr>
      <w:r>
        <w:rPr>
          <w:b/>
          <w:bCs/>
          <w:szCs w:val="24"/>
        </w:rPr>
        <w:t>MGS § 44</w:t>
      </w:r>
      <w:r w:rsidRPr="0040525D">
        <w:rPr>
          <w:b/>
          <w:bCs/>
          <w:szCs w:val="24"/>
          <w:vertAlign w:val="superscript"/>
        </w:rPr>
        <w:t>2</w:t>
      </w:r>
      <w:r>
        <w:rPr>
          <w:szCs w:val="24"/>
        </w:rPr>
        <w:t xml:space="preserve"> </w:t>
      </w:r>
    </w:p>
    <w:p w14:paraId="3ACB2F52" w14:textId="77777777" w:rsidR="006B1555" w:rsidRDefault="006B1555" w:rsidP="006B1555">
      <w:pPr>
        <w:rPr>
          <w:rFonts w:cs="Times New Roman"/>
          <w:szCs w:val="24"/>
        </w:rPr>
      </w:pPr>
      <w:r>
        <w:rPr>
          <w:szCs w:val="24"/>
        </w:rPr>
        <w:t xml:space="preserve">Tunnistatakse kehtetuks </w:t>
      </w:r>
      <w:r>
        <w:rPr>
          <w:rFonts w:cs="Times New Roman"/>
          <w:szCs w:val="24"/>
        </w:rPr>
        <w:t>§ 44</w:t>
      </w:r>
      <w:r>
        <w:rPr>
          <w:rFonts w:cs="Times New Roman"/>
          <w:szCs w:val="24"/>
          <w:vertAlign w:val="superscript"/>
        </w:rPr>
        <w:t>2</w:t>
      </w:r>
      <w:r>
        <w:rPr>
          <w:rFonts w:cs="Times New Roman"/>
          <w:szCs w:val="24"/>
        </w:rPr>
        <w:t>, kuna selle asemel kehtestatakse uued REMIT määrusega kooskõlas olevad §-d 44</w:t>
      </w:r>
      <w:r>
        <w:rPr>
          <w:rFonts w:cs="Times New Roman"/>
          <w:szCs w:val="24"/>
          <w:vertAlign w:val="superscript"/>
        </w:rPr>
        <w:t>8</w:t>
      </w:r>
      <w:r w:rsidRPr="000B3243">
        <w:rPr>
          <w:rFonts w:cs="Times New Roman"/>
          <w:szCs w:val="24"/>
        </w:rPr>
        <w:t>–</w:t>
      </w:r>
      <w:r>
        <w:rPr>
          <w:rFonts w:cs="Times New Roman"/>
          <w:szCs w:val="24"/>
        </w:rPr>
        <w:t>44</w:t>
      </w:r>
      <w:r>
        <w:rPr>
          <w:rFonts w:cs="Times New Roman"/>
          <w:szCs w:val="24"/>
          <w:vertAlign w:val="superscript"/>
        </w:rPr>
        <w:t>13</w:t>
      </w:r>
      <w:r w:rsidRPr="00542313">
        <w:rPr>
          <w:rFonts w:cs="Times New Roman"/>
          <w:szCs w:val="24"/>
        </w:rPr>
        <w:t>.</w:t>
      </w:r>
    </w:p>
    <w:p w14:paraId="1FE327A5" w14:textId="77777777" w:rsidR="006B1555" w:rsidRDefault="006B1555" w:rsidP="006B1555">
      <w:pPr>
        <w:rPr>
          <w:b/>
          <w:bCs/>
          <w:szCs w:val="24"/>
        </w:rPr>
      </w:pPr>
    </w:p>
    <w:p w14:paraId="6874AA06" w14:textId="77777777" w:rsidR="006B1555" w:rsidRDefault="006B1555" w:rsidP="006B1555">
      <w:pPr>
        <w:rPr>
          <w:b/>
          <w:bCs/>
          <w:szCs w:val="24"/>
        </w:rPr>
      </w:pPr>
      <w:r>
        <w:rPr>
          <w:rFonts w:cs="Times New Roman"/>
          <w:szCs w:val="24"/>
        </w:rPr>
        <w:t>Konkurentsiamet on seni MGS § 44</w:t>
      </w:r>
      <w:r>
        <w:rPr>
          <w:rFonts w:cs="Times New Roman"/>
          <w:szCs w:val="24"/>
          <w:vertAlign w:val="superscript"/>
        </w:rPr>
        <w:t>2</w:t>
      </w:r>
      <w:r>
        <w:rPr>
          <w:rFonts w:cs="Times New Roman"/>
          <w:szCs w:val="24"/>
        </w:rPr>
        <w:t xml:space="preserve"> rikkumise kohta viinud läbi menetluse ja määranud rahatrahvi ühel korral </w:t>
      </w:r>
      <w:r>
        <w:rPr>
          <w:szCs w:val="24"/>
        </w:rPr>
        <w:t>2021. aastal. Amet</w:t>
      </w:r>
      <w:r w:rsidRPr="00B30FE7">
        <w:rPr>
          <w:szCs w:val="24"/>
        </w:rPr>
        <w:t xml:space="preserve"> määras 29.10.2021 Elering AS-ile </w:t>
      </w:r>
      <w:r>
        <w:rPr>
          <w:szCs w:val="24"/>
        </w:rPr>
        <w:t>REMIT määruse</w:t>
      </w:r>
      <w:r w:rsidRPr="00B30FE7">
        <w:rPr>
          <w:szCs w:val="24"/>
        </w:rPr>
        <w:t xml:space="preserve"> rikkumise eest </w:t>
      </w:r>
      <w:r>
        <w:rPr>
          <w:szCs w:val="24"/>
        </w:rPr>
        <w:t>MGS-i</w:t>
      </w:r>
      <w:r w:rsidRPr="00B30FE7">
        <w:rPr>
          <w:szCs w:val="24"/>
        </w:rPr>
        <w:t xml:space="preserve"> alusel rahatrahvi 10 000 eurot.</w:t>
      </w:r>
      <w:r>
        <w:rPr>
          <w:szCs w:val="24"/>
        </w:rPr>
        <w:t xml:space="preserve"> </w:t>
      </w:r>
      <w:r w:rsidRPr="009E49F4">
        <w:rPr>
          <w:szCs w:val="24"/>
        </w:rPr>
        <w:t>Elering AS ei avalikustanud gaasirajatise Balticconnectori võimsusi oluliselt mõjutavate Paldiski ja Puiatu kompressorjaamade osas tulemuslikult ja õigeaegselt siseteavet, rikkudes sellega REMIT</w:t>
      </w:r>
      <w:r>
        <w:rPr>
          <w:szCs w:val="24"/>
        </w:rPr>
        <w:t xml:space="preserve"> määruses</w:t>
      </w:r>
      <w:r w:rsidRPr="009E49F4">
        <w:rPr>
          <w:szCs w:val="24"/>
        </w:rPr>
        <w:t xml:space="preserve"> sätestatud siseteabe avalikustamise kohustust.</w:t>
      </w:r>
      <w:r>
        <w:rPr>
          <w:rStyle w:val="Allmrkuseviide"/>
        </w:rPr>
        <w:footnoteReference w:id="40"/>
      </w:r>
    </w:p>
    <w:p w14:paraId="5EAB9426" w14:textId="77777777" w:rsidR="006B1555" w:rsidRDefault="006B1555" w:rsidP="006B1555">
      <w:pPr>
        <w:rPr>
          <w:b/>
          <w:bCs/>
          <w:szCs w:val="24"/>
        </w:rPr>
      </w:pPr>
    </w:p>
    <w:p w14:paraId="775F6C30" w14:textId="77777777" w:rsidR="006B1555" w:rsidRDefault="006B1555" w:rsidP="006B1555">
      <w:pPr>
        <w:rPr>
          <w:szCs w:val="24"/>
        </w:rPr>
      </w:pPr>
      <w:r>
        <w:rPr>
          <w:b/>
          <w:bCs/>
          <w:szCs w:val="24"/>
        </w:rPr>
        <w:t>MGS § 44</w:t>
      </w:r>
      <w:r w:rsidRPr="0040525D">
        <w:rPr>
          <w:b/>
          <w:bCs/>
          <w:szCs w:val="24"/>
          <w:vertAlign w:val="superscript"/>
        </w:rPr>
        <w:t>8</w:t>
      </w:r>
      <w:r>
        <w:rPr>
          <w:szCs w:val="24"/>
        </w:rPr>
        <w:t xml:space="preserve"> </w:t>
      </w:r>
    </w:p>
    <w:p w14:paraId="22C66D58" w14:textId="77777777" w:rsidR="006B1555" w:rsidRDefault="006B1555" w:rsidP="006B1555">
      <w:pPr>
        <w:rPr>
          <w:rFonts w:cs="Times New Roman"/>
          <w:szCs w:val="24"/>
        </w:rPr>
      </w:pPr>
      <w:r>
        <w:rPr>
          <w:szCs w:val="24"/>
        </w:rPr>
        <w:t xml:space="preserve">Seadust täiendatakse </w:t>
      </w:r>
      <w:r>
        <w:rPr>
          <w:rFonts w:cs="Times New Roman"/>
          <w:szCs w:val="24"/>
        </w:rPr>
        <w:t>§-ga 44</w:t>
      </w:r>
      <w:r>
        <w:rPr>
          <w:rFonts w:cs="Times New Roman"/>
          <w:szCs w:val="24"/>
          <w:vertAlign w:val="superscript"/>
        </w:rPr>
        <w:t>8</w:t>
      </w:r>
      <w:r>
        <w:rPr>
          <w:rFonts w:cs="Times New Roman"/>
          <w:szCs w:val="24"/>
        </w:rPr>
        <w:t>. Nimetatud sätte lisamine seadusesse on vajalik REMIT määruse artiklis 18 sätestatud trahvimäärade rakendamiseks.</w:t>
      </w:r>
    </w:p>
    <w:p w14:paraId="315D7ED8" w14:textId="77777777" w:rsidR="006B1555" w:rsidRDefault="006B1555" w:rsidP="006B1555">
      <w:pPr>
        <w:rPr>
          <w:rFonts w:cs="Times New Roman"/>
          <w:szCs w:val="24"/>
        </w:rPr>
      </w:pPr>
    </w:p>
    <w:p w14:paraId="6AD7EEF2" w14:textId="77777777" w:rsidR="006B1555" w:rsidRDefault="006B1555" w:rsidP="006B1555">
      <w:pPr>
        <w:rPr>
          <w:szCs w:val="24"/>
        </w:rPr>
      </w:pPr>
      <w:r>
        <w:rPr>
          <w:rFonts w:cs="Times New Roman"/>
          <w:szCs w:val="24"/>
        </w:rPr>
        <w:t xml:space="preserve">Seaduse </w:t>
      </w:r>
      <w:r w:rsidRPr="0040525D">
        <w:rPr>
          <w:szCs w:val="24"/>
        </w:rPr>
        <w:t>§ 44</w:t>
      </w:r>
      <w:r w:rsidRPr="0040525D">
        <w:rPr>
          <w:szCs w:val="24"/>
          <w:vertAlign w:val="superscript"/>
        </w:rPr>
        <w:t>8</w:t>
      </w:r>
      <w:r>
        <w:rPr>
          <w:szCs w:val="24"/>
        </w:rPr>
        <w:t xml:space="preserve"> alusel kehtestatakse trahvid</w:t>
      </w:r>
      <w:r w:rsidRPr="00500E39">
        <w:rPr>
          <w:szCs w:val="24"/>
        </w:rPr>
        <w:t xml:space="preserve"> </w:t>
      </w:r>
      <w:r>
        <w:rPr>
          <w:szCs w:val="24"/>
        </w:rPr>
        <w:t>s</w:t>
      </w:r>
      <w:r w:rsidRPr="00500E39">
        <w:rPr>
          <w:szCs w:val="24"/>
        </w:rPr>
        <w:t>isteabel põhineva kauplemise keelu rikkumi</w:t>
      </w:r>
      <w:r>
        <w:rPr>
          <w:szCs w:val="24"/>
        </w:rPr>
        <w:t>se eest.</w:t>
      </w:r>
    </w:p>
    <w:p w14:paraId="78F6A8E1" w14:textId="77777777" w:rsidR="006B1555" w:rsidRDefault="006B1555" w:rsidP="006B1555">
      <w:pPr>
        <w:rPr>
          <w:szCs w:val="24"/>
        </w:rPr>
      </w:pPr>
    </w:p>
    <w:p w14:paraId="29B9C064" w14:textId="77777777" w:rsidR="006B1555" w:rsidRDefault="006B1555" w:rsidP="006B1555">
      <w:pPr>
        <w:rPr>
          <w:szCs w:val="24"/>
        </w:rPr>
      </w:pPr>
      <w:r>
        <w:rPr>
          <w:szCs w:val="24"/>
        </w:rPr>
        <w:t>Siseteave on täpset laadi avalikustamata teave, mis on otse või kaudselt seotud ühe või mitme energia hulgimüügitootega ning millel võib avaldamise korral olla tõenäoliselt märkimisväärne mõju kõnealuste energia hulgimüügitoodete hinnale.</w:t>
      </w:r>
      <w:r>
        <w:rPr>
          <w:rStyle w:val="Allmrkuseviide"/>
        </w:rPr>
        <w:footnoteReference w:id="41"/>
      </w:r>
      <w:r>
        <w:rPr>
          <w:szCs w:val="24"/>
        </w:rPr>
        <w:t xml:space="preserve"> Siseteabega on tegemist, kui kõik neli eeltoodud kumulatiivset tingimust on täidetud.</w:t>
      </w:r>
    </w:p>
    <w:p w14:paraId="56169185" w14:textId="77777777" w:rsidR="006B1555" w:rsidRDefault="006B1555" w:rsidP="006B1555">
      <w:pPr>
        <w:rPr>
          <w:szCs w:val="24"/>
        </w:rPr>
      </w:pPr>
    </w:p>
    <w:p w14:paraId="3AD98950" w14:textId="77777777" w:rsidR="006B1555" w:rsidRDefault="006B1555" w:rsidP="006B1555">
      <w:pPr>
        <w:rPr>
          <w:szCs w:val="24"/>
        </w:rPr>
      </w:pPr>
      <w:r>
        <w:rPr>
          <w:szCs w:val="24"/>
        </w:rPr>
        <w:t>S</w:t>
      </w:r>
      <w:r w:rsidRPr="00530FB5">
        <w:rPr>
          <w:szCs w:val="24"/>
        </w:rPr>
        <w:t>iseteavet valdavatel isikutel on keelatud:</w:t>
      </w:r>
    </w:p>
    <w:p w14:paraId="46758E6A" w14:textId="77777777" w:rsidR="006B1555" w:rsidRPr="00530FB5" w:rsidRDefault="006B1555" w:rsidP="006B1555">
      <w:pPr>
        <w:rPr>
          <w:szCs w:val="24"/>
        </w:rPr>
      </w:pPr>
      <w:r w:rsidRPr="00530FB5">
        <w:rPr>
          <w:szCs w:val="24"/>
        </w:rPr>
        <w:t>a) kasutada kõnealust teavet selleks, et enda või kolmanda isiku arvel otse või kaudselt</w:t>
      </w:r>
      <w:r>
        <w:rPr>
          <w:rStyle w:val="Allmrkuseviide"/>
        </w:rPr>
        <w:footnoteReference w:id="42"/>
      </w:r>
      <w:r w:rsidRPr="00530FB5">
        <w:rPr>
          <w:szCs w:val="24"/>
        </w:rPr>
        <w:t xml:space="preserve"> omandada või loovutada või püüda omandada või</w:t>
      </w:r>
      <w:r>
        <w:rPr>
          <w:szCs w:val="24"/>
        </w:rPr>
        <w:t xml:space="preserve"> </w:t>
      </w:r>
      <w:r w:rsidRPr="00530FB5">
        <w:rPr>
          <w:szCs w:val="24"/>
        </w:rPr>
        <w:t>loovutada sellise teabega seotud energia hulgimüügitooteid;</w:t>
      </w:r>
    </w:p>
    <w:p w14:paraId="26E555DF" w14:textId="77777777" w:rsidR="006B1555" w:rsidRPr="00530FB5" w:rsidRDefault="006B1555" w:rsidP="006B1555">
      <w:pPr>
        <w:rPr>
          <w:szCs w:val="24"/>
        </w:rPr>
      </w:pPr>
      <w:r w:rsidRPr="00530FB5">
        <w:rPr>
          <w:szCs w:val="24"/>
        </w:rPr>
        <w:t>b) avalikustada siseteavet teistele isikutele, välja arvatud juhul, kui seda tehakse asjaomase isiku töö, ametikoha või ülesannetega seotud tavapärase tegevuse käigus;</w:t>
      </w:r>
    </w:p>
    <w:p w14:paraId="471C0BED" w14:textId="77777777" w:rsidR="006B1555" w:rsidRDefault="006B1555" w:rsidP="006B1555">
      <w:pPr>
        <w:rPr>
          <w:szCs w:val="24"/>
        </w:rPr>
      </w:pPr>
      <w:r w:rsidRPr="00530FB5">
        <w:rPr>
          <w:szCs w:val="24"/>
        </w:rPr>
        <w:t>c) anda siseteabe põhjal teistele isikutele soovitusi või mõjutada neid, et</w:t>
      </w:r>
      <w:r>
        <w:rPr>
          <w:szCs w:val="24"/>
        </w:rPr>
        <w:t xml:space="preserve"> </w:t>
      </w:r>
      <w:r w:rsidRPr="00530FB5">
        <w:rPr>
          <w:szCs w:val="24"/>
        </w:rPr>
        <w:t xml:space="preserve">nad ostaksid või omandaksid selliseid energia hulgimüügitooteid, </w:t>
      </w:r>
      <w:r>
        <w:rPr>
          <w:szCs w:val="24"/>
        </w:rPr>
        <w:t xml:space="preserve"> </w:t>
      </w:r>
      <w:r w:rsidRPr="00530FB5">
        <w:rPr>
          <w:szCs w:val="24"/>
        </w:rPr>
        <w:t>millega kõnealune teave on seotud.</w:t>
      </w:r>
    </w:p>
    <w:p w14:paraId="1A025A9E" w14:textId="77777777" w:rsidR="006B1555" w:rsidRDefault="006B1555" w:rsidP="006B1555">
      <w:pPr>
        <w:rPr>
          <w:szCs w:val="24"/>
        </w:rPr>
      </w:pPr>
      <w:r w:rsidRPr="00530FB5">
        <w:rPr>
          <w:szCs w:val="24"/>
        </w:rPr>
        <w:t>Siseteabel põhinevaks kauplemiseks peetakse ka siseteabe kasutamist</w:t>
      </w:r>
      <w:r>
        <w:rPr>
          <w:szCs w:val="24"/>
        </w:rPr>
        <w:t xml:space="preserve"> </w:t>
      </w:r>
      <w:r w:rsidRPr="00530FB5">
        <w:rPr>
          <w:szCs w:val="24"/>
        </w:rPr>
        <w:t>selle teabega seotud energia hulgimüügitoote kohta antud korralduse tühistamiseks või muutmiseks, või muuks kauplemisega seotud toiminguks, kui korraldus anti enne, kui asjaomane isik sai siseteabe oma valdusse</w:t>
      </w:r>
      <w:r>
        <w:rPr>
          <w:szCs w:val="24"/>
        </w:rPr>
        <w:t>.</w:t>
      </w:r>
    </w:p>
    <w:p w14:paraId="675B18DE" w14:textId="77777777" w:rsidR="006B1555" w:rsidRDefault="006B1555" w:rsidP="006B1555">
      <w:pPr>
        <w:rPr>
          <w:szCs w:val="24"/>
        </w:rPr>
      </w:pPr>
      <w:r>
        <w:rPr>
          <w:szCs w:val="24"/>
        </w:rPr>
        <w:t>Võimalikud märgid siseteabel põhineva kauplemise kohta on järgmised:</w:t>
      </w:r>
    </w:p>
    <w:p w14:paraId="2CD5E2B4" w14:textId="77777777" w:rsidR="006B1555" w:rsidRDefault="006B1555" w:rsidP="006B1555">
      <w:pPr>
        <w:rPr>
          <w:szCs w:val="24"/>
        </w:rPr>
      </w:pPr>
      <w:r>
        <w:rPr>
          <w:szCs w:val="24"/>
        </w:rPr>
        <w:lastRenderedPageBreak/>
        <w:t>a) h</w:t>
      </w:r>
      <w:r w:rsidRPr="00DD4D24">
        <w:rPr>
          <w:szCs w:val="24"/>
        </w:rPr>
        <w:t>ulgimüügitoote(te) kauplemismahtude olulised ja/või ootamatud muutused enne siseteabeks kvalifitseeruva asjaolu avaldamist või ilmnemist</w:t>
      </w:r>
      <w:r>
        <w:rPr>
          <w:szCs w:val="24"/>
        </w:rPr>
        <w:t>;</w:t>
      </w:r>
    </w:p>
    <w:p w14:paraId="2466D601" w14:textId="77777777" w:rsidR="006B1555" w:rsidRDefault="006B1555" w:rsidP="006B1555">
      <w:pPr>
        <w:rPr>
          <w:szCs w:val="24"/>
        </w:rPr>
      </w:pPr>
      <w:r>
        <w:rPr>
          <w:szCs w:val="24"/>
        </w:rPr>
        <w:t>b) hulgimüügitoote(te) hindade olulised ja/või ootamatud muutused enne siseteabeks kvalifitseeruva asjaolu avaldamist või ilmnemist;</w:t>
      </w:r>
    </w:p>
    <w:p w14:paraId="182CAA33" w14:textId="77777777" w:rsidR="006B1555" w:rsidRDefault="006B1555" w:rsidP="006B1555">
      <w:pPr>
        <w:rPr>
          <w:szCs w:val="24"/>
        </w:rPr>
      </w:pPr>
      <w:r>
        <w:rPr>
          <w:szCs w:val="24"/>
        </w:rPr>
        <w:t>c) hulgimüügitoote(te) turuosalise kauplemiskäitumise muutused enne siseteabeks kvalifitseeruva asjaolu avaldamist või ilmnemist;</w:t>
      </w:r>
    </w:p>
    <w:p w14:paraId="048A2519" w14:textId="77777777" w:rsidR="006B1555" w:rsidRDefault="006B1555" w:rsidP="006B1555">
      <w:pPr>
        <w:rPr>
          <w:szCs w:val="24"/>
        </w:rPr>
      </w:pPr>
      <w:r>
        <w:rPr>
          <w:szCs w:val="24"/>
        </w:rPr>
        <w:t>d) t</w:t>
      </w:r>
      <w:r w:rsidRPr="003D1605">
        <w:rPr>
          <w:szCs w:val="24"/>
        </w:rPr>
        <w:t>uruosalise (potentsiaalne) kasumi suurenemine või muutus, mis tuleneb tema positsiooni muutumisest konkreetsete hulgimüügi energiatoodete ja/või finantsinstrumendi suhtes enne siseteabeks kvalifitseeruva asjaolu avaldamist või ilmnemist</w:t>
      </w:r>
      <w:r>
        <w:rPr>
          <w:szCs w:val="24"/>
        </w:rPr>
        <w:t>;</w:t>
      </w:r>
    </w:p>
    <w:p w14:paraId="42BDD6E5" w14:textId="77777777" w:rsidR="006B1555" w:rsidRDefault="006B1555" w:rsidP="006B1555">
      <w:pPr>
        <w:rPr>
          <w:szCs w:val="24"/>
        </w:rPr>
      </w:pPr>
      <w:r>
        <w:rPr>
          <w:szCs w:val="24"/>
        </w:rPr>
        <w:t>e) s</w:t>
      </w:r>
      <w:r w:rsidRPr="00E300B1">
        <w:rPr>
          <w:szCs w:val="24"/>
        </w:rPr>
        <w:t>iseteabega seotud muude REMIT</w:t>
      </w:r>
      <w:r>
        <w:rPr>
          <w:szCs w:val="24"/>
        </w:rPr>
        <w:t xml:space="preserve"> määruse </w:t>
      </w:r>
      <w:r w:rsidRPr="00E300B1">
        <w:rPr>
          <w:szCs w:val="24"/>
        </w:rPr>
        <w:t>kohustuste mittetäitmine viitab samuti siseringitehingute võimalikkusele.</w:t>
      </w:r>
    </w:p>
    <w:p w14:paraId="07E9EC7B" w14:textId="77777777" w:rsidR="006B1555" w:rsidRDefault="006B1555" w:rsidP="006B1555">
      <w:pPr>
        <w:rPr>
          <w:szCs w:val="24"/>
        </w:rPr>
      </w:pPr>
      <w:r>
        <w:rPr>
          <w:szCs w:val="24"/>
        </w:rPr>
        <w:t>Konkurentsiameti ülesanne on elektri hulgiturul avastada ja tõkestada siseteabel põhinevat kauplemist.</w:t>
      </w:r>
    </w:p>
    <w:p w14:paraId="3421E3A1" w14:textId="77777777" w:rsidR="006B1555" w:rsidRDefault="006B1555" w:rsidP="006B1555">
      <w:pPr>
        <w:rPr>
          <w:szCs w:val="24"/>
        </w:rPr>
      </w:pPr>
    </w:p>
    <w:p w14:paraId="13267321" w14:textId="77777777" w:rsidR="006B1555" w:rsidRDefault="006B1555" w:rsidP="006B1555">
      <w:pPr>
        <w:rPr>
          <w:szCs w:val="24"/>
        </w:rPr>
      </w:pPr>
      <w:r>
        <w:rPr>
          <w:b/>
          <w:bCs/>
          <w:szCs w:val="24"/>
        </w:rPr>
        <w:t>MGS § 44</w:t>
      </w:r>
      <w:r>
        <w:rPr>
          <w:b/>
          <w:bCs/>
          <w:szCs w:val="24"/>
          <w:vertAlign w:val="superscript"/>
        </w:rPr>
        <w:t>9</w:t>
      </w:r>
      <w:r>
        <w:rPr>
          <w:szCs w:val="24"/>
        </w:rPr>
        <w:t xml:space="preserve"> </w:t>
      </w:r>
    </w:p>
    <w:p w14:paraId="451B7215" w14:textId="77777777" w:rsidR="006B1555" w:rsidRDefault="006B1555" w:rsidP="006B1555">
      <w:pPr>
        <w:rPr>
          <w:rFonts w:cs="Times New Roman"/>
          <w:szCs w:val="24"/>
        </w:rPr>
      </w:pPr>
      <w:r>
        <w:rPr>
          <w:szCs w:val="24"/>
        </w:rPr>
        <w:t xml:space="preserve">Seadust täiendatakse </w:t>
      </w:r>
      <w:r>
        <w:rPr>
          <w:rFonts w:cs="Times New Roman"/>
          <w:szCs w:val="24"/>
        </w:rPr>
        <w:t>§-ga 44</w:t>
      </w:r>
      <w:r>
        <w:rPr>
          <w:rFonts w:cs="Times New Roman"/>
          <w:szCs w:val="24"/>
          <w:vertAlign w:val="superscript"/>
        </w:rPr>
        <w:t>9</w:t>
      </w:r>
      <w:r>
        <w:rPr>
          <w:rFonts w:cs="Times New Roman"/>
          <w:szCs w:val="24"/>
        </w:rPr>
        <w:t>. Nimetatud sätte lisamine seadusesse on vajalik REMIT määruse artiklis 18 sätestatud trahvimäärade rakendamiseks.</w:t>
      </w:r>
    </w:p>
    <w:p w14:paraId="48F47934" w14:textId="77777777" w:rsidR="006B1555" w:rsidRDefault="006B1555" w:rsidP="006B1555">
      <w:pPr>
        <w:rPr>
          <w:rFonts w:cs="Times New Roman"/>
          <w:szCs w:val="24"/>
        </w:rPr>
      </w:pPr>
    </w:p>
    <w:p w14:paraId="65DA971B" w14:textId="77777777" w:rsidR="006B1555" w:rsidRDefault="006B1555" w:rsidP="006B1555">
      <w:pPr>
        <w:rPr>
          <w:szCs w:val="24"/>
        </w:rPr>
      </w:pPr>
      <w:r>
        <w:rPr>
          <w:szCs w:val="24"/>
        </w:rPr>
        <w:t xml:space="preserve">Seaduse </w:t>
      </w:r>
      <w:r w:rsidRPr="0040525D">
        <w:rPr>
          <w:szCs w:val="24"/>
        </w:rPr>
        <w:t>§ 44</w:t>
      </w:r>
      <w:r w:rsidRPr="0040525D">
        <w:rPr>
          <w:szCs w:val="24"/>
          <w:vertAlign w:val="superscript"/>
        </w:rPr>
        <w:t>9</w:t>
      </w:r>
      <w:r>
        <w:rPr>
          <w:szCs w:val="24"/>
        </w:rPr>
        <w:t xml:space="preserve"> alusel kehtestatakse trahvid </w:t>
      </w:r>
      <w:r w:rsidRPr="00380D83">
        <w:rPr>
          <w:szCs w:val="24"/>
        </w:rPr>
        <w:t>siseteabe avaldamise kohustuse rikkumise eest</w:t>
      </w:r>
      <w:r>
        <w:rPr>
          <w:szCs w:val="24"/>
        </w:rPr>
        <w:t>.</w:t>
      </w:r>
    </w:p>
    <w:p w14:paraId="0DE3D123" w14:textId="77777777" w:rsidR="006B1555" w:rsidRDefault="006B1555" w:rsidP="006B1555">
      <w:pPr>
        <w:rPr>
          <w:szCs w:val="24"/>
        </w:rPr>
      </w:pPr>
    </w:p>
    <w:p w14:paraId="77DAD586" w14:textId="77777777" w:rsidR="006B1555" w:rsidRDefault="006B1555" w:rsidP="006B1555">
      <w:pPr>
        <w:rPr>
          <w:szCs w:val="24"/>
        </w:rPr>
      </w:pPr>
      <w:r w:rsidRPr="00B91EB1">
        <w:rPr>
          <w:szCs w:val="24"/>
        </w:rPr>
        <w:t>Turuosalised avalikustavad tulemuslikult ja õigeaegselt nende</w:t>
      </w:r>
      <w:r>
        <w:rPr>
          <w:szCs w:val="24"/>
        </w:rPr>
        <w:t xml:space="preserve"> </w:t>
      </w:r>
      <w:r w:rsidRPr="00B91EB1">
        <w:rPr>
          <w:szCs w:val="24"/>
        </w:rPr>
        <w:t>valduses oleva siseteabe, mis käsitleb äritegevust või rajatisi, mida asjaomane turuosaline, tema ema- või sidusettevõtja kas osaliselt või täielikult omab või kontrollib või mille operatiivtegevuse eest kõnealune turuosaline või ettevõtja kas osaliselt või täielikult vastutab.</w:t>
      </w:r>
    </w:p>
    <w:p w14:paraId="213E5D28" w14:textId="77777777" w:rsidR="006B1555" w:rsidRDefault="006B1555" w:rsidP="006B1555">
      <w:pPr>
        <w:rPr>
          <w:szCs w:val="24"/>
        </w:rPr>
      </w:pPr>
    </w:p>
    <w:p w14:paraId="70889B86" w14:textId="6D414E20" w:rsidR="006B1555" w:rsidRDefault="006B1555" w:rsidP="006B1555">
      <w:pPr>
        <w:rPr>
          <w:szCs w:val="24"/>
        </w:rPr>
      </w:pPr>
      <w:r>
        <w:rPr>
          <w:szCs w:val="24"/>
        </w:rPr>
        <w:t xml:space="preserve">Konkurentsiameti ülesanne on </w:t>
      </w:r>
      <w:r w:rsidR="00AF1707">
        <w:rPr>
          <w:szCs w:val="24"/>
        </w:rPr>
        <w:t>gaasi</w:t>
      </w:r>
      <w:r>
        <w:rPr>
          <w:szCs w:val="24"/>
        </w:rPr>
        <w:t xml:space="preserve"> hulgiturul avastada ja tõkestada siseteabe avaldamise kohustuse rikkumist.</w:t>
      </w:r>
    </w:p>
    <w:p w14:paraId="43C35545" w14:textId="77777777" w:rsidR="006B1555" w:rsidRDefault="006B1555" w:rsidP="006B1555">
      <w:pPr>
        <w:rPr>
          <w:szCs w:val="24"/>
        </w:rPr>
      </w:pPr>
    </w:p>
    <w:p w14:paraId="37AB1FFE" w14:textId="77777777" w:rsidR="006B1555" w:rsidRDefault="006B1555" w:rsidP="006B1555">
      <w:pPr>
        <w:rPr>
          <w:szCs w:val="24"/>
        </w:rPr>
      </w:pPr>
      <w:r>
        <w:rPr>
          <w:b/>
          <w:bCs/>
          <w:szCs w:val="24"/>
        </w:rPr>
        <w:t>MGS § 44</w:t>
      </w:r>
      <w:r>
        <w:rPr>
          <w:b/>
          <w:bCs/>
          <w:szCs w:val="24"/>
          <w:vertAlign w:val="superscript"/>
        </w:rPr>
        <w:t>10</w:t>
      </w:r>
      <w:r>
        <w:rPr>
          <w:szCs w:val="24"/>
        </w:rPr>
        <w:t xml:space="preserve"> </w:t>
      </w:r>
    </w:p>
    <w:p w14:paraId="3AF72AA4" w14:textId="77777777" w:rsidR="006B1555" w:rsidRDefault="006B1555" w:rsidP="006B1555">
      <w:pPr>
        <w:rPr>
          <w:rFonts w:cs="Times New Roman"/>
          <w:szCs w:val="24"/>
        </w:rPr>
      </w:pPr>
      <w:r>
        <w:rPr>
          <w:szCs w:val="24"/>
        </w:rPr>
        <w:t xml:space="preserve">Seadust täiendatakse </w:t>
      </w:r>
      <w:r>
        <w:rPr>
          <w:rFonts w:cs="Times New Roman"/>
          <w:szCs w:val="24"/>
        </w:rPr>
        <w:t>§-ga 44</w:t>
      </w:r>
      <w:r>
        <w:rPr>
          <w:rFonts w:cs="Times New Roman"/>
          <w:szCs w:val="24"/>
          <w:vertAlign w:val="superscript"/>
        </w:rPr>
        <w:t>10</w:t>
      </w:r>
      <w:r>
        <w:rPr>
          <w:rFonts w:cs="Times New Roman"/>
          <w:szCs w:val="24"/>
        </w:rPr>
        <w:t>. Nimetatud sätte lisamine seadusesse on vajalik REMIT määruse artiklis 18 sätestatud trahvimäärade rakendamiseks.</w:t>
      </w:r>
    </w:p>
    <w:p w14:paraId="372BA77A" w14:textId="77777777" w:rsidR="006B1555" w:rsidRDefault="006B1555" w:rsidP="006B1555">
      <w:pPr>
        <w:rPr>
          <w:rFonts w:cs="Times New Roman"/>
          <w:szCs w:val="24"/>
        </w:rPr>
      </w:pPr>
    </w:p>
    <w:p w14:paraId="20C4BB41" w14:textId="77777777" w:rsidR="006B1555" w:rsidRDefault="006B1555" w:rsidP="006B1555">
      <w:pPr>
        <w:rPr>
          <w:szCs w:val="24"/>
        </w:rPr>
      </w:pPr>
      <w:r>
        <w:rPr>
          <w:szCs w:val="24"/>
        </w:rPr>
        <w:t xml:space="preserve">Seaduse </w:t>
      </w:r>
      <w:r w:rsidRPr="0040525D">
        <w:rPr>
          <w:szCs w:val="24"/>
        </w:rPr>
        <w:t>§ 44</w:t>
      </w:r>
      <w:r w:rsidRPr="0040525D">
        <w:rPr>
          <w:szCs w:val="24"/>
          <w:vertAlign w:val="superscript"/>
        </w:rPr>
        <w:t>10</w:t>
      </w:r>
      <w:r>
        <w:rPr>
          <w:szCs w:val="24"/>
        </w:rPr>
        <w:t xml:space="preserve"> alusel kehtestatakse trahvid gaasi</w:t>
      </w:r>
      <w:r w:rsidRPr="00F632CB">
        <w:rPr>
          <w:szCs w:val="24"/>
        </w:rPr>
        <w:t xml:space="preserve"> hulgimüügiturul manipuleerimise eest</w:t>
      </w:r>
      <w:r>
        <w:rPr>
          <w:szCs w:val="24"/>
        </w:rPr>
        <w:t>.</w:t>
      </w:r>
    </w:p>
    <w:p w14:paraId="36506E7A" w14:textId="77777777" w:rsidR="006B1555" w:rsidRDefault="006B1555" w:rsidP="006B1555">
      <w:pPr>
        <w:rPr>
          <w:szCs w:val="24"/>
        </w:rPr>
      </w:pPr>
    </w:p>
    <w:p w14:paraId="46AB0B32" w14:textId="77777777" w:rsidR="006B1555" w:rsidRDefault="006B1555" w:rsidP="006B1555">
      <w:pPr>
        <w:rPr>
          <w:rFonts w:cs="Times New Roman"/>
          <w:szCs w:val="24"/>
        </w:rPr>
      </w:pPr>
      <w:r>
        <w:rPr>
          <w:szCs w:val="24"/>
        </w:rPr>
        <w:t>Elektri hulgiturul</w:t>
      </w:r>
      <w:r w:rsidRPr="00F42A71">
        <w:rPr>
          <w:szCs w:val="24"/>
        </w:rPr>
        <w:t xml:space="preserve"> keelatakse turuga manipuleerimine või turuga manipuleerimise katsed.</w:t>
      </w:r>
      <w:r>
        <w:rPr>
          <w:szCs w:val="24"/>
        </w:rPr>
        <w:t xml:space="preserve"> Konkurentsiameti ülesanne on elektri hulgiturul avastada ja tõkestada turuga manipuleerimine </w:t>
      </w:r>
      <w:r w:rsidRPr="000533D3">
        <w:rPr>
          <w:rFonts w:cs="Times New Roman"/>
          <w:szCs w:val="24"/>
        </w:rPr>
        <w:t xml:space="preserve">või turuga manipuleerimise katsed. </w:t>
      </w:r>
    </w:p>
    <w:p w14:paraId="2AD964F1" w14:textId="77777777" w:rsidR="006B1555" w:rsidRPr="000533D3" w:rsidRDefault="006B1555" w:rsidP="006B1555">
      <w:pPr>
        <w:rPr>
          <w:rFonts w:cs="Times New Roman"/>
          <w:szCs w:val="24"/>
        </w:rPr>
      </w:pPr>
    </w:p>
    <w:p w14:paraId="71023AFA" w14:textId="77777777" w:rsidR="006B1555" w:rsidRDefault="006B1555" w:rsidP="006B1555">
      <w:pPr>
        <w:rPr>
          <w:rFonts w:cs="Times New Roman"/>
          <w:szCs w:val="24"/>
        </w:rPr>
      </w:pPr>
      <w:r>
        <w:rPr>
          <w:rFonts w:cs="Times New Roman"/>
          <w:szCs w:val="24"/>
        </w:rPr>
        <w:t>T</w:t>
      </w:r>
      <w:r w:rsidRPr="00C131CB">
        <w:rPr>
          <w:rFonts w:cs="Times New Roman"/>
          <w:szCs w:val="24"/>
        </w:rPr>
        <w:t>uruga manipuleerimine</w:t>
      </w:r>
      <w:r>
        <w:rPr>
          <w:rFonts w:cs="Times New Roman"/>
          <w:szCs w:val="24"/>
        </w:rPr>
        <w:t xml:space="preserve"> alla kuuluvad järgmised tegevused:</w:t>
      </w:r>
    </w:p>
    <w:p w14:paraId="7D9D8952" w14:textId="77777777" w:rsidR="006B1555" w:rsidRDefault="006B1555" w:rsidP="006B1555">
      <w:pPr>
        <w:rPr>
          <w:rFonts w:cs="Times New Roman"/>
          <w:szCs w:val="24"/>
        </w:rPr>
      </w:pPr>
      <w:r w:rsidRPr="00C131CB">
        <w:rPr>
          <w:rFonts w:cs="Times New Roman"/>
          <w:szCs w:val="24"/>
        </w:rPr>
        <w:t>a) tehingu sõlmimine või kauplemiskorralduse andmine, muutmine või tühistamine või mis tahes muu energia hulgimüügitoodetega seotud tegevus,</w:t>
      </w:r>
    </w:p>
    <w:p w14:paraId="1FA9FC69" w14:textId="77777777" w:rsidR="006B1555" w:rsidRDefault="006B1555" w:rsidP="006B1555">
      <w:pPr>
        <w:ind w:left="708"/>
        <w:rPr>
          <w:rFonts w:cs="Times New Roman"/>
          <w:szCs w:val="24"/>
        </w:rPr>
      </w:pPr>
      <w:r w:rsidRPr="00C131CB">
        <w:rPr>
          <w:rFonts w:cs="Times New Roman"/>
          <w:szCs w:val="24"/>
        </w:rPr>
        <w:t>i) mis annab või tõenäoliselt annab valesid või eksitavaid teateid energia hulgimüügitoodete pakkumise, nõudluse või hinna kohta;</w:t>
      </w:r>
    </w:p>
    <w:p w14:paraId="57451818" w14:textId="77777777" w:rsidR="006B1555" w:rsidRDefault="006B1555" w:rsidP="006B1555">
      <w:pPr>
        <w:ind w:left="708"/>
        <w:rPr>
          <w:rFonts w:cs="Times New Roman"/>
          <w:szCs w:val="24"/>
        </w:rPr>
      </w:pPr>
      <w:r w:rsidRPr="00C131CB">
        <w:rPr>
          <w:rFonts w:cs="Times New Roman"/>
          <w:szCs w:val="24"/>
        </w:rPr>
        <w:t>ii) millega üks isik või mitu koostööd tegevat isikut kindlustavad või tõenäoliselt kindlustavad ühe või mitme energia hulgimüügitoote hinna kunstlikul tasemel hoidmise, välja arvatud juhul, kui tehingu sõlminud või kauplemiskorralduse andnud isik tõendab, et tema tegevusel on õiguspärased põhjused ning selline tehing või kauplemiskorraldus on kooskõlas asjaomasel energia hulgimüügiturul tunnustatud tavadega, või</w:t>
      </w:r>
    </w:p>
    <w:p w14:paraId="10BA234B" w14:textId="77777777" w:rsidR="006B1555" w:rsidRDefault="006B1555" w:rsidP="006B1555">
      <w:pPr>
        <w:ind w:left="708"/>
        <w:rPr>
          <w:rFonts w:cs="Times New Roman"/>
          <w:szCs w:val="24"/>
        </w:rPr>
      </w:pPr>
      <w:r w:rsidRPr="00C131CB">
        <w:rPr>
          <w:rFonts w:cs="Times New Roman"/>
          <w:szCs w:val="24"/>
        </w:rPr>
        <w:t>iii) mille puhul kasutatakse fiktiivseid vahendeid või muud liiki pettust või võtteid, millega antakse või tõenäoliselt antakse valesid või eksitavaid teateid energia hulgimüügitoodete pakkumise, nõudluse või hinna kohta;</w:t>
      </w:r>
    </w:p>
    <w:p w14:paraId="4FE8AE2A" w14:textId="77777777" w:rsidR="006B1555" w:rsidRDefault="006B1555" w:rsidP="006B1555">
      <w:pPr>
        <w:rPr>
          <w:rFonts w:cs="Times New Roman"/>
          <w:szCs w:val="24"/>
        </w:rPr>
      </w:pPr>
      <w:r w:rsidRPr="00C131CB">
        <w:rPr>
          <w:rFonts w:cs="Times New Roman"/>
          <w:szCs w:val="24"/>
        </w:rPr>
        <w:lastRenderedPageBreak/>
        <w:t>b) teabe levitamine meedia, sealhulgas interneti kaudu või muul viisil, mis annab või tõenäoliselt annab energia hulgimüügitoodete pakkumise, nõudluse või hinna kohta valesid või eksitavaid teateid, kaasa arvatud kuulduste või valede või eksitavate uudiste levitamine, kui teavet levitanud isik teadis või oleks pidanud teadma, et teave on vale või eksitav. Kui teavet levitatakse ajakirjanduslikul või kunstilise väljenduse eesmärgil, võetakse sellise teabe levitamise hindamisel arvesse teistes meediakanalites ajakirjandusvabadust ja sõnavabadust reguleerivaid norme, välja arvatud juhul, kui</w:t>
      </w:r>
    </w:p>
    <w:p w14:paraId="2C6E6AC2" w14:textId="77777777" w:rsidR="006B1555" w:rsidRDefault="006B1555" w:rsidP="006B1555">
      <w:pPr>
        <w:ind w:left="708"/>
        <w:rPr>
          <w:rFonts w:cs="Times New Roman"/>
          <w:szCs w:val="24"/>
        </w:rPr>
      </w:pPr>
      <w:r w:rsidRPr="00C131CB">
        <w:rPr>
          <w:rFonts w:cs="Times New Roman"/>
          <w:szCs w:val="24"/>
        </w:rPr>
        <w:t>i) teavet levitavad isikud saavad kõnealuse teabe levitamisest otse või kaudselt eeliseid või kasu, või</w:t>
      </w:r>
    </w:p>
    <w:p w14:paraId="230264BA" w14:textId="77777777" w:rsidR="006B1555" w:rsidRPr="00C131CB" w:rsidRDefault="006B1555" w:rsidP="006B1555">
      <w:pPr>
        <w:ind w:left="708"/>
        <w:rPr>
          <w:rFonts w:cs="Times New Roman"/>
          <w:szCs w:val="24"/>
        </w:rPr>
      </w:pPr>
      <w:r w:rsidRPr="00C131CB">
        <w:rPr>
          <w:rFonts w:cs="Times New Roman"/>
          <w:szCs w:val="24"/>
        </w:rPr>
        <w:t>ii) teave avaldatakse või seda levitatakse kavatsusega eksitada turgu energia hulgimüügitoodete pakkumise, nõudluse ja hinna osas; või c) võrdlusalusega seotud vale või eksitava teabe edastamine või valede või eksitavate sisendandmete esitamine, kui teabe edastanud või sisendandmed esitanud isik teadis või oleks pidanud teadma, et teave on vale või eksitav või sisendandmed valed või eksitavad, või mis tahes muu tegevus, mis põhjustab võrdlusaluse arvutusega manipuleerimist.</w:t>
      </w:r>
    </w:p>
    <w:p w14:paraId="2DDEFBA7" w14:textId="77777777" w:rsidR="006B1555" w:rsidRDefault="006B1555" w:rsidP="006B1555">
      <w:pPr>
        <w:rPr>
          <w:rFonts w:cs="Times New Roman"/>
          <w:szCs w:val="24"/>
        </w:rPr>
      </w:pPr>
      <w:r>
        <w:rPr>
          <w:rFonts w:cs="Times New Roman"/>
          <w:szCs w:val="24"/>
        </w:rPr>
        <w:t>T</w:t>
      </w:r>
      <w:r w:rsidRPr="00C131CB">
        <w:rPr>
          <w:rFonts w:cs="Times New Roman"/>
          <w:szCs w:val="24"/>
        </w:rPr>
        <w:t>uruga manipuleerimise katse</w:t>
      </w:r>
      <w:r>
        <w:rPr>
          <w:rFonts w:cs="Times New Roman"/>
          <w:szCs w:val="24"/>
        </w:rPr>
        <w:t xml:space="preserve"> alla liigituvad järgmised tegevused:</w:t>
      </w:r>
    </w:p>
    <w:p w14:paraId="5E690577" w14:textId="77777777" w:rsidR="006B1555" w:rsidRDefault="006B1555" w:rsidP="006B1555">
      <w:pPr>
        <w:rPr>
          <w:rFonts w:cs="Times New Roman"/>
          <w:szCs w:val="24"/>
        </w:rPr>
      </w:pPr>
      <w:r w:rsidRPr="00C131CB">
        <w:rPr>
          <w:rFonts w:cs="Times New Roman"/>
          <w:szCs w:val="24"/>
        </w:rPr>
        <w:t>a) tehingu sõlmimine, kauplemiskorralduse andmine või mõne muu meetme võtmine seoses energia hulgimüügitootega selleks, et:</w:t>
      </w:r>
    </w:p>
    <w:p w14:paraId="7E039139" w14:textId="77777777" w:rsidR="006B1555" w:rsidRDefault="006B1555" w:rsidP="006B1555">
      <w:pPr>
        <w:ind w:left="708"/>
        <w:rPr>
          <w:rFonts w:cs="Times New Roman"/>
          <w:szCs w:val="24"/>
        </w:rPr>
      </w:pPr>
      <w:r w:rsidRPr="00C131CB">
        <w:rPr>
          <w:rFonts w:cs="Times New Roman"/>
          <w:szCs w:val="24"/>
        </w:rPr>
        <w:t>i) anda valesid või eksitavaid teateid energia hulgimüügitoodete pakkumise, nõudluse või hinna kohta,</w:t>
      </w:r>
    </w:p>
    <w:p w14:paraId="69E74698" w14:textId="77777777" w:rsidR="006B1555" w:rsidRDefault="006B1555" w:rsidP="006B1555">
      <w:pPr>
        <w:ind w:left="708"/>
        <w:rPr>
          <w:rFonts w:cs="Times New Roman"/>
          <w:szCs w:val="24"/>
        </w:rPr>
      </w:pPr>
      <w:r w:rsidRPr="00C131CB">
        <w:rPr>
          <w:rFonts w:cs="Times New Roman"/>
          <w:szCs w:val="24"/>
        </w:rPr>
        <w:t>ii) kindlustada ühe või mitme energia hulgimüügitoote hinna kunstlikul tasemel hoidmine, välja arvatud juhul, kui tehingu sõlminud või kauplemiskorralduse andnud isik tõendab, et tema tegevusel on õiguspärased põhjused ning kõnealune tehing või kauplemiskorraldus on kooskõlas asjaomasel energia hulgimüügiturul tunnustatud tavadega, või</w:t>
      </w:r>
    </w:p>
    <w:p w14:paraId="688C1E0B" w14:textId="77777777" w:rsidR="006B1555" w:rsidRDefault="006B1555" w:rsidP="006B1555">
      <w:pPr>
        <w:ind w:left="708"/>
        <w:rPr>
          <w:rFonts w:cs="Times New Roman"/>
          <w:szCs w:val="24"/>
        </w:rPr>
      </w:pPr>
      <w:r w:rsidRPr="00C131CB">
        <w:rPr>
          <w:rFonts w:cs="Times New Roman"/>
          <w:szCs w:val="24"/>
        </w:rPr>
        <w:t>iii) kasutada fiktiivseid vahendeid või muud liiki pettust või võtteid, millega antakse või tõenäoliselt antakse valesid või eksitavaid märguandeid energia hulgimüügitoodete pakkumise, nõudluse või hinna kohta, või</w:t>
      </w:r>
    </w:p>
    <w:p w14:paraId="62696A41" w14:textId="77777777" w:rsidR="006B1555" w:rsidRDefault="006B1555" w:rsidP="006B1555">
      <w:pPr>
        <w:rPr>
          <w:rFonts w:cs="Times New Roman"/>
          <w:szCs w:val="24"/>
        </w:rPr>
      </w:pPr>
      <w:r w:rsidRPr="00C131CB">
        <w:rPr>
          <w:rFonts w:cs="Times New Roman"/>
          <w:szCs w:val="24"/>
        </w:rPr>
        <w:t>b) teabe levitamine meediakanalites, sealhulgas Internetis, või muul viisil, kavatsusega anda energia hulgimüügitoodete pakkumise, nõudluse või hinna kohta valesid või eksitavaid teateid</w:t>
      </w:r>
      <w:r>
        <w:rPr>
          <w:rFonts w:cs="Times New Roman"/>
          <w:szCs w:val="24"/>
        </w:rPr>
        <w:t>.</w:t>
      </w:r>
    </w:p>
    <w:p w14:paraId="011E2CCA" w14:textId="77777777" w:rsidR="006B1555" w:rsidRDefault="006B1555" w:rsidP="006B1555">
      <w:pPr>
        <w:rPr>
          <w:rFonts w:cs="Times New Roman"/>
          <w:szCs w:val="24"/>
        </w:rPr>
      </w:pPr>
      <w:r>
        <w:rPr>
          <w:rFonts w:cs="Times New Roman"/>
          <w:szCs w:val="24"/>
        </w:rPr>
        <w:t xml:space="preserve">Turuga manipuleerimise üle teostab Konkurentsiamet järelevalvet vastavasisulise taotluse saamisel või omal algatusel. Järelevalvet teostamiseks peavad esinema alus ja ajend.  Järelevalvet teostades analüüsib Konkurentsiamet asjakohastest infokanalitest avalikult kättesaadavat infot. Vajadusel pöördub amet asjassepuutuvate turuosaliste poole täiendava teabe (nt teave </w:t>
      </w:r>
      <w:r w:rsidRPr="00721434">
        <w:rPr>
          <w:rFonts w:cs="Times New Roman"/>
          <w:szCs w:val="24"/>
        </w:rPr>
        <w:t>energia hulgimüügitoodete pakkumise, nõudluse või hinna kohta</w:t>
      </w:r>
      <w:r>
        <w:rPr>
          <w:rFonts w:cs="Times New Roman"/>
          <w:szCs w:val="24"/>
        </w:rPr>
        <w:t>, kauplemiskorralduste ja tehingute kohta) ja selgituste saamiseks.</w:t>
      </w:r>
    </w:p>
    <w:p w14:paraId="7DA8E771" w14:textId="77777777" w:rsidR="006B1555" w:rsidRDefault="006B1555" w:rsidP="006B1555">
      <w:pPr>
        <w:rPr>
          <w:rFonts w:cs="Times New Roman"/>
          <w:szCs w:val="24"/>
        </w:rPr>
      </w:pPr>
    </w:p>
    <w:p w14:paraId="53C3E4BE" w14:textId="77777777" w:rsidR="006B1555" w:rsidRDefault="006B1555" w:rsidP="006B1555">
      <w:pPr>
        <w:rPr>
          <w:szCs w:val="24"/>
        </w:rPr>
      </w:pPr>
      <w:r>
        <w:rPr>
          <w:b/>
          <w:bCs/>
          <w:szCs w:val="24"/>
        </w:rPr>
        <w:t>MGS § 44</w:t>
      </w:r>
      <w:r>
        <w:rPr>
          <w:b/>
          <w:bCs/>
          <w:szCs w:val="24"/>
          <w:vertAlign w:val="superscript"/>
        </w:rPr>
        <w:t>11</w:t>
      </w:r>
      <w:r>
        <w:rPr>
          <w:szCs w:val="24"/>
        </w:rPr>
        <w:t xml:space="preserve"> </w:t>
      </w:r>
    </w:p>
    <w:p w14:paraId="1D2B3ACC" w14:textId="77777777" w:rsidR="006B1555" w:rsidRDefault="006B1555" w:rsidP="006B1555">
      <w:pPr>
        <w:rPr>
          <w:rFonts w:cs="Times New Roman"/>
          <w:szCs w:val="24"/>
        </w:rPr>
      </w:pPr>
      <w:r>
        <w:rPr>
          <w:szCs w:val="24"/>
        </w:rPr>
        <w:t xml:space="preserve">Seadust täiendatakse </w:t>
      </w:r>
      <w:r>
        <w:rPr>
          <w:rFonts w:cs="Times New Roman"/>
          <w:szCs w:val="24"/>
        </w:rPr>
        <w:t>§-ga 44</w:t>
      </w:r>
      <w:r>
        <w:rPr>
          <w:rFonts w:cs="Times New Roman"/>
          <w:szCs w:val="24"/>
          <w:vertAlign w:val="superscript"/>
        </w:rPr>
        <w:t>11</w:t>
      </w:r>
      <w:r>
        <w:rPr>
          <w:rFonts w:cs="Times New Roman"/>
          <w:szCs w:val="24"/>
        </w:rPr>
        <w:t>. Nimetatud sätte lisamine seadusesse on vajalik REMIT määruse artiklis 18 sätestatud trahvimäärade rakendamiseks.</w:t>
      </w:r>
    </w:p>
    <w:p w14:paraId="1E7B5B8F" w14:textId="77777777" w:rsidR="006B1555" w:rsidRDefault="006B1555" w:rsidP="006B1555">
      <w:pPr>
        <w:rPr>
          <w:rFonts w:cs="Times New Roman"/>
          <w:szCs w:val="24"/>
        </w:rPr>
      </w:pPr>
    </w:p>
    <w:p w14:paraId="7D74404E" w14:textId="77777777" w:rsidR="006B1555" w:rsidRDefault="006B1555" w:rsidP="006B1555">
      <w:pPr>
        <w:rPr>
          <w:szCs w:val="24"/>
        </w:rPr>
      </w:pPr>
      <w:r w:rsidRPr="00F83609">
        <w:rPr>
          <w:rFonts w:cs="Times New Roman"/>
          <w:szCs w:val="24"/>
        </w:rPr>
        <w:t xml:space="preserve">Seaduse </w:t>
      </w:r>
      <w:r w:rsidRPr="0040525D">
        <w:rPr>
          <w:szCs w:val="24"/>
        </w:rPr>
        <w:t>§ 44</w:t>
      </w:r>
      <w:r w:rsidRPr="0040525D">
        <w:rPr>
          <w:szCs w:val="24"/>
          <w:vertAlign w:val="superscript"/>
        </w:rPr>
        <w:t>11</w:t>
      </w:r>
      <w:r>
        <w:rPr>
          <w:szCs w:val="24"/>
        </w:rPr>
        <w:t xml:space="preserve"> alusel kehtestatakse trahvid</w:t>
      </w:r>
      <w:r w:rsidRPr="00F632CB">
        <w:t xml:space="preserve"> </w:t>
      </w:r>
      <w:r w:rsidRPr="00F632CB">
        <w:rPr>
          <w:szCs w:val="24"/>
        </w:rPr>
        <w:t>registreerimise kohustuse rikkumi</w:t>
      </w:r>
      <w:r>
        <w:rPr>
          <w:szCs w:val="24"/>
        </w:rPr>
        <w:t>se eest.</w:t>
      </w:r>
    </w:p>
    <w:p w14:paraId="6FD3FBDA" w14:textId="77777777" w:rsidR="006B1555" w:rsidRDefault="006B1555" w:rsidP="006B1555">
      <w:pPr>
        <w:rPr>
          <w:szCs w:val="24"/>
        </w:rPr>
      </w:pPr>
    </w:p>
    <w:p w14:paraId="3271BC6D" w14:textId="77777777" w:rsidR="006B1555" w:rsidRDefault="006B1555" w:rsidP="006B1555">
      <w:pPr>
        <w:rPr>
          <w:szCs w:val="24"/>
        </w:rPr>
      </w:pPr>
      <w:r w:rsidRPr="007F689E">
        <w:rPr>
          <w:szCs w:val="24"/>
        </w:rPr>
        <w:t xml:space="preserve">Turuosalised, kes sõlmivad tehinguid, millest tuleb </w:t>
      </w:r>
      <w:r>
        <w:rPr>
          <w:szCs w:val="24"/>
        </w:rPr>
        <w:t>ACER-ile</w:t>
      </w:r>
      <w:r w:rsidRPr="007F689E">
        <w:rPr>
          <w:szCs w:val="24"/>
        </w:rPr>
        <w:t xml:space="preserve"> teatada, registreerivad end selle liikmesriigi </w:t>
      </w:r>
      <w:r>
        <w:rPr>
          <w:szCs w:val="24"/>
        </w:rPr>
        <w:t>elektri- ja gaasituru regulaatori</w:t>
      </w:r>
      <w:r w:rsidRPr="007F689E">
        <w:rPr>
          <w:szCs w:val="24"/>
        </w:rPr>
        <w:t xml:space="preserve"> juures, kus on nende asu- või elukoht.</w:t>
      </w:r>
    </w:p>
    <w:p w14:paraId="50568088" w14:textId="77777777" w:rsidR="006B1555" w:rsidRDefault="006B1555" w:rsidP="006B1555">
      <w:pPr>
        <w:rPr>
          <w:szCs w:val="24"/>
        </w:rPr>
      </w:pPr>
    </w:p>
    <w:p w14:paraId="218DC091" w14:textId="77777777" w:rsidR="006B1555" w:rsidRDefault="006B1555" w:rsidP="006B1555">
      <w:pPr>
        <w:rPr>
          <w:szCs w:val="24"/>
        </w:rPr>
      </w:pPr>
      <w:r>
        <w:rPr>
          <w:szCs w:val="24"/>
        </w:rPr>
        <w:t>T</w:t>
      </w:r>
      <w:r w:rsidRPr="00087D53">
        <w:rPr>
          <w:szCs w:val="24"/>
        </w:rPr>
        <w:t>uruosaline</w:t>
      </w:r>
      <w:r>
        <w:rPr>
          <w:szCs w:val="24"/>
        </w:rPr>
        <w:t xml:space="preserve"> on antud juhul</w:t>
      </w:r>
      <w:r w:rsidRPr="00087D53">
        <w:rPr>
          <w:szCs w:val="24"/>
        </w:rPr>
        <w:t xml:space="preserve"> iga isik, kaasa arvatud põhivõrguettevõtja, jaotusvõrguettevõtja, hoidlate haldur ja LNG rajatiste haldur, kes sõlmib tehinguid ning annab muu hulgas kauplemiskorraldusi ühel või mitmel energia hulgimüügiturul</w:t>
      </w:r>
      <w:r>
        <w:rPr>
          <w:szCs w:val="24"/>
        </w:rPr>
        <w:t>.</w:t>
      </w:r>
      <w:r>
        <w:rPr>
          <w:rStyle w:val="Allmrkuseviide"/>
        </w:rPr>
        <w:footnoteReference w:id="43"/>
      </w:r>
    </w:p>
    <w:p w14:paraId="56214860" w14:textId="77777777" w:rsidR="006B1555" w:rsidRDefault="006B1555" w:rsidP="006B1555">
      <w:pPr>
        <w:rPr>
          <w:szCs w:val="24"/>
        </w:rPr>
      </w:pPr>
    </w:p>
    <w:p w14:paraId="55E27293" w14:textId="77777777" w:rsidR="006B1555" w:rsidRDefault="006B1555" w:rsidP="006B1555">
      <w:pPr>
        <w:rPr>
          <w:szCs w:val="24"/>
        </w:rPr>
      </w:pPr>
      <w:r>
        <w:rPr>
          <w:szCs w:val="24"/>
        </w:rPr>
        <w:lastRenderedPageBreak/>
        <w:t>Konkurentsiameti ülesanne on kontrollida ega turuosalised, kes peavad tehingutest teatama ACER-ile, ei ole registreerimise kohustusi rikkunud ja kui on siis määrata vajadusel trahv.</w:t>
      </w:r>
    </w:p>
    <w:p w14:paraId="6B525A3A" w14:textId="77777777" w:rsidR="006B1555" w:rsidRDefault="006B1555" w:rsidP="006B1555">
      <w:pPr>
        <w:rPr>
          <w:szCs w:val="24"/>
        </w:rPr>
      </w:pPr>
    </w:p>
    <w:p w14:paraId="515C4154" w14:textId="77777777" w:rsidR="006B1555" w:rsidRDefault="006B1555" w:rsidP="006B1555">
      <w:pPr>
        <w:rPr>
          <w:szCs w:val="24"/>
        </w:rPr>
      </w:pPr>
      <w:r>
        <w:rPr>
          <w:b/>
          <w:bCs/>
          <w:szCs w:val="24"/>
        </w:rPr>
        <w:t>MGS § 44</w:t>
      </w:r>
      <w:r>
        <w:rPr>
          <w:b/>
          <w:bCs/>
          <w:szCs w:val="24"/>
          <w:vertAlign w:val="superscript"/>
        </w:rPr>
        <w:t>12</w:t>
      </w:r>
      <w:r>
        <w:rPr>
          <w:szCs w:val="24"/>
        </w:rPr>
        <w:t xml:space="preserve"> </w:t>
      </w:r>
    </w:p>
    <w:p w14:paraId="5B4320D6" w14:textId="77777777" w:rsidR="006B1555" w:rsidRDefault="006B1555" w:rsidP="006B1555">
      <w:pPr>
        <w:rPr>
          <w:rFonts w:cs="Times New Roman"/>
          <w:szCs w:val="24"/>
        </w:rPr>
      </w:pPr>
      <w:r>
        <w:rPr>
          <w:szCs w:val="24"/>
        </w:rPr>
        <w:t xml:space="preserve">Seadust täiendatakse </w:t>
      </w:r>
      <w:r>
        <w:rPr>
          <w:rFonts w:cs="Times New Roman"/>
          <w:szCs w:val="24"/>
        </w:rPr>
        <w:t>§-ga 44</w:t>
      </w:r>
      <w:r>
        <w:rPr>
          <w:rFonts w:cs="Times New Roman"/>
          <w:szCs w:val="24"/>
          <w:vertAlign w:val="superscript"/>
        </w:rPr>
        <w:t>12</w:t>
      </w:r>
      <w:r>
        <w:rPr>
          <w:rFonts w:cs="Times New Roman"/>
          <w:szCs w:val="24"/>
        </w:rPr>
        <w:t>. Nimetatud sätte lisamine seadusesse on vajalik REMIT määruse artiklis 18 sätestatud trahvimäärade rakendamiseks.</w:t>
      </w:r>
    </w:p>
    <w:p w14:paraId="394F8C1B" w14:textId="77777777" w:rsidR="006B1555" w:rsidRDefault="006B1555" w:rsidP="006B1555">
      <w:pPr>
        <w:rPr>
          <w:rFonts w:cs="Times New Roman"/>
          <w:szCs w:val="24"/>
        </w:rPr>
      </w:pPr>
    </w:p>
    <w:p w14:paraId="3BBEC3E5" w14:textId="77777777" w:rsidR="006B1555" w:rsidRDefault="006B1555" w:rsidP="006B1555">
      <w:pPr>
        <w:rPr>
          <w:szCs w:val="24"/>
        </w:rPr>
      </w:pPr>
      <w:r>
        <w:rPr>
          <w:szCs w:val="24"/>
        </w:rPr>
        <w:t xml:space="preserve">Seaduse </w:t>
      </w:r>
      <w:r w:rsidRPr="0040525D">
        <w:rPr>
          <w:szCs w:val="24"/>
        </w:rPr>
        <w:t>§ 44</w:t>
      </w:r>
      <w:r w:rsidRPr="0040525D">
        <w:rPr>
          <w:szCs w:val="24"/>
          <w:vertAlign w:val="superscript"/>
        </w:rPr>
        <w:t>12</w:t>
      </w:r>
      <w:r>
        <w:rPr>
          <w:szCs w:val="24"/>
        </w:rPr>
        <w:t xml:space="preserve"> alusel kehtestatakse trahvid</w:t>
      </w:r>
      <w:r w:rsidRPr="00F632CB">
        <w:t xml:space="preserve"> </w:t>
      </w:r>
      <w:r w:rsidRPr="00F632CB">
        <w:rPr>
          <w:szCs w:val="24"/>
        </w:rPr>
        <w:t>ametialaselt tehinguid vahendavate või täitvate isikute kohustuste rikkumise eest</w:t>
      </w:r>
      <w:r>
        <w:rPr>
          <w:szCs w:val="24"/>
        </w:rPr>
        <w:t>.</w:t>
      </w:r>
    </w:p>
    <w:p w14:paraId="206E0B19" w14:textId="77777777" w:rsidR="006B1555" w:rsidRDefault="006B1555" w:rsidP="006B1555">
      <w:pPr>
        <w:rPr>
          <w:szCs w:val="24"/>
        </w:rPr>
      </w:pPr>
    </w:p>
    <w:p w14:paraId="38AC8EEE" w14:textId="77777777" w:rsidR="006B1555" w:rsidRDefault="006B1555" w:rsidP="006B1555">
      <w:pPr>
        <w:rPr>
          <w:szCs w:val="24"/>
        </w:rPr>
      </w:pPr>
      <w:r w:rsidRPr="009F682C">
        <w:rPr>
          <w:szCs w:val="24"/>
        </w:rPr>
        <w:t>Iga energia hulgimüügitoodetega seoses ametialaselt tehinguid vahendav isik</w:t>
      </w:r>
      <w:r>
        <w:rPr>
          <w:szCs w:val="24"/>
        </w:rPr>
        <w:t xml:space="preserve"> (nt elektribörs „Nord Pool“)</w:t>
      </w:r>
      <w:r w:rsidRPr="009F682C">
        <w:rPr>
          <w:szCs w:val="24"/>
        </w:rPr>
        <w:t xml:space="preserve">, kellel on põhjust kahtlustada, et kauplemiskorraldus või tehing, sealhulgas selle tühistamine või muutmine, olenemata sellest, kas see on esitatud organiseeritud turul või väljaspool seda, võib rikkuda artikli 3, 4 või 5 nõudeid, teatab sellest </w:t>
      </w:r>
      <w:r>
        <w:rPr>
          <w:szCs w:val="24"/>
        </w:rPr>
        <w:t>ACER-ile</w:t>
      </w:r>
      <w:r w:rsidRPr="009F682C">
        <w:rPr>
          <w:szCs w:val="24"/>
        </w:rPr>
        <w:t xml:space="preserve"> ja </w:t>
      </w:r>
      <w:r>
        <w:rPr>
          <w:szCs w:val="24"/>
        </w:rPr>
        <w:t>elektri- ja gaasituru regulaatorile</w:t>
      </w:r>
      <w:r w:rsidRPr="009F682C">
        <w:rPr>
          <w:szCs w:val="24"/>
        </w:rPr>
        <w:t xml:space="preserve"> viivitamata</w:t>
      </w:r>
      <w:r>
        <w:rPr>
          <w:szCs w:val="24"/>
        </w:rPr>
        <w:t xml:space="preserve">. </w:t>
      </w:r>
    </w:p>
    <w:p w14:paraId="4EF419ED" w14:textId="77777777" w:rsidR="006B1555" w:rsidRDefault="006B1555" w:rsidP="006B1555">
      <w:pPr>
        <w:rPr>
          <w:szCs w:val="24"/>
        </w:rPr>
      </w:pPr>
    </w:p>
    <w:p w14:paraId="05936E4C" w14:textId="77777777" w:rsidR="006B1555" w:rsidRDefault="006B1555" w:rsidP="006B1555">
      <w:pPr>
        <w:rPr>
          <w:szCs w:val="24"/>
        </w:rPr>
      </w:pPr>
      <w:r>
        <w:rPr>
          <w:szCs w:val="24"/>
        </w:rPr>
        <w:t xml:space="preserve">Konkurentsiameti kohustus on vajadusel määrata trahv, kui </w:t>
      </w:r>
      <w:r w:rsidRPr="009F682C">
        <w:rPr>
          <w:szCs w:val="24"/>
        </w:rPr>
        <w:t>ametialaselt tehinguid vahendavate või täitvate isikute kohustus</w:t>
      </w:r>
      <w:r>
        <w:rPr>
          <w:szCs w:val="24"/>
        </w:rPr>
        <w:t>i</w:t>
      </w:r>
      <w:r w:rsidRPr="009F682C">
        <w:rPr>
          <w:szCs w:val="24"/>
        </w:rPr>
        <w:t xml:space="preserve"> </w:t>
      </w:r>
      <w:r>
        <w:rPr>
          <w:szCs w:val="24"/>
        </w:rPr>
        <w:t>rikutakse.</w:t>
      </w:r>
    </w:p>
    <w:p w14:paraId="03FAFAE2" w14:textId="77777777" w:rsidR="006B1555" w:rsidRDefault="006B1555" w:rsidP="006B1555">
      <w:pPr>
        <w:rPr>
          <w:szCs w:val="24"/>
        </w:rPr>
      </w:pPr>
    </w:p>
    <w:p w14:paraId="4E775617" w14:textId="77777777" w:rsidR="006B1555" w:rsidRDefault="006B1555" w:rsidP="006B1555">
      <w:pPr>
        <w:rPr>
          <w:szCs w:val="24"/>
        </w:rPr>
      </w:pPr>
      <w:r>
        <w:rPr>
          <w:b/>
          <w:bCs/>
          <w:szCs w:val="24"/>
        </w:rPr>
        <w:t>MGS § 44</w:t>
      </w:r>
      <w:r>
        <w:rPr>
          <w:b/>
          <w:bCs/>
          <w:szCs w:val="24"/>
          <w:vertAlign w:val="superscript"/>
        </w:rPr>
        <w:t>13</w:t>
      </w:r>
      <w:r>
        <w:rPr>
          <w:szCs w:val="24"/>
        </w:rPr>
        <w:t xml:space="preserve"> </w:t>
      </w:r>
    </w:p>
    <w:p w14:paraId="532E8DB7" w14:textId="77777777" w:rsidR="006B1555" w:rsidRDefault="006B1555" w:rsidP="006B1555">
      <w:pPr>
        <w:rPr>
          <w:rFonts w:cs="Times New Roman"/>
          <w:szCs w:val="24"/>
        </w:rPr>
      </w:pPr>
      <w:r>
        <w:rPr>
          <w:szCs w:val="24"/>
        </w:rPr>
        <w:t xml:space="preserve">Seadust täiendatakse </w:t>
      </w:r>
      <w:r>
        <w:rPr>
          <w:rFonts w:cs="Times New Roman"/>
          <w:szCs w:val="24"/>
        </w:rPr>
        <w:t>§-ga 44</w:t>
      </w:r>
      <w:r>
        <w:rPr>
          <w:rFonts w:cs="Times New Roman"/>
          <w:szCs w:val="24"/>
          <w:vertAlign w:val="superscript"/>
        </w:rPr>
        <w:t>13</w:t>
      </w:r>
      <w:r>
        <w:rPr>
          <w:rFonts w:cs="Times New Roman"/>
          <w:szCs w:val="24"/>
        </w:rPr>
        <w:t>. Nimetatud sätte lisamine seadusesse on vajalik REMIT määruse artiklis 18 sätestatud trahvimäärade rakendamiseks.</w:t>
      </w:r>
    </w:p>
    <w:p w14:paraId="3BFF8BC2" w14:textId="77777777" w:rsidR="006B1555" w:rsidRDefault="006B1555" w:rsidP="006B1555">
      <w:pPr>
        <w:rPr>
          <w:rFonts w:cs="Times New Roman"/>
          <w:szCs w:val="24"/>
        </w:rPr>
      </w:pPr>
    </w:p>
    <w:p w14:paraId="55A168FE" w14:textId="77777777" w:rsidR="006B1555" w:rsidRDefault="006B1555" w:rsidP="006B1555">
      <w:pPr>
        <w:rPr>
          <w:szCs w:val="24"/>
        </w:rPr>
      </w:pPr>
      <w:r>
        <w:rPr>
          <w:szCs w:val="24"/>
        </w:rPr>
        <w:t>Paragrahvi 44</w:t>
      </w:r>
      <w:r>
        <w:rPr>
          <w:szCs w:val="24"/>
          <w:vertAlign w:val="superscript"/>
        </w:rPr>
        <w:t>13</w:t>
      </w:r>
      <w:r>
        <w:rPr>
          <w:szCs w:val="24"/>
        </w:rPr>
        <w:t xml:space="preserve"> alusel kehtestatakse trahvid andmete esitamise nõude rikkumise eest. Andmete esitamise nõuded on sätestatud REMIT artiklis 8.</w:t>
      </w:r>
    </w:p>
    <w:p w14:paraId="2C45B81C" w14:textId="77777777" w:rsidR="006B1555" w:rsidRPr="00D4311F" w:rsidRDefault="006B1555" w:rsidP="006B1555">
      <w:pPr>
        <w:rPr>
          <w:szCs w:val="24"/>
        </w:rPr>
      </w:pPr>
    </w:p>
    <w:p w14:paraId="09B4C9DD" w14:textId="77777777" w:rsidR="006B1555" w:rsidRDefault="006B1555" w:rsidP="006B1555">
      <w:pPr>
        <w:rPr>
          <w:b/>
          <w:bCs/>
          <w:szCs w:val="24"/>
        </w:rPr>
      </w:pPr>
      <w:r>
        <w:rPr>
          <w:b/>
          <w:bCs/>
          <w:szCs w:val="24"/>
        </w:rPr>
        <w:t>MGS § 45</w:t>
      </w:r>
    </w:p>
    <w:p w14:paraId="77B0E5E5" w14:textId="77777777" w:rsidR="006B1555" w:rsidRDefault="006B1555" w:rsidP="006B1555">
      <w:pPr>
        <w:rPr>
          <w:szCs w:val="24"/>
        </w:rPr>
      </w:pPr>
      <w:r>
        <w:rPr>
          <w:szCs w:val="24"/>
        </w:rPr>
        <w:t xml:space="preserve">Seaduse § 45 täiendamisega kehtestatakse väärtegude aegumistähtajaks 5 aastat. </w:t>
      </w:r>
      <w:r w:rsidRPr="001173D7">
        <w:rPr>
          <w:szCs w:val="24"/>
        </w:rPr>
        <w:t>Kehtiv KarS</w:t>
      </w:r>
      <w:r>
        <w:rPr>
          <w:szCs w:val="24"/>
        </w:rPr>
        <w:noBreakHyphen/>
      </w:r>
      <w:r w:rsidRPr="001173D7">
        <w:rPr>
          <w:szCs w:val="24"/>
        </w:rPr>
        <w:t xml:space="preserve">i § 81 lõige 3 näeb ette, et üldreeglina on väärteo aegumistähtaeg kaks aastat ning seaduses sätestatud juhtudel võib ette näha </w:t>
      </w:r>
      <w:r>
        <w:rPr>
          <w:szCs w:val="24"/>
        </w:rPr>
        <w:t>viie</w:t>
      </w:r>
      <w:r w:rsidRPr="001173D7">
        <w:rPr>
          <w:szCs w:val="24"/>
        </w:rPr>
        <w:t>aastase aegumistähtaja.</w:t>
      </w:r>
      <w:r>
        <w:rPr>
          <w:szCs w:val="24"/>
        </w:rPr>
        <w:t xml:space="preserve"> Võttes arvesse gaasi hulgituru rikkumiste keerukust, on viieaastane aegumistähtaeg põhjendatud.</w:t>
      </w:r>
    </w:p>
    <w:p w14:paraId="58706E63" w14:textId="77777777" w:rsidR="006B1555" w:rsidRDefault="006B1555" w:rsidP="006B1555">
      <w:pPr>
        <w:rPr>
          <w:szCs w:val="24"/>
        </w:rPr>
      </w:pPr>
    </w:p>
    <w:p w14:paraId="6C47B0E4" w14:textId="77777777" w:rsidR="006B1555" w:rsidRDefault="006B1555" w:rsidP="006B1555">
      <w:pPr>
        <w:rPr>
          <w:b/>
          <w:bCs/>
          <w:szCs w:val="24"/>
        </w:rPr>
      </w:pPr>
      <w:r>
        <w:rPr>
          <w:b/>
          <w:bCs/>
          <w:szCs w:val="24"/>
        </w:rPr>
        <w:t>MGS § 48</w:t>
      </w:r>
      <w:r w:rsidRPr="0040525D">
        <w:rPr>
          <w:b/>
          <w:bCs/>
          <w:szCs w:val="24"/>
          <w:vertAlign w:val="superscript"/>
        </w:rPr>
        <w:t>7</w:t>
      </w:r>
    </w:p>
    <w:p w14:paraId="155A0E5F" w14:textId="77777777" w:rsidR="006B1555" w:rsidRDefault="006B1555" w:rsidP="006B1555">
      <w:pPr>
        <w:rPr>
          <w:rFonts w:cs="Times New Roman"/>
          <w:szCs w:val="24"/>
        </w:rPr>
      </w:pPr>
      <w:r>
        <w:rPr>
          <w:szCs w:val="24"/>
        </w:rPr>
        <w:t>Seadust täiendatakse § 48</w:t>
      </w:r>
      <w:r w:rsidRPr="0040525D">
        <w:rPr>
          <w:szCs w:val="24"/>
          <w:vertAlign w:val="superscript"/>
        </w:rPr>
        <w:t>7</w:t>
      </w:r>
      <w:r>
        <w:rPr>
          <w:szCs w:val="24"/>
        </w:rPr>
        <w:t>, millega</w:t>
      </w:r>
      <w:r w:rsidRPr="510A726D">
        <w:rPr>
          <w:szCs w:val="24"/>
        </w:rPr>
        <w:t xml:space="preserve"> </w:t>
      </w:r>
      <w:r w:rsidRPr="510A726D">
        <w:rPr>
          <w:rFonts w:cs="Times New Roman"/>
          <w:szCs w:val="24"/>
        </w:rPr>
        <w:t xml:space="preserve">sätestatakse, et enne käesoleva seaduse muudatuse jõustumist alustatud väärtegude kohtuvälised menetlused menetletakse lõpuni menetluse alustamise ajal kehtinud õigusaktide kohaselt. See tähendab seda, et karistusi, mis põhinevad suuremal trahvimääral, saab hakata määrama või mõistma nendele isikutele, kes panevad teo toime 1. </w:t>
      </w:r>
      <w:r>
        <w:rPr>
          <w:rFonts w:cs="Times New Roman"/>
          <w:szCs w:val="24"/>
        </w:rPr>
        <w:t>mail</w:t>
      </w:r>
      <w:r w:rsidRPr="510A726D">
        <w:rPr>
          <w:rFonts w:cs="Times New Roman"/>
          <w:szCs w:val="24"/>
        </w:rPr>
        <w:t xml:space="preserve"> 2026 või pärast seda. Kui isik on teo toime pannud 3</w:t>
      </w:r>
      <w:r>
        <w:rPr>
          <w:rFonts w:cs="Times New Roman"/>
          <w:szCs w:val="24"/>
        </w:rPr>
        <w:t>0</w:t>
      </w:r>
      <w:r w:rsidRPr="510A726D">
        <w:rPr>
          <w:rFonts w:cs="Times New Roman"/>
          <w:szCs w:val="24"/>
        </w:rPr>
        <w:t xml:space="preserve">. </w:t>
      </w:r>
      <w:r>
        <w:rPr>
          <w:rFonts w:cs="Times New Roman"/>
          <w:szCs w:val="24"/>
        </w:rPr>
        <w:t>aprillil</w:t>
      </w:r>
      <w:r w:rsidRPr="510A726D">
        <w:rPr>
          <w:rFonts w:cs="Times New Roman"/>
          <w:szCs w:val="24"/>
        </w:rPr>
        <w:t xml:space="preserve"> 202</w:t>
      </w:r>
      <w:r>
        <w:rPr>
          <w:rFonts w:cs="Times New Roman"/>
          <w:szCs w:val="24"/>
        </w:rPr>
        <w:t>6</w:t>
      </w:r>
      <w:r w:rsidRPr="510A726D">
        <w:rPr>
          <w:rFonts w:cs="Times New Roman"/>
          <w:szCs w:val="24"/>
        </w:rPr>
        <w:t xml:space="preserve">, st enne seadusemuudatuse jõustumist, kohaldatakse tema karistamisel enne 1. </w:t>
      </w:r>
      <w:r>
        <w:rPr>
          <w:rFonts w:cs="Times New Roman"/>
          <w:szCs w:val="24"/>
        </w:rPr>
        <w:t>maid</w:t>
      </w:r>
      <w:r w:rsidRPr="510A726D">
        <w:rPr>
          <w:rFonts w:cs="Times New Roman"/>
          <w:szCs w:val="24"/>
        </w:rPr>
        <w:t xml:space="preserve"> 2026 kehtinud trahvimäärasid.</w:t>
      </w:r>
    </w:p>
    <w:p w14:paraId="3AE60996" w14:textId="77777777" w:rsidR="006B1555" w:rsidRDefault="006B1555" w:rsidP="006B1555">
      <w:pPr>
        <w:rPr>
          <w:rFonts w:eastAsia="Times New Roman" w:cs="Times New Roman"/>
          <w:b/>
          <w:lang w:eastAsia="et-EE"/>
        </w:rPr>
      </w:pPr>
    </w:p>
    <w:p w14:paraId="260A8660" w14:textId="77777777" w:rsidR="006B1555" w:rsidRDefault="006B1555" w:rsidP="006B1555">
      <w:pPr>
        <w:rPr>
          <w:rFonts w:eastAsia="Times New Roman" w:cs="Times New Roman"/>
          <w:b/>
          <w:lang w:eastAsia="et-EE"/>
        </w:rPr>
      </w:pPr>
      <w:r>
        <w:rPr>
          <w:rFonts w:eastAsia="Times New Roman" w:cs="Times New Roman"/>
          <w:b/>
          <w:lang w:eastAsia="et-EE"/>
        </w:rPr>
        <w:t xml:space="preserve">3.3. Riigihangete </w:t>
      </w:r>
      <w:r w:rsidRPr="00FF0813">
        <w:rPr>
          <w:rFonts w:eastAsia="Times New Roman" w:cs="Times New Roman"/>
          <w:b/>
          <w:lang w:eastAsia="et-EE"/>
        </w:rPr>
        <w:t>seaduse muutmine</w:t>
      </w:r>
    </w:p>
    <w:p w14:paraId="7CD1E444" w14:textId="77777777" w:rsidR="006B1555" w:rsidRPr="00FF0813" w:rsidRDefault="006B1555" w:rsidP="006B1555">
      <w:pPr>
        <w:rPr>
          <w:rFonts w:eastAsia="Times New Roman" w:cs="Times New Roman"/>
          <w:b/>
          <w:lang w:eastAsia="et-EE"/>
        </w:rPr>
      </w:pPr>
    </w:p>
    <w:p w14:paraId="1B2F0B47" w14:textId="77777777" w:rsidR="006B1555" w:rsidRDefault="006B1555" w:rsidP="006B1555">
      <w:pPr>
        <w:rPr>
          <w:rFonts w:eastAsia="Times New Roman" w:cs="Times New Roman"/>
          <w:lang w:eastAsia="et-EE"/>
        </w:rPr>
      </w:pPr>
      <w:r w:rsidRPr="0080235D">
        <w:rPr>
          <w:rFonts w:eastAsia="Times New Roman" w:cs="Times New Roman"/>
          <w:lang w:eastAsia="et-EE"/>
        </w:rPr>
        <w:t>Muudetakse seaduse</w:t>
      </w:r>
      <w:r>
        <w:rPr>
          <w:rFonts w:eastAsia="Times New Roman" w:cs="Times New Roman"/>
          <w:lang w:eastAsia="et-EE"/>
        </w:rPr>
        <w:t xml:space="preserve"> § 154 lõike 2 sõnastust. </w:t>
      </w:r>
      <w:r w:rsidRPr="00FF0813">
        <w:rPr>
          <w:rFonts w:eastAsia="Times New Roman" w:cs="Times New Roman"/>
          <w:lang w:eastAsia="et-EE"/>
        </w:rPr>
        <w:t xml:space="preserve">Euroopa Parlamendi ja Euroopa Liidu Nõukogu direktiiv 2014/25/EL (edaspidi </w:t>
      </w:r>
      <w:r w:rsidRPr="009F139D">
        <w:rPr>
          <w:rFonts w:eastAsia="Times New Roman" w:cs="Times New Roman"/>
          <w:i/>
          <w:iCs/>
          <w:lang w:eastAsia="et-EE"/>
        </w:rPr>
        <w:t>direktiiv</w:t>
      </w:r>
      <w:r w:rsidRPr="00FF0813">
        <w:rPr>
          <w:rFonts w:eastAsia="Times New Roman" w:cs="Times New Roman"/>
          <w:lang w:eastAsia="et-EE"/>
        </w:rPr>
        <w:t xml:space="preserve">) võimaldab liikmesriigis teatavaid tegevusi gaasi, soojuse, elektri, vee, transpordi ja postiteenuse sektoris vabastada riigihangete reeglitest, kui need tegevused on liikmesriigis konkurentsile avatud tegevused. Seda, kas vastav tegevus vabastatakse konkreetses liikmesriigis riigihangete reeglitest, otsustab Euroopa Komisjon (RHS § 154 lg 1). Teadaolevalt on Euroopa Komisjon heaks kiitnud elektri sektoris riigihangete </w:t>
      </w:r>
      <w:r w:rsidRPr="00FF0813">
        <w:rPr>
          <w:rFonts w:eastAsia="Times New Roman" w:cs="Times New Roman"/>
          <w:lang w:eastAsia="et-EE"/>
        </w:rPr>
        <w:lastRenderedPageBreak/>
        <w:t>tegemisest vabastamise vähemalt järgmistes liikmesriikides: Itaalia, Leedu, Tšehhi, Saksamaa, Austria, Rootsi, Holland ja Soome</w:t>
      </w:r>
      <w:r w:rsidRPr="00FF0813">
        <w:rPr>
          <w:rFonts w:eastAsia="Times New Roman" w:cs="Times New Roman"/>
          <w:vertAlign w:val="superscript"/>
          <w:lang w:eastAsia="et-EE"/>
        </w:rPr>
        <w:footnoteReference w:id="44"/>
      </w:r>
      <w:r w:rsidRPr="00FF0813">
        <w:rPr>
          <w:rFonts w:eastAsia="Times New Roman" w:cs="Times New Roman"/>
          <w:lang w:eastAsia="et-EE"/>
        </w:rPr>
        <w:t xml:space="preserve">. </w:t>
      </w:r>
    </w:p>
    <w:p w14:paraId="76D05EF5" w14:textId="77777777" w:rsidR="006B1555" w:rsidRPr="00FF0813" w:rsidRDefault="006B1555" w:rsidP="006B1555">
      <w:pPr>
        <w:rPr>
          <w:rFonts w:eastAsia="Times New Roman" w:cs="Times New Roman"/>
          <w:lang w:eastAsia="et-EE"/>
        </w:rPr>
      </w:pPr>
    </w:p>
    <w:p w14:paraId="32D7D7BD" w14:textId="77777777" w:rsidR="006B1555" w:rsidRDefault="006B1555" w:rsidP="006B1555">
      <w:pPr>
        <w:rPr>
          <w:rFonts w:eastAsia="Times New Roman" w:cs="Times New Roman"/>
          <w:lang w:eastAsia="et-EE"/>
        </w:rPr>
      </w:pPr>
      <w:r w:rsidRPr="00FF0813">
        <w:rPr>
          <w:rFonts w:eastAsia="Times New Roman" w:cs="Times New Roman"/>
          <w:lang w:eastAsia="et-EE"/>
        </w:rPr>
        <w:t xml:space="preserve">Eelnõu koostaja hinnangul vastavad eelnimetatud tegevused erandi taotlemise tingimustele ka Eestis, ehk täpsemalt, tegu on Eestis konkurentsile avatud valdkondadega. </w:t>
      </w:r>
    </w:p>
    <w:p w14:paraId="1D7C3585" w14:textId="77777777" w:rsidR="006B1555" w:rsidRPr="00FF0813" w:rsidRDefault="006B1555" w:rsidP="006B1555">
      <w:pPr>
        <w:rPr>
          <w:rFonts w:eastAsia="Times New Roman" w:cs="Times New Roman"/>
          <w:lang w:eastAsia="et-EE"/>
        </w:rPr>
      </w:pPr>
    </w:p>
    <w:p w14:paraId="411DEA36" w14:textId="77777777" w:rsidR="006B1555" w:rsidRDefault="006B1555" w:rsidP="006B1555">
      <w:pPr>
        <w:rPr>
          <w:rFonts w:eastAsia="Times New Roman" w:cs="Times New Roman"/>
          <w:lang w:eastAsia="et-EE"/>
        </w:rPr>
      </w:pPr>
      <w:r w:rsidRPr="00FF0813">
        <w:rPr>
          <w:rFonts w:eastAsia="Times New Roman" w:cs="Times New Roman"/>
          <w:lang w:eastAsia="et-EE"/>
        </w:rPr>
        <w:t xml:space="preserve">Erandi saamine tooks märgatavat kasu </w:t>
      </w:r>
      <w:r>
        <w:rPr>
          <w:rFonts w:eastAsia="Times New Roman" w:cs="Times New Roman"/>
          <w:lang w:eastAsia="et-EE"/>
        </w:rPr>
        <w:t>energia tootmise</w:t>
      </w:r>
      <w:r w:rsidRPr="00FF0813">
        <w:rPr>
          <w:rFonts w:eastAsia="Times New Roman" w:cs="Times New Roman"/>
          <w:lang w:eastAsia="et-EE"/>
        </w:rPr>
        <w:t xml:space="preserve"> turule tervikuna. Erandi saamine vähendaks hetkel eksisteerivaid turutõrkeid, sest siin tegutsevad turuosalised tegutseksid ühetaoliste reeglite kohaselt. Väiksem administratiivne koormus loob eeldused täiendavateks investeeringuteks ning suuremaks konkurentsiks. Samuti aitab taastuvate energiaallikate suurendamine ja mitmekesistamine riigil endal omakorda täita </w:t>
      </w:r>
      <w:r>
        <w:rPr>
          <w:rFonts w:eastAsia="Times New Roman" w:cs="Times New Roman"/>
          <w:lang w:eastAsia="et-EE"/>
        </w:rPr>
        <w:t>ELi</w:t>
      </w:r>
      <w:r w:rsidRPr="00FF0813">
        <w:rPr>
          <w:rFonts w:eastAsia="Times New Roman" w:cs="Times New Roman"/>
          <w:lang w:eastAsia="et-EE"/>
        </w:rPr>
        <w:t xml:space="preserve"> poolt seatud eesmärke. Sektoris tegutsevate ettevõtete sisemised kontrollmehhanismid on piisavad, et tagada hangete läbipaistvus ja tarnijate võrdne kohtlemine. </w:t>
      </w:r>
    </w:p>
    <w:p w14:paraId="33AEEA9E" w14:textId="77777777" w:rsidR="006B1555" w:rsidRPr="00FF0813" w:rsidRDefault="006B1555" w:rsidP="006B1555">
      <w:pPr>
        <w:rPr>
          <w:rFonts w:eastAsia="Times New Roman" w:cs="Times New Roman"/>
          <w:lang w:eastAsia="et-EE"/>
        </w:rPr>
      </w:pPr>
    </w:p>
    <w:p w14:paraId="586B706F" w14:textId="77777777" w:rsidR="006B1555" w:rsidRDefault="006B1555" w:rsidP="006B1555">
      <w:pPr>
        <w:rPr>
          <w:rFonts w:eastAsia="Times New Roman" w:cs="Times New Roman"/>
          <w:lang w:eastAsia="et-EE"/>
        </w:rPr>
      </w:pPr>
      <w:r w:rsidRPr="00FF0813">
        <w:rPr>
          <w:rFonts w:eastAsia="Times New Roman" w:cs="Times New Roman"/>
          <w:lang w:eastAsia="et-EE"/>
        </w:rPr>
        <w:t xml:space="preserve">Seaduse muudatuse eesmärk on vabastada ka Eestis </w:t>
      </w:r>
      <w:r>
        <w:rPr>
          <w:rFonts w:eastAsia="Times New Roman" w:cs="Times New Roman"/>
          <w:lang w:eastAsia="et-EE"/>
        </w:rPr>
        <w:t xml:space="preserve">energia </w:t>
      </w:r>
      <w:r w:rsidRPr="00FF0813">
        <w:rPr>
          <w:rFonts w:eastAsia="Times New Roman" w:cs="Times New Roman"/>
          <w:lang w:eastAsia="et-EE"/>
        </w:rPr>
        <w:t>tootmise ja selle võrku müümisega seonduvad tegevused riigihangete reeglitest. Selleks tuleb luua sarnaselt teiste riikide õigusruumile vastav võimalus ka sektori</w:t>
      </w:r>
      <w:r>
        <w:rPr>
          <w:rFonts w:eastAsia="Times New Roman" w:cs="Times New Roman"/>
          <w:lang w:eastAsia="et-EE"/>
        </w:rPr>
        <w:t>s</w:t>
      </w:r>
      <w:r w:rsidRPr="00FF0813">
        <w:rPr>
          <w:rFonts w:eastAsia="Times New Roman" w:cs="Times New Roman"/>
          <w:lang w:eastAsia="et-EE"/>
        </w:rPr>
        <w:t xml:space="preserve"> tegutsevale turuosalisele. </w:t>
      </w:r>
    </w:p>
    <w:p w14:paraId="2CC545A4" w14:textId="77777777" w:rsidR="006B1555" w:rsidRPr="00FF0813" w:rsidRDefault="006B1555" w:rsidP="006B1555">
      <w:pPr>
        <w:rPr>
          <w:rFonts w:eastAsia="Times New Roman" w:cs="Times New Roman"/>
          <w:lang w:eastAsia="et-EE"/>
        </w:rPr>
      </w:pPr>
    </w:p>
    <w:p w14:paraId="270D6CF6" w14:textId="77777777" w:rsidR="006B1555" w:rsidRPr="00FF0813" w:rsidRDefault="006B1555" w:rsidP="006B1555">
      <w:pPr>
        <w:rPr>
          <w:rFonts w:eastAsia="Times New Roman" w:cs="Times New Roman"/>
          <w:lang w:eastAsia="et-EE"/>
        </w:rPr>
      </w:pPr>
      <w:r w:rsidRPr="00FF0813">
        <w:rPr>
          <w:rFonts w:eastAsia="Times New Roman" w:cs="Times New Roman"/>
          <w:lang w:eastAsia="et-EE"/>
        </w:rPr>
        <w:t>Seaduse muutmise vajadus on tingitud asjaolust, et riigihangete seadus ei anna hetkel õigust hankijatel endil esitada erandi saamiseks taotlus Euroopa Komisjonile. Vastavalt direktiivi artikli 35 lõikele 1 võib Euroopa Komisjonile taotluse erandi tegemiseks esitada liikmesriik või hankijad, kuid seda üksnes juhul, kui liikmesriigi õigusaktid selle õiguse hankijatele annavad. Riigihangete seadus viitab hetkel üksnes erandile §-s 154, sätestades, et erandi andmise otsus tehakse direktiivi artikli 35 kohaselt. See aga tähendab, et kõnealuse erandi taotluse saab vastavalt direktiivi artikli 35</w:t>
      </w:r>
      <w:r>
        <w:rPr>
          <w:rFonts w:eastAsia="Times New Roman" w:cs="Times New Roman"/>
          <w:lang w:eastAsia="et-EE"/>
        </w:rPr>
        <w:t xml:space="preserve"> lõikele 1 </w:t>
      </w:r>
      <w:r w:rsidRPr="00FF0813">
        <w:rPr>
          <w:rFonts w:eastAsia="Times New Roman" w:cs="Times New Roman"/>
          <w:lang w:eastAsia="et-EE"/>
        </w:rPr>
        <w:t xml:space="preserve">esitada Euroopa Komisjonile üksnes liikmesriik ise. Eelnõu koostaja juhib tähelepanu sellele, et paljudes teistes liikmesriikides nagu näiteks Leedus, Saksamaal, Madalmaades, Horvaatias, Kreekas, Ungaris, Austrias, Rootsis, Portugalis, Sloveenias ja Itaalias on erandi taotlemise õigus liikmesriikide poolt antud just hankijatele endile. Hankijad, kes on ise vastava sektori turuosalised, oskavad kõige paremini hinnata, kas turg selles valdkonnas on piiratud või konkurentsile avatud ning sellest tulenevalt hinnata, kas turg kvalifitseerub riigihangete reeglite vabastamisele. Andes hankijatele õiguse esitada ka ise soovi korral taotlus Euroopa Komisjonile muutuks riigihangete regulatsioon paindlikumaks, ilma, et riik kaotaks erandi taotlemise protsessi osas kontrolli. Seda põhjusel, et Euroopa Komisjon kaasab igal juhul vastava liikmesriigi erandi andmise hindamise protsessi hinnangu saamiseks turu olukorra kohta. </w:t>
      </w:r>
    </w:p>
    <w:p w14:paraId="4919DEAD" w14:textId="77777777" w:rsidR="006B1555" w:rsidRDefault="006B1555" w:rsidP="006B1555">
      <w:pPr>
        <w:tabs>
          <w:tab w:val="left" w:pos="1956"/>
        </w:tabs>
        <w:spacing w:before="240"/>
        <w:rPr>
          <w:b/>
          <w:bCs/>
        </w:rPr>
      </w:pPr>
      <w:r>
        <w:rPr>
          <w:b/>
        </w:rPr>
        <w:t xml:space="preserve">3.4. </w:t>
      </w:r>
      <w:r w:rsidRPr="00F569CF">
        <w:rPr>
          <w:b/>
          <w:bCs/>
        </w:rPr>
        <w:t>Tööstusheite seaduse muutmine</w:t>
      </w:r>
    </w:p>
    <w:p w14:paraId="00806D5D" w14:textId="77777777" w:rsidR="006B1555" w:rsidRDefault="006B1555" w:rsidP="006B1555">
      <w:pPr>
        <w:tabs>
          <w:tab w:val="left" w:pos="1956"/>
        </w:tabs>
        <w:spacing w:before="240"/>
        <w:rPr>
          <w:b/>
          <w:bCs/>
        </w:rPr>
      </w:pPr>
      <w:r>
        <w:rPr>
          <w:b/>
          <w:bCs/>
        </w:rPr>
        <w:t>THS § 44</w:t>
      </w:r>
    </w:p>
    <w:p w14:paraId="59F04C72" w14:textId="77777777" w:rsidR="006B1555" w:rsidRPr="00AD7A06" w:rsidRDefault="006B1555" w:rsidP="006B1555">
      <w:pPr>
        <w:tabs>
          <w:tab w:val="left" w:pos="1956"/>
        </w:tabs>
      </w:pPr>
      <w:r>
        <w:t>THS</w:t>
      </w:r>
      <w:r w:rsidRPr="00AD7A06">
        <w:t xml:space="preserve"> paragrahvi 44 </w:t>
      </w:r>
      <w:r>
        <w:t xml:space="preserve">täiendatakse </w:t>
      </w:r>
      <w:r w:rsidRPr="00AD7A06">
        <w:t>lõigetega 7</w:t>
      </w:r>
      <w:r w:rsidRPr="00AD7A06">
        <w:rPr>
          <w:vertAlign w:val="superscript"/>
        </w:rPr>
        <w:t>1</w:t>
      </w:r>
      <w:r>
        <w:t>–</w:t>
      </w:r>
      <w:r w:rsidRPr="00AD7A06">
        <w:t>7</w:t>
      </w:r>
      <w:r w:rsidRPr="00AD7A06">
        <w:rPr>
          <w:vertAlign w:val="superscript"/>
        </w:rPr>
        <w:t>3</w:t>
      </w:r>
      <w:r w:rsidRPr="00AD7A06">
        <w:t>, millega antakse loa andjale võimalus kohaldada leebemaid heite piirväärtusi juhul, kui esinevad käitaja ja riigi kontrolli alt väljas olevad erakorralised asjaolud, kus tuuakse selgelt välja kolm liiki erakorralisi asjaolusid:</w:t>
      </w:r>
    </w:p>
    <w:p w14:paraId="72B18C13" w14:textId="77777777" w:rsidR="006B1555" w:rsidRPr="00AD7A06" w:rsidRDefault="006B1555" w:rsidP="006B1555">
      <w:pPr>
        <w:pStyle w:val="Loendilik"/>
        <w:numPr>
          <w:ilvl w:val="0"/>
          <w:numId w:val="28"/>
        </w:numPr>
        <w:tabs>
          <w:tab w:val="left" w:pos="1956"/>
        </w:tabs>
      </w:pPr>
      <w:r w:rsidRPr="00AD7A06">
        <w:t>energiavarustusega seotud rasked häired või nappus (ülekaalukas avalik huvi energiavarustuskindluse tagamisel);</w:t>
      </w:r>
    </w:p>
    <w:p w14:paraId="2057B854" w14:textId="77777777" w:rsidR="006B1555" w:rsidRPr="00AD7A06" w:rsidRDefault="006B1555" w:rsidP="006B1555">
      <w:pPr>
        <w:numPr>
          <w:ilvl w:val="0"/>
          <w:numId w:val="28"/>
        </w:numPr>
        <w:tabs>
          <w:tab w:val="left" w:pos="1956"/>
        </w:tabs>
      </w:pPr>
      <w:r w:rsidRPr="00AD7A06">
        <w:t>ressursside, materjalide või seadmete puudus, mis on vajalik käitaja avalikes huvides oleva tegevuse jätkamiseks;</w:t>
      </w:r>
    </w:p>
    <w:p w14:paraId="60473911" w14:textId="77777777" w:rsidR="006B1555" w:rsidRDefault="006B1555" w:rsidP="006B1555">
      <w:pPr>
        <w:numPr>
          <w:ilvl w:val="0"/>
          <w:numId w:val="28"/>
        </w:numPr>
        <w:tabs>
          <w:tab w:val="left" w:pos="1956"/>
        </w:tabs>
      </w:pPr>
      <w:r w:rsidRPr="00AD7A06">
        <w:t>oluliste ressursside, materjalide või seadmete nappus, kui nende tootmine või kompenseerimine on vajalik rahvatervise, avaliku julgeoleku või muu ülekaaluka avaliku huvi tõttu.</w:t>
      </w:r>
    </w:p>
    <w:p w14:paraId="2765371D" w14:textId="77777777" w:rsidR="006B1555" w:rsidRPr="00AD7A06" w:rsidRDefault="006B1555" w:rsidP="006B1555">
      <w:pPr>
        <w:tabs>
          <w:tab w:val="left" w:pos="1956"/>
        </w:tabs>
        <w:ind w:left="720"/>
      </w:pPr>
    </w:p>
    <w:p w14:paraId="5381D630" w14:textId="77777777" w:rsidR="009F5A96" w:rsidRDefault="009F5A96" w:rsidP="009F5A96">
      <w:pPr>
        <w:tabs>
          <w:tab w:val="left" w:pos="1956"/>
        </w:tabs>
      </w:pPr>
      <w:r w:rsidRPr="00AD7A06">
        <w:t>Lõige 7</w:t>
      </w:r>
      <w:r w:rsidRPr="00AD7A06">
        <w:rPr>
          <w:vertAlign w:val="superscript"/>
        </w:rPr>
        <w:t>2</w:t>
      </w:r>
      <w:r w:rsidRPr="00AD7A06">
        <w:t xml:space="preserve"> paneb loa andjale kohustuse põhjendada erandi andmist </w:t>
      </w:r>
      <w:r>
        <w:t>erandi andmise</w:t>
      </w:r>
      <w:r w:rsidRPr="00AD7A06">
        <w:t xml:space="preserve"> otsuses ning dokumenteerida selle tingimused. Lisaks tuleb loa andjal sätestada </w:t>
      </w:r>
      <w:r>
        <w:t xml:space="preserve">erandi andmise otsusega </w:t>
      </w:r>
      <w:r w:rsidRPr="00AD7A06">
        <w:t>nõuded erandi ajal kehtivale heiteseire rakendamisele. See tagab regulaarse järelevalve, et erand ei muutuks püsivaks ega põhjendamatuks.</w:t>
      </w:r>
    </w:p>
    <w:p w14:paraId="3702BEF0" w14:textId="77777777" w:rsidR="009F5A96" w:rsidRPr="00AD7A06" w:rsidRDefault="009F5A96" w:rsidP="009F5A96">
      <w:pPr>
        <w:tabs>
          <w:tab w:val="left" w:pos="1956"/>
        </w:tabs>
      </w:pPr>
    </w:p>
    <w:p w14:paraId="7F63CC4F" w14:textId="77777777" w:rsidR="009F5A96" w:rsidRDefault="009F5A96" w:rsidP="009F5A96">
      <w:pPr>
        <w:tabs>
          <w:tab w:val="left" w:pos="1956"/>
        </w:tabs>
      </w:pPr>
      <w:r w:rsidRPr="00AD7A06">
        <w:t>Lõige 7</w:t>
      </w:r>
      <w:r w:rsidRPr="00AD7A06">
        <w:rPr>
          <w:vertAlign w:val="superscript"/>
        </w:rPr>
        <w:t>3</w:t>
      </w:r>
      <w:r w:rsidRPr="00AD7A06">
        <w:t xml:space="preserve"> seab erandi maksimaalse kestuse kolm kuud, võimalusega pikendada täiendavalt kuni kolm kuud, mis tagab erandi ajutise ja erandliku iseloomu. Samuti nähakse ette, et niipea, kui erandi tegemise alused kaovad, lakkab erand automaatselt kehtimast, mis tagab kiire naasmise tavapäraste kompleksloa tingimuste juurde.</w:t>
      </w:r>
    </w:p>
    <w:p w14:paraId="32A1EBB6" w14:textId="77777777" w:rsidR="009F5A96" w:rsidRDefault="009F5A96" w:rsidP="009F5A96">
      <w:pPr>
        <w:tabs>
          <w:tab w:val="left" w:pos="1956"/>
        </w:tabs>
      </w:pPr>
    </w:p>
    <w:p w14:paraId="08DC6615" w14:textId="77777777" w:rsidR="009F5A96" w:rsidRDefault="009F5A96" w:rsidP="009F5A96">
      <w:pPr>
        <w:rPr>
          <w:rFonts w:cs="Times New Roman"/>
        </w:rPr>
      </w:pPr>
      <w:r w:rsidRPr="009B03F2">
        <w:rPr>
          <w:rFonts w:cs="Times New Roman"/>
        </w:rPr>
        <w:t>Näiteks, kriisi korral, mis põhjustab raskeid häireid või nappust seoses energiavarustusega, kui energiavarustuskindluse tagamiseks on olemas ülekaalukas avalik huvi, teavitab Kliimaministeerium, kes on hädaolukorra seaduse § 36 lõike 1</w:t>
      </w:r>
      <w:r w:rsidRPr="009B03F2">
        <w:rPr>
          <w:rFonts w:cs="Times New Roman"/>
          <w:vertAlign w:val="superscript"/>
        </w:rPr>
        <w:t>1</w:t>
      </w:r>
      <w:r w:rsidRPr="009B03F2">
        <w:rPr>
          <w:rFonts w:cs="Times New Roman"/>
        </w:rPr>
        <w:t xml:space="preserve"> kohaselt elektri, maagaasi ja vedelkütustega varustamise teenuste toimepidevuse korraldaja, Keskkonnaametit eelneva olukorra tekkimisest ning elutähtsat teenust osutavate käitiste lubade ajutisest muutmise vajadusest. Keskkonnaamet saab teavitusest tulenevalt </w:t>
      </w:r>
      <w:r>
        <w:rPr>
          <w:rFonts w:cs="Times New Roman"/>
        </w:rPr>
        <w:t>anda vastavale käitisele korraldusega erandi andmise otsus</w:t>
      </w:r>
      <w:r w:rsidRPr="009B03F2">
        <w:rPr>
          <w:rFonts w:cs="Times New Roman"/>
        </w:rPr>
        <w:t xml:space="preserve">. Loa andja peab </w:t>
      </w:r>
      <w:r>
        <w:rPr>
          <w:rFonts w:cs="Times New Roman"/>
        </w:rPr>
        <w:t>erandi andmise</w:t>
      </w:r>
      <w:r w:rsidRPr="009B03F2">
        <w:rPr>
          <w:rFonts w:cs="Times New Roman"/>
        </w:rPr>
        <w:t xml:space="preserve"> otsuses põhjendama erandi andmist ning </w:t>
      </w:r>
      <w:r>
        <w:rPr>
          <w:rFonts w:cs="Times New Roman"/>
        </w:rPr>
        <w:t xml:space="preserve">selles </w:t>
      </w:r>
      <w:r w:rsidRPr="009B03F2">
        <w:rPr>
          <w:rFonts w:cs="Times New Roman"/>
        </w:rPr>
        <w:t>määrama erandi ajal kehtivad heiteseire nõuded ning asjakohased heite piirväärtused, mille juures ei tekitata olulist ebasoodsat muutust välisõhu, vee või pinnase kvaliteedis, ehk saastatust.</w:t>
      </w:r>
    </w:p>
    <w:p w14:paraId="0A44F99E" w14:textId="77777777" w:rsidR="009F5A96" w:rsidRPr="009B03F2" w:rsidRDefault="009F5A96" w:rsidP="009F5A96">
      <w:pPr>
        <w:rPr>
          <w:rFonts w:cs="Times New Roman"/>
        </w:rPr>
      </w:pPr>
    </w:p>
    <w:p w14:paraId="1328C88A" w14:textId="77777777" w:rsidR="009F5A96" w:rsidRDefault="009F5A96" w:rsidP="009F5A96">
      <w:pPr>
        <w:rPr>
          <w:rFonts w:cs="Times New Roman"/>
        </w:rPr>
      </w:pPr>
      <w:r w:rsidRPr="005D3949">
        <w:rPr>
          <w:rFonts w:cs="Times New Roman"/>
        </w:rPr>
        <w:t>Arvestades Eesti asukohta, väikest turumahtu ja sõltuvust rahvusvahelistest tarneahelatest, on geopoliitilise olukorra ebastabiilsuse tingimustes vältimatu ette näha võimalus kriisiolukorras ajutiselt kohandada käitiste keskkonnanõudeid.</w:t>
      </w:r>
      <w:r>
        <w:rPr>
          <w:rFonts w:cs="Times New Roman"/>
        </w:rPr>
        <w:t xml:space="preserve"> </w:t>
      </w:r>
      <w:r w:rsidRPr="005D3949">
        <w:rPr>
          <w:rFonts w:cs="Times New Roman"/>
        </w:rPr>
        <w:t>Muudatuse keskne põhimõte on proportsionaalsus</w:t>
      </w:r>
      <w:r>
        <w:rPr>
          <w:rFonts w:cs="Times New Roman"/>
        </w:rPr>
        <w:t>,</w:t>
      </w:r>
      <w:r w:rsidRPr="005D3949">
        <w:rPr>
          <w:rFonts w:cs="Times New Roman"/>
        </w:rPr>
        <w:t xml:space="preserve"> erandi kohaldamine on lubatud vaid ajutiselt ja vaid ulatuses, mis on hädavajalik kriisiolukorra ületamiseks, tagades samal ajal, et keskkonnakahju oleks minimaalne. </w:t>
      </w:r>
    </w:p>
    <w:p w14:paraId="1EA21B12" w14:textId="77777777" w:rsidR="009F5A96" w:rsidRPr="005D3949" w:rsidRDefault="009F5A96" w:rsidP="009F5A96">
      <w:pPr>
        <w:rPr>
          <w:rFonts w:cs="Times New Roman"/>
        </w:rPr>
      </w:pPr>
    </w:p>
    <w:p w14:paraId="4BF53936" w14:textId="77777777" w:rsidR="009F5A96" w:rsidRDefault="009F5A96" w:rsidP="009F5A96">
      <w:pPr>
        <w:rPr>
          <w:rFonts w:cs="Times New Roman"/>
        </w:rPr>
      </w:pPr>
      <w:r w:rsidRPr="005D3949">
        <w:rPr>
          <w:rFonts w:cs="Times New Roman"/>
        </w:rPr>
        <w:t>Varasemalt on sarnast kuid väikesema ulatusega tööstusheite seaduse § 78</w:t>
      </w:r>
      <w:r w:rsidRPr="005D3949">
        <w:rPr>
          <w:rFonts w:cs="Times New Roman"/>
          <w:b/>
          <w:bCs/>
        </w:rPr>
        <w:t xml:space="preserve"> </w:t>
      </w:r>
      <w:r w:rsidRPr="005D3949">
        <w:rPr>
          <w:rFonts w:cs="Times New Roman"/>
        </w:rPr>
        <w:t>erandit rakendatud 2022. aastal kui osad katlamajad võtsid gaasitarnete raskuse tõttu kasutusele põlevkiviõli. Iseloomult on ka käesolev erand sarnane, seega Keskkonnaametil on samataolise erandi andmise kogemus juba olemas. </w:t>
      </w:r>
    </w:p>
    <w:p w14:paraId="19A0A4E3" w14:textId="77777777" w:rsidR="009F5A96" w:rsidRDefault="009F5A96" w:rsidP="009F5A96">
      <w:pPr>
        <w:rPr>
          <w:rFonts w:cs="Times New Roman"/>
        </w:rPr>
      </w:pPr>
    </w:p>
    <w:p w14:paraId="42E24AE4" w14:textId="77777777" w:rsidR="009F5A96" w:rsidRPr="000A3104" w:rsidRDefault="009F5A96" w:rsidP="009F5A96">
      <w:pPr>
        <w:rPr>
          <w:rFonts w:cs="Times New Roman"/>
        </w:rPr>
      </w:pPr>
      <w:r>
        <w:rPr>
          <w:rFonts w:cs="Times New Roman"/>
        </w:rPr>
        <w:t xml:space="preserve">Üldiselt on parima võimaliku tehnika rakendamisel tagatud saastatuse vältimine, ehk </w:t>
      </w:r>
      <w:r w:rsidRPr="005D3949">
        <w:rPr>
          <w:rFonts w:cs="Times New Roman"/>
        </w:rPr>
        <w:t>oluli</w:t>
      </w:r>
      <w:r>
        <w:rPr>
          <w:rFonts w:cs="Times New Roman"/>
        </w:rPr>
        <w:t>s</w:t>
      </w:r>
      <w:r w:rsidRPr="005D3949">
        <w:rPr>
          <w:rFonts w:cs="Times New Roman"/>
        </w:rPr>
        <w:t>e ebasood</w:t>
      </w:r>
      <w:r>
        <w:rPr>
          <w:rFonts w:cs="Times New Roman"/>
        </w:rPr>
        <w:t>sa</w:t>
      </w:r>
      <w:r w:rsidRPr="005D3949">
        <w:rPr>
          <w:rFonts w:cs="Times New Roman"/>
        </w:rPr>
        <w:t xml:space="preserve"> muutus</w:t>
      </w:r>
      <w:r>
        <w:rPr>
          <w:rFonts w:cs="Times New Roman"/>
        </w:rPr>
        <w:t>e vältimine</w:t>
      </w:r>
      <w:r w:rsidRPr="005D3949">
        <w:rPr>
          <w:rFonts w:cs="Times New Roman"/>
        </w:rPr>
        <w:t xml:space="preserve"> välisõhu, vee või pinnase kvaliteedis</w:t>
      </w:r>
      <w:r>
        <w:rPr>
          <w:rFonts w:cs="Times New Roman"/>
        </w:rPr>
        <w:t>. Seega sõltub leevendatud heite piirväärtus käitise asukohast, kohalikust keskkonnaseisundist ning parima võimaliku tehnika rakendamise võimekusest kriisiolukorras.</w:t>
      </w:r>
    </w:p>
    <w:p w14:paraId="7E5FF008" w14:textId="77777777" w:rsidR="009F5A96" w:rsidRPr="00AD7A06" w:rsidRDefault="009F5A96" w:rsidP="009F5A96">
      <w:pPr>
        <w:tabs>
          <w:tab w:val="left" w:pos="1956"/>
        </w:tabs>
      </w:pPr>
    </w:p>
    <w:p w14:paraId="41884FA1" w14:textId="77777777" w:rsidR="009F5A96" w:rsidRDefault="009F5A96" w:rsidP="009F5A96">
      <w:pPr>
        <w:tabs>
          <w:tab w:val="left" w:pos="1956"/>
        </w:tabs>
      </w:pPr>
      <w:r w:rsidRPr="00AD7A06">
        <w:rPr>
          <w:b/>
          <w:bCs/>
        </w:rPr>
        <w:t>THS § 63</w:t>
      </w:r>
      <w:r>
        <w:t xml:space="preserve"> </w:t>
      </w:r>
      <w:r w:rsidRPr="00AD7A06">
        <w:rPr>
          <w:b/>
          <w:bCs/>
        </w:rPr>
        <w:t>lg 1 p 3</w:t>
      </w:r>
    </w:p>
    <w:p w14:paraId="25639C8C" w14:textId="77777777" w:rsidR="009F5A96" w:rsidRPr="00AD7A06" w:rsidRDefault="009F5A96" w:rsidP="009F5A96">
      <w:pPr>
        <w:tabs>
          <w:tab w:val="left" w:pos="1956"/>
        </w:tabs>
      </w:pPr>
      <w:r>
        <w:t>Muudatuse</w:t>
      </w:r>
      <w:r w:rsidRPr="00AD7A06">
        <w:t xml:space="preserve"> kohaselt tuleb loa andjal piiriülese mõjuga käitise kompleksloa menetluse korral tööstusheite seaduse § 44 lõike 6</w:t>
      </w:r>
      <w:r w:rsidRPr="00AD7A06">
        <w:rPr>
          <w:vertAlign w:val="superscript"/>
        </w:rPr>
        <w:t>1</w:t>
      </w:r>
      <w:r w:rsidRPr="00AD7A06">
        <w:t xml:space="preserve"> kohase erandi kohaldamisel selle põhjus ning kehtestatud nõuded esitada Kliimaministeeriumile.</w:t>
      </w:r>
    </w:p>
    <w:p w14:paraId="022B2A05" w14:textId="77777777" w:rsidR="006B1555" w:rsidRPr="00CF2F17" w:rsidRDefault="006B1555" w:rsidP="006B1555">
      <w:pPr>
        <w:tabs>
          <w:tab w:val="left" w:pos="1956"/>
        </w:tabs>
        <w:spacing w:before="240"/>
      </w:pPr>
      <w:r w:rsidRPr="00CF2F17">
        <w:rPr>
          <w:b/>
        </w:rPr>
        <w:t>4. Eelnõu terminoloogia</w:t>
      </w:r>
    </w:p>
    <w:p w14:paraId="4CF7BC1C" w14:textId="77777777" w:rsidR="006B1555" w:rsidRDefault="006B1555" w:rsidP="006B1555">
      <w:pPr>
        <w:spacing w:before="240"/>
        <w:rPr>
          <w:rFonts w:cs="Times New Roman"/>
          <w:szCs w:val="24"/>
        </w:rPr>
      </w:pPr>
      <w:r w:rsidRPr="00B96E88">
        <w:rPr>
          <w:rFonts w:cs="Times New Roman"/>
          <w:szCs w:val="24"/>
        </w:rPr>
        <w:t xml:space="preserve">Eelnõuga ei lisata </w:t>
      </w:r>
      <w:r>
        <w:rPr>
          <w:rFonts w:cs="Times New Roman"/>
          <w:szCs w:val="24"/>
        </w:rPr>
        <w:t>muudatustega adresseeritud seadustesse</w:t>
      </w:r>
      <w:r w:rsidRPr="00B96E88">
        <w:rPr>
          <w:rFonts w:cs="Times New Roman"/>
          <w:szCs w:val="24"/>
        </w:rPr>
        <w:t xml:space="preserve"> uusi termineid</w:t>
      </w:r>
      <w:r>
        <w:rPr>
          <w:rFonts w:cs="Times New Roman"/>
          <w:szCs w:val="24"/>
        </w:rPr>
        <w:t>. Elektrituruseaduses võetakse kasutusele uus lühend „paindlik liitumine“</w:t>
      </w:r>
      <w:r w:rsidRPr="00B96E88">
        <w:rPr>
          <w:rFonts w:cs="Times New Roman"/>
          <w:szCs w:val="24"/>
        </w:rPr>
        <w:t>.</w:t>
      </w:r>
      <w:r>
        <w:rPr>
          <w:rFonts w:cs="Times New Roman"/>
          <w:szCs w:val="24"/>
        </w:rPr>
        <w:t xml:space="preserve"> </w:t>
      </w:r>
      <w:r>
        <w:t xml:space="preserve">Paindlik liitumine kujutab endast </w:t>
      </w:r>
      <w:r w:rsidRPr="00D2350C">
        <w:rPr>
          <w:rFonts w:cs="Times New Roman"/>
          <w:szCs w:val="24"/>
        </w:rPr>
        <w:t xml:space="preserve">paindlikku võrguga ühendamist, mille alusel piiratakse ja kontrollitakse elektrienergia võrku andmist ja sealt selle võtmist, piirkondades, kus võrgu võimsus uute ühenduste jaoks on piiratud. </w:t>
      </w:r>
      <w:r>
        <w:rPr>
          <w:rFonts w:cs="Times New Roman"/>
          <w:szCs w:val="24"/>
        </w:rPr>
        <w:t xml:space="preserve">Üldjuhul võimaldatakse paindlikku liitumist tähtajaliselt kuid </w:t>
      </w:r>
      <w:r w:rsidRPr="00D2350C">
        <w:rPr>
          <w:rFonts w:cs="Times New Roman"/>
          <w:szCs w:val="24"/>
        </w:rPr>
        <w:t xml:space="preserve">tähtajatult </w:t>
      </w:r>
      <w:r>
        <w:rPr>
          <w:rFonts w:cs="Times New Roman"/>
          <w:szCs w:val="24"/>
        </w:rPr>
        <w:t xml:space="preserve">saab liituda </w:t>
      </w:r>
      <w:r w:rsidRPr="00D2350C">
        <w:rPr>
          <w:rFonts w:cs="Times New Roman"/>
          <w:szCs w:val="24"/>
        </w:rPr>
        <w:lastRenderedPageBreak/>
        <w:t>piirkondades, kus võrgu arendamine ei ole võrguettevõtja hinnangul optimaalne või kui turuosaline on tähtajatus paindlikkus liitumises võrguettevõtjaga kokku leppinud.</w:t>
      </w:r>
    </w:p>
    <w:p w14:paraId="56F86427" w14:textId="77777777" w:rsidR="006B1555" w:rsidRPr="00CF2F17" w:rsidRDefault="006B1555" w:rsidP="006B1555">
      <w:pPr>
        <w:spacing w:before="240"/>
        <w:rPr>
          <w:rFonts w:cs="Times New Roman"/>
          <w:bCs/>
          <w:szCs w:val="24"/>
        </w:rPr>
      </w:pPr>
      <w:r w:rsidRPr="00CF2F17">
        <w:rPr>
          <w:b/>
        </w:rPr>
        <w:t>5. Eelnõu vastavus Euroopa Liidu õigusele</w:t>
      </w:r>
    </w:p>
    <w:p w14:paraId="79A7D14B" w14:textId="77777777" w:rsidR="005B0E8F" w:rsidRPr="00CF2F17" w:rsidRDefault="005B0E8F" w:rsidP="005B0E8F">
      <w:pPr>
        <w:pStyle w:val="Kehatekst"/>
      </w:pPr>
      <w:r w:rsidRPr="00CF2F17">
        <w:t>Eelnõuga võetakse üle</w:t>
      </w:r>
      <w:r>
        <w:t xml:space="preserve"> E</w:t>
      </w:r>
      <w:r w:rsidRPr="00CF2F17">
        <w:rPr>
          <w:bCs/>
        </w:rPr>
        <w:t>uroopa Parlamendi ja nõukogu direktiiv (EL) 2024/1711 elektrituru korralduse parandamiseks, millega muudetakse direktiive (EL) 2018/2001 ja (EL) 2019/944.</w:t>
      </w:r>
      <w:r w:rsidRPr="00CF2F17">
        <w:t xml:space="preserve"> </w:t>
      </w:r>
      <w:r>
        <w:t xml:space="preserve">Lisaks võetakse osaliselt üle </w:t>
      </w:r>
      <w:r w:rsidRPr="00CF2F17">
        <w:rPr>
          <w:bCs/>
        </w:rPr>
        <w:t xml:space="preserve">Euroopa Parlamendi ja nõukogu direktiiv </w:t>
      </w:r>
      <w:r w:rsidRPr="00F35835">
        <w:rPr>
          <w:bCs/>
        </w:rPr>
        <w:t>(EL) 2024/1785, 24. aprill 2024, millega muudetakse Euroopa Parlamendi ja nõukogu direktiivi 2010/75/EL tööstusheidete kohta (saastuse kompleksne vältimine ja kontroll) ning nõukogu direktiivi 1999/31/EÜ prügilate kohta</w:t>
      </w:r>
      <w:r>
        <w:rPr>
          <w:bCs/>
        </w:rPr>
        <w:t xml:space="preserve">. </w:t>
      </w:r>
      <w:r w:rsidRPr="00CF2F17">
        <w:t>Eelnõu ja Euroopa Liidu õigusaktide vastavustabel on lisatud (lisa</w:t>
      </w:r>
      <w:r>
        <w:t xml:space="preserve"> </w:t>
      </w:r>
      <w:r w:rsidRPr="00CF2F17">
        <w:t>1).</w:t>
      </w:r>
    </w:p>
    <w:p w14:paraId="7D0A58CF" w14:textId="77777777" w:rsidR="006B1555" w:rsidRDefault="006B1555" w:rsidP="006B1555">
      <w:pPr>
        <w:rPr>
          <w:b/>
        </w:rPr>
      </w:pPr>
      <w:r w:rsidRPr="00CF2F17">
        <w:rPr>
          <w:b/>
        </w:rPr>
        <w:t>6. Seaduse mõjud</w:t>
      </w:r>
    </w:p>
    <w:p w14:paraId="10FE08F2" w14:textId="77777777" w:rsidR="006B1555" w:rsidRPr="004335F1" w:rsidRDefault="006B1555" w:rsidP="006B1555">
      <w:pPr>
        <w:rPr>
          <w:b/>
        </w:rPr>
      </w:pPr>
    </w:p>
    <w:p w14:paraId="7CA9D63F" w14:textId="77777777" w:rsidR="006B1555" w:rsidRPr="00CF2F17" w:rsidRDefault="006B1555" w:rsidP="006B1555">
      <w:r>
        <w:t>E</w:t>
      </w:r>
      <w:r w:rsidRPr="00CF2F17">
        <w:t>elnõu käsitleb järgmisi teemasid:</w:t>
      </w:r>
    </w:p>
    <w:p w14:paraId="1A8D20C8" w14:textId="77777777" w:rsidR="006B1555" w:rsidRDefault="006B1555" w:rsidP="006B1555">
      <w:pPr>
        <w:pStyle w:val="Loendilik"/>
        <w:numPr>
          <w:ilvl w:val="0"/>
          <w:numId w:val="13"/>
        </w:numPr>
        <w:spacing w:before="240"/>
      </w:pPr>
      <w:r w:rsidRPr="00CF2F17">
        <w:t>tarnija riskimaandusstrateegia</w:t>
      </w:r>
      <w:r w:rsidRPr="00B85D4A">
        <w:t xml:space="preserve"> tähtajalise fikseeritud elektrihinnaga lepingu pakkumisel</w:t>
      </w:r>
      <w:r>
        <w:t>;</w:t>
      </w:r>
    </w:p>
    <w:p w14:paraId="332F4FBB" w14:textId="77777777" w:rsidR="006B1555" w:rsidRDefault="006B1555" w:rsidP="006B1555">
      <w:pPr>
        <w:pStyle w:val="Loendilik"/>
        <w:numPr>
          <w:ilvl w:val="0"/>
          <w:numId w:val="13"/>
        </w:numPr>
      </w:pPr>
      <w:r>
        <w:t>v</w:t>
      </w:r>
      <w:r w:rsidRPr="004335F1">
        <w:t>õrguettevõtjate paindliku liitumise võimaldamise kohustus</w:t>
      </w:r>
      <w:r>
        <w:t>;</w:t>
      </w:r>
    </w:p>
    <w:p w14:paraId="39127FD1" w14:textId="77777777" w:rsidR="006B1555" w:rsidRDefault="006B1555" w:rsidP="006B1555">
      <w:pPr>
        <w:pStyle w:val="Loendilik"/>
        <w:numPr>
          <w:ilvl w:val="0"/>
          <w:numId w:val="13"/>
        </w:numPr>
      </w:pPr>
      <w:r>
        <w:t>tarbijate kaitsmine võrgust lahtiühendamise eest;</w:t>
      </w:r>
    </w:p>
    <w:p w14:paraId="15BE4853" w14:textId="77777777" w:rsidR="006B1555" w:rsidRDefault="006B1555" w:rsidP="006B1555">
      <w:pPr>
        <w:pStyle w:val="Loendilik"/>
        <w:numPr>
          <w:ilvl w:val="0"/>
          <w:numId w:val="13"/>
        </w:numPr>
      </w:pPr>
      <w:r>
        <w:t>elektri jagamine hoone piires;</w:t>
      </w:r>
    </w:p>
    <w:p w14:paraId="3FE951FF" w14:textId="77777777" w:rsidR="006B1555" w:rsidRDefault="006B1555" w:rsidP="006B1555">
      <w:pPr>
        <w:pStyle w:val="Loendilik"/>
        <w:numPr>
          <w:ilvl w:val="0"/>
          <w:numId w:val="13"/>
        </w:numPr>
      </w:pPr>
      <w:r w:rsidRPr="000963D9">
        <w:t>riigi julgeoleku</w:t>
      </w:r>
      <w:r>
        <w:t xml:space="preserve"> </w:t>
      </w:r>
      <w:r w:rsidRPr="000963D9">
        <w:t>põhimõtted</w:t>
      </w:r>
      <w:r>
        <w:t xml:space="preserve"> elektripaigaldistes</w:t>
      </w:r>
      <w:r w:rsidRPr="000963D9">
        <w:t xml:space="preserve"> kasutatava</w:t>
      </w:r>
      <w:r>
        <w:t>t</w:t>
      </w:r>
      <w:r w:rsidRPr="000963D9">
        <w:t xml:space="preserve"> riist- või tarkvara hanki</w:t>
      </w:r>
      <w:r>
        <w:t>des;</w:t>
      </w:r>
    </w:p>
    <w:p w14:paraId="74FB862A" w14:textId="77777777" w:rsidR="006B1555" w:rsidRDefault="006B1555" w:rsidP="006B1555">
      <w:pPr>
        <w:pStyle w:val="Loendilik"/>
        <w:numPr>
          <w:ilvl w:val="0"/>
          <w:numId w:val="13"/>
        </w:numPr>
      </w:pPr>
      <w:r w:rsidRPr="005B6CB5">
        <w:t>energia tootmise ja müümisega seonduva</w:t>
      </w:r>
      <w:r>
        <w:t>te</w:t>
      </w:r>
      <w:r w:rsidRPr="005B6CB5">
        <w:t xml:space="preserve"> tegevus</w:t>
      </w:r>
      <w:r>
        <w:t>te vabastamine</w:t>
      </w:r>
      <w:r w:rsidRPr="005B6CB5">
        <w:t xml:space="preserve"> riigihangete reeglitest</w:t>
      </w:r>
      <w:r>
        <w:t xml:space="preserve"> Eestis;</w:t>
      </w:r>
    </w:p>
    <w:p w14:paraId="7056F3FD" w14:textId="77777777" w:rsidR="006B1555" w:rsidRDefault="006B1555" w:rsidP="006B1555">
      <w:pPr>
        <w:pStyle w:val="Loendilik"/>
        <w:numPr>
          <w:ilvl w:val="0"/>
          <w:numId w:val="13"/>
        </w:numPr>
      </w:pPr>
      <w:r>
        <w:t>elektrienergia liitumis- ja võrgulepingujärgse tootmissuunalise võimsuse mittekasutamise eest rakendatava tasu tingimuste muutmine;</w:t>
      </w:r>
    </w:p>
    <w:p w14:paraId="52DB1F21" w14:textId="77777777" w:rsidR="006B1555" w:rsidRDefault="006B1555" w:rsidP="006B1555">
      <w:pPr>
        <w:pStyle w:val="Loendilik"/>
        <w:numPr>
          <w:ilvl w:val="0"/>
          <w:numId w:val="13"/>
        </w:numPr>
      </w:pPr>
      <w:r>
        <w:t>liitumistaotluses toodud elektrienergia tootmise tehnoloogia muutmise tingimuste täpsustamine;</w:t>
      </w:r>
    </w:p>
    <w:p w14:paraId="3B461652" w14:textId="77777777" w:rsidR="006B1555" w:rsidRDefault="006B1555" w:rsidP="006B1555">
      <w:pPr>
        <w:pStyle w:val="Loendilik"/>
        <w:numPr>
          <w:ilvl w:val="0"/>
          <w:numId w:val="13"/>
        </w:numPr>
      </w:pPr>
      <w:r>
        <w:t>elektrienergia tootmissuunalise võimsuse piiramise hüvitamise metoodika kohaldamise tingimused;</w:t>
      </w:r>
    </w:p>
    <w:p w14:paraId="0AD31FC2" w14:textId="77777777" w:rsidR="006B1555" w:rsidRDefault="006B1555" w:rsidP="006B1555">
      <w:pPr>
        <w:pStyle w:val="Loendilik"/>
        <w:numPr>
          <w:ilvl w:val="0"/>
          <w:numId w:val="13"/>
        </w:numPr>
      </w:pPr>
      <w:r w:rsidRPr="510A726D">
        <w:t>REMIT</w:t>
      </w:r>
      <w:r>
        <w:t xml:space="preserve"> </w:t>
      </w:r>
      <w:r w:rsidRPr="510A726D">
        <w:t xml:space="preserve">määruse </w:t>
      </w:r>
      <w:r>
        <w:t>nõuete kohaldamine</w:t>
      </w:r>
      <w:r w:rsidRPr="510A726D">
        <w:t xml:space="preserve"> elektri- ja gaasiturul manipulatsioonide ja siseteabe ebaseadusliku kasutamise ennetamise</w:t>
      </w:r>
      <w:r>
        <w:t>ks;</w:t>
      </w:r>
    </w:p>
    <w:p w14:paraId="60761264" w14:textId="77777777" w:rsidR="006B1555" w:rsidRDefault="006B1555" w:rsidP="006B1555">
      <w:pPr>
        <w:pStyle w:val="Loendilik"/>
        <w:numPr>
          <w:ilvl w:val="0"/>
          <w:numId w:val="13"/>
        </w:numPr>
      </w:pPr>
      <w:r w:rsidRPr="00603212">
        <w:t>elutähtsa teenuse osutaja</w:t>
      </w:r>
      <w:r>
        <w:t xml:space="preserve"> määratluse uuendamine;</w:t>
      </w:r>
    </w:p>
    <w:p w14:paraId="2CAC7A05" w14:textId="77777777" w:rsidR="006B1555" w:rsidRDefault="006B1555" w:rsidP="006B1555">
      <w:pPr>
        <w:pStyle w:val="Loendilik"/>
        <w:numPr>
          <w:ilvl w:val="0"/>
          <w:numId w:val="13"/>
        </w:numPr>
      </w:pPr>
      <w:r w:rsidRPr="00145B2C">
        <w:t>reservvõimsuse mehhanismi rahastamise kulu jagune</w:t>
      </w:r>
      <w:r>
        <w:t>min</w:t>
      </w:r>
      <w:r w:rsidRPr="00145B2C">
        <w:t>e</w:t>
      </w:r>
      <w:r>
        <w:t>;</w:t>
      </w:r>
    </w:p>
    <w:p w14:paraId="6FD1D6AC" w14:textId="77777777" w:rsidR="006B1555" w:rsidRDefault="006B1555" w:rsidP="006B1555">
      <w:pPr>
        <w:pStyle w:val="Loendilik"/>
        <w:numPr>
          <w:ilvl w:val="0"/>
          <w:numId w:val="13"/>
        </w:numPr>
      </w:pPr>
      <w:r w:rsidRPr="00145B2C">
        <w:t>kompleksloaga käitiste leebemad heite piirväärtus</w:t>
      </w:r>
      <w:r>
        <w:t>te</w:t>
      </w:r>
      <w:r w:rsidRPr="00145B2C">
        <w:t xml:space="preserve"> erand</w:t>
      </w:r>
      <w:r>
        <w:t>.</w:t>
      </w:r>
    </w:p>
    <w:p w14:paraId="602581EA" w14:textId="77777777" w:rsidR="006B1555" w:rsidRDefault="006B1555" w:rsidP="006B1555">
      <w:pPr>
        <w:pStyle w:val="Loendilik"/>
      </w:pPr>
    </w:p>
    <w:p w14:paraId="19F5CA8C" w14:textId="77777777" w:rsidR="006B1555" w:rsidRPr="000C1456" w:rsidRDefault="006B1555" w:rsidP="006B1555">
      <w:pPr>
        <w:spacing w:after="160" w:line="278" w:lineRule="auto"/>
      </w:pPr>
      <w:r>
        <w:t>Võrguettevõtjad – 2024. aasta seisuga oli Eestis üks põhivõrguettevõtja (Elering) ja 33 jaotusvõrguettevõtjat, kellest suurimad on Elektrilevi OÜ (2024. a turuosa 88%), Viru Elektrivõrgud OÜ (2024. a turuosa 3%), Imatra Elekter AS (2024. a turuosa 3</w:t>
      </w:r>
      <w:r w:rsidRPr="004B33FF">
        <w:t>%), Loo Elekter AS</w:t>
      </w:r>
      <w:r>
        <w:t xml:space="preserve"> (2024. a turuosa 1%). </w:t>
      </w:r>
      <w:r w:rsidRPr="000C1456">
        <w:t>Kuigi Elektrilevi OÜ omandas Imatra Elekter AS-i 2021. aastal, tegutsesid need aruande järgi 2024. aastal veel eraldiseisvate äriühingutena.</w:t>
      </w:r>
      <w:r>
        <w:t xml:space="preserve"> </w:t>
      </w:r>
      <w:r w:rsidRPr="000C1456">
        <w:t xml:space="preserve">Kui Imatra Elekter AS-i turuosa (3%) liita Elektrilevi OÜ turuosaga (88%), oleks Elektrilevi grupi </w:t>
      </w:r>
      <w:r w:rsidRPr="000C1456">
        <w:rPr>
          <w:b/>
          <w:bCs/>
        </w:rPr>
        <w:t>konsolideeritud turuosa 2024. aastal umbes 91%</w:t>
      </w:r>
      <w:r w:rsidRPr="000C1456">
        <w:t xml:space="preserve">. </w:t>
      </w:r>
    </w:p>
    <w:p w14:paraId="05681CDA" w14:textId="77777777" w:rsidR="006B1555" w:rsidRDefault="006B1555" w:rsidP="006B1555"/>
    <w:p w14:paraId="06278F52" w14:textId="77777777" w:rsidR="006B1555" w:rsidRDefault="006B1555" w:rsidP="006B1555">
      <w:r w:rsidRPr="00780B79">
        <w:t>Eestis tegutseb praegu 16 sõltumatut elektrimüüjat, kes pakuvad elektrienergiat lõpptarbijatele. Suurim neist on Eesti Energia AS, kelle turuosa ületab 50%, kuid turul on ka mitmeid teisi aktiivseid pakkujaid, nagu Elektrum Eesti OÜ, Ignitis Eesti OÜ, 220 Energia OÜ ja Alexela Energia Teenused AS.​</w:t>
      </w:r>
      <w:r>
        <w:t xml:space="preserve"> </w:t>
      </w:r>
    </w:p>
    <w:p w14:paraId="36B1F224" w14:textId="77777777" w:rsidR="006B1555" w:rsidRDefault="006B1555" w:rsidP="006B1555"/>
    <w:p w14:paraId="63A30F24" w14:textId="77777777" w:rsidR="006B1555" w:rsidRDefault="006B1555" w:rsidP="006B1555">
      <w:r w:rsidRPr="00780B79">
        <w:lastRenderedPageBreak/>
        <w:t xml:space="preserve">80% tarbijatest omavad elektrilepingut ja 20% tarbijatest kasutavad üldteenust. </w:t>
      </w:r>
    </w:p>
    <w:p w14:paraId="0188BD89" w14:textId="77777777" w:rsidR="006B1555" w:rsidRPr="00780B79" w:rsidRDefault="006B1555" w:rsidP="006B1555"/>
    <w:p w14:paraId="75DBE1FF" w14:textId="77777777" w:rsidR="006B1555" w:rsidRPr="00DA44BD" w:rsidRDefault="006B1555" w:rsidP="006B1555">
      <w:r w:rsidRPr="00DA44BD">
        <w:rPr>
          <w:u w:val="single"/>
        </w:rPr>
        <w:t>Kodutarbijad</w:t>
      </w:r>
      <w:r w:rsidRPr="00DA44BD">
        <w:t xml:space="preserve"> – 2024. aasta lõpu seisuga 665 918</w:t>
      </w:r>
      <w:r w:rsidRPr="00DA44BD" w:rsidDel="009F4B5C">
        <w:t xml:space="preserve"> </w:t>
      </w:r>
      <w:r w:rsidRPr="00DA44BD">
        <w:t>elektrilepingut;</w:t>
      </w:r>
    </w:p>
    <w:p w14:paraId="0F79DA71" w14:textId="77777777" w:rsidR="006B1555" w:rsidRDefault="006B1555" w:rsidP="006B1555">
      <w:r w:rsidRPr="00DA44BD">
        <w:rPr>
          <w:u w:val="single"/>
        </w:rPr>
        <w:t>Ettevõtjad</w:t>
      </w:r>
      <w:r w:rsidRPr="00DA44BD">
        <w:t xml:space="preserve"> – 2024. aasta lõpu seisuga 106 597</w:t>
      </w:r>
      <w:r w:rsidRPr="00DA44BD" w:rsidDel="000428EC">
        <w:t xml:space="preserve"> </w:t>
      </w:r>
      <w:r w:rsidRPr="00DA44BD">
        <w:t>elektrilepingut</w:t>
      </w:r>
      <w:r>
        <w:t>.</w:t>
      </w:r>
    </w:p>
    <w:p w14:paraId="50BDE828" w14:textId="77777777" w:rsidR="006B1555" w:rsidRDefault="006B1555" w:rsidP="006B1555"/>
    <w:p w14:paraId="20802ED5" w14:textId="77777777" w:rsidR="006B1555" w:rsidRPr="00C75EE7" w:rsidRDefault="006B1555" w:rsidP="006B1555">
      <w:r w:rsidRPr="00C75EE7">
        <w:t>Konkurentsiameti 2024. aasta elektri- ja gaasituru aruande</w:t>
      </w:r>
      <w:r w:rsidRPr="00C75EE7">
        <w:rPr>
          <w:rStyle w:val="Allmrkuseviide"/>
        </w:rPr>
        <w:footnoteReference w:id="45"/>
      </w:r>
      <w:r w:rsidRPr="00C75EE7">
        <w:t xml:space="preserve"> kohaselt oli kodutarbijate elektrilepingute jaotus 2024. aasta lõpu seisuga (võrreldes 2023. aasta lõpuga) järgmine:</w:t>
      </w:r>
    </w:p>
    <w:p w14:paraId="70917539" w14:textId="77777777" w:rsidR="006B1555" w:rsidRPr="00C75EE7" w:rsidRDefault="006B1555" w:rsidP="006B1555">
      <w:r w:rsidRPr="00F24067">
        <w:t>Börsipaketi populaarsuse kasv:</w:t>
      </w:r>
      <w:r w:rsidRPr="00C75EE7">
        <w:t xml:space="preserve"> Kodutarbijate seas kasvas </w:t>
      </w:r>
      <w:r w:rsidRPr="00F24067">
        <w:t>börsipakettide</w:t>
      </w:r>
      <w:r w:rsidRPr="00C75EE7">
        <w:t xml:space="preserve"> osakaal 2024. aasta jooksul märkimisväärselt, tõustes 39%-lt 2023. aasta lõpus </w:t>
      </w:r>
      <w:r w:rsidRPr="00F24067">
        <w:t>44%-ni</w:t>
      </w:r>
      <w:r w:rsidRPr="00C75EE7">
        <w:t xml:space="preserve"> 2024. aasta lõpuks. See näitab tarbijate suurenenud usaldust ja valmisolekut turuhindade riskidega kohaneda.</w:t>
      </w:r>
    </w:p>
    <w:p w14:paraId="174AEF5D" w14:textId="77777777" w:rsidR="006B1555" w:rsidRPr="00C75EE7" w:rsidRDefault="006B1555" w:rsidP="006B1555">
      <w:r w:rsidRPr="00F24067">
        <w:t>Fikseeritud hinna osakaalu langus:</w:t>
      </w:r>
      <w:r w:rsidRPr="00C75EE7">
        <w:t xml:space="preserve"> Samal ajal vähenes </w:t>
      </w:r>
      <w:r w:rsidRPr="00F24067">
        <w:t>fikseeritud hinnaga</w:t>
      </w:r>
      <w:r w:rsidRPr="00C75EE7">
        <w:t xml:space="preserve"> lepingute osakaal 45%-lt </w:t>
      </w:r>
      <w:r w:rsidRPr="00F24067">
        <w:t>39%-ni</w:t>
      </w:r>
      <w:r w:rsidRPr="00C75EE7">
        <w:t>. See oli tõenäoliselt tingitud 2024. aasta jooksul langevatest ja stabiliseeruvatest börsihindadest, mis tegid börsipaketi atraktiivsemaks.</w:t>
      </w:r>
    </w:p>
    <w:p w14:paraId="30CD8CBE" w14:textId="77777777" w:rsidR="006B1555" w:rsidRPr="00C75EE7" w:rsidRDefault="006B1555" w:rsidP="006B1555">
      <w:r w:rsidRPr="00F24067">
        <w:t>Universaalteenus/Muu:</w:t>
      </w:r>
      <w:r w:rsidRPr="00C75EE7">
        <w:t xml:space="preserve"> Universaalteenuse osakaal langes 2024. aasta jooksul pidevalt, kuni see 2024. aasta juulis regulatsioonina kehtetuks tunnistati. 2024. aasta lõpu seisuga on see segment koondatud Konkurentsiameti aruannetes kategooriasse "Universaalteenus/Muu", mis sisaldab endise universaalteenuse lepingute jääki ja teisi paketi tüüpe.</w:t>
      </w:r>
    </w:p>
    <w:p w14:paraId="589D1336" w14:textId="77777777" w:rsidR="006B1555" w:rsidRDefault="006B1555" w:rsidP="006B1555"/>
    <w:p w14:paraId="1CF6F5AE" w14:textId="77777777" w:rsidR="006B1555" w:rsidRDefault="006B1555" w:rsidP="006B1555">
      <w:r w:rsidRPr="00211D05">
        <w:t>Elektrilevi võrgus on mikrotootja kuni 15 kW maksimaalse võimsusega tootmisseade</w:t>
      </w:r>
      <w:r>
        <w:t xml:space="preserve">, mikrotootjaid on Elektrilevi võrgus 2025. aasta juunikuu seisuga 13 700, tootmisvõimsusega 143 MW (võrgulepinguga kokku lepitud võrku antava võimsusega 141 MW). </w:t>
      </w:r>
      <w:r w:rsidRPr="00211D05">
        <w:t xml:space="preserve">Võrku antav võimsus (võrguühenduse läbilaskevõime elektrienergia võrku andmisel) võib olla ja paljudel juhtudel </w:t>
      </w:r>
      <w:r>
        <w:t>on</w:t>
      </w:r>
      <w:r w:rsidRPr="00211D05">
        <w:t xml:space="preserve"> erinev tootmisseadme võimsusest</w:t>
      </w:r>
      <w:r>
        <w:t>, sest võrguettevõtjal võib olla</w:t>
      </w:r>
      <w:r w:rsidRPr="00211D05">
        <w:t xml:space="preserve"> elektritootjatega</w:t>
      </w:r>
      <w:r>
        <w:t xml:space="preserve"> </w:t>
      </w:r>
      <w:r w:rsidRPr="00211D05">
        <w:t>võrku antav võimsus kokku lepitud väiksemana või on olukordi, kus tootmistingimusi kasutaval võrguühendusel võib olla kokkulep</w:t>
      </w:r>
      <w:r>
        <w:t>e</w:t>
      </w:r>
      <w:r w:rsidRPr="00211D05">
        <w:t>, et elektrienergia võrku andmine ei ole võimaldatud.</w:t>
      </w:r>
    </w:p>
    <w:p w14:paraId="493BDFBD" w14:textId="77777777" w:rsidR="006B1555" w:rsidRPr="00333FC1" w:rsidRDefault="006B1555" w:rsidP="006B1555">
      <w:pPr>
        <w:spacing w:before="240"/>
        <w:rPr>
          <w:b/>
        </w:rPr>
      </w:pPr>
      <w:r w:rsidRPr="00333FC1">
        <w:rPr>
          <w:b/>
          <w:u w:val="single"/>
        </w:rPr>
        <w:t>6.1. Avatud tarnija riskimaandusstrateegiad</w:t>
      </w:r>
    </w:p>
    <w:p w14:paraId="19033319" w14:textId="77777777" w:rsidR="006B1555" w:rsidRDefault="006B1555" w:rsidP="006B1555">
      <w:pPr>
        <w:spacing w:before="240"/>
      </w:pPr>
      <w:r w:rsidRPr="00333FC1">
        <w:t xml:space="preserve">Energiakriisi taustal on praegune elektrituru korraldus esile toonud mitmesuguseid puudusi ja ootamatuid tagajärgi, mis on seotud lühiajalistel elektriturgudel esinevate kõrgete ja volatiilsete fossiilkütusehindade mõjuga ning sunnivad kodumajapidamisi ja ettevõtjaid seisma silmitsi hüppelise hinnakõikumisega ja </w:t>
      </w:r>
      <w:r>
        <w:t>selle</w:t>
      </w:r>
      <w:r w:rsidRPr="00333FC1">
        <w:t xml:space="preserve"> mõjuga elektriarvetel</w:t>
      </w:r>
      <w:r>
        <w:t>e</w:t>
      </w:r>
      <w:r w:rsidRPr="00333FC1">
        <w:t>.</w:t>
      </w:r>
      <w:r>
        <w:t xml:space="preserve"> </w:t>
      </w:r>
      <w:r w:rsidRPr="00576964">
        <w:t xml:space="preserve">Seepärast </w:t>
      </w:r>
      <w:r>
        <w:t>seatakse tarnijatele kohustuseks</w:t>
      </w:r>
      <w:r w:rsidRPr="00576964">
        <w:t xml:space="preserve"> kindlaksmääratud hinna ja kindlaksmääratud tähtajaga elektrivarustuslepingute pakkumisel riskid asjakohaselt maanda</w:t>
      </w:r>
      <w:r>
        <w:t>da</w:t>
      </w:r>
      <w:r w:rsidRPr="00576964">
        <w:t>.</w:t>
      </w:r>
      <w:r>
        <w:t xml:space="preserve"> </w:t>
      </w:r>
    </w:p>
    <w:p w14:paraId="2ACC0CF7" w14:textId="77777777" w:rsidR="006B1555" w:rsidRDefault="006B1555" w:rsidP="006B1555">
      <w:pPr>
        <w:spacing w:before="240"/>
      </w:pPr>
      <w:r w:rsidRPr="00282E57">
        <w:t xml:space="preserve">Riskimaandusstrateegia on meetmete kogum, mille eesmärk on vähendada võimalike kahjulike sündmuste mõju – antud juhul elektrimüüja jaoks. Elektriturg on hinnakõikumistele </w:t>
      </w:r>
      <w:r>
        <w:t xml:space="preserve">väga </w:t>
      </w:r>
      <w:r w:rsidRPr="00282E57">
        <w:t>tundlik ning seetõttu on oluline kaitsta ettevõtte tulusid ja tegevust ootamatute hinnatõusude või -languste, tarbimisvigade ja muude riskide eest.</w:t>
      </w:r>
    </w:p>
    <w:p w14:paraId="711A331F" w14:textId="77777777" w:rsidR="006B1555" w:rsidRDefault="006B1555" w:rsidP="006B1555">
      <w:pPr>
        <w:spacing w:before="240"/>
      </w:pPr>
      <w:r>
        <w:t xml:space="preserve">Eestis tegutsevad elektrimüüjad juba kasutavad erinevaid riskide maandamise strateegiaid, et kaitsta end elektrihinna volatiilsuse, tururiski ja portfellihalduse probleemide eest. </w:t>
      </w:r>
      <w:r w:rsidRPr="00ED0074">
        <w:t>2024</w:t>
      </w:r>
      <w:r>
        <w:t>.</w:t>
      </w:r>
      <w:r w:rsidRPr="00ED0074">
        <w:t xml:space="preserve"> aasta lõpu seisuga </w:t>
      </w:r>
      <w:r>
        <w:t xml:space="preserve">saadud </w:t>
      </w:r>
      <w:r w:rsidRPr="00ED0074">
        <w:t>andme</w:t>
      </w:r>
      <w:r w:rsidRPr="003540B4">
        <w:t xml:space="preserve">te kohaselt on </w:t>
      </w:r>
      <w:r w:rsidRPr="00ED0074">
        <w:t>riskimaandusinstrumentidega fikseeritud elektri osakaal 55%.</w:t>
      </w:r>
      <w:r>
        <w:t xml:space="preserve"> </w:t>
      </w:r>
      <w:r w:rsidRPr="00ED0074">
        <w:t>Samas fikseeritud pakette tarbib 47% tarbimisest, seega on hetkel elektrimüüjatel riskide maandamisel isegi  8% ülekatet tarbimismahtudes, ehk ruumi on pakkuda mahuliselt veel 8% rohkem fikseeritud pakette, ilma täiendavate riskimaandusmeetmeteta</w:t>
      </w:r>
      <w:r>
        <w:t>.</w:t>
      </w:r>
    </w:p>
    <w:p w14:paraId="152832D6" w14:textId="77777777" w:rsidR="006B1555" w:rsidRDefault="006B1555" w:rsidP="006B1555">
      <w:pPr>
        <w:spacing w:before="240"/>
        <w:rPr>
          <w:bCs/>
        </w:rPr>
      </w:pPr>
      <w:r w:rsidRPr="0096752F">
        <w:rPr>
          <w:bCs/>
        </w:rPr>
        <w:lastRenderedPageBreak/>
        <w:t xml:space="preserve">Suurim </w:t>
      </w:r>
      <w:r>
        <w:rPr>
          <w:bCs/>
        </w:rPr>
        <w:t>elektrimüüja</w:t>
      </w:r>
      <w:r w:rsidRPr="0096752F">
        <w:rPr>
          <w:bCs/>
        </w:rPr>
        <w:t xml:space="preserve"> Eesti Energia AS, kelle turuosa ületab 50%</w:t>
      </w:r>
      <w:r>
        <w:rPr>
          <w:bCs/>
        </w:rPr>
        <w:t xml:space="preserve"> ning </w:t>
      </w:r>
      <w:r w:rsidRPr="0096752F">
        <w:rPr>
          <w:bCs/>
        </w:rPr>
        <w:t>kellel on oma tootmisportfell</w:t>
      </w:r>
      <w:r>
        <w:rPr>
          <w:bCs/>
        </w:rPr>
        <w:t>,</w:t>
      </w:r>
      <w:r w:rsidRPr="0096752F">
        <w:rPr>
          <w:bCs/>
        </w:rPr>
        <w:t xml:space="preserve"> maandab riske ka vertikaalse integratsiooni kaudu – neil on nii tootmine kui jaemüük, mis võimaldab siseselt hinnakõikumisi tasakaalustada</w:t>
      </w:r>
      <w:r>
        <w:rPr>
          <w:rStyle w:val="Allmrkuseviide"/>
          <w:bCs/>
        </w:rPr>
        <w:footnoteReference w:id="46"/>
      </w:r>
      <w:r w:rsidRPr="0096752F">
        <w:rPr>
          <w:bCs/>
        </w:rPr>
        <w:t>.</w:t>
      </w:r>
    </w:p>
    <w:p w14:paraId="4232F7E9" w14:textId="77777777" w:rsidR="006B1555" w:rsidRPr="0034443A" w:rsidRDefault="006B1555" w:rsidP="006B1555">
      <w:pPr>
        <w:spacing w:before="240"/>
        <w:rPr>
          <w:bCs/>
        </w:rPr>
      </w:pPr>
      <w:r w:rsidRPr="0034443A">
        <w:rPr>
          <w:bCs/>
        </w:rPr>
        <w:t xml:space="preserve">Eesti Energia riskide maandamise strateegia, mis põhineb vertikaalsel integratsioonil, tähendab, et ettevõte omab ja kontrollib kogu väärtusahelat alates elektri tootmisest kuni selle jaemüügini. See võimaldab neil tasakaalustada hinnakõikumisi ja vähendada tururiski.​ </w:t>
      </w:r>
    </w:p>
    <w:p w14:paraId="385D7A04" w14:textId="77777777" w:rsidR="006B1555" w:rsidRPr="0034443A" w:rsidRDefault="006B1555" w:rsidP="006B1555">
      <w:pPr>
        <w:spacing w:before="240"/>
        <w:rPr>
          <w:bCs/>
        </w:rPr>
      </w:pPr>
      <w:r w:rsidRPr="0034443A">
        <w:rPr>
          <w:bCs/>
        </w:rPr>
        <w:t xml:space="preserve">Eesti Energia kontserni kuuluvad erinevad tootmisüksused, sealhulgas Enefit Power, mis toodab elektrit põlevkivist, ning Enefit Green, mis keskendub taastuvenergia tootmisele. Lisaks tegeleb kontsern elektri jaemüügiga. See struktuur võimaldab ettevõttel hallata riske, mis on </w:t>
      </w:r>
      <w:r>
        <w:rPr>
          <w:bCs/>
        </w:rPr>
        <w:t>s</w:t>
      </w:r>
      <w:r w:rsidRPr="0034443A">
        <w:rPr>
          <w:bCs/>
        </w:rPr>
        <w:t>eotud elektri hinna kõikumisega turul, kuna nad saavad oma tootmis- ja müügitegevusi koordineerida.​</w:t>
      </w:r>
      <w:r>
        <w:rPr>
          <w:rStyle w:val="Allmrkuseviide"/>
          <w:bCs/>
        </w:rPr>
        <w:footnoteReference w:id="47"/>
      </w:r>
      <w:r w:rsidRPr="0034443A">
        <w:rPr>
          <w:bCs/>
        </w:rPr>
        <w:t xml:space="preserve"> </w:t>
      </w:r>
    </w:p>
    <w:p w14:paraId="751EB328" w14:textId="77777777" w:rsidR="006B1555" w:rsidRPr="0034443A" w:rsidRDefault="006B1555" w:rsidP="006B1555">
      <w:pPr>
        <w:spacing w:before="240"/>
        <w:rPr>
          <w:bCs/>
        </w:rPr>
      </w:pPr>
      <w:r w:rsidRPr="0034443A">
        <w:rPr>
          <w:bCs/>
        </w:rPr>
        <w:t xml:space="preserve">Eesti Energia kasutab ka finantsinstrumente, </w:t>
      </w:r>
      <w:r>
        <w:rPr>
          <w:bCs/>
        </w:rPr>
        <w:t>näiteks</w:t>
      </w:r>
      <w:r w:rsidRPr="0034443A">
        <w:rPr>
          <w:bCs/>
        </w:rPr>
        <w:t xml:space="preserve"> tuletistehingu</w:t>
      </w:r>
      <w:r>
        <w:rPr>
          <w:bCs/>
        </w:rPr>
        <w:t>i</w:t>
      </w:r>
      <w:r w:rsidRPr="0034443A">
        <w:rPr>
          <w:bCs/>
        </w:rPr>
        <w:t>d, et maandada elektri, CO₂ kvootide ja nafta</w:t>
      </w:r>
      <w:r>
        <w:rPr>
          <w:bCs/>
        </w:rPr>
        <w:t>ga seotud</w:t>
      </w:r>
      <w:r w:rsidRPr="0034443A">
        <w:rPr>
          <w:bCs/>
        </w:rPr>
        <w:t xml:space="preserve"> hinnariske. 2023. aastaks</w:t>
      </w:r>
      <w:r>
        <w:rPr>
          <w:bCs/>
        </w:rPr>
        <w:t xml:space="preserve"> oli</w:t>
      </w:r>
      <w:r w:rsidRPr="0034443A">
        <w:rPr>
          <w:bCs/>
        </w:rPr>
        <w:t xml:space="preserve"> kontserni elektrienergia jaemüügi riskimaandamispositsioon 4,0 TWh keskmise hinnaga 103,3 EUR/MWh ning 2024. aastaks 3,1</w:t>
      </w:r>
      <w:r>
        <w:rPr>
          <w:bCs/>
        </w:rPr>
        <w:t> </w:t>
      </w:r>
      <w:r w:rsidRPr="0034443A">
        <w:rPr>
          <w:bCs/>
        </w:rPr>
        <w:t>TWh keskmise hinnaga 67,7 EUR/MWh.</w:t>
      </w:r>
      <w:r>
        <w:rPr>
          <w:rStyle w:val="Allmrkuseviide"/>
          <w:bCs/>
        </w:rPr>
        <w:footnoteReference w:id="48"/>
      </w:r>
      <w:r w:rsidRPr="0034443A">
        <w:rPr>
          <w:bCs/>
        </w:rPr>
        <w:t xml:space="preserve"> </w:t>
      </w:r>
    </w:p>
    <w:p w14:paraId="35CBFF37" w14:textId="77777777" w:rsidR="006B1555" w:rsidRPr="0096752F" w:rsidRDefault="006B1555" w:rsidP="006B1555">
      <w:pPr>
        <w:spacing w:before="240"/>
        <w:rPr>
          <w:bCs/>
        </w:rPr>
      </w:pPr>
      <w:r w:rsidRPr="0034443A">
        <w:rPr>
          <w:bCs/>
        </w:rPr>
        <w:t>Kontserni juhtkond on rõhutanud, et mitmekesine varade struktuur ja vertikaalne integratsioon aitavad neil paremini toime tulla muutliku turuolukorraga.</w:t>
      </w:r>
    </w:p>
    <w:p w14:paraId="6E0ABA38" w14:textId="77777777" w:rsidR="006B1555" w:rsidRDefault="006B1555" w:rsidP="006B1555">
      <w:pPr>
        <w:spacing w:before="240"/>
        <w:rPr>
          <w:bCs/>
        </w:rPr>
      </w:pPr>
      <w:r w:rsidRPr="0096752F">
        <w:rPr>
          <w:bCs/>
        </w:rPr>
        <w:t>Väiksemad müüjad, kes ise ei tooda</w:t>
      </w:r>
      <w:r>
        <w:rPr>
          <w:bCs/>
        </w:rPr>
        <w:t>, st kelle portfellis ei ole elektritootmist</w:t>
      </w:r>
      <w:r w:rsidRPr="0096752F">
        <w:rPr>
          <w:bCs/>
        </w:rPr>
        <w:t xml:space="preserve">, võivad kasutada börsipõhiste pakettide kõrval </w:t>
      </w:r>
      <w:r>
        <w:rPr>
          <w:bCs/>
        </w:rPr>
        <w:t>maandatud riskiga (</w:t>
      </w:r>
      <w:r>
        <w:rPr>
          <w:bCs/>
          <w:i/>
          <w:iCs/>
        </w:rPr>
        <w:t>hedge</w:t>
      </w:r>
      <w:r>
        <w:rPr>
          <w:bCs/>
        </w:rPr>
        <w:t>)</w:t>
      </w:r>
      <w:r w:rsidRPr="0096752F">
        <w:rPr>
          <w:bCs/>
        </w:rPr>
        <w:t xml:space="preserve"> fiks</w:t>
      </w:r>
      <w:r>
        <w:rPr>
          <w:bCs/>
        </w:rPr>
        <w:t xml:space="preserve">eeritud </w:t>
      </w:r>
      <w:r w:rsidRPr="0096752F">
        <w:rPr>
          <w:bCs/>
        </w:rPr>
        <w:t xml:space="preserve">pakette, ostes varakult endale elektrienergiat turult ette või kasutades </w:t>
      </w:r>
      <w:r>
        <w:rPr>
          <w:bCs/>
        </w:rPr>
        <w:t xml:space="preserve">sobivaid </w:t>
      </w:r>
      <w:r w:rsidRPr="0096752F">
        <w:rPr>
          <w:bCs/>
        </w:rPr>
        <w:t>finantsinstrumente.</w:t>
      </w:r>
    </w:p>
    <w:p w14:paraId="2C96DCFF" w14:textId="77777777" w:rsidR="006B1555" w:rsidRPr="00B85D4A" w:rsidRDefault="006B1555" w:rsidP="006B1555">
      <w:pPr>
        <w:rPr>
          <w:bCs/>
          <w:color w:val="FF0000"/>
        </w:rPr>
      </w:pPr>
    </w:p>
    <w:p w14:paraId="32A8F6C8" w14:textId="77777777" w:rsidR="006B1555" w:rsidRDefault="006B1555" w:rsidP="006B1555">
      <w:r>
        <w:t xml:space="preserve">Fikseeritud hinnaga elektrilepingute mõju on oluline nii elektrimüüja kui tarbija (ja kogu elektrituru) seisukohast. </w:t>
      </w:r>
    </w:p>
    <w:p w14:paraId="17102FD3" w14:textId="77777777" w:rsidR="006B1555" w:rsidRDefault="006B1555" w:rsidP="006B1555">
      <w:r>
        <w:t>Positiivse mõjuna elektrimüüjale saab välja tuua rahavoo prognoositavuse (müüja teab ette millise hinnaga müüb), kliendisuhete tugevnemise (f</w:t>
      </w:r>
      <w:r w:rsidRPr="00903103">
        <w:t>ikseeritud pakett annab kliendile turvatunde</w:t>
      </w:r>
      <w:r>
        <w:t xml:space="preserve"> ehk</w:t>
      </w:r>
      <w:r w:rsidRPr="00903103">
        <w:t xml:space="preserve"> pikemad lepingud</w:t>
      </w:r>
      <w:r>
        <w:t xml:space="preserve"> ning</w:t>
      </w:r>
      <w:r w:rsidRPr="00903103">
        <w:t xml:space="preserve"> väiksem</w:t>
      </w:r>
      <w:r>
        <w:t xml:space="preserve"> portfellist</w:t>
      </w:r>
      <w:r w:rsidRPr="00903103">
        <w:t xml:space="preserve"> lahkumise risk</w:t>
      </w:r>
      <w:r>
        <w:t>) ja konkurentsieelise (fikseeritud hinda pakkuv müüja mõjub kui stabiilne ja usaldusväärne partner).</w:t>
      </w:r>
    </w:p>
    <w:p w14:paraId="63076AF8" w14:textId="77777777" w:rsidR="006B1555" w:rsidRDefault="006B1555" w:rsidP="006B1555"/>
    <w:p w14:paraId="2E9FAA93" w14:textId="77777777" w:rsidR="006B1555" w:rsidRDefault="006B1555" w:rsidP="006B1555">
      <w:r>
        <w:t>Positiivsete mõjudena tarbijale saab välja tuua eelarve planeerimise lihtsuse (elektriarve on paremini ette teada) ning asjaolu, et klient on kaitstud turuhindade järsu tõusu eest (nt võimalikud talvised hinnahüpped).</w:t>
      </w:r>
    </w:p>
    <w:p w14:paraId="3E5F9442" w14:textId="77777777" w:rsidR="006B1555" w:rsidRDefault="006B1555" w:rsidP="006B1555">
      <w:r>
        <w:t>Negatiivsete mõjudena saab välja tuua, et tarbija ei saa kasu hinnalangusest, kui börsihind langeb, sest klient maksab siis endiselt fikseeritud kõrgemat hinda ning lepingulist jäikust, sest</w:t>
      </w:r>
      <w:r w:rsidRPr="00D846EA">
        <w:t xml:space="preserve"> </w:t>
      </w:r>
      <w:r>
        <w:t>t</w:t>
      </w:r>
      <w:r w:rsidRPr="00D846EA">
        <w:t>avaliselt on fikseeritud pakettidega seotud trahvid või piirangud lepingust</w:t>
      </w:r>
      <w:r>
        <w:t xml:space="preserve"> e</w:t>
      </w:r>
      <w:r w:rsidRPr="00D846EA">
        <w:t>nnetähtaegsel lahkumisel.</w:t>
      </w:r>
    </w:p>
    <w:p w14:paraId="73C76D0F" w14:textId="77777777" w:rsidR="006B1555" w:rsidRDefault="006B1555" w:rsidP="006B1555"/>
    <w:p w14:paraId="44AFC46C" w14:textId="77777777" w:rsidR="006B1555" w:rsidRDefault="006B1555" w:rsidP="006B1555">
      <w:r>
        <w:t>Mõjudena elektriturule üldiselt võib välja tuua turustabiilsuse suurenemise – vähem ebakindlust ja hinnavolatiilsuse mõju lõpptarbijatele. Samas kaotavad hinnasignaalid oma mõjus juhul kui suur osa tarbijad on fikseeritud hinna valinud ning ei reageeri seega turuhindadele (nt ei vähenda tarbimist kõrge hinnaga tundidel).</w:t>
      </w:r>
    </w:p>
    <w:p w14:paraId="260F3356" w14:textId="77777777" w:rsidR="006B1555" w:rsidRDefault="006B1555" w:rsidP="006B1555"/>
    <w:p w14:paraId="30312463" w14:textId="77777777" w:rsidR="006B1555" w:rsidRDefault="006B1555" w:rsidP="006B1555">
      <w:r w:rsidRPr="00754084">
        <w:lastRenderedPageBreak/>
        <w:t>Konkurentsiamet</w:t>
      </w:r>
      <w:r>
        <w:t xml:space="preserve">ile </w:t>
      </w:r>
      <w:r w:rsidRPr="00754084">
        <w:t xml:space="preserve">lisandub </w:t>
      </w:r>
      <w:r>
        <w:t>muudatusega</w:t>
      </w:r>
      <w:r w:rsidRPr="00754084">
        <w:t xml:space="preserve"> ülesanne kontrollida elektrimüüjate riskimaandusstrateegiate kasutuselevõttu</w:t>
      </w:r>
      <w:r>
        <w:t xml:space="preserve">, kuid kuna </w:t>
      </w:r>
      <w:r w:rsidRPr="00754084">
        <w:t xml:space="preserve">järelevalve toimub ilma </w:t>
      </w:r>
      <w:r>
        <w:t xml:space="preserve">üksikute </w:t>
      </w:r>
      <w:r w:rsidRPr="00754084">
        <w:t>strateegiate ja riskipositsioonide sisulise analüüsita</w:t>
      </w:r>
      <w:r>
        <w:t xml:space="preserve"> ning pisteliselt</w:t>
      </w:r>
      <w:r w:rsidRPr="00754084">
        <w:t xml:space="preserve">, on </w:t>
      </w:r>
      <w:r>
        <w:t>töö</w:t>
      </w:r>
      <w:r w:rsidRPr="00754084">
        <w:t>koormus</w:t>
      </w:r>
      <w:r>
        <w:t>e mõistes muudatus</w:t>
      </w:r>
      <w:r w:rsidRPr="00754084">
        <w:t xml:space="preserve"> </w:t>
      </w:r>
      <w:r>
        <w:t>ebaoluline.</w:t>
      </w:r>
    </w:p>
    <w:p w14:paraId="684DC201" w14:textId="77777777" w:rsidR="006B1555" w:rsidRDefault="006B1555" w:rsidP="006B1555"/>
    <w:p w14:paraId="0A188A9D" w14:textId="77777777" w:rsidR="006B1555" w:rsidRDefault="006B1555" w:rsidP="006B1555">
      <w:pPr>
        <w:spacing w:before="240"/>
        <w:rPr>
          <w:b/>
          <w:u w:val="single"/>
        </w:rPr>
      </w:pPr>
      <w:r w:rsidRPr="002601EA">
        <w:rPr>
          <w:b/>
          <w:u w:val="single"/>
        </w:rPr>
        <w:t>6.2. Võrguettevõtjate paindliku liitumise võimaldamise kohustus</w:t>
      </w:r>
    </w:p>
    <w:p w14:paraId="6A8A723D" w14:textId="77777777" w:rsidR="006B1555" w:rsidRDefault="006B1555" w:rsidP="006B1555">
      <w:pPr>
        <w:rPr>
          <w:b/>
          <w:u w:val="single"/>
        </w:rPr>
      </w:pPr>
    </w:p>
    <w:p w14:paraId="5C4D79C1" w14:textId="77777777" w:rsidR="006B1555" w:rsidRDefault="006B1555" w:rsidP="006B1555">
      <w:r w:rsidRPr="0037484E">
        <w:t>Eelnõuga kaasneb võrguettevõtjatele kohustus võimaldada paindlik</w:t>
      </w:r>
      <w:r>
        <w:t>k</w:t>
      </w:r>
      <w:r w:rsidRPr="0037484E">
        <w:t>u</w:t>
      </w:r>
      <w:r>
        <w:t xml:space="preserve"> elektrivõrguga</w:t>
      </w:r>
      <w:r w:rsidRPr="0037484E">
        <w:t xml:space="preserve"> liitumist piirkondades, kus elektrivõrkude </w:t>
      </w:r>
      <w:r>
        <w:t>vaba läbilaske</w:t>
      </w:r>
      <w:r w:rsidRPr="0037484E">
        <w:t>võimsus on piiratud või puudub.</w:t>
      </w:r>
      <w:r>
        <w:t xml:space="preserve"> </w:t>
      </w:r>
      <w:r w:rsidRPr="0062466B">
        <w:t>Nõudlus paindliku liitumise võimaluse järele elektrivõrgus on viimastel aastatel oluliselt kasvanud, eriti seoses taastuvenergia (</w:t>
      </w:r>
      <w:r>
        <w:t>s.o eelkõige</w:t>
      </w:r>
      <w:r w:rsidRPr="0062466B">
        <w:t xml:space="preserve"> päikese- ja tuuleenergia) laialdasema kasutuselevõtuga, energiasalvestite levikuga ning vajadusega paremini hallata koormusi ja võrguressursse.</w:t>
      </w:r>
      <w:r>
        <w:t xml:space="preserve"> </w:t>
      </w:r>
    </w:p>
    <w:p w14:paraId="2344DB06" w14:textId="77777777" w:rsidR="006B1555" w:rsidRDefault="006B1555" w:rsidP="006B1555"/>
    <w:p w14:paraId="23933CF7" w14:textId="77777777" w:rsidR="006B1555" w:rsidRDefault="006B1555" w:rsidP="006B1555">
      <w:r w:rsidRPr="000E642C">
        <w:t xml:space="preserve">Eestis on elektrivõrgu piiratud võimsus muutumas üha tõsisemaks probleemiks, eriti seoses taastuvenergia tootmise kiire kasvuga. Mitmed piirkonnad seisavad silmitsi väljakutsetega, kus võrgu läbilaskevõime on ammendumas või </w:t>
      </w:r>
      <w:r>
        <w:t>piir juba saavutatud</w:t>
      </w:r>
      <w:r w:rsidRPr="000E642C">
        <w:t>.</w:t>
      </w:r>
      <w:r>
        <w:t xml:space="preserve"> Saarte piirkonnas on elektrivõrkude töökindlus olnud probleemiks, eriti tormide ja lumesadude ajal. Valitsus on eraldanud täiendavaid vahendeid võrgu tugevdamiseks, kuid tööde lõplik valmimine võtab aega. Lääne- ja Kesk-Eestis on elektrivõrgu läbilaskevõime ammendumas. Võrguettevõtja Elektrilevi OÜ on tõstnud liitumistasusid, et rahastada võrgu laiendamist ja parandada liitumisvõimalusi. Tallinna magalarajoonides (Lasnamäe, Mustamäe, Õismäe) kuna võib tekkida vajadus elektritarbimise roteerimiseks elektrinappuse korral. See tähendab, et elektrivarustust võidakse ajutiselt katkestada, et tagada võrgu stabiilsus. </w:t>
      </w:r>
      <w:r w:rsidRPr="00F80AB2">
        <w:t>Järvamaal on Elektrilevi võrgus 696 elektritootjat, mis viitab aktiivsele taastuvenergia tootmisele piirkonnas. Kuigi otseseid võimsuspiiranguid ei mainita, võib suur tootjate arv viidata vajadusele võrgu tugevdamiseks.</w:t>
      </w:r>
    </w:p>
    <w:p w14:paraId="629683A7" w14:textId="77777777" w:rsidR="006B1555" w:rsidRDefault="006B1555" w:rsidP="006B1555"/>
    <w:p w14:paraId="43459926" w14:textId="77777777" w:rsidR="006B1555" w:rsidRDefault="006B1555" w:rsidP="006B1555">
      <w:r w:rsidRPr="000E642C">
        <w:rPr>
          <w:rStyle w:val="Tugev"/>
          <w:b w:val="0"/>
          <w:bCs w:val="0"/>
        </w:rPr>
        <w:t>Eestis on Elering</w:t>
      </w:r>
      <w:r>
        <w:rPr>
          <w:rStyle w:val="Tugev"/>
          <w:b w:val="0"/>
          <w:bCs w:val="0"/>
        </w:rPr>
        <w:t xml:space="preserve"> AS</w:t>
      </w:r>
      <w:r w:rsidRPr="000E642C">
        <w:rPr>
          <w:rStyle w:val="Tugev"/>
          <w:b w:val="0"/>
          <w:bCs w:val="0"/>
        </w:rPr>
        <w:t xml:space="preserve"> ja Elektrilevi</w:t>
      </w:r>
      <w:r>
        <w:rPr>
          <w:rStyle w:val="Tugev"/>
          <w:b w:val="0"/>
          <w:bCs w:val="0"/>
        </w:rPr>
        <w:t xml:space="preserve"> OÜ</w:t>
      </w:r>
      <w:r>
        <w:t xml:space="preserve"> alustanud paindlike lahenduste piloteerimist, et võimaldada tootjatel liituda tingimuslikult (nt tootmise katkestus teatud pingeoludes või muu mitteturupõhine koormuse ümberjaotamine võrgus).</w:t>
      </w:r>
    </w:p>
    <w:p w14:paraId="60112DD4" w14:textId="77777777" w:rsidR="006B1555" w:rsidRDefault="006B1555" w:rsidP="006B1555"/>
    <w:p w14:paraId="0E1814DB" w14:textId="77777777" w:rsidR="006B1555" w:rsidRPr="000E642C" w:rsidRDefault="006B1555" w:rsidP="006B1555">
      <w:r w:rsidRPr="000E642C">
        <w:t>Võrguettevõtja halduskoormus suureneb</w:t>
      </w:r>
      <w:r>
        <w:t xml:space="preserve"> oluliselt</w:t>
      </w:r>
      <w:r w:rsidRPr="000E642C">
        <w:t xml:space="preserve">, sest paindliku liitumise võimaldamine eeldab uute liitumistingimuste väljatöötamist, paindlike liitumiste tasude arvestamise põhimõtete loomist, uute lepingutingimuste väljatöötamist ja tüüptingimuste muutmist, paindlike liitumise kokkulepete haldamise ja paindlike liitujate kaugjuhtimise tehnilise võimekuse loomist, juhtimiskeskusele paindlike liitumispunktide kohta uue infokanali loomist jne. </w:t>
      </w:r>
    </w:p>
    <w:p w14:paraId="4CE4CC2E" w14:textId="77777777" w:rsidR="006B1555" w:rsidRDefault="006B1555" w:rsidP="006B1555">
      <w:r w:rsidRPr="000E642C">
        <w:t>Kõigi nende tegevustega kaasneb võrguettevõtjale kulu, millest olulis</w:t>
      </w:r>
      <w:r>
        <w:t>i</w:t>
      </w:r>
      <w:r w:rsidRPr="000E642C">
        <w:t>m on kaugjuhtimise võimekuse väljaarendamiseks vajaliku IT süsteemi (DCM</w:t>
      </w:r>
      <w:r>
        <w:t xml:space="preserve"> ehk </w:t>
      </w:r>
      <w:r>
        <w:rPr>
          <w:i/>
          <w:iCs/>
        </w:rPr>
        <w:t xml:space="preserve">Dynamic Capacity Management, </w:t>
      </w:r>
      <w:r>
        <w:t>dünaamiline võimsuste halduse süsteem</w:t>
      </w:r>
      <w:r w:rsidRPr="000E642C">
        <w:t>) arendamine kulu – hetkel on Elektrilevi süsteemi arendamiseks teinud kulusid ca 460 000 euro ulatuses, ettenähtavad on kulud veel 320</w:t>
      </w:r>
      <w:r>
        <w:t> </w:t>
      </w:r>
      <w:r w:rsidRPr="000E642C">
        <w:t xml:space="preserve">000 euro ulatuses ning on teada, et täiendavad kulud kaasnevad DCM süsteemi integreerimisega teiste süsteemidega, mille kulu ei ole Elektrilevile hetkel veel teada. </w:t>
      </w:r>
    </w:p>
    <w:p w14:paraId="0079EA84" w14:textId="77777777" w:rsidR="006B1555" w:rsidRPr="000E642C" w:rsidRDefault="006B1555" w:rsidP="006B1555"/>
    <w:p w14:paraId="60266959" w14:textId="77777777" w:rsidR="006B1555" w:rsidRDefault="006B1555" w:rsidP="006B1555">
      <w:r w:rsidRPr="000E642C">
        <w:t xml:space="preserve">Elektrilevi on </w:t>
      </w:r>
      <w:r>
        <w:t>töötamas välja</w:t>
      </w:r>
      <w:r w:rsidRPr="000E642C">
        <w:t xml:space="preserve"> paindlike liitumiste raamistikku ja tingimusi</w:t>
      </w:r>
      <w:r>
        <w:t xml:space="preserve"> </w:t>
      </w:r>
      <w:r w:rsidRPr="000E642C">
        <w:t>– võrguga on pilootprojektide raames liidetud esimesed paindlikud liitujad (tootjad), kelle võrguühenduse kasutamist võrku antaval suunal piiratakse sisuliselt käsitööna. Tarbimistingimustega paindlike liitumiste kogemus Elektrilevil hetkel veel puudub, kuivõrd tegemist on ka kogu maailmas veel võrdlemisi uudse kon</w:t>
      </w:r>
      <w:r>
        <w:t>t</w:t>
      </w:r>
      <w:r w:rsidRPr="000E642C">
        <w:t xml:space="preserve">septsiooniga. Kui alates 500 kW tootmisseadmetel on kaugjuhtimise võimekus välja ehitatud, siis väiksema tootmisvõimsusega tootmisseadmete ning tarbijate </w:t>
      </w:r>
      <w:r w:rsidRPr="000E642C">
        <w:lastRenderedPageBreak/>
        <w:t xml:space="preserve">kaugjuhtimiseks tuleb luua eraldi võimekus. Täpsemad lahendused on hetkel välja töötamisel ning eeldavad </w:t>
      </w:r>
      <w:r>
        <w:t xml:space="preserve">esmalt </w:t>
      </w:r>
      <w:r w:rsidRPr="000E642C">
        <w:t>pilootprojektide</w:t>
      </w:r>
      <w:r>
        <w:t xml:space="preserve"> etapi</w:t>
      </w:r>
      <w:r w:rsidRPr="000E642C">
        <w:t xml:space="preserve"> läbimist.</w:t>
      </w:r>
    </w:p>
    <w:p w14:paraId="3CA4594B" w14:textId="77777777" w:rsidR="006B1555" w:rsidRPr="000E642C" w:rsidRDefault="006B1555" w:rsidP="006B1555"/>
    <w:p w14:paraId="08026F03" w14:textId="77777777" w:rsidR="006B1555" w:rsidRPr="000E642C" w:rsidRDefault="006B1555" w:rsidP="006B1555">
      <w:r w:rsidRPr="000E642C">
        <w:t xml:space="preserve">Suuremal hulgal on Elektrilevil võimalik paindlikke liitujaid hallata ja juhtida, kui </w:t>
      </w:r>
      <w:r>
        <w:t xml:space="preserve">arendatakse </w:t>
      </w:r>
      <w:r w:rsidRPr="000E642C">
        <w:t xml:space="preserve">välja kaugjuhtimiseks vajalik IT süsteem. Süsteemi arendamine toimub paralleelselt pilootprojektidega, mille tulemustest lähtuvalt luuakse süsteemi vajalikud funktsionaalsused. Kuna süsteem on alles arendamisel, siis ei ole lõpuni teada, millistel tingimustel oleks Elektrilevil võimalik suuremal hulgal tarbijaid ja tootjaid kaugjuhtida ehk paindlike liitumiste tingimusi ei ole praeguse vähese kogemuse pinnalt võimalik määrata. </w:t>
      </w:r>
    </w:p>
    <w:p w14:paraId="6069749E" w14:textId="77777777" w:rsidR="006B1555" w:rsidRDefault="006B1555" w:rsidP="006B1555">
      <w:r w:rsidRPr="000E642C">
        <w:t xml:space="preserve">Samuti tuleb arvestada asjaolu, et </w:t>
      </w:r>
      <w:r>
        <w:t>seaduseelnõu koostamise ajal</w:t>
      </w:r>
      <w:r w:rsidRPr="000E642C">
        <w:t xml:space="preserve"> kehtivatest liitumistingimustest </w:t>
      </w:r>
      <w:r>
        <w:t>lähtudes</w:t>
      </w:r>
      <w:r w:rsidRPr="000E642C">
        <w:t xml:space="preserve"> on valdav osa liitumisega kaasnevatest investeeringutest liituja</w:t>
      </w:r>
      <w:r>
        <w:t>te</w:t>
      </w:r>
      <w:r w:rsidRPr="000E642C">
        <w:t xml:space="preserve"> endi kanda.</w:t>
      </w:r>
    </w:p>
    <w:p w14:paraId="48ABC9E2" w14:textId="77777777" w:rsidR="006B1555" w:rsidRPr="000E642C" w:rsidRDefault="006B1555" w:rsidP="006B1555"/>
    <w:p w14:paraId="016CBFF1" w14:textId="77777777" w:rsidR="006B1555" w:rsidRDefault="006B1555" w:rsidP="006B1555">
      <w:r w:rsidRPr="000E642C">
        <w:t>Sellest tulenevalt saab Elektrilevi paindlikke liitumisi võimaldada järk-järgult üha laiapõhjalisemalt ning vastavalt olemasolevatele tehnilistele lahendustele ning jaotusvõrgu arengukavas kokkulepitud ootustele. Esimeses järgus tekib valmisolek ja vajalikud eeldused valitud piirkondades paindlikult elektritootjate ühendamiseks. Järk-järgult laieneb võimekus kogu Elektrilevi võrgu</w:t>
      </w:r>
      <w:r>
        <w:t>s</w:t>
      </w:r>
      <w:r w:rsidRPr="000E642C">
        <w:t>. Paralleelselt käivad arendustööd selle nimel, et luua vajalikud eeldused ka tarbijate paindlikuks liitumiseks ja ka seda perspektiivis kogu jaotusvõrgu teeninduspiirkonna ulatuses.</w:t>
      </w:r>
    </w:p>
    <w:p w14:paraId="440C360D" w14:textId="77777777" w:rsidR="006B1555" w:rsidRDefault="006B1555" w:rsidP="006B1555"/>
    <w:p w14:paraId="23825EBA" w14:textId="77777777" w:rsidR="006B1555" w:rsidRPr="00D41364" w:rsidRDefault="006B1555" w:rsidP="006B1555">
      <w:r w:rsidRPr="00D41364">
        <w:t>Paindlike liitumiste kasutuselevõtt pakub mitmeid positiivseid mõjusid nii võrguettevõtjale, tootjatele kui ka tarbijatele.</w:t>
      </w:r>
    </w:p>
    <w:p w14:paraId="5B78C7E1" w14:textId="77777777" w:rsidR="006B1555" w:rsidRPr="00D41364" w:rsidRDefault="006B1555" w:rsidP="006B1555">
      <w:r w:rsidRPr="00D41364">
        <w:t>Positiivsete mõjudena võrguettevõtjatele saab välja tuua efektiivsema võrguressursside kasutamise - paindlikud liitumised võimaldavad uusi tootjaid ja/või tarbijaid võrku ühendada ilma kohese vajaduseta võrguinvesteeringute järele. Võrk kasutatakse ära maksimaalse efektiivsusega, sh ööpäeva vältel dünaamiliselt.</w:t>
      </w:r>
    </w:p>
    <w:p w14:paraId="4398F96D" w14:textId="77777777" w:rsidR="006B1555" w:rsidRPr="00D41364" w:rsidRDefault="006B1555" w:rsidP="006B1555">
      <w:r w:rsidRPr="00D41364">
        <w:t>Võimalus investeeringuid ajas hajutada – püsiva ja kuluka võrguarenduse saab teha alles siis, kui tootmisvõimsused on reaalselt realiseerunud. Parem saab olema ka süsteemi paindlikkus ja koormuse juhtimine. Võrk saab reageerida reaalajas muutuvatele koormustele ja tootmisele, tasakaalustades süsteemi paremini.</w:t>
      </w:r>
    </w:p>
    <w:p w14:paraId="5EA599A5" w14:textId="77777777" w:rsidR="006B1555" w:rsidRPr="00D41364" w:rsidRDefault="006B1555" w:rsidP="006B1555"/>
    <w:p w14:paraId="120440FC" w14:textId="77777777" w:rsidR="006B1555" w:rsidRPr="00D41364" w:rsidRDefault="006B1555" w:rsidP="006B1555">
      <w:r w:rsidRPr="00D41364">
        <w:t>Elektritootja</w:t>
      </w:r>
      <w:r>
        <w:t xml:space="preserve">d </w:t>
      </w:r>
      <w:r w:rsidRPr="00D41364">
        <w:t>(eriti taastuvenergia tootja</w:t>
      </w:r>
      <w:r>
        <w:t>d</w:t>
      </w:r>
      <w:r w:rsidRPr="00D41364">
        <w:t>) saa</w:t>
      </w:r>
      <w:r>
        <w:t>vad</w:t>
      </w:r>
      <w:r w:rsidRPr="00D41364">
        <w:t xml:space="preserve"> positiivse mõjuna arvestada kiirema võrku liitumisega. Paljud tootjad ei ole saanud liituda</w:t>
      </w:r>
      <w:r>
        <w:t xml:space="preserve"> vaba</w:t>
      </w:r>
      <w:r w:rsidRPr="00D41364">
        <w:t xml:space="preserve"> võrguvõimsuse puudumise</w:t>
      </w:r>
      <w:r>
        <w:t xml:space="preserve"> ja liitumisega kaasnevate suurte investeeringukulude</w:t>
      </w:r>
      <w:r w:rsidRPr="00D41364">
        <w:t xml:space="preserve"> tõttu. Paindlik liitumine võimaldab neil alustada tootmist, kuigi teatud tingimustega (nt katkestusvõimalus pinge- või koormusepiirangul). Paindlik liitumine toetab rohepöörde eesmärke, võimaldades päikese- ja tuuleenergia tootmise kiiremat laienemist ning motiveerib energiasalvestuse kasutuselevõttu. Tootjad saavad kombineerida</w:t>
      </w:r>
      <w:r>
        <w:t xml:space="preserve"> tootmist</w:t>
      </w:r>
      <w:r w:rsidRPr="00D41364">
        <w:t xml:space="preserve"> salvestustehnoloogiatega, et paremini sobituda võrgu tingimustega (nt toota ja salvestada siis, kui võrguvõimsust on, ja müüa hiljem).</w:t>
      </w:r>
    </w:p>
    <w:p w14:paraId="483DC88E" w14:textId="77777777" w:rsidR="006B1555" w:rsidRPr="00D41364" w:rsidRDefault="006B1555" w:rsidP="006B1555"/>
    <w:p w14:paraId="0543D498" w14:textId="77777777" w:rsidR="006B1555" w:rsidRPr="00D41364" w:rsidRDefault="006B1555" w:rsidP="006B1555">
      <w:r w:rsidRPr="00D41364">
        <w:t>Tarbijatele loob paindlik liitumine rohkem valikuvõimalusi.</w:t>
      </w:r>
    </w:p>
    <w:p w14:paraId="163F7901" w14:textId="77777777" w:rsidR="006B1555" w:rsidRPr="00D41364" w:rsidRDefault="006B1555" w:rsidP="006B1555">
      <w:r w:rsidRPr="00D41364">
        <w:t xml:space="preserve">Suurtarbijad nagu ettevõtted ja tööstused saavad kasutada dünaamilisi </w:t>
      </w:r>
      <w:r>
        <w:t>võrgu</w:t>
      </w:r>
      <w:r w:rsidRPr="00D41364">
        <w:t>ühendusi, kus nad tarbivad rohkem siis, kui võrgus on vaba võimsust – see võib vähendada nende elektrikulu.</w:t>
      </w:r>
    </w:p>
    <w:p w14:paraId="1C11CE2B" w14:textId="77777777" w:rsidR="006B1555" w:rsidRPr="00D41364" w:rsidRDefault="006B1555" w:rsidP="006B1555">
      <w:r w:rsidRPr="00D41364">
        <w:t>Võimalik kasu võib tekkida ka hinnakujund</w:t>
      </w:r>
      <w:r>
        <w:t>u</w:t>
      </w:r>
      <w:r w:rsidRPr="00D41364">
        <w:t xml:space="preserve">ses. Tarbijad, kes </w:t>
      </w:r>
      <w:r>
        <w:t>nõustuvad</w:t>
      </w:r>
      <w:r w:rsidRPr="00D41364">
        <w:t xml:space="preserve"> paindlikkus</w:t>
      </w:r>
      <w:r>
        <w:t>ega</w:t>
      </w:r>
      <w:r w:rsidRPr="00D41364">
        <w:t xml:space="preserve">, võivad maksta vähem võrgu kasutamise eest, kuna nende </w:t>
      </w:r>
      <w:r>
        <w:t>võrgu</w:t>
      </w:r>
      <w:r w:rsidRPr="00D41364">
        <w:t xml:space="preserve">ühendus on </w:t>
      </w:r>
      <w:r>
        <w:t xml:space="preserve">võrgu jaoks </w:t>
      </w:r>
      <w:r w:rsidRPr="00D41364">
        <w:t xml:space="preserve">vähem koormav </w:t>
      </w:r>
      <w:r>
        <w:t>kui nende tarbijate võrguühendus, kes vajavad pidevalt vaba võrgu läbilaskevõime olemasolu</w:t>
      </w:r>
      <w:r w:rsidRPr="00D41364">
        <w:t xml:space="preserve">. </w:t>
      </w:r>
    </w:p>
    <w:p w14:paraId="721F00F0" w14:textId="77777777" w:rsidR="006B1555" w:rsidRPr="00D41364" w:rsidRDefault="006B1555" w:rsidP="006B1555">
      <w:r w:rsidRPr="00D41364">
        <w:t xml:space="preserve"> </w:t>
      </w:r>
    </w:p>
    <w:p w14:paraId="2A73F5AB" w14:textId="77777777" w:rsidR="006B1555" w:rsidRPr="00D41364" w:rsidRDefault="006B1555" w:rsidP="006B1555">
      <w:r>
        <w:t>P</w:t>
      </w:r>
      <w:r w:rsidRPr="00D41364">
        <w:t>aindlikud liitumised pakuvad küll olulisi eeliseid, kuid nende rakendamisel tuleb arvestada ka võimalike negatiivsete mõjudega. Need riskid ja piirangud tulenevad tehnilistest, majanduslikest ja sotsiaalsetest teguritest.</w:t>
      </w:r>
    </w:p>
    <w:p w14:paraId="3DA46BFA" w14:textId="77777777" w:rsidR="006B1555" w:rsidRPr="00D41364" w:rsidRDefault="006B1555" w:rsidP="006B1555">
      <w:r w:rsidRPr="00D41364">
        <w:lastRenderedPageBreak/>
        <w:t xml:space="preserve">Vähem prognoositav süsteemikäitumine - kui paljud liitujad on tingimuslikud, muutub võrgu töö raskemini ennustatavaks ja tipukoormuste ajal võib olla keerulisem tagada stabiilsust. </w:t>
      </w:r>
      <w:r>
        <w:t>Seega võrguettevõtja saab lubada paindlikku liitumist vaid vastavalt võrgu võimekusele ning võib juhtuda, et osad paindliku liitumise soovijad liitumist ei saa.</w:t>
      </w:r>
    </w:p>
    <w:p w14:paraId="67CF1AE7" w14:textId="77777777" w:rsidR="006B1555" w:rsidRPr="00D41364" w:rsidRDefault="006B1555" w:rsidP="006B1555">
      <w:r w:rsidRPr="00D41364">
        <w:t>Tootmise katkestused - paindlike liitumiste puhul peab tootja arvestama ootamatute katkestustega, kui võrk ei suuda toodangut vastu võtta (nt võrgu ülekoormus, pingepiirang).</w:t>
      </w:r>
    </w:p>
    <w:p w14:paraId="0F47FBE5" w14:textId="77777777" w:rsidR="006B1555" w:rsidRPr="00D41364" w:rsidRDefault="006B1555" w:rsidP="006B1555">
      <w:r w:rsidRPr="00D41364">
        <w:t>See võib vähendada investeeringu tasuvust ja tekitada rahalist ebastabiilsust</w:t>
      </w:r>
      <w:r>
        <w:t>, kuid tingimused on tootjale teada antud enne liitumist.</w:t>
      </w:r>
    </w:p>
    <w:p w14:paraId="579729DA" w14:textId="77777777" w:rsidR="006B1555" w:rsidRPr="00D41364" w:rsidRDefault="006B1555" w:rsidP="006B1555">
      <w:r w:rsidRPr="00D41364">
        <w:t>Vajadus lisaseadmete ja juhtimissüsteemide järele - paindlik liitumine nõuab sageli nutikaid mõõteseadmeid, reaalajas juhtimist ja kaugloetavaid süsteeme, mis võivad olla kallid.</w:t>
      </w:r>
      <w:r>
        <w:t xml:space="preserve"> Võrguettevõtjal võib lisaseadmete hankimine ning süsteemide väljatöötamine võtta aega.</w:t>
      </w:r>
    </w:p>
    <w:p w14:paraId="5D2D69BC" w14:textId="77777777" w:rsidR="006B1555" w:rsidRPr="00D41364" w:rsidRDefault="006B1555" w:rsidP="006B1555">
      <w:r w:rsidRPr="00D41364">
        <w:t>Vähenenud turu konkurentsivõime - tootjad, kelle liitumine on piiratud või katkestatavate tingimustega, võivad saada ebavõrdse kohtlemise võrreldes „püsiliitujatega“.</w:t>
      </w:r>
    </w:p>
    <w:p w14:paraId="323E2D76" w14:textId="77777777" w:rsidR="006B1555" w:rsidRPr="00D41364" w:rsidRDefault="006B1555" w:rsidP="006B1555"/>
    <w:p w14:paraId="1662CB61" w14:textId="77777777" w:rsidR="006B1555" w:rsidRDefault="006B1555" w:rsidP="006B1555">
      <w:pPr>
        <w:spacing w:before="240"/>
        <w:rPr>
          <w:b/>
          <w:u w:val="single"/>
        </w:rPr>
      </w:pPr>
      <w:r w:rsidRPr="00163DD5">
        <w:rPr>
          <w:b/>
          <w:u w:val="single"/>
        </w:rPr>
        <w:t>6.3. Tarbijate kaitsmine võrgust lahtiühendamise eest</w:t>
      </w:r>
    </w:p>
    <w:p w14:paraId="672114F6" w14:textId="77777777" w:rsidR="006B1555" w:rsidRPr="00163DD5" w:rsidRDefault="006B1555" w:rsidP="006B1555">
      <w:pPr>
        <w:rPr>
          <w:b/>
          <w:u w:val="single"/>
        </w:rPr>
      </w:pPr>
    </w:p>
    <w:p w14:paraId="7B2E2191" w14:textId="77777777" w:rsidR="006B1555" w:rsidRDefault="006B1555" w:rsidP="006B1555">
      <w:r w:rsidRPr="00163DD5">
        <w:t xml:space="preserve">Elektritarbijate kaitsmine elektrivõrgust lahtiühendamise eest </w:t>
      </w:r>
      <w:r>
        <w:t xml:space="preserve">kohtuvälise </w:t>
      </w:r>
      <w:r w:rsidRPr="00163DD5">
        <w:t xml:space="preserve">vaidluse ajal </w:t>
      </w:r>
      <w:r>
        <w:t xml:space="preserve">võib </w:t>
      </w:r>
      <w:r w:rsidRPr="00163DD5">
        <w:t>avalda</w:t>
      </w:r>
      <w:r>
        <w:t>da nii positiivset kui ka negatiivset mõju</w:t>
      </w:r>
      <w:r w:rsidRPr="00163DD5">
        <w:t xml:space="preserve"> tarbijate elukvalitee</w:t>
      </w:r>
      <w:r>
        <w:t>dile</w:t>
      </w:r>
      <w:r w:rsidRPr="00163DD5">
        <w:t>, sotsiaalse</w:t>
      </w:r>
      <w:r>
        <w:t>le</w:t>
      </w:r>
      <w:r w:rsidRPr="00163DD5">
        <w:t xml:space="preserve"> turvalisus</w:t>
      </w:r>
      <w:r>
        <w:t>ele</w:t>
      </w:r>
      <w:r w:rsidRPr="00163DD5">
        <w:t xml:space="preserve"> ja üldis</w:t>
      </w:r>
      <w:r>
        <w:t>ele</w:t>
      </w:r>
      <w:r w:rsidRPr="00163DD5">
        <w:t xml:space="preserve"> heaolu</w:t>
      </w:r>
      <w:r>
        <w:t>le</w:t>
      </w:r>
      <w:r w:rsidRPr="00163DD5">
        <w:t>.</w:t>
      </w:r>
      <w:r>
        <w:t xml:space="preserve"> </w:t>
      </w:r>
    </w:p>
    <w:p w14:paraId="33CAAFB6" w14:textId="77777777" w:rsidR="006B1555" w:rsidRDefault="006B1555" w:rsidP="006B1555"/>
    <w:p w14:paraId="01C3B2A9" w14:textId="77777777" w:rsidR="006B1555" w:rsidRDefault="006B1555" w:rsidP="006B1555">
      <w:r w:rsidRPr="002948C8">
        <w:t>Tarbijavaidluste komisjoni poole on pöördunud 2022.</w:t>
      </w:r>
      <w:r>
        <w:t> </w:t>
      </w:r>
      <w:r w:rsidRPr="002948C8">
        <w:t>aastal – 50 tarbijat, 2023.</w:t>
      </w:r>
      <w:r>
        <w:t> </w:t>
      </w:r>
      <w:r w:rsidRPr="002948C8">
        <w:t>aastal – 57</w:t>
      </w:r>
      <w:r>
        <w:t> </w:t>
      </w:r>
      <w:r w:rsidRPr="002948C8">
        <w:t>tarbijat, 2024. aastal – 26 tarbijat ning 2025.</w:t>
      </w:r>
      <w:r>
        <w:t> </w:t>
      </w:r>
      <w:r w:rsidRPr="002948C8">
        <w:t>aasta</w:t>
      </w:r>
      <w:r>
        <w:t xml:space="preserve"> viie kuu jooksul</w:t>
      </w:r>
      <w:r w:rsidRPr="002948C8">
        <w:t xml:space="preserve"> – 6 tarbijat.</w:t>
      </w:r>
      <w:r>
        <w:t xml:space="preserve"> Tarbijavaidlustes on poolteks füüsilisest isikust tarbija (ehk mittemajandustegevuses olev eraisik) ja kaupleja (ettevõte) ning poolte vahel peab olema lepinguline suhe ning vaidluses kaitstav võlaõiguslik nõue.</w:t>
      </w:r>
    </w:p>
    <w:p w14:paraId="4BA9B331" w14:textId="77777777" w:rsidR="006B1555" w:rsidRDefault="006B1555" w:rsidP="006B1555"/>
    <w:p w14:paraId="484C48AD" w14:textId="77777777" w:rsidR="006B1555" w:rsidRDefault="006B1555" w:rsidP="006B1555">
      <w:r>
        <w:t>Pöördumistes on probleemina üldjuhul väljatoodud liitumise keerukust või kõrget hinnastamist, kuid kuna seal ei ole üldjuhul lepingulisi suhteid tekkinud, siis neid ei saa lahendada tarbijavaidlusena. Samuti on paljudel juhtudel probleemina toodud nö monopolistlikku ja tarbijavaenulikku käitumist, liiga kõrgeid hindu, pakettide sobimatust jms mis ei ole võlaõiguslikult kaitstavad nõuded. Juhul, kui vaidlus on kehtestatud tüüptingimuste pinnalt on Tarbijavaidluste komisjon isikuid suunanud Konkurentsiameti poole, kelle pädevuses on hinnata tüüptingimuste/hinnastamise korrektsust ja teostada vastavat järelevalvet.</w:t>
      </w:r>
    </w:p>
    <w:p w14:paraId="318CF894" w14:textId="77777777" w:rsidR="006B1555" w:rsidRDefault="006B1555" w:rsidP="006B1555"/>
    <w:p w14:paraId="0829168B" w14:textId="77777777" w:rsidR="006B1555" w:rsidRDefault="006B1555" w:rsidP="006B1555">
      <w:r>
        <w:t>Muudel juhtudel on probleemina toodud kahju tekkimine (näiteks ülepinge või võrguettevõtja poolsete tööde tagajärjel), tüüptingimuste sobimatus ning tähtajalise lepingu ennetähtaegse lõpetamise leppetrahvi olemus ja selle suurus.</w:t>
      </w:r>
    </w:p>
    <w:p w14:paraId="2B527EA1" w14:textId="77777777" w:rsidR="006B1555" w:rsidRDefault="006B1555" w:rsidP="006B1555"/>
    <w:p w14:paraId="16D0BFCE" w14:textId="77777777" w:rsidR="006B1555" w:rsidRDefault="006B1555" w:rsidP="006B1555">
      <w:r>
        <w:t xml:space="preserve">Konkurentsiamet on lahendanud </w:t>
      </w:r>
      <w:r w:rsidRPr="002948C8">
        <w:t>2020</w:t>
      </w:r>
      <w:r>
        <w:t>. aastal</w:t>
      </w:r>
      <w:r w:rsidRPr="002948C8">
        <w:t xml:space="preserve"> – 42</w:t>
      </w:r>
      <w:r>
        <w:t xml:space="preserve">, </w:t>
      </w:r>
      <w:r w:rsidRPr="002948C8">
        <w:t>2021</w:t>
      </w:r>
      <w:r>
        <w:t>. aastal</w:t>
      </w:r>
      <w:r w:rsidRPr="002948C8">
        <w:t xml:space="preserve"> – 67</w:t>
      </w:r>
      <w:r>
        <w:t xml:space="preserve">, </w:t>
      </w:r>
      <w:r w:rsidRPr="002948C8">
        <w:t>2022</w:t>
      </w:r>
      <w:r>
        <w:t>. aastal –</w:t>
      </w:r>
      <w:r w:rsidRPr="002948C8">
        <w:t xml:space="preserve"> 165</w:t>
      </w:r>
      <w:r>
        <w:t xml:space="preserve">, </w:t>
      </w:r>
      <w:r w:rsidRPr="002948C8">
        <w:t>2023</w:t>
      </w:r>
      <w:r>
        <w:t>. aastal</w:t>
      </w:r>
      <w:r w:rsidRPr="002948C8">
        <w:t xml:space="preserve"> – 183</w:t>
      </w:r>
      <w:r>
        <w:t xml:space="preserve"> ja </w:t>
      </w:r>
      <w:r w:rsidRPr="002948C8">
        <w:t>2024</w:t>
      </w:r>
      <w:r>
        <w:t xml:space="preserve">. aastal </w:t>
      </w:r>
      <w:r w:rsidRPr="002948C8">
        <w:t>– 145</w:t>
      </w:r>
      <w:r>
        <w:t xml:space="preserve"> pöördumist, millest kokkuvõtvalt </w:t>
      </w:r>
      <w:r w:rsidRPr="002948C8">
        <w:t>füüsiliste isikute pöördumised hõlmavad ca 2/3, jur</w:t>
      </w:r>
      <w:r>
        <w:t>iidilised</w:t>
      </w:r>
      <w:r w:rsidRPr="002948C8">
        <w:t xml:space="preserve"> isikud 1/3. </w:t>
      </w:r>
      <w:r>
        <w:t>L</w:t>
      </w:r>
      <w:r w:rsidRPr="002948C8">
        <w:t>isaselgituse</w:t>
      </w:r>
      <w:r>
        <w:t xml:space="preserve">na toodi välja, et </w:t>
      </w:r>
      <w:r w:rsidRPr="002948C8">
        <w:t xml:space="preserve">pöördumiste arvu </w:t>
      </w:r>
      <w:r>
        <w:t xml:space="preserve">alates 2022. aastast </w:t>
      </w:r>
      <w:r w:rsidRPr="002948C8">
        <w:t>tõstis järsult energiakriis</w:t>
      </w:r>
      <w:r>
        <w:t xml:space="preserve"> ning</w:t>
      </w:r>
      <w:r w:rsidRPr="002948C8">
        <w:t xml:space="preserve"> sellega seonduv </w:t>
      </w:r>
      <w:r>
        <w:t>Universaal</w:t>
      </w:r>
      <w:r w:rsidRPr="002948C8">
        <w:t>teenus</w:t>
      </w:r>
      <w:r>
        <w:t>.</w:t>
      </w:r>
    </w:p>
    <w:p w14:paraId="615B0917" w14:textId="77777777" w:rsidR="006B1555" w:rsidRDefault="006B1555" w:rsidP="006B1555"/>
    <w:p w14:paraId="7C78AD97" w14:textId="77777777" w:rsidR="006B1555" w:rsidRDefault="006B1555" w:rsidP="006B1555">
      <w:r>
        <w:t xml:space="preserve">Positiivse mõjuna saab välja tuua, et </w:t>
      </w:r>
      <w:r w:rsidRPr="00562E6C">
        <w:t>tarbijate kaits</w:t>
      </w:r>
      <w:r>
        <w:t>mine</w:t>
      </w:r>
      <w:r w:rsidRPr="00562E6C">
        <w:t xml:space="preserve"> elektrivõrgust lahtiühendamise eest kohtuvälise vaidluse ajal </w:t>
      </w:r>
      <w:r>
        <w:t xml:space="preserve">tagab neile stabiilsuse ja kindlustunde, vältides igapäevaelu ja majandustegevuse häirimist. </w:t>
      </w:r>
      <w:r w:rsidRPr="002948C8">
        <w:t>Samuti aitab see kaitsta haavatavamaid gruppe, nagu madala sissetulekuga pered ja vanemad inimesed, et nad ei jääks kohtuvälise vaidluse ajal elutähtsate teenusteta.</w:t>
      </w:r>
      <w:r>
        <w:t xml:space="preserve"> See tugevdab tarbijate usaldust teenusepakkujate vastu ning soodustab vaidluste rahumeelset ja õiglast lahendamist.</w:t>
      </w:r>
    </w:p>
    <w:p w14:paraId="3CA86BD2" w14:textId="77777777" w:rsidR="006B1555" w:rsidRDefault="006B1555" w:rsidP="006B1555"/>
    <w:p w14:paraId="243D3BC5" w14:textId="77777777" w:rsidR="006B1555" w:rsidRDefault="006B1555" w:rsidP="006B1555">
      <w:r>
        <w:lastRenderedPageBreak/>
        <w:t>Negatiivse mõjuna tarbijate kaitsmisel elektriühenduse katkestamise eest kohtuvälise menetluse ajal võib põhjustada tarbija võlgade kuhjumist ning teenusepakkujate finantsraskusi, mis omakorda võib mõjutada teenuse kvaliteeti ja võrgu toimimist. Kaitse võib soodustada ebavõrdset kohtlemist vastutustundlike ja makseraskustega tarbijate vahel. Mistõttu on vajalik tõsta tarbijate teadlikust abi saamiseks vastavates olukordades ning teabelevitamise kohustus on seadusest tulenevalt elektrimüüjatel ja võrguettevõtjatel ka endil.</w:t>
      </w:r>
    </w:p>
    <w:p w14:paraId="5C2ABE4B" w14:textId="77777777" w:rsidR="006B1555" w:rsidRDefault="006B1555" w:rsidP="006B1555"/>
    <w:p w14:paraId="6ED33941" w14:textId="77777777" w:rsidR="006B1555" w:rsidRPr="00E87DC8" w:rsidRDefault="006B1555" w:rsidP="006B1555">
      <w:pPr>
        <w:rPr>
          <w:b/>
          <w:bCs/>
          <w:u w:val="single"/>
        </w:rPr>
      </w:pPr>
      <w:r w:rsidRPr="00E87DC8">
        <w:rPr>
          <w:b/>
          <w:bCs/>
          <w:u w:val="single"/>
        </w:rPr>
        <w:t xml:space="preserve">6.4. </w:t>
      </w:r>
      <w:r>
        <w:rPr>
          <w:b/>
          <w:bCs/>
          <w:u w:val="single"/>
        </w:rPr>
        <w:t>Elektri jagamine hoone piires</w:t>
      </w:r>
    </w:p>
    <w:p w14:paraId="3848760A" w14:textId="77777777" w:rsidR="006B1555" w:rsidRDefault="006B1555" w:rsidP="006B1555">
      <w:pPr>
        <w:spacing w:before="240"/>
      </w:pPr>
      <w:r>
        <w:t>Mõjutatud osapooled:</w:t>
      </w:r>
    </w:p>
    <w:p w14:paraId="4EE52830" w14:textId="77777777" w:rsidR="006B1555" w:rsidRDefault="006B1555" w:rsidP="006B1555">
      <w:pPr>
        <w:pStyle w:val="Loendilik"/>
        <w:numPr>
          <w:ilvl w:val="0"/>
          <w:numId w:val="15"/>
        </w:numPr>
      </w:pPr>
      <w:r w:rsidRPr="00CA7D6B">
        <w:rPr>
          <w:u w:val="single"/>
        </w:rPr>
        <w:t>Võrguettevõtjad</w:t>
      </w:r>
      <w:r>
        <w:t xml:space="preserve"> – </w:t>
      </w:r>
      <w:r w:rsidRPr="00CA7D6B">
        <w:t xml:space="preserve"> 2024. aasta seisuga oli Eestis üks põhivõrguettevõtja (Elering) ja 33 jaotusvõrguettevõtjat, kellest suurimad on Elektrilevi OÜ (2024. a turuosa 88%), Viru Elektrivõrgud OÜ (2024. a turuosa 3%), Imatra Elekter AS (2024. a turuosa 3%), Loo Elekter AS (2024. a turuosa 1%). </w:t>
      </w:r>
      <w:r w:rsidRPr="000C1456">
        <w:t>Kuigi Elektrilevi OÜ omandas Imatra Elekter AS-i 2021. aastal, tegutsesid need aruande järgi 2024. aastal veel eraldiseisvate äriühingutena.</w:t>
      </w:r>
      <w:r w:rsidRPr="00CA7D6B">
        <w:t xml:space="preserve"> </w:t>
      </w:r>
      <w:r w:rsidRPr="000C1456">
        <w:t xml:space="preserve">Kui Imatra Elekter AS-i turuosa (3%) liita Elektrilevi OÜ turuosaga (88%), oleks Elektrilevi grupi </w:t>
      </w:r>
      <w:r w:rsidRPr="00CA7D6B">
        <w:rPr>
          <w:b/>
          <w:bCs/>
        </w:rPr>
        <w:t>konsolideeritud turuosa 2024. aastal umbes 91%</w:t>
      </w:r>
      <w:r w:rsidRPr="000C1456">
        <w:t xml:space="preserve">. </w:t>
      </w:r>
    </w:p>
    <w:p w14:paraId="48438903" w14:textId="77777777" w:rsidR="006B1555" w:rsidRDefault="006B1555" w:rsidP="006B1555">
      <w:pPr>
        <w:pStyle w:val="Loendilik"/>
        <w:numPr>
          <w:ilvl w:val="0"/>
          <w:numId w:val="15"/>
        </w:numPr>
      </w:pPr>
      <w:r w:rsidRPr="00CA7D6B">
        <w:rPr>
          <w:u w:val="single"/>
        </w:rPr>
        <w:t>Kodutarbijad</w:t>
      </w:r>
      <w:r>
        <w:t xml:space="preserve"> – 2024. aasta lõpu seisuga </w:t>
      </w:r>
      <w:r w:rsidRPr="009F4B5C">
        <w:t>665 918</w:t>
      </w:r>
      <w:r w:rsidRPr="009F4B5C" w:rsidDel="009F4B5C">
        <w:t xml:space="preserve"> </w:t>
      </w:r>
      <w:r>
        <w:t>elektrilepingut;</w:t>
      </w:r>
    </w:p>
    <w:p w14:paraId="61EC0E2E" w14:textId="77777777" w:rsidR="006B1555" w:rsidRDefault="006B1555" w:rsidP="006B1555">
      <w:pPr>
        <w:pStyle w:val="Loendilik"/>
        <w:numPr>
          <w:ilvl w:val="0"/>
          <w:numId w:val="15"/>
        </w:numPr>
      </w:pPr>
      <w:r>
        <w:rPr>
          <w:u w:val="single"/>
        </w:rPr>
        <w:t>E</w:t>
      </w:r>
      <w:r w:rsidRPr="00CA7D6B">
        <w:rPr>
          <w:u w:val="single"/>
        </w:rPr>
        <w:t>ttevõtjad</w:t>
      </w:r>
      <w:r>
        <w:t xml:space="preserve"> – 2024. aasta lõpu seisuga </w:t>
      </w:r>
      <w:r w:rsidRPr="000428EC">
        <w:t>106 597</w:t>
      </w:r>
      <w:r w:rsidRPr="000428EC" w:rsidDel="000428EC">
        <w:t xml:space="preserve"> </w:t>
      </w:r>
      <w:r>
        <w:t>elektrilepingut</w:t>
      </w:r>
      <w:r>
        <w:rPr>
          <w:rStyle w:val="Allmrkuseviide"/>
        </w:rPr>
        <w:footnoteReference w:id="49"/>
      </w:r>
      <w:r>
        <w:t>.</w:t>
      </w:r>
    </w:p>
    <w:p w14:paraId="37E8EF9A" w14:textId="77777777" w:rsidR="006B1555" w:rsidRDefault="006B1555" w:rsidP="006B1555">
      <w:r>
        <w:t>Praegu on t</w:t>
      </w:r>
      <w:r w:rsidRPr="005B2680">
        <w:t>arbija</w:t>
      </w:r>
      <w:r>
        <w:t>tel</w:t>
      </w:r>
      <w:r w:rsidRPr="005B2680">
        <w:t>, kes toodavad ja tarbivad taastuvenergiat samas hoones või kortermajas,</w:t>
      </w:r>
      <w:r>
        <w:t xml:space="preserve"> võimalus sõlmida võrgu- ja elektrilepinguid järgmiselt (vaatleme näitena korteriühistut):</w:t>
      </w:r>
    </w:p>
    <w:p w14:paraId="7E3CA834" w14:textId="77777777" w:rsidR="006B1555" w:rsidRDefault="006B1555" w:rsidP="006B1555">
      <w:pPr>
        <w:pStyle w:val="Loendilik"/>
        <w:numPr>
          <w:ilvl w:val="0"/>
          <w:numId w:val="14"/>
        </w:numPr>
        <w:spacing w:before="0" w:after="160" w:line="259" w:lineRule="auto"/>
      </w:pPr>
      <w:r>
        <w:t>Iga eluruumi jaoks sõlmitakse eraldi võrgu- ja elektriostuleping. Korteriühistu (KÜ) sõlmib üldelektri jaoks võrgu- ja elektriostulepingu, tarbitud elektrikoguseid mõõdetakse peaarvestiga. Päikesepaneelide toodang liigub läbi KÜ peaarvesti KÜ elanikele või elektrivõrku. Probleemkohad: KÜ elanik maksab KÜ katusel toodetud elektri eest võrgutasu, elektriaktsiisi, taastuvenergiatasu ja soetab selle elektri elektrimüüjalt. Skeem:</w:t>
      </w:r>
    </w:p>
    <w:p w14:paraId="780DDB1B" w14:textId="77777777" w:rsidR="006B1555" w:rsidRDefault="006B1555" w:rsidP="006B1555">
      <w:pPr>
        <w:pStyle w:val="Loendilik"/>
      </w:pPr>
      <w:r>
        <w:rPr>
          <w:noProof/>
        </w:rPr>
        <w:drawing>
          <wp:inline distT="0" distB="0" distL="0" distR="0" wp14:anchorId="21CC293B" wp14:editId="3695717A">
            <wp:extent cx="4671844" cy="2520000"/>
            <wp:effectExtent l="0" t="0" r="0" b="0"/>
            <wp:docPr id="254510022" name="Pilt 9" descr="Pilt, millel on kujutatud kuvatõmmis, Graafika, graafiline disain, Värvikus&#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33888" name="Pilt 9" descr="Pilt, millel on kujutatud kuvatõmmis, Graafika, graafiline disain, Värvikus&#10;&#10;Kirjeldus on genereeritud automaatselt"/>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71844" cy="2520000"/>
                    </a:xfrm>
                    <a:prstGeom prst="rect">
                      <a:avLst/>
                    </a:prstGeom>
                    <a:noFill/>
                  </pic:spPr>
                </pic:pic>
              </a:graphicData>
            </a:graphic>
          </wp:inline>
        </w:drawing>
      </w:r>
    </w:p>
    <w:p w14:paraId="469BA3B4" w14:textId="77777777" w:rsidR="006B1555" w:rsidRDefault="006B1555" w:rsidP="006B1555">
      <w:pPr>
        <w:pStyle w:val="Loendilik"/>
        <w:numPr>
          <w:ilvl w:val="0"/>
          <w:numId w:val="14"/>
        </w:numPr>
        <w:spacing w:before="0" w:after="160" w:line="259" w:lineRule="auto"/>
      </w:pPr>
      <w:r>
        <w:t xml:space="preserve">KÜ ja elanikud sõlmivad ühisostulepingu. Sellisel juhul arvestatakse elanike elektrienergia kasutamise kulu kokkuleppe järgi: kas eluruumi on paigaldatud väiksema täpsusega arvestid või jagatakse elektri kogus eluruumi ruutmeetrite järgi. Tarbijal (eluruumi elanikul/omanikul) puudub võimalus ise valida võrgupaketti ja elektrilepingut (dünaamilise või fikseeritud hinnaga leping) ning tal pole ka huvi oma tarbimist elektrihinna järgi juhtida (kui KÜ valib fikseeritud paketi või kui elektrikulu </w:t>
      </w:r>
      <w:r>
        <w:lastRenderedPageBreak/>
        <w:t>ei jaotata mõõdetud koguste alusel). Kuna KÜ ei hakka börsipaketi puhul iga 15 minuti järel muutuvat elektrihinda kokku arvutama ja paigaldatavad arvestid ei pruugi seda piisava täpsusega mõõta, jagatakse kuu kogukulu tõenäoliselt mõõdetud elektrienergia kogusega ehk tarbijal ei ole põhjust oma elektritarbimist soodsamale ajale nihutada. Skeem:</w:t>
      </w:r>
    </w:p>
    <w:p w14:paraId="5BE404D5" w14:textId="77777777" w:rsidR="006B1555" w:rsidRDefault="006B1555" w:rsidP="006B1555">
      <w:pPr>
        <w:pStyle w:val="Loendilik"/>
      </w:pPr>
      <w:r>
        <w:rPr>
          <w:noProof/>
        </w:rPr>
        <w:drawing>
          <wp:inline distT="0" distB="0" distL="0" distR="0" wp14:anchorId="0112982C" wp14:editId="5D1CD7F3">
            <wp:extent cx="4361372" cy="2520000"/>
            <wp:effectExtent l="0" t="0" r="0" b="0"/>
            <wp:docPr id="1364963241" name="Pilt 10" descr="Pilt, millel on kujutatud kuvatõmmis, Graafika, Värvikus, kunst&#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171089" name="Pilt 10" descr="Pilt, millel on kujutatud kuvatõmmis, Graafika, Värvikus, kunst&#10;&#10;Kirjeldus on genereeritud automaatselt"/>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361372" cy="2520000"/>
                    </a:xfrm>
                    <a:prstGeom prst="rect">
                      <a:avLst/>
                    </a:prstGeom>
                    <a:noFill/>
                  </pic:spPr>
                </pic:pic>
              </a:graphicData>
            </a:graphic>
          </wp:inline>
        </w:drawing>
      </w:r>
    </w:p>
    <w:p w14:paraId="559A546A" w14:textId="77777777" w:rsidR="006B1555" w:rsidRDefault="006B1555" w:rsidP="006B1555">
      <w:r>
        <w:t>Muudatuse järel on korteriühistul ja elanikel jätkuvalt võimalik sõlmida ühisostulepinguid, kuid see ei ole enam vajalik selleks, et elanik saaks otsest kasu hoone katusel toodetud taastuvelektrist. Muudatuse tulemusel paraneb tarbija valikuvabadus otsustada, millist võrgupaketti ja elektrimüügilepingut ta soovib sõlmida.</w:t>
      </w:r>
    </w:p>
    <w:p w14:paraId="1CA55C13" w14:textId="77777777" w:rsidR="006B1555" w:rsidRDefault="006B1555" w:rsidP="006B1555">
      <w:r>
        <w:t xml:space="preserve">Seadusemuudatus on kooskõlas direktiiviga </w:t>
      </w:r>
      <w:r w:rsidRPr="00D85127">
        <w:t>(EL) 2024/1711</w:t>
      </w:r>
      <w:r>
        <w:rPr>
          <w:rStyle w:val="Allmrkuseviide"/>
        </w:rPr>
        <w:footnoteReference w:id="50"/>
      </w:r>
      <w:r>
        <w:t>, millega täiendati direktiivi (EL) 2019/944 artikliga 15a ja direktiivi (EL) 2018/2001</w:t>
      </w:r>
      <w:r>
        <w:rPr>
          <w:rStyle w:val="Allmrkuseviide"/>
        </w:rPr>
        <w:footnoteReference w:id="51"/>
      </w:r>
      <w:r>
        <w:t xml:space="preserve"> artikli 21 punktiga 4. Samuti on muudatus kooskõlas a</w:t>
      </w:r>
      <w:r w:rsidRPr="00041D07">
        <w:t>lkoholi-, tubaka-, kütuse- ja elektriaktsiisi seadus</w:t>
      </w:r>
      <w:r>
        <w:t>e § 24 lõikega 6</w:t>
      </w:r>
      <w:r>
        <w:rPr>
          <w:vertAlign w:val="superscript"/>
        </w:rPr>
        <w:t>3</w:t>
      </w:r>
      <w:r>
        <w:t>, mille kohaselt k</w:t>
      </w:r>
      <w:r w:rsidRPr="00ED21BE">
        <w:t>uni 100 kW summaarse netovõimsusega seadmetega ja elektrisüsteemiga ühendatud elektrienergia tootjal, kelleks on kodutarbija või korteriühistu, ei teki maksukohustust elektrienergia</w:t>
      </w:r>
      <w:r>
        <w:t>t</w:t>
      </w:r>
      <w:r w:rsidRPr="00ED21BE">
        <w:t xml:space="preserve"> tarbimiseks kasutusele võt</w:t>
      </w:r>
      <w:r>
        <w:t>tes</w:t>
      </w:r>
      <w:r w:rsidRPr="00ED21BE">
        <w:t xml:space="preserve"> ega edasta</w:t>
      </w:r>
      <w:r>
        <w:t>des</w:t>
      </w:r>
      <w:r w:rsidRPr="00ED21BE">
        <w:t xml:space="preserve"> kodutarbijale, korteriühistule või võrguettevõtjale.</w:t>
      </w:r>
      <w:r>
        <w:t xml:space="preserve"> Praegu, kui korteriühistu ei sõlmi elektri ühisostulepingut, maksavad tarbijad omatoodetud elektri eest aktsiisi.</w:t>
      </w:r>
    </w:p>
    <w:p w14:paraId="0EC9F828" w14:textId="77777777" w:rsidR="006B1555" w:rsidRDefault="006B1555" w:rsidP="006B1555">
      <w:r>
        <w:t>Muudatus näeb ette, et Elering loob andmevahetusplatvormile (AVP) energiajagamise mooduli. Sarnaselt on lähenenud Soome, kus süsteemihaldur Fingrid on loonud mooduli nende AVPle, kus hoone sees energia jagamiseks tuleb end registreerida ja määratleda elektri jagamise põhimõtted osapoolte vahel.</w:t>
      </w:r>
    </w:p>
    <w:p w14:paraId="7541D34C" w14:textId="77777777" w:rsidR="006B1555" w:rsidRDefault="006B1555" w:rsidP="006B1555"/>
    <w:p w14:paraId="7953F05C" w14:textId="77777777" w:rsidR="006B1555" w:rsidRDefault="006B1555" w:rsidP="006B1555">
      <w:r w:rsidRPr="00760A13">
        <w:t xml:space="preserve">Halduskoormuse kasv </w:t>
      </w:r>
      <w:r w:rsidRPr="00F65DDB">
        <w:t xml:space="preserve">korteriühistu </w:t>
      </w:r>
      <w:r w:rsidRPr="00AD7A06">
        <w:t>energia jagamise</w:t>
      </w:r>
      <w:r w:rsidRPr="00F65DDB">
        <w:t xml:space="preserve"> (nt ühiste päikesepaneelide toodetud elektri jaotamise) tõttu tekib </w:t>
      </w:r>
      <w:r w:rsidRPr="00AD7A06">
        <w:t>korteriühistu juhatusel</w:t>
      </w:r>
      <w:r w:rsidRPr="00F65DDB">
        <w:t xml:space="preserve"> ja </w:t>
      </w:r>
      <w:r w:rsidRPr="00AD7A06">
        <w:t>raamatupidamisel</w:t>
      </w:r>
      <w:r>
        <w:t xml:space="preserve"> peamiselt vajadusest täpseks ja regulaarseks energiatootluse ning tarbimise arvestuseks, mis tuleb seejärel igale korteriomanikule õigesti arveldada ja dokumenteerida. Võrguettevõtjale kasvab halduskoormus seoses AVP süsteemi täienduste vajadusest.</w:t>
      </w:r>
    </w:p>
    <w:p w14:paraId="2438ED0A" w14:textId="77777777" w:rsidR="006B1555" w:rsidRDefault="006B1555" w:rsidP="006B1555"/>
    <w:p w14:paraId="36EA5699" w14:textId="77777777" w:rsidR="006B1555" w:rsidRPr="00C81BED" w:rsidRDefault="006B1555" w:rsidP="006B1555">
      <w:pPr>
        <w:rPr>
          <w:b/>
          <w:bCs/>
          <w:u w:val="single"/>
        </w:rPr>
      </w:pPr>
      <w:r>
        <w:rPr>
          <w:b/>
          <w:bCs/>
          <w:u w:val="single"/>
        </w:rPr>
        <w:t>6.5. R</w:t>
      </w:r>
      <w:r w:rsidRPr="00C81BED">
        <w:rPr>
          <w:b/>
          <w:bCs/>
          <w:u w:val="single"/>
        </w:rPr>
        <w:t>iigi julgeoleku</w:t>
      </w:r>
      <w:r>
        <w:rPr>
          <w:b/>
          <w:bCs/>
          <w:u w:val="single"/>
        </w:rPr>
        <w:t xml:space="preserve"> </w:t>
      </w:r>
      <w:r w:rsidRPr="00C81BED">
        <w:rPr>
          <w:b/>
          <w:bCs/>
          <w:u w:val="single"/>
        </w:rPr>
        <w:t>põhimõtted</w:t>
      </w:r>
      <w:r>
        <w:rPr>
          <w:b/>
          <w:bCs/>
          <w:u w:val="single"/>
        </w:rPr>
        <w:t xml:space="preserve"> </w:t>
      </w:r>
      <w:r w:rsidRPr="00C81BED">
        <w:rPr>
          <w:b/>
          <w:bCs/>
          <w:u w:val="single"/>
        </w:rPr>
        <w:t>elektri</w:t>
      </w:r>
      <w:r>
        <w:rPr>
          <w:b/>
          <w:bCs/>
          <w:u w:val="single"/>
        </w:rPr>
        <w:t>paigaldistes</w:t>
      </w:r>
      <w:r w:rsidRPr="00C81BED">
        <w:rPr>
          <w:b/>
          <w:bCs/>
          <w:u w:val="single"/>
        </w:rPr>
        <w:t xml:space="preserve"> kasutatava</w:t>
      </w:r>
      <w:r>
        <w:rPr>
          <w:b/>
          <w:bCs/>
          <w:u w:val="single"/>
        </w:rPr>
        <w:t>t</w:t>
      </w:r>
      <w:r w:rsidRPr="00C81BED">
        <w:rPr>
          <w:b/>
          <w:bCs/>
          <w:u w:val="single"/>
        </w:rPr>
        <w:t xml:space="preserve"> riist- või tarkvara hanki</w:t>
      </w:r>
      <w:r>
        <w:rPr>
          <w:b/>
          <w:bCs/>
          <w:u w:val="single"/>
        </w:rPr>
        <w:t>des</w:t>
      </w:r>
    </w:p>
    <w:p w14:paraId="57090DBD" w14:textId="77777777" w:rsidR="006B1555" w:rsidRDefault="006B1555" w:rsidP="006B1555">
      <w:pPr>
        <w:spacing w:before="240"/>
      </w:pPr>
      <w:r>
        <w:t>Mõjutatud osapooled:</w:t>
      </w:r>
    </w:p>
    <w:p w14:paraId="1160E38E" w14:textId="77777777" w:rsidR="006B1555" w:rsidRPr="00F24067" w:rsidRDefault="006B1555" w:rsidP="006B1555">
      <w:pPr>
        <w:pStyle w:val="Loendilik"/>
        <w:numPr>
          <w:ilvl w:val="0"/>
          <w:numId w:val="19"/>
        </w:numPr>
      </w:pPr>
      <w:r w:rsidRPr="00F24067">
        <w:t xml:space="preserve">Võrguettevõtjad – 2024. aasta seisuga oli Eestis üks põhivõrguettevõtja (Elering) ja 33 jaotusvõrguettevõtjat, kellest suurimad on Elektrilevi OÜ (2024. a turuosa 88%), Viru </w:t>
      </w:r>
      <w:r w:rsidRPr="00F24067">
        <w:lastRenderedPageBreak/>
        <w:t xml:space="preserve">Elektrivõrgud OÜ (2024. a turuosa 3%), Imatra Elekter AS (2024. a turuosa 3%), Loo Elekter AS (2024. a turuosa 1%). Kuigi Elektrilevi OÜ omandas Imatra Elekter AS-i 2021. aastal, tegutsesid need aruande järgi 2024. aastal veel eraldiseisvate äriühingutena. Kui Imatra Elekter AS-i turuosa (3%) liita Elektrilevi OÜ turuosaga (88%), oleks Elektrilevi grupi konsolideeritud turuosa 2024. aastal umbes 91%. </w:t>
      </w:r>
    </w:p>
    <w:p w14:paraId="4D067489" w14:textId="77777777" w:rsidR="006B1555" w:rsidRPr="00F24067" w:rsidRDefault="006B1555" w:rsidP="006B1555">
      <w:pPr>
        <w:pStyle w:val="Loendilik"/>
        <w:numPr>
          <w:ilvl w:val="0"/>
          <w:numId w:val="19"/>
        </w:numPr>
      </w:pPr>
      <w:r w:rsidRPr="00F24067">
        <w:t>Tootjad, kes soovivad võrguga liituda, kuna nende seadmed peavad samuti vastama riist- ja tarkvara nõuetele.</w:t>
      </w:r>
    </w:p>
    <w:p w14:paraId="31F92234" w14:textId="77777777" w:rsidR="002814E6" w:rsidRDefault="002814E6" w:rsidP="002814E6">
      <w:pPr>
        <w:pStyle w:val="Loendilik"/>
        <w:numPr>
          <w:ilvl w:val="0"/>
          <w:numId w:val="19"/>
        </w:numPr>
      </w:pPr>
      <w:r w:rsidRPr="00F24067">
        <w:t>Tarbijakaitse ja Tehnilise Järelevalve Amet</w:t>
      </w:r>
    </w:p>
    <w:p w14:paraId="3DA1E867" w14:textId="77777777" w:rsidR="002814E6" w:rsidRPr="007919F8" w:rsidRDefault="002814E6" w:rsidP="002814E6">
      <w:pPr>
        <w:pStyle w:val="Loendilik"/>
        <w:numPr>
          <w:ilvl w:val="0"/>
          <w:numId w:val="19"/>
        </w:numPr>
      </w:pPr>
      <w:r>
        <w:t xml:space="preserve"> </w:t>
      </w:r>
      <w:r w:rsidRPr="007919F8">
        <w:t>Kaitsepolitseiamet (KAPO) ja Välisluureamet (VLA)</w:t>
      </w:r>
    </w:p>
    <w:p w14:paraId="075D8426" w14:textId="77777777" w:rsidR="002814E6" w:rsidRPr="00F24067" w:rsidRDefault="002814E6" w:rsidP="002814E6">
      <w:pPr>
        <w:pStyle w:val="Loendilik"/>
        <w:numPr>
          <w:ilvl w:val="0"/>
          <w:numId w:val="19"/>
        </w:numPr>
      </w:pPr>
      <w:r>
        <w:t xml:space="preserve"> Riigi Infosüsteemide amet (RIA)</w:t>
      </w:r>
    </w:p>
    <w:p w14:paraId="331D91D4" w14:textId="77777777" w:rsidR="006B1555" w:rsidRDefault="006B1555" w:rsidP="006B1555">
      <w:r>
        <w:t>Võrguettevõtja arvestab võrguteenuse osutamiseks ja kasutamiseks vajalikku riist- või tarkvara hankides riigi julgeoleku põhimõtetega. Teadaolevalt alustab Eesti suurim jaotusvõrguettevõtja Elektrilevi OÜ lähiaastail arvestite väljavahetamist. On oluline tagada, et arvesteid hankides hindaks võrguettevõtja hanke koostamise käigus, kuidas välistada seadmete hankimist riigi julgeolekut ohustavatelt pakkujatelt. Elektrilevi OÜ turuosa on Eestis väga suur, mistõttu mõjutaks see oluliselt ka riigi julgeolekut, kui sajad tuhanded arvestid hangitaks suure riskiga pakkujalt.</w:t>
      </w:r>
    </w:p>
    <w:p w14:paraId="10704C9B" w14:textId="77777777" w:rsidR="006B1555" w:rsidRDefault="006B1555" w:rsidP="006B1555"/>
    <w:p w14:paraId="3F37A0F0" w14:textId="579F1D81" w:rsidR="006B1555" w:rsidRDefault="00240B72" w:rsidP="006B1555">
      <w:r>
        <w:t>Muudatus on analoogne elektroonilise side seaduses</w:t>
      </w:r>
      <w:r w:rsidR="00832DE2">
        <w:t xml:space="preserve"> (ESS)</w:t>
      </w:r>
      <w:r>
        <w:t xml:space="preserve"> sätestatud lahendusega. ESS</w:t>
      </w:r>
      <w:r w:rsidR="006B1555">
        <w:t xml:space="preserve"> kohaselt peavad sideettevõtjad saama Tarbijakaitse ja Tehnilise Järelevalve Ametilt riist- või tarkvara kasutusloa. Võrguteenuse osutamiseks ja kasutamiseks kasutatavale riist- või tarkvarale pole kasutusloa taotlemist plaanitud, kuid üldist järelevalvet teostab sarnaselt ESS-le ELTS-s sätestatud kohustustele TTJA, kus k</w:t>
      </w:r>
      <w:r w:rsidR="006B1555" w:rsidRPr="002272C1">
        <w:t>ontrollitake seadmete vastavust lubatud seadmete nimekirja alusel. Nimekiri luuaks TTJA</w:t>
      </w:r>
      <w:r w:rsidR="006B1555">
        <w:t xml:space="preserve"> koordineerimisel koos</w:t>
      </w:r>
      <w:r w:rsidR="006B1555" w:rsidRPr="002272C1">
        <w:t xml:space="preserve"> võrguettevõtjatega</w:t>
      </w:r>
      <w:r w:rsidR="006B1555">
        <w:t xml:space="preserve"> ja teiste päsevate asutustega (RIA, KAPO, Välisluureamet)</w:t>
      </w:r>
      <w:r w:rsidR="006B1555" w:rsidRPr="002272C1">
        <w:t>.</w:t>
      </w:r>
      <w:r w:rsidR="006B1555">
        <w:t xml:space="preserve"> </w:t>
      </w:r>
    </w:p>
    <w:p w14:paraId="5425EDBB" w14:textId="77777777" w:rsidR="006B1555" w:rsidRDefault="006B1555" w:rsidP="006B1555"/>
    <w:p w14:paraId="4E1DF0E8" w14:textId="77777777" w:rsidR="006B1555" w:rsidRPr="003D1FC9" w:rsidRDefault="006B1555" w:rsidP="006B1555">
      <w:r>
        <w:t xml:space="preserve">Üleüldiselt on </w:t>
      </w:r>
      <w:r w:rsidRPr="003D1FC9">
        <w:t xml:space="preserve">TTJA ametikoha puhul roll eelkõige järelevalve tegemine võrguteenuse osutamisega seotud ettevõtjatele ning vastavate toimingute rutiinne läbiviimine. </w:t>
      </w:r>
      <w:r>
        <w:t>Edaspidised ülesanded on:</w:t>
      </w:r>
    </w:p>
    <w:p w14:paraId="6DAFC32E" w14:textId="77777777" w:rsidR="006B1555" w:rsidRPr="003D1FC9" w:rsidRDefault="006B1555" w:rsidP="006B1555">
      <w:pPr>
        <w:numPr>
          <w:ilvl w:val="0"/>
          <w:numId w:val="44"/>
        </w:numPr>
      </w:pPr>
      <w:r w:rsidRPr="003D1FC9">
        <w:t>Lubatud riist-</w:t>
      </w:r>
      <w:r>
        <w:t xml:space="preserve"> </w:t>
      </w:r>
      <w:r w:rsidRPr="003D1FC9">
        <w:t>ja tarkvara listi loomi</w:t>
      </w:r>
      <w:r>
        <w:t>s</w:t>
      </w:r>
      <w:r w:rsidRPr="003D1FC9">
        <w:t>e</w:t>
      </w:r>
      <w:r>
        <w:t xml:space="preserve"> koordineerimine ja koostamine</w:t>
      </w:r>
      <w:r w:rsidRPr="003D1FC9">
        <w:t xml:space="preserve">, mille </w:t>
      </w:r>
      <w:r>
        <w:t>osas edaspidi</w:t>
      </w:r>
      <w:r w:rsidRPr="003D1FC9">
        <w:t xml:space="preserve"> kontrollitakse, kas </w:t>
      </w:r>
      <w:r>
        <w:t xml:space="preserve">riist-ja tarkvara </w:t>
      </w:r>
      <w:r w:rsidRPr="003D1FC9">
        <w:t>on lubatud. List koostatakse koostöös võrguettevõtjatega, RIA, VLA jm pädevate asutuste koostöös.</w:t>
      </w:r>
    </w:p>
    <w:p w14:paraId="0ADF9FD2" w14:textId="77777777" w:rsidR="006B1555" w:rsidRPr="003D1FC9" w:rsidRDefault="006B1555" w:rsidP="006B1555">
      <w:pPr>
        <w:numPr>
          <w:ilvl w:val="0"/>
          <w:numId w:val="44"/>
        </w:numPr>
      </w:pPr>
      <w:r w:rsidRPr="003D1FC9">
        <w:t>Erinevate tegevuste läbiviimine:</w:t>
      </w:r>
    </w:p>
    <w:p w14:paraId="1D87E3EE" w14:textId="77777777" w:rsidR="008C7156" w:rsidRPr="003D1FC9" w:rsidRDefault="006B1555" w:rsidP="008C7156">
      <w:pPr>
        <w:numPr>
          <w:ilvl w:val="1"/>
          <w:numId w:val="44"/>
        </w:numPr>
      </w:pPr>
      <w:r w:rsidRPr="003D1FC9">
        <w:t xml:space="preserve">Võrguettevõtja esitatud seadmete nimekirja kontrollimine vastavalt listile (iga-aastane tegevus). </w:t>
      </w:r>
      <w:r w:rsidR="008C7156" w:rsidRPr="003D1FC9">
        <w:t xml:space="preserve">Kui </w:t>
      </w:r>
      <w:r w:rsidR="008C7156">
        <w:t xml:space="preserve">võrgus kasutatav </w:t>
      </w:r>
      <w:r w:rsidR="008C7156" w:rsidRPr="003D1FC9">
        <w:t>seade ei vasta</w:t>
      </w:r>
      <w:r w:rsidR="008C7156">
        <w:t xml:space="preserve"> listile</w:t>
      </w:r>
      <w:r w:rsidR="008C7156" w:rsidRPr="003D1FC9">
        <w:t>, siis tuleb</w:t>
      </w:r>
      <w:r w:rsidR="008C7156">
        <w:t xml:space="preserve"> TTJA-l</w:t>
      </w:r>
      <w:r w:rsidR="008C7156" w:rsidRPr="003D1FC9">
        <w:t xml:space="preserve"> teha otsus </w:t>
      </w:r>
      <w:r w:rsidR="008C7156">
        <w:t>lähtuvalt elektrisüsteemi võrgueeskirjas sätestatud protsessile. See eeldab teiste pädevate asutustega suhtlust.</w:t>
      </w:r>
    </w:p>
    <w:p w14:paraId="013FE5BA" w14:textId="77777777" w:rsidR="008C7156" w:rsidRPr="003D1FC9" w:rsidRDefault="008C7156" w:rsidP="008C7156">
      <w:pPr>
        <w:numPr>
          <w:ilvl w:val="1"/>
          <w:numId w:val="44"/>
        </w:numPr>
      </w:pPr>
      <w:r w:rsidRPr="003D1FC9">
        <w:t xml:space="preserve">Listi lubamiseks tuleb RIA, KAPO ja </w:t>
      </w:r>
      <w:r>
        <w:t>Välisluureametiga</w:t>
      </w:r>
      <w:r w:rsidRPr="003D1FC9">
        <w:t xml:space="preserve"> hinnata, kas seade on ohutu. Antud ametnik oleks eelkõige koordineeriva rolliga sellel juhul, et saada kinnitus, kas seade on </w:t>
      </w:r>
      <w:r>
        <w:t>sobilik või mitte</w:t>
      </w:r>
      <w:r w:rsidRPr="003D1FC9">
        <w:t xml:space="preserve">. </w:t>
      </w:r>
    </w:p>
    <w:p w14:paraId="0B5CAFE5" w14:textId="77777777" w:rsidR="008C7156" w:rsidRDefault="008C7156" w:rsidP="008C7156">
      <w:pPr>
        <w:numPr>
          <w:ilvl w:val="1"/>
          <w:numId w:val="44"/>
        </w:numPr>
      </w:pPr>
      <w:r w:rsidRPr="003D1FC9">
        <w:t>Äärmisel juhul, kuid vaevalt, on seotud ettekirjutuste jm juhtudega, kui võrguettevõtja ei kavatse seadusest tulenevaid nõudeid täita.</w:t>
      </w:r>
    </w:p>
    <w:p w14:paraId="7DD494D1" w14:textId="77777777" w:rsidR="008C7156" w:rsidRDefault="008C7156" w:rsidP="008C7156"/>
    <w:p w14:paraId="5F5E1D35" w14:textId="77777777" w:rsidR="008C7156" w:rsidRPr="007919F8" w:rsidRDefault="008C7156" w:rsidP="008C7156">
      <w:r>
        <w:t xml:space="preserve">Lisaks peavad tootjad arvestama enda tootmisseadmete (sh salvestus) võrku liitmisel silmas pidama, et need seadmed vastaks kehtestatud nõuetele. </w:t>
      </w:r>
      <w:r w:rsidRPr="007919F8">
        <w:t>Kui olemasolevatel seadmete puhul selgub, et nad kujutavad endast ohtu, siis tuleb neil kasutusele võtta riske maandavaid meetmeid (näiteks seadme tootja pideva kaugligipääsu piiramine või välistamine).</w:t>
      </w:r>
    </w:p>
    <w:p w14:paraId="3893657A" w14:textId="77777777" w:rsidR="008C7156" w:rsidRDefault="008C7156" w:rsidP="008C7156"/>
    <w:p w14:paraId="09A8D064" w14:textId="77777777" w:rsidR="008C7156" w:rsidRDefault="008C7156" w:rsidP="008C7156">
      <w:r>
        <w:t>S</w:t>
      </w:r>
      <w:r w:rsidRPr="007919F8">
        <w:t>uureneb ka RIA, KAPO ja Välisluureameti töökoormus. Alguses on see suurem, kuid ajas asendub see rutiinsete tegevustega.</w:t>
      </w:r>
      <w:r>
        <w:t xml:space="preserve"> Eelkõige on nende roll anda vajadusel hinnang teavitatud või loakohustuse raames esitatud võrguettevõtja seadmetele. Juhul kui seal peaks eksisteerima </w:t>
      </w:r>
      <w:r>
        <w:lastRenderedPageBreak/>
        <w:t xml:space="preserve">julgeolekurisk, siis tuleb anda piisav sisend TTJA-le, et saadaks vastu võtta vastav otsus, et sätestada nendele seadmetele tingimused või piirangud. </w:t>
      </w:r>
    </w:p>
    <w:p w14:paraId="2C4F425A" w14:textId="77777777" w:rsidR="008C7156" w:rsidRDefault="008C7156" w:rsidP="008C7156"/>
    <w:p w14:paraId="1E7F1A83" w14:textId="12478743" w:rsidR="006B1555" w:rsidRDefault="008F22C6" w:rsidP="008F22C6">
      <w:pPr>
        <w:rPr>
          <w:b/>
          <w:bCs/>
          <w:u w:val="single"/>
        </w:rPr>
      </w:pPr>
      <w:r w:rsidRPr="008F22C6">
        <w:t>Sellega seoses vajab TTJA ühte täiendavat töökohta. Kuivõrd kohustuse suurim koormus jääb 2026. aastasse (nimekirja koostamine ja protsessi juurutamine) ning see aitab kaasa taastuvenergia elektrisüsteemi integreerimisele, kaetakse kohustusega kaasnevad kulud ühekordselt 2026. a RePower meetmest mahus kuni 60 tuhat eurot. Järgnevatel aastatel seadusest tulenevate kohustuste täitmise kulude katmiseks tuleb esitada taotlus riigieelarvest vastavate kulude katmiseks.</w:t>
      </w:r>
    </w:p>
    <w:p w14:paraId="73B217CA" w14:textId="77777777" w:rsidR="008F22C6" w:rsidRDefault="008F22C6" w:rsidP="008F22C6"/>
    <w:p w14:paraId="0D28DC33" w14:textId="77777777" w:rsidR="006B1555" w:rsidRDefault="006B1555" w:rsidP="006B1555">
      <w:pPr>
        <w:rPr>
          <w:b/>
          <w:bCs/>
          <w:u w:val="single"/>
        </w:rPr>
      </w:pPr>
      <w:r w:rsidRPr="006A64B2">
        <w:rPr>
          <w:b/>
          <w:bCs/>
          <w:u w:val="single"/>
        </w:rPr>
        <w:t>6.</w:t>
      </w:r>
      <w:r>
        <w:rPr>
          <w:b/>
          <w:bCs/>
          <w:u w:val="single"/>
        </w:rPr>
        <w:t>6</w:t>
      </w:r>
      <w:r w:rsidRPr="006A64B2">
        <w:rPr>
          <w:b/>
          <w:bCs/>
          <w:u w:val="single"/>
        </w:rPr>
        <w:t>. Energia tootmise ja selle võrku müümisega seonduva</w:t>
      </w:r>
      <w:r>
        <w:rPr>
          <w:b/>
          <w:bCs/>
          <w:u w:val="single"/>
        </w:rPr>
        <w:t>te</w:t>
      </w:r>
      <w:r w:rsidRPr="006A64B2">
        <w:rPr>
          <w:b/>
          <w:bCs/>
          <w:u w:val="single"/>
        </w:rPr>
        <w:t xml:space="preserve"> tegevus</w:t>
      </w:r>
      <w:r>
        <w:rPr>
          <w:b/>
          <w:bCs/>
          <w:u w:val="single"/>
        </w:rPr>
        <w:t>te</w:t>
      </w:r>
      <w:r w:rsidRPr="006A64B2">
        <w:rPr>
          <w:b/>
          <w:bCs/>
          <w:u w:val="single"/>
        </w:rPr>
        <w:t xml:space="preserve"> </w:t>
      </w:r>
      <w:r>
        <w:rPr>
          <w:b/>
          <w:bCs/>
          <w:u w:val="single"/>
        </w:rPr>
        <w:t xml:space="preserve">vabastamine </w:t>
      </w:r>
      <w:r w:rsidRPr="006A64B2">
        <w:rPr>
          <w:b/>
          <w:bCs/>
          <w:u w:val="single"/>
        </w:rPr>
        <w:t>riigihangete reeglitest</w:t>
      </w:r>
      <w:r>
        <w:rPr>
          <w:b/>
          <w:bCs/>
          <w:u w:val="single"/>
        </w:rPr>
        <w:t xml:space="preserve"> Eestis</w:t>
      </w:r>
    </w:p>
    <w:p w14:paraId="73944460" w14:textId="77777777" w:rsidR="006B1555" w:rsidRDefault="006B1555" w:rsidP="006B1555">
      <w:pPr>
        <w:rPr>
          <w:b/>
          <w:bCs/>
          <w:u w:val="single"/>
        </w:rPr>
      </w:pPr>
    </w:p>
    <w:p w14:paraId="1A100B64" w14:textId="77777777" w:rsidR="006B1555" w:rsidRPr="008610A3" w:rsidRDefault="006B1555" w:rsidP="006B1555">
      <w:r>
        <w:t>V</w:t>
      </w:r>
      <w:r w:rsidRPr="008610A3">
        <w:t xml:space="preserve">abastus puudutab ainult neid energiatootjaid, keda </w:t>
      </w:r>
      <w:r>
        <w:t>r</w:t>
      </w:r>
      <w:r w:rsidRPr="008610A3">
        <w:t xml:space="preserve">iigihangete </w:t>
      </w:r>
      <w:r>
        <w:t>s</w:t>
      </w:r>
      <w:r w:rsidRPr="008610A3">
        <w:t xml:space="preserve">eadus loeb </w:t>
      </w:r>
      <w:r w:rsidRPr="00AD7A06">
        <w:t>erisektori hankijateks</w:t>
      </w:r>
      <w:r w:rsidRPr="00724FA2">
        <w:t xml:space="preserve"> (ehk avalik-õiguslikud või neile sarnased eriõigustega ettevõtted), on nende hulk Eestis </w:t>
      </w:r>
      <w:r w:rsidRPr="00AD7A06">
        <w:t>väike</w:t>
      </w:r>
      <w:r w:rsidRPr="00724FA2">
        <w:t xml:space="preserve">, ulatudes </w:t>
      </w:r>
      <w:r w:rsidRPr="00AD7A06">
        <w:t>suurusjärgus 5–15</w:t>
      </w:r>
      <w:r w:rsidRPr="00724FA2">
        <w:t xml:space="preserve"> ettevõtteni</w:t>
      </w:r>
      <w:r w:rsidRPr="008610A3">
        <w:t>.</w:t>
      </w:r>
    </w:p>
    <w:p w14:paraId="7491C02F" w14:textId="77777777" w:rsidR="006B1555" w:rsidRPr="00724FA2" w:rsidRDefault="006B1555" w:rsidP="006B1555">
      <w:r w:rsidRPr="00724FA2">
        <w:t xml:space="preserve">Seega on vabastuse sihtrühm </w:t>
      </w:r>
      <w:r w:rsidRPr="00AD7A06">
        <w:t>numbriliselt väga väike</w:t>
      </w:r>
      <w:r w:rsidRPr="00724FA2">
        <w:t xml:space="preserve">, kuid nende </w:t>
      </w:r>
      <w:r w:rsidRPr="00AD7A06">
        <w:t>turumõju</w:t>
      </w:r>
      <w:r w:rsidRPr="00724FA2">
        <w:t xml:space="preserve"> (eriti elektri tootmise ja hulgimüügi osas) on </w:t>
      </w:r>
      <w:r w:rsidRPr="00AD7A06">
        <w:t>domineeriv</w:t>
      </w:r>
      <w:r w:rsidRPr="00724FA2">
        <w:t>.</w:t>
      </w:r>
    </w:p>
    <w:p w14:paraId="1686C882" w14:textId="77777777" w:rsidR="006B1555" w:rsidRDefault="006B1555" w:rsidP="006B1555"/>
    <w:p w14:paraId="4BC6D966" w14:textId="77777777" w:rsidR="006B1555" w:rsidRPr="006A64B2" w:rsidRDefault="006B1555" w:rsidP="006B1555">
      <w:r w:rsidRPr="006A64B2">
        <w:t xml:space="preserve">Eelnõuga kaasnevad mõjud on </w:t>
      </w:r>
      <w:r>
        <w:t xml:space="preserve">pigem </w:t>
      </w:r>
      <w:r w:rsidRPr="006A64B2">
        <w:t>positiivsed:</w:t>
      </w:r>
    </w:p>
    <w:p w14:paraId="268F0469" w14:textId="77777777" w:rsidR="006B1555" w:rsidRDefault="006B1555" w:rsidP="006B1555">
      <w:r w:rsidRPr="006A64B2">
        <w:sym w:font="Symbol" w:char="F0B7"/>
      </w:r>
      <w:r w:rsidRPr="006A64B2">
        <w:t xml:space="preserve"> Riigi </w:t>
      </w:r>
      <w:r>
        <w:t>töö</w:t>
      </w:r>
      <w:r w:rsidRPr="006A64B2">
        <w:t xml:space="preserve">koormus väheneb, sest riik ei pea ise tegema põhjalikke turu- ja konkurentsiuuringuid, koostama mahukat erandi taotlust, ega aktiivselt osalema erandi taotluse menetluses. </w:t>
      </w:r>
    </w:p>
    <w:p w14:paraId="57A8E844" w14:textId="77777777" w:rsidR="006B1555" w:rsidRPr="008610A3" w:rsidRDefault="006B1555" w:rsidP="006B1555">
      <w:pPr>
        <w:rPr>
          <w:rFonts w:eastAsia="Times New Roman" w:cs="Times New Roman"/>
          <w:lang w:eastAsia="et-EE"/>
        </w:rPr>
      </w:pPr>
      <w:r w:rsidRPr="006A64B2">
        <w:sym w:font="Symbol" w:char="F0B7"/>
      </w:r>
      <w:r w:rsidRPr="006A64B2">
        <w:t xml:space="preserve"> Erandi taotlemise kulud kannab taotleja. Kui hankijatel on õigus ise erandit taotleda, kannavad ka hankijad ise kõik erandi taotlemisega seonduvad kulud, koormamata seejuures riigieelarvet.</w:t>
      </w:r>
      <w:r>
        <w:t xml:space="preserve"> T</w:t>
      </w:r>
      <w:r w:rsidRPr="008610A3">
        <w:rPr>
          <w:rFonts w:eastAsia="Times New Roman" w:cs="Times New Roman"/>
          <w:lang w:eastAsia="et-EE"/>
        </w:rPr>
        <w:t>aotlejad maksavad väikese ühekordse "lõivu" selle eest, et saada püsivalt äriline vabadus ja efektiivsus turul. See on kaalutletud investeering, mis parandab pikaajalist marginaali ja konkurentsivõimet.</w:t>
      </w:r>
    </w:p>
    <w:p w14:paraId="05E3546B" w14:textId="77777777" w:rsidR="006B1555" w:rsidRPr="006A64B2" w:rsidRDefault="006B1555" w:rsidP="006B1555">
      <w:r w:rsidRPr="006A64B2">
        <w:t xml:space="preserve"> </w:t>
      </w:r>
      <w:r w:rsidRPr="006A64B2">
        <w:sym w:font="Symbol" w:char="F0B7"/>
      </w:r>
      <w:r w:rsidRPr="006A64B2">
        <w:t xml:space="preserve"> Riigil endal säilib erandi taotlemise õigus, ehk soovi korral saab riik ise vastavas sektoris erandi taotluse Euroopa Komisjonile esitada. </w:t>
      </w:r>
    </w:p>
    <w:p w14:paraId="7D2A4CEE" w14:textId="77777777" w:rsidR="006B1555" w:rsidRDefault="006B1555" w:rsidP="006B1555">
      <w:r w:rsidRPr="006A64B2">
        <w:sym w:font="Symbol" w:char="F0B7"/>
      </w:r>
      <w:r w:rsidRPr="006A64B2">
        <w:t xml:space="preserve"> Majanduskeskkond paraneb, sest turuosalised saavad ise algatada turu tõhusamale konkurentsile avamise protsessi. </w:t>
      </w:r>
    </w:p>
    <w:p w14:paraId="5AD65247" w14:textId="77777777" w:rsidR="006B1555" w:rsidRDefault="006B1555" w:rsidP="006B1555"/>
    <w:p w14:paraId="6B1F4588" w14:textId="77777777" w:rsidR="006B1555" w:rsidRDefault="006B1555" w:rsidP="006B1555">
      <w:r>
        <w:t>Muudatus</w:t>
      </w:r>
      <w:r w:rsidRPr="006A64B2">
        <w:t xml:space="preserve"> viib riigihangete protsessi vastavusse Euroopa Liidus eksisteerivate parimate tavadega, soodustades konkurentsivõimelisemat ja tõhusamat turukeskkonda, sealjuures vähendades riigi </w:t>
      </w:r>
      <w:r>
        <w:t>töö</w:t>
      </w:r>
      <w:r w:rsidRPr="006A64B2">
        <w:t>koormust.</w:t>
      </w:r>
    </w:p>
    <w:p w14:paraId="29BB6725" w14:textId="77777777" w:rsidR="006B1555" w:rsidRDefault="006B1555" w:rsidP="006B1555"/>
    <w:p w14:paraId="1570D049" w14:textId="77777777" w:rsidR="006B1555" w:rsidRPr="00B063EB" w:rsidRDefault="006B1555" w:rsidP="006B1555">
      <w:pPr>
        <w:rPr>
          <w:b/>
          <w:bCs/>
          <w:u w:val="single"/>
        </w:rPr>
      </w:pPr>
      <w:r w:rsidRPr="00B063EB">
        <w:rPr>
          <w:b/>
          <w:bCs/>
          <w:u w:val="single"/>
        </w:rPr>
        <w:t>6.7.</w:t>
      </w:r>
      <w:r w:rsidRPr="00B063EB">
        <w:rPr>
          <w:b/>
          <w:bCs/>
          <w:u w:val="single"/>
        </w:rPr>
        <w:tab/>
        <w:t>Elektrienergia liitumis- ja võrgulepingujärgse tootmissuunalise võimsuse mittekasutamise eest rakendatava tasu tingimuste muutmine</w:t>
      </w:r>
    </w:p>
    <w:p w14:paraId="23F32BD5" w14:textId="77777777" w:rsidR="006B1555" w:rsidRDefault="006B1555" w:rsidP="006B1555">
      <w:pPr>
        <w:rPr>
          <w:b/>
          <w:bCs/>
        </w:rPr>
      </w:pPr>
    </w:p>
    <w:p w14:paraId="42E53D68" w14:textId="77777777" w:rsidR="006B1555" w:rsidRDefault="006B1555" w:rsidP="006B1555">
      <w:r>
        <w:t xml:space="preserve">Eelnõuga kaasneb pikaajaline positiivne majanduslik mõju eelkõige kuni 15 kW (kaasa arvatud) tootmissuunalise võrguvõimsuse omanikele, kuna muudatuse jõustumise järgselt ei rakenduks neile nõue kord aastas vähemalt 95% ulatuses oma liitumisvõimsust vähemalt ühe kauplemisperioodi ulatuses kasutada ning seeläbi alakasutustasu. Elektrilevi võrgus on 2025. aasta keskpaiga seisuga mikrotootjaid (s.o kuni 15 kW maksimaalne võimsus) 13 700 kokku tootmisvõimsusega 143 MW ja võrgulepinguga kokku lepitud võrku antava võimsusega 141 MW. Kokku </w:t>
      </w:r>
      <w:r w:rsidRPr="001C7BAF">
        <w:t>Elektrilevi võrgus 23</w:t>
      </w:r>
      <w:r>
        <w:t xml:space="preserve"> 100 </w:t>
      </w:r>
      <w:r w:rsidRPr="001C7BAF">
        <w:t>elektritootmisega seotud tarbimiskohta, tootmisvõimsusega 981 MW ja võrgulepinguga kokkulepitud võrku antava võimsusega 917 MW</w:t>
      </w:r>
      <w:r>
        <w:t xml:space="preserve">. </w:t>
      </w:r>
      <w:r w:rsidRPr="00967CB2">
        <w:t xml:space="preserve">Võrku antav võimsus (võrguühenduse läbilaskevõime elektrienergia võrku andmisel) võib olla ja paljudel juhtudel ongi erinev tootmisseadme võimsusest. Ka paljude elektritootjatega on võrku antav võimsus kokku lepitud 15 kW või väiksemana või on olukordi, kus tootmistingimusi kasutaval võrguühendusel võib olla kokku lepitud, et elektrienergia võrku </w:t>
      </w:r>
      <w:r w:rsidRPr="00967CB2">
        <w:lastRenderedPageBreak/>
        <w:t>andmine ei ole võimaldatud.</w:t>
      </w:r>
      <w:r>
        <w:t xml:space="preserve"> Kohustus tõendada tootmissuunalise võrgu läbilaskevõime kasutust rakendub vaid üle 15 kW tootmissuunalise võimsuse võrgu- või liitumislepingu omanikele. Muudatus kavandatakse jõustada tagasiulatuvalt alates 2023. aasta 17. märtsist – st alakasutustasu esmakordsest jõustumisest selliselt, et mikrotootjatele, s.o kuni 15 kW tootmissuunalise võrguühenduse läbilaskevõime omanikele ei esitata ühtegi nn. alakasutustasu arvet.</w:t>
      </w:r>
    </w:p>
    <w:p w14:paraId="6F718D01" w14:textId="77777777" w:rsidR="006B1555" w:rsidRDefault="006B1555" w:rsidP="006B1555"/>
    <w:p w14:paraId="723B517A" w14:textId="77777777" w:rsidR="006B1555" w:rsidRPr="00FA3A5B" w:rsidRDefault="006B1555" w:rsidP="006B1555">
      <w:r>
        <w:t>Lisandub täiendav halduskoormus ning välistada ei saa ühekordset negatiivset majanduslikku mõju võrguettevõtjatele, kelle võrguga on ühendatud kuni 15</w:t>
      </w:r>
      <w:r>
        <w:noBreakHyphen/>
        <w:t>kilovatiseid tootmisvõimsusi, kuna IT-süsteemides tuleb seadusemuudatuse tõttu sisse viia erinevad kontrollimehhanismid võrgu- või liitumislepingu tootmissuunalisest võimsusest lähtudes juhul kui sellist funktsionaalsust seni süsteemides ette nähtud ei ole olnud.</w:t>
      </w:r>
    </w:p>
    <w:p w14:paraId="68B1A7BC" w14:textId="77777777" w:rsidR="006B1555" w:rsidRPr="006C7268" w:rsidRDefault="006B1555" w:rsidP="006B1555"/>
    <w:p w14:paraId="027CBF3A" w14:textId="77777777" w:rsidR="006B1555" w:rsidRPr="00B063EB" w:rsidRDefault="006B1555" w:rsidP="006B1555">
      <w:pPr>
        <w:rPr>
          <w:b/>
          <w:bCs/>
          <w:u w:val="single"/>
        </w:rPr>
      </w:pPr>
      <w:r w:rsidRPr="00B063EB">
        <w:rPr>
          <w:b/>
          <w:bCs/>
          <w:u w:val="single"/>
        </w:rPr>
        <w:t>6.8.</w:t>
      </w:r>
      <w:r w:rsidRPr="00B063EB">
        <w:rPr>
          <w:b/>
          <w:bCs/>
          <w:u w:val="single"/>
        </w:rPr>
        <w:tab/>
        <w:t>Liitumistaotluses toodud elektrienergia tootmise tehnoloogia muutmise tingimuste täpsustamine</w:t>
      </w:r>
    </w:p>
    <w:p w14:paraId="06C0C514" w14:textId="77777777" w:rsidR="006B1555" w:rsidRDefault="006B1555" w:rsidP="006B1555">
      <w:pPr>
        <w:rPr>
          <w:b/>
          <w:bCs/>
        </w:rPr>
      </w:pPr>
    </w:p>
    <w:p w14:paraId="2C553BCE" w14:textId="77777777" w:rsidR="006B1555" w:rsidRDefault="006B1555" w:rsidP="006B1555">
      <w:r>
        <w:t>Eelnõuga kaasneb ettevõtlusega seotud positiivne majanduslik mõju põhivõrgus pärast 2025. aasta 13. juunit esitatud liitumistaotlustele, millele lubatakse esialgse taotluses toodud tehnoloogia piiramatut muutmist. Senistele, enne 2025. aasta 13. juunit esitatud liitumistaotlustele jääb kehtima võimalus muuta tehnoloogiat kütuse põletamisel, vesinikul või salvestusel põhinevaks ning lisada oma liitumistaotluses toodud tehnoloogiale teisi tehnoloogiaid juhul kui sellega ei kaasne liitumislepingus sätestatud tootmissuunalise võimsuse suurenemine (soodustamaks hübriidparkide rajamist ehk tootmisseadmetele salvestusseadmete lisamist või vastupidi). Täpsemalt on sihtrühma suurust ehk energeetikaprojektide arendajate hulka keerukas hinnata, sest seadusemuudatustest lähtuvalt teeb iga ettevõtja sisemiselt oma investeerimisotsuse kas olemasolevasse tehnoloogiasse või tehnoloogia muutmise otsuse või otsustab loobuda liitumisvõimsusest (kusjuures säilib võimalus vähendada liitumisvõimsus nullini, kuid liitumispunkt jääb sealjuures alles). Samuti kaasneb positiivne majanduslik, ettevõtlusega seotud mõju aktiivsetele elektrienergia tootmise või salvestusega seotud projektide arendajatele seeläbi, et tehnoloogia muutmisel lühema tootmise alustamiseks ette nähtud tähtajaga tehnoloogialt pikema tähtajaga tehnoloogiale kaasneb ajapikendus tootmisega alustamiseks enne kui rakendatakse tootmissuunalise võimsuse mittekasutamise tasu ehk alakasutustasu.</w:t>
      </w:r>
    </w:p>
    <w:p w14:paraId="5CE40665" w14:textId="77777777" w:rsidR="006B1555" w:rsidRPr="00751C4F" w:rsidRDefault="006B1555" w:rsidP="006B1555"/>
    <w:p w14:paraId="32D646F8" w14:textId="77777777" w:rsidR="006B1555" w:rsidRDefault="006B1555" w:rsidP="006B1555">
      <w:r>
        <w:t>Võrguettevõtja jaoks ei too eelnõu kaasa märkimisväärset mõju ei halduskoormuse kasvu ega majandusliku mõju mõistes, kuid laiemalt ühiskonnale toob kasu arendajate võimalus optimeerida võrguga liidetavat tootmistehnoloogiat (ja salvestusüksusi) vastavalt reaalselt süsteemis vajaminevale tehnoloogiale – nii on võimalik kõige kulutõhusamalt tagada energiavarustuskindlus ja tootmispiisavus.</w:t>
      </w:r>
    </w:p>
    <w:p w14:paraId="616D5409" w14:textId="77777777" w:rsidR="006B1555" w:rsidRDefault="006B1555" w:rsidP="006B1555"/>
    <w:p w14:paraId="3A3DC319" w14:textId="77777777" w:rsidR="006B1555" w:rsidRPr="00B063EB" w:rsidRDefault="006B1555" w:rsidP="006B1555">
      <w:pPr>
        <w:rPr>
          <w:b/>
          <w:bCs/>
          <w:u w:val="single"/>
        </w:rPr>
      </w:pPr>
      <w:r w:rsidRPr="00B063EB">
        <w:rPr>
          <w:b/>
          <w:bCs/>
          <w:u w:val="single"/>
        </w:rPr>
        <w:t>6.9.</w:t>
      </w:r>
      <w:r w:rsidRPr="00B063EB">
        <w:rPr>
          <w:b/>
          <w:bCs/>
          <w:u w:val="single"/>
        </w:rPr>
        <w:tab/>
        <w:t>Elektrienergia tootmissuunalise võimsuse piiramise hüvitamise metoodika kohaldamise tingimused</w:t>
      </w:r>
    </w:p>
    <w:p w14:paraId="6E726A26" w14:textId="77777777" w:rsidR="006B1555" w:rsidRPr="00FA3A5B" w:rsidRDefault="006B1555" w:rsidP="006B1555">
      <w:pPr>
        <w:rPr>
          <w:b/>
          <w:bCs/>
        </w:rPr>
      </w:pPr>
    </w:p>
    <w:p w14:paraId="365F2C5D" w14:textId="77777777" w:rsidR="006B1555" w:rsidRDefault="006B1555" w:rsidP="006B1555">
      <w:r>
        <w:t xml:space="preserve">Eelnõuga kaasneb positiivne majanduslik mõju olemasolevatele, juba arenduse faasis olevatele elektrivõrguga liitujatele, kuna otsekohalduva </w:t>
      </w:r>
      <w:r w:rsidRPr="00FA3A5B">
        <w:t>Euroopa Parlamendi ja nõukogu määruse (EL) 2019/943 artikli 13 lõike 7</w:t>
      </w:r>
      <w:r>
        <w:t xml:space="preserve"> kohase koormuse ümberjaotamise korral hüvitise maksmine rakendub vaid uutele, niinimetatud fikseeritud liitumistasu kontseptsiooni alusel liitujatele (see tähendab alates 2025. aasta 13. juunist liitumistaotluse esitajatele). Eelnevalt oli liitumistasu igas põhivõrgu osas kulupõhine ning sisaldas endas liituja elektrivõrguga liitumisega seotud vajalikke võrgutugevdusi, mille läbi liituja endale oma vajaminevas võimsuses täies mahus liitumise garanteeris. Uue kontseptsiooni järgi on osa liitumiskulust olemasolevas võrgus juba sotsialiseeritud ning uued liitumised loetakse seega sisuliselt paindlikeks liitumisteks kuni </w:t>
      </w:r>
      <w:r>
        <w:lastRenderedPageBreak/>
        <w:t xml:space="preserve">vajaminevate võrgutugevduste valmimiseni. Eespool mainitud liitumiskulude osaline sotsialiseerimine tähendab seda, et uue, fikseeritud liitumistasu kontseptsiooni järgi tasuvad olemasoleva põhivõrgu ulatuses </w:t>
      </w:r>
      <w:r w:rsidRPr="00B42DB7">
        <w:t>liitujad</w:t>
      </w:r>
      <w:r>
        <w:t xml:space="preserve"> </w:t>
      </w:r>
      <w:r w:rsidRPr="00B42DB7">
        <w:t>poole kogu vajalike võrgutugevduste kulust</w:t>
      </w:r>
      <w:r>
        <w:t>, aga t</w:t>
      </w:r>
      <w:r w:rsidRPr="00B42DB7">
        <w:t>eise poole kuludest kannavad võrguteenuse tasu kaudu elektritarbijad, mille vastu saavad nad kindlama</w:t>
      </w:r>
      <w:r>
        <w:t>, uueneva</w:t>
      </w:r>
      <w:r w:rsidRPr="00B42DB7">
        <w:t xml:space="preserve"> elektrivõrgu ja </w:t>
      </w:r>
      <w:r>
        <w:t xml:space="preserve">võrku lisanduvast </w:t>
      </w:r>
      <w:r w:rsidRPr="00B42DB7">
        <w:t>taastuvelektrist tulenevalt soodsama elektrihinna.</w:t>
      </w:r>
      <w:r>
        <w:t xml:space="preserve"> Väljaspool olemasolevat põhivõrku liitujatele jääb endiselt kehtima kulupõhine hind ning samuti kohaldatakse neile tootmissuunalise võimsuse piiramise hüvitamise metoodikat juhul kui vajaminevad võrgutugevdused ei ole õigeaegselt valmis ehk metoodika kohaldamine ei ole üheselt seotud ainult fikseeritud tasu kontseptsiooni alusel liitumisega. Sihtrühmade suurust hinnata on raske, kuna täna teadaolevalt ei näe põhivõrguettevõtja vajadust tootmissuunalist võimsuse piiramiseks võrgutugevduste puudumisest tulenevalt ning ei prognoosi selle vajaduse tekkimist enne 2028. aastat kui peaks võrku lisanduma rohkem taastuvenergia tootmisvõimsusi.</w:t>
      </w:r>
    </w:p>
    <w:p w14:paraId="7C35CFA9" w14:textId="77777777" w:rsidR="006B1555" w:rsidRPr="00B063EB" w:rsidRDefault="006B1555" w:rsidP="006B1555">
      <w:pPr>
        <w:rPr>
          <w:b/>
          <w:bCs/>
          <w:u w:val="single"/>
        </w:rPr>
      </w:pPr>
      <w:r w:rsidRPr="00B063EB">
        <w:rPr>
          <w:b/>
          <w:bCs/>
          <w:u w:val="single"/>
        </w:rPr>
        <w:t>6.10. REMIT</w:t>
      </w:r>
      <w:r>
        <w:rPr>
          <w:b/>
          <w:bCs/>
          <w:u w:val="single"/>
        </w:rPr>
        <w:t xml:space="preserve"> </w:t>
      </w:r>
      <w:r w:rsidRPr="00B063EB">
        <w:rPr>
          <w:b/>
          <w:bCs/>
          <w:u w:val="single"/>
        </w:rPr>
        <w:t>määruse nõuete kohaldamine elektri- ja gaasiturul manipulatsioonide ja siseteabe ebaseadusliku kasutamise ennetamiseks</w:t>
      </w:r>
    </w:p>
    <w:p w14:paraId="376C8B78" w14:textId="77777777" w:rsidR="006B1555" w:rsidRDefault="006B1555" w:rsidP="006B1555"/>
    <w:p w14:paraId="5A2F44D9" w14:textId="77777777" w:rsidR="006B1555" w:rsidRPr="00B063EB" w:rsidRDefault="006B1555" w:rsidP="006B1555">
      <w:pPr>
        <w:spacing w:line="259" w:lineRule="auto"/>
        <w:rPr>
          <w:rFonts w:eastAsia="Aptos" w:cs="Arial"/>
          <w:kern w:val="2"/>
          <w:szCs w:val="24"/>
          <w14:ligatures w14:val="standardContextual"/>
        </w:rPr>
      </w:pPr>
      <w:r w:rsidRPr="00B063EB">
        <w:rPr>
          <w:rFonts w:eastAsia="Aptos" w:cs="Arial"/>
          <w:kern w:val="2"/>
          <w:szCs w:val="24"/>
          <w14:ligatures w14:val="standardContextual"/>
        </w:rPr>
        <w:t>REMIT</w:t>
      </w:r>
      <w:r>
        <w:rPr>
          <w:rFonts w:eastAsia="Aptos" w:cs="Arial"/>
          <w:kern w:val="2"/>
          <w:szCs w:val="24"/>
          <w14:ligatures w14:val="standardContextual"/>
        </w:rPr>
        <w:t xml:space="preserve"> </w:t>
      </w:r>
      <w:r w:rsidRPr="00B063EB">
        <w:rPr>
          <w:rFonts w:eastAsia="Aptos" w:cs="Arial"/>
          <w:kern w:val="2"/>
          <w:szCs w:val="24"/>
          <w14:ligatures w14:val="standardContextual"/>
        </w:rPr>
        <w:t>määrusega kehtestatud reeglid on suunatud elektri- ja gaasiturul manipulatsioonide ja siseteabe ebaseadusliku kasutamise ennetamisele, milleks tõstetakse elektri ja gaasi hulgituru reeglite rikkumiste eest määratud trahve. Turuosalisi keda muudatus eelkõige mõjutab on ettevõtted, kes kauplevad elektri- ja gaasihulgiturul, samuti ka põhivõrguettevõtja või suurema tarbimismahuga lõpptarbijad. Teisisõnu isikud, kaasa arvatud põhivõrguettevõtja, kes sõlmib tehinguid ning annab muu hulgas kauplemiskorraldusi ühel või mitmel energia hulgimüügiturul. Täpsemalt on muudatuse poolt mõjutatud osapooled elektri ja gaasi hulgiturgudel osalevad turuosalised, kelleks on:</w:t>
      </w:r>
    </w:p>
    <w:p w14:paraId="627112E5" w14:textId="77777777" w:rsidR="006B1555" w:rsidRPr="00B063EB" w:rsidRDefault="006B1555" w:rsidP="006B1555">
      <w:pPr>
        <w:numPr>
          <w:ilvl w:val="0"/>
          <w:numId w:val="25"/>
        </w:numPr>
        <w:spacing w:after="160" w:line="259" w:lineRule="auto"/>
        <w:contextualSpacing/>
        <w:jc w:val="left"/>
        <w:rPr>
          <w:rFonts w:eastAsia="Aptos" w:cs="Arial"/>
          <w:kern w:val="2"/>
          <w:szCs w:val="24"/>
          <w14:ligatures w14:val="standardContextual"/>
        </w:rPr>
      </w:pPr>
      <w:r w:rsidRPr="00B063EB">
        <w:rPr>
          <w:rFonts w:eastAsia="Aptos" w:cs="Arial"/>
          <w:kern w:val="2"/>
          <w:szCs w:val="24"/>
          <w14:ligatures w14:val="standardContextual"/>
        </w:rPr>
        <w:t>Elektri ja gaasi süsteemihaldur Elering;</w:t>
      </w:r>
    </w:p>
    <w:p w14:paraId="26EEC1C5" w14:textId="77777777" w:rsidR="006B1555" w:rsidRPr="00B063EB" w:rsidRDefault="006B1555" w:rsidP="006B1555">
      <w:pPr>
        <w:numPr>
          <w:ilvl w:val="0"/>
          <w:numId w:val="25"/>
        </w:numPr>
        <w:spacing w:after="160" w:line="259" w:lineRule="auto"/>
        <w:contextualSpacing/>
        <w:jc w:val="left"/>
        <w:rPr>
          <w:rFonts w:eastAsia="Aptos" w:cs="Arial"/>
          <w:kern w:val="2"/>
          <w:szCs w:val="24"/>
          <w14:ligatures w14:val="standardContextual"/>
        </w:rPr>
      </w:pPr>
      <w:r w:rsidRPr="00B063EB">
        <w:rPr>
          <w:rFonts w:eastAsia="Aptos" w:cs="Arial"/>
          <w:kern w:val="2"/>
          <w:szCs w:val="24"/>
          <w14:ligatures w14:val="standardContextual"/>
        </w:rPr>
        <w:t>Elektri hulgituru osalised: Eestis tegutseb 17 bilansihaldurit ja 40 avatud tarnijat</w:t>
      </w:r>
      <w:r w:rsidRPr="00B063EB">
        <w:rPr>
          <w:rFonts w:eastAsia="Aptos" w:cs="Times New Roman"/>
          <w:kern w:val="2"/>
          <w:szCs w:val="24"/>
          <w:vertAlign w:val="superscript"/>
          <w14:ligatures w14:val="standardContextual"/>
        </w:rPr>
        <w:footnoteReference w:id="52"/>
      </w:r>
      <w:r w:rsidRPr="00B063EB">
        <w:rPr>
          <w:rFonts w:eastAsia="Aptos" w:cs="Arial"/>
          <w:kern w:val="2"/>
          <w:szCs w:val="24"/>
          <w14:ligatures w14:val="standardContextual"/>
        </w:rPr>
        <w:t>;</w:t>
      </w:r>
    </w:p>
    <w:p w14:paraId="308C6F98" w14:textId="77777777" w:rsidR="006B1555" w:rsidRPr="00B063EB" w:rsidRDefault="006B1555" w:rsidP="006B1555">
      <w:pPr>
        <w:numPr>
          <w:ilvl w:val="0"/>
          <w:numId w:val="25"/>
        </w:numPr>
        <w:spacing w:after="160" w:line="259" w:lineRule="auto"/>
        <w:contextualSpacing/>
        <w:rPr>
          <w:rFonts w:eastAsia="Aptos" w:cs="Arial"/>
          <w:kern w:val="2"/>
          <w:szCs w:val="24"/>
          <w14:ligatures w14:val="standardContextual"/>
        </w:rPr>
      </w:pPr>
      <w:r w:rsidRPr="00B063EB">
        <w:rPr>
          <w:rFonts w:eastAsia="Aptos" w:cs="Arial"/>
          <w:kern w:val="2"/>
          <w:szCs w:val="24"/>
          <w14:ligatures w14:val="standardContextual"/>
        </w:rPr>
        <w:t>Gaasi hulgituru osalised: Eesti ja Läti ühises bilansitsoonis on 2023. aasta seisuga registreeritud 76 hulgimüügiettevõtet, neist 12 turuosalist on lepingu sõlminud Elering AS-iga (Eesti) ja 64 turuosalist Conexus Baltic Gridiga (Läti). Gaasi hulgimüügiturul on Eestis suurima tarnemahuga ettevõte Eesti Gaas AS, kelle osakaal 2023. aastal oli 73,26%</w:t>
      </w:r>
      <w:r w:rsidRPr="00B063EB">
        <w:rPr>
          <w:rFonts w:eastAsia="Aptos" w:cs="Times New Roman"/>
          <w:kern w:val="2"/>
          <w:szCs w:val="24"/>
          <w:vertAlign w:val="superscript"/>
          <w14:ligatures w14:val="standardContextual"/>
        </w:rPr>
        <w:footnoteReference w:id="53"/>
      </w:r>
      <w:r w:rsidRPr="00B063EB">
        <w:rPr>
          <w:rFonts w:eastAsia="Aptos" w:cs="Arial"/>
          <w:kern w:val="2"/>
          <w:szCs w:val="24"/>
          <w14:ligatures w14:val="standardContextual"/>
        </w:rPr>
        <w:t>. Eestis tegutseb 17 bilansihaldurit ja 28 avatud tarnijat</w:t>
      </w:r>
      <w:r w:rsidRPr="00B063EB">
        <w:rPr>
          <w:rFonts w:eastAsia="Aptos" w:cs="Times New Roman"/>
          <w:kern w:val="2"/>
          <w:szCs w:val="24"/>
          <w:vertAlign w:val="superscript"/>
          <w14:ligatures w14:val="standardContextual"/>
        </w:rPr>
        <w:footnoteReference w:id="54"/>
      </w:r>
      <w:r w:rsidRPr="00B063EB">
        <w:rPr>
          <w:rFonts w:eastAsia="Aptos" w:cs="Arial"/>
          <w:kern w:val="2"/>
          <w:szCs w:val="24"/>
          <w14:ligatures w14:val="standardContextual"/>
        </w:rPr>
        <w:t>.</w:t>
      </w:r>
    </w:p>
    <w:p w14:paraId="16A1E992" w14:textId="77777777" w:rsidR="006B1555" w:rsidRPr="00B063EB" w:rsidRDefault="006B1555" w:rsidP="006B1555">
      <w:pPr>
        <w:spacing w:line="259" w:lineRule="auto"/>
        <w:rPr>
          <w:rFonts w:eastAsia="Aptos" w:cs="Arial"/>
          <w:kern w:val="2"/>
          <w:szCs w:val="24"/>
          <w14:ligatures w14:val="standardContextual"/>
        </w:rPr>
      </w:pPr>
    </w:p>
    <w:p w14:paraId="5C8A473A" w14:textId="77777777" w:rsidR="006B1555" w:rsidRPr="00B063EB" w:rsidRDefault="006B1555" w:rsidP="006B1555">
      <w:pPr>
        <w:spacing w:line="259" w:lineRule="auto"/>
        <w:rPr>
          <w:rFonts w:eastAsia="Aptos" w:cs="Arial"/>
          <w:kern w:val="2"/>
          <w:szCs w:val="24"/>
          <w14:ligatures w14:val="standardContextual"/>
        </w:rPr>
      </w:pPr>
      <w:r w:rsidRPr="00B063EB">
        <w:rPr>
          <w:rFonts w:eastAsia="Aptos" w:cs="Arial"/>
          <w:kern w:val="2"/>
          <w:szCs w:val="24"/>
          <w14:ligatures w14:val="standardContextual"/>
        </w:rPr>
        <w:t>Praktikas mõju praegu puudub. Potentsiaalselt kaasneks eelnõu jõustumise järel REMIT nõuete rikkumise korral elektriettevõtjatele majanduslikud mõjud. Seni on Eestis rikkumisi Konkurentsiameti poolt tuvastatud vähesel määral. Sellegipoolest omavad kõrgemad trahvimäärad heidutavat ja rikkumisi ennetavat mõju. Potentsiaalsed rikkumised võivad elektri- ja gaasituru osalistele</w:t>
      </w:r>
      <w:r>
        <w:rPr>
          <w:rFonts w:eastAsia="Aptos" w:cs="Arial"/>
          <w:kern w:val="2"/>
          <w:szCs w:val="24"/>
          <w14:ligatures w14:val="standardContextual"/>
        </w:rPr>
        <w:t>,</w:t>
      </w:r>
      <w:r w:rsidRPr="00B063EB">
        <w:rPr>
          <w:rFonts w:eastAsia="Aptos" w:cs="Arial"/>
          <w:kern w:val="2"/>
          <w:szCs w:val="24"/>
          <w14:ligatures w14:val="standardContextual"/>
        </w:rPr>
        <w:t xml:space="preserve"> sh tarbijatele tuua kaasa suurel määral varalist kahju, kuna potentsiaalne turuga manipuleerimine võib omada mõju elektrihindadele.</w:t>
      </w:r>
    </w:p>
    <w:p w14:paraId="3FDB56F5" w14:textId="77777777" w:rsidR="006B1555" w:rsidRPr="00B063EB" w:rsidRDefault="006B1555" w:rsidP="006B1555">
      <w:pPr>
        <w:spacing w:line="259" w:lineRule="auto"/>
        <w:rPr>
          <w:rFonts w:eastAsia="Aptos" w:cs="Arial"/>
          <w:kern w:val="2"/>
          <w:szCs w:val="24"/>
          <w14:ligatures w14:val="standardContextual"/>
        </w:rPr>
      </w:pPr>
    </w:p>
    <w:p w14:paraId="5CA3DB81" w14:textId="77777777" w:rsidR="006B1555" w:rsidRPr="00B063EB" w:rsidRDefault="006B1555" w:rsidP="006B1555">
      <w:pPr>
        <w:spacing w:line="259" w:lineRule="auto"/>
        <w:rPr>
          <w:rFonts w:eastAsia="Aptos" w:cs="Arial"/>
          <w:b/>
          <w:bCs/>
          <w:kern w:val="2"/>
          <w:szCs w:val="24"/>
          <w14:ligatures w14:val="standardContextual"/>
        </w:rPr>
      </w:pPr>
      <w:r w:rsidRPr="00B063EB">
        <w:rPr>
          <w:rFonts w:eastAsia="Aptos" w:cs="Arial"/>
          <w:b/>
          <w:bCs/>
          <w:kern w:val="2"/>
          <w:szCs w:val="24"/>
          <w14:ligatures w14:val="standardContextual"/>
        </w:rPr>
        <w:t>Senised menetlused:</w:t>
      </w:r>
    </w:p>
    <w:p w14:paraId="1528D04A" w14:textId="77777777" w:rsidR="006B1555" w:rsidRDefault="006B1555" w:rsidP="006B1555">
      <w:pPr>
        <w:spacing w:line="259" w:lineRule="auto"/>
        <w:rPr>
          <w:rFonts w:eastAsia="Aptos" w:cs="Arial"/>
          <w:kern w:val="2"/>
          <w:szCs w:val="24"/>
          <w14:ligatures w14:val="standardContextual"/>
        </w:rPr>
      </w:pPr>
      <w:r w:rsidRPr="00B063EB">
        <w:rPr>
          <w:rFonts w:eastAsia="Aptos" w:cs="Times New Roman"/>
          <w:kern w:val="2"/>
          <w:szCs w:val="24"/>
          <w14:ligatures w14:val="standardContextual"/>
        </w:rPr>
        <w:t>Konkurentsiamet on seni ELTS § 101</w:t>
      </w:r>
      <w:r w:rsidRPr="00B063EB">
        <w:rPr>
          <w:rFonts w:eastAsia="Aptos" w:cs="Times New Roman"/>
          <w:kern w:val="2"/>
          <w:szCs w:val="24"/>
          <w:vertAlign w:val="superscript"/>
          <w14:ligatures w14:val="standardContextual"/>
        </w:rPr>
        <w:t>4</w:t>
      </w:r>
      <w:r w:rsidRPr="00B063EB">
        <w:rPr>
          <w:rFonts w:eastAsia="Aptos" w:cs="Times New Roman"/>
          <w:kern w:val="2"/>
          <w:szCs w:val="24"/>
          <w14:ligatures w14:val="standardContextual"/>
        </w:rPr>
        <w:t xml:space="preserve"> rikkumise kohta viinud läbi menetluse ja määranud rahatrahvi ühel korral – </w:t>
      </w:r>
      <w:r w:rsidRPr="00B063EB">
        <w:rPr>
          <w:rFonts w:eastAsia="Aptos" w:cs="Arial"/>
          <w:kern w:val="2"/>
          <w:szCs w:val="24"/>
          <w14:ligatures w14:val="standardContextual"/>
        </w:rPr>
        <w:t xml:space="preserve">2015. aastal. Amet määras 04.11.2015 Elering AS-ile 2014. aasta juunis toime pandud REMIT määruse rikkumise eest ELTS-i alusel rahatrahvi 10 000 eurot. Elering AS teostas 2014. aasta juulis Eesti ja Soome vahelise Estlink2 elektriühenduse hooldus- ja süvistustöid, mis põhjustasid nimetatud ühenduse katkestuse. Elering AS ei avalikustanud </w:t>
      </w:r>
      <w:r w:rsidRPr="00B063EB">
        <w:rPr>
          <w:rFonts w:eastAsia="Aptos" w:cs="Arial"/>
          <w:kern w:val="2"/>
          <w:szCs w:val="24"/>
          <w14:ligatures w14:val="standardContextual"/>
        </w:rPr>
        <w:lastRenderedPageBreak/>
        <w:t>hooldustööde osas õigeaegselt siseteavet, rikkudes sellega REMIT määruse sätestatud siseteabe avalikustamise kohustust.</w:t>
      </w:r>
      <w:r w:rsidRPr="00B063EB">
        <w:rPr>
          <w:rFonts w:eastAsia="Aptos" w:cs="Times New Roman"/>
          <w:kern w:val="2"/>
          <w:szCs w:val="24"/>
          <w:vertAlign w:val="superscript"/>
          <w14:ligatures w14:val="standardContextual"/>
        </w:rPr>
        <w:footnoteReference w:id="55"/>
      </w:r>
    </w:p>
    <w:p w14:paraId="59CB53FD" w14:textId="77777777" w:rsidR="006B1555" w:rsidRPr="00B063EB" w:rsidRDefault="006B1555" w:rsidP="006B1555">
      <w:pPr>
        <w:spacing w:line="259" w:lineRule="auto"/>
        <w:rPr>
          <w:rFonts w:eastAsia="Aptos" w:cs="Arial"/>
          <w:kern w:val="2"/>
          <w:szCs w:val="24"/>
          <w14:ligatures w14:val="standardContextual"/>
        </w:rPr>
      </w:pPr>
    </w:p>
    <w:p w14:paraId="6861F816" w14:textId="77777777" w:rsidR="006B1555" w:rsidRPr="00B063EB" w:rsidRDefault="006B1555" w:rsidP="006B1555">
      <w:pPr>
        <w:spacing w:line="259" w:lineRule="auto"/>
        <w:rPr>
          <w:rFonts w:eastAsia="Aptos" w:cs="Arial"/>
          <w:b/>
          <w:bCs/>
          <w:kern w:val="2"/>
          <w:szCs w:val="24"/>
          <w14:ligatures w14:val="standardContextual"/>
        </w:rPr>
      </w:pPr>
      <w:r w:rsidRPr="00B063EB">
        <w:rPr>
          <w:rFonts w:eastAsia="Aptos" w:cs="Times New Roman"/>
          <w:kern w:val="2"/>
          <w:szCs w:val="24"/>
          <w14:ligatures w14:val="standardContextual"/>
        </w:rPr>
        <w:t>Konkurentsiamet on seni MGS § 44</w:t>
      </w:r>
      <w:r w:rsidRPr="00B063EB">
        <w:rPr>
          <w:rFonts w:eastAsia="Aptos" w:cs="Times New Roman"/>
          <w:kern w:val="2"/>
          <w:szCs w:val="24"/>
          <w:vertAlign w:val="superscript"/>
          <w14:ligatures w14:val="standardContextual"/>
        </w:rPr>
        <w:t>2</w:t>
      </w:r>
      <w:r w:rsidRPr="00B063EB">
        <w:rPr>
          <w:rFonts w:eastAsia="Aptos" w:cs="Times New Roman"/>
          <w:kern w:val="2"/>
          <w:szCs w:val="24"/>
          <w14:ligatures w14:val="standardContextual"/>
        </w:rPr>
        <w:t xml:space="preserve"> rikkumise kohta viinud läbi menetluse ja määranud rahatrahvi ühel korral </w:t>
      </w:r>
      <w:r w:rsidRPr="00B063EB">
        <w:rPr>
          <w:rFonts w:eastAsia="Aptos" w:cs="Arial"/>
          <w:kern w:val="2"/>
          <w:szCs w:val="24"/>
          <w14:ligatures w14:val="standardContextual"/>
        </w:rPr>
        <w:t>2021. aastal. Amet määras 29.10.2021 Elering AS-ile REMIT määruse rikkumise eest MGS-i alusel rahatrahvi 10 000 eurot. Elering AS ei avalikustanud gaasirajatise Balticconnectori võimsusi oluliselt mõjutavate Paldiski ja Puiatu kompressorjaamade osas tulemuslikult ja õigeaegselt siseteavet, rikkudes sellega REMIT määruses sätestatud siseteabe avalikustamise kohustust.</w:t>
      </w:r>
      <w:r w:rsidRPr="00B063EB">
        <w:rPr>
          <w:rFonts w:eastAsia="Aptos" w:cs="Times New Roman"/>
          <w:kern w:val="2"/>
          <w:szCs w:val="24"/>
          <w:vertAlign w:val="superscript"/>
          <w14:ligatures w14:val="standardContextual"/>
        </w:rPr>
        <w:footnoteReference w:id="56"/>
      </w:r>
    </w:p>
    <w:p w14:paraId="11774268" w14:textId="77777777" w:rsidR="006B1555" w:rsidRPr="00B063EB" w:rsidRDefault="006B1555" w:rsidP="006B1555">
      <w:pPr>
        <w:spacing w:line="259" w:lineRule="auto"/>
        <w:rPr>
          <w:rFonts w:eastAsia="Aptos" w:cs="Arial"/>
          <w:kern w:val="2"/>
          <w:szCs w:val="24"/>
          <w14:ligatures w14:val="standardContextual"/>
        </w:rPr>
      </w:pPr>
    </w:p>
    <w:p w14:paraId="273B3E2A" w14:textId="77777777" w:rsidR="006B1555" w:rsidRPr="00B063EB" w:rsidRDefault="006B1555" w:rsidP="006B1555">
      <w:pPr>
        <w:spacing w:line="259" w:lineRule="auto"/>
        <w:rPr>
          <w:rFonts w:eastAsia="Aptos" w:cs="Arial"/>
          <w:kern w:val="2"/>
          <w:szCs w:val="24"/>
          <w14:ligatures w14:val="standardContextual"/>
        </w:rPr>
      </w:pPr>
      <w:r w:rsidRPr="00B063EB">
        <w:rPr>
          <w:rFonts w:eastAsia="Aptos" w:cs="Arial"/>
          <w:kern w:val="2"/>
          <w:szCs w:val="24"/>
          <w14:ligatures w14:val="standardContextual"/>
        </w:rPr>
        <w:t xml:space="preserve">Kavandatavad muudatused ei avalda </w:t>
      </w:r>
      <w:r w:rsidRPr="009F7787">
        <w:rPr>
          <w:rFonts w:eastAsia="Aptos" w:cs="Arial"/>
          <w:kern w:val="2"/>
          <w:szCs w:val="24"/>
          <w14:ligatures w14:val="standardContextual"/>
        </w:rPr>
        <w:t>mõju riigi</w:t>
      </w:r>
      <w:r w:rsidRPr="00B063EB">
        <w:rPr>
          <w:rFonts w:eastAsia="Aptos" w:cs="Arial"/>
          <w:kern w:val="2"/>
          <w:szCs w:val="24"/>
          <w14:ligatures w14:val="standardContextual"/>
        </w:rPr>
        <w:t xml:space="preserve"> ega kohalike omavalitsuste tuludele ja kuludele.</w:t>
      </w:r>
    </w:p>
    <w:p w14:paraId="26CC9572" w14:textId="77777777" w:rsidR="006B1555" w:rsidRPr="00B063EB" w:rsidRDefault="006B1555" w:rsidP="006B1555">
      <w:pPr>
        <w:spacing w:line="259" w:lineRule="auto"/>
        <w:rPr>
          <w:rFonts w:eastAsia="Aptos" w:cs="Arial"/>
          <w:kern w:val="2"/>
          <w:szCs w:val="24"/>
          <w14:ligatures w14:val="standardContextual"/>
        </w:rPr>
      </w:pPr>
    </w:p>
    <w:p w14:paraId="118DF522" w14:textId="77777777" w:rsidR="006B1555" w:rsidRDefault="006B1555" w:rsidP="006B1555">
      <w:pPr>
        <w:spacing w:line="259" w:lineRule="auto"/>
        <w:rPr>
          <w:rFonts w:eastAsia="Aptos" w:cs="Arial"/>
          <w:kern w:val="2"/>
          <w:szCs w:val="24"/>
          <w14:ligatures w14:val="standardContextual"/>
        </w:rPr>
      </w:pPr>
      <w:r w:rsidRPr="00B063EB">
        <w:rPr>
          <w:rFonts w:eastAsia="Aptos" w:cs="Arial"/>
          <w:kern w:val="2"/>
          <w:szCs w:val="24"/>
          <w14:ligatures w14:val="standardContextual"/>
        </w:rPr>
        <w:t xml:space="preserve">Seadusemuudatusega kaasneb Konkurentsiametile </w:t>
      </w:r>
      <w:r>
        <w:rPr>
          <w:rFonts w:eastAsia="Aptos" w:cs="Arial"/>
          <w:kern w:val="2"/>
          <w:szCs w:val="24"/>
          <w14:ligatures w14:val="standardContextual"/>
        </w:rPr>
        <w:t>töö</w:t>
      </w:r>
      <w:r w:rsidRPr="00B063EB">
        <w:rPr>
          <w:rFonts w:eastAsia="Aptos" w:cs="Arial"/>
          <w:kern w:val="2"/>
          <w:szCs w:val="24"/>
          <w14:ligatures w14:val="standardContextual"/>
        </w:rPr>
        <w:t xml:space="preserve">koormuse kasv. Põhiline </w:t>
      </w:r>
      <w:r>
        <w:rPr>
          <w:rFonts w:eastAsia="Aptos" w:cs="Arial"/>
          <w:kern w:val="2"/>
          <w:szCs w:val="24"/>
          <w14:ligatures w14:val="standardContextual"/>
        </w:rPr>
        <w:t>töö</w:t>
      </w:r>
      <w:r w:rsidRPr="00B063EB">
        <w:rPr>
          <w:rFonts w:eastAsia="Aptos" w:cs="Arial"/>
          <w:kern w:val="2"/>
          <w:szCs w:val="24"/>
          <w14:ligatures w14:val="standardContextual"/>
        </w:rPr>
        <w:t>koormuse kasv tulene</w:t>
      </w:r>
      <w:r>
        <w:rPr>
          <w:rFonts w:eastAsia="Aptos" w:cs="Arial"/>
          <w:kern w:val="2"/>
          <w:szCs w:val="24"/>
          <w14:ligatures w14:val="standardContextual"/>
        </w:rPr>
        <w:t>b</w:t>
      </w:r>
      <w:r w:rsidRPr="00B063EB">
        <w:rPr>
          <w:rFonts w:eastAsia="Aptos" w:cs="Arial"/>
          <w:kern w:val="2"/>
          <w:szCs w:val="24"/>
          <w14:ligatures w14:val="standardContextual"/>
        </w:rPr>
        <w:t xml:space="preserve"> REMIT</w:t>
      </w:r>
      <w:r>
        <w:rPr>
          <w:rFonts w:eastAsia="Aptos" w:cs="Arial"/>
          <w:kern w:val="2"/>
          <w:szCs w:val="24"/>
          <w14:ligatures w14:val="standardContextual"/>
        </w:rPr>
        <w:t xml:space="preserve"> </w:t>
      </w:r>
      <w:r w:rsidRPr="00B063EB">
        <w:rPr>
          <w:rFonts w:eastAsia="Aptos" w:cs="Arial"/>
          <w:kern w:val="2"/>
          <w:szCs w:val="24"/>
          <w14:ligatures w14:val="standardContextual"/>
        </w:rPr>
        <w:t>määruse jõustumisega kaasnevast vajadusest teostada üksikasjalikumat ja laiemat elektri</w:t>
      </w:r>
      <w:r>
        <w:rPr>
          <w:rFonts w:eastAsia="Aptos" w:cs="Arial"/>
          <w:kern w:val="2"/>
          <w:szCs w:val="24"/>
          <w14:ligatures w14:val="standardContextual"/>
        </w:rPr>
        <w:t xml:space="preserve"> ja gaasi</w:t>
      </w:r>
      <w:r w:rsidRPr="00B063EB">
        <w:rPr>
          <w:rFonts w:eastAsia="Aptos" w:cs="Arial"/>
          <w:kern w:val="2"/>
          <w:szCs w:val="24"/>
          <w14:ligatures w14:val="standardContextual"/>
        </w:rPr>
        <w:t xml:space="preserve"> hulgituru järelevalvet. Sellegipoolest suurendab ka käesolev eelnõu Konkurentsiameti vajadust täiendava ressursi järele, kuna karistusmäärade määramise täiendava keerukuse tõttu </w:t>
      </w:r>
      <w:r>
        <w:rPr>
          <w:rFonts w:eastAsia="Aptos" w:cs="Arial"/>
          <w:kern w:val="2"/>
          <w:szCs w:val="24"/>
          <w14:ligatures w14:val="standardContextual"/>
        </w:rPr>
        <w:t>töö</w:t>
      </w:r>
      <w:r w:rsidRPr="00B063EB">
        <w:rPr>
          <w:rFonts w:eastAsia="Aptos" w:cs="Arial"/>
          <w:kern w:val="2"/>
          <w:szCs w:val="24"/>
          <w14:ligatures w14:val="standardContextual"/>
        </w:rPr>
        <w:t>koormus kasvab. Eelnõust tulenevalt vajab Konkurentsiamet üht täiendavat lisakohta elektri</w:t>
      </w:r>
      <w:r>
        <w:rPr>
          <w:rFonts w:eastAsia="Aptos" w:cs="Arial"/>
          <w:kern w:val="2"/>
          <w:szCs w:val="24"/>
          <w14:ligatures w14:val="standardContextual"/>
        </w:rPr>
        <w:t xml:space="preserve"> ja gaasi</w:t>
      </w:r>
      <w:r w:rsidRPr="00B063EB">
        <w:rPr>
          <w:rFonts w:eastAsia="Aptos" w:cs="Arial"/>
          <w:kern w:val="2"/>
          <w:szCs w:val="24"/>
          <w14:ligatures w14:val="standardContextual"/>
        </w:rPr>
        <w:t xml:space="preserve"> hulgituru järelevalve teostamiseks.</w:t>
      </w:r>
    </w:p>
    <w:p w14:paraId="0E01CE1B" w14:textId="77777777" w:rsidR="006B1555" w:rsidRDefault="006B1555" w:rsidP="006B1555">
      <w:pPr>
        <w:spacing w:line="259" w:lineRule="auto"/>
        <w:rPr>
          <w:rFonts w:eastAsia="Aptos" w:cs="Arial"/>
          <w:kern w:val="2"/>
          <w:szCs w:val="24"/>
          <w14:ligatures w14:val="standardContextual"/>
        </w:rPr>
      </w:pPr>
    </w:p>
    <w:p w14:paraId="764C907C" w14:textId="77777777" w:rsidR="006B1555" w:rsidRPr="00AD7A06" w:rsidRDefault="006B1555" w:rsidP="006B1555">
      <w:pPr>
        <w:spacing w:before="240" w:after="120"/>
        <w:contextualSpacing/>
        <w:rPr>
          <w:rFonts w:eastAsia="SimSun" w:cs="Times New Roman"/>
          <w:b/>
          <w:bCs/>
          <w:u w:val="single"/>
        </w:rPr>
      </w:pPr>
      <w:r w:rsidRPr="00AD7A06">
        <w:rPr>
          <w:rFonts w:eastAsia="Aptos" w:cs="Arial"/>
          <w:b/>
          <w:bCs/>
          <w:kern w:val="2"/>
          <w:szCs w:val="24"/>
          <w:u w:val="single"/>
          <w14:ligatures w14:val="standardContextual"/>
        </w:rPr>
        <w:t>6.11 E</w:t>
      </w:r>
      <w:r w:rsidRPr="00AD7A06">
        <w:rPr>
          <w:rFonts w:eastAsia="SimSun" w:cs="Times New Roman"/>
          <w:b/>
          <w:bCs/>
          <w:u w:val="single"/>
        </w:rPr>
        <w:t>lutähtsa teenuse osutaja määratluse uuendamine</w:t>
      </w:r>
    </w:p>
    <w:p w14:paraId="724FEB77" w14:textId="77777777" w:rsidR="006B1555" w:rsidRDefault="006B1555" w:rsidP="006B1555">
      <w:pPr>
        <w:spacing w:before="240" w:after="120"/>
        <w:contextualSpacing/>
        <w:rPr>
          <w:rFonts w:eastAsia="SimSun" w:cs="Times New Roman"/>
        </w:rPr>
      </w:pPr>
    </w:p>
    <w:p w14:paraId="7F092F56" w14:textId="6B22E207" w:rsidR="006B1555" w:rsidRPr="00145B2C" w:rsidRDefault="00832DE2" w:rsidP="00810E4C">
      <w:pPr>
        <w:rPr>
          <w:rFonts w:eastAsia="SimSun" w:cs="Times New Roman"/>
        </w:rPr>
      </w:pPr>
      <w:r>
        <w:rPr>
          <w:rFonts w:eastAsia="SimSun" w:cs="Times New Roman"/>
        </w:rPr>
        <w:t xml:space="preserve">Eelnõuga muudetakse ETO piirmäära senise 200 MW asemel 90 MW-le. Sellega seoses lisandub 15. oktoobri 2025. a seisuga </w:t>
      </w:r>
      <w:r w:rsidR="00810E4C">
        <w:rPr>
          <w:rFonts w:eastAsia="SimSun" w:cs="Times New Roman"/>
        </w:rPr>
        <w:t xml:space="preserve">ETO-ks Enefit Green AS ning Utilitas OÜ. Arvestades Eesti elektritootmise ja -salvestamise arendamise kiirust, lisandub juba lähiajal uute ETO-dena vähemalt neli uut ettevõtjat: </w:t>
      </w:r>
      <w:r w:rsidR="00810E4C">
        <w:rPr>
          <w:rFonts w:cs="Times New Roman"/>
          <w:szCs w:val="24"/>
        </w:rPr>
        <w:t xml:space="preserve">Estiko Energia OÜ, Evecon OÜ, KC Energy OÜ ja Sunly AS. </w:t>
      </w:r>
      <w:r w:rsidR="006B1555" w:rsidRPr="00145B2C">
        <w:rPr>
          <w:rFonts w:eastAsia="SimSun" w:cs="Times New Roman"/>
        </w:rPr>
        <w:t>ETO-ks olemisega kaasnevad samuti kõrgemad nõuded turvalisusele ja riskijuhtimisele, kuid see aitab tagada ühtsemat standardit toimepidevuse tagamiseks. See on vajalik elutähtsa teenuse, ehk elektriga varustamise, tagamisel. Näiteks tuleb koostada riskianalüüs ja toimepidevusplaan, et läbi mõelda enda toimepidevus erinevate stsenaariumite näitel. Samuti annab see elutähtsat teenust korraldavale asutusele (elektriga varustamisel Kliimaministeerium) täpsema ülevaate ettevõtete toimepidevusplaanidest ja riskidest. See omakorda võimaldab korraldaval asutusel vajadusel tähelepanu juhtida ja tagasiside anda teatud riskidele ning vajadusel aidata vajaminevate kontaktidega. ETO-ks olemine tähendab automaatselt ka kohustust järgida küberturvalisuse seaduses sätestatud kohustusi.</w:t>
      </w:r>
    </w:p>
    <w:p w14:paraId="4A509F14" w14:textId="77777777" w:rsidR="00BA1949" w:rsidRDefault="00BA1949" w:rsidP="006B1555">
      <w:pPr>
        <w:spacing w:before="240" w:after="120"/>
        <w:contextualSpacing/>
        <w:rPr>
          <w:rFonts w:eastAsia="SimSun" w:cs="Times New Roman"/>
        </w:rPr>
      </w:pPr>
    </w:p>
    <w:p w14:paraId="1E69E0DE" w14:textId="4DBF98AA" w:rsidR="006B1555" w:rsidRPr="00145B2C" w:rsidRDefault="006B1555" w:rsidP="006B1555">
      <w:pPr>
        <w:spacing w:before="240" w:after="120"/>
        <w:contextualSpacing/>
        <w:rPr>
          <w:rFonts w:eastAsia="SimSun" w:cs="Times New Roman"/>
        </w:rPr>
      </w:pPr>
      <w:r w:rsidRPr="00145B2C">
        <w:rPr>
          <w:rFonts w:eastAsia="SimSun" w:cs="Times New Roman"/>
        </w:rPr>
        <w:t>Uutele ETO-dele kaasneb täiendav halduskoormus. Halduskoormuse tõus sõltub ettevõtte suurusest ja sellest, milliseid elektrijaamasid või paigaldisi omatakse.</w:t>
      </w:r>
    </w:p>
    <w:p w14:paraId="5EE46A68" w14:textId="77777777" w:rsidR="006B1555" w:rsidRPr="00145B2C" w:rsidRDefault="006B1555" w:rsidP="006B1555">
      <w:pPr>
        <w:numPr>
          <w:ilvl w:val="0"/>
          <w:numId w:val="23"/>
        </w:numPr>
        <w:spacing w:before="240" w:after="120"/>
        <w:contextualSpacing/>
        <w:rPr>
          <w:rFonts w:eastAsia="SimSun" w:cs="Times New Roman"/>
        </w:rPr>
      </w:pPr>
      <w:r w:rsidRPr="00145B2C">
        <w:rPr>
          <w:rFonts w:eastAsia="SimSun" w:cs="Times New Roman"/>
        </w:rPr>
        <w:t xml:space="preserve">Riskianalüüs ja toimepidevusplaan ETKA-le. Koostamine võib tähendada täiendavat tööjõuvajadust ETO-le, kuid samuti on võimalik see teenuse korras sisse osta vastava pädevusega ettevõtetelt. Tegemist pole iga-aastase tegevusega, kuna plaanid esitatakse ETKA-le iga kahe aasta järel. </w:t>
      </w:r>
    </w:p>
    <w:p w14:paraId="6E8097B9" w14:textId="77777777" w:rsidR="00BA1949" w:rsidRDefault="00BA1949" w:rsidP="006B1555">
      <w:pPr>
        <w:spacing w:before="240" w:after="120"/>
        <w:contextualSpacing/>
        <w:rPr>
          <w:rFonts w:eastAsia="SimSun" w:cs="Times New Roman"/>
        </w:rPr>
      </w:pPr>
    </w:p>
    <w:p w14:paraId="7BD2F5BD" w14:textId="4D130A57" w:rsidR="006B1555" w:rsidRPr="00145B2C" w:rsidRDefault="006B1555" w:rsidP="006B1555">
      <w:pPr>
        <w:spacing w:before="240" w:after="120"/>
        <w:contextualSpacing/>
        <w:rPr>
          <w:rFonts w:eastAsia="SimSun" w:cs="Times New Roman"/>
        </w:rPr>
      </w:pPr>
      <w:r w:rsidRPr="00145B2C">
        <w:rPr>
          <w:rFonts w:eastAsia="SimSun" w:cs="Times New Roman"/>
        </w:rPr>
        <w:t>Uued ETO-d peavad rakendama E</w:t>
      </w:r>
      <w:r w:rsidR="004A25CD">
        <w:rPr>
          <w:rFonts w:eastAsia="SimSun" w:cs="Times New Roman"/>
        </w:rPr>
        <w:t>-</w:t>
      </w:r>
      <w:r w:rsidRPr="00145B2C">
        <w:rPr>
          <w:rFonts w:eastAsia="SimSun" w:cs="Times New Roman"/>
        </w:rPr>
        <w:t xml:space="preserve">ITS või ISO standardit, seda lisaks kõikidele muudele uue küberturvalisuse seaduse nõuetele. Sellega kaasneb süsteemi riskianalüüsi kohustus. Selles tuleb esitada süsteemi turvalisust ja teenuse toimepidevust mõjutavate ning küberintsidendi tekkimist põhjustavate riskide loetelu, määrata riskide realiseerumisel tekkiva küberintsidendi </w:t>
      </w:r>
      <w:r w:rsidRPr="00145B2C">
        <w:rPr>
          <w:rFonts w:eastAsia="SimSun" w:cs="Times New Roman"/>
        </w:rPr>
        <w:lastRenderedPageBreak/>
        <w:t>tagajärgede raskusaste ning kirjeldada küberintsidendi lahendamise abinõusid. Lisaks tuleb teostada E-ITS audit. Selle eesmärk on hinnata, kas auditeeritava organisatsiooni infoturbe halduse süsteem ning selle raames rakendatud meetmed on piisavad organisatsiooni äriprotsesside kaitseks ja organisatsiooni eesmärkide täitmiseks. Auditi edukas läbimine annab organisatsiooni klientidele ja partneritele kindlustunde organisatsiooni jätkusuutlikkuse ja infoturbe ohtudele vastupanuvõimekuse osas. E-ITS auditi läbiviimisel arvestatakse infoturbe ohtudest tulenevaid riske ja auditeeritava organisatsiooni riskitaluvust. Sõltumatu audit maksab hinnanguliselt suurusjärgus 10-30 tuhat eurot kolme aasta kohta (3300-10 000 eurot aastas). Väiksematel ettevõtetel on kulu madalam võrreldes suurematega, kuna auditi maht on väiksem. Kuna uute ETO-de puhul on tegemist suuremate ettevõtetega, siis võib eeldada, et maksumus on pigem antud vahemiku kallimas otsas.</w:t>
      </w:r>
    </w:p>
    <w:p w14:paraId="2F857238" w14:textId="77777777" w:rsidR="00BA1949" w:rsidRDefault="00BA1949" w:rsidP="006B1555">
      <w:pPr>
        <w:spacing w:before="240" w:after="120"/>
        <w:contextualSpacing/>
        <w:rPr>
          <w:rFonts w:eastAsia="SimSun" w:cs="Times New Roman"/>
        </w:rPr>
      </w:pPr>
    </w:p>
    <w:p w14:paraId="672A4B52" w14:textId="2FC83AD3" w:rsidR="006B1555" w:rsidRPr="00145B2C" w:rsidRDefault="006B1555" w:rsidP="006B1555">
      <w:pPr>
        <w:spacing w:before="240" w:after="120"/>
        <w:contextualSpacing/>
        <w:rPr>
          <w:rFonts w:eastAsia="SimSun" w:cs="Times New Roman"/>
        </w:rPr>
      </w:pPr>
      <w:r w:rsidRPr="00145B2C">
        <w:rPr>
          <w:rFonts w:eastAsia="SimSun" w:cs="Times New Roman"/>
        </w:rPr>
        <w:t>Halduskoormus kaasneb peale uute ETO-de ka teistele asutustele:</w:t>
      </w:r>
    </w:p>
    <w:p w14:paraId="5C9865C6" w14:textId="77777777" w:rsidR="006B1555" w:rsidRPr="00145B2C" w:rsidRDefault="006B1555" w:rsidP="006B1555">
      <w:pPr>
        <w:numPr>
          <w:ilvl w:val="0"/>
          <w:numId w:val="23"/>
        </w:numPr>
        <w:spacing w:before="240" w:after="120"/>
        <w:contextualSpacing/>
        <w:rPr>
          <w:rFonts w:eastAsia="SimSun" w:cs="Times New Roman"/>
        </w:rPr>
      </w:pPr>
      <w:r w:rsidRPr="00145B2C">
        <w:rPr>
          <w:rFonts w:eastAsia="SimSun" w:cs="Times New Roman"/>
        </w:rPr>
        <w:t>Kliimaministeeriumi töökoormus suureneb, kuna uute ETO-de riskianalüüsid ja toimepidevusplaanid tuleb kinnitada või vajadusel anda täiendavaid suuniseid muudatusteks. Uute ametikohtade vajadus esialgu puudub, kuna uute lisanduvate ETO-de arv on madal. Lisaks tegemist pole iga-aastaste tegevusega.</w:t>
      </w:r>
    </w:p>
    <w:p w14:paraId="5D8546BA" w14:textId="77777777" w:rsidR="006B1555" w:rsidRPr="00145B2C" w:rsidRDefault="006B1555" w:rsidP="006B1555">
      <w:pPr>
        <w:numPr>
          <w:ilvl w:val="0"/>
          <w:numId w:val="23"/>
        </w:numPr>
        <w:spacing w:before="240" w:after="120"/>
        <w:contextualSpacing/>
        <w:rPr>
          <w:rFonts w:eastAsia="SimSun" w:cs="Times New Roman"/>
          <w:lang w:val="en-US"/>
        </w:rPr>
      </w:pPr>
      <w:r w:rsidRPr="00145B2C">
        <w:rPr>
          <w:rFonts w:eastAsia="SimSun" w:cs="Times New Roman"/>
        </w:rPr>
        <w:t>RIA töökoormus suureneb seoses küberturvalisusega seotud tegevustest. RIA-le tähendab see elektrisektori ettevõtete arvu kahekordistumist, kellele tehakse järelevalvet ning teostatakse turvalisuse hindamisi. RIA-le lisandub uute ETO-de lisandudes suurem nõustamise koormus, mis hiljem asendub järelevalve ja muude rutiinsete tegevustega. Täiendavate ametikohtade vajadus hetkel puudub.</w:t>
      </w:r>
    </w:p>
    <w:p w14:paraId="5CF739B1" w14:textId="77777777" w:rsidR="006B1555" w:rsidRDefault="006B1555" w:rsidP="006B1555">
      <w:pPr>
        <w:spacing w:before="240" w:after="120"/>
        <w:contextualSpacing/>
        <w:rPr>
          <w:rFonts w:eastAsia="SimSun" w:cs="Times New Roman"/>
        </w:rPr>
      </w:pPr>
    </w:p>
    <w:p w14:paraId="136D1944" w14:textId="77777777" w:rsidR="006B1555" w:rsidRDefault="006B1555" w:rsidP="006B1555">
      <w:pPr>
        <w:spacing w:before="240" w:after="120"/>
        <w:contextualSpacing/>
        <w:rPr>
          <w:rFonts w:eastAsia="SimSun" w:cs="Times New Roman"/>
        </w:rPr>
      </w:pPr>
      <w:r>
        <w:rPr>
          <w:rFonts w:eastAsia="SimSun" w:cs="Times New Roman"/>
        </w:rPr>
        <w:t>Positiivne mõju väljendub lisaks ETO-ks saamisel ettevõtetele täiendavate võimaluste näol:</w:t>
      </w:r>
    </w:p>
    <w:p w14:paraId="5B6EF0A3" w14:textId="77777777" w:rsidR="006B1555" w:rsidRPr="000109F7" w:rsidRDefault="006B1555" w:rsidP="006B1555">
      <w:pPr>
        <w:pStyle w:val="Loendilik"/>
        <w:numPr>
          <w:ilvl w:val="0"/>
          <w:numId w:val="45"/>
        </w:numPr>
        <w:spacing w:before="240"/>
        <w:rPr>
          <w:rFonts w:eastAsia="SimSun" w:cs="Times New Roman"/>
        </w:rPr>
      </w:pPr>
      <w:r w:rsidRPr="000109F7">
        <w:rPr>
          <w:rFonts w:eastAsia="SimSun" w:cs="Times New Roman"/>
        </w:rPr>
        <w:t>RIA poolt on turvalisuse hindamine tasuta</w:t>
      </w:r>
    </w:p>
    <w:p w14:paraId="4A127A20" w14:textId="77777777" w:rsidR="006B1555" w:rsidRPr="000109F7" w:rsidRDefault="006B1555" w:rsidP="006B1555">
      <w:pPr>
        <w:pStyle w:val="Loendilik"/>
        <w:numPr>
          <w:ilvl w:val="0"/>
          <w:numId w:val="45"/>
        </w:numPr>
        <w:spacing w:before="240"/>
        <w:rPr>
          <w:rFonts w:eastAsia="SimSun" w:cs="Times New Roman"/>
        </w:rPr>
      </w:pPr>
      <w:r w:rsidRPr="000109F7">
        <w:rPr>
          <w:rFonts w:eastAsia="SimSun" w:cs="Times New Roman"/>
        </w:rPr>
        <w:t>Riigikaitselised töökohad ja taustakontrolli võimalus</w:t>
      </w:r>
    </w:p>
    <w:p w14:paraId="41E40075" w14:textId="77777777" w:rsidR="006B1555" w:rsidRPr="000109F7" w:rsidRDefault="006B1555" w:rsidP="006B1555">
      <w:pPr>
        <w:pStyle w:val="Loendilik"/>
        <w:numPr>
          <w:ilvl w:val="0"/>
          <w:numId w:val="45"/>
        </w:numPr>
        <w:spacing w:before="240"/>
        <w:rPr>
          <w:rFonts w:eastAsia="SimSun" w:cs="Times New Roman"/>
        </w:rPr>
      </w:pPr>
      <w:r w:rsidRPr="000109F7">
        <w:rPr>
          <w:rFonts w:eastAsia="SimSun" w:cs="Times New Roman"/>
        </w:rPr>
        <w:t>Võimalik kaasata ETO-sid täiendavatesse inforingidesse</w:t>
      </w:r>
    </w:p>
    <w:p w14:paraId="62F25262" w14:textId="77777777" w:rsidR="006B1555" w:rsidRPr="000109F7" w:rsidRDefault="006B1555" w:rsidP="006B1555">
      <w:pPr>
        <w:pStyle w:val="Loendilik"/>
        <w:numPr>
          <w:ilvl w:val="0"/>
          <w:numId w:val="45"/>
        </w:numPr>
        <w:spacing w:before="240"/>
        <w:rPr>
          <w:rFonts w:eastAsia="SimSun" w:cs="Times New Roman"/>
        </w:rPr>
      </w:pPr>
      <w:r w:rsidRPr="000109F7">
        <w:rPr>
          <w:rFonts w:eastAsia="SimSun" w:cs="Times New Roman"/>
        </w:rPr>
        <w:t>Info jagamine (kahepoolne infojagamine intsidentidest, hoiatustest jm oluline info)</w:t>
      </w:r>
    </w:p>
    <w:p w14:paraId="054F5731" w14:textId="77777777" w:rsidR="006B1555" w:rsidRPr="000109F7" w:rsidRDefault="006B1555" w:rsidP="006B1555">
      <w:pPr>
        <w:pStyle w:val="Loendilik"/>
        <w:numPr>
          <w:ilvl w:val="0"/>
          <w:numId w:val="45"/>
        </w:numPr>
        <w:spacing w:before="240"/>
        <w:rPr>
          <w:rFonts w:eastAsia="SimSun" w:cs="Times New Roman"/>
        </w:rPr>
      </w:pPr>
      <w:r w:rsidRPr="000109F7">
        <w:rPr>
          <w:rFonts w:eastAsia="SimSun" w:cs="Times New Roman"/>
        </w:rPr>
        <w:t>Julgeolekuasutustega koostöö (kui peaks spetsiifilisemaid küsimusi tekkima)</w:t>
      </w:r>
    </w:p>
    <w:p w14:paraId="4FD0A141" w14:textId="77777777" w:rsidR="006B1555" w:rsidRDefault="006B1555" w:rsidP="006B1555">
      <w:pPr>
        <w:spacing w:before="240" w:after="120"/>
        <w:contextualSpacing/>
        <w:rPr>
          <w:rFonts w:eastAsia="SimSun" w:cs="Times New Roman"/>
        </w:rPr>
      </w:pPr>
    </w:p>
    <w:p w14:paraId="11C72C22" w14:textId="77777777" w:rsidR="006B1555" w:rsidRDefault="006B1555" w:rsidP="006B1555">
      <w:pPr>
        <w:spacing w:before="240" w:after="120"/>
        <w:contextualSpacing/>
        <w:rPr>
          <w:rFonts w:eastAsia="SimSun" w:cs="Times New Roman"/>
        </w:rPr>
      </w:pPr>
      <w:r w:rsidRPr="00145B2C">
        <w:rPr>
          <w:rFonts w:eastAsia="SimSun" w:cs="Times New Roman"/>
        </w:rPr>
        <w:t>Mõju energiajulgeolekule on positiivne. Täiendavad nõuded ETO-dele võimaldavad riske paremini hinnata ja vajadusel neid maandavaid meetmeid rakendada, et katkestusteks ja kriisideks paremini valmis olla. Elutähtsa teenuse osutajatele kehtivad kõrgemad nõuded (nt varustuskindluse tagamine, kriisiplaanid, küber- ja füüsiline turve). Kui ka alates 90 MW tootmismahuga tootjad peavad neid täitma, tõuseb kogu süsteemi vastupanuvõime võrreldes praegusega.</w:t>
      </w:r>
      <w:r w:rsidRPr="0007693E">
        <w:rPr>
          <w:rFonts w:eastAsia="SimSun" w:cs="Times New Roman"/>
        </w:rPr>
        <w:t xml:space="preserve"> </w:t>
      </w:r>
      <w:r w:rsidRPr="00840929">
        <w:rPr>
          <w:rFonts w:eastAsia="SimSun" w:cs="Times New Roman"/>
        </w:rPr>
        <w:t>Selle tulemusel on ettevõtte taristu paremini kaitstud ja vastupanuvõimelisem erinevatele hübriidrünnetele, mis võib tulevikus aidata ära hoida ettevõttele palju suuremaid kulusid võimalike rünnete korral.</w:t>
      </w:r>
    </w:p>
    <w:p w14:paraId="20F4CEF3" w14:textId="77777777" w:rsidR="006B1555" w:rsidRPr="00145B2C" w:rsidRDefault="006B1555" w:rsidP="006B1555">
      <w:pPr>
        <w:spacing w:before="240" w:after="120"/>
        <w:contextualSpacing/>
        <w:rPr>
          <w:rFonts w:eastAsia="SimSun" w:cs="Times New Roman"/>
        </w:rPr>
      </w:pPr>
    </w:p>
    <w:p w14:paraId="6AB3F566" w14:textId="77777777" w:rsidR="006B1555" w:rsidRPr="00145B2C" w:rsidRDefault="006B1555" w:rsidP="006B1555">
      <w:pPr>
        <w:spacing w:before="240" w:after="120"/>
        <w:contextualSpacing/>
        <w:rPr>
          <w:rFonts w:eastAsia="SimSun" w:cs="Times New Roman"/>
        </w:rPr>
      </w:pPr>
      <w:r w:rsidRPr="00145B2C">
        <w:rPr>
          <w:rFonts w:eastAsia="SimSun" w:cs="Times New Roman"/>
        </w:rPr>
        <w:t xml:space="preserve">Majanduslikus vaates toob muudatus kaasa nii positiivseid, kuid ka negatiivseid mõjusid. Suurem valmisolek ja turvalisus vähendavad katkestuste ja süsteemirikete ohtu. See tähendab paremat varustuskindlust ja vähem ootamatuid kulusid ühiskonnale. Lisaks, kui riik suudab tagada tugevama energiajulgeoleku läbi kõrgendatud turvalisuse nõuete, muutub elektriturg stabiilsemaks ja atraktiivsemaks investoritele. Negatiivse mõjuna kaasnevad täiendavad kulud tootjatele, kuid ka ühiskonnale. Elutähtsa teenuse osutajatele kehtivad kõrgemad nõuded (riskianalüüsid, kriisiplaanid, küberturve, füüsiline turve), mis tähendavad investeeringuid turbesüsteemidesse, personali ja protsessidesse. Lisaks, varem jäid väiksemad, kuid siiski arvestatava koguvõimsusega, tootjad regulatsioonidest välja.  Nüüd peavad nad täitma samu nõudeid kui suured tootjad. See võib vähendada väiksemate või keskmiste tootjate konkurentsieelist vähesel määral. Kaasneb ka võimalik mõju elektri hinnale, kuna tootjad </w:t>
      </w:r>
      <w:r w:rsidRPr="00145B2C">
        <w:rPr>
          <w:rFonts w:eastAsia="SimSun" w:cs="Times New Roman"/>
        </w:rPr>
        <w:lastRenderedPageBreak/>
        <w:t>suunavad kulusid tarbijatele, siis need kajastuvad elektrihindades. Majanduslikult tähendab piirmäära langetamine tootjatele suuremaid kohustusi ja kulusid, kuid ühiskonnale ja riigile tervikuna väiksemaid riske ja suuremat stabiilsust</w:t>
      </w:r>
      <w:r>
        <w:rPr>
          <w:rFonts w:eastAsia="SimSun" w:cs="Times New Roman"/>
        </w:rPr>
        <w:t>.</w:t>
      </w:r>
    </w:p>
    <w:p w14:paraId="14DA41F1" w14:textId="77777777" w:rsidR="006B1555" w:rsidRDefault="006B1555" w:rsidP="006B1555">
      <w:pPr>
        <w:spacing w:before="240" w:after="120"/>
        <w:contextualSpacing/>
        <w:rPr>
          <w:rFonts w:eastAsia="SimSun" w:cs="Times New Roman"/>
        </w:rPr>
      </w:pPr>
    </w:p>
    <w:p w14:paraId="14208602" w14:textId="77777777" w:rsidR="006B1555" w:rsidRPr="00AD7A06" w:rsidRDefault="006B1555" w:rsidP="006B1555">
      <w:pPr>
        <w:spacing w:before="240" w:after="120"/>
        <w:contextualSpacing/>
        <w:rPr>
          <w:rFonts w:eastAsia="SimSun" w:cs="Times New Roman"/>
          <w:b/>
          <w:bCs/>
          <w:u w:val="single"/>
        </w:rPr>
      </w:pPr>
      <w:r w:rsidRPr="00AD7A06">
        <w:rPr>
          <w:rFonts w:eastAsia="SimSun" w:cs="Times New Roman"/>
          <w:b/>
          <w:bCs/>
          <w:u w:val="single"/>
        </w:rPr>
        <w:t>6.12 Reservvõimsuse mehhanismi rahastamise kulu jagunemine</w:t>
      </w:r>
    </w:p>
    <w:p w14:paraId="3EC1AAD5" w14:textId="77777777" w:rsidR="006B1555" w:rsidRDefault="006B1555" w:rsidP="006B1555">
      <w:pPr>
        <w:spacing w:before="240" w:after="120"/>
        <w:contextualSpacing/>
        <w:rPr>
          <w:rFonts w:eastAsia="SimSun" w:cs="Times New Roman"/>
        </w:rPr>
      </w:pPr>
    </w:p>
    <w:p w14:paraId="26C37862" w14:textId="77777777" w:rsidR="006B1555" w:rsidRPr="00145B2C" w:rsidRDefault="006B1555" w:rsidP="006B1555">
      <w:pPr>
        <w:spacing w:before="240" w:after="120"/>
        <w:contextualSpacing/>
        <w:rPr>
          <w:rFonts w:eastAsia="SimSun" w:cs="Times New Roman"/>
        </w:rPr>
      </w:pPr>
      <w:r w:rsidRPr="00145B2C">
        <w:rPr>
          <w:rFonts w:eastAsia="SimSun" w:cs="Times New Roman"/>
        </w:rPr>
        <w:t>Eelnõuga tehtavatel muudatustel ei ole otsest majanduslikku mõju, sest sellega luuakse üksnes õiguslik raamistik, mille alusel saab tippnõudluse tunde määratleda. Selgelt määratletud tippnõudluse tunnid, mille ajal toimunud tarbimiselt kogutakse tasu, annab tarbijatele õiglase ja läbipaistva hinnasignaali — kui tarbitakse väljaspool tipptunde, siis reservvõimsuse tasu ei rakendu.</w:t>
      </w:r>
    </w:p>
    <w:p w14:paraId="425843DC" w14:textId="77777777" w:rsidR="00BA1949" w:rsidRDefault="00BA1949" w:rsidP="006B1555">
      <w:pPr>
        <w:spacing w:before="240" w:after="120"/>
        <w:contextualSpacing/>
        <w:rPr>
          <w:rFonts w:eastAsia="SimSun" w:cs="Times New Roman"/>
        </w:rPr>
      </w:pPr>
    </w:p>
    <w:p w14:paraId="33EE1AA0" w14:textId="530001F7" w:rsidR="006B1555" w:rsidRPr="00145B2C" w:rsidRDefault="006B1555" w:rsidP="006B1555">
      <w:pPr>
        <w:spacing w:before="240" w:after="120"/>
        <w:contextualSpacing/>
        <w:rPr>
          <w:rFonts w:eastAsia="SimSun" w:cs="Times New Roman"/>
        </w:rPr>
      </w:pPr>
      <w:r w:rsidRPr="00145B2C">
        <w:rPr>
          <w:rFonts w:eastAsia="SimSun" w:cs="Times New Roman"/>
        </w:rPr>
        <w:t>Tarbijate aastased arved sõltuvad nende tarbimisprofiilist – see soodustab tarbimise ajastamist madalama koormusega tundidele.</w:t>
      </w:r>
    </w:p>
    <w:p w14:paraId="6C34DEC8" w14:textId="77777777" w:rsidR="00BA1949" w:rsidRDefault="00BA1949" w:rsidP="006B1555">
      <w:pPr>
        <w:spacing w:before="240" w:after="120"/>
        <w:contextualSpacing/>
        <w:rPr>
          <w:rFonts w:eastAsia="SimSun" w:cs="Times New Roman"/>
        </w:rPr>
      </w:pPr>
    </w:p>
    <w:p w14:paraId="5080297E" w14:textId="728ED2AB" w:rsidR="006B1555" w:rsidRPr="00145B2C" w:rsidRDefault="006B1555" w:rsidP="006B1555">
      <w:pPr>
        <w:spacing w:before="240" w:after="120"/>
        <w:contextualSpacing/>
        <w:rPr>
          <w:rFonts w:eastAsia="SimSun" w:cs="Times New Roman"/>
        </w:rPr>
      </w:pPr>
      <w:r w:rsidRPr="00145B2C">
        <w:rPr>
          <w:rFonts w:eastAsia="SimSun" w:cs="Times New Roman"/>
        </w:rPr>
        <w:t xml:space="preserve">Muudatus ei suurenda võrguettevõtjate IT- ja halduskoormust võrreldes senise süsteemiga, arvestades, et tarbimisarvestus tundide lõikes on jaotusvõrkudel juba olemas. Elektrilevi on hinnanud, et lahenduse rakendamise eeldatav aeg on 3–4 kuud. </w:t>
      </w:r>
    </w:p>
    <w:p w14:paraId="5FC4978B" w14:textId="77777777" w:rsidR="006B1555" w:rsidRPr="00145B2C" w:rsidRDefault="006B1555" w:rsidP="006B1555">
      <w:pPr>
        <w:spacing w:before="240" w:after="120"/>
        <w:contextualSpacing/>
        <w:rPr>
          <w:rFonts w:eastAsia="SimSun" w:cs="Times New Roman"/>
          <w:b/>
          <w:bCs/>
        </w:rPr>
      </w:pPr>
      <w:r>
        <w:rPr>
          <w:rFonts w:eastAsia="SimSun" w:cs="Times New Roman"/>
        </w:rPr>
        <w:t xml:space="preserve"> </w:t>
      </w:r>
    </w:p>
    <w:p w14:paraId="13F6A85C" w14:textId="77777777" w:rsidR="006B1555" w:rsidRDefault="006B1555" w:rsidP="006B1555">
      <w:pPr>
        <w:spacing w:before="240" w:after="120"/>
        <w:contextualSpacing/>
        <w:rPr>
          <w:rFonts w:eastAsia="SimSun" w:cs="Times New Roman"/>
        </w:rPr>
      </w:pPr>
      <w:r w:rsidRPr="00145B2C">
        <w:rPr>
          <w:rFonts w:eastAsia="SimSun" w:cs="Times New Roman"/>
        </w:rPr>
        <w:t xml:space="preserve">Kodutarbijatel on võimalik suunata vähemalt osaliselt oma tarbimist väljapoole tipptunde, mistõttu on kulutusi võimalik teatud määral kontrollida. </w:t>
      </w:r>
      <w:r>
        <w:rPr>
          <w:rFonts w:eastAsia="SimSun" w:cs="Times New Roman"/>
        </w:rPr>
        <w:t xml:space="preserve"> </w:t>
      </w:r>
    </w:p>
    <w:p w14:paraId="78A5845F" w14:textId="77777777" w:rsidR="006B1555" w:rsidRPr="00145B2C" w:rsidRDefault="006B1555" w:rsidP="006B1555">
      <w:pPr>
        <w:spacing w:before="240" w:after="120"/>
        <w:contextualSpacing/>
        <w:rPr>
          <w:rFonts w:eastAsia="SimSun" w:cs="Times New Roman"/>
        </w:rPr>
      </w:pPr>
    </w:p>
    <w:p w14:paraId="00D41E23" w14:textId="77777777" w:rsidR="006B1555" w:rsidRPr="00AD7A06" w:rsidRDefault="006B1555" w:rsidP="006B1555">
      <w:pPr>
        <w:spacing w:before="240" w:after="120"/>
        <w:contextualSpacing/>
        <w:rPr>
          <w:rFonts w:eastAsia="SimSun" w:cs="Times New Roman"/>
        </w:rPr>
      </w:pPr>
      <w:r w:rsidRPr="00AD7A06">
        <w:rPr>
          <w:rFonts w:eastAsia="SimSun" w:cs="Times New Roman"/>
        </w:rPr>
        <w:t>Mõju riigi julgeolekule ja välissuhetele,  elu- ja looduskeskkonnale, riigiasutuste ja kohaliku omavalitsuse korraldusele puudub.</w:t>
      </w:r>
    </w:p>
    <w:p w14:paraId="6494CE4C" w14:textId="77777777" w:rsidR="006B1555" w:rsidRDefault="006B1555" w:rsidP="006B1555">
      <w:pPr>
        <w:spacing w:before="240" w:after="120"/>
        <w:contextualSpacing/>
        <w:rPr>
          <w:rFonts w:eastAsia="SimSun" w:cs="Times New Roman"/>
        </w:rPr>
      </w:pPr>
    </w:p>
    <w:p w14:paraId="3BBB328C" w14:textId="77777777" w:rsidR="006B1555" w:rsidRPr="00AD7A06" w:rsidRDefault="006B1555" w:rsidP="006B1555">
      <w:pPr>
        <w:spacing w:before="240" w:after="120"/>
        <w:contextualSpacing/>
        <w:rPr>
          <w:rFonts w:eastAsia="SimSun" w:cs="Times New Roman"/>
          <w:b/>
          <w:bCs/>
          <w:u w:val="single"/>
        </w:rPr>
      </w:pPr>
      <w:r w:rsidRPr="00AD7A06">
        <w:rPr>
          <w:rFonts w:eastAsia="SimSun" w:cs="Times New Roman"/>
          <w:b/>
          <w:bCs/>
          <w:u w:val="single"/>
        </w:rPr>
        <w:t>6.13 Kompleksloaga käitiste leebemad heite piirväärtuste erand</w:t>
      </w:r>
    </w:p>
    <w:p w14:paraId="178EEA3F" w14:textId="77777777" w:rsidR="006B1555" w:rsidRDefault="006B1555" w:rsidP="006B1555">
      <w:pPr>
        <w:spacing w:before="240" w:after="120"/>
        <w:contextualSpacing/>
        <w:rPr>
          <w:rFonts w:eastAsia="SimSun" w:cs="Times New Roman"/>
        </w:rPr>
      </w:pPr>
    </w:p>
    <w:p w14:paraId="60BD2E01" w14:textId="77777777" w:rsidR="006B1555" w:rsidRPr="00145B2C" w:rsidRDefault="006B1555" w:rsidP="006B1555">
      <w:pPr>
        <w:spacing w:before="240" w:after="120"/>
        <w:contextualSpacing/>
        <w:rPr>
          <w:rFonts w:eastAsia="SimSun" w:cs="Times New Roman"/>
        </w:rPr>
      </w:pPr>
      <w:r w:rsidRPr="00145B2C">
        <w:rPr>
          <w:rFonts w:eastAsia="SimSun" w:cs="Times New Roman"/>
        </w:rPr>
        <w:t>Eelnõukohase muudatuse eesmärk on luua mehhanism, mis võimaldab ajutiselt kohaldada kompleksloas leebemaid heite piirväärtusi kriisiolukorras, kus käitaja ja riigi kontrolli alt väljas olevad asjaolud tekitavad raskeid häireid või nappust. Sellise regulatsiooni lisamine tuleneb tööstusheite direktiivi (EL) 2024/1785 art 15 lõikest 7.</w:t>
      </w:r>
    </w:p>
    <w:p w14:paraId="0CA2580A" w14:textId="77777777" w:rsidR="00BA1949" w:rsidRDefault="00BA1949" w:rsidP="006B1555">
      <w:pPr>
        <w:spacing w:before="240" w:after="120"/>
        <w:contextualSpacing/>
        <w:rPr>
          <w:rFonts w:eastAsia="SimSun" w:cs="Times New Roman"/>
        </w:rPr>
      </w:pPr>
    </w:p>
    <w:p w14:paraId="549AC244" w14:textId="7974B074" w:rsidR="006B1555" w:rsidRPr="00145B2C" w:rsidRDefault="006B1555" w:rsidP="006B1555">
      <w:pPr>
        <w:spacing w:before="240" w:after="120"/>
        <w:contextualSpacing/>
        <w:rPr>
          <w:rFonts w:eastAsia="SimSun" w:cs="Times New Roman"/>
        </w:rPr>
      </w:pPr>
      <w:r w:rsidRPr="00145B2C">
        <w:rPr>
          <w:rFonts w:eastAsia="SimSun" w:cs="Times New Roman"/>
        </w:rPr>
        <w:t>Eelnõu elluviimine ei too kaasa sotsiaalset, demograafilist, välissuhetele, kohaliku omavalitsuse korraldusele ega regionaalarengule avalduvat mõju. Samuti ei kaasne mõju riigi otsestele tuludele või kuludele.</w:t>
      </w:r>
    </w:p>
    <w:p w14:paraId="27BDF1E9" w14:textId="77777777" w:rsidR="00BA1949" w:rsidRDefault="00BA1949" w:rsidP="006B1555">
      <w:pPr>
        <w:spacing w:before="240" w:after="120"/>
        <w:contextualSpacing/>
        <w:rPr>
          <w:rFonts w:eastAsia="SimSun" w:cs="Times New Roman"/>
        </w:rPr>
      </w:pPr>
    </w:p>
    <w:p w14:paraId="501B85BE" w14:textId="64D0579C" w:rsidR="006B1555" w:rsidRPr="00145B2C" w:rsidRDefault="006B1555" w:rsidP="006B1555">
      <w:pPr>
        <w:spacing w:before="240" w:after="120"/>
        <w:contextualSpacing/>
        <w:rPr>
          <w:rFonts w:eastAsia="SimSun" w:cs="Times New Roman"/>
        </w:rPr>
      </w:pPr>
      <w:r w:rsidRPr="00145B2C">
        <w:rPr>
          <w:rFonts w:eastAsia="SimSun" w:cs="Times New Roman"/>
        </w:rPr>
        <w:t>Muudatusega kaasneb siiski positiivne mõju riigi julgeolekule ja varustuskindlusele, kuna see loob selge õigusliku aluse reageerimiseks olukorras, kus tavapäraste keskkonnanõuete järgimine muutub ajutiselt objektiivselt võimatuks või seab ohtu rahva tervise, avaliku julgeoleku või energiavarustuse.</w:t>
      </w:r>
    </w:p>
    <w:p w14:paraId="709AF0B2" w14:textId="77777777" w:rsidR="00BA1949" w:rsidRDefault="00BA1949" w:rsidP="006B1555">
      <w:pPr>
        <w:spacing w:before="240" w:after="120"/>
        <w:contextualSpacing/>
        <w:rPr>
          <w:rFonts w:eastAsia="SimSun" w:cs="Times New Roman"/>
        </w:rPr>
      </w:pPr>
    </w:p>
    <w:p w14:paraId="4AE69819" w14:textId="0F920A1F" w:rsidR="006B1555" w:rsidRPr="00145B2C" w:rsidRDefault="006B1555" w:rsidP="006B1555">
      <w:pPr>
        <w:spacing w:before="240" w:after="120"/>
        <w:contextualSpacing/>
        <w:rPr>
          <w:rFonts w:eastAsia="SimSun" w:cs="Times New Roman"/>
        </w:rPr>
      </w:pPr>
      <w:r w:rsidRPr="00145B2C">
        <w:rPr>
          <w:rFonts w:eastAsia="SimSun" w:cs="Times New Roman"/>
        </w:rPr>
        <w:t>Mõju avaldav muudatus</w:t>
      </w:r>
    </w:p>
    <w:p w14:paraId="0B65DB44" w14:textId="77777777" w:rsidR="006B1555" w:rsidRPr="00145B2C" w:rsidRDefault="006B1555" w:rsidP="006B1555">
      <w:pPr>
        <w:spacing w:before="240" w:after="120"/>
        <w:contextualSpacing/>
        <w:rPr>
          <w:rFonts w:eastAsia="SimSun" w:cs="Times New Roman"/>
        </w:rPr>
      </w:pPr>
      <w:r w:rsidRPr="00145B2C">
        <w:rPr>
          <w:rFonts w:eastAsia="SimSun" w:cs="Times New Roman"/>
        </w:rPr>
        <w:t>Kriisi korral on võimalik Keskkonnaametil anda ajutine erand heite piirväärtustest. Erandi andmisel tuleb:</w:t>
      </w:r>
    </w:p>
    <w:p w14:paraId="5D996D8F" w14:textId="77777777" w:rsidR="006B1555" w:rsidRPr="00145B2C" w:rsidRDefault="006B1555" w:rsidP="006B1555">
      <w:pPr>
        <w:numPr>
          <w:ilvl w:val="0"/>
          <w:numId w:val="41"/>
        </w:numPr>
        <w:spacing w:before="240" w:after="120"/>
        <w:contextualSpacing/>
        <w:rPr>
          <w:rFonts w:eastAsia="SimSun" w:cs="Times New Roman"/>
        </w:rPr>
      </w:pPr>
      <w:r w:rsidRPr="00145B2C">
        <w:rPr>
          <w:rFonts w:eastAsia="SimSun" w:cs="Times New Roman"/>
        </w:rPr>
        <w:t>põhjendada erandi vältimatust ja avalikku huvi;</w:t>
      </w:r>
    </w:p>
    <w:p w14:paraId="620CE715" w14:textId="77777777" w:rsidR="006B1555" w:rsidRPr="00145B2C" w:rsidRDefault="006B1555" w:rsidP="006B1555">
      <w:pPr>
        <w:numPr>
          <w:ilvl w:val="0"/>
          <w:numId w:val="41"/>
        </w:numPr>
        <w:spacing w:before="240" w:after="120"/>
        <w:contextualSpacing/>
        <w:rPr>
          <w:rFonts w:eastAsia="SimSun" w:cs="Times New Roman"/>
        </w:rPr>
      </w:pPr>
      <w:r w:rsidRPr="00145B2C">
        <w:rPr>
          <w:rFonts w:eastAsia="SimSun" w:cs="Times New Roman"/>
        </w:rPr>
        <w:t>määrata kohased seirenõuded erandi kestuse ajaks;</w:t>
      </w:r>
    </w:p>
    <w:p w14:paraId="2409EC31" w14:textId="77777777" w:rsidR="006B1555" w:rsidRPr="00145B2C" w:rsidRDefault="006B1555" w:rsidP="006B1555">
      <w:pPr>
        <w:numPr>
          <w:ilvl w:val="0"/>
          <w:numId w:val="41"/>
        </w:numPr>
        <w:spacing w:before="240" w:after="120"/>
        <w:contextualSpacing/>
        <w:rPr>
          <w:rFonts w:eastAsia="SimSun" w:cs="Times New Roman"/>
        </w:rPr>
      </w:pPr>
      <w:r w:rsidRPr="00145B2C">
        <w:rPr>
          <w:rFonts w:eastAsia="SimSun" w:cs="Times New Roman"/>
        </w:rPr>
        <w:t>tagada, et rakendatakse kõik vähem saastavad alternatiivid ning välditakse püsivaid kahjulikke mõjusid keskkonnale.</w:t>
      </w:r>
    </w:p>
    <w:p w14:paraId="2BB6EC4B" w14:textId="77777777" w:rsidR="006B1555" w:rsidRPr="00145B2C" w:rsidRDefault="006B1555" w:rsidP="006B1555">
      <w:pPr>
        <w:spacing w:before="240" w:after="120"/>
        <w:contextualSpacing/>
        <w:rPr>
          <w:rFonts w:eastAsia="SimSun" w:cs="Times New Roman"/>
        </w:rPr>
      </w:pPr>
      <w:r w:rsidRPr="00145B2C">
        <w:rPr>
          <w:rFonts w:eastAsia="SimSun" w:cs="Times New Roman"/>
        </w:rPr>
        <w:t>Sihtrühm</w:t>
      </w:r>
    </w:p>
    <w:p w14:paraId="2393C094" w14:textId="77777777" w:rsidR="006B1555" w:rsidRPr="00145B2C" w:rsidRDefault="006B1555" w:rsidP="006B1555">
      <w:pPr>
        <w:numPr>
          <w:ilvl w:val="0"/>
          <w:numId w:val="42"/>
        </w:numPr>
        <w:spacing w:before="240" w:after="120"/>
        <w:contextualSpacing/>
        <w:rPr>
          <w:rFonts w:eastAsia="SimSun" w:cs="Times New Roman"/>
        </w:rPr>
      </w:pPr>
      <w:r w:rsidRPr="00145B2C">
        <w:rPr>
          <w:rFonts w:eastAsia="SimSun" w:cs="Times New Roman"/>
        </w:rPr>
        <w:t>Tööstus- ja tootmisettevõtjad, kes omavad kompleksluba ja kelle tegevus on strateegiliselt oluline (nt energia-, kütuse-, keemia-, toidu- ja ravimitööstus).</w:t>
      </w:r>
    </w:p>
    <w:p w14:paraId="764FC49B" w14:textId="77777777" w:rsidR="006B1555" w:rsidRPr="00145B2C" w:rsidRDefault="006B1555" w:rsidP="006B1555">
      <w:pPr>
        <w:numPr>
          <w:ilvl w:val="0"/>
          <w:numId w:val="42"/>
        </w:numPr>
        <w:spacing w:before="240" w:after="120"/>
        <w:contextualSpacing/>
        <w:rPr>
          <w:rFonts w:eastAsia="SimSun" w:cs="Times New Roman"/>
        </w:rPr>
      </w:pPr>
      <w:r w:rsidRPr="00145B2C">
        <w:rPr>
          <w:rFonts w:eastAsia="SimSun" w:cs="Times New Roman"/>
        </w:rPr>
        <w:t>Keskkonnaamet, kes peab kriisi korral tegema otsused kiiresti ja proportsionaalselt.</w:t>
      </w:r>
    </w:p>
    <w:p w14:paraId="6D365C27" w14:textId="77777777" w:rsidR="006B1555" w:rsidRPr="00145B2C" w:rsidRDefault="006B1555" w:rsidP="006B1555">
      <w:pPr>
        <w:numPr>
          <w:ilvl w:val="0"/>
          <w:numId w:val="42"/>
        </w:numPr>
        <w:spacing w:before="240" w:after="120"/>
        <w:contextualSpacing/>
        <w:rPr>
          <w:rFonts w:eastAsia="SimSun" w:cs="Times New Roman"/>
        </w:rPr>
      </w:pPr>
      <w:r w:rsidRPr="00145B2C">
        <w:rPr>
          <w:rFonts w:eastAsia="SimSun" w:cs="Times New Roman"/>
        </w:rPr>
        <w:lastRenderedPageBreak/>
        <w:t>Kaudselt mõjutab säte avalikkust ja tarbijaid, kellele tagatakse kriitiliste teenuste ja tarneahelate katkematus.</w:t>
      </w:r>
    </w:p>
    <w:p w14:paraId="2C8522DF" w14:textId="77777777" w:rsidR="00BA1949" w:rsidRDefault="00BA1949" w:rsidP="006B1555">
      <w:pPr>
        <w:spacing w:before="240" w:after="120"/>
        <w:contextualSpacing/>
        <w:rPr>
          <w:rFonts w:eastAsia="SimSun" w:cs="Times New Roman"/>
        </w:rPr>
      </w:pPr>
    </w:p>
    <w:p w14:paraId="597A2918" w14:textId="7EB2CD91" w:rsidR="006B1555" w:rsidRPr="00145B2C" w:rsidRDefault="006B1555" w:rsidP="006B1555">
      <w:pPr>
        <w:spacing w:before="240" w:after="120"/>
        <w:contextualSpacing/>
        <w:rPr>
          <w:rFonts w:eastAsia="SimSun" w:cs="Times New Roman"/>
        </w:rPr>
      </w:pPr>
      <w:r w:rsidRPr="00145B2C">
        <w:rPr>
          <w:rFonts w:eastAsia="SimSun" w:cs="Times New Roman"/>
        </w:rPr>
        <w:t>Kaasnev mõju</w:t>
      </w:r>
    </w:p>
    <w:p w14:paraId="3E877155" w14:textId="77777777" w:rsidR="006B1555" w:rsidRPr="00145B2C" w:rsidRDefault="006B1555" w:rsidP="006B1555">
      <w:pPr>
        <w:spacing w:before="240" w:after="120"/>
        <w:contextualSpacing/>
        <w:rPr>
          <w:rFonts w:eastAsia="SimSun" w:cs="Times New Roman"/>
        </w:rPr>
      </w:pPr>
      <w:r w:rsidRPr="00145B2C">
        <w:rPr>
          <w:rFonts w:eastAsia="SimSun" w:cs="Times New Roman"/>
        </w:rPr>
        <w:t>Keskkonnamõju: Erandiga võib ajutiselt kasvada heide, kuid seda tasakaalustab kohustus kasutada kõiki vähem saastavaid meetmeid ja piirata erandi kestus maksimaalselt kolme kuuga (pikendamise võimalus veel kuni kolmeks kuuks). Seega on mõju ajutine ja kontrollitud.</w:t>
      </w:r>
    </w:p>
    <w:p w14:paraId="5FE36D49" w14:textId="77777777" w:rsidR="00BA1949" w:rsidRDefault="00BA1949" w:rsidP="006B1555">
      <w:pPr>
        <w:spacing w:before="240" w:after="120"/>
        <w:contextualSpacing/>
        <w:rPr>
          <w:rFonts w:eastAsia="SimSun" w:cs="Times New Roman"/>
        </w:rPr>
      </w:pPr>
    </w:p>
    <w:p w14:paraId="6D13AE21" w14:textId="39D94972" w:rsidR="006B1555" w:rsidRPr="00145B2C" w:rsidRDefault="006B1555" w:rsidP="006B1555">
      <w:pPr>
        <w:spacing w:before="240" w:after="120"/>
        <w:contextualSpacing/>
        <w:rPr>
          <w:rFonts w:eastAsia="SimSun" w:cs="Times New Roman"/>
        </w:rPr>
      </w:pPr>
      <w:r w:rsidRPr="00145B2C">
        <w:rPr>
          <w:rFonts w:eastAsia="SimSun" w:cs="Times New Roman"/>
        </w:rPr>
        <w:t>Majanduslik mõju: ettevõtted saavad jätkata tootmist ja vältida tegevuse seiskumist, mis aitaks säilitada töökohti ja tootmisvõimekust.</w:t>
      </w:r>
    </w:p>
    <w:p w14:paraId="24A393E5" w14:textId="77777777" w:rsidR="00BA1949" w:rsidRDefault="00BA1949" w:rsidP="006B1555">
      <w:pPr>
        <w:spacing w:before="240" w:after="120"/>
        <w:contextualSpacing/>
        <w:rPr>
          <w:rFonts w:eastAsia="SimSun" w:cs="Times New Roman"/>
        </w:rPr>
      </w:pPr>
    </w:p>
    <w:p w14:paraId="270C298B" w14:textId="773418AD" w:rsidR="006B1555" w:rsidRPr="00145B2C" w:rsidRDefault="006B1555" w:rsidP="006B1555">
      <w:pPr>
        <w:spacing w:before="240" w:after="120"/>
        <w:contextualSpacing/>
        <w:rPr>
          <w:rFonts w:eastAsia="SimSun" w:cs="Times New Roman"/>
        </w:rPr>
      </w:pPr>
      <w:r w:rsidRPr="00145B2C">
        <w:rPr>
          <w:rFonts w:eastAsia="SimSun" w:cs="Times New Roman"/>
        </w:rPr>
        <w:t>Julgeolekumõju: suureneb riigi valmisolek kriisiolukorras (energia- ja ressursivarustuskindlus, rahvatervise kaitse).</w:t>
      </w:r>
    </w:p>
    <w:p w14:paraId="698A5B91" w14:textId="77777777" w:rsidR="00BA1949" w:rsidRDefault="00BA1949" w:rsidP="006B1555">
      <w:pPr>
        <w:spacing w:before="240" w:after="120"/>
        <w:contextualSpacing/>
        <w:rPr>
          <w:rFonts w:eastAsia="SimSun" w:cs="Times New Roman"/>
        </w:rPr>
      </w:pPr>
    </w:p>
    <w:p w14:paraId="18A26F39" w14:textId="387E8A3F" w:rsidR="006B1555" w:rsidRPr="00145B2C" w:rsidRDefault="006B1555" w:rsidP="006B1555">
      <w:pPr>
        <w:spacing w:before="240" w:after="120"/>
        <w:contextualSpacing/>
        <w:rPr>
          <w:rFonts w:eastAsia="SimSun" w:cs="Times New Roman"/>
        </w:rPr>
      </w:pPr>
      <w:r w:rsidRPr="00145B2C">
        <w:rPr>
          <w:rFonts w:eastAsia="SimSun" w:cs="Times New Roman"/>
        </w:rPr>
        <w:t>Õiguslik selgus: välditakse olukordi, kus erandite andmine toimub ad hoc ilma seadusliku aluseta.</w:t>
      </w:r>
    </w:p>
    <w:p w14:paraId="2A919A40" w14:textId="77777777" w:rsidR="006B1555" w:rsidRPr="000911C2" w:rsidRDefault="006B1555" w:rsidP="006B1555">
      <w:pPr>
        <w:spacing w:before="240" w:after="120"/>
        <w:contextualSpacing/>
        <w:rPr>
          <w:rFonts w:eastAsia="SimSun" w:cs="Times New Roman"/>
        </w:rPr>
      </w:pPr>
    </w:p>
    <w:p w14:paraId="2ED75A19" w14:textId="77777777" w:rsidR="006B1555" w:rsidRDefault="006B1555" w:rsidP="006B1555">
      <w:pPr>
        <w:rPr>
          <w:b/>
        </w:rPr>
      </w:pPr>
      <w:r w:rsidRPr="009C62B1">
        <w:rPr>
          <w:b/>
        </w:rPr>
        <w:t xml:space="preserve">7. </w:t>
      </w:r>
      <w:r>
        <w:rPr>
          <w:b/>
        </w:rPr>
        <w:t>R</w:t>
      </w:r>
      <w:r w:rsidRPr="009C62B1">
        <w:rPr>
          <w:b/>
        </w:rPr>
        <w:t>iigi ja kohaliku omavalitsuse tegevused, eeldatavad kulud ja tulud</w:t>
      </w:r>
      <w:r>
        <w:rPr>
          <w:b/>
        </w:rPr>
        <w:t xml:space="preserve"> seaduse rakendamise korral</w:t>
      </w:r>
    </w:p>
    <w:p w14:paraId="16A84A8D" w14:textId="77777777" w:rsidR="006B1555" w:rsidRPr="00707923" w:rsidRDefault="006B1555" w:rsidP="006B1555"/>
    <w:p w14:paraId="5140B20D" w14:textId="77777777" w:rsidR="006B1555" w:rsidRPr="00F24067" w:rsidRDefault="006B1555" w:rsidP="00F24067">
      <w:r w:rsidRPr="00F24067">
        <w:t>Konkurentsiamet vajab üht täiendavat lisakohta elektri ja gaasi hulgituru järelevalve teostamiseks. REMIT määruse järelevalvega seotud kulud kaetakse järelevalvetasudest vastavalt konkurentsiseadusele.</w:t>
      </w:r>
    </w:p>
    <w:p w14:paraId="39FB8AB8" w14:textId="77777777" w:rsidR="006B1555" w:rsidRPr="00840BB8" w:rsidRDefault="006B1555" w:rsidP="006B1555">
      <w:pPr>
        <w:pStyle w:val="Kehatekst"/>
        <w:spacing w:before="0" w:after="0"/>
      </w:pPr>
      <w:r>
        <w:t xml:space="preserve"> </w:t>
      </w:r>
    </w:p>
    <w:p w14:paraId="02058133" w14:textId="77777777" w:rsidR="006B1555" w:rsidRDefault="006B1555" w:rsidP="006B1555">
      <w:pPr>
        <w:pStyle w:val="Kehatekst"/>
        <w:spacing w:before="0" w:after="0"/>
        <w:rPr>
          <w:b/>
        </w:rPr>
      </w:pPr>
      <w:r w:rsidRPr="009C62B1">
        <w:rPr>
          <w:b/>
        </w:rPr>
        <w:t>8. Rakendusaktid</w:t>
      </w:r>
    </w:p>
    <w:p w14:paraId="283A3887" w14:textId="77777777" w:rsidR="006B1555" w:rsidRPr="009C62B1" w:rsidRDefault="006B1555" w:rsidP="006B1555">
      <w:pPr>
        <w:pStyle w:val="Kehatekst"/>
        <w:spacing w:before="0" w:after="0"/>
        <w:rPr>
          <w:b/>
        </w:rPr>
      </w:pPr>
    </w:p>
    <w:p w14:paraId="5C9752F5" w14:textId="77777777" w:rsidR="006B1555" w:rsidRDefault="006B1555" w:rsidP="006B1555">
      <w:pPr>
        <w:rPr>
          <w:rFonts w:eastAsia="Times New Roman" w:cs="Times New Roman"/>
          <w:color w:val="000000"/>
          <w:szCs w:val="24"/>
          <w:lang w:eastAsia="et-EE"/>
        </w:rPr>
      </w:pPr>
      <w:r>
        <w:t>Eelnõu ELTS § 76</w:t>
      </w:r>
      <w:r w:rsidRPr="00AD7A06">
        <w:rPr>
          <w:vertAlign w:val="superscript"/>
        </w:rPr>
        <w:t>1</w:t>
      </w:r>
      <w:r>
        <w:t xml:space="preserve"> lõike 2</w:t>
      </w:r>
      <w:r w:rsidRPr="00AD7A06">
        <w:rPr>
          <w:vertAlign w:val="superscript"/>
        </w:rPr>
        <w:t>5</w:t>
      </w:r>
      <w:r>
        <w:t xml:space="preserve"> kohaselt muudetakse m</w:t>
      </w:r>
      <w:r w:rsidRPr="003C4A56">
        <w:t>ajandus- ja taristuminis</w:t>
      </w:r>
      <w:r>
        <w:t>tri 05.02.2019. a määrust nr 10 „</w:t>
      </w:r>
      <w:r w:rsidRPr="003C4A56">
        <w:t>Elektrituru toimimise võrgueeskiri</w:t>
      </w:r>
      <w:r>
        <w:t>“ (lisa 3), milles sätestatakse ü</w:t>
      </w:r>
      <w:r w:rsidRPr="006F4C36">
        <w:t>ldteenuse osutami</w:t>
      </w:r>
      <w:r>
        <w:t>se</w:t>
      </w:r>
      <w:r w:rsidRPr="006F4C36">
        <w:t xml:space="preserve"> konkursi algatamise kord</w:t>
      </w:r>
      <w:r>
        <w:t xml:space="preserve"> ning ELTS § 65</w:t>
      </w:r>
      <w:r w:rsidRPr="00AD7A06">
        <w:rPr>
          <w:vertAlign w:val="superscript"/>
        </w:rPr>
        <w:t>1</w:t>
      </w:r>
      <w:r>
        <w:t xml:space="preserve"> lg 1 kohaselt muudetakse Vabariigi Valitsuse</w:t>
      </w:r>
      <w:r w:rsidRPr="00950871">
        <w:rPr>
          <w:rFonts w:ascii="Arial" w:hAnsi="Arial" w:cs="Arial"/>
          <w:color w:val="202020"/>
          <w:sz w:val="21"/>
          <w:szCs w:val="21"/>
          <w:shd w:val="clear" w:color="auto" w:fill="FFFFFF"/>
        </w:rPr>
        <w:t xml:space="preserve"> </w:t>
      </w:r>
      <w:r w:rsidRPr="00950871">
        <w:t>14.02.2019</w:t>
      </w:r>
      <w:r>
        <w:t>. a määrust</w:t>
      </w:r>
      <w:r w:rsidRPr="00950871">
        <w:t xml:space="preserve"> nr 10</w:t>
      </w:r>
      <w:r>
        <w:t xml:space="preserve"> „Elektrisüsteemi toimimise võrgueeskiri“, milles sätestatakse nõuded v</w:t>
      </w:r>
      <w:r w:rsidRPr="06A45405">
        <w:rPr>
          <w:rFonts w:eastAsia="Times New Roman" w:cs="Times New Roman"/>
          <w:color w:val="000000"/>
          <w:szCs w:val="24"/>
          <w:lang w:eastAsia="et-EE"/>
        </w:rPr>
        <w:t>õrguteenuse osutamiseks ja kasutamiseks tarvitatav</w:t>
      </w:r>
      <w:r>
        <w:rPr>
          <w:rFonts w:eastAsia="Times New Roman" w:cs="Times New Roman"/>
          <w:color w:val="000000"/>
          <w:szCs w:val="24"/>
          <w:lang w:eastAsia="et-EE"/>
        </w:rPr>
        <w:t>a</w:t>
      </w:r>
      <w:r w:rsidRPr="06A45405">
        <w:rPr>
          <w:rFonts w:eastAsia="Times New Roman" w:cs="Times New Roman"/>
          <w:color w:val="000000"/>
          <w:szCs w:val="24"/>
          <w:lang w:eastAsia="et-EE"/>
        </w:rPr>
        <w:t xml:space="preserve"> riist- või tarkvara</w:t>
      </w:r>
      <w:r>
        <w:rPr>
          <w:rFonts w:eastAsia="Times New Roman" w:cs="Times New Roman"/>
          <w:color w:val="000000"/>
          <w:szCs w:val="24"/>
          <w:lang w:eastAsia="et-EE"/>
        </w:rPr>
        <w:t xml:space="preserve"> hankimiseks. </w:t>
      </w:r>
    </w:p>
    <w:p w14:paraId="34566F86" w14:textId="77777777" w:rsidR="006B1555" w:rsidRDefault="006B1555" w:rsidP="006B1555">
      <w:pPr>
        <w:rPr>
          <w:rFonts w:eastAsia="Times New Roman" w:cs="Times New Roman"/>
          <w:color w:val="000000"/>
          <w:szCs w:val="24"/>
          <w:lang w:eastAsia="et-EE"/>
        </w:rPr>
      </w:pPr>
    </w:p>
    <w:p w14:paraId="73013E72" w14:textId="77777777" w:rsidR="006B1555" w:rsidRDefault="006B1555" w:rsidP="006B1555">
      <w:r w:rsidRPr="006F3138">
        <w:rPr>
          <w:rFonts w:eastAsia="Times New Roman" w:cs="Times New Roman"/>
          <w:color w:val="000000"/>
          <w:szCs w:val="24"/>
          <w:lang w:eastAsia="et-EE"/>
        </w:rPr>
        <w:t>Kehtestatakse uus energeetika- ja keskkonnaministri määrus „Reservvõimsuse mehhanismi rahastamisega seotud tippnõudluse perioodi ajavahemike kehtestamine“, milles sätestatakse tippnõudluse perioodi ajavahemikud.</w:t>
      </w:r>
    </w:p>
    <w:p w14:paraId="11C5824B" w14:textId="77777777" w:rsidR="006B1555" w:rsidRDefault="006B1555" w:rsidP="006B1555">
      <w:pPr>
        <w:rPr>
          <w:rFonts w:cs="Times New Roman"/>
          <w:color w:val="FF0000"/>
          <w:szCs w:val="24"/>
        </w:rPr>
      </w:pPr>
    </w:p>
    <w:p w14:paraId="612439DB" w14:textId="77777777" w:rsidR="006B1555" w:rsidRDefault="006B1555" w:rsidP="006B1555">
      <w:pPr>
        <w:rPr>
          <w:b/>
        </w:rPr>
      </w:pPr>
      <w:r w:rsidRPr="009C62B1">
        <w:rPr>
          <w:b/>
        </w:rPr>
        <w:t>9. Seaduse jõustumine</w:t>
      </w:r>
    </w:p>
    <w:p w14:paraId="45CC72C1" w14:textId="77777777" w:rsidR="006B1555" w:rsidRPr="00874322" w:rsidRDefault="006B1555" w:rsidP="006B1555">
      <w:pPr>
        <w:rPr>
          <w:b/>
        </w:rPr>
      </w:pPr>
    </w:p>
    <w:p w14:paraId="4F5B3B0B" w14:textId="50083FF7" w:rsidR="006B1555" w:rsidRPr="00EF59F8" w:rsidRDefault="006B1555" w:rsidP="006B1555">
      <w:pPr>
        <w:tabs>
          <w:tab w:val="left" w:pos="1956"/>
        </w:tabs>
        <w:rPr>
          <w:szCs w:val="24"/>
        </w:rPr>
      </w:pPr>
      <w:r w:rsidRPr="002A7890">
        <w:t xml:space="preserve">Käesoleva seaduse § 1 punktid </w:t>
      </w:r>
      <w:r>
        <w:t>47</w:t>
      </w:r>
      <w:r w:rsidRPr="002A7890">
        <w:t xml:space="preserve">, </w:t>
      </w:r>
      <w:r>
        <w:t>51, 53, 54, 56</w:t>
      </w:r>
      <w:r w:rsidRPr="005F54EA">
        <w:t>–</w:t>
      </w:r>
      <w:r>
        <w:t>63</w:t>
      </w:r>
      <w:r w:rsidRPr="005F54EA">
        <w:t xml:space="preserve">, </w:t>
      </w:r>
      <w:r>
        <w:t>68</w:t>
      </w:r>
      <w:r w:rsidRPr="005F54EA">
        <w:t xml:space="preserve"> ja § </w:t>
      </w:r>
      <w:r>
        <w:t>2</w:t>
      </w:r>
      <w:r w:rsidRPr="005F54EA">
        <w:t xml:space="preserve"> jõustuvad 2026. aasta 1. mail</w:t>
      </w:r>
      <w:r>
        <w:t>.</w:t>
      </w:r>
      <w:r w:rsidRPr="005F54EA">
        <w:t xml:space="preserve"> </w:t>
      </w:r>
      <w:r>
        <w:rPr>
          <w:szCs w:val="24"/>
        </w:rPr>
        <w:t xml:space="preserve">Hiljemalt 8. maiks 2026 tuleb Eestil teavitada komisjoni REMIT määruse artikli 18 kohaselt vastuvõetavatest õigusnormidest, mistõttu jõustub regulatsioon 1. mail. </w:t>
      </w:r>
      <w:r w:rsidRPr="00EF59F8">
        <w:rPr>
          <w:szCs w:val="24"/>
        </w:rPr>
        <w:t xml:space="preserve">Karistusi, mis põhinevad suuremal trahvimääral, saab hakata määrama või mõistma nendele isikutele, kes panevad teo toime 1. </w:t>
      </w:r>
      <w:r>
        <w:rPr>
          <w:szCs w:val="24"/>
        </w:rPr>
        <w:t>mai</w:t>
      </w:r>
      <w:r w:rsidRPr="00EF59F8">
        <w:rPr>
          <w:szCs w:val="24"/>
        </w:rPr>
        <w:t>l 2026 või pärast seda. Kui isik on teo toime pannud 3</w:t>
      </w:r>
      <w:r>
        <w:rPr>
          <w:szCs w:val="24"/>
        </w:rPr>
        <w:t>0</w:t>
      </w:r>
      <w:r w:rsidRPr="00EF59F8">
        <w:rPr>
          <w:szCs w:val="24"/>
        </w:rPr>
        <w:t>.</w:t>
      </w:r>
      <w:r>
        <w:rPr>
          <w:szCs w:val="24"/>
        </w:rPr>
        <w:t> aprillil</w:t>
      </w:r>
      <w:r w:rsidRPr="00EF59F8">
        <w:rPr>
          <w:szCs w:val="24"/>
        </w:rPr>
        <w:t xml:space="preserve"> 202</w:t>
      </w:r>
      <w:r>
        <w:rPr>
          <w:szCs w:val="24"/>
        </w:rPr>
        <w:t>6</w:t>
      </w:r>
      <w:r w:rsidRPr="00EF59F8">
        <w:rPr>
          <w:szCs w:val="24"/>
        </w:rPr>
        <w:t>, st enne seadusemuudatuse jõustumist, kohaldatakse tema karistamisel enne 1.</w:t>
      </w:r>
      <w:r>
        <w:rPr>
          <w:szCs w:val="24"/>
        </w:rPr>
        <w:t> maid</w:t>
      </w:r>
      <w:r w:rsidRPr="00EF59F8">
        <w:rPr>
          <w:szCs w:val="24"/>
        </w:rPr>
        <w:t xml:space="preserve"> 2026 kehtinud trahvimäärasid.</w:t>
      </w:r>
    </w:p>
    <w:p w14:paraId="79F4E22B" w14:textId="77777777" w:rsidR="006B1555" w:rsidRDefault="006B1555" w:rsidP="006B1555">
      <w:pPr>
        <w:tabs>
          <w:tab w:val="left" w:pos="1956"/>
        </w:tabs>
      </w:pPr>
    </w:p>
    <w:p w14:paraId="42958F45" w14:textId="454CAAD4" w:rsidR="006B1555" w:rsidRPr="00950871" w:rsidRDefault="006B1555" w:rsidP="006B1555">
      <w:pPr>
        <w:tabs>
          <w:tab w:val="left" w:pos="1956"/>
        </w:tabs>
        <w:rPr>
          <w:rFonts w:cs="Times New Roman"/>
        </w:rPr>
      </w:pPr>
      <w:r>
        <w:t>Käesoleva seaduse</w:t>
      </w:r>
      <w:r w:rsidRPr="005F54EA">
        <w:t xml:space="preserve"> § 1 punktid </w:t>
      </w:r>
      <w:r>
        <w:t>23</w:t>
      </w:r>
      <w:r w:rsidRPr="005F54EA">
        <w:t xml:space="preserve">, </w:t>
      </w:r>
      <w:r>
        <w:t>28</w:t>
      </w:r>
      <w:r w:rsidRPr="005F54EA">
        <w:t xml:space="preserve"> ja </w:t>
      </w:r>
      <w:r>
        <w:t>66</w:t>
      </w:r>
      <w:r w:rsidRPr="005F54EA">
        <w:t xml:space="preserve"> jõustuvad </w:t>
      </w:r>
      <w:r w:rsidR="00121F58">
        <w:t>2028. aasta 31. märtsil</w:t>
      </w:r>
      <w:r w:rsidRPr="002A7890">
        <w:t>.</w:t>
      </w:r>
      <w:r>
        <w:t xml:space="preserve"> </w:t>
      </w:r>
      <w:r>
        <w:rPr>
          <w:rFonts w:cs="Times New Roman"/>
        </w:rPr>
        <w:t>Need punktid jõustuvad hiljem, et anda Konkurentsiametile ja võrguettevõtjatele pikem aeg korteriühistutes energiajagamisega seoses vajalikeks ettevalmistusteks.</w:t>
      </w:r>
      <w:r w:rsidRPr="00AB7239">
        <w:t xml:space="preserve"> </w:t>
      </w:r>
    </w:p>
    <w:p w14:paraId="7EA62972" w14:textId="77777777" w:rsidR="006B1555" w:rsidRDefault="006B1555" w:rsidP="006B1555">
      <w:pPr>
        <w:tabs>
          <w:tab w:val="left" w:pos="1956"/>
        </w:tabs>
      </w:pPr>
    </w:p>
    <w:p w14:paraId="47910362" w14:textId="77777777" w:rsidR="006B1555" w:rsidRDefault="006B1555" w:rsidP="006B1555">
      <w:pPr>
        <w:tabs>
          <w:tab w:val="left" w:pos="1956"/>
        </w:tabs>
      </w:pPr>
      <w:r>
        <w:lastRenderedPageBreak/>
        <w:t>Ülejäänud muudatused jõustuvad üldises korras. Jõustumisel ei nähta ette pikemat aega rikkumismenetluse vältimiseks, kuna nende sätetega seotud direktiivi ülevõtmise tähtaeg oli 17. jaanuar 2025.</w:t>
      </w:r>
    </w:p>
    <w:p w14:paraId="213BA1F1" w14:textId="77777777" w:rsidR="006B1555" w:rsidRPr="004335F1" w:rsidRDefault="006B1555" w:rsidP="006B1555">
      <w:pPr>
        <w:tabs>
          <w:tab w:val="left" w:pos="1956"/>
        </w:tabs>
        <w:rPr>
          <w:bCs/>
        </w:rPr>
      </w:pPr>
    </w:p>
    <w:p w14:paraId="07C05E24" w14:textId="77777777" w:rsidR="006B1555" w:rsidRDefault="006B1555" w:rsidP="006B1555">
      <w:pPr>
        <w:tabs>
          <w:tab w:val="left" w:pos="1956"/>
        </w:tabs>
        <w:rPr>
          <w:b/>
        </w:rPr>
      </w:pPr>
      <w:r w:rsidRPr="009C62B1">
        <w:rPr>
          <w:b/>
        </w:rPr>
        <w:t>1</w:t>
      </w:r>
      <w:r>
        <w:rPr>
          <w:b/>
        </w:rPr>
        <w:t>0</w:t>
      </w:r>
      <w:r w:rsidRPr="009C62B1">
        <w:rPr>
          <w:b/>
        </w:rPr>
        <w:t>. Seaduseelnõu kooskõlastamine, huvirühmade kaasamine ja avalik konsultatsioon</w:t>
      </w:r>
    </w:p>
    <w:p w14:paraId="79E83868" w14:textId="77777777" w:rsidR="006B1555" w:rsidRDefault="006B1555" w:rsidP="006B1555">
      <w:pPr>
        <w:tabs>
          <w:tab w:val="left" w:pos="1956"/>
        </w:tabs>
        <w:rPr>
          <w:b/>
        </w:rPr>
      </w:pPr>
    </w:p>
    <w:p w14:paraId="5CC8E9DC" w14:textId="77777777" w:rsidR="006B1555" w:rsidRPr="006F3138" w:rsidRDefault="006B1555" w:rsidP="006B1555">
      <w:pPr>
        <w:tabs>
          <w:tab w:val="left" w:pos="1956"/>
        </w:tabs>
      </w:pPr>
      <w:r w:rsidRPr="006F3138">
        <w:t xml:space="preserve">Eelnõu esitati kooskõlastamiseks eelnõude infosüsteemi (EIS) kaudu Rahandusministeeriumile ja Justiits- ja Digiministeeriumile ning märkuste esitamiseks Konkurentsiametile ja turuosalistele. </w:t>
      </w:r>
      <w:r>
        <w:t>Justiits- ja Digiministeerium jättis eelnõu</w:t>
      </w:r>
      <w:r w:rsidRPr="006F3138">
        <w:t xml:space="preserve"> kooskõlasta</w:t>
      </w:r>
      <w:r>
        <w:t>mata seletuskirja halduskoormuse suurendamise ja vähendamise mitte piisava kirjelduse osas. K</w:t>
      </w:r>
      <w:r w:rsidRPr="006F3138">
        <w:t>ooskõlastamata jätmise põhjused on</w:t>
      </w:r>
      <w:r>
        <w:t xml:space="preserve"> parandatud ning Justiits- ja Digi</w:t>
      </w:r>
      <w:r w:rsidRPr="006F3138">
        <w:t>ministeeriumiga eraldi läbi</w:t>
      </w:r>
      <w:r>
        <w:t xml:space="preserve"> </w:t>
      </w:r>
      <w:r w:rsidRPr="006F3138">
        <w:t xml:space="preserve">räägitud ja sellega </w:t>
      </w:r>
      <w:r>
        <w:t xml:space="preserve">on </w:t>
      </w:r>
      <w:r w:rsidRPr="006F3138">
        <w:t xml:space="preserve">kooskõlastamata jätmise põhjused eemaldatud. Laekunud ettepanekud ja märkused on toodud käesoleva seletuskirja lisas 2 kajastatud ettepanekute tabelis. </w:t>
      </w:r>
    </w:p>
    <w:p w14:paraId="22C09555" w14:textId="77777777" w:rsidR="006B1555" w:rsidRPr="006F3138" w:rsidRDefault="006B1555" w:rsidP="006B1555">
      <w:pPr>
        <w:tabs>
          <w:tab w:val="left" w:pos="1956"/>
        </w:tabs>
      </w:pPr>
    </w:p>
    <w:p w14:paraId="512DB3BF" w14:textId="77777777" w:rsidR="006B1555" w:rsidRPr="00AD7A06" w:rsidRDefault="006B1555" w:rsidP="006B1555">
      <w:pPr>
        <w:spacing w:before="240" w:after="120"/>
        <w:contextualSpacing/>
        <w:rPr>
          <w:rFonts w:eastAsia="SimSun" w:cs="Times New Roman"/>
        </w:rPr>
      </w:pPr>
      <w:r w:rsidRPr="006F3138">
        <w:t xml:space="preserve">Eelnõu on täiendatud </w:t>
      </w:r>
      <w:r w:rsidRPr="000911C2">
        <w:rPr>
          <w:rFonts w:eastAsia="SimSun" w:cs="Times New Roman"/>
        </w:rPr>
        <w:t>elutähtsa teenuse osutaja määratluse</w:t>
      </w:r>
      <w:r>
        <w:rPr>
          <w:rFonts w:eastAsia="SimSun" w:cs="Times New Roman"/>
        </w:rPr>
        <w:t xml:space="preserve"> muudatusega, r</w:t>
      </w:r>
      <w:r w:rsidRPr="000911C2">
        <w:rPr>
          <w:rFonts w:eastAsia="SimSun" w:cs="Times New Roman"/>
        </w:rPr>
        <w:t>eservvõimsuse mehhanismi rahastamise kulu jagunemi</w:t>
      </w:r>
      <w:r>
        <w:rPr>
          <w:rFonts w:eastAsia="SimSun" w:cs="Times New Roman"/>
        </w:rPr>
        <w:t xml:space="preserve">se alustega ja </w:t>
      </w:r>
      <w:r w:rsidRPr="000911C2">
        <w:rPr>
          <w:rFonts w:eastAsia="SimSun" w:cs="Times New Roman"/>
        </w:rPr>
        <w:t>kompleksloaga käitiste leebema</w:t>
      </w:r>
      <w:r>
        <w:rPr>
          <w:rFonts w:eastAsia="SimSun" w:cs="Times New Roman"/>
        </w:rPr>
        <w:t>te</w:t>
      </w:r>
      <w:r w:rsidRPr="000911C2">
        <w:rPr>
          <w:rFonts w:eastAsia="SimSun" w:cs="Times New Roman"/>
        </w:rPr>
        <w:t xml:space="preserve"> heite piirväärtuste erand</w:t>
      </w:r>
      <w:r>
        <w:rPr>
          <w:rFonts w:eastAsia="SimSun" w:cs="Times New Roman"/>
        </w:rPr>
        <w:t>iga</w:t>
      </w:r>
      <w:r>
        <w:rPr>
          <w:bCs/>
        </w:rPr>
        <w:t xml:space="preserve">, mis </w:t>
      </w:r>
      <w:r w:rsidRPr="006F3138">
        <w:t>on eraldi kooskõlastatud sihtrühmadega</w:t>
      </w:r>
      <w:r w:rsidRPr="006F3138">
        <w:rPr>
          <w:bCs/>
        </w:rPr>
        <w:t>.</w:t>
      </w:r>
      <w:r>
        <w:rPr>
          <w:bCs/>
        </w:rPr>
        <w:t xml:space="preserve"> </w:t>
      </w:r>
    </w:p>
    <w:p w14:paraId="6155865E" w14:textId="77777777" w:rsidR="006B1555" w:rsidRDefault="006B1555" w:rsidP="006B1555">
      <w:pPr>
        <w:tabs>
          <w:tab w:val="left" w:pos="1956"/>
        </w:tabs>
        <w:rPr>
          <w:bCs/>
        </w:rPr>
      </w:pPr>
    </w:p>
    <w:p w14:paraId="2910B824" w14:textId="77777777" w:rsidR="006B1555" w:rsidRDefault="006B1555" w:rsidP="006B1555">
      <w:pPr>
        <w:tabs>
          <w:tab w:val="left" w:pos="1956"/>
        </w:tabs>
      </w:pPr>
      <w:r>
        <w:rPr>
          <w:bCs/>
        </w:rPr>
        <w:t xml:space="preserve">Eelnõu saadetakse sihtrühmadele teadmiseks. </w:t>
      </w:r>
    </w:p>
    <w:p w14:paraId="0174F774" w14:textId="77777777" w:rsidR="006B1555" w:rsidRDefault="006B1555" w:rsidP="006B1555">
      <w:pPr>
        <w:tabs>
          <w:tab w:val="left" w:pos="1956"/>
        </w:tabs>
      </w:pPr>
    </w:p>
    <w:p w14:paraId="7F45BD5B" w14:textId="77777777" w:rsidR="006B1555" w:rsidRPr="00174162" w:rsidRDefault="006B1555" w:rsidP="006B1555">
      <w:pPr>
        <w:pStyle w:val="Standard"/>
        <w:pBdr>
          <w:bottom w:val="single" w:sz="12" w:space="31" w:color="auto"/>
        </w:pBdr>
        <w:spacing w:line="200" w:lineRule="atLeast"/>
      </w:pPr>
      <w:r w:rsidRPr="00174162">
        <w:t>Lisa 1. Vastavustabel</w:t>
      </w:r>
    </w:p>
    <w:p w14:paraId="317E504F" w14:textId="77777777" w:rsidR="006B1555" w:rsidRDefault="006B1555" w:rsidP="006B1555">
      <w:pPr>
        <w:pStyle w:val="Standard"/>
        <w:pBdr>
          <w:bottom w:val="single" w:sz="12" w:space="31" w:color="auto"/>
        </w:pBdr>
        <w:spacing w:line="200" w:lineRule="atLeast"/>
      </w:pPr>
      <w:r w:rsidRPr="00174162">
        <w:t>Lisa 2. Ettepanekute tabel</w:t>
      </w:r>
    </w:p>
    <w:p w14:paraId="0A96A823" w14:textId="6A575D82" w:rsidR="00084BAB" w:rsidRDefault="00084BAB" w:rsidP="006B1555">
      <w:pPr>
        <w:pStyle w:val="Standard"/>
        <w:pBdr>
          <w:bottom w:val="single" w:sz="12" w:space="31" w:color="auto"/>
        </w:pBdr>
        <w:spacing w:line="200" w:lineRule="atLeast"/>
      </w:pPr>
      <w:r>
        <w:t>Lisa 3. Määruste kavandid</w:t>
      </w:r>
    </w:p>
    <w:p w14:paraId="55DBBCA4" w14:textId="77777777" w:rsidR="006B1555" w:rsidRPr="00674F1E" w:rsidRDefault="006B1555" w:rsidP="006B1555">
      <w:pPr>
        <w:rPr>
          <w:rFonts w:cs="Times New Roman"/>
          <w:szCs w:val="24"/>
        </w:rPr>
      </w:pPr>
      <w:r w:rsidRPr="00674F1E">
        <w:rPr>
          <w:rFonts w:cs="Times New Roman"/>
          <w:szCs w:val="24"/>
        </w:rPr>
        <w:t>Algatab Vabariigi Valitsus</w:t>
      </w:r>
      <w:r>
        <w:rPr>
          <w:rFonts w:cs="Times New Roman"/>
          <w:szCs w:val="24"/>
        </w:rPr>
        <w:t xml:space="preserve"> xx. xxxxil 2025. a</w:t>
      </w:r>
    </w:p>
    <w:p w14:paraId="69E0C687" w14:textId="77777777" w:rsidR="006B1555" w:rsidRPr="00CE1D61" w:rsidRDefault="006B1555" w:rsidP="006B1555">
      <w:pPr>
        <w:rPr>
          <w:lang w:eastAsia="et-EE"/>
        </w:rPr>
      </w:pPr>
      <w:r>
        <w:rPr>
          <w:lang w:eastAsia="et-EE"/>
        </w:rPr>
        <w:t xml:space="preserve"> </w:t>
      </w:r>
    </w:p>
    <w:p w14:paraId="6F2D18E9" w14:textId="77777777" w:rsidR="006B1555" w:rsidRPr="00CE1D61" w:rsidRDefault="006B1555" w:rsidP="006B1555">
      <w:pPr>
        <w:rPr>
          <w:lang w:eastAsia="et-EE"/>
        </w:rPr>
      </w:pPr>
    </w:p>
    <w:p w14:paraId="650F1B51" w14:textId="4CFFB4A7" w:rsidR="00CE1D61" w:rsidRPr="00CE1D61" w:rsidRDefault="00CE1D61" w:rsidP="00212DD8">
      <w:pPr>
        <w:rPr>
          <w:lang w:eastAsia="et-EE"/>
        </w:rPr>
      </w:pPr>
    </w:p>
    <w:sectPr w:rsidR="00CE1D61" w:rsidRPr="00CE1D61">
      <w:footerReference w:type="default" r:id="rId29"/>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72F45" w14:textId="77777777" w:rsidR="005853EA" w:rsidRDefault="005853EA">
      <w:r>
        <w:separator/>
      </w:r>
    </w:p>
  </w:endnote>
  <w:endnote w:type="continuationSeparator" w:id="0">
    <w:p w14:paraId="4C80A652" w14:textId="77777777" w:rsidR="005853EA" w:rsidRDefault="005853EA">
      <w:r>
        <w:continuationSeparator/>
      </w:r>
    </w:p>
  </w:endnote>
  <w:endnote w:type="continuationNotice" w:id="1">
    <w:p w14:paraId="12FACB52" w14:textId="77777777" w:rsidR="005853EA" w:rsidRDefault="005853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2442878"/>
      <w:docPartObj>
        <w:docPartGallery w:val="AutoText"/>
      </w:docPartObj>
    </w:sdtPr>
    <w:sdtEndPr/>
    <w:sdtContent>
      <w:p w14:paraId="163AB523" w14:textId="217B246A" w:rsidR="00C762A2" w:rsidRDefault="00C762A2">
        <w:pPr>
          <w:pStyle w:val="Jalus"/>
          <w:jc w:val="center"/>
        </w:pPr>
        <w:r>
          <w:fldChar w:fldCharType="begin"/>
        </w:r>
        <w:r>
          <w:instrText>PAGE   \* MERGEFORMAT</w:instrText>
        </w:r>
        <w:r>
          <w:fldChar w:fldCharType="separate"/>
        </w:r>
        <w:r>
          <w:rPr>
            <w:noProof/>
          </w:rPr>
          <w:t>22</w:t>
        </w:r>
        <w:r>
          <w:fldChar w:fldCharType="end"/>
        </w:r>
      </w:p>
    </w:sdtContent>
  </w:sdt>
  <w:p w14:paraId="6543ABC5" w14:textId="77777777" w:rsidR="00C762A2" w:rsidRDefault="00C762A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73835" w14:textId="77777777" w:rsidR="005853EA" w:rsidRDefault="005853EA">
      <w:r>
        <w:separator/>
      </w:r>
    </w:p>
  </w:footnote>
  <w:footnote w:type="continuationSeparator" w:id="0">
    <w:p w14:paraId="455F385C" w14:textId="77777777" w:rsidR="005853EA" w:rsidRDefault="005853EA">
      <w:r>
        <w:continuationSeparator/>
      </w:r>
    </w:p>
  </w:footnote>
  <w:footnote w:type="continuationNotice" w:id="1">
    <w:p w14:paraId="727BBD3E" w14:textId="77777777" w:rsidR="005853EA" w:rsidRDefault="005853EA"/>
  </w:footnote>
  <w:footnote w:id="2">
    <w:p w14:paraId="46B28772" w14:textId="77777777" w:rsidR="006B1555" w:rsidRDefault="006B1555" w:rsidP="006B1555">
      <w:pPr>
        <w:pStyle w:val="Allmrkusetekst"/>
      </w:pPr>
      <w:r>
        <w:rPr>
          <w:rStyle w:val="Allmrkuseviide"/>
        </w:rPr>
        <w:footnoteRef/>
      </w:r>
      <w:r>
        <w:t xml:space="preserve"> Euroopa Parlamendi ja nõukogu määrus (EL) 2024/1106, 11. aprill 2024, millega muudetakse määrusi (EL) nr 1227/2011 ja (EL) 2019/942, et parandada liidu kaitset turuga manipuleerimise eest energia hulgimüügiturul, </w:t>
      </w:r>
      <w:hyperlink r:id="rId1" w:history="1">
        <w:r w:rsidRPr="00D1470E">
          <w:rPr>
            <w:rStyle w:val="Hperlink"/>
          </w:rPr>
          <w:t>https://eur-lex.europa.eu/legal-content/EN/TXT/?uri=CELEX%3A32024R1106</w:t>
        </w:r>
      </w:hyperlink>
    </w:p>
  </w:footnote>
  <w:footnote w:id="3">
    <w:p w14:paraId="1E3EE293" w14:textId="3256D997" w:rsidR="008F06B3" w:rsidRDefault="008F06B3">
      <w:pPr>
        <w:pStyle w:val="Allmrkusetekst"/>
      </w:pPr>
      <w:r>
        <w:rPr>
          <w:rStyle w:val="Allmrkuseviide"/>
        </w:rPr>
        <w:footnoteRef/>
      </w:r>
      <w:r>
        <w:t xml:space="preserve"> REMIT määrus - </w:t>
      </w:r>
      <w:hyperlink r:id="rId2" w:history="1">
        <w:r w:rsidRPr="009324C7">
          <w:rPr>
            <w:rStyle w:val="Hperlink"/>
          </w:rPr>
          <w:t>https://eur-lex.europa.eu/legal-content/ET/ALL/?uri=celex%3A32011R1227</w:t>
        </w:r>
      </w:hyperlink>
    </w:p>
  </w:footnote>
  <w:footnote w:id="4">
    <w:p w14:paraId="4C5DC33D" w14:textId="49BE0ADD" w:rsidR="00F24067" w:rsidRDefault="00F24067">
      <w:pPr>
        <w:pStyle w:val="Allmrkusetekst"/>
      </w:pPr>
      <w:r>
        <w:rPr>
          <w:rStyle w:val="Allmrkuseviide"/>
        </w:rPr>
        <w:footnoteRef/>
      </w:r>
      <w:r>
        <w:t xml:space="preserve"> </w:t>
      </w:r>
      <w:r w:rsidR="00F9569B" w:rsidRPr="00F9569B">
        <w:t>https://competition-cases.ec.europa.eu/cases/SA.112459</w:t>
      </w:r>
    </w:p>
  </w:footnote>
  <w:footnote w:id="5">
    <w:p w14:paraId="4A030D6F" w14:textId="77777777" w:rsidR="006B1555" w:rsidRDefault="006B1555" w:rsidP="006B1555">
      <w:pPr>
        <w:pStyle w:val="Allmrkusetekst"/>
      </w:pPr>
      <w:r>
        <w:rPr>
          <w:rStyle w:val="Allmrkuseviide"/>
        </w:rPr>
        <w:footnoteRef/>
      </w:r>
      <w:r>
        <w:t xml:space="preserve"> </w:t>
      </w:r>
      <w:hyperlink r:id="rId3" w:history="1">
        <w:r w:rsidRPr="00700C75">
          <w:rPr>
            <w:rStyle w:val="Hperlink"/>
            <w:rFonts w:cs="Times New Roman"/>
          </w:rPr>
          <w:t>Varustuskindluse aruanne 2024</w:t>
        </w:r>
      </w:hyperlink>
    </w:p>
  </w:footnote>
  <w:footnote w:id="6">
    <w:p w14:paraId="7227402D" w14:textId="77777777" w:rsidR="006B1555" w:rsidRDefault="006B1555" w:rsidP="006B1555">
      <w:pPr>
        <w:pStyle w:val="Allmrkusetekst"/>
      </w:pPr>
      <w:r>
        <w:rPr>
          <w:rStyle w:val="Allmrkuseviide"/>
        </w:rPr>
        <w:footnoteRef/>
      </w:r>
      <w:r>
        <w:t xml:space="preserve"> </w:t>
      </w:r>
      <w:hyperlink r:id="rId4" w:history="1">
        <w:r w:rsidRPr="00700C75">
          <w:rPr>
            <w:rStyle w:val="Hperlink"/>
            <w:rFonts w:cs="Times New Roman"/>
          </w:rPr>
          <w:t>Välisluureameti aastaraport 2024</w:t>
        </w:r>
      </w:hyperlink>
    </w:p>
  </w:footnote>
  <w:footnote w:id="7">
    <w:p w14:paraId="66D5EAEB" w14:textId="77777777" w:rsidR="006B1555" w:rsidRDefault="006B1555" w:rsidP="006B1555">
      <w:pPr>
        <w:pStyle w:val="Allmrkusetekst"/>
      </w:pPr>
      <w:r>
        <w:rPr>
          <w:rStyle w:val="Allmrkuseviide"/>
        </w:rPr>
        <w:footnoteRef/>
      </w:r>
      <w:r>
        <w:t xml:space="preserve"> </w:t>
      </w:r>
      <w:hyperlink r:id="rId5" w:history="1">
        <w:r w:rsidRPr="00700C75">
          <w:rPr>
            <w:rStyle w:val="Hperlink"/>
            <w:rFonts w:cs="Times New Roman"/>
          </w:rPr>
          <w:t>Kaitsepolitseiameti Aastaraamat 2024-2025</w:t>
        </w:r>
      </w:hyperlink>
    </w:p>
  </w:footnote>
  <w:footnote w:id="8">
    <w:p w14:paraId="37A21ADB" w14:textId="77777777" w:rsidR="006B1555" w:rsidRDefault="006B1555" w:rsidP="006B1555">
      <w:pPr>
        <w:pStyle w:val="Allmrkusetekst"/>
      </w:pPr>
      <w:r>
        <w:rPr>
          <w:rStyle w:val="Allmrkuseviide"/>
        </w:rPr>
        <w:footnoteRef/>
      </w:r>
      <w:r>
        <w:t xml:space="preserve"> </w:t>
      </w:r>
      <w:hyperlink r:id="rId6" w:history="1">
        <w:r w:rsidRPr="00700C75">
          <w:rPr>
            <w:rStyle w:val="Hperlink"/>
            <w:rFonts w:cs="Times New Roman"/>
          </w:rPr>
          <w:t>Energeetikasektori küberriskianalüüs 2024</w:t>
        </w:r>
      </w:hyperlink>
    </w:p>
  </w:footnote>
  <w:footnote w:id="9">
    <w:p w14:paraId="60ED0319" w14:textId="77777777" w:rsidR="006B1555" w:rsidRDefault="006B1555" w:rsidP="006B1555">
      <w:pPr>
        <w:pStyle w:val="Allmrkusetekst"/>
      </w:pPr>
      <w:r>
        <w:rPr>
          <w:rStyle w:val="Allmrkuseviide"/>
        </w:rPr>
        <w:footnoteRef/>
      </w:r>
      <w:r>
        <w:t xml:space="preserve"> </w:t>
      </w:r>
      <w:hyperlink r:id="rId7" w:history="1">
        <w:r w:rsidRPr="00700C75">
          <w:rPr>
            <w:rStyle w:val="Hperlink"/>
            <w:rFonts w:cs="Times New Roman"/>
          </w:rPr>
          <w:t>Ohuhinnangud erinevate riskide näitel</w:t>
        </w:r>
      </w:hyperlink>
    </w:p>
  </w:footnote>
  <w:footnote w:id="10">
    <w:p w14:paraId="7F9CB11E" w14:textId="77777777" w:rsidR="006B1555" w:rsidRDefault="006B1555" w:rsidP="006B1555">
      <w:pPr>
        <w:pStyle w:val="Allmrkusetekst"/>
      </w:pPr>
      <w:r>
        <w:rPr>
          <w:rStyle w:val="Allmrkuseviide"/>
        </w:rPr>
        <w:footnoteRef/>
      </w:r>
      <w:r>
        <w:t xml:space="preserve"> Elering. </w:t>
      </w:r>
      <w:hyperlink r:id="rId8" w:history="1">
        <w:r w:rsidRPr="006B1941">
          <w:rPr>
            <w:rStyle w:val="Hperlink"/>
          </w:rPr>
          <w:t>Varustuskindluse aruanne 2024</w:t>
        </w:r>
      </w:hyperlink>
    </w:p>
  </w:footnote>
  <w:footnote w:id="11">
    <w:p w14:paraId="3943C056" w14:textId="77777777" w:rsidR="006B1555" w:rsidRDefault="006B1555" w:rsidP="006B1555">
      <w:pPr>
        <w:pStyle w:val="Allmrkusetekst"/>
      </w:pPr>
      <w:r>
        <w:rPr>
          <w:rStyle w:val="Allmrkuseviide"/>
        </w:rPr>
        <w:footnoteRef/>
      </w:r>
      <w:r>
        <w:t xml:space="preserve"> Elering. </w:t>
      </w:r>
      <w:hyperlink r:id="rId9" w:history="1">
        <w:r w:rsidRPr="006B1941">
          <w:rPr>
            <w:rStyle w:val="Hperlink"/>
          </w:rPr>
          <w:t>Varustuskindluse aruanne 2024</w:t>
        </w:r>
      </w:hyperlink>
    </w:p>
  </w:footnote>
  <w:footnote w:id="12">
    <w:p w14:paraId="77368791" w14:textId="77777777" w:rsidR="006B1555" w:rsidRDefault="006B1555" w:rsidP="006B1555">
      <w:pPr>
        <w:pStyle w:val="Allmrkusetekst"/>
      </w:pPr>
      <w:r>
        <w:rPr>
          <w:rStyle w:val="Allmrkuseviide"/>
        </w:rPr>
        <w:footnoteRef/>
      </w:r>
      <w:r>
        <w:t xml:space="preserve"> Elering. </w:t>
      </w:r>
      <w:hyperlink r:id="rId10" w:history="1">
        <w:r w:rsidRPr="006B1941">
          <w:rPr>
            <w:rStyle w:val="Hperlink"/>
          </w:rPr>
          <w:t>Varustuskindluse aruanne 2024</w:t>
        </w:r>
      </w:hyperlink>
    </w:p>
  </w:footnote>
  <w:footnote w:id="13">
    <w:p w14:paraId="01FBCE33" w14:textId="77777777" w:rsidR="006B1555" w:rsidRDefault="006B1555" w:rsidP="006B1555">
      <w:pPr>
        <w:pStyle w:val="Allmrkusetekst"/>
      </w:pPr>
      <w:r>
        <w:rPr>
          <w:rStyle w:val="Allmrkuseviide"/>
        </w:rPr>
        <w:footnoteRef/>
      </w:r>
      <w:r>
        <w:t xml:space="preserve"> </w:t>
      </w:r>
      <w:hyperlink r:id="rId11" w:history="1">
        <w:r w:rsidRPr="00D950C9">
          <w:rPr>
            <w:rStyle w:val="Hperlink"/>
          </w:rPr>
          <w:t>Tuuleenergia Assotsiatsioon</w:t>
        </w:r>
      </w:hyperlink>
    </w:p>
  </w:footnote>
  <w:footnote w:id="14">
    <w:p w14:paraId="34222C35" w14:textId="77777777" w:rsidR="006B1555" w:rsidRDefault="006B1555" w:rsidP="006B1555">
      <w:pPr>
        <w:pStyle w:val="Allmrkusetekst"/>
      </w:pPr>
      <w:r>
        <w:rPr>
          <w:rStyle w:val="Allmrkuseviide"/>
        </w:rPr>
        <w:footnoteRef/>
      </w:r>
      <w:r>
        <w:t xml:space="preserve"> </w:t>
      </w:r>
      <w:hyperlink r:id="rId12" w:history="1">
        <w:r w:rsidRPr="00094DE6">
          <w:rPr>
            <w:rStyle w:val="Hperlink"/>
          </w:rPr>
          <w:t>Elering: Tarbimine ja tootmine</w:t>
        </w:r>
      </w:hyperlink>
    </w:p>
  </w:footnote>
  <w:footnote w:id="15">
    <w:p w14:paraId="1E06B125" w14:textId="77777777" w:rsidR="006B1555" w:rsidRDefault="006B1555" w:rsidP="006B1555">
      <w:pPr>
        <w:pStyle w:val="Allmrkusetekst"/>
      </w:pPr>
      <w:r>
        <w:rPr>
          <w:rStyle w:val="Allmrkuseviide"/>
        </w:rPr>
        <w:footnoteRef/>
      </w:r>
      <w:r>
        <w:t xml:space="preserve"> Elering. </w:t>
      </w:r>
      <w:hyperlink r:id="rId13" w:history="1">
        <w:r w:rsidRPr="0026799A">
          <w:rPr>
            <w:rStyle w:val="Hperlink"/>
          </w:rPr>
          <w:t>Võrguga ühendatud tootmismoodulid.</w:t>
        </w:r>
      </w:hyperlink>
      <w:r>
        <w:t xml:space="preserve"> </w:t>
      </w:r>
    </w:p>
  </w:footnote>
  <w:footnote w:id="16">
    <w:p w14:paraId="01C6924A" w14:textId="77777777" w:rsidR="006B1555" w:rsidRDefault="006B1555" w:rsidP="006B1555">
      <w:pPr>
        <w:pStyle w:val="Allmrkusetekst"/>
      </w:pPr>
      <w:r>
        <w:rPr>
          <w:rStyle w:val="Allmrkuseviide"/>
        </w:rPr>
        <w:footnoteRef/>
      </w:r>
      <w:r>
        <w:t xml:space="preserve"> Elering. </w:t>
      </w:r>
      <w:hyperlink r:id="rId14" w:history="1">
        <w:r w:rsidRPr="006B1941">
          <w:rPr>
            <w:rStyle w:val="Hperlink"/>
          </w:rPr>
          <w:t>Varustuskindluse aruanne 2024</w:t>
        </w:r>
      </w:hyperlink>
    </w:p>
  </w:footnote>
  <w:footnote w:id="17">
    <w:p w14:paraId="39E6DD0D" w14:textId="77777777" w:rsidR="006B1555" w:rsidRDefault="006B1555" w:rsidP="006B1555">
      <w:pPr>
        <w:pStyle w:val="Allmrkusetekst"/>
      </w:pPr>
      <w:r>
        <w:rPr>
          <w:rStyle w:val="Allmrkuseviide"/>
        </w:rPr>
        <w:footnoteRef/>
      </w:r>
      <w:r>
        <w:t xml:space="preserve"> Utilitas. </w:t>
      </w:r>
      <w:hyperlink r:id="rId15" w:history="1">
        <w:r w:rsidRPr="009B0650">
          <w:rPr>
            <w:rStyle w:val="Hperlink"/>
          </w:rPr>
          <w:t>Energia tootmine</w:t>
        </w:r>
      </w:hyperlink>
    </w:p>
  </w:footnote>
  <w:footnote w:id="18">
    <w:p w14:paraId="68BB1018" w14:textId="77777777" w:rsidR="006B1555" w:rsidRDefault="006B1555" w:rsidP="006B1555">
      <w:pPr>
        <w:pStyle w:val="Allmrkusetekst"/>
      </w:pPr>
      <w:r>
        <w:rPr>
          <w:rStyle w:val="Allmrkuseviide"/>
        </w:rPr>
        <w:footnoteRef/>
      </w:r>
      <w:r>
        <w:t xml:space="preserve"> </w:t>
      </w:r>
      <w:hyperlink r:id="rId16" w:history="1">
        <w:r w:rsidRPr="0081035F">
          <w:rPr>
            <w:rStyle w:val="Hperlink"/>
          </w:rPr>
          <w:t>RT I, 02.10.2025, 11</w:t>
        </w:r>
      </w:hyperlink>
    </w:p>
  </w:footnote>
  <w:footnote w:id="19">
    <w:p w14:paraId="6B65476D" w14:textId="77777777" w:rsidR="006B1555" w:rsidRDefault="006B1555" w:rsidP="006B1555">
      <w:pPr>
        <w:pStyle w:val="Allmrkusetekst"/>
      </w:pPr>
      <w:r>
        <w:rPr>
          <w:rStyle w:val="Allmrkuseviide"/>
        </w:rPr>
        <w:footnoteRef/>
      </w:r>
      <w:r>
        <w:t xml:space="preserve">  </w:t>
      </w:r>
      <w:hyperlink r:id="rId17" w:history="1">
        <w:r w:rsidRPr="00CB332F">
          <w:rPr>
            <w:rStyle w:val="Hperlink"/>
          </w:rPr>
          <w:t>RT I, 08.12.2023, 3</w:t>
        </w:r>
      </w:hyperlink>
    </w:p>
  </w:footnote>
  <w:footnote w:id="20">
    <w:p w14:paraId="27721137" w14:textId="77777777" w:rsidR="006B1555" w:rsidRPr="00780DC4" w:rsidRDefault="006B1555" w:rsidP="006B1555">
      <w:pPr>
        <w:pStyle w:val="Allmrkusetekst"/>
        <w:rPr>
          <w:rFonts w:cs="Times New Roman"/>
        </w:rPr>
      </w:pPr>
      <w:r w:rsidRPr="00780DC4">
        <w:rPr>
          <w:rStyle w:val="Allmrkuseviide"/>
          <w:rFonts w:cs="Times New Roman"/>
        </w:rPr>
        <w:footnoteRef/>
      </w:r>
      <w:r w:rsidRPr="00780DC4">
        <w:rPr>
          <w:rFonts w:cs="Times New Roman"/>
        </w:rPr>
        <w:t xml:space="preserve"> </w:t>
      </w:r>
      <w:hyperlink r:id="rId18" w:history="1">
        <w:r w:rsidRPr="00780DC4">
          <w:rPr>
            <w:rStyle w:val="Hperlink"/>
            <w:rFonts w:cs="Times New Roman"/>
          </w:rPr>
          <w:t>SA.65118 (2021/N)</w:t>
        </w:r>
      </w:hyperlink>
      <w:r w:rsidRPr="00780DC4">
        <w:rPr>
          <w:rFonts w:cs="Times New Roman"/>
        </w:rPr>
        <w:t xml:space="preserve"> – Finland – Capacity mechanism – Strategic reserve</w:t>
      </w:r>
    </w:p>
  </w:footnote>
  <w:footnote w:id="21">
    <w:p w14:paraId="5E0B451E" w14:textId="77777777" w:rsidR="006B1555" w:rsidRDefault="006B1555" w:rsidP="006B1555">
      <w:pPr>
        <w:pStyle w:val="Allmrkusetekst"/>
        <w:jc w:val="left"/>
      </w:pPr>
      <w:r>
        <w:rPr>
          <w:rStyle w:val="Allmrkuseviide"/>
        </w:rPr>
        <w:footnoteRef/>
      </w:r>
      <w:r>
        <w:t xml:space="preserve"> </w:t>
      </w:r>
      <w:hyperlink r:id="rId19" w:history="1">
        <w:r w:rsidRPr="00983F9B">
          <w:rPr>
            <w:rStyle w:val="Hperlink"/>
          </w:rPr>
          <w:t>https://www.nordpoolgroup.com/en/message-center-container/newsroom/exchange-message-list/2024/q3/euronext-and-nord-pool-announce-nordic-and-baltic-power-futures-market/</w:t>
        </w:r>
      </w:hyperlink>
    </w:p>
  </w:footnote>
  <w:footnote w:id="22">
    <w:p w14:paraId="71677D71" w14:textId="77777777" w:rsidR="006B1555" w:rsidRDefault="006B1555" w:rsidP="006B1555">
      <w:pPr>
        <w:pStyle w:val="Allmrkusetekst"/>
        <w:jc w:val="left"/>
      </w:pPr>
      <w:r>
        <w:rPr>
          <w:rStyle w:val="Allmrkuseviide"/>
        </w:rPr>
        <w:footnoteRef/>
      </w:r>
      <w:r>
        <w:t xml:space="preserve"> </w:t>
      </w:r>
      <w:r w:rsidRPr="00833FF7">
        <w:t xml:space="preserve">Eesti julgeolekupoliitika alused. </w:t>
      </w:r>
      <w:hyperlink r:id="rId20" w:tgtFrame="_blank" w:history="1">
        <w:r w:rsidRPr="00833FF7">
          <w:rPr>
            <w:rStyle w:val="Hperlink"/>
          </w:rPr>
          <w:t>https://riigikantselei.ee/el-poliitika-julgeolek-ja-riigikaitse/julgeoleku-ja-riigikaitse-koordineerimine</w:t>
        </w:r>
      </w:hyperlink>
      <w:r>
        <w:rPr>
          <w:rStyle w:val="Hperlink"/>
        </w:rPr>
        <w:t>.</w:t>
      </w:r>
    </w:p>
  </w:footnote>
  <w:footnote w:id="23">
    <w:p w14:paraId="2A444752" w14:textId="77777777" w:rsidR="006B1555" w:rsidRDefault="006B1555" w:rsidP="006B1555">
      <w:pPr>
        <w:pStyle w:val="Allmrkusetekst"/>
        <w:jc w:val="left"/>
      </w:pPr>
      <w:r>
        <w:rPr>
          <w:rStyle w:val="Allmrkuseviide"/>
        </w:rPr>
        <w:footnoteRef/>
      </w:r>
      <w:r>
        <w:t xml:space="preserve"> </w:t>
      </w:r>
      <w:r w:rsidRPr="00833FF7">
        <w:t>Riigikaitse arengukava 20</w:t>
      </w:r>
      <w:r>
        <w:t>22</w:t>
      </w:r>
      <w:r w:rsidRPr="00833FF7">
        <w:t>–20</w:t>
      </w:r>
      <w:r>
        <w:t>31</w:t>
      </w:r>
      <w:r w:rsidRPr="00833FF7">
        <w:t xml:space="preserve">. </w:t>
      </w:r>
      <w:hyperlink r:id="rId21" w:tgtFrame="_blank" w:history="1">
        <w:r w:rsidRPr="00833FF7">
          <w:rPr>
            <w:rStyle w:val="Hperlink"/>
          </w:rPr>
          <w:t>https://riigikantselei.ee/el-poliitika-julgeolek-ja-riigikaitse/julgeoleku-ja-riigikaitse-koordineerimine</w:t>
        </w:r>
      </w:hyperlink>
      <w:r w:rsidRPr="00833FF7">
        <w:t>.</w:t>
      </w:r>
    </w:p>
  </w:footnote>
  <w:footnote w:id="24">
    <w:p w14:paraId="1870E497" w14:textId="77777777" w:rsidR="006B1555" w:rsidRDefault="006B1555" w:rsidP="006B1555">
      <w:pPr>
        <w:pStyle w:val="Allmrkusetekst"/>
      </w:pPr>
      <w:r>
        <w:rPr>
          <w:rStyle w:val="Allmrkuseviide"/>
        </w:rPr>
        <w:footnoteRef/>
      </w:r>
      <w:r>
        <w:t xml:space="preserve"> </w:t>
      </w:r>
      <w:r w:rsidRPr="00833FF7">
        <w:t>Riigi julgeoleku hindamise</w:t>
      </w:r>
      <w:r>
        <w:t xml:space="preserve"> kohta</w:t>
      </w:r>
      <w:r w:rsidRPr="00833FF7">
        <w:t xml:space="preserve"> vt ka sisukokkuvõte</w:t>
      </w:r>
      <w:r>
        <w:t>t</w:t>
      </w:r>
      <w:r w:rsidRPr="00833FF7">
        <w:t>.</w:t>
      </w:r>
    </w:p>
  </w:footnote>
  <w:footnote w:id="25">
    <w:p w14:paraId="3DFE397E" w14:textId="77777777" w:rsidR="006B1555" w:rsidRDefault="006B1555" w:rsidP="006B1555">
      <w:pPr>
        <w:pStyle w:val="Allmrkusetekst"/>
      </w:pPr>
      <w:r>
        <w:rPr>
          <w:rStyle w:val="Allmrkuseviide"/>
        </w:rPr>
        <w:footnoteRef/>
      </w:r>
      <w:r>
        <w:t xml:space="preserve"> </w:t>
      </w:r>
      <w:r w:rsidRPr="00833FF7">
        <w:t>Vt ka </w:t>
      </w:r>
      <w:hyperlink r:id="rId22" w:tgtFrame="_blank" w:history="1">
        <w:r w:rsidRPr="00833FF7">
          <w:rPr>
            <w:rStyle w:val="Hperlink"/>
          </w:rPr>
          <w:t>https://ec.europa.eu/digital-single-market/en/news/eu-wide-coordinated-risk-assessment-5g-networks-security.</w:t>
        </w:r>
      </w:hyperlink>
    </w:p>
  </w:footnote>
  <w:footnote w:id="26">
    <w:p w14:paraId="5CF058EF" w14:textId="77777777" w:rsidR="006B1555" w:rsidRDefault="006B1555" w:rsidP="006B1555">
      <w:pPr>
        <w:pStyle w:val="Allmrkusetekst"/>
      </w:pPr>
      <w:r>
        <w:rPr>
          <w:rStyle w:val="Allmrkuseviide"/>
        </w:rPr>
        <w:footnoteRef/>
      </w:r>
      <w:r>
        <w:t xml:space="preserve"> 437 SE menetlus: </w:t>
      </w:r>
      <w:hyperlink r:id="rId23" w:history="1">
        <w:r w:rsidRPr="00ED5392">
          <w:rPr>
            <w:rStyle w:val="Hperlink"/>
          </w:rPr>
          <w:t>https://www.riigikogu.ee/tegevus/eelnoud/eelnou/70adb908-b70f-4d8b-9b20-2b25ad2d269e/</w:t>
        </w:r>
      </w:hyperlink>
      <w:r>
        <w:rPr>
          <w:rStyle w:val="Hperlink"/>
        </w:rPr>
        <w:t>.</w:t>
      </w:r>
    </w:p>
  </w:footnote>
  <w:footnote w:id="27">
    <w:p w14:paraId="0B90B194" w14:textId="77777777" w:rsidR="006B1555" w:rsidRDefault="006B1555" w:rsidP="006B1555">
      <w:pPr>
        <w:pStyle w:val="Allmrkusetekst"/>
      </w:pPr>
      <w:r>
        <w:rPr>
          <w:rStyle w:val="Allmrkuseviide"/>
        </w:rPr>
        <w:footnoteRef/>
      </w:r>
      <w:r>
        <w:t xml:space="preserve"> </w:t>
      </w:r>
      <w:r w:rsidRPr="00F41C4F">
        <w:t xml:space="preserve">Lisainfo: </w:t>
      </w:r>
      <w:hyperlink r:id="rId24" w:history="1">
        <w:r w:rsidRPr="000C1E08">
          <w:rPr>
            <w:rStyle w:val="Hperlink"/>
          </w:rPr>
          <w:t>https://www.solarwinds.com/securityadvisory</w:t>
        </w:r>
      </w:hyperlink>
      <w:r w:rsidRPr="00F41C4F">
        <w:t xml:space="preserve"> ning </w:t>
      </w:r>
      <w:hyperlink r:id="rId25" w:history="1">
        <w:r w:rsidRPr="000C1E08">
          <w:rPr>
            <w:rStyle w:val="Hperlink"/>
          </w:rPr>
          <w:t>https://www.zdnet.com/article/solarwinds-the-more-we-learn-the-worse-it-looks/</w:t>
        </w:r>
      </w:hyperlink>
      <w:r>
        <w:rPr>
          <w:rStyle w:val="Hperlink"/>
        </w:rPr>
        <w:t>.</w:t>
      </w:r>
    </w:p>
  </w:footnote>
  <w:footnote w:id="28">
    <w:p w14:paraId="48F92BB2" w14:textId="77777777" w:rsidR="006B1555" w:rsidRDefault="006B1555" w:rsidP="006B1555">
      <w:pPr>
        <w:pStyle w:val="Allmrkusetekst"/>
      </w:pPr>
      <w:r>
        <w:rPr>
          <w:rStyle w:val="Allmrkuseviide"/>
        </w:rPr>
        <w:footnoteRef/>
      </w:r>
      <w:r>
        <w:t xml:space="preserve"> </w:t>
      </w:r>
      <w:hyperlink r:id="rId26" w:history="1">
        <w:r w:rsidRPr="00980146">
          <w:rPr>
            <w:rStyle w:val="Hperlink"/>
          </w:rPr>
          <w:t>https://adr.envir.ee/et/document.html?id=b2e9d231-684e-4bd8-8cee-0360c3716584</w:t>
        </w:r>
      </w:hyperlink>
    </w:p>
  </w:footnote>
  <w:footnote w:id="29">
    <w:p w14:paraId="1A0E1698" w14:textId="77777777" w:rsidR="006B1555" w:rsidRDefault="006B1555" w:rsidP="006B1555">
      <w:pPr>
        <w:pStyle w:val="Allmrkusetekst"/>
      </w:pPr>
      <w:r>
        <w:rPr>
          <w:rStyle w:val="Allmrkuseviide"/>
        </w:rPr>
        <w:footnoteRef/>
      </w:r>
      <w:r>
        <w:t xml:space="preserve"> </w:t>
      </w:r>
      <w:hyperlink r:id="rId27" w:history="1">
        <w:r w:rsidRPr="00DC30C0">
          <w:rPr>
            <w:rStyle w:val="Hperlink"/>
          </w:rPr>
          <w:t>https://adr.envir.ee/et/document.html?id=85ed23bc-7992-46ba-8bbf-2ae7de9f333c</w:t>
        </w:r>
      </w:hyperlink>
      <w:r>
        <w:t xml:space="preserve"> </w:t>
      </w:r>
    </w:p>
  </w:footnote>
  <w:footnote w:id="30">
    <w:p w14:paraId="29859146" w14:textId="77777777" w:rsidR="006B1555" w:rsidRDefault="006B1555" w:rsidP="006B1555">
      <w:pPr>
        <w:pStyle w:val="Allmrkusetekst"/>
        <w:jc w:val="left"/>
      </w:pPr>
      <w:r>
        <w:rPr>
          <w:rStyle w:val="Allmrkuseviide"/>
        </w:rPr>
        <w:footnoteRef/>
      </w:r>
      <w:r>
        <w:t xml:space="preserve"> </w:t>
      </w:r>
      <w:hyperlink r:id="rId28" w:history="1">
        <w:r w:rsidRPr="00983F9B">
          <w:rPr>
            <w:rStyle w:val="Hperlink"/>
          </w:rPr>
          <w:t>https://www.nordpoolgroup.com/en/message-center-container/newsroom/exchange-message-list/2024/q3/euronext-and-nord-pool-announce-nordic-and-baltic-power-futures-market/</w:t>
        </w:r>
      </w:hyperlink>
    </w:p>
  </w:footnote>
  <w:footnote w:id="31">
    <w:p w14:paraId="0422EBEC" w14:textId="77777777" w:rsidR="006B1555" w:rsidRDefault="006B1555" w:rsidP="006B1555">
      <w:pPr>
        <w:pStyle w:val="Allmrkusetekst"/>
      </w:pPr>
      <w:r>
        <w:rPr>
          <w:rStyle w:val="Allmrkuseviide"/>
        </w:rPr>
        <w:footnoteRef/>
      </w:r>
      <w:r>
        <w:t xml:space="preserve"> Võrreldud on väärtpaberituru seaduse, krediidiasutuste seaduse, finantskriisi ennetamise ja lahendamise seaduse ning Eesti Väärpaberite Keskregistri seaduse muutmise seaduse eelnõus sätestatuga.</w:t>
      </w:r>
    </w:p>
  </w:footnote>
  <w:footnote w:id="32">
    <w:p w14:paraId="4AC166C5" w14:textId="77777777" w:rsidR="006B1555" w:rsidRDefault="006B1555" w:rsidP="006B1555">
      <w:pPr>
        <w:pStyle w:val="Allmrkusetekst"/>
      </w:pPr>
      <w:r>
        <w:rPr>
          <w:rStyle w:val="Allmrkuseviide"/>
        </w:rPr>
        <w:footnoteRef/>
      </w:r>
      <w:r>
        <w:t xml:space="preserve"> </w:t>
      </w:r>
      <w:hyperlink r:id="rId29" w:history="1">
        <w:r>
          <w:rPr>
            <w:rStyle w:val="Hperlink"/>
          </w:rPr>
          <w:t>https://elektrilevi.ee/et/ettevottest/tutvustus</w:t>
        </w:r>
      </w:hyperlink>
    </w:p>
  </w:footnote>
  <w:footnote w:id="33">
    <w:p w14:paraId="78906995" w14:textId="77777777" w:rsidR="006B1555" w:rsidRPr="00FD794A" w:rsidRDefault="006B1555" w:rsidP="006B1555">
      <w:pPr>
        <w:pStyle w:val="Allmrkusetekst"/>
      </w:pPr>
      <w:r w:rsidRPr="00FD794A">
        <w:rPr>
          <w:rStyle w:val="Allmrkuseviide"/>
        </w:rPr>
        <w:footnoteRef/>
      </w:r>
      <w:r w:rsidRPr="00FD794A">
        <w:t xml:space="preserve"> Vt </w:t>
      </w:r>
      <w:hyperlink r:id="rId30" w:history="1">
        <w:r w:rsidRPr="00FD794A">
          <w:rPr>
            <w:rStyle w:val="Hperlink"/>
          </w:rPr>
          <w:t>https://www.konkurentsiamet.ee/uudised/konkurentsiamet-maaras-elering-ile-energia-hulgimuugituru-reeglite-rikkumise-eest-0</w:t>
        </w:r>
      </w:hyperlink>
    </w:p>
  </w:footnote>
  <w:footnote w:id="34">
    <w:p w14:paraId="572F670C" w14:textId="77777777" w:rsidR="006B1555" w:rsidRPr="00F54642" w:rsidRDefault="006B1555" w:rsidP="006B1555">
      <w:pPr>
        <w:pStyle w:val="Allmrkusetekst"/>
      </w:pPr>
      <w:r w:rsidRPr="00F54642">
        <w:rPr>
          <w:rStyle w:val="Allmrkuseviide"/>
        </w:rPr>
        <w:footnoteRef/>
      </w:r>
      <w:r w:rsidRPr="00F54642">
        <w:t xml:space="preserve"> REMIT määrus art 2 p 1.</w:t>
      </w:r>
    </w:p>
  </w:footnote>
  <w:footnote w:id="35">
    <w:p w14:paraId="5091232E" w14:textId="77777777" w:rsidR="006B1555" w:rsidRPr="00254F0F" w:rsidRDefault="006B1555" w:rsidP="006B1555">
      <w:pPr>
        <w:pStyle w:val="Allmrkusetekst"/>
      </w:pPr>
      <w:r w:rsidRPr="00254F0F">
        <w:rPr>
          <w:rStyle w:val="Allmrkuseviide"/>
        </w:rPr>
        <w:footnoteRef/>
      </w:r>
      <w:r w:rsidRPr="00254F0F">
        <w:t xml:space="preserve"> Hulgimüügitoote kaudne omandamine või loovutamine (või selle katse) toimub siis, kui siseteavet omav isik omandab või loovutab hulgimüügitoote (või üritab seda teha) kolmanda isiku (nt seotud ettevõtja, teise turuosalise või muu isiku) kaudu. Kaudne omandamine või loovutamine võib toimuda juriidilise isiku emaettevõtte kaudu, st olukorras, kus korralduse/tehingu täidab emaettevõte (või aktsionär) ja juriidilisel isikul puuduvad selle üksuse ja seega ka asjaomase toimingu </w:t>
      </w:r>
      <w:r>
        <w:t>üle</w:t>
      </w:r>
      <w:r w:rsidRPr="00254F0F">
        <w:t xml:space="preserve"> seadusjärgsed </w:t>
      </w:r>
      <w:r>
        <w:t>juhtimis</w:t>
      </w:r>
      <w:r w:rsidRPr="00254F0F">
        <w:t>volitused. Kaudne omandamine või loovutamine võib toimuda ka turuosalise poolt, kes täidab korralduse/tehingu oma arvel pärast seda, kui ta on saanud selleks korralduse siseteavet omavalt emaettevõttelt (või aktsionärilt).</w:t>
      </w:r>
    </w:p>
  </w:footnote>
  <w:footnote w:id="36">
    <w:p w14:paraId="6AFF8429" w14:textId="77777777" w:rsidR="006B1555" w:rsidRPr="00816E3B" w:rsidRDefault="006B1555" w:rsidP="006B1555">
      <w:pPr>
        <w:pStyle w:val="Allmrkusetekst"/>
      </w:pPr>
      <w:r w:rsidRPr="00816E3B">
        <w:rPr>
          <w:rStyle w:val="Allmrkuseviide"/>
        </w:rPr>
        <w:footnoteRef/>
      </w:r>
      <w:r w:rsidRPr="00816E3B">
        <w:t xml:space="preserve"> </w:t>
      </w:r>
      <w:r w:rsidRPr="001E53A6">
        <w:t>REMIT määrus art 2 p 7.</w:t>
      </w:r>
    </w:p>
  </w:footnote>
  <w:footnote w:id="37">
    <w:p w14:paraId="677DFAAD" w14:textId="77777777" w:rsidR="006B1555" w:rsidRPr="003A316B" w:rsidRDefault="006B1555" w:rsidP="006B1555">
      <w:pPr>
        <w:pStyle w:val="Allmrkusetekst"/>
      </w:pPr>
      <w:r>
        <w:rPr>
          <w:rStyle w:val="Allmrkuseviide"/>
        </w:rPr>
        <w:footnoteRef/>
      </w:r>
      <w:r>
        <w:t xml:space="preserve"> </w:t>
      </w:r>
      <w:hyperlink r:id="rId31" w:history="1">
        <w:r w:rsidRPr="003A316B">
          <w:rPr>
            <w:rStyle w:val="Hperlink"/>
          </w:rPr>
          <w:t>https://elektrilevi.ee/et/liitumised/uhisostult-uksikostule</w:t>
        </w:r>
      </w:hyperlink>
      <w:r>
        <w:t xml:space="preserve"> </w:t>
      </w:r>
    </w:p>
    <w:p w14:paraId="67069A55" w14:textId="77777777" w:rsidR="006B1555" w:rsidRDefault="006B1555" w:rsidP="006B1555">
      <w:pPr>
        <w:pStyle w:val="Allmrkusetekst"/>
      </w:pPr>
    </w:p>
  </w:footnote>
  <w:footnote w:id="38">
    <w:p w14:paraId="035BA6C5" w14:textId="77777777" w:rsidR="006B1555" w:rsidRDefault="006B1555" w:rsidP="006B1555">
      <w:pPr>
        <w:pStyle w:val="Allmrkusetekst"/>
      </w:pPr>
      <w:r>
        <w:rPr>
          <w:rStyle w:val="Allmrkuseviide"/>
        </w:rPr>
        <w:footnoteRef/>
      </w:r>
      <w:r>
        <w:t xml:space="preserve"> Võrreldud on väärtpaberituru seaduse, krediidiasutuste seaduse, finantskriisi ennetamise ja lahendamise seaduse ning Eesti Väärpaberite Keskregistri seaduse muutmise seaduse eelnõus sätestatuga.</w:t>
      </w:r>
    </w:p>
  </w:footnote>
  <w:footnote w:id="39">
    <w:p w14:paraId="6E1978A7" w14:textId="77777777" w:rsidR="006B1555" w:rsidRPr="007914D4" w:rsidRDefault="006B1555" w:rsidP="006B1555">
      <w:pPr>
        <w:pStyle w:val="Allmrkusetekst"/>
      </w:pPr>
      <w:r w:rsidRPr="007914D4">
        <w:rPr>
          <w:rStyle w:val="Allmrkuseviide"/>
        </w:rPr>
        <w:footnoteRef/>
      </w:r>
      <w:r w:rsidRPr="007914D4">
        <w:t xml:space="preserve"> </w:t>
      </w:r>
      <w:hyperlink r:id="rId32" w:history="1">
        <w:r w:rsidRPr="007914D4">
          <w:rPr>
            <w:rStyle w:val="Hperlink"/>
          </w:rPr>
          <w:t>https://gaasivork.ee/ettevottest-gaasivork/</w:t>
        </w:r>
      </w:hyperlink>
    </w:p>
  </w:footnote>
  <w:footnote w:id="40">
    <w:p w14:paraId="62369B7F" w14:textId="77777777" w:rsidR="006B1555" w:rsidRPr="00E22CA2" w:rsidRDefault="006B1555" w:rsidP="006B1555">
      <w:pPr>
        <w:pStyle w:val="Allmrkusetekst"/>
      </w:pPr>
      <w:r w:rsidRPr="00E22CA2">
        <w:rPr>
          <w:rStyle w:val="Allmrkuseviide"/>
        </w:rPr>
        <w:footnoteRef/>
      </w:r>
      <w:r w:rsidRPr="00E22CA2">
        <w:t xml:space="preserve"> Vt </w:t>
      </w:r>
      <w:hyperlink r:id="rId33" w:history="1">
        <w:r w:rsidRPr="00E22CA2">
          <w:rPr>
            <w:rStyle w:val="Hperlink"/>
          </w:rPr>
          <w:t>https://www.konkurentsiamet.ee/uudised/konkurentsiamet-maaras-elering-ile-energia-hulgimuugituru-reeglite-rikkumise-eest</w:t>
        </w:r>
      </w:hyperlink>
    </w:p>
  </w:footnote>
  <w:footnote w:id="41">
    <w:p w14:paraId="63F848A7" w14:textId="77777777" w:rsidR="006B1555" w:rsidRPr="00F54642" w:rsidRDefault="006B1555" w:rsidP="006B1555">
      <w:pPr>
        <w:pStyle w:val="Allmrkusetekst"/>
      </w:pPr>
      <w:r w:rsidRPr="00F54642">
        <w:rPr>
          <w:rStyle w:val="Allmrkuseviide"/>
        </w:rPr>
        <w:footnoteRef/>
      </w:r>
      <w:r w:rsidRPr="00F54642">
        <w:t xml:space="preserve"> REMIT määrus art 2 p 1.</w:t>
      </w:r>
    </w:p>
  </w:footnote>
  <w:footnote w:id="42">
    <w:p w14:paraId="47080FA0" w14:textId="77777777" w:rsidR="006B1555" w:rsidRDefault="006B1555" w:rsidP="006B1555">
      <w:pPr>
        <w:pStyle w:val="Allmrkusetekst"/>
      </w:pPr>
      <w:r w:rsidRPr="00483B00">
        <w:rPr>
          <w:rStyle w:val="Allmrkuseviide"/>
        </w:rPr>
        <w:footnoteRef/>
      </w:r>
      <w:r w:rsidRPr="00483B00">
        <w:t xml:space="preserve"> </w:t>
      </w:r>
      <w:r w:rsidRPr="00254F0F">
        <w:t xml:space="preserve">Hulgimüügitoote kaudne omandamine või loovutamine (või selle katse) toimub siis, kui siseteavet omav isik omandab või loovutab hulgimüügitoote (või üritab seda teha) kolmanda isiku (nt seotud ettevõtja, teise turuosalise või muu isiku) kaudu. Kaudne omandamine või loovutamine võib toimuda juriidilise isiku emaettevõtte kaudu, st olukorras, kus korralduse/tehingu täidab emaettevõte (või aktsionär) ja juriidilisel isikul puuduvad selle üksuse ja seega ka asjaomase toimingu </w:t>
      </w:r>
      <w:r>
        <w:t>üle</w:t>
      </w:r>
      <w:r w:rsidRPr="00254F0F">
        <w:t xml:space="preserve"> seadusjärgsed </w:t>
      </w:r>
      <w:r>
        <w:t>juhtimis</w:t>
      </w:r>
      <w:r w:rsidRPr="00254F0F">
        <w:t>volitused. Kaudne omandamine või loovutamine võib toimuda ka turuosalise poolt, kes täidab korralduse/tehingu oma arvel pärast seda, kui ta on saanud selleks korralduse siseteavet omavalt emaettevõttelt (või aktsionärilt).</w:t>
      </w:r>
    </w:p>
  </w:footnote>
  <w:footnote w:id="43">
    <w:p w14:paraId="1B4C489D" w14:textId="77777777" w:rsidR="006B1555" w:rsidRPr="00816E3B" w:rsidRDefault="006B1555" w:rsidP="006B1555">
      <w:pPr>
        <w:pStyle w:val="Allmrkusetekst"/>
      </w:pPr>
      <w:r w:rsidRPr="00816E3B">
        <w:rPr>
          <w:rStyle w:val="Allmrkuseviide"/>
        </w:rPr>
        <w:footnoteRef/>
      </w:r>
      <w:r w:rsidRPr="00816E3B">
        <w:t xml:space="preserve"> REMIT määrus art 2 p 7.</w:t>
      </w:r>
    </w:p>
  </w:footnote>
  <w:footnote w:id="44">
    <w:p w14:paraId="588A808E" w14:textId="77777777" w:rsidR="006B1555" w:rsidRPr="00DD394B" w:rsidRDefault="006B1555" w:rsidP="006B1555">
      <w:pPr>
        <w:pStyle w:val="Allmrkusetekst"/>
      </w:pPr>
      <w:r>
        <w:rPr>
          <w:rStyle w:val="Allmrkuseviide"/>
        </w:rPr>
        <w:footnoteRef/>
      </w:r>
      <w:r>
        <w:t xml:space="preserve"> </w:t>
      </w:r>
      <w:r w:rsidRPr="00DD394B">
        <w:rPr>
          <w:rFonts w:cs="Times New Roman"/>
        </w:rPr>
        <w:t>https://single-marketeconomy.ec.europa.eu/single-market/public-procurement/legal-rules-and-implementation/exemptmarkets_en.</w:t>
      </w:r>
    </w:p>
  </w:footnote>
  <w:footnote w:id="45">
    <w:p w14:paraId="5472B967" w14:textId="77777777" w:rsidR="006B1555" w:rsidRDefault="006B1555" w:rsidP="006B1555">
      <w:pPr>
        <w:pStyle w:val="Allmrkusetekst"/>
      </w:pPr>
      <w:r>
        <w:rPr>
          <w:rStyle w:val="Allmrkuseviide"/>
        </w:rPr>
        <w:footnoteRef/>
      </w:r>
      <w:r>
        <w:t xml:space="preserve"> </w:t>
      </w:r>
      <w:hyperlink r:id="rId34" w:history="1">
        <w:r w:rsidRPr="00B05CD3">
          <w:rPr>
            <w:rStyle w:val="Hperlink"/>
          </w:rPr>
          <w:t>https://www.konkurentsiamet.ee/analuusid-ja-uuringud/elektri-ja-gaasituru-aruanded</w:t>
        </w:r>
      </w:hyperlink>
      <w:r>
        <w:t xml:space="preserve"> </w:t>
      </w:r>
    </w:p>
  </w:footnote>
  <w:footnote w:id="46">
    <w:p w14:paraId="503F7AE2" w14:textId="77777777" w:rsidR="006B1555" w:rsidRDefault="006B1555" w:rsidP="006B1555">
      <w:pPr>
        <w:pStyle w:val="Allmrkusetekst"/>
        <w:jc w:val="left"/>
      </w:pPr>
      <w:r>
        <w:rPr>
          <w:rStyle w:val="Allmrkuseviide"/>
        </w:rPr>
        <w:footnoteRef/>
      </w:r>
      <w:r>
        <w:t xml:space="preserve"> </w:t>
      </w:r>
      <w:hyperlink r:id="rId35" w:history="1">
        <w:r w:rsidRPr="004C6024">
          <w:rPr>
            <w:rStyle w:val="Hperlink"/>
          </w:rPr>
          <w:t>https://www.enefit.com/et/-/investori-uudised/eesti-energia-kontserni-2022-majandusaasta-auditeerimata-tulemused?utm_source=chatgpt.com</w:t>
        </w:r>
      </w:hyperlink>
      <w:r>
        <w:t xml:space="preserve"> </w:t>
      </w:r>
    </w:p>
  </w:footnote>
  <w:footnote w:id="47">
    <w:p w14:paraId="2E5A2178" w14:textId="77777777" w:rsidR="006B1555" w:rsidRDefault="006B1555" w:rsidP="006B1555">
      <w:pPr>
        <w:pStyle w:val="Allmrkusetekst"/>
        <w:jc w:val="left"/>
      </w:pPr>
      <w:r>
        <w:rPr>
          <w:rStyle w:val="Allmrkuseviide"/>
        </w:rPr>
        <w:footnoteRef/>
      </w:r>
      <w:r>
        <w:t xml:space="preserve"> </w:t>
      </w:r>
      <w:hyperlink r:id="rId36" w:history="1">
        <w:r w:rsidRPr="004C6024">
          <w:rPr>
            <w:rStyle w:val="Hperlink"/>
          </w:rPr>
          <w:t>https://www.enefit.com/et/-/investori-uudised/eesti-energia-kontserni-2024-aasta-tulemused?utm_source=chatgpt.com</w:t>
        </w:r>
      </w:hyperlink>
    </w:p>
  </w:footnote>
  <w:footnote w:id="48">
    <w:p w14:paraId="52C2CB9D" w14:textId="77777777" w:rsidR="006B1555" w:rsidRDefault="006B1555" w:rsidP="006B1555">
      <w:pPr>
        <w:pStyle w:val="Allmrkusetekst"/>
        <w:jc w:val="left"/>
      </w:pPr>
      <w:r>
        <w:rPr>
          <w:rStyle w:val="Allmrkuseviide"/>
        </w:rPr>
        <w:footnoteRef/>
      </w:r>
      <w:r>
        <w:t xml:space="preserve"> </w:t>
      </w:r>
      <w:hyperlink r:id="rId37" w:history="1">
        <w:r w:rsidRPr="004C6024">
          <w:rPr>
            <w:rStyle w:val="Hperlink"/>
          </w:rPr>
          <w:t>https://www.enefit.com/et/-/investori-uudised/eesti-energia-kontserni-2022-majandusaasta-auditeerimata-tulemused?utm_source=chatgpt.com</w:t>
        </w:r>
      </w:hyperlink>
      <w:r>
        <w:t xml:space="preserve"> </w:t>
      </w:r>
    </w:p>
  </w:footnote>
  <w:footnote w:id="49">
    <w:p w14:paraId="160A29C5" w14:textId="77777777" w:rsidR="006B1555" w:rsidRDefault="006B1555" w:rsidP="006B1555">
      <w:pPr>
        <w:pStyle w:val="Allmrkusetekst"/>
      </w:pPr>
      <w:r>
        <w:rPr>
          <w:rStyle w:val="Allmrkuseviide"/>
        </w:rPr>
        <w:footnoteRef/>
      </w:r>
      <w:r>
        <w:t xml:space="preserve"> Aruanne elektri- ja gaasiturust Eestis. Konkurentsiamet, 2024. </w:t>
      </w:r>
      <w:hyperlink r:id="rId38" w:history="1">
        <w:r w:rsidRPr="009F2CE2">
          <w:rPr>
            <w:rStyle w:val="Hperlink"/>
          </w:rPr>
          <w:t>https://www.konkurentsiamet.ee/analuusid-ja-uuringud/elektri-ja-gaasituru-aruanded</w:t>
        </w:r>
      </w:hyperlink>
      <w:r>
        <w:rPr>
          <w:rStyle w:val="Hperlink"/>
        </w:rPr>
        <w:t>.</w:t>
      </w:r>
    </w:p>
  </w:footnote>
  <w:footnote w:id="50">
    <w:p w14:paraId="1EF114FA" w14:textId="77777777" w:rsidR="006B1555" w:rsidRDefault="006B1555" w:rsidP="006B1555">
      <w:pPr>
        <w:pStyle w:val="Allmrkusetekst"/>
      </w:pPr>
      <w:r>
        <w:rPr>
          <w:rStyle w:val="Allmrkuseviide"/>
        </w:rPr>
        <w:footnoteRef/>
      </w:r>
      <w:r>
        <w:t xml:space="preserve"> </w:t>
      </w:r>
      <w:hyperlink r:id="rId39" w:history="1">
        <w:r w:rsidRPr="007A1135">
          <w:rPr>
            <w:rStyle w:val="Hperlink"/>
          </w:rPr>
          <w:t>https://eur-lex.europa.eu/legal-content/EN/TXT/?uri=OJ:L_202401711</w:t>
        </w:r>
      </w:hyperlink>
      <w:r>
        <w:rPr>
          <w:rStyle w:val="Hperlink"/>
        </w:rPr>
        <w:t>.</w:t>
      </w:r>
    </w:p>
  </w:footnote>
  <w:footnote w:id="51">
    <w:p w14:paraId="21BE8D52" w14:textId="77777777" w:rsidR="006B1555" w:rsidRDefault="006B1555" w:rsidP="006B1555">
      <w:pPr>
        <w:pStyle w:val="Allmrkusetekst"/>
      </w:pPr>
      <w:r>
        <w:rPr>
          <w:rStyle w:val="Allmrkuseviide"/>
        </w:rPr>
        <w:footnoteRef/>
      </w:r>
      <w:r>
        <w:t xml:space="preserve"> </w:t>
      </w:r>
      <w:hyperlink r:id="rId40" w:history="1">
        <w:r w:rsidRPr="007A1135">
          <w:rPr>
            <w:rStyle w:val="Hperlink"/>
          </w:rPr>
          <w:t>https://eur-lex.europa.eu/legal-content/ET/ALL/?uri=CELEX%3A32018L2001</w:t>
        </w:r>
      </w:hyperlink>
      <w:r>
        <w:rPr>
          <w:rStyle w:val="Hperlink"/>
        </w:rPr>
        <w:t>.</w:t>
      </w:r>
    </w:p>
  </w:footnote>
  <w:footnote w:id="52">
    <w:p w14:paraId="264035BE" w14:textId="77777777" w:rsidR="006B1555" w:rsidRDefault="006B1555" w:rsidP="006B1555">
      <w:pPr>
        <w:pStyle w:val="Allmrkusetekst"/>
      </w:pPr>
      <w:r>
        <w:rPr>
          <w:rStyle w:val="Allmrkuseviide"/>
        </w:rPr>
        <w:footnoteRef/>
      </w:r>
      <w:r>
        <w:t xml:space="preserve"> </w:t>
      </w:r>
      <w:hyperlink r:id="rId41" w:history="1">
        <w:r w:rsidRPr="00983F9B">
          <w:rPr>
            <w:rStyle w:val="Hperlink"/>
          </w:rPr>
          <w:t>https://www.elering.ee/elektri-bilansiteenus</w:t>
        </w:r>
      </w:hyperlink>
    </w:p>
  </w:footnote>
  <w:footnote w:id="53">
    <w:p w14:paraId="085A8149" w14:textId="77777777" w:rsidR="006B1555" w:rsidRDefault="006B1555" w:rsidP="006B1555">
      <w:pPr>
        <w:pStyle w:val="Allmrkusetekst"/>
      </w:pPr>
      <w:r>
        <w:rPr>
          <w:rStyle w:val="Allmrkuseviide"/>
        </w:rPr>
        <w:footnoteRef/>
      </w:r>
      <w:r>
        <w:t xml:space="preserve"> </w:t>
      </w:r>
      <w:hyperlink r:id="rId42" w:anchor="item-2" w:history="1">
        <w:r w:rsidRPr="00983F9B">
          <w:rPr>
            <w:rStyle w:val="Hperlink"/>
          </w:rPr>
          <w:t>https://www.konkurentsiamet.ee/analuusid-ja-uuringud/elektri-ja-gaasituru-aruanded#item-2</w:t>
        </w:r>
      </w:hyperlink>
    </w:p>
  </w:footnote>
  <w:footnote w:id="54">
    <w:p w14:paraId="131E7708" w14:textId="77777777" w:rsidR="006B1555" w:rsidRDefault="006B1555" w:rsidP="006B1555">
      <w:pPr>
        <w:pStyle w:val="Allmrkusetekst"/>
      </w:pPr>
      <w:r>
        <w:rPr>
          <w:rStyle w:val="Allmrkuseviide"/>
        </w:rPr>
        <w:footnoteRef/>
      </w:r>
      <w:r>
        <w:t xml:space="preserve"> </w:t>
      </w:r>
      <w:hyperlink r:id="rId43" w:history="1">
        <w:r w:rsidRPr="00983F9B">
          <w:rPr>
            <w:rStyle w:val="Hperlink"/>
          </w:rPr>
          <w:t>https://www.elering.ee/gaasi-bilansiteenus</w:t>
        </w:r>
      </w:hyperlink>
    </w:p>
  </w:footnote>
  <w:footnote w:id="55">
    <w:p w14:paraId="12C93983" w14:textId="77777777" w:rsidR="006B1555" w:rsidRPr="00FD794A" w:rsidRDefault="006B1555" w:rsidP="006B1555">
      <w:pPr>
        <w:pStyle w:val="Allmrkusetekst"/>
      </w:pPr>
      <w:r w:rsidRPr="00FD794A">
        <w:rPr>
          <w:rStyle w:val="Allmrkuseviide"/>
        </w:rPr>
        <w:footnoteRef/>
      </w:r>
      <w:r w:rsidRPr="00FD794A">
        <w:t xml:space="preserve"> Vt </w:t>
      </w:r>
      <w:hyperlink r:id="rId44" w:history="1">
        <w:r w:rsidRPr="00FD794A">
          <w:rPr>
            <w:rStyle w:val="Hperlink"/>
          </w:rPr>
          <w:t>https://www.konkurentsiamet.ee/uudised/konkurentsiamet-maaras-elering-ile-energia-hulgimuugituru-reeglite-rikkumise-eest-0</w:t>
        </w:r>
      </w:hyperlink>
    </w:p>
  </w:footnote>
  <w:footnote w:id="56">
    <w:p w14:paraId="4CB014A1" w14:textId="77777777" w:rsidR="006B1555" w:rsidRPr="00E22CA2" w:rsidRDefault="006B1555" w:rsidP="006B1555">
      <w:pPr>
        <w:pStyle w:val="Allmrkusetekst"/>
      </w:pPr>
      <w:r w:rsidRPr="00E22CA2">
        <w:rPr>
          <w:rStyle w:val="Allmrkuseviide"/>
        </w:rPr>
        <w:footnoteRef/>
      </w:r>
      <w:r w:rsidRPr="00E22CA2">
        <w:t xml:space="preserve"> Vt </w:t>
      </w:r>
      <w:hyperlink r:id="rId45" w:history="1">
        <w:r w:rsidRPr="00E22CA2">
          <w:rPr>
            <w:rStyle w:val="Hperlink"/>
          </w:rPr>
          <w:t>https://www.konkurentsiamet.ee/uudised/konkurentsiamet-maaras-elering-ile-energia-hulgimuugituru-reeglite-rikkumise-eest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5057E"/>
    <w:multiLevelType w:val="hybridMultilevel"/>
    <w:tmpl w:val="823CE0A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7BA1F7D"/>
    <w:multiLevelType w:val="hybridMultilevel"/>
    <w:tmpl w:val="7F50C60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9A52166"/>
    <w:multiLevelType w:val="multilevel"/>
    <w:tmpl w:val="F0CE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1E32E8"/>
    <w:multiLevelType w:val="hybridMultilevel"/>
    <w:tmpl w:val="358E1B3E"/>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1F645D0"/>
    <w:multiLevelType w:val="hybridMultilevel"/>
    <w:tmpl w:val="FC8E8BA6"/>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8AB1F7E"/>
    <w:multiLevelType w:val="hybridMultilevel"/>
    <w:tmpl w:val="9BEAFC7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A556728"/>
    <w:multiLevelType w:val="multilevel"/>
    <w:tmpl w:val="6666B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9231B4"/>
    <w:multiLevelType w:val="multilevel"/>
    <w:tmpl w:val="E8EC25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CD36EFD"/>
    <w:multiLevelType w:val="hybridMultilevel"/>
    <w:tmpl w:val="CA84DAC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1EAB34DF"/>
    <w:multiLevelType w:val="multilevel"/>
    <w:tmpl w:val="F652360C"/>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9E21EA"/>
    <w:multiLevelType w:val="hybridMultilevel"/>
    <w:tmpl w:val="CD4A437E"/>
    <w:lvl w:ilvl="0" w:tplc="56FEC220">
      <w:start w:val="1"/>
      <w:numFmt w:val="decimal"/>
      <w:lvlText w:val="%1."/>
      <w:lvlJc w:val="left"/>
      <w:pPr>
        <w:ind w:left="1070" w:hanging="71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1FB63B5E"/>
    <w:multiLevelType w:val="multilevel"/>
    <w:tmpl w:val="A7283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974A6E"/>
    <w:multiLevelType w:val="hybridMultilevel"/>
    <w:tmpl w:val="A518FA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25AD0AA0"/>
    <w:multiLevelType w:val="hybridMultilevel"/>
    <w:tmpl w:val="BE182B4C"/>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2B2618AB"/>
    <w:multiLevelType w:val="multilevel"/>
    <w:tmpl w:val="2E2A84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1C17E7A"/>
    <w:multiLevelType w:val="multilevel"/>
    <w:tmpl w:val="BC4660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6E243F3"/>
    <w:multiLevelType w:val="hybridMultilevel"/>
    <w:tmpl w:val="97D8B88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38817B55"/>
    <w:multiLevelType w:val="hybridMultilevel"/>
    <w:tmpl w:val="7C8C9AA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3C315DA6"/>
    <w:multiLevelType w:val="multilevel"/>
    <w:tmpl w:val="CC3814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CCB78AD"/>
    <w:multiLevelType w:val="multilevel"/>
    <w:tmpl w:val="C8D8A0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3DB15DFA"/>
    <w:multiLevelType w:val="multilevel"/>
    <w:tmpl w:val="142E95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3EC013FD"/>
    <w:multiLevelType w:val="multilevel"/>
    <w:tmpl w:val="1A9C460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3F48612B"/>
    <w:multiLevelType w:val="hybridMultilevel"/>
    <w:tmpl w:val="165C4E7E"/>
    <w:lvl w:ilvl="0" w:tplc="B8AAD1E2">
      <w:start w:val="1"/>
      <w:numFmt w:val="bullet"/>
      <w:lvlText w:val="•"/>
      <w:lvlJc w:val="left"/>
      <w:pPr>
        <w:tabs>
          <w:tab w:val="num" w:pos="720"/>
        </w:tabs>
        <w:ind w:left="720" w:hanging="360"/>
      </w:pPr>
      <w:rPr>
        <w:rFonts w:ascii="Arial" w:hAnsi="Arial" w:hint="default"/>
      </w:rPr>
    </w:lvl>
    <w:lvl w:ilvl="1" w:tplc="43E868E8" w:tentative="1">
      <w:start w:val="1"/>
      <w:numFmt w:val="bullet"/>
      <w:lvlText w:val="•"/>
      <w:lvlJc w:val="left"/>
      <w:pPr>
        <w:tabs>
          <w:tab w:val="num" w:pos="1440"/>
        </w:tabs>
        <w:ind w:left="1440" w:hanging="360"/>
      </w:pPr>
      <w:rPr>
        <w:rFonts w:ascii="Arial" w:hAnsi="Arial" w:hint="default"/>
      </w:rPr>
    </w:lvl>
    <w:lvl w:ilvl="2" w:tplc="1B6C5218" w:tentative="1">
      <w:start w:val="1"/>
      <w:numFmt w:val="bullet"/>
      <w:lvlText w:val="•"/>
      <w:lvlJc w:val="left"/>
      <w:pPr>
        <w:tabs>
          <w:tab w:val="num" w:pos="2160"/>
        </w:tabs>
        <w:ind w:left="2160" w:hanging="360"/>
      </w:pPr>
      <w:rPr>
        <w:rFonts w:ascii="Arial" w:hAnsi="Arial" w:hint="default"/>
      </w:rPr>
    </w:lvl>
    <w:lvl w:ilvl="3" w:tplc="F104E79A">
      <w:start w:val="1"/>
      <w:numFmt w:val="bullet"/>
      <w:lvlText w:val="•"/>
      <w:lvlJc w:val="left"/>
      <w:pPr>
        <w:tabs>
          <w:tab w:val="num" w:pos="2880"/>
        </w:tabs>
        <w:ind w:left="2880" w:hanging="360"/>
      </w:pPr>
      <w:rPr>
        <w:rFonts w:ascii="Arial" w:hAnsi="Arial" w:hint="default"/>
      </w:rPr>
    </w:lvl>
    <w:lvl w:ilvl="4" w:tplc="C2DE60C6" w:tentative="1">
      <w:start w:val="1"/>
      <w:numFmt w:val="bullet"/>
      <w:lvlText w:val="•"/>
      <w:lvlJc w:val="left"/>
      <w:pPr>
        <w:tabs>
          <w:tab w:val="num" w:pos="3600"/>
        </w:tabs>
        <w:ind w:left="3600" w:hanging="360"/>
      </w:pPr>
      <w:rPr>
        <w:rFonts w:ascii="Arial" w:hAnsi="Arial" w:hint="default"/>
      </w:rPr>
    </w:lvl>
    <w:lvl w:ilvl="5" w:tplc="0A26CF32" w:tentative="1">
      <w:start w:val="1"/>
      <w:numFmt w:val="bullet"/>
      <w:lvlText w:val="•"/>
      <w:lvlJc w:val="left"/>
      <w:pPr>
        <w:tabs>
          <w:tab w:val="num" w:pos="4320"/>
        </w:tabs>
        <w:ind w:left="4320" w:hanging="360"/>
      </w:pPr>
      <w:rPr>
        <w:rFonts w:ascii="Arial" w:hAnsi="Arial" w:hint="default"/>
      </w:rPr>
    </w:lvl>
    <w:lvl w:ilvl="6" w:tplc="486A6CB8" w:tentative="1">
      <w:start w:val="1"/>
      <w:numFmt w:val="bullet"/>
      <w:lvlText w:val="•"/>
      <w:lvlJc w:val="left"/>
      <w:pPr>
        <w:tabs>
          <w:tab w:val="num" w:pos="5040"/>
        </w:tabs>
        <w:ind w:left="5040" w:hanging="360"/>
      </w:pPr>
      <w:rPr>
        <w:rFonts w:ascii="Arial" w:hAnsi="Arial" w:hint="default"/>
      </w:rPr>
    </w:lvl>
    <w:lvl w:ilvl="7" w:tplc="2AD466A0" w:tentative="1">
      <w:start w:val="1"/>
      <w:numFmt w:val="bullet"/>
      <w:lvlText w:val="•"/>
      <w:lvlJc w:val="left"/>
      <w:pPr>
        <w:tabs>
          <w:tab w:val="num" w:pos="5760"/>
        </w:tabs>
        <w:ind w:left="5760" w:hanging="360"/>
      </w:pPr>
      <w:rPr>
        <w:rFonts w:ascii="Arial" w:hAnsi="Arial" w:hint="default"/>
      </w:rPr>
    </w:lvl>
    <w:lvl w:ilvl="8" w:tplc="7424F3D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03314DC"/>
    <w:multiLevelType w:val="hybridMultilevel"/>
    <w:tmpl w:val="8E80510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415E76B6"/>
    <w:multiLevelType w:val="hybridMultilevel"/>
    <w:tmpl w:val="D6B45C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46DA6271"/>
    <w:multiLevelType w:val="hybridMultilevel"/>
    <w:tmpl w:val="FE08001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47567D6E"/>
    <w:multiLevelType w:val="hybridMultilevel"/>
    <w:tmpl w:val="8C5E7C5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7" w15:restartNumberingAfterBreak="0">
    <w:nsid w:val="47A96A8E"/>
    <w:multiLevelType w:val="hybridMultilevel"/>
    <w:tmpl w:val="883492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89542AD"/>
    <w:multiLevelType w:val="hybridMultilevel"/>
    <w:tmpl w:val="03B695B6"/>
    <w:lvl w:ilvl="0" w:tplc="DC3454D2">
      <w:start w:val="1"/>
      <w:numFmt w:val="decimal"/>
      <w:lvlText w:val="%1)"/>
      <w:lvlJc w:val="left"/>
      <w:pPr>
        <w:ind w:left="720" w:hanging="360"/>
      </w:pPr>
      <w:rPr>
        <w:rFonts w:ascii="Times New Roman" w:eastAsiaTheme="minorHAnsi" w:hAnsi="Times New Roman" w:cstheme="minorBid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E5A1E3B"/>
    <w:multiLevelType w:val="multilevel"/>
    <w:tmpl w:val="4E5A1E3B"/>
    <w:lvl w:ilvl="0">
      <w:start w:val="1"/>
      <w:numFmt w:val="decimal"/>
      <w:pStyle w:val="Pealkiri4"/>
      <w:lvlText w:val="%1)"/>
      <w:lvlJc w:val="left"/>
      <w:pPr>
        <w:ind w:left="1080" w:hanging="360"/>
      </w:pPr>
      <w:rPr>
        <w:rFonts w:hint="default"/>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509068C5"/>
    <w:multiLevelType w:val="hybridMultilevel"/>
    <w:tmpl w:val="2466D0D6"/>
    <w:lvl w:ilvl="0" w:tplc="042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9F67020"/>
    <w:multiLevelType w:val="multilevel"/>
    <w:tmpl w:val="B7A0F0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5AD67FAB"/>
    <w:multiLevelType w:val="multilevel"/>
    <w:tmpl w:val="1F5A45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5C86538E"/>
    <w:multiLevelType w:val="hybridMultilevel"/>
    <w:tmpl w:val="9BA6BE70"/>
    <w:lvl w:ilvl="0" w:tplc="2AD82C94">
      <w:start w:val="969"/>
      <w:numFmt w:val="bullet"/>
      <w:lvlText w:val="-"/>
      <w:lvlJc w:val="left"/>
      <w:pPr>
        <w:ind w:left="360" w:hanging="360"/>
      </w:pPr>
      <w:rPr>
        <w:rFonts w:ascii="Aptos" w:eastAsiaTheme="minorHAnsi" w:hAnsi="Aptos" w:cs="Times New Roman" w:hint="default"/>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4" w15:restartNumberingAfterBreak="0">
    <w:nsid w:val="5E5656AB"/>
    <w:multiLevelType w:val="multilevel"/>
    <w:tmpl w:val="553A1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0F2D3C"/>
    <w:multiLevelType w:val="hybridMultilevel"/>
    <w:tmpl w:val="0C649F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63602091"/>
    <w:multiLevelType w:val="multilevel"/>
    <w:tmpl w:val="261EC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4C76DFD"/>
    <w:multiLevelType w:val="hybridMultilevel"/>
    <w:tmpl w:val="BA76DCF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8" w15:restartNumberingAfterBreak="0">
    <w:nsid w:val="67C24F37"/>
    <w:multiLevelType w:val="multilevel"/>
    <w:tmpl w:val="6212BD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6E26B5E5"/>
    <w:multiLevelType w:val="singleLevel"/>
    <w:tmpl w:val="6E26B5E5"/>
    <w:lvl w:ilvl="0">
      <w:start w:val="1"/>
      <w:numFmt w:val="decimal"/>
      <w:suff w:val="space"/>
      <w:lvlText w:val="(%1)"/>
      <w:lvlJc w:val="left"/>
    </w:lvl>
  </w:abstractNum>
  <w:abstractNum w:abstractNumId="40" w15:restartNumberingAfterBreak="0">
    <w:nsid w:val="70F4213C"/>
    <w:multiLevelType w:val="hybridMultilevel"/>
    <w:tmpl w:val="DECAAF80"/>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1" w15:restartNumberingAfterBreak="0">
    <w:nsid w:val="75F87992"/>
    <w:multiLevelType w:val="hybridMultilevel"/>
    <w:tmpl w:val="883492E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2" w15:restartNumberingAfterBreak="0">
    <w:nsid w:val="778F0940"/>
    <w:multiLevelType w:val="hybridMultilevel"/>
    <w:tmpl w:val="98B4C14E"/>
    <w:lvl w:ilvl="0" w:tplc="24BC949C">
      <w:start w:val="9"/>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15:restartNumberingAfterBreak="0">
    <w:nsid w:val="787C7AA8"/>
    <w:multiLevelType w:val="hybridMultilevel"/>
    <w:tmpl w:val="2BDA9C06"/>
    <w:lvl w:ilvl="0" w:tplc="B99401D2">
      <w:numFmt w:val="bullet"/>
      <w:lvlText w:val="-"/>
      <w:lvlJc w:val="left"/>
      <w:pPr>
        <w:ind w:left="720" w:hanging="360"/>
      </w:pPr>
      <w:rPr>
        <w:rFonts w:ascii="Aptos" w:eastAsia="Aptos" w:hAnsi="Aptos" w:cs="Aria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44" w15:restartNumberingAfterBreak="0">
    <w:nsid w:val="7ABE301D"/>
    <w:multiLevelType w:val="hybridMultilevel"/>
    <w:tmpl w:val="B3B8197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5" w15:restartNumberingAfterBreak="0">
    <w:nsid w:val="7E2061AD"/>
    <w:multiLevelType w:val="hybridMultilevel"/>
    <w:tmpl w:val="82C09F7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6" w15:restartNumberingAfterBreak="0">
    <w:nsid w:val="7F391704"/>
    <w:multiLevelType w:val="multilevel"/>
    <w:tmpl w:val="7F39170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1204094020">
    <w:abstractNumId w:val="29"/>
  </w:num>
  <w:num w:numId="2" w16cid:durableId="1456484129">
    <w:abstractNumId w:val="46"/>
  </w:num>
  <w:num w:numId="3" w16cid:durableId="1914771831">
    <w:abstractNumId w:val="44"/>
  </w:num>
  <w:num w:numId="4" w16cid:durableId="319816452">
    <w:abstractNumId w:val="42"/>
  </w:num>
  <w:num w:numId="5" w16cid:durableId="1848136472">
    <w:abstractNumId w:val="39"/>
  </w:num>
  <w:num w:numId="6" w16cid:durableId="320736748">
    <w:abstractNumId w:val="8"/>
  </w:num>
  <w:num w:numId="7" w16cid:durableId="1692879335">
    <w:abstractNumId w:val="40"/>
  </w:num>
  <w:num w:numId="8" w16cid:durableId="624779074">
    <w:abstractNumId w:val="37"/>
  </w:num>
  <w:num w:numId="9" w16cid:durableId="1598245709">
    <w:abstractNumId w:val="3"/>
  </w:num>
  <w:num w:numId="10" w16cid:durableId="501820594">
    <w:abstractNumId w:val="13"/>
  </w:num>
  <w:num w:numId="11" w16cid:durableId="875585123">
    <w:abstractNumId w:val="1"/>
  </w:num>
  <w:num w:numId="12" w16cid:durableId="200212676">
    <w:abstractNumId w:val="0"/>
  </w:num>
  <w:num w:numId="13" w16cid:durableId="866212210">
    <w:abstractNumId w:val="24"/>
  </w:num>
  <w:num w:numId="14" w16cid:durableId="137650656">
    <w:abstractNumId w:val="12"/>
  </w:num>
  <w:num w:numId="15" w16cid:durableId="1130786598">
    <w:abstractNumId w:val="41"/>
  </w:num>
  <w:num w:numId="16" w16cid:durableId="1035732579">
    <w:abstractNumId w:val="45"/>
  </w:num>
  <w:num w:numId="17" w16cid:durableId="1823160092">
    <w:abstractNumId w:val="25"/>
  </w:num>
  <w:num w:numId="18" w16cid:durableId="2036618366">
    <w:abstractNumId w:val="9"/>
  </w:num>
  <w:num w:numId="19" w16cid:durableId="269555381">
    <w:abstractNumId w:val="27"/>
  </w:num>
  <w:num w:numId="20" w16cid:durableId="1208762390">
    <w:abstractNumId w:val="16"/>
  </w:num>
  <w:num w:numId="21" w16cid:durableId="2044361029">
    <w:abstractNumId w:val="5"/>
  </w:num>
  <w:num w:numId="22" w16cid:durableId="483200471">
    <w:abstractNumId w:val="10"/>
  </w:num>
  <w:num w:numId="23" w16cid:durableId="778720031">
    <w:abstractNumId w:val="33"/>
  </w:num>
  <w:num w:numId="24" w16cid:durableId="263539007">
    <w:abstractNumId w:val="17"/>
  </w:num>
  <w:num w:numId="25" w16cid:durableId="1033925793">
    <w:abstractNumId w:val="4"/>
  </w:num>
  <w:num w:numId="26" w16cid:durableId="540871850">
    <w:abstractNumId w:val="30"/>
  </w:num>
  <w:num w:numId="27" w16cid:durableId="120000737">
    <w:abstractNumId w:val="36"/>
  </w:num>
  <w:num w:numId="28" w16cid:durableId="598414373">
    <w:abstractNumId w:val="28"/>
  </w:num>
  <w:num w:numId="29" w16cid:durableId="1539972153">
    <w:abstractNumId w:val="14"/>
  </w:num>
  <w:num w:numId="30" w16cid:durableId="182793737">
    <w:abstractNumId w:val="32"/>
  </w:num>
  <w:num w:numId="31" w16cid:durableId="1534344300">
    <w:abstractNumId w:val="19"/>
  </w:num>
  <w:num w:numId="32" w16cid:durableId="2078163466">
    <w:abstractNumId w:val="21"/>
  </w:num>
  <w:num w:numId="33" w16cid:durableId="1958028006">
    <w:abstractNumId w:val="20"/>
  </w:num>
  <w:num w:numId="34" w16cid:durableId="1898976753">
    <w:abstractNumId w:val="35"/>
  </w:num>
  <w:num w:numId="35" w16cid:durableId="930546168">
    <w:abstractNumId w:val="23"/>
  </w:num>
  <w:num w:numId="36" w16cid:durableId="693389035">
    <w:abstractNumId w:val="18"/>
  </w:num>
  <w:num w:numId="37" w16cid:durableId="790708143">
    <w:abstractNumId w:val="7"/>
  </w:num>
  <w:num w:numId="38" w16cid:durableId="342899207">
    <w:abstractNumId w:val="31"/>
  </w:num>
  <w:num w:numId="39" w16cid:durableId="769397862">
    <w:abstractNumId w:val="38"/>
  </w:num>
  <w:num w:numId="40" w16cid:durableId="1037124989">
    <w:abstractNumId w:val="15"/>
  </w:num>
  <w:num w:numId="41" w16cid:durableId="1418668802">
    <w:abstractNumId w:val="2"/>
  </w:num>
  <w:num w:numId="42" w16cid:durableId="124086120">
    <w:abstractNumId w:val="6"/>
  </w:num>
  <w:num w:numId="43" w16cid:durableId="1393850267">
    <w:abstractNumId w:val="34"/>
  </w:num>
  <w:num w:numId="44" w16cid:durableId="2140830350">
    <w:abstractNumId w:val="43"/>
  </w:num>
  <w:num w:numId="45" w16cid:durableId="224029577">
    <w:abstractNumId w:val="26"/>
  </w:num>
  <w:num w:numId="46" w16cid:durableId="416705975">
    <w:abstractNumId w:val="22"/>
  </w:num>
  <w:num w:numId="47" w16cid:durableId="3618990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BCC"/>
    <w:rsid w:val="00000756"/>
    <w:rsid w:val="00000B3F"/>
    <w:rsid w:val="0000200F"/>
    <w:rsid w:val="00002354"/>
    <w:rsid w:val="00002648"/>
    <w:rsid w:val="00002830"/>
    <w:rsid w:val="00004326"/>
    <w:rsid w:val="00004A51"/>
    <w:rsid w:val="0000535F"/>
    <w:rsid w:val="0000541E"/>
    <w:rsid w:val="00005B4A"/>
    <w:rsid w:val="000066B5"/>
    <w:rsid w:val="00006B00"/>
    <w:rsid w:val="00006CEA"/>
    <w:rsid w:val="00006DEA"/>
    <w:rsid w:val="00007514"/>
    <w:rsid w:val="00007BDE"/>
    <w:rsid w:val="00011119"/>
    <w:rsid w:val="000115D9"/>
    <w:rsid w:val="00011D6E"/>
    <w:rsid w:val="00012058"/>
    <w:rsid w:val="000120E5"/>
    <w:rsid w:val="0001245B"/>
    <w:rsid w:val="00012981"/>
    <w:rsid w:val="00012FBD"/>
    <w:rsid w:val="000131A8"/>
    <w:rsid w:val="0001337B"/>
    <w:rsid w:val="00013681"/>
    <w:rsid w:val="00013D2D"/>
    <w:rsid w:val="00014CB5"/>
    <w:rsid w:val="0001505F"/>
    <w:rsid w:val="00015212"/>
    <w:rsid w:val="00015546"/>
    <w:rsid w:val="00015D97"/>
    <w:rsid w:val="00015EB0"/>
    <w:rsid w:val="000163CB"/>
    <w:rsid w:val="00016582"/>
    <w:rsid w:val="0001671F"/>
    <w:rsid w:val="0001732A"/>
    <w:rsid w:val="0002215D"/>
    <w:rsid w:val="0002248B"/>
    <w:rsid w:val="000225BF"/>
    <w:rsid w:val="000226E1"/>
    <w:rsid w:val="00022973"/>
    <w:rsid w:val="00022B2E"/>
    <w:rsid w:val="00024141"/>
    <w:rsid w:val="000243DE"/>
    <w:rsid w:val="000246EB"/>
    <w:rsid w:val="0002473F"/>
    <w:rsid w:val="00025405"/>
    <w:rsid w:val="00025732"/>
    <w:rsid w:val="00025746"/>
    <w:rsid w:val="00026763"/>
    <w:rsid w:val="00026A90"/>
    <w:rsid w:val="00026AAB"/>
    <w:rsid w:val="00026B00"/>
    <w:rsid w:val="00026EA5"/>
    <w:rsid w:val="0002742C"/>
    <w:rsid w:val="00027B04"/>
    <w:rsid w:val="00030235"/>
    <w:rsid w:val="00030553"/>
    <w:rsid w:val="000307D6"/>
    <w:rsid w:val="000311E5"/>
    <w:rsid w:val="00031492"/>
    <w:rsid w:val="00031572"/>
    <w:rsid w:val="00031E02"/>
    <w:rsid w:val="00032366"/>
    <w:rsid w:val="000328E7"/>
    <w:rsid w:val="0003361C"/>
    <w:rsid w:val="00033936"/>
    <w:rsid w:val="00033F43"/>
    <w:rsid w:val="0003451D"/>
    <w:rsid w:val="00036C0A"/>
    <w:rsid w:val="0003780C"/>
    <w:rsid w:val="00040351"/>
    <w:rsid w:val="0004053D"/>
    <w:rsid w:val="00040DE3"/>
    <w:rsid w:val="00040DF2"/>
    <w:rsid w:val="0004137E"/>
    <w:rsid w:val="00041750"/>
    <w:rsid w:val="00041BD5"/>
    <w:rsid w:val="00042612"/>
    <w:rsid w:val="00042797"/>
    <w:rsid w:val="000428EC"/>
    <w:rsid w:val="00042EC9"/>
    <w:rsid w:val="00043118"/>
    <w:rsid w:val="00043F57"/>
    <w:rsid w:val="000449D4"/>
    <w:rsid w:val="00044DA8"/>
    <w:rsid w:val="0004587F"/>
    <w:rsid w:val="00045D1F"/>
    <w:rsid w:val="0004614D"/>
    <w:rsid w:val="00046F88"/>
    <w:rsid w:val="00047002"/>
    <w:rsid w:val="00047948"/>
    <w:rsid w:val="00047ABC"/>
    <w:rsid w:val="00047E27"/>
    <w:rsid w:val="00050245"/>
    <w:rsid w:val="00050299"/>
    <w:rsid w:val="00051552"/>
    <w:rsid w:val="00051573"/>
    <w:rsid w:val="000524A1"/>
    <w:rsid w:val="0005255A"/>
    <w:rsid w:val="00054439"/>
    <w:rsid w:val="0005460E"/>
    <w:rsid w:val="00054BF0"/>
    <w:rsid w:val="00055A2F"/>
    <w:rsid w:val="00055CC1"/>
    <w:rsid w:val="00055E34"/>
    <w:rsid w:val="00055EDF"/>
    <w:rsid w:val="00056A2A"/>
    <w:rsid w:val="00056B32"/>
    <w:rsid w:val="00056E43"/>
    <w:rsid w:val="0005731D"/>
    <w:rsid w:val="00057525"/>
    <w:rsid w:val="00057540"/>
    <w:rsid w:val="000576A1"/>
    <w:rsid w:val="00057939"/>
    <w:rsid w:val="00057946"/>
    <w:rsid w:val="00057A3C"/>
    <w:rsid w:val="00057ACC"/>
    <w:rsid w:val="000600BB"/>
    <w:rsid w:val="000601D8"/>
    <w:rsid w:val="000617A1"/>
    <w:rsid w:val="00061990"/>
    <w:rsid w:val="00061ADE"/>
    <w:rsid w:val="00061C58"/>
    <w:rsid w:val="00061D79"/>
    <w:rsid w:val="000629CF"/>
    <w:rsid w:val="00062DE5"/>
    <w:rsid w:val="00062F44"/>
    <w:rsid w:val="00063395"/>
    <w:rsid w:val="000638E6"/>
    <w:rsid w:val="00063DA6"/>
    <w:rsid w:val="00064700"/>
    <w:rsid w:val="00065605"/>
    <w:rsid w:val="000662A6"/>
    <w:rsid w:val="00066776"/>
    <w:rsid w:val="000668E2"/>
    <w:rsid w:val="000669FD"/>
    <w:rsid w:val="00066B8A"/>
    <w:rsid w:val="00066E07"/>
    <w:rsid w:val="00066FAA"/>
    <w:rsid w:val="00067CD1"/>
    <w:rsid w:val="00067D87"/>
    <w:rsid w:val="0007004A"/>
    <w:rsid w:val="0007060C"/>
    <w:rsid w:val="00070983"/>
    <w:rsid w:val="00070E08"/>
    <w:rsid w:val="00070E4E"/>
    <w:rsid w:val="00071F75"/>
    <w:rsid w:val="00072517"/>
    <w:rsid w:val="00072781"/>
    <w:rsid w:val="00072AEF"/>
    <w:rsid w:val="00072E87"/>
    <w:rsid w:val="00073BDA"/>
    <w:rsid w:val="00073BE1"/>
    <w:rsid w:val="00073EA8"/>
    <w:rsid w:val="000742DA"/>
    <w:rsid w:val="00074368"/>
    <w:rsid w:val="00074A58"/>
    <w:rsid w:val="000751E6"/>
    <w:rsid w:val="0007615C"/>
    <w:rsid w:val="0007630C"/>
    <w:rsid w:val="0007681F"/>
    <w:rsid w:val="00076E25"/>
    <w:rsid w:val="00077200"/>
    <w:rsid w:val="000779C0"/>
    <w:rsid w:val="000806AF"/>
    <w:rsid w:val="00080BD7"/>
    <w:rsid w:val="00081411"/>
    <w:rsid w:val="00081AC8"/>
    <w:rsid w:val="00081BC8"/>
    <w:rsid w:val="00081E0C"/>
    <w:rsid w:val="000822F6"/>
    <w:rsid w:val="00083BA3"/>
    <w:rsid w:val="00084944"/>
    <w:rsid w:val="00084BAB"/>
    <w:rsid w:val="00084CAC"/>
    <w:rsid w:val="000851ED"/>
    <w:rsid w:val="00085C43"/>
    <w:rsid w:val="00086381"/>
    <w:rsid w:val="000866DB"/>
    <w:rsid w:val="000869E1"/>
    <w:rsid w:val="00086F44"/>
    <w:rsid w:val="00087507"/>
    <w:rsid w:val="0008753B"/>
    <w:rsid w:val="00087907"/>
    <w:rsid w:val="00087B53"/>
    <w:rsid w:val="00090435"/>
    <w:rsid w:val="00090943"/>
    <w:rsid w:val="00090B89"/>
    <w:rsid w:val="000912C5"/>
    <w:rsid w:val="000912E6"/>
    <w:rsid w:val="00091C92"/>
    <w:rsid w:val="0009202B"/>
    <w:rsid w:val="0009386F"/>
    <w:rsid w:val="00093A2C"/>
    <w:rsid w:val="000946CE"/>
    <w:rsid w:val="00094B5C"/>
    <w:rsid w:val="00095B19"/>
    <w:rsid w:val="00095BDD"/>
    <w:rsid w:val="00095E02"/>
    <w:rsid w:val="000963D9"/>
    <w:rsid w:val="0009690C"/>
    <w:rsid w:val="000977DE"/>
    <w:rsid w:val="000978D8"/>
    <w:rsid w:val="000A0139"/>
    <w:rsid w:val="000A03B7"/>
    <w:rsid w:val="000A08BB"/>
    <w:rsid w:val="000A08F2"/>
    <w:rsid w:val="000A0A0A"/>
    <w:rsid w:val="000A0ACC"/>
    <w:rsid w:val="000A11F9"/>
    <w:rsid w:val="000A1406"/>
    <w:rsid w:val="000A196E"/>
    <w:rsid w:val="000A1EBE"/>
    <w:rsid w:val="000A2840"/>
    <w:rsid w:val="000A2C4D"/>
    <w:rsid w:val="000A3552"/>
    <w:rsid w:val="000A35AE"/>
    <w:rsid w:val="000A39F0"/>
    <w:rsid w:val="000A3D9B"/>
    <w:rsid w:val="000A3F91"/>
    <w:rsid w:val="000A446C"/>
    <w:rsid w:val="000A44D7"/>
    <w:rsid w:val="000A4E8F"/>
    <w:rsid w:val="000A5348"/>
    <w:rsid w:val="000A61DA"/>
    <w:rsid w:val="000A68D1"/>
    <w:rsid w:val="000A6943"/>
    <w:rsid w:val="000A6F4E"/>
    <w:rsid w:val="000A75E3"/>
    <w:rsid w:val="000A788D"/>
    <w:rsid w:val="000A7F80"/>
    <w:rsid w:val="000B03AF"/>
    <w:rsid w:val="000B0946"/>
    <w:rsid w:val="000B09CD"/>
    <w:rsid w:val="000B0AFE"/>
    <w:rsid w:val="000B0BE4"/>
    <w:rsid w:val="000B1D98"/>
    <w:rsid w:val="000B2869"/>
    <w:rsid w:val="000B29EA"/>
    <w:rsid w:val="000B2A8D"/>
    <w:rsid w:val="000B2EE4"/>
    <w:rsid w:val="000B343E"/>
    <w:rsid w:val="000B374F"/>
    <w:rsid w:val="000B3927"/>
    <w:rsid w:val="000B3ABC"/>
    <w:rsid w:val="000B3E54"/>
    <w:rsid w:val="000B42B3"/>
    <w:rsid w:val="000B4B0C"/>
    <w:rsid w:val="000B5395"/>
    <w:rsid w:val="000B54D1"/>
    <w:rsid w:val="000B5D2D"/>
    <w:rsid w:val="000B6094"/>
    <w:rsid w:val="000B6C92"/>
    <w:rsid w:val="000B74BE"/>
    <w:rsid w:val="000B7EA3"/>
    <w:rsid w:val="000B7EF6"/>
    <w:rsid w:val="000C0410"/>
    <w:rsid w:val="000C123F"/>
    <w:rsid w:val="000C1344"/>
    <w:rsid w:val="000C1BB5"/>
    <w:rsid w:val="000C1C53"/>
    <w:rsid w:val="000C1C9C"/>
    <w:rsid w:val="000C1FA7"/>
    <w:rsid w:val="000C2A89"/>
    <w:rsid w:val="000C41D3"/>
    <w:rsid w:val="000C442C"/>
    <w:rsid w:val="000C49BC"/>
    <w:rsid w:val="000C49C3"/>
    <w:rsid w:val="000C4CEE"/>
    <w:rsid w:val="000C4F54"/>
    <w:rsid w:val="000C5B5F"/>
    <w:rsid w:val="000C5BE3"/>
    <w:rsid w:val="000C5CFE"/>
    <w:rsid w:val="000C6163"/>
    <w:rsid w:val="000C6C27"/>
    <w:rsid w:val="000C6EC7"/>
    <w:rsid w:val="000C752E"/>
    <w:rsid w:val="000C767B"/>
    <w:rsid w:val="000C7F75"/>
    <w:rsid w:val="000D144A"/>
    <w:rsid w:val="000D260A"/>
    <w:rsid w:val="000D26EA"/>
    <w:rsid w:val="000D2D37"/>
    <w:rsid w:val="000D2E16"/>
    <w:rsid w:val="000D397C"/>
    <w:rsid w:val="000D4157"/>
    <w:rsid w:val="000D49F2"/>
    <w:rsid w:val="000D5CFA"/>
    <w:rsid w:val="000D62BF"/>
    <w:rsid w:val="000D68CC"/>
    <w:rsid w:val="000D78F5"/>
    <w:rsid w:val="000D7E44"/>
    <w:rsid w:val="000E0431"/>
    <w:rsid w:val="000E06AD"/>
    <w:rsid w:val="000E1219"/>
    <w:rsid w:val="000E149C"/>
    <w:rsid w:val="000E1B49"/>
    <w:rsid w:val="000E3440"/>
    <w:rsid w:val="000E367D"/>
    <w:rsid w:val="000E38B5"/>
    <w:rsid w:val="000E3AD9"/>
    <w:rsid w:val="000E3E51"/>
    <w:rsid w:val="000E444E"/>
    <w:rsid w:val="000E48F0"/>
    <w:rsid w:val="000E53C7"/>
    <w:rsid w:val="000E57BC"/>
    <w:rsid w:val="000E5B43"/>
    <w:rsid w:val="000E642C"/>
    <w:rsid w:val="000E71F6"/>
    <w:rsid w:val="000F07BB"/>
    <w:rsid w:val="000F0D3D"/>
    <w:rsid w:val="000F16A7"/>
    <w:rsid w:val="000F23BE"/>
    <w:rsid w:val="000F2AC3"/>
    <w:rsid w:val="000F2B1A"/>
    <w:rsid w:val="000F2D1D"/>
    <w:rsid w:val="000F3C3C"/>
    <w:rsid w:val="000F3DAA"/>
    <w:rsid w:val="000F3F71"/>
    <w:rsid w:val="000F437F"/>
    <w:rsid w:val="000F4895"/>
    <w:rsid w:val="000F508D"/>
    <w:rsid w:val="000F5133"/>
    <w:rsid w:val="000F5B00"/>
    <w:rsid w:val="000F7D49"/>
    <w:rsid w:val="001004A1"/>
    <w:rsid w:val="00100BB2"/>
    <w:rsid w:val="00100C70"/>
    <w:rsid w:val="00100D8C"/>
    <w:rsid w:val="0010108E"/>
    <w:rsid w:val="0010114A"/>
    <w:rsid w:val="0010117E"/>
    <w:rsid w:val="001012C6"/>
    <w:rsid w:val="00101D12"/>
    <w:rsid w:val="0010225B"/>
    <w:rsid w:val="00102A78"/>
    <w:rsid w:val="0010334A"/>
    <w:rsid w:val="001046AB"/>
    <w:rsid w:val="00104C26"/>
    <w:rsid w:val="00104CBD"/>
    <w:rsid w:val="00105448"/>
    <w:rsid w:val="00105FAE"/>
    <w:rsid w:val="00106088"/>
    <w:rsid w:val="00107629"/>
    <w:rsid w:val="0010794C"/>
    <w:rsid w:val="00110CF4"/>
    <w:rsid w:val="001114CD"/>
    <w:rsid w:val="00112D1A"/>
    <w:rsid w:val="00112D47"/>
    <w:rsid w:val="0011330C"/>
    <w:rsid w:val="00113644"/>
    <w:rsid w:val="00113791"/>
    <w:rsid w:val="00113F54"/>
    <w:rsid w:val="001155CF"/>
    <w:rsid w:val="001157C0"/>
    <w:rsid w:val="00115DC5"/>
    <w:rsid w:val="00115FFB"/>
    <w:rsid w:val="00116951"/>
    <w:rsid w:val="00116AAF"/>
    <w:rsid w:val="00117D6C"/>
    <w:rsid w:val="00120322"/>
    <w:rsid w:val="00120BD7"/>
    <w:rsid w:val="001210D9"/>
    <w:rsid w:val="00121EE6"/>
    <w:rsid w:val="00121F58"/>
    <w:rsid w:val="001244E5"/>
    <w:rsid w:val="00124600"/>
    <w:rsid w:val="00124B3F"/>
    <w:rsid w:val="0012512F"/>
    <w:rsid w:val="001277C5"/>
    <w:rsid w:val="00127ADB"/>
    <w:rsid w:val="00127AF2"/>
    <w:rsid w:val="00127D7A"/>
    <w:rsid w:val="00130739"/>
    <w:rsid w:val="00131185"/>
    <w:rsid w:val="0013125C"/>
    <w:rsid w:val="00131597"/>
    <w:rsid w:val="00131F2D"/>
    <w:rsid w:val="00132ADF"/>
    <w:rsid w:val="00132CAD"/>
    <w:rsid w:val="00132DFC"/>
    <w:rsid w:val="001335AF"/>
    <w:rsid w:val="00133B28"/>
    <w:rsid w:val="001342B9"/>
    <w:rsid w:val="001342DB"/>
    <w:rsid w:val="001352D9"/>
    <w:rsid w:val="001353F2"/>
    <w:rsid w:val="001357F5"/>
    <w:rsid w:val="00135AB3"/>
    <w:rsid w:val="00136322"/>
    <w:rsid w:val="00136413"/>
    <w:rsid w:val="00136C8D"/>
    <w:rsid w:val="001374A1"/>
    <w:rsid w:val="00140648"/>
    <w:rsid w:val="00140685"/>
    <w:rsid w:val="00140D63"/>
    <w:rsid w:val="00141075"/>
    <w:rsid w:val="00141EE7"/>
    <w:rsid w:val="001430B8"/>
    <w:rsid w:val="00143256"/>
    <w:rsid w:val="00143282"/>
    <w:rsid w:val="001432E5"/>
    <w:rsid w:val="001442C5"/>
    <w:rsid w:val="00144C56"/>
    <w:rsid w:val="001455B8"/>
    <w:rsid w:val="0014586F"/>
    <w:rsid w:val="00145B2C"/>
    <w:rsid w:val="00145C2F"/>
    <w:rsid w:val="0014702C"/>
    <w:rsid w:val="00147610"/>
    <w:rsid w:val="001476F8"/>
    <w:rsid w:val="00150667"/>
    <w:rsid w:val="00150F04"/>
    <w:rsid w:val="0015129D"/>
    <w:rsid w:val="00151359"/>
    <w:rsid w:val="0015167E"/>
    <w:rsid w:val="0015215D"/>
    <w:rsid w:val="001528AF"/>
    <w:rsid w:val="001532FD"/>
    <w:rsid w:val="001534E3"/>
    <w:rsid w:val="0015352A"/>
    <w:rsid w:val="001536CC"/>
    <w:rsid w:val="00153A9F"/>
    <w:rsid w:val="0015423D"/>
    <w:rsid w:val="00154306"/>
    <w:rsid w:val="00154A50"/>
    <w:rsid w:val="00154DB2"/>
    <w:rsid w:val="001557FE"/>
    <w:rsid w:val="0015615D"/>
    <w:rsid w:val="001564E3"/>
    <w:rsid w:val="001578F7"/>
    <w:rsid w:val="0016056A"/>
    <w:rsid w:val="00160A23"/>
    <w:rsid w:val="00160A77"/>
    <w:rsid w:val="00161144"/>
    <w:rsid w:val="0016180C"/>
    <w:rsid w:val="00161FD5"/>
    <w:rsid w:val="001621CB"/>
    <w:rsid w:val="00162AC9"/>
    <w:rsid w:val="00162ACD"/>
    <w:rsid w:val="001631C7"/>
    <w:rsid w:val="00163421"/>
    <w:rsid w:val="00163423"/>
    <w:rsid w:val="00163DD5"/>
    <w:rsid w:val="00164E21"/>
    <w:rsid w:val="00164FC9"/>
    <w:rsid w:val="00165763"/>
    <w:rsid w:val="00165D17"/>
    <w:rsid w:val="00166480"/>
    <w:rsid w:val="001665D2"/>
    <w:rsid w:val="001670C0"/>
    <w:rsid w:val="00167123"/>
    <w:rsid w:val="00167256"/>
    <w:rsid w:val="00167846"/>
    <w:rsid w:val="00167B37"/>
    <w:rsid w:val="00167F43"/>
    <w:rsid w:val="00170559"/>
    <w:rsid w:val="00170616"/>
    <w:rsid w:val="001707DB"/>
    <w:rsid w:val="00170F5E"/>
    <w:rsid w:val="00171787"/>
    <w:rsid w:val="001718AE"/>
    <w:rsid w:val="00172F1E"/>
    <w:rsid w:val="00173059"/>
    <w:rsid w:val="00173141"/>
    <w:rsid w:val="00173481"/>
    <w:rsid w:val="00173646"/>
    <w:rsid w:val="00173A72"/>
    <w:rsid w:val="00173CD8"/>
    <w:rsid w:val="00173E53"/>
    <w:rsid w:val="00174162"/>
    <w:rsid w:val="00174E0C"/>
    <w:rsid w:val="001756A8"/>
    <w:rsid w:val="00175BB5"/>
    <w:rsid w:val="00175E47"/>
    <w:rsid w:val="00176DDC"/>
    <w:rsid w:val="00176E23"/>
    <w:rsid w:val="00176F36"/>
    <w:rsid w:val="00177376"/>
    <w:rsid w:val="00177988"/>
    <w:rsid w:val="001802B3"/>
    <w:rsid w:val="001805F7"/>
    <w:rsid w:val="00180883"/>
    <w:rsid w:val="00180B25"/>
    <w:rsid w:val="001811F2"/>
    <w:rsid w:val="001813D2"/>
    <w:rsid w:val="001814D6"/>
    <w:rsid w:val="00181777"/>
    <w:rsid w:val="00182406"/>
    <w:rsid w:val="00183527"/>
    <w:rsid w:val="0018363B"/>
    <w:rsid w:val="001840FE"/>
    <w:rsid w:val="001842B2"/>
    <w:rsid w:val="001842F1"/>
    <w:rsid w:val="00184547"/>
    <w:rsid w:val="00184759"/>
    <w:rsid w:val="001850BD"/>
    <w:rsid w:val="00186AFE"/>
    <w:rsid w:val="00187871"/>
    <w:rsid w:val="00187A77"/>
    <w:rsid w:val="00190171"/>
    <w:rsid w:val="00190264"/>
    <w:rsid w:val="001904D6"/>
    <w:rsid w:val="00190B16"/>
    <w:rsid w:val="00190B1C"/>
    <w:rsid w:val="0019107E"/>
    <w:rsid w:val="0019114C"/>
    <w:rsid w:val="0019214B"/>
    <w:rsid w:val="00192AFB"/>
    <w:rsid w:val="00192D36"/>
    <w:rsid w:val="00192D6F"/>
    <w:rsid w:val="001936F6"/>
    <w:rsid w:val="001947A9"/>
    <w:rsid w:val="001955AC"/>
    <w:rsid w:val="0019583E"/>
    <w:rsid w:val="00195950"/>
    <w:rsid w:val="001959D3"/>
    <w:rsid w:val="00195F86"/>
    <w:rsid w:val="00196AD5"/>
    <w:rsid w:val="00196ADE"/>
    <w:rsid w:val="00197448"/>
    <w:rsid w:val="001974A3"/>
    <w:rsid w:val="00197891"/>
    <w:rsid w:val="00197F25"/>
    <w:rsid w:val="00197FC8"/>
    <w:rsid w:val="001A02AF"/>
    <w:rsid w:val="001A10B4"/>
    <w:rsid w:val="001A14F4"/>
    <w:rsid w:val="001A18FD"/>
    <w:rsid w:val="001A1A51"/>
    <w:rsid w:val="001A1D54"/>
    <w:rsid w:val="001A1F34"/>
    <w:rsid w:val="001A24E2"/>
    <w:rsid w:val="001A34F6"/>
    <w:rsid w:val="001A35F4"/>
    <w:rsid w:val="001A3848"/>
    <w:rsid w:val="001A39FC"/>
    <w:rsid w:val="001A3A18"/>
    <w:rsid w:val="001A3B06"/>
    <w:rsid w:val="001A3DB3"/>
    <w:rsid w:val="001A43A5"/>
    <w:rsid w:val="001A4511"/>
    <w:rsid w:val="001A486A"/>
    <w:rsid w:val="001A5921"/>
    <w:rsid w:val="001A5A10"/>
    <w:rsid w:val="001A6728"/>
    <w:rsid w:val="001A6F25"/>
    <w:rsid w:val="001A798B"/>
    <w:rsid w:val="001A7C89"/>
    <w:rsid w:val="001B0CB3"/>
    <w:rsid w:val="001B0DCD"/>
    <w:rsid w:val="001B0DDA"/>
    <w:rsid w:val="001B1121"/>
    <w:rsid w:val="001B1251"/>
    <w:rsid w:val="001B184A"/>
    <w:rsid w:val="001B194F"/>
    <w:rsid w:val="001B22E2"/>
    <w:rsid w:val="001B39AD"/>
    <w:rsid w:val="001B41D4"/>
    <w:rsid w:val="001B429C"/>
    <w:rsid w:val="001B43E9"/>
    <w:rsid w:val="001B4997"/>
    <w:rsid w:val="001B4C2E"/>
    <w:rsid w:val="001B6AC7"/>
    <w:rsid w:val="001B6ACE"/>
    <w:rsid w:val="001B7648"/>
    <w:rsid w:val="001B7866"/>
    <w:rsid w:val="001C0460"/>
    <w:rsid w:val="001C04FB"/>
    <w:rsid w:val="001C1187"/>
    <w:rsid w:val="001C1235"/>
    <w:rsid w:val="001C1D03"/>
    <w:rsid w:val="001C24C9"/>
    <w:rsid w:val="001C260B"/>
    <w:rsid w:val="001C285F"/>
    <w:rsid w:val="001C293A"/>
    <w:rsid w:val="001C387A"/>
    <w:rsid w:val="001C43C4"/>
    <w:rsid w:val="001C4EF0"/>
    <w:rsid w:val="001C5082"/>
    <w:rsid w:val="001C59CC"/>
    <w:rsid w:val="001C6420"/>
    <w:rsid w:val="001C6574"/>
    <w:rsid w:val="001C6D7F"/>
    <w:rsid w:val="001C6F3B"/>
    <w:rsid w:val="001C7431"/>
    <w:rsid w:val="001C768D"/>
    <w:rsid w:val="001C7BAF"/>
    <w:rsid w:val="001D06BA"/>
    <w:rsid w:val="001D0B76"/>
    <w:rsid w:val="001D0CEF"/>
    <w:rsid w:val="001D22E0"/>
    <w:rsid w:val="001D2E00"/>
    <w:rsid w:val="001D3396"/>
    <w:rsid w:val="001D3E65"/>
    <w:rsid w:val="001D41CB"/>
    <w:rsid w:val="001D4227"/>
    <w:rsid w:val="001D46C4"/>
    <w:rsid w:val="001D5017"/>
    <w:rsid w:val="001D62ED"/>
    <w:rsid w:val="001D676C"/>
    <w:rsid w:val="001D6BB5"/>
    <w:rsid w:val="001D7870"/>
    <w:rsid w:val="001D7A7C"/>
    <w:rsid w:val="001E054C"/>
    <w:rsid w:val="001E0742"/>
    <w:rsid w:val="001E0C58"/>
    <w:rsid w:val="001E1E4B"/>
    <w:rsid w:val="001E1F6C"/>
    <w:rsid w:val="001E2465"/>
    <w:rsid w:val="001E269D"/>
    <w:rsid w:val="001E2BF4"/>
    <w:rsid w:val="001E2C2D"/>
    <w:rsid w:val="001E378F"/>
    <w:rsid w:val="001E4418"/>
    <w:rsid w:val="001E45E7"/>
    <w:rsid w:val="001E48A9"/>
    <w:rsid w:val="001E4B14"/>
    <w:rsid w:val="001E4BF4"/>
    <w:rsid w:val="001E53A6"/>
    <w:rsid w:val="001E5BCD"/>
    <w:rsid w:val="001E5C43"/>
    <w:rsid w:val="001E633F"/>
    <w:rsid w:val="001E646D"/>
    <w:rsid w:val="001E7891"/>
    <w:rsid w:val="001E7A33"/>
    <w:rsid w:val="001E7E88"/>
    <w:rsid w:val="001F188F"/>
    <w:rsid w:val="001F19A0"/>
    <w:rsid w:val="001F1CB8"/>
    <w:rsid w:val="001F28CA"/>
    <w:rsid w:val="001F2975"/>
    <w:rsid w:val="001F37DE"/>
    <w:rsid w:val="001F3EED"/>
    <w:rsid w:val="001F433C"/>
    <w:rsid w:val="001F437E"/>
    <w:rsid w:val="001F450F"/>
    <w:rsid w:val="001F4A08"/>
    <w:rsid w:val="001F5504"/>
    <w:rsid w:val="001F5BCE"/>
    <w:rsid w:val="001F6E97"/>
    <w:rsid w:val="001F7E94"/>
    <w:rsid w:val="00200FFC"/>
    <w:rsid w:val="0020185F"/>
    <w:rsid w:val="00201B24"/>
    <w:rsid w:val="0020358F"/>
    <w:rsid w:val="0020434C"/>
    <w:rsid w:val="0020444C"/>
    <w:rsid w:val="00204E17"/>
    <w:rsid w:val="00205105"/>
    <w:rsid w:val="002057BB"/>
    <w:rsid w:val="00205BDE"/>
    <w:rsid w:val="00206B25"/>
    <w:rsid w:val="00206BE3"/>
    <w:rsid w:val="00207D7D"/>
    <w:rsid w:val="00207F79"/>
    <w:rsid w:val="0021050A"/>
    <w:rsid w:val="00210518"/>
    <w:rsid w:val="00210A94"/>
    <w:rsid w:val="00210F3B"/>
    <w:rsid w:val="00211138"/>
    <w:rsid w:val="00211295"/>
    <w:rsid w:val="00211532"/>
    <w:rsid w:val="00211BD6"/>
    <w:rsid w:val="00211D05"/>
    <w:rsid w:val="0021200F"/>
    <w:rsid w:val="002126F1"/>
    <w:rsid w:val="00212DD8"/>
    <w:rsid w:val="00213595"/>
    <w:rsid w:val="002136F2"/>
    <w:rsid w:val="00213712"/>
    <w:rsid w:val="00213AC4"/>
    <w:rsid w:val="00213B87"/>
    <w:rsid w:val="002147D1"/>
    <w:rsid w:val="00215523"/>
    <w:rsid w:val="00215978"/>
    <w:rsid w:val="00215E85"/>
    <w:rsid w:val="00216458"/>
    <w:rsid w:val="00216535"/>
    <w:rsid w:val="00216577"/>
    <w:rsid w:val="00216D78"/>
    <w:rsid w:val="0022057B"/>
    <w:rsid w:val="00220AF1"/>
    <w:rsid w:val="00221673"/>
    <w:rsid w:val="00221A15"/>
    <w:rsid w:val="00222C61"/>
    <w:rsid w:val="002231F9"/>
    <w:rsid w:val="00223A04"/>
    <w:rsid w:val="00223B28"/>
    <w:rsid w:val="00223DBF"/>
    <w:rsid w:val="00224020"/>
    <w:rsid w:val="0022434B"/>
    <w:rsid w:val="002252D9"/>
    <w:rsid w:val="00225B57"/>
    <w:rsid w:val="00225E37"/>
    <w:rsid w:val="00226462"/>
    <w:rsid w:val="00226CB7"/>
    <w:rsid w:val="002272C1"/>
    <w:rsid w:val="002275DD"/>
    <w:rsid w:val="002275EC"/>
    <w:rsid w:val="00227EE0"/>
    <w:rsid w:val="0023123B"/>
    <w:rsid w:val="00231659"/>
    <w:rsid w:val="0023189F"/>
    <w:rsid w:val="00231B5F"/>
    <w:rsid w:val="00231EAB"/>
    <w:rsid w:val="002322D5"/>
    <w:rsid w:val="00232C9B"/>
    <w:rsid w:val="00232E60"/>
    <w:rsid w:val="00233055"/>
    <w:rsid w:val="00233189"/>
    <w:rsid w:val="0023324C"/>
    <w:rsid w:val="00233C3D"/>
    <w:rsid w:val="00234743"/>
    <w:rsid w:val="00234831"/>
    <w:rsid w:val="00234A25"/>
    <w:rsid w:val="002351D3"/>
    <w:rsid w:val="0023532B"/>
    <w:rsid w:val="0023611B"/>
    <w:rsid w:val="002363D7"/>
    <w:rsid w:val="002365DB"/>
    <w:rsid w:val="0023693C"/>
    <w:rsid w:val="00236BDF"/>
    <w:rsid w:val="00237A40"/>
    <w:rsid w:val="0024012C"/>
    <w:rsid w:val="0024019A"/>
    <w:rsid w:val="00240282"/>
    <w:rsid w:val="00240B72"/>
    <w:rsid w:val="0024227C"/>
    <w:rsid w:val="00242CC5"/>
    <w:rsid w:val="00243004"/>
    <w:rsid w:val="002436CB"/>
    <w:rsid w:val="00243B9D"/>
    <w:rsid w:val="00243CCD"/>
    <w:rsid w:val="0024452F"/>
    <w:rsid w:val="002447FD"/>
    <w:rsid w:val="00244CAF"/>
    <w:rsid w:val="00244CD2"/>
    <w:rsid w:val="0024531A"/>
    <w:rsid w:val="0024570E"/>
    <w:rsid w:val="0024571A"/>
    <w:rsid w:val="00245911"/>
    <w:rsid w:val="002467DA"/>
    <w:rsid w:val="002469D6"/>
    <w:rsid w:val="002469E0"/>
    <w:rsid w:val="00246E31"/>
    <w:rsid w:val="00247087"/>
    <w:rsid w:val="00247484"/>
    <w:rsid w:val="002477AB"/>
    <w:rsid w:val="00247BED"/>
    <w:rsid w:val="0025046C"/>
    <w:rsid w:val="0025067B"/>
    <w:rsid w:val="002517F6"/>
    <w:rsid w:val="00251F83"/>
    <w:rsid w:val="002522A3"/>
    <w:rsid w:val="00252427"/>
    <w:rsid w:val="0025358F"/>
    <w:rsid w:val="00255233"/>
    <w:rsid w:val="00255727"/>
    <w:rsid w:val="00255A7A"/>
    <w:rsid w:val="00255F1E"/>
    <w:rsid w:val="002563B3"/>
    <w:rsid w:val="00256443"/>
    <w:rsid w:val="00256AFA"/>
    <w:rsid w:val="00256DAB"/>
    <w:rsid w:val="00257533"/>
    <w:rsid w:val="002576F0"/>
    <w:rsid w:val="00257988"/>
    <w:rsid w:val="002601EA"/>
    <w:rsid w:val="002603EA"/>
    <w:rsid w:val="00260999"/>
    <w:rsid w:val="00261178"/>
    <w:rsid w:val="00261271"/>
    <w:rsid w:val="00262372"/>
    <w:rsid w:val="00262391"/>
    <w:rsid w:val="0026289C"/>
    <w:rsid w:val="00262920"/>
    <w:rsid w:val="00263320"/>
    <w:rsid w:val="00263482"/>
    <w:rsid w:val="002637F1"/>
    <w:rsid w:val="00263D08"/>
    <w:rsid w:val="00264143"/>
    <w:rsid w:val="00264FE9"/>
    <w:rsid w:val="00265739"/>
    <w:rsid w:val="002664D5"/>
    <w:rsid w:val="00270241"/>
    <w:rsid w:val="002707E2"/>
    <w:rsid w:val="002713BD"/>
    <w:rsid w:val="002723D2"/>
    <w:rsid w:val="00272816"/>
    <w:rsid w:val="0027291C"/>
    <w:rsid w:val="002732A6"/>
    <w:rsid w:val="00273D3B"/>
    <w:rsid w:val="00274296"/>
    <w:rsid w:val="00274656"/>
    <w:rsid w:val="002746D5"/>
    <w:rsid w:val="00275E8C"/>
    <w:rsid w:val="002762FB"/>
    <w:rsid w:val="0027699F"/>
    <w:rsid w:val="0028087D"/>
    <w:rsid w:val="002814E6"/>
    <w:rsid w:val="00282544"/>
    <w:rsid w:val="00282A65"/>
    <w:rsid w:val="00282DBC"/>
    <w:rsid w:val="00283010"/>
    <w:rsid w:val="00283A74"/>
    <w:rsid w:val="0028548B"/>
    <w:rsid w:val="002855A7"/>
    <w:rsid w:val="00285669"/>
    <w:rsid w:val="002867ED"/>
    <w:rsid w:val="00286EF8"/>
    <w:rsid w:val="00287263"/>
    <w:rsid w:val="00287B24"/>
    <w:rsid w:val="00290805"/>
    <w:rsid w:val="00290AF6"/>
    <w:rsid w:val="00290D79"/>
    <w:rsid w:val="002919E6"/>
    <w:rsid w:val="00291E4C"/>
    <w:rsid w:val="00291E87"/>
    <w:rsid w:val="00291ECB"/>
    <w:rsid w:val="00292059"/>
    <w:rsid w:val="002921CE"/>
    <w:rsid w:val="002926BD"/>
    <w:rsid w:val="002927A5"/>
    <w:rsid w:val="00292C82"/>
    <w:rsid w:val="002931D0"/>
    <w:rsid w:val="00293572"/>
    <w:rsid w:val="00294909"/>
    <w:rsid w:val="00294B38"/>
    <w:rsid w:val="00294C16"/>
    <w:rsid w:val="00294D07"/>
    <w:rsid w:val="00296032"/>
    <w:rsid w:val="00296391"/>
    <w:rsid w:val="0029644F"/>
    <w:rsid w:val="00297241"/>
    <w:rsid w:val="00297769"/>
    <w:rsid w:val="002978E9"/>
    <w:rsid w:val="00297DBE"/>
    <w:rsid w:val="002A109A"/>
    <w:rsid w:val="002A1DED"/>
    <w:rsid w:val="002A22B1"/>
    <w:rsid w:val="002A4131"/>
    <w:rsid w:val="002A41FC"/>
    <w:rsid w:val="002A4CFF"/>
    <w:rsid w:val="002A5105"/>
    <w:rsid w:val="002A5606"/>
    <w:rsid w:val="002A569C"/>
    <w:rsid w:val="002A5DEC"/>
    <w:rsid w:val="002A5F73"/>
    <w:rsid w:val="002A5FBE"/>
    <w:rsid w:val="002A6CA9"/>
    <w:rsid w:val="002A748E"/>
    <w:rsid w:val="002B0DAF"/>
    <w:rsid w:val="002B230C"/>
    <w:rsid w:val="002B3628"/>
    <w:rsid w:val="002B58DA"/>
    <w:rsid w:val="002B5952"/>
    <w:rsid w:val="002B5968"/>
    <w:rsid w:val="002B628B"/>
    <w:rsid w:val="002B6843"/>
    <w:rsid w:val="002B6CF4"/>
    <w:rsid w:val="002B737F"/>
    <w:rsid w:val="002B7E52"/>
    <w:rsid w:val="002C03FF"/>
    <w:rsid w:val="002C05BB"/>
    <w:rsid w:val="002C0C3C"/>
    <w:rsid w:val="002C0E20"/>
    <w:rsid w:val="002C1307"/>
    <w:rsid w:val="002C1884"/>
    <w:rsid w:val="002C20A2"/>
    <w:rsid w:val="002C248E"/>
    <w:rsid w:val="002C24C0"/>
    <w:rsid w:val="002C2981"/>
    <w:rsid w:val="002C2B8B"/>
    <w:rsid w:val="002C30B8"/>
    <w:rsid w:val="002C35DD"/>
    <w:rsid w:val="002C375E"/>
    <w:rsid w:val="002C390B"/>
    <w:rsid w:val="002C3984"/>
    <w:rsid w:val="002C42C0"/>
    <w:rsid w:val="002C4D45"/>
    <w:rsid w:val="002C5C73"/>
    <w:rsid w:val="002C6027"/>
    <w:rsid w:val="002C647A"/>
    <w:rsid w:val="002C691C"/>
    <w:rsid w:val="002C6BBC"/>
    <w:rsid w:val="002D03BD"/>
    <w:rsid w:val="002D0410"/>
    <w:rsid w:val="002D077D"/>
    <w:rsid w:val="002D0785"/>
    <w:rsid w:val="002D07F5"/>
    <w:rsid w:val="002D0CD2"/>
    <w:rsid w:val="002D15DF"/>
    <w:rsid w:val="002D1F7D"/>
    <w:rsid w:val="002D3966"/>
    <w:rsid w:val="002D3DF8"/>
    <w:rsid w:val="002D3E47"/>
    <w:rsid w:val="002D4A00"/>
    <w:rsid w:val="002D542B"/>
    <w:rsid w:val="002D5E7C"/>
    <w:rsid w:val="002D68AD"/>
    <w:rsid w:val="002D6B7A"/>
    <w:rsid w:val="002D7B11"/>
    <w:rsid w:val="002E028A"/>
    <w:rsid w:val="002E0AD6"/>
    <w:rsid w:val="002E0C7A"/>
    <w:rsid w:val="002E139B"/>
    <w:rsid w:val="002E1D1C"/>
    <w:rsid w:val="002E222E"/>
    <w:rsid w:val="002E2587"/>
    <w:rsid w:val="002E26EC"/>
    <w:rsid w:val="002E29FD"/>
    <w:rsid w:val="002E2CB6"/>
    <w:rsid w:val="002E2E78"/>
    <w:rsid w:val="002E3420"/>
    <w:rsid w:val="002E5274"/>
    <w:rsid w:val="002E53F9"/>
    <w:rsid w:val="002E5503"/>
    <w:rsid w:val="002E5585"/>
    <w:rsid w:val="002E5604"/>
    <w:rsid w:val="002E5624"/>
    <w:rsid w:val="002E6246"/>
    <w:rsid w:val="002E6248"/>
    <w:rsid w:val="002E634A"/>
    <w:rsid w:val="002E6F0E"/>
    <w:rsid w:val="002E74B3"/>
    <w:rsid w:val="002F0898"/>
    <w:rsid w:val="002F0C95"/>
    <w:rsid w:val="002F1CCE"/>
    <w:rsid w:val="002F1D95"/>
    <w:rsid w:val="002F2F82"/>
    <w:rsid w:val="002F3087"/>
    <w:rsid w:val="002F3A40"/>
    <w:rsid w:val="002F4815"/>
    <w:rsid w:val="002F5412"/>
    <w:rsid w:val="002F54D9"/>
    <w:rsid w:val="002F66E8"/>
    <w:rsid w:val="002F6AD2"/>
    <w:rsid w:val="002F7326"/>
    <w:rsid w:val="002F79DA"/>
    <w:rsid w:val="003007D7"/>
    <w:rsid w:val="00300B54"/>
    <w:rsid w:val="00300B74"/>
    <w:rsid w:val="00300DE7"/>
    <w:rsid w:val="003017BA"/>
    <w:rsid w:val="0030220E"/>
    <w:rsid w:val="0030230C"/>
    <w:rsid w:val="00302371"/>
    <w:rsid w:val="00302BCB"/>
    <w:rsid w:val="00302D22"/>
    <w:rsid w:val="00302F15"/>
    <w:rsid w:val="00303230"/>
    <w:rsid w:val="003033CF"/>
    <w:rsid w:val="00303902"/>
    <w:rsid w:val="00303A84"/>
    <w:rsid w:val="00303B0B"/>
    <w:rsid w:val="003041B1"/>
    <w:rsid w:val="00304562"/>
    <w:rsid w:val="00304687"/>
    <w:rsid w:val="00304BD9"/>
    <w:rsid w:val="00304E81"/>
    <w:rsid w:val="00305034"/>
    <w:rsid w:val="0030548E"/>
    <w:rsid w:val="00305632"/>
    <w:rsid w:val="003058E2"/>
    <w:rsid w:val="00305D1F"/>
    <w:rsid w:val="003067A1"/>
    <w:rsid w:val="00306F55"/>
    <w:rsid w:val="003075F8"/>
    <w:rsid w:val="0030775F"/>
    <w:rsid w:val="003077D2"/>
    <w:rsid w:val="00307DA8"/>
    <w:rsid w:val="00310135"/>
    <w:rsid w:val="00310222"/>
    <w:rsid w:val="0031042C"/>
    <w:rsid w:val="00310826"/>
    <w:rsid w:val="00310EB2"/>
    <w:rsid w:val="00311422"/>
    <w:rsid w:val="00311690"/>
    <w:rsid w:val="003117A6"/>
    <w:rsid w:val="003118FB"/>
    <w:rsid w:val="00311A5D"/>
    <w:rsid w:val="00311FA5"/>
    <w:rsid w:val="0031316A"/>
    <w:rsid w:val="003131F4"/>
    <w:rsid w:val="003133D4"/>
    <w:rsid w:val="003150AC"/>
    <w:rsid w:val="00315BBC"/>
    <w:rsid w:val="003160F6"/>
    <w:rsid w:val="003167E2"/>
    <w:rsid w:val="0031785D"/>
    <w:rsid w:val="003202B1"/>
    <w:rsid w:val="0032084F"/>
    <w:rsid w:val="00321903"/>
    <w:rsid w:val="00321F2C"/>
    <w:rsid w:val="0032331F"/>
    <w:rsid w:val="003240D9"/>
    <w:rsid w:val="00324178"/>
    <w:rsid w:val="00324F17"/>
    <w:rsid w:val="00325A8B"/>
    <w:rsid w:val="00325D58"/>
    <w:rsid w:val="00326667"/>
    <w:rsid w:val="00327585"/>
    <w:rsid w:val="003277A3"/>
    <w:rsid w:val="00327C8A"/>
    <w:rsid w:val="00330887"/>
    <w:rsid w:val="00330BE6"/>
    <w:rsid w:val="00330D22"/>
    <w:rsid w:val="00331D99"/>
    <w:rsid w:val="00331F54"/>
    <w:rsid w:val="0033245C"/>
    <w:rsid w:val="0033246E"/>
    <w:rsid w:val="0033311A"/>
    <w:rsid w:val="00333375"/>
    <w:rsid w:val="003333C4"/>
    <w:rsid w:val="00333700"/>
    <w:rsid w:val="0033371D"/>
    <w:rsid w:val="00333AC7"/>
    <w:rsid w:val="00333E72"/>
    <w:rsid w:val="00333F4A"/>
    <w:rsid w:val="00333FC1"/>
    <w:rsid w:val="00334494"/>
    <w:rsid w:val="003346CD"/>
    <w:rsid w:val="00334B7F"/>
    <w:rsid w:val="00334DDB"/>
    <w:rsid w:val="00334E4A"/>
    <w:rsid w:val="00335002"/>
    <w:rsid w:val="00335233"/>
    <w:rsid w:val="00335244"/>
    <w:rsid w:val="00335948"/>
    <w:rsid w:val="00335D57"/>
    <w:rsid w:val="00336237"/>
    <w:rsid w:val="00336747"/>
    <w:rsid w:val="00336B72"/>
    <w:rsid w:val="00337557"/>
    <w:rsid w:val="00337F04"/>
    <w:rsid w:val="003400FC"/>
    <w:rsid w:val="003402DC"/>
    <w:rsid w:val="00341145"/>
    <w:rsid w:val="00342C25"/>
    <w:rsid w:val="00342C69"/>
    <w:rsid w:val="0034362E"/>
    <w:rsid w:val="003439B9"/>
    <w:rsid w:val="0034404C"/>
    <w:rsid w:val="003440F0"/>
    <w:rsid w:val="00344313"/>
    <w:rsid w:val="003443C1"/>
    <w:rsid w:val="0034443A"/>
    <w:rsid w:val="00344592"/>
    <w:rsid w:val="003445E6"/>
    <w:rsid w:val="00344A95"/>
    <w:rsid w:val="00344CE3"/>
    <w:rsid w:val="0034529A"/>
    <w:rsid w:val="00345352"/>
    <w:rsid w:val="00345457"/>
    <w:rsid w:val="0034568C"/>
    <w:rsid w:val="0034584B"/>
    <w:rsid w:val="00346097"/>
    <w:rsid w:val="00346321"/>
    <w:rsid w:val="003465B5"/>
    <w:rsid w:val="0034760D"/>
    <w:rsid w:val="003476DD"/>
    <w:rsid w:val="00350131"/>
    <w:rsid w:val="0035059C"/>
    <w:rsid w:val="003505C5"/>
    <w:rsid w:val="00350A86"/>
    <w:rsid w:val="00351A36"/>
    <w:rsid w:val="00351EB2"/>
    <w:rsid w:val="00352206"/>
    <w:rsid w:val="00352708"/>
    <w:rsid w:val="00352CD0"/>
    <w:rsid w:val="00352D25"/>
    <w:rsid w:val="0035300E"/>
    <w:rsid w:val="0035322D"/>
    <w:rsid w:val="0035393A"/>
    <w:rsid w:val="00353AD8"/>
    <w:rsid w:val="003540B4"/>
    <w:rsid w:val="0035452E"/>
    <w:rsid w:val="00354D3F"/>
    <w:rsid w:val="00354F8E"/>
    <w:rsid w:val="0035702C"/>
    <w:rsid w:val="0035705F"/>
    <w:rsid w:val="00357509"/>
    <w:rsid w:val="00357BAF"/>
    <w:rsid w:val="00357DC4"/>
    <w:rsid w:val="003604A0"/>
    <w:rsid w:val="00360725"/>
    <w:rsid w:val="003607E5"/>
    <w:rsid w:val="00360944"/>
    <w:rsid w:val="00361A36"/>
    <w:rsid w:val="00361A4B"/>
    <w:rsid w:val="00361DCE"/>
    <w:rsid w:val="0036338B"/>
    <w:rsid w:val="0036345C"/>
    <w:rsid w:val="003635EF"/>
    <w:rsid w:val="0036371E"/>
    <w:rsid w:val="00363867"/>
    <w:rsid w:val="00363C7B"/>
    <w:rsid w:val="00363F60"/>
    <w:rsid w:val="00364720"/>
    <w:rsid w:val="003650C9"/>
    <w:rsid w:val="003652C6"/>
    <w:rsid w:val="00365476"/>
    <w:rsid w:val="00365747"/>
    <w:rsid w:val="00365A9F"/>
    <w:rsid w:val="003660D1"/>
    <w:rsid w:val="00366B70"/>
    <w:rsid w:val="003676B3"/>
    <w:rsid w:val="00367E67"/>
    <w:rsid w:val="003708CF"/>
    <w:rsid w:val="00370C1D"/>
    <w:rsid w:val="00370DEF"/>
    <w:rsid w:val="00371542"/>
    <w:rsid w:val="00371703"/>
    <w:rsid w:val="003717EF"/>
    <w:rsid w:val="0037257D"/>
    <w:rsid w:val="003731EC"/>
    <w:rsid w:val="003746E6"/>
    <w:rsid w:val="0037484E"/>
    <w:rsid w:val="00374B37"/>
    <w:rsid w:val="00374C44"/>
    <w:rsid w:val="003756E2"/>
    <w:rsid w:val="003764D1"/>
    <w:rsid w:val="003777CF"/>
    <w:rsid w:val="00380BD9"/>
    <w:rsid w:val="00381E97"/>
    <w:rsid w:val="00382ADE"/>
    <w:rsid w:val="00382F30"/>
    <w:rsid w:val="0038351C"/>
    <w:rsid w:val="00383C76"/>
    <w:rsid w:val="00384385"/>
    <w:rsid w:val="003843EE"/>
    <w:rsid w:val="00384451"/>
    <w:rsid w:val="00384525"/>
    <w:rsid w:val="00385267"/>
    <w:rsid w:val="00385873"/>
    <w:rsid w:val="00385D2E"/>
    <w:rsid w:val="00385EC4"/>
    <w:rsid w:val="00386832"/>
    <w:rsid w:val="0038724C"/>
    <w:rsid w:val="00387CC0"/>
    <w:rsid w:val="00387E60"/>
    <w:rsid w:val="003905B6"/>
    <w:rsid w:val="003929C8"/>
    <w:rsid w:val="00393453"/>
    <w:rsid w:val="00393469"/>
    <w:rsid w:val="00393C67"/>
    <w:rsid w:val="003942D7"/>
    <w:rsid w:val="00394C45"/>
    <w:rsid w:val="00394E90"/>
    <w:rsid w:val="00394ED9"/>
    <w:rsid w:val="00395171"/>
    <w:rsid w:val="003955D8"/>
    <w:rsid w:val="00396008"/>
    <w:rsid w:val="00396DD2"/>
    <w:rsid w:val="00397347"/>
    <w:rsid w:val="00397417"/>
    <w:rsid w:val="00397971"/>
    <w:rsid w:val="0039799D"/>
    <w:rsid w:val="00397A6C"/>
    <w:rsid w:val="00397CB4"/>
    <w:rsid w:val="00397F92"/>
    <w:rsid w:val="00397F97"/>
    <w:rsid w:val="003A0459"/>
    <w:rsid w:val="003A0AE7"/>
    <w:rsid w:val="003A1422"/>
    <w:rsid w:val="003A1816"/>
    <w:rsid w:val="003A2961"/>
    <w:rsid w:val="003A2A4B"/>
    <w:rsid w:val="003A2E7F"/>
    <w:rsid w:val="003A3662"/>
    <w:rsid w:val="003A3D2C"/>
    <w:rsid w:val="003A42CD"/>
    <w:rsid w:val="003A4436"/>
    <w:rsid w:val="003A48C6"/>
    <w:rsid w:val="003A5919"/>
    <w:rsid w:val="003A619A"/>
    <w:rsid w:val="003A625D"/>
    <w:rsid w:val="003A628E"/>
    <w:rsid w:val="003A6AC4"/>
    <w:rsid w:val="003A6BC0"/>
    <w:rsid w:val="003A7338"/>
    <w:rsid w:val="003B047A"/>
    <w:rsid w:val="003B05DE"/>
    <w:rsid w:val="003B0A85"/>
    <w:rsid w:val="003B0E9F"/>
    <w:rsid w:val="003B1CEC"/>
    <w:rsid w:val="003B2169"/>
    <w:rsid w:val="003B333E"/>
    <w:rsid w:val="003B3FDC"/>
    <w:rsid w:val="003B4CE6"/>
    <w:rsid w:val="003B53F4"/>
    <w:rsid w:val="003B6223"/>
    <w:rsid w:val="003B6A37"/>
    <w:rsid w:val="003B6C16"/>
    <w:rsid w:val="003B704F"/>
    <w:rsid w:val="003C06E3"/>
    <w:rsid w:val="003C075E"/>
    <w:rsid w:val="003C2107"/>
    <w:rsid w:val="003C2B8F"/>
    <w:rsid w:val="003C3406"/>
    <w:rsid w:val="003C36FB"/>
    <w:rsid w:val="003C3E17"/>
    <w:rsid w:val="003C3EF6"/>
    <w:rsid w:val="003C3FA3"/>
    <w:rsid w:val="003C4011"/>
    <w:rsid w:val="003C419C"/>
    <w:rsid w:val="003C4DC4"/>
    <w:rsid w:val="003C536F"/>
    <w:rsid w:val="003C53EA"/>
    <w:rsid w:val="003C54D7"/>
    <w:rsid w:val="003C5F60"/>
    <w:rsid w:val="003C639E"/>
    <w:rsid w:val="003C651D"/>
    <w:rsid w:val="003C6790"/>
    <w:rsid w:val="003C6837"/>
    <w:rsid w:val="003C7BB1"/>
    <w:rsid w:val="003D0149"/>
    <w:rsid w:val="003D030E"/>
    <w:rsid w:val="003D031E"/>
    <w:rsid w:val="003D051D"/>
    <w:rsid w:val="003D097B"/>
    <w:rsid w:val="003D0A33"/>
    <w:rsid w:val="003D0DA7"/>
    <w:rsid w:val="003D281E"/>
    <w:rsid w:val="003D2CB5"/>
    <w:rsid w:val="003D2DB0"/>
    <w:rsid w:val="003D315D"/>
    <w:rsid w:val="003D382E"/>
    <w:rsid w:val="003D3B7D"/>
    <w:rsid w:val="003D42E7"/>
    <w:rsid w:val="003D6549"/>
    <w:rsid w:val="003D6A5A"/>
    <w:rsid w:val="003D6F69"/>
    <w:rsid w:val="003D77B0"/>
    <w:rsid w:val="003D7E58"/>
    <w:rsid w:val="003E0C6A"/>
    <w:rsid w:val="003E0CC2"/>
    <w:rsid w:val="003E2262"/>
    <w:rsid w:val="003E2AE0"/>
    <w:rsid w:val="003E2C99"/>
    <w:rsid w:val="003E34AF"/>
    <w:rsid w:val="003E3A03"/>
    <w:rsid w:val="003E3AA5"/>
    <w:rsid w:val="003E4079"/>
    <w:rsid w:val="003E426D"/>
    <w:rsid w:val="003E4B2B"/>
    <w:rsid w:val="003E4D57"/>
    <w:rsid w:val="003E54E9"/>
    <w:rsid w:val="003E566F"/>
    <w:rsid w:val="003E5B11"/>
    <w:rsid w:val="003E6076"/>
    <w:rsid w:val="003E666D"/>
    <w:rsid w:val="003E677F"/>
    <w:rsid w:val="003E6CB1"/>
    <w:rsid w:val="003E72C6"/>
    <w:rsid w:val="003E73DB"/>
    <w:rsid w:val="003F12DB"/>
    <w:rsid w:val="003F17C3"/>
    <w:rsid w:val="003F1B3B"/>
    <w:rsid w:val="003F2036"/>
    <w:rsid w:val="003F3098"/>
    <w:rsid w:val="003F35E2"/>
    <w:rsid w:val="003F49BB"/>
    <w:rsid w:val="003F4A3B"/>
    <w:rsid w:val="003F4BFB"/>
    <w:rsid w:val="003F508E"/>
    <w:rsid w:val="003F50D1"/>
    <w:rsid w:val="003F5309"/>
    <w:rsid w:val="003F5490"/>
    <w:rsid w:val="003F5507"/>
    <w:rsid w:val="003F5749"/>
    <w:rsid w:val="003F5901"/>
    <w:rsid w:val="003F5E77"/>
    <w:rsid w:val="003F6470"/>
    <w:rsid w:val="003F65C1"/>
    <w:rsid w:val="003F670C"/>
    <w:rsid w:val="003F6A9E"/>
    <w:rsid w:val="003F6C2A"/>
    <w:rsid w:val="003F6C2D"/>
    <w:rsid w:val="003F6C71"/>
    <w:rsid w:val="003F6E11"/>
    <w:rsid w:val="003F72ED"/>
    <w:rsid w:val="0040044F"/>
    <w:rsid w:val="00400892"/>
    <w:rsid w:val="00400A2D"/>
    <w:rsid w:val="00401302"/>
    <w:rsid w:val="0040229E"/>
    <w:rsid w:val="004028A5"/>
    <w:rsid w:val="004035C0"/>
    <w:rsid w:val="0040399D"/>
    <w:rsid w:val="00403C56"/>
    <w:rsid w:val="0040481D"/>
    <w:rsid w:val="0040504F"/>
    <w:rsid w:val="004052D7"/>
    <w:rsid w:val="0040573A"/>
    <w:rsid w:val="00405F43"/>
    <w:rsid w:val="004061CD"/>
    <w:rsid w:val="00407318"/>
    <w:rsid w:val="00407BF7"/>
    <w:rsid w:val="00407E71"/>
    <w:rsid w:val="004105C2"/>
    <w:rsid w:val="004118DE"/>
    <w:rsid w:val="00411FB0"/>
    <w:rsid w:val="00412207"/>
    <w:rsid w:val="004126BD"/>
    <w:rsid w:val="00413BEA"/>
    <w:rsid w:val="00413E79"/>
    <w:rsid w:val="0041409A"/>
    <w:rsid w:val="004144B6"/>
    <w:rsid w:val="0041617B"/>
    <w:rsid w:val="00416553"/>
    <w:rsid w:val="00416A2E"/>
    <w:rsid w:val="004200E8"/>
    <w:rsid w:val="004202DF"/>
    <w:rsid w:val="0042071A"/>
    <w:rsid w:val="0042096C"/>
    <w:rsid w:val="00420ECE"/>
    <w:rsid w:val="00422120"/>
    <w:rsid w:val="00422B72"/>
    <w:rsid w:val="00422E7D"/>
    <w:rsid w:val="00422EBA"/>
    <w:rsid w:val="00423619"/>
    <w:rsid w:val="004239D3"/>
    <w:rsid w:val="00423D83"/>
    <w:rsid w:val="0042460D"/>
    <w:rsid w:val="00424C85"/>
    <w:rsid w:val="00424E6B"/>
    <w:rsid w:val="004256F6"/>
    <w:rsid w:val="00425EC4"/>
    <w:rsid w:val="00427AC1"/>
    <w:rsid w:val="00427E21"/>
    <w:rsid w:val="004300D3"/>
    <w:rsid w:val="00430374"/>
    <w:rsid w:val="004304CD"/>
    <w:rsid w:val="00430725"/>
    <w:rsid w:val="00430883"/>
    <w:rsid w:val="004319BA"/>
    <w:rsid w:val="004326E9"/>
    <w:rsid w:val="00432768"/>
    <w:rsid w:val="0043291C"/>
    <w:rsid w:val="00432AEA"/>
    <w:rsid w:val="004331CB"/>
    <w:rsid w:val="00433248"/>
    <w:rsid w:val="004335F1"/>
    <w:rsid w:val="00433913"/>
    <w:rsid w:val="00434084"/>
    <w:rsid w:val="0043420B"/>
    <w:rsid w:val="00434E0B"/>
    <w:rsid w:val="00435394"/>
    <w:rsid w:val="00435429"/>
    <w:rsid w:val="004364FA"/>
    <w:rsid w:val="00436A44"/>
    <w:rsid w:val="0043723A"/>
    <w:rsid w:val="00437A31"/>
    <w:rsid w:val="00440ABC"/>
    <w:rsid w:val="00440CDA"/>
    <w:rsid w:val="00441223"/>
    <w:rsid w:val="00441369"/>
    <w:rsid w:val="00442061"/>
    <w:rsid w:val="00442530"/>
    <w:rsid w:val="00442D19"/>
    <w:rsid w:val="004439BC"/>
    <w:rsid w:val="00443A40"/>
    <w:rsid w:val="00443B2C"/>
    <w:rsid w:val="004442DF"/>
    <w:rsid w:val="004444F3"/>
    <w:rsid w:val="00444804"/>
    <w:rsid w:val="004461FF"/>
    <w:rsid w:val="00446697"/>
    <w:rsid w:val="00446914"/>
    <w:rsid w:val="004472F9"/>
    <w:rsid w:val="00447341"/>
    <w:rsid w:val="0045007A"/>
    <w:rsid w:val="004501A6"/>
    <w:rsid w:val="004505BE"/>
    <w:rsid w:val="00450FE3"/>
    <w:rsid w:val="00451822"/>
    <w:rsid w:val="00451873"/>
    <w:rsid w:val="004518E7"/>
    <w:rsid w:val="004519B7"/>
    <w:rsid w:val="004521C4"/>
    <w:rsid w:val="0045258E"/>
    <w:rsid w:val="004529FC"/>
    <w:rsid w:val="00453184"/>
    <w:rsid w:val="00453733"/>
    <w:rsid w:val="00453834"/>
    <w:rsid w:val="00453887"/>
    <w:rsid w:val="00453D71"/>
    <w:rsid w:val="004549E0"/>
    <w:rsid w:val="0045565E"/>
    <w:rsid w:val="00456195"/>
    <w:rsid w:val="0045668A"/>
    <w:rsid w:val="00456B34"/>
    <w:rsid w:val="00456CCD"/>
    <w:rsid w:val="00457068"/>
    <w:rsid w:val="0046022A"/>
    <w:rsid w:val="004603BF"/>
    <w:rsid w:val="004604F0"/>
    <w:rsid w:val="0046089C"/>
    <w:rsid w:val="00460E4A"/>
    <w:rsid w:val="004612C5"/>
    <w:rsid w:val="00461D4B"/>
    <w:rsid w:val="004620AE"/>
    <w:rsid w:val="00462344"/>
    <w:rsid w:val="0046262B"/>
    <w:rsid w:val="0046288A"/>
    <w:rsid w:val="00463544"/>
    <w:rsid w:val="0046360E"/>
    <w:rsid w:val="00463B85"/>
    <w:rsid w:val="00464203"/>
    <w:rsid w:val="00464530"/>
    <w:rsid w:val="0046487B"/>
    <w:rsid w:val="004648BD"/>
    <w:rsid w:val="00465CA8"/>
    <w:rsid w:val="00466BAB"/>
    <w:rsid w:val="00466E3E"/>
    <w:rsid w:val="00467AD3"/>
    <w:rsid w:val="00467D07"/>
    <w:rsid w:val="00470541"/>
    <w:rsid w:val="00470576"/>
    <w:rsid w:val="00470DB1"/>
    <w:rsid w:val="0047127B"/>
    <w:rsid w:val="004717A9"/>
    <w:rsid w:val="00471927"/>
    <w:rsid w:val="00472B66"/>
    <w:rsid w:val="00472FF8"/>
    <w:rsid w:val="004736EC"/>
    <w:rsid w:val="00473EA6"/>
    <w:rsid w:val="00475F48"/>
    <w:rsid w:val="0047663B"/>
    <w:rsid w:val="00477BEB"/>
    <w:rsid w:val="004800BA"/>
    <w:rsid w:val="00480610"/>
    <w:rsid w:val="00480D70"/>
    <w:rsid w:val="00481319"/>
    <w:rsid w:val="0048173B"/>
    <w:rsid w:val="00481F9C"/>
    <w:rsid w:val="0048203B"/>
    <w:rsid w:val="00482960"/>
    <w:rsid w:val="00482FBC"/>
    <w:rsid w:val="0048304D"/>
    <w:rsid w:val="0048474C"/>
    <w:rsid w:val="00484A24"/>
    <w:rsid w:val="004853BD"/>
    <w:rsid w:val="00485594"/>
    <w:rsid w:val="00485904"/>
    <w:rsid w:val="00485EAE"/>
    <w:rsid w:val="00485EC5"/>
    <w:rsid w:val="00487F87"/>
    <w:rsid w:val="0049054C"/>
    <w:rsid w:val="0049087B"/>
    <w:rsid w:val="00490953"/>
    <w:rsid w:val="00490B54"/>
    <w:rsid w:val="00490E98"/>
    <w:rsid w:val="0049101A"/>
    <w:rsid w:val="004913F6"/>
    <w:rsid w:val="00491AB6"/>
    <w:rsid w:val="00491D6A"/>
    <w:rsid w:val="00491E44"/>
    <w:rsid w:val="004934F9"/>
    <w:rsid w:val="00494279"/>
    <w:rsid w:val="0049437D"/>
    <w:rsid w:val="0049439B"/>
    <w:rsid w:val="004950FE"/>
    <w:rsid w:val="00495419"/>
    <w:rsid w:val="00495574"/>
    <w:rsid w:val="004956C0"/>
    <w:rsid w:val="00495962"/>
    <w:rsid w:val="004961CE"/>
    <w:rsid w:val="00497B39"/>
    <w:rsid w:val="00497EF8"/>
    <w:rsid w:val="004A023A"/>
    <w:rsid w:val="004A0AB5"/>
    <w:rsid w:val="004A1467"/>
    <w:rsid w:val="004A1A62"/>
    <w:rsid w:val="004A2206"/>
    <w:rsid w:val="004A24DC"/>
    <w:rsid w:val="004A25CD"/>
    <w:rsid w:val="004A25CE"/>
    <w:rsid w:val="004A2F24"/>
    <w:rsid w:val="004A2F92"/>
    <w:rsid w:val="004A37D2"/>
    <w:rsid w:val="004A3AD9"/>
    <w:rsid w:val="004A54E7"/>
    <w:rsid w:val="004A5D9C"/>
    <w:rsid w:val="004A67EA"/>
    <w:rsid w:val="004A691B"/>
    <w:rsid w:val="004A7C9A"/>
    <w:rsid w:val="004A7EA7"/>
    <w:rsid w:val="004B014D"/>
    <w:rsid w:val="004B0646"/>
    <w:rsid w:val="004B0AAD"/>
    <w:rsid w:val="004B11DC"/>
    <w:rsid w:val="004B188B"/>
    <w:rsid w:val="004B1D66"/>
    <w:rsid w:val="004B2A11"/>
    <w:rsid w:val="004B2ED7"/>
    <w:rsid w:val="004B3104"/>
    <w:rsid w:val="004B33F2"/>
    <w:rsid w:val="004B33FF"/>
    <w:rsid w:val="004B3475"/>
    <w:rsid w:val="004B394E"/>
    <w:rsid w:val="004B3A6F"/>
    <w:rsid w:val="004B4A51"/>
    <w:rsid w:val="004B5079"/>
    <w:rsid w:val="004B5396"/>
    <w:rsid w:val="004B5B79"/>
    <w:rsid w:val="004B62BE"/>
    <w:rsid w:val="004B6E6D"/>
    <w:rsid w:val="004B7210"/>
    <w:rsid w:val="004B754E"/>
    <w:rsid w:val="004B7E2C"/>
    <w:rsid w:val="004C0413"/>
    <w:rsid w:val="004C0FD6"/>
    <w:rsid w:val="004C153C"/>
    <w:rsid w:val="004C16AB"/>
    <w:rsid w:val="004C17E3"/>
    <w:rsid w:val="004C337C"/>
    <w:rsid w:val="004C3764"/>
    <w:rsid w:val="004C37DC"/>
    <w:rsid w:val="004C3A75"/>
    <w:rsid w:val="004C628E"/>
    <w:rsid w:val="004C6AEF"/>
    <w:rsid w:val="004C6DF1"/>
    <w:rsid w:val="004C76BF"/>
    <w:rsid w:val="004C77B3"/>
    <w:rsid w:val="004C77F7"/>
    <w:rsid w:val="004C7C3D"/>
    <w:rsid w:val="004C7F38"/>
    <w:rsid w:val="004D0B37"/>
    <w:rsid w:val="004D1D4C"/>
    <w:rsid w:val="004D2157"/>
    <w:rsid w:val="004D25A4"/>
    <w:rsid w:val="004D2741"/>
    <w:rsid w:val="004D35A7"/>
    <w:rsid w:val="004D42A4"/>
    <w:rsid w:val="004D484F"/>
    <w:rsid w:val="004D4BF9"/>
    <w:rsid w:val="004D6CA8"/>
    <w:rsid w:val="004D7A54"/>
    <w:rsid w:val="004D7E74"/>
    <w:rsid w:val="004E0764"/>
    <w:rsid w:val="004E121E"/>
    <w:rsid w:val="004E17AA"/>
    <w:rsid w:val="004E2118"/>
    <w:rsid w:val="004E24BA"/>
    <w:rsid w:val="004E24F5"/>
    <w:rsid w:val="004E29A3"/>
    <w:rsid w:val="004E3874"/>
    <w:rsid w:val="004E4137"/>
    <w:rsid w:val="004E4832"/>
    <w:rsid w:val="004E48B7"/>
    <w:rsid w:val="004E4CD0"/>
    <w:rsid w:val="004E5E3C"/>
    <w:rsid w:val="004E63EA"/>
    <w:rsid w:val="004E699C"/>
    <w:rsid w:val="004E7255"/>
    <w:rsid w:val="004E7F7C"/>
    <w:rsid w:val="004F0223"/>
    <w:rsid w:val="004F03C2"/>
    <w:rsid w:val="004F065E"/>
    <w:rsid w:val="004F1523"/>
    <w:rsid w:val="004F1799"/>
    <w:rsid w:val="004F1AFA"/>
    <w:rsid w:val="004F2ADE"/>
    <w:rsid w:val="004F2C75"/>
    <w:rsid w:val="004F2E07"/>
    <w:rsid w:val="004F3063"/>
    <w:rsid w:val="004F32A0"/>
    <w:rsid w:val="004F38E0"/>
    <w:rsid w:val="004F411E"/>
    <w:rsid w:val="004F4539"/>
    <w:rsid w:val="004F4596"/>
    <w:rsid w:val="004F56E4"/>
    <w:rsid w:val="004F6DBD"/>
    <w:rsid w:val="004F74F8"/>
    <w:rsid w:val="004F77C8"/>
    <w:rsid w:val="004F7A2B"/>
    <w:rsid w:val="004F7E97"/>
    <w:rsid w:val="005002B0"/>
    <w:rsid w:val="00500318"/>
    <w:rsid w:val="00500839"/>
    <w:rsid w:val="00500F03"/>
    <w:rsid w:val="00500FC4"/>
    <w:rsid w:val="0050150C"/>
    <w:rsid w:val="00501B72"/>
    <w:rsid w:val="00501C4F"/>
    <w:rsid w:val="00501CBC"/>
    <w:rsid w:val="00501DB7"/>
    <w:rsid w:val="00502B14"/>
    <w:rsid w:val="005030AF"/>
    <w:rsid w:val="00503C1F"/>
    <w:rsid w:val="00504251"/>
    <w:rsid w:val="0050561D"/>
    <w:rsid w:val="00506CEF"/>
    <w:rsid w:val="00506E02"/>
    <w:rsid w:val="005078F9"/>
    <w:rsid w:val="00510670"/>
    <w:rsid w:val="0051072E"/>
    <w:rsid w:val="00510821"/>
    <w:rsid w:val="00511398"/>
    <w:rsid w:val="00511B14"/>
    <w:rsid w:val="00512161"/>
    <w:rsid w:val="00512F80"/>
    <w:rsid w:val="0051337C"/>
    <w:rsid w:val="0051393A"/>
    <w:rsid w:val="00513CDA"/>
    <w:rsid w:val="0051427F"/>
    <w:rsid w:val="005149B5"/>
    <w:rsid w:val="00515276"/>
    <w:rsid w:val="00515451"/>
    <w:rsid w:val="00515547"/>
    <w:rsid w:val="005155C1"/>
    <w:rsid w:val="0051613F"/>
    <w:rsid w:val="00516A3A"/>
    <w:rsid w:val="005173E6"/>
    <w:rsid w:val="00517527"/>
    <w:rsid w:val="00517D77"/>
    <w:rsid w:val="00520ED1"/>
    <w:rsid w:val="00521185"/>
    <w:rsid w:val="00521731"/>
    <w:rsid w:val="0052346F"/>
    <w:rsid w:val="00524193"/>
    <w:rsid w:val="00524288"/>
    <w:rsid w:val="005255CD"/>
    <w:rsid w:val="00525873"/>
    <w:rsid w:val="00525D92"/>
    <w:rsid w:val="0052610F"/>
    <w:rsid w:val="00526397"/>
    <w:rsid w:val="0052645D"/>
    <w:rsid w:val="00526463"/>
    <w:rsid w:val="00526803"/>
    <w:rsid w:val="0052691F"/>
    <w:rsid w:val="00526C1A"/>
    <w:rsid w:val="005272C4"/>
    <w:rsid w:val="005308A7"/>
    <w:rsid w:val="00530B0D"/>
    <w:rsid w:val="005310C9"/>
    <w:rsid w:val="00531281"/>
    <w:rsid w:val="00532352"/>
    <w:rsid w:val="005331D2"/>
    <w:rsid w:val="00533675"/>
    <w:rsid w:val="00533B05"/>
    <w:rsid w:val="00533C3B"/>
    <w:rsid w:val="00533EAB"/>
    <w:rsid w:val="00534276"/>
    <w:rsid w:val="00535157"/>
    <w:rsid w:val="00535C3A"/>
    <w:rsid w:val="005374C8"/>
    <w:rsid w:val="005415C4"/>
    <w:rsid w:val="00542C28"/>
    <w:rsid w:val="00542DDE"/>
    <w:rsid w:val="00543938"/>
    <w:rsid w:val="00543E5B"/>
    <w:rsid w:val="00544957"/>
    <w:rsid w:val="00544B03"/>
    <w:rsid w:val="00544DBE"/>
    <w:rsid w:val="0054521E"/>
    <w:rsid w:val="0054533E"/>
    <w:rsid w:val="00546095"/>
    <w:rsid w:val="00546421"/>
    <w:rsid w:val="005471E6"/>
    <w:rsid w:val="005472C4"/>
    <w:rsid w:val="005474E6"/>
    <w:rsid w:val="00547519"/>
    <w:rsid w:val="00547EBC"/>
    <w:rsid w:val="00547EF7"/>
    <w:rsid w:val="005508A8"/>
    <w:rsid w:val="00550B11"/>
    <w:rsid w:val="00550C7A"/>
    <w:rsid w:val="00551468"/>
    <w:rsid w:val="005516DE"/>
    <w:rsid w:val="00551E9F"/>
    <w:rsid w:val="005524CB"/>
    <w:rsid w:val="00552666"/>
    <w:rsid w:val="00552EE5"/>
    <w:rsid w:val="00553A92"/>
    <w:rsid w:val="00553DFE"/>
    <w:rsid w:val="005544AB"/>
    <w:rsid w:val="00554557"/>
    <w:rsid w:val="005548A6"/>
    <w:rsid w:val="005566AF"/>
    <w:rsid w:val="005566CD"/>
    <w:rsid w:val="00557614"/>
    <w:rsid w:val="0055787D"/>
    <w:rsid w:val="00561698"/>
    <w:rsid w:val="0056193F"/>
    <w:rsid w:val="00561A62"/>
    <w:rsid w:val="00561E4F"/>
    <w:rsid w:val="005620B0"/>
    <w:rsid w:val="005628FD"/>
    <w:rsid w:val="00563113"/>
    <w:rsid w:val="00563148"/>
    <w:rsid w:val="00563155"/>
    <w:rsid w:val="005631CA"/>
    <w:rsid w:val="0056413B"/>
    <w:rsid w:val="00564797"/>
    <w:rsid w:val="00565955"/>
    <w:rsid w:val="00565B5E"/>
    <w:rsid w:val="005663C0"/>
    <w:rsid w:val="0056783B"/>
    <w:rsid w:val="00570088"/>
    <w:rsid w:val="00570A6F"/>
    <w:rsid w:val="00570F89"/>
    <w:rsid w:val="00571054"/>
    <w:rsid w:val="0057116A"/>
    <w:rsid w:val="005720E4"/>
    <w:rsid w:val="005728AD"/>
    <w:rsid w:val="00572C50"/>
    <w:rsid w:val="00572C81"/>
    <w:rsid w:val="00573259"/>
    <w:rsid w:val="00573855"/>
    <w:rsid w:val="00573957"/>
    <w:rsid w:val="005739E2"/>
    <w:rsid w:val="00574961"/>
    <w:rsid w:val="00574BD9"/>
    <w:rsid w:val="00574C2D"/>
    <w:rsid w:val="00575222"/>
    <w:rsid w:val="00576312"/>
    <w:rsid w:val="0057640D"/>
    <w:rsid w:val="00576964"/>
    <w:rsid w:val="00576B5D"/>
    <w:rsid w:val="00577367"/>
    <w:rsid w:val="00577AE8"/>
    <w:rsid w:val="00580A89"/>
    <w:rsid w:val="0058156D"/>
    <w:rsid w:val="00581BC0"/>
    <w:rsid w:val="00582A34"/>
    <w:rsid w:val="00582A5D"/>
    <w:rsid w:val="00582E39"/>
    <w:rsid w:val="0058322C"/>
    <w:rsid w:val="005833F0"/>
    <w:rsid w:val="005838B5"/>
    <w:rsid w:val="005839D8"/>
    <w:rsid w:val="00583B1C"/>
    <w:rsid w:val="005842DC"/>
    <w:rsid w:val="00584523"/>
    <w:rsid w:val="00584C1D"/>
    <w:rsid w:val="0058532A"/>
    <w:rsid w:val="005853EA"/>
    <w:rsid w:val="005858D7"/>
    <w:rsid w:val="0058633B"/>
    <w:rsid w:val="005869C2"/>
    <w:rsid w:val="00587B71"/>
    <w:rsid w:val="00590217"/>
    <w:rsid w:val="0059036F"/>
    <w:rsid w:val="005906CB"/>
    <w:rsid w:val="0059183A"/>
    <w:rsid w:val="00591A71"/>
    <w:rsid w:val="00592BB2"/>
    <w:rsid w:val="0059332F"/>
    <w:rsid w:val="00593823"/>
    <w:rsid w:val="00593C5E"/>
    <w:rsid w:val="00594025"/>
    <w:rsid w:val="0059456F"/>
    <w:rsid w:val="00594573"/>
    <w:rsid w:val="00594FBF"/>
    <w:rsid w:val="00595BCC"/>
    <w:rsid w:val="00595FDB"/>
    <w:rsid w:val="00596684"/>
    <w:rsid w:val="0059693A"/>
    <w:rsid w:val="00596B7E"/>
    <w:rsid w:val="00596C2F"/>
    <w:rsid w:val="0059716A"/>
    <w:rsid w:val="005971BB"/>
    <w:rsid w:val="005A0551"/>
    <w:rsid w:val="005A15CD"/>
    <w:rsid w:val="005A18D1"/>
    <w:rsid w:val="005A1DBF"/>
    <w:rsid w:val="005A238F"/>
    <w:rsid w:val="005A2397"/>
    <w:rsid w:val="005A292B"/>
    <w:rsid w:val="005A2A93"/>
    <w:rsid w:val="005A2B08"/>
    <w:rsid w:val="005A2DF5"/>
    <w:rsid w:val="005A31BB"/>
    <w:rsid w:val="005A3494"/>
    <w:rsid w:val="005A35B5"/>
    <w:rsid w:val="005A385E"/>
    <w:rsid w:val="005A3B99"/>
    <w:rsid w:val="005A3FEC"/>
    <w:rsid w:val="005A40CB"/>
    <w:rsid w:val="005A45F8"/>
    <w:rsid w:val="005A57C5"/>
    <w:rsid w:val="005A59D1"/>
    <w:rsid w:val="005A5BC3"/>
    <w:rsid w:val="005A5DA5"/>
    <w:rsid w:val="005A5E6D"/>
    <w:rsid w:val="005A604C"/>
    <w:rsid w:val="005A6620"/>
    <w:rsid w:val="005A6DDE"/>
    <w:rsid w:val="005A77F9"/>
    <w:rsid w:val="005A78E2"/>
    <w:rsid w:val="005A7D2C"/>
    <w:rsid w:val="005B002A"/>
    <w:rsid w:val="005B0E8F"/>
    <w:rsid w:val="005B0F3A"/>
    <w:rsid w:val="005B1321"/>
    <w:rsid w:val="005B151A"/>
    <w:rsid w:val="005B17EF"/>
    <w:rsid w:val="005B1B76"/>
    <w:rsid w:val="005B211E"/>
    <w:rsid w:val="005B2584"/>
    <w:rsid w:val="005B2E69"/>
    <w:rsid w:val="005B2F12"/>
    <w:rsid w:val="005B327A"/>
    <w:rsid w:val="005B3A3D"/>
    <w:rsid w:val="005B3C46"/>
    <w:rsid w:val="005B451F"/>
    <w:rsid w:val="005B4EF7"/>
    <w:rsid w:val="005B4F31"/>
    <w:rsid w:val="005B501C"/>
    <w:rsid w:val="005B597C"/>
    <w:rsid w:val="005B6E58"/>
    <w:rsid w:val="005B6EC8"/>
    <w:rsid w:val="005B743E"/>
    <w:rsid w:val="005B74CD"/>
    <w:rsid w:val="005C0330"/>
    <w:rsid w:val="005C11BF"/>
    <w:rsid w:val="005C2464"/>
    <w:rsid w:val="005C364D"/>
    <w:rsid w:val="005C3F68"/>
    <w:rsid w:val="005C424E"/>
    <w:rsid w:val="005C45E1"/>
    <w:rsid w:val="005C4980"/>
    <w:rsid w:val="005C4A1A"/>
    <w:rsid w:val="005C5BDB"/>
    <w:rsid w:val="005D1759"/>
    <w:rsid w:val="005D1AF2"/>
    <w:rsid w:val="005D1E9D"/>
    <w:rsid w:val="005D23F8"/>
    <w:rsid w:val="005D2F09"/>
    <w:rsid w:val="005D3BAE"/>
    <w:rsid w:val="005D4213"/>
    <w:rsid w:val="005D4472"/>
    <w:rsid w:val="005D5224"/>
    <w:rsid w:val="005D52E3"/>
    <w:rsid w:val="005D67E6"/>
    <w:rsid w:val="005D6AA0"/>
    <w:rsid w:val="005D6FCC"/>
    <w:rsid w:val="005D6FFF"/>
    <w:rsid w:val="005D71F0"/>
    <w:rsid w:val="005D7EAD"/>
    <w:rsid w:val="005E047C"/>
    <w:rsid w:val="005E06D5"/>
    <w:rsid w:val="005E1251"/>
    <w:rsid w:val="005E1696"/>
    <w:rsid w:val="005E1731"/>
    <w:rsid w:val="005E1EDE"/>
    <w:rsid w:val="005E2490"/>
    <w:rsid w:val="005E263D"/>
    <w:rsid w:val="005E2F12"/>
    <w:rsid w:val="005E30EC"/>
    <w:rsid w:val="005E44A1"/>
    <w:rsid w:val="005E4A6C"/>
    <w:rsid w:val="005E4ACE"/>
    <w:rsid w:val="005E5105"/>
    <w:rsid w:val="005E590F"/>
    <w:rsid w:val="005E5D07"/>
    <w:rsid w:val="005E668E"/>
    <w:rsid w:val="005E6CA9"/>
    <w:rsid w:val="005E74DE"/>
    <w:rsid w:val="005F0A16"/>
    <w:rsid w:val="005F0BAC"/>
    <w:rsid w:val="005F0F91"/>
    <w:rsid w:val="005F0F94"/>
    <w:rsid w:val="005F1669"/>
    <w:rsid w:val="005F2AFA"/>
    <w:rsid w:val="005F304F"/>
    <w:rsid w:val="005F341F"/>
    <w:rsid w:val="005F3D94"/>
    <w:rsid w:val="005F436F"/>
    <w:rsid w:val="005F43EE"/>
    <w:rsid w:val="005F43FA"/>
    <w:rsid w:val="005F4595"/>
    <w:rsid w:val="005F46DF"/>
    <w:rsid w:val="005F5904"/>
    <w:rsid w:val="005F5A71"/>
    <w:rsid w:val="005F5F6D"/>
    <w:rsid w:val="005F62A6"/>
    <w:rsid w:val="005F631B"/>
    <w:rsid w:val="005F694A"/>
    <w:rsid w:val="005F6F6A"/>
    <w:rsid w:val="005F7C05"/>
    <w:rsid w:val="005F7CD5"/>
    <w:rsid w:val="005F7D0D"/>
    <w:rsid w:val="005F7EE7"/>
    <w:rsid w:val="005F7F19"/>
    <w:rsid w:val="00600A5C"/>
    <w:rsid w:val="0060152B"/>
    <w:rsid w:val="0060194C"/>
    <w:rsid w:val="00601EA6"/>
    <w:rsid w:val="00602915"/>
    <w:rsid w:val="00602BB0"/>
    <w:rsid w:val="00603212"/>
    <w:rsid w:val="00603802"/>
    <w:rsid w:val="00603A8E"/>
    <w:rsid w:val="00603F2D"/>
    <w:rsid w:val="00605625"/>
    <w:rsid w:val="00606468"/>
    <w:rsid w:val="00606D5C"/>
    <w:rsid w:val="00607073"/>
    <w:rsid w:val="0060709F"/>
    <w:rsid w:val="00607581"/>
    <w:rsid w:val="006075D4"/>
    <w:rsid w:val="00607931"/>
    <w:rsid w:val="00607D6A"/>
    <w:rsid w:val="006103A5"/>
    <w:rsid w:val="00611276"/>
    <w:rsid w:val="00612231"/>
    <w:rsid w:val="00613514"/>
    <w:rsid w:val="00613CDF"/>
    <w:rsid w:val="0061462B"/>
    <w:rsid w:val="00615CDB"/>
    <w:rsid w:val="00616893"/>
    <w:rsid w:val="00616959"/>
    <w:rsid w:val="00616A5C"/>
    <w:rsid w:val="00616DE8"/>
    <w:rsid w:val="00616E20"/>
    <w:rsid w:val="00621AF1"/>
    <w:rsid w:val="00621C02"/>
    <w:rsid w:val="006220BF"/>
    <w:rsid w:val="00622ADF"/>
    <w:rsid w:val="00622E98"/>
    <w:rsid w:val="00622F50"/>
    <w:rsid w:val="0062358A"/>
    <w:rsid w:val="0062364D"/>
    <w:rsid w:val="0062451D"/>
    <w:rsid w:val="0062466B"/>
    <w:rsid w:val="00624C8F"/>
    <w:rsid w:val="00624E8C"/>
    <w:rsid w:val="00625223"/>
    <w:rsid w:val="00625631"/>
    <w:rsid w:val="0062599A"/>
    <w:rsid w:val="00626564"/>
    <w:rsid w:val="006278FA"/>
    <w:rsid w:val="00627B9D"/>
    <w:rsid w:val="00627EEF"/>
    <w:rsid w:val="0063093F"/>
    <w:rsid w:val="00630EDA"/>
    <w:rsid w:val="00631030"/>
    <w:rsid w:val="00631232"/>
    <w:rsid w:val="006315CF"/>
    <w:rsid w:val="00631F23"/>
    <w:rsid w:val="00631FC4"/>
    <w:rsid w:val="0063235E"/>
    <w:rsid w:val="00632E40"/>
    <w:rsid w:val="00633423"/>
    <w:rsid w:val="00633517"/>
    <w:rsid w:val="00633950"/>
    <w:rsid w:val="00633AF4"/>
    <w:rsid w:val="00633E9D"/>
    <w:rsid w:val="0063440A"/>
    <w:rsid w:val="00634824"/>
    <w:rsid w:val="00634BD1"/>
    <w:rsid w:val="00634BEA"/>
    <w:rsid w:val="0063580F"/>
    <w:rsid w:val="00635D42"/>
    <w:rsid w:val="006361FF"/>
    <w:rsid w:val="00636B38"/>
    <w:rsid w:val="006375BF"/>
    <w:rsid w:val="00637926"/>
    <w:rsid w:val="00637A27"/>
    <w:rsid w:val="00640051"/>
    <w:rsid w:val="006405C8"/>
    <w:rsid w:val="0064075D"/>
    <w:rsid w:val="006409B5"/>
    <w:rsid w:val="00641BB7"/>
    <w:rsid w:val="006425DF"/>
    <w:rsid w:val="0064270B"/>
    <w:rsid w:val="00642D93"/>
    <w:rsid w:val="006431BB"/>
    <w:rsid w:val="006431CF"/>
    <w:rsid w:val="0064417D"/>
    <w:rsid w:val="00644D60"/>
    <w:rsid w:val="006459C3"/>
    <w:rsid w:val="00645D07"/>
    <w:rsid w:val="006462EA"/>
    <w:rsid w:val="00646761"/>
    <w:rsid w:val="0064704A"/>
    <w:rsid w:val="0064745F"/>
    <w:rsid w:val="006474C6"/>
    <w:rsid w:val="00647733"/>
    <w:rsid w:val="00647EEF"/>
    <w:rsid w:val="0065057A"/>
    <w:rsid w:val="00650E57"/>
    <w:rsid w:val="006513AC"/>
    <w:rsid w:val="00652012"/>
    <w:rsid w:val="006522D7"/>
    <w:rsid w:val="006524C0"/>
    <w:rsid w:val="00652508"/>
    <w:rsid w:val="00652630"/>
    <w:rsid w:val="006529CA"/>
    <w:rsid w:val="00652CAA"/>
    <w:rsid w:val="006530B5"/>
    <w:rsid w:val="006539AA"/>
    <w:rsid w:val="00653DE5"/>
    <w:rsid w:val="00655757"/>
    <w:rsid w:val="00655D40"/>
    <w:rsid w:val="00655E0C"/>
    <w:rsid w:val="00655FD0"/>
    <w:rsid w:val="006560B9"/>
    <w:rsid w:val="006560C7"/>
    <w:rsid w:val="00656577"/>
    <w:rsid w:val="00656BDE"/>
    <w:rsid w:val="00657EDC"/>
    <w:rsid w:val="0066068F"/>
    <w:rsid w:val="006606E1"/>
    <w:rsid w:val="00660E01"/>
    <w:rsid w:val="006610C1"/>
    <w:rsid w:val="00661160"/>
    <w:rsid w:val="00661C34"/>
    <w:rsid w:val="00661EF7"/>
    <w:rsid w:val="00662BB9"/>
    <w:rsid w:val="006631E8"/>
    <w:rsid w:val="00663C6B"/>
    <w:rsid w:val="00664400"/>
    <w:rsid w:val="006648CF"/>
    <w:rsid w:val="006652B9"/>
    <w:rsid w:val="006657C4"/>
    <w:rsid w:val="00665CFB"/>
    <w:rsid w:val="006665FE"/>
    <w:rsid w:val="00666AA1"/>
    <w:rsid w:val="0066728D"/>
    <w:rsid w:val="006679BF"/>
    <w:rsid w:val="00667D0C"/>
    <w:rsid w:val="0067024F"/>
    <w:rsid w:val="006703DA"/>
    <w:rsid w:val="00670615"/>
    <w:rsid w:val="00670697"/>
    <w:rsid w:val="00670818"/>
    <w:rsid w:val="00670AAB"/>
    <w:rsid w:val="006713E4"/>
    <w:rsid w:val="00672847"/>
    <w:rsid w:val="00672A6E"/>
    <w:rsid w:val="00672E53"/>
    <w:rsid w:val="00673311"/>
    <w:rsid w:val="0067357C"/>
    <w:rsid w:val="0067409A"/>
    <w:rsid w:val="00674627"/>
    <w:rsid w:val="0067673A"/>
    <w:rsid w:val="006769A1"/>
    <w:rsid w:val="0067721D"/>
    <w:rsid w:val="00677EFA"/>
    <w:rsid w:val="00680157"/>
    <w:rsid w:val="006805BF"/>
    <w:rsid w:val="0068080E"/>
    <w:rsid w:val="00681015"/>
    <w:rsid w:val="00681387"/>
    <w:rsid w:val="00681F69"/>
    <w:rsid w:val="0068236B"/>
    <w:rsid w:val="00682989"/>
    <w:rsid w:val="00682D86"/>
    <w:rsid w:val="00683792"/>
    <w:rsid w:val="00684253"/>
    <w:rsid w:val="00684615"/>
    <w:rsid w:val="006856B0"/>
    <w:rsid w:val="0068605A"/>
    <w:rsid w:val="00686266"/>
    <w:rsid w:val="0068657E"/>
    <w:rsid w:val="0068668C"/>
    <w:rsid w:val="00687537"/>
    <w:rsid w:val="006875AE"/>
    <w:rsid w:val="00687BD0"/>
    <w:rsid w:val="00690651"/>
    <w:rsid w:val="006913CD"/>
    <w:rsid w:val="00691625"/>
    <w:rsid w:val="00691A6F"/>
    <w:rsid w:val="00691C40"/>
    <w:rsid w:val="00691CB4"/>
    <w:rsid w:val="00692286"/>
    <w:rsid w:val="00692557"/>
    <w:rsid w:val="00692B77"/>
    <w:rsid w:val="00692D48"/>
    <w:rsid w:val="00693920"/>
    <w:rsid w:val="006940F4"/>
    <w:rsid w:val="006946FD"/>
    <w:rsid w:val="006947BE"/>
    <w:rsid w:val="00694985"/>
    <w:rsid w:val="00694EC9"/>
    <w:rsid w:val="0069506E"/>
    <w:rsid w:val="00695197"/>
    <w:rsid w:val="006951D9"/>
    <w:rsid w:val="006955D3"/>
    <w:rsid w:val="006956AD"/>
    <w:rsid w:val="00695898"/>
    <w:rsid w:val="00695C50"/>
    <w:rsid w:val="00695CA2"/>
    <w:rsid w:val="00695FB2"/>
    <w:rsid w:val="006964D4"/>
    <w:rsid w:val="00696D41"/>
    <w:rsid w:val="00696D7D"/>
    <w:rsid w:val="00697A2C"/>
    <w:rsid w:val="00697CB1"/>
    <w:rsid w:val="00697DFC"/>
    <w:rsid w:val="006A0240"/>
    <w:rsid w:val="006A0613"/>
    <w:rsid w:val="006A1114"/>
    <w:rsid w:val="006A12AD"/>
    <w:rsid w:val="006A1789"/>
    <w:rsid w:val="006A1A07"/>
    <w:rsid w:val="006A2728"/>
    <w:rsid w:val="006A2AA1"/>
    <w:rsid w:val="006A302F"/>
    <w:rsid w:val="006A3895"/>
    <w:rsid w:val="006A3A4C"/>
    <w:rsid w:val="006A477D"/>
    <w:rsid w:val="006A490A"/>
    <w:rsid w:val="006A4F85"/>
    <w:rsid w:val="006A6399"/>
    <w:rsid w:val="006A77B2"/>
    <w:rsid w:val="006A7815"/>
    <w:rsid w:val="006B1555"/>
    <w:rsid w:val="006B1BBE"/>
    <w:rsid w:val="006B2393"/>
    <w:rsid w:val="006B2741"/>
    <w:rsid w:val="006B2E87"/>
    <w:rsid w:val="006B2FB9"/>
    <w:rsid w:val="006B3EF0"/>
    <w:rsid w:val="006B5279"/>
    <w:rsid w:val="006B574C"/>
    <w:rsid w:val="006B5D45"/>
    <w:rsid w:val="006B63C8"/>
    <w:rsid w:val="006C04A4"/>
    <w:rsid w:val="006C04F1"/>
    <w:rsid w:val="006C0EC2"/>
    <w:rsid w:val="006C10D5"/>
    <w:rsid w:val="006C114F"/>
    <w:rsid w:val="006C20A8"/>
    <w:rsid w:val="006C210B"/>
    <w:rsid w:val="006C2B40"/>
    <w:rsid w:val="006C2B69"/>
    <w:rsid w:val="006C2FE7"/>
    <w:rsid w:val="006C3006"/>
    <w:rsid w:val="006C3788"/>
    <w:rsid w:val="006C3C7F"/>
    <w:rsid w:val="006C42BA"/>
    <w:rsid w:val="006C4442"/>
    <w:rsid w:val="006C4599"/>
    <w:rsid w:val="006C575A"/>
    <w:rsid w:val="006C58FB"/>
    <w:rsid w:val="006C68D2"/>
    <w:rsid w:val="006C69C5"/>
    <w:rsid w:val="006C6E88"/>
    <w:rsid w:val="006C71CC"/>
    <w:rsid w:val="006C7268"/>
    <w:rsid w:val="006C74AA"/>
    <w:rsid w:val="006C7A95"/>
    <w:rsid w:val="006D0448"/>
    <w:rsid w:val="006D0BD4"/>
    <w:rsid w:val="006D1741"/>
    <w:rsid w:val="006D2303"/>
    <w:rsid w:val="006D4847"/>
    <w:rsid w:val="006D4FEE"/>
    <w:rsid w:val="006D5487"/>
    <w:rsid w:val="006D56B8"/>
    <w:rsid w:val="006D67E6"/>
    <w:rsid w:val="006D6BBB"/>
    <w:rsid w:val="006D6C1C"/>
    <w:rsid w:val="006D6D21"/>
    <w:rsid w:val="006D7490"/>
    <w:rsid w:val="006D793B"/>
    <w:rsid w:val="006D7ACF"/>
    <w:rsid w:val="006E0075"/>
    <w:rsid w:val="006E0474"/>
    <w:rsid w:val="006E0651"/>
    <w:rsid w:val="006E077D"/>
    <w:rsid w:val="006E0D70"/>
    <w:rsid w:val="006E103D"/>
    <w:rsid w:val="006E2145"/>
    <w:rsid w:val="006E2517"/>
    <w:rsid w:val="006E3103"/>
    <w:rsid w:val="006E3136"/>
    <w:rsid w:val="006E3285"/>
    <w:rsid w:val="006E3503"/>
    <w:rsid w:val="006E3DF3"/>
    <w:rsid w:val="006E484B"/>
    <w:rsid w:val="006E4978"/>
    <w:rsid w:val="006E5CD7"/>
    <w:rsid w:val="006E5DCC"/>
    <w:rsid w:val="006E6407"/>
    <w:rsid w:val="006E6456"/>
    <w:rsid w:val="006E66A7"/>
    <w:rsid w:val="006E6C09"/>
    <w:rsid w:val="006E72E8"/>
    <w:rsid w:val="006E72FC"/>
    <w:rsid w:val="006E7730"/>
    <w:rsid w:val="006F1308"/>
    <w:rsid w:val="006F1542"/>
    <w:rsid w:val="006F1829"/>
    <w:rsid w:val="006F184D"/>
    <w:rsid w:val="006F20F8"/>
    <w:rsid w:val="006F23AD"/>
    <w:rsid w:val="006F2768"/>
    <w:rsid w:val="006F3138"/>
    <w:rsid w:val="006F3336"/>
    <w:rsid w:val="006F33BB"/>
    <w:rsid w:val="006F495D"/>
    <w:rsid w:val="006F4C36"/>
    <w:rsid w:val="006F4DE6"/>
    <w:rsid w:val="006F5A93"/>
    <w:rsid w:val="006F5DC4"/>
    <w:rsid w:val="006F653F"/>
    <w:rsid w:val="006F6546"/>
    <w:rsid w:val="006F6573"/>
    <w:rsid w:val="006F65C1"/>
    <w:rsid w:val="006F6DE2"/>
    <w:rsid w:val="006F7101"/>
    <w:rsid w:val="006F7DA3"/>
    <w:rsid w:val="0070046E"/>
    <w:rsid w:val="00700B15"/>
    <w:rsid w:val="00700BCE"/>
    <w:rsid w:val="00700E96"/>
    <w:rsid w:val="00701BA8"/>
    <w:rsid w:val="00701DC8"/>
    <w:rsid w:val="00702188"/>
    <w:rsid w:val="007022D3"/>
    <w:rsid w:val="00702514"/>
    <w:rsid w:val="00702AD9"/>
    <w:rsid w:val="00702BB9"/>
    <w:rsid w:val="0070307E"/>
    <w:rsid w:val="007030DC"/>
    <w:rsid w:val="00703591"/>
    <w:rsid w:val="00703FCA"/>
    <w:rsid w:val="00704C89"/>
    <w:rsid w:val="00704FCF"/>
    <w:rsid w:val="00705E48"/>
    <w:rsid w:val="00706CF1"/>
    <w:rsid w:val="00706F45"/>
    <w:rsid w:val="00707923"/>
    <w:rsid w:val="00707A87"/>
    <w:rsid w:val="00707B73"/>
    <w:rsid w:val="00707B89"/>
    <w:rsid w:val="00707C55"/>
    <w:rsid w:val="00707FAB"/>
    <w:rsid w:val="007104E6"/>
    <w:rsid w:val="007108F1"/>
    <w:rsid w:val="007112BE"/>
    <w:rsid w:val="007116B9"/>
    <w:rsid w:val="00712A0C"/>
    <w:rsid w:val="00712A40"/>
    <w:rsid w:val="00712A8F"/>
    <w:rsid w:val="00713939"/>
    <w:rsid w:val="00713A0D"/>
    <w:rsid w:val="00714354"/>
    <w:rsid w:val="00714399"/>
    <w:rsid w:val="00714F3C"/>
    <w:rsid w:val="0071533A"/>
    <w:rsid w:val="00715388"/>
    <w:rsid w:val="007156F7"/>
    <w:rsid w:val="0071574B"/>
    <w:rsid w:val="00716B62"/>
    <w:rsid w:val="007170AE"/>
    <w:rsid w:val="007174EF"/>
    <w:rsid w:val="00717781"/>
    <w:rsid w:val="00720449"/>
    <w:rsid w:val="0072058F"/>
    <w:rsid w:val="0072079C"/>
    <w:rsid w:val="00720A87"/>
    <w:rsid w:val="00721781"/>
    <w:rsid w:val="007219AA"/>
    <w:rsid w:val="00721CFD"/>
    <w:rsid w:val="00722306"/>
    <w:rsid w:val="00722358"/>
    <w:rsid w:val="00722991"/>
    <w:rsid w:val="0072349C"/>
    <w:rsid w:val="00724DAE"/>
    <w:rsid w:val="00724EC6"/>
    <w:rsid w:val="00724FA2"/>
    <w:rsid w:val="00725468"/>
    <w:rsid w:val="00725820"/>
    <w:rsid w:val="00725920"/>
    <w:rsid w:val="007259DE"/>
    <w:rsid w:val="00725A9C"/>
    <w:rsid w:val="00725AD7"/>
    <w:rsid w:val="0072632E"/>
    <w:rsid w:val="00730993"/>
    <w:rsid w:val="00730C08"/>
    <w:rsid w:val="0073228E"/>
    <w:rsid w:val="007335DC"/>
    <w:rsid w:val="00733AC7"/>
    <w:rsid w:val="00733E19"/>
    <w:rsid w:val="00734105"/>
    <w:rsid w:val="00734654"/>
    <w:rsid w:val="00734DA2"/>
    <w:rsid w:val="00735E5A"/>
    <w:rsid w:val="00735EA6"/>
    <w:rsid w:val="00736235"/>
    <w:rsid w:val="0073637D"/>
    <w:rsid w:val="00736907"/>
    <w:rsid w:val="00736CDF"/>
    <w:rsid w:val="00736D53"/>
    <w:rsid w:val="00737B84"/>
    <w:rsid w:val="007410C4"/>
    <w:rsid w:val="00741AFD"/>
    <w:rsid w:val="00741EE5"/>
    <w:rsid w:val="007420C7"/>
    <w:rsid w:val="0074235B"/>
    <w:rsid w:val="007426D8"/>
    <w:rsid w:val="00742D1B"/>
    <w:rsid w:val="007431A3"/>
    <w:rsid w:val="00743287"/>
    <w:rsid w:val="00743366"/>
    <w:rsid w:val="007435FF"/>
    <w:rsid w:val="007439D9"/>
    <w:rsid w:val="00743C03"/>
    <w:rsid w:val="0074444D"/>
    <w:rsid w:val="00744802"/>
    <w:rsid w:val="007456A3"/>
    <w:rsid w:val="00745A09"/>
    <w:rsid w:val="00745B4A"/>
    <w:rsid w:val="00746363"/>
    <w:rsid w:val="0074656C"/>
    <w:rsid w:val="00746818"/>
    <w:rsid w:val="00747189"/>
    <w:rsid w:val="007474F0"/>
    <w:rsid w:val="00747577"/>
    <w:rsid w:val="00747A77"/>
    <w:rsid w:val="00747B33"/>
    <w:rsid w:val="00750314"/>
    <w:rsid w:val="0075052D"/>
    <w:rsid w:val="00751A07"/>
    <w:rsid w:val="00751C2A"/>
    <w:rsid w:val="00751C4F"/>
    <w:rsid w:val="00752096"/>
    <w:rsid w:val="00752318"/>
    <w:rsid w:val="0075284D"/>
    <w:rsid w:val="00753AF0"/>
    <w:rsid w:val="00754084"/>
    <w:rsid w:val="00754935"/>
    <w:rsid w:val="00754A81"/>
    <w:rsid w:val="007550FD"/>
    <w:rsid w:val="00755475"/>
    <w:rsid w:val="007555A4"/>
    <w:rsid w:val="007564CF"/>
    <w:rsid w:val="0075714C"/>
    <w:rsid w:val="0075760F"/>
    <w:rsid w:val="00757D2C"/>
    <w:rsid w:val="00760027"/>
    <w:rsid w:val="00760251"/>
    <w:rsid w:val="00760A03"/>
    <w:rsid w:val="00760A13"/>
    <w:rsid w:val="007610FF"/>
    <w:rsid w:val="00761898"/>
    <w:rsid w:val="007619A5"/>
    <w:rsid w:val="00761E34"/>
    <w:rsid w:val="007634FA"/>
    <w:rsid w:val="00763C80"/>
    <w:rsid w:val="00764049"/>
    <w:rsid w:val="0076442E"/>
    <w:rsid w:val="00764508"/>
    <w:rsid w:val="007648A2"/>
    <w:rsid w:val="00765283"/>
    <w:rsid w:val="00765618"/>
    <w:rsid w:val="00765B0B"/>
    <w:rsid w:val="00765B27"/>
    <w:rsid w:val="00765E6B"/>
    <w:rsid w:val="007668E0"/>
    <w:rsid w:val="00766FEA"/>
    <w:rsid w:val="00767C99"/>
    <w:rsid w:val="00767D15"/>
    <w:rsid w:val="00770829"/>
    <w:rsid w:val="00770CD8"/>
    <w:rsid w:val="007711B8"/>
    <w:rsid w:val="007714BC"/>
    <w:rsid w:val="00771564"/>
    <w:rsid w:val="007717D8"/>
    <w:rsid w:val="00771825"/>
    <w:rsid w:val="0077192B"/>
    <w:rsid w:val="00771956"/>
    <w:rsid w:val="0077275F"/>
    <w:rsid w:val="007730D3"/>
    <w:rsid w:val="00773117"/>
    <w:rsid w:val="00773949"/>
    <w:rsid w:val="00773B76"/>
    <w:rsid w:val="00773E96"/>
    <w:rsid w:val="00774210"/>
    <w:rsid w:val="0077426A"/>
    <w:rsid w:val="00774348"/>
    <w:rsid w:val="00774783"/>
    <w:rsid w:val="00774C31"/>
    <w:rsid w:val="007767EE"/>
    <w:rsid w:val="007769A5"/>
    <w:rsid w:val="00776FF9"/>
    <w:rsid w:val="00777AA6"/>
    <w:rsid w:val="007801BC"/>
    <w:rsid w:val="00780B79"/>
    <w:rsid w:val="0078129B"/>
    <w:rsid w:val="007813D0"/>
    <w:rsid w:val="00781612"/>
    <w:rsid w:val="00781A9B"/>
    <w:rsid w:val="00781C95"/>
    <w:rsid w:val="00781D4D"/>
    <w:rsid w:val="00782155"/>
    <w:rsid w:val="007824FB"/>
    <w:rsid w:val="00782DAA"/>
    <w:rsid w:val="00783CFF"/>
    <w:rsid w:val="00784560"/>
    <w:rsid w:val="0078479E"/>
    <w:rsid w:val="007853E7"/>
    <w:rsid w:val="007856F9"/>
    <w:rsid w:val="00787314"/>
    <w:rsid w:val="00787765"/>
    <w:rsid w:val="00787EC2"/>
    <w:rsid w:val="0079052A"/>
    <w:rsid w:val="00790D13"/>
    <w:rsid w:val="00791020"/>
    <w:rsid w:val="00791058"/>
    <w:rsid w:val="0079199A"/>
    <w:rsid w:val="007926B8"/>
    <w:rsid w:val="00792B53"/>
    <w:rsid w:val="00792FC4"/>
    <w:rsid w:val="0079344F"/>
    <w:rsid w:val="007934E7"/>
    <w:rsid w:val="00793B7F"/>
    <w:rsid w:val="00793DDA"/>
    <w:rsid w:val="0079431F"/>
    <w:rsid w:val="0079511D"/>
    <w:rsid w:val="00795E31"/>
    <w:rsid w:val="00796A64"/>
    <w:rsid w:val="00797096"/>
    <w:rsid w:val="00797114"/>
    <w:rsid w:val="0079742C"/>
    <w:rsid w:val="007974F7"/>
    <w:rsid w:val="0079751F"/>
    <w:rsid w:val="007976E7"/>
    <w:rsid w:val="007A028A"/>
    <w:rsid w:val="007A0599"/>
    <w:rsid w:val="007A083D"/>
    <w:rsid w:val="007A14D4"/>
    <w:rsid w:val="007A19E4"/>
    <w:rsid w:val="007A3191"/>
    <w:rsid w:val="007A42C1"/>
    <w:rsid w:val="007A4709"/>
    <w:rsid w:val="007A5489"/>
    <w:rsid w:val="007A5AF5"/>
    <w:rsid w:val="007A5F7C"/>
    <w:rsid w:val="007A60D0"/>
    <w:rsid w:val="007A65E2"/>
    <w:rsid w:val="007B07A3"/>
    <w:rsid w:val="007B0BF8"/>
    <w:rsid w:val="007B0CF6"/>
    <w:rsid w:val="007B0DFC"/>
    <w:rsid w:val="007B1D97"/>
    <w:rsid w:val="007B2AD4"/>
    <w:rsid w:val="007B2DC3"/>
    <w:rsid w:val="007B30DA"/>
    <w:rsid w:val="007B35CE"/>
    <w:rsid w:val="007B38B6"/>
    <w:rsid w:val="007B392C"/>
    <w:rsid w:val="007B3A29"/>
    <w:rsid w:val="007B4078"/>
    <w:rsid w:val="007B4C67"/>
    <w:rsid w:val="007B4DA7"/>
    <w:rsid w:val="007B4F2B"/>
    <w:rsid w:val="007B51D4"/>
    <w:rsid w:val="007B5BA8"/>
    <w:rsid w:val="007B5BF6"/>
    <w:rsid w:val="007B61AD"/>
    <w:rsid w:val="007B7089"/>
    <w:rsid w:val="007B71A0"/>
    <w:rsid w:val="007C038D"/>
    <w:rsid w:val="007C03F5"/>
    <w:rsid w:val="007C042B"/>
    <w:rsid w:val="007C1AB4"/>
    <w:rsid w:val="007C3348"/>
    <w:rsid w:val="007C37CC"/>
    <w:rsid w:val="007C39ED"/>
    <w:rsid w:val="007C44C5"/>
    <w:rsid w:val="007C4D54"/>
    <w:rsid w:val="007C4DF4"/>
    <w:rsid w:val="007C53AD"/>
    <w:rsid w:val="007C54A7"/>
    <w:rsid w:val="007C586A"/>
    <w:rsid w:val="007C59C7"/>
    <w:rsid w:val="007C5AF3"/>
    <w:rsid w:val="007C6362"/>
    <w:rsid w:val="007C648C"/>
    <w:rsid w:val="007C6AC1"/>
    <w:rsid w:val="007C6FD1"/>
    <w:rsid w:val="007C720C"/>
    <w:rsid w:val="007C746B"/>
    <w:rsid w:val="007C7967"/>
    <w:rsid w:val="007D0523"/>
    <w:rsid w:val="007D073E"/>
    <w:rsid w:val="007D0A3C"/>
    <w:rsid w:val="007D0F48"/>
    <w:rsid w:val="007D1089"/>
    <w:rsid w:val="007D1711"/>
    <w:rsid w:val="007D1C22"/>
    <w:rsid w:val="007D3918"/>
    <w:rsid w:val="007D428B"/>
    <w:rsid w:val="007D44CC"/>
    <w:rsid w:val="007D5B68"/>
    <w:rsid w:val="007D6E74"/>
    <w:rsid w:val="007D6E8B"/>
    <w:rsid w:val="007D73F3"/>
    <w:rsid w:val="007D756E"/>
    <w:rsid w:val="007E0C25"/>
    <w:rsid w:val="007E0DF2"/>
    <w:rsid w:val="007E1670"/>
    <w:rsid w:val="007E1F61"/>
    <w:rsid w:val="007E1F86"/>
    <w:rsid w:val="007E1FF3"/>
    <w:rsid w:val="007E2962"/>
    <w:rsid w:val="007E29DB"/>
    <w:rsid w:val="007E29F5"/>
    <w:rsid w:val="007E2CC4"/>
    <w:rsid w:val="007E3A51"/>
    <w:rsid w:val="007E3AE9"/>
    <w:rsid w:val="007E401F"/>
    <w:rsid w:val="007E5893"/>
    <w:rsid w:val="007E5AAD"/>
    <w:rsid w:val="007E675E"/>
    <w:rsid w:val="007E7649"/>
    <w:rsid w:val="007E7DC5"/>
    <w:rsid w:val="007F0570"/>
    <w:rsid w:val="007F0634"/>
    <w:rsid w:val="007F0DC7"/>
    <w:rsid w:val="007F2D37"/>
    <w:rsid w:val="007F2E32"/>
    <w:rsid w:val="007F3052"/>
    <w:rsid w:val="007F3D41"/>
    <w:rsid w:val="007F410A"/>
    <w:rsid w:val="007F4A65"/>
    <w:rsid w:val="007F5376"/>
    <w:rsid w:val="007F550B"/>
    <w:rsid w:val="007F59BB"/>
    <w:rsid w:val="007F6A63"/>
    <w:rsid w:val="007F7AB7"/>
    <w:rsid w:val="007F7C21"/>
    <w:rsid w:val="007F7D1A"/>
    <w:rsid w:val="007F7DD2"/>
    <w:rsid w:val="007F7EF2"/>
    <w:rsid w:val="008007F5"/>
    <w:rsid w:val="00800C71"/>
    <w:rsid w:val="008010A7"/>
    <w:rsid w:val="0080235D"/>
    <w:rsid w:val="0080297F"/>
    <w:rsid w:val="00802B6A"/>
    <w:rsid w:val="00802FC8"/>
    <w:rsid w:val="00803589"/>
    <w:rsid w:val="008038CE"/>
    <w:rsid w:val="00803903"/>
    <w:rsid w:val="0080390D"/>
    <w:rsid w:val="00804436"/>
    <w:rsid w:val="008047BB"/>
    <w:rsid w:val="0080550C"/>
    <w:rsid w:val="0080591C"/>
    <w:rsid w:val="008065A6"/>
    <w:rsid w:val="00807635"/>
    <w:rsid w:val="00807870"/>
    <w:rsid w:val="00810623"/>
    <w:rsid w:val="00810BB8"/>
    <w:rsid w:val="00810E4C"/>
    <w:rsid w:val="00811441"/>
    <w:rsid w:val="008118FA"/>
    <w:rsid w:val="00811D63"/>
    <w:rsid w:val="00811DC1"/>
    <w:rsid w:val="008120B9"/>
    <w:rsid w:val="00812344"/>
    <w:rsid w:val="00813099"/>
    <w:rsid w:val="0081385F"/>
    <w:rsid w:val="00813F56"/>
    <w:rsid w:val="008141E1"/>
    <w:rsid w:val="0081477A"/>
    <w:rsid w:val="00814804"/>
    <w:rsid w:val="0081486B"/>
    <w:rsid w:val="00814AC2"/>
    <w:rsid w:val="0081500D"/>
    <w:rsid w:val="008156BD"/>
    <w:rsid w:val="008159DC"/>
    <w:rsid w:val="00815E13"/>
    <w:rsid w:val="0082067B"/>
    <w:rsid w:val="00820AED"/>
    <w:rsid w:val="008218FE"/>
    <w:rsid w:val="00821E81"/>
    <w:rsid w:val="00822003"/>
    <w:rsid w:val="0082277F"/>
    <w:rsid w:val="0082288F"/>
    <w:rsid w:val="00822B20"/>
    <w:rsid w:val="00823A9B"/>
    <w:rsid w:val="008244A9"/>
    <w:rsid w:val="00824509"/>
    <w:rsid w:val="00824AC2"/>
    <w:rsid w:val="0082602C"/>
    <w:rsid w:val="0082608A"/>
    <w:rsid w:val="008268FD"/>
    <w:rsid w:val="00826F7D"/>
    <w:rsid w:val="0082754E"/>
    <w:rsid w:val="008279E5"/>
    <w:rsid w:val="00830187"/>
    <w:rsid w:val="00830486"/>
    <w:rsid w:val="00830901"/>
    <w:rsid w:val="008319D8"/>
    <w:rsid w:val="00831DF4"/>
    <w:rsid w:val="0083285D"/>
    <w:rsid w:val="00832DE2"/>
    <w:rsid w:val="0083354C"/>
    <w:rsid w:val="008344F1"/>
    <w:rsid w:val="0083479E"/>
    <w:rsid w:val="00834BDF"/>
    <w:rsid w:val="00835189"/>
    <w:rsid w:val="008351B3"/>
    <w:rsid w:val="008353BB"/>
    <w:rsid w:val="008355AA"/>
    <w:rsid w:val="00836E5A"/>
    <w:rsid w:val="00840482"/>
    <w:rsid w:val="00840661"/>
    <w:rsid w:val="008406D7"/>
    <w:rsid w:val="00840B48"/>
    <w:rsid w:val="00840BB8"/>
    <w:rsid w:val="00840C11"/>
    <w:rsid w:val="0084157A"/>
    <w:rsid w:val="0084169B"/>
    <w:rsid w:val="008422E9"/>
    <w:rsid w:val="008425D5"/>
    <w:rsid w:val="008426B7"/>
    <w:rsid w:val="008457BB"/>
    <w:rsid w:val="00845CA9"/>
    <w:rsid w:val="00845E90"/>
    <w:rsid w:val="008463C7"/>
    <w:rsid w:val="008469B1"/>
    <w:rsid w:val="00846A41"/>
    <w:rsid w:val="00846BB8"/>
    <w:rsid w:val="00847155"/>
    <w:rsid w:val="0084728D"/>
    <w:rsid w:val="0084739F"/>
    <w:rsid w:val="0084764E"/>
    <w:rsid w:val="008476BF"/>
    <w:rsid w:val="00850229"/>
    <w:rsid w:val="008508D0"/>
    <w:rsid w:val="00850F32"/>
    <w:rsid w:val="00851C4B"/>
    <w:rsid w:val="00851E4E"/>
    <w:rsid w:val="00852028"/>
    <w:rsid w:val="0085288E"/>
    <w:rsid w:val="00852A19"/>
    <w:rsid w:val="00852AF7"/>
    <w:rsid w:val="00853129"/>
    <w:rsid w:val="00853517"/>
    <w:rsid w:val="008537B0"/>
    <w:rsid w:val="008544F4"/>
    <w:rsid w:val="00854920"/>
    <w:rsid w:val="008552A7"/>
    <w:rsid w:val="00855362"/>
    <w:rsid w:val="00855EB5"/>
    <w:rsid w:val="00856103"/>
    <w:rsid w:val="0085664B"/>
    <w:rsid w:val="008577C6"/>
    <w:rsid w:val="00857A8B"/>
    <w:rsid w:val="00857F5F"/>
    <w:rsid w:val="00860181"/>
    <w:rsid w:val="008611D8"/>
    <w:rsid w:val="008616B4"/>
    <w:rsid w:val="00861A1F"/>
    <w:rsid w:val="00861C31"/>
    <w:rsid w:val="008623C4"/>
    <w:rsid w:val="00862415"/>
    <w:rsid w:val="00862B5E"/>
    <w:rsid w:val="008630A5"/>
    <w:rsid w:val="00863300"/>
    <w:rsid w:val="0086385B"/>
    <w:rsid w:val="00863AFF"/>
    <w:rsid w:val="00865257"/>
    <w:rsid w:val="00865376"/>
    <w:rsid w:val="008660C9"/>
    <w:rsid w:val="00866AFB"/>
    <w:rsid w:val="00866E3A"/>
    <w:rsid w:val="00867B87"/>
    <w:rsid w:val="0087038C"/>
    <w:rsid w:val="00870A56"/>
    <w:rsid w:val="008717C5"/>
    <w:rsid w:val="008718DE"/>
    <w:rsid w:val="00871AFE"/>
    <w:rsid w:val="00871EB9"/>
    <w:rsid w:val="00871F54"/>
    <w:rsid w:val="0087210B"/>
    <w:rsid w:val="0087272D"/>
    <w:rsid w:val="00873501"/>
    <w:rsid w:val="00873679"/>
    <w:rsid w:val="0087372B"/>
    <w:rsid w:val="00873B72"/>
    <w:rsid w:val="00874322"/>
    <w:rsid w:val="008748B8"/>
    <w:rsid w:val="00874967"/>
    <w:rsid w:val="00874CA0"/>
    <w:rsid w:val="00875BF2"/>
    <w:rsid w:val="00876855"/>
    <w:rsid w:val="0087712A"/>
    <w:rsid w:val="008772DC"/>
    <w:rsid w:val="008774F4"/>
    <w:rsid w:val="008801FE"/>
    <w:rsid w:val="00880355"/>
    <w:rsid w:val="00880838"/>
    <w:rsid w:val="00880964"/>
    <w:rsid w:val="00880BA5"/>
    <w:rsid w:val="00881668"/>
    <w:rsid w:val="00881EF0"/>
    <w:rsid w:val="00882209"/>
    <w:rsid w:val="00882450"/>
    <w:rsid w:val="008828F7"/>
    <w:rsid w:val="00882AA2"/>
    <w:rsid w:val="00882F02"/>
    <w:rsid w:val="00883D00"/>
    <w:rsid w:val="0088400B"/>
    <w:rsid w:val="0088421C"/>
    <w:rsid w:val="00884412"/>
    <w:rsid w:val="00884A0D"/>
    <w:rsid w:val="00884ED0"/>
    <w:rsid w:val="00885633"/>
    <w:rsid w:val="00886422"/>
    <w:rsid w:val="008866D9"/>
    <w:rsid w:val="0088675E"/>
    <w:rsid w:val="00886D90"/>
    <w:rsid w:val="0088704B"/>
    <w:rsid w:val="008878DA"/>
    <w:rsid w:val="00890986"/>
    <w:rsid w:val="00891026"/>
    <w:rsid w:val="00891731"/>
    <w:rsid w:val="00891C4C"/>
    <w:rsid w:val="00891D6F"/>
    <w:rsid w:val="00891D82"/>
    <w:rsid w:val="008925FE"/>
    <w:rsid w:val="00892940"/>
    <w:rsid w:val="00892FF0"/>
    <w:rsid w:val="008936D5"/>
    <w:rsid w:val="00893AA7"/>
    <w:rsid w:val="00894363"/>
    <w:rsid w:val="00894B1A"/>
    <w:rsid w:val="00896611"/>
    <w:rsid w:val="008967F7"/>
    <w:rsid w:val="00896B55"/>
    <w:rsid w:val="00896ED8"/>
    <w:rsid w:val="00896EF1"/>
    <w:rsid w:val="0089714A"/>
    <w:rsid w:val="008A02DB"/>
    <w:rsid w:val="008A0BC7"/>
    <w:rsid w:val="008A127B"/>
    <w:rsid w:val="008A1B56"/>
    <w:rsid w:val="008A1B78"/>
    <w:rsid w:val="008A1E86"/>
    <w:rsid w:val="008A281E"/>
    <w:rsid w:val="008A2CCF"/>
    <w:rsid w:val="008A3EEA"/>
    <w:rsid w:val="008A4206"/>
    <w:rsid w:val="008A56CA"/>
    <w:rsid w:val="008A5B19"/>
    <w:rsid w:val="008A5EA2"/>
    <w:rsid w:val="008A6660"/>
    <w:rsid w:val="008A7054"/>
    <w:rsid w:val="008A7572"/>
    <w:rsid w:val="008A76AA"/>
    <w:rsid w:val="008B0850"/>
    <w:rsid w:val="008B0D9A"/>
    <w:rsid w:val="008B26CA"/>
    <w:rsid w:val="008B2ADC"/>
    <w:rsid w:val="008B303F"/>
    <w:rsid w:val="008B30C5"/>
    <w:rsid w:val="008B4768"/>
    <w:rsid w:val="008B47A6"/>
    <w:rsid w:val="008B4C29"/>
    <w:rsid w:val="008B4C4F"/>
    <w:rsid w:val="008B4D62"/>
    <w:rsid w:val="008B4E67"/>
    <w:rsid w:val="008B53F2"/>
    <w:rsid w:val="008B57C6"/>
    <w:rsid w:val="008B59EC"/>
    <w:rsid w:val="008B5FC6"/>
    <w:rsid w:val="008B60EA"/>
    <w:rsid w:val="008B6B8D"/>
    <w:rsid w:val="008B6E3F"/>
    <w:rsid w:val="008C0118"/>
    <w:rsid w:val="008C0465"/>
    <w:rsid w:val="008C0C14"/>
    <w:rsid w:val="008C136A"/>
    <w:rsid w:val="008C1A81"/>
    <w:rsid w:val="008C278B"/>
    <w:rsid w:val="008C27ED"/>
    <w:rsid w:val="008C35A7"/>
    <w:rsid w:val="008C4058"/>
    <w:rsid w:val="008C5349"/>
    <w:rsid w:val="008C6043"/>
    <w:rsid w:val="008C6073"/>
    <w:rsid w:val="008C623C"/>
    <w:rsid w:val="008C6C6D"/>
    <w:rsid w:val="008C7156"/>
    <w:rsid w:val="008C73DC"/>
    <w:rsid w:val="008D039A"/>
    <w:rsid w:val="008D0EB1"/>
    <w:rsid w:val="008D0EB5"/>
    <w:rsid w:val="008D197C"/>
    <w:rsid w:val="008D1C6B"/>
    <w:rsid w:val="008D2101"/>
    <w:rsid w:val="008D2441"/>
    <w:rsid w:val="008D29CE"/>
    <w:rsid w:val="008D3742"/>
    <w:rsid w:val="008D4C90"/>
    <w:rsid w:val="008D50A8"/>
    <w:rsid w:val="008D5F7A"/>
    <w:rsid w:val="008D6018"/>
    <w:rsid w:val="008D6309"/>
    <w:rsid w:val="008D6AC0"/>
    <w:rsid w:val="008D6BE9"/>
    <w:rsid w:val="008D6D37"/>
    <w:rsid w:val="008D7156"/>
    <w:rsid w:val="008D7A26"/>
    <w:rsid w:val="008E05A2"/>
    <w:rsid w:val="008E0780"/>
    <w:rsid w:val="008E0A48"/>
    <w:rsid w:val="008E184B"/>
    <w:rsid w:val="008E1F14"/>
    <w:rsid w:val="008E2551"/>
    <w:rsid w:val="008E2748"/>
    <w:rsid w:val="008E5492"/>
    <w:rsid w:val="008E676C"/>
    <w:rsid w:val="008E6D79"/>
    <w:rsid w:val="008E6E20"/>
    <w:rsid w:val="008E78C4"/>
    <w:rsid w:val="008E7A55"/>
    <w:rsid w:val="008F01C7"/>
    <w:rsid w:val="008F02A5"/>
    <w:rsid w:val="008F036E"/>
    <w:rsid w:val="008F06B3"/>
    <w:rsid w:val="008F18BD"/>
    <w:rsid w:val="008F19BB"/>
    <w:rsid w:val="008F1B14"/>
    <w:rsid w:val="008F1BB5"/>
    <w:rsid w:val="008F20AD"/>
    <w:rsid w:val="008F22C6"/>
    <w:rsid w:val="008F25AE"/>
    <w:rsid w:val="008F2824"/>
    <w:rsid w:val="008F2AB5"/>
    <w:rsid w:val="008F2DAC"/>
    <w:rsid w:val="008F2E1C"/>
    <w:rsid w:val="008F5206"/>
    <w:rsid w:val="008F550E"/>
    <w:rsid w:val="008F5FDD"/>
    <w:rsid w:val="008F6831"/>
    <w:rsid w:val="008F6FA4"/>
    <w:rsid w:val="008F7B9E"/>
    <w:rsid w:val="008F7CB3"/>
    <w:rsid w:val="0090016B"/>
    <w:rsid w:val="00900A39"/>
    <w:rsid w:val="00900E26"/>
    <w:rsid w:val="0090116E"/>
    <w:rsid w:val="00901AC1"/>
    <w:rsid w:val="00902CE1"/>
    <w:rsid w:val="009030A4"/>
    <w:rsid w:val="00903AB4"/>
    <w:rsid w:val="00904F7D"/>
    <w:rsid w:val="009053D2"/>
    <w:rsid w:val="00906D56"/>
    <w:rsid w:val="009072EB"/>
    <w:rsid w:val="00907555"/>
    <w:rsid w:val="00907CA5"/>
    <w:rsid w:val="009101A6"/>
    <w:rsid w:val="00910CA6"/>
    <w:rsid w:val="0091123D"/>
    <w:rsid w:val="00911711"/>
    <w:rsid w:val="00911C97"/>
    <w:rsid w:val="00912420"/>
    <w:rsid w:val="0091269E"/>
    <w:rsid w:val="0091282C"/>
    <w:rsid w:val="00912ADA"/>
    <w:rsid w:val="0091304F"/>
    <w:rsid w:val="009131B6"/>
    <w:rsid w:val="009145C4"/>
    <w:rsid w:val="00914797"/>
    <w:rsid w:val="009147A7"/>
    <w:rsid w:val="00914983"/>
    <w:rsid w:val="00914D4E"/>
    <w:rsid w:val="00914F79"/>
    <w:rsid w:val="0091533B"/>
    <w:rsid w:val="00915667"/>
    <w:rsid w:val="00915675"/>
    <w:rsid w:val="009161E9"/>
    <w:rsid w:val="00916379"/>
    <w:rsid w:val="0091687F"/>
    <w:rsid w:val="009168AD"/>
    <w:rsid w:val="009171DD"/>
    <w:rsid w:val="00917629"/>
    <w:rsid w:val="00922651"/>
    <w:rsid w:val="00922852"/>
    <w:rsid w:val="00924252"/>
    <w:rsid w:val="009245FA"/>
    <w:rsid w:val="00924BBD"/>
    <w:rsid w:val="0092514A"/>
    <w:rsid w:val="009263C4"/>
    <w:rsid w:val="00926415"/>
    <w:rsid w:val="00926F03"/>
    <w:rsid w:val="00927010"/>
    <w:rsid w:val="00927898"/>
    <w:rsid w:val="00927CBC"/>
    <w:rsid w:val="009300AA"/>
    <w:rsid w:val="00930534"/>
    <w:rsid w:val="00930652"/>
    <w:rsid w:val="00930F50"/>
    <w:rsid w:val="00933967"/>
    <w:rsid w:val="00934237"/>
    <w:rsid w:val="00934643"/>
    <w:rsid w:val="0093560A"/>
    <w:rsid w:val="0093690F"/>
    <w:rsid w:val="0093747C"/>
    <w:rsid w:val="00937AE8"/>
    <w:rsid w:val="00937BF4"/>
    <w:rsid w:val="00937E7E"/>
    <w:rsid w:val="00937ED8"/>
    <w:rsid w:val="00941C8F"/>
    <w:rsid w:val="00941E32"/>
    <w:rsid w:val="009424F2"/>
    <w:rsid w:val="009429A0"/>
    <w:rsid w:val="00943848"/>
    <w:rsid w:val="009438FE"/>
    <w:rsid w:val="00943FBB"/>
    <w:rsid w:val="00944227"/>
    <w:rsid w:val="009452DA"/>
    <w:rsid w:val="009456FC"/>
    <w:rsid w:val="0094592D"/>
    <w:rsid w:val="00945C6F"/>
    <w:rsid w:val="00946D82"/>
    <w:rsid w:val="00946FE7"/>
    <w:rsid w:val="0094711F"/>
    <w:rsid w:val="00947A07"/>
    <w:rsid w:val="00947A63"/>
    <w:rsid w:val="009507DA"/>
    <w:rsid w:val="00950871"/>
    <w:rsid w:val="00950B2F"/>
    <w:rsid w:val="0095115D"/>
    <w:rsid w:val="00951797"/>
    <w:rsid w:val="0095187B"/>
    <w:rsid w:val="00951F2E"/>
    <w:rsid w:val="009524B0"/>
    <w:rsid w:val="00952BD7"/>
    <w:rsid w:val="00953592"/>
    <w:rsid w:val="009536F9"/>
    <w:rsid w:val="00954D34"/>
    <w:rsid w:val="009552C9"/>
    <w:rsid w:val="00955B23"/>
    <w:rsid w:val="00955F4C"/>
    <w:rsid w:val="009561D5"/>
    <w:rsid w:val="009564C9"/>
    <w:rsid w:val="0095682B"/>
    <w:rsid w:val="00956C03"/>
    <w:rsid w:val="009573C9"/>
    <w:rsid w:val="0095740A"/>
    <w:rsid w:val="00957494"/>
    <w:rsid w:val="009603AB"/>
    <w:rsid w:val="00960F9D"/>
    <w:rsid w:val="00962091"/>
    <w:rsid w:val="0096254C"/>
    <w:rsid w:val="009627C4"/>
    <w:rsid w:val="0096290D"/>
    <w:rsid w:val="009629DC"/>
    <w:rsid w:val="00962CF1"/>
    <w:rsid w:val="00963003"/>
    <w:rsid w:val="00963031"/>
    <w:rsid w:val="00963468"/>
    <w:rsid w:val="0096371D"/>
    <w:rsid w:val="0096391D"/>
    <w:rsid w:val="009640D6"/>
    <w:rsid w:val="009645D6"/>
    <w:rsid w:val="009652A2"/>
    <w:rsid w:val="009652C6"/>
    <w:rsid w:val="009652D9"/>
    <w:rsid w:val="00965946"/>
    <w:rsid w:val="00965A09"/>
    <w:rsid w:val="00965E08"/>
    <w:rsid w:val="00966E54"/>
    <w:rsid w:val="00966FFB"/>
    <w:rsid w:val="009674F1"/>
    <w:rsid w:val="0096752F"/>
    <w:rsid w:val="00967CB2"/>
    <w:rsid w:val="009720A1"/>
    <w:rsid w:val="00972CC2"/>
    <w:rsid w:val="00972F95"/>
    <w:rsid w:val="00972F96"/>
    <w:rsid w:val="00974496"/>
    <w:rsid w:val="0097509D"/>
    <w:rsid w:val="00975340"/>
    <w:rsid w:val="0097566E"/>
    <w:rsid w:val="00976BAF"/>
    <w:rsid w:val="00977426"/>
    <w:rsid w:val="00977587"/>
    <w:rsid w:val="009775C6"/>
    <w:rsid w:val="00977751"/>
    <w:rsid w:val="00980146"/>
    <w:rsid w:val="009802F8"/>
    <w:rsid w:val="00980B3A"/>
    <w:rsid w:val="00980CE8"/>
    <w:rsid w:val="00980DBB"/>
    <w:rsid w:val="009815D2"/>
    <w:rsid w:val="00981890"/>
    <w:rsid w:val="00981A6C"/>
    <w:rsid w:val="00981C03"/>
    <w:rsid w:val="00982184"/>
    <w:rsid w:val="00982238"/>
    <w:rsid w:val="0098338B"/>
    <w:rsid w:val="0098348D"/>
    <w:rsid w:val="009838C9"/>
    <w:rsid w:val="009840FC"/>
    <w:rsid w:val="0098433A"/>
    <w:rsid w:val="009844C0"/>
    <w:rsid w:val="0098458E"/>
    <w:rsid w:val="00984610"/>
    <w:rsid w:val="009848A0"/>
    <w:rsid w:val="00984B74"/>
    <w:rsid w:val="00984BCB"/>
    <w:rsid w:val="00985DBF"/>
    <w:rsid w:val="009863F7"/>
    <w:rsid w:val="00986F03"/>
    <w:rsid w:val="00987040"/>
    <w:rsid w:val="009874C3"/>
    <w:rsid w:val="00987A8A"/>
    <w:rsid w:val="00987FCD"/>
    <w:rsid w:val="00990CB6"/>
    <w:rsid w:val="00990E91"/>
    <w:rsid w:val="00990EB8"/>
    <w:rsid w:val="0099136C"/>
    <w:rsid w:val="009917BB"/>
    <w:rsid w:val="0099247A"/>
    <w:rsid w:val="009924EF"/>
    <w:rsid w:val="00992900"/>
    <w:rsid w:val="00992EFE"/>
    <w:rsid w:val="0099336A"/>
    <w:rsid w:val="0099401A"/>
    <w:rsid w:val="00994157"/>
    <w:rsid w:val="0099530A"/>
    <w:rsid w:val="0099651C"/>
    <w:rsid w:val="00996A76"/>
    <w:rsid w:val="00997064"/>
    <w:rsid w:val="00997209"/>
    <w:rsid w:val="0099742D"/>
    <w:rsid w:val="00997689"/>
    <w:rsid w:val="009977EA"/>
    <w:rsid w:val="00997865"/>
    <w:rsid w:val="00997DD0"/>
    <w:rsid w:val="009A0094"/>
    <w:rsid w:val="009A041E"/>
    <w:rsid w:val="009A04E9"/>
    <w:rsid w:val="009A077F"/>
    <w:rsid w:val="009A0921"/>
    <w:rsid w:val="009A1441"/>
    <w:rsid w:val="009A171D"/>
    <w:rsid w:val="009A2F08"/>
    <w:rsid w:val="009A3521"/>
    <w:rsid w:val="009A452E"/>
    <w:rsid w:val="009A4B8E"/>
    <w:rsid w:val="009A5170"/>
    <w:rsid w:val="009A53AC"/>
    <w:rsid w:val="009A53CE"/>
    <w:rsid w:val="009A58EE"/>
    <w:rsid w:val="009A64F6"/>
    <w:rsid w:val="009A742C"/>
    <w:rsid w:val="009A7675"/>
    <w:rsid w:val="009A7E91"/>
    <w:rsid w:val="009A7F1A"/>
    <w:rsid w:val="009B04C4"/>
    <w:rsid w:val="009B0745"/>
    <w:rsid w:val="009B0B4B"/>
    <w:rsid w:val="009B0C45"/>
    <w:rsid w:val="009B0FCC"/>
    <w:rsid w:val="009B0FF0"/>
    <w:rsid w:val="009B128E"/>
    <w:rsid w:val="009B1C61"/>
    <w:rsid w:val="009B2300"/>
    <w:rsid w:val="009B2479"/>
    <w:rsid w:val="009B2617"/>
    <w:rsid w:val="009B2E5E"/>
    <w:rsid w:val="009B3207"/>
    <w:rsid w:val="009B335C"/>
    <w:rsid w:val="009B33AF"/>
    <w:rsid w:val="009B5797"/>
    <w:rsid w:val="009B5B8E"/>
    <w:rsid w:val="009B5C86"/>
    <w:rsid w:val="009B6504"/>
    <w:rsid w:val="009B6EFA"/>
    <w:rsid w:val="009B730D"/>
    <w:rsid w:val="009B7509"/>
    <w:rsid w:val="009B79B8"/>
    <w:rsid w:val="009C09C5"/>
    <w:rsid w:val="009C0FDC"/>
    <w:rsid w:val="009C21B3"/>
    <w:rsid w:val="009C2C65"/>
    <w:rsid w:val="009C2EDD"/>
    <w:rsid w:val="009C2FF1"/>
    <w:rsid w:val="009C3B5C"/>
    <w:rsid w:val="009C3F26"/>
    <w:rsid w:val="009C5BD3"/>
    <w:rsid w:val="009C5E47"/>
    <w:rsid w:val="009C62B1"/>
    <w:rsid w:val="009C631E"/>
    <w:rsid w:val="009C6660"/>
    <w:rsid w:val="009C67B6"/>
    <w:rsid w:val="009C67C3"/>
    <w:rsid w:val="009C79E8"/>
    <w:rsid w:val="009D0A55"/>
    <w:rsid w:val="009D0C73"/>
    <w:rsid w:val="009D1ADB"/>
    <w:rsid w:val="009D2798"/>
    <w:rsid w:val="009D2A4D"/>
    <w:rsid w:val="009D2A87"/>
    <w:rsid w:val="009D36C8"/>
    <w:rsid w:val="009D3FE7"/>
    <w:rsid w:val="009D428C"/>
    <w:rsid w:val="009D48F1"/>
    <w:rsid w:val="009D4C6E"/>
    <w:rsid w:val="009D4D19"/>
    <w:rsid w:val="009D4E46"/>
    <w:rsid w:val="009D50E0"/>
    <w:rsid w:val="009D5713"/>
    <w:rsid w:val="009D58FA"/>
    <w:rsid w:val="009D61FD"/>
    <w:rsid w:val="009D7117"/>
    <w:rsid w:val="009E07E4"/>
    <w:rsid w:val="009E18D6"/>
    <w:rsid w:val="009E2453"/>
    <w:rsid w:val="009E315D"/>
    <w:rsid w:val="009E3413"/>
    <w:rsid w:val="009E3687"/>
    <w:rsid w:val="009E4B82"/>
    <w:rsid w:val="009E592A"/>
    <w:rsid w:val="009E696A"/>
    <w:rsid w:val="009E6A97"/>
    <w:rsid w:val="009E7A54"/>
    <w:rsid w:val="009F0223"/>
    <w:rsid w:val="009F0B96"/>
    <w:rsid w:val="009F12A9"/>
    <w:rsid w:val="009F17F3"/>
    <w:rsid w:val="009F3667"/>
    <w:rsid w:val="009F416E"/>
    <w:rsid w:val="009F472A"/>
    <w:rsid w:val="009F4AD0"/>
    <w:rsid w:val="009F4B5C"/>
    <w:rsid w:val="009F4D50"/>
    <w:rsid w:val="009F4F88"/>
    <w:rsid w:val="009F5240"/>
    <w:rsid w:val="009F5A96"/>
    <w:rsid w:val="009F6295"/>
    <w:rsid w:val="009F6C44"/>
    <w:rsid w:val="009F78A5"/>
    <w:rsid w:val="009F7AD2"/>
    <w:rsid w:val="009F7C09"/>
    <w:rsid w:val="009F7C6E"/>
    <w:rsid w:val="00A003EF"/>
    <w:rsid w:val="00A006CA"/>
    <w:rsid w:val="00A00C63"/>
    <w:rsid w:val="00A00D76"/>
    <w:rsid w:val="00A00E2E"/>
    <w:rsid w:val="00A00F60"/>
    <w:rsid w:val="00A0167E"/>
    <w:rsid w:val="00A01BD8"/>
    <w:rsid w:val="00A01D83"/>
    <w:rsid w:val="00A01DE1"/>
    <w:rsid w:val="00A020C3"/>
    <w:rsid w:val="00A022CB"/>
    <w:rsid w:val="00A023C1"/>
    <w:rsid w:val="00A02F78"/>
    <w:rsid w:val="00A03308"/>
    <w:rsid w:val="00A03932"/>
    <w:rsid w:val="00A039D7"/>
    <w:rsid w:val="00A039EC"/>
    <w:rsid w:val="00A03E26"/>
    <w:rsid w:val="00A0455B"/>
    <w:rsid w:val="00A048FC"/>
    <w:rsid w:val="00A04CFD"/>
    <w:rsid w:val="00A05407"/>
    <w:rsid w:val="00A05862"/>
    <w:rsid w:val="00A05A46"/>
    <w:rsid w:val="00A05C10"/>
    <w:rsid w:val="00A06B9C"/>
    <w:rsid w:val="00A07039"/>
    <w:rsid w:val="00A071E4"/>
    <w:rsid w:val="00A0757B"/>
    <w:rsid w:val="00A07A95"/>
    <w:rsid w:val="00A07B14"/>
    <w:rsid w:val="00A1186B"/>
    <w:rsid w:val="00A11BC1"/>
    <w:rsid w:val="00A11C29"/>
    <w:rsid w:val="00A12EA9"/>
    <w:rsid w:val="00A131B1"/>
    <w:rsid w:val="00A132DB"/>
    <w:rsid w:val="00A14608"/>
    <w:rsid w:val="00A14EEA"/>
    <w:rsid w:val="00A14F90"/>
    <w:rsid w:val="00A15945"/>
    <w:rsid w:val="00A15960"/>
    <w:rsid w:val="00A16BE0"/>
    <w:rsid w:val="00A16CCA"/>
    <w:rsid w:val="00A17120"/>
    <w:rsid w:val="00A171B0"/>
    <w:rsid w:val="00A17D59"/>
    <w:rsid w:val="00A20555"/>
    <w:rsid w:val="00A205DD"/>
    <w:rsid w:val="00A20E95"/>
    <w:rsid w:val="00A21270"/>
    <w:rsid w:val="00A21283"/>
    <w:rsid w:val="00A215FF"/>
    <w:rsid w:val="00A2170A"/>
    <w:rsid w:val="00A2195B"/>
    <w:rsid w:val="00A2204D"/>
    <w:rsid w:val="00A221AA"/>
    <w:rsid w:val="00A241E7"/>
    <w:rsid w:val="00A24E3A"/>
    <w:rsid w:val="00A255CD"/>
    <w:rsid w:val="00A255E0"/>
    <w:rsid w:val="00A25D2C"/>
    <w:rsid w:val="00A26200"/>
    <w:rsid w:val="00A264B8"/>
    <w:rsid w:val="00A266B8"/>
    <w:rsid w:val="00A26F6B"/>
    <w:rsid w:val="00A277E5"/>
    <w:rsid w:val="00A27C9D"/>
    <w:rsid w:val="00A30174"/>
    <w:rsid w:val="00A3097B"/>
    <w:rsid w:val="00A30FF2"/>
    <w:rsid w:val="00A315CF"/>
    <w:rsid w:val="00A31771"/>
    <w:rsid w:val="00A3235F"/>
    <w:rsid w:val="00A326AB"/>
    <w:rsid w:val="00A32AED"/>
    <w:rsid w:val="00A352AB"/>
    <w:rsid w:val="00A354A4"/>
    <w:rsid w:val="00A35DD8"/>
    <w:rsid w:val="00A36317"/>
    <w:rsid w:val="00A3643F"/>
    <w:rsid w:val="00A369C1"/>
    <w:rsid w:val="00A37214"/>
    <w:rsid w:val="00A37460"/>
    <w:rsid w:val="00A37759"/>
    <w:rsid w:val="00A37FEB"/>
    <w:rsid w:val="00A4024A"/>
    <w:rsid w:val="00A40755"/>
    <w:rsid w:val="00A414E7"/>
    <w:rsid w:val="00A4196E"/>
    <w:rsid w:val="00A41AF7"/>
    <w:rsid w:val="00A4304B"/>
    <w:rsid w:val="00A43CDC"/>
    <w:rsid w:val="00A43EC2"/>
    <w:rsid w:val="00A443B6"/>
    <w:rsid w:val="00A44435"/>
    <w:rsid w:val="00A447D1"/>
    <w:rsid w:val="00A44922"/>
    <w:rsid w:val="00A45283"/>
    <w:rsid w:val="00A45656"/>
    <w:rsid w:val="00A45A46"/>
    <w:rsid w:val="00A45B00"/>
    <w:rsid w:val="00A45ED5"/>
    <w:rsid w:val="00A461B2"/>
    <w:rsid w:val="00A464D4"/>
    <w:rsid w:val="00A470E9"/>
    <w:rsid w:val="00A471F9"/>
    <w:rsid w:val="00A472B8"/>
    <w:rsid w:val="00A4745F"/>
    <w:rsid w:val="00A47C1E"/>
    <w:rsid w:val="00A50514"/>
    <w:rsid w:val="00A510E9"/>
    <w:rsid w:val="00A5200B"/>
    <w:rsid w:val="00A536B1"/>
    <w:rsid w:val="00A5371F"/>
    <w:rsid w:val="00A53ACC"/>
    <w:rsid w:val="00A542C4"/>
    <w:rsid w:val="00A54FCA"/>
    <w:rsid w:val="00A5559F"/>
    <w:rsid w:val="00A55661"/>
    <w:rsid w:val="00A558FB"/>
    <w:rsid w:val="00A56278"/>
    <w:rsid w:val="00A56C20"/>
    <w:rsid w:val="00A56D57"/>
    <w:rsid w:val="00A56E22"/>
    <w:rsid w:val="00A571D0"/>
    <w:rsid w:val="00A574F4"/>
    <w:rsid w:val="00A5751B"/>
    <w:rsid w:val="00A577C7"/>
    <w:rsid w:val="00A57FA2"/>
    <w:rsid w:val="00A61309"/>
    <w:rsid w:val="00A61E52"/>
    <w:rsid w:val="00A61F5B"/>
    <w:rsid w:val="00A6285A"/>
    <w:rsid w:val="00A63C56"/>
    <w:rsid w:val="00A64ADE"/>
    <w:rsid w:val="00A654AD"/>
    <w:rsid w:val="00A65BE6"/>
    <w:rsid w:val="00A67004"/>
    <w:rsid w:val="00A67D66"/>
    <w:rsid w:val="00A703E6"/>
    <w:rsid w:val="00A70F35"/>
    <w:rsid w:val="00A71098"/>
    <w:rsid w:val="00A71573"/>
    <w:rsid w:val="00A719A6"/>
    <w:rsid w:val="00A71B3B"/>
    <w:rsid w:val="00A72855"/>
    <w:rsid w:val="00A72F5A"/>
    <w:rsid w:val="00A730D9"/>
    <w:rsid w:val="00A73503"/>
    <w:rsid w:val="00A738C2"/>
    <w:rsid w:val="00A74C3B"/>
    <w:rsid w:val="00A75DB2"/>
    <w:rsid w:val="00A75F0C"/>
    <w:rsid w:val="00A80515"/>
    <w:rsid w:val="00A810F0"/>
    <w:rsid w:val="00A83684"/>
    <w:rsid w:val="00A843A8"/>
    <w:rsid w:val="00A84636"/>
    <w:rsid w:val="00A847A4"/>
    <w:rsid w:val="00A8488B"/>
    <w:rsid w:val="00A854AB"/>
    <w:rsid w:val="00A85994"/>
    <w:rsid w:val="00A85D4E"/>
    <w:rsid w:val="00A86D80"/>
    <w:rsid w:val="00A874CF"/>
    <w:rsid w:val="00A87990"/>
    <w:rsid w:val="00A9093F"/>
    <w:rsid w:val="00A91661"/>
    <w:rsid w:val="00A916F7"/>
    <w:rsid w:val="00A91B29"/>
    <w:rsid w:val="00A921AC"/>
    <w:rsid w:val="00A92252"/>
    <w:rsid w:val="00A925A1"/>
    <w:rsid w:val="00A9274D"/>
    <w:rsid w:val="00A9274E"/>
    <w:rsid w:val="00A92865"/>
    <w:rsid w:val="00A92F93"/>
    <w:rsid w:val="00A934F3"/>
    <w:rsid w:val="00A947AC"/>
    <w:rsid w:val="00A94D80"/>
    <w:rsid w:val="00A94E44"/>
    <w:rsid w:val="00A951A1"/>
    <w:rsid w:val="00A95218"/>
    <w:rsid w:val="00A9561C"/>
    <w:rsid w:val="00A956E9"/>
    <w:rsid w:val="00A97778"/>
    <w:rsid w:val="00A97F61"/>
    <w:rsid w:val="00AA178C"/>
    <w:rsid w:val="00AA187E"/>
    <w:rsid w:val="00AA2199"/>
    <w:rsid w:val="00AA2402"/>
    <w:rsid w:val="00AA24B3"/>
    <w:rsid w:val="00AA254E"/>
    <w:rsid w:val="00AA2621"/>
    <w:rsid w:val="00AA2A6D"/>
    <w:rsid w:val="00AA2C49"/>
    <w:rsid w:val="00AA2D39"/>
    <w:rsid w:val="00AA32E8"/>
    <w:rsid w:val="00AA4734"/>
    <w:rsid w:val="00AA4B2A"/>
    <w:rsid w:val="00AA4DF6"/>
    <w:rsid w:val="00AA65E8"/>
    <w:rsid w:val="00AA6BD8"/>
    <w:rsid w:val="00AA781C"/>
    <w:rsid w:val="00AB0B6E"/>
    <w:rsid w:val="00AB10FB"/>
    <w:rsid w:val="00AB1278"/>
    <w:rsid w:val="00AB1CCD"/>
    <w:rsid w:val="00AB1E63"/>
    <w:rsid w:val="00AB21C7"/>
    <w:rsid w:val="00AB2384"/>
    <w:rsid w:val="00AB257A"/>
    <w:rsid w:val="00AB28AA"/>
    <w:rsid w:val="00AB4052"/>
    <w:rsid w:val="00AB437E"/>
    <w:rsid w:val="00AB4A95"/>
    <w:rsid w:val="00AB61CF"/>
    <w:rsid w:val="00AB6C08"/>
    <w:rsid w:val="00AB6D58"/>
    <w:rsid w:val="00AB6DC0"/>
    <w:rsid w:val="00AB6ECF"/>
    <w:rsid w:val="00AB6FC4"/>
    <w:rsid w:val="00AC02EA"/>
    <w:rsid w:val="00AC16D6"/>
    <w:rsid w:val="00AC19B7"/>
    <w:rsid w:val="00AC1EC5"/>
    <w:rsid w:val="00AC21DD"/>
    <w:rsid w:val="00AC2368"/>
    <w:rsid w:val="00AC282D"/>
    <w:rsid w:val="00AC2B12"/>
    <w:rsid w:val="00AC322D"/>
    <w:rsid w:val="00AC37BB"/>
    <w:rsid w:val="00AC3DC7"/>
    <w:rsid w:val="00AC4422"/>
    <w:rsid w:val="00AC505B"/>
    <w:rsid w:val="00AC5347"/>
    <w:rsid w:val="00AC5508"/>
    <w:rsid w:val="00AC6A95"/>
    <w:rsid w:val="00AC6CFD"/>
    <w:rsid w:val="00AC7592"/>
    <w:rsid w:val="00AC7907"/>
    <w:rsid w:val="00AC7A0B"/>
    <w:rsid w:val="00AC7F74"/>
    <w:rsid w:val="00AC7FDF"/>
    <w:rsid w:val="00AD0422"/>
    <w:rsid w:val="00AD0D9B"/>
    <w:rsid w:val="00AD135E"/>
    <w:rsid w:val="00AD1683"/>
    <w:rsid w:val="00AD2C63"/>
    <w:rsid w:val="00AD344A"/>
    <w:rsid w:val="00AD3769"/>
    <w:rsid w:val="00AD52E8"/>
    <w:rsid w:val="00AD5447"/>
    <w:rsid w:val="00AD5703"/>
    <w:rsid w:val="00AD573C"/>
    <w:rsid w:val="00AD5D61"/>
    <w:rsid w:val="00AD5E27"/>
    <w:rsid w:val="00AD5EF5"/>
    <w:rsid w:val="00AD60E5"/>
    <w:rsid w:val="00AD6443"/>
    <w:rsid w:val="00AD64B3"/>
    <w:rsid w:val="00AD6791"/>
    <w:rsid w:val="00AD6F36"/>
    <w:rsid w:val="00AD7174"/>
    <w:rsid w:val="00AD7A06"/>
    <w:rsid w:val="00AD7C0C"/>
    <w:rsid w:val="00AE046D"/>
    <w:rsid w:val="00AE0DBA"/>
    <w:rsid w:val="00AE0FFF"/>
    <w:rsid w:val="00AE1848"/>
    <w:rsid w:val="00AE24D3"/>
    <w:rsid w:val="00AE25F9"/>
    <w:rsid w:val="00AE295B"/>
    <w:rsid w:val="00AE2D82"/>
    <w:rsid w:val="00AE3314"/>
    <w:rsid w:val="00AE4229"/>
    <w:rsid w:val="00AE4315"/>
    <w:rsid w:val="00AE479A"/>
    <w:rsid w:val="00AE4ECD"/>
    <w:rsid w:val="00AE53A0"/>
    <w:rsid w:val="00AE5F9C"/>
    <w:rsid w:val="00AE6040"/>
    <w:rsid w:val="00AE6212"/>
    <w:rsid w:val="00AE7AE4"/>
    <w:rsid w:val="00AF0120"/>
    <w:rsid w:val="00AF03EC"/>
    <w:rsid w:val="00AF0DB0"/>
    <w:rsid w:val="00AF0E8A"/>
    <w:rsid w:val="00AF1100"/>
    <w:rsid w:val="00AF1707"/>
    <w:rsid w:val="00AF178A"/>
    <w:rsid w:val="00AF17C9"/>
    <w:rsid w:val="00AF1D54"/>
    <w:rsid w:val="00AF229A"/>
    <w:rsid w:val="00AF2756"/>
    <w:rsid w:val="00AF363E"/>
    <w:rsid w:val="00AF3C69"/>
    <w:rsid w:val="00AF40EB"/>
    <w:rsid w:val="00AF45EA"/>
    <w:rsid w:val="00AF4ADB"/>
    <w:rsid w:val="00AF55BB"/>
    <w:rsid w:val="00AF562D"/>
    <w:rsid w:val="00AF5BAD"/>
    <w:rsid w:val="00AF5E2F"/>
    <w:rsid w:val="00AF70CD"/>
    <w:rsid w:val="00AF7976"/>
    <w:rsid w:val="00AF7AFD"/>
    <w:rsid w:val="00AF7C14"/>
    <w:rsid w:val="00AF7F54"/>
    <w:rsid w:val="00AF7FA0"/>
    <w:rsid w:val="00B010C1"/>
    <w:rsid w:val="00B01D20"/>
    <w:rsid w:val="00B01DB4"/>
    <w:rsid w:val="00B02208"/>
    <w:rsid w:val="00B02549"/>
    <w:rsid w:val="00B0265C"/>
    <w:rsid w:val="00B029A6"/>
    <w:rsid w:val="00B03953"/>
    <w:rsid w:val="00B03B05"/>
    <w:rsid w:val="00B03E53"/>
    <w:rsid w:val="00B045D1"/>
    <w:rsid w:val="00B047E0"/>
    <w:rsid w:val="00B04B2B"/>
    <w:rsid w:val="00B053C4"/>
    <w:rsid w:val="00B06B0F"/>
    <w:rsid w:val="00B06B10"/>
    <w:rsid w:val="00B071CC"/>
    <w:rsid w:val="00B0731E"/>
    <w:rsid w:val="00B07765"/>
    <w:rsid w:val="00B07CED"/>
    <w:rsid w:val="00B109EF"/>
    <w:rsid w:val="00B11315"/>
    <w:rsid w:val="00B114CC"/>
    <w:rsid w:val="00B11CBE"/>
    <w:rsid w:val="00B11D42"/>
    <w:rsid w:val="00B129ED"/>
    <w:rsid w:val="00B12A02"/>
    <w:rsid w:val="00B12AC7"/>
    <w:rsid w:val="00B12D08"/>
    <w:rsid w:val="00B137F7"/>
    <w:rsid w:val="00B13D0E"/>
    <w:rsid w:val="00B159C8"/>
    <w:rsid w:val="00B169FC"/>
    <w:rsid w:val="00B16BDF"/>
    <w:rsid w:val="00B17776"/>
    <w:rsid w:val="00B20440"/>
    <w:rsid w:val="00B21ADD"/>
    <w:rsid w:val="00B21DCA"/>
    <w:rsid w:val="00B22684"/>
    <w:rsid w:val="00B22750"/>
    <w:rsid w:val="00B227CA"/>
    <w:rsid w:val="00B2286A"/>
    <w:rsid w:val="00B23936"/>
    <w:rsid w:val="00B23E3F"/>
    <w:rsid w:val="00B24482"/>
    <w:rsid w:val="00B24512"/>
    <w:rsid w:val="00B256FC"/>
    <w:rsid w:val="00B26742"/>
    <w:rsid w:val="00B267D1"/>
    <w:rsid w:val="00B271D9"/>
    <w:rsid w:val="00B272AD"/>
    <w:rsid w:val="00B27A56"/>
    <w:rsid w:val="00B27CB5"/>
    <w:rsid w:val="00B30661"/>
    <w:rsid w:val="00B30DE3"/>
    <w:rsid w:val="00B310E4"/>
    <w:rsid w:val="00B311BB"/>
    <w:rsid w:val="00B31705"/>
    <w:rsid w:val="00B31D67"/>
    <w:rsid w:val="00B31F2F"/>
    <w:rsid w:val="00B321C1"/>
    <w:rsid w:val="00B327B1"/>
    <w:rsid w:val="00B32EFE"/>
    <w:rsid w:val="00B3344C"/>
    <w:rsid w:val="00B33B75"/>
    <w:rsid w:val="00B34142"/>
    <w:rsid w:val="00B34245"/>
    <w:rsid w:val="00B342AF"/>
    <w:rsid w:val="00B343E6"/>
    <w:rsid w:val="00B3451B"/>
    <w:rsid w:val="00B34BF2"/>
    <w:rsid w:val="00B35AEF"/>
    <w:rsid w:val="00B3637E"/>
    <w:rsid w:val="00B36F39"/>
    <w:rsid w:val="00B3726A"/>
    <w:rsid w:val="00B40137"/>
    <w:rsid w:val="00B4024E"/>
    <w:rsid w:val="00B402A1"/>
    <w:rsid w:val="00B408A0"/>
    <w:rsid w:val="00B40B07"/>
    <w:rsid w:val="00B40B68"/>
    <w:rsid w:val="00B40F43"/>
    <w:rsid w:val="00B41ADE"/>
    <w:rsid w:val="00B41B15"/>
    <w:rsid w:val="00B41DD9"/>
    <w:rsid w:val="00B41EC0"/>
    <w:rsid w:val="00B420DE"/>
    <w:rsid w:val="00B42298"/>
    <w:rsid w:val="00B424DC"/>
    <w:rsid w:val="00B42A7A"/>
    <w:rsid w:val="00B42C0B"/>
    <w:rsid w:val="00B42DB7"/>
    <w:rsid w:val="00B43651"/>
    <w:rsid w:val="00B4399E"/>
    <w:rsid w:val="00B445E7"/>
    <w:rsid w:val="00B4484D"/>
    <w:rsid w:val="00B449AC"/>
    <w:rsid w:val="00B4575D"/>
    <w:rsid w:val="00B458F3"/>
    <w:rsid w:val="00B47595"/>
    <w:rsid w:val="00B47E1F"/>
    <w:rsid w:val="00B50DED"/>
    <w:rsid w:val="00B50E86"/>
    <w:rsid w:val="00B51711"/>
    <w:rsid w:val="00B525B4"/>
    <w:rsid w:val="00B5293F"/>
    <w:rsid w:val="00B5319B"/>
    <w:rsid w:val="00B534E8"/>
    <w:rsid w:val="00B53936"/>
    <w:rsid w:val="00B540D2"/>
    <w:rsid w:val="00B551D2"/>
    <w:rsid w:val="00B55318"/>
    <w:rsid w:val="00B554D7"/>
    <w:rsid w:val="00B5590F"/>
    <w:rsid w:val="00B56896"/>
    <w:rsid w:val="00B57990"/>
    <w:rsid w:val="00B57F66"/>
    <w:rsid w:val="00B60456"/>
    <w:rsid w:val="00B6153C"/>
    <w:rsid w:val="00B616F1"/>
    <w:rsid w:val="00B61A5D"/>
    <w:rsid w:val="00B622EE"/>
    <w:rsid w:val="00B62C1A"/>
    <w:rsid w:val="00B62D54"/>
    <w:rsid w:val="00B635D7"/>
    <w:rsid w:val="00B63620"/>
    <w:rsid w:val="00B63B93"/>
    <w:rsid w:val="00B64AD4"/>
    <w:rsid w:val="00B64E01"/>
    <w:rsid w:val="00B64E39"/>
    <w:rsid w:val="00B65097"/>
    <w:rsid w:val="00B6540D"/>
    <w:rsid w:val="00B6640E"/>
    <w:rsid w:val="00B66DD3"/>
    <w:rsid w:val="00B67F0F"/>
    <w:rsid w:val="00B70542"/>
    <w:rsid w:val="00B70744"/>
    <w:rsid w:val="00B70F49"/>
    <w:rsid w:val="00B713D7"/>
    <w:rsid w:val="00B71E7B"/>
    <w:rsid w:val="00B72C32"/>
    <w:rsid w:val="00B72DE4"/>
    <w:rsid w:val="00B72E2B"/>
    <w:rsid w:val="00B73247"/>
    <w:rsid w:val="00B732AF"/>
    <w:rsid w:val="00B73682"/>
    <w:rsid w:val="00B74F8A"/>
    <w:rsid w:val="00B752B1"/>
    <w:rsid w:val="00B75569"/>
    <w:rsid w:val="00B75797"/>
    <w:rsid w:val="00B75EA6"/>
    <w:rsid w:val="00B75F42"/>
    <w:rsid w:val="00B75FD9"/>
    <w:rsid w:val="00B763DF"/>
    <w:rsid w:val="00B764CB"/>
    <w:rsid w:val="00B7700C"/>
    <w:rsid w:val="00B77646"/>
    <w:rsid w:val="00B81C1E"/>
    <w:rsid w:val="00B81D23"/>
    <w:rsid w:val="00B822E8"/>
    <w:rsid w:val="00B82AB7"/>
    <w:rsid w:val="00B83081"/>
    <w:rsid w:val="00B84AC2"/>
    <w:rsid w:val="00B84D37"/>
    <w:rsid w:val="00B85D4A"/>
    <w:rsid w:val="00B85D70"/>
    <w:rsid w:val="00B87B3C"/>
    <w:rsid w:val="00B87DA2"/>
    <w:rsid w:val="00B903C6"/>
    <w:rsid w:val="00B90515"/>
    <w:rsid w:val="00B91295"/>
    <w:rsid w:val="00B91E69"/>
    <w:rsid w:val="00B92198"/>
    <w:rsid w:val="00B92625"/>
    <w:rsid w:val="00B92DE0"/>
    <w:rsid w:val="00B9365D"/>
    <w:rsid w:val="00B94381"/>
    <w:rsid w:val="00B9470D"/>
    <w:rsid w:val="00B947F7"/>
    <w:rsid w:val="00B94D7C"/>
    <w:rsid w:val="00B95394"/>
    <w:rsid w:val="00B95EA2"/>
    <w:rsid w:val="00B96180"/>
    <w:rsid w:val="00B96437"/>
    <w:rsid w:val="00B96802"/>
    <w:rsid w:val="00B9695B"/>
    <w:rsid w:val="00B96E78"/>
    <w:rsid w:val="00B96E88"/>
    <w:rsid w:val="00B97E6C"/>
    <w:rsid w:val="00BA0DBE"/>
    <w:rsid w:val="00BA103E"/>
    <w:rsid w:val="00BA10EE"/>
    <w:rsid w:val="00BA1421"/>
    <w:rsid w:val="00BA1674"/>
    <w:rsid w:val="00BA192B"/>
    <w:rsid w:val="00BA1949"/>
    <w:rsid w:val="00BA1CF1"/>
    <w:rsid w:val="00BA204C"/>
    <w:rsid w:val="00BA299C"/>
    <w:rsid w:val="00BA2B8A"/>
    <w:rsid w:val="00BA339B"/>
    <w:rsid w:val="00BA3703"/>
    <w:rsid w:val="00BA3792"/>
    <w:rsid w:val="00BA3A0C"/>
    <w:rsid w:val="00BA3EEA"/>
    <w:rsid w:val="00BA4422"/>
    <w:rsid w:val="00BA480B"/>
    <w:rsid w:val="00BA54D5"/>
    <w:rsid w:val="00BA5A4C"/>
    <w:rsid w:val="00BA66DF"/>
    <w:rsid w:val="00BA6C25"/>
    <w:rsid w:val="00BA78C0"/>
    <w:rsid w:val="00BA7B66"/>
    <w:rsid w:val="00BB060B"/>
    <w:rsid w:val="00BB13F5"/>
    <w:rsid w:val="00BB2BC6"/>
    <w:rsid w:val="00BB3451"/>
    <w:rsid w:val="00BB4452"/>
    <w:rsid w:val="00BB485B"/>
    <w:rsid w:val="00BB53D9"/>
    <w:rsid w:val="00BB621F"/>
    <w:rsid w:val="00BB63C5"/>
    <w:rsid w:val="00BB6FBE"/>
    <w:rsid w:val="00BB7067"/>
    <w:rsid w:val="00BB7905"/>
    <w:rsid w:val="00BB7B0D"/>
    <w:rsid w:val="00BB7D16"/>
    <w:rsid w:val="00BC0ECA"/>
    <w:rsid w:val="00BC1B6E"/>
    <w:rsid w:val="00BC2C7E"/>
    <w:rsid w:val="00BC2F33"/>
    <w:rsid w:val="00BC3145"/>
    <w:rsid w:val="00BC39A6"/>
    <w:rsid w:val="00BC3B17"/>
    <w:rsid w:val="00BC3BA4"/>
    <w:rsid w:val="00BC419B"/>
    <w:rsid w:val="00BC4A02"/>
    <w:rsid w:val="00BC4A05"/>
    <w:rsid w:val="00BC4EB5"/>
    <w:rsid w:val="00BC506B"/>
    <w:rsid w:val="00BC52B4"/>
    <w:rsid w:val="00BC53D3"/>
    <w:rsid w:val="00BC59BF"/>
    <w:rsid w:val="00BC5EBB"/>
    <w:rsid w:val="00BC5F7F"/>
    <w:rsid w:val="00BC6840"/>
    <w:rsid w:val="00BD006D"/>
    <w:rsid w:val="00BD1493"/>
    <w:rsid w:val="00BD1AFE"/>
    <w:rsid w:val="00BD1D8F"/>
    <w:rsid w:val="00BD1E7F"/>
    <w:rsid w:val="00BD2793"/>
    <w:rsid w:val="00BD331F"/>
    <w:rsid w:val="00BD4616"/>
    <w:rsid w:val="00BD47B1"/>
    <w:rsid w:val="00BD4E71"/>
    <w:rsid w:val="00BD58DC"/>
    <w:rsid w:val="00BD613B"/>
    <w:rsid w:val="00BD6BF5"/>
    <w:rsid w:val="00BD7806"/>
    <w:rsid w:val="00BE12CC"/>
    <w:rsid w:val="00BE18A5"/>
    <w:rsid w:val="00BE2966"/>
    <w:rsid w:val="00BE31AE"/>
    <w:rsid w:val="00BE3608"/>
    <w:rsid w:val="00BE37C4"/>
    <w:rsid w:val="00BE3F36"/>
    <w:rsid w:val="00BE4233"/>
    <w:rsid w:val="00BE459C"/>
    <w:rsid w:val="00BE4688"/>
    <w:rsid w:val="00BE4CD5"/>
    <w:rsid w:val="00BE51EC"/>
    <w:rsid w:val="00BE569D"/>
    <w:rsid w:val="00BE57EA"/>
    <w:rsid w:val="00BE5D38"/>
    <w:rsid w:val="00BE602C"/>
    <w:rsid w:val="00BE604F"/>
    <w:rsid w:val="00BE6B3D"/>
    <w:rsid w:val="00BE7E1F"/>
    <w:rsid w:val="00BF1020"/>
    <w:rsid w:val="00BF10BF"/>
    <w:rsid w:val="00BF2D33"/>
    <w:rsid w:val="00BF31B9"/>
    <w:rsid w:val="00BF3842"/>
    <w:rsid w:val="00BF3892"/>
    <w:rsid w:val="00BF3933"/>
    <w:rsid w:val="00BF3D16"/>
    <w:rsid w:val="00BF41EC"/>
    <w:rsid w:val="00BF58FF"/>
    <w:rsid w:val="00BF6D9A"/>
    <w:rsid w:val="00BF75FC"/>
    <w:rsid w:val="00BF78B0"/>
    <w:rsid w:val="00C003AA"/>
    <w:rsid w:val="00C00B34"/>
    <w:rsid w:val="00C00D0B"/>
    <w:rsid w:val="00C00D49"/>
    <w:rsid w:val="00C00E7B"/>
    <w:rsid w:val="00C01016"/>
    <w:rsid w:val="00C02218"/>
    <w:rsid w:val="00C02AE4"/>
    <w:rsid w:val="00C03505"/>
    <w:rsid w:val="00C0469E"/>
    <w:rsid w:val="00C04BA0"/>
    <w:rsid w:val="00C05055"/>
    <w:rsid w:val="00C05CA4"/>
    <w:rsid w:val="00C066EB"/>
    <w:rsid w:val="00C0682F"/>
    <w:rsid w:val="00C06BFA"/>
    <w:rsid w:val="00C1120D"/>
    <w:rsid w:val="00C11266"/>
    <w:rsid w:val="00C11C99"/>
    <w:rsid w:val="00C12177"/>
    <w:rsid w:val="00C12BE4"/>
    <w:rsid w:val="00C134DB"/>
    <w:rsid w:val="00C13F36"/>
    <w:rsid w:val="00C1437D"/>
    <w:rsid w:val="00C14537"/>
    <w:rsid w:val="00C1491F"/>
    <w:rsid w:val="00C14984"/>
    <w:rsid w:val="00C14EA9"/>
    <w:rsid w:val="00C14EF0"/>
    <w:rsid w:val="00C15983"/>
    <w:rsid w:val="00C15EA6"/>
    <w:rsid w:val="00C16F1E"/>
    <w:rsid w:val="00C1725A"/>
    <w:rsid w:val="00C17550"/>
    <w:rsid w:val="00C178C0"/>
    <w:rsid w:val="00C17D5C"/>
    <w:rsid w:val="00C20546"/>
    <w:rsid w:val="00C205BE"/>
    <w:rsid w:val="00C2134F"/>
    <w:rsid w:val="00C21FFB"/>
    <w:rsid w:val="00C222A3"/>
    <w:rsid w:val="00C22950"/>
    <w:rsid w:val="00C243C5"/>
    <w:rsid w:val="00C25036"/>
    <w:rsid w:val="00C251B0"/>
    <w:rsid w:val="00C25458"/>
    <w:rsid w:val="00C254E2"/>
    <w:rsid w:val="00C25AA9"/>
    <w:rsid w:val="00C25F5F"/>
    <w:rsid w:val="00C25FD0"/>
    <w:rsid w:val="00C26639"/>
    <w:rsid w:val="00C26942"/>
    <w:rsid w:val="00C27170"/>
    <w:rsid w:val="00C27184"/>
    <w:rsid w:val="00C27447"/>
    <w:rsid w:val="00C276B4"/>
    <w:rsid w:val="00C27E0F"/>
    <w:rsid w:val="00C27EEE"/>
    <w:rsid w:val="00C30346"/>
    <w:rsid w:val="00C30DB4"/>
    <w:rsid w:val="00C30DEB"/>
    <w:rsid w:val="00C317DF"/>
    <w:rsid w:val="00C32417"/>
    <w:rsid w:val="00C32A3C"/>
    <w:rsid w:val="00C32CBB"/>
    <w:rsid w:val="00C33858"/>
    <w:rsid w:val="00C34871"/>
    <w:rsid w:val="00C3490B"/>
    <w:rsid w:val="00C34A99"/>
    <w:rsid w:val="00C34A9A"/>
    <w:rsid w:val="00C35491"/>
    <w:rsid w:val="00C355E0"/>
    <w:rsid w:val="00C35858"/>
    <w:rsid w:val="00C35C1F"/>
    <w:rsid w:val="00C36007"/>
    <w:rsid w:val="00C3622D"/>
    <w:rsid w:val="00C362AD"/>
    <w:rsid w:val="00C368B9"/>
    <w:rsid w:val="00C36B4E"/>
    <w:rsid w:val="00C37640"/>
    <w:rsid w:val="00C37A69"/>
    <w:rsid w:val="00C37B9A"/>
    <w:rsid w:val="00C37E31"/>
    <w:rsid w:val="00C4021F"/>
    <w:rsid w:val="00C40AF9"/>
    <w:rsid w:val="00C40DE4"/>
    <w:rsid w:val="00C414B3"/>
    <w:rsid w:val="00C41505"/>
    <w:rsid w:val="00C41BCA"/>
    <w:rsid w:val="00C42262"/>
    <w:rsid w:val="00C42A28"/>
    <w:rsid w:val="00C42BBB"/>
    <w:rsid w:val="00C42CDB"/>
    <w:rsid w:val="00C42DAF"/>
    <w:rsid w:val="00C449DD"/>
    <w:rsid w:val="00C44D5B"/>
    <w:rsid w:val="00C44E80"/>
    <w:rsid w:val="00C465EB"/>
    <w:rsid w:val="00C46BB2"/>
    <w:rsid w:val="00C46FAD"/>
    <w:rsid w:val="00C5015E"/>
    <w:rsid w:val="00C50204"/>
    <w:rsid w:val="00C5071F"/>
    <w:rsid w:val="00C5135B"/>
    <w:rsid w:val="00C51A8C"/>
    <w:rsid w:val="00C51B44"/>
    <w:rsid w:val="00C51E7D"/>
    <w:rsid w:val="00C51F5F"/>
    <w:rsid w:val="00C52BBE"/>
    <w:rsid w:val="00C52FB8"/>
    <w:rsid w:val="00C532E1"/>
    <w:rsid w:val="00C534FC"/>
    <w:rsid w:val="00C53B52"/>
    <w:rsid w:val="00C53D7B"/>
    <w:rsid w:val="00C548C0"/>
    <w:rsid w:val="00C54A02"/>
    <w:rsid w:val="00C54F6B"/>
    <w:rsid w:val="00C552B0"/>
    <w:rsid w:val="00C55826"/>
    <w:rsid w:val="00C574B9"/>
    <w:rsid w:val="00C5756D"/>
    <w:rsid w:val="00C577B4"/>
    <w:rsid w:val="00C57EDC"/>
    <w:rsid w:val="00C60D59"/>
    <w:rsid w:val="00C61026"/>
    <w:rsid w:val="00C61483"/>
    <w:rsid w:val="00C617A0"/>
    <w:rsid w:val="00C61B0B"/>
    <w:rsid w:val="00C61B79"/>
    <w:rsid w:val="00C62045"/>
    <w:rsid w:val="00C624CE"/>
    <w:rsid w:val="00C627E5"/>
    <w:rsid w:val="00C62A56"/>
    <w:rsid w:val="00C62CD4"/>
    <w:rsid w:val="00C62DDA"/>
    <w:rsid w:val="00C6375E"/>
    <w:rsid w:val="00C63C69"/>
    <w:rsid w:val="00C64444"/>
    <w:rsid w:val="00C647DB"/>
    <w:rsid w:val="00C64850"/>
    <w:rsid w:val="00C65AD8"/>
    <w:rsid w:val="00C65EDD"/>
    <w:rsid w:val="00C668DD"/>
    <w:rsid w:val="00C66A20"/>
    <w:rsid w:val="00C66CB8"/>
    <w:rsid w:val="00C6770D"/>
    <w:rsid w:val="00C67BDB"/>
    <w:rsid w:val="00C67E96"/>
    <w:rsid w:val="00C71DE0"/>
    <w:rsid w:val="00C71F2B"/>
    <w:rsid w:val="00C72AE8"/>
    <w:rsid w:val="00C73ACA"/>
    <w:rsid w:val="00C73C9B"/>
    <w:rsid w:val="00C7441D"/>
    <w:rsid w:val="00C7477B"/>
    <w:rsid w:val="00C754EF"/>
    <w:rsid w:val="00C758BE"/>
    <w:rsid w:val="00C75A83"/>
    <w:rsid w:val="00C75EE7"/>
    <w:rsid w:val="00C762A2"/>
    <w:rsid w:val="00C765CF"/>
    <w:rsid w:val="00C768CB"/>
    <w:rsid w:val="00C7699F"/>
    <w:rsid w:val="00C76A1C"/>
    <w:rsid w:val="00C76D18"/>
    <w:rsid w:val="00C76E10"/>
    <w:rsid w:val="00C76F49"/>
    <w:rsid w:val="00C8005D"/>
    <w:rsid w:val="00C8016A"/>
    <w:rsid w:val="00C80816"/>
    <w:rsid w:val="00C80B0A"/>
    <w:rsid w:val="00C80D66"/>
    <w:rsid w:val="00C80D9D"/>
    <w:rsid w:val="00C81BED"/>
    <w:rsid w:val="00C82545"/>
    <w:rsid w:val="00C826B6"/>
    <w:rsid w:val="00C83162"/>
    <w:rsid w:val="00C8374B"/>
    <w:rsid w:val="00C83766"/>
    <w:rsid w:val="00C844EE"/>
    <w:rsid w:val="00C84DA1"/>
    <w:rsid w:val="00C84E99"/>
    <w:rsid w:val="00C8552C"/>
    <w:rsid w:val="00C8563C"/>
    <w:rsid w:val="00C85824"/>
    <w:rsid w:val="00C86005"/>
    <w:rsid w:val="00C86289"/>
    <w:rsid w:val="00C862B4"/>
    <w:rsid w:val="00C87145"/>
    <w:rsid w:val="00C87341"/>
    <w:rsid w:val="00C874C5"/>
    <w:rsid w:val="00C87882"/>
    <w:rsid w:val="00C90290"/>
    <w:rsid w:val="00C90C8C"/>
    <w:rsid w:val="00C91BD4"/>
    <w:rsid w:val="00C91DA6"/>
    <w:rsid w:val="00C92270"/>
    <w:rsid w:val="00C93696"/>
    <w:rsid w:val="00C937E0"/>
    <w:rsid w:val="00C954AC"/>
    <w:rsid w:val="00C95687"/>
    <w:rsid w:val="00C95911"/>
    <w:rsid w:val="00C95EC0"/>
    <w:rsid w:val="00C96075"/>
    <w:rsid w:val="00C96823"/>
    <w:rsid w:val="00C96A79"/>
    <w:rsid w:val="00C96BD8"/>
    <w:rsid w:val="00C96D2C"/>
    <w:rsid w:val="00C977E2"/>
    <w:rsid w:val="00C97B8F"/>
    <w:rsid w:val="00CA0A81"/>
    <w:rsid w:val="00CA20F1"/>
    <w:rsid w:val="00CA22AF"/>
    <w:rsid w:val="00CA2A44"/>
    <w:rsid w:val="00CA2E79"/>
    <w:rsid w:val="00CA2F5A"/>
    <w:rsid w:val="00CA3645"/>
    <w:rsid w:val="00CA396B"/>
    <w:rsid w:val="00CA3F64"/>
    <w:rsid w:val="00CA4D08"/>
    <w:rsid w:val="00CA4FDD"/>
    <w:rsid w:val="00CA5787"/>
    <w:rsid w:val="00CA5ACC"/>
    <w:rsid w:val="00CA6304"/>
    <w:rsid w:val="00CA648B"/>
    <w:rsid w:val="00CA6EB7"/>
    <w:rsid w:val="00CA6FB3"/>
    <w:rsid w:val="00CA75BC"/>
    <w:rsid w:val="00CA7707"/>
    <w:rsid w:val="00CA7D6B"/>
    <w:rsid w:val="00CB0085"/>
    <w:rsid w:val="00CB01F8"/>
    <w:rsid w:val="00CB07F3"/>
    <w:rsid w:val="00CB0E74"/>
    <w:rsid w:val="00CB24C3"/>
    <w:rsid w:val="00CB327B"/>
    <w:rsid w:val="00CB3F0E"/>
    <w:rsid w:val="00CB431A"/>
    <w:rsid w:val="00CB5152"/>
    <w:rsid w:val="00CB5BC7"/>
    <w:rsid w:val="00CB5DF0"/>
    <w:rsid w:val="00CB5E13"/>
    <w:rsid w:val="00CB68D4"/>
    <w:rsid w:val="00CB6C92"/>
    <w:rsid w:val="00CB7467"/>
    <w:rsid w:val="00CB76D1"/>
    <w:rsid w:val="00CB7926"/>
    <w:rsid w:val="00CC01F9"/>
    <w:rsid w:val="00CC09D4"/>
    <w:rsid w:val="00CC1956"/>
    <w:rsid w:val="00CC197B"/>
    <w:rsid w:val="00CC1A9B"/>
    <w:rsid w:val="00CC2C8B"/>
    <w:rsid w:val="00CC2FC0"/>
    <w:rsid w:val="00CC30A3"/>
    <w:rsid w:val="00CC36D7"/>
    <w:rsid w:val="00CC3AEB"/>
    <w:rsid w:val="00CC414B"/>
    <w:rsid w:val="00CC4A2D"/>
    <w:rsid w:val="00CC4C9F"/>
    <w:rsid w:val="00CC4FCC"/>
    <w:rsid w:val="00CC5104"/>
    <w:rsid w:val="00CC6922"/>
    <w:rsid w:val="00CC72A9"/>
    <w:rsid w:val="00CC77A4"/>
    <w:rsid w:val="00CC7805"/>
    <w:rsid w:val="00CC7E75"/>
    <w:rsid w:val="00CD06D3"/>
    <w:rsid w:val="00CD0D81"/>
    <w:rsid w:val="00CD0FB2"/>
    <w:rsid w:val="00CD1545"/>
    <w:rsid w:val="00CD1C85"/>
    <w:rsid w:val="00CD2ECE"/>
    <w:rsid w:val="00CD2FB9"/>
    <w:rsid w:val="00CD3286"/>
    <w:rsid w:val="00CD3401"/>
    <w:rsid w:val="00CD3C4E"/>
    <w:rsid w:val="00CD3C5A"/>
    <w:rsid w:val="00CD3F86"/>
    <w:rsid w:val="00CD4733"/>
    <w:rsid w:val="00CD4BEB"/>
    <w:rsid w:val="00CD4D3D"/>
    <w:rsid w:val="00CD4FF7"/>
    <w:rsid w:val="00CD5B95"/>
    <w:rsid w:val="00CD62CF"/>
    <w:rsid w:val="00CD675A"/>
    <w:rsid w:val="00CD6FB0"/>
    <w:rsid w:val="00CD7B0A"/>
    <w:rsid w:val="00CD7B50"/>
    <w:rsid w:val="00CE060D"/>
    <w:rsid w:val="00CE063C"/>
    <w:rsid w:val="00CE1134"/>
    <w:rsid w:val="00CE130E"/>
    <w:rsid w:val="00CE1818"/>
    <w:rsid w:val="00CE1826"/>
    <w:rsid w:val="00CE1A3E"/>
    <w:rsid w:val="00CE1A4F"/>
    <w:rsid w:val="00CE1D61"/>
    <w:rsid w:val="00CE1DCC"/>
    <w:rsid w:val="00CE1E7D"/>
    <w:rsid w:val="00CE2AFE"/>
    <w:rsid w:val="00CE2B5B"/>
    <w:rsid w:val="00CE35D3"/>
    <w:rsid w:val="00CE3867"/>
    <w:rsid w:val="00CE386F"/>
    <w:rsid w:val="00CE3BCC"/>
    <w:rsid w:val="00CE5075"/>
    <w:rsid w:val="00CE5112"/>
    <w:rsid w:val="00CE56EF"/>
    <w:rsid w:val="00CE594A"/>
    <w:rsid w:val="00CE5F4F"/>
    <w:rsid w:val="00CE6259"/>
    <w:rsid w:val="00CE6C55"/>
    <w:rsid w:val="00CE6DC4"/>
    <w:rsid w:val="00CE71F1"/>
    <w:rsid w:val="00CE7F1E"/>
    <w:rsid w:val="00CF049E"/>
    <w:rsid w:val="00CF12BC"/>
    <w:rsid w:val="00CF147C"/>
    <w:rsid w:val="00CF2F17"/>
    <w:rsid w:val="00CF3049"/>
    <w:rsid w:val="00CF37E6"/>
    <w:rsid w:val="00CF390D"/>
    <w:rsid w:val="00CF3CC8"/>
    <w:rsid w:val="00CF40C7"/>
    <w:rsid w:val="00CF4177"/>
    <w:rsid w:val="00CF4366"/>
    <w:rsid w:val="00CF5470"/>
    <w:rsid w:val="00CF5B2F"/>
    <w:rsid w:val="00CF65A2"/>
    <w:rsid w:val="00CF68AC"/>
    <w:rsid w:val="00CF6DDB"/>
    <w:rsid w:val="00CF6FE8"/>
    <w:rsid w:val="00CF7932"/>
    <w:rsid w:val="00CF7EBB"/>
    <w:rsid w:val="00D0023B"/>
    <w:rsid w:val="00D00411"/>
    <w:rsid w:val="00D0041F"/>
    <w:rsid w:val="00D00CFD"/>
    <w:rsid w:val="00D00E17"/>
    <w:rsid w:val="00D01443"/>
    <w:rsid w:val="00D0200C"/>
    <w:rsid w:val="00D021D1"/>
    <w:rsid w:val="00D0289E"/>
    <w:rsid w:val="00D02BE9"/>
    <w:rsid w:val="00D02E94"/>
    <w:rsid w:val="00D036FC"/>
    <w:rsid w:val="00D03B52"/>
    <w:rsid w:val="00D0460C"/>
    <w:rsid w:val="00D04FC2"/>
    <w:rsid w:val="00D05F5B"/>
    <w:rsid w:val="00D06396"/>
    <w:rsid w:val="00D06411"/>
    <w:rsid w:val="00D064BC"/>
    <w:rsid w:val="00D06B4F"/>
    <w:rsid w:val="00D06D67"/>
    <w:rsid w:val="00D075E9"/>
    <w:rsid w:val="00D078DA"/>
    <w:rsid w:val="00D1020A"/>
    <w:rsid w:val="00D102CD"/>
    <w:rsid w:val="00D106A6"/>
    <w:rsid w:val="00D10D46"/>
    <w:rsid w:val="00D11104"/>
    <w:rsid w:val="00D1132A"/>
    <w:rsid w:val="00D11A9F"/>
    <w:rsid w:val="00D11D92"/>
    <w:rsid w:val="00D11E01"/>
    <w:rsid w:val="00D1297F"/>
    <w:rsid w:val="00D12D5C"/>
    <w:rsid w:val="00D13116"/>
    <w:rsid w:val="00D1334F"/>
    <w:rsid w:val="00D1338C"/>
    <w:rsid w:val="00D139E7"/>
    <w:rsid w:val="00D14899"/>
    <w:rsid w:val="00D152C6"/>
    <w:rsid w:val="00D15C75"/>
    <w:rsid w:val="00D15E1B"/>
    <w:rsid w:val="00D164F5"/>
    <w:rsid w:val="00D167F9"/>
    <w:rsid w:val="00D173B1"/>
    <w:rsid w:val="00D17619"/>
    <w:rsid w:val="00D200D3"/>
    <w:rsid w:val="00D20A04"/>
    <w:rsid w:val="00D213B5"/>
    <w:rsid w:val="00D21745"/>
    <w:rsid w:val="00D21C75"/>
    <w:rsid w:val="00D223FF"/>
    <w:rsid w:val="00D22595"/>
    <w:rsid w:val="00D22A94"/>
    <w:rsid w:val="00D2347A"/>
    <w:rsid w:val="00D2350C"/>
    <w:rsid w:val="00D23FF9"/>
    <w:rsid w:val="00D24557"/>
    <w:rsid w:val="00D249EF"/>
    <w:rsid w:val="00D24A52"/>
    <w:rsid w:val="00D24EC7"/>
    <w:rsid w:val="00D24F96"/>
    <w:rsid w:val="00D252A6"/>
    <w:rsid w:val="00D256A4"/>
    <w:rsid w:val="00D25D11"/>
    <w:rsid w:val="00D27575"/>
    <w:rsid w:val="00D27991"/>
    <w:rsid w:val="00D27AD9"/>
    <w:rsid w:val="00D30360"/>
    <w:rsid w:val="00D30978"/>
    <w:rsid w:val="00D30AC4"/>
    <w:rsid w:val="00D31B74"/>
    <w:rsid w:val="00D31FF2"/>
    <w:rsid w:val="00D325BE"/>
    <w:rsid w:val="00D32C29"/>
    <w:rsid w:val="00D32DAF"/>
    <w:rsid w:val="00D32EB8"/>
    <w:rsid w:val="00D33449"/>
    <w:rsid w:val="00D33471"/>
    <w:rsid w:val="00D33946"/>
    <w:rsid w:val="00D33C97"/>
    <w:rsid w:val="00D340BD"/>
    <w:rsid w:val="00D345A0"/>
    <w:rsid w:val="00D3535B"/>
    <w:rsid w:val="00D35533"/>
    <w:rsid w:val="00D36CA3"/>
    <w:rsid w:val="00D37610"/>
    <w:rsid w:val="00D3798D"/>
    <w:rsid w:val="00D37DAD"/>
    <w:rsid w:val="00D409CD"/>
    <w:rsid w:val="00D40B04"/>
    <w:rsid w:val="00D4110A"/>
    <w:rsid w:val="00D412C0"/>
    <w:rsid w:val="00D41364"/>
    <w:rsid w:val="00D41740"/>
    <w:rsid w:val="00D41961"/>
    <w:rsid w:val="00D41F5F"/>
    <w:rsid w:val="00D42B8A"/>
    <w:rsid w:val="00D4337D"/>
    <w:rsid w:val="00D43822"/>
    <w:rsid w:val="00D43F4C"/>
    <w:rsid w:val="00D43F9B"/>
    <w:rsid w:val="00D43FEE"/>
    <w:rsid w:val="00D448B9"/>
    <w:rsid w:val="00D44A6D"/>
    <w:rsid w:val="00D44DBE"/>
    <w:rsid w:val="00D451E7"/>
    <w:rsid w:val="00D453E5"/>
    <w:rsid w:val="00D457A1"/>
    <w:rsid w:val="00D45C8A"/>
    <w:rsid w:val="00D462EB"/>
    <w:rsid w:val="00D46DA2"/>
    <w:rsid w:val="00D47AA2"/>
    <w:rsid w:val="00D47EAE"/>
    <w:rsid w:val="00D500C8"/>
    <w:rsid w:val="00D50416"/>
    <w:rsid w:val="00D506E9"/>
    <w:rsid w:val="00D5098E"/>
    <w:rsid w:val="00D509AD"/>
    <w:rsid w:val="00D515AA"/>
    <w:rsid w:val="00D517CB"/>
    <w:rsid w:val="00D5182A"/>
    <w:rsid w:val="00D518CA"/>
    <w:rsid w:val="00D52031"/>
    <w:rsid w:val="00D522D7"/>
    <w:rsid w:val="00D528B1"/>
    <w:rsid w:val="00D52ADC"/>
    <w:rsid w:val="00D52BB0"/>
    <w:rsid w:val="00D52CCE"/>
    <w:rsid w:val="00D5337D"/>
    <w:rsid w:val="00D53582"/>
    <w:rsid w:val="00D538D3"/>
    <w:rsid w:val="00D53C3C"/>
    <w:rsid w:val="00D540BD"/>
    <w:rsid w:val="00D54328"/>
    <w:rsid w:val="00D543C4"/>
    <w:rsid w:val="00D54892"/>
    <w:rsid w:val="00D54C32"/>
    <w:rsid w:val="00D552FC"/>
    <w:rsid w:val="00D56230"/>
    <w:rsid w:val="00D562A4"/>
    <w:rsid w:val="00D566C5"/>
    <w:rsid w:val="00D571F3"/>
    <w:rsid w:val="00D57472"/>
    <w:rsid w:val="00D5767F"/>
    <w:rsid w:val="00D5787C"/>
    <w:rsid w:val="00D57BF9"/>
    <w:rsid w:val="00D60121"/>
    <w:rsid w:val="00D6057E"/>
    <w:rsid w:val="00D613E7"/>
    <w:rsid w:val="00D614C4"/>
    <w:rsid w:val="00D61A1F"/>
    <w:rsid w:val="00D62A0C"/>
    <w:rsid w:val="00D62AC1"/>
    <w:rsid w:val="00D634A3"/>
    <w:rsid w:val="00D6367B"/>
    <w:rsid w:val="00D6369D"/>
    <w:rsid w:val="00D63841"/>
    <w:rsid w:val="00D64809"/>
    <w:rsid w:val="00D64A73"/>
    <w:rsid w:val="00D64EDE"/>
    <w:rsid w:val="00D6580F"/>
    <w:rsid w:val="00D65D0B"/>
    <w:rsid w:val="00D65D53"/>
    <w:rsid w:val="00D663FA"/>
    <w:rsid w:val="00D66B0A"/>
    <w:rsid w:val="00D67513"/>
    <w:rsid w:val="00D6767A"/>
    <w:rsid w:val="00D67A8E"/>
    <w:rsid w:val="00D703B7"/>
    <w:rsid w:val="00D70C3D"/>
    <w:rsid w:val="00D713EE"/>
    <w:rsid w:val="00D71FD2"/>
    <w:rsid w:val="00D73BF3"/>
    <w:rsid w:val="00D74CE6"/>
    <w:rsid w:val="00D754EE"/>
    <w:rsid w:val="00D75523"/>
    <w:rsid w:val="00D75790"/>
    <w:rsid w:val="00D75D53"/>
    <w:rsid w:val="00D75FA6"/>
    <w:rsid w:val="00D765A0"/>
    <w:rsid w:val="00D76793"/>
    <w:rsid w:val="00D76CFA"/>
    <w:rsid w:val="00D76D4C"/>
    <w:rsid w:val="00D7718C"/>
    <w:rsid w:val="00D771C1"/>
    <w:rsid w:val="00D77AC7"/>
    <w:rsid w:val="00D80080"/>
    <w:rsid w:val="00D80877"/>
    <w:rsid w:val="00D80A6E"/>
    <w:rsid w:val="00D80F33"/>
    <w:rsid w:val="00D81256"/>
    <w:rsid w:val="00D81438"/>
    <w:rsid w:val="00D81C67"/>
    <w:rsid w:val="00D82055"/>
    <w:rsid w:val="00D825AB"/>
    <w:rsid w:val="00D83AC1"/>
    <w:rsid w:val="00D83D38"/>
    <w:rsid w:val="00D8410D"/>
    <w:rsid w:val="00D850C3"/>
    <w:rsid w:val="00D8533A"/>
    <w:rsid w:val="00D853B9"/>
    <w:rsid w:val="00D853C4"/>
    <w:rsid w:val="00D86B86"/>
    <w:rsid w:val="00D86F35"/>
    <w:rsid w:val="00D900EF"/>
    <w:rsid w:val="00D903F0"/>
    <w:rsid w:val="00D9048F"/>
    <w:rsid w:val="00D9064B"/>
    <w:rsid w:val="00D90988"/>
    <w:rsid w:val="00D90E6C"/>
    <w:rsid w:val="00D910AB"/>
    <w:rsid w:val="00D9115A"/>
    <w:rsid w:val="00D91B74"/>
    <w:rsid w:val="00D927CF"/>
    <w:rsid w:val="00D927DB"/>
    <w:rsid w:val="00D92AC0"/>
    <w:rsid w:val="00D92C88"/>
    <w:rsid w:val="00D92E4F"/>
    <w:rsid w:val="00D934FA"/>
    <w:rsid w:val="00D935F2"/>
    <w:rsid w:val="00D939C4"/>
    <w:rsid w:val="00D93C69"/>
    <w:rsid w:val="00D941C8"/>
    <w:rsid w:val="00D9420E"/>
    <w:rsid w:val="00D9542E"/>
    <w:rsid w:val="00D95C2A"/>
    <w:rsid w:val="00D96027"/>
    <w:rsid w:val="00D960C8"/>
    <w:rsid w:val="00D966D9"/>
    <w:rsid w:val="00D968AC"/>
    <w:rsid w:val="00D968DB"/>
    <w:rsid w:val="00D9690C"/>
    <w:rsid w:val="00D97D0C"/>
    <w:rsid w:val="00D97F83"/>
    <w:rsid w:val="00DA06CA"/>
    <w:rsid w:val="00DA0CF1"/>
    <w:rsid w:val="00DA1874"/>
    <w:rsid w:val="00DA1E6E"/>
    <w:rsid w:val="00DA1EDF"/>
    <w:rsid w:val="00DA2420"/>
    <w:rsid w:val="00DA2746"/>
    <w:rsid w:val="00DA3123"/>
    <w:rsid w:val="00DA342C"/>
    <w:rsid w:val="00DA3ED0"/>
    <w:rsid w:val="00DA3F07"/>
    <w:rsid w:val="00DA44BD"/>
    <w:rsid w:val="00DA475B"/>
    <w:rsid w:val="00DA4974"/>
    <w:rsid w:val="00DA49EA"/>
    <w:rsid w:val="00DA5A90"/>
    <w:rsid w:val="00DA6F85"/>
    <w:rsid w:val="00DA71F9"/>
    <w:rsid w:val="00DA7675"/>
    <w:rsid w:val="00DA7BBE"/>
    <w:rsid w:val="00DA7F0A"/>
    <w:rsid w:val="00DB053D"/>
    <w:rsid w:val="00DB0836"/>
    <w:rsid w:val="00DB1604"/>
    <w:rsid w:val="00DB1B79"/>
    <w:rsid w:val="00DB1E5B"/>
    <w:rsid w:val="00DB1F2C"/>
    <w:rsid w:val="00DB2299"/>
    <w:rsid w:val="00DB3148"/>
    <w:rsid w:val="00DB317D"/>
    <w:rsid w:val="00DB3618"/>
    <w:rsid w:val="00DB3C06"/>
    <w:rsid w:val="00DB3F8D"/>
    <w:rsid w:val="00DB3FD6"/>
    <w:rsid w:val="00DB3FE0"/>
    <w:rsid w:val="00DB42A7"/>
    <w:rsid w:val="00DB45C8"/>
    <w:rsid w:val="00DB4747"/>
    <w:rsid w:val="00DB65D2"/>
    <w:rsid w:val="00DB6A95"/>
    <w:rsid w:val="00DB7878"/>
    <w:rsid w:val="00DB7935"/>
    <w:rsid w:val="00DB7EB5"/>
    <w:rsid w:val="00DC0211"/>
    <w:rsid w:val="00DC0564"/>
    <w:rsid w:val="00DC08DA"/>
    <w:rsid w:val="00DC0B83"/>
    <w:rsid w:val="00DC12E8"/>
    <w:rsid w:val="00DC14C1"/>
    <w:rsid w:val="00DC16A0"/>
    <w:rsid w:val="00DC16FF"/>
    <w:rsid w:val="00DC1D2B"/>
    <w:rsid w:val="00DC1D2C"/>
    <w:rsid w:val="00DC1FDB"/>
    <w:rsid w:val="00DC20C9"/>
    <w:rsid w:val="00DC2F5F"/>
    <w:rsid w:val="00DC3B9B"/>
    <w:rsid w:val="00DC477D"/>
    <w:rsid w:val="00DC47E9"/>
    <w:rsid w:val="00DC5583"/>
    <w:rsid w:val="00DC561D"/>
    <w:rsid w:val="00DC5644"/>
    <w:rsid w:val="00DC5A6D"/>
    <w:rsid w:val="00DC62D9"/>
    <w:rsid w:val="00DC6671"/>
    <w:rsid w:val="00DC680D"/>
    <w:rsid w:val="00DC718B"/>
    <w:rsid w:val="00DC7DAD"/>
    <w:rsid w:val="00DC7E85"/>
    <w:rsid w:val="00DD0E9D"/>
    <w:rsid w:val="00DD1595"/>
    <w:rsid w:val="00DD160D"/>
    <w:rsid w:val="00DD1AB6"/>
    <w:rsid w:val="00DD1C2D"/>
    <w:rsid w:val="00DD1CBF"/>
    <w:rsid w:val="00DD25C0"/>
    <w:rsid w:val="00DD297C"/>
    <w:rsid w:val="00DD3408"/>
    <w:rsid w:val="00DD3613"/>
    <w:rsid w:val="00DD4D4E"/>
    <w:rsid w:val="00DD4EFC"/>
    <w:rsid w:val="00DD5D44"/>
    <w:rsid w:val="00DD7F50"/>
    <w:rsid w:val="00DE04CD"/>
    <w:rsid w:val="00DE076E"/>
    <w:rsid w:val="00DE0AC6"/>
    <w:rsid w:val="00DE0C3C"/>
    <w:rsid w:val="00DE1A8A"/>
    <w:rsid w:val="00DE20D2"/>
    <w:rsid w:val="00DE24A2"/>
    <w:rsid w:val="00DE27B1"/>
    <w:rsid w:val="00DE34D5"/>
    <w:rsid w:val="00DE3F6A"/>
    <w:rsid w:val="00DE46AB"/>
    <w:rsid w:val="00DE4C9F"/>
    <w:rsid w:val="00DE57B3"/>
    <w:rsid w:val="00DE6766"/>
    <w:rsid w:val="00DE6A01"/>
    <w:rsid w:val="00DE6CE9"/>
    <w:rsid w:val="00DE71DD"/>
    <w:rsid w:val="00DE727D"/>
    <w:rsid w:val="00DE7CE2"/>
    <w:rsid w:val="00DE7EB9"/>
    <w:rsid w:val="00DE7EC2"/>
    <w:rsid w:val="00DF03D1"/>
    <w:rsid w:val="00DF0CCC"/>
    <w:rsid w:val="00DF1353"/>
    <w:rsid w:val="00DF14A5"/>
    <w:rsid w:val="00DF1608"/>
    <w:rsid w:val="00DF16FA"/>
    <w:rsid w:val="00DF2102"/>
    <w:rsid w:val="00DF39AD"/>
    <w:rsid w:val="00DF459F"/>
    <w:rsid w:val="00DF47E9"/>
    <w:rsid w:val="00DF504F"/>
    <w:rsid w:val="00DF522D"/>
    <w:rsid w:val="00DF5C94"/>
    <w:rsid w:val="00DF6133"/>
    <w:rsid w:val="00DF6406"/>
    <w:rsid w:val="00DF694D"/>
    <w:rsid w:val="00DF7418"/>
    <w:rsid w:val="00DF7712"/>
    <w:rsid w:val="00DF7B5C"/>
    <w:rsid w:val="00DF7EAA"/>
    <w:rsid w:val="00E00268"/>
    <w:rsid w:val="00E005DC"/>
    <w:rsid w:val="00E00B9D"/>
    <w:rsid w:val="00E01669"/>
    <w:rsid w:val="00E02C12"/>
    <w:rsid w:val="00E03440"/>
    <w:rsid w:val="00E03A98"/>
    <w:rsid w:val="00E051F5"/>
    <w:rsid w:val="00E05B4B"/>
    <w:rsid w:val="00E05EC1"/>
    <w:rsid w:val="00E06113"/>
    <w:rsid w:val="00E0670F"/>
    <w:rsid w:val="00E06A06"/>
    <w:rsid w:val="00E06A39"/>
    <w:rsid w:val="00E076F9"/>
    <w:rsid w:val="00E07A49"/>
    <w:rsid w:val="00E07C68"/>
    <w:rsid w:val="00E11780"/>
    <w:rsid w:val="00E11BA7"/>
    <w:rsid w:val="00E11BCD"/>
    <w:rsid w:val="00E123D9"/>
    <w:rsid w:val="00E12A40"/>
    <w:rsid w:val="00E13782"/>
    <w:rsid w:val="00E13FE8"/>
    <w:rsid w:val="00E145D9"/>
    <w:rsid w:val="00E14F75"/>
    <w:rsid w:val="00E15207"/>
    <w:rsid w:val="00E15300"/>
    <w:rsid w:val="00E154A3"/>
    <w:rsid w:val="00E15677"/>
    <w:rsid w:val="00E15B52"/>
    <w:rsid w:val="00E1632E"/>
    <w:rsid w:val="00E167C3"/>
    <w:rsid w:val="00E1714A"/>
    <w:rsid w:val="00E17908"/>
    <w:rsid w:val="00E20D8F"/>
    <w:rsid w:val="00E20E71"/>
    <w:rsid w:val="00E21367"/>
    <w:rsid w:val="00E21520"/>
    <w:rsid w:val="00E215F9"/>
    <w:rsid w:val="00E21ADE"/>
    <w:rsid w:val="00E21B93"/>
    <w:rsid w:val="00E2370D"/>
    <w:rsid w:val="00E240E7"/>
    <w:rsid w:val="00E242BB"/>
    <w:rsid w:val="00E248D1"/>
    <w:rsid w:val="00E24DA3"/>
    <w:rsid w:val="00E2516D"/>
    <w:rsid w:val="00E25515"/>
    <w:rsid w:val="00E25A94"/>
    <w:rsid w:val="00E25DBE"/>
    <w:rsid w:val="00E25FF1"/>
    <w:rsid w:val="00E27715"/>
    <w:rsid w:val="00E27997"/>
    <w:rsid w:val="00E27B58"/>
    <w:rsid w:val="00E30191"/>
    <w:rsid w:val="00E30AD4"/>
    <w:rsid w:val="00E30DD4"/>
    <w:rsid w:val="00E3117D"/>
    <w:rsid w:val="00E318F9"/>
    <w:rsid w:val="00E31DF6"/>
    <w:rsid w:val="00E32308"/>
    <w:rsid w:val="00E32953"/>
    <w:rsid w:val="00E33670"/>
    <w:rsid w:val="00E33E03"/>
    <w:rsid w:val="00E33F1D"/>
    <w:rsid w:val="00E3412A"/>
    <w:rsid w:val="00E347D7"/>
    <w:rsid w:val="00E3652E"/>
    <w:rsid w:val="00E36811"/>
    <w:rsid w:val="00E36BFA"/>
    <w:rsid w:val="00E3757D"/>
    <w:rsid w:val="00E37C18"/>
    <w:rsid w:val="00E40306"/>
    <w:rsid w:val="00E4036B"/>
    <w:rsid w:val="00E41741"/>
    <w:rsid w:val="00E4182A"/>
    <w:rsid w:val="00E431D1"/>
    <w:rsid w:val="00E4328E"/>
    <w:rsid w:val="00E4335A"/>
    <w:rsid w:val="00E435B3"/>
    <w:rsid w:val="00E4374B"/>
    <w:rsid w:val="00E443A1"/>
    <w:rsid w:val="00E4469D"/>
    <w:rsid w:val="00E44BAE"/>
    <w:rsid w:val="00E44D02"/>
    <w:rsid w:val="00E44D5A"/>
    <w:rsid w:val="00E451AA"/>
    <w:rsid w:val="00E451CB"/>
    <w:rsid w:val="00E45A65"/>
    <w:rsid w:val="00E46F27"/>
    <w:rsid w:val="00E47264"/>
    <w:rsid w:val="00E47DE2"/>
    <w:rsid w:val="00E5028F"/>
    <w:rsid w:val="00E50A69"/>
    <w:rsid w:val="00E51772"/>
    <w:rsid w:val="00E51B16"/>
    <w:rsid w:val="00E51F2F"/>
    <w:rsid w:val="00E52444"/>
    <w:rsid w:val="00E5288C"/>
    <w:rsid w:val="00E52A13"/>
    <w:rsid w:val="00E53126"/>
    <w:rsid w:val="00E53348"/>
    <w:rsid w:val="00E53B42"/>
    <w:rsid w:val="00E53C69"/>
    <w:rsid w:val="00E53E29"/>
    <w:rsid w:val="00E54A06"/>
    <w:rsid w:val="00E54A6D"/>
    <w:rsid w:val="00E54CB3"/>
    <w:rsid w:val="00E54F7A"/>
    <w:rsid w:val="00E55182"/>
    <w:rsid w:val="00E552A9"/>
    <w:rsid w:val="00E55645"/>
    <w:rsid w:val="00E5614D"/>
    <w:rsid w:val="00E564CB"/>
    <w:rsid w:val="00E5696E"/>
    <w:rsid w:val="00E57645"/>
    <w:rsid w:val="00E5795D"/>
    <w:rsid w:val="00E57BF3"/>
    <w:rsid w:val="00E57C77"/>
    <w:rsid w:val="00E6017F"/>
    <w:rsid w:val="00E60DF2"/>
    <w:rsid w:val="00E619F1"/>
    <w:rsid w:val="00E62EAF"/>
    <w:rsid w:val="00E6371D"/>
    <w:rsid w:val="00E644BA"/>
    <w:rsid w:val="00E64533"/>
    <w:rsid w:val="00E65D6D"/>
    <w:rsid w:val="00E65F2F"/>
    <w:rsid w:val="00E66A79"/>
    <w:rsid w:val="00E66B2F"/>
    <w:rsid w:val="00E66DBF"/>
    <w:rsid w:val="00E67E86"/>
    <w:rsid w:val="00E70628"/>
    <w:rsid w:val="00E70C9B"/>
    <w:rsid w:val="00E70E1A"/>
    <w:rsid w:val="00E711C5"/>
    <w:rsid w:val="00E71301"/>
    <w:rsid w:val="00E7197F"/>
    <w:rsid w:val="00E71AC4"/>
    <w:rsid w:val="00E71F2A"/>
    <w:rsid w:val="00E71FB4"/>
    <w:rsid w:val="00E726D0"/>
    <w:rsid w:val="00E73932"/>
    <w:rsid w:val="00E7459D"/>
    <w:rsid w:val="00E74F14"/>
    <w:rsid w:val="00E752AC"/>
    <w:rsid w:val="00E755EE"/>
    <w:rsid w:val="00E758D4"/>
    <w:rsid w:val="00E75973"/>
    <w:rsid w:val="00E76206"/>
    <w:rsid w:val="00E76ED5"/>
    <w:rsid w:val="00E76F45"/>
    <w:rsid w:val="00E7729F"/>
    <w:rsid w:val="00E77A2E"/>
    <w:rsid w:val="00E77AE9"/>
    <w:rsid w:val="00E77DEE"/>
    <w:rsid w:val="00E77DEF"/>
    <w:rsid w:val="00E80CF6"/>
    <w:rsid w:val="00E81ACE"/>
    <w:rsid w:val="00E81E34"/>
    <w:rsid w:val="00E82275"/>
    <w:rsid w:val="00E82BA7"/>
    <w:rsid w:val="00E82BEF"/>
    <w:rsid w:val="00E82CE8"/>
    <w:rsid w:val="00E83579"/>
    <w:rsid w:val="00E842F3"/>
    <w:rsid w:val="00E8448F"/>
    <w:rsid w:val="00E85119"/>
    <w:rsid w:val="00E85EE0"/>
    <w:rsid w:val="00E8732B"/>
    <w:rsid w:val="00E87429"/>
    <w:rsid w:val="00E87520"/>
    <w:rsid w:val="00E91760"/>
    <w:rsid w:val="00E92953"/>
    <w:rsid w:val="00E92DC6"/>
    <w:rsid w:val="00E933AC"/>
    <w:rsid w:val="00E94518"/>
    <w:rsid w:val="00E94D24"/>
    <w:rsid w:val="00E9508F"/>
    <w:rsid w:val="00E95775"/>
    <w:rsid w:val="00E96326"/>
    <w:rsid w:val="00E96566"/>
    <w:rsid w:val="00E96F18"/>
    <w:rsid w:val="00E9713C"/>
    <w:rsid w:val="00E9724B"/>
    <w:rsid w:val="00E97702"/>
    <w:rsid w:val="00EA0043"/>
    <w:rsid w:val="00EA0305"/>
    <w:rsid w:val="00EA083C"/>
    <w:rsid w:val="00EA0B1A"/>
    <w:rsid w:val="00EA169B"/>
    <w:rsid w:val="00EA1773"/>
    <w:rsid w:val="00EA1807"/>
    <w:rsid w:val="00EA1B6B"/>
    <w:rsid w:val="00EA2178"/>
    <w:rsid w:val="00EA248B"/>
    <w:rsid w:val="00EA298D"/>
    <w:rsid w:val="00EA2B17"/>
    <w:rsid w:val="00EA2E9F"/>
    <w:rsid w:val="00EA2F32"/>
    <w:rsid w:val="00EA353E"/>
    <w:rsid w:val="00EA3D1A"/>
    <w:rsid w:val="00EA42E1"/>
    <w:rsid w:val="00EA4A73"/>
    <w:rsid w:val="00EA5D83"/>
    <w:rsid w:val="00EA6FEF"/>
    <w:rsid w:val="00EA7361"/>
    <w:rsid w:val="00EA777A"/>
    <w:rsid w:val="00EA7B8F"/>
    <w:rsid w:val="00EB0AA4"/>
    <w:rsid w:val="00EB0E29"/>
    <w:rsid w:val="00EB0EB1"/>
    <w:rsid w:val="00EB1D87"/>
    <w:rsid w:val="00EB1E07"/>
    <w:rsid w:val="00EB230A"/>
    <w:rsid w:val="00EB2636"/>
    <w:rsid w:val="00EB26A8"/>
    <w:rsid w:val="00EB271A"/>
    <w:rsid w:val="00EB33FD"/>
    <w:rsid w:val="00EB3BAA"/>
    <w:rsid w:val="00EB4763"/>
    <w:rsid w:val="00EB50E1"/>
    <w:rsid w:val="00EB518D"/>
    <w:rsid w:val="00EB56B7"/>
    <w:rsid w:val="00EB6C2E"/>
    <w:rsid w:val="00EB6CE3"/>
    <w:rsid w:val="00EB782D"/>
    <w:rsid w:val="00EB78F5"/>
    <w:rsid w:val="00EC134F"/>
    <w:rsid w:val="00EC18F1"/>
    <w:rsid w:val="00EC3AB4"/>
    <w:rsid w:val="00EC3F6F"/>
    <w:rsid w:val="00EC4CF5"/>
    <w:rsid w:val="00EC50B5"/>
    <w:rsid w:val="00EC51E2"/>
    <w:rsid w:val="00EC53A1"/>
    <w:rsid w:val="00EC54DB"/>
    <w:rsid w:val="00EC5BEE"/>
    <w:rsid w:val="00EC67EA"/>
    <w:rsid w:val="00EC69BE"/>
    <w:rsid w:val="00EC6BC9"/>
    <w:rsid w:val="00EC71C8"/>
    <w:rsid w:val="00EC71CC"/>
    <w:rsid w:val="00EC73B7"/>
    <w:rsid w:val="00EC7A57"/>
    <w:rsid w:val="00EC7D54"/>
    <w:rsid w:val="00EC7FE1"/>
    <w:rsid w:val="00ED0BFB"/>
    <w:rsid w:val="00ED0F71"/>
    <w:rsid w:val="00ED165E"/>
    <w:rsid w:val="00ED1AA2"/>
    <w:rsid w:val="00ED1D2A"/>
    <w:rsid w:val="00ED2D7A"/>
    <w:rsid w:val="00ED32D5"/>
    <w:rsid w:val="00ED3E23"/>
    <w:rsid w:val="00ED3EFE"/>
    <w:rsid w:val="00ED4523"/>
    <w:rsid w:val="00ED51C9"/>
    <w:rsid w:val="00ED5353"/>
    <w:rsid w:val="00ED540D"/>
    <w:rsid w:val="00ED5D2C"/>
    <w:rsid w:val="00ED6072"/>
    <w:rsid w:val="00ED6520"/>
    <w:rsid w:val="00ED6D9A"/>
    <w:rsid w:val="00ED6DA1"/>
    <w:rsid w:val="00ED6E11"/>
    <w:rsid w:val="00ED6E47"/>
    <w:rsid w:val="00ED7479"/>
    <w:rsid w:val="00ED7A5A"/>
    <w:rsid w:val="00ED7FBE"/>
    <w:rsid w:val="00EE02B0"/>
    <w:rsid w:val="00EE02D7"/>
    <w:rsid w:val="00EE10A9"/>
    <w:rsid w:val="00EE128C"/>
    <w:rsid w:val="00EE1435"/>
    <w:rsid w:val="00EE19E3"/>
    <w:rsid w:val="00EE1A56"/>
    <w:rsid w:val="00EE1BD8"/>
    <w:rsid w:val="00EE2E40"/>
    <w:rsid w:val="00EE3897"/>
    <w:rsid w:val="00EE4E6B"/>
    <w:rsid w:val="00EE4F36"/>
    <w:rsid w:val="00EE505C"/>
    <w:rsid w:val="00EE5B69"/>
    <w:rsid w:val="00EE609F"/>
    <w:rsid w:val="00EE61E9"/>
    <w:rsid w:val="00EE73A7"/>
    <w:rsid w:val="00EE775B"/>
    <w:rsid w:val="00EE78AC"/>
    <w:rsid w:val="00EE7D62"/>
    <w:rsid w:val="00EF00BC"/>
    <w:rsid w:val="00EF0913"/>
    <w:rsid w:val="00EF0A0E"/>
    <w:rsid w:val="00EF0DFA"/>
    <w:rsid w:val="00EF1178"/>
    <w:rsid w:val="00EF11DB"/>
    <w:rsid w:val="00EF14F3"/>
    <w:rsid w:val="00EF1969"/>
    <w:rsid w:val="00EF20E4"/>
    <w:rsid w:val="00EF2159"/>
    <w:rsid w:val="00EF2B3D"/>
    <w:rsid w:val="00EF3114"/>
    <w:rsid w:val="00EF3290"/>
    <w:rsid w:val="00EF3A5E"/>
    <w:rsid w:val="00EF4FB3"/>
    <w:rsid w:val="00EF536C"/>
    <w:rsid w:val="00EF577F"/>
    <w:rsid w:val="00EF5A75"/>
    <w:rsid w:val="00EF5EEF"/>
    <w:rsid w:val="00EF6384"/>
    <w:rsid w:val="00EF64FA"/>
    <w:rsid w:val="00EF6698"/>
    <w:rsid w:val="00EF66E2"/>
    <w:rsid w:val="00EF67D7"/>
    <w:rsid w:val="00EF7100"/>
    <w:rsid w:val="00F01183"/>
    <w:rsid w:val="00F018F2"/>
    <w:rsid w:val="00F01B8A"/>
    <w:rsid w:val="00F01F80"/>
    <w:rsid w:val="00F01FF9"/>
    <w:rsid w:val="00F0259B"/>
    <w:rsid w:val="00F02731"/>
    <w:rsid w:val="00F027D0"/>
    <w:rsid w:val="00F02CA0"/>
    <w:rsid w:val="00F02EB4"/>
    <w:rsid w:val="00F036A4"/>
    <w:rsid w:val="00F038C5"/>
    <w:rsid w:val="00F03A6C"/>
    <w:rsid w:val="00F0461D"/>
    <w:rsid w:val="00F04C6A"/>
    <w:rsid w:val="00F04CC8"/>
    <w:rsid w:val="00F04FE0"/>
    <w:rsid w:val="00F0578A"/>
    <w:rsid w:val="00F05AD9"/>
    <w:rsid w:val="00F069DA"/>
    <w:rsid w:val="00F06DA7"/>
    <w:rsid w:val="00F072F0"/>
    <w:rsid w:val="00F10679"/>
    <w:rsid w:val="00F10B00"/>
    <w:rsid w:val="00F10CEA"/>
    <w:rsid w:val="00F111C1"/>
    <w:rsid w:val="00F1246D"/>
    <w:rsid w:val="00F12872"/>
    <w:rsid w:val="00F137C2"/>
    <w:rsid w:val="00F13A26"/>
    <w:rsid w:val="00F13AE1"/>
    <w:rsid w:val="00F1452F"/>
    <w:rsid w:val="00F1479C"/>
    <w:rsid w:val="00F15F6D"/>
    <w:rsid w:val="00F1669D"/>
    <w:rsid w:val="00F16AB1"/>
    <w:rsid w:val="00F16C0D"/>
    <w:rsid w:val="00F176C1"/>
    <w:rsid w:val="00F17AD1"/>
    <w:rsid w:val="00F20C2A"/>
    <w:rsid w:val="00F20F7A"/>
    <w:rsid w:val="00F21621"/>
    <w:rsid w:val="00F23058"/>
    <w:rsid w:val="00F23087"/>
    <w:rsid w:val="00F23677"/>
    <w:rsid w:val="00F24067"/>
    <w:rsid w:val="00F2429D"/>
    <w:rsid w:val="00F24685"/>
    <w:rsid w:val="00F24AE7"/>
    <w:rsid w:val="00F25AB1"/>
    <w:rsid w:val="00F30281"/>
    <w:rsid w:val="00F31A90"/>
    <w:rsid w:val="00F31A98"/>
    <w:rsid w:val="00F31DCF"/>
    <w:rsid w:val="00F31F32"/>
    <w:rsid w:val="00F32AA2"/>
    <w:rsid w:val="00F32F25"/>
    <w:rsid w:val="00F332F9"/>
    <w:rsid w:val="00F340F7"/>
    <w:rsid w:val="00F3436C"/>
    <w:rsid w:val="00F3495E"/>
    <w:rsid w:val="00F34B17"/>
    <w:rsid w:val="00F34B23"/>
    <w:rsid w:val="00F34C49"/>
    <w:rsid w:val="00F34EB8"/>
    <w:rsid w:val="00F34F8C"/>
    <w:rsid w:val="00F353BE"/>
    <w:rsid w:val="00F355B0"/>
    <w:rsid w:val="00F359D6"/>
    <w:rsid w:val="00F363C3"/>
    <w:rsid w:val="00F36BB2"/>
    <w:rsid w:val="00F37764"/>
    <w:rsid w:val="00F37DA0"/>
    <w:rsid w:val="00F40303"/>
    <w:rsid w:val="00F4031A"/>
    <w:rsid w:val="00F41BF7"/>
    <w:rsid w:val="00F41DFF"/>
    <w:rsid w:val="00F420CF"/>
    <w:rsid w:val="00F420EA"/>
    <w:rsid w:val="00F421AA"/>
    <w:rsid w:val="00F423F7"/>
    <w:rsid w:val="00F427B7"/>
    <w:rsid w:val="00F42AC2"/>
    <w:rsid w:val="00F43845"/>
    <w:rsid w:val="00F43FE1"/>
    <w:rsid w:val="00F449CB"/>
    <w:rsid w:val="00F44A49"/>
    <w:rsid w:val="00F44B52"/>
    <w:rsid w:val="00F45C33"/>
    <w:rsid w:val="00F463A4"/>
    <w:rsid w:val="00F46482"/>
    <w:rsid w:val="00F467D8"/>
    <w:rsid w:val="00F469FD"/>
    <w:rsid w:val="00F46B22"/>
    <w:rsid w:val="00F46E7B"/>
    <w:rsid w:val="00F4763B"/>
    <w:rsid w:val="00F50273"/>
    <w:rsid w:val="00F504D1"/>
    <w:rsid w:val="00F50D49"/>
    <w:rsid w:val="00F51318"/>
    <w:rsid w:val="00F5149B"/>
    <w:rsid w:val="00F514BF"/>
    <w:rsid w:val="00F51F7E"/>
    <w:rsid w:val="00F51F9D"/>
    <w:rsid w:val="00F5244C"/>
    <w:rsid w:val="00F53532"/>
    <w:rsid w:val="00F5425F"/>
    <w:rsid w:val="00F5444B"/>
    <w:rsid w:val="00F54970"/>
    <w:rsid w:val="00F54FCC"/>
    <w:rsid w:val="00F550C2"/>
    <w:rsid w:val="00F553EF"/>
    <w:rsid w:val="00F557FE"/>
    <w:rsid w:val="00F559D8"/>
    <w:rsid w:val="00F564EA"/>
    <w:rsid w:val="00F569C9"/>
    <w:rsid w:val="00F569CF"/>
    <w:rsid w:val="00F5709A"/>
    <w:rsid w:val="00F57213"/>
    <w:rsid w:val="00F57367"/>
    <w:rsid w:val="00F57E3D"/>
    <w:rsid w:val="00F6007E"/>
    <w:rsid w:val="00F6048C"/>
    <w:rsid w:val="00F60C75"/>
    <w:rsid w:val="00F6184D"/>
    <w:rsid w:val="00F61CD6"/>
    <w:rsid w:val="00F61D1C"/>
    <w:rsid w:val="00F6289A"/>
    <w:rsid w:val="00F62A09"/>
    <w:rsid w:val="00F62D2C"/>
    <w:rsid w:val="00F62FAC"/>
    <w:rsid w:val="00F6334D"/>
    <w:rsid w:val="00F6343C"/>
    <w:rsid w:val="00F63FE6"/>
    <w:rsid w:val="00F64100"/>
    <w:rsid w:val="00F646E4"/>
    <w:rsid w:val="00F64A31"/>
    <w:rsid w:val="00F64B8B"/>
    <w:rsid w:val="00F65DDB"/>
    <w:rsid w:val="00F662B4"/>
    <w:rsid w:val="00F66F39"/>
    <w:rsid w:val="00F676B7"/>
    <w:rsid w:val="00F6799A"/>
    <w:rsid w:val="00F67CBE"/>
    <w:rsid w:val="00F70AD7"/>
    <w:rsid w:val="00F70CD4"/>
    <w:rsid w:val="00F70E69"/>
    <w:rsid w:val="00F7254B"/>
    <w:rsid w:val="00F729B0"/>
    <w:rsid w:val="00F72CA7"/>
    <w:rsid w:val="00F72F52"/>
    <w:rsid w:val="00F72F98"/>
    <w:rsid w:val="00F73CEE"/>
    <w:rsid w:val="00F73D0E"/>
    <w:rsid w:val="00F75152"/>
    <w:rsid w:val="00F751E5"/>
    <w:rsid w:val="00F756AD"/>
    <w:rsid w:val="00F756F3"/>
    <w:rsid w:val="00F758C4"/>
    <w:rsid w:val="00F765C4"/>
    <w:rsid w:val="00F7740A"/>
    <w:rsid w:val="00F80AB2"/>
    <w:rsid w:val="00F81156"/>
    <w:rsid w:val="00F81B3C"/>
    <w:rsid w:val="00F820F9"/>
    <w:rsid w:val="00F8212B"/>
    <w:rsid w:val="00F8248B"/>
    <w:rsid w:val="00F82B81"/>
    <w:rsid w:val="00F82DB8"/>
    <w:rsid w:val="00F8309C"/>
    <w:rsid w:val="00F830A1"/>
    <w:rsid w:val="00F847C9"/>
    <w:rsid w:val="00F84A30"/>
    <w:rsid w:val="00F84CFB"/>
    <w:rsid w:val="00F84E03"/>
    <w:rsid w:val="00F84F17"/>
    <w:rsid w:val="00F85C3E"/>
    <w:rsid w:val="00F85E6F"/>
    <w:rsid w:val="00F85F14"/>
    <w:rsid w:val="00F86237"/>
    <w:rsid w:val="00F86457"/>
    <w:rsid w:val="00F86B7F"/>
    <w:rsid w:val="00F8782D"/>
    <w:rsid w:val="00F87E6F"/>
    <w:rsid w:val="00F906E1"/>
    <w:rsid w:val="00F90E6A"/>
    <w:rsid w:val="00F915CC"/>
    <w:rsid w:val="00F9278C"/>
    <w:rsid w:val="00F92A12"/>
    <w:rsid w:val="00F930AD"/>
    <w:rsid w:val="00F93708"/>
    <w:rsid w:val="00F93901"/>
    <w:rsid w:val="00F93B6A"/>
    <w:rsid w:val="00F94AE2"/>
    <w:rsid w:val="00F94B8D"/>
    <w:rsid w:val="00F9569B"/>
    <w:rsid w:val="00F95842"/>
    <w:rsid w:val="00F960E2"/>
    <w:rsid w:val="00F96EE1"/>
    <w:rsid w:val="00F977EC"/>
    <w:rsid w:val="00F97834"/>
    <w:rsid w:val="00F97889"/>
    <w:rsid w:val="00F97C4B"/>
    <w:rsid w:val="00FA1972"/>
    <w:rsid w:val="00FA20EB"/>
    <w:rsid w:val="00FA2269"/>
    <w:rsid w:val="00FA2540"/>
    <w:rsid w:val="00FA27F3"/>
    <w:rsid w:val="00FA2F0D"/>
    <w:rsid w:val="00FA3A5B"/>
    <w:rsid w:val="00FA3B8F"/>
    <w:rsid w:val="00FA427D"/>
    <w:rsid w:val="00FA43F0"/>
    <w:rsid w:val="00FA43FE"/>
    <w:rsid w:val="00FA4D24"/>
    <w:rsid w:val="00FA58FB"/>
    <w:rsid w:val="00FA6369"/>
    <w:rsid w:val="00FA68FB"/>
    <w:rsid w:val="00FA7335"/>
    <w:rsid w:val="00FA75DE"/>
    <w:rsid w:val="00FA763D"/>
    <w:rsid w:val="00FB0057"/>
    <w:rsid w:val="00FB041E"/>
    <w:rsid w:val="00FB0495"/>
    <w:rsid w:val="00FB0544"/>
    <w:rsid w:val="00FB06BB"/>
    <w:rsid w:val="00FB136B"/>
    <w:rsid w:val="00FB1457"/>
    <w:rsid w:val="00FB15E1"/>
    <w:rsid w:val="00FB3EB9"/>
    <w:rsid w:val="00FB43D7"/>
    <w:rsid w:val="00FB4AB4"/>
    <w:rsid w:val="00FB5202"/>
    <w:rsid w:val="00FB5253"/>
    <w:rsid w:val="00FB52D6"/>
    <w:rsid w:val="00FB5510"/>
    <w:rsid w:val="00FB7EC1"/>
    <w:rsid w:val="00FC0553"/>
    <w:rsid w:val="00FC2061"/>
    <w:rsid w:val="00FC269C"/>
    <w:rsid w:val="00FC2E78"/>
    <w:rsid w:val="00FC390D"/>
    <w:rsid w:val="00FC3E14"/>
    <w:rsid w:val="00FC4A17"/>
    <w:rsid w:val="00FC5503"/>
    <w:rsid w:val="00FC5EF4"/>
    <w:rsid w:val="00FC630B"/>
    <w:rsid w:val="00FC64FA"/>
    <w:rsid w:val="00FC6808"/>
    <w:rsid w:val="00FC6FBF"/>
    <w:rsid w:val="00FC6FEA"/>
    <w:rsid w:val="00FD0726"/>
    <w:rsid w:val="00FD0D96"/>
    <w:rsid w:val="00FD169B"/>
    <w:rsid w:val="00FD1C5B"/>
    <w:rsid w:val="00FD2B83"/>
    <w:rsid w:val="00FD2CB2"/>
    <w:rsid w:val="00FD2D9E"/>
    <w:rsid w:val="00FD36BB"/>
    <w:rsid w:val="00FD38C7"/>
    <w:rsid w:val="00FD3B46"/>
    <w:rsid w:val="00FD3C60"/>
    <w:rsid w:val="00FD4598"/>
    <w:rsid w:val="00FD48E0"/>
    <w:rsid w:val="00FD63A7"/>
    <w:rsid w:val="00FD65E3"/>
    <w:rsid w:val="00FD661C"/>
    <w:rsid w:val="00FD736C"/>
    <w:rsid w:val="00FD7FDF"/>
    <w:rsid w:val="00FE06BF"/>
    <w:rsid w:val="00FE09E8"/>
    <w:rsid w:val="00FE0B2A"/>
    <w:rsid w:val="00FE10BF"/>
    <w:rsid w:val="00FE191E"/>
    <w:rsid w:val="00FE1DC9"/>
    <w:rsid w:val="00FE24D0"/>
    <w:rsid w:val="00FE2796"/>
    <w:rsid w:val="00FE2807"/>
    <w:rsid w:val="00FE283C"/>
    <w:rsid w:val="00FE3CE5"/>
    <w:rsid w:val="00FE41C0"/>
    <w:rsid w:val="00FE5134"/>
    <w:rsid w:val="00FE6108"/>
    <w:rsid w:val="00FE69B5"/>
    <w:rsid w:val="00FE7516"/>
    <w:rsid w:val="00FE7A9F"/>
    <w:rsid w:val="00FF034C"/>
    <w:rsid w:val="00FF070D"/>
    <w:rsid w:val="00FF0BAD"/>
    <w:rsid w:val="00FF0E5D"/>
    <w:rsid w:val="00FF0FD4"/>
    <w:rsid w:val="00FF1086"/>
    <w:rsid w:val="00FF1618"/>
    <w:rsid w:val="00FF184B"/>
    <w:rsid w:val="00FF18C2"/>
    <w:rsid w:val="00FF24DD"/>
    <w:rsid w:val="00FF2AE3"/>
    <w:rsid w:val="00FF2D31"/>
    <w:rsid w:val="00FF3C0E"/>
    <w:rsid w:val="00FF4056"/>
    <w:rsid w:val="00FF44BD"/>
    <w:rsid w:val="00FF4AD1"/>
    <w:rsid w:val="00FF56FE"/>
    <w:rsid w:val="00FF58CC"/>
    <w:rsid w:val="00FF7205"/>
    <w:rsid w:val="00FF74FF"/>
    <w:rsid w:val="00FF790E"/>
    <w:rsid w:val="0D585777"/>
    <w:rsid w:val="16774248"/>
    <w:rsid w:val="264B26A7"/>
    <w:rsid w:val="31D11D0D"/>
    <w:rsid w:val="44AA53C1"/>
    <w:rsid w:val="48C74774"/>
    <w:rsid w:val="4B485171"/>
    <w:rsid w:val="4D925648"/>
    <w:rsid w:val="4ECD4F03"/>
    <w:rsid w:val="54C2429F"/>
    <w:rsid w:val="56952A91"/>
    <w:rsid w:val="62AA0EAF"/>
    <w:rsid w:val="68A52467"/>
    <w:rsid w:val="763E53C8"/>
  </w:rsids>
  <m:mathPr>
    <m:mathFont m:val="Cambria Math"/>
    <m:brkBin m:val="before"/>
    <m:brkBinSub m:val="--"/>
    <m:smallFrac m:val="0"/>
    <m:dispDef/>
    <m:lMargin m:val="0"/>
    <m:rMargin m:val="0"/>
    <m:defJc m:val="centerGroup"/>
    <m:wrapIndent m:val="1440"/>
    <m:intLim m:val="subSup"/>
    <m:naryLim m:val="undOvr"/>
  </m:mathPr>
  <w:themeFontLang w:val="et-E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3F281"/>
  <w15:docId w15:val="{61B2789D-907B-46FB-A041-54727E01A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unhideWhenUsed="1" w:qFormat="1"/>
    <w:lsdException w:name="heading 3" w:qFormat="1"/>
    <w:lsdException w:name="heading 4" w:uiPriority="0"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D197C"/>
    <w:pPr>
      <w:spacing w:after="0" w:line="240" w:lineRule="auto"/>
      <w:jc w:val="both"/>
    </w:pPr>
    <w:rPr>
      <w:rFonts w:eastAsiaTheme="minorHAnsi" w:cstheme="minorBidi"/>
      <w:sz w:val="24"/>
      <w:szCs w:val="22"/>
      <w:lang w:eastAsia="en-US"/>
    </w:rPr>
  </w:style>
  <w:style w:type="paragraph" w:styleId="Pealkiri1">
    <w:name w:val="heading 1"/>
    <w:basedOn w:val="Normaallaad"/>
    <w:next w:val="Normaallaad"/>
    <w:link w:val="Pealkiri1Mrk"/>
    <w:uiPriority w:val="99"/>
    <w:qFormat/>
    <w:pPr>
      <w:keepNext/>
      <w:keepLines/>
      <w:spacing w:before="480" w:after="480"/>
      <w:jc w:val="center"/>
      <w:outlineLvl w:val="0"/>
    </w:pPr>
    <w:rPr>
      <w:rFonts w:eastAsiaTheme="majorEastAsia" w:cstheme="majorBidi"/>
      <w:b/>
      <w:bCs/>
      <w:sz w:val="28"/>
      <w:szCs w:val="28"/>
    </w:rPr>
  </w:style>
  <w:style w:type="paragraph" w:styleId="Pealkiri2">
    <w:name w:val="heading 2"/>
    <w:basedOn w:val="Normaallaad"/>
    <w:next w:val="Normaallaad"/>
    <w:link w:val="Pealkiri2Mrk"/>
    <w:uiPriority w:val="9"/>
    <w:unhideWhenUsed/>
    <w:qFormat/>
    <w:pPr>
      <w:keepNext/>
      <w:keepLines/>
      <w:spacing w:before="360" w:after="360"/>
      <w:jc w:val="center"/>
      <w:outlineLvl w:val="1"/>
    </w:pPr>
    <w:rPr>
      <w:rFonts w:eastAsiaTheme="majorEastAsia" w:cstheme="majorBidi"/>
      <w:b/>
      <w:bCs/>
      <w:szCs w:val="26"/>
    </w:rPr>
  </w:style>
  <w:style w:type="paragraph" w:styleId="Pealkiri3">
    <w:name w:val="heading 3"/>
    <w:basedOn w:val="Normaallaad"/>
    <w:next w:val="Normaallaad"/>
    <w:link w:val="Pealkiri3Mrk"/>
    <w:uiPriority w:val="99"/>
    <w:qFormat/>
    <w:pPr>
      <w:keepNext/>
      <w:spacing w:before="240" w:after="240"/>
      <w:jc w:val="left"/>
      <w:outlineLvl w:val="2"/>
    </w:pPr>
    <w:rPr>
      <w:rFonts w:eastAsia="Times New Roman" w:cs="Arial"/>
      <w:b/>
      <w:szCs w:val="24"/>
    </w:rPr>
  </w:style>
  <w:style w:type="paragraph" w:styleId="Pealkiri4">
    <w:name w:val="heading 4"/>
    <w:basedOn w:val="Normaallaad"/>
    <w:next w:val="Normaallaad"/>
    <w:link w:val="Pealkiri4Mrk"/>
    <w:unhideWhenUsed/>
    <w:qFormat/>
    <w:pPr>
      <w:keepNext/>
      <w:keepLines/>
      <w:numPr>
        <w:numId w:val="1"/>
      </w:numPr>
      <w:spacing w:before="360" w:after="360"/>
      <w:jc w:val="left"/>
      <w:outlineLvl w:val="3"/>
    </w:pPr>
    <w:rPr>
      <w:rFonts w:eastAsiaTheme="majorEastAsia" w:cstheme="majorBidi"/>
      <w:bCs/>
      <w:iCs/>
    </w:rPr>
  </w:style>
  <w:style w:type="paragraph" w:styleId="Pealkiri5">
    <w:name w:val="heading 5"/>
    <w:basedOn w:val="Normaallaad"/>
    <w:next w:val="Normaallaad"/>
    <w:link w:val="Pealkiri5Mrk"/>
    <w:uiPriority w:val="9"/>
    <w:unhideWhenUsed/>
    <w:qFormat/>
    <w:pPr>
      <w:keepNext/>
      <w:keepLines/>
      <w:spacing w:before="240" w:after="240" w:line="276" w:lineRule="auto"/>
      <w:jc w:val="left"/>
      <w:outlineLvl w:val="4"/>
    </w:pPr>
    <w:rPr>
      <w:rFonts w:eastAsiaTheme="majorEastAsia" w:cstheme="majorBidi"/>
      <w:u w:val="single"/>
    </w:rPr>
  </w:style>
  <w:style w:type="paragraph" w:styleId="Pealkiri6">
    <w:name w:val="heading 6"/>
    <w:basedOn w:val="Normaallaad"/>
    <w:next w:val="Normaallaad"/>
    <w:link w:val="Pealkiri6Mrk"/>
    <w:uiPriority w:val="9"/>
    <w:unhideWhenUsed/>
    <w:qFormat/>
    <w:pPr>
      <w:keepNext/>
      <w:keepLines/>
      <w:spacing w:before="120"/>
      <w:outlineLvl w:val="5"/>
    </w:pPr>
    <w:rPr>
      <w:rFonts w:eastAsiaTheme="majorEastAsia" w:cstheme="majorBidi"/>
      <w:u w:val="single"/>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unhideWhenUsed/>
    <w:qFormat/>
    <w:rPr>
      <w:rFonts w:ascii="Tahoma" w:hAnsi="Tahoma" w:cs="Tahoma"/>
      <w:sz w:val="16"/>
      <w:szCs w:val="16"/>
    </w:rPr>
  </w:style>
  <w:style w:type="paragraph" w:styleId="Kehatekst">
    <w:name w:val="Body Text"/>
    <w:basedOn w:val="Normaallaad"/>
    <w:link w:val="KehatekstMrk"/>
    <w:qFormat/>
    <w:pPr>
      <w:widowControl w:val="0"/>
      <w:spacing w:before="240" w:after="240"/>
    </w:pPr>
    <w:rPr>
      <w:rFonts w:cs="Times New Roman"/>
      <w:szCs w:val="24"/>
    </w:rPr>
  </w:style>
  <w:style w:type="paragraph" w:styleId="Kehatekst2">
    <w:name w:val="Body Text 2"/>
    <w:basedOn w:val="Normaallaad"/>
    <w:link w:val="Kehatekst2Mrk"/>
    <w:uiPriority w:val="99"/>
    <w:semiHidden/>
    <w:unhideWhenUsed/>
    <w:qFormat/>
    <w:pPr>
      <w:spacing w:after="120" w:line="480" w:lineRule="auto"/>
    </w:pPr>
  </w:style>
  <w:style w:type="paragraph" w:styleId="Kommentaaritekst">
    <w:name w:val="annotation text"/>
    <w:basedOn w:val="Normaallaad"/>
    <w:link w:val="KommentaaritekstMrk"/>
    <w:uiPriority w:val="99"/>
    <w:unhideWhenUsed/>
    <w:pPr>
      <w:spacing w:after="200"/>
      <w:jc w:val="left"/>
    </w:pPr>
    <w:rPr>
      <w:rFonts w:asciiTheme="minorHAnsi" w:hAnsiTheme="minorHAnsi"/>
      <w:sz w:val="20"/>
      <w:szCs w:val="20"/>
    </w:rPr>
  </w:style>
  <w:style w:type="paragraph" w:styleId="Kommentaariteema">
    <w:name w:val="annotation subject"/>
    <w:basedOn w:val="Kommentaaritekst"/>
    <w:next w:val="Kommentaaritekst"/>
    <w:link w:val="KommentaariteemaMrk"/>
    <w:uiPriority w:val="99"/>
    <w:semiHidden/>
    <w:unhideWhenUsed/>
    <w:pPr>
      <w:spacing w:after="0"/>
      <w:jc w:val="both"/>
    </w:pPr>
    <w:rPr>
      <w:rFonts w:ascii="Times New Roman" w:hAnsi="Times New Roman"/>
      <w:b/>
      <w:bCs/>
    </w:rPr>
  </w:style>
  <w:style w:type="paragraph" w:styleId="Dokumendiplaan">
    <w:name w:val="Document Map"/>
    <w:basedOn w:val="Normaallaad"/>
    <w:link w:val="DokumendiplaanMrk"/>
    <w:uiPriority w:val="99"/>
    <w:semiHidden/>
    <w:unhideWhenUsed/>
    <w:rPr>
      <w:rFonts w:cs="Times New Roman"/>
      <w:szCs w:val="24"/>
    </w:rPr>
  </w:style>
  <w:style w:type="paragraph" w:styleId="Jalus">
    <w:name w:val="footer"/>
    <w:basedOn w:val="Normaallaad"/>
    <w:link w:val="JalusMrk"/>
    <w:uiPriority w:val="99"/>
    <w:unhideWhenUsed/>
    <w:qFormat/>
    <w:pPr>
      <w:tabs>
        <w:tab w:val="center" w:pos="4536"/>
        <w:tab w:val="right" w:pos="9072"/>
      </w:tabs>
    </w:pPr>
  </w:style>
  <w:style w:type="paragraph" w:styleId="Allmrkusetekst">
    <w:name w:val="footnote text"/>
    <w:aliases w:val="Allmärkuse tekst TNR 10 (A põhilaad)"/>
    <w:basedOn w:val="Normaallaad"/>
    <w:link w:val="AllmrkusetekstMrk"/>
    <w:uiPriority w:val="99"/>
    <w:unhideWhenUsed/>
    <w:qFormat/>
    <w:rPr>
      <w:sz w:val="20"/>
      <w:szCs w:val="24"/>
    </w:rPr>
  </w:style>
  <w:style w:type="paragraph" w:styleId="Pis">
    <w:name w:val="header"/>
    <w:basedOn w:val="Normaallaad"/>
    <w:link w:val="PisMrk"/>
    <w:uiPriority w:val="99"/>
    <w:qFormat/>
    <w:pPr>
      <w:tabs>
        <w:tab w:val="center" w:pos="4536"/>
        <w:tab w:val="right" w:pos="9072"/>
      </w:tabs>
    </w:pPr>
    <w:rPr>
      <w:rFonts w:eastAsiaTheme="minorEastAsia" w:cs="Times New Roman"/>
      <w:szCs w:val="24"/>
    </w:rPr>
  </w:style>
  <w:style w:type="paragraph" w:styleId="Normaallaadveeb">
    <w:name w:val="Normal (Web)"/>
    <w:uiPriority w:val="99"/>
    <w:unhideWhenUsed/>
    <w:pPr>
      <w:spacing w:beforeAutospacing="1" w:after="0" w:afterAutospacing="1"/>
    </w:pPr>
    <w:rPr>
      <w:sz w:val="24"/>
      <w:szCs w:val="24"/>
      <w:lang w:val="en-US" w:eastAsia="zh-CN"/>
    </w:rPr>
  </w:style>
  <w:style w:type="character" w:styleId="Kommentaariviide">
    <w:name w:val="annotation reference"/>
    <w:basedOn w:val="Liguvaikefont"/>
    <w:uiPriority w:val="99"/>
    <w:unhideWhenUsed/>
    <w:qFormat/>
    <w:rPr>
      <w:sz w:val="16"/>
      <w:szCs w:val="16"/>
    </w:rPr>
  </w:style>
  <w:style w:type="character" w:styleId="Klastatudhperlink">
    <w:name w:val="FollowedHyperlink"/>
    <w:basedOn w:val="Liguvaikefont"/>
    <w:uiPriority w:val="99"/>
    <w:semiHidden/>
    <w:unhideWhenUsed/>
    <w:qFormat/>
    <w:rPr>
      <w:color w:val="800080" w:themeColor="followedHyperlink"/>
      <w:u w:val="single"/>
    </w:rPr>
  </w:style>
  <w:style w:type="character" w:styleId="Allmrkuseviide">
    <w:name w:val="footnote reference"/>
    <w:aliases w:val="4_G,Footnotes refss,Appel note de bas de p.,Appel note de bas de p,SUPERS,Nota,Footnote symbol,Footnote"/>
    <w:basedOn w:val="Liguvaikefont"/>
    <w:uiPriority w:val="99"/>
    <w:unhideWhenUsed/>
    <w:qFormat/>
    <w:rPr>
      <w:vertAlign w:val="superscript"/>
    </w:rPr>
  </w:style>
  <w:style w:type="character" w:styleId="Hperlink">
    <w:name w:val="Hyperlink"/>
    <w:basedOn w:val="Liguvaikefont"/>
    <w:uiPriority w:val="99"/>
    <w:unhideWhenUsed/>
    <w:qFormat/>
    <w:rPr>
      <w:color w:val="0000FF" w:themeColor="hyperlink"/>
      <w:u w:val="single"/>
    </w:rPr>
  </w:style>
  <w:style w:type="character" w:styleId="Tugev">
    <w:name w:val="Strong"/>
    <w:basedOn w:val="Liguvaikefont"/>
    <w:uiPriority w:val="22"/>
    <w:qFormat/>
    <w:rPr>
      <w:b/>
      <w:bCs/>
    </w:rPr>
  </w:style>
  <w:style w:type="table" w:styleId="Kontuurtabel">
    <w:name w:val="Table Grid"/>
    <w:basedOn w:val="Normaaltab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allaad"/>
    <w:link w:val="BodyMrk"/>
    <w:qFormat/>
    <w:pPr>
      <w:spacing w:before="120" w:after="240" w:line="276" w:lineRule="auto"/>
    </w:pPr>
    <w:rPr>
      <w:rFonts w:eastAsia="Calibri" w:cs="Times New Roman"/>
    </w:rPr>
  </w:style>
  <w:style w:type="character" w:customStyle="1" w:styleId="BodyMrk">
    <w:name w:val="Body Märk"/>
    <w:basedOn w:val="Liguvaikefont"/>
    <w:link w:val="Body"/>
    <w:qFormat/>
    <w:rPr>
      <w:rFonts w:ascii="Times New Roman" w:eastAsia="Calibri" w:hAnsi="Times New Roman" w:cs="Times New Roman"/>
      <w:sz w:val="24"/>
    </w:rPr>
  </w:style>
  <w:style w:type="character" w:customStyle="1" w:styleId="KehatekstMrk">
    <w:name w:val="Kehatekst Märk"/>
    <w:basedOn w:val="Liguvaikefont"/>
    <w:link w:val="Kehatekst"/>
    <w:qFormat/>
    <w:rPr>
      <w:rFonts w:ascii="Times New Roman" w:hAnsi="Times New Roman" w:cs="Times New Roman"/>
      <w:sz w:val="24"/>
      <w:szCs w:val="24"/>
    </w:rPr>
  </w:style>
  <w:style w:type="character" w:customStyle="1" w:styleId="Pealkiri1Mrk">
    <w:name w:val="Pealkiri 1 Märk"/>
    <w:basedOn w:val="Liguvaikefont"/>
    <w:link w:val="Pealkiri1"/>
    <w:uiPriority w:val="9"/>
    <w:rPr>
      <w:rFonts w:ascii="Times New Roman" w:eastAsiaTheme="majorEastAsia" w:hAnsi="Times New Roman" w:cstheme="majorBidi"/>
      <w:b/>
      <w:bCs/>
      <w:sz w:val="28"/>
      <w:szCs w:val="28"/>
    </w:rPr>
  </w:style>
  <w:style w:type="character" w:customStyle="1" w:styleId="Pealkiri2Mrk">
    <w:name w:val="Pealkiri 2 Märk"/>
    <w:basedOn w:val="Liguvaikefont"/>
    <w:link w:val="Pealkiri2"/>
    <w:uiPriority w:val="9"/>
    <w:qFormat/>
    <w:rPr>
      <w:rFonts w:ascii="Times New Roman" w:eastAsiaTheme="majorEastAsia" w:hAnsi="Times New Roman" w:cstheme="majorBidi"/>
      <w:b/>
      <w:bCs/>
      <w:sz w:val="24"/>
      <w:szCs w:val="26"/>
    </w:rPr>
  </w:style>
  <w:style w:type="character" w:customStyle="1" w:styleId="Pealkiri3Mrk">
    <w:name w:val="Pealkiri 3 Märk"/>
    <w:basedOn w:val="Liguvaikefont"/>
    <w:link w:val="Pealkiri3"/>
    <w:uiPriority w:val="99"/>
    <w:qFormat/>
    <w:rPr>
      <w:rFonts w:ascii="Times New Roman" w:eastAsia="Times New Roman" w:hAnsi="Times New Roman" w:cs="Arial"/>
      <w:b/>
      <w:sz w:val="24"/>
      <w:szCs w:val="24"/>
    </w:rPr>
  </w:style>
  <w:style w:type="character" w:customStyle="1" w:styleId="Pealkiri4Mrk">
    <w:name w:val="Pealkiri 4 Märk"/>
    <w:basedOn w:val="Liguvaikefont"/>
    <w:link w:val="Pealkiri4"/>
    <w:qFormat/>
    <w:rPr>
      <w:rFonts w:ascii="Times New Roman" w:eastAsiaTheme="majorEastAsia" w:hAnsi="Times New Roman" w:cstheme="majorBidi"/>
      <w:bCs/>
      <w:iCs/>
      <w:sz w:val="24"/>
    </w:rPr>
  </w:style>
  <w:style w:type="character" w:customStyle="1" w:styleId="Pealkiri5Mrk">
    <w:name w:val="Pealkiri 5 Märk"/>
    <w:basedOn w:val="Liguvaikefont"/>
    <w:link w:val="Pealkiri5"/>
    <w:uiPriority w:val="9"/>
    <w:qFormat/>
    <w:rPr>
      <w:rFonts w:ascii="Times New Roman" w:eastAsiaTheme="majorEastAsia" w:hAnsi="Times New Roman" w:cstheme="majorBidi"/>
      <w:sz w:val="24"/>
      <w:u w:val="single"/>
    </w:rPr>
  </w:style>
  <w:style w:type="character" w:customStyle="1" w:styleId="KommentaaritekstMrk">
    <w:name w:val="Kommentaari tekst Märk"/>
    <w:basedOn w:val="Liguvaikefont"/>
    <w:link w:val="Kommentaaritekst"/>
    <w:uiPriority w:val="99"/>
    <w:qFormat/>
    <w:rPr>
      <w:sz w:val="20"/>
      <w:szCs w:val="20"/>
    </w:rPr>
  </w:style>
  <w:style w:type="character" w:customStyle="1" w:styleId="KommentaariteemaMrk">
    <w:name w:val="Kommentaari teema Märk"/>
    <w:basedOn w:val="KommentaaritekstMrk"/>
    <w:link w:val="Kommentaariteema"/>
    <w:uiPriority w:val="99"/>
    <w:semiHidden/>
    <w:rPr>
      <w:rFonts w:ascii="Times New Roman" w:hAnsi="Times New Roman"/>
      <w:b/>
      <w:bCs/>
      <w:sz w:val="20"/>
      <w:szCs w:val="20"/>
    </w:rPr>
  </w:style>
  <w:style w:type="paragraph" w:customStyle="1" w:styleId="Redaktsioon1">
    <w:name w:val="Redaktsioon1"/>
    <w:hidden/>
    <w:uiPriority w:val="99"/>
    <w:semiHidden/>
    <w:pPr>
      <w:spacing w:after="0" w:line="240" w:lineRule="auto"/>
    </w:pPr>
    <w:rPr>
      <w:rFonts w:eastAsiaTheme="minorHAnsi" w:cstheme="minorBidi"/>
      <w:sz w:val="24"/>
      <w:szCs w:val="22"/>
      <w:lang w:eastAsia="en-US"/>
    </w:rPr>
  </w:style>
  <w:style w:type="character" w:customStyle="1" w:styleId="JutumullitekstMrk">
    <w:name w:val="Jutumullitekst Märk"/>
    <w:basedOn w:val="Liguvaikefont"/>
    <w:link w:val="Jutumullitekst"/>
    <w:uiPriority w:val="99"/>
    <w:semiHidden/>
    <w:rPr>
      <w:rFonts w:ascii="Tahoma" w:hAnsi="Tahoma" w:cs="Tahoma"/>
      <w:sz w:val="16"/>
      <w:szCs w:val="16"/>
    </w:rPr>
  </w:style>
  <w:style w:type="character" w:customStyle="1" w:styleId="PisMrk">
    <w:name w:val="Päis Märk"/>
    <w:basedOn w:val="Liguvaikefont"/>
    <w:link w:val="Pis"/>
    <w:uiPriority w:val="99"/>
    <w:qFormat/>
    <w:rPr>
      <w:rFonts w:ascii="Times New Roman" w:eastAsiaTheme="minorEastAsia" w:hAnsi="Times New Roman" w:cs="Times New Roman"/>
      <w:sz w:val="24"/>
      <w:szCs w:val="24"/>
    </w:rPr>
  </w:style>
  <w:style w:type="paragraph" w:styleId="Loendilik">
    <w:name w:val="List Paragraph"/>
    <w:basedOn w:val="Normaallaad"/>
    <w:uiPriority w:val="34"/>
    <w:qFormat/>
    <w:pPr>
      <w:spacing w:before="120" w:after="120"/>
      <w:ind w:left="720"/>
      <w:contextualSpacing/>
    </w:pPr>
    <w:rPr>
      <w:rFonts w:eastAsiaTheme="minorEastAsia"/>
      <w:szCs w:val="24"/>
    </w:rPr>
  </w:style>
  <w:style w:type="character" w:customStyle="1" w:styleId="tyhik">
    <w:name w:val="tyhik"/>
    <w:basedOn w:val="Liguvaikefont"/>
    <w:qFormat/>
  </w:style>
  <w:style w:type="character" w:customStyle="1" w:styleId="JalusMrk">
    <w:name w:val="Jalus Märk"/>
    <w:basedOn w:val="Liguvaikefont"/>
    <w:link w:val="Jalus"/>
    <w:uiPriority w:val="99"/>
    <w:qFormat/>
    <w:rPr>
      <w:rFonts w:ascii="Times New Roman" w:hAnsi="Times New Roman"/>
      <w:sz w:val="24"/>
    </w:rPr>
  </w:style>
  <w:style w:type="character" w:customStyle="1" w:styleId="d">
    <w:name w:val="d"/>
    <w:basedOn w:val="Liguvaikefont"/>
    <w:qFormat/>
  </w:style>
  <w:style w:type="character" w:customStyle="1" w:styleId="n">
    <w:name w:val="n"/>
    <w:basedOn w:val="Liguvaikefont"/>
    <w:qFormat/>
  </w:style>
  <w:style w:type="character" w:customStyle="1" w:styleId="nd">
    <w:name w:val="nd"/>
    <w:basedOn w:val="Liguvaikefont"/>
    <w:qFormat/>
  </w:style>
  <w:style w:type="character" w:customStyle="1" w:styleId="tgsatt">
    <w:name w:val="tg_s_att"/>
    <w:basedOn w:val="Liguvaikefont"/>
    <w:qFormat/>
  </w:style>
  <w:style w:type="character" w:customStyle="1" w:styleId="Kehatekst2Mrk">
    <w:name w:val="Kehatekst 2 Märk"/>
    <w:basedOn w:val="Liguvaikefont"/>
    <w:link w:val="Kehatekst2"/>
    <w:uiPriority w:val="99"/>
    <w:semiHidden/>
    <w:qFormat/>
    <w:rPr>
      <w:rFonts w:ascii="Times New Roman" w:hAnsi="Times New Roman"/>
      <w:sz w:val="24"/>
    </w:rPr>
  </w:style>
  <w:style w:type="character" w:customStyle="1" w:styleId="Pealkiri6Mrk">
    <w:name w:val="Pealkiri 6 Märk"/>
    <w:basedOn w:val="Liguvaikefont"/>
    <w:link w:val="Pealkiri6"/>
    <w:uiPriority w:val="9"/>
    <w:qFormat/>
    <w:rPr>
      <w:rFonts w:ascii="Times New Roman" w:eastAsiaTheme="majorEastAsia" w:hAnsi="Times New Roman" w:cstheme="majorBidi"/>
      <w:sz w:val="24"/>
      <w:u w:val="single"/>
    </w:rPr>
  </w:style>
  <w:style w:type="paragraph" w:customStyle="1" w:styleId="Default">
    <w:name w:val="Default"/>
    <w:uiPriority w:val="99"/>
    <w:pPr>
      <w:autoSpaceDE w:val="0"/>
      <w:autoSpaceDN w:val="0"/>
      <w:adjustRightInd w:val="0"/>
      <w:spacing w:after="0" w:line="240" w:lineRule="auto"/>
    </w:pPr>
    <w:rPr>
      <w:rFonts w:eastAsiaTheme="minorHAnsi"/>
      <w:color w:val="000000"/>
      <w:sz w:val="24"/>
      <w:szCs w:val="24"/>
      <w:lang w:eastAsia="en-US"/>
    </w:rPr>
  </w:style>
  <w:style w:type="character" w:customStyle="1" w:styleId="apple-converted-space">
    <w:name w:val="apple-converted-space"/>
    <w:basedOn w:val="Liguvaikefont"/>
  </w:style>
  <w:style w:type="character" w:customStyle="1" w:styleId="AllmrkusetekstMrk">
    <w:name w:val="Allmärkuse tekst Märk"/>
    <w:aliases w:val="Allmärkuse tekst TNR 10 (A põhilaad) Märk"/>
    <w:basedOn w:val="Liguvaikefont"/>
    <w:link w:val="Allmrkusetekst"/>
    <w:uiPriority w:val="99"/>
    <w:qFormat/>
    <w:rPr>
      <w:rFonts w:ascii="Times New Roman" w:hAnsi="Times New Roman"/>
      <w:sz w:val="20"/>
      <w:szCs w:val="24"/>
    </w:rPr>
  </w:style>
  <w:style w:type="character" w:customStyle="1" w:styleId="WW8Num1z2">
    <w:name w:val="WW8Num1z2"/>
    <w:qFormat/>
    <w:rPr>
      <w:rFonts w:ascii="Wingdings" w:hAnsi="Wingdings"/>
    </w:rPr>
  </w:style>
  <w:style w:type="character" w:customStyle="1" w:styleId="DokumendiplaanMrk">
    <w:name w:val="Dokumendiplaan Märk"/>
    <w:basedOn w:val="Liguvaikefont"/>
    <w:link w:val="Dokumendiplaan"/>
    <w:uiPriority w:val="99"/>
    <w:semiHidden/>
    <w:qFormat/>
    <w:rPr>
      <w:rFonts w:ascii="Times New Roman" w:hAnsi="Times New Roman" w:cs="Times New Roman"/>
      <w:sz w:val="24"/>
      <w:szCs w:val="24"/>
    </w:rPr>
  </w:style>
  <w:style w:type="character" w:styleId="Kohatitetekst">
    <w:name w:val="Placeholder Text"/>
    <w:basedOn w:val="Liguvaikefont"/>
    <w:uiPriority w:val="99"/>
    <w:semiHidden/>
    <w:rPr>
      <w:color w:val="808080"/>
    </w:rPr>
  </w:style>
  <w:style w:type="paragraph" w:customStyle="1" w:styleId="Vaikimisi">
    <w:name w:val="Vaikimisi"/>
    <w:qFormat/>
    <w:pPr>
      <w:widowControl w:val="0"/>
      <w:autoSpaceDE w:val="0"/>
      <w:autoSpaceDN w:val="0"/>
      <w:adjustRightInd w:val="0"/>
      <w:spacing w:after="0" w:line="240" w:lineRule="auto"/>
    </w:pPr>
    <w:rPr>
      <w:rFonts w:eastAsia="Times New Roman" w:hAnsi="Lucida Sans Unicode"/>
      <w:kern w:val="1"/>
      <w:sz w:val="24"/>
      <w:szCs w:val="24"/>
      <w:lang w:eastAsia="zh-CN" w:bidi="hi-IN"/>
    </w:rPr>
  </w:style>
  <w:style w:type="paragraph" w:customStyle="1" w:styleId="Standard">
    <w:name w:val="Standard"/>
    <w:qFormat/>
    <w:pPr>
      <w:widowControl w:val="0"/>
      <w:suppressAutoHyphens/>
      <w:autoSpaceDN w:val="0"/>
      <w:spacing w:after="0" w:line="240" w:lineRule="auto"/>
      <w:textAlignment w:val="baseline"/>
    </w:pPr>
    <w:rPr>
      <w:rFonts w:eastAsia="Arial Unicode MS" w:cs="Tahoma"/>
      <w:kern w:val="3"/>
      <w:sz w:val="24"/>
      <w:szCs w:val="24"/>
    </w:rPr>
  </w:style>
  <w:style w:type="paragraph" w:styleId="Pealkiri">
    <w:name w:val="Title"/>
    <w:basedOn w:val="Normaallaad"/>
    <w:next w:val="Normaallaad"/>
    <w:link w:val="PealkiriMrk"/>
    <w:uiPriority w:val="10"/>
    <w:qFormat/>
    <w:rsid w:val="00233C3D"/>
    <w:pPr>
      <w:contextualSpacing/>
      <w:jc w:val="left"/>
    </w:pPr>
    <w:rPr>
      <w:rFonts w:asciiTheme="majorHAnsi" w:eastAsiaTheme="majorEastAsia" w:hAnsiTheme="majorHAnsi" w:cstheme="majorBidi"/>
      <w:noProof/>
      <w:spacing w:val="-10"/>
      <w:kern w:val="28"/>
      <w:sz w:val="56"/>
      <w:szCs w:val="56"/>
    </w:rPr>
  </w:style>
  <w:style w:type="character" w:customStyle="1" w:styleId="PealkiriMrk">
    <w:name w:val="Pealkiri Märk"/>
    <w:basedOn w:val="Liguvaikefont"/>
    <w:link w:val="Pealkiri"/>
    <w:uiPriority w:val="10"/>
    <w:rsid w:val="00233C3D"/>
    <w:rPr>
      <w:rFonts w:asciiTheme="majorHAnsi" w:eastAsiaTheme="majorEastAsia" w:hAnsiTheme="majorHAnsi" w:cstheme="majorBidi"/>
      <w:noProof/>
      <w:spacing w:val="-10"/>
      <w:kern w:val="28"/>
      <w:sz w:val="56"/>
      <w:szCs w:val="56"/>
      <w:lang w:eastAsia="en-US"/>
    </w:rPr>
  </w:style>
  <w:style w:type="paragraph" w:customStyle="1" w:styleId="Normaallaad1">
    <w:name w:val="Normaallaad1"/>
    <w:basedOn w:val="Normaallaad"/>
    <w:rsid w:val="00E3117D"/>
    <w:pPr>
      <w:spacing w:before="100" w:beforeAutospacing="1" w:after="100" w:afterAutospacing="1"/>
      <w:jc w:val="left"/>
    </w:pPr>
    <w:rPr>
      <w:rFonts w:eastAsia="Times New Roman" w:cs="Times New Roman"/>
      <w:szCs w:val="24"/>
      <w:lang w:eastAsia="et-EE"/>
    </w:rPr>
  </w:style>
  <w:style w:type="character" w:customStyle="1" w:styleId="sub">
    <w:name w:val="sub"/>
    <w:basedOn w:val="Liguvaikefont"/>
    <w:rsid w:val="00E3117D"/>
  </w:style>
  <w:style w:type="paragraph" w:customStyle="1" w:styleId="Normaallaad2">
    <w:name w:val="Normaallaad2"/>
    <w:basedOn w:val="Normaallaad"/>
    <w:rsid w:val="00D960C8"/>
    <w:pPr>
      <w:spacing w:before="100" w:beforeAutospacing="1" w:after="100" w:afterAutospacing="1"/>
      <w:jc w:val="left"/>
    </w:pPr>
    <w:rPr>
      <w:rFonts w:eastAsia="Times New Roman" w:cs="Times New Roman"/>
      <w:szCs w:val="24"/>
      <w:lang w:eastAsia="et-EE"/>
    </w:rPr>
  </w:style>
  <w:style w:type="paragraph" w:styleId="Redaktsioon">
    <w:name w:val="Revision"/>
    <w:hidden/>
    <w:uiPriority w:val="99"/>
    <w:semiHidden/>
    <w:rsid w:val="00602BB0"/>
    <w:pPr>
      <w:spacing w:after="0" w:line="240" w:lineRule="auto"/>
    </w:pPr>
    <w:rPr>
      <w:rFonts w:eastAsiaTheme="minorHAnsi" w:cstheme="minorBidi"/>
      <w:sz w:val="24"/>
      <w:szCs w:val="22"/>
      <w:lang w:eastAsia="en-US"/>
    </w:rPr>
  </w:style>
  <w:style w:type="character" w:styleId="Lahendamatamainimine">
    <w:name w:val="Unresolved Mention"/>
    <w:basedOn w:val="Liguvaikefont"/>
    <w:uiPriority w:val="99"/>
    <w:semiHidden/>
    <w:unhideWhenUsed/>
    <w:rsid w:val="00903AB4"/>
    <w:rPr>
      <w:color w:val="605E5C"/>
      <w:shd w:val="clear" w:color="auto" w:fill="E1DFDD"/>
    </w:rPr>
  </w:style>
  <w:style w:type="paragraph" w:styleId="Pealdis">
    <w:name w:val="caption"/>
    <w:basedOn w:val="Normaallaad"/>
    <w:next w:val="Normaallaad"/>
    <w:uiPriority w:val="35"/>
    <w:unhideWhenUsed/>
    <w:qFormat/>
    <w:rsid w:val="003A42CD"/>
    <w:pPr>
      <w:spacing w:after="200"/>
      <w:jc w:val="left"/>
    </w:pPr>
    <w:rPr>
      <w:rFonts w:asciiTheme="minorHAnsi" w:hAnsiTheme="minorHAnsi"/>
      <w:i/>
      <w:iCs/>
      <w:color w:val="1F497D" w:themeColor="text2"/>
      <w:sz w:val="18"/>
      <w:szCs w:val="18"/>
      <w14:ligatures w14:val="standardContextual"/>
    </w:rPr>
  </w:style>
  <w:style w:type="character" w:styleId="Mainimine">
    <w:name w:val="Mention"/>
    <w:basedOn w:val="Liguvaikefont"/>
    <w:uiPriority w:val="99"/>
    <w:unhideWhenUsed/>
    <w:rsid w:val="000B374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9220">
      <w:bodyDiv w:val="1"/>
      <w:marLeft w:val="0"/>
      <w:marRight w:val="0"/>
      <w:marTop w:val="0"/>
      <w:marBottom w:val="0"/>
      <w:divBdr>
        <w:top w:val="none" w:sz="0" w:space="0" w:color="auto"/>
        <w:left w:val="none" w:sz="0" w:space="0" w:color="auto"/>
        <w:bottom w:val="none" w:sz="0" w:space="0" w:color="auto"/>
        <w:right w:val="none" w:sz="0" w:space="0" w:color="auto"/>
      </w:divBdr>
    </w:div>
    <w:div w:id="185291352">
      <w:bodyDiv w:val="1"/>
      <w:marLeft w:val="0"/>
      <w:marRight w:val="0"/>
      <w:marTop w:val="0"/>
      <w:marBottom w:val="0"/>
      <w:divBdr>
        <w:top w:val="none" w:sz="0" w:space="0" w:color="auto"/>
        <w:left w:val="none" w:sz="0" w:space="0" w:color="auto"/>
        <w:bottom w:val="none" w:sz="0" w:space="0" w:color="auto"/>
        <w:right w:val="none" w:sz="0" w:space="0" w:color="auto"/>
      </w:divBdr>
    </w:div>
    <w:div w:id="231819467">
      <w:bodyDiv w:val="1"/>
      <w:marLeft w:val="0"/>
      <w:marRight w:val="0"/>
      <w:marTop w:val="0"/>
      <w:marBottom w:val="0"/>
      <w:divBdr>
        <w:top w:val="none" w:sz="0" w:space="0" w:color="auto"/>
        <w:left w:val="none" w:sz="0" w:space="0" w:color="auto"/>
        <w:bottom w:val="none" w:sz="0" w:space="0" w:color="auto"/>
        <w:right w:val="none" w:sz="0" w:space="0" w:color="auto"/>
      </w:divBdr>
    </w:div>
    <w:div w:id="271861224">
      <w:bodyDiv w:val="1"/>
      <w:marLeft w:val="0"/>
      <w:marRight w:val="0"/>
      <w:marTop w:val="0"/>
      <w:marBottom w:val="0"/>
      <w:divBdr>
        <w:top w:val="none" w:sz="0" w:space="0" w:color="auto"/>
        <w:left w:val="none" w:sz="0" w:space="0" w:color="auto"/>
        <w:bottom w:val="none" w:sz="0" w:space="0" w:color="auto"/>
        <w:right w:val="none" w:sz="0" w:space="0" w:color="auto"/>
      </w:divBdr>
    </w:div>
    <w:div w:id="280692155">
      <w:bodyDiv w:val="1"/>
      <w:marLeft w:val="0"/>
      <w:marRight w:val="0"/>
      <w:marTop w:val="0"/>
      <w:marBottom w:val="0"/>
      <w:divBdr>
        <w:top w:val="none" w:sz="0" w:space="0" w:color="auto"/>
        <w:left w:val="none" w:sz="0" w:space="0" w:color="auto"/>
        <w:bottom w:val="none" w:sz="0" w:space="0" w:color="auto"/>
        <w:right w:val="none" w:sz="0" w:space="0" w:color="auto"/>
      </w:divBdr>
    </w:div>
    <w:div w:id="402798287">
      <w:bodyDiv w:val="1"/>
      <w:marLeft w:val="0"/>
      <w:marRight w:val="0"/>
      <w:marTop w:val="0"/>
      <w:marBottom w:val="0"/>
      <w:divBdr>
        <w:top w:val="none" w:sz="0" w:space="0" w:color="auto"/>
        <w:left w:val="none" w:sz="0" w:space="0" w:color="auto"/>
        <w:bottom w:val="none" w:sz="0" w:space="0" w:color="auto"/>
        <w:right w:val="none" w:sz="0" w:space="0" w:color="auto"/>
      </w:divBdr>
    </w:div>
    <w:div w:id="434593106">
      <w:bodyDiv w:val="1"/>
      <w:marLeft w:val="0"/>
      <w:marRight w:val="0"/>
      <w:marTop w:val="0"/>
      <w:marBottom w:val="0"/>
      <w:divBdr>
        <w:top w:val="none" w:sz="0" w:space="0" w:color="auto"/>
        <w:left w:val="none" w:sz="0" w:space="0" w:color="auto"/>
        <w:bottom w:val="none" w:sz="0" w:space="0" w:color="auto"/>
        <w:right w:val="none" w:sz="0" w:space="0" w:color="auto"/>
      </w:divBdr>
    </w:div>
    <w:div w:id="543642630">
      <w:bodyDiv w:val="1"/>
      <w:marLeft w:val="0"/>
      <w:marRight w:val="0"/>
      <w:marTop w:val="0"/>
      <w:marBottom w:val="0"/>
      <w:divBdr>
        <w:top w:val="none" w:sz="0" w:space="0" w:color="auto"/>
        <w:left w:val="none" w:sz="0" w:space="0" w:color="auto"/>
        <w:bottom w:val="none" w:sz="0" w:space="0" w:color="auto"/>
        <w:right w:val="none" w:sz="0" w:space="0" w:color="auto"/>
      </w:divBdr>
    </w:div>
    <w:div w:id="570580256">
      <w:bodyDiv w:val="1"/>
      <w:marLeft w:val="0"/>
      <w:marRight w:val="0"/>
      <w:marTop w:val="0"/>
      <w:marBottom w:val="0"/>
      <w:divBdr>
        <w:top w:val="none" w:sz="0" w:space="0" w:color="auto"/>
        <w:left w:val="none" w:sz="0" w:space="0" w:color="auto"/>
        <w:bottom w:val="none" w:sz="0" w:space="0" w:color="auto"/>
        <w:right w:val="none" w:sz="0" w:space="0" w:color="auto"/>
      </w:divBdr>
    </w:div>
    <w:div w:id="625082678">
      <w:bodyDiv w:val="1"/>
      <w:marLeft w:val="0"/>
      <w:marRight w:val="0"/>
      <w:marTop w:val="0"/>
      <w:marBottom w:val="0"/>
      <w:divBdr>
        <w:top w:val="none" w:sz="0" w:space="0" w:color="auto"/>
        <w:left w:val="none" w:sz="0" w:space="0" w:color="auto"/>
        <w:bottom w:val="none" w:sz="0" w:space="0" w:color="auto"/>
        <w:right w:val="none" w:sz="0" w:space="0" w:color="auto"/>
      </w:divBdr>
    </w:div>
    <w:div w:id="672494174">
      <w:bodyDiv w:val="1"/>
      <w:marLeft w:val="0"/>
      <w:marRight w:val="0"/>
      <w:marTop w:val="0"/>
      <w:marBottom w:val="0"/>
      <w:divBdr>
        <w:top w:val="none" w:sz="0" w:space="0" w:color="auto"/>
        <w:left w:val="none" w:sz="0" w:space="0" w:color="auto"/>
        <w:bottom w:val="none" w:sz="0" w:space="0" w:color="auto"/>
        <w:right w:val="none" w:sz="0" w:space="0" w:color="auto"/>
      </w:divBdr>
      <w:divsChild>
        <w:div w:id="297732576">
          <w:marLeft w:val="0"/>
          <w:marRight w:val="0"/>
          <w:marTop w:val="0"/>
          <w:marBottom w:val="0"/>
          <w:divBdr>
            <w:top w:val="none" w:sz="0" w:space="0" w:color="auto"/>
            <w:left w:val="none" w:sz="0" w:space="0" w:color="auto"/>
            <w:bottom w:val="none" w:sz="0" w:space="0" w:color="auto"/>
            <w:right w:val="none" w:sz="0" w:space="0" w:color="auto"/>
          </w:divBdr>
        </w:div>
        <w:div w:id="457145927">
          <w:marLeft w:val="0"/>
          <w:marRight w:val="0"/>
          <w:marTop w:val="0"/>
          <w:marBottom w:val="0"/>
          <w:divBdr>
            <w:top w:val="none" w:sz="0" w:space="0" w:color="auto"/>
            <w:left w:val="none" w:sz="0" w:space="0" w:color="auto"/>
            <w:bottom w:val="none" w:sz="0" w:space="0" w:color="auto"/>
            <w:right w:val="none" w:sz="0" w:space="0" w:color="auto"/>
          </w:divBdr>
        </w:div>
        <w:div w:id="498154909">
          <w:marLeft w:val="0"/>
          <w:marRight w:val="0"/>
          <w:marTop w:val="0"/>
          <w:marBottom w:val="0"/>
          <w:divBdr>
            <w:top w:val="none" w:sz="0" w:space="0" w:color="auto"/>
            <w:left w:val="none" w:sz="0" w:space="0" w:color="auto"/>
            <w:bottom w:val="none" w:sz="0" w:space="0" w:color="auto"/>
            <w:right w:val="none" w:sz="0" w:space="0" w:color="auto"/>
          </w:divBdr>
          <w:divsChild>
            <w:div w:id="281376609">
              <w:marLeft w:val="0"/>
              <w:marRight w:val="0"/>
              <w:marTop w:val="0"/>
              <w:marBottom w:val="0"/>
              <w:divBdr>
                <w:top w:val="none" w:sz="0" w:space="0" w:color="auto"/>
                <w:left w:val="none" w:sz="0" w:space="0" w:color="auto"/>
                <w:bottom w:val="none" w:sz="0" w:space="0" w:color="auto"/>
                <w:right w:val="none" w:sz="0" w:space="0" w:color="auto"/>
              </w:divBdr>
            </w:div>
            <w:div w:id="320625479">
              <w:marLeft w:val="0"/>
              <w:marRight w:val="0"/>
              <w:marTop w:val="0"/>
              <w:marBottom w:val="0"/>
              <w:divBdr>
                <w:top w:val="none" w:sz="0" w:space="0" w:color="auto"/>
                <w:left w:val="none" w:sz="0" w:space="0" w:color="auto"/>
                <w:bottom w:val="none" w:sz="0" w:space="0" w:color="auto"/>
                <w:right w:val="none" w:sz="0" w:space="0" w:color="auto"/>
              </w:divBdr>
            </w:div>
            <w:div w:id="392703688">
              <w:marLeft w:val="0"/>
              <w:marRight w:val="0"/>
              <w:marTop w:val="0"/>
              <w:marBottom w:val="0"/>
              <w:divBdr>
                <w:top w:val="none" w:sz="0" w:space="0" w:color="auto"/>
                <w:left w:val="none" w:sz="0" w:space="0" w:color="auto"/>
                <w:bottom w:val="none" w:sz="0" w:space="0" w:color="auto"/>
                <w:right w:val="none" w:sz="0" w:space="0" w:color="auto"/>
              </w:divBdr>
            </w:div>
            <w:div w:id="399206741">
              <w:marLeft w:val="0"/>
              <w:marRight w:val="0"/>
              <w:marTop w:val="0"/>
              <w:marBottom w:val="0"/>
              <w:divBdr>
                <w:top w:val="none" w:sz="0" w:space="0" w:color="auto"/>
                <w:left w:val="none" w:sz="0" w:space="0" w:color="auto"/>
                <w:bottom w:val="none" w:sz="0" w:space="0" w:color="auto"/>
                <w:right w:val="none" w:sz="0" w:space="0" w:color="auto"/>
              </w:divBdr>
            </w:div>
            <w:div w:id="598870570">
              <w:marLeft w:val="0"/>
              <w:marRight w:val="0"/>
              <w:marTop w:val="0"/>
              <w:marBottom w:val="0"/>
              <w:divBdr>
                <w:top w:val="none" w:sz="0" w:space="0" w:color="auto"/>
                <w:left w:val="none" w:sz="0" w:space="0" w:color="auto"/>
                <w:bottom w:val="none" w:sz="0" w:space="0" w:color="auto"/>
                <w:right w:val="none" w:sz="0" w:space="0" w:color="auto"/>
              </w:divBdr>
            </w:div>
            <w:div w:id="698358136">
              <w:marLeft w:val="0"/>
              <w:marRight w:val="0"/>
              <w:marTop w:val="0"/>
              <w:marBottom w:val="0"/>
              <w:divBdr>
                <w:top w:val="none" w:sz="0" w:space="0" w:color="auto"/>
                <w:left w:val="none" w:sz="0" w:space="0" w:color="auto"/>
                <w:bottom w:val="none" w:sz="0" w:space="0" w:color="auto"/>
                <w:right w:val="none" w:sz="0" w:space="0" w:color="auto"/>
              </w:divBdr>
            </w:div>
            <w:div w:id="712728308">
              <w:marLeft w:val="0"/>
              <w:marRight w:val="0"/>
              <w:marTop w:val="0"/>
              <w:marBottom w:val="0"/>
              <w:divBdr>
                <w:top w:val="none" w:sz="0" w:space="0" w:color="auto"/>
                <w:left w:val="none" w:sz="0" w:space="0" w:color="auto"/>
                <w:bottom w:val="none" w:sz="0" w:space="0" w:color="auto"/>
                <w:right w:val="none" w:sz="0" w:space="0" w:color="auto"/>
              </w:divBdr>
            </w:div>
            <w:div w:id="1116946907">
              <w:marLeft w:val="0"/>
              <w:marRight w:val="0"/>
              <w:marTop w:val="0"/>
              <w:marBottom w:val="0"/>
              <w:divBdr>
                <w:top w:val="none" w:sz="0" w:space="0" w:color="auto"/>
                <w:left w:val="none" w:sz="0" w:space="0" w:color="auto"/>
                <w:bottom w:val="none" w:sz="0" w:space="0" w:color="auto"/>
                <w:right w:val="none" w:sz="0" w:space="0" w:color="auto"/>
              </w:divBdr>
            </w:div>
            <w:div w:id="1164857233">
              <w:marLeft w:val="0"/>
              <w:marRight w:val="0"/>
              <w:marTop w:val="0"/>
              <w:marBottom w:val="0"/>
              <w:divBdr>
                <w:top w:val="none" w:sz="0" w:space="0" w:color="auto"/>
                <w:left w:val="none" w:sz="0" w:space="0" w:color="auto"/>
                <w:bottom w:val="none" w:sz="0" w:space="0" w:color="auto"/>
                <w:right w:val="none" w:sz="0" w:space="0" w:color="auto"/>
              </w:divBdr>
            </w:div>
            <w:div w:id="1180700936">
              <w:marLeft w:val="0"/>
              <w:marRight w:val="0"/>
              <w:marTop w:val="0"/>
              <w:marBottom w:val="0"/>
              <w:divBdr>
                <w:top w:val="none" w:sz="0" w:space="0" w:color="auto"/>
                <w:left w:val="none" w:sz="0" w:space="0" w:color="auto"/>
                <w:bottom w:val="none" w:sz="0" w:space="0" w:color="auto"/>
                <w:right w:val="none" w:sz="0" w:space="0" w:color="auto"/>
              </w:divBdr>
            </w:div>
            <w:div w:id="1227108805">
              <w:marLeft w:val="0"/>
              <w:marRight w:val="0"/>
              <w:marTop w:val="0"/>
              <w:marBottom w:val="0"/>
              <w:divBdr>
                <w:top w:val="none" w:sz="0" w:space="0" w:color="auto"/>
                <w:left w:val="none" w:sz="0" w:space="0" w:color="auto"/>
                <w:bottom w:val="none" w:sz="0" w:space="0" w:color="auto"/>
                <w:right w:val="none" w:sz="0" w:space="0" w:color="auto"/>
              </w:divBdr>
            </w:div>
            <w:div w:id="1303466523">
              <w:marLeft w:val="0"/>
              <w:marRight w:val="0"/>
              <w:marTop w:val="0"/>
              <w:marBottom w:val="0"/>
              <w:divBdr>
                <w:top w:val="none" w:sz="0" w:space="0" w:color="auto"/>
                <w:left w:val="none" w:sz="0" w:space="0" w:color="auto"/>
                <w:bottom w:val="none" w:sz="0" w:space="0" w:color="auto"/>
                <w:right w:val="none" w:sz="0" w:space="0" w:color="auto"/>
              </w:divBdr>
            </w:div>
            <w:div w:id="1362825915">
              <w:marLeft w:val="0"/>
              <w:marRight w:val="0"/>
              <w:marTop w:val="0"/>
              <w:marBottom w:val="0"/>
              <w:divBdr>
                <w:top w:val="none" w:sz="0" w:space="0" w:color="auto"/>
                <w:left w:val="none" w:sz="0" w:space="0" w:color="auto"/>
                <w:bottom w:val="none" w:sz="0" w:space="0" w:color="auto"/>
                <w:right w:val="none" w:sz="0" w:space="0" w:color="auto"/>
              </w:divBdr>
            </w:div>
            <w:div w:id="1577322690">
              <w:marLeft w:val="0"/>
              <w:marRight w:val="0"/>
              <w:marTop w:val="0"/>
              <w:marBottom w:val="0"/>
              <w:divBdr>
                <w:top w:val="none" w:sz="0" w:space="0" w:color="auto"/>
                <w:left w:val="none" w:sz="0" w:space="0" w:color="auto"/>
                <w:bottom w:val="none" w:sz="0" w:space="0" w:color="auto"/>
                <w:right w:val="none" w:sz="0" w:space="0" w:color="auto"/>
              </w:divBdr>
            </w:div>
            <w:div w:id="1661956766">
              <w:marLeft w:val="0"/>
              <w:marRight w:val="0"/>
              <w:marTop w:val="0"/>
              <w:marBottom w:val="0"/>
              <w:divBdr>
                <w:top w:val="none" w:sz="0" w:space="0" w:color="auto"/>
                <w:left w:val="none" w:sz="0" w:space="0" w:color="auto"/>
                <w:bottom w:val="none" w:sz="0" w:space="0" w:color="auto"/>
                <w:right w:val="none" w:sz="0" w:space="0" w:color="auto"/>
              </w:divBdr>
            </w:div>
            <w:div w:id="1702586523">
              <w:marLeft w:val="0"/>
              <w:marRight w:val="0"/>
              <w:marTop w:val="0"/>
              <w:marBottom w:val="0"/>
              <w:divBdr>
                <w:top w:val="none" w:sz="0" w:space="0" w:color="auto"/>
                <w:left w:val="none" w:sz="0" w:space="0" w:color="auto"/>
                <w:bottom w:val="none" w:sz="0" w:space="0" w:color="auto"/>
                <w:right w:val="none" w:sz="0" w:space="0" w:color="auto"/>
              </w:divBdr>
            </w:div>
            <w:div w:id="1709526075">
              <w:marLeft w:val="0"/>
              <w:marRight w:val="0"/>
              <w:marTop w:val="0"/>
              <w:marBottom w:val="0"/>
              <w:divBdr>
                <w:top w:val="none" w:sz="0" w:space="0" w:color="auto"/>
                <w:left w:val="none" w:sz="0" w:space="0" w:color="auto"/>
                <w:bottom w:val="none" w:sz="0" w:space="0" w:color="auto"/>
                <w:right w:val="none" w:sz="0" w:space="0" w:color="auto"/>
              </w:divBdr>
            </w:div>
            <w:div w:id="1761170864">
              <w:marLeft w:val="0"/>
              <w:marRight w:val="0"/>
              <w:marTop w:val="0"/>
              <w:marBottom w:val="0"/>
              <w:divBdr>
                <w:top w:val="none" w:sz="0" w:space="0" w:color="auto"/>
                <w:left w:val="none" w:sz="0" w:space="0" w:color="auto"/>
                <w:bottom w:val="none" w:sz="0" w:space="0" w:color="auto"/>
                <w:right w:val="none" w:sz="0" w:space="0" w:color="auto"/>
              </w:divBdr>
            </w:div>
            <w:div w:id="1929921445">
              <w:marLeft w:val="0"/>
              <w:marRight w:val="0"/>
              <w:marTop w:val="0"/>
              <w:marBottom w:val="0"/>
              <w:divBdr>
                <w:top w:val="none" w:sz="0" w:space="0" w:color="auto"/>
                <w:left w:val="none" w:sz="0" w:space="0" w:color="auto"/>
                <w:bottom w:val="none" w:sz="0" w:space="0" w:color="auto"/>
                <w:right w:val="none" w:sz="0" w:space="0" w:color="auto"/>
              </w:divBdr>
            </w:div>
            <w:div w:id="1969629348">
              <w:marLeft w:val="0"/>
              <w:marRight w:val="0"/>
              <w:marTop w:val="0"/>
              <w:marBottom w:val="0"/>
              <w:divBdr>
                <w:top w:val="none" w:sz="0" w:space="0" w:color="auto"/>
                <w:left w:val="none" w:sz="0" w:space="0" w:color="auto"/>
                <w:bottom w:val="none" w:sz="0" w:space="0" w:color="auto"/>
                <w:right w:val="none" w:sz="0" w:space="0" w:color="auto"/>
              </w:divBdr>
            </w:div>
          </w:divsChild>
        </w:div>
        <w:div w:id="564075346">
          <w:marLeft w:val="0"/>
          <w:marRight w:val="0"/>
          <w:marTop w:val="0"/>
          <w:marBottom w:val="0"/>
          <w:divBdr>
            <w:top w:val="none" w:sz="0" w:space="0" w:color="auto"/>
            <w:left w:val="none" w:sz="0" w:space="0" w:color="auto"/>
            <w:bottom w:val="none" w:sz="0" w:space="0" w:color="auto"/>
            <w:right w:val="none" w:sz="0" w:space="0" w:color="auto"/>
          </w:divBdr>
        </w:div>
        <w:div w:id="596257074">
          <w:marLeft w:val="0"/>
          <w:marRight w:val="0"/>
          <w:marTop w:val="0"/>
          <w:marBottom w:val="0"/>
          <w:divBdr>
            <w:top w:val="none" w:sz="0" w:space="0" w:color="auto"/>
            <w:left w:val="none" w:sz="0" w:space="0" w:color="auto"/>
            <w:bottom w:val="none" w:sz="0" w:space="0" w:color="auto"/>
            <w:right w:val="none" w:sz="0" w:space="0" w:color="auto"/>
          </w:divBdr>
        </w:div>
        <w:div w:id="731850680">
          <w:marLeft w:val="0"/>
          <w:marRight w:val="0"/>
          <w:marTop w:val="0"/>
          <w:marBottom w:val="0"/>
          <w:divBdr>
            <w:top w:val="none" w:sz="0" w:space="0" w:color="auto"/>
            <w:left w:val="none" w:sz="0" w:space="0" w:color="auto"/>
            <w:bottom w:val="none" w:sz="0" w:space="0" w:color="auto"/>
            <w:right w:val="none" w:sz="0" w:space="0" w:color="auto"/>
          </w:divBdr>
        </w:div>
        <w:div w:id="817383948">
          <w:marLeft w:val="0"/>
          <w:marRight w:val="0"/>
          <w:marTop w:val="0"/>
          <w:marBottom w:val="0"/>
          <w:divBdr>
            <w:top w:val="none" w:sz="0" w:space="0" w:color="auto"/>
            <w:left w:val="none" w:sz="0" w:space="0" w:color="auto"/>
            <w:bottom w:val="none" w:sz="0" w:space="0" w:color="auto"/>
            <w:right w:val="none" w:sz="0" w:space="0" w:color="auto"/>
          </w:divBdr>
          <w:divsChild>
            <w:div w:id="467629612">
              <w:marLeft w:val="-75"/>
              <w:marRight w:val="0"/>
              <w:marTop w:val="30"/>
              <w:marBottom w:val="30"/>
              <w:divBdr>
                <w:top w:val="none" w:sz="0" w:space="0" w:color="auto"/>
                <w:left w:val="none" w:sz="0" w:space="0" w:color="auto"/>
                <w:bottom w:val="none" w:sz="0" w:space="0" w:color="auto"/>
                <w:right w:val="none" w:sz="0" w:space="0" w:color="auto"/>
              </w:divBdr>
              <w:divsChild>
                <w:div w:id="199828982">
                  <w:marLeft w:val="0"/>
                  <w:marRight w:val="0"/>
                  <w:marTop w:val="0"/>
                  <w:marBottom w:val="0"/>
                  <w:divBdr>
                    <w:top w:val="none" w:sz="0" w:space="0" w:color="auto"/>
                    <w:left w:val="none" w:sz="0" w:space="0" w:color="auto"/>
                    <w:bottom w:val="none" w:sz="0" w:space="0" w:color="auto"/>
                    <w:right w:val="none" w:sz="0" w:space="0" w:color="auto"/>
                  </w:divBdr>
                  <w:divsChild>
                    <w:div w:id="1870558577">
                      <w:marLeft w:val="0"/>
                      <w:marRight w:val="0"/>
                      <w:marTop w:val="0"/>
                      <w:marBottom w:val="0"/>
                      <w:divBdr>
                        <w:top w:val="none" w:sz="0" w:space="0" w:color="auto"/>
                        <w:left w:val="none" w:sz="0" w:space="0" w:color="auto"/>
                        <w:bottom w:val="none" w:sz="0" w:space="0" w:color="auto"/>
                        <w:right w:val="none" w:sz="0" w:space="0" w:color="auto"/>
                      </w:divBdr>
                    </w:div>
                  </w:divsChild>
                </w:div>
                <w:div w:id="239294843">
                  <w:marLeft w:val="0"/>
                  <w:marRight w:val="0"/>
                  <w:marTop w:val="0"/>
                  <w:marBottom w:val="0"/>
                  <w:divBdr>
                    <w:top w:val="none" w:sz="0" w:space="0" w:color="auto"/>
                    <w:left w:val="none" w:sz="0" w:space="0" w:color="auto"/>
                    <w:bottom w:val="none" w:sz="0" w:space="0" w:color="auto"/>
                    <w:right w:val="none" w:sz="0" w:space="0" w:color="auto"/>
                  </w:divBdr>
                  <w:divsChild>
                    <w:div w:id="1196389628">
                      <w:marLeft w:val="0"/>
                      <w:marRight w:val="0"/>
                      <w:marTop w:val="0"/>
                      <w:marBottom w:val="0"/>
                      <w:divBdr>
                        <w:top w:val="none" w:sz="0" w:space="0" w:color="auto"/>
                        <w:left w:val="none" w:sz="0" w:space="0" w:color="auto"/>
                        <w:bottom w:val="none" w:sz="0" w:space="0" w:color="auto"/>
                        <w:right w:val="none" w:sz="0" w:space="0" w:color="auto"/>
                      </w:divBdr>
                    </w:div>
                  </w:divsChild>
                </w:div>
                <w:div w:id="270163022">
                  <w:marLeft w:val="0"/>
                  <w:marRight w:val="0"/>
                  <w:marTop w:val="0"/>
                  <w:marBottom w:val="0"/>
                  <w:divBdr>
                    <w:top w:val="none" w:sz="0" w:space="0" w:color="auto"/>
                    <w:left w:val="none" w:sz="0" w:space="0" w:color="auto"/>
                    <w:bottom w:val="none" w:sz="0" w:space="0" w:color="auto"/>
                    <w:right w:val="none" w:sz="0" w:space="0" w:color="auto"/>
                  </w:divBdr>
                  <w:divsChild>
                    <w:div w:id="387144354">
                      <w:marLeft w:val="0"/>
                      <w:marRight w:val="0"/>
                      <w:marTop w:val="0"/>
                      <w:marBottom w:val="0"/>
                      <w:divBdr>
                        <w:top w:val="none" w:sz="0" w:space="0" w:color="auto"/>
                        <w:left w:val="none" w:sz="0" w:space="0" w:color="auto"/>
                        <w:bottom w:val="none" w:sz="0" w:space="0" w:color="auto"/>
                        <w:right w:val="none" w:sz="0" w:space="0" w:color="auto"/>
                      </w:divBdr>
                    </w:div>
                  </w:divsChild>
                </w:div>
                <w:div w:id="616061354">
                  <w:marLeft w:val="0"/>
                  <w:marRight w:val="0"/>
                  <w:marTop w:val="0"/>
                  <w:marBottom w:val="0"/>
                  <w:divBdr>
                    <w:top w:val="none" w:sz="0" w:space="0" w:color="auto"/>
                    <w:left w:val="none" w:sz="0" w:space="0" w:color="auto"/>
                    <w:bottom w:val="none" w:sz="0" w:space="0" w:color="auto"/>
                    <w:right w:val="none" w:sz="0" w:space="0" w:color="auto"/>
                  </w:divBdr>
                  <w:divsChild>
                    <w:div w:id="1404523233">
                      <w:marLeft w:val="0"/>
                      <w:marRight w:val="0"/>
                      <w:marTop w:val="0"/>
                      <w:marBottom w:val="0"/>
                      <w:divBdr>
                        <w:top w:val="none" w:sz="0" w:space="0" w:color="auto"/>
                        <w:left w:val="none" w:sz="0" w:space="0" w:color="auto"/>
                        <w:bottom w:val="none" w:sz="0" w:space="0" w:color="auto"/>
                        <w:right w:val="none" w:sz="0" w:space="0" w:color="auto"/>
                      </w:divBdr>
                    </w:div>
                  </w:divsChild>
                </w:div>
                <w:div w:id="903490655">
                  <w:marLeft w:val="0"/>
                  <w:marRight w:val="0"/>
                  <w:marTop w:val="0"/>
                  <w:marBottom w:val="0"/>
                  <w:divBdr>
                    <w:top w:val="none" w:sz="0" w:space="0" w:color="auto"/>
                    <w:left w:val="none" w:sz="0" w:space="0" w:color="auto"/>
                    <w:bottom w:val="none" w:sz="0" w:space="0" w:color="auto"/>
                    <w:right w:val="none" w:sz="0" w:space="0" w:color="auto"/>
                  </w:divBdr>
                  <w:divsChild>
                    <w:div w:id="1154418453">
                      <w:marLeft w:val="0"/>
                      <w:marRight w:val="0"/>
                      <w:marTop w:val="0"/>
                      <w:marBottom w:val="0"/>
                      <w:divBdr>
                        <w:top w:val="none" w:sz="0" w:space="0" w:color="auto"/>
                        <w:left w:val="none" w:sz="0" w:space="0" w:color="auto"/>
                        <w:bottom w:val="none" w:sz="0" w:space="0" w:color="auto"/>
                        <w:right w:val="none" w:sz="0" w:space="0" w:color="auto"/>
                      </w:divBdr>
                    </w:div>
                  </w:divsChild>
                </w:div>
                <w:div w:id="964774406">
                  <w:marLeft w:val="0"/>
                  <w:marRight w:val="0"/>
                  <w:marTop w:val="0"/>
                  <w:marBottom w:val="0"/>
                  <w:divBdr>
                    <w:top w:val="none" w:sz="0" w:space="0" w:color="auto"/>
                    <w:left w:val="none" w:sz="0" w:space="0" w:color="auto"/>
                    <w:bottom w:val="none" w:sz="0" w:space="0" w:color="auto"/>
                    <w:right w:val="none" w:sz="0" w:space="0" w:color="auto"/>
                  </w:divBdr>
                  <w:divsChild>
                    <w:div w:id="580867953">
                      <w:marLeft w:val="0"/>
                      <w:marRight w:val="0"/>
                      <w:marTop w:val="0"/>
                      <w:marBottom w:val="0"/>
                      <w:divBdr>
                        <w:top w:val="none" w:sz="0" w:space="0" w:color="auto"/>
                        <w:left w:val="none" w:sz="0" w:space="0" w:color="auto"/>
                        <w:bottom w:val="none" w:sz="0" w:space="0" w:color="auto"/>
                        <w:right w:val="none" w:sz="0" w:space="0" w:color="auto"/>
                      </w:divBdr>
                    </w:div>
                  </w:divsChild>
                </w:div>
                <w:div w:id="1134104459">
                  <w:marLeft w:val="0"/>
                  <w:marRight w:val="0"/>
                  <w:marTop w:val="0"/>
                  <w:marBottom w:val="0"/>
                  <w:divBdr>
                    <w:top w:val="none" w:sz="0" w:space="0" w:color="auto"/>
                    <w:left w:val="none" w:sz="0" w:space="0" w:color="auto"/>
                    <w:bottom w:val="none" w:sz="0" w:space="0" w:color="auto"/>
                    <w:right w:val="none" w:sz="0" w:space="0" w:color="auto"/>
                  </w:divBdr>
                  <w:divsChild>
                    <w:div w:id="1517379662">
                      <w:marLeft w:val="0"/>
                      <w:marRight w:val="0"/>
                      <w:marTop w:val="0"/>
                      <w:marBottom w:val="0"/>
                      <w:divBdr>
                        <w:top w:val="none" w:sz="0" w:space="0" w:color="auto"/>
                        <w:left w:val="none" w:sz="0" w:space="0" w:color="auto"/>
                        <w:bottom w:val="none" w:sz="0" w:space="0" w:color="auto"/>
                        <w:right w:val="none" w:sz="0" w:space="0" w:color="auto"/>
                      </w:divBdr>
                    </w:div>
                  </w:divsChild>
                </w:div>
                <w:div w:id="1278827356">
                  <w:marLeft w:val="0"/>
                  <w:marRight w:val="0"/>
                  <w:marTop w:val="0"/>
                  <w:marBottom w:val="0"/>
                  <w:divBdr>
                    <w:top w:val="none" w:sz="0" w:space="0" w:color="auto"/>
                    <w:left w:val="none" w:sz="0" w:space="0" w:color="auto"/>
                    <w:bottom w:val="none" w:sz="0" w:space="0" w:color="auto"/>
                    <w:right w:val="none" w:sz="0" w:space="0" w:color="auto"/>
                  </w:divBdr>
                  <w:divsChild>
                    <w:div w:id="144206030">
                      <w:marLeft w:val="0"/>
                      <w:marRight w:val="0"/>
                      <w:marTop w:val="0"/>
                      <w:marBottom w:val="0"/>
                      <w:divBdr>
                        <w:top w:val="none" w:sz="0" w:space="0" w:color="auto"/>
                        <w:left w:val="none" w:sz="0" w:space="0" w:color="auto"/>
                        <w:bottom w:val="none" w:sz="0" w:space="0" w:color="auto"/>
                        <w:right w:val="none" w:sz="0" w:space="0" w:color="auto"/>
                      </w:divBdr>
                    </w:div>
                  </w:divsChild>
                </w:div>
                <w:div w:id="1624533073">
                  <w:marLeft w:val="0"/>
                  <w:marRight w:val="0"/>
                  <w:marTop w:val="0"/>
                  <w:marBottom w:val="0"/>
                  <w:divBdr>
                    <w:top w:val="none" w:sz="0" w:space="0" w:color="auto"/>
                    <w:left w:val="none" w:sz="0" w:space="0" w:color="auto"/>
                    <w:bottom w:val="none" w:sz="0" w:space="0" w:color="auto"/>
                    <w:right w:val="none" w:sz="0" w:space="0" w:color="auto"/>
                  </w:divBdr>
                  <w:divsChild>
                    <w:div w:id="1340964749">
                      <w:marLeft w:val="0"/>
                      <w:marRight w:val="0"/>
                      <w:marTop w:val="0"/>
                      <w:marBottom w:val="0"/>
                      <w:divBdr>
                        <w:top w:val="none" w:sz="0" w:space="0" w:color="auto"/>
                        <w:left w:val="none" w:sz="0" w:space="0" w:color="auto"/>
                        <w:bottom w:val="none" w:sz="0" w:space="0" w:color="auto"/>
                        <w:right w:val="none" w:sz="0" w:space="0" w:color="auto"/>
                      </w:divBdr>
                    </w:div>
                  </w:divsChild>
                </w:div>
                <w:div w:id="1695963857">
                  <w:marLeft w:val="0"/>
                  <w:marRight w:val="0"/>
                  <w:marTop w:val="0"/>
                  <w:marBottom w:val="0"/>
                  <w:divBdr>
                    <w:top w:val="none" w:sz="0" w:space="0" w:color="auto"/>
                    <w:left w:val="none" w:sz="0" w:space="0" w:color="auto"/>
                    <w:bottom w:val="none" w:sz="0" w:space="0" w:color="auto"/>
                    <w:right w:val="none" w:sz="0" w:space="0" w:color="auto"/>
                  </w:divBdr>
                  <w:divsChild>
                    <w:div w:id="2031644455">
                      <w:marLeft w:val="0"/>
                      <w:marRight w:val="0"/>
                      <w:marTop w:val="0"/>
                      <w:marBottom w:val="0"/>
                      <w:divBdr>
                        <w:top w:val="none" w:sz="0" w:space="0" w:color="auto"/>
                        <w:left w:val="none" w:sz="0" w:space="0" w:color="auto"/>
                        <w:bottom w:val="none" w:sz="0" w:space="0" w:color="auto"/>
                        <w:right w:val="none" w:sz="0" w:space="0" w:color="auto"/>
                      </w:divBdr>
                    </w:div>
                  </w:divsChild>
                </w:div>
                <w:div w:id="2054767521">
                  <w:marLeft w:val="0"/>
                  <w:marRight w:val="0"/>
                  <w:marTop w:val="0"/>
                  <w:marBottom w:val="0"/>
                  <w:divBdr>
                    <w:top w:val="none" w:sz="0" w:space="0" w:color="auto"/>
                    <w:left w:val="none" w:sz="0" w:space="0" w:color="auto"/>
                    <w:bottom w:val="none" w:sz="0" w:space="0" w:color="auto"/>
                    <w:right w:val="none" w:sz="0" w:space="0" w:color="auto"/>
                  </w:divBdr>
                  <w:divsChild>
                    <w:div w:id="1870334426">
                      <w:marLeft w:val="0"/>
                      <w:marRight w:val="0"/>
                      <w:marTop w:val="0"/>
                      <w:marBottom w:val="0"/>
                      <w:divBdr>
                        <w:top w:val="none" w:sz="0" w:space="0" w:color="auto"/>
                        <w:left w:val="none" w:sz="0" w:space="0" w:color="auto"/>
                        <w:bottom w:val="none" w:sz="0" w:space="0" w:color="auto"/>
                        <w:right w:val="none" w:sz="0" w:space="0" w:color="auto"/>
                      </w:divBdr>
                    </w:div>
                  </w:divsChild>
                </w:div>
                <w:div w:id="2062165877">
                  <w:marLeft w:val="0"/>
                  <w:marRight w:val="0"/>
                  <w:marTop w:val="0"/>
                  <w:marBottom w:val="0"/>
                  <w:divBdr>
                    <w:top w:val="none" w:sz="0" w:space="0" w:color="auto"/>
                    <w:left w:val="none" w:sz="0" w:space="0" w:color="auto"/>
                    <w:bottom w:val="none" w:sz="0" w:space="0" w:color="auto"/>
                    <w:right w:val="none" w:sz="0" w:space="0" w:color="auto"/>
                  </w:divBdr>
                  <w:divsChild>
                    <w:div w:id="208359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179613">
          <w:marLeft w:val="0"/>
          <w:marRight w:val="0"/>
          <w:marTop w:val="0"/>
          <w:marBottom w:val="0"/>
          <w:divBdr>
            <w:top w:val="none" w:sz="0" w:space="0" w:color="auto"/>
            <w:left w:val="none" w:sz="0" w:space="0" w:color="auto"/>
            <w:bottom w:val="none" w:sz="0" w:space="0" w:color="auto"/>
            <w:right w:val="none" w:sz="0" w:space="0" w:color="auto"/>
          </w:divBdr>
        </w:div>
        <w:div w:id="1497766491">
          <w:marLeft w:val="0"/>
          <w:marRight w:val="0"/>
          <w:marTop w:val="0"/>
          <w:marBottom w:val="0"/>
          <w:divBdr>
            <w:top w:val="none" w:sz="0" w:space="0" w:color="auto"/>
            <w:left w:val="none" w:sz="0" w:space="0" w:color="auto"/>
            <w:bottom w:val="none" w:sz="0" w:space="0" w:color="auto"/>
            <w:right w:val="none" w:sz="0" w:space="0" w:color="auto"/>
          </w:divBdr>
        </w:div>
        <w:div w:id="1667434849">
          <w:marLeft w:val="0"/>
          <w:marRight w:val="0"/>
          <w:marTop w:val="0"/>
          <w:marBottom w:val="0"/>
          <w:divBdr>
            <w:top w:val="none" w:sz="0" w:space="0" w:color="auto"/>
            <w:left w:val="none" w:sz="0" w:space="0" w:color="auto"/>
            <w:bottom w:val="none" w:sz="0" w:space="0" w:color="auto"/>
            <w:right w:val="none" w:sz="0" w:space="0" w:color="auto"/>
          </w:divBdr>
        </w:div>
        <w:div w:id="1743217957">
          <w:marLeft w:val="0"/>
          <w:marRight w:val="0"/>
          <w:marTop w:val="0"/>
          <w:marBottom w:val="0"/>
          <w:divBdr>
            <w:top w:val="none" w:sz="0" w:space="0" w:color="auto"/>
            <w:left w:val="none" w:sz="0" w:space="0" w:color="auto"/>
            <w:bottom w:val="none" w:sz="0" w:space="0" w:color="auto"/>
            <w:right w:val="none" w:sz="0" w:space="0" w:color="auto"/>
          </w:divBdr>
        </w:div>
        <w:div w:id="1972248132">
          <w:marLeft w:val="0"/>
          <w:marRight w:val="0"/>
          <w:marTop w:val="0"/>
          <w:marBottom w:val="0"/>
          <w:divBdr>
            <w:top w:val="none" w:sz="0" w:space="0" w:color="auto"/>
            <w:left w:val="none" w:sz="0" w:space="0" w:color="auto"/>
            <w:bottom w:val="none" w:sz="0" w:space="0" w:color="auto"/>
            <w:right w:val="none" w:sz="0" w:space="0" w:color="auto"/>
          </w:divBdr>
        </w:div>
      </w:divsChild>
    </w:div>
    <w:div w:id="680007183">
      <w:bodyDiv w:val="1"/>
      <w:marLeft w:val="0"/>
      <w:marRight w:val="0"/>
      <w:marTop w:val="0"/>
      <w:marBottom w:val="0"/>
      <w:divBdr>
        <w:top w:val="none" w:sz="0" w:space="0" w:color="auto"/>
        <w:left w:val="none" w:sz="0" w:space="0" w:color="auto"/>
        <w:bottom w:val="none" w:sz="0" w:space="0" w:color="auto"/>
        <w:right w:val="none" w:sz="0" w:space="0" w:color="auto"/>
      </w:divBdr>
      <w:divsChild>
        <w:div w:id="1572160816">
          <w:marLeft w:val="0"/>
          <w:marRight w:val="0"/>
          <w:marTop w:val="0"/>
          <w:marBottom w:val="0"/>
          <w:divBdr>
            <w:top w:val="none" w:sz="0" w:space="0" w:color="auto"/>
            <w:left w:val="none" w:sz="0" w:space="0" w:color="auto"/>
            <w:bottom w:val="none" w:sz="0" w:space="0" w:color="auto"/>
            <w:right w:val="none" w:sz="0" w:space="0" w:color="auto"/>
          </w:divBdr>
        </w:div>
      </w:divsChild>
    </w:div>
    <w:div w:id="684526092">
      <w:bodyDiv w:val="1"/>
      <w:marLeft w:val="0"/>
      <w:marRight w:val="0"/>
      <w:marTop w:val="0"/>
      <w:marBottom w:val="0"/>
      <w:divBdr>
        <w:top w:val="none" w:sz="0" w:space="0" w:color="auto"/>
        <w:left w:val="none" w:sz="0" w:space="0" w:color="auto"/>
        <w:bottom w:val="none" w:sz="0" w:space="0" w:color="auto"/>
        <w:right w:val="none" w:sz="0" w:space="0" w:color="auto"/>
      </w:divBdr>
      <w:divsChild>
        <w:div w:id="769739300">
          <w:marLeft w:val="0"/>
          <w:marRight w:val="0"/>
          <w:marTop w:val="0"/>
          <w:marBottom w:val="0"/>
          <w:divBdr>
            <w:top w:val="none" w:sz="0" w:space="0" w:color="auto"/>
            <w:left w:val="none" w:sz="0" w:space="0" w:color="auto"/>
            <w:bottom w:val="none" w:sz="0" w:space="0" w:color="auto"/>
            <w:right w:val="none" w:sz="0" w:space="0" w:color="auto"/>
          </w:divBdr>
        </w:div>
      </w:divsChild>
    </w:div>
    <w:div w:id="724528247">
      <w:bodyDiv w:val="1"/>
      <w:marLeft w:val="0"/>
      <w:marRight w:val="0"/>
      <w:marTop w:val="0"/>
      <w:marBottom w:val="0"/>
      <w:divBdr>
        <w:top w:val="none" w:sz="0" w:space="0" w:color="auto"/>
        <w:left w:val="none" w:sz="0" w:space="0" w:color="auto"/>
        <w:bottom w:val="none" w:sz="0" w:space="0" w:color="auto"/>
        <w:right w:val="none" w:sz="0" w:space="0" w:color="auto"/>
      </w:divBdr>
    </w:div>
    <w:div w:id="756908020">
      <w:bodyDiv w:val="1"/>
      <w:marLeft w:val="0"/>
      <w:marRight w:val="0"/>
      <w:marTop w:val="0"/>
      <w:marBottom w:val="0"/>
      <w:divBdr>
        <w:top w:val="none" w:sz="0" w:space="0" w:color="auto"/>
        <w:left w:val="none" w:sz="0" w:space="0" w:color="auto"/>
        <w:bottom w:val="none" w:sz="0" w:space="0" w:color="auto"/>
        <w:right w:val="none" w:sz="0" w:space="0" w:color="auto"/>
      </w:divBdr>
    </w:div>
    <w:div w:id="816649235">
      <w:bodyDiv w:val="1"/>
      <w:marLeft w:val="0"/>
      <w:marRight w:val="0"/>
      <w:marTop w:val="0"/>
      <w:marBottom w:val="0"/>
      <w:divBdr>
        <w:top w:val="none" w:sz="0" w:space="0" w:color="auto"/>
        <w:left w:val="none" w:sz="0" w:space="0" w:color="auto"/>
        <w:bottom w:val="none" w:sz="0" w:space="0" w:color="auto"/>
        <w:right w:val="none" w:sz="0" w:space="0" w:color="auto"/>
      </w:divBdr>
    </w:div>
    <w:div w:id="824274242">
      <w:bodyDiv w:val="1"/>
      <w:marLeft w:val="0"/>
      <w:marRight w:val="0"/>
      <w:marTop w:val="0"/>
      <w:marBottom w:val="0"/>
      <w:divBdr>
        <w:top w:val="none" w:sz="0" w:space="0" w:color="auto"/>
        <w:left w:val="none" w:sz="0" w:space="0" w:color="auto"/>
        <w:bottom w:val="none" w:sz="0" w:space="0" w:color="auto"/>
        <w:right w:val="none" w:sz="0" w:space="0" w:color="auto"/>
      </w:divBdr>
    </w:div>
    <w:div w:id="927471385">
      <w:bodyDiv w:val="1"/>
      <w:marLeft w:val="0"/>
      <w:marRight w:val="0"/>
      <w:marTop w:val="0"/>
      <w:marBottom w:val="0"/>
      <w:divBdr>
        <w:top w:val="none" w:sz="0" w:space="0" w:color="auto"/>
        <w:left w:val="none" w:sz="0" w:space="0" w:color="auto"/>
        <w:bottom w:val="none" w:sz="0" w:space="0" w:color="auto"/>
        <w:right w:val="none" w:sz="0" w:space="0" w:color="auto"/>
      </w:divBdr>
    </w:div>
    <w:div w:id="963268065">
      <w:bodyDiv w:val="1"/>
      <w:marLeft w:val="0"/>
      <w:marRight w:val="0"/>
      <w:marTop w:val="0"/>
      <w:marBottom w:val="0"/>
      <w:divBdr>
        <w:top w:val="none" w:sz="0" w:space="0" w:color="auto"/>
        <w:left w:val="none" w:sz="0" w:space="0" w:color="auto"/>
        <w:bottom w:val="none" w:sz="0" w:space="0" w:color="auto"/>
        <w:right w:val="none" w:sz="0" w:space="0" w:color="auto"/>
      </w:divBdr>
    </w:div>
    <w:div w:id="969630331">
      <w:bodyDiv w:val="1"/>
      <w:marLeft w:val="0"/>
      <w:marRight w:val="0"/>
      <w:marTop w:val="0"/>
      <w:marBottom w:val="0"/>
      <w:divBdr>
        <w:top w:val="none" w:sz="0" w:space="0" w:color="auto"/>
        <w:left w:val="none" w:sz="0" w:space="0" w:color="auto"/>
        <w:bottom w:val="none" w:sz="0" w:space="0" w:color="auto"/>
        <w:right w:val="none" w:sz="0" w:space="0" w:color="auto"/>
      </w:divBdr>
    </w:div>
    <w:div w:id="1004624790">
      <w:bodyDiv w:val="1"/>
      <w:marLeft w:val="0"/>
      <w:marRight w:val="0"/>
      <w:marTop w:val="0"/>
      <w:marBottom w:val="0"/>
      <w:divBdr>
        <w:top w:val="none" w:sz="0" w:space="0" w:color="auto"/>
        <w:left w:val="none" w:sz="0" w:space="0" w:color="auto"/>
        <w:bottom w:val="none" w:sz="0" w:space="0" w:color="auto"/>
        <w:right w:val="none" w:sz="0" w:space="0" w:color="auto"/>
      </w:divBdr>
    </w:div>
    <w:div w:id="1081223472">
      <w:bodyDiv w:val="1"/>
      <w:marLeft w:val="0"/>
      <w:marRight w:val="0"/>
      <w:marTop w:val="0"/>
      <w:marBottom w:val="0"/>
      <w:divBdr>
        <w:top w:val="none" w:sz="0" w:space="0" w:color="auto"/>
        <w:left w:val="none" w:sz="0" w:space="0" w:color="auto"/>
        <w:bottom w:val="none" w:sz="0" w:space="0" w:color="auto"/>
        <w:right w:val="none" w:sz="0" w:space="0" w:color="auto"/>
      </w:divBdr>
      <w:divsChild>
        <w:div w:id="1085806419">
          <w:marLeft w:val="0"/>
          <w:marRight w:val="0"/>
          <w:marTop w:val="0"/>
          <w:marBottom w:val="0"/>
          <w:divBdr>
            <w:top w:val="none" w:sz="0" w:space="0" w:color="auto"/>
            <w:left w:val="none" w:sz="0" w:space="0" w:color="auto"/>
            <w:bottom w:val="none" w:sz="0" w:space="0" w:color="auto"/>
            <w:right w:val="none" w:sz="0" w:space="0" w:color="auto"/>
          </w:divBdr>
        </w:div>
      </w:divsChild>
    </w:div>
    <w:div w:id="1105034517">
      <w:bodyDiv w:val="1"/>
      <w:marLeft w:val="0"/>
      <w:marRight w:val="0"/>
      <w:marTop w:val="0"/>
      <w:marBottom w:val="0"/>
      <w:divBdr>
        <w:top w:val="none" w:sz="0" w:space="0" w:color="auto"/>
        <w:left w:val="none" w:sz="0" w:space="0" w:color="auto"/>
        <w:bottom w:val="none" w:sz="0" w:space="0" w:color="auto"/>
        <w:right w:val="none" w:sz="0" w:space="0" w:color="auto"/>
      </w:divBdr>
    </w:div>
    <w:div w:id="1143887208">
      <w:bodyDiv w:val="1"/>
      <w:marLeft w:val="0"/>
      <w:marRight w:val="0"/>
      <w:marTop w:val="0"/>
      <w:marBottom w:val="0"/>
      <w:divBdr>
        <w:top w:val="none" w:sz="0" w:space="0" w:color="auto"/>
        <w:left w:val="none" w:sz="0" w:space="0" w:color="auto"/>
        <w:bottom w:val="none" w:sz="0" w:space="0" w:color="auto"/>
        <w:right w:val="none" w:sz="0" w:space="0" w:color="auto"/>
      </w:divBdr>
    </w:div>
    <w:div w:id="1179004167">
      <w:bodyDiv w:val="1"/>
      <w:marLeft w:val="0"/>
      <w:marRight w:val="0"/>
      <w:marTop w:val="0"/>
      <w:marBottom w:val="0"/>
      <w:divBdr>
        <w:top w:val="none" w:sz="0" w:space="0" w:color="auto"/>
        <w:left w:val="none" w:sz="0" w:space="0" w:color="auto"/>
        <w:bottom w:val="none" w:sz="0" w:space="0" w:color="auto"/>
        <w:right w:val="none" w:sz="0" w:space="0" w:color="auto"/>
      </w:divBdr>
    </w:div>
    <w:div w:id="1289048191">
      <w:bodyDiv w:val="1"/>
      <w:marLeft w:val="0"/>
      <w:marRight w:val="0"/>
      <w:marTop w:val="0"/>
      <w:marBottom w:val="0"/>
      <w:divBdr>
        <w:top w:val="none" w:sz="0" w:space="0" w:color="auto"/>
        <w:left w:val="none" w:sz="0" w:space="0" w:color="auto"/>
        <w:bottom w:val="none" w:sz="0" w:space="0" w:color="auto"/>
        <w:right w:val="none" w:sz="0" w:space="0" w:color="auto"/>
      </w:divBdr>
    </w:div>
    <w:div w:id="1306475364">
      <w:bodyDiv w:val="1"/>
      <w:marLeft w:val="0"/>
      <w:marRight w:val="0"/>
      <w:marTop w:val="0"/>
      <w:marBottom w:val="0"/>
      <w:divBdr>
        <w:top w:val="none" w:sz="0" w:space="0" w:color="auto"/>
        <w:left w:val="none" w:sz="0" w:space="0" w:color="auto"/>
        <w:bottom w:val="none" w:sz="0" w:space="0" w:color="auto"/>
        <w:right w:val="none" w:sz="0" w:space="0" w:color="auto"/>
      </w:divBdr>
    </w:div>
    <w:div w:id="1473525928">
      <w:bodyDiv w:val="1"/>
      <w:marLeft w:val="0"/>
      <w:marRight w:val="0"/>
      <w:marTop w:val="0"/>
      <w:marBottom w:val="0"/>
      <w:divBdr>
        <w:top w:val="none" w:sz="0" w:space="0" w:color="auto"/>
        <w:left w:val="none" w:sz="0" w:space="0" w:color="auto"/>
        <w:bottom w:val="none" w:sz="0" w:space="0" w:color="auto"/>
        <w:right w:val="none" w:sz="0" w:space="0" w:color="auto"/>
      </w:divBdr>
      <w:divsChild>
        <w:div w:id="54162293">
          <w:marLeft w:val="0"/>
          <w:marRight w:val="0"/>
          <w:marTop w:val="0"/>
          <w:marBottom w:val="0"/>
          <w:divBdr>
            <w:top w:val="none" w:sz="0" w:space="0" w:color="auto"/>
            <w:left w:val="none" w:sz="0" w:space="0" w:color="auto"/>
            <w:bottom w:val="none" w:sz="0" w:space="0" w:color="auto"/>
            <w:right w:val="none" w:sz="0" w:space="0" w:color="auto"/>
          </w:divBdr>
          <w:divsChild>
            <w:div w:id="224267749">
              <w:marLeft w:val="0"/>
              <w:marRight w:val="0"/>
              <w:marTop w:val="0"/>
              <w:marBottom w:val="0"/>
              <w:divBdr>
                <w:top w:val="none" w:sz="0" w:space="0" w:color="auto"/>
                <w:left w:val="none" w:sz="0" w:space="0" w:color="auto"/>
                <w:bottom w:val="none" w:sz="0" w:space="0" w:color="auto"/>
                <w:right w:val="none" w:sz="0" w:space="0" w:color="auto"/>
              </w:divBdr>
            </w:div>
            <w:div w:id="325675499">
              <w:marLeft w:val="0"/>
              <w:marRight w:val="0"/>
              <w:marTop w:val="0"/>
              <w:marBottom w:val="0"/>
              <w:divBdr>
                <w:top w:val="none" w:sz="0" w:space="0" w:color="auto"/>
                <w:left w:val="none" w:sz="0" w:space="0" w:color="auto"/>
                <w:bottom w:val="none" w:sz="0" w:space="0" w:color="auto"/>
                <w:right w:val="none" w:sz="0" w:space="0" w:color="auto"/>
              </w:divBdr>
            </w:div>
            <w:div w:id="374503232">
              <w:marLeft w:val="0"/>
              <w:marRight w:val="0"/>
              <w:marTop w:val="0"/>
              <w:marBottom w:val="0"/>
              <w:divBdr>
                <w:top w:val="none" w:sz="0" w:space="0" w:color="auto"/>
                <w:left w:val="none" w:sz="0" w:space="0" w:color="auto"/>
                <w:bottom w:val="none" w:sz="0" w:space="0" w:color="auto"/>
                <w:right w:val="none" w:sz="0" w:space="0" w:color="auto"/>
              </w:divBdr>
            </w:div>
            <w:div w:id="389502246">
              <w:marLeft w:val="0"/>
              <w:marRight w:val="0"/>
              <w:marTop w:val="0"/>
              <w:marBottom w:val="0"/>
              <w:divBdr>
                <w:top w:val="none" w:sz="0" w:space="0" w:color="auto"/>
                <w:left w:val="none" w:sz="0" w:space="0" w:color="auto"/>
                <w:bottom w:val="none" w:sz="0" w:space="0" w:color="auto"/>
                <w:right w:val="none" w:sz="0" w:space="0" w:color="auto"/>
              </w:divBdr>
            </w:div>
            <w:div w:id="558900661">
              <w:marLeft w:val="0"/>
              <w:marRight w:val="0"/>
              <w:marTop w:val="0"/>
              <w:marBottom w:val="0"/>
              <w:divBdr>
                <w:top w:val="none" w:sz="0" w:space="0" w:color="auto"/>
                <w:left w:val="none" w:sz="0" w:space="0" w:color="auto"/>
                <w:bottom w:val="none" w:sz="0" w:space="0" w:color="auto"/>
                <w:right w:val="none" w:sz="0" w:space="0" w:color="auto"/>
              </w:divBdr>
            </w:div>
            <w:div w:id="664359167">
              <w:marLeft w:val="0"/>
              <w:marRight w:val="0"/>
              <w:marTop w:val="0"/>
              <w:marBottom w:val="0"/>
              <w:divBdr>
                <w:top w:val="none" w:sz="0" w:space="0" w:color="auto"/>
                <w:left w:val="none" w:sz="0" w:space="0" w:color="auto"/>
                <w:bottom w:val="none" w:sz="0" w:space="0" w:color="auto"/>
                <w:right w:val="none" w:sz="0" w:space="0" w:color="auto"/>
              </w:divBdr>
            </w:div>
            <w:div w:id="775713309">
              <w:marLeft w:val="0"/>
              <w:marRight w:val="0"/>
              <w:marTop w:val="0"/>
              <w:marBottom w:val="0"/>
              <w:divBdr>
                <w:top w:val="none" w:sz="0" w:space="0" w:color="auto"/>
                <w:left w:val="none" w:sz="0" w:space="0" w:color="auto"/>
                <w:bottom w:val="none" w:sz="0" w:space="0" w:color="auto"/>
                <w:right w:val="none" w:sz="0" w:space="0" w:color="auto"/>
              </w:divBdr>
            </w:div>
            <w:div w:id="778337563">
              <w:marLeft w:val="0"/>
              <w:marRight w:val="0"/>
              <w:marTop w:val="0"/>
              <w:marBottom w:val="0"/>
              <w:divBdr>
                <w:top w:val="none" w:sz="0" w:space="0" w:color="auto"/>
                <w:left w:val="none" w:sz="0" w:space="0" w:color="auto"/>
                <w:bottom w:val="none" w:sz="0" w:space="0" w:color="auto"/>
                <w:right w:val="none" w:sz="0" w:space="0" w:color="auto"/>
              </w:divBdr>
            </w:div>
            <w:div w:id="836195348">
              <w:marLeft w:val="0"/>
              <w:marRight w:val="0"/>
              <w:marTop w:val="0"/>
              <w:marBottom w:val="0"/>
              <w:divBdr>
                <w:top w:val="none" w:sz="0" w:space="0" w:color="auto"/>
                <w:left w:val="none" w:sz="0" w:space="0" w:color="auto"/>
                <w:bottom w:val="none" w:sz="0" w:space="0" w:color="auto"/>
                <w:right w:val="none" w:sz="0" w:space="0" w:color="auto"/>
              </w:divBdr>
            </w:div>
            <w:div w:id="962921622">
              <w:marLeft w:val="0"/>
              <w:marRight w:val="0"/>
              <w:marTop w:val="0"/>
              <w:marBottom w:val="0"/>
              <w:divBdr>
                <w:top w:val="none" w:sz="0" w:space="0" w:color="auto"/>
                <w:left w:val="none" w:sz="0" w:space="0" w:color="auto"/>
                <w:bottom w:val="none" w:sz="0" w:space="0" w:color="auto"/>
                <w:right w:val="none" w:sz="0" w:space="0" w:color="auto"/>
              </w:divBdr>
            </w:div>
            <w:div w:id="1009912181">
              <w:marLeft w:val="0"/>
              <w:marRight w:val="0"/>
              <w:marTop w:val="0"/>
              <w:marBottom w:val="0"/>
              <w:divBdr>
                <w:top w:val="none" w:sz="0" w:space="0" w:color="auto"/>
                <w:left w:val="none" w:sz="0" w:space="0" w:color="auto"/>
                <w:bottom w:val="none" w:sz="0" w:space="0" w:color="auto"/>
                <w:right w:val="none" w:sz="0" w:space="0" w:color="auto"/>
              </w:divBdr>
            </w:div>
            <w:div w:id="1277565281">
              <w:marLeft w:val="0"/>
              <w:marRight w:val="0"/>
              <w:marTop w:val="0"/>
              <w:marBottom w:val="0"/>
              <w:divBdr>
                <w:top w:val="none" w:sz="0" w:space="0" w:color="auto"/>
                <w:left w:val="none" w:sz="0" w:space="0" w:color="auto"/>
                <w:bottom w:val="none" w:sz="0" w:space="0" w:color="auto"/>
                <w:right w:val="none" w:sz="0" w:space="0" w:color="auto"/>
              </w:divBdr>
            </w:div>
            <w:div w:id="1329678341">
              <w:marLeft w:val="0"/>
              <w:marRight w:val="0"/>
              <w:marTop w:val="0"/>
              <w:marBottom w:val="0"/>
              <w:divBdr>
                <w:top w:val="none" w:sz="0" w:space="0" w:color="auto"/>
                <w:left w:val="none" w:sz="0" w:space="0" w:color="auto"/>
                <w:bottom w:val="none" w:sz="0" w:space="0" w:color="auto"/>
                <w:right w:val="none" w:sz="0" w:space="0" w:color="auto"/>
              </w:divBdr>
            </w:div>
            <w:div w:id="1452818632">
              <w:marLeft w:val="0"/>
              <w:marRight w:val="0"/>
              <w:marTop w:val="0"/>
              <w:marBottom w:val="0"/>
              <w:divBdr>
                <w:top w:val="none" w:sz="0" w:space="0" w:color="auto"/>
                <w:left w:val="none" w:sz="0" w:space="0" w:color="auto"/>
                <w:bottom w:val="none" w:sz="0" w:space="0" w:color="auto"/>
                <w:right w:val="none" w:sz="0" w:space="0" w:color="auto"/>
              </w:divBdr>
            </w:div>
            <w:div w:id="1495798401">
              <w:marLeft w:val="0"/>
              <w:marRight w:val="0"/>
              <w:marTop w:val="0"/>
              <w:marBottom w:val="0"/>
              <w:divBdr>
                <w:top w:val="none" w:sz="0" w:space="0" w:color="auto"/>
                <w:left w:val="none" w:sz="0" w:space="0" w:color="auto"/>
                <w:bottom w:val="none" w:sz="0" w:space="0" w:color="auto"/>
                <w:right w:val="none" w:sz="0" w:space="0" w:color="auto"/>
              </w:divBdr>
            </w:div>
            <w:div w:id="1616401218">
              <w:marLeft w:val="0"/>
              <w:marRight w:val="0"/>
              <w:marTop w:val="0"/>
              <w:marBottom w:val="0"/>
              <w:divBdr>
                <w:top w:val="none" w:sz="0" w:space="0" w:color="auto"/>
                <w:left w:val="none" w:sz="0" w:space="0" w:color="auto"/>
                <w:bottom w:val="none" w:sz="0" w:space="0" w:color="auto"/>
                <w:right w:val="none" w:sz="0" w:space="0" w:color="auto"/>
              </w:divBdr>
            </w:div>
            <w:div w:id="1778209497">
              <w:marLeft w:val="0"/>
              <w:marRight w:val="0"/>
              <w:marTop w:val="0"/>
              <w:marBottom w:val="0"/>
              <w:divBdr>
                <w:top w:val="none" w:sz="0" w:space="0" w:color="auto"/>
                <w:left w:val="none" w:sz="0" w:space="0" w:color="auto"/>
                <w:bottom w:val="none" w:sz="0" w:space="0" w:color="auto"/>
                <w:right w:val="none" w:sz="0" w:space="0" w:color="auto"/>
              </w:divBdr>
            </w:div>
            <w:div w:id="1823698080">
              <w:marLeft w:val="0"/>
              <w:marRight w:val="0"/>
              <w:marTop w:val="0"/>
              <w:marBottom w:val="0"/>
              <w:divBdr>
                <w:top w:val="none" w:sz="0" w:space="0" w:color="auto"/>
                <w:left w:val="none" w:sz="0" w:space="0" w:color="auto"/>
                <w:bottom w:val="none" w:sz="0" w:space="0" w:color="auto"/>
                <w:right w:val="none" w:sz="0" w:space="0" w:color="auto"/>
              </w:divBdr>
            </w:div>
            <w:div w:id="1910192147">
              <w:marLeft w:val="0"/>
              <w:marRight w:val="0"/>
              <w:marTop w:val="0"/>
              <w:marBottom w:val="0"/>
              <w:divBdr>
                <w:top w:val="none" w:sz="0" w:space="0" w:color="auto"/>
                <w:left w:val="none" w:sz="0" w:space="0" w:color="auto"/>
                <w:bottom w:val="none" w:sz="0" w:space="0" w:color="auto"/>
                <w:right w:val="none" w:sz="0" w:space="0" w:color="auto"/>
              </w:divBdr>
            </w:div>
            <w:div w:id="2140100972">
              <w:marLeft w:val="0"/>
              <w:marRight w:val="0"/>
              <w:marTop w:val="0"/>
              <w:marBottom w:val="0"/>
              <w:divBdr>
                <w:top w:val="none" w:sz="0" w:space="0" w:color="auto"/>
                <w:left w:val="none" w:sz="0" w:space="0" w:color="auto"/>
                <w:bottom w:val="none" w:sz="0" w:space="0" w:color="auto"/>
                <w:right w:val="none" w:sz="0" w:space="0" w:color="auto"/>
              </w:divBdr>
            </w:div>
          </w:divsChild>
        </w:div>
        <w:div w:id="477769986">
          <w:marLeft w:val="0"/>
          <w:marRight w:val="0"/>
          <w:marTop w:val="0"/>
          <w:marBottom w:val="0"/>
          <w:divBdr>
            <w:top w:val="none" w:sz="0" w:space="0" w:color="auto"/>
            <w:left w:val="none" w:sz="0" w:space="0" w:color="auto"/>
            <w:bottom w:val="none" w:sz="0" w:space="0" w:color="auto"/>
            <w:right w:val="none" w:sz="0" w:space="0" w:color="auto"/>
          </w:divBdr>
        </w:div>
        <w:div w:id="732701085">
          <w:marLeft w:val="0"/>
          <w:marRight w:val="0"/>
          <w:marTop w:val="0"/>
          <w:marBottom w:val="0"/>
          <w:divBdr>
            <w:top w:val="none" w:sz="0" w:space="0" w:color="auto"/>
            <w:left w:val="none" w:sz="0" w:space="0" w:color="auto"/>
            <w:bottom w:val="none" w:sz="0" w:space="0" w:color="auto"/>
            <w:right w:val="none" w:sz="0" w:space="0" w:color="auto"/>
          </w:divBdr>
        </w:div>
        <w:div w:id="793325820">
          <w:marLeft w:val="0"/>
          <w:marRight w:val="0"/>
          <w:marTop w:val="0"/>
          <w:marBottom w:val="0"/>
          <w:divBdr>
            <w:top w:val="none" w:sz="0" w:space="0" w:color="auto"/>
            <w:left w:val="none" w:sz="0" w:space="0" w:color="auto"/>
            <w:bottom w:val="none" w:sz="0" w:space="0" w:color="auto"/>
            <w:right w:val="none" w:sz="0" w:space="0" w:color="auto"/>
          </w:divBdr>
        </w:div>
        <w:div w:id="907570548">
          <w:marLeft w:val="0"/>
          <w:marRight w:val="0"/>
          <w:marTop w:val="0"/>
          <w:marBottom w:val="0"/>
          <w:divBdr>
            <w:top w:val="none" w:sz="0" w:space="0" w:color="auto"/>
            <w:left w:val="none" w:sz="0" w:space="0" w:color="auto"/>
            <w:bottom w:val="none" w:sz="0" w:space="0" w:color="auto"/>
            <w:right w:val="none" w:sz="0" w:space="0" w:color="auto"/>
          </w:divBdr>
        </w:div>
        <w:div w:id="926883131">
          <w:marLeft w:val="0"/>
          <w:marRight w:val="0"/>
          <w:marTop w:val="0"/>
          <w:marBottom w:val="0"/>
          <w:divBdr>
            <w:top w:val="none" w:sz="0" w:space="0" w:color="auto"/>
            <w:left w:val="none" w:sz="0" w:space="0" w:color="auto"/>
            <w:bottom w:val="none" w:sz="0" w:space="0" w:color="auto"/>
            <w:right w:val="none" w:sz="0" w:space="0" w:color="auto"/>
          </w:divBdr>
        </w:div>
        <w:div w:id="1509178732">
          <w:marLeft w:val="0"/>
          <w:marRight w:val="0"/>
          <w:marTop w:val="0"/>
          <w:marBottom w:val="0"/>
          <w:divBdr>
            <w:top w:val="none" w:sz="0" w:space="0" w:color="auto"/>
            <w:left w:val="none" w:sz="0" w:space="0" w:color="auto"/>
            <w:bottom w:val="none" w:sz="0" w:space="0" w:color="auto"/>
            <w:right w:val="none" w:sz="0" w:space="0" w:color="auto"/>
          </w:divBdr>
          <w:divsChild>
            <w:div w:id="1892375808">
              <w:marLeft w:val="-75"/>
              <w:marRight w:val="0"/>
              <w:marTop w:val="30"/>
              <w:marBottom w:val="30"/>
              <w:divBdr>
                <w:top w:val="none" w:sz="0" w:space="0" w:color="auto"/>
                <w:left w:val="none" w:sz="0" w:space="0" w:color="auto"/>
                <w:bottom w:val="none" w:sz="0" w:space="0" w:color="auto"/>
                <w:right w:val="none" w:sz="0" w:space="0" w:color="auto"/>
              </w:divBdr>
              <w:divsChild>
                <w:div w:id="194662514">
                  <w:marLeft w:val="0"/>
                  <w:marRight w:val="0"/>
                  <w:marTop w:val="0"/>
                  <w:marBottom w:val="0"/>
                  <w:divBdr>
                    <w:top w:val="none" w:sz="0" w:space="0" w:color="auto"/>
                    <w:left w:val="none" w:sz="0" w:space="0" w:color="auto"/>
                    <w:bottom w:val="none" w:sz="0" w:space="0" w:color="auto"/>
                    <w:right w:val="none" w:sz="0" w:space="0" w:color="auto"/>
                  </w:divBdr>
                  <w:divsChild>
                    <w:div w:id="362481281">
                      <w:marLeft w:val="0"/>
                      <w:marRight w:val="0"/>
                      <w:marTop w:val="0"/>
                      <w:marBottom w:val="0"/>
                      <w:divBdr>
                        <w:top w:val="none" w:sz="0" w:space="0" w:color="auto"/>
                        <w:left w:val="none" w:sz="0" w:space="0" w:color="auto"/>
                        <w:bottom w:val="none" w:sz="0" w:space="0" w:color="auto"/>
                        <w:right w:val="none" w:sz="0" w:space="0" w:color="auto"/>
                      </w:divBdr>
                    </w:div>
                  </w:divsChild>
                </w:div>
                <w:div w:id="503739637">
                  <w:marLeft w:val="0"/>
                  <w:marRight w:val="0"/>
                  <w:marTop w:val="0"/>
                  <w:marBottom w:val="0"/>
                  <w:divBdr>
                    <w:top w:val="none" w:sz="0" w:space="0" w:color="auto"/>
                    <w:left w:val="none" w:sz="0" w:space="0" w:color="auto"/>
                    <w:bottom w:val="none" w:sz="0" w:space="0" w:color="auto"/>
                    <w:right w:val="none" w:sz="0" w:space="0" w:color="auto"/>
                  </w:divBdr>
                  <w:divsChild>
                    <w:div w:id="817847927">
                      <w:marLeft w:val="0"/>
                      <w:marRight w:val="0"/>
                      <w:marTop w:val="0"/>
                      <w:marBottom w:val="0"/>
                      <w:divBdr>
                        <w:top w:val="none" w:sz="0" w:space="0" w:color="auto"/>
                        <w:left w:val="none" w:sz="0" w:space="0" w:color="auto"/>
                        <w:bottom w:val="none" w:sz="0" w:space="0" w:color="auto"/>
                        <w:right w:val="none" w:sz="0" w:space="0" w:color="auto"/>
                      </w:divBdr>
                    </w:div>
                  </w:divsChild>
                </w:div>
                <w:div w:id="587345652">
                  <w:marLeft w:val="0"/>
                  <w:marRight w:val="0"/>
                  <w:marTop w:val="0"/>
                  <w:marBottom w:val="0"/>
                  <w:divBdr>
                    <w:top w:val="none" w:sz="0" w:space="0" w:color="auto"/>
                    <w:left w:val="none" w:sz="0" w:space="0" w:color="auto"/>
                    <w:bottom w:val="none" w:sz="0" w:space="0" w:color="auto"/>
                    <w:right w:val="none" w:sz="0" w:space="0" w:color="auto"/>
                  </w:divBdr>
                  <w:divsChild>
                    <w:div w:id="1607737097">
                      <w:marLeft w:val="0"/>
                      <w:marRight w:val="0"/>
                      <w:marTop w:val="0"/>
                      <w:marBottom w:val="0"/>
                      <w:divBdr>
                        <w:top w:val="none" w:sz="0" w:space="0" w:color="auto"/>
                        <w:left w:val="none" w:sz="0" w:space="0" w:color="auto"/>
                        <w:bottom w:val="none" w:sz="0" w:space="0" w:color="auto"/>
                        <w:right w:val="none" w:sz="0" w:space="0" w:color="auto"/>
                      </w:divBdr>
                    </w:div>
                  </w:divsChild>
                </w:div>
                <w:div w:id="819611208">
                  <w:marLeft w:val="0"/>
                  <w:marRight w:val="0"/>
                  <w:marTop w:val="0"/>
                  <w:marBottom w:val="0"/>
                  <w:divBdr>
                    <w:top w:val="none" w:sz="0" w:space="0" w:color="auto"/>
                    <w:left w:val="none" w:sz="0" w:space="0" w:color="auto"/>
                    <w:bottom w:val="none" w:sz="0" w:space="0" w:color="auto"/>
                    <w:right w:val="none" w:sz="0" w:space="0" w:color="auto"/>
                  </w:divBdr>
                  <w:divsChild>
                    <w:div w:id="842430891">
                      <w:marLeft w:val="0"/>
                      <w:marRight w:val="0"/>
                      <w:marTop w:val="0"/>
                      <w:marBottom w:val="0"/>
                      <w:divBdr>
                        <w:top w:val="none" w:sz="0" w:space="0" w:color="auto"/>
                        <w:left w:val="none" w:sz="0" w:space="0" w:color="auto"/>
                        <w:bottom w:val="none" w:sz="0" w:space="0" w:color="auto"/>
                        <w:right w:val="none" w:sz="0" w:space="0" w:color="auto"/>
                      </w:divBdr>
                    </w:div>
                  </w:divsChild>
                </w:div>
                <w:div w:id="942766404">
                  <w:marLeft w:val="0"/>
                  <w:marRight w:val="0"/>
                  <w:marTop w:val="0"/>
                  <w:marBottom w:val="0"/>
                  <w:divBdr>
                    <w:top w:val="none" w:sz="0" w:space="0" w:color="auto"/>
                    <w:left w:val="none" w:sz="0" w:space="0" w:color="auto"/>
                    <w:bottom w:val="none" w:sz="0" w:space="0" w:color="auto"/>
                    <w:right w:val="none" w:sz="0" w:space="0" w:color="auto"/>
                  </w:divBdr>
                  <w:divsChild>
                    <w:div w:id="1108237467">
                      <w:marLeft w:val="0"/>
                      <w:marRight w:val="0"/>
                      <w:marTop w:val="0"/>
                      <w:marBottom w:val="0"/>
                      <w:divBdr>
                        <w:top w:val="none" w:sz="0" w:space="0" w:color="auto"/>
                        <w:left w:val="none" w:sz="0" w:space="0" w:color="auto"/>
                        <w:bottom w:val="none" w:sz="0" w:space="0" w:color="auto"/>
                        <w:right w:val="none" w:sz="0" w:space="0" w:color="auto"/>
                      </w:divBdr>
                    </w:div>
                  </w:divsChild>
                </w:div>
                <w:div w:id="1124736495">
                  <w:marLeft w:val="0"/>
                  <w:marRight w:val="0"/>
                  <w:marTop w:val="0"/>
                  <w:marBottom w:val="0"/>
                  <w:divBdr>
                    <w:top w:val="none" w:sz="0" w:space="0" w:color="auto"/>
                    <w:left w:val="none" w:sz="0" w:space="0" w:color="auto"/>
                    <w:bottom w:val="none" w:sz="0" w:space="0" w:color="auto"/>
                    <w:right w:val="none" w:sz="0" w:space="0" w:color="auto"/>
                  </w:divBdr>
                  <w:divsChild>
                    <w:div w:id="1205798510">
                      <w:marLeft w:val="0"/>
                      <w:marRight w:val="0"/>
                      <w:marTop w:val="0"/>
                      <w:marBottom w:val="0"/>
                      <w:divBdr>
                        <w:top w:val="none" w:sz="0" w:space="0" w:color="auto"/>
                        <w:left w:val="none" w:sz="0" w:space="0" w:color="auto"/>
                        <w:bottom w:val="none" w:sz="0" w:space="0" w:color="auto"/>
                        <w:right w:val="none" w:sz="0" w:space="0" w:color="auto"/>
                      </w:divBdr>
                    </w:div>
                  </w:divsChild>
                </w:div>
                <w:div w:id="1818955518">
                  <w:marLeft w:val="0"/>
                  <w:marRight w:val="0"/>
                  <w:marTop w:val="0"/>
                  <w:marBottom w:val="0"/>
                  <w:divBdr>
                    <w:top w:val="none" w:sz="0" w:space="0" w:color="auto"/>
                    <w:left w:val="none" w:sz="0" w:space="0" w:color="auto"/>
                    <w:bottom w:val="none" w:sz="0" w:space="0" w:color="auto"/>
                    <w:right w:val="none" w:sz="0" w:space="0" w:color="auto"/>
                  </w:divBdr>
                  <w:divsChild>
                    <w:div w:id="394012417">
                      <w:marLeft w:val="0"/>
                      <w:marRight w:val="0"/>
                      <w:marTop w:val="0"/>
                      <w:marBottom w:val="0"/>
                      <w:divBdr>
                        <w:top w:val="none" w:sz="0" w:space="0" w:color="auto"/>
                        <w:left w:val="none" w:sz="0" w:space="0" w:color="auto"/>
                        <w:bottom w:val="none" w:sz="0" w:space="0" w:color="auto"/>
                        <w:right w:val="none" w:sz="0" w:space="0" w:color="auto"/>
                      </w:divBdr>
                    </w:div>
                  </w:divsChild>
                </w:div>
                <w:div w:id="1823887123">
                  <w:marLeft w:val="0"/>
                  <w:marRight w:val="0"/>
                  <w:marTop w:val="0"/>
                  <w:marBottom w:val="0"/>
                  <w:divBdr>
                    <w:top w:val="none" w:sz="0" w:space="0" w:color="auto"/>
                    <w:left w:val="none" w:sz="0" w:space="0" w:color="auto"/>
                    <w:bottom w:val="none" w:sz="0" w:space="0" w:color="auto"/>
                    <w:right w:val="none" w:sz="0" w:space="0" w:color="auto"/>
                  </w:divBdr>
                  <w:divsChild>
                    <w:div w:id="1600944019">
                      <w:marLeft w:val="0"/>
                      <w:marRight w:val="0"/>
                      <w:marTop w:val="0"/>
                      <w:marBottom w:val="0"/>
                      <w:divBdr>
                        <w:top w:val="none" w:sz="0" w:space="0" w:color="auto"/>
                        <w:left w:val="none" w:sz="0" w:space="0" w:color="auto"/>
                        <w:bottom w:val="none" w:sz="0" w:space="0" w:color="auto"/>
                        <w:right w:val="none" w:sz="0" w:space="0" w:color="auto"/>
                      </w:divBdr>
                    </w:div>
                  </w:divsChild>
                </w:div>
                <w:div w:id="1872914602">
                  <w:marLeft w:val="0"/>
                  <w:marRight w:val="0"/>
                  <w:marTop w:val="0"/>
                  <w:marBottom w:val="0"/>
                  <w:divBdr>
                    <w:top w:val="none" w:sz="0" w:space="0" w:color="auto"/>
                    <w:left w:val="none" w:sz="0" w:space="0" w:color="auto"/>
                    <w:bottom w:val="none" w:sz="0" w:space="0" w:color="auto"/>
                    <w:right w:val="none" w:sz="0" w:space="0" w:color="auto"/>
                  </w:divBdr>
                  <w:divsChild>
                    <w:div w:id="1180588658">
                      <w:marLeft w:val="0"/>
                      <w:marRight w:val="0"/>
                      <w:marTop w:val="0"/>
                      <w:marBottom w:val="0"/>
                      <w:divBdr>
                        <w:top w:val="none" w:sz="0" w:space="0" w:color="auto"/>
                        <w:left w:val="none" w:sz="0" w:space="0" w:color="auto"/>
                        <w:bottom w:val="none" w:sz="0" w:space="0" w:color="auto"/>
                        <w:right w:val="none" w:sz="0" w:space="0" w:color="auto"/>
                      </w:divBdr>
                    </w:div>
                  </w:divsChild>
                </w:div>
                <w:div w:id="1940525715">
                  <w:marLeft w:val="0"/>
                  <w:marRight w:val="0"/>
                  <w:marTop w:val="0"/>
                  <w:marBottom w:val="0"/>
                  <w:divBdr>
                    <w:top w:val="none" w:sz="0" w:space="0" w:color="auto"/>
                    <w:left w:val="none" w:sz="0" w:space="0" w:color="auto"/>
                    <w:bottom w:val="none" w:sz="0" w:space="0" w:color="auto"/>
                    <w:right w:val="none" w:sz="0" w:space="0" w:color="auto"/>
                  </w:divBdr>
                  <w:divsChild>
                    <w:div w:id="2129278773">
                      <w:marLeft w:val="0"/>
                      <w:marRight w:val="0"/>
                      <w:marTop w:val="0"/>
                      <w:marBottom w:val="0"/>
                      <w:divBdr>
                        <w:top w:val="none" w:sz="0" w:space="0" w:color="auto"/>
                        <w:left w:val="none" w:sz="0" w:space="0" w:color="auto"/>
                        <w:bottom w:val="none" w:sz="0" w:space="0" w:color="auto"/>
                        <w:right w:val="none" w:sz="0" w:space="0" w:color="auto"/>
                      </w:divBdr>
                    </w:div>
                  </w:divsChild>
                </w:div>
                <w:div w:id="1998145269">
                  <w:marLeft w:val="0"/>
                  <w:marRight w:val="0"/>
                  <w:marTop w:val="0"/>
                  <w:marBottom w:val="0"/>
                  <w:divBdr>
                    <w:top w:val="none" w:sz="0" w:space="0" w:color="auto"/>
                    <w:left w:val="none" w:sz="0" w:space="0" w:color="auto"/>
                    <w:bottom w:val="none" w:sz="0" w:space="0" w:color="auto"/>
                    <w:right w:val="none" w:sz="0" w:space="0" w:color="auto"/>
                  </w:divBdr>
                  <w:divsChild>
                    <w:div w:id="1880124049">
                      <w:marLeft w:val="0"/>
                      <w:marRight w:val="0"/>
                      <w:marTop w:val="0"/>
                      <w:marBottom w:val="0"/>
                      <w:divBdr>
                        <w:top w:val="none" w:sz="0" w:space="0" w:color="auto"/>
                        <w:left w:val="none" w:sz="0" w:space="0" w:color="auto"/>
                        <w:bottom w:val="none" w:sz="0" w:space="0" w:color="auto"/>
                        <w:right w:val="none" w:sz="0" w:space="0" w:color="auto"/>
                      </w:divBdr>
                    </w:div>
                  </w:divsChild>
                </w:div>
                <w:div w:id="2112579723">
                  <w:marLeft w:val="0"/>
                  <w:marRight w:val="0"/>
                  <w:marTop w:val="0"/>
                  <w:marBottom w:val="0"/>
                  <w:divBdr>
                    <w:top w:val="none" w:sz="0" w:space="0" w:color="auto"/>
                    <w:left w:val="none" w:sz="0" w:space="0" w:color="auto"/>
                    <w:bottom w:val="none" w:sz="0" w:space="0" w:color="auto"/>
                    <w:right w:val="none" w:sz="0" w:space="0" w:color="auto"/>
                  </w:divBdr>
                  <w:divsChild>
                    <w:div w:id="101207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857756">
          <w:marLeft w:val="0"/>
          <w:marRight w:val="0"/>
          <w:marTop w:val="0"/>
          <w:marBottom w:val="0"/>
          <w:divBdr>
            <w:top w:val="none" w:sz="0" w:space="0" w:color="auto"/>
            <w:left w:val="none" w:sz="0" w:space="0" w:color="auto"/>
            <w:bottom w:val="none" w:sz="0" w:space="0" w:color="auto"/>
            <w:right w:val="none" w:sz="0" w:space="0" w:color="auto"/>
          </w:divBdr>
        </w:div>
        <w:div w:id="1731418640">
          <w:marLeft w:val="0"/>
          <w:marRight w:val="0"/>
          <w:marTop w:val="0"/>
          <w:marBottom w:val="0"/>
          <w:divBdr>
            <w:top w:val="none" w:sz="0" w:space="0" w:color="auto"/>
            <w:left w:val="none" w:sz="0" w:space="0" w:color="auto"/>
            <w:bottom w:val="none" w:sz="0" w:space="0" w:color="auto"/>
            <w:right w:val="none" w:sz="0" w:space="0" w:color="auto"/>
          </w:divBdr>
        </w:div>
        <w:div w:id="1769738307">
          <w:marLeft w:val="0"/>
          <w:marRight w:val="0"/>
          <w:marTop w:val="0"/>
          <w:marBottom w:val="0"/>
          <w:divBdr>
            <w:top w:val="none" w:sz="0" w:space="0" w:color="auto"/>
            <w:left w:val="none" w:sz="0" w:space="0" w:color="auto"/>
            <w:bottom w:val="none" w:sz="0" w:space="0" w:color="auto"/>
            <w:right w:val="none" w:sz="0" w:space="0" w:color="auto"/>
          </w:divBdr>
        </w:div>
        <w:div w:id="1862620704">
          <w:marLeft w:val="0"/>
          <w:marRight w:val="0"/>
          <w:marTop w:val="0"/>
          <w:marBottom w:val="0"/>
          <w:divBdr>
            <w:top w:val="none" w:sz="0" w:space="0" w:color="auto"/>
            <w:left w:val="none" w:sz="0" w:space="0" w:color="auto"/>
            <w:bottom w:val="none" w:sz="0" w:space="0" w:color="auto"/>
            <w:right w:val="none" w:sz="0" w:space="0" w:color="auto"/>
          </w:divBdr>
        </w:div>
        <w:div w:id="1864855593">
          <w:marLeft w:val="0"/>
          <w:marRight w:val="0"/>
          <w:marTop w:val="0"/>
          <w:marBottom w:val="0"/>
          <w:divBdr>
            <w:top w:val="none" w:sz="0" w:space="0" w:color="auto"/>
            <w:left w:val="none" w:sz="0" w:space="0" w:color="auto"/>
            <w:bottom w:val="none" w:sz="0" w:space="0" w:color="auto"/>
            <w:right w:val="none" w:sz="0" w:space="0" w:color="auto"/>
          </w:divBdr>
        </w:div>
      </w:divsChild>
    </w:div>
    <w:div w:id="1482965146">
      <w:bodyDiv w:val="1"/>
      <w:marLeft w:val="0"/>
      <w:marRight w:val="0"/>
      <w:marTop w:val="0"/>
      <w:marBottom w:val="0"/>
      <w:divBdr>
        <w:top w:val="none" w:sz="0" w:space="0" w:color="auto"/>
        <w:left w:val="none" w:sz="0" w:space="0" w:color="auto"/>
        <w:bottom w:val="none" w:sz="0" w:space="0" w:color="auto"/>
        <w:right w:val="none" w:sz="0" w:space="0" w:color="auto"/>
      </w:divBdr>
    </w:div>
    <w:div w:id="1491870992">
      <w:bodyDiv w:val="1"/>
      <w:marLeft w:val="0"/>
      <w:marRight w:val="0"/>
      <w:marTop w:val="0"/>
      <w:marBottom w:val="0"/>
      <w:divBdr>
        <w:top w:val="none" w:sz="0" w:space="0" w:color="auto"/>
        <w:left w:val="none" w:sz="0" w:space="0" w:color="auto"/>
        <w:bottom w:val="none" w:sz="0" w:space="0" w:color="auto"/>
        <w:right w:val="none" w:sz="0" w:space="0" w:color="auto"/>
      </w:divBdr>
    </w:div>
    <w:div w:id="1504316629">
      <w:bodyDiv w:val="1"/>
      <w:marLeft w:val="0"/>
      <w:marRight w:val="0"/>
      <w:marTop w:val="0"/>
      <w:marBottom w:val="0"/>
      <w:divBdr>
        <w:top w:val="none" w:sz="0" w:space="0" w:color="auto"/>
        <w:left w:val="none" w:sz="0" w:space="0" w:color="auto"/>
        <w:bottom w:val="none" w:sz="0" w:space="0" w:color="auto"/>
        <w:right w:val="none" w:sz="0" w:space="0" w:color="auto"/>
      </w:divBdr>
    </w:div>
    <w:div w:id="1609391391">
      <w:bodyDiv w:val="1"/>
      <w:marLeft w:val="0"/>
      <w:marRight w:val="0"/>
      <w:marTop w:val="0"/>
      <w:marBottom w:val="0"/>
      <w:divBdr>
        <w:top w:val="none" w:sz="0" w:space="0" w:color="auto"/>
        <w:left w:val="none" w:sz="0" w:space="0" w:color="auto"/>
        <w:bottom w:val="none" w:sz="0" w:space="0" w:color="auto"/>
        <w:right w:val="none" w:sz="0" w:space="0" w:color="auto"/>
      </w:divBdr>
    </w:div>
    <w:div w:id="1672558946">
      <w:bodyDiv w:val="1"/>
      <w:marLeft w:val="0"/>
      <w:marRight w:val="0"/>
      <w:marTop w:val="0"/>
      <w:marBottom w:val="0"/>
      <w:divBdr>
        <w:top w:val="none" w:sz="0" w:space="0" w:color="auto"/>
        <w:left w:val="none" w:sz="0" w:space="0" w:color="auto"/>
        <w:bottom w:val="none" w:sz="0" w:space="0" w:color="auto"/>
        <w:right w:val="none" w:sz="0" w:space="0" w:color="auto"/>
      </w:divBdr>
    </w:div>
    <w:div w:id="1743331665">
      <w:bodyDiv w:val="1"/>
      <w:marLeft w:val="0"/>
      <w:marRight w:val="0"/>
      <w:marTop w:val="0"/>
      <w:marBottom w:val="0"/>
      <w:divBdr>
        <w:top w:val="none" w:sz="0" w:space="0" w:color="auto"/>
        <w:left w:val="none" w:sz="0" w:space="0" w:color="auto"/>
        <w:bottom w:val="none" w:sz="0" w:space="0" w:color="auto"/>
        <w:right w:val="none" w:sz="0" w:space="0" w:color="auto"/>
      </w:divBdr>
    </w:div>
    <w:div w:id="1868790050">
      <w:bodyDiv w:val="1"/>
      <w:marLeft w:val="0"/>
      <w:marRight w:val="0"/>
      <w:marTop w:val="0"/>
      <w:marBottom w:val="0"/>
      <w:divBdr>
        <w:top w:val="none" w:sz="0" w:space="0" w:color="auto"/>
        <w:left w:val="none" w:sz="0" w:space="0" w:color="auto"/>
        <w:bottom w:val="none" w:sz="0" w:space="0" w:color="auto"/>
        <w:right w:val="none" w:sz="0" w:space="0" w:color="auto"/>
      </w:divBdr>
    </w:div>
    <w:div w:id="1932003763">
      <w:bodyDiv w:val="1"/>
      <w:marLeft w:val="0"/>
      <w:marRight w:val="0"/>
      <w:marTop w:val="0"/>
      <w:marBottom w:val="0"/>
      <w:divBdr>
        <w:top w:val="none" w:sz="0" w:space="0" w:color="auto"/>
        <w:left w:val="none" w:sz="0" w:space="0" w:color="auto"/>
        <w:bottom w:val="none" w:sz="0" w:space="0" w:color="auto"/>
        <w:right w:val="none" w:sz="0" w:space="0" w:color="auto"/>
      </w:divBdr>
    </w:div>
    <w:div w:id="2015959812">
      <w:bodyDiv w:val="1"/>
      <w:marLeft w:val="0"/>
      <w:marRight w:val="0"/>
      <w:marTop w:val="0"/>
      <w:marBottom w:val="0"/>
      <w:divBdr>
        <w:top w:val="none" w:sz="0" w:space="0" w:color="auto"/>
        <w:left w:val="none" w:sz="0" w:space="0" w:color="auto"/>
        <w:bottom w:val="none" w:sz="0" w:space="0" w:color="auto"/>
        <w:right w:val="none" w:sz="0" w:space="0" w:color="auto"/>
      </w:divBdr>
    </w:div>
    <w:div w:id="2100636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data.europa.eu/eli/dir/2024/1785/oj" TargetMode="External"/><Relationship Id="rId18" Type="http://schemas.openxmlformats.org/officeDocument/2006/relationships/hyperlink" Target="mailto:kristjan.kaldmaa@kliimaministeerium.ee" TargetMode="External"/><Relationship Id="rId26" Type="http://schemas.openxmlformats.org/officeDocument/2006/relationships/hyperlink" Target="https://www.emta.ee/eraklient/maksud-ja-tasumine/maksusoodustused/maksuvaba-tulu-arvestamine" TargetMode="External"/><Relationship Id="rId3" Type="http://schemas.openxmlformats.org/officeDocument/2006/relationships/customXml" Target="../customXml/item3.xml"/><Relationship Id="rId21" Type="http://schemas.openxmlformats.org/officeDocument/2006/relationships/hyperlink" Target="mailto:inge.mehide@justdigi.ee" TargetMode="External"/><Relationship Id="rId7" Type="http://schemas.openxmlformats.org/officeDocument/2006/relationships/styles" Target="styles.xml"/><Relationship Id="rId12" Type="http://schemas.openxmlformats.org/officeDocument/2006/relationships/hyperlink" Target="http://data.europa.eu/eli/dir/2024/1711/oj" TargetMode="External"/><Relationship Id="rId17" Type="http://schemas.openxmlformats.org/officeDocument/2006/relationships/hyperlink" Target="mailto:liis.kilk@kliimaministeerium.ee"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mailto:tauno.hilimon@kliimaministeerium.ee" TargetMode="External"/><Relationship Id="rId20" Type="http://schemas.openxmlformats.org/officeDocument/2006/relationships/hyperlink" Target="mailto:kristel.soodla@kliimaministeerium.e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hyperlink" Target="mailto:marie-ursula.vaks@kliimaministeerium.ee" TargetMode="External"/><Relationship Id="rId23" Type="http://schemas.openxmlformats.org/officeDocument/2006/relationships/image" Target="media/image1.png"/><Relationship Id="rId28" Type="http://schemas.openxmlformats.org/officeDocument/2006/relationships/image" Target="media/image5.png"/><Relationship Id="rId10" Type="http://schemas.openxmlformats.org/officeDocument/2006/relationships/footnotes" Target="footnotes.xml"/><Relationship Id="rId19" Type="http://schemas.openxmlformats.org/officeDocument/2006/relationships/hyperlink" Target="mailto:kathlin.oeselg@kliimaministeerium.e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data.europa.eu/eli/reg/2024/1106/oj" TargetMode="External"/><Relationship Id="rId22" Type="http://schemas.openxmlformats.org/officeDocument/2006/relationships/hyperlink" Target="mailto:merike.koppel@justdigi.ee" TargetMode="External"/><Relationship Id="rId27" Type="http://schemas.openxmlformats.org/officeDocument/2006/relationships/image" Target="media/image4.png"/><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view.officeapps.live.com/op/view.aspx?src=https%3A%2F%2Felering.ee%2Fsites%2Fdefault%2Ffiles%2Fpublic%2FV%25C3%25B5rguga%2520%25C3%25BChendatud%2520tootmismoodulite%2520andmed_2025.xlsx&amp;wdOrigin=BROWSELINK" TargetMode="External"/><Relationship Id="rId18" Type="http://schemas.openxmlformats.org/officeDocument/2006/relationships/hyperlink" Target="https://competition-cases.ec.europa.eu/cases/SA.55604?utm_source=chatgpt.com" TargetMode="External"/><Relationship Id="rId26" Type="http://schemas.openxmlformats.org/officeDocument/2006/relationships/hyperlink" Target="https://adr.envir.ee/et/document.html?id=b2e9d231-684e-4bd8-8cee-0360c3716584" TargetMode="External"/><Relationship Id="rId39" Type="http://schemas.openxmlformats.org/officeDocument/2006/relationships/hyperlink" Target="https://eur-lex.europa.eu/legal-content/EN/TXT/?uri=OJ:L_202401711" TargetMode="External"/><Relationship Id="rId21" Type="http://schemas.openxmlformats.org/officeDocument/2006/relationships/hyperlink" Target="https://riigikantselei.ee/el-poliitika-julgeolek-ja-riigikaitse/julgeoleku-ja-riigikaitse-koordineerimine" TargetMode="External"/><Relationship Id="rId34" Type="http://schemas.openxmlformats.org/officeDocument/2006/relationships/hyperlink" Target="https://www.konkurentsiamet.ee/analuusid-ja-uuringud/elektri-ja-gaasituru-aruanded" TargetMode="External"/><Relationship Id="rId42" Type="http://schemas.openxmlformats.org/officeDocument/2006/relationships/hyperlink" Target="https://www.konkurentsiamet.ee/analuusid-ja-uuringud/elektri-ja-gaasituru-aruanded" TargetMode="External"/><Relationship Id="rId7" Type="http://schemas.openxmlformats.org/officeDocument/2006/relationships/hyperlink" Target="https://www.riigikantselei.ee/riskid" TargetMode="External"/><Relationship Id="rId2" Type="http://schemas.openxmlformats.org/officeDocument/2006/relationships/hyperlink" Target="https://eur-lex.europa.eu/legal-content/ET/ALL/?uri=celex%3A32011R1227" TargetMode="External"/><Relationship Id="rId16" Type="http://schemas.openxmlformats.org/officeDocument/2006/relationships/hyperlink" Target="https://www.riigiteataja.ee/akt/102102025011?leiaKehtiv" TargetMode="External"/><Relationship Id="rId29" Type="http://schemas.openxmlformats.org/officeDocument/2006/relationships/hyperlink" Target="https://elektrilevi.ee/et/ettevottest/tutvustus" TargetMode="External"/><Relationship Id="rId1" Type="http://schemas.openxmlformats.org/officeDocument/2006/relationships/hyperlink" Target="https://eur-lex.europa.eu/legal-content/EN/TXT/?uri=CELEX%3A32024R1106" TargetMode="External"/><Relationship Id="rId6" Type="http://schemas.openxmlformats.org/officeDocument/2006/relationships/hyperlink" Target="https://www.ria.ee/sites/default/files/documents/2024-06/energeetikasektori-kuberriskianaluus-2024.pdf" TargetMode="External"/><Relationship Id="rId11" Type="http://schemas.openxmlformats.org/officeDocument/2006/relationships/hyperlink" Target="https://tuuleenergia.ee/tuuleenergia-eestis/" TargetMode="External"/><Relationship Id="rId24" Type="http://schemas.openxmlformats.org/officeDocument/2006/relationships/hyperlink" Target="https://www.solarwinds.com/securityadvisory" TargetMode="External"/><Relationship Id="rId32" Type="http://schemas.openxmlformats.org/officeDocument/2006/relationships/hyperlink" Target="https://gaasivork.ee/ettevottest-gaasivork/" TargetMode="External"/><Relationship Id="rId37" Type="http://schemas.openxmlformats.org/officeDocument/2006/relationships/hyperlink" Target="https://www.enefit.com/et/-/investori-uudised/eesti-energia-kontserni-2022-majandusaasta-auditeerimata-tulemused?utm_source=chatgpt.com" TargetMode="External"/><Relationship Id="rId40" Type="http://schemas.openxmlformats.org/officeDocument/2006/relationships/hyperlink" Target="https://eur-lex.europa.eu/legal-content/ET/ALL/?uri=CELEX%3A32018L2001" TargetMode="External"/><Relationship Id="rId45" Type="http://schemas.openxmlformats.org/officeDocument/2006/relationships/hyperlink" Target="https://www.konkurentsiamet.ee/uudised/konkurentsiamet-maaras-elering-ile-energia-hulgimuugituru-reeglite-rikkumise-eest" TargetMode="External"/><Relationship Id="rId5" Type="http://schemas.openxmlformats.org/officeDocument/2006/relationships/hyperlink" Target="https://kapo.ee/sites/default/files/content_page_attachments/aastaraamat-2024-2025_0.pdf" TargetMode="External"/><Relationship Id="rId15" Type="http://schemas.openxmlformats.org/officeDocument/2006/relationships/hyperlink" Target="https://utilitas.ee/" TargetMode="External"/><Relationship Id="rId23" Type="http://schemas.openxmlformats.org/officeDocument/2006/relationships/hyperlink" Target="https://www.riigikogu.ee/tegevus/eelnoud/eelnou/70adb908-b70f-4d8b-9b20-2b25ad2d269e/" TargetMode="External"/><Relationship Id="rId28" Type="http://schemas.openxmlformats.org/officeDocument/2006/relationships/hyperlink" Target="https://www.nordpoolgroup.com/en/message-center-container/newsroom/exchange-message-list/2024/q3/euronext-and-nord-pool-announce-nordic-and-baltic-power-futures-market/" TargetMode="External"/><Relationship Id="rId36" Type="http://schemas.openxmlformats.org/officeDocument/2006/relationships/hyperlink" Target="https://www.enefit.com/et/-/investori-uudised/eesti-energia-kontserni-2024-aasta-tulemused?utm_source=chatgpt.com" TargetMode="External"/><Relationship Id="rId10" Type="http://schemas.openxmlformats.org/officeDocument/2006/relationships/hyperlink" Target="https://elering.ee/sites/default/files/public/varustuskindluse%20konverentsid/Elering_VKA_2024_0.pdf" TargetMode="External"/><Relationship Id="rId19" Type="http://schemas.openxmlformats.org/officeDocument/2006/relationships/hyperlink" Target="https://www.nordpoolgroup.com/en/message-center-container/newsroom/exchange-message-list/2024/q3/euronext-and-nord-pool-announce-nordic-and-baltic-power-futures-market/" TargetMode="External"/><Relationship Id="rId31" Type="http://schemas.openxmlformats.org/officeDocument/2006/relationships/hyperlink" Target="https://elektrilevi.ee/et/liitumised/uhisostult-uksikostule" TargetMode="External"/><Relationship Id="rId44" Type="http://schemas.openxmlformats.org/officeDocument/2006/relationships/hyperlink" Target="https://www.konkurentsiamet.ee/uudised/konkurentsiamet-maaras-elering-ile-energia-hulgimuugituru-reeglite-rikkumise-eest-0" TargetMode="External"/><Relationship Id="rId4" Type="http://schemas.openxmlformats.org/officeDocument/2006/relationships/hyperlink" Target="https://valisluureamet.ee/doc/raport/2024-et.pdf" TargetMode="External"/><Relationship Id="rId9" Type="http://schemas.openxmlformats.org/officeDocument/2006/relationships/hyperlink" Target="https://elering.ee/sites/default/files/public/varustuskindluse%20konverentsid/Elering_VKA_2024_0.pdf" TargetMode="External"/><Relationship Id="rId14" Type="http://schemas.openxmlformats.org/officeDocument/2006/relationships/hyperlink" Target="https://elering.ee/sites/default/files/public/varustuskindluse%20konverentsid/Elering_VKA_2024_0.pdf" TargetMode="External"/><Relationship Id="rId22" Type="http://schemas.openxmlformats.org/officeDocument/2006/relationships/hyperlink" Target="https://ec.europa.eu/digital-single-market/en/news/eu-wide-coordinated-risk-assessment-5g-networks-security." TargetMode="External"/><Relationship Id="rId27" Type="http://schemas.openxmlformats.org/officeDocument/2006/relationships/hyperlink" Target="https://adr.envir.ee/et/document.html?id=85ed23bc-7992-46ba-8bbf-2ae7de9f333c" TargetMode="External"/><Relationship Id="rId30" Type="http://schemas.openxmlformats.org/officeDocument/2006/relationships/hyperlink" Target="https://www.konkurentsiamet.ee/uudised/konkurentsiamet-maaras-elering-ile-energia-hulgimuugituru-reeglite-rikkumise-eest-0" TargetMode="External"/><Relationship Id="rId35" Type="http://schemas.openxmlformats.org/officeDocument/2006/relationships/hyperlink" Target="https://www.enefit.com/et/-/investori-uudised/eesti-energia-kontserni-2022-majandusaasta-auditeerimata-tulemused?utm_source=chatgpt.com" TargetMode="External"/><Relationship Id="rId43" Type="http://schemas.openxmlformats.org/officeDocument/2006/relationships/hyperlink" Target="https://www.elering.ee/gaasi-bilansiteenus" TargetMode="External"/><Relationship Id="rId8" Type="http://schemas.openxmlformats.org/officeDocument/2006/relationships/hyperlink" Target="https://elering.ee/sites/default/files/public/varustuskindluse%20konverentsid/Elering_VKA_2024_0.pdf" TargetMode="External"/><Relationship Id="rId3" Type="http://schemas.openxmlformats.org/officeDocument/2006/relationships/hyperlink" Target="https://elering.ee/sites/default/files/public/varustuskindluse%20konverentsid/2024/Elering_VKA_2024_04062025.pdf" TargetMode="External"/><Relationship Id="rId12" Type="http://schemas.openxmlformats.org/officeDocument/2006/relationships/hyperlink" Target="https://elering.ee/elektri-tarbimine-ja-tootmine" TargetMode="External"/><Relationship Id="rId17" Type="http://schemas.openxmlformats.org/officeDocument/2006/relationships/hyperlink" Target="https://www.riigiteataja.ee/akt/108122023003?leiaKehtiv" TargetMode="External"/><Relationship Id="rId25" Type="http://schemas.openxmlformats.org/officeDocument/2006/relationships/hyperlink" Target="https://www.zdnet.com/article/solarwinds-the-more-we-learn-the-worse-it-looks/" TargetMode="External"/><Relationship Id="rId33" Type="http://schemas.openxmlformats.org/officeDocument/2006/relationships/hyperlink" Target="https://www.konkurentsiamet.ee/uudised/konkurentsiamet-maaras-elering-ile-energia-hulgimuugituru-reeglite-rikkumise-eest" TargetMode="External"/><Relationship Id="rId38" Type="http://schemas.openxmlformats.org/officeDocument/2006/relationships/hyperlink" Target="https://www.konkurentsiamet.ee/analuusid-ja-uuringud/elektri-ja-gaasituru-aruanded" TargetMode="External"/><Relationship Id="rId20" Type="http://schemas.openxmlformats.org/officeDocument/2006/relationships/hyperlink" Target="https://riigikantselei.ee/el-poliitika-julgeolek-ja-riigikaitse/julgeoleku-ja-riigikaitse-koordineerimine" TargetMode="External"/><Relationship Id="rId41" Type="http://schemas.openxmlformats.org/officeDocument/2006/relationships/hyperlink" Target="https://www.elering.ee/elektri-bilansiteenus"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da65946-8263-4cf8-8897-5739a7bde20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510BA7BB563FD4F80129365C50A2981" ma:contentTypeVersion="10" ma:contentTypeDescription="Create a new document." ma:contentTypeScope="" ma:versionID="c9f36f7230934a8ececf84bdce2daaf7">
  <xsd:schema xmlns:xsd="http://www.w3.org/2001/XMLSchema" xmlns:xs="http://www.w3.org/2001/XMLSchema" xmlns:p="http://schemas.microsoft.com/office/2006/metadata/properties" xmlns:ns3="7da65946-8263-4cf8-8897-5739a7bde208" targetNamespace="http://schemas.microsoft.com/office/2006/metadata/properties" ma:root="true" ma:fieldsID="e5e257a8a3cf238cb5c192cdfcc7ffef" ns3:_="">
    <xsd:import namespace="7da65946-8263-4cf8-8897-5739a7bde20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a65946-8263-4cf8-8897-5739a7bde20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74E67D-D2B7-4BA0-8124-0C1EE45B1E0B}">
  <ds:schemaRefs>
    <ds:schemaRef ds:uri="http://schemas.microsoft.com/sharepoint/v3/contenttype/forms"/>
  </ds:schemaRefs>
</ds:datastoreItem>
</file>

<file path=customXml/itemProps3.xml><?xml version="1.0" encoding="utf-8"?>
<ds:datastoreItem xmlns:ds="http://schemas.openxmlformats.org/officeDocument/2006/customXml" ds:itemID="{D04976B1-5C56-4C0F-A610-DDEE5A04E1E5}">
  <ds:schemaRefs>
    <ds:schemaRef ds:uri="7da65946-8263-4cf8-8897-5739a7bde208"/>
    <ds:schemaRef ds:uri="http://schemas.microsoft.com/office/infopath/2007/PartnerControls"/>
    <ds:schemaRef ds:uri="http://purl.org/dc/dcmitype/"/>
    <ds:schemaRef ds:uri="http://schemas.microsoft.com/office/2006/documentManagement/types"/>
    <ds:schemaRef ds:uri="http://purl.org/dc/terms/"/>
    <ds:schemaRef ds:uri="http://schemas.openxmlformats.org/package/2006/metadata/core-properties"/>
    <ds:schemaRef ds:uri="http://www.w3.org/XML/1998/namespace"/>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A2C33E1D-F29C-4A10-895B-980D70FB998B}">
  <ds:schemaRefs>
    <ds:schemaRef ds:uri="http://schemas.openxmlformats.org/officeDocument/2006/bibliography"/>
  </ds:schemaRefs>
</ds:datastoreItem>
</file>

<file path=customXml/itemProps5.xml><?xml version="1.0" encoding="utf-8"?>
<ds:datastoreItem xmlns:ds="http://schemas.openxmlformats.org/officeDocument/2006/customXml" ds:itemID="{4FEAA502-C4E7-4B02-A82E-634B5FBA2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a65946-8263-4cf8-8897-5739a7bde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1078</TotalTime>
  <Pages>64</Pages>
  <Words>30310</Words>
  <Characters>175802</Characters>
  <Application>Microsoft Office Word</Application>
  <DocSecurity>0</DocSecurity>
  <Lines>1465</Lines>
  <Paragraphs>411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SK_ELTS_eelnõu</vt:lpstr>
      <vt:lpstr>SK_ELTS_eelnõu</vt:lpstr>
    </vt:vector>
  </TitlesOfParts>
  <Company>Majandus- ja Kommunikatsiooniministeerium</Company>
  <LinksUpToDate>false</LinksUpToDate>
  <CharactersWithSpaces>205701</CharactersWithSpaces>
  <SharedDoc>false</SharedDoc>
  <HLinks>
    <vt:vector size="264" baseType="variant">
      <vt:variant>
        <vt:i4>1638404</vt:i4>
      </vt:variant>
      <vt:variant>
        <vt:i4>33</vt:i4>
      </vt:variant>
      <vt:variant>
        <vt:i4>0</vt:i4>
      </vt:variant>
      <vt:variant>
        <vt:i4>5</vt:i4>
      </vt:variant>
      <vt:variant>
        <vt:lpwstr>https://www.riigikantselei.ee/riskid</vt:lpwstr>
      </vt:variant>
      <vt:variant>
        <vt:lpwstr/>
      </vt:variant>
      <vt:variant>
        <vt:i4>8126508</vt:i4>
      </vt:variant>
      <vt:variant>
        <vt:i4>30</vt:i4>
      </vt:variant>
      <vt:variant>
        <vt:i4>0</vt:i4>
      </vt:variant>
      <vt:variant>
        <vt:i4>5</vt:i4>
      </vt:variant>
      <vt:variant>
        <vt:lpwstr>https://www.ria.ee/sites/default/files/documents/2024-06/energeetikasektori-kuberriskianaluus-2024.pdf</vt:lpwstr>
      </vt:variant>
      <vt:variant>
        <vt:lpwstr/>
      </vt:variant>
      <vt:variant>
        <vt:i4>4128850</vt:i4>
      </vt:variant>
      <vt:variant>
        <vt:i4>27</vt:i4>
      </vt:variant>
      <vt:variant>
        <vt:i4>0</vt:i4>
      </vt:variant>
      <vt:variant>
        <vt:i4>5</vt:i4>
      </vt:variant>
      <vt:variant>
        <vt:lpwstr>https://kapo.ee/sites/default/files/content_page_attachments/aastaraamat-2024-2025_0.pdf</vt:lpwstr>
      </vt:variant>
      <vt:variant>
        <vt:lpwstr/>
      </vt:variant>
      <vt:variant>
        <vt:i4>4390930</vt:i4>
      </vt:variant>
      <vt:variant>
        <vt:i4>24</vt:i4>
      </vt:variant>
      <vt:variant>
        <vt:i4>0</vt:i4>
      </vt:variant>
      <vt:variant>
        <vt:i4>5</vt:i4>
      </vt:variant>
      <vt:variant>
        <vt:lpwstr>https://valisluureamet.ee/doc/raport/2024-et.pdf</vt:lpwstr>
      </vt:variant>
      <vt:variant>
        <vt:lpwstr/>
      </vt:variant>
      <vt:variant>
        <vt:i4>1704041</vt:i4>
      </vt:variant>
      <vt:variant>
        <vt:i4>21</vt:i4>
      </vt:variant>
      <vt:variant>
        <vt:i4>0</vt:i4>
      </vt:variant>
      <vt:variant>
        <vt:i4>5</vt:i4>
      </vt:variant>
      <vt:variant>
        <vt:lpwstr>https://elering.ee/sites/default/files/public/varustuskindluse konverentsid/2024/Elering_VKA_2024_04062025.pdf</vt:lpwstr>
      </vt:variant>
      <vt:variant>
        <vt:lpwstr/>
      </vt:variant>
      <vt:variant>
        <vt:i4>7995396</vt:i4>
      </vt:variant>
      <vt:variant>
        <vt:i4>18</vt:i4>
      </vt:variant>
      <vt:variant>
        <vt:i4>0</vt:i4>
      </vt:variant>
      <vt:variant>
        <vt:i4>5</vt:i4>
      </vt:variant>
      <vt:variant>
        <vt:lpwstr>mailto:inge.mehide@justdigi.ee</vt:lpwstr>
      </vt:variant>
      <vt:variant>
        <vt:lpwstr/>
      </vt:variant>
      <vt:variant>
        <vt:i4>5963824</vt:i4>
      </vt:variant>
      <vt:variant>
        <vt:i4>15</vt:i4>
      </vt:variant>
      <vt:variant>
        <vt:i4>0</vt:i4>
      </vt:variant>
      <vt:variant>
        <vt:i4>5</vt:i4>
      </vt:variant>
      <vt:variant>
        <vt:lpwstr>mailto:kathlin.oeselg@kliimaministeerium.ee</vt:lpwstr>
      </vt:variant>
      <vt:variant>
        <vt:lpwstr/>
      </vt:variant>
      <vt:variant>
        <vt:i4>3997776</vt:i4>
      </vt:variant>
      <vt:variant>
        <vt:i4>12</vt:i4>
      </vt:variant>
      <vt:variant>
        <vt:i4>0</vt:i4>
      </vt:variant>
      <vt:variant>
        <vt:i4>5</vt:i4>
      </vt:variant>
      <vt:variant>
        <vt:lpwstr>mailto:tauno.hilimon@kliimaministeerium.ee</vt:lpwstr>
      </vt:variant>
      <vt:variant>
        <vt:lpwstr/>
      </vt:variant>
      <vt:variant>
        <vt:i4>7864384</vt:i4>
      </vt:variant>
      <vt:variant>
        <vt:i4>9</vt:i4>
      </vt:variant>
      <vt:variant>
        <vt:i4>0</vt:i4>
      </vt:variant>
      <vt:variant>
        <vt:i4>5</vt:i4>
      </vt:variant>
      <vt:variant>
        <vt:lpwstr>mailto:marie-ursula.vaks@kliimaministeerium.ee</vt:lpwstr>
      </vt:variant>
      <vt:variant>
        <vt:lpwstr/>
      </vt:variant>
      <vt:variant>
        <vt:i4>7143531</vt:i4>
      </vt:variant>
      <vt:variant>
        <vt:i4>6</vt:i4>
      </vt:variant>
      <vt:variant>
        <vt:i4>0</vt:i4>
      </vt:variant>
      <vt:variant>
        <vt:i4>5</vt:i4>
      </vt:variant>
      <vt:variant>
        <vt:lpwstr>http://data.europa.eu/eli/reg/2024/1106/oj</vt:lpwstr>
      </vt:variant>
      <vt:variant>
        <vt:lpwstr/>
      </vt:variant>
      <vt:variant>
        <vt:i4>6881389</vt:i4>
      </vt:variant>
      <vt:variant>
        <vt:i4>3</vt:i4>
      </vt:variant>
      <vt:variant>
        <vt:i4>0</vt:i4>
      </vt:variant>
      <vt:variant>
        <vt:i4>5</vt:i4>
      </vt:variant>
      <vt:variant>
        <vt:lpwstr>http://data.europa.eu/eli/dir/2024/1785/oj</vt:lpwstr>
      </vt:variant>
      <vt:variant>
        <vt:lpwstr/>
      </vt:variant>
      <vt:variant>
        <vt:i4>6291561</vt:i4>
      </vt:variant>
      <vt:variant>
        <vt:i4>0</vt:i4>
      </vt:variant>
      <vt:variant>
        <vt:i4>0</vt:i4>
      </vt:variant>
      <vt:variant>
        <vt:i4>5</vt:i4>
      </vt:variant>
      <vt:variant>
        <vt:lpwstr>http://data.europa.eu/eli/dir/2024/1711/oj</vt:lpwstr>
      </vt:variant>
      <vt:variant>
        <vt:lpwstr/>
      </vt:variant>
      <vt:variant>
        <vt:i4>1966151</vt:i4>
      </vt:variant>
      <vt:variant>
        <vt:i4>87</vt:i4>
      </vt:variant>
      <vt:variant>
        <vt:i4>0</vt:i4>
      </vt:variant>
      <vt:variant>
        <vt:i4>5</vt:i4>
      </vt:variant>
      <vt:variant>
        <vt:lpwstr>https://www.konkurentsiamet.ee/uudised/konkurentsiamet-maaras-elering-ile-energia-hulgimuugituru-reeglite-rikkumise-eest</vt:lpwstr>
      </vt:variant>
      <vt:variant>
        <vt:lpwstr/>
      </vt:variant>
      <vt:variant>
        <vt:i4>3014762</vt:i4>
      </vt:variant>
      <vt:variant>
        <vt:i4>84</vt:i4>
      </vt:variant>
      <vt:variant>
        <vt:i4>0</vt:i4>
      </vt:variant>
      <vt:variant>
        <vt:i4>5</vt:i4>
      </vt:variant>
      <vt:variant>
        <vt:lpwstr>https://www.konkurentsiamet.ee/uudised/konkurentsiamet-maaras-elering-ile-energia-hulgimuugituru-reeglite-rikkumise-eest-0</vt:lpwstr>
      </vt:variant>
      <vt:variant>
        <vt:lpwstr/>
      </vt:variant>
      <vt:variant>
        <vt:i4>7143460</vt:i4>
      </vt:variant>
      <vt:variant>
        <vt:i4>81</vt:i4>
      </vt:variant>
      <vt:variant>
        <vt:i4>0</vt:i4>
      </vt:variant>
      <vt:variant>
        <vt:i4>5</vt:i4>
      </vt:variant>
      <vt:variant>
        <vt:lpwstr>https://www.elering.ee/gaasi-bilansiteenus</vt:lpwstr>
      </vt:variant>
      <vt:variant>
        <vt:lpwstr/>
      </vt:variant>
      <vt:variant>
        <vt:i4>851986</vt:i4>
      </vt:variant>
      <vt:variant>
        <vt:i4>78</vt:i4>
      </vt:variant>
      <vt:variant>
        <vt:i4>0</vt:i4>
      </vt:variant>
      <vt:variant>
        <vt:i4>5</vt:i4>
      </vt:variant>
      <vt:variant>
        <vt:lpwstr>https://www.konkurentsiamet.ee/analuusid-ja-uuringud/elektri-ja-gaasituru-aruanded</vt:lpwstr>
      </vt:variant>
      <vt:variant>
        <vt:lpwstr>item-2</vt:lpwstr>
      </vt:variant>
      <vt:variant>
        <vt:i4>2031683</vt:i4>
      </vt:variant>
      <vt:variant>
        <vt:i4>75</vt:i4>
      </vt:variant>
      <vt:variant>
        <vt:i4>0</vt:i4>
      </vt:variant>
      <vt:variant>
        <vt:i4>5</vt:i4>
      </vt:variant>
      <vt:variant>
        <vt:lpwstr>https://www.elering.ee/elektri-bilansiteenus</vt:lpwstr>
      </vt:variant>
      <vt:variant>
        <vt:lpwstr/>
      </vt:variant>
      <vt:variant>
        <vt:i4>2490419</vt:i4>
      </vt:variant>
      <vt:variant>
        <vt:i4>72</vt:i4>
      </vt:variant>
      <vt:variant>
        <vt:i4>0</vt:i4>
      </vt:variant>
      <vt:variant>
        <vt:i4>5</vt:i4>
      </vt:variant>
      <vt:variant>
        <vt:lpwstr>https://www.konkurentsiamet.ee/analuusid-ja-uuringud/elektri-ja-gaasituru-aruanded</vt:lpwstr>
      </vt:variant>
      <vt:variant>
        <vt:lpwstr/>
      </vt:variant>
      <vt:variant>
        <vt:i4>6488172</vt:i4>
      </vt:variant>
      <vt:variant>
        <vt:i4>69</vt:i4>
      </vt:variant>
      <vt:variant>
        <vt:i4>0</vt:i4>
      </vt:variant>
      <vt:variant>
        <vt:i4>5</vt:i4>
      </vt:variant>
      <vt:variant>
        <vt:lpwstr>https://eur-lex.europa.eu/legal-content/ET/ALL/?uri=CELEX%3A32018L2001</vt:lpwstr>
      </vt:variant>
      <vt:variant>
        <vt:lpwstr/>
      </vt:variant>
      <vt:variant>
        <vt:i4>7208971</vt:i4>
      </vt:variant>
      <vt:variant>
        <vt:i4>66</vt:i4>
      </vt:variant>
      <vt:variant>
        <vt:i4>0</vt:i4>
      </vt:variant>
      <vt:variant>
        <vt:i4>5</vt:i4>
      </vt:variant>
      <vt:variant>
        <vt:lpwstr>https://eur-lex.europa.eu/legal-content/EN/TXT/?uri=OJ:L_202401711</vt:lpwstr>
      </vt:variant>
      <vt:variant>
        <vt:lpwstr/>
      </vt:variant>
      <vt:variant>
        <vt:i4>2490419</vt:i4>
      </vt:variant>
      <vt:variant>
        <vt:i4>63</vt:i4>
      </vt:variant>
      <vt:variant>
        <vt:i4>0</vt:i4>
      </vt:variant>
      <vt:variant>
        <vt:i4>5</vt:i4>
      </vt:variant>
      <vt:variant>
        <vt:lpwstr>https://www.konkurentsiamet.ee/analuusid-ja-uuringud/elektri-ja-gaasituru-aruanded</vt:lpwstr>
      </vt:variant>
      <vt:variant>
        <vt:lpwstr/>
      </vt:variant>
      <vt:variant>
        <vt:i4>7274565</vt:i4>
      </vt:variant>
      <vt:variant>
        <vt:i4>60</vt:i4>
      </vt:variant>
      <vt:variant>
        <vt:i4>0</vt:i4>
      </vt:variant>
      <vt:variant>
        <vt:i4>5</vt:i4>
      </vt:variant>
      <vt:variant>
        <vt:lpwstr>https://www.enefit.com/et/-/investori-uudised/eesti-energia-kontserni-2022-majandusaasta-auditeerimata-tulemused?utm_source=chatgpt.com</vt:lpwstr>
      </vt:variant>
      <vt:variant>
        <vt:lpwstr/>
      </vt:variant>
      <vt:variant>
        <vt:i4>524397</vt:i4>
      </vt:variant>
      <vt:variant>
        <vt:i4>57</vt:i4>
      </vt:variant>
      <vt:variant>
        <vt:i4>0</vt:i4>
      </vt:variant>
      <vt:variant>
        <vt:i4>5</vt:i4>
      </vt:variant>
      <vt:variant>
        <vt:lpwstr>https://www.enefit.com/et/-/investori-uudised/eesti-energia-kontserni-2024-aasta-tulemused?utm_source=chatgpt.com</vt:lpwstr>
      </vt:variant>
      <vt:variant>
        <vt:lpwstr/>
      </vt:variant>
      <vt:variant>
        <vt:i4>7274565</vt:i4>
      </vt:variant>
      <vt:variant>
        <vt:i4>54</vt:i4>
      </vt:variant>
      <vt:variant>
        <vt:i4>0</vt:i4>
      </vt:variant>
      <vt:variant>
        <vt:i4>5</vt:i4>
      </vt:variant>
      <vt:variant>
        <vt:lpwstr>https://www.enefit.com/et/-/investori-uudised/eesti-energia-kontserni-2022-majandusaasta-auditeerimata-tulemused?utm_source=chatgpt.com</vt:lpwstr>
      </vt:variant>
      <vt:variant>
        <vt:lpwstr/>
      </vt:variant>
      <vt:variant>
        <vt:i4>1966151</vt:i4>
      </vt:variant>
      <vt:variant>
        <vt:i4>51</vt:i4>
      </vt:variant>
      <vt:variant>
        <vt:i4>0</vt:i4>
      </vt:variant>
      <vt:variant>
        <vt:i4>5</vt:i4>
      </vt:variant>
      <vt:variant>
        <vt:lpwstr>https://www.konkurentsiamet.ee/uudised/konkurentsiamet-maaras-elering-ile-energia-hulgimuugituru-reeglite-rikkumise-eest</vt:lpwstr>
      </vt:variant>
      <vt:variant>
        <vt:lpwstr/>
      </vt:variant>
      <vt:variant>
        <vt:i4>2424867</vt:i4>
      </vt:variant>
      <vt:variant>
        <vt:i4>48</vt:i4>
      </vt:variant>
      <vt:variant>
        <vt:i4>0</vt:i4>
      </vt:variant>
      <vt:variant>
        <vt:i4>5</vt:i4>
      </vt:variant>
      <vt:variant>
        <vt:lpwstr>https://gaasivork.ee/ettevottest-gaasivork/</vt:lpwstr>
      </vt:variant>
      <vt:variant>
        <vt:lpwstr/>
      </vt:variant>
      <vt:variant>
        <vt:i4>3014762</vt:i4>
      </vt:variant>
      <vt:variant>
        <vt:i4>45</vt:i4>
      </vt:variant>
      <vt:variant>
        <vt:i4>0</vt:i4>
      </vt:variant>
      <vt:variant>
        <vt:i4>5</vt:i4>
      </vt:variant>
      <vt:variant>
        <vt:lpwstr>https://www.konkurentsiamet.ee/uudised/konkurentsiamet-maaras-elering-ile-energia-hulgimuugituru-reeglite-rikkumise-eest-0</vt:lpwstr>
      </vt:variant>
      <vt:variant>
        <vt:lpwstr/>
      </vt:variant>
      <vt:variant>
        <vt:i4>2883692</vt:i4>
      </vt:variant>
      <vt:variant>
        <vt:i4>42</vt:i4>
      </vt:variant>
      <vt:variant>
        <vt:i4>0</vt:i4>
      </vt:variant>
      <vt:variant>
        <vt:i4>5</vt:i4>
      </vt:variant>
      <vt:variant>
        <vt:lpwstr>https://elektrilevi.ee/et/ettevottest/tutvustus</vt:lpwstr>
      </vt:variant>
      <vt:variant>
        <vt:lpwstr/>
      </vt:variant>
      <vt:variant>
        <vt:i4>4587598</vt:i4>
      </vt:variant>
      <vt:variant>
        <vt:i4>39</vt:i4>
      </vt:variant>
      <vt:variant>
        <vt:i4>0</vt:i4>
      </vt:variant>
      <vt:variant>
        <vt:i4>5</vt:i4>
      </vt:variant>
      <vt:variant>
        <vt:lpwstr>https://www.nordpoolgroup.com/en/message-center-container/newsroom/exchange-message-list/2024/q3/euronext-and-nord-pool-announce-nordic-and-baltic-power-futures-market/</vt:lpwstr>
      </vt:variant>
      <vt:variant>
        <vt:lpwstr/>
      </vt:variant>
      <vt:variant>
        <vt:i4>2097199</vt:i4>
      </vt:variant>
      <vt:variant>
        <vt:i4>36</vt:i4>
      </vt:variant>
      <vt:variant>
        <vt:i4>0</vt:i4>
      </vt:variant>
      <vt:variant>
        <vt:i4>5</vt:i4>
      </vt:variant>
      <vt:variant>
        <vt:lpwstr>https://www.zdnet.com/article/solarwinds-the-more-we-learn-the-worse-it-looks/</vt:lpwstr>
      </vt:variant>
      <vt:variant>
        <vt:lpwstr/>
      </vt:variant>
      <vt:variant>
        <vt:i4>2228268</vt:i4>
      </vt:variant>
      <vt:variant>
        <vt:i4>33</vt:i4>
      </vt:variant>
      <vt:variant>
        <vt:i4>0</vt:i4>
      </vt:variant>
      <vt:variant>
        <vt:i4>5</vt:i4>
      </vt:variant>
      <vt:variant>
        <vt:lpwstr>https://www.solarwinds.com/securityadvisory</vt:lpwstr>
      </vt:variant>
      <vt:variant>
        <vt:lpwstr/>
      </vt:variant>
      <vt:variant>
        <vt:i4>5374020</vt:i4>
      </vt:variant>
      <vt:variant>
        <vt:i4>30</vt:i4>
      </vt:variant>
      <vt:variant>
        <vt:i4>0</vt:i4>
      </vt:variant>
      <vt:variant>
        <vt:i4>5</vt:i4>
      </vt:variant>
      <vt:variant>
        <vt:lpwstr>https://www.riigikogu.ee/tegevus/eelnoud/eelnou/70adb908-b70f-4d8b-9b20-2b25ad2d269e/</vt:lpwstr>
      </vt:variant>
      <vt:variant>
        <vt:lpwstr/>
      </vt:variant>
      <vt:variant>
        <vt:i4>1179679</vt:i4>
      </vt:variant>
      <vt:variant>
        <vt:i4>27</vt:i4>
      </vt:variant>
      <vt:variant>
        <vt:i4>0</vt:i4>
      </vt:variant>
      <vt:variant>
        <vt:i4>5</vt:i4>
      </vt:variant>
      <vt:variant>
        <vt:lpwstr>https://ec.europa.eu/digital-single-market/en/news/eu-wide-coordinated-risk-assessment-5g-networks-security.</vt:lpwstr>
      </vt:variant>
      <vt:variant>
        <vt:lpwstr/>
      </vt:variant>
      <vt:variant>
        <vt:i4>6029319</vt:i4>
      </vt:variant>
      <vt:variant>
        <vt:i4>24</vt:i4>
      </vt:variant>
      <vt:variant>
        <vt:i4>0</vt:i4>
      </vt:variant>
      <vt:variant>
        <vt:i4>5</vt:i4>
      </vt:variant>
      <vt:variant>
        <vt:lpwstr>https://riigikantselei.ee/el-poliitika-julgeolek-ja-riigikaitse/julgeoleku-ja-riigikaitse-koordineerimine</vt:lpwstr>
      </vt:variant>
      <vt:variant>
        <vt:lpwstr/>
      </vt:variant>
      <vt:variant>
        <vt:i4>6029319</vt:i4>
      </vt:variant>
      <vt:variant>
        <vt:i4>21</vt:i4>
      </vt:variant>
      <vt:variant>
        <vt:i4>0</vt:i4>
      </vt:variant>
      <vt:variant>
        <vt:i4>5</vt:i4>
      </vt:variant>
      <vt:variant>
        <vt:lpwstr>https://riigikantselei.ee/el-poliitika-julgeolek-ja-riigikaitse/julgeoleku-ja-riigikaitse-koordineerimine</vt:lpwstr>
      </vt:variant>
      <vt:variant>
        <vt:lpwstr/>
      </vt:variant>
      <vt:variant>
        <vt:i4>4587598</vt:i4>
      </vt:variant>
      <vt:variant>
        <vt:i4>18</vt:i4>
      </vt:variant>
      <vt:variant>
        <vt:i4>0</vt:i4>
      </vt:variant>
      <vt:variant>
        <vt:i4>5</vt:i4>
      </vt:variant>
      <vt:variant>
        <vt:lpwstr>https://www.nordpoolgroup.com/en/message-center-container/newsroom/exchange-message-list/2024/q3/euronext-and-nord-pool-announce-nordic-and-baltic-power-futures-market/</vt:lpwstr>
      </vt:variant>
      <vt:variant>
        <vt:lpwstr/>
      </vt:variant>
      <vt:variant>
        <vt:i4>7405644</vt:i4>
      </vt:variant>
      <vt:variant>
        <vt:i4>15</vt:i4>
      </vt:variant>
      <vt:variant>
        <vt:i4>0</vt:i4>
      </vt:variant>
      <vt:variant>
        <vt:i4>5</vt:i4>
      </vt:variant>
      <vt:variant>
        <vt:lpwstr>https://competition-cases.ec.europa.eu/cases/SA.55604?utm_source=chatgpt.com</vt:lpwstr>
      </vt:variant>
      <vt:variant>
        <vt:lpwstr/>
      </vt:variant>
      <vt:variant>
        <vt:i4>4456479</vt:i4>
      </vt:variant>
      <vt:variant>
        <vt:i4>12</vt:i4>
      </vt:variant>
      <vt:variant>
        <vt:i4>0</vt:i4>
      </vt:variant>
      <vt:variant>
        <vt:i4>5</vt:i4>
      </vt:variant>
      <vt:variant>
        <vt:lpwstr>https://utilitas.ee/</vt:lpwstr>
      </vt:variant>
      <vt:variant>
        <vt:lpwstr/>
      </vt:variant>
      <vt:variant>
        <vt:i4>7340063</vt:i4>
      </vt:variant>
      <vt:variant>
        <vt:i4>9</vt:i4>
      </vt:variant>
      <vt:variant>
        <vt:i4>0</vt:i4>
      </vt:variant>
      <vt:variant>
        <vt:i4>5</vt:i4>
      </vt:variant>
      <vt:variant>
        <vt:lpwstr>https://elering.ee/sites/default/files/public/varustuskindluse konverentsid/Elering_VKA_2024_0.pdf</vt:lpwstr>
      </vt:variant>
      <vt:variant>
        <vt:lpwstr/>
      </vt:variant>
      <vt:variant>
        <vt:i4>7471110</vt:i4>
      </vt:variant>
      <vt:variant>
        <vt:i4>6</vt:i4>
      </vt:variant>
      <vt:variant>
        <vt:i4>0</vt:i4>
      </vt:variant>
      <vt:variant>
        <vt:i4>5</vt:i4>
      </vt:variant>
      <vt:variant>
        <vt:lpwstr>https://view.officeapps.live.com/op/view.aspx?src=https%3A%2F%2Felering.ee%2Fsites%2Fdefault%2Ffiles%2Fpublic%2FV%25C3%25B5rguga%2520%25C3%25BChendatud%2520tootmismoodulite%2520andmed_2025.xlsx&amp;wdOrigin=BROWSELINK</vt:lpwstr>
      </vt:variant>
      <vt:variant>
        <vt:lpwstr/>
      </vt:variant>
      <vt:variant>
        <vt:i4>7340063</vt:i4>
      </vt:variant>
      <vt:variant>
        <vt:i4>3</vt:i4>
      </vt:variant>
      <vt:variant>
        <vt:i4>0</vt:i4>
      </vt:variant>
      <vt:variant>
        <vt:i4>5</vt:i4>
      </vt:variant>
      <vt:variant>
        <vt:lpwstr>https://elering.ee/sites/default/files/public/varustuskindluse konverentsid/Elering_VKA_2024_0.pdf</vt:lpwstr>
      </vt:variant>
      <vt:variant>
        <vt:lpwstr/>
      </vt:variant>
      <vt:variant>
        <vt:i4>7274615</vt:i4>
      </vt:variant>
      <vt:variant>
        <vt:i4>0</vt:i4>
      </vt:variant>
      <vt:variant>
        <vt:i4>0</vt:i4>
      </vt:variant>
      <vt:variant>
        <vt:i4>5</vt:i4>
      </vt:variant>
      <vt:variant>
        <vt:lpwstr>https://eur-lex.europa.eu/legal-content/EN/TXT/?uri=CELEX%3A32024R1106</vt:lpwstr>
      </vt:variant>
      <vt:variant>
        <vt:lpwstr/>
      </vt:variant>
      <vt:variant>
        <vt:i4>5308461</vt:i4>
      </vt:variant>
      <vt:variant>
        <vt:i4>3</vt:i4>
      </vt:variant>
      <vt:variant>
        <vt:i4>0</vt:i4>
      </vt:variant>
      <vt:variant>
        <vt:i4>5</vt:i4>
      </vt:variant>
      <vt:variant>
        <vt:lpwstr>mailto:Marie.Vaks@kliimaministeerium.ee</vt:lpwstr>
      </vt:variant>
      <vt:variant>
        <vt:lpwstr/>
      </vt:variant>
      <vt:variant>
        <vt:i4>5308461</vt:i4>
      </vt:variant>
      <vt:variant>
        <vt:i4>0</vt:i4>
      </vt:variant>
      <vt:variant>
        <vt:i4>0</vt:i4>
      </vt:variant>
      <vt:variant>
        <vt:i4>5</vt:i4>
      </vt:variant>
      <vt:variant>
        <vt:lpwstr>mailto:Marie.Vaks@kliimaministeerium.ee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SK_ELTS_eelnõu</dc:title>
  <dc:subject/>
  <dc:creator>Marie-Ursula Vaks</dc:creator>
  <dc:description/>
  <cp:lastModifiedBy>Marie-Ursula Vaks</cp:lastModifiedBy>
  <cp:revision>79</cp:revision>
  <cp:lastPrinted>2017-04-07T17:27:00Z</cp:lastPrinted>
  <dcterms:created xsi:type="dcterms:W3CDTF">2025-10-12T08:37:00Z</dcterms:created>
  <dcterms:modified xsi:type="dcterms:W3CDTF">2025-11-14T10:37:00Z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2057-10.2.0.6020</vt:lpwstr>
  </property>
  <property fmtid="{D5CDD505-2E9C-101B-9397-08002B2CF9AE}" pid="3" name="ContentTypeId">
    <vt:lpwstr>0x0101009510BA7BB563FD4F80129365C50A2981</vt:lpwstr>
  </property>
</Properties>
</file>