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812" w:val="left" w:leader="none"/>
        </w:tabs>
        <w:rPr/>
      </w:pPr>
      <w:r>
        <w:rPr/>
        <w:t>Transpordiamet</w:t>
      </w:r>
      <w:r>
        <w:rPr/>
        <w:tab/>
        <w:t>Teie 28</w:t>
      </w:r>
      <w:r>
        <w:rPr/>
        <w:t>.02.2025 nr 7.2-2/25/5862-4</w:t>
      </w:r>
    </w:p>
    <w:p>
      <w:pPr>
        <w:tabs>
          <w:tab w:pos="5954" w:val="left" w:leader="none"/>
        </w:tabs>
        <w:rPr/>
      </w:pPr>
    </w:p>
    <w:p>
      <w:pPr>
        <w:tabs>
          <w:tab w:pos="5812" w:val="left" w:leader="none"/>
        </w:tabs>
        <w:rPr/>
      </w:pPr>
      <w:r>
        <w:rPr/>
        <w:tab/>
        <w:t>Meie 06.05.2025 nr 7-1/716-3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Kose tee 11 // Luigemäe katastriüksuse detailplaneeringu kooskõlastamine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Transpordiamet jättis 28.03.2025 kirjaga nr </w:t>
      </w:r>
      <w:r>
        <w:rPr/>
        <w:t xml:space="preserve">7.2-2/25/5862-4 kooskõlastamata Kose tee 11 // Luigemäe katastriüksuse detailplaneeringu. Tulenevalt planeerimisseaduse § 133 </w:t>
      </w:r>
      <w:r>
        <w:rPr/>
        <w:t>lg 1 esitame parandustega ja täiendustega detailplaneeringu uuesti kooskõlastamiseks.</w:t>
      </w:r>
    </w:p>
    <w:p>
      <w:pPr>
        <w:rPr/>
      </w:pPr>
      <w:r>
        <w:rPr/>
        <w:t xml:space="preserve">Detailplaneeringuga soovitakse anda ehitusõigus uue kauplushoone ja seda ümbritseva transpordiala ehitamiseks. Detailplaneering on lisatud kirjale ning leitav ka Võru valla veebilehel: </w:t>
      </w:r>
      <w:r>
        <w:fldChar w:fldCharType="begin" w:fldLock="false" w:dirty="false"/>
      </w:r>
      <w:r>
        <w:rPr/>
        <w:instrText xml:space="preserve"> HYPERLINK "https://voruvald.ee/kose-tee-11-detailplaneering" </w:instrText>
      </w:r>
      <w:r>
        <w:fldChar w:fldCharType="separate"/>
      </w:r>
      <w:r>
        <w:rPr>
          <w:rStyle w:val="Hperlink"/>
        </w:rPr>
        <w:t>https://voruvald.ee/kose-tee-11-detailplaneering</w:t>
      </w:r>
      <w:r>
        <w:fldChar w:fldCharType="end"/>
      </w:r>
      <w:r>
        <w:rPr/>
        <w:t xml:space="preserve"> </w:t>
      </w:r>
      <w:r>
        <w:rPr/>
        <w:t xml:space="preserve"> </w:t>
      </w:r>
    </w:p>
    <w:p>
      <w:pPr>
        <w:rPr/>
      </w:pPr>
    </w:p>
    <w:p>
      <w:pPr>
        <w:spacing w:before="119"/>
        <w:rPr/>
      </w:pPr>
      <w:r>
        <w:rPr>
          <w:color w:val="202020"/>
          <w:shd w:fill="FFFFFF" w:color="auto" w:val="clear"/>
        </w:rPr>
        <w:t xml:space="preserve">Kui </w:t>
      </w:r>
      <w:r>
        <w:rPr>
          <w:color w:val="202020"/>
          <w:shd w:fill="FFFFFF" w:color="auto" w:val="clear"/>
        </w:rPr>
        <w:t>kooskõlastaja</w:t>
      </w:r>
      <w:r>
        <w:rPr>
          <w:color w:val="202020"/>
          <w:shd w:fill="FFFFFF" w:color="auto" w:val="clear"/>
        </w:rPr>
        <w:t xml:space="preserve"> või arvamuse andja ei ole 30 päeva jooksul detailplaneeringu saamisest arvates kooskõlastamisest keeldunud või arvamust avaldanud ega ole taotlenud tähtaja pikendamist, loetakse detailplaneering planeerimisseaduse § 133 lõikele 1 tuginedes </w:t>
      </w:r>
      <w:r>
        <w:rPr>
          <w:color w:val="202020"/>
          <w:shd w:fill="FFFFFF" w:color="auto" w:val="clear"/>
        </w:rPr>
        <w:t>kooskõlastaja</w:t>
      </w:r>
      <w:r>
        <w:rPr>
          <w:color w:val="202020"/>
          <w:shd w:fill="FFFFFF" w:color="auto" w:val="clear"/>
        </w:rPr>
        <w:t xml:space="preserve">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</w:t>
      </w:r>
      <w:r>
        <w:rPr>
          <w:color w:val="202020"/>
          <w:shd w:fill="FFFFFF" w:color="auto" w:val="clear"/>
        </w:rPr>
        <w:t>tuvalt planeerimisseaduse § 133 lõikest 3 kooskõlastatuks.</w:t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</w:t>
      </w:r>
    </w:p>
    <w:p>
      <w:pPr>
        <w:rPr/>
      </w:pPr>
      <w:r>
        <w:rPr/>
        <w:t>DD100_DP.asice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 xml:space="preserve">telefon 785 1242, 782 </w:t>
    </w:r>
    <w:r>
      <w:rPr>
        <w:rFonts w:ascii="Arial" w:hAnsi="Arial" w:cs="Arial"/>
        <w:sz w:val="20"/>
      </w:rPr>
      <w:t>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6.05.2025"/>
    <w:docVar w:name="CURDATE" w:val="06.05.2025"/>
    <w:docVar w:name="CURDATETIME" w:val="06.05.2025 09:19"/>
    <w:docVar w:name="CURTIME" w:val="09:19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 class=&quot;Paragraph SCXW126083250 BCX0&quot; paraid=&quot;570207987&quot; paraeid=&quot;{a0ae3718-b4b0-4064-9805-bd679a129def}{147}&quot; style=&quot;color: windowtext; white-space-collapse: preserve; margin: 0px; padding: 0px; user-select: text; -webkit-user-drag: none; -webkit-tap-highlight-color: transparent; overflow-wrap: break-word; vertical-align: baseline; font-kerning: none;&quot;&gt;&lt;span style=&quot;font-family: 'Times New Roman'; font-size: 16px;&quot;&gt;Transpordiamet j&amp;auml;ttis 28.03.2025 kirjaga nr 7.2-2/25/5862-4 koosk&amp;otilde;lastamata Kose tee 11 // Luigem&amp;auml;e katastri&amp;uuml;ksuse detailplaneeringu. Tulenevalt planeerimisseaduse &amp;sect; 133&amp;nbsp;lg 1 esitame parandustega ja t&amp;auml;iendustega detailplaneeringu uuesti koosk&amp;otilde;lastamiseks.&lt;/span&gt;&lt;/p&gt;&#13;&#10;&lt;p&gt;&lt;span style=&quot;font-family: 'Times New Roman'; font-size: 16px;&quot;&gt;Detailplaneeringuga soovitakse anda ehitus&amp;otilde;igus uue kauplushoone ja seda &amp;uuml;mbritseva transpordiala ehitamiseks. Detailplaneering on lisatud kirjale ning leitav ka V&amp;otilde;ru valla veebilehel:&amp;nbsp;https://voruvald.ee/kose-tee-11-detailplaneering&amp;nbsp;&lt;/span&gt;&lt;/p&gt;&#13;&#10;&lt;p style=&quot;margin: 0.5em 0px 0px; padding: 0px; border: 0px; color: #202020; font-family: Arial, Helvetica, sans-serif; background-color: #ffffff;&quot;&gt;&lt;span style=&quot;font-family: 'Times New Roman'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&lt;span style=&quot;font-family: 'Times New Roman'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"/>
    <w:docVar w:name="KUUPAEV" w:val="06.05.2025"/>
    <w:docVar w:name="PEALKIRI" w:val="Kose tee 11 // Luigemäe katastriüksuse detailplaneeringu kooskõlastamine"/>
    <w:docVar w:name="VIIT" w:val="7-1/716-3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