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D40650" w14:paraId="03AB76B4" w14:textId="77777777" w:rsidTr="00FB3279">
        <w:trPr>
          <w:trHeight w:val="2353"/>
        </w:trPr>
        <w:tc>
          <w:tcPr>
            <w:tcW w:w="5387" w:type="dxa"/>
            <w:shd w:val="clear" w:color="auto" w:fill="auto"/>
          </w:tcPr>
          <w:p w14:paraId="03AB76B1" w14:textId="77777777" w:rsidR="00D40650" w:rsidRPr="00A10E66" w:rsidRDefault="003B4D7F" w:rsidP="00DF44DF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03AB76C8" wp14:editId="03AB76C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jandusmin_vapp_est_blac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shd w:val="clear" w:color="auto" w:fill="auto"/>
          </w:tcPr>
          <w:p w14:paraId="03AB76B2" w14:textId="77777777" w:rsidR="00BC1A62" w:rsidRPr="00BC1A62" w:rsidRDefault="00BC1A62" w:rsidP="0076054B">
            <w:pPr>
              <w:pStyle w:val="AK"/>
              <w:jc w:val="right"/>
            </w:pPr>
          </w:p>
          <w:p w14:paraId="03AB76B3" w14:textId="77777777" w:rsidR="00BC1A62" w:rsidRPr="00BC1A62" w:rsidRDefault="00BC1A62" w:rsidP="0076054B">
            <w:pPr>
              <w:jc w:val="right"/>
            </w:pPr>
          </w:p>
        </w:tc>
      </w:tr>
      <w:tr w:rsidR="0076054B" w:rsidRPr="001D4CFB" w14:paraId="03AB76B9" w14:textId="77777777" w:rsidTr="00FB3279">
        <w:trPr>
          <w:trHeight w:val="1531"/>
        </w:trPr>
        <w:tc>
          <w:tcPr>
            <w:tcW w:w="5387" w:type="dxa"/>
            <w:shd w:val="clear" w:color="auto" w:fill="auto"/>
          </w:tcPr>
          <w:p w14:paraId="03AB76B5" w14:textId="77777777" w:rsidR="0076054B" w:rsidRDefault="00B358EA" w:rsidP="00110BCA">
            <w:pPr>
              <w:pStyle w:val="Liik"/>
            </w:pPr>
            <w:r>
              <w:t>Määrus</w:t>
            </w:r>
          </w:p>
          <w:p w14:paraId="03AB76B6" w14:textId="77777777" w:rsidR="0076054B" w:rsidRPr="006B118C" w:rsidRDefault="0076054B" w:rsidP="007A4337">
            <w:pPr>
              <w:jc w:val="left"/>
            </w:pPr>
          </w:p>
          <w:p w14:paraId="03AB76B7" w14:textId="77777777" w:rsidR="0076054B" w:rsidRPr="006B118C" w:rsidRDefault="0076054B" w:rsidP="007A4337">
            <w:pPr>
              <w:jc w:val="left"/>
            </w:pPr>
          </w:p>
        </w:tc>
        <w:tc>
          <w:tcPr>
            <w:tcW w:w="3685" w:type="dxa"/>
            <w:shd w:val="clear" w:color="auto" w:fill="auto"/>
          </w:tcPr>
          <w:p w14:paraId="03AB76B8" w14:textId="0D33E452" w:rsidR="0076054B" w:rsidRPr="0076054B" w:rsidRDefault="006A34CC" w:rsidP="00FB3279">
            <w:pPr>
              <w:pStyle w:val="Kuupev1"/>
              <w:rPr>
                <w:i/>
                <w:iCs/>
              </w:rPr>
            </w:pPr>
            <w:fldSimple w:instr=" delta_regDateTime  \* MERGEFORMAT">
              <w:r>
                <w:t>10.06.2025</w:t>
              </w:r>
            </w:fldSimple>
            <w:r w:rsidR="00FB3279">
              <w:t xml:space="preserve">  </w:t>
            </w:r>
            <w:r w:rsidR="001C1892">
              <w:t xml:space="preserve">nr </w:t>
            </w:r>
            <w:fldSimple w:instr=" delta_regNumber  \* MERGEFORMAT">
              <w:r>
                <w:t>14</w:t>
              </w:r>
            </w:fldSimple>
          </w:p>
        </w:tc>
      </w:tr>
      <w:tr w:rsidR="00566D45" w:rsidRPr="001D4CFB" w14:paraId="03AB76BC" w14:textId="77777777" w:rsidTr="00FB3279">
        <w:trPr>
          <w:trHeight w:val="624"/>
        </w:trPr>
        <w:tc>
          <w:tcPr>
            <w:tcW w:w="5387" w:type="dxa"/>
            <w:shd w:val="clear" w:color="auto" w:fill="auto"/>
          </w:tcPr>
          <w:p w14:paraId="03AB76BA" w14:textId="72354A96" w:rsidR="00566D45" w:rsidRDefault="006A34CC" w:rsidP="00B358EA">
            <w:pPr>
              <w:pStyle w:val="Pealkiri10"/>
            </w:pPr>
            <w:fldSimple w:instr=" delta_docName  \* MERGEFORMAT">
              <w:r>
                <w:t>Erialaliitude rahvusvahelistumise edendamise toetus</w:t>
              </w:r>
            </w:fldSimple>
          </w:p>
        </w:tc>
        <w:tc>
          <w:tcPr>
            <w:tcW w:w="3685" w:type="dxa"/>
            <w:shd w:val="clear" w:color="auto" w:fill="auto"/>
          </w:tcPr>
          <w:p w14:paraId="03AB76BB" w14:textId="77777777" w:rsidR="00566D45" w:rsidRDefault="00566D45" w:rsidP="00566D45"/>
        </w:tc>
      </w:tr>
    </w:tbl>
    <w:p w14:paraId="5346FC41" w14:textId="1878E260" w:rsidR="007F7147" w:rsidRPr="004E2708" w:rsidRDefault="00493460" w:rsidP="007F7147">
      <w:pPr>
        <w:pStyle w:val="Tekst"/>
      </w:pPr>
      <w:r w:rsidRPr="00493460">
        <w:t>M</w:t>
      </w:r>
      <w:r w:rsidR="007F7147" w:rsidRPr="004E2708">
        <w:t xml:space="preserve">äärus kehtestatakse perioodi 2021–2027 Euroopa Liidu ühtekuuluvus- ja </w:t>
      </w:r>
      <w:proofErr w:type="spellStart"/>
      <w:r w:rsidR="007F7147" w:rsidRPr="004E2708">
        <w:t>siseturvalisuspoliitika</w:t>
      </w:r>
      <w:proofErr w:type="spellEnd"/>
      <w:r w:rsidR="007F7147" w:rsidRPr="004E2708">
        <w:t xml:space="preserve"> fondide rakendamise seaduse § 10 lõike 2 alusel.</w:t>
      </w:r>
    </w:p>
    <w:p w14:paraId="1DDACFEA" w14:textId="77777777" w:rsidR="007F7147" w:rsidRPr="004E2708" w:rsidRDefault="007F7147" w:rsidP="007F7147">
      <w:pPr>
        <w:pStyle w:val="Tekst"/>
      </w:pPr>
    </w:p>
    <w:p w14:paraId="6E671035" w14:textId="77777777" w:rsidR="007F7147" w:rsidRPr="004E2708" w:rsidRDefault="007F7147" w:rsidP="007F7147">
      <w:pPr>
        <w:pStyle w:val="Tekst"/>
        <w:jc w:val="center"/>
        <w:rPr>
          <w:b/>
          <w:bCs/>
        </w:rPr>
      </w:pPr>
      <w:r w:rsidRPr="004E2708">
        <w:rPr>
          <w:b/>
          <w:bCs/>
        </w:rPr>
        <w:t>1. peatükk</w:t>
      </w:r>
    </w:p>
    <w:p w14:paraId="02E5B70C" w14:textId="77777777" w:rsidR="007F7147" w:rsidRPr="004E2708" w:rsidRDefault="007F7147" w:rsidP="007F7147">
      <w:pPr>
        <w:pStyle w:val="Tekst"/>
        <w:jc w:val="center"/>
        <w:rPr>
          <w:b/>
          <w:bCs/>
        </w:rPr>
      </w:pPr>
      <w:r w:rsidRPr="004E2708">
        <w:rPr>
          <w:b/>
          <w:bCs/>
        </w:rPr>
        <w:t>Üldsätted</w:t>
      </w:r>
    </w:p>
    <w:p w14:paraId="41ABE927" w14:textId="77777777" w:rsidR="007F7147" w:rsidRPr="004E2708" w:rsidRDefault="007F7147" w:rsidP="007F7147">
      <w:pPr>
        <w:pStyle w:val="Tekst"/>
      </w:pPr>
    </w:p>
    <w:p w14:paraId="7B1C53EF" w14:textId="06921F3F" w:rsidR="007F7147" w:rsidRPr="004E2708" w:rsidRDefault="007F7147" w:rsidP="007F7147">
      <w:pPr>
        <w:pStyle w:val="Tekst"/>
        <w:rPr>
          <w:b/>
          <w:bCs/>
        </w:rPr>
      </w:pPr>
      <w:r w:rsidRPr="004E2708">
        <w:rPr>
          <w:b/>
          <w:bCs/>
        </w:rPr>
        <w:t xml:space="preserve">§ 1. </w:t>
      </w:r>
      <w:r w:rsidR="004C67C2">
        <w:rPr>
          <w:b/>
          <w:bCs/>
        </w:rPr>
        <w:t>Üldsätted</w:t>
      </w:r>
    </w:p>
    <w:p w14:paraId="08CCF5B5" w14:textId="77777777" w:rsidR="007F7147" w:rsidRPr="004E2708" w:rsidRDefault="007F7147" w:rsidP="007F7147">
      <w:pPr>
        <w:pStyle w:val="Tekst"/>
      </w:pPr>
    </w:p>
    <w:p w14:paraId="39FADA39" w14:textId="4387AE17" w:rsidR="007F7147" w:rsidRDefault="007F7147" w:rsidP="007F7147">
      <w:pPr>
        <w:pStyle w:val="Tekst"/>
      </w:pPr>
      <w:r w:rsidRPr="004E2708">
        <w:t xml:space="preserve">(1) Määrusega reguleeritakse perioodi 2021–2027 Euroopa Liidu ühtekuuluvus- ja </w:t>
      </w:r>
      <w:proofErr w:type="spellStart"/>
      <w:r w:rsidRPr="004E2708">
        <w:t>siseturvalisuspoliitika</w:t>
      </w:r>
      <w:proofErr w:type="spellEnd"/>
      <w:r w:rsidRPr="004E2708">
        <w:t xml:space="preserve"> fondide rakendamise seaduse </w:t>
      </w:r>
      <w:r w:rsidRPr="00091F36">
        <w:t>(edaspidi</w:t>
      </w:r>
      <w:r>
        <w:t xml:space="preserve"> </w:t>
      </w:r>
      <w:r w:rsidRPr="002C2134">
        <w:rPr>
          <w:i/>
          <w:iCs/>
        </w:rPr>
        <w:t>ÜSS2021_2027</w:t>
      </w:r>
      <w:r w:rsidRPr="00091F36">
        <w:t>)</w:t>
      </w:r>
      <w:r w:rsidRPr="004E2708">
        <w:t xml:space="preserve"> § 1 lõike 1 punktis 1 nimetatud „Ühtekuuluvuspoliitika fondide rakenduskava 2021–2027” (edaspidi </w:t>
      </w:r>
      <w:r w:rsidRPr="004E2708">
        <w:rPr>
          <w:i/>
          <w:iCs/>
        </w:rPr>
        <w:t>rakenduskava</w:t>
      </w:r>
      <w:r w:rsidRPr="004E2708">
        <w:t>) 1</w:t>
      </w:r>
      <w:r>
        <w:t xml:space="preserve">. </w:t>
      </w:r>
      <w:r w:rsidRPr="004E2708">
        <w:t>poliitikaeesmärgi „Nutikam Eesti“ erieesmärgi „</w:t>
      </w:r>
      <w:proofErr w:type="spellStart"/>
      <w:r w:rsidRPr="00011A1C">
        <w:t>VKEde</w:t>
      </w:r>
      <w:proofErr w:type="spellEnd"/>
      <w:r w:rsidRPr="00011A1C">
        <w:t xml:space="preserve"> kestliku majanduskasvu ja konkurentsivõime tõhustamine ning </w:t>
      </w:r>
      <w:proofErr w:type="spellStart"/>
      <w:r w:rsidRPr="00011A1C">
        <w:t>VKEdes</w:t>
      </w:r>
      <w:proofErr w:type="spellEnd"/>
      <w:r w:rsidRPr="00011A1C">
        <w:t xml:space="preserve"> töökohtade loomine, muu hulgas tootlike investeeringute kaudu</w:t>
      </w:r>
      <w:r>
        <w:t xml:space="preserve">“ </w:t>
      </w:r>
      <w:r w:rsidRPr="004E2708">
        <w:t>meetme 21.1.</w:t>
      </w:r>
      <w:r>
        <w:t>3</w:t>
      </w:r>
      <w:r w:rsidRPr="004E2708">
        <w:t>.1 „</w:t>
      </w:r>
      <w:r w:rsidRPr="002303B3">
        <w:t>Ettevõtluskeskkonna arendamine, rahvusvahelistumise toetamine ja investeeringute soodustamine</w:t>
      </w:r>
      <w:r w:rsidRPr="004E2708">
        <w:t>“ sekkumise 21.1.</w:t>
      </w:r>
      <w:r>
        <w:t>3</w:t>
      </w:r>
      <w:r w:rsidRPr="004E2708">
        <w:t>.1</w:t>
      </w:r>
      <w:r>
        <w:t>1</w:t>
      </w:r>
      <w:r w:rsidRPr="004E2708">
        <w:t xml:space="preserve"> „</w:t>
      </w:r>
      <w:r w:rsidRPr="00565ECE">
        <w:t>Ettevõtete rahvusvahelistumise toetamine</w:t>
      </w:r>
      <w:r w:rsidRPr="004E2708">
        <w:t>“ elluviimiseks</w:t>
      </w:r>
      <w:r>
        <w:t xml:space="preserve"> Euroopa Regionaalarengu Fondist</w:t>
      </w:r>
      <w:r w:rsidRPr="004E2708">
        <w:t xml:space="preserve"> toetuse andmis</w:t>
      </w:r>
      <w:r>
        <w:t>e ja kasutamise</w:t>
      </w:r>
      <w:r w:rsidR="00DD5535">
        <w:t xml:space="preserve"> </w:t>
      </w:r>
      <w:r>
        <w:t>tingimusi.</w:t>
      </w:r>
    </w:p>
    <w:p w14:paraId="6792A2C2" w14:textId="6D239170" w:rsidR="007F7147" w:rsidRPr="004E2708" w:rsidRDefault="007F7147" w:rsidP="007F7147">
      <w:pPr>
        <w:pStyle w:val="Tekst"/>
      </w:pPr>
    </w:p>
    <w:p w14:paraId="7F7AD573" w14:textId="05C54D8C" w:rsidR="007F7147" w:rsidRPr="004E2708" w:rsidRDefault="007F7147" w:rsidP="007F7147">
      <w:pPr>
        <w:pStyle w:val="Tekst"/>
      </w:pPr>
      <w:r w:rsidRPr="004E2708">
        <w:t>(</w:t>
      </w:r>
      <w:r>
        <w:t>2</w:t>
      </w:r>
      <w:r w:rsidRPr="004E2708">
        <w:t>) Määruse alusel toetuse</w:t>
      </w:r>
      <w:r w:rsidR="00C95D92">
        <w:t xml:space="preserve"> </w:t>
      </w:r>
      <w:r w:rsidRPr="004E2708">
        <w:t>taotlemise, määramise, kasutamise ja tagasinõudmisega seotud dokumendid esitatakse</w:t>
      </w:r>
      <w:r w:rsidR="00714DAC">
        <w:t xml:space="preserve"> ja toimetatakse kätte</w:t>
      </w:r>
      <w:r w:rsidRPr="004E2708">
        <w:t xml:space="preserve"> ning taotlus- ja aruandevormid tehakse kättesaadavaks ÜSS2021_2027 §</w:t>
      </w:r>
      <w:r>
        <w:t> 21</w:t>
      </w:r>
      <w:r w:rsidRPr="004E2708">
        <w:t xml:space="preserve"> lõikes 3 sätestatud e-toetuse keskkonna</w:t>
      </w:r>
      <w:r w:rsidR="008B36AE">
        <w:t>s</w:t>
      </w:r>
      <w:r w:rsidRPr="004E2708">
        <w:t>. Kui selles keskkonnas ei ole vastavat liiki dokumendi esitamist ette nähtud, esitatakse</w:t>
      </w:r>
      <w:r w:rsidR="00714DAC">
        <w:t xml:space="preserve"> või toimetatakse</w:t>
      </w:r>
      <w:r w:rsidRPr="004E2708">
        <w:t xml:space="preserve"> dokument</w:t>
      </w:r>
      <w:r w:rsidR="00E247C7">
        <w:t xml:space="preserve"> elektrooniliselt </w:t>
      </w:r>
      <w:r w:rsidR="00714DAC">
        <w:t>kätte elektronposti aadressil</w:t>
      </w:r>
      <w:r w:rsidR="00C17185">
        <w:t>.</w:t>
      </w:r>
    </w:p>
    <w:p w14:paraId="265B88FA" w14:textId="77777777" w:rsidR="007F7147" w:rsidRPr="004E2708" w:rsidRDefault="007F7147" w:rsidP="007F7147">
      <w:pPr>
        <w:pStyle w:val="Tekst"/>
      </w:pPr>
    </w:p>
    <w:p w14:paraId="20A29D63" w14:textId="59ECFA7E" w:rsidR="007F7147" w:rsidRDefault="007F7147" w:rsidP="007F7147">
      <w:pPr>
        <w:pStyle w:val="Tekst"/>
      </w:pPr>
      <w:r w:rsidRPr="004E2708">
        <w:rPr>
          <w:rFonts w:cs="Times New Roman"/>
        </w:rPr>
        <w:t>(</w:t>
      </w:r>
      <w:r>
        <w:rPr>
          <w:rFonts w:cs="Times New Roman"/>
        </w:rPr>
        <w:t>3</w:t>
      </w:r>
      <w:r w:rsidRPr="004E2708">
        <w:rPr>
          <w:rFonts w:cs="Times New Roman"/>
        </w:rPr>
        <w:t xml:space="preserve">) Määruses ette nähtud </w:t>
      </w:r>
      <w:r w:rsidRPr="004E2708">
        <w:t>toetuse andmisele ja kasutamisele</w:t>
      </w:r>
      <w:r w:rsidR="00A95C40">
        <w:t xml:space="preserve"> ning taotleja ja toetuse saaja kohustustele</w:t>
      </w:r>
      <w:r w:rsidRPr="004E2708">
        <w:t xml:space="preserve"> kohaldatakse Vabariigi Valitsuse 12. mai 2022. a määrust nr 55 „Perioodi 2021–2027 Euroopa Liidu ühtekuuluvus- ja </w:t>
      </w:r>
      <w:proofErr w:type="spellStart"/>
      <w:r w:rsidRPr="004E2708">
        <w:t>siseturvalisuspoliitika</w:t>
      </w:r>
      <w:proofErr w:type="spellEnd"/>
      <w:r w:rsidRPr="004E2708">
        <w:t xml:space="preserve"> fondide rakenduskavade vahendite andmise ja kasutamise üldised tingimused“ (edaspidi </w:t>
      </w:r>
      <w:r w:rsidRPr="004E2708">
        <w:rPr>
          <w:i/>
          <w:iCs/>
        </w:rPr>
        <w:t>ühendmäärus</w:t>
      </w:r>
      <w:r w:rsidRPr="004E2708">
        <w:t>)</w:t>
      </w:r>
      <w:r w:rsidR="00386843">
        <w:t>.</w:t>
      </w:r>
    </w:p>
    <w:p w14:paraId="197CAC25" w14:textId="77777777" w:rsidR="007F7147" w:rsidRDefault="007F7147" w:rsidP="007F7147">
      <w:pPr>
        <w:pStyle w:val="Tekst"/>
      </w:pPr>
    </w:p>
    <w:p w14:paraId="5EE4BE5D" w14:textId="77777777" w:rsidR="007F7147" w:rsidRPr="004E2708" w:rsidRDefault="007F7147" w:rsidP="007F7147">
      <w:pPr>
        <w:pStyle w:val="Tekst"/>
      </w:pPr>
      <w:r w:rsidRPr="00591000">
        <w:t>(4) Määrust ei kohaldata Euroopa Parlamendi ja nõukogu määruse (EL) 2021/1058, mis käsitleb Euroopa Regionaalarengu Fondi ja Ühtekuuluvusfondi (ELT L 231, 30.06.2021, lk 60–93), artiklis 7 sätestatud juhtudel.</w:t>
      </w:r>
    </w:p>
    <w:p w14:paraId="0867D519" w14:textId="77777777" w:rsidR="007F7147" w:rsidRDefault="007F7147" w:rsidP="007F7147">
      <w:pPr>
        <w:pStyle w:val="Tekst"/>
      </w:pPr>
    </w:p>
    <w:p w14:paraId="7A6D4208" w14:textId="77777777" w:rsidR="003400D1" w:rsidRDefault="003400D1" w:rsidP="007F7147">
      <w:pPr>
        <w:pStyle w:val="Tekst"/>
      </w:pPr>
    </w:p>
    <w:p w14:paraId="0ED904C1" w14:textId="77777777" w:rsidR="003400D1" w:rsidRPr="004E2708" w:rsidRDefault="003400D1" w:rsidP="007F7147">
      <w:pPr>
        <w:pStyle w:val="Tekst"/>
      </w:pPr>
    </w:p>
    <w:p w14:paraId="1266D55C" w14:textId="77777777" w:rsidR="007F7147" w:rsidRPr="004E2708" w:rsidRDefault="007F7147" w:rsidP="007F7147">
      <w:pPr>
        <w:pStyle w:val="Tekst"/>
        <w:rPr>
          <w:b/>
          <w:bCs/>
        </w:rPr>
      </w:pPr>
      <w:r w:rsidRPr="004E2708">
        <w:rPr>
          <w:b/>
          <w:bCs/>
        </w:rPr>
        <w:lastRenderedPageBreak/>
        <w:t>§ 2. Riigiabi</w:t>
      </w:r>
    </w:p>
    <w:p w14:paraId="0E13E385" w14:textId="77777777" w:rsidR="007F7147" w:rsidRPr="004E2708" w:rsidRDefault="007F7147" w:rsidP="007F7147">
      <w:pPr>
        <w:pStyle w:val="Tekst"/>
      </w:pPr>
    </w:p>
    <w:p w14:paraId="2C0C2887" w14:textId="606A1161" w:rsidR="007F7147" w:rsidRPr="004E2708" w:rsidRDefault="007F7147" w:rsidP="007F7147">
      <w:pPr>
        <w:pStyle w:val="Tekst"/>
      </w:pPr>
      <w:r w:rsidRPr="004E2708">
        <w:t xml:space="preserve">(1) </w:t>
      </w:r>
      <w:r>
        <w:t>Määruse</w:t>
      </w:r>
      <w:r w:rsidR="007D5631">
        <w:t xml:space="preserve"> alusel antav toetus on</w:t>
      </w:r>
      <w:r w:rsidRPr="004E2708">
        <w:t xml:space="preserve"> vähese tähtsusega abi, mille andmisel kohaldatakse Euroopa </w:t>
      </w:r>
      <w:bookmarkStart w:id="0" w:name="_Hlk195101159"/>
      <w:r w:rsidRPr="004E2708">
        <w:t>Komisjoni määrust (EL) 2023/2831</w:t>
      </w:r>
      <w:bookmarkEnd w:id="0"/>
      <w:r w:rsidRPr="004E2708">
        <w:t xml:space="preserve">, milles käsitletakse Euroopa Liidu toimimise lepingu artiklite 107 ja 108 kohaldamist vähese tähtsusega abi suhtes (ELT L, </w:t>
      </w:r>
      <w:r w:rsidRPr="003A5680">
        <w:t>2023/2831</w:t>
      </w:r>
      <w:r w:rsidRPr="004E2708">
        <w:t>, 15.12.2023</w:t>
      </w:r>
      <w:r>
        <w:t xml:space="preserve">, edaspidi </w:t>
      </w:r>
      <w:r w:rsidRPr="00C17185">
        <w:rPr>
          <w:i/>
          <w:iCs/>
        </w:rPr>
        <w:t>vähese tähtsusega abi määrus</w:t>
      </w:r>
      <w:r w:rsidRPr="004E2708">
        <w:t>).</w:t>
      </w:r>
    </w:p>
    <w:p w14:paraId="697B9A42" w14:textId="77777777" w:rsidR="007F7147" w:rsidRPr="004E2708" w:rsidRDefault="007F7147" w:rsidP="007F7147">
      <w:pPr>
        <w:pStyle w:val="Tekst"/>
      </w:pPr>
    </w:p>
    <w:p w14:paraId="45D9C04D" w14:textId="77777777" w:rsidR="007F7147" w:rsidRPr="004E2708" w:rsidRDefault="007F7147" w:rsidP="007F7147">
      <w:pPr>
        <w:pStyle w:val="Tekst"/>
      </w:pPr>
      <w:r w:rsidRPr="004E2708">
        <w:t>(</w:t>
      </w:r>
      <w:r>
        <w:t>2</w:t>
      </w:r>
      <w:r w:rsidRPr="004E2708">
        <w:t xml:space="preserve">) </w:t>
      </w:r>
      <w:r>
        <w:t xml:space="preserve">Vähese tähtsusega abi määruse </w:t>
      </w:r>
      <w:r w:rsidRPr="004E2708">
        <w:t xml:space="preserve">kohaselt antud abi ei tohi ületada </w:t>
      </w:r>
      <w:r>
        <w:t xml:space="preserve">sama määruse </w:t>
      </w:r>
      <w:r w:rsidRPr="004E2708">
        <w:t>artikli 3 lõikes 2 sätestatud piirmäära.</w:t>
      </w:r>
    </w:p>
    <w:p w14:paraId="4DB31A25" w14:textId="77777777" w:rsidR="007F7147" w:rsidRPr="004E2708" w:rsidRDefault="007F7147" w:rsidP="007F7147">
      <w:pPr>
        <w:pStyle w:val="Tekst"/>
      </w:pPr>
    </w:p>
    <w:p w14:paraId="6AFEE4EA" w14:textId="790072B2" w:rsidR="007F7147" w:rsidRPr="004E2708" w:rsidRDefault="007F7147" w:rsidP="007F7147">
      <w:pPr>
        <w:pStyle w:val="Tekst"/>
      </w:pPr>
      <w:r w:rsidRPr="004E2708">
        <w:t>(</w:t>
      </w:r>
      <w:r>
        <w:t>3</w:t>
      </w:r>
      <w:r w:rsidRPr="004E2708">
        <w:t xml:space="preserve">) Toetuse andmisel võetakse arvesse </w:t>
      </w:r>
      <w:r>
        <w:t xml:space="preserve">vähese tähtsusega abi määruse </w:t>
      </w:r>
      <w:r w:rsidRPr="004E2708">
        <w:t xml:space="preserve">artiklis 5 sätestatud kumuleerimisreegleid. Vähese tähtsusega abi suuruse arvestamisel loetakse üheks ettevõtjaks sellised ettevõtjad, kes on </w:t>
      </w:r>
      <w:r>
        <w:t>sama</w:t>
      </w:r>
      <w:r w:rsidRPr="004E2708">
        <w:t xml:space="preserve"> määruse artikli 2 lõike 2 kohaselt omavahel seotud.</w:t>
      </w:r>
    </w:p>
    <w:p w14:paraId="4FA0DF4A" w14:textId="77777777" w:rsidR="007F7147" w:rsidRPr="008925CA" w:rsidRDefault="007F7147" w:rsidP="007F7147">
      <w:pPr>
        <w:pStyle w:val="Tekst"/>
      </w:pPr>
    </w:p>
    <w:p w14:paraId="69A30481" w14:textId="77777777" w:rsidR="007F7147" w:rsidRPr="008925CA" w:rsidRDefault="007F7147" w:rsidP="007F7147">
      <w:pPr>
        <w:pStyle w:val="Tekst"/>
        <w:rPr>
          <w:b/>
          <w:bCs/>
        </w:rPr>
      </w:pPr>
      <w:r w:rsidRPr="008925CA">
        <w:rPr>
          <w:b/>
          <w:bCs/>
        </w:rPr>
        <w:t xml:space="preserve">§ </w:t>
      </w:r>
      <w:r>
        <w:rPr>
          <w:b/>
          <w:bCs/>
        </w:rPr>
        <w:t>3</w:t>
      </w:r>
      <w:r w:rsidRPr="008925CA">
        <w:rPr>
          <w:b/>
          <w:bCs/>
        </w:rPr>
        <w:t>. Toetuse andmise eesmärk</w:t>
      </w:r>
      <w:r>
        <w:rPr>
          <w:b/>
          <w:bCs/>
        </w:rPr>
        <w:t>,</w:t>
      </w:r>
      <w:r w:rsidRPr="008925CA">
        <w:rPr>
          <w:b/>
          <w:bCs/>
        </w:rPr>
        <w:t xml:space="preserve"> väljundnäitajad</w:t>
      </w:r>
      <w:r>
        <w:rPr>
          <w:b/>
          <w:bCs/>
        </w:rPr>
        <w:t xml:space="preserve"> ja seos strateegiliste arengudokumentidega</w:t>
      </w:r>
    </w:p>
    <w:p w14:paraId="2DF0B4E9" w14:textId="77777777" w:rsidR="007F7147" w:rsidRPr="008925CA" w:rsidRDefault="007F7147" w:rsidP="007F7147">
      <w:pPr>
        <w:pStyle w:val="Tekst"/>
        <w:rPr>
          <w:b/>
          <w:bCs/>
        </w:rPr>
      </w:pPr>
    </w:p>
    <w:p w14:paraId="065925A4" w14:textId="77777777" w:rsidR="007F7147" w:rsidRPr="008925CA" w:rsidRDefault="007F7147" w:rsidP="007F7147">
      <w:pPr>
        <w:pStyle w:val="Tekst"/>
      </w:pPr>
      <w:r w:rsidRPr="008925CA">
        <w:t>(1) Toetuse andmise eesmärgid on:</w:t>
      </w:r>
    </w:p>
    <w:p w14:paraId="2505B3A3" w14:textId="77777777" w:rsidR="007F7147" w:rsidRPr="004E2708" w:rsidRDefault="007F7147" w:rsidP="007F7147">
      <w:pPr>
        <w:pStyle w:val="Tekst"/>
        <w:rPr>
          <w:b/>
          <w:bCs/>
        </w:rPr>
      </w:pPr>
      <w:r w:rsidRPr="008925CA">
        <w:t>1) kasvatada ettevõt</w:t>
      </w:r>
      <w:r>
        <w:t>ja</w:t>
      </w:r>
      <w:r w:rsidRPr="008925CA">
        <w:t xml:space="preserve">te rahvusvahelist konkurentsivõimet ning panustada seeläbi </w:t>
      </w:r>
      <w:r>
        <w:t>t</w:t>
      </w:r>
      <w:r w:rsidRPr="007E1297">
        <w:t xml:space="preserve">eadus- ja arendustegevuse, innovatsiooni ning ettevõtluse arengukava </w:t>
      </w:r>
      <w:r>
        <w:t xml:space="preserve">aastateks </w:t>
      </w:r>
      <w:r w:rsidRPr="007E1297">
        <w:t>2021–2035</w:t>
      </w:r>
      <w:r>
        <w:t xml:space="preserve"> </w:t>
      </w:r>
      <w:r w:rsidRPr="008925CA">
        <w:t>eesmärkide saavutamisse;</w:t>
      </w:r>
    </w:p>
    <w:p w14:paraId="66C92A63" w14:textId="77777777" w:rsidR="007F7147" w:rsidRPr="004E2708" w:rsidRDefault="007F7147" w:rsidP="007F7147">
      <w:pPr>
        <w:pStyle w:val="Tekst"/>
      </w:pPr>
      <w:r>
        <w:t>2) parandada ettevõtjate teadlikkust sektorile olulise kasvupotentsiaaliga sihtturgudest;</w:t>
      </w:r>
    </w:p>
    <w:p w14:paraId="4E6BFE51" w14:textId="77777777" w:rsidR="007F7147" w:rsidRPr="004E2708" w:rsidRDefault="007F7147" w:rsidP="007F7147">
      <w:pPr>
        <w:pStyle w:val="Tekst"/>
      </w:pPr>
      <w:r>
        <w:t>3) suurendada sihtturgude teadlikkust Eesti ettevõtjate uuenduslikest toodetest, teenustest ja tehnoloogiatest;</w:t>
      </w:r>
    </w:p>
    <w:p w14:paraId="200847EA" w14:textId="77777777" w:rsidR="007F7147" w:rsidRPr="004E2708" w:rsidRDefault="007F7147" w:rsidP="007F7147">
      <w:pPr>
        <w:pStyle w:val="Tekst"/>
      </w:pPr>
      <w:r w:rsidRPr="004E2708">
        <w:t>4) soodustada ettevõt</w:t>
      </w:r>
      <w:r>
        <w:t>ja</w:t>
      </w:r>
      <w:r w:rsidRPr="004E2708">
        <w:t>te teadus- ja arendustegevus</w:t>
      </w:r>
      <w:r>
        <w:t>t</w:t>
      </w:r>
      <w:r w:rsidRPr="004E2708">
        <w:t xml:space="preserve"> ning äriarendusliku fookusega partnerlus</w:t>
      </w:r>
      <w:r>
        <w:t>suhe</w:t>
      </w:r>
      <w:r w:rsidRPr="004E2708">
        <w:t>te loomist ja arendamist, keskendudes sektorile olulistele väärtusahelatele.</w:t>
      </w:r>
    </w:p>
    <w:p w14:paraId="78BB915B" w14:textId="77777777" w:rsidR="007F7147" w:rsidRPr="004E2708" w:rsidRDefault="007F7147" w:rsidP="007F7147">
      <w:pPr>
        <w:pStyle w:val="Tekst"/>
      </w:pPr>
    </w:p>
    <w:p w14:paraId="4EC4367C" w14:textId="77777777" w:rsidR="007F7147" w:rsidRPr="004E2708" w:rsidRDefault="007F7147" w:rsidP="007F7147">
      <w:pPr>
        <w:pStyle w:val="Tekst"/>
      </w:pPr>
      <w:r w:rsidRPr="004E2708">
        <w:t>(</w:t>
      </w:r>
      <w:r>
        <w:t>2</w:t>
      </w:r>
      <w:r w:rsidRPr="004E2708">
        <w:t>) Toetuse andmine panustab järgmiste rakenduskava väljundnäitajate saavutamisse:</w:t>
      </w:r>
    </w:p>
    <w:p w14:paraId="586B1893" w14:textId="77777777" w:rsidR="007F7147" w:rsidRPr="00B23145" w:rsidRDefault="007F7147" w:rsidP="007F7147">
      <w:pPr>
        <w:pStyle w:val="Tekst"/>
      </w:pPr>
      <w:r w:rsidRPr="004E2708">
        <w:t>1) toetatavad ettevõtjad</w:t>
      </w:r>
      <w:r>
        <w:t>;</w:t>
      </w:r>
    </w:p>
    <w:p w14:paraId="1F9A9DF7" w14:textId="77777777" w:rsidR="007F7147" w:rsidRPr="003D64A7" w:rsidRDefault="007F7147" w:rsidP="007F7147">
      <w:pPr>
        <w:pStyle w:val="Tekst"/>
      </w:pPr>
      <w:r w:rsidRPr="003D64A7">
        <w:t xml:space="preserve">2) </w:t>
      </w:r>
      <w:r>
        <w:t>mitterahalist toetust saavad</w:t>
      </w:r>
      <w:r w:rsidRPr="003D64A7">
        <w:t xml:space="preserve"> ettevõtjad.</w:t>
      </w:r>
    </w:p>
    <w:p w14:paraId="09AAC90D" w14:textId="77777777" w:rsidR="007F7147" w:rsidRPr="004E2708" w:rsidRDefault="007F7147" w:rsidP="007F7147">
      <w:pPr>
        <w:pStyle w:val="Tekst"/>
      </w:pPr>
    </w:p>
    <w:p w14:paraId="41CC6696" w14:textId="3856A5A6" w:rsidR="007F7147" w:rsidRPr="004E2708" w:rsidRDefault="007F7147" w:rsidP="007F7147">
      <w:pPr>
        <w:pStyle w:val="Tekst"/>
      </w:pPr>
      <w:r>
        <w:t>(3) Toetuse andmine panustab</w:t>
      </w:r>
      <w:r w:rsidR="00C17185">
        <w:t xml:space="preserve"> </w:t>
      </w:r>
      <w:r w:rsidRPr="000D505B">
        <w:t>projektispetsiifilise</w:t>
      </w:r>
      <w:r>
        <w:t xml:space="preserve"> tulemusnäitaja</w:t>
      </w:r>
      <w:r w:rsidR="0035249D">
        <w:t>, milleks on</w:t>
      </w:r>
      <w:r>
        <w:t xml:space="preserve"> kasusaavate ettevõtete müügitulu kasv projektis toodud sihtturgudel või seotud sihtturgudel aasta pärast projekti lõppu</w:t>
      </w:r>
      <w:r w:rsidR="0035249D">
        <w:t>,</w:t>
      </w:r>
      <w:r>
        <w:t xml:space="preserve"> saavutamisse</w:t>
      </w:r>
      <w:r w:rsidR="00C17185">
        <w:t>.</w:t>
      </w:r>
    </w:p>
    <w:p w14:paraId="33A68557" w14:textId="77777777" w:rsidR="004C7C05" w:rsidRDefault="004C7C05" w:rsidP="007F7147">
      <w:pPr>
        <w:pStyle w:val="Tekst"/>
      </w:pPr>
    </w:p>
    <w:p w14:paraId="59885CA3" w14:textId="331449CF" w:rsidR="007F7147" w:rsidRPr="004E2708" w:rsidRDefault="004C7C05" w:rsidP="007F7147">
      <w:pPr>
        <w:pStyle w:val="Tekst"/>
      </w:pPr>
      <w:r>
        <w:t xml:space="preserve">(4) </w:t>
      </w:r>
      <w:r w:rsidR="00C17185">
        <w:t xml:space="preserve">Toetatavad tegevused panustavad </w:t>
      </w:r>
      <w:r w:rsidR="007F7147" w:rsidRPr="004E2708">
        <w:t>Riigikogu</w:t>
      </w:r>
      <w:r w:rsidR="00202979">
        <w:t xml:space="preserve"> 12. mai 2021. a</w:t>
      </w:r>
      <w:r w:rsidR="007F7147" w:rsidRPr="004E2708">
        <w:t xml:space="preserve"> otsusega heaks kiidetud Eesti riigi pikaajalise arengustrateegia „Eesti 2035” (edaspidi </w:t>
      </w:r>
      <w:r w:rsidR="007F7147" w:rsidRPr="007E61B7">
        <w:rPr>
          <w:i/>
          <w:iCs/>
        </w:rPr>
        <w:t>strateegia „Eesti 2035”</w:t>
      </w:r>
      <w:r w:rsidR="007F7147" w:rsidRPr="004E2708">
        <w:t xml:space="preserve">) sihi „Eesti majandus on tugev, uuendusmeelne ja vastutustundlik” ja selle alamsihi „Eesti majandus on uuendusmeelne ja </w:t>
      </w:r>
      <w:proofErr w:type="spellStart"/>
      <w:r w:rsidR="007F7147" w:rsidRPr="004E2708">
        <w:t>teadmistepõhine</w:t>
      </w:r>
      <w:proofErr w:type="spellEnd"/>
      <w:r w:rsidR="007F7147" w:rsidRPr="004E2708">
        <w:t>” saavutamis</w:t>
      </w:r>
      <w:r w:rsidR="00202979">
        <w:t>s</w:t>
      </w:r>
      <w:r w:rsidR="007F7147" w:rsidRPr="004E2708">
        <w:t>e.</w:t>
      </w:r>
    </w:p>
    <w:p w14:paraId="5F56B261" w14:textId="77777777" w:rsidR="007F7147" w:rsidRPr="004E2708" w:rsidRDefault="007F7147" w:rsidP="007F7147">
      <w:pPr>
        <w:pStyle w:val="Tekst"/>
      </w:pPr>
    </w:p>
    <w:p w14:paraId="1C0612ED" w14:textId="77777777" w:rsidR="007F7147" w:rsidRPr="004E2708" w:rsidRDefault="007F7147" w:rsidP="007F7147">
      <w:pPr>
        <w:pStyle w:val="Tekst"/>
      </w:pPr>
      <w:r w:rsidRPr="004E2708">
        <w:t>(</w:t>
      </w:r>
      <w:r>
        <w:t>5</w:t>
      </w:r>
      <w:r w:rsidRPr="004E2708">
        <w:t xml:space="preserve">) </w:t>
      </w:r>
      <w:r>
        <w:t xml:space="preserve">Strateegia </w:t>
      </w:r>
      <w:r w:rsidRPr="004E2708">
        <w:t>„Eesti 2035“ aluspõhimõtete hoidmist ja sihi saavutamist tasakaalustatud regionaalset arengut</w:t>
      </w:r>
      <w:r>
        <w:t xml:space="preserve"> toetaval </w:t>
      </w:r>
      <w:r w:rsidRPr="004E2708">
        <w:t xml:space="preserve">moel hinnatakse </w:t>
      </w:r>
      <w:r>
        <w:t>näitajaga „V</w:t>
      </w:r>
      <w:r w:rsidRPr="004E2708">
        <w:t>äljaspool Harjumaad loodud sisemajanduse koguprodukt elaniku kohta Euroopa Liidu 27 liikmesriigi keskmisest</w:t>
      </w:r>
      <w:r>
        <w:t>“.</w:t>
      </w:r>
    </w:p>
    <w:p w14:paraId="553F8CCE" w14:textId="77777777" w:rsidR="007F7147" w:rsidRDefault="007F7147" w:rsidP="007F7147">
      <w:pPr>
        <w:pStyle w:val="VahedetaTimes12"/>
        <w:jc w:val="both"/>
        <w:rPr>
          <w:rFonts w:eastAsia="Times New Roman"/>
        </w:rPr>
      </w:pPr>
    </w:p>
    <w:p w14:paraId="0209A6D0" w14:textId="5C8AA2C8" w:rsidR="007F7147" w:rsidRPr="004E2708" w:rsidRDefault="007F7147" w:rsidP="007F7147">
      <w:pPr>
        <w:pStyle w:val="VahedetaTimes12"/>
        <w:jc w:val="both"/>
      </w:pPr>
      <w:r w:rsidRPr="001D40BF">
        <w:t>(</w:t>
      </w:r>
      <w:r w:rsidR="00487EF1">
        <w:t>6</w:t>
      </w:r>
      <w:r w:rsidRPr="001D40BF">
        <w:t xml:space="preserve">) </w:t>
      </w:r>
      <w:r w:rsidRPr="00D61F81">
        <w:t>Toetus panustab Eesti teadus- ja arendustegevuse, innovatsiooni ning ettevõtluse arengukava 2021–2035 eesmärkidesse</w:t>
      </w:r>
      <w:r w:rsidRPr="001D40BF">
        <w:t>.</w:t>
      </w:r>
    </w:p>
    <w:p w14:paraId="47512339" w14:textId="77777777" w:rsidR="007F7147" w:rsidRDefault="007F7147" w:rsidP="007F7147">
      <w:pPr>
        <w:pStyle w:val="Tekst"/>
        <w:rPr>
          <w:b/>
          <w:bCs/>
        </w:rPr>
      </w:pPr>
    </w:p>
    <w:p w14:paraId="0EC11B41" w14:textId="77777777" w:rsidR="007F7147" w:rsidRDefault="007F7147" w:rsidP="007F7147">
      <w:pPr>
        <w:pStyle w:val="Tekst"/>
        <w:rPr>
          <w:b/>
          <w:bCs/>
        </w:rPr>
      </w:pPr>
      <w:r>
        <w:rPr>
          <w:b/>
          <w:bCs/>
        </w:rPr>
        <w:t>§ 4. Terminid</w:t>
      </w:r>
    </w:p>
    <w:p w14:paraId="213F330E" w14:textId="77777777" w:rsidR="007F7147" w:rsidRDefault="007F7147" w:rsidP="007F7147">
      <w:pPr>
        <w:pStyle w:val="Tekst"/>
      </w:pPr>
    </w:p>
    <w:p w14:paraId="10965A89" w14:textId="77777777" w:rsidR="007F7147" w:rsidRDefault="007F7147" w:rsidP="007F7147">
      <w:pPr>
        <w:pStyle w:val="Tekst"/>
      </w:pPr>
      <w:r>
        <w:t>Määruses kasutatakse termineid järgmises tähenduses:</w:t>
      </w:r>
    </w:p>
    <w:p w14:paraId="0F91F0C5" w14:textId="45302517" w:rsidR="007F7147" w:rsidRDefault="007F7147" w:rsidP="007F7147">
      <w:pPr>
        <w:pStyle w:val="Tekst"/>
      </w:pPr>
      <w:r>
        <w:t>1) sihtturg on riik või geograafiline piirkond, kuhu projekti tegevused suunatakse;</w:t>
      </w:r>
    </w:p>
    <w:p w14:paraId="2378338D" w14:textId="1E8419F5" w:rsidR="007F7147" w:rsidRDefault="00523A36" w:rsidP="007F7147">
      <w:pPr>
        <w:pStyle w:val="Tekst"/>
      </w:pPr>
      <w:r>
        <w:t>2</w:t>
      </w:r>
      <w:r w:rsidRPr="006D74B4">
        <w:t xml:space="preserve">) kasusaaja on </w:t>
      </w:r>
      <w:r w:rsidR="00BE7203">
        <w:t>toetatavasse</w:t>
      </w:r>
      <w:r w:rsidRPr="006D74B4">
        <w:t xml:space="preserve"> tegevus</w:t>
      </w:r>
      <w:r w:rsidR="00BE7203">
        <w:t xml:space="preserve">se </w:t>
      </w:r>
      <w:r w:rsidRPr="006D74B4">
        <w:t xml:space="preserve">kaasatud ja </w:t>
      </w:r>
      <w:r w:rsidR="00BE7203">
        <w:t>seeläbi</w:t>
      </w:r>
      <w:r w:rsidRPr="006D74B4">
        <w:t xml:space="preserve"> mitterahalist abi saav </w:t>
      </w:r>
      <w:r w:rsidR="00BE7203">
        <w:t>äriühing.</w:t>
      </w:r>
    </w:p>
    <w:p w14:paraId="74602A56" w14:textId="77777777" w:rsidR="00916675" w:rsidRDefault="00916675" w:rsidP="007F7147">
      <w:pPr>
        <w:pStyle w:val="Tekst"/>
        <w:rPr>
          <w:b/>
          <w:bCs/>
        </w:rPr>
      </w:pPr>
    </w:p>
    <w:p w14:paraId="555E5FD2" w14:textId="77777777" w:rsidR="007F7147" w:rsidRPr="004E2708" w:rsidRDefault="007F7147" w:rsidP="007F7147">
      <w:pPr>
        <w:pStyle w:val="Tekst"/>
        <w:rPr>
          <w:b/>
          <w:bCs/>
        </w:rPr>
      </w:pPr>
      <w:r w:rsidRPr="004E2708">
        <w:rPr>
          <w:b/>
          <w:bCs/>
        </w:rPr>
        <w:lastRenderedPageBreak/>
        <w:t xml:space="preserve">§ </w:t>
      </w:r>
      <w:r>
        <w:rPr>
          <w:b/>
          <w:bCs/>
        </w:rPr>
        <w:t>5</w:t>
      </w:r>
      <w:r w:rsidRPr="004E2708">
        <w:rPr>
          <w:b/>
          <w:bCs/>
        </w:rPr>
        <w:t>. Rakendusasutus ja rakendusüksus</w:t>
      </w:r>
    </w:p>
    <w:p w14:paraId="208ECC97" w14:textId="77777777" w:rsidR="007F7147" w:rsidRPr="004E2708" w:rsidRDefault="007F7147" w:rsidP="007F7147">
      <w:pPr>
        <w:pStyle w:val="Tekst"/>
      </w:pPr>
    </w:p>
    <w:p w14:paraId="214B7368" w14:textId="77777777" w:rsidR="007F7147" w:rsidRPr="004E2708" w:rsidRDefault="007F7147" w:rsidP="007F7147">
      <w:pPr>
        <w:pStyle w:val="Tekst"/>
      </w:pPr>
      <w:r w:rsidRPr="004E2708">
        <w:t>(1) Rakendusasutus on Majandus- ja Kommunikatsiooniministeerium.</w:t>
      </w:r>
    </w:p>
    <w:p w14:paraId="6697193F" w14:textId="77777777" w:rsidR="007F7147" w:rsidRPr="004E2708" w:rsidRDefault="007F7147" w:rsidP="007F7147">
      <w:pPr>
        <w:pStyle w:val="Tekst"/>
      </w:pPr>
    </w:p>
    <w:p w14:paraId="4DB07621" w14:textId="77777777" w:rsidR="007F7147" w:rsidRPr="004E2708" w:rsidRDefault="007F7147" w:rsidP="007F7147">
      <w:pPr>
        <w:pStyle w:val="Tekst"/>
      </w:pPr>
      <w:r w:rsidRPr="004E2708">
        <w:t>(2) Rakendusüksus on Ettevõtluse ja Innovatsiooni Sihtasutus.</w:t>
      </w:r>
    </w:p>
    <w:p w14:paraId="05B0AD94" w14:textId="77777777" w:rsidR="007F7147" w:rsidRPr="004E2708" w:rsidRDefault="007F7147" w:rsidP="007F7147">
      <w:pPr>
        <w:pStyle w:val="Tekst"/>
      </w:pPr>
    </w:p>
    <w:p w14:paraId="65FFB538" w14:textId="77777777" w:rsidR="007F7147" w:rsidRPr="004E2708" w:rsidRDefault="007F7147" w:rsidP="007F7147">
      <w:pPr>
        <w:pStyle w:val="Tekst"/>
        <w:jc w:val="center"/>
        <w:rPr>
          <w:b/>
          <w:bCs/>
        </w:rPr>
      </w:pPr>
      <w:r w:rsidRPr="004E2708">
        <w:rPr>
          <w:b/>
          <w:bCs/>
        </w:rPr>
        <w:t>2. peatükk</w:t>
      </w:r>
    </w:p>
    <w:p w14:paraId="1DD816DD" w14:textId="77777777" w:rsidR="007F7147" w:rsidRPr="004E2708" w:rsidRDefault="007F7147" w:rsidP="007F7147">
      <w:pPr>
        <w:pStyle w:val="Tekst"/>
        <w:jc w:val="center"/>
        <w:rPr>
          <w:b/>
          <w:bCs/>
        </w:rPr>
      </w:pPr>
      <w:r w:rsidRPr="004E2708">
        <w:rPr>
          <w:b/>
          <w:bCs/>
        </w:rPr>
        <w:t>Toetatavad tegevused, kulude abikõlblikkus ja toetuse määr</w:t>
      </w:r>
    </w:p>
    <w:p w14:paraId="05F1D6E2" w14:textId="77777777" w:rsidR="007F7147" w:rsidRPr="004E2708" w:rsidRDefault="007F7147" w:rsidP="007F7147">
      <w:pPr>
        <w:pStyle w:val="Tekst"/>
      </w:pPr>
    </w:p>
    <w:p w14:paraId="29CD513A" w14:textId="77777777" w:rsidR="007F7147" w:rsidRPr="004E2708" w:rsidRDefault="007F7147" w:rsidP="007F7147">
      <w:pPr>
        <w:pStyle w:val="Tekst"/>
        <w:rPr>
          <w:b/>
          <w:bCs/>
        </w:rPr>
      </w:pPr>
      <w:r w:rsidRPr="004E2708">
        <w:rPr>
          <w:b/>
          <w:bCs/>
        </w:rPr>
        <w:t xml:space="preserve">§ </w:t>
      </w:r>
      <w:r>
        <w:rPr>
          <w:b/>
          <w:bCs/>
        </w:rPr>
        <w:t>6</w:t>
      </w:r>
      <w:r w:rsidRPr="004E2708">
        <w:rPr>
          <w:b/>
          <w:bCs/>
        </w:rPr>
        <w:t>. Toetatavad tegevused</w:t>
      </w:r>
    </w:p>
    <w:p w14:paraId="44B1EF98" w14:textId="77777777" w:rsidR="007F7147" w:rsidRPr="004E2708" w:rsidRDefault="007F7147" w:rsidP="007F7147">
      <w:pPr>
        <w:pStyle w:val="Tekst"/>
      </w:pPr>
    </w:p>
    <w:p w14:paraId="794165AB" w14:textId="77777777" w:rsidR="007F7147" w:rsidRPr="004E2708" w:rsidRDefault="007F7147" w:rsidP="007F7147">
      <w:pPr>
        <w:pStyle w:val="Tekst"/>
      </w:pPr>
      <w:r w:rsidRPr="004E2708">
        <w:t xml:space="preserve">(1) Toetatakse järgmisi tegevusi: </w:t>
      </w:r>
    </w:p>
    <w:p w14:paraId="5CE64DF3" w14:textId="5DDCAD70" w:rsidR="007F7147" w:rsidRPr="004E2708" w:rsidRDefault="007F7147" w:rsidP="007F7147">
      <w:pPr>
        <w:pStyle w:val="Tekst"/>
      </w:pPr>
      <w:r>
        <w:t xml:space="preserve">1) </w:t>
      </w:r>
      <w:r w:rsidR="008E6BDF">
        <w:t>kasusaaja tegevusala- või sihtturu</w:t>
      </w:r>
      <w:r>
        <w:t>põhise äriarenduse kompetentsiga töötaja värbamine ja rakendamine;</w:t>
      </w:r>
    </w:p>
    <w:p w14:paraId="0A4954CC" w14:textId="77777777" w:rsidR="007F7147" w:rsidRPr="004E2708" w:rsidRDefault="007F7147" w:rsidP="007F7147">
      <w:pPr>
        <w:pStyle w:val="Tekst"/>
      </w:pPr>
      <w:r>
        <w:t xml:space="preserve">2) sihtturgude strateegia rakendamist toetavate </w:t>
      </w:r>
      <w:r w:rsidRPr="000F7F39">
        <w:t>kaardistuste</w:t>
      </w:r>
      <w:r>
        <w:t>, uuringute ja analüüside tegemine;</w:t>
      </w:r>
    </w:p>
    <w:p w14:paraId="3A46D0B4" w14:textId="4BD279D3" w:rsidR="007F7147" w:rsidRPr="004E2708" w:rsidRDefault="007F7147" w:rsidP="007F7147">
      <w:pPr>
        <w:pStyle w:val="Tekst"/>
      </w:pPr>
      <w:r>
        <w:t xml:space="preserve">3) </w:t>
      </w:r>
      <w:r w:rsidR="008E6BDF">
        <w:t xml:space="preserve">kasusaaja tegevusala- või </w:t>
      </w:r>
      <w:r>
        <w:t xml:space="preserve">sihtturupõhiste teekaartide, kontseptsioonide ja </w:t>
      </w:r>
      <w:r w:rsidRPr="000F7F39">
        <w:t>väärtuspakkumiste</w:t>
      </w:r>
      <w:r>
        <w:t xml:space="preserve"> arendamine;</w:t>
      </w:r>
    </w:p>
    <w:p w14:paraId="49C164E1" w14:textId="77777777" w:rsidR="007F7147" w:rsidRPr="004E2708" w:rsidRDefault="007F7147" w:rsidP="007F7147">
      <w:pPr>
        <w:pStyle w:val="Tekst"/>
      </w:pPr>
      <w:r>
        <w:t>4) projekti</w:t>
      </w:r>
      <w:r w:rsidRPr="004E2708">
        <w:t xml:space="preserve"> eesmärkide saavutamiseks vajaliku eksper</w:t>
      </w:r>
      <w:r>
        <w:t>di</w:t>
      </w:r>
      <w:r w:rsidRPr="004E2708">
        <w:t xml:space="preserve">teabe, nõustamise </w:t>
      </w:r>
      <w:r>
        <w:t>ning</w:t>
      </w:r>
      <w:r w:rsidRPr="004E2708">
        <w:t xml:space="preserve"> turundus- </w:t>
      </w:r>
      <w:r>
        <w:t>ja</w:t>
      </w:r>
      <w:r w:rsidRPr="004E2708">
        <w:t xml:space="preserve"> kommunikatsioonialase toe </w:t>
      </w:r>
      <w:r>
        <w:t>telli</w:t>
      </w:r>
      <w:r w:rsidRPr="004E2708">
        <w:t xml:space="preserve">mine; </w:t>
      </w:r>
    </w:p>
    <w:p w14:paraId="1B47DD43" w14:textId="77777777" w:rsidR="007F7147" w:rsidRPr="004E2708" w:rsidRDefault="007F7147" w:rsidP="007F7147">
      <w:pPr>
        <w:pStyle w:val="Tekst"/>
      </w:pPr>
      <w:r w:rsidRPr="004E2708">
        <w:t>5) projekti eesmärkidest lähtuvate ürituste, messide</w:t>
      </w:r>
      <w:r>
        <w:t xml:space="preserve"> </w:t>
      </w:r>
      <w:r w:rsidRPr="004E2708">
        <w:t xml:space="preserve">ja teiste sarnaste </w:t>
      </w:r>
      <w:r>
        <w:t>sündmuste</w:t>
      </w:r>
      <w:r w:rsidRPr="004E2708">
        <w:t xml:space="preserve"> korraldamine </w:t>
      </w:r>
      <w:r>
        <w:t>ja</w:t>
      </w:r>
      <w:r w:rsidRPr="004E2708">
        <w:t xml:space="preserve"> nendel osalemine; </w:t>
      </w:r>
    </w:p>
    <w:p w14:paraId="2F001ECB" w14:textId="77777777" w:rsidR="007F7147" w:rsidRDefault="007F7147" w:rsidP="007F7147">
      <w:pPr>
        <w:pStyle w:val="Tekst"/>
      </w:pPr>
      <w:r w:rsidRPr="004E2708">
        <w:t>6) projektijuhtimine</w:t>
      </w:r>
      <w:r>
        <w:t xml:space="preserve"> punktides 1–5 nimetatud </w:t>
      </w:r>
      <w:r w:rsidRPr="004E2708">
        <w:t>tegevuse korraldamiseks.</w:t>
      </w:r>
    </w:p>
    <w:p w14:paraId="32AA2837" w14:textId="77777777" w:rsidR="007F7147" w:rsidRDefault="007F7147" w:rsidP="007F7147">
      <w:pPr>
        <w:pStyle w:val="Tekst"/>
      </w:pPr>
    </w:p>
    <w:p w14:paraId="44D590FC" w14:textId="77777777" w:rsidR="007F7147" w:rsidRDefault="007F7147" w:rsidP="007F7147">
      <w:pPr>
        <w:pStyle w:val="Tekst"/>
      </w:pPr>
      <w:r>
        <w:t xml:space="preserve">(2) Tegevust võib ellu viia kuni kolmel sihtturul. </w:t>
      </w:r>
    </w:p>
    <w:p w14:paraId="5027E691" w14:textId="77777777" w:rsidR="007F7147" w:rsidRPr="004E2708" w:rsidRDefault="007F7147" w:rsidP="007F7147">
      <w:pPr>
        <w:pStyle w:val="Tekst"/>
      </w:pPr>
    </w:p>
    <w:p w14:paraId="25C52C68" w14:textId="77777777" w:rsidR="007F7147" w:rsidRPr="004E2708" w:rsidRDefault="007F7147" w:rsidP="007F7147">
      <w:pPr>
        <w:pStyle w:val="Vahedeta"/>
      </w:pPr>
      <w:r>
        <w:t>(3) Tegevused on kooskõlas „ei kahjusta oluliselt“ põhimõttega, mille tulemusena ei tekitata olulist kahju keskkonnaeesmärkidele Euroopa Parlamendi ja nõukogu määruse (EL) 2020/852, millega kehtestatakse kestlike investeeringute hõlbustamise raamistik ja muudetakse määrust (EL) 2019/2088 (</w:t>
      </w:r>
      <w:r w:rsidRPr="007D45A9">
        <w:t>ELT L</w:t>
      </w:r>
      <w:r>
        <w:t xml:space="preserve"> 198, 22.06.2020, lk 13–43) artikli 17 tähenduses.</w:t>
      </w:r>
    </w:p>
    <w:p w14:paraId="1845628F" w14:textId="77777777" w:rsidR="007F7147" w:rsidRPr="004E2708" w:rsidRDefault="007F7147" w:rsidP="007F7147">
      <w:pPr>
        <w:pStyle w:val="Tekst"/>
      </w:pPr>
    </w:p>
    <w:p w14:paraId="38E2B415" w14:textId="77777777" w:rsidR="007F7147" w:rsidRDefault="007F7147" w:rsidP="007F7147">
      <w:pPr>
        <w:pStyle w:val="Tekst"/>
        <w:rPr>
          <w:b/>
          <w:bCs/>
        </w:rPr>
      </w:pPr>
      <w:r w:rsidRPr="004E2708">
        <w:rPr>
          <w:b/>
          <w:bCs/>
        </w:rPr>
        <w:t xml:space="preserve">§ </w:t>
      </w:r>
      <w:r>
        <w:rPr>
          <w:b/>
          <w:bCs/>
        </w:rPr>
        <w:t>7</w:t>
      </w:r>
      <w:r w:rsidRPr="004E2708">
        <w:rPr>
          <w:b/>
          <w:bCs/>
        </w:rPr>
        <w:t>. Kulude abikõlblikkus</w:t>
      </w:r>
    </w:p>
    <w:p w14:paraId="68A858EE" w14:textId="77777777" w:rsidR="007F7147" w:rsidRDefault="007F7147" w:rsidP="007F7147">
      <w:pPr>
        <w:pStyle w:val="Tekst"/>
        <w:rPr>
          <w:rStyle w:val="Kommentaariviide"/>
        </w:rPr>
      </w:pPr>
    </w:p>
    <w:p w14:paraId="58E2A03C" w14:textId="6AD43563" w:rsidR="00927988" w:rsidRDefault="00927988" w:rsidP="00927988">
      <w:pPr>
        <w:pStyle w:val="Tekst"/>
      </w:pPr>
      <w:r w:rsidRPr="00927988">
        <w:t>(1</w:t>
      </w:r>
      <w:r>
        <w:t xml:space="preserve">) </w:t>
      </w:r>
      <w:r w:rsidR="009875CE">
        <w:t>Toetatavate tegevuste</w:t>
      </w:r>
      <w:r w:rsidR="007F7147" w:rsidRPr="00A72C5C">
        <w:t xml:space="preserve"> elluviimise kulud on abikõlblikud</w:t>
      </w:r>
      <w:r w:rsidR="009E0CC0">
        <w:t>,</w:t>
      </w:r>
      <w:r w:rsidR="007F7147" w:rsidRPr="00A72C5C">
        <w:t xml:space="preserve"> kasutades ühte järgnevatest kulude lihtsustatud</w:t>
      </w:r>
      <w:r>
        <w:t xml:space="preserve"> </w:t>
      </w:r>
      <w:r w:rsidR="007F7147" w:rsidRPr="00A72C5C">
        <w:t>hüvitamisviisidest:</w:t>
      </w:r>
    </w:p>
    <w:p w14:paraId="1D689B66" w14:textId="32197DB5" w:rsidR="007F7147" w:rsidRDefault="007F7147" w:rsidP="00927988">
      <w:pPr>
        <w:pStyle w:val="Tekst"/>
      </w:pPr>
      <w:r w:rsidRPr="00A72C5C">
        <w:t xml:space="preserve">1) projekti elluviimisega otseselt seotud personalikulud hüvitatakse ühendmääruse §-s 23 </w:t>
      </w:r>
      <w:r w:rsidR="00DB3EA9">
        <w:t>sätestatud</w:t>
      </w:r>
      <w:r w:rsidRPr="00A72C5C">
        <w:t xml:space="preserve"> ühtse määra alusel </w:t>
      </w:r>
      <w:r w:rsidR="0076738F">
        <w:t>kuni</w:t>
      </w:r>
      <w:r w:rsidR="0076738F" w:rsidRPr="00A72C5C">
        <w:t xml:space="preserve"> </w:t>
      </w:r>
      <w:r w:rsidRPr="00A72C5C">
        <w:t>20 protsenti projekti otsestest abikõlblikest kuludest;</w:t>
      </w:r>
      <w:r w:rsidRPr="00A72C5C">
        <w:br/>
        <w:t xml:space="preserve">2) projekti ülejäänud abikõlblikud kulud hüvitatakse ühendmääruse §-s 22 </w:t>
      </w:r>
      <w:r w:rsidR="00DB3EA9">
        <w:t>sätestatud</w:t>
      </w:r>
      <w:r w:rsidRPr="00A72C5C">
        <w:t xml:space="preserve"> ühtse määra alusel </w:t>
      </w:r>
      <w:r w:rsidR="0076738F">
        <w:t>kuni</w:t>
      </w:r>
      <w:r w:rsidR="0076738F" w:rsidRPr="00A72C5C">
        <w:t xml:space="preserve"> </w:t>
      </w:r>
      <w:r w:rsidRPr="00A72C5C">
        <w:t>40 protsenti otsestest personalikuludest.</w:t>
      </w:r>
    </w:p>
    <w:p w14:paraId="511E51F9" w14:textId="77777777" w:rsidR="007F7147" w:rsidRDefault="007F7147" w:rsidP="007F7147">
      <w:pPr>
        <w:pStyle w:val="Tekst"/>
      </w:pPr>
    </w:p>
    <w:p w14:paraId="133BA6F6" w14:textId="525EDAD1" w:rsidR="007F7147" w:rsidRPr="004E2708" w:rsidRDefault="007F7147" w:rsidP="007F7147">
      <w:pPr>
        <w:pStyle w:val="Tekst"/>
      </w:pPr>
      <w:r w:rsidRPr="004E2708">
        <w:t>(</w:t>
      </w:r>
      <w:r w:rsidR="00506BA2">
        <w:t>2</w:t>
      </w:r>
      <w:r w:rsidRPr="004E2708">
        <w:t>) Abikõlbmatud on järgmised kulud:</w:t>
      </w:r>
    </w:p>
    <w:p w14:paraId="7280D540" w14:textId="77777777" w:rsidR="007F7147" w:rsidRPr="004E2708" w:rsidRDefault="007F7147" w:rsidP="007F7147">
      <w:pPr>
        <w:pStyle w:val="Tekst"/>
      </w:pPr>
      <w:r>
        <w:t>1</w:t>
      </w:r>
      <w:r w:rsidRPr="004E2708">
        <w:t xml:space="preserve">) väljaspool Eestit turustusvõrgu loomise kulu; </w:t>
      </w:r>
    </w:p>
    <w:p w14:paraId="5381E6B2" w14:textId="4780C264" w:rsidR="007F7147" w:rsidRPr="004E2708" w:rsidRDefault="007F7147" w:rsidP="007F7147">
      <w:pPr>
        <w:pStyle w:val="Tekst"/>
      </w:pPr>
      <w:r>
        <w:t>2) meened</w:t>
      </w:r>
      <w:r w:rsidR="00573FBA">
        <w:t xml:space="preserve"> ja</w:t>
      </w:r>
      <w:r>
        <w:t xml:space="preserve"> kingitused; </w:t>
      </w:r>
    </w:p>
    <w:p w14:paraId="66AFFB9B" w14:textId="44F4C5F0" w:rsidR="007F7147" w:rsidRDefault="007F7147" w:rsidP="007F7147">
      <w:pPr>
        <w:pStyle w:val="Tekst"/>
      </w:pPr>
      <w:r>
        <w:t>3) ühendmääruse § 16 lõike 1 punktides 2, 6 ja 7 sätestatud kulud.</w:t>
      </w:r>
    </w:p>
    <w:p w14:paraId="24980F5B" w14:textId="77777777" w:rsidR="007F7147" w:rsidRPr="004E2708" w:rsidRDefault="007F7147" w:rsidP="007F7147">
      <w:pPr>
        <w:pStyle w:val="Tekst"/>
      </w:pPr>
    </w:p>
    <w:p w14:paraId="7891E64E" w14:textId="77777777" w:rsidR="007F7147" w:rsidRPr="004E2708" w:rsidRDefault="007F7147" w:rsidP="007F7147">
      <w:pPr>
        <w:pStyle w:val="Tekst"/>
        <w:rPr>
          <w:b/>
          <w:bCs/>
        </w:rPr>
      </w:pPr>
      <w:r w:rsidRPr="004E2708">
        <w:rPr>
          <w:b/>
          <w:bCs/>
        </w:rPr>
        <w:t xml:space="preserve">§ </w:t>
      </w:r>
      <w:r>
        <w:rPr>
          <w:b/>
          <w:bCs/>
        </w:rPr>
        <w:t>8</w:t>
      </w:r>
      <w:r w:rsidRPr="004E2708">
        <w:rPr>
          <w:b/>
          <w:bCs/>
        </w:rPr>
        <w:t>. Projekti abikõlblikkuse periood</w:t>
      </w:r>
    </w:p>
    <w:p w14:paraId="103D2CC9" w14:textId="77777777" w:rsidR="007F7147" w:rsidRPr="004E2708" w:rsidRDefault="007F7147" w:rsidP="007F7147">
      <w:pPr>
        <w:pStyle w:val="Tekst"/>
      </w:pPr>
    </w:p>
    <w:p w14:paraId="15EBC49C" w14:textId="77777777" w:rsidR="007F7147" w:rsidRPr="004E2708" w:rsidRDefault="007F7147" w:rsidP="007F7147">
      <w:pPr>
        <w:pStyle w:val="Tekst"/>
      </w:pPr>
      <w:r w:rsidRPr="004E2708">
        <w:t xml:space="preserve">(1) Projekti abikõlblikkuse periood on taotluse rahuldamise otsuses määratud ajavahemik, </w:t>
      </w:r>
      <w:r>
        <w:t>mil</w:t>
      </w:r>
      <w:r w:rsidRPr="004E2708">
        <w:t xml:space="preserve"> projekti tegevused algavad ja lõppevad ning projekti elluviimiseks vajalikud kulud tekivad.</w:t>
      </w:r>
    </w:p>
    <w:p w14:paraId="10E240E2" w14:textId="77777777" w:rsidR="007F7147" w:rsidRPr="004E2708" w:rsidRDefault="007F7147" w:rsidP="007F7147">
      <w:pPr>
        <w:pStyle w:val="Tekst"/>
      </w:pPr>
    </w:p>
    <w:p w14:paraId="52DFD805" w14:textId="3D42C0D6" w:rsidR="007F7147" w:rsidRPr="004E2708" w:rsidRDefault="007F7147" w:rsidP="007F7147">
      <w:pPr>
        <w:pStyle w:val="Tekst"/>
      </w:pPr>
      <w:r w:rsidRPr="004E2708">
        <w:t>(2) Projekti abikõlblikkuse periood algab taotluse rakendusüksusele esitamise kuupäeva</w:t>
      </w:r>
      <w:r>
        <w:t>l</w:t>
      </w:r>
      <w:r w:rsidRPr="004E2708">
        <w:t xml:space="preserve"> või taotluse rahuldamise otsuses</w:t>
      </w:r>
      <w:r w:rsidR="003345F4">
        <w:t xml:space="preserve"> määratud</w:t>
      </w:r>
      <w:r>
        <w:t xml:space="preserve"> </w:t>
      </w:r>
      <w:r w:rsidRPr="004E2708">
        <w:t>kuupäeva</w:t>
      </w:r>
      <w:r>
        <w:t>l</w:t>
      </w:r>
      <w:r w:rsidRPr="004E2708">
        <w:t xml:space="preserve"> ning lõppeb taotluse rahuldamise otsuses </w:t>
      </w:r>
      <w:r w:rsidR="003345F4">
        <w:t>määratud</w:t>
      </w:r>
      <w:r w:rsidRPr="004E2708">
        <w:t xml:space="preserve"> kuupäeval, kuid mitte hiljem kui 31. oktoobril 2029.</w:t>
      </w:r>
      <w:r w:rsidR="003345F4">
        <w:t xml:space="preserve"> a.</w:t>
      </w:r>
    </w:p>
    <w:p w14:paraId="706F2150" w14:textId="77777777" w:rsidR="007F7147" w:rsidRPr="004E2708" w:rsidRDefault="007F7147" w:rsidP="007F7147">
      <w:pPr>
        <w:pStyle w:val="Tekst"/>
      </w:pPr>
    </w:p>
    <w:p w14:paraId="725DF0AC" w14:textId="77777777" w:rsidR="007F7147" w:rsidRDefault="007F7147" w:rsidP="007F7147">
      <w:pPr>
        <w:pStyle w:val="Tekst"/>
      </w:pPr>
      <w:r>
        <w:t>(3) Taotleja ei tohi võtta kohustusi toetatava tegevuse elluviimiseks enne taotluse esitamist rakendusüksusele, välja arvatud broneeringu tegemisega seonduv kohustus, kui broneering on vajalik projekti abikõlblikkuse perioodile kavandatud § 6 lõike 1 punktis 5 sätestatud sündmuse toimumiseks. Rakendusüksus märgib vajaduse korral taotluse rahuldamise otsuses nimetatud tegevuse kohta taotluse esitamise kuupäevast varasema abikõlblikkuse perioodi alguskuupäeva.</w:t>
      </w:r>
    </w:p>
    <w:p w14:paraId="18E6E502" w14:textId="77777777" w:rsidR="007F7147" w:rsidRPr="004E2708" w:rsidRDefault="007F7147" w:rsidP="007F7147">
      <w:pPr>
        <w:pStyle w:val="Tekst"/>
      </w:pPr>
    </w:p>
    <w:p w14:paraId="6CEC2E34" w14:textId="77777777" w:rsidR="007F7147" w:rsidRPr="004E2708" w:rsidRDefault="007F7147" w:rsidP="007F7147">
      <w:pPr>
        <w:pStyle w:val="Tekst"/>
      </w:pPr>
      <w:r w:rsidRPr="004E2708">
        <w:t>(</w:t>
      </w:r>
      <w:r>
        <w:t>4</w:t>
      </w:r>
      <w:r w:rsidRPr="004E2708">
        <w:t xml:space="preserve">) Projekti abikõlblikkuse periood </w:t>
      </w:r>
      <w:r>
        <w:t>kestab</w:t>
      </w:r>
      <w:r w:rsidRPr="004E2708">
        <w:t xml:space="preserve"> </w:t>
      </w:r>
      <w:r>
        <w:t>kõige vähem</w:t>
      </w:r>
      <w:r w:rsidRPr="004E2708">
        <w:t xml:space="preserve"> 24 kuud ja </w:t>
      </w:r>
      <w:r>
        <w:t>kõige rohkem</w:t>
      </w:r>
      <w:r w:rsidRPr="004E2708">
        <w:t xml:space="preserve"> 36 kuud.</w:t>
      </w:r>
    </w:p>
    <w:p w14:paraId="3BB56EBC" w14:textId="77777777" w:rsidR="007F7147" w:rsidRPr="004E2708" w:rsidRDefault="007F7147" w:rsidP="007F7147">
      <w:pPr>
        <w:pStyle w:val="Tekst"/>
      </w:pPr>
    </w:p>
    <w:p w14:paraId="3A66073A" w14:textId="40BA390A" w:rsidR="007F7147" w:rsidRPr="004E2708" w:rsidRDefault="007F7147" w:rsidP="007F7147">
      <w:pPr>
        <w:pStyle w:val="Tekst"/>
      </w:pPr>
      <w:r w:rsidRPr="004E2708">
        <w:t>(</w:t>
      </w:r>
      <w:r>
        <w:t>5</w:t>
      </w:r>
      <w:r w:rsidRPr="004E2708">
        <w:t>) Toetuse saaja võib mõjuval põhjusel taotleda projekti abikõlblikkuse perioodi</w:t>
      </w:r>
      <w:r>
        <w:t xml:space="preserve"> </w:t>
      </w:r>
      <w:r w:rsidRPr="004E2708">
        <w:t>pikendamist kõige rohkem kuue kuu võrra, tingimusel</w:t>
      </w:r>
      <w:r>
        <w:t>,</w:t>
      </w:r>
      <w:r w:rsidRPr="004E2708">
        <w:t xml:space="preserve"> et saavutatav tulemus seondub endiselt toetuse eesmärgiga ning projekti tegevused viiakse ellu hiljemalt 31. oktoobril 2029.</w:t>
      </w:r>
      <w:r w:rsidR="003345F4">
        <w:t xml:space="preserve"> a.</w:t>
      </w:r>
      <w:r>
        <w:t xml:space="preserve"> Abikõlblikkuse perioodi muutmisel võib ületada lõikes 4 nimetatud maksimaalset abikõlblikkuse perioodi.</w:t>
      </w:r>
    </w:p>
    <w:p w14:paraId="7730093E" w14:textId="77777777" w:rsidR="007F7147" w:rsidRPr="004E2708" w:rsidRDefault="007F7147" w:rsidP="007F7147">
      <w:pPr>
        <w:pStyle w:val="Tekst"/>
      </w:pPr>
    </w:p>
    <w:p w14:paraId="08DF932D" w14:textId="77777777" w:rsidR="007F7147" w:rsidRPr="004E2708" w:rsidRDefault="007F7147" w:rsidP="007F7147">
      <w:pPr>
        <w:pStyle w:val="Tekst"/>
      </w:pPr>
      <w:r w:rsidRPr="004E2708">
        <w:t>(</w:t>
      </w:r>
      <w:r>
        <w:t>6</w:t>
      </w:r>
      <w:r w:rsidRPr="004E2708">
        <w:t xml:space="preserve">) Projekt lõppeb, kui rakendusüksus on </w:t>
      </w:r>
      <w:r>
        <w:t>lõ</w:t>
      </w:r>
      <w:r w:rsidRPr="00B45A6A">
        <w:t>pparuande</w:t>
      </w:r>
      <w:r w:rsidRPr="004E2708">
        <w:t xml:space="preserve"> heaks kiitnud ja teinud toetuse saajale lõppmakse.</w:t>
      </w:r>
    </w:p>
    <w:p w14:paraId="041DDE5F" w14:textId="77777777" w:rsidR="007F7147" w:rsidRPr="004E2708" w:rsidRDefault="007F7147" w:rsidP="007F7147">
      <w:pPr>
        <w:pStyle w:val="Tekst"/>
      </w:pPr>
    </w:p>
    <w:p w14:paraId="08E89EC2" w14:textId="77777777" w:rsidR="007F7147" w:rsidRPr="004E2708" w:rsidRDefault="007F7147" w:rsidP="007F7147">
      <w:pPr>
        <w:pStyle w:val="Tekst"/>
        <w:rPr>
          <w:b/>
          <w:bCs/>
        </w:rPr>
      </w:pPr>
      <w:r w:rsidRPr="004E2708">
        <w:rPr>
          <w:b/>
          <w:bCs/>
        </w:rPr>
        <w:t xml:space="preserve">§ </w:t>
      </w:r>
      <w:r>
        <w:rPr>
          <w:b/>
          <w:bCs/>
        </w:rPr>
        <w:t>9</w:t>
      </w:r>
      <w:r w:rsidRPr="004E2708">
        <w:rPr>
          <w:b/>
          <w:bCs/>
        </w:rPr>
        <w:t>. Toetuse piirsumma ja osakaal</w:t>
      </w:r>
    </w:p>
    <w:p w14:paraId="5F1F2D73" w14:textId="77777777" w:rsidR="007F7147" w:rsidRPr="004E2708" w:rsidRDefault="007F7147" w:rsidP="007F7147">
      <w:pPr>
        <w:pStyle w:val="Tekst"/>
      </w:pPr>
    </w:p>
    <w:p w14:paraId="4A1F7EBA" w14:textId="77777777" w:rsidR="007F7147" w:rsidRPr="004E2708" w:rsidRDefault="007F7147" w:rsidP="007F7147">
      <w:pPr>
        <w:pStyle w:val="Tekst"/>
      </w:pPr>
      <w:r>
        <w:t>(1) Toetuse maksimumsumma on 150 000 eurot ühe projekti kohta.</w:t>
      </w:r>
    </w:p>
    <w:p w14:paraId="354D7944" w14:textId="77777777" w:rsidR="007F7147" w:rsidRPr="004E2708" w:rsidRDefault="007F7147" w:rsidP="007F7147">
      <w:pPr>
        <w:pStyle w:val="Tekst"/>
      </w:pPr>
    </w:p>
    <w:p w14:paraId="7831FB6B" w14:textId="77777777" w:rsidR="007F7147" w:rsidRPr="004E2708" w:rsidRDefault="007F7147" w:rsidP="007F7147">
      <w:pPr>
        <w:pStyle w:val="Tekst"/>
      </w:pPr>
      <w:r w:rsidRPr="004E2708">
        <w:t>(2) Toetuse maksimaalne osakaal on 50 protsenti projekti abikõlblikest kuludest.</w:t>
      </w:r>
    </w:p>
    <w:p w14:paraId="30873048" w14:textId="77777777" w:rsidR="007F7147" w:rsidRPr="004E2708" w:rsidRDefault="007F7147" w:rsidP="007F7147">
      <w:pPr>
        <w:pStyle w:val="Tekst"/>
      </w:pPr>
      <w:r w:rsidRPr="004E2708">
        <w:t> </w:t>
      </w:r>
    </w:p>
    <w:p w14:paraId="4D541019" w14:textId="77777777" w:rsidR="007F7147" w:rsidRPr="004E2708" w:rsidRDefault="007F7147" w:rsidP="007F7147">
      <w:pPr>
        <w:pStyle w:val="Tekst"/>
      </w:pPr>
      <w:r w:rsidRPr="004E2708">
        <w:t>(3) Omafinantseeringu määr peab katma abikõlblikest kuludest osa, mida toetus ei kata.</w:t>
      </w:r>
    </w:p>
    <w:p w14:paraId="2CFA7609" w14:textId="77777777" w:rsidR="007F7147" w:rsidRPr="004E2708" w:rsidRDefault="007F7147" w:rsidP="007F7147">
      <w:pPr>
        <w:pStyle w:val="Tekst"/>
      </w:pPr>
    </w:p>
    <w:p w14:paraId="1F8F00C7" w14:textId="77777777" w:rsidR="007F7147" w:rsidRPr="004E2708" w:rsidRDefault="007F7147" w:rsidP="007F7147">
      <w:pPr>
        <w:pStyle w:val="Tekst"/>
      </w:pPr>
      <w:r w:rsidRPr="004E2708">
        <w:t xml:space="preserve">(4) Omafinantseeringuna ei käsitata </w:t>
      </w:r>
      <w:r>
        <w:t xml:space="preserve">muust </w:t>
      </w:r>
      <w:r w:rsidRPr="004E2708">
        <w:t>riigi, kohaliku omavalitsuse üksuse või Euroopa Liidu institutsiooni</w:t>
      </w:r>
      <w:r>
        <w:t>st</w:t>
      </w:r>
      <w:r w:rsidRPr="004E2708">
        <w:t xml:space="preserve"> või fondi</w:t>
      </w:r>
      <w:r>
        <w:t>st</w:t>
      </w:r>
      <w:r w:rsidRPr="004E2708">
        <w:t xml:space="preserve"> või muust </w:t>
      </w:r>
      <w:proofErr w:type="spellStart"/>
      <w:r w:rsidRPr="004E2708">
        <w:t>välisvahendist</w:t>
      </w:r>
      <w:proofErr w:type="spellEnd"/>
      <w:r w:rsidRPr="004E2708">
        <w:t xml:space="preserve"> antud </w:t>
      </w:r>
      <w:proofErr w:type="spellStart"/>
      <w:r w:rsidRPr="004E2708">
        <w:t>tagastamatu</w:t>
      </w:r>
      <w:r>
        <w:t>t</w:t>
      </w:r>
      <w:proofErr w:type="spellEnd"/>
      <w:r w:rsidRPr="004E2708">
        <w:t xml:space="preserve"> toetus</w:t>
      </w:r>
      <w:r>
        <w:t>t</w:t>
      </w:r>
      <w:r w:rsidRPr="004E2708">
        <w:t>.</w:t>
      </w:r>
    </w:p>
    <w:p w14:paraId="4C1D8D09" w14:textId="77777777" w:rsidR="007F7147" w:rsidRPr="004E2708" w:rsidRDefault="007F7147" w:rsidP="007F7147">
      <w:pPr>
        <w:pStyle w:val="Tekst"/>
      </w:pPr>
    </w:p>
    <w:p w14:paraId="24B87BB2" w14:textId="77777777" w:rsidR="007F7147" w:rsidRPr="004E2708" w:rsidRDefault="007F7147" w:rsidP="007F7147">
      <w:pPr>
        <w:pStyle w:val="Tekst"/>
        <w:jc w:val="center"/>
        <w:rPr>
          <w:b/>
          <w:bCs/>
        </w:rPr>
      </w:pPr>
      <w:r w:rsidRPr="004E2708">
        <w:rPr>
          <w:b/>
          <w:bCs/>
        </w:rPr>
        <w:t>3. peatükk</w:t>
      </w:r>
    </w:p>
    <w:p w14:paraId="546E24F1" w14:textId="77777777" w:rsidR="007F7147" w:rsidRPr="004E2708" w:rsidRDefault="007F7147" w:rsidP="007F7147">
      <w:pPr>
        <w:pStyle w:val="Tekst"/>
        <w:jc w:val="center"/>
        <w:rPr>
          <w:b/>
          <w:bCs/>
        </w:rPr>
      </w:pPr>
      <w:r w:rsidRPr="004E2708">
        <w:rPr>
          <w:b/>
          <w:bCs/>
        </w:rPr>
        <w:t>Nõuded taotlejale</w:t>
      </w:r>
      <w:r>
        <w:rPr>
          <w:b/>
          <w:bCs/>
        </w:rPr>
        <w:t xml:space="preserve"> ja</w:t>
      </w:r>
      <w:r w:rsidRPr="004E2708">
        <w:rPr>
          <w:b/>
          <w:bCs/>
        </w:rPr>
        <w:t xml:space="preserve"> taotlusele</w:t>
      </w:r>
    </w:p>
    <w:p w14:paraId="208C241E" w14:textId="77777777" w:rsidR="007F7147" w:rsidRPr="004E2708" w:rsidRDefault="007F7147" w:rsidP="007F7147">
      <w:pPr>
        <w:pStyle w:val="Tekst"/>
      </w:pPr>
    </w:p>
    <w:p w14:paraId="3B526253" w14:textId="77777777" w:rsidR="007F7147" w:rsidRDefault="007F7147" w:rsidP="007F7147">
      <w:pPr>
        <w:pStyle w:val="Tekst"/>
        <w:rPr>
          <w:b/>
          <w:bCs/>
        </w:rPr>
      </w:pPr>
      <w:r w:rsidRPr="004E2708">
        <w:rPr>
          <w:b/>
          <w:bCs/>
        </w:rPr>
        <w:t xml:space="preserve">§ </w:t>
      </w:r>
      <w:r>
        <w:rPr>
          <w:b/>
          <w:bCs/>
        </w:rPr>
        <w:t>10</w:t>
      </w:r>
      <w:r w:rsidRPr="004E2708">
        <w:rPr>
          <w:b/>
          <w:bCs/>
        </w:rPr>
        <w:t>. Nõuded taotlejale</w:t>
      </w:r>
    </w:p>
    <w:p w14:paraId="6292D24E" w14:textId="77777777" w:rsidR="007F7147" w:rsidRPr="004E2708" w:rsidRDefault="007F7147" w:rsidP="007F7147">
      <w:pPr>
        <w:pStyle w:val="Tekst"/>
        <w:rPr>
          <w:b/>
          <w:bCs/>
        </w:rPr>
      </w:pPr>
    </w:p>
    <w:p w14:paraId="359AF778" w14:textId="190647A4" w:rsidR="007F7147" w:rsidRDefault="007F7147" w:rsidP="007F7147">
      <w:pPr>
        <w:pStyle w:val="Tekst"/>
      </w:pPr>
      <w:r>
        <w:t xml:space="preserve">(1) Toetust võib taotleda kasusaajaid </w:t>
      </w:r>
      <w:r w:rsidR="00373E28">
        <w:t>tegevusala</w:t>
      </w:r>
      <w:r>
        <w:t>põhiselt esindav ning vähemalt üks aasta enne taotluse esitamise kuupäeva Eestis registreeritud sihtasutus, mittetulundusühing või äriühing</w:t>
      </w:r>
      <w:bookmarkStart w:id="1" w:name="_Hlk181088818"/>
      <w:r>
        <w:t>.</w:t>
      </w:r>
    </w:p>
    <w:p w14:paraId="1514771C" w14:textId="77777777" w:rsidR="007F7147" w:rsidRDefault="007F7147" w:rsidP="007F7147">
      <w:pPr>
        <w:pStyle w:val="Tekst"/>
      </w:pPr>
    </w:p>
    <w:p w14:paraId="4D2A2FB5" w14:textId="2BEE6A44" w:rsidR="007F7147" w:rsidRDefault="007F7147" w:rsidP="007F7147">
      <w:pPr>
        <w:pStyle w:val="Tekst"/>
      </w:pPr>
      <w:r>
        <w:t xml:space="preserve">(2) Kasusaaja võib olla Eestis registreeritud äriühing. </w:t>
      </w:r>
      <w:r w:rsidRPr="009944BA">
        <w:t>Projekti elluviimisel peab osalema vähemalt kümme kasusaajat</w:t>
      </w:r>
      <w:r w:rsidR="0076738F">
        <w:t>,</w:t>
      </w:r>
      <w:r w:rsidRPr="009944BA">
        <w:t xml:space="preserve"> kui </w:t>
      </w:r>
      <w:r w:rsidR="00B45B81">
        <w:t xml:space="preserve">vähemalt üks </w:t>
      </w:r>
      <w:r w:rsidRPr="009944BA">
        <w:t>sihttur</w:t>
      </w:r>
      <w:r w:rsidR="00B45B81">
        <w:t>g</w:t>
      </w:r>
      <w:r w:rsidRPr="009944BA">
        <w:t>ud</w:t>
      </w:r>
      <w:r w:rsidR="00B45B81">
        <w:t>est</w:t>
      </w:r>
      <w:r w:rsidRPr="009944BA">
        <w:t xml:space="preserve"> on Euroopa Majanduspiirkonna rii</w:t>
      </w:r>
      <w:r w:rsidR="00B45B81">
        <w:t>k</w:t>
      </w:r>
      <w:r w:rsidRPr="009944BA">
        <w:t xml:space="preserve">, Šveits </w:t>
      </w:r>
      <w:r w:rsidR="00B45B81">
        <w:t>või</w:t>
      </w:r>
      <w:r w:rsidRPr="009944BA">
        <w:t xml:space="preserve"> </w:t>
      </w:r>
      <w:r w:rsidR="00373E28">
        <w:t xml:space="preserve">Suurbritannia ja Põhja-Iiri </w:t>
      </w:r>
      <w:r w:rsidRPr="009944BA">
        <w:t>Ühendkuningrii</w:t>
      </w:r>
      <w:r w:rsidR="00B45B81">
        <w:t>k</w:t>
      </w:r>
      <w:r w:rsidRPr="009944BA">
        <w:t xml:space="preserve"> ning vähemalt kaheksa kasusaajat, kui vähemalt üks sihtturgudest on mõni </w:t>
      </w:r>
      <w:proofErr w:type="spellStart"/>
      <w:r w:rsidRPr="009944BA">
        <w:t>kaugturg</w:t>
      </w:r>
      <w:proofErr w:type="spellEnd"/>
      <w:r w:rsidRPr="009944BA">
        <w:t>.</w:t>
      </w:r>
      <w:bookmarkEnd w:id="1"/>
    </w:p>
    <w:p w14:paraId="14DC1F72" w14:textId="77777777" w:rsidR="0014655A" w:rsidRDefault="0014655A" w:rsidP="007F7147">
      <w:pPr>
        <w:pStyle w:val="Tekst"/>
      </w:pPr>
    </w:p>
    <w:p w14:paraId="66E64A4C" w14:textId="405516CF" w:rsidR="0014655A" w:rsidRPr="004E2708" w:rsidRDefault="0014655A" w:rsidP="007F7147">
      <w:pPr>
        <w:pStyle w:val="Tekst"/>
      </w:pPr>
      <w:r>
        <w:t xml:space="preserve">(3) Kaugturg on sihtturg, mis ei ole Euroopa Majanduspiirkonna riik, </w:t>
      </w:r>
      <w:r w:rsidR="00373E28">
        <w:t xml:space="preserve">Suurbritannia ja Põhja-Iiri </w:t>
      </w:r>
      <w:r>
        <w:t>Ühendkuningrii</w:t>
      </w:r>
      <w:r w:rsidR="00373E28">
        <w:t>k</w:t>
      </w:r>
      <w:r>
        <w:t xml:space="preserve"> ega Šveits.</w:t>
      </w:r>
    </w:p>
    <w:p w14:paraId="667517FB" w14:textId="77777777" w:rsidR="007F7147" w:rsidRPr="004E2708" w:rsidRDefault="007F7147" w:rsidP="007F7147">
      <w:pPr>
        <w:pStyle w:val="Tekst"/>
      </w:pPr>
    </w:p>
    <w:p w14:paraId="3525E13C" w14:textId="77777777" w:rsidR="007F7147" w:rsidRPr="004E2708" w:rsidRDefault="007F7147" w:rsidP="007F7147">
      <w:pPr>
        <w:pStyle w:val="Tekst"/>
        <w:rPr>
          <w:b/>
          <w:bCs/>
        </w:rPr>
      </w:pPr>
      <w:r w:rsidRPr="004E2708">
        <w:rPr>
          <w:b/>
          <w:bCs/>
        </w:rPr>
        <w:t>§ 1</w:t>
      </w:r>
      <w:r>
        <w:rPr>
          <w:b/>
          <w:bCs/>
        </w:rPr>
        <w:t>1</w:t>
      </w:r>
      <w:r w:rsidRPr="004E2708">
        <w:rPr>
          <w:b/>
          <w:bCs/>
        </w:rPr>
        <w:t>. Nõuded taotlusele</w:t>
      </w:r>
    </w:p>
    <w:p w14:paraId="093E879A" w14:textId="77777777" w:rsidR="007F7147" w:rsidRPr="004E2708" w:rsidRDefault="007F7147" w:rsidP="007F7147">
      <w:pPr>
        <w:pStyle w:val="Tekst"/>
      </w:pPr>
    </w:p>
    <w:p w14:paraId="3EE4D964" w14:textId="77777777" w:rsidR="007F7147" w:rsidRDefault="007F7147" w:rsidP="007F7147">
      <w:pPr>
        <w:pStyle w:val="Tekst"/>
        <w:rPr>
          <w:rFonts w:cs="Times New Roman"/>
        </w:rPr>
      </w:pPr>
      <w:r w:rsidRPr="004E2708">
        <w:t>Taotlus peab sisaldama vähemalt järgmisi andmeid, kinnitusi ja dokumente:</w:t>
      </w:r>
    </w:p>
    <w:p w14:paraId="6C749EE0" w14:textId="77777777" w:rsidR="007F7147" w:rsidRDefault="007F7147" w:rsidP="007F7147">
      <w:pPr>
        <w:pStyle w:val="Tekst"/>
        <w:rPr>
          <w:rFonts w:cs="Times New Roman"/>
          <w:color w:val="202020"/>
          <w:shd w:val="clear" w:color="auto" w:fill="FFFFFF"/>
        </w:rPr>
      </w:pPr>
      <w:r>
        <w:rPr>
          <w:rFonts w:cs="Times New Roman"/>
        </w:rPr>
        <w:t xml:space="preserve">1) </w:t>
      </w:r>
      <w:r w:rsidRPr="00DD4800">
        <w:rPr>
          <w:rFonts w:cs="Times New Roman"/>
        </w:rPr>
        <w:t>taotleja nimi, registrikood</w:t>
      </w:r>
      <w:r w:rsidRPr="008B6491">
        <w:rPr>
          <w:rFonts w:cs="Times New Roman"/>
        </w:rPr>
        <w:t>, teave, kas taotleja on</w:t>
      </w:r>
      <w:r>
        <w:rPr>
          <w:rFonts w:cs="Times New Roman"/>
        </w:rPr>
        <w:t xml:space="preserve"> mikro-,</w:t>
      </w:r>
      <w:r w:rsidRPr="008B6491">
        <w:rPr>
          <w:rFonts w:cs="Times New Roman"/>
        </w:rPr>
        <w:t xml:space="preserve"> väikese ja keskmise suurusega ettevõtja komisjoni </w:t>
      </w:r>
      <w:r w:rsidRPr="008B6491">
        <w:rPr>
          <w:rFonts w:cs="Times New Roman"/>
          <w:color w:val="202020"/>
          <w:shd w:val="clear" w:color="auto" w:fill="FFFFFF"/>
        </w:rPr>
        <w:t xml:space="preserve">määruse (EL) nr 651/2014 ELi aluslepingu artiklite 107 ja 108 kohaldamise kohta, millega teatavat liiki abi tunnistatakse siseturuga kokkusobivaks (ELT L 187, 26.06.2014, lk 1–78) </w:t>
      </w:r>
      <w:r>
        <w:rPr>
          <w:rFonts w:cs="Times New Roman"/>
          <w:color w:val="202020"/>
          <w:shd w:val="clear" w:color="auto" w:fill="FFFFFF"/>
        </w:rPr>
        <w:t xml:space="preserve">I lisa </w:t>
      </w:r>
      <w:r w:rsidRPr="008B6491">
        <w:rPr>
          <w:rFonts w:cs="Times New Roman"/>
          <w:color w:val="202020"/>
          <w:shd w:val="clear" w:color="auto" w:fill="FFFFFF"/>
        </w:rPr>
        <w:t>artikli 2 tähenduses;</w:t>
      </w:r>
    </w:p>
    <w:p w14:paraId="50FFF780" w14:textId="77777777" w:rsidR="007F7147" w:rsidRDefault="007F7147" w:rsidP="007F7147">
      <w:pPr>
        <w:pStyle w:val="Tekst"/>
      </w:pPr>
      <w:r>
        <w:rPr>
          <w:rFonts w:cs="Times New Roman"/>
          <w:color w:val="202020"/>
          <w:shd w:val="clear" w:color="auto" w:fill="FFFFFF"/>
        </w:rPr>
        <w:lastRenderedPageBreak/>
        <w:t>2) taotleja põhitegevusala kood vastavalt</w:t>
      </w:r>
      <w:r w:rsidRPr="00DD4800">
        <w:rPr>
          <w:rFonts w:cs="Times New Roman"/>
        </w:rPr>
        <w:t xml:space="preserve"> justiitsministri 28. detsembri 2005. a määruse nr 59 „Kohtule dokumentide esitamise kord“ lisa</w:t>
      </w:r>
      <w:r>
        <w:rPr>
          <w:rFonts w:cs="Times New Roman"/>
        </w:rPr>
        <w:t>le</w:t>
      </w:r>
      <w:r w:rsidRPr="00DD4800">
        <w:rPr>
          <w:rFonts w:cs="Times New Roman"/>
        </w:rPr>
        <w:t xml:space="preserve"> 16 „Eesti majanduse tegevusalade klassifikaator</w:t>
      </w:r>
      <w:r>
        <w:rPr>
          <w:rFonts w:cs="Times New Roman"/>
        </w:rPr>
        <w:t xml:space="preserve"> (EMTAK)</w:t>
      </w:r>
      <w:r w:rsidRPr="00DD4800">
        <w:rPr>
          <w:rFonts w:cs="Times New Roman"/>
        </w:rPr>
        <w:t>“</w:t>
      </w:r>
      <w:r w:rsidRPr="004E2708">
        <w:t>;</w:t>
      </w:r>
    </w:p>
    <w:p w14:paraId="06C6DAB8" w14:textId="03245CD9" w:rsidR="007F7147" w:rsidRPr="004E2708" w:rsidRDefault="007F7147" w:rsidP="007F7147">
      <w:pPr>
        <w:pStyle w:val="Tekst"/>
      </w:pPr>
      <w:r>
        <w:t>3</w:t>
      </w:r>
      <w:r w:rsidRPr="004E2708">
        <w:t>) projekti nim</w:t>
      </w:r>
      <w:r w:rsidR="00DB6E04">
        <w:t>i</w:t>
      </w:r>
      <w:r w:rsidRPr="004E2708">
        <w:t>,</w:t>
      </w:r>
      <w:r w:rsidR="00E82F3D">
        <w:t xml:space="preserve"> </w:t>
      </w:r>
      <w:r w:rsidR="00E82F3D" w:rsidRPr="004E2708">
        <w:t>eesmärgid ja lühikirjeldus</w:t>
      </w:r>
      <w:r w:rsidR="00E82F3D">
        <w:t xml:space="preserve"> ning</w:t>
      </w:r>
      <w:r w:rsidRPr="004E2708">
        <w:t xml:space="preserve"> </w:t>
      </w:r>
      <w:r>
        <w:t xml:space="preserve">abikõlblikkuse perioodi </w:t>
      </w:r>
      <w:r w:rsidRPr="004E2708">
        <w:t>algus- ja lõppkuupäev</w:t>
      </w:r>
      <w:r w:rsidR="00E82F3D">
        <w:t>;</w:t>
      </w:r>
    </w:p>
    <w:p w14:paraId="15C189EE" w14:textId="00D4F797" w:rsidR="007F7147" w:rsidRPr="004E2708" w:rsidRDefault="007F7147" w:rsidP="007F7147">
      <w:pPr>
        <w:pStyle w:val="Tekst"/>
      </w:pPr>
      <w:r>
        <w:t>4</w:t>
      </w:r>
      <w:r w:rsidRPr="004E2708">
        <w:t xml:space="preserve">) </w:t>
      </w:r>
      <w:r>
        <w:t>toetatavate</w:t>
      </w:r>
      <w:r w:rsidRPr="004E2708">
        <w:t xml:space="preserve"> tegevus</w:t>
      </w:r>
      <w:r>
        <w:t>t</w:t>
      </w:r>
      <w:r w:rsidRPr="004E2708">
        <w:t>e kirjeldus;</w:t>
      </w:r>
    </w:p>
    <w:p w14:paraId="3CD53512" w14:textId="22614909" w:rsidR="007F7147" w:rsidRPr="004E2708" w:rsidRDefault="007F7147" w:rsidP="007F7147">
      <w:pPr>
        <w:pStyle w:val="Tekst"/>
      </w:pPr>
      <w:r>
        <w:t>5)</w:t>
      </w:r>
      <w:r w:rsidRPr="008E2DB9">
        <w:rPr>
          <w:rFonts w:cs="Times New Roman"/>
        </w:rPr>
        <w:t xml:space="preserve"> </w:t>
      </w:r>
      <w:r w:rsidRPr="00E43373">
        <w:rPr>
          <w:rFonts w:cs="Times New Roman"/>
        </w:rPr>
        <w:t xml:space="preserve">põhikiri, </w:t>
      </w:r>
      <w:r w:rsidR="00E82F3D">
        <w:rPr>
          <w:rFonts w:cs="Times New Roman"/>
        </w:rPr>
        <w:t>kui see e</w:t>
      </w:r>
      <w:r w:rsidRPr="00E43373">
        <w:rPr>
          <w:rFonts w:cs="Times New Roman"/>
        </w:rPr>
        <w:t xml:space="preserve">i ole </w:t>
      </w:r>
      <w:r w:rsidR="007759BC">
        <w:rPr>
          <w:rFonts w:cs="Times New Roman"/>
        </w:rPr>
        <w:t>ä</w:t>
      </w:r>
      <w:r w:rsidRPr="00E43373">
        <w:rPr>
          <w:rFonts w:cs="Times New Roman"/>
        </w:rPr>
        <w:t xml:space="preserve">riregistrist kättesaadav või muu dokument, millest tuleneb õigus </w:t>
      </w:r>
      <w:r>
        <w:rPr>
          <w:rFonts w:cs="Times New Roman"/>
        </w:rPr>
        <w:t>kasusaajai</w:t>
      </w:r>
      <w:r w:rsidRPr="00E43373">
        <w:rPr>
          <w:rFonts w:cs="Times New Roman"/>
        </w:rPr>
        <w:t xml:space="preserve">d </w:t>
      </w:r>
      <w:r w:rsidR="00E82F3D">
        <w:rPr>
          <w:rFonts w:cs="Times New Roman"/>
        </w:rPr>
        <w:t>tegevusala</w:t>
      </w:r>
      <w:r w:rsidRPr="00E43373">
        <w:rPr>
          <w:rFonts w:cs="Times New Roman"/>
        </w:rPr>
        <w:t>põhiselt esindada</w:t>
      </w:r>
      <w:r>
        <w:t>;</w:t>
      </w:r>
    </w:p>
    <w:p w14:paraId="5A61C390" w14:textId="59E9E92C" w:rsidR="007F7147" w:rsidRPr="004E2708" w:rsidRDefault="007F7147" w:rsidP="007F7147">
      <w:pPr>
        <w:pStyle w:val="Tekst"/>
      </w:pPr>
      <w:r>
        <w:t xml:space="preserve">6) strateegia, millest taotleja juhindub </w:t>
      </w:r>
      <w:r w:rsidR="00560D41">
        <w:t>kasusaajate</w:t>
      </w:r>
      <w:r>
        <w:t xml:space="preserve"> rahvusvahelise konkurentsivõime kasvatamisel;</w:t>
      </w:r>
    </w:p>
    <w:p w14:paraId="739844D9" w14:textId="77777777" w:rsidR="007F7147" w:rsidRPr="004E2708" w:rsidRDefault="007F7147" w:rsidP="007F7147">
      <w:pPr>
        <w:pStyle w:val="Tekst"/>
      </w:pPr>
      <w:r>
        <w:t>7) sihtturg või -turud ning kuni kolme sihtturgu kattev tegevuskava rakendusüksuse vormil;</w:t>
      </w:r>
    </w:p>
    <w:p w14:paraId="33963B5C" w14:textId="77777777" w:rsidR="007F7147" w:rsidRDefault="007F7147" w:rsidP="007F7147">
      <w:pPr>
        <w:pStyle w:val="Tekst"/>
      </w:pPr>
      <w:r>
        <w:t>8</w:t>
      </w:r>
      <w:r w:rsidRPr="004E2708">
        <w:t>) projekti eelarve</w:t>
      </w:r>
      <w:r>
        <w:t xml:space="preserve"> ja </w:t>
      </w:r>
      <w:r w:rsidRPr="004E2708">
        <w:t>toetuse summa</w:t>
      </w:r>
      <w:r>
        <w:t>;</w:t>
      </w:r>
    </w:p>
    <w:p w14:paraId="256FFC16" w14:textId="77777777" w:rsidR="007F7147" w:rsidRDefault="007F7147" w:rsidP="007F7147">
      <w:pPr>
        <w:pStyle w:val="Tekst"/>
      </w:pPr>
      <w:r>
        <w:t>9) toetuse maksmise viis tulenevalt § 21 lõikest 1;</w:t>
      </w:r>
    </w:p>
    <w:p w14:paraId="268466F0" w14:textId="5D30EA48" w:rsidR="001B2227" w:rsidRPr="00646922" w:rsidRDefault="001B2227" w:rsidP="007F7147">
      <w:pPr>
        <w:pStyle w:val="Tekst"/>
      </w:pPr>
      <w:r>
        <w:t>10) projektis eeldatavalt osalevad kasusaajad;</w:t>
      </w:r>
    </w:p>
    <w:p w14:paraId="54268C4B" w14:textId="562756A6" w:rsidR="007F7147" w:rsidRPr="004E2708" w:rsidRDefault="007F7147" w:rsidP="007F7147">
      <w:pPr>
        <w:pStyle w:val="Tekst"/>
      </w:pPr>
      <w:r w:rsidRPr="007029B3">
        <w:t>1</w:t>
      </w:r>
      <w:r w:rsidR="001B2227">
        <w:t>1</w:t>
      </w:r>
      <w:r w:rsidRPr="007029B3">
        <w:t>)</w:t>
      </w:r>
      <w:r>
        <w:t xml:space="preserve"> strateegia „Eesti 2035“ näitajasse „Väljaspool Harjumaad loodud sisemajanduse koguprodukt elaniku kohta Euroopa Liidu 27 liikmesriigi keskmisest“ panustamise kirjeldus;</w:t>
      </w:r>
    </w:p>
    <w:p w14:paraId="65E0EAD7" w14:textId="6BE8A7EB" w:rsidR="007F7147" w:rsidRPr="004E2708" w:rsidRDefault="007F7147" w:rsidP="007F7147">
      <w:pPr>
        <w:pStyle w:val="Tekst"/>
      </w:pPr>
      <w:r w:rsidRPr="004E2708">
        <w:t>1</w:t>
      </w:r>
      <w:r w:rsidR="001B2227">
        <w:t>2</w:t>
      </w:r>
      <w:r w:rsidRPr="004E2708">
        <w:t>) omafinantseeringu summa ja kinnitus selle olemasolu kohta;</w:t>
      </w:r>
    </w:p>
    <w:p w14:paraId="009E32E5" w14:textId="39F4F115" w:rsidR="007F7147" w:rsidRPr="004E2708" w:rsidRDefault="007F7147" w:rsidP="007F7147">
      <w:pPr>
        <w:pStyle w:val="Tekst"/>
      </w:pPr>
      <w:r w:rsidRPr="004E2708">
        <w:t>1</w:t>
      </w:r>
      <w:r w:rsidR="001B2227">
        <w:t>3</w:t>
      </w:r>
      <w:r w:rsidRPr="004E2708">
        <w:t>) kinnitus, et taotleja on teadlik, et taotluse rahuldamise otsuses esitatud toetuse summa aval</w:t>
      </w:r>
      <w:r>
        <w:t>datakse</w:t>
      </w:r>
      <w:r w:rsidRPr="004E2708">
        <w:t>;</w:t>
      </w:r>
    </w:p>
    <w:p w14:paraId="5013272C" w14:textId="72DEED9A" w:rsidR="007F7147" w:rsidRPr="004E2708" w:rsidRDefault="007F7147" w:rsidP="007F7147">
      <w:pPr>
        <w:pStyle w:val="Tekst"/>
      </w:pPr>
      <w:r w:rsidRPr="004E2708">
        <w:t>1</w:t>
      </w:r>
      <w:r w:rsidR="001B2227">
        <w:t>4</w:t>
      </w:r>
      <w:r w:rsidRPr="004E2708">
        <w:t xml:space="preserve">) teave selle kohta, kas projektile või projekti üksikule tegevusele taotletakse samal ajal </w:t>
      </w:r>
      <w:r w:rsidRPr="000926D9">
        <w:t xml:space="preserve">muust riigi, kohaliku omavalitsuse üksuse või Euroopa Liidu institutsioonist või fondist või muust </w:t>
      </w:r>
      <w:proofErr w:type="spellStart"/>
      <w:r w:rsidRPr="000926D9">
        <w:t>välisvahendist</w:t>
      </w:r>
      <w:proofErr w:type="spellEnd"/>
      <w:r w:rsidRPr="004E2708">
        <w:t xml:space="preserve"> </w:t>
      </w:r>
      <w:proofErr w:type="spellStart"/>
      <w:r w:rsidRPr="004E2708">
        <w:t>tagastamatut</w:t>
      </w:r>
      <w:proofErr w:type="spellEnd"/>
      <w:r w:rsidRPr="004E2708">
        <w:t xml:space="preserve"> toetust;</w:t>
      </w:r>
    </w:p>
    <w:p w14:paraId="09D2B4BB" w14:textId="6C26B0F7" w:rsidR="007F7147" w:rsidRDefault="007F7147" w:rsidP="007F7147">
      <w:pPr>
        <w:pStyle w:val="Tekst"/>
      </w:pPr>
      <w:r w:rsidRPr="004E2708">
        <w:t>1</w:t>
      </w:r>
      <w:r w:rsidR="001B2227">
        <w:t>5</w:t>
      </w:r>
      <w:r w:rsidRPr="004E2708">
        <w:t xml:space="preserve">) kinnitus, et projekti elluviimisel ei riivata Euroopa Liidu põhiõiguste hartas </w:t>
      </w:r>
      <w:r>
        <w:t>sätestat</w:t>
      </w:r>
      <w:r w:rsidRPr="004E2708">
        <w:t>ud põhiõigus</w:t>
      </w:r>
      <w:r>
        <w:t>i;</w:t>
      </w:r>
    </w:p>
    <w:p w14:paraId="736C1E88" w14:textId="2FD68F56" w:rsidR="007F7147" w:rsidRPr="004E2708" w:rsidRDefault="007F7147" w:rsidP="007F7147">
      <w:pPr>
        <w:pStyle w:val="Tekst"/>
      </w:pPr>
      <w:r>
        <w:t>1</w:t>
      </w:r>
      <w:r w:rsidR="001B2227">
        <w:t>6</w:t>
      </w:r>
      <w:r>
        <w:t xml:space="preserve">) kinnitus, et </w:t>
      </w:r>
      <w:r w:rsidRPr="00375BF6">
        <w:t>projektiga ei tekitata Euroopa Parlamendi ja nõukogu määruse (EL) 2020/</w:t>
      </w:r>
      <w:r w:rsidRPr="000926D9">
        <w:t>852</w:t>
      </w:r>
      <w:r w:rsidRPr="00375BF6">
        <w:t xml:space="preserve"> artiklis 17 nimetatud olulist kahju ühelegi sama määruse artiklis 9 sätestatud keskkonnaeesmärgile</w:t>
      </w:r>
      <w:r>
        <w:t>.</w:t>
      </w:r>
    </w:p>
    <w:p w14:paraId="15DC34E1" w14:textId="77777777" w:rsidR="007F7147" w:rsidRPr="004E2708" w:rsidRDefault="007F7147" w:rsidP="007F7147">
      <w:pPr>
        <w:pStyle w:val="Tekst"/>
      </w:pPr>
    </w:p>
    <w:p w14:paraId="3BE55DC0" w14:textId="77777777" w:rsidR="007F7147" w:rsidRPr="004E2708" w:rsidRDefault="007F7147" w:rsidP="007F7147">
      <w:pPr>
        <w:pStyle w:val="Tekst"/>
        <w:jc w:val="center"/>
        <w:rPr>
          <w:b/>
          <w:bCs/>
        </w:rPr>
      </w:pPr>
      <w:r w:rsidRPr="004E2708">
        <w:rPr>
          <w:b/>
          <w:bCs/>
        </w:rPr>
        <w:t>4. peatükk</w:t>
      </w:r>
    </w:p>
    <w:p w14:paraId="694A6990" w14:textId="77777777" w:rsidR="007F7147" w:rsidRPr="004E2708" w:rsidRDefault="007F7147" w:rsidP="007F7147">
      <w:pPr>
        <w:pStyle w:val="Tekst"/>
        <w:jc w:val="center"/>
        <w:rPr>
          <w:b/>
          <w:bCs/>
        </w:rPr>
      </w:pPr>
      <w:r w:rsidRPr="004E2708">
        <w:rPr>
          <w:b/>
          <w:bCs/>
        </w:rPr>
        <w:t>Toetuse taotlemine</w:t>
      </w:r>
      <w:r>
        <w:rPr>
          <w:b/>
          <w:bCs/>
        </w:rPr>
        <w:t xml:space="preserve"> ja taotluse menetlemine</w:t>
      </w:r>
    </w:p>
    <w:p w14:paraId="66C098D8" w14:textId="77777777" w:rsidR="007F7147" w:rsidRPr="004E2708" w:rsidRDefault="007F7147" w:rsidP="007F7147">
      <w:pPr>
        <w:pStyle w:val="Tekst"/>
      </w:pPr>
    </w:p>
    <w:p w14:paraId="05B48704" w14:textId="77777777" w:rsidR="007F7147" w:rsidRPr="004E2708" w:rsidRDefault="007F7147" w:rsidP="007F7147">
      <w:pPr>
        <w:pStyle w:val="Tekst"/>
        <w:rPr>
          <w:b/>
          <w:bCs/>
        </w:rPr>
      </w:pPr>
      <w:r w:rsidRPr="004E2708">
        <w:rPr>
          <w:b/>
          <w:bCs/>
        </w:rPr>
        <w:t>§ 1</w:t>
      </w:r>
      <w:r>
        <w:rPr>
          <w:b/>
          <w:bCs/>
        </w:rPr>
        <w:t>2</w:t>
      </w:r>
      <w:r w:rsidRPr="004E2708">
        <w:rPr>
          <w:b/>
          <w:bCs/>
        </w:rPr>
        <w:t>. Toetuse taotlemine</w:t>
      </w:r>
    </w:p>
    <w:p w14:paraId="79AC512F" w14:textId="77777777" w:rsidR="007F7147" w:rsidRPr="004E2708" w:rsidRDefault="007F7147" w:rsidP="007F7147">
      <w:pPr>
        <w:pStyle w:val="Tekst"/>
      </w:pPr>
    </w:p>
    <w:p w14:paraId="62B362C5" w14:textId="77777777" w:rsidR="007F7147" w:rsidRPr="004E2708" w:rsidRDefault="007F7147" w:rsidP="007F7147">
      <w:pPr>
        <w:pStyle w:val="Tekst"/>
      </w:pPr>
      <w:r w:rsidRPr="004E2708">
        <w:t>(1) Toetust taotletakse voorupõhiselt.</w:t>
      </w:r>
    </w:p>
    <w:p w14:paraId="16E11296" w14:textId="77777777" w:rsidR="007F7147" w:rsidRPr="004E2708" w:rsidRDefault="007F7147" w:rsidP="007F7147">
      <w:pPr>
        <w:pStyle w:val="Tekst"/>
      </w:pPr>
    </w:p>
    <w:p w14:paraId="5392B100" w14:textId="77754A9A" w:rsidR="007F7147" w:rsidRDefault="007F7147" w:rsidP="007F7147">
      <w:pPr>
        <w:pStyle w:val="Tekst"/>
      </w:pPr>
      <w:r>
        <w:t xml:space="preserve">(2) </w:t>
      </w:r>
      <w:r w:rsidR="00560D41">
        <w:t>Sama</w:t>
      </w:r>
      <w:r>
        <w:t xml:space="preserve"> taotleja saab ühes taotlusvoorus esitada ühe taotluse.</w:t>
      </w:r>
    </w:p>
    <w:p w14:paraId="3D9D22CB" w14:textId="77777777" w:rsidR="007F7147" w:rsidRDefault="007F7147" w:rsidP="007F7147">
      <w:pPr>
        <w:pStyle w:val="Tekst"/>
      </w:pPr>
    </w:p>
    <w:p w14:paraId="504C9EC3" w14:textId="77777777" w:rsidR="007F7147" w:rsidRDefault="007F7147" w:rsidP="007F7147">
      <w:pPr>
        <w:pStyle w:val="Tekst"/>
      </w:pPr>
      <w:r>
        <w:t>(3) Rakendusüksus avaldab oma veebilehel vähemalt viis kalendripäeva enne taotluste vastuvõtmise alustamist taotlusvooru kestuse ja eelarve, kooskõlastades need enne rakendusasutusega.</w:t>
      </w:r>
    </w:p>
    <w:p w14:paraId="26737097" w14:textId="77777777" w:rsidR="007F7147" w:rsidRPr="004E2708" w:rsidRDefault="007F7147" w:rsidP="007F7147">
      <w:pPr>
        <w:pStyle w:val="Tekst"/>
      </w:pPr>
    </w:p>
    <w:p w14:paraId="35B30ADA" w14:textId="77777777" w:rsidR="007F7147" w:rsidRPr="004E2708" w:rsidRDefault="007F7147" w:rsidP="007F7147">
      <w:pPr>
        <w:pStyle w:val="Tekst"/>
        <w:rPr>
          <w:b/>
          <w:bCs/>
        </w:rPr>
      </w:pPr>
      <w:r w:rsidRPr="004E2708">
        <w:rPr>
          <w:b/>
          <w:bCs/>
        </w:rPr>
        <w:t>§ 1</w:t>
      </w:r>
      <w:r>
        <w:rPr>
          <w:b/>
          <w:bCs/>
        </w:rPr>
        <w:t>3</w:t>
      </w:r>
      <w:r w:rsidRPr="004E2708">
        <w:rPr>
          <w:b/>
          <w:bCs/>
        </w:rPr>
        <w:t>. Taotluse menetlemine</w:t>
      </w:r>
    </w:p>
    <w:p w14:paraId="30B4174D" w14:textId="77777777" w:rsidR="007F7147" w:rsidRPr="004E2708" w:rsidRDefault="007F7147" w:rsidP="007F7147">
      <w:pPr>
        <w:pStyle w:val="Tekst"/>
      </w:pPr>
    </w:p>
    <w:p w14:paraId="07EEB11B" w14:textId="77777777" w:rsidR="007F7147" w:rsidRPr="004E2708" w:rsidRDefault="007F7147" w:rsidP="007F7147">
      <w:pPr>
        <w:pStyle w:val="Tekst"/>
      </w:pPr>
      <w:r w:rsidRPr="004E2708">
        <w:t>(1) Taotluse menetlemise tähtaeg on 40 tööpäeva</w:t>
      </w:r>
      <w:r w:rsidRPr="004E2708">
        <w:rPr>
          <w:rFonts w:ascii="Arial" w:eastAsia="Arial" w:hAnsi="Arial" w:cs="Arial"/>
          <w:color w:val="202020"/>
        </w:rPr>
        <w:t xml:space="preserve"> </w:t>
      </w:r>
      <w:r w:rsidRPr="004E2708">
        <w:rPr>
          <w:rFonts w:eastAsia="Arial" w:cs="Times New Roman"/>
          <w:color w:val="202020"/>
        </w:rPr>
        <w:t>taotlusvooru sulgumisest</w:t>
      </w:r>
      <w:r w:rsidRPr="004E2708">
        <w:t xml:space="preserve"> arvates.</w:t>
      </w:r>
    </w:p>
    <w:p w14:paraId="6B0CFAE6" w14:textId="77777777" w:rsidR="007F7147" w:rsidRPr="004E2708" w:rsidRDefault="007F7147" w:rsidP="007F7147">
      <w:pPr>
        <w:pStyle w:val="Tekst"/>
      </w:pPr>
    </w:p>
    <w:p w14:paraId="6C023C31" w14:textId="77777777" w:rsidR="007F7147" w:rsidRPr="004E2708" w:rsidRDefault="007F7147" w:rsidP="007F7147">
      <w:pPr>
        <w:pStyle w:val="Tekst"/>
      </w:pPr>
      <w:r w:rsidRPr="004E2708">
        <w:t>(2) Kui</w:t>
      </w:r>
      <w:r>
        <w:t xml:space="preserve"> taotleja või</w:t>
      </w:r>
      <w:r w:rsidRPr="004E2708">
        <w:t xml:space="preserve"> taotluse nõuetele vastavuse kontrollimisel avastatakse puudusi, teatatakse sellest viivitamata taotlejale ja antakse puuduste kõrvaldamiseks kuni kümme tööpäeva, mille võrra pikeneb taotluse menetlemise tähtaeg.</w:t>
      </w:r>
    </w:p>
    <w:p w14:paraId="2CCC20B5" w14:textId="77777777" w:rsidR="007F7147" w:rsidRDefault="007F7147" w:rsidP="007F7147">
      <w:pPr>
        <w:pStyle w:val="Tekst"/>
      </w:pPr>
    </w:p>
    <w:p w14:paraId="2E0F91CD" w14:textId="77777777" w:rsidR="007F7147" w:rsidRPr="00234C80" w:rsidRDefault="007F7147" w:rsidP="007F7147">
      <w:pPr>
        <w:pStyle w:val="Tekst"/>
        <w:rPr>
          <w:b/>
          <w:bCs/>
        </w:rPr>
      </w:pPr>
      <w:r w:rsidRPr="00234C80">
        <w:rPr>
          <w:b/>
          <w:bCs/>
        </w:rPr>
        <w:t>§ 1</w:t>
      </w:r>
      <w:r>
        <w:rPr>
          <w:b/>
          <w:bCs/>
        </w:rPr>
        <w:t>4</w:t>
      </w:r>
      <w:r w:rsidRPr="00234C80">
        <w:rPr>
          <w:b/>
          <w:bCs/>
        </w:rPr>
        <w:t>. Taotleja</w:t>
      </w:r>
      <w:r>
        <w:rPr>
          <w:b/>
          <w:bCs/>
        </w:rPr>
        <w:t xml:space="preserve"> </w:t>
      </w:r>
      <w:r w:rsidRPr="00234C80">
        <w:rPr>
          <w:b/>
          <w:bCs/>
        </w:rPr>
        <w:t>ja taotluse nõuetele vastavus</w:t>
      </w:r>
    </w:p>
    <w:p w14:paraId="26593B58" w14:textId="77777777" w:rsidR="007F7147" w:rsidRDefault="007F7147" w:rsidP="007F7147">
      <w:pPr>
        <w:pStyle w:val="Tekst"/>
      </w:pPr>
    </w:p>
    <w:p w14:paraId="48465897" w14:textId="55709353" w:rsidR="007F7147" w:rsidRDefault="007F7147" w:rsidP="007F7147">
      <w:pPr>
        <w:pStyle w:val="Tekst"/>
      </w:pPr>
      <w:r>
        <w:t>Rakendusüksus</w:t>
      </w:r>
      <w:r w:rsidR="00D465D8">
        <w:t xml:space="preserve"> teeb taotluse rahuldamata jätmise otsuse taotlust sisuliselt hindamata</w:t>
      </w:r>
      <w:r>
        <w:t>, kui esineb vähemalt üks järgmistest asjaoludest:</w:t>
      </w:r>
    </w:p>
    <w:p w14:paraId="4DC1667B" w14:textId="77777777" w:rsidR="007F7147" w:rsidRDefault="007F7147" w:rsidP="007F7147">
      <w:pPr>
        <w:pStyle w:val="Tekst"/>
      </w:pPr>
      <w:r>
        <w:t>1) taotleja või taotlus ei vasta vähemalt ühele määruses sätestatud nõudele ning mittevastavust ei ole võimalik kõrvaldada;</w:t>
      </w:r>
    </w:p>
    <w:p w14:paraId="0F855D6B" w14:textId="77777777" w:rsidR="007F7147" w:rsidRDefault="007F7147" w:rsidP="007F7147">
      <w:pPr>
        <w:pStyle w:val="Tekst"/>
      </w:pPr>
      <w:r>
        <w:lastRenderedPageBreak/>
        <w:t>2) taotleja ei võimalda kontrollida taotleja või taotluse nõuetele vastavust;</w:t>
      </w:r>
    </w:p>
    <w:p w14:paraId="0A5D9875" w14:textId="77777777" w:rsidR="007F7147" w:rsidRPr="004E2708" w:rsidRDefault="007F7147" w:rsidP="007F7147">
      <w:pPr>
        <w:pStyle w:val="Tekst"/>
      </w:pPr>
      <w:r>
        <w:t>3) taotleja ei ole § 13 lõike 2 alusel määratud tähtaja jooksul puudusi kõrvaldanud.</w:t>
      </w:r>
    </w:p>
    <w:p w14:paraId="43AE7807" w14:textId="77777777" w:rsidR="007F7147" w:rsidRPr="004E2708" w:rsidRDefault="007F7147" w:rsidP="007F7147">
      <w:pPr>
        <w:widowControl/>
        <w:suppressAutoHyphens w:val="0"/>
        <w:spacing w:line="240" w:lineRule="auto"/>
        <w:jc w:val="left"/>
        <w:rPr>
          <w:highlight w:val="yellow"/>
        </w:rPr>
      </w:pPr>
    </w:p>
    <w:p w14:paraId="173F6EE0" w14:textId="77777777" w:rsidR="007F7147" w:rsidRPr="004E2708" w:rsidRDefault="007F7147" w:rsidP="007F7147">
      <w:pPr>
        <w:pStyle w:val="Tekst"/>
        <w:rPr>
          <w:b/>
          <w:bCs/>
        </w:rPr>
      </w:pPr>
      <w:r w:rsidRPr="004E2708">
        <w:rPr>
          <w:b/>
          <w:bCs/>
        </w:rPr>
        <w:t>§ 1</w:t>
      </w:r>
      <w:r>
        <w:rPr>
          <w:b/>
          <w:bCs/>
        </w:rPr>
        <w:t>5</w:t>
      </w:r>
      <w:r w:rsidRPr="004E2708">
        <w:rPr>
          <w:b/>
          <w:bCs/>
        </w:rPr>
        <w:t xml:space="preserve">. </w:t>
      </w:r>
      <w:r>
        <w:rPr>
          <w:b/>
          <w:bCs/>
        </w:rPr>
        <w:t>Projekti</w:t>
      </w:r>
      <w:r w:rsidRPr="004E2708">
        <w:rPr>
          <w:b/>
          <w:bCs/>
        </w:rPr>
        <w:t xml:space="preserve"> </w:t>
      </w:r>
      <w:r>
        <w:rPr>
          <w:b/>
          <w:bCs/>
        </w:rPr>
        <w:t>valiku</w:t>
      </w:r>
      <w:r w:rsidRPr="004E2708">
        <w:rPr>
          <w:b/>
          <w:bCs/>
        </w:rPr>
        <w:t>kriteeriumid</w:t>
      </w:r>
      <w:r>
        <w:rPr>
          <w:b/>
          <w:bCs/>
        </w:rPr>
        <w:t xml:space="preserve"> ja -metoodika</w:t>
      </w:r>
    </w:p>
    <w:p w14:paraId="778D420A" w14:textId="77777777" w:rsidR="007F7147" w:rsidRPr="004E2708" w:rsidRDefault="007F7147" w:rsidP="007F7147">
      <w:pPr>
        <w:pStyle w:val="Tekst"/>
      </w:pPr>
    </w:p>
    <w:p w14:paraId="012B8275" w14:textId="16E1065A" w:rsidR="007F7147" w:rsidRPr="004E2708" w:rsidRDefault="007F7147" w:rsidP="007F7147">
      <w:pPr>
        <w:pStyle w:val="Tekst"/>
      </w:pPr>
      <w:r>
        <w:t xml:space="preserve">(1) Kui taotleja ja taotlus vastavad nõuetele, </w:t>
      </w:r>
      <w:r w:rsidRPr="004E2708">
        <w:t>hindab</w:t>
      </w:r>
      <w:r>
        <w:t xml:space="preserve"> projekti</w:t>
      </w:r>
      <w:r w:rsidRPr="004E2708">
        <w:t xml:space="preserve"> rakendusüksuse moodustatud hindamiskomisjon, mille koosseis kooskõlastatakse rakendusasutusega ja aval</w:t>
      </w:r>
      <w:r>
        <w:t>datakse</w:t>
      </w:r>
      <w:r w:rsidRPr="004E2708">
        <w:t xml:space="preserve"> </w:t>
      </w:r>
      <w:r>
        <w:t xml:space="preserve">enne taotluste vastuvõtmise alustamist </w:t>
      </w:r>
      <w:r w:rsidRPr="004E2708">
        <w:t>rakendusüksuse veebilehel</w:t>
      </w:r>
      <w:r>
        <w:t>.</w:t>
      </w:r>
      <w:r w:rsidRPr="004E2708">
        <w:t xml:space="preserve"> </w:t>
      </w:r>
    </w:p>
    <w:p w14:paraId="7D3869B0" w14:textId="61BB1778" w:rsidR="007F7147" w:rsidRDefault="007F7147" w:rsidP="007F7147">
      <w:pPr>
        <w:pStyle w:val="Tekst"/>
      </w:pPr>
    </w:p>
    <w:p w14:paraId="783B8510" w14:textId="77777777" w:rsidR="007F7147" w:rsidRDefault="007F7147" w:rsidP="007F7147">
      <w:pPr>
        <w:pStyle w:val="Tekst"/>
      </w:pPr>
      <w:r w:rsidRPr="004E2708">
        <w:t>(</w:t>
      </w:r>
      <w:r>
        <w:t>2</w:t>
      </w:r>
      <w:r w:rsidRPr="004E2708">
        <w:t xml:space="preserve">) </w:t>
      </w:r>
      <w:r>
        <w:t>Hindamisse kaasatud isikud:</w:t>
      </w:r>
    </w:p>
    <w:p w14:paraId="1E6CB36C" w14:textId="77777777" w:rsidR="007F7147" w:rsidRDefault="007F7147" w:rsidP="007F7147">
      <w:pPr>
        <w:pStyle w:val="Tekst"/>
      </w:pPr>
      <w:r>
        <w:t xml:space="preserve">1) </w:t>
      </w:r>
      <w:r w:rsidRPr="004E2708">
        <w:t>isikliku seotuse korral</w:t>
      </w:r>
      <w:r>
        <w:t xml:space="preserve"> taandavad </w:t>
      </w:r>
      <w:r w:rsidRPr="004E2708">
        <w:t>ennast hindamisest</w:t>
      </w:r>
      <w:r>
        <w:t>;</w:t>
      </w:r>
    </w:p>
    <w:p w14:paraId="4B2BEC68" w14:textId="77777777" w:rsidR="007F7147" w:rsidRDefault="007F7147" w:rsidP="007F7147">
      <w:pPr>
        <w:pStyle w:val="Tekst"/>
      </w:pPr>
      <w:r>
        <w:t xml:space="preserve">2) </w:t>
      </w:r>
      <w:r w:rsidRPr="004E2708">
        <w:t>kinnita</w:t>
      </w:r>
      <w:r>
        <w:t>vad</w:t>
      </w:r>
      <w:r w:rsidRPr="004E2708">
        <w:t xml:space="preserve"> oma erapooletust ja sõltumatust hinnatavatest projektidest </w:t>
      </w:r>
      <w:r>
        <w:t>ning</w:t>
      </w:r>
      <w:r w:rsidRPr="004E2708">
        <w:t xml:space="preserve"> taotlejatest</w:t>
      </w:r>
      <w:r>
        <w:t xml:space="preserve"> ja kasusaajatest;</w:t>
      </w:r>
    </w:p>
    <w:p w14:paraId="6F193821" w14:textId="77777777" w:rsidR="007F7147" w:rsidRPr="004E2708" w:rsidRDefault="007F7147" w:rsidP="007F7147">
      <w:pPr>
        <w:pStyle w:val="Tekst"/>
      </w:pPr>
      <w:r>
        <w:t xml:space="preserve">3) </w:t>
      </w:r>
      <w:r w:rsidRPr="004E2708">
        <w:t>taga</w:t>
      </w:r>
      <w:r>
        <w:t>vad</w:t>
      </w:r>
      <w:r w:rsidRPr="004E2708">
        <w:t xml:space="preserve"> </w:t>
      </w:r>
      <w:r>
        <w:t>projektide hindamise</w:t>
      </w:r>
      <w:r w:rsidRPr="004E2708">
        <w:t xml:space="preserve"> ajal ja pärast </w:t>
      </w:r>
      <w:r>
        <w:t>seda</w:t>
      </w:r>
      <w:r w:rsidRPr="004E2708">
        <w:t xml:space="preserve"> tähtajatult teatavaks saanud </w:t>
      </w:r>
      <w:r>
        <w:t xml:space="preserve">teabe </w:t>
      </w:r>
      <w:r w:rsidRPr="004E2708">
        <w:t>konfidentsiaalsuse.</w:t>
      </w:r>
    </w:p>
    <w:p w14:paraId="358B4ED6" w14:textId="77777777" w:rsidR="007F7147" w:rsidRPr="004E2708" w:rsidRDefault="007F7147" w:rsidP="007F7147">
      <w:pPr>
        <w:pStyle w:val="Tekst"/>
      </w:pPr>
    </w:p>
    <w:p w14:paraId="3C5C4388" w14:textId="77777777" w:rsidR="007F7147" w:rsidRPr="004E2708" w:rsidRDefault="007F7147" w:rsidP="007F7147">
      <w:pPr>
        <w:pStyle w:val="Tekst"/>
      </w:pPr>
      <w:r>
        <w:t xml:space="preserve">(3) Projektide hindamise valikukriteeriumid ja nende osakaalud koondhindest on: </w:t>
      </w:r>
    </w:p>
    <w:p w14:paraId="3A977F70" w14:textId="77777777" w:rsidR="007F7147" w:rsidRPr="004E2708" w:rsidRDefault="007F7147" w:rsidP="007F7147">
      <w:pPr>
        <w:pStyle w:val="Tekst"/>
      </w:pPr>
      <w:r>
        <w:t xml:space="preserve">1) projekti kooskõla </w:t>
      </w:r>
      <w:r w:rsidRPr="00BB5555">
        <w:t>Eesti teadus- ja arendustegevuse, innovatsiooni ning ettevõtluse arengukavaga aastateks 2021–2035</w:t>
      </w:r>
      <w:r>
        <w:t xml:space="preserve"> ning mõju rakenduskava erieesmärgi ja meetme eesmärkide saavutamisele – koondhindest 35 protsenti;</w:t>
      </w:r>
    </w:p>
    <w:p w14:paraId="6100CD05" w14:textId="77777777" w:rsidR="007F7147" w:rsidRPr="004E2708" w:rsidRDefault="007F7147" w:rsidP="007F7147">
      <w:pPr>
        <w:pStyle w:val="Tekst"/>
      </w:pPr>
      <w:r>
        <w:t>2) projekti põhjendatus – koondhindest 20 protsenti;</w:t>
      </w:r>
    </w:p>
    <w:p w14:paraId="76C610C7" w14:textId="77777777" w:rsidR="007F7147" w:rsidRPr="004E2708" w:rsidRDefault="007F7147" w:rsidP="007F7147">
      <w:pPr>
        <w:pStyle w:val="Tekst"/>
      </w:pPr>
      <w:r w:rsidRPr="004E2708">
        <w:t>3) projekti kuluefektiivsus – koondhindest 20 protsenti;</w:t>
      </w:r>
    </w:p>
    <w:p w14:paraId="277EABF0" w14:textId="77777777" w:rsidR="007F7147" w:rsidRPr="004E2708" w:rsidRDefault="007F7147" w:rsidP="007F7147">
      <w:pPr>
        <w:pStyle w:val="Tekst"/>
      </w:pPr>
      <w:r w:rsidRPr="004E2708">
        <w:t xml:space="preserve">4) taotleja suutlikkus projekti ellu viia – koondhindest 15 protsenti; </w:t>
      </w:r>
    </w:p>
    <w:p w14:paraId="4196E397" w14:textId="77777777" w:rsidR="007F7147" w:rsidRDefault="007F7147" w:rsidP="007F7147">
      <w:pPr>
        <w:pStyle w:val="Tekst"/>
      </w:pPr>
      <w:r>
        <w:t>5) projekti kooskõla strateegia „Eesti 2035“ aluspõhimõtete ja sihtidega – koondhindest 10 protsenti.</w:t>
      </w:r>
    </w:p>
    <w:p w14:paraId="54A5E3AF" w14:textId="77777777" w:rsidR="007F7147" w:rsidRDefault="007F7147" w:rsidP="007F7147">
      <w:pPr>
        <w:pStyle w:val="Tekst"/>
      </w:pPr>
    </w:p>
    <w:p w14:paraId="7B1C8384" w14:textId="06B2116B" w:rsidR="007F7147" w:rsidRPr="004E2708" w:rsidRDefault="007F7147" w:rsidP="007F7147">
      <w:pPr>
        <w:pStyle w:val="Tekst"/>
      </w:pPr>
      <w:r w:rsidRPr="004E2708">
        <w:t>(</w:t>
      </w:r>
      <w:r>
        <w:t>4</w:t>
      </w:r>
      <w:r w:rsidRPr="004E2708">
        <w:t xml:space="preserve">) </w:t>
      </w:r>
      <w:r>
        <w:t>Rakendusüksus kooskõlastab rakendusasutusega lõikes 3 sätestatud valikukriteeriumidest lähtuva hindamismetoodika enne selle avaldamist oma veebilehel. Metoodika avaldatakse</w:t>
      </w:r>
      <w:r w:rsidRPr="004E2708">
        <w:t xml:space="preserve"> hiljemalt taotlusvooru avamise ajaks.</w:t>
      </w:r>
    </w:p>
    <w:p w14:paraId="0FEE6215" w14:textId="77777777" w:rsidR="007F7147" w:rsidRDefault="007F7147" w:rsidP="007F7147">
      <w:pPr>
        <w:pStyle w:val="Tekst"/>
      </w:pPr>
    </w:p>
    <w:p w14:paraId="47356E4F" w14:textId="77777777" w:rsidR="007F7147" w:rsidRDefault="007F7147" w:rsidP="007F7147">
      <w:pPr>
        <w:pStyle w:val="Tekst"/>
      </w:pPr>
      <w:r w:rsidRPr="005327D3">
        <w:t>(5) Projekte hinnatakse lõike 3 punktides 1–5 sätestatud kriteeriumides hindega 0–4. Hinne 0 on mitterahuldav ja hinne 4 suurepärane.</w:t>
      </w:r>
      <w:r w:rsidRPr="002567A7">
        <w:t xml:space="preserve"> </w:t>
      </w:r>
    </w:p>
    <w:p w14:paraId="67D5ACC1" w14:textId="77777777" w:rsidR="007F7147" w:rsidRDefault="007F7147" w:rsidP="007F7147">
      <w:pPr>
        <w:pStyle w:val="Tekst"/>
      </w:pPr>
    </w:p>
    <w:p w14:paraId="0B516313" w14:textId="77777777" w:rsidR="007F7147" w:rsidRDefault="007F7147" w:rsidP="007F7147">
      <w:pPr>
        <w:pStyle w:val="Tekst"/>
      </w:pPr>
      <w:r>
        <w:t>(6) K</w:t>
      </w:r>
      <w:r w:rsidRPr="002567A7">
        <w:t xml:space="preserve">oondhinne kujuneb </w:t>
      </w:r>
      <w:r>
        <w:t>valiku</w:t>
      </w:r>
      <w:r w:rsidRPr="002567A7">
        <w:t>kriteeriumi</w:t>
      </w:r>
      <w:r>
        <w:t>d</w:t>
      </w:r>
      <w:r w:rsidRPr="002567A7">
        <w:t>e hinnete kaalutud keskmisest.</w:t>
      </w:r>
      <w:r>
        <w:t xml:space="preserve"> </w:t>
      </w:r>
    </w:p>
    <w:p w14:paraId="4C528626" w14:textId="77777777" w:rsidR="007F7147" w:rsidRDefault="007F7147" w:rsidP="007F7147">
      <w:pPr>
        <w:pStyle w:val="Tekst"/>
      </w:pPr>
    </w:p>
    <w:p w14:paraId="14F14D21" w14:textId="77777777" w:rsidR="007F7147" w:rsidRPr="004E2708" w:rsidRDefault="007F7147" w:rsidP="007F7147">
      <w:pPr>
        <w:pStyle w:val="Tekst"/>
      </w:pPr>
      <w:r>
        <w:t xml:space="preserve">(7) </w:t>
      </w:r>
      <w:r w:rsidRPr="004E2708">
        <w:t>Koondhinnete alusel moodustatakse pingerida, kus kõrgema hindega</w:t>
      </w:r>
      <w:r>
        <w:t xml:space="preserve"> projekti elluviimiseks esitatud</w:t>
      </w:r>
      <w:r w:rsidRPr="004E2708">
        <w:t xml:space="preserve"> taotlus asetseb eespool.</w:t>
      </w:r>
    </w:p>
    <w:p w14:paraId="08289EFE" w14:textId="77777777" w:rsidR="007F7147" w:rsidRPr="004E2708" w:rsidRDefault="007F7147" w:rsidP="007F7147">
      <w:pPr>
        <w:pStyle w:val="Tekst"/>
      </w:pPr>
    </w:p>
    <w:p w14:paraId="19682C00" w14:textId="77777777" w:rsidR="007F7147" w:rsidRPr="004E2708" w:rsidRDefault="007F7147" w:rsidP="007F7147">
      <w:pPr>
        <w:pStyle w:val="Tekst"/>
      </w:pPr>
      <w:r w:rsidRPr="004E2708">
        <w:t>(</w:t>
      </w:r>
      <w:r>
        <w:t>8</w:t>
      </w:r>
      <w:r w:rsidRPr="004E2708">
        <w:t>) Võrdse koondhinde korral saab pingereas kõrgema koha lõike</w:t>
      </w:r>
      <w:r>
        <w:t>s</w:t>
      </w:r>
      <w:r w:rsidRPr="004E2708">
        <w:t xml:space="preserve"> 3 </w:t>
      </w:r>
      <w:r>
        <w:t xml:space="preserve">sätestatud </w:t>
      </w:r>
      <w:r w:rsidRPr="004E2708">
        <w:t xml:space="preserve">loetelus väiksema järjekorranumbriga kriteeriumi eest kõrgema </w:t>
      </w:r>
      <w:r>
        <w:t>hinde</w:t>
      </w:r>
      <w:r w:rsidRPr="004E2708">
        <w:t xml:space="preserve"> saanud taotlus.</w:t>
      </w:r>
    </w:p>
    <w:p w14:paraId="4C6CB88B" w14:textId="77777777" w:rsidR="007F7147" w:rsidRDefault="007F7147" w:rsidP="007F7147">
      <w:pPr>
        <w:pStyle w:val="Tekst"/>
      </w:pPr>
    </w:p>
    <w:p w14:paraId="02057270" w14:textId="75434A84" w:rsidR="007F7147" w:rsidRDefault="007F7147" w:rsidP="007F7147">
      <w:pPr>
        <w:pStyle w:val="Tekst"/>
        <w:rPr>
          <w:b/>
          <w:bCs/>
        </w:rPr>
      </w:pPr>
      <w:r w:rsidRPr="004E2708">
        <w:t> </w:t>
      </w:r>
      <w:r w:rsidRPr="004E2708">
        <w:rPr>
          <w:b/>
          <w:bCs/>
        </w:rPr>
        <w:t>§ 1</w:t>
      </w:r>
      <w:r>
        <w:rPr>
          <w:b/>
          <w:bCs/>
        </w:rPr>
        <w:t>6</w:t>
      </w:r>
      <w:r w:rsidRPr="004E2708">
        <w:rPr>
          <w:b/>
          <w:bCs/>
        </w:rPr>
        <w:t>. Taotluse rahuldamise ja rahuldamata jätmise kord</w:t>
      </w:r>
    </w:p>
    <w:p w14:paraId="2603E186" w14:textId="77777777" w:rsidR="007F7147" w:rsidRDefault="007F7147" w:rsidP="007F7147">
      <w:pPr>
        <w:pStyle w:val="Tekst"/>
        <w:rPr>
          <w:b/>
          <w:bCs/>
        </w:rPr>
      </w:pPr>
    </w:p>
    <w:p w14:paraId="7DEF89F1" w14:textId="77777777" w:rsidR="007F7147" w:rsidRPr="001A60BB" w:rsidRDefault="007F7147" w:rsidP="007F7147">
      <w:pPr>
        <w:pStyle w:val="Tekst"/>
        <w:rPr>
          <w:b/>
          <w:bCs/>
        </w:rPr>
      </w:pPr>
      <w:r w:rsidRPr="001A60BB">
        <w:t>(1)</w:t>
      </w:r>
      <w:r>
        <w:rPr>
          <w:b/>
          <w:bCs/>
        </w:rPr>
        <w:t xml:space="preserve"> </w:t>
      </w:r>
      <w:r>
        <w:t xml:space="preserve">Taotlus rahuldatakse vastavalt hindamise tulemusel tekkinud pingereale </w:t>
      </w:r>
      <w:r w:rsidRPr="004E2708">
        <w:t xml:space="preserve">kuni vooru </w:t>
      </w:r>
      <w:r>
        <w:t>toetuste</w:t>
      </w:r>
      <w:r w:rsidRPr="004E2708">
        <w:t xml:space="preserve"> eelarve ammendumiseni</w:t>
      </w:r>
      <w:r>
        <w:t>, kui on täidetud kõik järgmised tingimused:</w:t>
      </w:r>
    </w:p>
    <w:p w14:paraId="698BEAEB" w14:textId="77777777" w:rsidR="007F7147" w:rsidRDefault="007F7147" w:rsidP="007F7147">
      <w:pPr>
        <w:pStyle w:val="Tekst"/>
      </w:pPr>
      <w:r>
        <w:t>1) taotleja ja taotlus vastavad määruses sätestatud nõuetele;</w:t>
      </w:r>
    </w:p>
    <w:p w14:paraId="37C029B0" w14:textId="77777777" w:rsidR="007F7147" w:rsidRDefault="007F7147" w:rsidP="007F7147">
      <w:pPr>
        <w:pStyle w:val="Tekst"/>
      </w:pPr>
      <w:r>
        <w:t>2) projekti koondhinne on vähemalt 2,5;</w:t>
      </w:r>
    </w:p>
    <w:p w14:paraId="620C297D" w14:textId="77777777" w:rsidR="007F7147" w:rsidRPr="004E2708" w:rsidRDefault="007F7147" w:rsidP="007F7147">
      <w:pPr>
        <w:pStyle w:val="Tekst"/>
      </w:pPr>
      <w:r w:rsidRPr="005327D3">
        <w:t>3) projekti ei ole üheski § 15 lõike 3 punktides 1–5 nimetatud kriteeriumis hinnatud väiksema hindega kui 2.</w:t>
      </w:r>
    </w:p>
    <w:p w14:paraId="07A0977A" w14:textId="77777777" w:rsidR="007F7147" w:rsidRPr="004E2708" w:rsidRDefault="007F7147" w:rsidP="007F7147">
      <w:pPr>
        <w:pStyle w:val="Tekst"/>
      </w:pPr>
    </w:p>
    <w:p w14:paraId="36DFC87C" w14:textId="77777777" w:rsidR="007F7147" w:rsidRPr="004E2708" w:rsidRDefault="007F7147" w:rsidP="007F7147">
      <w:pPr>
        <w:pStyle w:val="Tekst"/>
      </w:pPr>
      <w:r w:rsidRPr="004E2708">
        <w:t xml:space="preserve">(2) </w:t>
      </w:r>
      <w:r>
        <w:t>Taotlus jäetakse rahuldamata</w:t>
      </w:r>
      <w:r w:rsidRPr="004E2708">
        <w:t>, kui esineb vähemalt üks järgmistest asjaoludest:</w:t>
      </w:r>
      <w:r w:rsidRPr="004E2708">
        <w:br/>
        <w:t>1) taotleja</w:t>
      </w:r>
      <w:r>
        <w:t xml:space="preserve"> </w:t>
      </w:r>
      <w:r w:rsidRPr="004E2708">
        <w:t>või taotlus ei vasta</w:t>
      </w:r>
      <w:r>
        <w:t xml:space="preserve"> vähemalt ühele määruses sätestatud nõudele;</w:t>
      </w:r>
    </w:p>
    <w:p w14:paraId="421B1A7C" w14:textId="77777777" w:rsidR="007F7147" w:rsidRPr="004E2708" w:rsidRDefault="007F7147" w:rsidP="007F7147">
      <w:pPr>
        <w:pStyle w:val="Tekst"/>
      </w:pPr>
      <w:r w:rsidRPr="004E2708">
        <w:lastRenderedPageBreak/>
        <w:t xml:space="preserve">2) </w:t>
      </w:r>
      <w:r>
        <w:t>projekti koondhinne on väiksem kui 2,5;</w:t>
      </w:r>
    </w:p>
    <w:p w14:paraId="24D3CDEE" w14:textId="23798B30" w:rsidR="007F7147" w:rsidRPr="004E2708" w:rsidRDefault="007F7147" w:rsidP="007F7147">
      <w:pPr>
        <w:pStyle w:val="Tekst"/>
      </w:pPr>
      <w:r w:rsidRPr="004E2708">
        <w:t xml:space="preserve">3) </w:t>
      </w:r>
      <w:r>
        <w:t xml:space="preserve">projekti on </w:t>
      </w:r>
      <w:r w:rsidRPr="004E2708">
        <w:t>§ 1</w:t>
      </w:r>
      <w:r>
        <w:t>5</w:t>
      </w:r>
      <w:r w:rsidRPr="004E2708">
        <w:t xml:space="preserve"> lõike 3</w:t>
      </w:r>
      <w:r>
        <w:t xml:space="preserve"> vähemalt ühes punktides 1–</w:t>
      </w:r>
      <w:r w:rsidR="00A01AC9">
        <w:t>5</w:t>
      </w:r>
      <w:r w:rsidRPr="004E2708">
        <w:t xml:space="preserve"> nimetatud kriteeriumi</w:t>
      </w:r>
      <w:r>
        <w:t xml:space="preserve">s hinnatud väiksema hindega </w:t>
      </w:r>
      <w:r w:rsidRPr="004E2708">
        <w:t>kui 2;</w:t>
      </w:r>
    </w:p>
    <w:p w14:paraId="6C8FF6DB" w14:textId="77777777" w:rsidR="007F7147" w:rsidRPr="004E2708" w:rsidRDefault="007F7147" w:rsidP="007F7147">
      <w:pPr>
        <w:pStyle w:val="Tekst"/>
      </w:pPr>
      <w:r w:rsidRPr="004E2708">
        <w:t xml:space="preserve">4) taotletav toetuse summa ületab </w:t>
      </w:r>
      <w:r>
        <w:t xml:space="preserve">vooru </w:t>
      </w:r>
      <w:r w:rsidRPr="004E2708">
        <w:t>t</w:t>
      </w:r>
      <w:r>
        <w:t>oetuste</w:t>
      </w:r>
      <w:r w:rsidRPr="004E2708">
        <w:t xml:space="preserve"> eelarve jääki ja taotlust ei ole võimalik osaliselt rahuldada;</w:t>
      </w:r>
    </w:p>
    <w:p w14:paraId="69FE0FC4" w14:textId="77777777" w:rsidR="007F7147" w:rsidRPr="004E2708" w:rsidRDefault="007F7147" w:rsidP="007F7147">
      <w:pPr>
        <w:pStyle w:val="Tekst"/>
      </w:pPr>
      <w:r w:rsidRPr="004E2708">
        <w:t>5) taotluses on esitatud ebaõigeid või puudulikke andmeid või taotleja mõjutab õigusvastaselt otsuse tegemist.</w:t>
      </w:r>
    </w:p>
    <w:p w14:paraId="52AFB4BC" w14:textId="77777777" w:rsidR="007F7147" w:rsidRPr="004E2708" w:rsidRDefault="007F7147" w:rsidP="007F7147">
      <w:pPr>
        <w:pStyle w:val="Tekst"/>
      </w:pPr>
    </w:p>
    <w:p w14:paraId="39B564AB" w14:textId="77777777" w:rsidR="007F7147" w:rsidRPr="004E2708" w:rsidRDefault="007F7147" w:rsidP="007F7147">
      <w:pPr>
        <w:pStyle w:val="Tekst"/>
      </w:pPr>
      <w:r w:rsidRPr="004E2708">
        <w:t>(3) Taotluse rahuldamise otsuses märgitakse:</w:t>
      </w:r>
    </w:p>
    <w:p w14:paraId="7EE3BBD3" w14:textId="77777777" w:rsidR="007F7147" w:rsidRPr="004E2708" w:rsidRDefault="007F7147" w:rsidP="007F7147">
      <w:pPr>
        <w:pStyle w:val="Tekst"/>
      </w:pPr>
      <w:r w:rsidRPr="004E2708">
        <w:t>1) projekti elluviimise tingimused;</w:t>
      </w:r>
    </w:p>
    <w:p w14:paraId="01A98757" w14:textId="77777777" w:rsidR="007F7147" w:rsidRDefault="007F7147" w:rsidP="007F7147">
      <w:pPr>
        <w:pStyle w:val="Tekst"/>
      </w:pPr>
      <w:r w:rsidRPr="004E2708">
        <w:t>2) toetuse saaja õigused ja kohustused;</w:t>
      </w:r>
    </w:p>
    <w:p w14:paraId="5FB9C77B" w14:textId="77777777" w:rsidR="007F7147" w:rsidRPr="004E2708" w:rsidRDefault="007F7147" w:rsidP="007F7147">
      <w:pPr>
        <w:pStyle w:val="Tekst"/>
      </w:pPr>
      <w:r>
        <w:t>3) aruannete esitamise tähtajad;</w:t>
      </w:r>
    </w:p>
    <w:p w14:paraId="7526A055" w14:textId="77777777" w:rsidR="007F7147" w:rsidRPr="004E2708" w:rsidRDefault="007F7147" w:rsidP="007F7147">
      <w:pPr>
        <w:pStyle w:val="Tekst"/>
      </w:pPr>
      <w:r>
        <w:t>4</w:t>
      </w:r>
      <w:r w:rsidRPr="004E2708">
        <w:t>) toetuse maksmise tingimused.</w:t>
      </w:r>
    </w:p>
    <w:p w14:paraId="65E1E2B3" w14:textId="77777777" w:rsidR="007F7147" w:rsidRPr="004E2708" w:rsidRDefault="007F7147" w:rsidP="007F7147">
      <w:pPr>
        <w:pStyle w:val="Tekst"/>
        <w:rPr>
          <w:highlight w:val="yellow"/>
        </w:rPr>
      </w:pPr>
    </w:p>
    <w:p w14:paraId="25C2D6C1" w14:textId="77777777" w:rsidR="007F7147" w:rsidRPr="004E2708" w:rsidRDefault="007F7147" w:rsidP="007F7147">
      <w:pPr>
        <w:pStyle w:val="Tekst"/>
        <w:rPr>
          <w:b/>
          <w:bCs/>
        </w:rPr>
      </w:pPr>
      <w:r w:rsidRPr="004E2708">
        <w:rPr>
          <w:b/>
          <w:bCs/>
        </w:rPr>
        <w:t>§ 1</w:t>
      </w:r>
      <w:r>
        <w:rPr>
          <w:b/>
          <w:bCs/>
        </w:rPr>
        <w:t>7</w:t>
      </w:r>
      <w:r w:rsidRPr="004E2708">
        <w:rPr>
          <w:b/>
          <w:bCs/>
        </w:rPr>
        <w:t>. Taotluse osaline rahuldamine</w:t>
      </w:r>
    </w:p>
    <w:p w14:paraId="3EB568E7" w14:textId="77777777" w:rsidR="007F7147" w:rsidRPr="004E2708" w:rsidRDefault="007F7147" w:rsidP="007F7147">
      <w:pPr>
        <w:pStyle w:val="Tekst"/>
      </w:pPr>
    </w:p>
    <w:p w14:paraId="50864800" w14:textId="77777777" w:rsidR="007F7147" w:rsidRPr="004E2708" w:rsidRDefault="007F7147" w:rsidP="007F7147">
      <w:pPr>
        <w:pStyle w:val="Tekst"/>
      </w:pPr>
      <w:r w:rsidRPr="004E2708">
        <w:t xml:space="preserve">(1) Taotluse </w:t>
      </w:r>
      <w:r>
        <w:t xml:space="preserve">võib </w:t>
      </w:r>
      <w:r w:rsidRPr="004E2708">
        <w:t>osali</w:t>
      </w:r>
      <w:r>
        <w:t>selt</w:t>
      </w:r>
      <w:r w:rsidRPr="004E2708">
        <w:t xml:space="preserve"> rahulda</w:t>
      </w:r>
      <w:r>
        <w:t>da järgmise aluse esinemisel</w:t>
      </w:r>
      <w:r w:rsidRPr="004E2708">
        <w:t>:</w:t>
      </w:r>
    </w:p>
    <w:p w14:paraId="4A84F8EC" w14:textId="77777777" w:rsidR="007F7147" w:rsidRPr="004E2708" w:rsidRDefault="007F7147" w:rsidP="007F7147">
      <w:pPr>
        <w:pStyle w:val="Tekst"/>
      </w:pPr>
      <w:r w:rsidRPr="004E2708">
        <w:t>1) toetust on taotletud tegevusele või kulude katteks, mis ei ole projekti elluviimise seisukohast põhjendatud;</w:t>
      </w:r>
      <w:r w:rsidRPr="004E2708">
        <w:br/>
        <w:t>2) taotletav toetuse summa ületab</w:t>
      </w:r>
      <w:r>
        <w:t xml:space="preserve"> vooru</w:t>
      </w:r>
      <w:r w:rsidRPr="004E2708">
        <w:t xml:space="preserve"> </w:t>
      </w:r>
      <w:r>
        <w:t>toetuste</w:t>
      </w:r>
      <w:r w:rsidRPr="004E2708">
        <w:t xml:space="preserve"> eelarve jääki;</w:t>
      </w:r>
    </w:p>
    <w:p w14:paraId="6A4E562A" w14:textId="77777777" w:rsidR="007F7147" w:rsidRPr="004E2708" w:rsidRDefault="007F7147" w:rsidP="007F7147">
      <w:pPr>
        <w:pStyle w:val="Tekst"/>
      </w:pPr>
      <w:r w:rsidRPr="004E2708">
        <w:t>3) projekti eesmärki on võimalik saavutada ka taotluse osalise rahuldamise korral.</w:t>
      </w:r>
    </w:p>
    <w:p w14:paraId="5A4C80B1" w14:textId="77777777" w:rsidR="007F7147" w:rsidRPr="004E2708" w:rsidRDefault="007F7147" w:rsidP="007F7147">
      <w:pPr>
        <w:pStyle w:val="Tekst"/>
      </w:pPr>
    </w:p>
    <w:p w14:paraId="43F1F4AC" w14:textId="77777777" w:rsidR="007F7147" w:rsidRPr="004E2708" w:rsidRDefault="007F7147" w:rsidP="007F7147">
      <w:pPr>
        <w:pStyle w:val="Tekst"/>
      </w:pPr>
      <w:r w:rsidRPr="004E2708">
        <w:t>(2) Taotlus</w:t>
      </w:r>
      <w:r>
        <w:t xml:space="preserve"> rahuldatakse</w:t>
      </w:r>
      <w:r w:rsidRPr="004E2708">
        <w:t xml:space="preserve"> osaliselt, kui taotleja nõustub rakendusüksuse ettepanekuga vähendada taotletud toetuse summat või muuta projekti kavandatud tegevusi. Kui taotleja ei ole rakendusüksuse ettepanekuga nõus, teeb rakendusüksus taotluse rahuldamata jätmise otsuse.</w:t>
      </w:r>
    </w:p>
    <w:p w14:paraId="34443351" w14:textId="77777777" w:rsidR="007F7147" w:rsidRPr="004E2708" w:rsidRDefault="007F7147" w:rsidP="007F7147">
      <w:pPr>
        <w:widowControl/>
        <w:suppressAutoHyphens w:val="0"/>
        <w:spacing w:line="240" w:lineRule="auto"/>
        <w:jc w:val="left"/>
        <w:rPr>
          <w:rFonts w:cs="Mangal"/>
        </w:rPr>
      </w:pPr>
    </w:p>
    <w:p w14:paraId="3771732F" w14:textId="77777777" w:rsidR="007F7147" w:rsidRPr="004E2708" w:rsidRDefault="007F7147" w:rsidP="007F7147">
      <w:pPr>
        <w:pStyle w:val="Tekst"/>
        <w:jc w:val="center"/>
        <w:rPr>
          <w:b/>
          <w:bCs/>
        </w:rPr>
      </w:pPr>
      <w:r>
        <w:rPr>
          <w:b/>
          <w:bCs/>
        </w:rPr>
        <w:t>5</w:t>
      </w:r>
      <w:r w:rsidRPr="004E2708">
        <w:rPr>
          <w:b/>
          <w:bCs/>
        </w:rPr>
        <w:t>. peatükk</w:t>
      </w:r>
      <w:r w:rsidRPr="004E2708">
        <w:rPr>
          <w:b/>
          <w:bCs/>
        </w:rPr>
        <w:br/>
        <w:t>Taotluse rahuldamise otsuse muutmine ja kehtetuks tunnistamine</w:t>
      </w:r>
    </w:p>
    <w:p w14:paraId="165C93DD" w14:textId="77777777" w:rsidR="007F7147" w:rsidRPr="004E2708" w:rsidRDefault="007F7147" w:rsidP="007F7147">
      <w:pPr>
        <w:pStyle w:val="Tekst"/>
      </w:pPr>
    </w:p>
    <w:p w14:paraId="78A14B31" w14:textId="77777777" w:rsidR="007F7147" w:rsidRPr="004E2708" w:rsidRDefault="007F7147" w:rsidP="007F7147">
      <w:pPr>
        <w:pStyle w:val="Tekst"/>
        <w:rPr>
          <w:b/>
          <w:bCs/>
        </w:rPr>
      </w:pPr>
      <w:r w:rsidRPr="004E2708">
        <w:rPr>
          <w:b/>
          <w:bCs/>
        </w:rPr>
        <w:t>§ 1</w:t>
      </w:r>
      <w:r>
        <w:rPr>
          <w:b/>
          <w:bCs/>
        </w:rPr>
        <w:t>8</w:t>
      </w:r>
      <w:r w:rsidRPr="004E2708">
        <w:rPr>
          <w:b/>
          <w:bCs/>
        </w:rPr>
        <w:t>. Taotluse rahuldamise otsuse muutmine</w:t>
      </w:r>
    </w:p>
    <w:p w14:paraId="5ECE82B2" w14:textId="77777777" w:rsidR="007F7147" w:rsidRPr="004E2708" w:rsidRDefault="007F7147" w:rsidP="007F7147">
      <w:pPr>
        <w:pStyle w:val="Tekst"/>
      </w:pPr>
    </w:p>
    <w:p w14:paraId="3378D615" w14:textId="77777777" w:rsidR="007F7147" w:rsidRPr="004E2708" w:rsidRDefault="007F7147" w:rsidP="007F7147">
      <w:pPr>
        <w:pStyle w:val="Tekst"/>
      </w:pPr>
      <w:r w:rsidRPr="004E2708">
        <w:t>(</w:t>
      </w:r>
      <w:r>
        <w:t>1</w:t>
      </w:r>
      <w:r w:rsidRPr="004E2708">
        <w:t>) Rakend</w:t>
      </w:r>
      <w:r w:rsidRPr="00EF3BC6">
        <w:t>usü</w:t>
      </w:r>
      <w:r w:rsidRPr="004E2708">
        <w:t xml:space="preserve">ksusel on õigus keelduda taotluse rahuldamise otsuse muutmisest, kui soovitav muudatus ei aita kaasa </w:t>
      </w:r>
      <w:r>
        <w:t>projekti eesmärkide</w:t>
      </w:r>
      <w:r w:rsidRPr="004E2708">
        <w:t xml:space="preserve"> saavutamisele või projekti tegevusi tõenäoliselt ei lõpetata projekti abikõlblikkuse perioodil.</w:t>
      </w:r>
    </w:p>
    <w:p w14:paraId="3DB9C14A" w14:textId="77777777" w:rsidR="007F7147" w:rsidRPr="004E2708" w:rsidRDefault="007F7147" w:rsidP="007F7147">
      <w:pPr>
        <w:pStyle w:val="Tekst"/>
      </w:pPr>
    </w:p>
    <w:p w14:paraId="1A390FAC" w14:textId="77777777" w:rsidR="007F7147" w:rsidRPr="004E2708" w:rsidRDefault="007F7147" w:rsidP="007F7147">
      <w:pPr>
        <w:pStyle w:val="Tekst"/>
      </w:pPr>
      <w:r w:rsidRPr="004E2708">
        <w:t>(</w:t>
      </w:r>
      <w:r>
        <w:t>2</w:t>
      </w:r>
      <w:r w:rsidRPr="004E2708">
        <w:t>) Taotluse rahuldamise otsuse muutmise otsustab rakendusüksus 20 tööpäeva jooksul taotluse saamisest arvates. Kui toetuse saajale antakse aega puuduste kõrvaldamiseks või lisateabe esitamiseks, otsustatakse otsuse muutmine 30 tööpäeva jooksul.</w:t>
      </w:r>
    </w:p>
    <w:p w14:paraId="1A1B0085" w14:textId="77777777" w:rsidR="007F7147" w:rsidRPr="004E2708" w:rsidRDefault="007F7147" w:rsidP="007F7147">
      <w:pPr>
        <w:pStyle w:val="Tekst"/>
      </w:pPr>
    </w:p>
    <w:p w14:paraId="18EFA94A" w14:textId="77777777" w:rsidR="007F7147" w:rsidRDefault="007F7147" w:rsidP="007F7147">
      <w:pPr>
        <w:pStyle w:val="Tekst"/>
      </w:pPr>
      <w:r w:rsidRPr="004E2708">
        <w:t>(</w:t>
      </w:r>
      <w:r>
        <w:t>3</w:t>
      </w:r>
      <w:r w:rsidRPr="004E2708">
        <w:t>) Taotluse rahuldamise otsust võib muuta tagasiulatuvalt, kui see aitab kaasa projekti</w:t>
      </w:r>
      <w:r>
        <w:t xml:space="preserve"> eesmärkide</w:t>
      </w:r>
      <w:r w:rsidRPr="004E2708">
        <w:t xml:space="preserve"> saavutamisele ja muudatus on põhjendatud.</w:t>
      </w:r>
    </w:p>
    <w:p w14:paraId="3D3E2D7C" w14:textId="77777777" w:rsidR="007F7147" w:rsidRPr="004E2708" w:rsidRDefault="007F7147" w:rsidP="007F7147">
      <w:pPr>
        <w:pStyle w:val="Tekst"/>
      </w:pPr>
    </w:p>
    <w:p w14:paraId="1563D154" w14:textId="77777777" w:rsidR="007F7147" w:rsidRPr="004E2708" w:rsidRDefault="007F7147" w:rsidP="007F7147">
      <w:pPr>
        <w:pStyle w:val="Tekst"/>
        <w:rPr>
          <w:b/>
          <w:bCs/>
        </w:rPr>
      </w:pPr>
      <w:r w:rsidRPr="004E2708">
        <w:rPr>
          <w:b/>
          <w:bCs/>
        </w:rPr>
        <w:t>§ 1</w:t>
      </w:r>
      <w:r>
        <w:rPr>
          <w:b/>
          <w:bCs/>
        </w:rPr>
        <w:t>9</w:t>
      </w:r>
      <w:r w:rsidRPr="004E2708">
        <w:rPr>
          <w:b/>
          <w:bCs/>
        </w:rPr>
        <w:t>. Taotluse rahuldamise otsuse kehtetuks tunnistamine</w:t>
      </w:r>
    </w:p>
    <w:p w14:paraId="316250D8" w14:textId="77777777" w:rsidR="007F7147" w:rsidRPr="004E2708" w:rsidRDefault="007F7147" w:rsidP="007F7147">
      <w:pPr>
        <w:pStyle w:val="Tekst"/>
      </w:pPr>
    </w:p>
    <w:p w14:paraId="23C43354" w14:textId="77777777" w:rsidR="007F7147" w:rsidRPr="004E2708" w:rsidRDefault="007F7147" w:rsidP="007F7147">
      <w:pPr>
        <w:pStyle w:val="Tekst"/>
        <w:rPr>
          <w:rFonts w:cs="Times New Roman"/>
        </w:rPr>
      </w:pPr>
      <w:r w:rsidRPr="004E2708">
        <w:rPr>
          <w:rFonts w:cs="Times New Roman"/>
        </w:rPr>
        <w:t>(1) Rakendusüksus võib taotluse rahuldamise otsuse kehtetuks tunnistada, kui</w:t>
      </w:r>
      <w:r>
        <w:rPr>
          <w:rFonts w:cs="Times New Roman"/>
        </w:rPr>
        <w:t>:</w:t>
      </w:r>
      <w:r w:rsidRPr="004E2708">
        <w:rPr>
          <w:rFonts w:cs="Times New Roman"/>
        </w:rPr>
        <w:t xml:space="preserve"> </w:t>
      </w:r>
    </w:p>
    <w:p w14:paraId="38F1F495" w14:textId="77777777" w:rsidR="007F7147" w:rsidRPr="004E2708" w:rsidRDefault="007F7147" w:rsidP="007F7147">
      <w:pPr>
        <w:pStyle w:val="Tekst"/>
        <w:rPr>
          <w:rFonts w:eastAsia="Arial" w:cs="Times New Roman"/>
          <w:color w:val="202020"/>
        </w:rPr>
      </w:pPr>
      <w:r w:rsidRPr="004E2708">
        <w:rPr>
          <w:rFonts w:cs="Times New Roman"/>
        </w:rPr>
        <w:t xml:space="preserve">1) </w:t>
      </w:r>
      <w:r w:rsidRPr="004E2708">
        <w:rPr>
          <w:rFonts w:eastAsia="Arial" w:cs="Times New Roman"/>
          <w:color w:val="202020"/>
        </w:rPr>
        <w:t>toetuse saaja ei täida määruses või taotluse rahuldamise otsuses sätestatut või ei kasuta toetust ettenähtud tingimustel;</w:t>
      </w:r>
    </w:p>
    <w:p w14:paraId="3540D484" w14:textId="424AC45D" w:rsidR="007F7147" w:rsidRPr="004E2708" w:rsidRDefault="007F7147" w:rsidP="007F7147">
      <w:pPr>
        <w:pStyle w:val="Tekst"/>
      </w:pPr>
      <w:r w:rsidRPr="004E2708">
        <w:t>2) projekti tegevusi ei ole võimalik lõpetada hiljemalt 31. oktoobril 2029.</w:t>
      </w:r>
      <w:r w:rsidR="001536D8">
        <w:t xml:space="preserve"> a.</w:t>
      </w:r>
    </w:p>
    <w:p w14:paraId="1325A45F" w14:textId="77777777" w:rsidR="007F7147" w:rsidRPr="004E2708" w:rsidRDefault="007F7147" w:rsidP="007F7147">
      <w:pPr>
        <w:pStyle w:val="Tekst"/>
      </w:pPr>
    </w:p>
    <w:p w14:paraId="261F90E1" w14:textId="77777777" w:rsidR="007F7147" w:rsidRPr="004E2708" w:rsidRDefault="007F7147" w:rsidP="007F7147">
      <w:pPr>
        <w:pStyle w:val="Tekst"/>
      </w:pPr>
      <w:r w:rsidRPr="004E2708">
        <w:t>(2) Toetuse saaja tagastab toetuse osaliselt või täielikult taotluse rahuldamise otsuse osaliselt või täielikult kehtetuks tunnistamise otsuse kohaselt.</w:t>
      </w:r>
    </w:p>
    <w:p w14:paraId="2405BC57" w14:textId="77777777" w:rsidR="007F7147" w:rsidRPr="004E2708" w:rsidRDefault="007F7147" w:rsidP="007F7147">
      <w:pPr>
        <w:pStyle w:val="Tekst"/>
      </w:pPr>
      <w:r w:rsidRPr="004E2708">
        <w:t> </w:t>
      </w:r>
    </w:p>
    <w:p w14:paraId="0B171CB7" w14:textId="77777777" w:rsidR="007F7147" w:rsidRPr="004E2708" w:rsidRDefault="007F7147" w:rsidP="007F7147">
      <w:pPr>
        <w:pStyle w:val="Tekst"/>
        <w:jc w:val="center"/>
        <w:rPr>
          <w:b/>
          <w:bCs/>
        </w:rPr>
      </w:pPr>
      <w:r>
        <w:rPr>
          <w:b/>
          <w:bCs/>
        </w:rPr>
        <w:lastRenderedPageBreak/>
        <w:t>6</w:t>
      </w:r>
      <w:r w:rsidRPr="004E2708">
        <w:rPr>
          <w:b/>
          <w:bCs/>
        </w:rPr>
        <w:t>. peatükk</w:t>
      </w:r>
    </w:p>
    <w:p w14:paraId="10B55A6C" w14:textId="77777777" w:rsidR="007F7147" w:rsidRPr="004E2708" w:rsidRDefault="007F7147" w:rsidP="007F7147">
      <w:pPr>
        <w:pStyle w:val="Tekst"/>
        <w:jc w:val="center"/>
        <w:rPr>
          <w:b/>
          <w:bCs/>
        </w:rPr>
      </w:pPr>
      <w:r w:rsidRPr="004E2708">
        <w:rPr>
          <w:b/>
          <w:bCs/>
        </w:rPr>
        <w:t>Aruande esitamine</w:t>
      </w:r>
    </w:p>
    <w:p w14:paraId="185A8EB8" w14:textId="77777777" w:rsidR="007F7147" w:rsidRPr="004E2708" w:rsidRDefault="007F7147" w:rsidP="007F7147">
      <w:pPr>
        <w:pStyle w:val="Tekst"/>
      </w:pPr>
    </w:p>
    <w:p w14:paraId="6521E622" w14:textId="77777777" w:rsidR="007F7147" w:rsidRPr="004E2708" w:rsidRDefault="007F7147" w:rsidP="007F7147">
      <w:pPr>
        <w:pStyle w:val="Tekst"/>
        <w:rPr>
          <w:b/>
          <w:bCs/>
        </w:rPr>
      </w:pPr>
      <w:r w:rsidRPr="004E2708">
        <w:rPr>
          <w:b/>
          <w:bCs/>
        </w:rPr>
        <w:t xml:space="preserve">§ </w:t>
      </w:r>
      <w:r>
        <w:rPr>
          <w:b/>
          <w:bCs/>
        </w:rPr>
        <w:t>20</w:t>
      </w:r>
      <w:r w:rsidRPr="004E2708">
        <w:rPr>
          <w:b/>
          <w:bCs/>
        </w:rPr>
        <w:t>. Aruande esitamine</w:t>
      </w:r>
    </w:p>
    <w:p w14:paraId="60869684" w14:textId="77777777" w:rsidR="007F7147" w:rsidRPr="004E2708" w:rsidRDefault="007F7147" w:rsidP="007F7147">
      <w:pPr>
        <w:pStyle w:val="Tekst"/>
      </w:pPr>
    </w:p>
    <w:p w14:paraId="264942EF" w14:textId="77777777" w:rsidR="007F7147" w:rsidRPr="004E2708" w:rsidRDefault="007F7147" w:rsidP="007F7147">
      <w:pPr>
        <w:pStyle w:val="Tekst"/>
      </w:pPr>
      <w:r w:rsidRPr="004E2708">
        <w:t>(1) Toetuse saaja esitab rakendusüksusele projekti vahe- ja lõpparuanded</w:t>
      </w:r>
      <w:r>
        <w:t xml:space="preserve"> vastavalt</w:t>
      </w:r>
      <w:r w:rsidRPr="004E2708">
        <w:t xml:space="preserve"> taotluse rahuldamise otsuse</w:t>
      </w:r>
      <w:r>
        <w:t xml:space="preserve">le. </w:t>
      </w:r>
    </w:p>
    <w:p w14:paraId="6399A3C3" w14:textId="77777777" w:rsidR="007F7147" w:rsidRDefault="007F7147" w:rsidP="007F7147">
      <w:pPr>
        <w:pStyle w:val="Tekst"/>
      </w:pPr>
    </w:p>
    <w:p w14:paraId="182C60FC" w14:textId="77777777" w:rsidR="007F7147" w:rsidRPr="00C80338" w:rsidRDefault="007F7147" w:rsidP="007F7147">
      <w:pPr>
        <w:pStyle w:val="Tekst"/>
        <w:rPr>
          <w:rFonts w:cs="Times New Roman"/>
        </w:rPr>
      </w:pPr>
      <w:r w:rsidRPr="00C80338">
        <w:rPr>
          <w:rFonts w:eastAsia="Arial" w:cs="Times New Roman"/>
          <w:color w:val="202020"/>
        </w:rPr>
        <w:t>(</w:t>
      </w:r>
      <w:r>
        <w:rPr>
          <w:rFonts w:eastAsia="Arial" w:cs="Times New Roman"/>
          <w:color w:val="202020"/>
        </w:rPr>
        <w:t>2</w:t>
      </w:r>
      <w:r w:rsidRPr="00C80338">
        <w:rPr>
          <w:rFonts w:eastAsia="Arial" w:cs="Times New Roman"/>
          <w:color w:val="202020"/>
        </w:rPr>
        <w:t xml:space="preserve">) </w:t>
      </w:r>
      <w:r>
        <w:rPr>
          <w:rFonts w:eastAsia="Arial" w:cs="Times New Roman"/>
          <w:color w:val="202020"/>
        </w:rPr>
        <w:t xml:space="preserve">Vahearuanded esitatakse kolme kuni kuue kuu tagant. </w:t>
      </w:r>
    </w:p>
    <w:p w14:paraId="799161A9" w14:textId="77777777" w:rsidR="007F7147" w:rsidRDefault="007F7147" w:rsidP="007F7147">
      <w:pPr>
        <w:pStyle w:val="Tekst"/>
      </w:pPr>
    </w:p>
    <w:p w14:paraId="595C807C" w14:textId="77777777" w:rsidR="007F7147" w:rsidRDefault="007F7147" w:rsidP="007F7147">
      <w:pPr>
        <w:pStyle w:val="Tekst"/>
      </w:pPr>
      <w:r w:rsidRPr="004E2708">
        <w:t>(</w:t>
      </w:r>
      <w:r>
        <w:t>3</w:t>
      </w:r>
      <w:r w:rsidRPr="004E2708">
        <w:t>) Vahearuanne sisaldab projekti tegevuste elluviimise ülevaadet ning hinnangut projekti edenemise kohta vastaval aruandlusperioodil.</w:t>
      </w:r>
    </w:p>
    <w:p w14:paraId="4CBA0B0F" w14:textId="77777777" w:rsidR="007F7147" w:rsidRPr="004E2708" w:rsidRDefault="007F7147" w:rsidP="007F7147">
      <w:pPr>
        <w:pStyle w:val="Tekst"/>
      </w:pPr>
    </w:p>
    <w:p w14:paraId="18471B83" w14:textId="77777777" w:rsidR="007F7147" w:rsidRPr="004E2708" w:rsidRDefault="007F7147" w:rsidP="007F7147">
      <w:pPr>
        <w:pStyle w:val="Tekst"/>
      </w:pPr>
      <w:r w:rsidRPr="004E2708">
        <w:t>(</w:t>
      </w:r>
      <w:r>
        <w:t>4</w:t>
      </w:r>
      <w:r w:rsidRPr="004E2708">
        <w:t>) Projekti lõpparuan</w:t>
      </w:r>
      <w:r>
        <w:t xml:space="preserve">ne </w:t>
      </w:r>
      <w:r w:rsidRPr="004E2708">
        <w:t>esita</w:t>
      </w:r>
      <w:r>
        <w:t>takse</w:t>
      </w:r>
      <w:r w:rsidRPr="004E2708">
        <w:t xml:space="preserve"> kahe kuu jooksul projekti abikõlblikkuse perioodi lõppemisest arvates.</w:t>
      </w:r>
    </w:p>
    <w:p w14:paraId="7AF73AFE" w14:textId="77777777" w:rsidR="007F7147" w:rsidRPr="004E2708" w:rsidRDefault="007F7147" w:rsidP="007F7147">
      <w:pPr>
        <w:pStyle w:val="Tekst"/>
      </w:pPr>
    </w:p>
    <w:p w14:paraId="799F0A45" w14:textId="77777777" w:rsidR="007F7147" w:rsidRPr="004E2708" w:rsidRDefault="007F7147" w:rsidP="007F7147">
      <w:pPr>
        <w:pStyle w:val="Tekst"/>
      </w:pPr>
      <w:r w:rsidRPr="004E2708">
        <w:t>(</w:t>
      </w:r>
      <w:r>
        <w:t>5</w:t>
      </w:r>
      <w:r w:rsidRPr="004E2708">
        <w:t>) Projekti lõpparuandes kajastatakse vähemalt järgmine teave:</w:t>
      </w:r>
    </w:p>
    <w:p w14:paraId="6559FDC3" w14:textId="77777777" w:rsidR="007F7147" w:rsidRPr="004E2708" w:rsidRDefault="007F7147" w:rsidP="007F7147">
      <w:pPr>
        <w:pStyle w:val="Tekst"/>
      </w:pPr>
      <w:r w:rsidRPr="004E2708">
        <w:t>1) projekti nimi ja number ning toetuse saaja nimi;</w:t>
      </w:r>
    </w:p>
    <w:p w14:paraId="4869160E" w14:textId="77777777" w:rsidR="007F7147" w:rsidRPr="004E2708" w:rsidRDefault="007F7147" w:rsidP="007F7147">
      <w:pPr>
        <w:pStyle w:val="Tekst"/>
      </w:pPr>
      <w:r w:rsidRPr="004E2708">
        <w:t xml:space="preserve">2) andmed projekti edenemise kohta, märkides </w:t>
      </w:r>
      <w:proofErr w:type="spellStart"/>
      <w:r>
        <w:t>elluviidud</w:t>
      </w:r>
      <w:proofErr w:type="spellEnd"/>
      <w:r w:rsidRPr="004E2708">
        <w:t xml:space="preserve"> tegevused ning kavandatud tulemuste ja eesmärkide saavutami</w:t>
      </w:r>
      <w:r>
        <w:t>s</w:t>
      </w:r>
      <w:r w:rsidRPr="004E2708">
        <w:t>e;</w:t>
      </w:r>
    </w:p>
    <w:p w14:paraId="027FE65D" w14:textId="77777777" w:rsidR="007F7147" w:rsidRPr="004E2708" w:rsidRDefault="007F7147" w:rsidP="007F7147">
      <w:pPr>
        <w:pStyle w:val="Tekst"/>
      </w:pPr>
      <w:r w:rsidRPr="004E2708">
        <w:t>3) toetuse saaja hinnang projekti tulemuslikkusele ja elluviimisele;</w:t>
      </w:r>
    </w:p>
    <w:p w14:paraId="7FB53800" w14:textId="77777777" w:rsidR="007F7147" w:rsidRDefault="007F7147" w:rsidP="007F7147">
      <w:pPr>
        <w:pStyle w:val="Tekst"/>
      </w:pPr>
      <w:r>
        <w:t>4</w:t>
      </w:r>
      <w:r w:rsidRPr="004E2708">
        <w:t>) panustamine strateegia „Eesti 2035” sihtidesse ja horisontaalsete põhimõtete edendamisse vastavalt taotluses kavandatule.</w:t>
      </w:r>
    </w:p>
    <w:p w14:paraId="66325D5F" w14:textId="77777777" w:rsidR="007F7147" w:rsidRDefault="007F7147" w:rsidP="007F7147">
      <w:pPr>
        <w:pStyle w:val="Tekst"/>
      </w:pPr>
    </w:p>
    <w:p w14:paraId="353502B8" w14:textId="44EFDC48" w:rsidR="007F7147" w:rsidRPr="004E2708" w:rsidRDefault="007F7147" w:rsidP="007F7147">
      <w:pPr>
        <w:pStyle w:val="Tekst"/>
      </w:pPr>
      <w:r w:rsidRPr="004E2708">
        <w:t>(</w:t>
      </w:r>
      <w:r>
        <w:t>6</w:t>
      </w:r>
      <w:r w:rsidRPr="004E2708">
        <w:t>) Lõpparuanne sisaldab</w:t>
      </w:r>
      <w:r>
        <w:t xml:space="preserve"> lisaks lõikes 5 sätestatule</w:t>
      </w:r>
      <w:r w:rsidRPr="004E2708">
        <w:t xml:space="preserve"> projekti tegevuste elluviimise ülevaadet ning hinnangut abikõlblikkuse perioodil tehtud tegevuste ja tulemuste saavutamise kohta.</w:t>
      </w:r>
    </w:p>
    <w:p w14:paraId="4DB61453" w14:textId="77777777" w:rsidR="007F7147" w:rsidRPr="004E2708" w:rsidRDefault="007F7147" w:rsidP="007F7147">
      <w:pPr>
        <w:pStyle w:val="Tekst"/>
      </w:pPr>
    </w:p>
    <w:p w14:paraId="5D3698EE" w14:textId="77777777" w:rsidR="007F7147" w:rsidRPr="004E2708" w:rsidRDefault="007F7147" w:rsidP="007F7147">
      <w:pPr>
        <w:pStyle w:val="Tekst"/>
      </w:pPr>
      <w:r w:rsidRPr="004E2708">
        <w:t>(</w:t>
      </w:r>
      <w:r>
        <w:t>7</w:t>
      </w:r>
      <w:r w:rsidRPr="004E2708">
        <w:t xml:space="preserve">) Rakendusüksus kinnitab aruande või </w:t>
      </w:r>
      <w:r>
        <w:t>tagastab selle täiendamiseks</w:t>
      </w:r>
      <w:r w:rsidRPr="004E2708">
        <w:t xml:space="preserve"> 20 tööpäeva jooksul </w:t>
      </w:r>
      <w:r>
        <w:t>aruande</w:t>
      </w:r>
      <w:r w:rsidRPr="004E2708">
        <w:t xml:space="preserve"> rakendusüksusele esitamisest arvates.</w:t>
      </w:r>
    </w:p>
    <w:p w14:paraId="1295C811" w14:textId="77777777" w:rsidR="007F7147" w:rsidRPr="004E2708" w:rsidRDefault="007F7147" w:rsidP="007F7147">
      <w:pPr>
        <w:pStyle w:val="Tekst"/>
      </w:pPr>
    </w:p>
    <w:p w14:paraId="1728F358" w14:textId="77777777" w:rsidR="007F7147" w:rsidRPr="004E2708" w:rsidRDefault="007F7147" w:rsidP="007F7147">
      <w:pPr>
        <w:pStyle w:val="Tekst"/>
      </w:pPr>
      <w:r w:rsidRPr="004E2708">
        <w:t>(</w:t>
      </w:r>
      <w:r>
        <w:t>8</w:t>
      </w:r>
      <w:r w:rsidRPr="004E2708">
        <w:t>) Rakendusüksusel on õigus nõuda aruande täiendamist määratud tähtaja jooksul. Kui taotleja aruannet nõutud tähtaja</w:t>
      </w:r>
      <w:r>
        <w:t xml:space="preserve"> jooksul</w:t>
      </w:r>
      <w:r w:rsidRPr="004E2708">
        <w:t xml:space="preserve"> ei täienda, jätab rakendusüksus aruande kinnitamata ja toetuse välja maksmata.</w:t>
      </w:r>
    </w:p>
    <w:p w14:paraId="190C2F2B" w14:textId="77777777" w:rsidR="007F7147" w:rsidRPr="004E2708" w:rsidRDefault="007F7147" w:rsidP="007F7147">
      <w:pPr>
        <w:pStyle w:val="Tekst"/>
      </w:pPr>
    </w:p>
    <w:p w14:paraId="037A40F1" w14:textId="4F9BE516" w:rsidR="007F7147" w:rsidRPr="004E2708" w:rsidRDefault="007F7147" w:rsidP="007F7147">
      <w:pPr>
        <w:pStyle w:val="Tekst"/>
      </w:pPr>
      <w:r w:rsidRPr="004E2708">
        <w:t>(</w:t>
      </w:r>
      <w:r>
        <w:t>9</w:t>
      </w:r>
      <w:r w:rsidRPr="004E2708">
        <w:t xml:space="preserve">) </w:t>
      </w:r>
      <w:r>
        <w:t>K</w:t>
      </w:r>
      <w:r w:rsidRPr="004E2708">
        <w:t xml:space="preserve">ui </w:t>
      </w:r>
      <w:r w:rsidR="00D62B49">
        <w:t>paragrahvi</w:t>
      </w:r>
      <w:r w:rsidR="00D62B49" w:rsidRPr="004E2708">
        <w:t xml:space="preserve"> </w:t>
      </w:r>
      <w:r>
        <w:t>3</w:t>
      </w:r>
      <w:r w:rsidRPr="004E2708">
        <w:t xml:space="preserve"> lõikes </w:t>
      </w:r>
      <w:r>
        <w:t>3</w:t>
      </w:r>
      <w:r w:rsidRPr="004E2708">
        <w:t xml:space="preserve"> </w:t>
      </w:r>
      <w:r>
        <w:t>märgitud</w:t>
      </w:r>
      <w:r w:rsidRPr="004E2708">
        <w:t xml:space="preserve"> </w:t>
      </w:r>
      <w:r>
        <w:t>teave</w:t>
      </w:r>
      <w:r w:rsidRPr="004E2708">
        <w:t xml:space="preserve"> ei ole kättesaadav </w:t>
      </w:r>
      <w:r>
        <w:t>kasusaaja</w:t>
      </w:r>
      <w:r w:rsidRPr="004E2708">
        <w:t xml:space="preserve">te majandusaasta aruannetest, esitab taotleja </w:t>
      </w:r>
      <w:r>
        <w:t>rakendusüksuse nõudmisel</w:t>
      </w:r>
      <w:r w:rsidRPr="004E2708">
        <w:t xml:space="preserve"> </w:t>
      </w:r>
      <w:proofErr w:type="spellStart"/>
      <w:r w:rsidRPr="004E2708">
        <w:t>järe</w:t>
      </w:r>
      <w:r>
        <w:t>l</w:t>
      </w:r>
      <w:r w:rsidRPr="004E2708">
        <w:t>aruande</w:t>
      </w:r>
      <w:proofErr w:type="spellEnd"/>
      <w:r w:rsidRPr="004E2708">
        <w:t xml:space="preserve"> vastava </w:t>
      </w:r>
      <w:r>
        <w:t>teabeg</w:t>
      </w:r>
      <w:r w:rsidRPr="004E2708">
        <w:t xml:space="preserve">a hiljemalt </w:t>
      </w:r>
      <w:r>
        <w:t>kaks aastat</w:t>
      </w:r>
      <w:r w:rsidRPr="004E2708">
        <w:t xml:space="preserve"> p</w:t>
      </w:r>
      <w:r>
        <w:t>ärast</w:t>
      </w:r>
      <w:r w:rsidRPr="004E2708">
        <w:t xml:space="preserve"> projekti lõppu.</w:t>
      </w:r>
    </w:p>
    <w:p w14:paraId="041A197F" w14:textId="77777777" w:rsidR="007F7147" w:rsidRPr="004E2708" w:rsidRDefault="007F7147" w:rsidP="007F7147">
      <w:pPr>
        <w:pStyle w:val="Tekst"/>
      </w:pPr>
    </w:p>
    <w:p w14:paraId="7850DC99" w14:textId="77777777" w:rsidR="007F7147" w:rsidRPr="004E2708" w:rsidRDefault="007F7147" w:rsidP="007F7147">
      <w:pPr>
        <w:pStyle w:val="Tekst"/>
        <w:jc w:val="center"/>
        <w:rPr>
          <w:b/>
          <w:bCs/>
        </w:rPr>
      </w:pPr>
      <w:r>
        <w:rPr>
          <w:b/>
          <w:bCs/>
        </w:rPr>
        <w:t>7</w:t>
      </w:r>
      <w:r w:rsidRPr="004E2708">
        <w:rPr>
          <w:b/>
          <w:bCs/>
        </w:rPr>
        <w:t>. peatükk</w:t>
      </w:r>
      <w:r w:rsidRPr="004E2708">
        <w:rPr>
          <w:b/>
          <w:bCs/>
        </w:rPr>
        <w:br/>
        <w:t>Toetuse maksmi</w:t>
      </w:r>
      <w:r>
        <w:rPr>
          <w:b/>
          <w:bCs/>
        </w:rPr>
        <w:t>n</w:t>
      </w:r>
      <w:r w:rsidRPr="004E2708">
        <w:rPr>
          <w:b/>
          <w:bCs/>
        </w:rPr>
        <w:t>e</w:t>
      </w:r>
    </w:p>
    <w:p w14:paraId="512BD404" w14:textId="77777777" w:rsidR="007F7147" w:rsidRPr="004E2708" w:rsidRDefault="007F7147" w:rsidP="007F7147">
      <w:pPr>
        <w:pStyle w:val="Tekst"/>
      </w:pPr>
    </w:p>
    <w:p w14:paraId="19716FCD" w14:textId="77777777" w:rsidR="007F7147" w:rsidRPr="004E2708" w:rsidRDefault="007F7147" w:rsidP="007F7147">
      <w:pPr>
        <w:pStyle w:val="Tekst"/>
        <w:rPr>
          <w:b/>
          <w:bCs/>
        </w:rPr>
      </w:pPr>
      <w:r w:rsidRPr="004E2708">
        <w:rPr>
          <w:b/>
          <w:bCs/>
        </w:rPr>
        <w:t>§ 2</w:t>
      </w:r>
      <w:r>
        <w:rPr>
          <w:b/>
          <w:bCs/>
        </w:rPr>
        <w:t>1</w:t>
      </w:r>
      <w:r w:rsidRPr="004E2708">
        <w:rPr>
          <w:b/>
          <w:bCs/>
        </w:rPr>
        <w:t>. Toetuse maksmise tingimused</w:t>
      </w:r>
    </w:p>
    <w:p w14:paraId="2FDAD6DA" w14:textId="77777777" w:rsidR="007F7147" w:rsidRDefault="007F7147" w:rsidP="007F7147">
      <w:pPr>
        <w:pStyle w:val="Tekst"/>
        <w:rPr>
          <w:b/>
          <w:bCs/>
        </w:rPr>
      </w:pPr>
    </w:p>
    <w:p w14:paraId="797138B1" w14:textId="6DEF0D56" w:rsidR="007F7147" w:rsidRDefault="007F7147" w:rsidP="007F7147">
      <w:pPr>
        <w:pStyle w:val="Tekst"/>
      </w:pPr>
      <w:r w:rsidRPr="00305B2D">
        <w:t>(1)</w:t>
      </w:r>
      <w:r>
        <w:rPr>
          <w:b/>
          <w:bCs/>
        </w:rPr>
        <w:t xml:space="preserve"> </w:t>
      </w:r>
      <w:r>
        <w:t>Toetust makstakse</w:t>
      </w:r>
      <w:r w:rsidR="00282364">
        <w:t xml:space="preserve"> vastavalt</w:t>
      </w:r>
      <w:r>
        <w:t xml:space="preserve"> </w:t>
      </w:r>
      <w:r w:rsidRPr="008D55F1">
        <w:rPr>
          <w:rFonts w:eastAsia="Arial" w:cs="Times New Roman"/>
          <w:color w:val="202020"/>
        </w:rPr>
        <w:t>ühendmääruse § 27 lõike 1 punkti</w:t>
      </w:r>
      <w:r w:rsidR="00282364">
        <w:rPr>
          <w:rFonts w:eastAsia="Arial" w:cs="Times New Roman"/>
          <w:color w:val="202020"/>
        </w:rPr>
        <w:t>le</w:t>
      </w:r>
      <w:r w:rsidRPr="008D55F1">
        <w:rPr>
          <w:rFonts w:eastAsia="Arial" w:cs="Times New Roman"/>
          <w:color w:val="202020"/>
        </w:rPr>
        <w:t xml:space="preserve"> 1</w:t>
      </w:r>
      <w:r w:rsidR="00282364">
        <w:rPr>
          <w:rFonts w:eastAsia="Arial" w:cs="Times New Roman"/>
          <w:color w:val="202020"/>
        </w:rPr>
        <w:t xml:space="preserve"> või</w:t>
      </w:r>
      <w:r>
        <w:t xml:space="preserve"> § 28 lõike</w:t>
      </w:r>
      <w:r w:rsidR="00282364">
        <w:t>le</w:t>
      </w:r>
      <w:r>
        <w:t xml:space="preserve"> 4 või 5 ühtse määrana</w:t>
      </w:r>
      <w:r w:rsidR="00282364">
        <w:t>.</w:t>
      </w:r>
    </w:p>
    <w:p w14:paraId="0798D3CB" w14:textId="77777777" w:rsidR="007F7147" w:rsidRPr="004E2708" w:rsidRDefault="007F7147" w:rsidP="007F7147">
      <w:pPr>
        <w:pStyle w:val="Tekst"/>
        <w:ind w:left="720"/>
      </w:pPr>
    </w:p>
    <w:p w14:paraId="0D01BF08" w14:textId="722A37EC" w:rsidR="007F7147" w:rsidRDefault="007F7147" w:rsidP="007F7147">
      <w:pPr>
        <w:pStyle w:val="Tekst"/>
      </w:pPr>
      <w:r w:rsidRPr="004E2708">
        <w:t>(2) T</w:t>
      </w:r>
      <w:r>
        <w:t>aotluse rahuldamise otsuses määratud toetuse maksmise</w:t>
      </w:r>
      <w:r w:rsidRPr="004E2708">
        <w:t xml:space="preserve"> viisi ei </w:t>
      </w:r>
      <w:r>
        <w:t xml:space="preserve">muudeta. </w:t>
      </w:r>
    </w:p>
    <w:p w14:paraId="170A56CC" w14:textId="77777777" w:rsidR="007F7147" w:rsidRDefault="007F7147" w:rsidP="007F7147">
      <w:pPr>
        <w:pStyle w:val="Tekst"/>
      </w:pPr>
    </w:p>
    <w:p w14:paraId="32C624BF" w14:textId="5FCBA3C4" w:rsidR="002F0072" w:rsidRDefault="007F7147" w:rsidP="002F0072">
      <w:pPr>
        <w:pStyle w:val="Tekst"/>
        <w:rPr>
          <w:rFonts w:cs="Times New Roman"/>
        </w:rPr>
      </w:pPr>
      <w:r>
        <w:t>(3) Abikõlblike kulude ja omafinantseeringu tõendamisel arvestatakse pangaülekande teel tasutud kuludega.</w:t>
      </w:r>
      <w:r w:rsidR="002F0072">
        <w:t xml:space="preserve"> </w:t>
      </w:r>
      <w:r w:rsidR="002F0072" w:rsidRPr="00126EBD">
        <w:rPr>
          <w:rFonts w:cs="Times New Roman"/>
        </w:rPr>
        <w:t>Kuludokumendi abikõlblike kulude summa</w:t>
      </w:r>
      <w:r w:rsidR="002F0072">
        <w:rPr>
          <w:rFonts w:cs="Times New Roman"/>
        </w:rPr>
        <w:t xml:space="preserve"> käibemaksuta</w:t>
      </w:r>
      <w:r w:rsidR="002F0072" w:rsidRPr="00126EBD">
        <w:rPr>
          <w:rFonts w:cs="Times New Roman"/>
        </w:rPr>
        <w:t xml:space="preserve"> </w:t>
      </w:r>
      <w:r w:rsidR="00DE5308">
        <w:rPr>
          <w:rFonts w:cs="Times New Roman"/>
        </w:rPr>
        <w:t>on</w:t>
      </w:r>
      <w:r w:rsidR="002F0072" w:rsidRPr="00126EBD">
        <w:rPr>
          <w:rFonts w:cs="Times New Roman"/>
        </w:rPr>
        <w:t xml:space="preserve"> vähemalt 100 eurot.</w:t>
      </w:r>
    </w:p>
    <w:p w14:paraId="4A6F8F3F" w14:textId="77777777" w:rsidR="007F7147" w:rsidRPr="004E2708" w:rsidRDefault="007F7147" w:rsidP="007F7147">
      <w:pPr>
        <w:pStyle w:val="Tekst"/>
      </w:pPr>
    </w:p>
    <w:p w14:paraId="34D74ED0" w14:textId="4EE079AD" w:rsidR="007F7147" w:rsidRPr="004E2708" w:rsidRDefault="007F7147" w:rsidP="007F7147">
      <w:pPr>
        <w:pStyle w:val="Tekst"/>
      </w:pPr>
      <w:r>
        <w:t>(4) Toetust makstakse 20 tööpäeva jooksul pärast aruande kinnitamist</w:t>
      </w:r>
      <w:r w:rsidR="00CD7B10">
        <w:t>.</w:t>
      </w:r>
    </w:p>
    <w:p w14:paraId="42F753C2" w14:textId="77777777" w:rsidR="007F7147" w:rsidRPr="004E2708" w:rsidRDefault="007F7147" w:rsidP="007F7147">
      <w:pPr>
        <w:pStyle w:val="Tekst"/>
      </w:pPr>
    </w:p>
    <w:p w14:paraId="25551D48" w14:textId="77777777" w:rsidR="007F7147" w:rsidRPr="004E2708" w:rsidRDefault="007F7147" w:rsidP="007F7147">
      <w:pPr>
        <w:pStyle w:val="Tekst"/>
        <w:jc w:val="center"/>
        <w:rPr>
          <w:b/>
          <w:bCs/>
        </w:rPr>
      </w:pPr>
      <w:r>
        <w:rPr>
          <w:b/>
          <w:bCs/>
        </w:rPr>
        <w:t>8</w:t>
      </w:r>
      <w:r w:rsidRPr="004E2708">
        <w:rPr>
          <w:b/>
          <w:bCs/>
        </w:rPr>
        <w:t>. peatükk</w:t>
      </w:r>
    </w:p>
    <w:p w14:paraId="4D512AE6" w14:textId="77777777" w:rsidR="007F7147" w:rsidRPr="004E2708" w:rsidRDefault="007F7147" w:rsidP="007F7147">
      <w:pPr>
        <w:pStyle w:val="Tekst"/>
        <w:jc w:val="center"/>
        <w:rPr>
          <w:b/>
          <w:bCs/>
        </w:rPr>
      </w:pPr>
      <w:r w:rsidRPr="004E2708">
        <w:rPr>
          <w:b/>
          <w:bCs/>
        </w:rPr>
        <w:t xml:space="preserve">Toetuse saaja ja rakendusüksuse õigused </w:t>
      </w:r>
      <w:r>
        <w:rPr>
          <w:b/>
          <w:bCs/>
        </w:rPr>
        <w:t xml:space="preserve">ning </w:t>
      </w:r>
      <w:r w:rsidRPr="004E2708">
        <w:rPr>
          <w:b/>
          <w:bCs/>
        </w:rPr>
        <w:t>kohustused</w:t>
      </w:r>
    </w:p>
    <w:p w14:paraId="3DE787EE" w14:textId="77777777" w:rsidR="007F7147" w:rsidRPr="004E2708" w:rsidRDefault="007F7147" w:rsidP="007F7147">
      <w:pPr>
        <w:pStyle w:val="Tekst"/>
      </w:pPr>
    </w:p>
    <w:p w14:paraId="76568F26" w14:textId="69E5E1A1" w:rsidR="007F7147" w:rsidRPr="004E2708" w:rsidRDefault="007F7147" w:rsidP="007F7147">
      <w:pPr>
        <w:pStyle w:val="Tekst"/>
        <w:rPr>
          <w:b/>
          <w:bCs/>
        </w:rPr>
      </w:pPr>
      <w:r w:rsidRPr="004E2708">
        <w:rPr>
          <w:b/>
          <w:bCs/>
        </w:rPr>
        <w:t>§ 2</w:t>
      </w:r>
      <w:r>
        <w:rPr>
          <w:b/>
          <w:bCs/>
        </w:rPr>
        <w:t>2</w:t>
      </w:r>
      <w:r w:rsidRPr="004E2708">
        <w:rPr>
          <w:b/>
          <w:bCs/>
        </w:rPr>
        <w:t>. Toetuse saaja õigused ja kohustused</w:t>
      </w:r>
    </w:p>
    <w:p w14:paraId="71BE8EE7" w14:textId="77777777" w:rsidR="007F7147" w:rsidRPr="004E2708" w:rsidRDefault="007F7147" w:rsidP="007F7147">
      <w:pPr>
        <w:pStyle w:val="Tekst"/>
      </w:pPr>
    </w:p>
    <w:p w14:paraId="367D158D" w14:textId="77777777" w:rsidR="007F7147" w:rsidRPr="004E2708" w:rsidRDefault="007F7147" w:rsidP="007F7147">
      <w:pPr>
        <w:pStyle w:val="Tekst"/>
      </w:pPr>
      <w:r w:rsidRPr="004E2708">
        <w:t>(1) Toetuse saajal on õigus saada rakendusüksuselt teavet ja selgitusi, mis on seotud toetuse kasutamise ja toetuse saaja kohustustega.</w:t>
      </w:r>
    </w:p>
    <w:p w14:paraId="77B08FC5" w14:textId="77777777" w:rsidR="007F7147" w:rsidRPr="004E2708" w:rsidRDefault="007F7147" w:rsidP="007F7147">
      <w:pPr>
        <w:pStyle w:val="Tekst"/>
      </w:pPr>
    </w:p>
    <w:p w14:paraId="4B8878B2" w14:textId="013F22B3" w:rsidR="007F7147" w:rsidRPr="0024617A" w:rsidRDefault="007F7147" w:rsidP="007F7147">
      <w:pPr>
        <w:pStyle w:val="Tekst"/>
      </w:pPr>
      <w:r w:rsidRPr="0024617A">
        <w:t>(2) Toetuse saaja täidab järgmis</w:t>
      </w:r>
      <w:r>
        <w:t>i</w:t>
      </w:r>
      <w:r w:rsidRPr="0024617A">
        <w:t xml:space="preserve"> kohustusi:</w:t>
      </w:r>
    </w:p>
    <w:p w14:paraId="4D8B0F84" w14:textId="77777777" w:rsidR="007F7147" w:rsidRPr="0024617A" w:rsidRDefault="007F7147" w:rsidP="007F7147">
      <w:pPr>
        <w:pStyle w:val="Tekst"/>
      </w:pPr>
      <w:r w:rsidRPr="0024617A">
        <w:t>1) esita</w:t>
      </w:r>
      <w:r>
        <w:t>b</w:t>
      </w:r>
      <w:r w:rsidRPr="0024617A">
        <w:t xml:space="preserve"> rakendusüksusele nõutud teabe kümne tööpäeva jooksul nõude saamisest arvates;</w:t>
      </w:r>
    </w:p>
    <w:p w14:paraId="6ADF2666" w14:textId="77777777" w:rsidR="007F7147" w:rsidRPr="0024617A" w:rsidRDefault="007F7147" w:rsidP="007F7147">
      <w:pPr>
        <w:pStyle w:val="Tekst"/>
      </w:pPr>
      <w:r>
        <w:t>2</w:t>
      </w:r>
      <w:r w:rsidRPr="0024617A">
        <w:t>) taga</w:t>
      </w:r>
      <w:r>
        <w:t>b</w:t>
      </w:r>
      <w:r w:rsidRPr="0024617A">
        <w:t xml:space="preserve"> projekti elluviimiseks õigusaktides ettenähtud lubade ja kooskõlastuste olemasolu;</w:t>
      </w:r>
    </w:p>
    <w:p w14:paraId="0DD10308" w14:textId="77777777" w:rsidR="007F7147" w:rsidRDefault="007F7147" w:rsidP="007F7147">
      <w:pPr>
        <w:pStyle w:val="Tekst"/>
      </w:pPr>
      <w:r>
        <w:t>3</w:t>
      </w:r>
      <w:r w:rsidRPr="0024617A">
        <w:t>) säilita</w:t>
      </w:r>
      <w:r>
        <w:t>b</w:t>
      </w:r>
      <w:r w:rsidRPr="0024617A">
        <w:t xml:space="preserve"> taotluse, toetuse ja projekti elluviimisega seotud dokumente vähemalt k</w:t>
      </w:r>
      <w:r>
        <w:t>ümme</w:t>
      </w:r>
      <w:r w:rsidRPr="0024617A">
        <w:t xml:space="preserve"> aastat alates taotluse rahuldamise otsuse tegemisest</w:t>
      </w:r>
      <w:r>
        <w:t>;</w:t>
      </w:r>
    </w:p>
    <w:p w14:paraId="266DF3A5" w14:textId="401997DE" w:rsidR="007F7147" w:rsidRDefault="007F7147" w:rsidP="007F7147">
      <w:pPr>
        <w:pStyle w:val="Tekst"/>
      </w:pPr>
      <w:r w:rsidRPr="006E7B8B">
        <w:t xml:space="preserve">4) tagab tegevustes osalenud </w:t>
      </w:r>
      <w:r w:rsidR="00DD7E0A">
        <w:t>kasusaajate</w:t>
      </w:r>
      <w:r w:rsidRPr="006E7B8B">
        <w:t xml:space="preserve"> korrektsete andmete olemasolu</w:t>
      </w:r>
      <w:r w:rsidR="00DD7E0A">
        <w:t xml:space="preserve"> vastavalt e-toetuse keskkonna s</w:t>
      </w:r>
      <w:r w:rsidRPr="006E7B8B">
        <w:t xml:space="preserve">ündmuste </w:t>
      </w:r>
      <w:r w:rsidR="00DD7E0A">
        <w:t>i</w:t>
      </w:r>
      <w:r w:rsidRPr="006E7B8B">
        <w:t>nfosüsteemis SIS iga poolaasta lõpu seisuga hiljemalt poolaastale järgneva teise nädala lõpuks.</w:t>
      </w:r>
    </w:p>
    <w:p w14:paraId="6328BB15" w14:textId="77777777" w:rsidR="007F7147" w:rsidRDefault="007F7147" w:rsidP="007F7147">
      <w:pPr>
        <w:pStyle w:val="Tekst"/>
      </w:pPr>
    </w:p>
    <w:p w14:paraId="2C9E1309" w14:textId="6F2DF903" w:rsidR="007F7147" w:rsidRDefault="007F7147" w:rsidP="007F7147">
      <w:pPr>
        <w:pStyle w:val="Tekst"/>
      </w:pPr>
      <w:r>
        <w:t>(3) Toetuse saaja</w:t>
      </w:r>
      <w:r w:rsidRPr="003B3118">
        <w:t xml:space="preserve"> arvutab</w:t>
      </w:r>
      <w:r>
        <w:t xml:space="preserve"> kasusaaja vähese tähtsusega</w:t>
      </w:r>
      <w:r w:rsidRPr="003B3118">
        <w:t xml:space="preserve"> abi suuruse ja kontrollib</w:t>
      </w:r>
      <w:r w:rsidR="002353A1">
        <w:t xml:space="preserve"> kasu</w:t>
      </w:r>
      <w:r w:rsidRPr="003B3118">
        <w:t>saaja</w:t>
      </w:r>
      <w:r>
        <w:t xml:space="preserve"> </w:t>
      </w:r>
      <w:r w:rsidRPr="003B3118">
        <w:t xml:space="preserve">vastavust </w:t>
      </w:r>
      <w:r>
        <w:t>vähese tähtsusega abi</w:t>
      </w:r>
      <w:r w:rsidRPr="003B3118">
        <w:t xml:space="preserve"> määruse nõuetele. </w:t>
      </w:r>
      <w:r>
        <w:t>Toetuse saaj</w:t>
      </w:r>
      <w:r w:rsidRPr="003B3118">
        <w:t xml:space="preserve">a </w:t>
      </w:r>
      <w:r>
        <w:t>t</w:t>
      </w:r>
      <w:r w:rsidRPr="003B3118">
        <w:t>eavita</w:t>
      </w:r>
      <w:r w:rsidR="00DD7E0A">
        <w:t>b</w:t>
      </w:r>
      <w:r w:rsidRPr="003B3118">
        <w:t xml:space="preserve"> </w:t>
      </w:r>
      <w:r w:rsidR="00DD7E0A">
        <w:t>kasu</w:t>
      </w:r>
      <w:r w:rsidRPr="003B3118">
        <w:t>saajat vähese tähtsusega abi andmisest, abi summa suurusest ning kan</w:t>
      </w:r>
      <w:r w:rsidR="00DD7E0A">
        <w:t>nab</w:t>
      </w:r>
      <w:r w:rsidRPr="003B3118">
        <w:t xml:space="preserve"> antava abi andmed riigiabi ja vähese tähtsusega abi registrisse.</w:t>
      </w:r>
    </w:p>
    <w:p w14:paraId="474D0428" w14:textId="77777777" w:rsidR="007F7147" w:rsidRPr="004E2708" w:rsidRDefault="007F7147" w:rsidP="007F7147">
      <w:pPr>
        <w:pStyle w:val="Tekst"/>
      </w:pPr>
    </w:p>
    <w:p w14:paraId="70A53BBC" w14:textId="77777777" w:rsidR="007F7147" w:rsidRPr="004E2708" w:rsidRDefault="007F7147" w:rsidP="007F7147">
      <w:pPr>
        <w:pStyle w:val="Tekst"/>
        <w:rPr>
          <w:b/>
          <w:bCs/>
        </w:rPr>
      </w:pPr>
      <w:r w:rsidRPr="004E2708">
        <w:rPr>
          <w:b/>
          <w:bCs/>
        </w:rPr>
        <w:t>§ 2</w:t>
      </w:r>
      <w:r>
        <w:rPr>
          <w:b/>
          <w:bCs/>
        </w:rPr>
        <w:t>3</w:t>
      </w:r>
      <w:r w:rsidRPr="004E2708">
        <w:rPr>
          <w:b/>
          <w:bCs/>
        </w:rPr>
        <w:t>. Rakendusüksuse õigused ja kohustused</w:t>
      </w:r>
    </w:p>
    <w:p w14:paraId="0DF186E6" w14:textId="77777777" w:rsidR="007F7147" w:rsidRPr="004E2708" w:rsidRDefault="007F7147" w:rsidP="007F7147">
      <w:pPr>
        <w:pStyle w:val="Tekst"/>
      </w:pPr>
    </w:p>
    <w:p w14:paraId="05D0D2BE" w14:textId="77777777" w:rsidR="007F7147" w:rsidRPr="004E2708" w:rsidRDefault="007F7147" w:rsidP="007F7147">
      <w:pPr>
        <w:pStyle w:val="Tekst"/>
      </w:pPr>
      <w:r w:rsidRPr="004E2708">
        <w:t>(1) Rakendusüksusel on õigus nõuda taotluses sisalduva projekti kestuse, tegevuste, eesmärkide ja tulemuste kohta lisaandmete ja -dokumentide esitamist.</w:t>
      </w:r>
    </w:p>
    <w:p w14:paraId="37316471" w14:textId="77777777" w:rsidR="007F7147" w:rsidRPr="004E2708" w:rsidRDefault="007F7147" w:rsidP="007F7147">
      <w:pPr>
        <w:pStyle w:val="Tekst"/>
      </w:pPr>
    </w:p>
    <w:p w14:paraId="7CE71D56" w14:textId="77777777" w:rsidR="007F7147" w:rsidRPr="004E2708" w:rsidRDefault="007F7147" w:rsidP="007F7147">
      <w:pPr>
        <w:pStyle w:val="Tekst"/>
      </w:pPr>
      <w:r w:rsidRPr="004E2708">
        <w:t>(2) Rakendusüksus on kohustatud:</w:t>
      </w:r>
    </w:p>
    <w:p w14:paraId="495D67B9" w14:textId="77777777" w:rsidR="007F7147" w:rsidRPr="004E2708" w:rsidRDefault="007F7147" w:rsidP="007F7147">
      <w:pPr>
        <w:pStyle w:val="Tekst"/>
      </w:pPr>
      <w:r w:rsidRPr="004E2708">
        <w:t>1) tegema taotlus- ja aruandevormid ning juhendid taotlejale ja toetuse saajale oma veebilehel kättesaadavaks;</w:t>
      </w:r>
    </w:p>
    <w:p w14:paraId="1F610B3C" w14:textId="77777777" w:rsidR="007F7147" w:rsidRPr="004E2708" w:rsidRDefault="007F7147" w:rsidP="007F7147">
      <w:pPr>
        <w:pStyle w:val="Tekst"/>
      </w:pPr>
      <w:r w:rsidRPr="004E2708">
        <w:t>2) pärast taotluse rahuldamise otsuse tegemist avaldama oma veebilehel toetuse saaja nime, projekti nime, toetuse summa, projekti kogumahu ja projekti eesmärgi;</w:t>
      </w:r>
    </w:p>
    <w:p w14:paraId="68F8CD45" w14:textId="4A1293BE" w:rsidR="007F7147" w:rsidRPr="004E2708" w:rsidRDefault="007F7147" w:rsidP="007F7147">
      <w:pPr>
        <w:pStyle w:val="Tekst"/>
      </w:pPr>
      <w:r w:rsidRPr="004E2708">
        <w:t>3) mitte avaldama taotluse menetlemise käigus saadud teavet ega dokumente, välja arvatud punkti 2 kohaselt</w:t>
      </w:r>
      <w:r w:rsidR="00DD7E0A">
        <w:t xml:space="preserve"> avaldatav teave</w:t>
      </w:r>
      <w:r w:rsidRPr="004E2708">
        <w:t>;</w:t>
      </w:r>
    </w:p>
    <w:p w14:paraId="2BE7AD0E" w14:textId="77777777" w:rsidR="007F7147" w:rsidRPr="004E2708" w:rsidRDefault="007F7147" w:rsidP="007F7147">
      <w:pPr>
        <w:pStyle w:val="Tekst"/>
      </w:pPr>
      <w:r w:rsidRPr="004E2708">
        <w:t>4) kontrollima projekti elluviimist;</w:t>
      </w:r>
    </w:p>
    <w:p w14:paraId="71E6B585" w14:textId="41A67231" w:rsidR="007F7147" w:rsidRPr="004E2708" w:rsidRDefault="007F7147" w:rsidP="007F7147">
      <w:pPr>
        <w:pStyle w:val="Tekst"/>
      </w:pPr>
      <w:r w:rsidRPr="004E2708">
        <w:t>5) säilitama vähese tähtsusega abi andmisega seotud andmeid koos teabe ja asjakohaste lisadokumentidega kümme aastat taotluse rahuldamise otsuse</w:t>
      </w:r>
      <w:r w:rsidR="00DD7E0A">
        <w:t xml:space="preserve"> kuupäeva</w:t>
      </w:r>
      <w:r w:rsidRPr="004E2708">
        <w:t>st arvates;</w:t>
      </w:r>
    </w:p>
    <w:p w14:paraId="3ACE9B70" w14:textId="77777777" w:rsidR="007F7147" w:rsidRPr="004E2708" w:rsidRDefault="007F7147" w:rsidP="007F7147">
      <w:pPr>
        <w:widowControl/>
        <w:suppressAutoHyphens w:val="0"/>
        <w:spacing w:line="240" w:lineRule="auto"/>
        <w:jc w:val="left"/>
        <w:rPr>
          <w:rFonts w:cs="Mangal"/>
        </w:rPr>
      </w:pPr>
    </w:p>
    <w:p w14:paraId="232DF5B9" w14:textId="77777777" w:rsidR="007F7147" w:rsidRPr="004E2708" w:rsidRDefault="007F7147" w:rsidP="007F7147">
      <w:pPr>
        <w:pStyle w:val="Tekst"/>
        <w:jc w:val="center"/>
        <w:rPr>
          <w:b/>
          <w:bCs/>
        </w:rPr>
      </w:pPr>
      <w:r>
        <w:rPr>
          <w:b/>
          <w:bCs/>
        </w:rPr>
        <w:t>9</w:t>
      </w:r>
      <w:r w:rsidRPr="004E2708">
        <w:rPr>
          <w:b/>
          <w:bCs/>
        </w:rPr>
        <w:t>. peatükk</w:t>
      </w:r>
      <w:r w:rsidRPr="004E2708">
        <w:rPr>
          <w:b/>
          <w:bCs/>
        </w:rPr>
        <w:br/>
        <w:t>Finantskorrektsioonid ja vaided</w:t>
      </w:r>
    </w:p>
    <w:p w14:paraId="35389279" w14:textId="77777777" w:rsidR="007F7147" w:rsidRPr="004E2708" w:rsidRDefault="007F7147" w:rsidP="007F7147">
      <w:pPr>
        <w:pStyle w:val="Tekst"/>
      </w:pPr>
    </w:p>
    <w:p w14:paraId="565804BF" w14:textId="77777777" w:rsidR="007F7147" w:rsidRPr="004E2708" w:rsidRDefault="007F7147" w:rsidP="007F7147">
      <w:pPr>
        <w:pStyle w:val="Tekst"/>
        <w:rPr>
          <w:b/>
          <w:bCs/>
        </w:rPr>
      </w:pPr>
      <w:r w:rsidRPr="004E2708">
        <w:rPr>
          <w:b/>
          <w:bCs/>
        </w:rPr>
        <w:t>§ 2</w:t>
      </w:r>
      <w:r>
        <w:rPr>
          <w:b/>
          <w:bCs/>
        </w:rPr>
        <w:t>4</w:t>
      </w:r>
      <w:r w:rsidRPr="004E2708">
        <w:rPr>
          <w:b/>
          <w:bCs/>
        </w:rPr>
        <w:t>. Finantskorrektsioonide tegemine ja toetuse tagastamine</w:t>
      </w:r>
    </w:p>
    <w:p w14:paraId="09BAF698" w14:textId="77777777" w:rsidR="007F7147" w:rsidRPr="004E2708" w:rsidRDefault="007F7147" w:rsidP="007F7147">
      <w:pPr>
        <w:pStyle w:val="Tekst"/>
      </w:pPr>
    </w:p>
    <w:p w14:paraId="6492EB93" w14:textId="77777777" w:rsidR="007F7147" w:rsidRPr="004E2708" w:rsidRDefault="007F7147" w:rsidP="007F7147">
      <w:pPr>
        <w:pStyle w:val="Tekst"/>
      </w:pPr>
      <w:r w:rsidRPr="004E2708">
        <w:t xml:space="preserve">(1) </w:t>
      </w:r>
      <w:r>
        <w:t xml:space="preserve">Finantskorrektsioon tehakse ja toetus tagastatakse </w:t>
      </w:r>
      <w:r w:rsidRPr="004E2708">
        <w:t>vastavalt ÜSS2021_2027 §-dele 28–30 ja ühendmääruse §-dele 34–38.</w:t>
      </w:r>
    </w:p>
    <w:p w14:paraId="736455BE" w14:textId="77777777" w:rsidR="007F7147" w:rsidRPr="004E2708" w:rsidRDefault="007F7147" w:rsidP="007F7147">
      <w:pPr>
        <w:pStyle w:val="Tekst"/>
      </w:pPr>
    </w:p>
    <w:p w14:paraId="6B3A5714" w14:textId="77777777" w:rsidR="007F7147" w:rsidRPr="004E2708" w:rsidRDefault="007F7147" w:rsidP="007F7147">
      <w:pPr>
        <w:pStyle w:val="Tekst"/>
      </w:pPr>
      <w:r w:rsidRPr="004E2708">
        <w:t xml:space="preserve">(2) </w:t>
      </w:r>
      <w:r>
        <w:t xml:space="preserve">Kui </w:t>
      </w:r>
      <w:r w:rsidRPr="004E2708">
        <w:t xml:space="preserve">vähese tähtsusega </w:t>
      </w:r>
      <w:r>
        <w:t>abi on antud e</w:t>
      </w:r>
      <w:r w:rsidRPr="004E2708">
        <w:t>baseadusliku</w:t>
      </w:r>
      <w:r>
        <w:t>lt</w:t>
      </w:r>
      <w:r w:rsidRPr="004E2708">
        <w:t xml:space="preserve">, </w:t>
      </w:r>
      <w:r>
        <w:t xml:space="preserve">seda on </w:t>
      </w:r>
      <w:r w:rsidRPr="004E2708">
        <w:t xml:space="preserve">väärkasutatud või </w:t>
      </w:r>
      <w:r>
        <w:t xml:space="preserve">see on </w:t>
      </w:r>
      <w:proofErr w:type="spellStart"/>
      <w:r w:rsidRPr="004E2708">
        <w:t>ühisturuga</w:t>
      </w:r>
      <w:proofErr w:type="spellEnd"/>
      <w:r w:rsidRPr="004E2708">
        <w:t xml:space="preserve"> kokkusobimatu</w:t>
      </w:r>
      <w:r>
        <w:t>,</w:t>
      </w:r>
      <w:r w:rsidRPr="004E2708">
        <w:t xml:space="preserve"> võib toetuse tagasinõudmise otsuse teha kümne aasta jooksul pärast toetuse saajale toetuse eraldamist</w:t>
      </w:r>
      <w:r>
        <w:t>. T</w:t>
      </w:r>
      <w:r w:rsidRPr="004E2708">
        <w:t>agasinõudmisel järgitakse konkurentsiseaduse §-s 42 sätestatut.</w:t>
      </w:r>
    </w:p>
    <w:p w14:paraId="382B7A40" w14:textId="77777777" w:rsidR="007F7147" w:rsidRPr="004E2708" w:rsidRDefault="007F7147" w:rsidP="007F7147">
      <w:pPr>
        <w:pStyle w:val="Tekst"/>
      </w:pPr>
    </w:p>
    <w:p w14:paraId="76FDB6F3" w14:textId="77777777" w:rsidR="007F7147" w:rsidRPr="004E2708" w:rsidRDefault="007F7147" w:rsidP="007F7147">
      <w:pPr>
        <w:pStyle w:val="Tekst"/>
        <w:rPr>
          <w:b/>
          <w:bCs/>
        </w:rPr>
      </w:pPr>
      <w:r w:rsidRPr="004E2708">
        <w:rPr>
          <w:b/>
          <w:bCs/>
        </w:rPr>
        <w:lastRenderedPageBreak/>
        <w:t>§ 2</w:t>
      </w:r>
      <w:r>
        <w:rPr>
          <w:b/>
          <w:bCs/>
        </w:rPr>
        <w:t>5</w:t>
      </w:r>
      <w:r w:rsidRPr="004E2708">
        <w:rPr>
          <w:b/>
          <w:bCs/>
        </w:rPr>
        <w:t>. Vaide esitamine ja menetlemine</w:t>
      </w:r>
    </w:p>
    <w:p w14:paraId="7E606FFA" w14:textId="77777777" w:rsidR="007F7147" w:rsidRPr="004E2708" w:rsidRDefault="007F7147" w:rsidP="007F7147">
      <w:pPr>
        <w:pStyle w:val="Tekst"/>
      </w:pPr>
    </w:p>
    <w:p w14:paraId="54B4B2A5" w14:textId="77777777" w:rsidR="007F7147" w:rsidRDefault="007F7147" w:rsidP="007F7147">
      <w:pPr>
        <w:pStyle w:val="Tekst"/>
      </w:pPr>
      <w:r>
        <w:t xml:space="preserve">(1) </w:t>
      </w:r>
      <w:r w:rsidRPr="004E2708">
        <w:t xml:space="preserve">Rakendusüksuse toimingu või otsuse peale esitatakse enne halduskohtule kaebuse esitamist vaie rakendusüksusele vastavalt ÜSS2021_2027 §-le 31. </w:t>
      </w:r>
    </w:p>
    <w:p w14:paraId="33364247" w14:textId="77777777" w:rsidR="007F7147" w:rsidRDefault="007F7147" w:rsidP="007F7147">
      <w:pPr>
        <w:pStyle w:val="Tekst"/>
      </w:pPr>
    </w:p>
    <w:p w14:paraId="43996B92" w14:textId="77777777" w:rsidR="007F7147" w:rsidRPr="004E2708" w:rsidRDefault="007F7147" w:rsidP="007F7147">
      <w:pPr>
        <w:pStyle w:val="Tekst"/>
      </w:pPr>
      <w:r>
        <w:t xml:space="preserve">(2) </w:t>
      </w:r>
      <w:r w:rsidRPr="004E2708">
        <w:t>Vaide lahendab rakendusüksus haldusmenetluse seaduses sätestatud korras.</w:t>
      </w:r>
    </w:p>
    <w:p w14:paraId="03AB76C0" w14:textId="77777777" w:rsidR="00FA1020" w:rsidRDefault="00FA1020" w:rsidP="00FA1020">
      <w:pPr>
        <w:pStyle w:val="allikirjastajanimi"/>
        <w:tabs>
          <w:tab w:val="left" w:pos="5387"/>
        </w:tabs>
        <w:spacing w:before="960"/>
      </w:pPr>
      <w:r>
        <w:t>(allkirjastatud digitaalselt)</w:t>
      </w:r>
    </w:p>
    <w:p w14:paraId="03AB76C1" w14:textId="74B40994" w:rsidR="00FA1020" w:rsidRDefault="00FA1020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6A34CC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6A34CC">
        <w:rPr>
          <w:lang w:eastAsia="en-US" w:bidi="ar-SA"/>
        </w:rPr>
        <w:t xml:space="preserve">Erkki </w:t>
      </w:r>
      <w:proofErr w:type="spellStart"/>
      <w:r w:rsidR="006A34CC">
        <w:rPr>
          <w:lang w:eastAsia="en-US" w:bidi="ar-SA"/>
        </w:rPr>
        <w:t>Keldo</w:t>
      </w:r>
      <w:proofErr w:type="spellEnd"/>
      <w:r>
        <w:rPr>
          <w:lang w:eastAsia="en-US" w:bidi="ar-SA"/>
        </w:rPr>
        <w:fldChar w:fldCharType="end"/>
      </w:r>
    </w:p>
    <w:p w14:paraId="03AB76C2" w14:textId="705A2BD0" w:rsidR="00FA1020" w:rsidRDefault="00FA1020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6A34CC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6A34CC">
        <w:rPr>
          <w:lang w:eastAsia="en-US" w:bidi="ar-SA"/>
        </w:rPr>
        <w:t>majandus- ja tööstusminister</w:t>
      </w:r>
      <w:r>
        <w:rPr>
          <w:lang w:eastAsia="en-US" w:bidi="ar-SA"/>
        </w:rPr>
        <w:fldChar w:fldCharType="end"/>
      </w:r>
    </w:p>
    <w:p w14:paraId="03AB76C3" w14:textId="77777777" w:rsidR="009C4A9A" w:rsidRDefault="009C4A9A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p w14:paraId="03AB76C5" w14:textId="77777777" w:rsidR="00257A47" w:rsidRDefault="00257A47" w:rsidP="00257A47">
      <w:pPr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03AB76C6" w14:textId="428F5363" w:rsidR="00257A47" w:rsidRDefault="00257A47" w:rsidP="00257A47">
      <w:pPr>
        <w:spacing w:after="360"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6A34CC">
        <w:rPr>
          <w:lang w:eastAsia="en-US" w:bidi="ar-SA"/>
        </w:rPr>
        <w:instrText xml:space="preserve"> delta_secondsignerName  \* MERGEFORMAT</w:instrText>
      </w:r>
      <w:r>
        <w:rPr>
          <w:lang w:eastAsia="en-US" w:bidi="ar-SA"/>
        </w:rPr>
        <w:fldChar w:fldCharType="separate"/>
      </w:r>
      <w:r w:rsidR="006A34CC">
        <w:rPr>
          <w:lang w:eastAsia="en-US" w:bidi="ar-SA"/>
        </w:rPr>
        <w:t>Ahti Kuningas</w:t>
      </w:r>
      <w:r>
        <w:rPr>
          <w:lang w:eastAsia="en-US" w:bidi="ar-SA"/>
        </w:rPr>
        <w:fldChar w:fldCharType="end"/>
      </w:r>
      <w:r>
        <w:rPr>
          <w:lang w:eastAsia="en-US" w:bidi="ar-SA"/>
        </w:rPr>
        <w:br/>
      </w:r>
      <w:r>
        <w:rPr>
          <w:lang w:eastAsia="en-US" w:bidi="ar-SA"/>
        </w:rPr>
        <w:fldChar w:fldCharType="begin"/>
      </w:r>
      <w:r w:rsidR="006A34CC">
        <w:rPr>
          <w:lang w:eastAsia="en-US" w:bidi="ar-SA"/>
        </w:rPr>
        <w:instrText xml:space="preserve"> delta_secondsignerJobTitle  \* MERGEFORMAT</w:instrText>
      </w:r>
      <w:r>
        <w:rPr>
          <w:lang w:eastAsia="en-US" w:bidi="ar-SA"/>
        </w:rPr>
        <w:fldChar w:fldCharType="separate"/>
      </w:r>
      <w:r w:rsidR="006A34CC">
        <w:rPr>
          <w:lang w:eastAsia="en-US" w:bidi="ar-SA"/>
        </w:rPr>
        <w:t>kantsler</w:t>
      </w:r>
      <w:r>
        <w:rPr>
          <w:lang w:eastAsia="en-US" w:bidi="ar-SA"/>
        </w:rPr>
        <w:fldChar w:fldCharType="end"/>
      </w:r>
    </w:p>
    <w:p w14:paraId="03AB76C7" w14:textId="77777777" w:rsidR="00257A47" w:rsidRDefault="00257A47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sectPr w:rsidR="00257A47" w:rsidSect="00AC6187">
      <w:headerReference w:type="default" r:id="rId9"/>
      <w:pgSz w:w="11906" w:h="16838" w:code="9"/>
      <w:pgMar w:top="907" w:right="851" w:bottom="1418" w:left="1701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B76CC" w14:textId="77777777" w:rsidR="00BD0540" w:rsidRDefault="00BD0540" w:rsidP="00DF44DF">
      <w:r>
        <w:separator/>
      </w:r>
    </w:p>
  </w:endnote>
  <w:endnote w:type="continuationSeparator" w:id="0">
    <w:p w14:paraId="03AB76CD" w14:textId="77777777" w:rsidR="00BD0540" w:rsidRDefault="00BD0540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B76CA" w14:textId="77777777" w:rsidR="00BD0540" w:rsidRDefault="00BD0540" w:rsidP="00DF44DF">
      <w:r>
        <w:separator/>
      </w:r>
    </w:p>
  </w:footnote>
  <w:footnote w:type="continuationSeparator" w:id="0">
    <w:p w14:paraId="03AB76CB" w14:textId="77777777" w:rsidR="00BD0540" w:rsidRDefault="00BD0540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5053097"/>
      <w:docPartObj>
        <w:docPartGallery w:val="Page Numbers (Top of Page)"/>
        <w:docPartUnique/>
      </w:docPartObj>
    </w:sdtPr>
    <w:sdtEndPr/>
    <w:sdtContent>
      <w:p w14:paraId="03AB76CE" w14:textId="77777777" w:rsidR="00110BCA" w:rsidRDefault="001A69A5" w:rsidP="00110BCA">
        <w:pPr>
          <w:pStyle w:val="Jalus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A34CC">
          <w:rPr>
            <w:noProof/>
          </w:rPr>
          <w:t>1</w:t>
        </w:r>
        <w:r w:rsidR="006A34CC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14:paraId="03AB76CF" w14:textId="77777777" w:rsidR="00110BCA" w:rsidRDefault="00110BC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2882"/>
    <w:multiLevelType w:val="hybridMultilevel"/>
    <w:tmpl w:val="FF2A7FA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0C23"/>
    <w:multiLevelType w:val="hybridMultilevel"/>
    <w:tmpl w:val="829C2CF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4116"/>
    <w:multiLevelType w:val="hybridMultilevel"/>
    <w:tmpl w:val="386E55AA"/>
    <w:lvl w:ilvl="0" w:tplc="C41A92EE">
      <w:start w:val="1"/>
      <w:numFmt w:val="decimal"/>
      <w:lvlText w:val="%1)"/>
      <w:lvlJc w:val="left"/>
      <w:pPr>
        <w:ind w:left="1020" w:hanging="360"/>
      </w:pPr>
    </w:lvl>
    <w:lvl w:ilvl="1" w:tplc="4DCE7156">
      <w:start w:val="1"/>
      <w:numFmt w:val="decimal"/>
      <w:lvlText w:val="%2)"/>
      <w:lvlJc w:val="left"/>
      <w:pPr>
        <w:ind w:left="1020" w:hanging="360"/>
      </w:pPr>
    </w:lvl>
    <w:lvl w:ilvl="2" w:tplc="645A40AE">
      <w:start w:val="1"/>
      <w:numFmt w:val="decimal"/>
      <w:lvlText w:val="%3)"/>
      <w:lvlJc w:val="left"/>
      <w:pPr>
        <w:ind w:left="1020" w:hanging="360"/>
      </w:pPr>
    </w:lvl>
    <w:lvl w:ilvl="3" w:tplc="B642778E">
      <w:start w:val="1"/>
      <w:numFmt w:val="decimal"/>
      <w:lvlText w:val="%4)"/>
      <w:lvlJc w:val="left"/>
      <w:pPr>
        <w:ind w:left="1020" w:hanging="360"/>
      </w:pPr>
    </w:lvl>
    <w:lvl w:ilvl="4" w:tplc="F4D072DA">
      <w:start w:val="1"/>
      <w:numFmt w:val="decimal"/>
      <w:lvlText w:val="%5)"/>
      <w:lvlJc w:val="left"/>
      <w:pPr>
        <w:ind w:left="1020" w:hanging="360"/>
      </w:pPr>
    </w:lvl>
    <w:lvl w:ilvl="5" w:tplc="9014DFEE">
      <w:start w:val="1"/>
      <w:numFmt w:val="decimal"/>
      <w:lvlText w:val="%6)"/>
      <w:lvlJc w:val="left"/>
      <w:pPr>
        <w:ind w:left="1020" w:hanging="360"/>
      </w:pPr>
    </w:lvl>
    <w:lvl w:ilvl="6" w:tplc="4FF25820">
      <w:start w:val="1"/>
      <w:numFmt w:val="decimal"/>
      <w:lvlText w:val="%7)"/>
      <w:lvlJc w:val="left"/>
      <w:pPr>
        <w:ind w:left="1020" w:hanging="360"/>
      </w:pPr>
    </w:lvl>
    <w:lvl w:ilvl="7" w:tplc="52BC9188">
      <w:start w:val="1"/>
      <w:numFmt w:val="decimal"/>
      <w:lvlText w:val="%8)"/>
      <w:lvlJc w:val="left"/>
      <w:pPr>
        <w:ind w:left="1020" w:hanging="360"/>
      </w:pPr>
    </w:lvl>
    <w:lvl w:ilvl="8" w:tplc="B3987F68">
      <w:start w:val="1"/>
      <w:numFmt w:val="decimal"/>
      <w:lvlText w:val="%9)"/>
      <w:lvlJc w:val="left"/>
      <w:pPr>
        <w:ind w:left="1020" w:hanging="360"/>
      </w:pPr>
    </w:lvl>
  </w:abstractNum>
  <w:abstractNum w:abstractNumId="3" w15:restartNumberingAfterBreak="0">
    <w:nsid w:val="02EA6852"/>
    <w:multiLevelType w:val="hybridMultilevel"/>
    <w:tmpl w:val="9C141422"/>
    <w:lvl w:ilvl="0" w:tplc="B47A3B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11F73"/>
    <w:multiLevelType w:val="hybridMultilevel"/>
    <w:tmpl w:val="6BF28ABA"/>
    <w:lvl w:ilvl="0" w:tplc="E2322A32">
      <w:start w:val="1"/>
      <w:numFmt w:val="decimal"/>
      <w:lvlText w:val="(%1)"/>
      <w:lvlJc w:val="left"/>
      <w:pPr>
        <w:ind w:left="0" w:firstLine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631FF"/>
    <w:multiLevelType w:val="hybridMultilevel"/>
    <w:tmpl w:val="DEA6FF4E"/>
    <w:lvl w:ilvl="0" w:tplc="3564B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0793F"/>
    <w:multiLevelType w:val="hybridMultilevel"/>
    <w:tmpl w:val="91F6339E"/>
    <w:lvl w:ilvl="0" w:tplc="6952FA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C55F8"/>
    <w:multiLevelType w:val="hybridMultilevel"/>
    <w:tmpl w:val="45809EDA"/>
    <w:lvl w:ilvl="0" w:tplc="0A12B9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E05E8"/>
    <w:multiLevelType w:val="hybridMultilevel"/>
    <w:tmpl w:val="AF44386C"/>
    <w:lvl w:ilvl="0" w:tplc="3528B0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62EC8"/>
    <w:multiLevelType w:val="hybridMultilevel"/>
    <w:tmpl w:val="09F8B74E"/>
    <w:lvl w:ilvl="0" w:tplc="A83CA84C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Mangal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04F74"/>
    <w:multiLevelType w:val="hybridMultilevel"/>
    <w:tmpl w:val="EE1AE4AC"/>
    <w:lvl w:ilvl="0" w:tplc="042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C40BB"/>
    <w:multiLevelType w:val="hybridMultilevel"/>
    <w:tmpl w:val="D9B0E8F6"/>
    <w:lvl w:ilvl="0" w:tplc="3564B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2072B"/>
    <w:multiLevelType w:val="hybridMultilevel"/>
    <w:tmpl w:val="DD583DFE"/>
    <w:lvl w:ilvl="0" w:tplc="09DA36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529BF"/>
    <w:multiLevelType w:val="hybridMultilevel"/>
    <w:tmpl w:val="926259E8"/>
    <w:lvl w:ilvl="0" w:tplc="573E53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7356F"/>
    <w:multiLevelType w:val="hybridMultilevel"/>
    <w:tmpl w:val="C7DE3586"/>
    <w:lvl w:ilvl="0" w:tplc="EE7235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63229"/>
    <w:multiLevelType w:val="hybridMultilevel"/>
    <w:tmpl w:val="6D5A848A"/>
    <w:lvl w:ilvl="0" w:tplc="56E2AE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B6A8C"/>
    <w:multiLevelType w:val="hybridMultilevel"/>
    <w:tmpl w:val="ED3CCC8C"/>
    <w:lvl w:ilvl="0" w:tplc="6660EA8E">
      <w:start w:val="1"/>
      <w:numFmt w:val="decimal"/>
      <w:lvlText w:val="%1)"/>
      <w:lvlJc w:val="left"/>
      <w:pPr>
        <w:ind w:left="720" w:hanging="360"/>
      </w:pPr>
      <w:rPr>
        <w:rFonts w:cs="Mangal"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504CF"/>
    <w:multiLevelType w:val="hybridMultilevel"/>
    <w:tmpl w:val="6A5A8E9A"/>
    <w:lvl w:ilvl="0" w:tplc="042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67B68"/>
    <w:multiLevelType w:val="hybridMultilevel"/>
    <w:tmpl w:val="B1B280E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0414B"/>
    <w:multiLevelType w:val="hybridMultilevel"/>
    <w:tmpl w:val="33C8C884"/>
    <w:lvl w:ilvl="0" w:tplc="EE4A52AE">
      <w:start w:val="1"/>
      <w:numFmt w:val="decimal"/>
      <w:lvlText w:val="%1."/>
      <w:lvlJc w:val="left"/>
      <w:pPr>
        <w:ind w:left="1020" w:hanging="360"/>
      </w:pPr>
    </w:lvl>
    <w:lvl w:ilvl="1" w:tplc="360A6E96">
      <w:start w:val="1"/>
      <w:numFmt w:val="decimal"/>
      <w:lvlText w:val="%2."/>
      <w:lvlJc w:val="left"/>
      <w:pPr>
        <w:ind w:left="1020" w:hanging="360"/>
      </w:pPr>
    </w:lvl>
    <w:lvl w:ilvl="2" w:tplc="03645546">
      <w:start w:val="1"/>
      <w:numFmt w:val="decimal"/>
      <w:lvlText w:val="%3."/>
      <w:lvlJc w:val="left"/>
      <w:pPr>
        <w:ind w:left="1020" w:hanging="360"/>
      </w:pPr>
    </w:lvl>
    <w:lvl w:ilvl="3" w:tplc="DF401916">
      <w:start w:val="1"/>
      <w:numFmt w:val="decimal"/>
      <w:lvlText w:val="%4."/>
      <w:lvlJc w:val="left"/>
      <w:pPr>
        <w:ind w:left="1020" w:hanging="360"/>
      </w:pPr>
    </w:lvl>
    <w:lvl w:ilvl="4" w:tplc="B5921E0A">
      <w:start w:val="1"/>
      <w:numFmt w:val="decimal"/>
      <w:lvlText w:val="%5."/>
      <w:lvlJc w:val="left"/>
      <w:pPr>
        <w:ind w:left="1020" w:hanging="360"/>
      </w:pPr>
    </w:lvl>
    <w:lvl w:ilvl="5" w:tplc="BCEC53C2">
      <w:start w:val="1"/>
      <w:numFmt w:val="decimal"/>
      <w:lvlText w:val="%6."/>
      <w:lvlJc w:val="left"/>
      <w:pPr>
        <w:ind w:left="1020" w:hanging="360"/>
      </w:pPr>
    </w:lvl>
    <w:lvl w:ilvl="6" w:tplc="CDB4F930">
      <w:start w:val="1"/>
      <w:numFmt w:val="decimal"/>
      <w:lvlText w:val="%7."/>
      <w:lvlJc w:val="left"/>
      <w:pPr>
        <w:ind w:left="1020" w:hanging="360"/>
      </w:pPr>
    </w:lvl>
    <w:lvl w:ilvl="7" w:tplc="29B696A0">
      <w:start w:val="1"/>
      <w:numFmt w:val="decimal"/>
      <w:lvlText w:val="%8."/>
      <w:lvlJc w:val="left"/>
      <w:pPr>
        <w:ind w:left="1020" w:hanging="360"/>
      </w:pPr>
    </w:lvl>
    <w:lvl w:ilvl="8" w:tplc="EA0ECCEC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55F4414A"/>
    <w:multiLevelType w:val="hybridMultilevel"/>
    <w:tmpl w:val="9456136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Mang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8499A"/>
    <w:multiLevelType w:val="hybridMultilevel"/>
    <w:tmpl w:val="916E9994"/>
    <w:lvl w:ilvl="0" w:tplc="96EC5D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53F66"/>
    <w:multiLevelType w:val="hybridMultilevel"/>
    <w:tmpl w:val="900A57D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20D81"/>
    <w:multiLevelType w:val="hybridMultilevel"/>
    <w:tmpl w:val="A282C10E"/>
    <w:lvl w:ilvl="0" w:tplc="CFF47278">
      <w:start w:val="1"/>
      <w:numFmt w:val="decimal"/>
      <w:lvlText w:val="%1."/>
      <w:lvlJc w:val="left"/>
      <w:pPr>
        <w:ind w:left="1020" w:hanging="360"/>
      </w:pPr>
    </w:lvl>
    <w:lvl w:ilvl="1" w:tplc="E38E7FFA">
      <w:start w:val="1"/>
      <w:numFmt w:val="decimal"/>
      <w:lvlText w:val="%2."/>
      <w:lvlJc w:val="left"/>
      <w:pPr>
        <w:ind w:left="1020" w:hanging="360"/>
      </w:pPr>
    </w:lvl>
    <w:lvl w:ilvl="2" w:tplc="F828B14C">
      <w:start w:val="1"/>
      <w:numFmt w:val="decimal"/>
      <w:lvlText w:val="%3."/>
      <w:lvlJc w:val="left"/>
      <w:pPr>
        <w:ind w:left="1020" w:hanging="360"/>
      </w:pPr>
    </w:lvl>
    <w:lvl w:ilvl="3" w:tplc="31502F00">
      <w:start w:val="1"/>
      <w:numFmt w:val="decimal"/>
      <w:lvlText w:val="%4."/>
      <w:lvlJc w:val="left"/>
      <w:pPr>
        <w:ind w:left="1020" w:hanging="360"/>
      </w:pPr>
    </w:lvl>
    <w:lvl w:ilvl="4" w:tplc="981CF614">
      <w:start w:val="1"/>
      <w:numFmt w:val="decimal"/>
      <w:lvlText w:val="%5."/>
      <w:lvlJc w:val="left"/>
      <w:pPr>
        <w:ind w:left="1020" w:hanging="360"/>
      </w:pPr>
    </w:lvl>
    <w:lvl w:ilvl="5" w:tplc="01FC9B24">
      <w:start w:val="1"/>
      <w:numFmt w:val="decimal"/>
      <w:lvlText w:val="%6."/>
      <w:lvlJc w:val="left"/>
      <w:pPr>
        <w:ind w:left="1020" w:hanging="360"/>
      </w:pPr>
    </w:lvl>
    <w:lvl w:ilvl="6" w:tplc="4698A38C">
      <w:start w:val="1"/>
      <w:numFmt w:val="decimal"/>
      <w:lvlText w:val="%7."/>
      <w:lvlJc w:val="left"/>
      <w:pPr>
        <w:ind w:left="1020" w:hanging="360"/>
      </w:pPr>
    </w:lvl>
    <w:lvl w:ilvl="7" w:tplc="C57CB408">
      <w:start w:val="1"/>
      <w:numFmt w:val="decimal"/>
      <w:lvlText w:val="%8."/>
      <w:lvlJc w:val="left"/>
      <w:pPr>
        <w:ind w:left="1020" w:hanging="360"/>
      </w:pPr>
    </w:lvl>
    <w:lvl w:ilvl="8" w:tplc="3FC4ACDA">
      <w:start w:val="1"/>
      <w:numFmt w:val="decimal"/>
      <w:lvlText w:val="%9."/>
      <w:lvlJc w:val="left"/>
      <w:pPr>
        <w:ind w:left="1020" w:hanging="360"/>
      </w:pPr>
    </w:lvl>
  </w:abstractNum>
  <w:abstractNum w:abstractNumId="24" w15:restartNumberingAfterBreak="0">
    <w:nsid w:val="613E5ACD"/>
    <w:multiLevelType w:val="hybridMultilevel"/>
    <w:tmpl w:val="A1E6A654"/>
    <w:lvl w:ilvl="0" w:tplc="E610A41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520E2"/>
    <w:multiLevelType w:val="hybridMultilevel"/>
    <w:tmpl w:val="716A8D9A"/>
    <w:lvl w:ilvl="0" w:tplc="07E8A960">
      <w:start w:val="1"/>
      <w:numFmt w:val="decimal"/>
      <w:lvlText w:val="(%1)"/>
      <w:lvlJc w:val="left"/>
      <w:pPr>
        <w:ind w:left="744" w:hanging="384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94CDE"/>
    <w:multiLevelType w:val="hybridMultilevel"/>
    <w:tmpl w:val="88E67F18"/>
    <w:lvl w:ilvl="0" w:tplc="3564B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13C78"/>
    <w:multiLevelType w:val="hybridMultilevel"/>
    <w:tmpl w:val="8430C4F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A358D8"/>
    <w:multiLevelType w:val="hybridMultilevel"/>
    <w:tmpl w:val="F8601BBE"/>
    <w:lvl w:ilvl="0" w:tplc="87DA17D8">
      <w:start w:val="1"/>
      <w:numFmt w:val="decimal"/>
      <w:lvlText w:val="%1)"/>
      <w:lvlJc w:val="left"/>
      <w:pPr>
        <w:ind w:left="1020" w:hanging="360"/>
      </w:pPr>
    </w:lvl>
    <w:lvl w:ilvl="1" w:tplc="0436EDDE">
      <w:start w:val="1"/>
      <w:numFmt w:val="decimal"/>
      <w:lvlText w:val="%2)"/>
      <w:lvlJc w:val="left"/>
      <w:pPr>
        <w:ind w:left="1020" w:hanging="360"/>
      </w:pPr>
    </w:lvl>
    <w:lvl w:ilvl="2" w:tplc="1D12AEF2">
      <w:start w:val="1"/>
      <w:numFmt w:val="decimal"/>
      <w:lvlText w:val="%3)"/>
      <w:lvlJc w:val="left"/>
      <w:pPr>
        <w:ind w:left="1020" w:hanging="360"/>
      </w:pPr>
    </w:lvl>
    <w:lvl w:ilvl="3" w:tplc="236406C0">
      <w:start w:val="1"/>
      <w:numFmt w:val="decimal"/>
      <w:lvlText w:val="%4)"/>
      <w:lvlJc w:val="left"/>
      <w:pPr>
        <w:ind w:left="1020" w:hanging="360"/>
      </w:pPr>
    </w:lvl>
    <w:lvl w:ilvl="4" w:tplc="4320762C">
      <w:start w:val="1"/>
      <w:numFmt w:val="decimal"/>
      <w:lvlText w:val="%5)"/>
      <w:lvlJc w:val="left"/>
      <w:pPr>
        <w:ind w:left="1020" w:hanging="360"/>
      </w:pPr>
    </w:lvl>
    <w:lvl w:ilvl="5" w:tplc="F74E0C68">
      <w:start w:val="1"/>
      <w:numFmt w:val="decimal"/>
      <w:lvlText w:val="%6)"/>
      <w:lvlJc w:val="left"/>
      <w:pPr>
        <w:ind w:left="1020" w:hanging="360"/>
      </w:pPr>
    </w:lvl>
    <w:lvl w:ilvl="6" w:tplc="5D7A73E2">
      <w:start w:val="1"/>
      <w:numFmt w:val="decimal"/>
      <w:lvlText w:val="%7)"/>
      <w:lvlJc w:val="left"/>
      <w:pPr>
        <w:ind w:left="1020" w:hanging="360"/>
      </w:pPr>
    </w:lvl>
    <w:lvl w:ilvl="7" w:tplc="3DC4DB8C">
      <w:start w:val="1"/>
      <w:numFmt w:val="decimal"/>
      <w:lvlText w:val="%8)"/>
      <w:lvlJc w:val="left"/>
      <w:pPr>
        <w:ind w:left="1020" w:hanging="360"/>
      </w:pPr>
    </w:lvl>
    <w:lvl w:ilvl="8" w:tplc="36B8AD34">
      <w:start w:val="1"/>
      <w:numFmt w:val="decimal"/>
      <w:lvlText w:val="%9)"/>
      <w:lvlJc w:val="left"/>
      <w:pPr>
        <w:ind w:left="1020" w:hanging="360"/>
      </w:pPr>
    </w:lvl>
  </w:abstractNum>
  <w:abstractNum w:abstractNumId="29" w15:restartNumberingAfterBreak="0">
    <w:nsid w:val="786A44B8"/>
    <w:multiLevelType w:val="hybridMultilevel"/>
    <w:tmpl w:val="4BAA0C6A"/>
    <w:lvl w:ilvl="0" w:tplc="9F4EF7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56019"/>
    <w:multiLevelType w:val="hybridMultilevel"/>
    <w:tmpl w:val="DF0A2858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9552228">
    <w:abstractNumId w:val="28"/>
  </w:num>
  <w:num w:numId="2" w16cid:durableId="2086226064">
    <w:abstractNumId w:val="9"/>
  </w:num>
  <w:num w:numId="3" w16cid:durableId="982346854">
    <w:abstractNumId w:val="20"/>
  </w:num>
  <w:num w:numId="4" w16cid:durableId="1204754930">
    <w:abstractNumId w:val="22"/>
  </w:num>
  <w:num w:numId="5" w16cid:durableId="1782140655">
    <w:abstractNumId w:val="1"/>
  </w:num>
  <w:num w:numId="6" w16cid:durableId="934553336">
    <w:abstractNumId w:val="14"/>
  </w:num>
  <w:num w:numId="7" w16cid:durableId="1246261543">
    <w:abstractNumId w:val="18"/>
  </w:num>
  <w:num w:numId="8" w16cid:durableId="848569648">
    <w:abstractNumId w:val="25"/>
  </w:num>
  <w:num w:numId="9" w16cid:durableId="766734685">
    <w:abstractNumId w:val="2"/>
  </w:num>
  <w:num w:numId="10" w16cid:durableId="837157036">
    <w:abstractNumId w:val="13"/>
  </w:num>
  <w:num w:numId="11" w16cid:durableId="1657032887">
    <w:abstractNumId w:val="29"/>
  </w:num>
  <w:num w:numId="12" w16cid:durableId="1637489309">
    <w:abstractNumId w:val="21"/>
  </w:num>
  <w:num w:numId="13" w16cid:durableId="637029939">
    <w:abstractNumId w:val="12"/>
  </w:num>
  <w:num w:numId="14" w16cid:durableId="1388139481">
    <w:abstractNumId w:val="24"/>
  </w:num>
  <w:num w:numId="15" w16cid:durableId="1580216263">
    <w:abstractNumId w:val="8"/>
  </w:num>
  <w:num w:numId="16" w16cid:durableId="1102646896">
    <w:abstractNumId w:val="19"/>
  </w:num>
  <w:num w:numId="17" w16cid:durableId="1579049746">
    <w:abstractNumId w:val="23"/>
  </w:num>
  <w:num w:numId="18" w16cid:durableId="232666954">
    <w:abstractNumId w:val="16"/>
  </w:num>
  <w:num w:numId="19" w16cid:durableId="170612275">
    <w:abstractNumId w:val="6"/>
  </w:num>
  <w:num w:numId="20" w16cid:durableId="1736705496">
    <w:abstractNumId w:val="30"/>
  </w:num>
  <w:num w:numId="21" w16cid:durableId="922370533">
    <w:abstractNumId w:val="7"/>
  </w:num>
  <w:num w:numId="22" w16cid:durableId="1339892515">
    <w:abstractNumId w:val="11"/>
  </w:num>
  <w:num w:numId="23" w16cid:durableId="922571564">
    <w:abstractNumId w:val="0"/>
  </w:num>
  <w:num w:numId="24" w16cid:durableId="137766219">
    <w:abstractNumId w:val="17"/>
  </w:num>
  <w:num w:numId="25" w16cid:durableId="1758938990">
    <w:abstractNumId w:val="27"/>
  </w:num>
  <w:num w:numId="26" w16cid:durableId="536429878">
    <w:abstractNumId w:val="4"/>
  </w:num>
  <w:num w:numId="27" w16cid:durableId="754322621">
    <w:abstractNumId w:val="26"/>
  </w:num>
  <w:num w:numId="28" w16cid:durableId="239103062">
    <w:abstractNumId w:val="5"/>
  </w:num>
  <w:num w:numId="29" w16cid:durableId="1311401518">
    <w:abstractNumId w:val="10"/>
  </w:num>
  <w:num w:numId="30" w16cid:durableId="932469581">
    <w:abstractNumId w:val="15"/>
  </w:num>
  <w:num w:numId="31" w16cid:durableId="1557819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540"/>
    <w:rsid w:val="000004A5"/>
    <w:rsid w:val="00000B36"/>
    <w:rsid w:val="0001184D"/>
    <w:rsid w:val="00021CAF"/>
    <w:rsid w:val="000449B8"/>
    <w:rsid w:val="0004665A"/>
    <w:rsid w:val="00056770"/>
    <w:rsid w:val="000601BC"/>
    <w:rsid w:val="00060947"/>
    <w:rsid w:val="00073127"/>
    <w:rsid w:val="00074D65"/>
    <w:rsid w:val="00075585"/>
    <w:rsid w:val="000913FC"/>
    <w:rsid w:val="000A7022"/>
    <w:rsid w:val="000B109D"/>
    <w:rsid w:val="000C00BA"/>
    <w:rsid w:val="000C5F14"/>
    <w:rsid w:val="000D55CC"/>
    <w:rsid w:val="000E4F8D"/>
    <w:rsid w:val="0010252D"/>
    <w:rsid w:val="00110BCA"/>
    <w:rsid w:val="00124999"/>
    <w:rsid w:val="00135558"/>
    <w:rsid w:val="0014360B"/>
    <w:rsid w:val="0014655A"/>
    <w:rsid w:val="00150994"/>
    <w:rsid w:val="001536D8"/>
    <w:rsid w:val="001673C9"/>
    <w:rsid w:val="0018705B"/>
    <w:rsid w:val="001966AD"/>
    <w:rsid w:val="00197758"/>
    <w:rsid w:val="001A69A5"/>
    <w:rsid w:val="001A7D04"/>
    <w:rsid w:val="001B2227"/>
    <w:rsid w:val="001C1892"/>
    <w:rsid w:val="001C53BD"/>
    <w:rsid w:val="001D179F"/>
    <w:rsid w:val="001D4CFB"/>
    <w:rsid w:val="001E03FC"/>
    <w:rsid w:val="002008A2"/>
    <w:rsid w:val="002008F8"/>
    <w:rsid w:val="00202979"/>
    <w:rsid w:val="0022269C"/>
    <w:rsid w:val="002331E0"/>
    <w:rsid w:val="002350CE"/>
    <w:rsid w:val="002353A1"/>
    <w:rsid w:val="00257A47"/>
    <w:rsid w:val="0026456A"/>
    <w:rsid w:val="002667AE"/>
    <w:rsid w:val="00274375"/>
    <w:rsid w:val="00282364"/>
    <w:rsid w:val="002835BB"/>
    <w:rsid w:val="00290FE6"/>
    <w:rsid w:val="00293449"/>
    <w:rsid w:val="002A1076"/>
    <w:rsid w:val="002B45A6"/>
    <w:rsid w:val="002B45C6"/>
    <w:rsid w:val="002C6827"/>
    <w:rsid w:val="002C6858"/>
    <w:rsid w:val="002D1878"/>
    <w:rsid w:val="002F0072"/>
    <w:rsid w:val="002F254F"/>
    <w:rsid w:val="00302585"/>
    <w:rsid w:val="003063D2"/>
    <w:rsid w:val="00315C0D"/>
    <w:rsid w:val="003213C8"/>
    <w:rsid w:val="003345F4"/>
    <w:rsid w:val="003357D5"/>
    <w:rsid w:val="003400D1"/>
    <w:rsid w:val="0034415E"/>
    <w:rsid w:val="0035249D"/>
    <w:rsid w:val="00354059"/>
    <w:rsid w:val="00361826"/>
    <w:rsid w:val="003642B9"/>
    <w:rsid w:val="00366098"/>
    <w:rsid w:val="00373E28"/>
    <w:rsid w:val="00386843"/>
    <w:rsid w:val="003869AB"/>
    <w:rsid w:val="00392A07"/>
    <w:rsid w:val="00394DCB"/>
    <w:rsid w:val="003B2A9C"/>
    <w:rsid w:val="003B4D7F"/>
    <w:rsid w:val="003C2CA3"/>
    <w:rsid w:val="003D29C8"/>
    <w:rsid w:val="003E2635"/>
    <w:rsid w:val="003F7E17"/>
    <w:rsid w:val="0041708A"/>
    <w:rsid w:val="0043060F"/>
    <w:rsid w:val="00433030"/>
    <w:rsid w:val="00435A13"/>
    <w:rsid w:val="0044084D"/>
    <w:rsid w:val="004579AC"/>
    <w:rsid w:val="0047547D"/>
    <w:rsid w:val="00487EF1"/>
    <w:rsid w:val="00492A87"/>
    <w:rsid w:val="00493460"/>
    <w:rsid w:val="00497714"/>
    <w:rsid w:val="004A3512"/>
    <w:rsid w:val="004B03E3"/>
    <w:rsid w:val="004B5C9C"/>
    <w:rsid w:val="004C1391"/>
    <w:rsid w:val="004C3C7F"/>
    <w:rsid w:val="004C67C2"/>
    <w:rsid w:val="004C7C05"/>
    <w:rsid w:val="004F69A2"/>
    <w:rsid w:val="0050252A"/>
    <w:rsid w:val="00504089"/>
    <w:rsid w:val="00505F9E"/>
    <w:rsid w:val="00506BA2"/>
    <w:rsid w:val="00520E9A"/>
    <w:rsid w:val="00523A36"/>
    <w:rsid w:val="00541672"/>
    <w:rsid w:val="00546204"/>
    <w:rsid w:val="00551E24"/>
    <w:rsid w:val="00553870"/>
    <w:rsid w:val="00557534"/>
    <w:rsid w:val="00560A92"/>
    <w:rsid w:val="00560D41"/>
    <w:rsid w:val="0056160C"/>
    <w:rsid w:val="00564569"/>
    <w:rsid w:val="00566D45"/>
    <w:rsid w:val="00573FBA"/>
    <w:rsid w:val="005957E6"/>
    <w:rsid w:val="005A4A89"/>
    <w:rsid w:val="005B55FC"/>
    <w:rsid w:val="005B5CE1"/>
    <w:rsid w:val="005C63F7"/>
    <w:rsid w:val="005C646A"/>
    <w:rsid w:val="005D4880"/>
    <w:rsid w:val="005E3AED"/>
    <w:rsid w:val="005E3CBD"/>
    <w:rsid w:val="005E45BB"/>
    <w:rsid w:val="00602834"/>
    <w:rsid w:val="00602E25"/>
    <w:rsid w:val="0060510D"/>
    <w:rsid w:val="00605699"/>
    <w:rsid w:val="00611930"/>
    <w:rsid w:val="00636344"/>
    <w:rsid w:val="00653BC1"/>
    <w:rsid w:val="00660565"/>
    <w:rsid w:val="00661D86"/>
    <w:rsid w:val="00680609"/>
    <w:rsid w:val="00695757"/>
    <w:rsid w:val="006A34CC"/>
    <w:rsid w:val="006C67D2"/>
    <w:rsid w:val="006E16BD"/>
    <w:rsid w:val="006E35A3"/>
    <w:rsid w:val="006F3BB9"/>
    <w:rsid w:val="006F3E1A"/>
    <w:rsid w:val="006F72D7"/>
    <w:rsid w:val="007056E1"/>
    <w:rsid w:val="00713327"/>
    <w:rsid w:val="00714DAC"/>
    <w:rsid w:val="007219B5"/>
    <w:rsid w:val="00726795"/>
    <w:rsid w:val="0073093F"/>
    <w:rsid w:val="0074013D"/>
    <w:rsid w:val="0075223A"/>
    <w:rsid w:val="0075586A"/>
    <w:rsid w:val="0075695A"/>
    <w:rsid w:val="0076054B"/>
    <w:rsid w:val="00760CAD"/>
    <w:rsid w:val="0076492D"/>
    <w:rsid w:val="0076738F"/>
    <w:rsid w:val="007759BC"/>
    <w:rsid w:val="00782DF6"/>
    <w:rsid w:val="00790BB2"/>
    <w:rsid w:val="00793A3C"/>
    <w:rsid w:val="007A1DE8"/>
    <w:rsid w:val="007A2853"/>
    <w:rsid w:val="007A4337"/>
    <w:rsid w:val="007B2983"/>
    <w:rsid w:val="007C7692"/>
    <w:rsid w:val="007D0F95"/>
    <w:rsid w:val="007D54FC"/>
    <w:rsid w:val="007D5631"/>
    <w:rsid w:val="007E37B7"/>
    <w:rsid w:val="007E3A34"/>
    <w:rsid w:val="007E5F84"/>
    <w:rsid w:val="007E666B"/>
    <w:rsid w:val="007F2025"/>
    <w:rsid w:val="007F55B0"/>
    <w:rsid w:val="007F7147"/>
    <w:rsid w:val="00803211"/>
    <w:rsid w:val="00807DE8"/>
    <w:rsid w:val="0081692B"/>
    <w:rsid w:val="00835858"/>
    <w:rsid w:val="00850D70"/>
    <w:rsid w:val="00887061"/>
    <w:rsid w:val="008919F2"/>
    <w:rsid w:val="008954E1"/>
    <w:rsid w:val="0089608A"/>
    <w:rsid w:val="008B36AE"/>
    <w:rsid w:val="008C3F63"/>
    <w:rsid w:val="008D4634"/>
    <w:rsid w:val="008E0C31"/>
    <w:rsid w:val="008E6BDF"/>
    <w:rsid w:val="008F0B50"/>
    <w:rsid w:val="008F22EA"/>
    <w:rsid w:val="00914B2C"/>
    <w:rsid w:val="00916675"/>
    <w:rsid w:val="0091786B"/>
    <w:rsid w:val="009232FE"/>
    <w:rsid w:val="00925DE0"/>
    <w:rsid w:val="00926C7C"/>
    <w:rsid w:val="00927988"/>
    <w:rsid w:val="00932CDE"/>
    <w:rsid w:val="009370A4"/>
    <w:rsid w:val="009373A3"/>
    <w:rsid w:val="009562AB"/>
    <w:rsid w:val="0095648E"/>
    <w:rsid w:val="009644B1"/>
    <w:rsid w:val="009668E9"/>
    <w:rsid w:val="009709A8"/>
    <w:rsid w:val="00974C37"/>
    <w:rsid w:val="00974F29"/>
    <w:rsid w:val="00986BA8"/>
    <w:rsid w:val="009875CE"/>
    <w:rsid w:val="009927C2"/>
    <w:rsid w:val="00996E9F"/>
    <w:rsid w:val="009A51E8"/>
    <w:rsid w:val="009B6216"/>
    <w:rsid w:val="009B6473"/>
    <w:rsid w:val="009C4920"/>
    <w:rsid w:val="009C4A9A"/>
    <w:rsid w:val="009E0CC0"/>
    <w:rsid w:val="009E13F2"/>
    <w:rsid w:val="009E7F4A"/>
    <w:rsid w:val="00A01351"/>
    <w:rsid w:val="00A01AC9"/>
    <w:rsid w:val="00A05466"/>
    <w:rsid w:val="00A10E66"/>
    <w:rsid w:val="00A1236C"/>
    <w:rsid w:val="00A1244E"/>
    <w:rsid w:val="00A221AC"/>
    <w:rsid w:val="00A22D60"/>
    <w:rsid w:val="00A25310"/>
    <w:rsid w:val="00A5153F"/>
    <w:rsid w:val="00A66B2E"/>
    <w:rsid w:val="00A82FDA"/>
    <w:rsid w:val="00A90873"/>
    <w:rsid w:val="00A95C40"/>
    <w:rsid w:val="00AC2E64"/>
    <w:rsid w:val="00AC3476"/>
    <w:rsid w:val="00AC6187"/>
    <w:rsid w:val="00AD1282"/>
    <w:rsid w:val="00AD2EA7"/>
    <w:rsid w:val="00AD32C2"/>
    <w:rsid w:val="00AF338B"/>
    <w:rsid w:val="00B04C9D"/>
    <w:rsid w:val="00B210A8"/>
    <w:rsid w:val="00B22331"/>
    <w:rsid w:val="00B358EA"/>
    <w:rsid w:val="00B45B81"/>
    <w:rsid w:val="00B47B5F"/>
    <w:rsid w:val="00B65E2E"/>
    <w:rsid w:val="00B703FB"/>
    <w:rsid w:val="00BA16DC"/>
    <w:rsid w:val="00BA3849"/>
    <w:rsid w:val="00BB0773"/>
    <w:rsid w:val="00BB6DE7"/>
    <w:rsid w:val="00BC1A62"/>
    <w:rsid w:val="00BD0540"/>
    <w:rsid w:val="00BD078E"/>
    <w:rsid w:val="00BD2CAA"/>
    <w:rsid w:val="00BD3CCF"/>
    <w:rsid w:val="00BE5123"/>
    <w:rsid w:val="00BE6394"/>
    <w:rsid w:val="00BE7203"/>
    <w:rsid w:val="00BE7621"/>
    <w:rsid w:val="00BF0334"/>
    <w:rsid w:val="00BF4D7C"/>
    <w:rsid w:val="00C07A02"/>
    <w:rsid w:val="00C1345F"/>
    <w:rsid w:val="00C14AD0"/>
    <w:rsid w:val="00C17185"/>
    <w:rsid w:val="00C20C3B"/>
    <w:rsid w:val="00C24F66"/>
    <w:rsid w:val="00C27B07"/>
    <w:rsid w:val="00C41FC5"/>
    <w:rsid w:val="00C43607"/>
    <w:rsid w:val="00C459AC"/>
    <w:rsid w:val="00C52EB7"/>
    <w:rsid w:val="00C57109"/>
    <w:rsid w:val="00C60BAF"/>
    <w:rsid w:val="00C60CA4"/>
    <w:rsid w:val="00C64D9E"/>
    <w:rsid w:val="00C83346"/>
    <w:rsid w:val="00C90E39"/>
    <w:rsid w:val="00C95D92"/>
    <w:rsid w:val="00C975A2"/>
    <w:rsid w:val="00CA583B"/>
    <w:rsid w:val="00CA5F0B"/>
    <w:rsid w:val="00CA7A10"/>
    <w:rsid w:val="00CB6774"/>
    <w:rsid w:val="00CD7B10"/>
    <w:rsid w:val="00CE0A5D"/>
    <w:rsid w:val="00CE1D08"/>
    <w:rsid w:val="00CE6024"/>
    <w:rsid w:val="00CF2B77"/>
    <w:rsid w:val="00CF4303"/>
    <w:rsid w:val="00D14D96"/>
    <w:rsid w:val="00D20AC9"/>
    <w:rsid w:val="00D320E2"/>
    <w:rsid w:val="00D33C78"/>
    <w:rsid w:val="00D40650"/>
    <w:rsid w:val="00D465D8"/>
    <w:rsid w:val="00D51223"/>
    <w:rsid w:val="00D559F8"/>
    <w:rsid w:val="00D62B49"/>
    <w:rsid w:val="00D637B0"/>
    <w:rsid w:val="00D67D59"/>
    <w:rsid w:val="00D70F17"/>
    <w:rsid w:val="00D8202D"/>
    <w:rsid w:val="00D91F29"/>
    <w:rsid w:val="00D924C1"/>
    <w:rsid w:val="00DA44C3"/>
    <w:rsid w:val="00DB3EA9"/>
    <w:rsid w:val="00DB6E04"/>
    <w:rsid w:val="00DB72E2"/>
    <w:rsid w:val="00DD5535"/>
    <w:rsid w:val="00DD5883"/>
    <w:rsid w:val="00DD7E0A"/>
    <w:rsid w:val="00DE5308"/>
    <w:rsid w:val="00DF06E9"/>
    <w:rsid w:val="00DF0BE1"/>
    <w:rsid w:val="00DF382E"/>
    <w:rsid w:val="00DF44DF"/>
    <w:rsid w:val="00E023F6"/>
    <w:rsid w:val="00E03DBB"/>
    <w:rsid w:val="00E247C7"/>
    <w:rsid w:val="00E24D27"/>
    <w:rsid w:val="00E35735"/>
    <w:rsid w:val="00E420B0"/>
    <w:rsid w:val="00E42A8C"/>
    <w:rsid w:val="00E82F3D"/>
    <w:rsid w:val="00E94B75"/>
    <w:rsid w:val="00EF78B5"/>
    <w:rsid w:val="00F25A4E"/>
    <w:rsid w:val="00F27225"/>
    <w:rsid w:val="00F52F28"/>
    <w:rsid w:val="00F560E8"/>
    <w:rsid w:val="00F61CB3"/>
    <w:rsid w:val="00F61D11"/>
    <w:rsid w:val="00F77D9A"/>
    <w:rsid w:val="00F9645B"/>
    <w:rsid w:val="00FA1020"/>
    <w:rsid w:val="00FB3279"/>
    <w:rsid w:val="00FB7E79"/>
    <w:rsid w:val="00FF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03AB76B1"/>
  <w15:docId w15:val="{A9156877-EFA5-4CB0-BF1C-011E1418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semiHidden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semiHidden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0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8705B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66D45"/>
    <w:pPr>
      <w:spacing w:before="840"/>
      <w:jc w:val="right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Pealkiri1Mrk">
    <w:name w:val="Pealkiri 1 Märk"/>
    <w:basedOn w:val="Liguvaikefont"/>
    <w:link w:val="Pealkiri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allaadveeb">
    <w:name w:val="Normal (Web)"/>
    <w:basedOn w:val="Normaallaad"/>
    <w:uiPriority w:val="99"/>
    <w:semiHidden/>
    <w:unhideWhenUsed/>
    <w:rsid w:val="00B358EA"/>
    <w:rPr>
      <w:rFonts w:cs="Mangal"/>
      <w:szCs w:val="21"/>
    </w:rPr>
  </w:style>
  <w:style w:type="paragraph" w:customStyle="1" w:styleId="allikirjastajanimi">
    <w:name w:val="allikirjastaja:nimi"/>
    <w:basedOn w:val="Normaallaad"/>
    <w:next w:val="Normaallaad"/>
    <w:rsid w:val="0018705B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paragraph" w:styleId="Redaktsioon">
    <w:name w:val="Revision"/>
    <w:hidden/>
    <w:uiPriority w:val="99"/>
    <w:semiHidden/>
    <w:rsid w:val="007F7147"/>
    <w:rPr>
      <w:rFonts w:eastAsia="SimSun" w:cs="Mangal"/>
      <w:kern w:val="1"/>
      <w:sz w:val="24"/>
      <w:szCs w:val="21"/>
      <w:lang w:eastAsia="zh-CN" w:bidi="hi-IN"/>
    </w:rPr>
  </w:style>
  <w:style w:type="character" w:styleId="Kommentaariviide">
    <w:name w:val="annotation reference"/>
    <w:basedOn w:val="Liguvaikefont"/>
    <w:uiPriority w:val="99"/>
    <w:semiHidden/>
    <w:unhideWhenUsed/>
    <w:rsid w:val="007F714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7F7147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7F7147"/>
    <w:rPr>
      <w:rFonts w:eastAsia="SimSun" w:cs="Mangal"/>
      <w:kern w:val="1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F714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F7147"/>
    <w:rPr>
      <w:rFonts w:eastAsia="SimSun" w:cs="Mangal"/>
      <w:b/>
      <w:bCs/>
      <w:kern w:val="1"/>
      <w:szCs w:val="18"/>
      <w:lang w:eastAsia="zh-CN" w:bidi="hi-IN"/>
    </w:rPr>
  </w:style>
  <w:style w:type="paragraph" w:customStyle="1" w:styleId="VahedetaTimes12">
    <w:name w:val="Vahedeta Times 12"/>
    <w:basedOn w:val="Vahedeta"/>
    <w:link w:val="VahedetaTimes12Mrk"/>
    <w:qFormat/>
    <w:rsid w:val="007F7147"/>
    <w:pPr>
      <w:widowControl/>
      <w:suppressAutoHyphens w:val="0"/>
      <w:jc w:val="left"/>
    </w:pPr>
    <w:rPr>
      <w:rFonts w:eastAsia="Calibri" w:cs="Times New Roman"/>
      <w:kern w:val="0"/>
      <w:szCs w:val="24"/>
      <w:lang w:eastAsia="et-EE" w:bidi="ar-SA"/>
    </w:rPr>
  </w:style>
  <w:style w:type="character" w:customStyle="1" w:styleId="VahedetaTimes12Mrk">
    <w:name w:val="Vahedeta Times 12 Märk"/>
    <w:basedOn w:val="Liguvaikefont"/>
    <w:link w:val="VahedetaTimes12"/>
    <w:rsid w:val="007F7147"/>
    <w:rPr>
      <w:rFonts w:eastAsia="Calibri"/>
      <w:sz w:val="24"/>
      <w:szCs w:val="24"/>
    </w:rPr>
  </w:style>
  <w:style w:type="paragraph" w:styleId="Vahedeta">
    <w:name w:val="No Spacing"/>
    <w:uiPriority w:val="1"/>
    <w:qFormat/>
    <w:rsid w:val="007F7147"/>
    <w:pPr>
      <w:widowControl w:val="0"/>
      <w:suppressAutoHyphens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F7147"/>
    <w:rPr>
      <w:color w:val="605E5C"/>
      <w:shd w:val="clear" w:color="auto" w:fill="E1DFDD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B04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FC9CCB1-EAC4-4AF2-AD73-3D0E3C893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3353</Words>
  <Characters>19450</Characters>
  <Application>Microsoft Office Word</Application>
  <DocSecurity>0</DocSecurity>
  <Lines>162</Lines>
  <Paragraphs>45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22758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Majandus- ja Kommunikatsiooniministeerium</dc:creator>
  <cp:lastModifiedBy>Merle Järve - RAM</cp:lastModifiedBy>
  <cp:revision>2</cp:revision>
  <cp:lastPrinted>2014-04-02T13:57:00Z</cp:lastPrinted>
  <dcterms:created xsi:type="dcterms:W3CDTF">2025-06-11T10:02:00Z</dcterms:created>
  <dcterms:modified xsi:type="dcterms:W3CDTF">2025-06-11T10:02:00Z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{ametikoht}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ametikoht}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2025-05-28T12:22:01Z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8fe098d2-428d-4bd4-9803-7195fe96f0e2</vt:lpwstr>
  </property>
  <property fmtid="{D5CDD505-2E9C-101B-9397-08002B2CF9AE}" pid="14" name="MSIP_Label_defa4170-0d19-0005-0004-bc88714345d2_ActionId">
    <vt:lpwstr>261ef46a-2e13-45dc-be27-2f9c0e2a9e93</vt:lpwstr>
  </property>
  <property fmtid="{D5CDD505-2E9C-101B-9397-08002B2CF9AE}" pid="15" name="MSIP_Label_defa4170-0d19-0005-0004-bc88714345d2_ContentBits">
    <vt:lpwstr>0</vt:lpwstr>
  </property>
  <property fmtid="{D5CDD505-2E9C-101B-9397-08002B2CF9AE}" pid="16" name="MSIP_Label_defa4170-0d19-0005-0004-bc88714345d2_Tag">
    <vt:lpwstr>10, 3, 0, 1</vt:lpwstr>
  </property>
</Properties>
</file>