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072" w:type="dxa"/>
        <w:tblLayout w:type="fixed"/>
        <w:tblCellMar>
          <w:left w:w="0" w:type="dxa"/>
          <w:right w:w="0" w:type="dxa"/>
        </w:tblCellMar>
        <w:tblLook w:val="0000" w:firstRow="0" w:lastRow="0" w:firstColumn="0" w:lastColumn="0" w:noHBand="0" w:noVBand="0"/>
      </w:tblPr>
      <w:tblGrid>
        <w:gridCol w:w="5387"/>
        <w:gridCol w:w="3685"/>
      </w:tblGrid>
      <w:tr w:rsidR="00D40650" w14:paraId="79A03C9E" w14:textId="77777777" w:rsidTr="00FB3279">
        <w:trPr>
          <w:trHeight w:val="2353"/>
        </w:trPr>
        <w:tc>
          <w:tcPr>
            <w:tcW w:w="5387" w:type="dxa"/>
            <w:shd w:val="clear" w:color="auto" w:fill="auto"/>
          </w:tcPr>
          <w:p w14:paraId="79A03C9B" w14:textId="77777777" w:rsidR="00D40650" w:rsidRPr="00A10E66" w:rsidRDefault="003B4D7F" w:rsidP="00DF44DF">
            <w:pPr>
              <w:pStyle w:val="TableContents"/>
              <w:rPr>
                <w:b/>
              </w:rPr>
            </w:pPr>
            <w:bookmarkStart w:id="0" w:name="_GoBack"/>
            <w:bookmarkEnd w:id="0"/>
            <w:r>
              <w:rPr>
                <w:b/>
                <w:noProof/>
                <w:lang w:eastAsia="et-EE" w:bidi="ar-SA"/>
              </w:rPr>
              <w:drawing>
                <wp:anchor distT="0" distB="0" distL="114300" distR="114300" simplePos="0" relativeHeight="251658240" behindDoc="0" locked="0" layoutInCell="1" allowOverlap="1" wp14:anchorId="79A03CB2" wp14:editId="79A03CB3">
                  <wp:simplePos x="0" y="0"/>
                  <wp:positionH relativeFrom="page">
                    <wp:posOffset>-864235</wp:posOffset>
                  </wp:positionH>
                  <wp:positionV relativeFrom="page">
                    <wp:posOffset>-144145</wp:posOffset>
                  </wp:positionV>
                  <wp:extent cx="2948400" cy="957600"/>
                  <wp:effectExtent l="0" t="0" r="444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jandusmin_vapp_est_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page">
                    <wp14:pctWidth>0</wp14:pctWidth>
                  </wp14:sizeRelH>
                  <wp14:sizeRelV relativeFrom="page">
                    <wp14:pctHeight>0</wp14:pctHeight>
                  </wp14:sizeRelV>
                </wp:anchor>
              </w:drawing>
            </w:r>
          </w:p>
        </w:tc>
        <w:tc>
          <w:tcPr>
            <w:tcW w:w="3685" w:type="dxa"/>
            <w:shd w:val="clear" w:color="auto" w:fill="auto"/>
          </w:tcPr>
          <w:p w14:paraId="79A03C9C" w14:textId="77777777" w:rsidR="00BC1A62" w:rsidRPr="00BC1A62" w:rsidRDefault="00BC1A62" w:rsidP="0076054B">
            <w:pPr>
              <w:pStyle w:val="AK"/>
              <w:jc w:val="right"/>
            </w:pPr>
          </w:p>
          <w:p w14:paraId="79A03C9D" w14:textId="77777777" w:rsidR="00BC1A62" w:rsidRPr="00BC1A62" w:rsidRDefault="00BC1A62" w:rsidP="0076054B">
            <w:pPr>
              <w:jc w:val="right"/>
            </w:pPr>
          </w:p>
        </w:tc>
      </w:tr>
      <w:tr w:rsidR="0076054B" w:rsidRPr="001D4CFB" w14:paraId="79A03CA3" w14:textId="77777777" w:rsidTr="00FB3279">
        <w:trPr>
          <w:trHeight w:val="1531"/>
        </w:trPr>
        <w:tc>
          <w:tcPr>
            <w:tcW w:w="5387" w:type="dxa"/>
            <w:shd w:val="clear" w:color="auto" w:fill="auto"/>
          </w:tcPr>
          <w:p w14:paraId="79A03C9F" w14:textId="77777777" w:rsidR="0076054B" w:rsidRDefault="00B358EA" w:rsidP="00110BCA">
            <w:pPr>
              <w:pStyle w:val="Liik"/>
            </w:pPr>
            <w:r>
              <w:t>Määrus</w:t>
            </w:r>
          </w:p>
          <w:p w14:paraId="79A03CA0" w14:textId="77777777" w:rsidR="0076054B" w:rsidRPr="006B118C" w:rsidRDefault="0076054B" w:rsidP="007A4337">
            <w:pPr>
              <w:jc w:val="left"/>
            </w:pPr>
          </w:p>
          <w:p w14:paraId="79A03CA1" w14:textId="77777777" w:rsidR="0076054B" w:rsidRPr="006B118C" w:rsidRDefault="0076054B" w:rsidP="007A4337">
            <w:pPr>
              <w:jc w:val="left"/>
            </w:pPr>
          </w:p>
        </w:tc>
        <w:tc>
          <w:tcPr>
            <w:tcW w:w="3685" w:type="dxa"/>
            <w:shd w:val="clear" w:color="auto" w:fill="auto"/>
          </w:tcPr>
          <w:p w14:paraId="79A03CA2" w14:textId="03F75E93" w:rsidR="0076054B" w:rsidRPr="0076054B" w:rsidRDefault="0082268E" w:rsidP="00FB3279">
            <w:pPr>
              <w:pStyle w:val="Kuupev1"/>
              <w:rPr>
                <w:i/>
                <w:iCs/>
              </w:rPr>
            </w:pPr>
            <w:r>
              <w:fldChar w:fldCharType="begin"/>
            </w:r>
            <w:r w:rsidR="008F550B">
              <w:instrText xml:space="preserve"> delta_regDateTime  \* MERGEFORMAT</w:instrText>
            </w:r>
            <w:r>
              <w:fldChar w:fldCharType="separate"/>
            </w:r>
            <w:r w:rsidR="008F550B">
              <w:t>22.06.2023</w:t>
            </w:r>
            <w:r>
              <w:fldChar w:fldCharType="end"/>
            </w:r>
            <w:r w:rsidR="00FB3279">
              <w:t xml:space="preserve">  </w:t>
            </w:r>
            <w:r w:rsidR="001C1892">
              <w:t xml:space="preserve">nr </w:t>
            </w:r>
            <w:r>
              <w:fldChar w:fldCharType="begin"/>
            </w:r>
            <w:r w:rsidR="008F550B">
              <w:instrText xml:space="preserve"> delta_regNumber  \* MERGEFORMAT</w:instrText>
            </w:r>
            <w:r>
              <w:fldChar w:fldCharType="separate"/>
            </w:r>
            <w:r w:rsidR="008F550B">
              <w:t>37</w:t>
            </w:r>
            <w:r>
              <w:fldChar w:fldCharType="end"/>
            </w:r>
          </w:p>
        </w:tc>
      </w:tr>
      <w:tr w:rsidR="00566D45" w:rsidRPr="001D4CFB" w14:paraId="79A03CA6" w14:textId="77777777" w:rsidTr="00FB3279">
        <w:trPr>
          <w:trHeight w:val="624"/>
        </w:trPr>
        <w:tc>
          <w:tcPr>
            <w:tcW w:w="5387" w:type="dxa"/>
            <w:shd w:val="clear" w:color="auto" w:fill="auto"/>
          </w:tcPr>
          <w:p w14:paraId="79A03CA4" w14:textId="2D6CE7F4" w:rsidR="00566D45" w:rsidRDefault="00114C61" w:rsidP="00B358EA">
            <w:pPr>
              <w:pStyle w:val="Pealkiri10"/>
            </w:pPr>
            <w:r>
              <w:fldChar w:fldCharType="begin"/>
            </w:r>
            <w:r>
              <w:instrText xml:space="preserve"> delta_docName  \* MERGEFORMAT</w:instrText>
            </w:r>
            <w:r>
              <w:fldChar w:fldCharType="separate"/>
            </w:r>
            <w:r w:rsidR="008F550B">
              <w:t xml:space="preserve">Ettevõtlus- ja infotehnoloogiaministri 17. augusti 2022. a määruse nr 65 „Ettevõtete </w:t>
            </w:r>
            <w:proofErr w:type="spellStart"/>
            <w:r w:rsidR="008F550B">
              <w:t>digipöörde</w:t>
            </w:r>
            <w:proofErr w:type="spellEnd"/>
            <w:r w:rsidR="008F550B">
              <w:t xml:space="preserve"> toetuse tingimused ja kord“ ja 14. novembri 2022. a määruse nr 91 „Taastekava tootmisettevõtja ärimudeli muutmise toetuse tingimused ja taotlemise kord“ muutmine</w:t>
            </w:r>
            <w:r>
              <w:fldChar w:fldCharType="end"/>
            </w:r>
          </w:p>
        </w:tc>
        <w:tc>
          <w:tcPr>
            <w:tcW w:w="3685" w:type="dxa"/>
            <w:shd w:val="clear" w:color="auto" w:fill="auto"/>
          </w:tcPr>
          <w:p w14:paraId="79A03CA5" w14:textId="77777777" w:rsidR="00566D45" w:rsidRDefault="00566D45" w:rsidP="00566D45"/>
        </w:tc>
      </w:tr>
    </w:tbl>
    <w:p w14:paraId="0B630959" w14:textId="6560F5A0" w:rsidR="006638CD" w:rsidRDefault="006638CD" w:rsidP="006638CD">
      <w:pPr>
        <w:pStyle w:val="allikirjastajanimi"/>
        <w:tabs>
          <w:tab w:val="left" w:pos="5387"/>
        </w:tabs>
        <w:jc w:val="both"/>
        <w:rPr>
          <w:rFonts w:eastAsia="SimSun" w:cs="Mangal"/>
          <w:kern w:val="1"/>
          <w:lang w:eastAsia="zh-CN" w:bidi="hi-IN"/>
        </w:rPr>
      </w:pPr>
      <w:r w:rsidRPr="00810D23">
        <w:rPr>
          <w:rFonts w:eastAsia="SimSun" w:cs="Mangal"/>
          <w:kern w:val="1"/>
          <w:lang w:eastAsia="zh-CN" w:bidi="hi-IN"/>
        </w:rPr>
        <w:t xml:space="preserve">Määrus kehtestatakse </w:t>
      </w:r>
      <w:proofErr w:type="spellStart"/>
      <w:r w:rsidRPr="00810D23">
        <w:rPr>
          <w:rFonts w:eastAsia="SimSun" w:cs="Mangal"/>
          <w:kern w:val="1"/>
          <w:lang w:eastAsia="zh-CN" w:bidi="hi-IN"/>
        </w:rPr>
        <w:t>välissuhtlemisseaduse</w:t>
      </w:r>
      <w:proofErr w:type="spellEnd"/>
      <w:r w:rsidRPr="00810D23">
        <w:rPr>
          <w:rFonts w:eastAsia="SimSun" w:cs="Mangal"/>
          <w:kern w:val="1"/>
          <w:lang w:eastAsia="zh-CN" w:bidi="hi-IN"/>
        </w:rPr>
        <w:t xml:space="preserve"> § 8 lõike 4 ja Vabariigi Valitsuse 29. novembri 2021.</w:t>
      </w:r>
      <w:r w:rsidR="002A60FF">
        <w:rPr>
          <w:rFonts w:eastAsia="SimSun" w:cs="Mangal"/>
          <w:kern w:val="1"/>
          <w:lang w:eastAsia="zh-CN" w:bidi="hi-IN"/>
        </w:rPr>
        <w:t> </w:t>
      </w:r>
      <w:r w:rsidRPr="00810D23">
        <w:rPr>
          <w:rFonts w:eastAsia="SimSun" w:cs="Mangal"/>
          <w:kern w:val="1"/>
          <w:lang w:eastAsia="zh-CN" w:bidi="hi-IN"/>
        </w:rPr>
        <w:t xml:space="preserve">a määruse nr 108 „Taaste- ja vastupidavuskava elluviimise korraldus ja toetuse andmise </w:t>
      </w:r>
      <w:proofErr w:type="spellStart"/>
      <w:r w:rsidRPr="00810D23">
        <w:rPr>
          <w:rFonts w:eastAsia="SimSun" w:cs="Mangal"/>
          <w:kern w:val="1"/>
          <w:lang w:eastAsia="zh-CN" w:bidi="hi-IN"/>
        </w:rPr>
        <w:t>üldtingimused</w:t>
      </w:r>
      <w:proofErr w:type="spellEnd"/>
      <w:r w:rsidRPr="00810D23">
        <w:rPr>
          <w:rFonts w:eastAsia="SimSun" w:cs="Mangal"/>
          <w:kern w:val="1"/>
          <w:lang w:eastAsia="zh-CN" w:bidi="hi-IN"/>
        </w:rPr>
        <w:t xml:space="preserve">“ § 8 lõike 1 alusel. </w:t>
      </w:r>
    </w:p>
    <w:p w14:paraId="16B468FE" w14:textId="77777777" w:rsidR="006638CD" w:rsidRPr="00F4662F" w:rsidRDefault="006638CD" w:rsidP="006638CD"/>
    <w:p w14:paraId="222CA920" w14:textId="77777777" w:rsidR="006638CD" w:rsidRDefault="006638CD" w:rsidP="006638CD">
      <w:pPr>
        <w:spacing w:line="240" w:lineRule="auto"/>
        <w:rPr>
          <w:b/>
          <w:bCs/>
        </w:rPr>
      </w:pPr>
      <w:bookmarkStart w:id="1" w:name="_Hlk137711053"/>
      <w:r w:rsidRPr="00AA6E06">
        <w:rPr>
          <w:b/>
          <w:bCs/>
        </w:rPr>
        <w:t xml:space="preserve">§ 1. Ettevõtlus- ja infotehnoloogiaministri 17. augusti 2022. a määruse nr 65 „Ettevõtete </w:t>
      </w:r>
      <w:proofErr w:type="spellStart"/>
      <w:r w:rsidRPr="00AA6E06">
        <w:rPr>
          <w:b/>
          <w:bCs/>
        </w:rPr>
        <w:t>digipöörde</w:t>
      </w:r>
      <w:proofErr w:type="spellEnd"/>
      <w:r w:rsidRPr="00AA6E06">
        <w:rPr>
          <w:b/>
          <w:bCs/>
        </w:rPr>
        <w:t xml:space="preserve"> toetuse tingimused ja kord“ muutmine </w:t>
      </w:r>
    </w:p>
    <w:p w14:paraId="2660E3BA" w14:textId="77777777" w:rsidR="006638CD" w:rsidRDefault="006638CD" w:rsidP="006638CD">
      <w:pPr>
        <w:spacing w:line="240" w:lineRule="auto"/>
        <w:rPr>
          <w:b/>
          <w:bCs/>
        </w:rPr>
      </w:pPr>
    </w:p>
    <w:p w14:paraId="6E0D2BC3" w14:textId="77777777" w:rsidR="006638CD" w:rsidRPr="00AA6E06" w:rsidRDefault="006638CD" w:rsidP="006638CD">
      <w:pPr>
        <w:spacing w:line="240" w:lineRule="auto"/>
      </w:pPr>
      <w:r w:rsidRPr="00AA6E06">
        <w:t xml:space="preserve">Ettevõtlus- ja infotehnoloogiaministri 17. augusti 2022. a määruses nr 65 „Ettevõtete </w:t>
      </w:r>
      <w:proofErr w:type="spellStart"/>
      <w:r w:rsidRPr="00AA6E06">
        <w:t>digipöörde</w:t>
      </w:r>
      <w:proofErr w:type="spellEnd"/>
      <w:r w:rsidRPr="00AA6E06">
        <w:t xml:space="preserve"> toetuse tingimused ja kord“ tehakse järgmised muudatused:</w:t>
      </w:r>
    </w:p>
    <w:bookmarkEnd w:id="1"/>
    <w:p w14:paraId="0A54C5D7" w14:textId="77777777" w:rsidR="006638CD" w:rsidRDefault="006638CD" w:rsidP="006638CD">
      <w:pPr>
        <w:spacing w:line="240" w:lineRule="auto"/>
      </w:pPr>
    </w:p>
    <w:p w14:paraId="71366F17" w14:textId="77777777" w:rsidR="006638CD" w:rsidRPr="005D0D1E" w:rsidRDefault="006638CD" w:rsidP="006638CD">
      <w:pPr>
        <w:spacing w:line="240" w:lineRule="auto"/>
      </w:pPr>
      <w:r w:rsidRPr="00AA6E06">
        <w:rPr>
          <w:b/>
          <w:bCs/>
        </w:rPr>
        <w:t>1)</w:t>
      </w:r>
      <w:r w:rsidRPr="005D0D1E">
        <w:t xml:space="preserve"> paragrahvi 7 lõige 8 sõnastatakse järgmiselt: </w:t>
      </w:r>
    </w:p>
    <w:p w14:paraId="5050C914" w14:textId="77777777" w:rsidR="006638CD" w:rsidRDefault="006638CD" w:rsidP="006638CD">
      <w:pPr>
        <w:spacing w:line="240" w:lineRule="auto"/>
      </w:pPr>
    </w:p>
    <w:p w14:paraId="463EEAB1" w14:textId="77777777" w:rsidR="006638CD" w:rsidRPr="005D0D1E" w:rsidRDefault="006638CD" w:rsidP="006638CD">
      <w:pPr>
        <w:spacing w:line="240" w:lineRule="auto"/>
      </w:pPr>
      <w:r w:rsidRPr="005D0D1E">
        <w:t>„(8) Toetust ei anta järgmisteks tegevusteks ja nendega seotud varade soetamiseks:</w:t>
      </w:r>
    </w:p>
    <w:p w14:paraId="76BE6DC0" w14:textId="4AA0D34A" w:rsidR="006638CD" w:rsidRPr="005D0D1E" w:rsidRDefault="006638CD" w:rsidP="006638CD">
      <w:pPr>
        <w:spacing w:line="240" w:lineRule="auto"/>
      </w:pPr>
      <w:r w:rsidRPr="005D0D1E">
        <w:t xml:space="preserve">1) fossiilkütustega seotud tegevus ja </w:t>
      </w:r>
      <w:proofErr w:type="spellStart"/>
      <w:r w:rsidRPr="005D0D1E">
        <w:t>allkasutus</w:t>
      </w:r>
      <w:proofErr w:type="spellEnd"/>
      <w:r w:rsidRPr="005D0D1E">
        <w:t xml:space="preserve"> tootmisahela etappides, välja arvatud need elektri- või soojusenergia tootmise ning maagaasi ülekande- ja jaotustaristuga seotud projektid, mis vastavad „ei kahjusta oluliselt” printsiibi Euroopa Komisjoni teatise 2021/C 58/01 „Tehnilised suunised põhimõtte „ei kahjusta oluliselt” kohaldamise kohta taaste</w:t>
      </w:r>
      <w:r>
        <w:t xml:space="preserve"> </w:t>
      </w:r>
      <w:r w:rsidRPr="005D0D1E">
        <w:t>ja vastupidavusrahastu puhul” (ELT C 58, 18.02.2021, lk 1–30) tehniliste suuniste III lisas sätestatud tingimustele;</w:t>
      </w:r>
    </w:p>
    <w:p w14:paraId="02855CB5" w14:textId="10E7FEAD" w:rsidR="006638CD" w:rsidRPr="005D0D1E" w:rsidRDefault="006638CD" w:rsidP="006638CD">
      <w:pPr>
        <w:spacing w:line="240" w:lineRule="auto"/>
      </w:pPr>
      <w:r w:rsidRPr="005D0D1E">
        <w:t>2) Euroopa Liidu heitkogustega kauplemise süsteemi raames toimuv tegevus,</w:t>
      </w:r>
      <w:r w:rsidR="003A00F7">
        <w:t xml:space="preserve"> </w:t>
      </w:r>
      <w:r w:rsidRPr="005D0D1E">
        <w:t>mille prognoositav kasvuhoonegaaside heide ei ole asja</w:t>
      </w:r>
      <w:r w:rsidR="000E513C">
        <w:t>omastest</w:t>
      </w:r>
      <w:r w:rsidRPr="005D0D1E">
        <w:t xml:space="preserve"> võrdlusalustest väiksem;</w:t>
      </w:r>
    </w:p>
    <w:p w14:paraId="51424C44" w14:textId="6B11B8F1" w:rsidR="006638CD" w:rsidRPr="005D0D1E" w:rsidRDefault="006638CD" w:rsidP="006638CD">
      <w:pPr>
        <w:spacing w:line="240" w:lineRule="auto"/>
      </w:pPr>
      <w:r w:rsidRPr="005D0D1E">
        <w:t>3) prügilatega seotud tegevus;</w:t>
      </w:r>
    </w:p>
    <w:p w14:paraId="7774B59A" w14:textId="21F0E545" w:rsidR="006638CD" w:rsidRPr="005D0D1E" w:rsidRDefault="006638CD" w:rsidP="006638CD">
      <w:pPr>
        <w:spacing w:line="240" w:lineRule="auto"/>
      </w:pPr>
      <w:r w:rsidRPr="005D0D1E">
        <w:t xml:space="preserve">4) jäätmepõletustehasega seotud tegevus, välja arvatud juhul, kui tegevus toimub üksnes </w:t>
      </w:r>
      <w:proofErr w:type="spellStart"/>
      <w:r w:rsidRPr="005D0D1E">
        <w:t>ringlussevõetamatuid</w:t>
      </w:r>
      <w:proofErr w:type="spellEnd"/>
      <w:r w:rsidRPr="005D0D1E">
        <w:t xml:space="preserve"> ohtlikke jäätmeid töötlevas jaamas või olemasolevas jaamas ja tegevuse eesmärk on suurendada energiatõhusust, koguda heitgaase ladustamiseks või kasutamiseks või taaskasutada põletustuhas leiduvaid materjale, tingimusel, et tegevus ei suurenda jaama jäätmetöötlusvõimsust ega pikenda jaama kasutusiga;</w:t>
      </w:r>
    </w:p>
    <w:p w14:paraId="5367D12D" w14:textId="31985B50" w:rsidR="006638CD" w:rsidRPr="005D0D1E" w:rsidRDefault="006638CD" w:rsidP="006638CD">
      <w:pPr>
        <w:spacing w:line="240" w:lineRule="auto"/>
      </w:pPr>
      <w:r w:rsidRPr="005D0D1E">
        <w:t xml:space="preserve">5) jäätmete </w:t>
      </w:r>
      <w:proofErr w:type="spellStart"/>
      <w:r w:rsidRPr="005D0D1E">
        <w:t>mehhaanilis</w:t>
      </w:r>
      <w:proofErr w:type="spellEnd"/>
      <w:r w:rsidRPr="005D0D1E">
        <w:t xml:space="preserve">-bioloogilise töötlemise jaamaga seotud tegevus, välja arvatud juhul, kui tegevus toimub olemasolevas </w:t>
      </w:r>
      <w:proofErr w:type="spellStart"/>
      <w:r w:rsidRPr="005D0D1E">
        <w:t>mehhaanilis</w:t>
      </w:r>
      <w:proofErr w:type="spellEnd"/>
      <w:r w:rsidRPr="005D0D1E">
        <w:t xml:space="preserve">-bioloogilise töötlemise jaamas ja tegevuse eesmärk on suurendada energiatõhusust või moderniseerida eraldatud jäätmete </w:t>
      </w:r>
      <w:proofErr w:type="spellStart"/>
      <w:r w:rsidRPr="005D0D1E">
        <w:t>ringlussevõttu</w:t>
      </w:r>
      <w:proofErr w:type="spellEnd"/>
      <w:r w:rsidRPr="005D0D1E">
        <w:t xml:space="preserve"> </w:t>
      </w:r>
      <w:proofErr w:type="spellStart"/>
      <w:r w:rsidRPr="005D0D1E">
        <w:t>biojäätmete</w:t>
      </w:r>
      <w:proofErr w:type="spellEnd"/>
      <w:r w:rsidRPr="005D0D1E">
        <w:t xml:space="preserve"> kompostimiseks või nende anaeroobseks lagundamiseks, tingimusel, et tegevus ei suurenda jaama </w:t>
      </w:r>
      <w:r w:rsidRPr="005D0D1E">
        <w:lastRenderedPageBreak/>
        <w:t>jäätmetöötlusvõimsust ega pikenda jaama kasutusiga;</w:t>
      </w:r>
    </w:p>
    <w:p w14:paraId="50D08B7B" w14:textId="3CF3DE56" w:rsidR="006638CD" w:rsidRPr="005D0D1E" w:rsidRDefault="006638CD" w:rsidP="006638CD">
      <w:pPr>
        <w:spacing w:line="240" w:lineRule="auto"/>
      </w:pPr>
      <w:r w:rsidRPr="005D0D1E">
        <w:t>6) tegevus, mille korral võib jäätmete pikaajaline kõrvaldamine kahjustada keskkonda.“;</w:t>
      </w:r>
    </w:p>
    <w:p w14:paraId="6B83C93E" w14:textId="77777777" w:rsidR="006638CD" w:rsidRDefault="006638CD" w:rsidP="006638CD">
      <w:pPr>
        <w:spacing w:line="240" w:lineRule="auto"/>
      </w:pPr>
    </w:p>
    <w:p w14:paraId="39CC4E61" w14:textId="77777777" w:rsidR="006638CD" w:rsidRPr="005D0D1E" w:rsidRDefault="006638CD" w:rsidP="006638CD">
      <w:pPr>
        <w:spacing w:line="240" w:lineRule="auto"/>
      </w:pPr>
      <w:r w:rsidRPr="00895D88">
        <w:rPr>
          <w:b/>
          <w:bCs/>
        </w:rPr>
        <w:t>2)</w:t>
      </w:r>
      <w:r w:rsidRPr="005D0D1E">
        <w:t xml:space="preserve"> paragrahvi 11 lõiget 1 täiendatakse punktidega 1¹ ja 1² järgmises sõnastuses: </w:t>
      </w:r>
    </w:p>
    <w:p w14:paraId="6DE7A6A4" w14:textId="77777777" w:rsidR="006638CD" w:rsidRDefault="006638CD" w:rsidP="006638CD">
      <w:pPr>
        <w:spacing w:line="240" w:lineRule="auto"/>
      </w:pPr>
    </w:p>
    <w:p w14:paraId="6AF0E5C0" w14:textId="77777777" w:rsidR="006638CD" w:rsidRPr="005D0D1E" w:rsidRDefault="006638CD" w:rsidP="006638CD">
      <w:pPr>
        <w:spacing w:line="240" w:lineRule="auto"/>
      </w:pPr>
      <w:r w:rsidRPr="005D0D1E">
        <w:t>„1¹) jao B alajagu 05 – kivi- ja pruunsöe kaevandamine;</w:t>
      </w:r>
    </w:p>
    <w:p w14:paraId="36AAE07A" w14:textId="77777777" w:rsidR="006638CD" w:rsidRDefault="006638CD" w:rsidP="006638CD">
      <w:pPr>
        <w:spacing w:line="240" w:lineRule="auto"/>
      </w:pPr>
      <w:r w:rsidRPr="005D0D1E">
        <w:t>1²) jao B alajaod 06 ja 091 – nafta ja maagaasi tootmine ja tootmist abistavad tegevusalad;“;</w:t>
      </w:r>
    </w:p>
    <w:p w14:paraId="5472672F" w14:textId="77777777" w:rsidR="006638CD" w:rsidRPr="005D0D1E" w:rsidRDefault="006638CD" w:rsidP="006638CD">
      <w:pPr>
        <w:spacing w:line="240" w:lineRule="auto"/>
      </w:pPr>
    </w:p>
    <w:p w14:paraId="43ED5F20" w14:textId="77777777" w:rsidR="006638CD" w:rsidRPr="005D0D1E" w:rsidRDefault="006638CD" w:rsidP="006638CD">
      <w:pPr>
        <w:spacing w:line="240" w:lineRule="auto"/>
      </w:pPr>
      <w:r w:rsidRPr="00895D88">
        <w:rPr>
          <w:b/>
          <w:bCs/>
        </w:rPr>
        <w:t>3)</w:t>
      </w:r>
      <w:r w:rsidRPr="005D0D1E">
        <w:t xml:space="preserve"> paragrahvi 12 lõiget 1 täiendatakse punktiga 13 järgmises sõnastuses:</w:t>
      </w:r>
    </w:p>
    <w:p w14:paraId="04671B6E" w14:textId="77777777" w:rsidR="006638CD" w:rsidRDefault="006638CD" w:rsidP="006638CD">
      <w:pPr>
        <w:spacing w:line="240" w:lineRule="auto"/>
      </w:pPr>
    </w:p>
    <w:p w14:paraId="02940569" w14:textId="72A54DA6" w:rsidR="006638CD" w:rsidRPr="005D0D1E" w:rsidRDefault="006638CD" w:rsidP="006638CD">
      <w:pPr>
        <w:spacing w:line="240" w:lineRule="auto"/>
      </w:pPr>
      <w:r w:rsidRPr="005D0D1E">
        <w:t>„13) kinnitus, et toetatav tegevus vastab keskkonnaalastele õigusaktidele.“;</w:t>
      </w:r>
    </w:p>
    <w:p w14:paraId="03A03456" w14:textId="77777777" w:rsidR="006638CD" w:rsidRDefault="006638CD" w:rsidP="006638CD">
      <w:pPr>
        <w:spacing w:line="240" w:lineRule="auto"/>
      </w:pPr>
    </w:p>
    <w:p w14:paraId="34047AA5" w14:textId="77777777" w:rsidR="006638CD" w:rsidRPr="005D0D1E" w:rsidRDefault="006638CD" w:rsidP="006638CD">
      <w:pPr>
        <w:spacing w:line="240" w:lineRule="auto"/>
      </w:pPr>
      <w:r w:rsidRPr="00895D88">
        <w:rPr>
          <w:b/>
          <w:bCs/>
        </w:rPr>
        <w:t>4)</w:t>
      </w:r>
      <w:r w:rsidRPr="005D0D1E">
        <w:t xml:space="preserve"> paragrahvi 12 lõige 4 sõnastatakse järgmiselt:</w:t>
      </w:r>
    </w:p>
    <w:p w14:paraId="2AE1EDA4" w14:textId="77777777" w:rsidR="006638CD" w:rsidRDefault="006638CD" w:rsidP="006638CD">
      <w:pPr>
        <w:spacing w:line="240" w:lineRule="auto"/>
      </w:pPr>
    </w:p>
    <w:p w14:paraId="386671C6" w14:textId="77777777" w:rsidR="006638CD" w:rsidRPr="005D0D1E" w:rsidRDefault="006638CD" w:rsidP="006638CD">
      <w:pPr>
        <w:spacing w:line="240" w:lineRule="auto"/>
      </w:pPr>
      <w:r w:rsidRPr="005D0D1E">
        <w:t>„(4) „Ei kahjusta oluliselt” printsiibile vastavuse hindamisel lähtutakse Euroopa Komisjoni teatisest 2021/C 58/01 ja vahendusasutuse vastavasisulisest juhendist, mis avaldatakse taotlusvooru avamisel vahendusasutuse kodulehel.“;</w:t>
      </w:r>
    </w:p>
    <w:p w14:paraId="4D279C2C" w14:textId="77777777" w:rsidR="006638CD" w:rsidRDefault="006638CD" w:rsidP="006638CD">
      <w:pPr>
        <w:spacing w:line="240" w:lineRule="auto"/>
      </w:pPr>
    </w:p>
    <w:p w14:paraId="039F210D" w14:textId="77777777" w:rsidR="006638CD" w:rsidRPr="005D0D1E" w:rsidRDefault="006638CD" w:rsidP="006638CD">
      <w:pPr>
        <w:spacing w:line="240" w:lineRule="auto"/>
      </w:pPr>
      <w:r w:rsidRPr="00895D88">
        <w:rPr>
          <w:b/>
          <w:bCs/>
        </w:rPr>
        <w:t>5)</w:t>
      </w:r>
      <w:r w:rsidRPr="005D0D1E">
        <w:t xml:space="preserve"> paragrahvi 12 täiendatakse lõigetega 6 ja 7 järgmises sõnastuses:</w:t>
      </w:r>
    </w:p>
    <w:p w14:paraId="0AC393C4" w14:textId="77777777" w:rsidR="006638CD" w:rsidRDefault="006638CD" w:rsidP="006638CD">
      <w:pPr>
        <w:spacing w:line="240" w:lineRule="auto"/>
      </w:pPr>
    </w:p>
    <w:p w14:paraId="0C0887D8" w14:textId="4DC9F985" w:rsidR="006638CD" w:rsidRPr="005D0D1E" w:rsidRDefault="006638CD" w:rsidP="006638CD">
      <w:pPr>
        <w:spacing w:line="240" w:lineRule="auto"/>
      </w:pPr>
      <w:r w:rsidRPr="005D0D1E">
        <w:t xml:space="preserve">„(6) Euroopa Liidu kasvuhoonegaaside lubatud heitkoguse ühikutega kauplemise süsteemi kuuluvate käitiste puhul esitatakse </w:t>
      </w:r>
      <w:r w:rsidRPr="00DE1FDD">
        <w:t>taotluses lisaks järgmine teave:</w:t>
      </w:r>
    </w:p>
    <w:p w14:paraId="3E502171" w14:textId="7ACF9784" w:rsidR="006638CD" w:rsidRPr="005D0D1E" w:rsidRDefault="006638CD" w:rsidP="006638CD">
      <w:pPr>
        <w:spacing w:line="240" w:lineRule="auto"/>
      </w:pPr>
      <w:r w:rsidRPr="005D0D1E">
        <w:t>1) käitise kordumatu tunnus, nimi, asukoht ja käitise tunnuskood või õhusõiduki käitaja tunnus Euroopa Liidu tehingulogis</w:t>
      </w:r>
      <w:r w:rsidR="0056088E">
        <w:t xml:space="preserve"> </w:t>
      </w:r>
      <w:r w:rsidR="0056088E" w:rsidRPr="00BC7E79">
        <w:t>nagu on sätestatud Euroopa Komisjoni määruse (EL) nr 2019/1122, millega täiendatakse Euroopa Parlamendi ja nõukogu direktiivi 2003/87/EÜ seoses liidu registri toimimisega (ELT L 177, 27.07.2019, lk 3–62) artiklis 5</w:t>
      </w:r>
      <w:r w:rsidRPr="005D0D1E">
        <w:t>;</w:t>
      </w:r>
    </w:p>
    <w:p w14:paraId="231FB9D4" w14:textId="77777777" w:rsidR="006638CD" w:rsidRPr="005D0D1E" w:rsidRDefault="006638CD" w:rsidP="006638CD">
      <w:pPr>
        <w:spacing w:line="240" w:lineRule="auto"/>
      </w:pPr>
      <w:r w:rsidRPr="005D0D1E">
        <w:t>2) kasvuhoonegaaside heite prognoositav tase tooteühiku kohta;</w:t>
      </w:r>
    </w:p>
    <w:p w14:paraId="1328C253" w14:textId="77777777" w:rsidR="006638CD" w:rsidRPr="005D0D1E" w:rsidRDefault="006638CD" w:rsidP="006638CD">
      <w:pPr>
        <w:spacing w:line="240" w:lineRule="auto"/>
      </w:pPr>
      <w:r w:rsidRPr="005D0D1E">
        <w:t>3) kasutatud tehnoloogia lühikirjeldus;</w:t>
      </w:r>
    </w:p>
    <w:p w14:paraId="1DB3A87F" w14:textId="77777777" w:rsidR="006638CD" w:rsidRPr="005D0D1E" w:rsidRDefault="006638CD" w:rsidP="006638CD">
      <w:pPr>
        <w:spacing w:line="240" w:lineRule="auto"/>
      </w:pPr>
      <w:r w:rsidRPr="005D0D1E">
        <w:t>4) kui toetatava tegevuse prognoositav kasvuhoonegaaside heide ei ole asjaomasest võrdlusalusest oluliselt madalam tulenevalt komisjoni rakendusmäärusest (EL) 2021/447, millega määratakse vastavalt Euroopa Parlamendi ja nõukogu direktiivi 2003/87/EÜ artikli 10a lõikele 2 kindlaks lubatud heitkoguse ühikute tasuta eraldamisel kasutatavate võrdlusaluste muudetud väärtused ajavahemikuks 2021–2025 (ELT L 87, 15.03.2021, lk 29 –34), esitatakse selgitus põhjuste kohta, miks see ei ole võimalik.</w:t>
      </w:r>
    </w:p>
    <w:p w14:paraId="021D22E7" w14:textId="77777777" w:rsidR="00483BEF" w:rsidRDefault="00483BEF" w:rsidP="006638CD">
      <w:pPr>
        <w:spacing w:line="240" w:lineRule="auto"/>
      </w:pPr>
    </w:p>
    <w:p w14:paraId="1053C869" w14:textId="40C5DF87" w:rsidR="006638CD" w:rsidRPr="005D0D1E" w:rsidRDefault="006638CD" w:rsidP="006638CD">
      <w:pPr>
        <w:spacing w:line="240" w:lineRule="auto"/>
      </w:pPr>
      <w:r w:rsidRPr="005D0D1E">
        <w:t>(7) Toetuse taotlemisel § 7 lõike 8 punktides 4 või 5 sätestatud tingimusel esitatakse koos taotlusega nimetatud tingimuse täitmist tõendavad dokumendid iga jaama kohta eraldi.“;</w:t>
      </w:r>
    </w:p>
    <w:p w14:paraId="793C276D" w14:textId="77777777" w:rsidR="006638CD" w:rsidRDefault="006638CD" w:rsidP="006638CD">
      <w:pPr>
        <w:spacing w:line="240" w:lineRule="auto"/>
      </w:pPr>
    </w:p>
    <w:p w14:paraId="13C18526" w14:textId="77777777" w:rsidR="006638CD" w:rsidRPr="005D0D1E" w:rsidRDefault="006638CD" w:rsidP="006638CD">
      <w:pPr>
        <w:spacing w:line="240" w:lineRule="auto"/>
      </w:pPr>
      <w:r w:rsidRPr="00895D88">
        <w:rPr>
          <w:b/>
          <w:bCs/>
        </w:rPr>
        <w:t>6)</w:t>
      </w:r>
      <w:r w:rsidRPr="005D0D1E">
        <w:t xml:space="preserve"> paragrahvi 17 lõike 1 punkti 1 täiendatakse pärast sõna „arengule“ sõnadega „ja Eesti majandusele“;</w:t>
      </w:r>
    </w:p>
    <w:p w14:paraId="021DC2B9" w14:textId="77777777" w:rsidR="006638CD" w:rsidRDefault="006638CD" w:rsidP="006638CD">
      <w:pPr>
        <w:spacing w:line="240" w:lineRule="auto"/>
      </w:pPr>
    </w:p>
    <w:p w14:paraId="4AC3E45C" w14:textId="7F1D90D6" w:rsidR="006638CD" w:rsidRPr="005D0D1E" w:rsidRDefault="006638CD" w:rsidP="006638CD">
      <w:pPr>
        <w:spacing w:line="240" w:lineRule="auto"/>
      </w:pPr>
      <w:r w:rsidRPr="00895D88">
        <w:rPr>
          <w:b/>
          <w:bCs/>
        </w:rPr>
        <w:t>7)</w:t>
      </w:r>
      <w:r w:rsidRPr="005D0D1E">
        <w:t xml:space="preserve"> paragrahvi 23 lõikes 4 asendatakse sõnad „kuni kahe aasta jooksul projekti lõppemisest arvates“ </w:t>
      </w:r>
      <w:r w:rsidR="00483BEF">
        <w:t>sõnadega</w:t>
      </w:r>
      <w:r w:rsidRPr="005D0D1E">
        <w:t xml:space="preserve"> „hiljem</w:t>
      </w:r>
      <w:r w:rsidR="00A16247">
        <w:t>alt</w:t>
      </w:r>
      <w:r w:rsidRPr="005D0D1E">
        <w:t xml:space="preserve"> 31.</w:t>
      </w:r>
      <w:r w:rsidR="00A16247">
        <w:t xml:space="preserve"> detsembril </w:t>
      </w:r>
      <w:r w:rsidRPr="005D0D1E">
        <w:t>2028. a</w:t>
      </w:r>
      <w:r w:rsidR="000F7A4A">
        <w:t>.</w:t>
      </w:r>
      <w:r w:rsidRPr="005D0D1E">
        <w:t>“;</w:t>
      </w:r>
    </w:p>
    <w:p w14:paraId="581C7D42" w14:textId="77777777" w:rsidR="006638CD" w:rsidRDefault="006638CD" w:rsidP="006638CD">
      <w:pPr>
        <w:spacing w:line="240" w:lineRule="auto"/>
      </w:pPr>
    </w:p>
    <w:p w14:paraId="57FE23AB" w14:textId="77777777" w:rsidR="006638CD" w:rsidRPr="005D0D1E" w:rsidRDefault="006638CD" w:rsidP="006638CD">
      <w:pPr>
        <w:spacing w:line="240" w:lineRule="auto"/>
      </w:pPr>
      <w:r w:rsidRPr="00895D88">
        <w:rPr>
          <w:b/>
          <w:bCs/>
        </w:rPr>
        <w:t>8)</w:t>
      </w:r>
      <w:r w:rsidRPr="005D0D1E">
        <w:t xml:space="preserve"> paragrahvi 26 punkt 14 sõnastatakse järgmiselt:</w:t>
      </w:r>
    </w:p>
    <w:p w14:paraId="4BAB3707" w14:textId="77777777" w:rsidR="006638CD" w:rsidRDefault="006638CD" w:rsidP="006638CD">
      <w:pPr>
        <w:spacing w:line="240" w:lineRule="auto"/>
      </w:pPr>
    </w:p>
    <w:p w14:paraId="026AF491" w14:textId="105C6E5D" w:rsidR="006638CD" w:rsidRPr="005D0D1E" w:rsidRDefault="006638CD" w:rsidP="006638CD">
      <w:pPr>
        <w:spacing w:line="240" w:lineRule="auto"/>
      </w:pPr>
      <w:r w:rsidRPr="005D0D1E">
        <w:t>„14) kooskõlastama vahendusasutusega toetuse eest loodud ja omandatud vara õiguste üleandmise korral üleandmise tingimused ja edasise vastutuse vara sihtotstarbelise kasutamise</w:t>
      </w:r>
      <w:r>
        <w:t xml:space="preserve"> </w:t>
      </w:r>
      <w:r w:rsidRPr="005D0D1E">
        <w:t>eest VKE-st lõppsaaja korral kolme ja</w:t>
      </w:r>
      <w:r>
        <w:t xml:space="preserve"> </w:t>
      </w:r>
      <w:r w:rsidRPr="005D0D1E">
        <w:t>suurettevõtjast lõppsaaja korral viie aasta jooksul projekti lõppemisest;“;</w:t>
      </w:r>
    </w:p>
    <w:p w14:paraId="5C351D2A" w14:textId="53BBE406" w:rsidR="002A60FF" w:rsidRDefault="002A60FF">
      <w:pPr>
        <w:widowControl/>
        <w:suppressAutoHyphens w:val="0"/>
        <w:spacing w:line="240" w:lineRule="auto"/>
        <w:jc w:val="left"/>
      </w:pPr>
      <w:r>
        <w:br w:type="page"/>
      </w:r>
    </w:p>
    <w:p w14:paraId="69B9552E" w14:textId="77777777" w:rsidR="002A60FF" w:rsidRDefault="002A60FF" w:rsidP="006638CD">
      <w:pPr>
        <w:spacing w:line="240" w:lineRule="auto"/>
        <w:rPr>
          <w:b/>
          <w:bCs/>
        </w:rPr>
      </w:pPr>
    </w:p>
    <w:p w14:paraId="7CACC0D4" w14:textId="77777777" w:rsidR="006638CD" w:rsidRPr="005D0D1E" w:rsidRDefault="006638CD" w:rsidP="006638CD">
      <w:pPr>
        <w:spacing w:line="240" w:lineRule="auto"/>
      </w:pPr>
      <w:r w:rsidRPr="00895D88">
        <w:rPr>
          <w:b/>
          <w:bCs/>
        </w:rPr>
        <w:t>9)</w:t>
      </w:r>
      <w:r w:rsidRPr="005D0D1E">
        <w:t xml:space="preserve"> paragrahvi 26 punkt 18 sõnastatakse järgmiselt:</w:t>
      </w:r>
    </w:p>
    <w:p w14:paraId="0A6E7D6E" w14:textId="77777777" w:rsidR="006638CD" w:rsidRDefault="006638CD" w:rsidP="006638CD">
      <w:pPr>
        <w:spacing w:line="240" w:lineRule="auto"/>
      </w:pPr>
    </w:p>
    <w:p w14:paraId="4BCE948A" w14:textId="073C8261" w:rsidR="006638CD" w:rsidRDefault="006638CD" w:rsidP="006638CD">
      <w:pPr>
        <w:spacing w:line="240" w:lineRule="auto"/>
      </w:pPr>
      <w:r w:rsidRPr="005D0D1E">
        <w:t xml:space="preserve">„18) riigihanke puhul seadma riigihanke alusdokumentides tingimuseks, et hankelepingu täitmisel esitab pakkuja omanike ja tegelike kasusaajate nimed ja registri- või isikukoodid, iga </w:t>
      </w:r>
      <w:proofErr w:type="spellStart"/>
      <w:r w:rsidRPr="005D0D1E">
        <w:t>alltöövõtja</w:t>
      </w:r>
      <w:proofErr w:type="spellEnd"/>
      <w:r w:rsidRPr="005D0D1E">
        <w:t xml:space="preserve"> nime, registri- või isikukoodi ning </w:t>
      </w:r>
      <w:proofErr w:type="spellStart"/>
      <w:r w:rsidRPr="005D0D1E">
        <w:t>alltöövõtja</w:t>
      </w:r>
      <w:proofErr w:type="spellEnd"/>
      <w:r w:rsidRPr="005D0D1E">
        <w:t xml:space="preserve"> omanike nime </w:t>
      </w:r>
      <w:r w:rsidR="00DE1FDD">
        <w:t>ja</w:t>
      </w:r>
      <w:r w:rsidR="00DE1FDD" w:rsidRPr="005D0D1E">
        <w:t xml:space="preserve"> </w:t>
      </w:r>
      <w:r w:rsidRPr="005D0D1E">
        <w:t xml:space="preserve">registri- või isikukoodi, ning </w:t>
      </w:r>
      <w:proofErr w:type="spellStart"/>
      <w:r w:rsidRPr="005D0D1E">
        <w:t>alltöövõtulepingu</w:t>
      </w:r>
      <w:proofErr w:type="spellEnd"/>
      <w:r w:rsidRPr="005D0D1E">
        <w:t xml:space="preserve"> nimetuse, kuupäeva, numbri ja summa;“;</w:t>
      </w:r>
    </w:p>
    <w:p w14:paraId="4F255915" w14:textId="77777777" w:rsidR="006638CD" w:rsidRPr="005D0D1E" w:rsidRDefault="006638CD" w:rsidP="006638CD">
      <w:pPr>
        <w:spacing w:line="240" w:lineRule="auto"/>
      </w:pPr>
    </w:p>
    <w:p w14:paraId="66D76A7F" w14:textId="77777777" w:rsidR="006638CD" w:rsidRDefault="006638CD" w:rsidP="006638CD">
      <w:pPr>
        <w:spacing w:line="240" w:lineRule="auto"/>
      </w:pPr>
      <w:r w:rsidRPr="00895D88">
        <w:rPr>
          <w:b/>
          <w:bCs/>
        </w:rPr>
        <w:t>10)</w:t>
      </w:r>
      <w:r w:rsidRPr="005D0D1E">
        <w:t xml:space="preserve"> paragrahvi 28 tekst loetakse lõikeks 1 ja paragrahvi täiendatakse lõikega 2 järgmises sõnastuses:</w:t>
      </w:r>
    </w:p>
    <w:p w14:paraId="711D6B3E" w14:textId="77777777" w:rsidR="006638CD" w:rsidRPr="005D0D1E" w:rsidRDefault="006638CD" w:rsidP="006638CD">
      <w:pPr>
        <w:spacing w:line="240" w:lineRule="auto"/>
      </w:pPr>
    </w:p>
    <w:p w14:paraId="10A812F3" w14:textId="77777777" w:rsidR="006638CD" w:rsidRPr="005D0D1E" w:rsidRDefault="006638CD" w:rsidP="006638CD">
      <w:pPr>
        <w:spacing w:line="240" w:lineRule="auto"/>
      </w:pPr>
      <w:r w:rsidRPr="005D0D1E">
        <w:t>„(2) 2023. aasta juunis jõustunud § 17 lõike 1 punkti 1 muudatust ei kohaldata enne nimetatud muudatuse jõustumist esitatud taotlustele.“.</w:t>
      </w:r>
    </w:p>
    <w:p w14:paraId="1AEBBDA2" w14:textId="77777777" w:rsidR="006638CD" w:rsidRDefault="006638CD" w:rsidP="006638CD">
      <w:pPr>
        <w:spacing w:line="240" w:lineRule="auto"/>
      </w:pPr>
    </w:p>
    <w:p w14:paraId="60D6C305" w14:textId="77777777" w:rsidR="006638CD" w:rsidRDefault="006638CD" w:rsidP="006638CD">
      <w:pPr>
        <w:spacing w:line="240" w:lineRule="auto"/>
        <w:rPr>
          <w:b/>
          <w:bCs/>
        </w:rPr>
      </w:pPr>
      <w:r w:rsidRPr="00895D88">
        <w:rPr>
          <w:b/>
          <w:bCs/>
        </w:rPr>
        <w:t>§ 2. Ettevõtlus- ja infotehnoloogiaministri 14. novembri 2022. a määruse nr 91 „Taastekava tootmisettevõtja ärimudeli muutmise toetuse tingimused ja taotlemise kord“ muutmine</w:t>
      </w:r>
    </w:p>
    <w:p w14:paraId="2A04887C" w14:textId="77777777" w:rsidR="006638CD" w:rsidRPr="00895D88" w:rsidRDefault="006638CD" w:rsidP="006638CD">
      <w:pPr>
        <w:spacing w:line="240" w:lineRule="auto"/>
        <w:rPr>
          <w:b/>
          <w:bCs/>
        </w:rPr>
      </w:pPr>
    </w:p>
    <w:p w14:paraId="0AF4C595" w14:textId="77777777" w:rsidR="006638CD" w:rsidRDefault="006638CD" w:rsidP="006638CD">
      <w:pPr>
        <w:spacing w:line="240" w:lineRule="auto"/>
      </w:pPr>
      <w:r w:rsidRPr="005D0D1E">
        <w:t>Ettevõtlus- ja infotehnoloogiaministri 14. novembri 2022. a määruses nr 91 „Taastekava tootmisettevõtja ärimudeli muutmise toetuse tingimused ja taotlemise kord“ tehakse järgmised muudatused:</w:t>
      </w:r>
    </w:p>
    <w:p w14:paraId="6B4C9202" w14:textId="77777777" w:rsidR="006638CD" w:rsidRPr="005D0D1E" w:rsidRDefault="006638CD" w:rsidP="006638CD">
      <w:pPr>
        <w:spacing w:line="240" w:lineRule="auto"/>
      </w:pPr>
    </w:p>
    <w:p w14:paraId="67B77ACA" w14:textId="54D35A49" w:rsidR="00DE083B" w:rsidRPr="00DE083B" w:rsidRDefault="00DE083B" w:rsidP="006638CD">
      <w:pPr>
        <w:spacing w:line="240" w:lineRule="auto"/>
      </w:pPr>
      <w:r w:rsidRPr="00DE083B">
        <w:rPr>
          <w:b/>
          <w:bCs/>
        </w:rPr>
        <w:t xml:space="preserve">1) </w:t>
      </w:r>
      <w:r w:rsidRPr="00DE083B">
        <w:t>paragrahvi 2 lõike 1 punktis 1 asendatakse tekstiosa „lõikes 3“ tekstiosaga „lõike 2 punktis 1“;</w:t>
      </w:r>
    </w:p>
    <w:p w14:paraId="4D06EC05" w14:textId="77777777" w:rsidR="00DE083B" w:rsidRDefault="00DE083B" w:rsidP="006638CD">
      <w:pPr>
        <w:spacing w:line="240" w:lineRule="auto"/>
        <w:rPr>
          <w:b/>
          <w:bCs/>
        </w:rPr>
      </w:pPr>
    </w:p>
    <w:p w14:paraId="738A4F5C" w14:textId="131ED3F5" w:rsidR="006638CD" w:rsidRPr="005D0D1E" w:rsidRDefault="00DE083B" w:rsidP="006638CD">
      <w:pPr>
        <w:spacing w:line="240" w:lineRule="auto"/>
      </w:pPr>
      <w:r>
        <w:rPr>
          <w:b/>
          <w:bCs/>
        </w:rPr>
        <w:t>2</w:t>
      </w:r>
      <w:r w:rsidR="006638CD" w:rsidRPr="00895D88">
        <w:rPr>
          <w:b/>
          <w:bCs/>
        </w:rPr>
        <w:t>)</w:t>
      </w:r>
      <w:r w:rsidR="006638CD" w:rsidRPr="005D0D1E">
        <w:t xml:space="preserve"> paragrahvi 4 punkt 5 sõnastatakse järgmiselt: </w:t>
      </w:r>
    </w:p>
    <w:p w14:paraId="1C136759" w14:textId="77777777" w:rsidR="006638CD" w:rsidRDefault="006638CD" w:rsidP="006638CD">
      <w:pPr>
        <w:spacing w:line="240" w:lineRule="auto"/>
      </w:pPr>
    </w:p>
    <w:p w14:paraId="2F707C9A" w14:textId="2E41C335" w:rsidR="006638CD" w:rsidRPr="005D0D1E" w:rsidRDefault="006638CD" w:rsidP="006638CD">
      <w:pPr>
        <w:spacing w:line="240" w:lineRule="auto"/>
      </w:pPr>
      <w:r w:rsidRPr="005D0D1E">
        <w:t>„5) roheaudit on protsess, mille raames kaardistatakse ettevõtja rohevõimekus, ärimudeli ringsus ja koostatakse teekaart</w:t>
      </w:r>
      <w:r w:rsidR="003A00F7">
        <w:t xml:space="preserve"> ning mis </w:t>
      </w:r>
      <w:r w:rsidRPr="005D0D1E">
        <w:t>võib sisaldada organisatsiooni ja toote keskkonnamõju hinnangute ja deklaratsioonide koostamist ja avaldamist, samuti teekaardi arendustegevuste elluviimise „ei kahjusta oluliselt“ põhimõttele vastavuse analüüsi;“;</w:t>
      </w:r>
    </w:p>
    <w:p w14:paraId="0968ED6D" w14:textId="77777777" w:rsidR="006638CD" w:rsidRDefault="006638CD" w:rsidP="006638CD">
      <w:pPr>
        <w:spacing w:line="240" w:lineRule="auto"/>
      </w:pPr>
    </w:p>
    <w:p w14:paraId="19691B08" w14:textId="0333F416" w:rsidR="006638CD" w:rsidRPr="005D0D1E" w:rsidRDefault="00DE083B" w:rsidP="006638CD">
      <w:pPr>
        <w:spacing w:line="240" w:lineRule="auto"/>
      </w:pPr>
      <w:r>
        <w:rPr>
          <w:b/>
          <w:bCs/>
        </w:rPr>
        <w:t>3</w:t>
      </w:r>
      <w:r w:rsidR="006638CD" w:rsidRPr="00895D88">
        <w:rPr>
          <w:b/>
          <w:bCs/>
        </w:rPr>
        <w:t>)</w:t>
      </w:r>
      <w:r w:rsidR="006638CD" w:rsidRPr="005D0D1E">
        <w:t xml:space="preserve"> paragrahvi 7 lõige 3 tunnistatakse kehtetuks;</w:t>
      </w:r>
    </w:p>
    <w:p w14:paraId="703ED0BA" w14:textId="77777777" w:rsidR="006638CD" w:rsidRDefault="006638CD" w:rsidP="006638CD">
      <w:pPr>
        <w:spacing w:line="240" w:lineRule="auto"/>
        <w:rPr>
          <w:b/>
          <w:bCs/>
        </w:rPr>
      </w:pPr>
    </w:p>
    <w:p w14:paraId="34DA7312" w14:textId="29CFF3A6" w:rsidR="006638CD" w:rsidRPr="005D0D1E" w:rsidRDefault="00DE083B" w:rsidP="006638CD">
      <w:pPr>
        <w:spacing w:line="240" w:lineRule="auto"/>
      </w:pPr>
      <w:r>
        <w:rPr>
          <w:b/>
          <w:bCs/>
        </w:rPr>
        <w:t>4</w:t>
      </w:r>
      <w:r w:rsidR="006638CD" w:rsidRPr="00895D88">
        <w:rPr>
          <w:b/>
          <w:bCs/>
        </w:rPr>
        <w:t>)</w:t>
      </w:r>
      <w:r w:rsidR="006638CD" w:rsidRPr="005D0D1E">
        <w:t xml:space="preserve"> paragrahvi 7 lõi</w:t>
      </w:r>
      <w:r w:rsidR="00F11975">
        <w:t>k</w:t>
      </w:r>
      <w:r w:rsidR="006638CD" w:rsidRPr="005D0D1E">
        <w:t>e</w:t>
      </w:r>
      <w:r w:rsidR="00F11975">
        <w:t>d</w:t>
      </w:r>
      <w:r w:rsidR="006638CD" w:rsidRPr="005D0D1E">
        <w:t xml:space="preserve"> 6</w:t>
      </w:r>
      <w:r w:rsidR="00F11975">
        <w:t xml:space="preserve"> ja 7</w:t>
      </w:r>
      <w:r w:rsidR="006638CD" w:rsidRPr="005D0D1E">
        <w:t xml:space="preserve"> sõnastatakse järgmiselt:</w:t>
      </w:r>
    </w:p>
    <w:p w14:paraId="6188F6C2" w14:textId="77777777" w:rsidR="00B602A1" w:rsidRDefault="00B602A1" w:rsidP="006638CD">
      <w:pPr>
        <w:spacing w:line="240" w:lineRule="auto"/>
      </w:pPr>
    </w:p>
    <w:p w14:paraId="3B7D4AFD" w14:textId="29C2F9BA" w:rsidR="006638CD" w:rsidRDefault="006638CD" w:rsidP="006638CD">
      <w:pPr>
        <w:spacing w:line="240" w:lineRule="auto"/>
      </w:pPr>
      <w:r w:rsidRPr="005D0D1E">
        <w:t xml:space="preserve">„(6) Kui lõikes 2 toodud tegevussuunad hõlmavad ettevõtja tasandil kasvuhoonegaaside jalajälje hindamist, järgitakse vahendusasutuse veebilehel avaldatud </w:t>
      </w:r>
      <w:proofErr w:type="spellStart"/>
      <w:r w:rsidRPr="005D0D1E">
        <w:t>Greenhouse</w:t>
      </w:r>
      <w:proofErr w:type="spellEnd"/>
      <w:r w:rsidRPr="005D0D1E">
        <w:t xml:space="preserve"> </w:t>
      </w:r>
      <w:proofErr w:type="spellStart"/>
      <w:r w:rsidRPr="005D0D1E">
        <w:t>Gas</w:t>
      </w:r>
      <w:proofErr w:type="spellEnd"/>
      <w:r w:rsidRPr="005D0D1E">
        <w:t xml:space="preserve"> </w:t>
      </w:r>
      <w:proofErr w:type="spellStart"/>
      <w:r w:rsidRPr="005D0D1E">
        <w:t>Protocol</w:t>
      </w:r>
      <w:proofErr w:type="spellEnd"/>
      <w:r>
        <w:t xml:space="preserve"> </w:t>
      </w:r>
      <w:r w:rsidRPr="005D0D1E">
        <w:t>juhendit ning Keskkonnaministeeriumi vastavasisulist juhendit ja arvutusmudelit</w:t>
      </w:r>
      <w:r w:rsidR="00B602A1">
        <w:t>.</w:t>
      </w:r>
    </w:p>
    <w:p w14:paraId="6D5A4D47" w14:textId="610C0051" w:rsidR="006638CD" w:rsidRPr="005D0D1E" w:rsidRDefault="006638CD" w:rsidP="006638CD">
      <w:pPr>
        <w:spacing w:line="240" w:lineRule="auto"/>
      </w:pPr>
    </w:p>
    <w:p w14:paraId="19CE1C49" w14:textId="24750D74" w:rsidR="006638CD" w:rsidRPr="005D0D1E" w:rsidRDefault="006638CD" w:rsidP="003A00F7">
      <w:pPr>
        <w:spacing w:line="240" w:lineRule="auto"/>
      </w:pPr>
      <w:r w:rsidRPr="005D0D1E">
        <w:t>(7) Toetust ei anta projektile, mis on juba ellu viidud, mille elluviimist on alustatud või mille osas on võetud kohustusi tegevuste elluviimiseks.“;</w:t>
      </w:r>
    </w:p>
    <w:p w14:paraId="131FEB92" w14:textId="77777777" w:rsidR="006638CD" w:rsidRDefault="006638CD" w:rsidP="006638CD">
      <w:pPr>
        <w:spacing w:line="240" w:lineRule="auto"/>
      </w:pPr>
    </w:p>
    <w:p w14:paraId="4A9D0BB7" w14:textId="37F326EB" w:rsidR="006638CD" w:rsidRPr="005D0D1E" w:rsidRDefault="00F11975" w:rsidP="006638CD">
      <w:pPr>
        <w:spacing w:line="240" w:lineRule="auto"/>
      </w:pPr>
      <w:r>
        <w:rPr>
          <w:b/>
          <w:bCs/>
        </w:rPr>
        <w:t>5</w:t>
      </w:r>
      <w:r w:rsidR="006638CD" w:rsidRPr="00895D88">
        <w:rPr>
          <w:b/>
          <w:bCs/>
        </w:rPr>
        <w:t>)</w:t>
      </w:r>
      <w:r w:rsidR="006638CD" w:rsidRPr="005D0D1E">
        <w:t xml:space="preserve"> paragrahvi 7 täiendatakse lõigetega 8–10 järgmises sõnastuses:</w:t>
      </w:r>
    </w:p>
    <w:p w14:paraId="05D756DB" w14:textId="77777777" w:rsidR="006638CD" w:rsidRDefault="006638CD" w:rsidP="006638CD">
      <w:pPr>
        <w:spacing w:line="240" w:lineRule="auto"/>
      </w:pPr>
    </w:p>
    <w:p w14:paraId="312BCE33" w14:textId="0628D0C1" w:rsidR="006638CD" w:rsidRPr="005D0D1E" w:rsidRDefault="006638CD" w:rsidP="006638CD">
      <w:pPr>
        <w:spacing w:line="240" w:lineRule="auto"/>
      </w:pPr>
      <w:r w:rsidRPr="005D0D1E">
        <w:t xml:space="preserve">„(8) Toetust ei anta järgmisteks tegevusteks </w:t>
      </w:r>
      <w:r w:rsidR="00971234">
        <w:t>ja</w:t>
      </w:r>
      <w:r w:rsidRPr="005D0D1E">
        <w:t xml:space="preserve"> nendega seotud varade soetamiseks: </w:t>
      </w:r>
    </w:p>
    <w:p w14:paraId="78924EAB" w14:textId="7475FE71" w:rsidR="006638CD" w:rsidRPr="005D0D1E" w:rsidRDefault="006638CD" w:rsidP="006638CD">
      <w:pPr>
        <w:spacing w:line="240" w:lineRule="auto"/>
      </w:pPr>
      <w:r w:rsidRPr="005D0D1E">
        <w:t xml:space="preserve">1) fossiilkütustega seotud tegevus ja </w:t>
      </w:r>
      <w:proofErr w:type="spellStart"/>
      <w:r w:rsidRPr="005D0D1E">
        <w:t>allkasutus</w:t>
      </w:r>
      <w:proofErr w:type="spellEnd"/>
      <w:r w:rsidRPr="005D0D1E">
        <w:t xml:space="preserve"> tootmisahela järgmistes etappides, välja arvatud need elektri- või soojusenergia tootmise ning maagaasi ülekande- ja jaotustaristuga seotud projektid, mis vastavad „ei kahjusta oluliselt” põhimõtte Euroopa Komisjoni teatise 2021/C 58/01 „Tehnilised suunised põhimõtte „ei kahjusta oluliselt“ kohaldamise kohta taaste- ja vastupidavusrahastu puhul“ (ELT C 58, 18.12.2021, lk 1–30) tehniliste suuniste III lisas sätestatud tingimustele;</w:t>
      </w:r>
    </w:p>
    <w:p w14:paraId="1FE0F5A7" w14:textId="66DD253F" w:rsidR="006638CD" w:rsidRPr="005D0D1E" w:rsidRDefault="006638CD" w:rsidP="006638CD">
      <w:pPr>
        <w:spacing w:line="240" w:lineRule="auto"/>
      </w:pPr>
      <w:r w:rsidRPr="005D0D1E">
        <w:t>2) Euroopa Liidu heitkogustega kauplemise süsteemi raames toimuv tegevus, mille prognoositav kasvuhoonegaaside heide ei ole asja</w:t>
      </w:r>
      <w:r w:rsidR="007A072A">
        <w:t>omastest</w:t>
      </w:r>
      <w:r w:rsidRPr="005D0D1E">
        <w:t xml:space="preserve"> võrdlusalustest väiksem;</w:t>
      </w:r>
    </w:p>
    <w:p w14:paraId="1DB884D7" w14:textId="77777777" w:rsidR="002A60FF" w:rsidRDefault="002A60FF" w:rsidP="006638CD">
      <w:pPr>
        <w:spacing w:line="240" w:lineRule="auto"/>
      </w:pPr>
    </w:p>
    <w:p w14:paraId="34D498D2" w14:textId="77777777" w:rsidR="002A60FF" w:rsidRDefault="002A60FF" w:rsidP="006638CD">
      <w:pPr>
        <w:spacing w:line="240" w:lineRule="auto"/>
      </w:pPr>
    </w:p>
    <w:p w14:paraId="143CC124" w14:textId="4ACCFB61" w:rsidR="006638CD" w:rsidRPr="005D0D1E" w:rsidRDefault="006638CD" w:rsidP="006638CD">
      <w:pPr>
        <w:spacing w:line="240" w:lineRule="auto"/>
      </w:pPr>
      <w:r w:rsidRPr="005D0D1E">
        <w:t>3) prügilatega seotud tegevus;</w:t>
      </w:r>
    </w:p>
    <w:p w14:paraId="79CA41C4" w14:textId="3E7CBD3D" w:rsidR="006638CD" w:rsidRPr="005D0D1E" w:rsidRDefault="006638CD" w:rsidP="006638CD">
      <w:pPr>
        <w:spacing w:line="240" w:lineRule="auto"/>
      </w:pPr>
      <w:r w:rsidRPr="005D0D1E">
        <w:t xml:space="preserve">4) jäätmepõletustehasega seotud tegevus, välja arvatud juhul, kui tegevus toimub üksnes </w:t>
      </w:r>
      <w:proofErr w:type="spellStart"/>
      <w:r w:rsidRPr="005D0D1E">
        <w:t>ringlussevõetamatuid</w:t>
      </w:r>
      <w:proofErr w:type="spellEnd"/>
      <w:r w:rsidRPr="005D0D1E">
        <w:t xml:space="preserve"> ohtlikke jäätmeid töötlevas jaamas või olemasolevas jaamas ning tegevuse eesmärk on suurendada energiatõhusust, koguda heitgaase ladustamiseks või kasutamiseks või taaskasutada põletustuhas leiduvaid materjale, tingimusel, et tegevus ei suurenda jaama jäätmetöötlusvõimsust ega pikenda jaama kasutusiga;</w:t>
      </w:r>
    </w:p>
    <w:p w14:paraId="30E9DB9F" w14:textId="52749A8F" w:rsidR="006638CD" w:rsidRPr="005D0D1E" w:rsidRDefault="006638CD" w:rsidP="006638CD">
      <w:pPr>
        <w:spacing w:line="240" w:lineRule="auto"/>
      </w:pPr>
      <w:r w:rsidRPr="005D0D1E">
        <w:t xml:space="preserve">5) jäätmete </w:t>
      </w:r>
      <w:proofErr w:type="spellStart"/>
      <w:r w:rsidRPr="005D0D1E">
        <w:t>mehhaanilis</w:t>
      </w:r>
      <w:proofErr w:type="spellEnd"/>
      <w:r w:rsidRPr="005D0D1E">
        <w:t xml:space="preserve">-bioloogilise töötlemise jaamaga seotud tegevus, välja arvatud juhul, kui tegevus toimub olemasolevas </w:t>
      </w:r>
      <w:proofErr w:type="spellStart"/>
      <w:r w:rsidRPr="005D0D1E">
        <w:t>mehhaanilis</w:t>
      </w:r>
      <w:proofErr w:type="spellEnd"/>
      <w:r w:rsidRPr="005D0D1E">
        <w:t xml:space="preserve">-bioloogilise töötlemise jaamas ja tegevuse eesmärk on suurendada energiatõhusust või moderniseerida eraldatud jäätmete </w:t>
      </w:r>
      <w:proofErr w:type="spellStart"/>
      <w:r w:rsidRPr="005D0D1E">
        <w:t>ringlussevõttu</w:t>
      </w:r>
      <w:proofErr w:type="spellEnd"/>
      <w:r w:rsidRPr="005D0D1E">
        <w:t xml:space="preserve"> </w:t>
      </w:r>
      <w:proofErr w:type="spellStart"/>
      <w:r w:rsidRPr="005D0D1E">
        <w:t>biojäätmete</w:t>
      </w:r>
      <w:proofErr w:type="spellEnd"/>
      <w:r w:rsidRPr="005D0D1E">
        <w:t xml:space="preserve"> kompostimiseks või nende anaeroobseks lagundamiseks, tingimusel, et tegevus ei suurenda jaama jäätmetöötlusvõimsust ega pikenda jaama kasutusiga;</w:t>
      </w:r>
    </w:p>
    <w:p w14:paraId="169B284C" w14:textId="5E5A5223" w:rsidR="006638CD" w:rsidRPr="005D0D1E" w:rsidRDefault="006638CD" w:rsidP="006638CD">
      <w:pPr>
        <w:spacing w:line="240" w:lineRule="auto"/>
      </w:pPr>
      <w:r w:rsidRPr="005D0D1E">
        <w:t>6) tegevus, mille korral võib jäätmete pikaajaline kõrvaldamine kahjustada keskkonda.</w:t>
      </w:r>
    </w:p>
    <w:p w14:paraId="1FEA13F9" w14:textId="77777777" w:rsidR="00B602A1" w:rsidRDefault="00B602A1" w:rsidP="006638CD">
      <w:pPr>
        <w:spacing w:line="240" w:lineRule="auto"/>
      </w:pPr>
    </w:p>
    <w:p w14:paraId="5965B4AA" w14:textId="1B301D8B" w:rsidR="006638CD" w:rsidRPr="005D0D1E" w:rsidRDefault="006638CD" w:rsidP="006638CD">
      <w:pPr>
        <w:spacing w:line="240" w:lineRule="auto"/>
      </w:pPr>
      <w:r w:rsidRPr="005D0D1E">
        <w:t>(9) Toetust antakse tegevusele, mis vastab keskkonnalastele õigusaktidele.</w:t>
      </w:r>
    </w:p>
    <w:p w14:paraId="59EB070C" w14:textId="77777777" w:rsidR="00B602A1" w:rsidRDefault="00B602A1" w:rsidP="006638CD">
      <w:pPr>
        <w:spacing w:line="240" w:lineRule="auto"/>
      </w:pPr>
    </w:p>
    <w:p w14:paraId="2DD0BB6B" w14:textId="0D719843" w:rsidR="006638CD" w:rsidRPr="005D0D1E" w:rsidRDefault="006638CD" w:rsidP="006638CD">
      <w:pPr>
        <w:spacing w:line="240" w:lineRule="auto"/>
      </w:pPr>
      <w:r w:rsidRPr="005D0D1E">
        <w:t>(10) Toetust antakse tegevusele, mis vastab „ei kahjusta oluliselt“ põhimõttele.“;</w:t>
      </w:r>
    </w:p>
    <w:p w14:paraId="3BB2D3A9" w14:textId="77777777" w:rsidR="006638CD" w:rsidRDefault="006638CD" w:rsidP="006638CD">
      <w:pPr>
        <w:spacing w:line="240" w:lineRule="auto"/>
      </w:pPr>
    </w:p>
    <w:p w14:paraId="566EC16D" w14:textId="2B065A69" w:rsidR="006638CD" w:rsidRPr="005D0D1E" w:rsidRDefault="00FE3C8E" w:rsidP="006638CD">
      <w:pPr>
        <w:spacing w:line="240" w:lineRule="auto"/>
      </w:pPr>
      <w:r>
        <w:rPr>
          <w:b/>
          <w:bCs/>
        </w:rPr>
        <w:t>6</w:t>
      </w:r>
      <w:r w:rsidR="006638CD" w:rsidRPr="00B65C01">
        <w:rPr>
          <w:b/>
          <w:bCs/>
        </w:rPr>
        <w:t>)</w:t>
      </w:r>
      <w:r w:rsidR="006638CD" w:rsidRPr="005D0D1E">
        <w:t xml:space="preserve"> paragrahvi 8 lõikes 2 asendatakse tekstiosa „lõikes 3“ tekstiosaga „lõike 2 punktis 1“;</w:t>
      </w:r>
    </w:p>
    <w:p w14:paraId="71FF53ED" w14:textId="77777777" w:rsidR="006638CD" w:rsidRDefault="006638CD" w:rsidP="006638CD">
      <w:pPr>
        <w:spacing w:line="240" w:lineRule="auto"/>
      </w:pPr>
    </w:p>
    <w:p w14:paraId="6B43A96D" w14:textId="2DC7278B" w:rsidR="006638CD" w:rsidRPr="005D0D1E" w:rsidRDefault="00FE3C8E" w:rsidP="006638CD">
      <w:pPr>
        <w:spacing w:line="240" w:lineRule="auto"/>
      </w:pPr>
      <w:r>
        <w:rPr>
          <w:b/>
          <w:bCs/>
        </w:rPr>
        <w:t>7</w:t>
      </w:r>
      <w:r w:rsidR="006638CD" w:rsidRPr="00B65C01">
        <w:rPr>
          <w:b/>
          <w:bCs/>
        </w:rPr>
        <w:t>)</w:t>
      </w:r>
      <w:r w:rsidR="006638CD" w:rsidRPr="005D0D1E">
        <w:t xml:space="preserve"> paragrahvi 12 lõiget 1 täiendatakse punktiga 18 järgmises sõnastuses:</w:t>
      </w:r>
    </w:p>
    <w:p w14:paraId="1DC79E08" w14:textId="77777777" w:rsidR="006638CD" w:rsidRDefault="006638CD" w:rsidP="006638CD">
      <w:pPr>
        <w:spacing w:line="240" w:lineRule="auto"/>
      </w:pPr>
    </w:p>
    <w:p w14:paraId="0E064DE2" w14:textId="4A0E0206" w:rsidR="006638CD" w:rsidRPr="005D0D1E" w:rsidRDefault="006638CD" w:rsidP="006638CD">
      <w:pPr>
        <w:spacing w:line="240" w:lineRule="auto"/>
      </w:pPr>
      <w:r w:rsidRPr="005D0D1E">
        <w:t>„18) kinnitus, et toetatav tegevus vastab keskkonnaalastele õigusaktidele.“;</w:t>
      </w:r>
    </w:p>
    <w:p w14:paraId="22E69AB0" w14:textId="77777777" w:rsidR="006638CD" w:rsidRDefault="006638CD" w:rsidP="006638CD">
      <w:pPr>
        <w:spacing w:line="240" w:lineRule="auto"/>
        <w:rPr>
          <w:b/>
          <w:bCs/>
        </w:rPr>
      </w:pPr>
    </w:p>
    <w:p w14:paraId="03C925A3" w14:textId="4C44CF38" w:rsidR="006638CD" w:rsidRPr="005D0D1E" w:rsidRDefault="00FE3C8E" w:rsidP="006638CD">
      <w:pPr>
        <w:spacing w:line="240" w:lineRule="auto"/>
      </w:pPr>
      <w:r>
        <w:rPr>
          <w:b/>
          <w:bCs/>
        </w:rPr>
        <w:t>8</w:t>
      </w:r>
      <w:r w:rsidR="006638CD" w:rsidRPr="002A2160">
        <w:rPr>
          <w:b/>
          <w:bCs/>
        </w:rPr>
        <w:t>)</w:t>
      </w:r>
      <w:r w:rsidR="006638CD" w:rsidRPr="005D0D1E">
        <w:t xml:space="preserve"> paragrahvi 12 täiendatakse lõigetega 7 ja 8 järgmises sõnastuses:</w:t>
      </w:r>
    </w:p>
    <w:p w14:paraId="56B58D92" w14:textId="77777777" w:rsidR="006638CD" w:rsidRDefault="006638CD" w:rsidP="006638CD">
      <w:pPr>
        <w:spacing w:line="240" w:lineRule="auto"/>
      </w:pPr>
    </w:p>
    <w:p w14:paraId="0E04EC17" w14:textId="225AC8AE" w:rsidR="006638CD" w:rsidRPr="005D0D1E" w:rsidRDefault="006638CD" w:rsidP="006638CD">
      <w:pPr>
        <w:spacing w:line="240" w:lineRule="auto"/>
      </w:pPr>
      <w:r w:rsidRPr="005D0D1E">
        <w:t>„(7) Euroopa Liidu kasvuhoonegaaside lubatud heitkoguse ühikutega kauplemise süsteemi kuuluvate käitiste puhul esitatakse taotluses lisaks järgmine teave:</w:t>
      </w:r>
    </w:p>
    <w:p w14:paraId="6DE1DDDC" w14:textId="0FD17668" w:rsidR="006638CD" w:rsidRPr="005D0D1E" w:rsidRDefault="006638CD" w:rsidP="006638CD">
      <w:pPr>
        <w:spacing w:line="240" w:lineRule="auto"/>
      </w:pPr>
      <w:r w:rsidRPr="005D0D1E">
        <w:t>1) käitise kordumatu tunnus, nimi, asukoht ja käitise tunnuskood või õhusõiduki käitaja tunnus Euroopa Liidu tehingulogis</w:t>
      </w:r>
      <w:r w:rsidR="0056088E">
        <w:t xml:space="preserve"> </w:t>
      </w:r>
      <w:r w:rsidR="0056088E" w:rsidRPr="00026BE4">
        <w:t>nagu on sätestatud Euroopa Komisjoni määruse (EL) nr 2019/1122, millega täiendatakse Euroopa Parlamendi ja nõukogu direktiivi 2003/87/EÜ seoses liidu registri toimimisega (ELT L 177, 27.07.2019, lk 3–62</w:t>
      </w:r>
      <w:r w:rsidR="00637117">
        <w:t>)</w:t>
      </w:r>
      <w:r w:rsidR="0056088E" w:rsidRPr="00026BE4">
        <w:t xml:space="preserve"> artiklis 5</w:t>
      </w:r>
      <w:r w:rsidRPr="005D0D1E">
        <w:t>;</w:t>
      </w:r>
    </w:p>
    <w:p w14:paraId="0D0920E9" w14:textId="77777777" w:rsidR="006638CD" w:rsidRPr="005D0D1E" w:rsidRDefault="006638CD" w:rsidP="006638CD">
      <w:pPr>
        <w:spacing w:line="240" w:lineRule="auto"/>
      </w:pPr>
      <w:r w:rsidRPr="005D0D1E">
        <w:t>2) kasvuhoonegaaside heite prognoositav tase tooteühiku kohta;</w:t>
      </w:r>
    </w:p>
    <w:p w14:paraId="324031FC" w14:textId="77777777" w:rsidR="006638CD" w:rsidRPr="005D0D1E" w:rsidRDefault="006638CD" w:rsidP="006638CD">
      <w:pPr>
        <w:spacing w:line="240" w:lineRule="auto"/>
      </w:pPr>
      <w:r w:rsidRPr="005D0D1E">
        <w:t>3) kasutatud tehnoloogia lühikirjeldus;</w:t>
      </w:r>
    </w:p>
    <w:p w14:paraId="63CA51E2" w14:textId="77777777" w:rsidR="006638CD" w:rsidRPr="005D0D1E" w:rsidRDefault="006638CD" w:rsidP="006638CD">
      <w:pPr>
        <w:spacing w:line="240" w:lineRule="auto"/>
      </w:pPr>
      <w:r w:rsidRPr="005D0D1E">
        <w:t>4) kui toetatava tegevuse prognoositav kasvuhoonegaaside heide ei ole asjaomasest võrdlusalusest oluliselt madalam tulenevalt komisjoni rakendusmäärusest (EL) 2021/447, millega määratakse vastavalt Euroopa Parlamendi ja nõukogu direktiivi 2003/87/EÜ artikli 10a lõikele 2 kindlaks lubatud heitkoguse ühikute tasuta eraldamisel kasutatavate võrdlusaluste muudetud väärtused ajavahemikuks 2021–2025 (ELT L 87, 15.03.2021, lk 29–34), esitatakse selgitus põhjuste kohta, miks see ei ole võimalik.</w:t>
      </w:r>
    </w:p>
    <w:p w14:paraId="2AE8866E" w14:textId="77777777" w:rsidR="00D5644F" w:rsidRDefault="00D5644F" w:rsidP="006638CD">
      <w:pPr>
        <w:spacing w:line="240" w:lineRule="auto"/>
      </w:pPr>
    </w:p>
    <w:p w14:paraId="63B433ED" w14:textId="6A611ED3" w:rsidR="006638CD" w:rsidRPr="005D0D1E" w:rsidRDefault="006638CD" w:rsidP="006638CD">
      <w:pPr>
        <w:spacing w:line="240" w:lineRule="auto"/>
      </w:pPr>
      <w:r w:rsidRPr="005D0D1E">
        <w:t>(8) Toetuse taotlemisel § 7 lõike 8 punktides 4 või 5 sätestatud tingimusel esitatakse koos taotlusega nimetatud tingimuse täitmist tõendavad dokumendid iga jaama kohta eraldi.“;</w:t>
      </w:r>
    </w:p>
    <w:p w14:paraId="1338E95C" w14:textId="77777777" w:rsidR="006638CD" w:rsidRDefault="006638CD" w:rsidP="006638CD">
      <w:pPr>
        <w:spacing w:line="240" w:lineRule="auto"/>
        <w:rPr>
          <w:b/>
          <w:bCs/>
        </w:rPr>
      </w:pPr>
    </w:p>
    <w:p w14:paraId="095D353C" w14:textId="06CE7B60" w:rsidR="006638CD" w:rsidRPr="005D0D1E" w:rsidRDefault="00FE3C8E" w:rsidP="006638CD">
      <w:pPr>
        <w:spacing w:line="240" w:lineRule="auto"/>
      </w:pPr>
      <w:r>
        <w:rPr>
          <w:b/>
          <w:bCs/>
        </w:rPr>
        <w:t>9</w:t>
      </w:r>
      <w:r w:rsidR="006638CD" w:rsidRPr="002A2160">
        <w:rPr>
          <w:b/>
          <w:bCs/>
        </w:rPr>
        <w:t>)</w:t>
      </w:r>
      <w:r w:rsidR="006638CD" w:rsidRPr="005D0D1E">
        <w:t xml:space="preserve"> paragrahvi 17 lõike 1 punktid 1 ja 2 sõnastatakse järgmiselt:</w:t>
      </w:r>
    </w:p>
    <w:p w14:paraId="57CFE4DC" w14:textId="77777777" w:rsidR="006638CD" w:rsidRDefault="006638CD" w:rsidP="006638CD">
      <w:pPr>
        <w:spacing w:line="240" w:lineRule="auto"/>
      </w:pPr>
    </w:p>
    <w:p w14:paraId="5D8BB040" w14:textId="77777777" w:rsidR="006638CD" w:rsidRPr="005D0D1E" w:rsidRDefault="006638CD" w:rsidP="006638CD">
      <w:pPr>
        <w:spacing w:line="240" w:lineRule="auto"/>
      </w:pPr>
      <w:r w:rsidRPr="005D0D1E">
        <w:t>„1) hindamiskriteerium 1 – projekti tegevuste mõju meetme eesmärkide saavutamisele, milles hinnatakse projekti panust toetuse andmise eesmärkide ja tulemuste täitmisse ning projekti mõju ettevõtja arengule ja Eesti majandusele – 40 protsenti koondhindest;</w:t>
      </w:r>
    </w:p>
    <w:p w14:paraId="2BD992AC" w14:textId="5982125D" w:rsidR="006638CD" w:rsidRPr="005D0D1E" w:rsidRDefault="006638CD" w:rsidP="006638CD">
      <w:pPr>
        <w:spacing w:line="240" w:lineRule="auto"/>
      </w:pPr>
      <w:r w:rsidRPr="005D0D1E">
        <w:t xml:space="preserve">2) </w:t>
      </w:r>
      <w:r w:rsidR="00516734" w:rsidRPr="00516734">
        <w:t xml:space="preserve">hindamiskriteerium 2 – projekti tegevuste mõju kliimaneutraalsele majandusele, vastupanuvõimele ja kliimamuutustega kohanemisele, muu hulgas hinnatakse ringmajanduse </w:t>
      </w:r>
      <w:r w:rsidR="00516734" w:rsidRPr="00516734">
        <w:lastRenderedPageBreak/>
        <w:t>põhimõtete asutusesisest kasutuselevõttu ja transpordi- ja ladustamise lahenduste üleviimist uutele alustele ning kasvuhoonegaaside heite ja ressursikulu vähenemist – 20 protsenti koondhindest</w:t>
      </w:r>
      <w:r w:rsidRPr="005D0D1E">
        <w:t>;“.</w:t>
      </w:r>
    </w:p>
    <w:p w14:paraId="54DCACCC" w14:textId="77777777" w:rsidR="006638CD" w:rsidRDefault="006638CD" w:rsidP="006638CD">
      <w:pPr>
        <w:spacing w:line="240" w:lineRule="auto"/>
      </w:pPr>
    </w:p>
    <w:p w14:paraId="30DDDF8F" w14:textId="77777777" w:rsidR="006638CD" w:rsidRDefault="006638CD" w:rsidP="006638CD">
      <w:pPr>
        <w:spacing w:line="240" w:lineRule="auto"/>
      </w:pPr>
    </w:p>
    <w:p w14:paraId="4AD6356F" w14:textId="77777777" w:rsidR="006638CD" w:rsidRPr="005D0D1E" w:rsidRDefault="006638CD" w:rsidP="006638CD">
      <w:pPr>
        <w:spacing w:line="240" w:lineRule="auto"/>
      </w:pPr>
      <w:r w:rsidRPr="005D0D1E">
        <w:t>(allkirjastatud digitaalselt)</w:t>
      </w:r>
      <w:r w:rsidRPr="002C6F26">
        <w:t xml:space="preserve"> </w:t>
      </w:r>
      <w:r>
        <w:tab/>
      </w:r>
      <w:r>
        <w:tab/>
      </w:r>
      <w:r>
        <w:tab/>
      </w:r>
      <w:r>
        <w:tab/>
      </w:r>
      <w:r>
        <w:tab/>
      </w:r>
      <w:r w:rsidRPr="005D0D1E">
        <w:t>(allkirjastatud digitaalselt)</w:t>
      </w:r>
    </w:p>
    <w:p w14:paraId="16CCBDEA" w14:textId="77777777" w:rsidR="006638CD" w:rsidRDefault="006638CD" w:rsidP="006638CD">
      <w:pPr>
        <w:spacing w:line="240" w:lineRule="auto"/>
      </w:pPr>
      <w:r w:rsidRPr="005D0D1E">
        <w:t xml:space="preserve">Tiit </w:t>
      </w:r>
      <w:proofErr w:type="spellStart"/>
      <w:r w:rsidRPr="005D0D1E">
        <w:t>Riisalo</w:t>
      </w:r>
      <w:proofErr w:type="spellEnd"/>
      <w:r w:rsidRPr="005D0D1E">
        <w:t xml:space="preserve"> </w:t>
      </w:r>
      <w:r>
        <w:tab/>
      </w:r>
      <w:r>
        <w:tab/>
      </w:r>
      <w:r>
        <w:tab/>
      </w:r>
      <w:r>
        <w:tab/>
      </w:r>
      <w:r>
        <w:tab/>
      </w:r>
      <w:r>
        <w:tab/>
      </w:r>
      <w:r>
        <w:tab/>
      </w:r>
      <w:r w:rsidRPr="005D0D1E">
        <w:t>Ahti Kuninga</w:t>
      </w:r>
      <w:r>
        <w:t>s</w:t>
      </w:r>
    </w:p>
    <w:p w14:paraId="479E84A3" w14:textId="77777777" w:rsidR="006638CD" w:rsidRDefault="006638CD" w:rsidP="006638CD">
      <w:pPr>
        <w:spacing w:line="240" w:lineRule="auto"/>
      </w:pPr>
      <w:r w:rsidRPr="005D0D1E">
        <w:t xml:space="preserve">majandus- ja infotehnoloogiaminister </w:t>
      </w:r>
      <w:r>
        <w:tab/>
      </w:r>
      <w:r>
        <w:tab/>
      </w:r>
      <w:r>
        <w:tab/>
        <w:t>asekantsler</w:t>
      </w:r>
    </w:p>
    <w:p w14:paraId="79A03CB1" w14:textId="77777777" w:rsidR="00257A47" w:rsidRDefault="00257A47" w:rsidP="007A4337">
      <w:pPr>
        <w:tabs>
          <w:tab w:val="left" w:pos="5387"/>
        </w:tabs>
        <w:spacing w:line="240" w:lineRule="auto"/>
        <w:jc w:val="left"/>
        <w:rPr>
          <w:lang w:eastAsia="en-US" w:bidi="ar-SA"/>
        </w:rPr>
      </w:pPr>
    </w:p>
    <w:sectPr w:rsidR="00257A47" w:rsidSect="00AC6187">
      <w:headerReference w:type="default" r:id="rId8"/>
      <w:pgSz w:w="11906" w:h="16838" w:code="9"/>
      <w:pgMar w:top="907" w:right="851" w:bottom="1418" w:left="1701"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03CB6" w14:textId="77777777" w:rsidR="00BD0540" w:rsidRDefault="00BD0540" w:rsidP="00DF44DF">
      <w:r>
        <w:separator/>
      </w:r>
    </w:p>
  </w:endnote>
  <w:endnote w:type="continuationSeparator" w:id="0">
    <w:p w14:paraId="79A03CB7" w14:textId="77777777" w:rsidR="00BD0540" w:rsidRDefault="00BD0540"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03CB4" w14:textId="77777777" w:rsidR="00BD0540" w:rsidRDefault="00BD0540" w:rsidP="00DF44DF">
      <w:r>
        <w:separator/>
      </w:r>
    </w:p>
  </w:footnote>
  <w:footnote w:type="continuationSeparator" w:id="0">
    <w:p w14:paraId="79A03CB5" w14:textId="77777777" w:rsidR="00BD0540" w:rsidRDefault="00BD0540"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053097"/>
      <w:docPartObj>
        <w:docPartGallery w:val="Page Numbers (Top of Page)"/>
        <w:docPartUnique/>
      </w:docPartObj>
    </w:sdtPr>
    <w:sdtEndPr/>
    <w:sdtContent>
      <w:p w14:paraId="79A03CB8" w14:textId="5D2F630D" w:rsidR="00110BCA" w:rsidRDefault="001A69A5" w:rsidP="00110BCA">
        <w:pPr>
          <w:pStyle w:val="Jalus1"/>
          <w:jc w:val="center"/>
        </w:pPr>
        <w:r>
          <w:fldChar w:fldCharType="begin"/>
        </w:r>
        <w:r>
          <w:instrText xml:space="preserve"> PAGE </w:instrText>
        </w:r>
        <w:r>
          <w:fldChar w:fldCharType="separate"/>
        </w:r>
        <w:r w:rsidR="00114C61">
          <w:rPr>
            <w:noProof/>
          </w:rPr>
          <w:t>2</w:t>
        </w:r>
        <w:r>
          <w:rPr>
            <w:noProof/>
          </w:rPr>
          <w:fldChar w:fldCharType="end"/>
        </w:r>
      </w:p>
    </w:sdtContent>
  </w:sdt>
  <w:p w14:paraId="79A03CB9" w14:textId="77777777" w:rsidR="00110BCA" w:rsidRDefault="00110BCA">
    <w:pPr>
      <w:pStyle w:val="Pi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540"/>
    <w:rsid w:val="00026BE4"/>
    <w:rsid w:val="0004665A"/>
    <w:rsid w:val="00060947"/>
    <w:rsid w:val="00073127"/>
    <w:rsid w:val="000913FC"/>
    <w:rsid w:val="000E4F8D"/>
    <w:rsid w:val="000E513C"/>
    <w:rsid w:val="000F7A4A"/>
    <w:rsid w:val="00102959"/>
    <w:rsid w:val="00110BCA"/>
    <w:rsid w:val="00114C61"/>
    <w:rsid w:val="00124999"/>
    <w:rsid w:val="0018705B"/>
    <w:rsid w:val="001960C6"/>
    <w:rsid w:val="001A69A5"/>
    <w:rsid w:val="001A7D04"/>
    <w:rsid w:val="001C1892"/>
    <w:rsid w:val="001D4CFB"/>
    <w:rsid w:val="002008A2"/>
    <w:rsid w:val="0022269C"/>
    <w:rsid w:val="00257A47"/>
    <w:rsid w:val="0026456A"/>
    <w:rsid w:val="002835BB"/>
    <w:rsid w:val="002860B9"/>
    <w:rsid w:val="00293449"/>
    <w:rsid w:val="002A60FF"/>
    <w:rsid w:val="002F254F"/>
    <w:rsid w:val="00354059"/>
    <w:rsid w:val="003642B9"/>
    <w:rsid w:val="00392A07"/>
    <w:rsid w:val="00394DCB"/>
    <w:rsid w:val="003A00F7"/>
    <w:rsid w:val="003B2A9C"/>
    <w:rsid w:val="003B4D7F"/>
    <w:rsid w:val="0041708A"/>
    <w:rsid w:val="004316A0"/>
    <w:rsid w:val="00435A13"/>
    <w:rsid w:val="0044084D"/>
    <w:rsid w:val="0047547D"/>
    <w:rsid w:val="00483BEF"/>
    <w:rsid w:val="00493460"/>
    <w:rsid w:val="004A3512"/>
    <w:rsid w:val="004C1391"/>
    <w:rsid w:val="0050252A"/>
    <w:rsid w:val="00505F9E"/>
    <w:rsid w:val="00516734"/>
    <w:rsid w:val="00517FE5"/>
    <w:rsid w:val="00546204"/>
    <w:rsid w:val="00551E24"/>
    <w:rsid w:val="00553870"/>
    <w:rsid w:val="00557534"/>
    <w:rsid w:val="0056088E"/>
    <w:rsid w:val="00560A92"/>
    <w:rsid w:val="0056160C"/>
    <w:rsid w:val="00564569"/>
    <w:rsid w:val="00566D45"/>
    <w:rsid w:val="005B5CE1"/>
    <w:rsid w:val="005E3AED"/>
    <w:rsid w:val="005E45BB"/>
    <w:rsid w:val="005E56F6"/>
    <w:rsid w:val="00602834"/>
    <w:rsid w:val="00614897"/>
    <w:rsid w:val="0062017D"/>
    <w:rsid w:val="00624BD9"/>
    <w:rsid w:val="00637117"/>
    <w:rsid w:val="00651A49"/>
    <w:rsid w:val="006638CD"/>
    <w:rsid w:val="00680609"/>
    <w:rsid w:val="006D1C4F"/>
    <w:rsid w:val="006E16BD"/>
    <w:rsid w:val="006F3BB9"/>
    <w:rsid w:val="006F72D7"/>
    <w:rsid w:val="007056E1"/>
    <w:rsid w:val="0071110D"/>
    <w:rsid w:val="00713327"/>
    <w:rsid w:val="0075695A"/>
    <w:rsid w:val="0076054B"/>
    <w:rsid w:val="00793A3C"/>
    <w:rsid w:val="007A072A"/>
    <w:rsid w:val="007A1DE8"/>
    <w:rsid w:val="007A4337"/>
    <w:rsid w:val="007D01C4"/>
    <w:rsid w:val="007D54FC"/>
    <w:rsid w:val="007E3A34"/>
    <w:rsid w:val="007E666B"/>
    <w:rsid w:val="007F55B0"/>
    <w:rsid w:val="0082268E"/>
    <w:rsid w:val="00835858"/>
    <w:rsid w:val="008919F2"/>
    <w:rsid w:val="008D4634"/>
    <w:rsid w:val="008E0C31"/>
    <w:rsid w:val="008F0B50"/>
    <w:rsid w:val="008F550B"/>
    <w:rsid w:val="0090245A"/>
    <w:rsid w:val="00914B2C"/>
    <w:rsid w:val="0091786B"/>
    <w:rsid w:val="00932CDE"/>
    <w:rsid w:val="009370A4"/>
    <w:rsid w:val="009709A8"/>
    <w:rsid w:val="00971234"/>
    <w:rsid w:val="00986BA8"/>
    <w:rsid w:val="00996E9F"/>
    <w:rsid w:val="009C3582"/>
    <w:rsid w:val="009C4A9A"/>
    <w:rsid w:val="009E7F4A"/>
    <w:rsid w:val="00A10E66"/>
    <w:rsid w:val="00A1244E"/>
    <w:rsid w:val="00A16247"/>
    <w:rsid w:val="00A4190E"/>
    <w:rsid w:val="00A92B31"/>
    <w:rsid w:val="00AC6187"/>
    <w:rsid w:val="00AD2EA7"/>
    <w:rsid w:val="00AD32C2"/>
    <w:rsid w:val="00B358EA"/>
    <w:rsid w:val="00B602A1"/>
    <w:rsid w:val="00BA16DC"/>
    <w:rsid w:val="00BC1A62"/>
    <w:rsid w:val="00BC7E79"/>
    <w:rsid w:val="00BD0540"/>
    <w:rsid w:val="00BD078E"/>
    <w:rsid w:val="00BD1C47"/>
    <w:rsid w:val="00BD3CCF"/>
    <w:rsid w:val="00BF4D7C"/>
    <w:rsid w:val="00C24F66"/>
    <w:rsid w:val="00C27B07"/>
    <w:rsid w:val="00C41FC5"/>
    <w:rsid w:val="00C82E23"/>
    <w:rsid w:val="00C83346"/>
    <w:rsid w:val="00C90E39"/>
    <w:rsid w:val="00CA583B"/>
    <w:rsid w:val="00CA5F0B"/>
    <w:rsid w:val="00CA7B58"/>
    <w:rsid w:val="00CB77E1"/>
    <w:rsid w:val="00CF2B77"/>
    <w:rsid w:val="00CF4303"/>
    <w:rsid w:val="00D13763"/>
    <w:rsid w:val="00D20F77"/>
    <w:rsid w:val="00D40650"/>
    <w:rsid w:val="00D41882"/>
    <w:rsid w:val="00D559F8"/>
    <w:rsid w:val="00D55E77"/>
    <w:rsid w:val="00D5644F"/>
    <w:rsid w:val="00D67D59"/>
    <w:rsid w:val="00D7077D"/>
    <w:rsid w:val="00D8202D"/>
    <w:rsid w:val="00DE083B"/>
    <w:rsid w:val="00DE1FDD"/>
    <w:rsid w:val="00DF382E"/>
    <w:rsid w:val="00DF44DF"/>
    <w:rsid w:val="00E023F6"/>
    <w:rsid w:val="00E03DBB"/>
    <w:rsid w:val="00E274A6"/>
    <w:rsid w:val="00E40DE4"/>
    <w:rsid w:val="00E469E8"/>
    <w:rsid w:val="00EC3DE9"/>
    <w:rsid w:val="00F11975"/>
    <w:rsid w:val="00F25A4E"/>
    <w:rsid w:val="00F25B3D"/>
    <w:rsid w:val="00F629EE"/>
    <w:rsid w:val="00F9645B"/>
    <w:rsid w:val="00FA1020"/>
    <w:rsid w:val="00FB3279"/>
    <w:rsid w:val="00FC7104"/>
    <w:rsid w:val="00FE2EDE"/>
    <w:rsid w:val="00FE3C8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14:docId w14:val="79A03C9B"/>
  <w15:docId w15:val="{9F4CDDEF-632B-45B4-8B68-380B20F8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1">
    <w:name w:val="heading 1"/>
    <w:basedOn w:val="Normaallaad"/>
    <w:next w:val="Normaallaad"/>
    <w:link w:val="Pealkiri1Mrk"/>
    <w:uiPriority w:val="9"/>
    <w:qFormat/>
    <w:rsid w:val="00B358EA"/>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semiHidden/>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semiHidden/>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0">
    <w:name w:val="Pealkiri1"/>
    <w:autoRedefine/>
    <w:qFormat/>
    <w:rsid w:val="00D559F8"/>
    <w:pPr>
      <w:spacing w:after="560"/>
    </w:pPr>
    <w:rPr>
      <w:rFonts w:eastAsia="SimSun"/>
      <w:b/>
      <w:bCs/>
      <w:kern w:val="1"/>
      <w:sz w:val="24"/>
      <w:szCs w:val="24"/>
      <w:lang w:eastAsia="zh-CN" w:bidi="hi-IN"/>
    </w:rPr>
  </w:style>
  <w:style w:type="paragraph" w:customStyle="1" w:styleId="Tekst">
    <w:name w:val="Tekst"/>
    <w:autoRedefine/>
    <w:qFormat/>
    <w:rsid w:val="0018705B"/>
    <w:pPr>
      <w:jc w:val="both"/>
    </w:pPr>
    <w:rPr>
      <w:rFonts w:eastAsia="SimSun" w:cs="Mangal"/>
      <w:kern w:val="1"/>
      <w:sz w:val="24"/>
      <w:szCs w:val="24"/>
      <w:lang w:eastAsia="zh-CN" w:bidi="hi-IN"/>
    </w:rPr>
  </w:style>
  <w:style w:type="paragraph" w:customStyle="1" w:styleId="Kuupev1">
    <w:name w:val="Kuupäev1"/>
    <w:autoRedefine/>
    <w:qFormat/>
    <w:rsid w:val="00566D45"/>
    <w:pPr>
      <w:spacing w:before="840"/>
      <w:jc w:val="right"/>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Jutumullitekst">
    <w:name w:val="Balloon Text"/>
    <w:basedOn w:val="Normaallaad"/>
    <w:link w:val="JutumullitekstMrk"/>
    <w:uiPriority w:val="99"/>
    <w:semiHidden/>
    <w:unhideWhenUsed/>
    <w:rsid w:val="00C90E39"/>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C90E39"/>
    <w:rPr>
      <w:rFonts w:ascii="Tahoma" w:eastAsia="SimSun" w:hAnsi="Tahoma" w:cs="Mangal"/>
      <w:kern w:val="1"/>
      <w:sz w:val="16"/>
      <w:szCs w:val="14"/>
      <w:lang w:eastAsia="zh-CN" w:bidi="hi-IN"/>
    </w:rPr>
  </w:style>
  <w:style w:type="character" w:customStyle="1" w:styleId="Pealkiri1Mrk">
    <w:name w:val="Pealkiri 1 Märk"/>
    <w:basedOn w:val="Liguvaikefont"/>
    <w:link w:val="Pealkiri1"/>
    <w:uiPriority w:val="9"/>
    <w:rsid w:val="00B358EA"/>
    <w:rPr>
      <w:rFonts w:asciiTheme="majorHAnsi" w:eastAsiaTheme="majorEastAsia" w:hAnsiTheme="majorHAnsi" w:cs="Mangal"/>
      <w:b/>
      <w:bCs/>
      <w:color w:val="365F91" w:themeColor="accent1" w:themeShade="BF"/>
      <w:kern w:val="1"/>
      <w:sz w:val="28"/>
      <w:szCs w:val="25"/>
      <w:lang w:eastAsia="zh-CN" w:bidi="hi-IN"/>
    </w:rPr>
  </w:style>
  <w:style w:type="paragraph" w:styleId="Normaallaadveeb">
    <w:name w:val="Normal (Web)"/>
    <w:basedOn w:val="Normaallaad"/>
    <w:uiPriority w:val="99"/>
    <w:semiHidden/>
    <w:unhideWhenUsed/>
    <w:rsid w:val="00B358EA"/>
    <w:rPr>
      <w:rFonts w:cs="Mangal"/>
      <w:szCs w:val="21"/>
    </w:rPr>
  </w:style>
  <w:style w:type="paragraph" w:customStyle="1" w:styleId="allikirjastajanimi">
    <w:name w:val="allikirjastaja:nimi"/>
    <w:basedOn w:val="Normaallaad"/>
    <w:next w:val="Normaallaad"/>
    <w:rsid w:val="0018705B"/>
    <w:pPr>
      <w:widowControl/>
      <w:suppressAutoHyphens w:val="0"/>
      <w:spacing w:line="240" w:lineRule="auto"/>
      <w:jc w:val="left"/>
    </w:pPr>
    <w:rPr>
      <w:rFonts w:eastAsia="Times New Roman"/>
      <w:kern w:val="0"/>
      <w:lang w:eastAsia="en-US" w:bidi="ar-SA"/>
    </w:rPr>
  </w:style>
  <w:style w:type="paragraph" w:styleId="Redaktsioon">
    <w:name w:val="Revision"/>
    <w:hidden/>
    <w:uiPriority w:val="99"/>
    <w:semiHidden/>
    <w:rsid w:val="003A00F7"/>
    <w:rPr>
      <w:rFonts w:eastAsia="SimSun" w:cs="Mangal"/>
      <w:kern w:val="1"/>
      <w:sz w:val="24"/>
      <w:szCs w:val="21"/>
      <w:lang w:eastAsia="zh-CN" w:bidi="hi-IN"/>
    </w:rPr>
  </w:style>
  <w:style w:type="character" w:styleId="Kommentaariviide">
    <w:name w:val="annotation reference"/>
    <w:basedOn w:val="Liguvaikefont"/>
    <w:uiPriority w:val="99"/>
    <w:semiHidden/>
    <w:unhideWhenUsed/>
    <w:rsid w:val="003A00F7"/>
    <w:rPr>
      <w:sz w:val="16"/>
      <w:szCs w:val="16"/>
    </w:rPr>
  </w:style>
  <w:style w:type="paragraph" w:styleId="Kommentaaritekst">
    <w:name w:val="annotation text"/>
    <w:basedOn w:val="Normaallaad"/>
    <w:link w:val="KommentaaritekstMrk"/>
    <w:uiPriority w:val="99"/>
    <w:unhideWhenUsed/>
    <w:rsid w:val="003A00F7"/>
    <w:pPr>
      <w:spacing w:line="240" w:lineRule="auto"/>
    </w:pPr>
    <w:rPr>
      <w:rFonts w:cs="Mangal"/>
      <w:sz w:val="20"/>
      <w:szCs w:val="18"/>
    </w:rPr>
  </w:style>
  <w:style w:type="character" w:customStyle="1" w:styleId="KommentaaritekstMrk">
    <w:name w:val="Kommentaari tekst Märk"/>
    <w:basedOn w:val="Liguvaikefont"/>
    <w:link w:val="Kommentaaritekst"/>
    <w:uiPriority w:val="99"/>
    <w:rsid w:val="003A00F7"/>
    <w:rPr>
      <w:rFonts w:eastAsia="SimSun" w:cs="Mangal"/>
      <w:kern w:val="1"/>
      <w:szCs w:val="18"/>
      <w:lang w:eastAsia="zh-CN" w:bidi="hi-IN"/>
    </w:rPr>
  </w:style>
  <w:style w:type="paragraph" w:styleId="Kommentaariteema">
    <w:name w:val="annotation subject"/>
    <w:basedOn w:val="Kommentaaritekst"/>
    <w:next w:val="Kommentaaritekst"/>
    <w:link w:val="KommentaariteemaMrk"/>
    <w:uiPriority w:val="99"/>
    <w:semiHidden/>
    <w:unhideWhenUsed/>
    <w:rsid w:val="003A00F7"/>
    <w:rPr>
      <w:b/>
      <w:bCs/>
    </w:rPr>
  </w:style>
  <w:style w:type="character" w:customStyle="1" w:styleId="KommentaariteemaMrk">
    <w:name w:val="Kommentaari teema Märk"/>
    <w:basedOn w:val="KommentaaritekstMrk"/>
    <w:link w:val="Kommentaariteema"/>
    <w:uiPriority w:val="99"/>
    <w:semiHidden/>
    <w:rsid w:val="003A00F7"/>
    <w:rPr>
      <w:rFonts w:eastAsia="SimSun" w:cs="Mangal"/>
      <w:b/>
      <w:bCs/>
      <w:kern w:val="1"/>
      <w:szCs w:val="18"/>
      <w:lang w:eastAsia="zh-CN" w:bidi="hi-IN"/>
    </w:rPr>
  </w:style>
  <w:style w:type="paragraph" w:styleId="Loendilik">
    <w:name w:val="List Paragraph"/>
    <w:basedOn w:val="Normaallaad"/>
    <w:uiPriority w:val="34"/>
    <w:qFormat/>
    <w:rsid w:val="00102959"/>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5279">
      <w:bodyDiv w:val="1"/>
      <w:marLeft w:val="0"/>
      <w:marRight w:val="0"/>
      <w:marTop w:val="0"/>
      <w:marBottom w:val="0"/>
      <w:divBdr>
        <w:top w:val="none" w:sz="0" w:space="0" w:color="auto"/>
        <w:left w:val="none" w:sz="0" w:space="0" w:color="auto"/>
        <w:bottom w:val="none" w:sz="0" w:space="0" w:color="auto"/>
        <w:right w:val="none" w:sz="0" w:space="0" w:color="auto"/>
      </w:divBdr>
    </w:div>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156458205">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20913928">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211766379">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6407292">
      <w:bodyDiv w:val="1"/>
      <w:marLeft w:val="0"/>
      <w:marRight w:val="0"/>
      <w:marTop w:val="0"/>
      <w:marBottom w:val="0"/>
      <w:divBdr>
        <w:top w:val="none" w:sz="0" w:space="0" w:color="auto"/>
        <w:left w:val="none" w:sz="0" w:space="0" w:color="auto"/>
        <w:bottom w:val="none" w:sz="0" w:space="0" w:color="auto"/>
        <w:right w:val="none" w:sz="0" w:space="0" w:color="auto"/>
      </w:divBdr>
    </w:div>
    <w:div w:id="1998265359">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2168894E-D11C-4AA0-994F-6ABC6FB8C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1708</Words>
  <Characters>9912</Characters>
  <Application>Microsoft Office Word</Application>
  <DocSecurity>0</DocSecurity>
  <Lines>82</Lines>
  <Paragraphs>23</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Majandus- ja Kommunikatsiooniministeerium</Company>
  <LinksUpToDate>false</LinksUpToDate>
  <CharactersWithSpaces>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Majandus- ja Kommunikatsiooniministeerium</dc:creator>
  <cp:lastModifiedBy>Merle Järve</cp:lastModifiedBy>
  <cp:revision>2</cp:revision>
  <cp:lastPrinted>2023-06-20T08:20:00Z</cp:lastPrinted>
  <dcterms:created xsi:type="dcterms:W3CDTF">2023-06-26T06:04:00Z</dcterms:created>
  <dcterms:modified xsi:type="dcterms:W3CDTF">2023-06-26T06:04:00Z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{reg.kpv}</vt:lpwstr>
  </property>
  <property fmtid="{D5CDD505-2E9C-101B-9397-08002B2CF9AE}" pid="3" name="delta_regNumber">
    <vt:lpwstr>{viit}</vt:lpwstr>
  </property>
  <property fmtid="{D5CDD505-2E9C-101B-9397-08002B2CF9AE}" pid="4" name="delta_docName">
    <vt:lpwstr>{Pealkiri}</vt:lpwstr>
  </property>
  <property fmtid="{D5CDD505-2E9C-101B-9397-08002B2CF9AE}" pid="5" name="delta_signerName">
    <vt:lpwstr>{allkirjastaja}</vt:lpwstr>
  </property>
  <property fmtid="{D5CDD505-2E9C-101B-9397-08002B2CF9AE}" pid="6" name="delta_signerJobTitle">
    <vt:lpwstr>{ametikoht}</vt:lpwstr>
  </property>
  <property fmtid="{D5CDD505-2E9C-101B-9397-08002B2CF9AE}" pid="7" name="delta_secondsignerName">
    <vt:lpwstr>{teine allkirjastaja}</vt:lpwstr>
  </property>
  <property fmtid="{D5CDD505-2E9C-101B-9397-08002B2CF9AE}" pid="8" name="delta_secondsignerJobTitle">
    <vt:lpwstr>{teise allkirjastaja ametikoht}</vt:lpwstr>
  </property>
  <property fmtid="{D5CDD505-2E9C-101B-9397-08002B2CF9AE}" pid="9" name="MSIP_Label_64070b25-3e51-4c49-94ac-1c89225a19f8_Enabled">
    <vt:lpwstr>true</vt:lpwstr>
  </property>
  <property fmtid="{D5CDD505-2E9C-101B-9397-08002B2CF9AE}" pid="10" name="MSIP_Label_64070b25-3e51-4c49-94ac-1c89225a19f8_SetDate">
    <vt:lpwstr>2023-06-20T10:29:12Z</vt:lpwstr>
  </property>
  <property fmtid="{D5CDD505-2E9C-101B-9397-08002B2CF9AE}" pid="11" name="MSIP_Label_64070b25-3e51-4c49-94ac-1c89225a19f8_Method">
    <vt:lpwstr>Standard</vt:lpwstr>
  </property>
  <property fmtid="{D5CDD505-2E9C-101B-9397-08002B2CF9AE}" pid="12" name="MSIP_Label_64070b25-3e51-4c49-94ac-1c89225a19f8_Name">
    <vt:lpwstr>defa4170-0d19-0005-0004-bc88714345d2</vt:lpwstr>
  </property>
  <property fmtid="{D5CDD505-2E9C-101B-9397-08002B2CF9AE}" pid="13" name="MSIP_Label_64070b25-3e51-4c49-94ac-1c89225a19f8_SiteId">
    <vt:lpwstr>3c88e4d0-0f16-4fc9-9c9d-e75d2f2a6adc</vt:lpwstr>
  </property>
  <property fmtid="{D5CDD505-2E9C-101B-9397-08002B2CF9AE}" pid="14" name="MSIP_Label_64070b25-3e51-4c49-94ac-1c89225a19f8_ActionId">
    <vt:lpwstr>541f82a9-f71b-4616-aad6-14f67348c994</vt:lpwstr>
  </property>
  <property fmtid="{D5CDD505-2E9C-101B-9397-08002B2CF9AE}" pid="15" name="MSIP_Label_64070b25-3e51-4c49-94ac-1c89225a19f8_ContentBits">
    <vt:lpwstr>0</vt:lpwstr>
  </property>
</Properties>
</file>