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Times New Roman" w:cs="Times New Roman" w:eastAsia="Times New Roman" w:hAnsi="Times New Roman"/>
          <w:b/>
          <w:bCs/>
          <w:sz w:val="22"/>
          <w:szCs w:val="22"/>
        </w:rPr>
        <w:t xml:space="preserve">VENDINGVIVENT OÜ</w:t>
      </w:r>
    </w:p>
    <w:p>
      <w:pPr>
        <w:spacing w:after="0"/>
      </w:pPr>
      <w:r>
        <w:rPr>
          <w:rFonts w:ascii="Times New Roman" w:cs="Times New Roman" w:eastAsia="Times New Roman" w:hAnsi="Times New Roman"/>
          <w:b/>
          <w:bCs/>
          <w:sz w:val="22"/>
          <w:szCs w:val="22"/>
        </w:rPr>
        <w:t xml:space="preserve">Registrikood 17584809</w:t>
      </w:r>
    </w:p>
    <w:p>
      <w:pPr>
        <w:spacing w:after="0"/>
      </w:pPr>
      <w:r>
        <w:rPr>
          <w:rFonts w:ascii="Times New Roman" w:cs="Times New Roman" w:eastAsia="Times New Roman" w:hAnsi="Times New Roman"/>
          <w:b/>
          <w:bCs/>
          <w:sz w:val="22"/>
          <w:szCs w:val="22"/>
        </w:rPr>
        <w:t xml:space="preserve">Vee tn 1, Märja, 61406 Tartu maakond</w:t>
      </w:r>
    </w:p>
    <w:p>
      <w:pPr>
        <w:spacing w:after="240"/>
      </w:pPr>
      <w:r>
        <w:rPr>
          <w:rFonts w:ascii="Times New Roman" w:cs="Times New Roman" w:eastAsia="Times New Roman" w:hAnsi="Times New Roman"/>
          <w:b/>
          <w:bCs/>
          <w:sz w:val="22"/>
          <w:szCs w:val="22"/>
        </w:rPr>
        <w:t xml:space="preserve">vendingvivent@gmail.com</w:t>
      </w:r>
    </w:p>
    <w:p>
      <w:pPr>
        <w:spacing w:after="0"/>
      </w:pPr>
      <w:r>
        <w:rPr>
          <w:rFonts w:ascii="Times New Roman" w:cs="Times New Roman" w:eastAsia="Times New Roman" w:hAnsi="Times New Roman"/>
          <w:b w:val="false"/>
          <w:bCs w:val="false"/>
          <w:sz w:val="22"/>
          <w:szCs w:val="22"/>
        </w:rPr>
        <w:t xml:space="preserve">Riigikogu sotsiaalkomisjon</w:t>
      </w:r>
    </w:p>
    <w:p>
      <w:pPr>
        <w:spacing w:after="0"/>
      </w:pPr>
      <w:r>
        <w:rPr>
          <w:rFonts w:ascii="Times New Roman" w:cs="Times New Roman" w:eastAsia="Times New Roman" w:hAnsi="Times New Roman"/>
          <w:b w:val="false"/>
          <w:bCs w:val="false"/>
          <w:sz w:val="22"/>
          <w:szCs w:val="22"/>
        </w:rPr>
        <w:t xml:space="preserve">Lossi plats 1a, 15165 Tallinn</w:t>
      </w:r>
    </w:p>
    <w:p>
      <w:pPr>
        <w:spacing w:after="240"/>
      </w:pPr>
      <w:r>
        <w:rPr>
          <w:rFonts w:ascii="Times New Roman" w:cs="Times New Roman" w:eastAsia="Times New Roman" w:hAnsi="Times New Roman"/>
          <w:b w:val="false"/>
          <w:bCs w:val="false"/>
          <w:sz w:val="22"/>
          <w:szCs w:val="22"/>
        </w:rPr>
        <w:t xml:space="preserve">riigikogu@riigikogu.ee</w:t>
      </w:r>
    </w:p>
    <w:p>
      <w:pPr>
        <w:spacing w:after="240"/>
      </w:pPr>
      <w:r>
        <w:rPr>
          <w:rFonts w:ascii="Times New Roman" w:cs="Times New Roman" w:eastAsia="Times New Roman" w:hAnsi="Times New Roman"/>
          <w:b/>
          <w:bCs/>
          <w:sz w:val="22"/>
          <w:szCs w:val="22"/>
        </w:rPr>
        <w:t xml:space="preserve">02.11.2026</w:t>
      </w:r>
    </w:p>
    <w:p>
      <w:pPr>
        <w:spacing w:after="240"/>
        <w:jc w:val="center"/>
      </w:pPr>
      <w:r>
        <w:rPr>
          <w:rFonts w:ascii="Times New Roman" w:cs="Times New Roman" w:eastAsia="Times New Roman" w:hAnsi="Times New Roman"/>
          <w:b/>
          <w:bCs/>
          <w:sz w:val="30"/>
          <w:szCs w:val="30"/>
        </w:rPr>
        <w:t xml:space="preserve">Ettepanek tubakaseaduse § 22 lõike 2 punkti 2 muutmiseks</w:t>
      </w:r>
    </w:p>
    <w:p>
      <w:pPr>
        <w:spacing w:after="120" w:line="252"/>
      </w:pPr>
      <w:r>
        <w:rPr>
          <w:rFonts w:ascii="Times New Roman" w:cs="Times New Roman" w:eastAsia="Times New Roman" w:hAnsi="Times New Roman"/>
          <w:sz w:val="22"/>
          <w:szCs w:val="22"/>
        </w:rPr>
        <w:t xml:space="preserve">Lugupeetud sotsiaalkomisjoni esimees ja komisjoni liikmed</w:t>
      </w:r>
    </w:p>
    <w:p>
      <w:pPr>
        <w:spacing w:after="120" w:line="252"/>
      </w:pPr>
      <w:r>
        <w:rPr>
          <w:rFonts w:ascii="Times New Roman" w:cs="Times New Roman" w:eastAsia="Times New Roman" w:hAnsi="Times New Roman"/>
          <w:sz w:val="22"/>
          <w:szCs w:val="22"/>
        </w:rPr>
        <w:t xml:space="preserve">Teeme ettepaneku muuta tubakaseadust nii, et tubakatootega seonduva toote (nt elektroonilise sigareti) müük müügiautomaadist oleks lubatud kitsalt piiritletud tingimustel: automaat asub täisealistele mõeldud personaliga ruumis, väljastab toote alles pärast ostja vanuse tugevat elektroonilist tõendamist ega säilita ostja isikuandmeid. Tubakatoodete automaatmüügi keeld jääb kehtima.</w:t>
      </w:r>
    </w:p>
    <w:p>
      <w:pPr>
        <w:spacing w:after="120" w:line="252"/>
      </w:pPr>
      <w:r>
        <w:rPr>
          <w:rFonts w:ascii="Times New Roman" w:cs="Times New Roman" w:eastAsia="Times New Roman" w:hAnsi="Times New Roman"/>
          <w:sz w:val="22"/>
          <w:szCs w:val="22"/>
        </w:rPr>
        <w:t xml:space="preserve">Esitame ettepaneku märgukirjana märgukirjale ja selgitustaotlusele vastamise ning kollektiivse pöördumise esitamise seaduse tähenduses, õiguskantsleri 26.10.2026 kirja nr 14-8/262068/2608962 soovitusel (lisa 4). Oleme müügiautomaatide ettevõte ja meil on selles küsimuses ärihuvi. Ütleme selle ausalt välja ja palume ettepanekut hinnata selle sisu järgi.</w:t>
      </w:r>
    </w:p>
    <w:p>
      <w:pPr>
        <w:keepNext/>
        <w:spacing w:after="100" w:before="200"/>
      </w:pPr>
      <w:r>
        <w:rPr>
          <w:rFonts w:ascii="Times New Roman" w:cs="Times New Roman" w:eastAsia="Times New Roman" w:hAnsi="Times New Roman"/>
          <w:b/>
          <w:bCs/>
          <w:sz w:val="22"/>
          <w:szCs w:val="22"/>
        </w:rPr>
        <w:t xml:space="preserve">1. Taust</w:t>
      </w:r>
    </w:p>
    <w:p>
      <w:pPr>
        <w:spacing w:after="120" w:line="252"/>
      </w:pPr>
      <w:r>
        <w:rPr>
          <w:rFonts w:ascii="Times New Roman" w:cs="Times New Roman" w:eastAsia="Times New Roman" w:hAnsi="Times New Roman"/>
          <w:sz w:val="22"/>
          <w:szCs w:val="22"/>
        </w:rPr>
        <w:t xml:space="preserve">Tubakaseaduse (TubS) § 22 lõike 2 punkt 2 keelab tubakatoote ja tubakatootega seonduva toote jaemüügi müügiautomaadist tingimusteta, sõltumata automaadi vanusekontrollist ja asukohast. Oleme seda küsimust arutanud õiguskantsleri ja Sotsiaalministeeriumiga.</w:t>
      </w:r>
    </w:p>
    <w:p>
      <w:pPr>
        <w:spacing w:after="120" w:line="252"/>
      </w:pPr>
      <w:r>
        <w:rPr>
          <w:rFonts w:ascii="Times New Roman" w:cs="Times New Roman" w:eastAsia="Times New Roman" w:hAnsi="Times New Roman"/>
          <w:sz w:val="22"/>
          <w:szCs w:val="22"/>
        </w:rPr>
        <w:t xml:space="preserve">Pöördusime 28.08.2026 õiguskantsleri poole ja palusime kontrollida keelu põhiseaduspärasust osas, milles see hõlmab ka vanust elektrooniliselt kontrollivaid automaate ruumides, kuhu alaealistel juurdepääs puudub. Õiguskantsler edastas taotluse 07.09.2026 kirjaga nr 14-8/262068/2607332 vastamiseks Sotsiaalministeeriumile (lisa 1).</w:t>
      </w:r>
    </w:p>
    <w:p>
      <w:pPr>
        <w:spacing w:after="120" w:line="252"/>
      </w:pPr>
      <w:r>
        <w:rPr>
          <w:rFonts w:ascii="Times New Roman" w:cs="Times New Roman" w:eastAsia="Times New Roman" w:hAnsi="Times New Roman"/>
          <w:sz w:val="22"/>
          <w:szCs w:val="22"/>
        </w:rPr>
        <w:t xml:space="preserve">Sotsiaalministeerium leidis 23.09.2026 vastuses nr 1.2-5/2151-2, et keeld on vajalik ja mõõdukas (lisa 2). Ministeeriumi hinnangul on elektrooniline vanusekontroll arvestatav alternatiiv, kuid see ei täida keelu kõiki eesmärke. Esitasime 28.09.2026 õiguskantslerile täiendava taotluse, milles kitsendasime küsimust tubakatootega seonduvatele toodetele ja täisealistele mõeldud personaliga ruumidele ning kirjeldasime automaadi tingimusi täpsemalt (lisa 3). Õiguskantsler vastas 26.10.2026 kirjaga nr 14-8/262068/2608962, et keeld ei ole põhiseadusega vastuolus, kuid erandite kaalumine on tubakapoliitika küsimus, mille üle otsustab Riigikogu (lisa 4).</w:t>
      </w:r>
    </w:p>
    <w:p>
      <w:pPr>
        <w:spacing w:after="120" w:line="252"/>
      </w:pPr>
      <w:r>
        <w:rPr>
          <w:rFonts w:ascii="Times New Roman" w:cs="Times New Roman" w:eastAsia="Times New Roman" w:hAnsi="Times New Roman"/>
          <w:sz w:val="22"/>
          <w:szCs w:val="22"/>
        </w:rPr>
        <w:t xml:space="preserve">Ministeerium lisas, et elektrooniline vanusekontroll ei ole keelduga samaväärselt tõhus abinõu „ilma täiendava regulatsiooni ja järelevalvesüsteemita“. Õiguskantsler kirjutas: „Teie tõstatatud küsimus võib siiski anda põhjust arutada, kas tehnoloogia arengut ja erinevate toodete omadusi arvestades võiks kaaluda kõnealusest keelust erandite tegemist.“ Ta lisas, et ettepaneku võib esitada Riigikogule.</w:t>
      </w:r>
    </w:p>
    <w:p>
      <w:pPr>
        <w:spacing w:after="120" w:line="252"/>
      </w:pPr>
      <w:r>
        <w:rPr>
          <w:rFonts w:ascii="Times New Roman" w:cs="Times New Roman" w:eastAsia="Times New Roman" w:hAnsi="Times New Roman"/>
          <w:sz w:val="22"/>
          <w:szCs w:val="22"/>
        </w:rPr>
        <w:t xml:space="preserve">Võtame mõlema vastuse põhisõnumi arvesse: erand peab teenima keelu kõiki eesmärke, mitte ainult alaealiste kaitset. Seetõttu ei palu me keeldu kaotada. Pakume keelule tingimuslikku erandit koos just selle regulatsiooni ja järelevalvega, mille puudumisele ministeerium viitas.</w:t>
      </w:r>
    </w:p>
    <w:p>
      <w:pPr>
        <w:keepNext/>
        <w:spacing w:after="100" w:before="200"/>
      </w:pPr>
      <w:r>
        <w:rPr>
          <w:rFonts w:ascii="Times New Roman" w:cs="Times New Roman" w:eastAsia="Times New Roman" w:hAnsi="Times New Roman"/>
          <w:b/>
          <w:bCs/>
          <w:sz w:val="22"/>
          <w:szCs w:val="22"/>
        </w:rPr>
        <w:t xml:space="preserve">2. Ettepanek</w:t>
      </w:r>
    </w:p>
    <w:p>
      <w:pPr>
        <w:spacing w:after="120" w:line="252"/>
      </w:pPr>
      <w:r>
        <w:rPr>
          <w:rFonts w:ascii="Times New Roman" w:cs="Times New Roman" w:eastAsia="Times New Roman" w:hAnsi="Times New Roman"/>
          <w:sz w:val="22"/>
          <w:szCs w:val="22"/>
        </w:rPr>
        <w:t xml:space="preserve">Teeme ettepaneku lubada tubakatootega seonduva toote jaemüük müügiautomaadist üksnes siis, kui on täidetud kõik järgmised tingimused.</w:t>
      </w:r>
    </w:p>
    <w:p>
      <w:pPr>
        <w:pStyle w:val="ListParagraph"/>
        <w:numPr>
          <w:ilvl w:val="0"/>
          <w:numId w:val="2"/>
        </w:numPr>
        <w:spacing w:after="80" w:line="252"/>
      </w:pPr>
      <w:r>
        <w:rPr>
          <w:rFonts w:ascii="Times New Roman" w:cs="Times New Roman" w:eastAsia="Times New Roman" w:hAnsi="Times New Roman"/>
          <w:b/>
          <w:bCs/>
          <w:sz w:val="22"/>
          <w:szCs w:val="22"/>
        </w:rPr>
        <w:t xml:space="preserve">Ainult tubakatootega seonduvad tooted.</w:t>
      </w:r>
      <w:r>
        <w:rPr>
          <w:rFonts w:ascii="Times New Roman" w:cs="Times New Roman" w:eastAsia="Times New Roman" w:hAnsi="Times New Roman"/>
          <w:sz w:val="22"/>
          <w:szCs w:val="22"/>
        </w:rPr>
        <w:t xml:space="preserve"> Tubakatoodete müük automaadist jääb keelatuks. Nii jääb puutumata Eesti deklaratsioon WHO tubakakontrolli raamkonventsiooni artikli 16 lõike 5 alusel, mis käsitleb tubakamüügiautomaate.</w:t>
      </w:r>
    </w:p>
    <w:p>
      <w:pPr>
        <w:pStyle w:val="ListParagraph"/>
        <w:numPr>
          <w:ilvl w:val="0"/>
          <w:numId w:val="2"/>
        </w:numPr>
        <w:spacing w:after="80" w:line="252"/>
      </w:pPr>
      <w:r>
        <w:rPr>
          <w:rFonts w:ascii="Times New Roman" w:cs="Times New Roman" w:eastAsia="Times New Roman" w:hAnsi="Times New Roman"/>
          <w:b/>
          <w:bCs/>
          <w:sz w:val="22"/>
          <w:szCs w:val="22"/>
        </w:rPr>
        <w:t xml:space="preserve">Täisealistele mõeldud personaliga ruum.</w:t>
      </w:r>
      <w:r>
        <w:rPr>
          <w:rFonts w:ascii="Times New Roman" w:cs="Times New Roman" w:eastAsia="Times New Roman" w:hAnsi="Times New Roman"/>
          <w:sz w:val="22"/>
          <w:szCs w:val="22"/>
        </w:rPr>
        <w:t xml:space="preserve"> Automaat asub siseruumis, kuhu alaealise juurdepääs on keelatud ja kuhu sisenemisel kontrollib personal külastaja vanust. Tänavale ega üldkasutatavale alale automaati paigutada ei tohi.</w:t>
      </w:r>
    </w:p>
    <w:p>
      <w:pPr>
        <w:pStyle w:val="ListParagraph"/>
        <w:numPr>
          <w:ilvl w:val="0"/>
          <w:numId w:val="2"/>
        </w:numPr>
        <w:spacing w:after="80" w:line="252"/>
      </w:pPr>
      <w:r>
        <w:rPr>
          <w:rFonts w:ascii="Times New Roman" w:cs="Times New Roman" w:eastAsia="Times New Roman" w:hAnsi="Times New Roman"/>
          <w:b/>
          <w:bCs/>
          <w:sz w:val="22"/>
          <w:szCs w:val="22"/>
        </w:rPr>
        <w:t xml:space="preserve">Kasutatav ainult lahtiolekuajal.</w:t>
      </w:r>
      <w:r>
        <w:rPr>
          <w:rFonts w:ascii="Times New Roman" w:cs="Times New Roman" w:eastAsia="Times New Roman" w:hAnsi="Times New Roman"/>
          <w:sz w:val="22"/>
          <w:szCs w:val="22"/>
        </w:rPr>
        <w:t xml:space="preserve"> Automaat töötab üksnes siis, kui ruumis on personal. Muul ajal on see lukus.</w:t>
      </w:r>
    </w:p>
    <w:p>
      <w:pPr>
        <w:pStyle w:val="ListParagraph"/>
        <w:numPr>
          <w:ilvl w:val="0"/>
          <w:numId w:val="2"/>
        </w:numPr>
        <w:spacing w:after="80" w:line="252"/>
      </w:pPr>
      <w:r>
        <w:rPr>
          <w:rFonts w:ascii="Times New Roman" w:cs="Times New Roman" w:eastAsia="Times New Roman" w:hAnsi="Times New Roman"/>
          <w:b/>
          <w:bCs/>
          <w:sz w:val="22"/>
          <w:szCs w:val="22"/>
        </w:rPr>
        <w:t xml:space="preserve">Vanuse tugev tõendamine iga ostu juures.</w:t>
      </w:r>
      <w:r>
        <w:rPr>
          <w:rFonts w:ascii="Times New Roman" w:cs="Times New Roman" w:eastAsia="Times New Roman" w:hAnsi="Times New Roman"/>
          <w:sz w:val="22"/>
          <w:szCs w:val="22"/>
        </w:rPr>
        <w:t xml:space="preserve"> Toode väljastatakse alles pärast seda, kui ostja on tõendanud oma vähemalt 18-aastast vanust Smart-ID-ga või tulevikus Euroopa digiidentiteedikukru vanusetõendiga. Automaadi ekraanil kuvatakse QR-kood, mille ostja skannib oma telefoniga, ja PIN-koodi sisestab ta oma telefonis, mitte automaadil. Pelgalt dokumendi või kaardi lugemisest ei piisa. Tõrke korral automaat toodet ei väljasta.</w:t>
      </w:r>
    </w:p>
    <w:p>
      <w:pPr>
        <w:pStyle w:val="ListParagraph"/>
        <w:numPr>
          <w:ilvl w:val="0"/>
          <w:numId w:val="2"/>
        </w:numPr>
        <w:spacing w:after="80" w:line="252"/>
      </w:pPr>
      <w:r>
        <w:rPr>
          <w:rFonts w:ascii="Times New Roman" w:cs="Times New Roman" w:eastAsia="Times New Roman" w:hAnsi="Times New Roman"/>
          <w:b/>
          <w:bCs/>
          <w:sz w:val="22"/>
          <w:szCs w:val="22"/>
        </w:rPr>
        <w:t xml:space="preserve">Andmete minimeerimine.</w:t>
      </w:r>
      <w:r>
        <w:rPr>
          <w:rFonts w:ascii="Times New Roman" w:cs="Times New Roman" w:eastAsia="Times New Roman" w:hAnsi="Times New Roman"/>
          <w:sz w:val="22"/>
          <w:szCs w:val="22"/>
        </w:rPr>
        <w:t xml:space="preserve"> Automaat saab ainult vastuse „vähemalt 18-aastane: jah/ei“ ega säilita ostja nime, isikukoodi ega muid isikuandmeid. Säilitatakse isikustamata logi: aeg, toode, tõendamise viis ja tulemus.</w:t>
      </w:r>
    </w:p>
    <w:p>
      <w:pPr>
        <w:pStyle w:val="ListParagraph"/>
        <w:numPr>
          <w:ilvl w:val="0"/>
          <w:numId w:val="2"/>
        </w:numPr>
        <w:spacing w:after="80" w:line="252"/>
      </w:pPr>
      <w:r>
        <w:rPr>
          <w:rFonts w:ascii="Times New Roman" w:cs="Times New Roman" w:eastAsia="Times New Roman" w:hAnsi="Times New Roman"/>
          <w:b/>
          <w:bCs/>
          <w:sz w:val="22"/>
          <w:szCs w:val="22"/>
        </w:rPr>
        <w:t xml:space="preserve">Väljapaneku keeld kehtib edasi.</w:t>
      </w:r>
      <w:r>
        <w:rPr>
          <w:rFonts w:ascii="Times New Roman" w:cs="Times New Roman" w:eastAsia="Times New Roman" w:hAnsi="Times New Roman"/>
          <w:sz w:val="22"/>
          <w:szCs w:val="22"/>
        </w:rPr>
        <w:t xml:space="preserve"> Automaadis ega selle välisküljel ei ole toode ega kaubamärk nähtav (TubS § 22 lõige 3¹).</w:t>
      </w:r>
    </w:p>
    <w:p>
      <w:pPr>
        <w:pStyle w:val="ListParagraph"/>
        <w:numPr>
          <w:ilvl w:val="0"/>
          <w:numId w:val="2"/>
        </w:numPr>
        <w:spacing w:after="80" w:line="252"/>
      </w:pPr>
      <w:r>
        <w:rPr>
          <w:rFonts w:ascii="Times New Roman" w:cs="Times New Roman" w:eastAsia="Times New Roman" w:hAnsi="Times New Roman"/>
          <w:b/>
          <w:bCs/>
          <w:sz w:val="22"/>
          <w:szCs w:val="22"/>
        </w:rPr>
        <w:t xml:space="preserve">Järelevalve.</w:t>
      </w:r>
      <w:r>
        <w:rPr>
          <w:rFonts w:ascii="Times New Roman" w:cs="Times New Roman" w:eastAsia="Times New Roman" w:hAnsi="Times New Roman"/>
          <w:sz w:val="22"/>
          <w:szCs w:val="22"/>
        </w:rPr>
        <w:t xml:space="preserve"> Enne kasutuselevõttu teatatakse järelevalveasutusele automaadi asukoht. Järelevalveasutusel on juurdepääs logile ja võimalus automaat kaugelt sulgeda; tingimuste rikkumise korral võib ta automaadi kasutamise keelata.</w:t>
      </w:r>
    </w:p>
    <w:p>
      <w:pPr>
        <w:pStyle w:val="ListParagraph"/>
        <w:numPr>
          <w:ilvl w:val="0"/>
          <w:numId w:val="2"/>
        </w:numPr>
        <w:spacing w:after="80" w:line="252"/>
      </w:pPr>
      <w:r>
        <w:rPr>
          <w:rFonts w:ascii="Times New Roman" w:cs="Times New Roman" w:eastAsia="Times New Roman" w:hAnsi="Times New Roman"/>
          <w:b/>
          <w:bCs/>
          <w:sz w:val="22"/>
          <w:szCs w:val="22"/>
        </w:rPr>
        <w:t xml:space="preserve">Mõju hindamine.</w:t>
      </w:r>
      <w:r>
        <w:rPr>
          <w:rFonts w:ascii="Times New Roman" w:cs="Times New Roman" w:eastAsia="Times New Roman" w:hAnsi="Times New Roman"/>
          <w:sz w:val="22"/>
          <w:szCs w:val="22"/>
        </w:rPr>
        <w:t xml:space="preserve"> Valdkonna eest vastutav minister annab kahe aasta möödumisel erandi jõustumisest Riigikogu sotsiaalkomisjonile ülevaate selle mõjust, tuginedes logiandmetele ja järelevalve tulemustele.</w:t>
      </w:r>
    </w:p>
    <w:p>
      <w:pPr>
        <w:spacing w:after="120" w:before="80" w:line="252"/>
      </w:pPr>
      <w:r>
        <w:rPr>
          <w:rFonts w:ascii="Times New Roman" w:cs="Times New Roman" w:eastAsia="Times New Roman" w:hAnsi="Times New Roman"/>
          <w:sz w:val="22"/>
          <w:szCs w:val="22"/>
        </w:rPr>
        <w:t xml:space="preserve">Tehnilised nõuded kehtestaks valdkonna eest vastutav minister määrusega: aktsepteeritavad tõendamisvahendid, töökindlus ja tõrkerežiim, logi koosseis ja säilitamise tähtaeg ning järelevalveasutusele teatamise kord. Nii saab erand terviklikud raamid, mida Sotsiaalministeerium pidas vajalikuks.</w:t>
      </w:r>
    </w:p>
    <w:p>
      <w:pPr>
        <w:keepNext/>
        <w:spacing w:after="100" w:before="200"/>
      </w:pPr>
      <w:r>
        <w:rPr>
          <w:rFonts w:ascii="Times New Roman" w:cs="Times New Roman" w:eastAsia="Times New Roman" w:hAnsi="Times New Roman"/>
          <w:b/>
          <w:bCs/>
          <w:sz w:val="22"/>
          <w:szCs w:val="22"/>
        </w:rPr>
        <w:t xml:space="preserve">3. Kuidas tingimused vastavad keelu eesmärkidele</w:t>
      </w:r>
    </w:p>
    <w:p>
      <w:pPr>
        <w:spacing w:after="120" w:line="252"/>
      </w:pPr>
      <w:r>
        <w:rPr>
          <w:rFonts w:ascii="Times New Roman" w:cs="Times New Roman" w:eastAsia="Times New Roman" w:hAnsi="Times New Roman"/>
          <w:sz w:val="22"/>
          <w:szCs w:val="22"/>
        </w:rPr>
        <w:t xml:space="preserve">Sotsiaalministeerium nimetas 23.09.2026 vastuses keelu kuus eesmärki (lisa 2). Käsitleme neid järjest: mida tingimused tagavad ja mis risk jääb alles.</w:t>
      </w:r>
    </w:p>
    <w:p>
      <w:pPr>
        <w:spacing w:after="120" w:line="252"/>
      </w:pPr>
      <w:r>
        <w:rPr>
          <w:rFonts w:ascii="Times New Roman" w:cs="Times New Roman" w:eastAsia="Times New Roman" w:hAnsi="Times New Roman"/>
          <w:b/>
          <w:bCs/>
          <w:sz w:val="22"/>
          <w:szCs w:val="22"/>
        </w:rPr>
        <w:t xml:space="preserve">1. Alaealiste kaitse.</w:t>
      </w:r>
      <w:r>
        <w:rPr>
          <w:rFonts w:ascii="Times New Roman" w:cs="Times New Roman" w:eastAsia="Times New Roman" w:hAnsi="Times New Roman"/>
          <w:sz w:val="22"/>
          <w:szCs w:val="22"/>
        </w:rPr>
        <w:t xml:space="preserve"> Tingimused loovad kaks sõltumatut tõket: vanusekontrolli ruumi sisenemisel ja PIN-koodiga kinnitatud vanusetõendi iga ostu juures. Letimüügil küsib müüja dokumenti ainult siis, kui ostja ei ole ilmselgelt täisealine (TubS § 28). Alles jääb võimalus, et täisealine ostab toote alaealisele, kuid see risk on sama nagu letimüügil ja selline tegu on juba keelatud (TubS § 28).</w:t>
      </w:r>
    </w:p>
    <w:p>
      <w:pPr>
        <w:spacing w:after="120" w:line="252"/>
      </w:pPr>
      <w:r>
        <w:rPr>
          <w:rFonts w:ascii="Times New Roman" w:cs="Times New Roman" w:eastAsia="Times New Roman" w:hAnsi="Times New Roman"/>
          <w:b/>
          <w:bCs/>
          <w:sz w:val="22"/>
          <w:szCs w:val="22"/>
        </w:rPr>
        <w:t xml:space="preserve">2. Füüsilise kättesaadavuse vähendamine.</w:t>
      </w:r>
      <w:r>
        <w:rPr>
          <w:rFonts w:ascii="Times New Roman" w:cs="Times New Roman" w:eastAsia="Times New Roman" w:hAnsi="Times New Roman"/>
          <w:sz w:val="22"/>
          <w:szCs w:val="22"/>
        </w:rPr>
        <w:t xml:space="preserve"> Automaat ei ole üldsusele kättesaadav: seda saavad kasutada ainult täisealised, suletud ruumis ja lahtiolekuajal. Täisealise jaoks lisandub siiski üks müügikoht.</w:t>
      </w:r>
    </w:p>
    <w:p>
      <w:pPr>
        <w:spacing w:after="120" w:line="252"/>
      </w:pPr>
      <w:r>
        <w:rPr>
          <w:rFonts w:ascii="Times New Roman" w:cs="Times New Roman" w:eastAsia="Times New Roman" w:hAnsi="Times New Roman"/>
          <w:b/>
          <w:bCs/>
          <w:sz w:val="22"/>
          <w:szCs w:val="22"/>
        </w:rPr>
        <w:t xml:space="preserve">3. Täiendavate automaatsete ja potentsiaalselt pidevalt kasutatavate müügikohtade vältimine.</w:t>
      </w:r>
      <w:r>
        <w:rPr>
          <w:rFonts w:ascii="Times New Roman" w:cs="Times New Roman" w:eastAsia="Times New Roman" w:hAnsi="Times New Roman"/>
          <w:sz w:val="22"/>
          <w:szCs w:val="22"/>
        </w:rPr>
        <w:t xml:space="preserve"> Ööpäevaringne ja tänavaga piirnev müük on välistatud ning ilma personalita on automaat lukus. Lisandub piiratud arv automaate täisealiste ruumides.</w:t>
      </w:r>
    </w:p>
    <w:p>
      <w:pPr>
        <w:spacing w:after="120" w:line="252"/>
      </w:pPr>
      <w:r>
        <w:rPr>
          <w:rFonts w:ascii="Times New Roman" w:cs="Times New Roman" w:eastAsia="Times New Roman" w:hAnsi="Times New Roman"/>
          <w:b/>
          <w:bCs/>
          <w:sz w:val="22"/>
          <w:szCs w:val="22"/>
        </w:rPr>
        <w:t xml:space="preserve">4. Müük kontrollitavas müügikeskkonnas.</w:t>
      </w:r>
      <w:r>
        <w:rPr>
          <w:rFonts w:ascii="Times New Roman" w:cs="Times New Roman" w:eastAsia="Times New Roman" w:hAnsi="Times New Roman"/>
          <w:sz w:val="22"/>
          <w:szCs w:val="22"/>
        </w:rPr>
        <w:t xml:space="preserve"> Personal on kohal kogu kasutusaja ja iga ost on logitud. Selle eesmärgi osas lisariski ei teki.</w:t>
      </w:r>
    </w:p>
    <w:p>
      <w:pPr>
        <w:spacing w:after="120" w:line="252"/>
      </w:pPr>
      <w:r>
        <w:rPr>
          <w:rFonts w:ascii="Times New Roman" w:cs="Times New Roman" w:eastAsia="Times New Roman" w:hAnsi="Times New Roman"/>
          <w:b/>
          <w:bCs/>
          <w:sz w:val="22"/>
          <w:szCs w:val="22"/>
        </w:rPr>
        <w:t xml:space="preserve">5. Tõhus ja ühetaoline järelevalve.</w:t>
      </w:r>
      <w:r>
        <w:rPr>
          <w:rFonts w:ascii="Times New Roman" w:cs="Times New Roman" w:eastAsia="Times New Roman" w:hAnsi="Times New Roman"/>
          <w:sz w:val="22"/>
          <w:szCs w:val="22"/>
        </w:rPr>
        <w:t xml:space="preserve"> Teatamiskohustus, juurdepääs logile, kaugsulgemine ja õigus automaadi kasutamine keelata annavad järelevalvele andmeid, mida letimüük ei anna. Samas lisandub järelevalvele uus müügiviis, mida kontrollida, ning määrus peab nõuded üheselt kehtestama.</w:t>
      </w:r>
    </w:p>
    <w:p>
      <w:pPr>
        <w:spacing w:after="120" w:line="252"/>
      </w:pPr>
      <w:r>
        <w:rPr>
          <w:rFonts w:ascii="Times New Roman" w:cs="Times New Roman" w:eastAsia="Times New Roman" w:hAnsi="Times New Roman"/>
          <w:b/>
          <w:bCs/>
          <w:sz w:val="22"/>
          <w:szCs w:val="22"/>
        </w:rPr>
        <w:t xml:space="preserve">6. Tavapäraseks tarbekaubaks muutumise ja ostu liigse mugavuse piiramine.</w:t>
      </w:r>
      <w:r>
        <w:rPr>
          <w:rFonts w:ascii="Times New Roman" w:cs="Times New Roman" w:eastAsia="Times New Roman" w:hAnsi="Times New Roman"/>
          <w:sz w:val="22"/>
          <w:szCs w:val="22"/>
        </w:rPr>
        <w:t xml:space="preserve"> Väljapaneku ja müügiedenduse keeld kehtib edasi ning ost nõuab e-identimist ja PIN-koodi. Täisealisele on ost siiski mugavam kui praegu.</w:t>
      </w:r>
    </w:p>
    <w:p>
      <w:pPr>
        <w:spacing w:after="120" w:line="252"/>
      </w:pPr>
      <w:r>
        <w:rPr>
          <w:rFonts w:ascii="Times New Roman" w:cs="Times New Roman" w:eastAsia="Times New Roman" w:hAnsi="Times New Roman"/>
          <w:sz w:val="22"/>
          <w:szCs w:val="22"/>
        </w:rPr>
        <w:t xml:space="preserve">Eesmärkide 1 ja 4 osas annavad tingimused vähemalt sama kaitse kui letimüük. Eesmärgi 5 osas lisavad nad järelevalvele andmeid, kuid ka uue müügiviisi, mida kontrollida. Eesmärkide 2, 3 ja 6 osas jääb alles väike lisanduv kättesaadavus täisealistele. Selle kaalumine ettevõtlusvabadusega on õiguskantsleri sõnul tubakapoliitika küsimus, mille üle otsustab Riigikogu.</w:t>
      </w:r>
    </w:p>
    <w:p>
      <w:pPr>
        <w:keepNext/>
        <w:spacing w:after="100" w:before="200"/>
      </w:pPr>
      <w:r>
        <w:rPr>
          <w:rFonts w:ascii="Times New Roman" w:cs="Times New Roman" w:eastAsia="Times New Roman" w:hAnsi="Times New Roman"/>
          <w:b/>
          <w:bCs/>
          <w:sz w:val="22"/>
          <w:szCs w:val="22"/>
        </w:rPr>
        <w:t xml:space="preserve">4. Vastus ministeeriumi teistele vastuväidetele</w:t>
      </w:r>
    </w:p>
    <w:p>
      <w:pPr>
        <w:spacing w:after="120" w:line="252"/>
      </w:pPr>
      <w:r>
        <w:rPr>
          <w:rFonts w:ascii="Times New Roman" w:cs="Times New Roman" w:eastAsia="Times New Roman" w:hAnsi="Times New Roman"/>
          <w:b/>
          <w:bCs/>
          <w:sz w:val="22"/>
          <w:szCs w:val="22"/>
        </w:rPr>
        <w:t xml:space="preserve">Erand eeldab terviklikku raamistikku.</w:t>
      </w:r>
      <w:r>
        <w:rPr>
          <w:rFonts w:ascii="Times New Roman" w:cs="Times New Roman" w:eastAsia="Times New Roman" w:hAnsi="Times New Roman"/>
          <w:sz w:val="22"/>
          <w:szCs w:val="22"/>
        </w:rPr>
        <w:t xml:space="preserve"> Nõustume. Šveits tegi just seda: 2025. aastal vastu võetud muudatusega kohustab tubakatooteseaduse (TabPG) art 23a automaadist või internetis tubakatooteid ja e-sigarette müüjat looma vanusekontrolli süsteemi. Kogutud andmeid tohib kasutada ainult vanuse kontrollimiseks ja süsteemi nõuded kehtestab valitsus.</w:t>
      </w:r>
      <w:r>
        <w:rPr>
          <w:rStyle w:val="FootnoteReference"/>
        </w:rPr>
        <w:footnoteReference w:id="1"/>
      </w:r>
      <w:r>
        <w:rPr>
          <w:rFonts w:ascii="Times New Roman" w:cs="Times New Roman" w:eastAsia="Times New Roman" w:hAnsi="Times New Roman"/>
          <w:sz w:val="22"/>
          <w:szCs w:val="22"/>
        </w:rPr>
        <w:t xml:space="preserve"> Sama ülesehitust pakume punktis 5: põhitingimused seaduses, tehnilised nõuded määruses.</w:t>
      </w:r>
    </w:p>
    <w:p>
      <w:pPr>
        <w:spacing w:after="120" w:line="252"/>
      </w:pPr>
      <w:r>
        <w:rPr>
          <w:rFonts w:ascii="Times New Roman" w:cs="Times New Roman" w:eastAsia="Times New Roman" w:hAnsi="Times New Roman"/>
          <w:b/>
          <w:bCs/>
          <w:sz w:val="22"/>
          <w:szCs w:val="22"/>
        </w:rPr>
        <w:t xml:space="preserve">Vanusetõendit võib kasutada teine isik.</w:t>
      </w:r>
      <w:r>
        <w:rPr>
          <w:rFonts w:ascii="Times New Roman" w:cs="Times New Roman" w:eastAsia="Times New Roman" w:hAnsi="Times New Roman"/>
          <w:sz w:val="22"/>
          <w:szCs w:val="22"/>
        </w:rPr>
        <w:t xml:space="preserve"> Seetõttu nõuab ettepanek PIN-koodiga kinnitatud e-identimist, mitte kaardi lugemist. Itaalias, kus sigaretiautomaadid loevad tervisekaarti ilma PIN-koodita, on laenatud kaart teadaolev probleem.</w:t>
      </w:r>
      <w:r>
        <w:rPr>
          <w:rStyle w:val="FootnoteReference"/>
        </w:rPr>
        <w:footnoteReference w:id="2"/>
      </w:r>
      <w:r>
        <w:rPr>
          <w:rFonts w:ascii="Times New Roman" w:cs="Times New Roman" w:eastAsia="Times New Roman" w:hAnsi="Times New Roman"/>
          <w:sz w:val="22"/>
          <w:szCs w:val="22"/>
        </w:rPr>
        <w:t xml:space="preserve"> Kui täisealine annab alaealisele oma telefoni koos Smart-ID PIN-koodiga, on see samaväärne toote ostmisega alaealisele letist, mis on juba keelatud.</w:t>
      </w:r>
    </w:p>
    <w:p>
      <w:pPr>
        <w:spacing w:after="120" w:line="252"/>
      </w:pPr>
      <w:r>
        <w:rPr>
          <w:rFonts w:ascii="Times New Roman" w:cs="Times New Roman" w:eastAsia="Times New Roman" w:hAnsi="Times New Roman"/>
          <w:b/>
          <w:bCs/>
          <w:sz w:val="22"/>
          <w:szCs w:val="22"/>
        </w:rPr>
        <w:t xml:space="preserve">Eraelu puutumatus (põhiseaduse § 26).</w:t>
      </w:r>
      <w:r>
        <w:rPr>
          <w:rFonts w:ascii="Times New Roman" w:cs="Times New Roman" w:eastAsia="Times New Roman" w:hAnsi="Times New Roman"/>
          <w:sz w:val="22"/>
          <w:szCs w:val="22"/>
        </w:rPr>
        <w:t xml:space="preserve"> Automaat ei pea ostjat tuvastama, vaid ainult kontrollima, et ta on täisealine. Euroopa Komisjoni vanusetõendamise lahendus võimaldab tõendada, et isik on üle 18-aastane, avaldamata muid isikuandmeid.</w:t>
      </w:r>
      <w:r>
        <w:rPr>
          <w:rStyle w:val="FootnoteReference"/>
        </w:rPr>
        <w:footnoteReference w:id="3"/>
      </w:r>
      <w:r>
        <w:rPr>
          <w:rFonts w:ascii="Times New Roman" w:cs="Times New Roman" w:eastAsia="Times New Roman" w:hAnsi="Times New Roman"/>
          <w:sz w:val="22"/>
          <w:szCs w:val="22"/>
        </w:rPr>
        <w:t xml:space="preserve"> Riigikogu menetluses on 12.10.2026 algatatud eelnõu 1045 SE, mis loob Eestis õigusraamistiku Euroopa digiidentiteedikukru kasutuselevõtuks.</w:t>
      </w:r>
      <w:r>
        <w:rPr>
          <w:rStyle w:val="FootnoteReference"/>
        </w:rPr>
        <w:footnoteReference w:id="4"/>
      </w:r>
      <w:r>
        <w:rPr>
          <w:rFonts w:ascii="Times New Roman" w:cs="Times New Roman" w:eastAsia="Times New Roman" w:hAnsi="Times New Roman"/>
          <w:sz w:val="22"/>
          <w:szCs w:val="22"/>
        </w:rPr>
        <w:t xml:space="preserve"> Erandi vanusekontroll saaks tugineda samale taristule.</w:t>
      </w:r>
    </w:p>
    <w:p>
      <w:pPr>
        <w:spacing w:after="120" w:line="252"/>
      </w:pPr>
      <w:r>
        <w:rPr>
          <w:rFonts w:ascii="Times New Roman" w:cs="Times New Roman" w:eastAsia="Times New Roman" w:hAnsi="Times New Roman"/>
          <w:b/>
          <w:bCs/>
          <w:sz w:val="22"/>
          <w:szCs w:val="22"/>
        </w:rPr>
        <w:t xml:space="preserve">Saksamaa näide ei kohusta Eestit.</w:t>
      </w:r>
      <w:r>
        <w:rPr>
          <w:rFonts w:ascii="Times New Roman" w:cs="Times New Roman" w:eastAsia="Times New Roman" w:hAnsi="Times New Roman"/>
          <w:sz w:val="22"/>
          <w:szCs w:val="22"/>
        </w:rPr>
        <w:t xml:space="preserve"> Nõustume, et see ei ole põhiseaduslik argument. Poliitikaettepaneku taustana näitab see aga, et tingimuslik erand toimib Euroopa Liidu liikmesriigis: Saksamaal on automaatmüük vanusekontrolli tingimusel lubatud noorsookaitseseaduse (JuSchG) § 10 lõike 2 alusel, seejuures ka tubakatoodete puhul, mida meie ettepanek ei puuduta.</w:t>
      </w:r>
      <w:r>
        <w:rPr>
          <w:rStyle w:val="FootnoteReference"/>
        </w:rPr>
        <w:footnoteReference w:id="5"/>
      </w:r>
    </w:p>
    <w:p>
      <w:pPr>
        <w:keepNext/>
        <w:spacing w:after="100" w:before="200"/>
      </w:pPr>
      <w:r>
        <w:rPr>
          <w:rFonts w:ascii="Times New Roman" w:cs="Times New Roman" w:eastAsia="Times New Roman" w:hAnsi="Times New Roman"/>
          <w:b/>
          <w:bCs/>
          <w:sz w:val="22"/>
          <w:szCs w:val="22"/>
        </w:rPr>
        <w:t xml:space="preserve">5. Sõnastusettepanek</w:t>
      </w:r>
    </w:p>
    <w:p>
      <w:pPr>
        <w:spacing w:after="120" w:line="252"/>
      </w:pPr>
      <w:r>
        <w:rPr>
          <w:rFonts w:ascii="Times New Roman" w:cs="Times New Roman" w:eastAsia="Times New Roman" w:hAnsi="Times New Roman"/>
          <w:sz w:val="22"/>
          <w:szCs w:val="22"/>
        </w:rPr>
        <w:t xml:space="preserve">Pakume tubakaseaduse muutmiseks järgmise sõnastuse. Lõigete numeratsioonis on arvestatud, et Justiits- ja Digiministeeriumis ettevalmistatav tubakaseaduse ja riigilõivuseaduse muutmise seaduse eelnõu kavandab §-le 22 lõiget 2¹.</w:t>
      </w:r>
    </w:p>
    <w:p>
      <w:pPr>
        <w:keepNext/>
        <w:spacing w:after="80" w:line="252"/>
        <w:ind w:left="0"/>
      </w:pPr>
      <w:r>
        <w:rPr>
          <w:rFonts w:ascii="Times New Roman" w:cs="Times New Roman" w:eastAsia="Times New Roman" w:hAnsi="Times New Roman"/>
          <w:sz w:val="22"/>
          <w:szCs w:val="22"/>
        </w:rPr>
        <w:t xml:space="preserve">1) paragrahvi 22 lõike 2 punkt 2 muudetakse ja sõnastatakse järgmiselt:</w:t>
      </w:r>
    </w:p>
    <w:p>
      <w:pPr>
        <w:keepNext w:val="false"/>
        <w:spacing w:after="80" w:line="252"/>
        <w:ind w:left="567"/>
      </w:pPr>
      <w:r>
        <w:rPr>
          <w:rFonts w:ascii="Times New Roman" w:cs="Times New Roman" w:eastAsia="Times New Roman" w:hAnsi="Times New Roman"/>
          <w:sz w:val="22"/>
          <w:szCs w:val="22"/>
        </w:rPr>
        <w:t xml:space="preserve">„2) müügiautomaadist, välja arvatud tubakatootega seonduva toote jaemüük käesoleva paragrahvi lõikes 2² sätestatud tingimustel;“;</w:t>
      </w:r>
    </w:p>
    <w:p>
      <w:pPr>
        <w:keepNext/>
        <w:spacing w:after="80" w:line="252"/>
        <w:ind w:left="0"/>
      </w:pPr>
      <w:r>
        <w:rPr>
          <w:rFonts w:ascii="Times New Roman" w:cs="Times New Roman" w:eastAsia="Times New Roman" w:hAnsi="Times New Roman"/>
          <w:sz w:val="22"/>
          <w:szCs w:val="22"/>
        </w:rPr>
        <w:t xml:space="preserve">2) paragrahvi 22 täiendatakse lõigetega 2² ja 2³ järgmises sõnastuses:</w:t>
      </w:r>
    </w:p>
    <w:p>
      <w:pPr>
        <w:keepNext w:val="false"/>
        <w:spacing w:after="80" w:line="252"/>
        <w:ind w:left="567"/>
      </w:pPr>
      <w:r>
        <w:rPr>
          <w:rFonts w:ascii="Times New Roman" w:cs="Times New Roman" w:eastAsia="Times New Roman" w:hAnsi="Times New Roman"/>
          <w:sz w:val="22"/>
          <w:szCs w:val="22"/>
        </w:rPr>
        <w:t xml:space="preserve">„(2²) Tubakatootega seonduva toote jaemüük müügiautomaadist on lubatud, kui on täidetud kõik järgmised tingimused:</w:t>
      </w:r>
    </w:p>
    <w:p>
      <w:pPr>
        <w:keepNext w:val="false"/>
        <w:spacing w:after="80" w:line="252"/>
        <w:ind w:left="567"/>
      </w:pPr>
      <w:r>
        <w:rPr>
          <w:rFonts w:ascii="Times New Roman" w:cs="Times New Roman" w:eastAsia="Times New Roman" w:hAnsi="Times New Roman"/>
          <w:sz w:val="22"/>
          <w:szCs w:val="22"/>
        </w:rPr>
        <w:t xml:space="preserve">1) müügiautomaat asub siseruumis, kuhu alaealise juurdepääs on keelatud ja kuhu sisenemisel kontrollib müügikoha personal külastaja vanust;</w:t>
      </w:r>
    </w:p>
    <w:p>
      <w:pPr>
        <w:keepNext w:val="false"/>
        <w:spacing w:after="80" w:line="252"/>
        <w:ind w:left="567"/>
      </w:pPr>
      <w:r>
        <w:rPr>
          <w:rFonts w:ascii="Times New Roman" w:cs="Times New Roman" w:eastAsia="Times New Roman" w:hAnsi="Times New Roman"/>
          <w:sz w:val="22"/>
          <w:szCs w:val="22"/>
        </w:rPr>
        <w:t xml:space="preserve">2) müügiautomaati saab kasutada üksnes ajal, mil ruumis viibib müügikoha personal;</w:t>
      </w:r>
    </w:p>
    <w:p>
      <w:pPr>
        <w:keepNext w:val="false"/>
        <w:spacing w:after="80" w:line="252"/>
        <w:ind w:left="567"/>
      </w:pPr>
      <w:r>
        <w:rPr>
          <w:rFonts w:ascii="Times New Roman" w:cs="Times New Roman" w:eastAsia="Times New Roman" w:hAnsi="Times New Roman"/>
          <w:sz w:val="22"/>
          <w:szCs w:val="22"/>
        </w:rPr>
        <w:t xml:space="preserve">3) müügiautomaat väljastab toote alles pärast seda, kui ostja on tõendanud oma vähemalt 18-aastast vanust e-identimise vahendiga, mille kasutamist kinnitab ostja PIN-koodiga oma seadmes, või Euroopa digiidentiteedikukru vanusetõendiga, ning tõrke korral toodet ei väljasta;</w:t>
      </w:r>
    </w:p>
    <w:p>
      <w:pPr>
        <w:keepNext w:val="false"/>
        <w:spacing w:after="80" w:line="252"/>
        <w:ind w:left="567"/>
      </w:pPr>
      <w:r>
        <w:rPr>
          <w:rFonts w:ascii="Times New Roman" w:cs="Times New Roman" w:eastAsia="Times New Roman" w:hAnsi="Times New Roman"/>
          <w:sz w:val="22"/>
          <w:szCs w:val="22"/>
        </w:rPr>
        <w:t xml:space="preserve">4) müügiautomaat ei säilita ostja isikuandmeid ning vanuse kontrollimise kohta säilitatakse üksnes isikustamata logi;</w:t>
      </w:r>
    </w:p>
    <w:p>
      <w:pPr>
        <w:keepNext w:val="false"/>
        <w:spacing w:after="80" w:line="252"/>
        <w:ind w:left="567"/>
      </w:pPr>
      <w:r>
        <w:rPr>
          <w:rFonts w:ascii="Times New Roman" w:cs="Times New Roman" w:eastAsia="Times New Roman" w:hAnsi="Times New Roman"/>
          <w:sz w:val="22"/>
          <w:szCs w:val="22"/>
        </w:rPr>
        <w:t xml:space="preserve">5) müügiautomaadis ega selle välisküljel ei ole toode ega selle kaubamärk nähtav;</w:t>
      </w:r>
    </w:p>
    <w:p>
      <w:pPr>
        <w:keepNext w:val="false"/>
        <w:spacing w:after="80" w:line="252"/>
        <w:ind w:left="567"/>
      </w:pPr>
      <w:r>
        <w:rPr>
          <w:rFonts w:ascii="Times New Roman" w:cs="Times New Roman" w:eastAsia="Times New Roman" w:hAnsi="Times New Roman"/>
          <w:sz w:val="22"/>
          <w:szCs w:val="22"/>
        </w:rPr>
        <w:t xml:space="preserve">6) müügiautomaadi asukohast on enne kasutuselevõttu teatatud järelevalveasutusele ning järelevalveasutusel on juurdepääs logile ja võimalus müügiautomaat kaugjuhtimise teel sulgeda.</w:t>
      </w:r>
    </w:p>
    <w:p>
      <w:pPr>
        <w:keepNext w:val="false"/>
        <w:spacing w:after="80" w:line="252"/>
        <w:ind w:left="567"/>
      </w:pPr>
      <w:r>
        <w:rPr>
          <w:rFonts w:ascii="Times New Roman" w:cs="Times New Roman" w:eastAsia="Times New Roman" w:hAnsi="Times New Roman"/>
          <w:sz w:val="22"/>
          <w:szCs w:val="22"/>
        </w:rPr>
        <w:t xml:space="preserve">(2³) Valdkonna eest vastutav minister kehtestab määrusega käesoleva paragrahvi lõike 2² punktides 3, 4 ja 6 nimetatud vanusekontrolli süsteemi ja logi tehnilised nõuded, logi säilitamise tähtaja ning järelevalveasutusele teatamise korra.“;</w:t>
      </w:r>
    </w:p>
    <w:p>
      <w:pPr>
        <w:keepNext/>
        <w:spacing w:after="80" w:line="252"/>
        <w:ind w:left="0"/>
      </w:pPr>
      <w:r>
        <w:rPr>
          <w:rFonts w:ascii="Times New Roman" w:cs="Times New Roman" w:eastAsia="Times New Roman" w:hAnsi="Times New Roman"/>
          <w:sz w:val="22"/>
          <w:szCs w:val="22"/>
        </w:rPr>
        <w:t xml:space="preserve">3) seaduse rakendussätteid täiendatakse paragrahviga järgmises sõnastuses:</w:t>
      </w:r>
    </w:p>
    <w:p>
      <w:pPr>
        <w:keepNext w:val="false"/>
        <w:spacing w:after="80" w:line="252"/>
        <w:ind w:left="567"/>
      </w:pPr>
      <w:r>
        <w:rPr>
          <w:rFonts w:ascii="Times New Roman" w:cs="Times New Roman" w:eastAsia="Times New Roman" w:hAnsi="Times New Roman"/>
          <w:sz w:val="22"/>
          <w:szCs w:val="22"/>
        </w:rPr>
        <w:t xml:space="preserve">„Valdkonna eest vastutav minister esitab Riigikogu sotsiaalkomisjonile hiljemalt kahe aasta möödumisel § 22 lõike 2² jõustumisest ülevaate selle mõjust alaealiste kaitsele ja tubakatootega seonduvate toodete kättesaadavusele.“</w:t>
      </w:r>
    </w:p>
    <w:p>
      <w:pPr>
        <w:keepNext/>
        <w:spacing w:after="100" w:before="200"/>
      </w:pPr>
      <w:r>
        <w:rPr>
          <w:rFonts w:ascii="Times New Roman" w:cs="Times New Roman" w:eastAsia="Times New Roman" w:hAnsi="Times New Roman"/>
          <w:b/>
          <w:bCs/>
          <w:sz w:val="22"/>
          <w:szCs w:val="22"/>
        </w:rPr>
        <w:t xml:space="preserve">6. Palume komisjonil</w:t>
      </w:r>
    </w:p>
    <w:p>
      <w:pPr>
        <w:pStyle w:val="ListParagraph"/>
        <w:numPr>
          <w:ilvl w:val="0"/>
          <w:numId w:val="3"/>
        </w:numPr>
        <w:spacing w:after="80" w:line="252"/>
      </w:pPr>
      <w:r>
        <w:rPr>
          <w:rFonts w:ascii="Times New Roman" w:cs="Times New Roman" w:eastAsia="Times New Roman" w:hAnsi="Times New Roman"/>
          <w:sz w:val="22"/>
          <w:szCs w:val="22"/>
        </w:rPr>
        <w:t xml:space="preserve">arutada ettepanekut komisjoni istungil ja anda pöördujale võimalus seda tutvustada;</w:t>
      </w:r>
    </w:p>
    <w:p>
      <w:pPr>
        <w:pStyle w:val="ListParagraph"/>
        <w:numPr>
          <w:ilvl w:val="0"/>
          <w:numId w:val="3"/>
        </w:numPr>
        <w:spacing w:after="80" w:line="252"/>
      </w:pPr>
      <w:r>
        <w:rPr>
          <w:rFonts w:ascii="Times New Roman" w:cs="Times New Roman" w:eastAsia="Times New Roman" w:hAnsi="Times New Roman"/>
          <w:sz w:val="22"/>
          <w:szCs w:val="22"/>
        </w:rPr>
        <w:t xml:space="preserve">küsida Sotsiaalministeeriumilt hinnangut just punktis 2 kirjeldatud tingimuslikule mudelile, mitte müügiautomaatide keelule üldiselt;</w:t>
      </w:r>
    </w:p>
    <w:p>
      <w:pPr>
        <w:pStyle w:val="ListParagraph"/>
        <w:numPr>
          <w:ilvl w:val="0"/>
          <w:numId w:val="3"/>
        </w:numPr>
        <w:spacing w:after="80" w:line="252"/>
      </w:pPr>
      <w:r>
        <w:rPr>
          <w:rFonts w:ascii="Times New Roman" w:cs="Times New Roman" w:eastAsia="Times New Roman" w:hAnsi="Times New Roman"/>
          <w:sz w:val="22"/>
          <w:szCs w:val="22"/>
        </w:rPr>
        <w:t xml:space="preserve">kaaluda ettepanekut tubakaseaduse järgmise muutmise käigus, sealhulgas siis, kui ettevalmistatav tubakaseaduse ja riigilõivuseaduse muutmise seaduse eelnõu jõuab Riigikokku.</w:t>
      </w:r>
    </w:p>
    <w:p>
      <w:pPr>
        <w:spacing w:after="360" w:before="120" w:line="252"/>
      </w:pPr>
      <w:r>
        <w:rPr>
          <w:rFonts w:ascii="Times New Roman" w:cs="Times New Roman" w:eastAsia="Times New Roman" w:hAnsi="Times New Roman"/>
          <w:sz w:val="22"/>
          <w:szCs w:val="22"/>
        </w:rPr>
        <w:t xml:space="preserve">Oleme valmis andma lisateavet ja selgitama, kuidas vanusekontroll tehniliselt toimiks.</w:t>
      </w:r>
    </w:p>
    <w:p>
      <w:pPr>
        <w:spacing w:after="360"/>
      </w:pPr>
      <w:r>
        <w:rPr>
          <w:rFonts w:ascii="Times New Roman" w:cs="Times New Roman" w:eastAsia="Times New Roman" w:hAnsi="Times New Roman"/>
          <w:sz w:val="22"/>
          <w:szCs w:val="22"/>
        </w:rPr>
        <w:t xml:space="preserve">Lugupidamisega</w:t>
      </w:r>
    </w:p>
    <w:p>
      <w:pPr>
        <w:spacing w:after="240"/>
      </w:pPr>
      <w:r>
        <w:rPr>
          <w:rFonts w:ascii="Times New Roman" w:cs="Times New Roman" w:eastAsia="Times New Roman" w:hAnsi="Times New Roman"/>
          <w:i/>
          <w:iCs/>
          <w:sz w:val="22"/>
          <w:szCs w:val="22"/>
        </w:rPr>
        <w:t xml:space="preserve">/allkirjastatud digitaalselt/</w:t>
      </w:r>
    </w:p>
    <w:p>
      <w:pPr>
        <w:spacing w:after="0"/>
      </w:pPr>
      <w:r>
        <w:rPr>
          <w:rFonts w:ascii="Times New Roman" w:cs="Times New Roman" w:eastAsia="Times New Roman" w:hAnsi="Times New Roman"/>
          <w:b/>
          <w:bCs/>
          <w:sz w:val="22"/>
          <w:szCs w:val="22"/>
        </w:rPr>
        <w:t xml:space="preserve">Hugo Robin Õigus</w:t>
      </w:r>
    </w:p>
    <w:p>
      <w:pPr>
        <w:spacing w:after="0"/>
      </w:pPr>
      <w:r>
        <w:rPr>
          <w:rFonts w:ascii="Times New Roman" w:cs="Times New Roman" w:eastAsia="Times New Roman" w:hAnsi="Times New Roman"/>
          <w:b/>
          <w:bCs/>
          <w:sz w:val="22"/>
          <w:szCs w:val="22"/>
        </w:rPr>
        <w:t xml:space="preserve">juhatuse liige</w:t>
      </w:r>
    </w:p>
    <w:p>
      <w:pPr>
        <w:spacing w:after="0"/>
      </w:pPr>
      <w:r>
        <w:rPr>
          <w:rFonts w:ascii="Times New Roman" w:cs="Times New Roman" w:eastAsia="Times New Roman" w:hAnsi="Times New Roman"/>
          <w:b/>
          <w:bCs/>
          <w:sz w:val="22"/>
          <w:szCs w:val="22"/>
        </w:rPr>
        <w:t xml:space="preserve">VENDINGVIVENT OÜ registrikood 17584809</w:t>
      </w:r>
    </w:p>
    <w:p>
      <w:pPr>
        <w:spacing w:after="360"/>
      </w:pPr>
      <w:r>
        <w:rPr>
          <w:rFonts w:ascii="Times New Roman" w:cs="Times New Roman" w:eastAsia="Times New Roman" w:hAnsi="Times New Roman"/>
          <w:b/>
          <w:bCs/>
          <w:sz w:val="22"/>
          <w:szCs w:val="22"/>
        </w:rPr>
        <w:t xml:space="preserve">vendingvivent@gmail.com · 5035808</w:t>
      </w:r>
    </w:p>
    <w:p>
      <w:pPr>
        <w:keepNext/>
        <w:spacing w:after="60"/>
      </w:pPr>
      <w:r>
        <w:rPr>
          <w:rFonts w:ascii="Times New Roman" w:cs="Times New Roman" w:eastAsia="Times New Roman" w:hAnsi="Times New Roman"/>
          <w:b/>
          <w:bCs/>
          <w:sz w:val="22"/>
          <w:szCs w:val="22"/>
        </w:rPr>
        <w:t xml:space="preserve">Lisad:</w:t>
      </w:r>
    </w:p>
    <w:p>
      <w:pPr>
        <w:pStyle w:val="ListParagraph"/>
        <w:numPr>
          <w:ilvl w:val="0"/>
          <w:numId w:val="4"/>
        </w:numPr>
        <w:spacing w:after="80" w:line="252"/>
      </w:pPr>
      <w:r>
        <w:rPr>
          <w:rFonts w:ascii="Times New Roman" w:cs="Times New Roman" w:eastAsia="Times New Roman" w:hAnsi="Times New Roman"/>
          <w:sz w:val="22"/>
          <w:szCs w:val="22"/>
        </w:rPr>
        <w:t xml:space="preserve">14-82620682607332_07.09.2026_V_ljaminev_kiri_1.asice</w:t>
      </w:r>
    </w:p>
    <w:p>
      <w:pPr>
        <w:pStyle w:val="ListParagraph"/>
        <w:numPr>
          <w:ilvl w:val="0"/>
          <w:numId w:val="4"/>
        </w:numPr>
        <w:spacing w:after="80" w:line="252"/>
      </w:pPr>
      <w:r>
        <w:rPr>
          <w:rFonts w:ascii="Times New Roman" w:cs="Times New Roman" w:eastAsia="Times New Roman" w:hAnsi="Times New Roman"/>
          <w:sz w:val="22"/>
          <w:szCs w:val="22"/>
        </w:rPr>
        <w:t xml:space="preserve">1.2-52151-2_23.09.2026_V_ljaminev_kiri.asice</w:t>
      </w:r>
    </w:p>
    <w:p>
      <w:pPr>
        <w:pStyle w:val="ListParagraph"/>
        <w:numPr>
          <w:ilvl w:val="0"/>
          <w:numId w:val="4"/>
        </w:numPr>
        <w:spacing w:after="80" w:line="252"/>
      </w:pPr>
      <w:r>
        <w:rPr>
          <w:rFonts w:ascii="Times New Roman" w:cs="Times New Roman" w:eastAsia="Times New Roman" w:hAnsi="Times New Roman"/>
          <w:sz w:val="22"/>
          <w:szCs w:val="22"/>
        </w:rPr>
        <w:t xml:space="preserve">Taiendav_taotlus_oiguskantslerile_1.asice</w:t>
      </w:r>
    </w:p>
    <w:p>
      <w:pPr>
        <w:pStyle w:val="ListParagraph"/>
        <w:numPr>
          <w:ilvl w:val="0"/>
          <w:numId w:val="4"/>
        </w:numPr>
        <w:spacing w:after="80" w:line="252"/>
      </w:pPr>
      <w:r>
        <w:rPr>
          <w:rFonts w:ascii="Times New Roman" w:cs="Times New Roman" w:eastAsia="Times New Roman" w:hAnsi="Times New Roman"/>
          <w:sz w:val="22"/>
          <w:szCs w:val="22"/>
        </w:rPr>
        <w:t xml:space="preserve">14-82620682608962_26.10.2026_V_ljaminev_kiri.asice</w:t>
      </w:r>
    </w:p>
    <w:sectPr>
      <w:footerReference w:type="default" r:id="rId6"/>
      <w:pgSz w:w="11906" w:h="16838" w:orient="portrait"/>
      <w:pgMar w:top="1134" w:right="1134" w:bottom="1134" w:left="1418"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jc w:val="center"/>
    </w:pPr>
    <w:r>
      <w:rPr>
        <w:rFonts w:ascii="Times New Roman" w:cs="Times New Roman" w:eastAsia="Times New Roman" w:hAnsi="Times New Roman"/>
        <w:color w:val="808080"/>
        <w:sz w:val="16"/>
        <w:szCs w:val="16"/>
      </w:rPr>
      <w:t xml:space="preserve">Pöördumine Riigikogu sotsiaalkomisjonile  |  lk </w:t>
    </w:r>
    <w:r>
      <w:rPr>
        <w:rFonts w:ascii="Times New Roman" w:cs="Times New Roman" w:eastAsia="Times New Roman" w:hAnsi="Times New Roman"/>
        <w:color w:val="808080"/>
        <w:sz w:val="16"/>
        <w:szCs w:val="16"/>
      </w:rPr>
      <w:fldChar w:fldCharType="begin"/>
      <w:instrText xml:space="preserve">PAGE</w:instrText>
      <w:fldChar w:fldCharType="separate"/>
      <w:fldChar w:fldCharType="end"/>
    </w:r>
    <w:r>
      <w:rPr>
        <w:rFonts w:ascii="Times New Roman" w:cs="Times New Roman" w:eastAsia="Times New Roman" w:hAnsi="Times New Roman"/>
        <w:color w:val="808080"/>
        <w:sz w:val="16"/>
        <w:szCs w:val="16"/>
      </w:rPr>
      <w:t xml:space="preserve"> / </w:t>
    </w:r>
    <w:r>
      <w:rPr>
        <w:rFonts w:ascii="Times New Roman" w:cs="Times New Roman" w:eastAsia="Times New Roman" w:hAnsi="Times New Roman"/>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Times New Roman" w:cs="Times New Roman" w:eastAsia="Times New Roman" w:hAnsi="Times New Roman"/>
          <w:sz w:val="18"/>
          <w:szCs w:val="18"/>
        </w:rPr>
        <w:t xml:space="preserve">Bundesgesetz über Tabakprodukte und elektronische Zigaretten (TabPG), muudatus 20.06.2025, art 23a. https://www.parlament.ch/centers/eparl/curia/2023/20230049/Schlussabstimmungstext%201%20SN%20D.pdf</w:t>
      </w:r>
    </w:p>
  </w:footnote>
  <w:footnote w:id="2">
    <w:p>
      <w:r>
        <w:rPr>
          <w:rStyle w:val="FootnoteReference"/>
        </w:rPr>
        <w:footnoteRef/>
      </w:r>
      <w:r>
        <w:rPr>
          <w:rFonts w:ascii="Times New Roman" w:cs="Times New Roman" w:eastAsia="Times New Roman" w:hAnsi="Times New Roman"/>
          <w:sz w:val="18"/>
          <w:szCs w:val="18"/>
        </w:rPr>
        <w:t xml:space="preserve">Vt nt lentepubblica.it: https://lentepubblica.it/cittadini-e-imprese/perche-serve-la-tessera-sanitaria-per-le-sigarette/</w:t>
      </w:r>
    </w:p>
  </w:footnote>
  <w:footnote w:id="3">
    <w:p>
      <w:r>
        <w:rPr>
          <w:rStyle w:val="FootnoteReference"/>
        </w:rPr>
        <w:footnoteRef/>
      </w:r>
      <w:r>
        <w:rPr>
          <w:rFonts w:ascii="Times New Roman" w:cs="Times New Roman" w:eastAsia="Times New Roman" w:hAnsi="Times New Roman"/>
          <w:sz w:val="18"/>
          <w:szCs w:val="18"/>
        </w:rPr>
        <w:t xml:space="preserve">Euroopa Komisjon, vanusetõendamise lahenduse kava teine versioon. https://digital-strategy.ec.europa.eu/et/news/commission-releases-enhanced-second-version-age-verification-blueprint</w:t>
      </w:r>
    </w:p>
  </w:footnote>
  <w:footnote w:id="4">
    <w:p>
      <w:r>
        <w:rPr>
          <w:rStyle w:val="FootnoteReference"/>
        </w:rPr>
        <w:footnoteRef/>
      </w:r>
      <w:r>
        <w:rPr>
          <w:rFonts w:ascii="Times New Roman" w:cs="Times New Roman" w:eastAsia="Times New Roman" w:hAnsi="Times New Roman"/>
          <w:sz w:val="18"/>
          <w:szCs w:val="18"/>
        </w:rPr>
        <w:t xml:space="preserve">Riigikogu pressiteade 13.10.2026 „Menetlusse võeti eelnõu Eesti Rahvusringhäälingu seaduse muutmiseks“. https://www.riigikogu.ee/pressiteated/menetlusse-voeti-eelnou-eesti-rahvusringhaalingu-seaduse-muutmiseks/</w:t>
      </w:r>
    </w:p>
  </w:footnote>
  <w:footnote w:id="5">
    <w:p>
      <w:r>
        <w:rPr>
          <w:rStyle w:val="FootnoteReference"/>
        </w:rPr>
        <w:footnoteRef/>
      </w:r>
      <w:r>
        <w:rPr>
          <w:rFonts w:ascii="Times New Roman" w:cs="Times New Roman" w:eastAsia="Times New Roman" w:hAnsi="Times New Roman"/>
          <w:sz w:val="18"/>
          <w:szCs w:val="18"/>
        </w:rPr>
        <w:t xml:space="preserve">Jugendschutzgesetz (JuSchG) § 10 lg 2; vt ka VENDINGVIVENT OÜ 28.08.2026 taotlus (lisa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5" w:hanging="425"/>
      </w:pPr>
      <w:rPr>
        <w:rFonts w:ascii="Times New Roman" w:cs="Times New Roman" w:eastAsia="Times New Roman" w:hAnsi="Times New Roman"/>
        <w:sz w:val="22"/>
        <w:szCs w:val="22"/>
      </w:rPr>
    </w:lvl>
  </w:abstractNum>
  <w:abstractNum w:abstractNumId="3" w15:restartNumberingAfterBreak="0">
    <w:multiLevelType w:val="hybridMultilevel"/>
    <w:lvl w:ilvl="0" w:tentative="1">
      <w:start w:val="1"/>
      <w:numFmt w:val="decimal"/>
      <w:lvlText w:val="%1."/>
      <w:lvlJc w:val="left"/>
      <w:pPr>
        <w:ind w:left="425" w:hanging="425"/>
      </w:pPr>
      <w:rPr>
        <w:rFonts w:ascii="Times New Roman" w:cs="Times New Roman" w:eastAsia="Times New Roman" w:hAnsi="Times New Roman"/>
        <w:sz w:val="22"/>
        <w:szCs w:val="22"/>
      </w:rPr>
    </w:lvl>
  </w:abstractNum>
  <w:abstractNum w:abstractNumId="4" w15:restartNumberingAfterBreak="0">
    <w:multiLevelType w:val="hybridMultilevel"/>
    <w:lvl w:ilvl="0" w:tentative="1">
      <w:start w:val="1"/>
      <w:numFmt w:val="decimal"/>
      <w:lvlText w:val="%1."/>
      <w:lvlJc w:val="left"/>
      <w:pPr>
        <w:ind w:left="425" w:hanging="425"/>
      </w:pPr>
      <w:rPr>
        <w:rFonts w:ascii="Times New Roman" w:cs="Times New Roman" w:eastAsia="Times New Roman" w:hAnsi="Times New Roman"/>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rPr>
      <w:rFonts w:ascii="Times New Roman" w:cs="Times New Roman" w:eastAsia="Times New Roman" w:hAnsi="Times New Roman"/>
      <w:color w:val="808080"/>
      <w:sz w:val="16"/>
      <w:szCs w:val="1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Ettepanek tubakaseaduse § 22 lõike 2 punkti 2 muutmiseks</dc:title>
  <dc:creator>VENDINGVIVENT OÜ</dc:creator>
  <cp:lastModifiedBy>Un-named</cp:lastModifiedBy>
  <cp:revision>1</cp:revision>
  <dcterms:created xsi:type="dcterms:W3CDTF">2026-11-05T18:36:18.604Z</dcterms:created>
  <dcterms:modified xsi:type="dcterms:W3CDTF">2026-11-05T18:36:18.614Z</dcterms:modified>
</cp:coreProperties>
</file>

<file path=docProps/custom.xml><?xml version="1.0" encoding="utf-8"?>
<Properties xmlns="http://schemas.openxmlformats.org/officeDocument/2006/custom-properties" xmlns:vt="http://schemas.openxmlformats.org/officeDocument/2006/docPropsVTypes"/>
</file>