
<file path=[Content_Types].xml><?xml version="1.0" encoding="utf-8"?>
<Types xmlns="http://schemas.openxmlformats.org/package/2006/content-types">
  <Default Extension="bin"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b w:val="0"/>
          <w:sz w:val="24"/>
          <w:szCs w:val="22"/>
          <w:lang w:eastAsia="en-US"/>
        </w:rPr>
        <w:alias w:val="TechnicalBlock"/>
        <w:tag w:val="LCK:TechnicalBlock"/>
        <w:id w:val="-37353750"/>
        <w:lock w:val="sdtContentLocked"/>
      </w:sdtPr>
      <w:sdtEndPr/>
      <w:sdtContent>
        <w:tbl>
          <w:tblPr>
            <w:tblW w:w="11344" w:type="dxa"/>
            <w:jc w:val="center"/>
            <w:tblLayout w:type="fixed"/>
            <w:tblCellMar>
              <w:left w:w="0" w:type="dxa"/>
              <w:right w:w="0" w:type="dxa"/>
            </w:tblCellMar>
            <w:tblLook w:val="0000" w:firstRow="0" w:lastRow="0" w:firstColumn="0" w:lastColumn="0" w:noHBand="0" w:noVBand="0"/>
          </w:tblPr>
          <w:tblGrid>
            <w:gridCol w:w="850"/>
            <w:gridCol w:w="970"/>
            <w:gridCol w:w="2862"/>
            <w:gridCol w:w="1696"/>
            <w:gridCol w:w="147"/>
            <w:gridCol w:w="4819"/>
          </w:tblGrid>
          <w:tr w:rsidR="003558E4" w:rsidRPr="005F5A6B" w14:paraId="5B15288A" w14:textId="77777777" w:rsidTr="00524601">
            <w:trPr>
              <w:cantSplit/>
              <w:trHeight w:val="510"/>
              <w:jc w:val="center"/>
            </w:trPr>
            <w:tc>
              <w:tcPr>
                <w:tcW w:w="11344" w:type="dxa"/>
                <w:gridSpan w:val="6"/>
                <w:vAlign w:val="bottom"/>
              </w:tcPr>
              <w:p w14:paraId="46F25E36" w14:textId="77777777" w:rsidR="003558E4" w:rsidRPr="005F5A6B" w:rsidRDefault="003558E4" w:rsidP="00524601">
                <w:pPr>
                  <w:pStyle w:val="TBNormalTechnicalBlock"/>
                  <w:jc w:val="right"/>
                  <w:rPr>
                    <w:b w:val="0"/>
                    <w:bCs/>
                  </w:rPr>
                </w:pPr>
              </w:p>
            </w:tc>
          </w:tr>
          <w:tr w:rsidR="003558E4" w:rsidRPr="006720F9" w14:paraId="5950871D" w14:textId="77777777" w:rsidTr="00524601">
            <w:trPr>
              <w:cantSplit/>
              <w:trHeight w:val="567"/>
              <w:jc w:val="center"/>
            </w:trPr>
            <w:tc>
              <w:tcPr>
                <w:tcW w:w="1820" w:type="dxa"/>
                <w:gridSpan w:val="2"/>
                <w:vAlign w:val="bottom"/>
              </w:tcPr>
              <w:p w14:paraId="55C117B0" w14:textId="77777777" w:rsidR="003558E4" w:rsidRPr="006C5D93" w:rsidRDefault="003558E4" w:rsidP="00524601">
                <w:pPr>
                  <w:pStyle w:val="TBEntInstit"/>
                </w:pPr>
                <w:r w:rsidRPr="006C5D93">
                  <w:rPr>
                    <w:noProof/>
                  </w:rPr>
                  <w:drawing>
                    <wp:inline distT="0" distB="0" distL="0" distR="0" wp14:anchorId="64F076FA" wp14:editId="78115086">
                      <wp:extent cx="626400" cy="522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26400" cy="522000"/>
                              </a:xfrm>
                              <a:prstGeom prst="rect">
                                <a:avLst/>
                              </a:prstGeom>
                            </pic:spPr>
                          </pic:pic>
                        </a:graphicData>
                      </a:graphic>
                    </wp:inline>
                  </w:drawing>
                </w:r>
              </w:p>
            </w:tc>
            <w:tc>
              <w:tcPr>
                <w:tcW w:w="9524" w:type="dxa"/>
                <w:gridSpan w:val="4"/>
                <w:tcMar>
                  <w:left w:w="85" w:type="dxa"/>
                </w:tcMar>
                <w:vAlign w:val="bottom"/>
              </w:tcPr>
              <w:p w14:paraId="6BB6A7CE" w14:textId="77777777" w:rsidR="003558E4" w:rsidRPr="008414C3" w:rsidRDefault="005B7178" w:rsidP="00524601">
                <w:pPr>
                  <w:pStyle w:val="TBInstitution"/>
                </w:pPr>
                <w:r>
                  <w:t>Council of the</w:t>
                </w:r>
                <w:r>
                  <w:br/>
                  <w:t>European Union</w:t>
                </w:r>
              </w:p>
            </w:tc>
          </w:tr>
          <w:tr w:rsidR="003558E4" w:rsidRPr="006720F9" w14:paraId="58529DFE" w14:textId="77777777" w:rsidTr="00524601">
            <w:trPr>
              <w:gridBefore w:val="2"/>
              <w:wBefore w:w="1820" w:type="dxa"/>
              <w:cantSplit/>
              <w:trHeight w:val="1191"/>
              <w:jc w:val="center"/>
            </w:trPr>
            <w:tc>
              <w:tcPr>
                <w:tcW w:w="4558" w:type="dxa"/>
                <w:gridSpan w:val="2"/>
                <w:tcMar>
                  <w:top w:w="28" w:type="dxa"/>
                  <w:left w:w="85" w:type="dxa"/>
                </w:tcMar>
              </w:tcPr>
              <w:p w14:paraId="015C585A" w14:textId="77777777" w:rsidR="003558E4" w:rsidRPr="00327887" w:rsidRDefault="003558E4" w:rsidP="00524601">
                <w:pPr>
                  <w:pStyle w:val="TBInstitutionSubwordmark"/>
                </w:pPr>
              </w:p>
            </w:tc>
            <w:tc>
              <w:tcPr>
                <w:tcW w:w="147" w:type="dxa"/>
                <w:vAlign w:val="bottom"/>
              </w:tcPr>
              <w:p w14:paraId="4EB62EFD" w14:textId="77777777" w:rsidR="003558E4" w:rsidRPr="00093255" w:rsidRDefault="003558E4" w:rsidP="00524601">
                <w:pPr>
                  <w:pStyle w:val="TBNormalTechnicalBlock"/>
                  <w:jc w:val="right"/>
                  <w:rPr>
                    <w:b w:val="0"/>
                    <w:bCs/>
                  </w:rPr>
                </w:pPr>
              </w:p>
            </w:tc>
            <w:tc>
              <w:tcPr>
                <w:tcW w:w="4819" w:type="dxa"/>
                <w:vMerge w:val="restart"/>
                <w:tcMar>
                  <w:top w:w="0" w:type="dxa"/>
                </w:tcMar>
              </w:tcPr>
              <w:p w14:paraId="3E3585E4" w14:textId="77777777" w:rsidR="003558E4" w:rsidRPr="0012121B" w:rsidRDefault="005B7178" w:rsidP="00524601">
                <w:pPr>
                  <w:pStyle w:val="TBNormalTechnicalBlock"/>
                </w:pPr>
                <w:r>
                  <w:t>Brussels, 17 July 2025</w:t>
                </w:r>
              </w:p>
              <w:p w14:paraId="265E42F0" w14:textId="77777777" w:rsidR="003558E4" w:rsidRPr="00871A20" w:rsidRDefault="003558E4" w:rsidP="00524601">
                <w:pPr>
                  <w:pStyle w:val="TBNormalTechnicalBlock"/>
                  <w:rPr>
                    <w:bCs/>
                  </w:rPr>
                </w:pPr>
                <w:r w:rsidRPr="00E60683">
                  <w:rPr>
                    <w:bCs/>
                  </w:rPr>
                  <w:t xml:space="preserve">(OR. </w:t>
                </w:r>
                <w:r>
                  <w:rPr>
                    <w:bCs/>
                  </w:rPr>
                  <w:t>en</w:t>
                </w:r>
                <w:r w:rsidRPr="00871A20">
                  <w:rPr>
                    <w:bCs/>
                  </w:rPr>
                  <w:t>)</w:t>
                </w:r>
              </w:p>
              <w:p w14:paraId="093AB321" w14:textId="77777777" w:rsidR="003558E4" w:rsidRPr="00871A20" w:rsidRDefault="003558E4" w:rsidP="00524601">
                <w:pPr>
                  <w:pStyle w:val="TBNormalTechnicalBlock"/>
                  <w:jc w:val="right"/>
                </w:pPr>
              </w:p>
              <w:p w14:paraId="2BF6A679" w14:textId="77777777" w:rsidR="003558E4" w:rsidRPr="00871A20" w:rsidRDefault="003558E4" w:rsidP="00524601">
                <w:pPr>
                  <w:pStyle w:val="TBNormalTechnicalBlock"/>
                  <w:jc w:val="right"/>
                </w:pPr>
              </w:p>
              <w:p w14:paraId="305D2D40" w14:textId="77777777" w:rsidR="003558E4" w:rsidRPr="00F65A71" w:rsidRDefault="005B7178" w:rsidP="00524601">
                <w:pPr>
                  <w:pStyle w:val="TBNormalTechnicalBlock"/>
                  <w:rPr>
                    <w:bCs/>
                    <w:lang w:val="en-US"/>
                  </w:rPr>
                </w:pPr>
                <w:r>
                  <w:rPr>
                    <w:bCs/>
                    <w:lang w:val="en-US"/>
                  </w:rPr>
                  <w:t>11771</w:t>
                </w:r>
                <w:r w:rsidR="003558E4" w:rsidRPr="00F65A71">
                  <w:rPr>
                    <w:bCs/>
                    <w:lang w:val="en-US"/>
                  </w:rPr>
                  <w:t>/</w:t>
                </w:r>
                <w:r>
                  <w:rPr>
                    <w:bCs/>
                    <w:lang w:val="en-US"/>
                  </w:rPr>
                  <w:t>25</w:t>
                </w:r>
              </w:p>
              <w:p w14:paraId="019DBA0F" w14:textId="77777777" w:rsidR="003558E4" w:rsidRPr="00F65A71" w:rsidRDefault="003558E4" w:rsidP="00524601">
                <w:pPr>
                  <w:pStyle w:val="TBNormalTechnicalBlock"/>
                  <w:rPr>
                    <w:lang w:val="en-US"/>
                  </w:rPr>
                </w:pPr>
              </w:p>
              <w:p w14:paraId="1AF781B5" w14:textId="77777777" w:rsidR="003558E4" w:rsidRPr="00F65A71" w:rsidRDefault="003558E4" w:rsidP="00524601">
                <w:pPr>
                  <w:pStyle w:val="TBNormalTechnicalBlock"/>
                  <w:jc w:val="right"/>
                  <w:rPr>
                    <w:lang w:val="en-US"/>
                  </w:rPr>
                </w:pPr>
              </w:p>
              <w:p w14:paraId="2437AF55" w14:textId="77777777" w:rsidR="003558E4" w:rsidRDefault="003558E4" w:rsidP="00524601">
                <w:pPr>
                  <w:pStyle w:val="TBNormalTechnicalBlock"/>
                </w:pPr>
              </w:p>
              <w:p w14:paraId="074E262A" w14:textId="77777777" w:rsidR="003558E4" w:rsidRDefault="003558E4" w:rsidP="00524601">
                <w:pPr>
                  <w:pStyle w:val="TBNormalTechnicalBlock"/>
                  <w:jc w:val="right"/>
                </w:pPr>
              </w:p>
              <w:p w14:paraId="5C1ABFA8" w14:textId="77777777" w:rsidR="00AD5BB2" w:rsidRDefault="005B7178">
                <w:pPr>
                  <w:pStyle w:val="TBEntRefer"/>
                  <w:tabs>
                    <w:tab w:val="left" w:pos="2265"/>
                  </w:tabs>
                </w:pPr>
                <w:r>
                  <w:t>CULT 87</w:t>
                </w:r>
                <w:r>
                  <w:tab/>
                  <w:t>SAN 473</w:t>
                </w:r>
              </w:p>
              <w:p w14:paraId="0937808A" w14:textId="77777777" w:rsidR="00AD5BB2" w:rsidRDefault="005B7178">
                <w:pPr>
                  <w:pStyle w:val="TBEntRefer"/>
                  <w:tabs>
                    <w:tab w:val="left" w:pos="2265"/>
                  </w:tabs>
                </w:pPr>
                <w:r>
                  <w:t>AUDIO 67</w:t>
                </w:r>
                <w:r>
                  <w:tab/>
                  <w:t>IND 286</w:t>
                </w:r>
              </w:p>
              <w:p w14:paraId="314AEA87" w14:textId="77777777" w:rsidR="00AD5BB2" w:rsidRDefault="005B7178">
                <w:pPr>
                  <w:pStyle w:val="TBEntRefer"/>
                  <w:tabs>
                    <w:tab w:val="left" w:pos="2265"/>
                  </w:tabs>
                </w:pPr>
                <w:r>
                  <w:t>FREMP 211</w:t>
                </w:r>
                <w:r>
                  <w:tab/>
                  <w:t>COMPET 761</w:t>
                </w:r>
              </w:p>
              <w:p w14:paraId="2213FFF5" w14:textId="77777777" w:rsidR="00AD5BB2" w:rsidRDefault="005B7178">
                <w:pPr>
                  <w:pStyle w:val="TBEntRefer"/>
                  <w:tabs>
                    <w:tab w:val="left" w:pos="2265"/>
                  </w:tabs>
                </w:pPr>
                <w:r>
                  <w:t>CODEC 1050</w:t>
                </w:r>
                <w:r>
                  <w:tab/>
                  <w:t>PROCIV 103</w:t>
                </w:r>
              </w:p>
              <w:p w14:paraId="744F1558" w14:textId="77777777" w:rsidR="00AD5BB2" w:rsidRDefault="005B7178">
                <w:pPr>
                  <w:pStyle w:val="TBEntRefer"/>
                  <w:tabs>
                    <w:tab w:val="left" w:pos="2265"/>
                  </w:tabs>
                </w:pPr>
                <w:r>
                  <w:t>CADREFIN 113</w:t>
                </w:r>
                <w:r>
                  <w:tab/>
                  <w:t>HYBRID 97</w:t>
                </w:r>
              </w:p>
              <w:p w14:paraId="18F2CBC7" w14:textId="77777777" w:rsidR="00AD5BB2" w:rsidRDefault="005B7178">
                <w:pPr>
                  <w:pStyle w:val="TBEntRefer"/>
                  <w:tabs>
                    <w:tab w:val="left" w:pos="2265"/>
                  </w:tabs>
                </w:pPr>
                <w:r>
                  <w:t>FIN 901</w:t>
                </w:r>
                <w:r>
                  <w:tab/>
                  <w:t>DISINFO 67</w:t>
                </w:r>
              </w:p>
              <w:p w14:paraId="3580600B" w14:textId="77777777" w:rsidR="00AD5BB2" w:rsidRDefault="005B7178">
                <w:pPr>
                  <w:pStyle w:val="TBEntRefer"/>
                  <w:tabs>
                    <w:tab w:val="left" w:pos="2265"/>
                  </w:tabs>
                </w:pPr>
                <w:r>
                  <w:t>IA 93</w:t>
                </w:r>
                <w:r>
                  <w:tab/>
                  <w:t>JAI 1102</w:t>
                </w:r>
              </w:p>
              <w:p w14:paraId="18F15C2B" w14:textId="77777777" w:rsidR="00AD5BB2" w:rsidRDefault="005B7178">
                <w:pPr>
                  <w:pStyle w:val="TBEntRefer"/>
                  <w:tabs>
                    <w:tab w:val="left" w:pos="2265"/>
                  </w:tabs>
                </w:pPr>
                <w:r>
                  <w:t>JEUN 202</w:t>
                </w:r>
                <w:r>
                  <w:tab/>
                  <w:t>SERVICES 33</w:t>
                </w:r>
              </w:p>
              <w:p w14:paraId="7E698CBF" w14:textId="77777777" w:rsidR="00AD5BB2" w:rsidRDefault="005B7178">
                <w:pPr>
                  <w:pStyle w:val="TBEntRefer"/>
                  <w:tabs>
                    <w:tab w:val="left" w:pos="2265"/>
                  </w:tabs>
                </w:pPr>
                <w:r>
                  <w:t>EDUC 331</w:t>
                </w:r>
                <w:r>
                  <w:tab/>
                  <w:t>POLGEN 96</w:t>
                </w:r>
              </w:p>
              <w:p w14:paraId="32498542" w14:textId="77777777" w:rsidR="00AD5BB2" w:rsidRDefault="005B7178">
                <w:pPr>
                  <w:pStyle w:val="TBEntRefer"/>
                  <w:tabs>
                    <w:tab w:val="left" w:pos="2265"/>
                  </w:tabs>
                </w:pPr>
                <w:r>
                  <w:t>CULT HERIT 9</w:t>
                </w:r>
                <w:r>
                  <w:tab/>
                  <w:t>MI 559</w:t>
                </w:r>
              </w:p>
              <w:p w14:paraId="4989F0D8" w14:textId="77777777" w:rsidR="00AD5BB2" w:rsidRDefault="005B7178">
                <w:pPr>
                  <w:pStyle w:val="TBEntRefer"/>
                  <w:tabs>
                    <w:tab w:val="left" w:pos="2265"/>
                  </w:tabs>
                </w:pPr>
                <w:r>
                  <w:t>SOC 535</w:t>
                </w:r>
                <w:r>
                  <w:tab/>
                  <w:t>RELEX 1031</w:t>
                </w:r>
              </w:p>
              <w:p w14:paraId="4BE96D54" w14:textId="77777777" w:rsidR="00AD5BB2" w:rsidRDefault="005B7178">
                <w:pPr>
                  <w:pStyle w:val="TBEntRefer"/>
                  <w:tabs>
                    <w:tab w:val="left" w:pos="2265"/>
                  </w:tabs>
                </w:pPr>
                <w:r>
                  <w:t>GENDER 165</w:t>
                </w:r>
                <w:r>
                  <w:tab/>
                  <w:t>INF 118</w:t>
                </w:r>
              </w:p>
              <w:p w14:paraId="551407B5" w14:textId="77777777" w:rsidR="00AD5BB2" w:rsidRDefault="005B7178">
                <w:pPr>
                  <w:pStyle w:val="TBEntRefer"/>
                  <w:tabs>
                    <w:tab w:val="left" w:pos="2265"/>
                  </w:tabs>
                </w:pPr>
                <w:r>
                  <w:t>DIGIT 149</w:t>
                </w:r>
                <w:r>
                  <w:tab/>
                  <w:t>COPEN 225</w:t>
                </w:r>
              </w:p>
              <w:p w14:paraId="7C787C92" w14:textId="77777777" w:rsidR="00AD5BB2" w:rsidRDefault="005B7178">
                <w:pPr>
                  <w:pStyle w:val="TBEntRefer"/>
                  <w:tabs>
                    <w:tab w:val="left" w:pos="2265"/>
                  </w:tabs>
                </w:pPr>
                <w:r>
                  <w:t>DATAPROTECT 162</w:t>
                </w:r>
                <w:r>
                  <w:tab/>
                  <w:t>JUSTCIV 136</w:t>
                </w:r>
              </w:p>
              <w:p w14:paraId="354FFABB" w14:textId="77777777" w:rsidR="00AD5BB2" w:rsidRDefault="005B7178">
                <w:pPr>
                  <w:pStyle w:val="TBEntRefer"/>
                  <w:tabs>
                    <w:tab w:val="left" w:pos="2265"/>
                  </w:tabs>
                </w:pPr>
                <w:r>
                  <w:t>ANTIDISCRIM 75</w:t>
                </w:r>
                <w:r>
                  <w:tab/>
                  <w:t>DROIPEN 89</w:t>
                </w:r>
              </w:p>
            </w:tc>
          </w:tr>
          <w:tr w:rsidR="003558E4" w:rsidRPr="006720F9" w14:paraId="3BDD5BE6" w14:textId="77777777" w:rsidTr="00524601">
            <w:trPr>
              <w:gridBefore w:val="1"/>
              <w:wBefore w:w="850" w:type="dxa"/>
              <w:cantSplit/>
              <w:trHeight w:val="837"/>
              <w:jc w:val="center"/>
            </w:trPr>
            <w:tc>
              <w:tcPr>
                <w:tcW w:w="3832" w:type="dxa"/>
                <w:gridSpan w:val="2"/>
                <w:vAlign w:val="center"/>
              </w:tcPr>
              <w:p w14:paraId="7483ECBE" w14:textId="77777777" w:rsidR="00AD5BB2" w:rsidRDefault="005B7178">
                <w:pPr>
                  <w:pStyle w:val="TBEntReferNew"/>
                  <w:pBdr>
                    <w:top w:val="double" w:sz="6" w:space="2" w:color="auto"/>
                    <w:bottom w:val="double" w:sz="6" w:space="2" w:color="auto"/>
                  </w:pBdr>
                  <w:rPr>
                    <w:sz w:val="23"/>
                    <w:szCs w:val="23"/>
                  </w:rPr>
                </w:pPr>
                <w:r>
                  <w:rPr>
                    <w:sz w:val="23"/>
                    <w:szCs w:val="23"/>
                  </w:rPr>
                  <w:t>Interinstitutional File:</w:t>
                </w:r>
              </w:p>
              <w:p w14:paraId="041E1C34" w14:textId="77777777" w:rsidR="00AD5BB2" w:rsidRDefault="005B7178">
                <w:pPr>
                  <w:pStyle w:val="TBEntReferNew"/>
                  <w:pBdr>
                    <w:top w:val="double" w:sz="6" w:space="2" w:color="auto"/>
                    <w:bottom w:val="double" w:sz="6" w:space="2" w:color="auto"/>
                  </w:pBdr>
                  <w:rPr>
                    <w:sz w:val="23"/>
                    <w:szCs w:val="23"/>
                  </w:rPr>
                </w:pPr>
                <w:r>
                  <w:rPr>
                    <w:sz w:val="23"/>
                    <w:szCs w:val="23"/>
                  </w:rPr>
                  <w:t>2025/0550 (COD)</w:t>
                </w:r>
              </w:p>
            </w:tc>
            <w:tc>
              <w:tcPr>
                <w:tcW w:w="1843" w:type="dxa"/>
                <w:gridSpan w:val="2"/>
                <w:vMerge w:val="restart"/>
                <w:vAlign w:val="bottom"/>
              </w:tcPr>
              <w:p w14:paraId="122CAF04" w14:textId="77777777" w:rsidR="003558E4" w:rsidRPr="008F6E25" w:rsidRDefault="003558E4" w:rsidP="00524601">
                <w:pPr>
                  <w:pStyle w:val="TBNormalTechnicalBlock"/>
                  <w:jc w:val="right"/>
                  <w:rPr>
                    <w:b w:val="0"/>
                    <w:bCs/>
                  </w:rPr>
                </w:pPr>
              </w:p>
            </w:tc>
            <w:tc>
              <w:tcPr>
                <w:tcW w:w="4819" w:type="dxa"/>
                <w:vMerge/>
              </w:tcPr>
              <w:p w14:paraId="5742E1CD" w14:textId="77777777" w:rsidR="003558E4" w:rsidRPr="00F26BF3" w:rsidRDefault="003558E4" w:rsidP="00524601">
                <w:pPr>
                  <w:pStyle w:val="TBEntRefer"/>
                  <w:rPr>
                    <w:szCs w:val="23"/>
                  </w:rPr>
                </w:pPr>
              </w:p>
            </w:tc>
          </w:tr>
          <w:tr w:rsidR="003558E4" w:rsidRPr="007D65B2" w14:paraId="76789500" w14:textId="77777777" w:rsidTr="00524601">
            <w:trPr>
              <w:gridBefore w:val="1"/>
              <w:wBefore w:w="850" w:type="dxa"/>
              <w:cantSplit/>
              <w:trHeight w:val="998"/>
              <w:jc w:val="center"/>
            </w:trPr>
            <w:tc>
              <w:tcPr>
                <w:tcW w:w="3832" w:type="dxa"/>
                <w:gridSpan w:val="2"/>
                <w:vAlign w:val="center"/>
              </w:tcPr>
              <w:p w14:paraId="361B6C02" w14:textId="77777777" w:rsidR="003558E4" w:rsidRPr="007D65B2" w:rsidRDefault="003558E4" w:rsidP="00524601">
                <w:pPr>
                  <w:pStyle w:val="TBSousEmbargo"/>
                </w:pPr>
              </w:p>
            </w:tc>
            <w:tc>
              <w:tcPr>
                <w:tcW w:w="1843" w:type="dxa"/>
                <w:gridSpan w:val="2"/>
                <w:vMerge/>
                <w:vAlign w:val="center"/>
              </w:tcPr>
              <w:p w14:paraId="550B6051" w14:textId="77777777" w:rsidR="003558E4" w:rsidRPr="008F6E25" w:rsidRDefault="003558E4" w:rsidP="00524601">
                <w:pPr>
                  <w:pStyle w:val="TBNormalTechnicalBlock"/>
                  <w:rPr>
                    <w:b w:val="0"/>
                    <w:bCs/>
                  </w:rPr>
                </w:pPr>
              </w:p>
            </w:tc>
            <w:tc>
              <w:tcPr>
                <w:tcW w:w="4819" w:type="dxa"/>
                <w:vMerge/>
              </w:tcPr>
              <w:p w14:paraId="307AEA3B" w14:textId="77777777" w:rsidR="003558E4" w:rsidRPr="007D65B2" w:rsidRDefault="003558E4" w:rsidP="00524601">
                <w:pPr>
                  <w:pStyle w:val="TBEntRefer"/>
                  <w:rPr>
                    <w:szCs w:val="23"/>
                  </w:rPr>
                </w:pPr>
              </w:p>
            </w:tc>
          </w:tr>
        </w:tbl>
        <w:p w14:paraId="0AF90A5A" w14:textId="77777777" w:rsidR="003558E4" w:rsidRPr="007D65B2" w:rsidRDefault="003558E4" w:rsidP="003558E4">
          <w:pPr>
            <w:pStyle w:val="TBEntRefer"/>
            <w:rPr>
              <w:sz w:val="2"/>
              <w:szCs w:val="2"/>
            </w:rPr>
          </w:pPr>
        </w:p>
        <w:tbl>
          <w:tblPr>
            <w:tblW w:w="9640" w:type="dxa"/>
            <w:jc w:val="center"/>
            <w:tblLayout w:type="fixed"/>
            <w:tblCellMar>
              <w:left w:w="0" w:type="dxa"/>
              <w:right w:w="0" w:type="dxa"/>
            </w:tblCellMar>
            <w:tblLook w:val="0000" w:firstRow="0" w:lastRow="0" w:firstColumn="0" w:lastColumn="0" w:noHBand="0" w:noVBand="0"/>
          </w:tblPr>
          <w:tblGrid>
            <w:gridCol w:w="2268"/>
            <w:gridCol w:w="7346"/>
            <w:gridCol w:w="26"/>
          </w:tblGrid>
          <w:tr w:rsidR="002D3C08" w:rsidRPr="008C093D" w14:paraId="48E099CA" w14:textId="77777777" w:rsidTr="00072A32">
            <w:trPr>
              <w:gridAfter w:val="1"/>
              <w:wAfter w:w="26" w:type="dxa"/>
              <w:jc w:val="center"/>
            </w:trPr>
            <w:tc>
              <w:tcPr>
                <w:tcW w:w="9640" w:type="dxa"/>
                <w:gridSpan w:val="2"/>
              </w:tcPr>
              <w:p w14:paraId="0F0EE129" w14:textId="77777777" w:rsidR="005B7178" w:rsidRPr="008C093D" w:rsidRDefault="005B7178" w:rsidP="00072A32">
                <w:pPr>
                  <w:pStyle w:val="TBHeadingTable"/>
                </w:pPr>
                <w:r>
                  <w:t>PROPOSAL</w:t>
                </w:r>
              </w:p>
            </w:tc>
          </w:tr>
          <w:tr w:rsidR="002D3C08" w:rsidRPr="00F13D39" w14:paraId="0B25DA6C" w14:textId="77777777" w:rsidTr="00072A32">
            <w:trPr>
              <w:jc w:val="center"/>
            </w:trPr>
            <w:tc>
              <w:tcPr>
                <w:tcW w:w="2274" w:type="dxa"/>
                <w:tcBorders>
                  <w:top w:val="single" w:sz="4" w:space="0" w:color="auto"/>
                </w:tcBorders>
              </w:tcPr>
              <w:p w14:paraId="6B78C78D" w14:textId="77777777" w:rsidR="005B7178" w:rsidRPr="00F13D39" w:rsidRDefault="005B7178" w:rsidP="00072A32">
                <w:pPr>
                  <w:pStyle w:val="TBSubjectTable"/>
                </w:pPr>
                <w:r>
                  <w:t>From:</w:t>
                </w:r>
              </w:p>
            </w:tc>
            <w:tc>
              <w:tcPr>
                <w:tcW w:w="7392" w:type="dxa"/>
                <w:gridSpan w:val="2"/>
                <w:tcBorders>
                  <w:top w:val="single" w:sz="4" w:space="0" w:color="auto"/>
                </w:tcBorders>
              </w:tcPr>
              <w:p w14:paraId="138C5F04" w14:textId="77777777" w:rsidR="005B7178" w:rsidRPr="00F13D39" w:rsidRDefault="005B7178" w:rsidP="00072A32">
                <w:pPr>
                  <w:pStyle w:val="TBSubjectTable"/>
                </w:pPr>
                <w:r>
                  <w:t>Secretary-General of the European Commission, signed by Ms Martine DEPREZ, Director</w:t>
                </w:r>
              </w:p>
            </w:tc>
          </w:tr>
          <w:tr w:rsidR="002D3C08" w:rsidRPr="00F13D39" w14:paraId="6F4217A2" w14:textId="77777777" w:rsidTr="00072A32">
            <w:tblPrEx>
              <w:tblBorders>
                <w:top w:val="single" w:sz="4" w:space="0" w:color="auto"/>
              </w:tblBorders>
            </w:tblPrEx>
            <w:trPr>
              <w:jc w:val="center"/>
            </w:trPr>
            <w:tc>
              <w:tcPr>
                <w:tcW w:w="2274" w:type="dxa"/>
                <w:tcBorders>
                  <w:top w:val="nil"/>
                  <w:bottom w:val="nil"/>
                </w:tcBorders>
              </w:tcPr>
              <w:p w14:paraId="46391D07" w14:textId="77777777" w:rsidR="005B7178" w:rsidRPr="00F13D39" w:rsidRDefault="005B7178" w:rsidP="00072A32">
                <w:pPr>
                  <w:pStyle w:val="TBSubjectTable"/>
                </w:pPr>
                <w:r>
                  <w:t>date of receipt:</w:t>
                </w:r>
              </w:p>
            </w:tc>
            <w:tc>
              <w:tcPr>
                <w:tcW w:w="7392" w:type="dxa"/>
                <w:gridSpan w:val="2"/>
                <w:tcBorders>
                  <w:top w:val="nil"/>
                  <w:bottom w:val="nil"/>
                </w:tcBorders>
              </w:tcPr>
              <w:p w14:paraId="181B6D70" w14:textId="77777777" w:rsidR="005B7178" w:rsidRPr="00F13D39" w:rsidRDefault="005B7178" w:rsidP="00072A32">
                <w:pPr>
                  <w:pStyle w:val="TBSubjectTable"/>
                </w:pPr>
                <w:r>
                  <w:t>17 July 2025</w:t>
                </w:r>
              </w:p>
            </w:tc>
          </w:tr>
          <w:tr w:rsidR="002D3C08" w:rsidRPr="00F13D39" w14:paraId="7977ABFB" w14:textId="77777777" w:rsidTr="00072A32">
            <w:trPr>
              <w:jc w:val="center"/>
            </w:trPr>
            <w:tc>
              <w:tcPr>
                <w:tcW w:w="2274" w:type="dxa"/>
                <w:tcBorders>
                  <w:bottom w:val="single" w:sz="4" w:space="0" w:color="auto"/>
                </w:tcBorders>
              </w:tcPr>
              <w:p w14:paraId="559199A9" w14:textId="77777777" w:rsidR="005B7178" w:rsidRPr="00F13D39" w:rsidRDefault="005B7178" w:rsidP="00072A32">
                <w:pPr>
                  <w:pStyle w:val="TBSubjectTable"/>
                </w:pPr>
                <w:r>
                  <w:t>To:</w:t>
                </w:r>
              </w:p>
            </w:tc>
            <w:tc>
              <w:tcPr>
                <w:tcW w:w="7392" w:type="dxa"/>
                <w:gridSpan w:val="2"/>
                <w:tcBorders>
                  <w:bottom w:val="single" w:sz="4" w:space="0" w:color="auto"/>
                </w:tcBorders>
              </w:tcPr>
              <w:p w14:paraId="4DC0D351" w14:textId="77777777" w:rsidR="005B7178" w:rsidRPr="00F13D39" w:rsidRDefault="005B7178" w:rsidP="00072A32">
                <w:pPr>
                  <w:pStyle w:val="TBSubjectTable"/>
                </w:pPr>
                <w:r>
                  <w:t>Ms Thérèse BLANCHET, Secretary-General of the Council of the European Union</w:t>
                </w:r>
              </w:p>
            </w:tc>
          </w:tr>
          <w:tr w:rsidR="002D3C08" w:rsidRPr="00BB649A" w14:paraId="159BB5C3" w14:textId="77777777" w:rsidTr="00072A32">
            <w:tblPrEx>
              <w:tblBorders>
                <w:top w:val="single" w:sz="4" w:space="0" w:color="auto"/>
              </w:tblBorders>
            </w:tblPrEx>
            <w:trPr>
              <w:jc w:val="center"/>
            </w:trPr>
            <w:tc>
              <w:tcPr>
                <w:tcW w:w="2274" w:type="dxa"/>
                <w:tcBorders>
                  <w:top w:val="nil"/>
                  <w:bottom w:val="single" w:sz="4" w:space="0" w:color="auto"/>
                </w:tcBorders>
              </w:tcPr>
              <w:p w14:paraId="7F0DA90D" w14:textId="77777777" w:rsidR="005B7178" w:rsidRPr="00F13D39" w:rsidRDefault="005B7178" w:rsidP="00072A32">
                <w:pPr>
                  <w:pStyle w:val="TBSubjectTable"/>
                </w:pPr>
                <w:r>
                  <w:t>No. Cion doc.:</w:t>
                </w:r>
              </w:p>
            </w:tc>
            <w:tc>
              <w:tcPr>
                <w:tcW w:w="7392" w:type="dxa"/>
                <w:gridSpan w:val="2"/>
                <w:tcBorders>
                  <w:top w:val="nil"/>
                  <w:bottom w:val="single" w:sz="4" w:space="0" w:color="auto"/>
                </w:tcBorders>
              </w:tcPr>
              <w:p w14:paraId="4A1B5514" w14:textId="77777777" w:rsidR="005B7178" w:rsidRPr="002D3C08" w:rsidRDefault="005B7178" w:rsidP="00072A32">
                <w:pPr>
                  <w:pStyle w:val="TBSubjectTable"/>
                  <w:rPr>
                    <w:lang w:val="de-DE"/>
                  </w:rPr>
                </w:pPr>
                <w:r>
                  <w:rPr>
                    <w:lang w:val="de-DE"/>
                  </w:rPr>
                  <w:t>COM(2025) 550 final</w:t>
                </w:r>
              </w:p>
            </w:tc>
          </w:tr>
          <w:tr w:rsidR="002D3C08" w:rsidRPr="00F13D39" w14:paraId="5493CA5E" w14:textId="77777777" w:rsidTr="00072A32">
            <w:trPr>
              <w:jc w:val="center"/>
            </w:trPr>
            <w:tc>
              <w:tcPr>
                <w:tcW w:w="2274" w:type="dxa"/>
                <w:tcBorders>
                  <w:top w:val="single" w:sz="4" w:space="0" w:color="auto"/>
                  <w:bottom w:val="single" w:sz="4" w:space="0" w:color="auto"/>
                </w:tcBorders>
              </w:tcPr>
              <w:p w14:paraId="1198B6FC" w14:textId="77777777" w:rsidR="005B7178" w:rsidRPr="00F13D39" w:rsidRDefault="005B7178" w:rsidP="00072A32">
                <w:pPr>
                  <w:pStyle w:val="TBSubjectTable"/>
                </w:pPr>
                <w:r>
                  <w:t>Subject:</w:t>
                </w:r>
              </w:p>
            </w:tc>
            <w:tc>
              <w:tcPr>
                <w:tcW w:w="7392" w:type="dxa"/>
                <w:gridSpan w:val="2"/>
                <w:tcBorders>
                  <w:top w:val="single" w:sz="4" w:space="0" w:color="auto"/>
                  <w:bottom w:val="single" w:sz="4" w:space="0" w:color="auto"/>
                </w:tcBorders>
              </w:tcPr>
              <w:p w14:paraId="2AB09D6B" w14:textId="77777777" w:rsidR="005B7178" w:rsidRPr="00F13D39" w:rsidRDefault="005B7178" w:rsidP="00072A32">
                <w:pPr>
                  <w:pStyle w:val="TBSubjectText"/>
                </w:pPr>
                <w:bookmarkStart w:id="0" w:name="SplitParasInCell_1"/>
                <w:bookmarkEnd w:id="0"/>
                <w:r>
                  <w:t>Proposal for a REGULATION OF THE EUROPEAN PARLIAMENT AND OF THE COUNCIL establishing the 'AgoraEU' programme for the period 2028-2034, and repealing Regulations (EU) 2021/692 and (EU) 2021/818</w:t>
                </w:r>
              </w:p>
            </w:tc>
          </w:tr>
        </w:tbl>
        <w:p w14:paraId="44C75057" w14:textId="77777777" w:rsidR="005B7178" w:rsidRPr="002D3C08" w:rsidRDefault="005B7178" w:rsidP="002D3C08">
          <w:pPr>
            <w:spacing w:before="20" w:after="240" w:line="20" w:lineRule="exact"/>
            <w:rPr>
              <w:sz w:val="2"/>
              <w:szCs w:val="2"/>
              <w:lang w:val="fr-FR"/>
            </w:rPr>
          </w:pPr>
        </w:p>
      </w:sdtContent>
    </w:sdt>
    <w:p w14:paraId="2D61EB6E" w14:textId="77777777" w:rsidR="00AD5BB2" w:rsidRDefault="005B7178">
      <w:pPr>
        <w:pStyle w:val="EntText"/>
        <w:spacing w:before="480"/>
      </w:pPr>
      <w:r>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instrText xml:space="preserve">COM(2025) 550 final" </w:instrText>
      </w:r>
      <w:r>
        <w:fldChar w:fldCharType="separate"/>
      </w:r>
      <w:r>
        <w:t>COM(2025) 550 final</w:t>
      </w:r>
      <w:r>
        <w:fldChar w:fldCharType="end"/>
      </w:r>
      <w:r>
        <w:t>.</w:t>
      </w:r>
    </w:p>
    <w:p w14:paraId="20919BED" w14:textId="77777777" w:rsidR="00AD5BB2" w:rsidRDefault="00AD5BB2">
      <w:pPr>
        <w:pStyle w:val="Lignefinal"/>
      </w:pPr>
    </w:p>
    <w:p w14:paraId="0D179916" w14:textId="77777777" w:rsidR="00AD5BB2" w:rsidRDefault="005B7178">
      <w:pPr>
        <w:pStyle w:val="pj"/>
        <w:spacing w:before="120"/>
        <w:sectPr w:rsidR="00AD5BB2" w:rsidSect="007F499B">
          <w:headerReference w:type="even" r:id="rId11"/>
          <w:headerReference w:type="default" r:id="rId12"/>
          <w:footerReference w:type="even" r:id="rId13"/>
          <w:footerReference w:type="default" r:id="rId14"/>
          <w:headerReference w:type="first" r:id="rId15"/>
          <w:footerReference w:type="first" r:id="rId16"/>
          <w:pgSz w:w="11907" w:h="16840" w:code="9"/>
          <w:pgMar w:top="624" w:right="1134" w:bottom="1134" w:left="1134" w:header="567" w:footer="567" w:gutter="0"/>
          <w:pgNumType w:start="0"/>
          <w:cols w:space="708"/>
          <w:titlePg/>
          <w:docGrid w:linePitch="360"/>
        </w:sectPr>
      </w:pPr>
      <w:r>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instrText xml:space="preserve">COM(2025) 550 final" </w:instrText>
      </w:r>
      <w:r>
        <w:fldChar w:fldCharType="separate"/>
      </w:r>
      <w:r>
        <w:t>COM(2025) 550 final</w:t>
      </w:r>
      <w:r>
        <w:fldChar w:fldCharType="end"/>
      </w:r>
    </w:p>
    <w:p w14:paraId="5D588721" w14:textId="0BF28A5B" w:rsidR="005B7178" w:rsidRDefault="005B7178" w:rsidP="00AC3668">
      <w:pPr>
        <w:pStyle w:val="Pagedecouverture"/>
        <w:rPr>
          <w:noProof/>
        </w:rPr>
      </w:pPr>
      <w:r>
        <w:rPr>
          <w:noProof/>
        </w:rPr>
        <w:lastRenderedPageBreak/>
        <w:drawing>
          <wp:inline distT="0" distB="0" distL="0" distR="0" wp14:anchorId="4B4B209C" wp14:editId="605730A8">
            <wp:extent cx="5786120" cy="4703445"/>
            <wp:effectExtent l="0" t="0" r="0" b="1905"/>
            <wp:docPr id="1023747396" name="Pilt 1" descr="13DCFF4E-B805-4C89-BC56-3FA390CCA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DCFF4E-B805-4C89-BC56-3FA390CCA1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6120" cy="4703445"/>
                    </a:xfrm>
                    <a:prstGeom prst="rect">
                      <a:avLst/>
                    </a:prstGeom>
                    <a:noFill/>
                    <a:ln>
                      <a:noFill/>
                    </a:ln>
                  </pic:spPr>
                </pic:pic>
              </a:graphicData>
            </a:graphic>
          </wp:inline>
        </w:drawing>
      </w:r>
    </w:p>
    <w:p w14:paraId="2844E84A" w14:textId="77777777" w:rsidR="005B7178" w:rsidRDefault="005B7178" w:rsidP="00D438C2">
      <w:pPr>
        <w:rPr>
          <w:noProof/>
        </w:rPr>
        <w:sectPr w:rsidR="00D438C2" w:rsidSect="00AC3668">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0"/>
          <w:cols w:space="720"/>
          <w:docGrid w:linePitch="360"/>
        </w:sectPr>
      </w:pPr>
    </w:p>
    <w:p w14:paraId="7690168D" w14:textId="77777777" w:rsidR="005B7178" w:rsidRDefault="005B7178">
      <w:pPr>
        <w:pStyle w:val="Exposdesmotifstitre"/>
        <w:rPr>
          <w:noProof/>
        </w:rPr>
      </w:pPr>
      <w:r w:rsidRPr="006F770D">
        <w:rPr>
          <w:noProof/>
        </w:rPr>
        <w:lastRenderedPageBreak/>
        <w:t>EXPLANATORY MEMORANDUM</w:t>
      </w:r>
    </w:p>
    <w:p w14:paraId="10BE1DDB" w14:textId="77777777" w:rsidR="005B7178" w:rsidRPr="006F770D" w:rsidRDefault="005B7178">
      <w:pPr>
        <w:pStyle w:val="ManualHeading1"/>
        <w:rPr>
          <w:noProof/>
        </w:rPr>
      </w:pPr>
      <w:r w:rsidRPr="00C567EE">
        <w:rPr>
          <w:noProof/>
        </w:rPr>
        <w:t>1.</w:t>
      </w:r>
      <w:r w:rsidRPr="00C567EE">
        <w:rPr>
          <w:noProof/>
        </w:rPr>
        <w:tab/>
      </w:r>
      <w:r w:rsidRPr="006F770D">
        <w:rPr>
          <w:noProof/>
        </w:rPr>
        <w:t>CONTEXT OF THE PROPOSAL</w:t>
      </w:r>
    </w:p>
    <w:p w14:paraId="688C0D22" w14:textId="77777777" w:rsidR="005B7178" w:rsidRPr="00044058" w:rsidRDefault="005B717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5FE0C27E" w14:textId="77777777" w:rsidR="005B7178" w:rsidRDefault="005B7178" w:rsidP="00EC3A6D">
      <w:pPr>
        <w:spacing w:before="0" w:after="160"/>
        <w:rPr>
          <w:rFonts w:eastAsia="Times New Roman"/>
          <w:noProof/>
          <w:lang w:val="en-US" w:eastAsia="ja-JP"/>
        </w:rPr>
      </w:pPr>
      <w:r>
        <w:rPr>
          <w:noProof/>
        </w:rPr>
        <w:t>The</w:t>
      </w:r>
      <w:r w:rsidRPr="00D8683C">
        <w:rPr>
          <w:noProof/>
        </w:rPr>
        <w:t xml:space="preserve"> EU is</w:t>
      </w:r>
      <w:r w:rsidRPr="00D8683C" w:rsidDel="001038F4">
        <w:rPr>
          <w:noProof/>
        </w:rPr>
        <w:t xml:space="preserve"> </w:t>
      </w:r>
      <w:r w:rsidRPr="00D8683C">
        <w:rPr>
          <w:noProof/>
        </w:rPr>
        <w:t xml:space="preserve">a community of values ingrained in Europe's history and identity and anchored in the EU Treaty. </w:t>
      </w:r>
      <w:r w:rsidRPr="00D8683C">
        <w:rPr>
          <w:rFonts w:eastAsia="Times New Roman"/>
          <w:noProof/>
          <w:lang w:val="en-US" w:eastAsia="ja-JP"/>
        </w:rPr>
        <w:t xml:space="preserve">As </w:t>
      </w:r>
      <w:r>
        <w:rPr>
          <w:rFonts w:eastAsia="Times New Roman"/>
          <w:noProof/>
          <w:lang w:val="en-US" w:eastAsia="ja-JP"/>
        </w:rPr>
        <w:t>set out</w:t>
      </w:r>
      <w:r w:rsidRPr="00D8683C">
        <w:rPr>
          <w:rFonts w:eastAsia="Times New Roman"/>
          <w:noProof/>
          <w:lang w:val="en-US" w:eastAsia="ja-JP"/>
        </w:rPr>
        <w:t xml:space="preserve"> </w:t>
      </w:r>
      <w:r>
        <w:rPr>
          <w:rFonts w:eastAsia="Times New Roman"/>
          <w:noProof/>
          <w:lang w:val="en-US" w:eastAsia="ja-JP"/>
        </w:rPr>
        <w:t xml:space="preserve">in </w:t>
      </w:r>
      <w:r w:rsidRPr="00D8683C">
        <w:rPr>
          <w:rFonts w:eastAsia="Times New Roman"/>
          <w:noProof/>
          <w:lang w:val="en-US" w:eastAsia="ja-JP"/>
        </w:rPr>
        <w:t>Article 2 of the Treaty o</w:t>
      </w:r>
      <w:r>
        <w:rPr>
          <w:rFonts w:eastAsia="Times New Roman"/>
          <w:noProof/>
          <w:lang w:val="en-US" w:eastAsia="ja-JP"/>
        </w:rPr>
        <w:t>n</w:t>
      </w:r>
      <w:r w:rsidRPr="00D8683C">
        <w:rPr>
          <w:rFonts w:eastAsia="Times New Roman"/>
          <w:noProof/>
          <w:lang w:val="en-US" w:eastAsia="ja-JP"/>
        </w:rPr>
        <w:t xml:space="preserve"> the European Union (TEU),</w:t>
      </w:r>
      <w:r w:rsidRPr="00D8683C">
        <w:rPr>
          <w:noProof/>
        </w:rPr>
        <w:t xml:space="preserve"> these </w:t>
      </w:r>
      <w:r>
        <w:rPr>
          <w:noProof/>
        </w:rPr>
        <w:t xml:space="preserve">are common to all Member States and </w:t>
      </w:r>
      <w:r w:rsidRPr="00D8683C">
        <w:rPr>
          <w:noProof/>
        </w:rPr>
        <w:t xml:space="preserve">encompass democracy, </w:t>
      </w:r>
      <w:r>
        <w:rPr>
          <w:noProof/>
        </w:rPr>
        <w:t>respect for human</w:t>
      </w:r>
      <w:r w:rsidRPr="00D8683C">
        <w:rPr>
          <w:noProof/>
        </w:rPr>
        <w:t xml:space="preserve"> rights, non-discrimination, equality, the rule of law, </w:t>
      </w:r>
      <w:r>
        <w:rPr>
          <w:noProof/>
        </w:rPr>
        <w:t xml:space="preserve">and pluralism, with </w:t>
      </w:r>
      <w:r w:rsidRPr="00D8683C">
        <w:rPr>
          <w:noProof/>
        </w:rPr>
        <w:t xml:space="preserve">cultural </w:t>
      </w:r>
      <w:r>
        <w:rPr>
          <w:noProof/>
        </w:rPr>
        <w:t>diversity</w:t>
      </w:r>
      <w:r w:rsidRPr="00D8683C">
        <w:rPr>
          <w:noProof/>
        </w:rPr>
        <w:t>, freedom of expression, including media and artistic freedom and pluralism</w:t>
      </w:r>
      <w:r>
        <w:rPr>
          <w:noProof/>
        </w:rPr>
        <w:t>,</w:t>
      </w:r>
      <w:r w:rsidRPr="00D8683C">
        <w:rPr>
          <w:noProof/>
        </w:rPr>
        <w:t xml:space="preserve"> </w:t>
      </w:r>
      <w:r>
        <w:rPr>
          <w:rFonts w:eastAsia="Times New Roman"/>
          <w:noProof/>
          <w:lang w:val="en-US" w:eastAsia="ja-JP"/>
        </w:rPr>
        <w:t>also being enshrined in the Charter of Fundamental Rights of the EU</w:t>
      </w:r>
      <w:r w:rsidRPr="00D8683C">
        <w:rPr>
          <w:rFonts w:eastAsia="Times New Roman"/>
          <w:noProof/>
          <w:lang w:val="en-US" w:eastAsia="ja-JP"/>
        </w:rPr>
        <w:t xml:space="preserve">.  </w:t>
      </w:r>
    </w:p>
    <w:p w14:paraId="4C924040" w14:textId="77777777" w:rsidR="005B7178" w:rsidRPr="00D0657E" w:rsidRDefault="005B7178" w:rsidP="00EC3A6D">
      <w:pPr>
        <w:spacing w:before="0" w:after="160"/>
        <w:rPr>
          <w:rFonts w:eastAsia="Times New Roman"/>
          <w:noProof/>
          <w:lang w:val="en-US" w:eastAsia="ja-JP"/>
        </w:rPr>
      </w:pPr>
      <w:r w:rsidRPr="00BE15FD">
        <w:rPr>
          <w:noProof/>
        </w:rPr>
        <w:t xml:space="preserve">Citizens’ participation and engagement, transparency and accountability in decision-making, as well as respect </w:t>
      </w:r>
      <w:r>
        <w:rPr>
          <w:noProof/>
        </w:rPr>
        <w:t>for</w:t>
      </w:r>
      <w:r w:rsidRPr="00BE15FD">
        <w:rPr>
          <w:noProof/>
        </w:rPr>
        <w:t xml:space="preserve"> fundamental rights and the rule of law contribute to the vitality of European democracy</w:t>
      </w:r>
      <w:r w:rsidRPr="00BE15FD">
        <w:rPr>
          <w:rFonts w:eastAsia="Times New Roman"/>
          <w:noProof/>
          <w:lang w:val="en-US" w:eastAsia="ja-JP"/>
        </w:rPr>
        <w:t xml:space="preserve">. </w:t>
      </w:r>
      <w:r w:rsidRPr="2264410D">
        <w:rPr>
          <w:rFonts w:eastAsia="Times New Roman"/>
          <w:noProof/>
          <w:lang w:val="en-US" w:eastAsia="ja-JP"/>
        </w:rPr>
        <w:t xml:space="preserve">Media </w:t>
      </w:r>
      <w:r w:rsidRPr="002046DE">
        <w:rPr>
          <w:rFonts w:eastAsia="Times New Roman"/>
          <w:noProof/>
          <w:lang w:val="en-US" w:eastAsia="ja-JP"/>
        </w:rPr>
        <w:t xml:space="preserve">plays a crucial role in </w:t>
      </w:r>
      <w:r>
        <w:rPr>
          <w:rFonts w:eastAsia="Times New Roman"/>
          <w:noProof/>
          <w:lang w:val="en-US" w:eastAsia="ja-JP"/>
        </w:rPr>
        <w:t>fosteri</w:t>
      </w:r>
      <w:r w:rsidRPr="002046DE">
        <w:rPr>
          <w:rFonts w:eastAsia="Times New Roman"/>
          <w:noProof/>
          <w:lang w:val="en-US" w:eastAsia="ja-JP"/>
        </w:rPr>
        <w:t xml:space="preserve">ng </w:t>
      </w:r>
      <w:r w:rsidRPr="002046DE">
        <w:rPr>
          <w:rFonts w:eastAsia="Times New Roman"/>
          <w:noProof/>
          <w:lang w:val="en-US" w:eastAsia="ja-JP"/>
        </w:rPr>
        <w:t xml:space="preserve">public opinion and free debate. </w:t>
      </w:r>
      <w:bookmarkStart w:id="2" w:name="_Hlk200971003"/>
      <w:r w:rsidRPr="002046DE">
        <w:rPr>
          <w:rFonts w:eastAsia="Times New Roman"/>
          <w:noProof/>
          <w:lang w:val="en-US" w:eastAsia="ja-JP"/>
        </w:rPr>
        <w:t xml:space="preserve">Audiovisual content and all other forms of </w:t>
      </w:r>
      <w:r>
        <w:rPr>
          <w:rFonts w:eastAsia="Times New Roman"/>
          <w:noProof/>
          <w:lang w:val="en-US" w:eastAsia="ja-JP"/>
        </w:rPr>
        <w:t xml:space="preserve">artistic, </w:t>
      </w:r>
      <w:r w:rsidRPr="002046DE">
        <w:rPr>
          <w:rFonts w:eastAsia="Times New Roman"/>
          <w:noProof/>
          <w:lang w:val="en-US" w:eastAsia="ja-JP"/>
        </w:rPr>
        <w:t xml:space="preserve">cultural and creative expressions, including cultural heritage, are </w:t>
      </w:r>
      <w:r w:rsidRPr="002046DE">
        <w:rPr>
          <w:rFonts w:eastAsia="Times New Roman"/>
          <w:noProof/>
          <w:lang w:eastAsia="ja-JP"/>
        </w:rPr>
        <w:t xml:space="preserve">essential to Europe’s diversity </w:t>
      </w:r>
      <w:r w:rsidRPr="402C8BCA">
        <w:rPr>
          <w:rFonts w:eastAsia="Times New Roman"/>
          <w:noProof/>
          <w:lang w:eastAsia="ja-JP"/>
        </w:rPr>
        <w:t>and</w:t>
      </w:r>
      <w:r w:rsidRPr="002046DE">
        <w:rPr>
          <w:rFonts w:eastAsia="Times New Roman"/>
          <w:noProof/>
          <w:lang w:eastAsia="ja-JP"/>
        </w:rPr>
        <w:t xml:space="preserve"> to forg</w:t>
      </w:r>
      <w:r>
        <w:rPr>
          <w:rFonts w:eastAsia="Times New Roman"/>
          <w:noProof/>
          <w:lang w:eastAsia="ja-JP"/>
        </w:rPr>
        <w:t>ing</w:t>
      </w:r>
      <w:r w:rsidRPr="002046DE">
        <w:rPr>
          <w:rFonts w:eastAsia="Times New Roman"/>
          <w:noProof/>
          <w:lang w:eastAsia="ja-JP"/>
        </w:rPr>
        <w:t xml:space="preserve"> societal resilience and mutual understanding</w:t>
      </w:r>
      <w:r w:rsidRPr="382DC9B2">
        <w:rPr>
          <w:rFonts w:eastAsia="Times New Roman"/>
          <w:noProof/>
          <w:lang w:eastAsia="ja-JP"/>
        </w:rPr>
        <w:t>.</w:t>
      </w:r>
      <w:r w:rsidRPr="002046DE">
        <w:rPr>
          <w:rFonts w:eastAsia="Times New Roman"/>
          <w:noProof/>
          <w:lang w:eastAsia="ja-JP"/>
        </w:rPr>
        <w:t> </w:t>
      </w:r>
      <w:bookmarkEnd w:id="2"/>
      <w:r w:rsidRPr="36C5D931">
        <w:rPr>
          <w:rFonts w:eastAsia="Times New Roman"/>
          <w:noProof/>
          <w:lang w:val="en-US" w:eastAsia="ja-JP"/>
        </w:rPr>
        <w:t xml:space="preserve">Beyond their intrinsic value and social impact, they are powerful drivers of </w:t>
      </w:r>
      <w:r w:rsidRPr="00C96DCE">
        <w:rPr>
          <w:rFonts w:eastAsia="Times New Roman"/>
          <w:noProof/>
          <w:lang w:val="en-US" w:eastAsia="ja-JP"/>
        </w:rPr>
        <w:t xml:space="preserve">sustainable </w:t>
      </w:r>
      <w:r w:rsidRPr="36C5D931">
        <w:rPr>
          <w:rFonts w:eastAsia="Times New Roman"/>
          <w:noProof/>
          <w:lang w:val="en-US" w:eastAsia="ja-JP"/>
        </w:rPr>
        <w:t>economic growth</w:t>
      </w:r>
      <w:r>
        <w:rPr>
          <w:rFonts w:eastAsia="Times New Roman"/>
          <w:noProof/>
          <w:lang w:val="en-US" w:eastAsia="ja-JP"/>
        </w:rPr>
        <w:t xml:space="preserve"> and competitiveness</w:t>
      </w:r>
      <w:r w:rsidRPr="36C5D931">
        <w:rPr>
          <w:rFonts w:eastAsia="Times New Roman"/>
          <w:noProof/>
          <w:lang w:val="en-US" w:eastAsia="ja-JP"/>
        </w:rPr>
        <w:t>,</w:t>
      </w:r>
      <w:r>
        <w:rPr>
          <w:rFonts w:eastAsia="Times New Roman"/>
          <w:noProof/>
          <w:lang w:val="en-US" w:eastAsia="ja-JP"/>
        </w:rPr>
        <w:t xml:space="preserve"> </w:t>
      </w:r>
      <w:r w:rsidRPr="36C5D931">
        <w:rPr>
          <w:rFonts w:eastAsia="Times New Roman"/>
          <w:noProof/>
          <w:lang w:val="en-US" w:eastAsia="ja-JP"/>
        </w:rPr>
        <w:t xml:space="preserve">innovation and employment, </w:t>
      </w:r>
      <w:r>
        <w:rPr>
          <w:rFonts w:eastAsia="Times New Roman"/>
          <w:noProof/>
          <w:lang w:val="en-US" w:eastAsia="ja-JP"/>
        </w:rPr>
        <w:t>and soft power,</w:t>
      </w:r>
      <w:r w:rsidRPr="36C5D931">
        <w:rPr>
          <w:rFonts w:eastAsia="Times New Roman"/>
          <w:noProof/>
          <w:lang w:val="en-US" w:eastAsia="ja-JP"/>
        </w:rPr>
        <w:t xml:space="preserve"> making them essential to Eu</w:t>
      </w:r>
      <w:r>
        <w:rPr>
          <w:rFonts w:eastAsia="Times New Roman"/>
          <w:noProof/>
          <w:lang w:val="en-US" w:eastAsia="ja-JP"/>
        </w:rPr>
        <w:t>r</w:t>
      </w:r>
      <w:r w:rsidRPr="36C5D931">
        <w:rPr>
          <w:rFonts w:eastAsia="Times New Roman"/>
          <w:noProof/>
          <w:lang w:val="en-US" w:eastAsia="ja-JP"/>
        </w:rPr>
        <w:t xml:space="preserve">ope’s future.   </w:t>
      </w:r>
    </w:p>
    <w:p w14:paraId="21B7C758"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szCs w:val="24"/>
          <w:lang w:val="en-US" w:eastAsia="ja-JP"/>
        </w:rPr>
        <w:t>The importance of</w:t>
      </w:r>
      <w:r>
        <w:rPr>
          <w:rFonts w:eastAsia="Times New Roman"/>
          <w:noProof/>
          <w:szCs w:val="24"/>
          <w:lang w:val="en-US" w:eastAsia="ja-JP"/>
        </w:rPr>
        <w:t xml:space="preserve"> an EU financial intervention</w:t>
      </w:r>
      <w:r w:rsidRPr="00A44D37">
        <w:rPr>
          <w:rFonts w:eastAsia="Times New Roman"/>
          <w:noProof/>
          <w:szCs w:val="24"/>
          <w:lang w:val="en-US" w:eastAsia="ja-JP"/>
        </w:rPr>
        <w:t xml:space="preserve"> </w:t>
      </w:r>
      <w:r>
        <w:rPr>
          <w:rFonts w:eastAsia="Times New Roman"/>
          <w:noProof/>
          <w:szCs w:val="24"/>
          <w:lang w:val="en-US" w:eastAsia="ja-JP"/>
        </w:rPr>
        <w:t>in</w:t>
      </w:r>
      <w:r w:rsidRPr="00A44D37">
        <w:rPr>
          <w:rFonts w:eastAsia="Times New Roman"/>
          <w:noProof/>
          <w:szCs w:val="24"/>
          <w:lang w:val="en-US" w:eastAsia="ja-JP"/>
        </w:rPr>
        <w:t xml:space="preserve"> these</w:t>
      </w:r>
      <w:r>
        <w:rPr>
          <w:rFonts w:eastAsia="Times New Roman"/>
          <w:noProof/>
          <w:szCs w:val="24"/>
          <w:lang w:val="en-US" w:eastAsia="ja-JP"/>
        </w:rPr>
        <w:t xml:space="preserve"> areas</w:t>
      </w:r>
      <w:r w:rsidRPr="00A44D37">
        <w:rPr>
          <w:rFonts w:eastAsia="Times New Roman"/>
          <w:noProof/>
          <w:szCs w:val="24"/>
          <w:lang w:val="en-US" w:eastAsia="ja-JP"/>
        </w:rPr>
        <w:t xml:space="preserve"> lies in their ability to foster inclusive and participatory governance, facilitate informed and active citizenship, safeguard </w:t>
      </w:r>
      <w:r>
        <w:rPr>
          <w:rFonts w:eastAsia="Times New Roman"/>
          <w:noProof/>
          <w:szCs w:val="24"/>
          <w:lang w:val="en-US" w:eastAsia="ja-JP"/>
        </w:rPr>
        <w:t>and promote</w:t>
      </w:r>
      <w:r w:rsidRPr="00A44D37">
        <w:rPr>
          <w:rFonts w:eastAsia="Times New Roman"/>
          <w:noProof/>
          <w:szCs w:val="24"/>
          <w:lang w:val="en-US" w:eastAsia="ja-JP"/>
        </w:rPr>
        <w:t xml:space="preserve"> fundamental rights, promote</w:t>
      </w:r>
      <w:r>
        <w:rPr>
          <w:rFonts w:eastAsia="Times New Roman"/>
          <w:noProof/>
          <w:szCs w:val="24"/>
          <w:lang w:val="en-US" w:eastAsia="ja-JP"/>
        </w:rPr>
        <w:t xml:space="preserve"> </w:t>
      </w:r>
      <w:r w:rsidRPr="00A44D37">
        <w:rPr>
          <w:rFonts w:eastAsia="Times New Roman"/>
          <w:noProof/>
          <w:szCs w:val="24"/>
          <w:lang w:val="en-US" w:eastAsia="ja-JP"/>
        </w:rPr>
        <w:t xml:space="preserve">equality and </w:t>
      </w:r>
      <w:r w:rsidRPr="00A44D37">
        <w:rPr>
          <w:rFonts w:eastAsia="Times New Roman"/>
          <w:noProof/>
          <w:szCs w:val="24"/>
          <w:lang w:val="en-US" w:eastAsia="ja-JP"/>
        </w:rPr>
        <w:t>non-discrimination, and celebrate cultural diversity and all types of artistic expressions. Europe’s thriving</w:t>
      </w:r>
      <w:r>
        <w:rPr>
          <w:rFonts w:eastAsia="Times New Roman"/>
          <w:noProof/>
          <w:szCs w:val="24"/>
          <w:lang w:val="en-US" w:eastAsia="ja-JP"/>
        </w:rPr>
        <w:t xml:space="preserve"> </w:t>
      </w:r>
      <w:r w:rsidRPr="00421C80">
        <w:rPr>
          <w:rFonts w:eastAsia="Times New Roman"/>
          <w:noProof/>
          <w:lang w:val="en-US" w:eastAsia="ja-JP"/>
        </w:rPr>
        <w:t xml:space="preserve">creative </w:t>
      </w:r>
      <w:r>
        <w:rPr>
          <w:rFonts w:eastAsia="Times New Roman"/>
          <w:noProof/>
          <w:lang w:val="en-US" w:eastAsia="ja-JP"/>
        </w:rPr>
        <w:t xml:space="preserve">and media </w:t>
      </w:r>
      <w:r>
        <w:rPr>
          <w:rFonts w:eastAsia="Times New Roman"/>
          <w:noProof/>
          <w:lang w:val="en-US" w:eastAsia="ja-JP"/>
        </w:rPr>
        <w:t>sectors</w:t>
      </w:r>
      <w:r w:rsidRPr="00421C80">
        <w:rPr>
          <w:rFonts w:eastAsia="Times New Roman"/>
          <w:noProof/>
          <w:lang w:val="en-US" w:eastAsia="ja-JP"/>
        </w:rPr>
        <w:t>,</w:t>
      </w:r>
      <w:r>
        <w:rPr>
          <w:rFonts w:eastAsia="Times New Roman"/>
          <w:noProof/>
          <w:lang w:val="en-US" w:eastAsia="ja-JP"/>
        </w:rPr>
        <w:t xml:space="preserve"> its</w:t>
      </w:r>
      <w:r w:rsidRPr="00A44D37">
        <w:rPr>
          <w:rFonts w:eastAsia="Times New Roman"/>
          <w:noProof/>
          <w:szCs w:val="24"/>
          <w:lang w:val="en-US" w:eastAsia="ja-JP"/>
        </w:rPr>
        <w:t xml:space="preserve"> </w:t>
      </w:r>
      <w:r w:rsidRPr="00A44D37">
        <w:rPr>
          <w:rFonts w:eastAsia="Times New Roman"/>
          <w:noProof/>
          <w:szCs w:val="24"/>
          <w:lang w:val="en-US" w:eastAsia="ja-JP"/>
        </w:rPr>
        <w:t>audiovisual industry and the richness of its cultures and heritage are central to its identity. However, the</w:t>
      </w:r>
      <w:r>
        <w:rPr>
          <w:rFonts w:eastAsia="Times New Roman"/>
          <w:noProof/>
          <w:szCs w:val="24"/>
          <w:lang w:val="en-US" w:eastAsia="ja-JP"/>
        </w:rPr>
        <w:t xml:space="preserve">se policy areas face </w:t>
      </w:r>
      <w:r w:rsidRPr="00A44D37">
        <w:rPr>
          <w:rFonts w:eastAsia="Times New Roman"/>
          <w:noProof/>
          <w:szCs w:val="24"/>
          <w:lang w:val="en-US" w:eastAsia="ja-JP"/>
        </w:rPr>
        <w:t>serious challenges</w:t>
      </w:r>
      <w:r>
        <w:rPr>
          <w:rFonts w:eastAsia="Times New Roman"/>
          <w:noProof/>
          <w:szCs w:val="24"/>
          <w:lang w:val="en-US" w:eastAsia="ja-JP"/>
        </w:rPr>
        <w:t xml:space="preserve"> that require a holistic Union response</w:t>
      </w:r>
      <w:r w:rsidRPr="00A44D37">
        <w:rPr>
          <w:rFonts w:eastAsia="Times New Roman"/>
          <w:noProof/>
          <w:szCs w:val="24"/>
          <w:lang w:val="en-US" w:eastAsia="ja-JP"/>
        </w:rPr>
        <w:t>.  </w:t>
      </w:r>
    </w:p>
    <w:p w14:paraId="22674A9F" w14:textId="77777777" w:rsidR="005B7178" w:rsidRPr="000375E4" w:rsidRDefault="005B7178" w:rsidP="00EC3A6D">
      <w:pPr>
        <w:spacing w:before="0" w:after="160"/>
        <w:rPr>
          <w:rFonts w:eastAsia="Times New Roman"/>
          <w:noProof/>
          <w:lang w:val="en-US" w:eastAsia="ja-JP"/>
        </w:rPr>
      </w:pPr>
      <w:r w:rsidRPr="000375E4">
        <w:rPr>
          <w:rFonts w:eastAsia="Times New Roman"/>
          <w:noProof/>
          <w:lang w:val="en-US" w:eastAsia="ja-JP"/>
        </w:rPr>
        <w:t>Union values are</w:t>
      </w:r>
      <w:r w:rsidRPr="3C049563">
        <w:rPr>
          <w:rFonts w:eastAsia="Times New Roman"/>
          <w:noProof/>
          <w:lang w:val="en-US" w:eastAsia="ja-JP"/>
        </w:rPr>
        <w:t xml:space="preserve"> the object of internal and external pressures, such as challenges to the rule of law, inequalities, discrimination, violations of fundamental rights, declining trust in democratic institutions as well as weakened confidence in democratic processes. </w:t>
      </w:r>
      <w:r>
        <w:rPr>
          <w:noProof/>
        </w:rPr>
        <w:t>Structural inequalities persist as well as violence and discrimination on the grounds of sex,</w:t>
      </w:r>
      <w:r w:rsidDel="009420E3">
        <w:rPr>
          <w:noProof/>
        </w:rPr>
        <w:t xml:space="preserve"> </w:t>
      </w:r>
      <w:r>
        <w:rPr>
          <w:noProof/>
        </w:rPr>
        <w:t xml:space="preserve">racial or ethnic origin, religion or belief, disability, age or sexual orientation, often shown in racism and other forms of intolerance. </w:t>
      </w:r>
      <w:r w:rsidRPr="3C049563">
        <w:rPr>
          <w:rFonts w:eastAsia="Times New Roman"/>
          <w:noProof/>
          <w:lang w:val="en-US" w:eastAsia="ja-JP"/>
        </w:rPr>
        <w:t>Meanwhile, the traditional rol</w:t>
      </w:r>
      <w:r w:rsidRPr="3C049563">
        <w:rPr>
          <w:rFonts w:eastAsia="Times New Roman"/>
          <w:noProof/>
          <w:lang w:val="en-US" w:eastAsia="ja-JP"/>
        </w:rPr>
        <w:t xml:space="preserve">e of </w:t>
      </w:r>
      <w:r>
        <w:rPr>
          <w:rFonts w:eastAsia="Times New Roman"/>
          <w:noProof/>
          <w:lang w:val="en-US" w:eastAsia="ja-JP"/>
        </w:rPr>
        <w:t>independent</w:t>
      </w:r>
      <w:r w:rsidRPr="3C049563">
        <w:rPr>
          <w:rFonts w:eastAsia="Times New Roman"/>
          <w:noProof/>
          <w:lang w:val="en-US" w:eastAsia="ja-JP"/>
        </w:rPr>
        <w:t xml:space="preserve"> civil society organisations in counterbalancing these trends is </w:t>
      </w:r>
      <w:r w:rsidRPr="000375E4">
        <w:rPr>
          <w:rFonts w:eastAsia="Times New Roman"/>
          <w:noProof/>
          <w:lang w:val="en-US" w:eastAsia="ja-JP"/>
        </w:rPr>
        <w:t xml:space="preserve">challenged by a weakening of financial and political support. </w:t>
      </w:r>
    </w:p>
    <w:p w14:paraId="6FA66C75" w14:textId="77777777" w:rsidR="005B7178" w:rsidRPr="000375E4" w:rsidRDefault="005B7178" w:rsidP="00EC3A6D">
      <w:pPr>
        <w:spacing w:before="0" w:after="160"/>
        <w:rPr>
          <w:rFonts w:eastAsia="Times New Roman"/>
          <w:noProof/>
          <w:lang w:val="en-US" w:eastAsia="ja-JP"/>
        </w:rPr>
      </w:pPr>
      <w:r w:rsidRPr="000375E4">
        <w:rPr>
          <w:rFonts w:eastAsia="Times New Roman"/>
          <w:noProof/>
          <w:lang w:val="en-US" w:eastAsia="ja-JP"/>
        </w:rPr>
        <w:t>The European media industries are a beacon of quality and creativity, but today they compete with global online platforms for the attention of citizens and consumers. Circulation of EU audiovisual content continues to be fragmented along national lines, and non-EU players capture most of the box office and streaming subscriptions. While the video game industry has gained a strong foothold in contemporary digital culture (more than half of the EU population regularly plays video games), the Union’s video gam</w:t>
      </w:r>
      <w:r w:rsidRPr="000375E4">
        <w:rPr>
          <w:rFonts w:eastAsia="Times New Roman"/>
          <w:noProof/>
          <w:lang w:val="en-US" w:eastAsia="ja-JP"/>
        </w:rPr>
        <w:t>e market continues to be largely dominated by global competitors. Finally, the integrity of the information space is at risk</w:t>
      </w:r>
      <w:r w:rsidRPr="00E11C1B">
        <w:rPr>
          <w:rFonts w:eastAsia="Times New Roman"/>
          <w:noProof/>
          <w:lang w:val="en-US" w:eastAsia="ja-JP"/>
        </w:rPr>
        <w:t xml:space="preserve"> </w:t>
      </w:r>
      <w:r w:rsidRPr="00362D80">
        <w:rPr>
          <w:rFonts w:eastAsia="Times New Roman"/>
          <w:noProof/>
          <w:lang w:val="en-US" w:eastAsia="ja-JP"/>
        </w:rPr>
        <w:t>through the spread of disinformation and the growth of foreign information manipulation and interference by hostile actors, such as Russia.</w:t>
      </w:r>
      <w:r>
        <w:rPr>
          <w:rFonts w:eastAsia="Times New Roman"/>
          <w:noProof/>
          <w:lang w:val="en-US" w:eastAsia="ja-JP"/>
        </w:rPr>
        <w:t xml:space="preserve"> </w:t>
      </w:r>
      <w:r w:rsidRPr="000375E4">
        <w:rPr>
          <w:rFonts w:eastAsia="Times New Roman"/>
          <w:noProof/>
          <w:lang w:val="en-US" w:eastAsia="ja-JP"/>
        </w:rPr>
        <w:t>Threats against media pluralism are compounded by phenomena such as</w:t>
      </w:r>
      <w:r w:rsidRPr="000375E4">
        <w:rPr>
          <w:rFonts w:eastAsia="Times New Roman"/>
          <w:noProof/>
          <w:lang w:val="en-US" w:eastAsia="ja-JP"/>
        </w:rPr>
        <w:t xml:space="preserve"> concentration of media ownership</w:t>
      </w:r>
      <w:r w:rsidRPr="000375E4">
        <w:rPr>
          <w:rFonts w:eastAsia="Times New Roman"/>
          <w:noProof/>
          <w:lang w:val="en-US" w:eastAsia="ja-JP"/>
        </w:rPr>
        <w:t>. In parallel, news media experience declining advertising revenues and sales, as digital competitors have captured an increasing share of revenue and shaped consumption habits. As a result of all these factors, media viability is under pressure.</w:t>
      </w:r>
    </w:p>
    <w:p w14:paraId="5E9BB545" w14:textId="77777777" w:rsidR="005B7178" w:rsidRPr="000375E4" w:rsidRDefault="005B7178" w:rsidP="00EC3A6D">
      <w:pPr>
        <w:spacing w:before="0" w:after="160"/>
        <w:textAlignment w:val="baseline"/>
        <w:rPr>
          <w:rFonts w:ascii="Segoe UI" w:eastAsia="Times New Roman" w:hAnsi="Segoe UI" w:cs="Segoe UI"/>
          <w:noProof/>
          <w:sz w:val="18"/>
          <w:szCs w:val="18"/>
          <w:lang w:val="en-US" w:eastAsia="ja-JP"/>
        </w:rPr>
      </w:pPr>
      <w:r w:rsidRPr="000375E4">
        <w:rPr>
          <w:rFonts w:eastAsia="Times New Roman"/>
          <w:noProof/>
          <w:lang w:val="en-US" w:eastAsia="ja-JP"/>
        </w:rPr>
        <w:lastRenderedPageBreak/>
        <w:t xml:space="preserve">Culture and the cultural and creative sectors </w:t>
      </w:r>
      <w:r w:rsidRPr="14EA6854">
        <w:rPr>
          <w:rFonts w:eastAsia="Times New Roman"/>
          <w:noProof/>
          <w:lang w:val="en-US" w:eastAsia="ja-JP"/>
        </w:rPr>
        <w:t xml:space="preserve">and industries </w:t>
      </w:r>
      <w:r w:rsidRPr="14EA6854">
        <w:rPr>
          <w:rFonts w:eastAsia="Times New Roman"/>
          <w:noProof/>
          <w:lang w:val="en-US" w:eastAsia="ja-JP"/>
        </w:rPr>
        <w:t>in</w:t>
      </w:r>
      <w:r w:rsidRPr="000375E4">
        <w:rPr>
          <w:rFonts w:eastAsia="Times New Roman"/>
          <w:noProof/>
          <w:lang w:val="en-US" w:eastAsia="ja-JP"/>
        </w:rPr>
        <w:t xml:space="preserve"> the </w:t>
      </w:r>
      <w:r>
        <w:rPr>
          <w:rFonts w:eastAsia="Times New Roman"/>
          <w:noProof/>
          <w:lang w:val="en-US" w:eastAsia="ja-JP"/>
        </w:rPr>
        <w:t>Union</w:t>
      </w:r>
      <w:r w:rsidRPr="000375E4">
        <w:rPr>
          <w:rFonts w:eastAsia="Times New Roman"/>
          <w:noProof/>
          <w:lang w:val="en-US" w:eastAsia="ja-JP"/>
        </w:rPr>
        <w:t xml:space="preserve"> are fragmented as well along national and linguistic lines, reflecting </w:t>
      </w:r>
      <w:r>
        <w:rPr>
          <w:rFonts w:eastAsia="Times New Roman"/>
          <w:noProof/>
          <w:lang w:val="en-US" w:eastAsia="ja-JP"/>
        </w:rPr>
        <w:t>our</w:t>
      </w:r>
      <w:r w:rsidRPr="000375E4">
        <w:rPr>
          <w:rFonts w:eastAsia="Times New Roman"/>
          <w:noProof/>
          <w:lang w:val="en-US" w:eastAsia="ja-JP"/>
        </w:rPr>
        <w:t xml:space="preserve"> rich diversity. This limits transnational artistic collaboration, audience reach, the development of innovative practices, as well as the sectors’</w:t>
      </w:r>
      <w:r>
        <w:rPr>
          <w:rFonts w:eastAsia="Times New Roman"/>
          <w:noProof/>
          <w:lang w:val="en-US" w:eastAsia="ja-JP"/>
        </w:rPr>
        <w:t xml:space="preserve"> resili</w:t>
      </w:r>
      <w:r>
        <w:rPr>
          <w:rFonts w:eastAsia="Times New Roman"/>
          <w:noProof/>
          <w:lang w:val="en-US" w:eastAsia="ja-JP"/>
        </w:rPr>
        <w:t>ence and</w:t>
      </w:r>
      <w:r w:rsidRPr="000375E4">
        <w:rPr>
          <w:rFonts w:eastAsia="Times New Roman"/>
          <w:noProof/>
          <w:lang w:val="en-US" w:eastAsia="ja-JP"/>
        </w:rPr>
        <w:t xml:space="preserve"> potential</w:t>
      </w:r>
      <w:r>
        <w:rPr>
          <w:rFonts w:eastAsia="Times New Roman"/>
          <w:noProof/>
          <w:lang w:val="en-US" w:eastAsia="ja-JP"/>
        </w:rPr>
        <w:t xml:space="preserve"> for</w:t>
      </w:r>
      <w:r w:rsidRPr="000375E4">
        <w:rPr>
          <w:rFonts w:eastAsia="Times New Roman"/>
          <w:noProof/>
          <w:lang w:val="en-US" w:eastAsia="ja-JP"/>
        </w:rPr>
        <w:t xml:space="preserve"> competitiveness, </w:t>
      </w:r>
      <w:r w:rsidRPr="000375E4">
        <w:rPr>
          <w:rFonts w:eastAsia="Times New Roman"/>
          <w:noProof/>
          <w:lang w:val="en-US" w:eastAsia="ja-JP"/>
        </w:rPr>
        <w:t>and</w:t>
      </w:r>
      <w:r>
        <w:rPr>
          <w:rFonts w:eastAsia="Times New Roman"/>
          <w:noProof/>
          <w:lang w:val="en-US" w:eastAsia="ja-JP"/>
        </w:rPr>
        <w:t xml:space="preserve"> strengthening societal wellbeing</w:t>
      </w:r>
      <w:r w:rsidRPr="000375E4">
        <w:rPr>
          <w:rFonts w:eastAsia="Times New Roman"/>
          <w:noProof/>
          <w:lang w:val="en-US" w:eastAsia="ja-JP"/>
        </w:rPr>
        <w:t>. C</w:t>
      </w:r>
      <w:r>
        <w:rPr>
          <w:rFonts w:eastAsia="Times New Roman"/>
          <w:noProof/>
          <w:lang w:val="en-US" w:eastAsia="ja-JP"/>
        </w:rPr>
        <w:t>ulture and creative sectors’</w:t>
      </w:r>
      <w:r w:rsidRPr="000375E4">
        <w:rPr>
          <w:rFonts w:eastAsia="Times New Roman"/>
          <w:noProof/>
          <w:lang w:val="en-US" w:eastAsia="ja-JP"/>
        </w:rPr>
        <w:t xml:space="preserve"> professionals struggle </w:t>
      </w:r>
      <w:r>
        <w:rPr>
          <w:rFonts w:eastAsia="Times New Roman"/>
          <w:noProof/>
          <w:lang w:val="en-US" w:eastAsia="ja-JP"/>
        </w:rPr>
        <w:t xml:space="preserve">to </w:t>
      </w:r>
      <w:r w:rsidRPr="000375E4">
        <w:rPr>
          <w:rFonts w:eastAsia="Times New Roman"/>
          <w:noProof/>
          <w:lang w:val="en-US" w:eastAsia="ja-JP"/>
        </w:rPr>
        <w:t xml:space="preserve">work across borders and </w:t>
      </w:r>
      <w:r>
        <w:rPr>
          <w:rFonts w:eastAsia="Times New Roman"/>
          <w:noProof/>
          <w:lang w:val="en-US" w:eastAsia="ja-JP"/>
        </w:rPr>
        <w:t xml:space="preserve">to </w:t>
      </w:r>
      <w:r w:rsidRPr="000375E4">
        <w:rPr>
          <w:rFonts w:eastAsia="Times New Roman"/>
          <w:noProof/>
          <w:lang w:val="en-US" w:eastAsia="ja-JP"/>
        </w:rPr>
        <w:t>access new opportunities and markets, which exacerbates geographical imbalances</w:t>
      </w:r>
      <w:r w:rsidRPr="66132AE4">
        <w:rPr>
          <w:rFonts w:eastAsia="Times New Roman"/>
          <w:noProof/>
          <w:lang w:val="en-US" w:eastAsia="ja-JP"/>
        </w:rPr>
        <w:t xml:space="preserve"> </w:t>
      </w:r>
      <w:r w:rsidRPr="000375E4">
        <w:rPr>
          <w:rFonts w:eastAsia="Times New Roman"/>
          <w:noProof/>
          <w:lang w:val="en-US" w:eastAsia="ja-JP"/>
        </w:rPr>
        <w:t>and reduces the</w:t>
      </w:r>
      <w:r w:rsidRPr="000375E4">
        <w:rPr>
          <w:rFonts w:eastAsia="Times New Roman"/>
          <w:noProof/>
          <w:lang w:val="en-US" w:eastAsia="ja-JP"/>
        </w:rPr>
        <w:t xml:space="preserve"> circulation of European cultural works. The </w:t>
      </w:r>
      <w:r>
        <w:rPr>
          <w:rFonts w:eastAsia="Times New Roman"/>
          <w:noProof/>
          <w:lang w:val="en-US" w:eastAsia="ja-JP"/>
        </w:rPr>
        <w:t>limited</w:t>
      </w:r>
      <w:r w:rsidRPr="000375E4">
        <w:rPr>
          <w:rFonts w:eastAsia="Times New Roman"/>
          <w:noProof/>
          <w:lang w:val="en-US" w:eastAsia="ja-JP"/>
        </w:rPr>
        <w:t xml:space="preserve"> cross-border mobility and cooperation hinders networking, economies of scale, pooling expertise, and co-creation, all that is crucial for sustaining careers and strong </w:t>
      </w:r>
      <w:r>
        <w:rPr>
          <w:rFonts w:eastAsia="Times New Roman"/>
          <w:noProof/>
          <w:lang w:val="en-US" w:eastAsia="ja-JP"/>
        </w:rPr>
        <w:t>culture and creative sectors</w:t>
      </w:r>
      <w:r w:rsidRPr="000375E4">
        <w:rPr>
          <w:rFonts w:eastAsia="Times New Roman"/>
          <w:noProof/>
          <w:lang w:val="en-US" w:eastAsia="ja-JP"/>
        </w:rPr>
        <w:t>. Meanwhile, Europe’s rich cultural heritage faces threats from a combination of budgetary constraints, vulnerability to pollution, climate change and natural disasters, as well as misappropriation or destruction.   </w:t>
      </w:r>
    </w:p>
    <w:p w14:paraId="16860025" w14:textId="77777777" w:rsidR="005B7178" w:rsidRPr="000375E4" w:rsidRDefault="005B7178" w:rsidP="00EC3A6D">
      <w:pPr>
        <w:spacing w:before="0" w:after="160"/>
        <w:rPr>
          <w:rFonts w:eastAsia="Times New Roman"/>
          <w:noProof/>
          <w:lang w:val="en-US" w:eastAsia="ja-JP"/>
        </w:rPr>
      </w:pPr>
      <w:r w:rsidRPr="000375E4">
        <w:rPr>
          <w:rFonts w:eastAsia="Times New Roman"/>
          <w:noProof/>
          <w:lang w:val="en-US" w:eastAsia="ja-JP"/>
        </w:rPr>
        <w:t xml:space="preserve">Finally, societal, </w:t>
      </w:r>
      <w:r>
        <w:rPr>
          <w:rFonts w:eastAsia="Times New Roman"/>
          <w:noProof/>
          <w:lang w:val="en-US" w:eastAsia="ja-JP"/>
        </w:rPr>
        <w:t xml:space="preserve">creative, </w:t>
      </w:r>
      <w:r w:rsidRPr="000375E4">
        <w:rPr>
          <w:rFonts w:eastAsia="Times New Roman"/>
          <w:noProof/>
          <w:lang w:val="en-US" w:eastAsia="ja-JP"/>
        </w:rPr>
        <w:t>cultural</w:t>
      </w:r>
      <w:r>
        <w:rPr>
          <w:rFonts w:eastAsia="Times New Roman"/>
          <w:noProof/>
          <w:lang w:val="en-US" w:eastAsia="ja-JP"/>
        </w:rPr>
        <w:t xml:space="preserve"> </w:t>
      </w:r>
      <w:r w:rsidRPr="000375E4">
        <w:rPr>
          <w:rFonts w:eastAsia="Times New Roman"/>
          <w:noProof/>
          <w:lang w:val="en-US" w:eastAsia="ja-JP"/>
        </w:rPr>
        <w:t>and media sectors experience common technological dependencies and could benefit from common activities. They are impacted by financial weaknesses, obstacles to access</w:t>
      </w:r>
      <w:r>
        <w:rPr>
          <w:rFonts w:eastAsia="Times New Roman"/>
          <w:noProof/>
          <w:lang w:val="en-US" w:eastAsia="ja-JP"/>
        </w:rPr>
        <w:t>ing</w:t>
      </w:r>
      <w:r w:rsidRPr="000375E4">
        <w:rPr>
          <w:rFonts w:eastAsia="Times New Roman"/>
          <w:noProof/>
          <w:lang w:val="en-US" w:eastAsia="ja-JP"/>
        </w:rPr>
        <w:t xml:space="preserve"> finance, difficulties </w:t>
      </w:r>
      <w:r>
        <w:rPr>
          <w:rFonts w:eastAsia="Times New Roman"/>
          <w:noProof/>
          <w:lang w:val="en-US" w:eastAsia="ja-JP"/>
        </w:rPr>
        <w:t>in</w:t>
      </w:r>
      <w:r w:rsidRPr="000375E4">
        <w:rPr>
          <w:rFonts w:eastAsia="Times New Roman"/>
          <w:noProof/>
          <w:lang w:val="en-US" w:eastAsia="ja-JP"/>
        </w:rPr>
        <w:t xml:space="preserve"> us</w:t>
      </w:r>
      <w:r>
        <w:rPr>
          <w:rFonts w:eastAsia="Times New Roman"/>
          <w:noProof/>
          <w:lang w:val="en-US" w:eastAsia="ja-JP"/>
        </w:rPr>
        <w:t>ing</w:t>
      </w:r>
      <w:r w:rsidRPr="000375E4">
        <w:rPr>
          <w:rFonts w:eastAsia="Times New Roman"/>
          <w:noProof/>
          <w:lang w:val="en-US" w:eastAsia="ja-JP"/>
        </w:rPr>
        <w:t xml:space="preserve"> and uptak</w:t>
      </w:r>
      <w:r>
        <w:rPr>
          <w:rFonts w:eastAsia="Times New Roman"/>
          <w:noProof/>
          <w:lang w:val="en-US" w:eastAsia="ja-JP"/>
        </w:rPr>
        <w:t>ing</w:t>
      </w:r>
      <w:r w:rsidRPr="000375E4">
        <w:rPr>
          <w:rFonts w:eastAsia="Times New Roman"/>
          <w:noProof/>
          <w:lang w:val="en-US" w:eastAsia="ja-JP"/>
        </w:rPr>
        <w:t xml:space="preserve"> applied innovation, lack of adaptation to new sets of skills and digital transformation. Meanwhile, non-EU tech giants increasingly influence the civic, media</w:t>
      </w:r>
      <w:r w:rsidRPr="17262318">
        <w:rPr>
          <w:rFonts w:eastAsia="Times New Roman"/>
          <w:noProof/>
          <w:lang w:val="en-US" w:eastAsia="ja-JP"/>
        </w:rPr>
        <w:t>,</w:t>
      </w:r>
      <w:r w:rsidRPr="000375E4">
        <w:rPr>
          <w:rFonts w:eastAsia="Times New Roman"/>
          <w:noProof/>
          <w:lang w:val="en-US" w:eastAsia="ja-JP"/>
        </w:rPr>
        <w:t xml:space="preserve"> </w:t>
      </w:r>
      <w:r w:rsidRPr="19BB95FD">
        <w:rPr>
          <w:rFonts w:eastAsia="Times New Roman"/>
          <w:noProof/>
          <w:lang w:val="en-US" w:eastAsia="ja-JP"/>
        </w:rPr>
        <w:t xml:space="preserve">and </w:t>
      </w:r>
      <w:r w:rsidRPr="000375E4">
        <w:rPr>
          <w:rFonts w:eastAsia="Times New Roman"/>
          <w:noProof/>
          <w:lang w:val="en-US" w:eastAsia="ja-JP"/>
        </w:rPr>
        <w:t>cultural landscape, shaping content consumption through algorithmic recommendations, automated distribution and AI</w:t>
      </w:r>
      <w:r w:rsidRPr="000375E4">
        <w:rPr>
          <w:rFonts w:eastAsia="Times New Roman"/>
          <w:noProof/>
          <w:lang w:val="en-US" w:eastAsia="ja-JP"/>
        </w:rPr>
        <w:t>-generated content. </w:t>
      </w:r>
    </w:p>
    <w:p w14:paraId="2DC04A62" w14:textId="77777777" w:rsidR="005B7178" w:rsidRPr="000375E4" w:rsidRDefault="005B7178" w:rsidP="00EC3A6D">
      <w:pPr>
        <w:spacing w:before="0" w:after="160"/>
        <w:textAlignment w:val="baseline"/>
        <w:rPr>
          <w:rFonts w:ascii="Segoe UI" w:eastAsia="Times New Roman" w:hAnsi="Segoe UI" w:cs="Segoe UI"/>
          <w:noProof/>
          <w:sz w:val="18"/>
          <w:szCs w:val="18"/>
          <w:lang w:val="en-US" w:eastAsia="ja-JP"/>
        </w:rPr>
      </w:pPr>
      <w:r w:rsidRPr="000375E4">
        <w:rPr>
          <w:rFonts w:eastAsia="Times New Roman"/>
          <w:noProof/>
          <w:lang w:val="en-US" w:eastAsia="ja-JP"/>
        </w:rPr>
        <w:t>These are challenges of a transnational nature that cannot be effectively addressed without joint EU-level solutions, coordination, steering and support. EU actions can help enable cooperation, capacity building, and mutual learning, as well as optimi</w:t>
      </w:r>
      <w:r>
        <w:rPr>
          <w:rFonts w:eastAsia="Times New Roman"/>
          <w:noProof/>
          <w:lang w:val="en-US" w:eastAsia="ja-JP"/>
        </w:rPr>
        <w:t>s</w:t>
      </w:r>
      <w:r w:rsidRPr="000375E4">
        <w:rPr>
          <w:rFonts w:eastAsia="Times New Roman"/>
          <w:noProof/>
          <w:lang w:val="en-US" w:eastAsia="ja-JP"/>
        </w:rPr>
        <w:t>e and combine the potential of these sectors to contribute to economic growth, societal development and cultural diversity.  </w:t>
      </w:r>
    </w:p>
    <w:p w14:paraId="44F25B42"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7BCFDCF0">
        <w:rPr>
          <w:rFonts w:eastAsia="Times New Roman"/>
          <w:noProof/>
          <w:lang w:val="en-US" w:eastAsia="ja-JP"/>
        </w:rPr>
        <w:t>EU support to address challenges affecting culture, media</w:t>
      </w:r>
      <w:r>
        <w:rPr>
          <w:rFonts w:eastAsia="Times New Roman"/>
          <w:noProof/>
          <w:lang w:val="en-US" w:eastAsia="ja-JP"/>
        </w:rPr>
        <w:t>,</w:t>
      </w:r>
      <w:r w:rsidRPr="7BCFDCF0">
        <w:rPr>
          <w:rFonts w:eastAsia="Times New Roman"/>
          <w:noProof/>
          <w:lang w:val="en-US" w:eastAsia="ja-JP"/>
        </w:rPr>
        <w:t xml:space="preserve"> and </w:t>
      </w:r>
      <w:r>
        <w:rPr>
          <w:rFonts w:eastAsia="Times New Roman"/>
          <w:noProof/>
          <w:lang w:val="en-US" w:eastAsia="ja-JP"/>
        </w:rPr>
        <w:t>equality, citizens, rights and</w:t>
      </w:r>
      <w:r w:rsidRPr="7BCFDCF0">
        <w:rPr>
          <w:rFonts w:eastAsia="Times New Roman"/>
          <w:noProof/>
          <w:lang w:val="en-US" w:eastAsia="ja-JP"/>
        </w:rPr>
        <w:t xml:space="preserve"> </w:t>
      </w:r>
      <w:r>
        <w:rPr>
          <w:rFonts w:eastAsia="Times New Roman"/>
          <w:noProof/>
          <w:lang w:val="en-US" w:eastAsia="ja-JP"/>
        </w:rPr>
        <w:t xml:space="preserve">Union </w:t>
      </w:r>
      <w:r w:rsidRPr="7BCFDCF0">
        <w:rPr>
          <w:rFonts w:eastAsia="Times New Roman"/>
          <w:noProof/>
          <w:lang w:val="en-US" w:eastAsia="ja-JP"/>
        </w:rPr>
        <w:t xml:space="preserve">values has been provided through different funding programmes over the years. In the 2021-2027 Multiannual Financial Framework (MFF), support to culture, the cultural and creative sectors and the audiovisual industries was addressed by </w:t>
      </w:r>
      <w:r w:rsidRPr="7BCFDCF0">
        <w:rPr>
          <w:rFonts w:eastAsia="Times New Roman"/>
          <w:b/>
          <w:bCs/>
          <w:noProof/>
          <w:color w:val="000000" w:themeColor="text1"/>
          <w:lang w:val="en-US" w:eastAsia="ja-JP"/>
        </w:rPr>
        <w:t>Creative Europe,</w:t>
      </w:r>
      <w:r w:rsidRPr="7BCFDCF0">
        <w:rPr>
          <w:rFonts w:eastAsia="Times New Roman"/>
          <w:b/>
          <w:bCs/>
          <w:i/>
          <w:iCs/>
          <w:noProof/>
          <w:color w:val="000000" w:themeColor="text1"/>
          <w:lang w:val="en-US" w:eastAsia="ja-JP"/>
        </w:rPr>
        <w:t xml:space="preserve"> </w:t>
      </w:r>
      <w:r w:rsidRPr="7BCFDCF0">
        <w:rPr>
          <w:rFonts w:eastAsia="Times New Roman"/>
          <w:noProof/>
          <w:color w:val="000000" w:themeColor="text1"/>
          <w:lang w:val="en-US" w:eastAsia="ja-JP"/>
        </w:rPr>
        <w:t xml:space="preserve">with the objectives of </w:t>
      </w:r>
      <w:r>
        <w:rPr>
          <w:rFonts w:eastAsia="Times New Roman"/>
          <w:noProof/>
          <w:color w:val="000000" w:themeColor="text1"/>
          <w:lang w:val="en-US" w:eastAsia="ja-JP"/>
        </w:rPr>
        <w:t>safeguarding, developing and promoting European cultural and linguistic diversity and heritage and</w:t>
      </w:r>
      <w:r w:rsidRPr="0BA47463">
        <w:rPr>
          <w:rFonts w:eastAsia="Times New Roman"/>
          <w:noProof/>
          <w:color w:val="D13438"/>
          <w:u w:val="single"/>
          <w:lang w:val="en-US"/>
        </w:rPr>
        <w:t xml:space="preserve"> </w:t>
      </w:r>
      <w:r w:rsidRPr="575B0DD2">
        <w:rPr>
          <w:rFonts w:eastAsia="Times New Roman"/>
          <w:noProof/>
          <w:color w:val="000000" w:themeColor="text1"/>
          <w:lang w:val="en-US" w:eastAsia="ja-JP"/>
        </w:rPr>
        <w:t>contributing</w:t>
      </w:r>
      <w:r w:rsidRPr="7BCFDCF0">
        <w:rPr>
          <w:rFonts w:eastAsia="Times New Roman"/>
          <w:noProof/>
          <w:color w:val="000000" w:themeColor="text1"/>
          <w:lang w:val="en-US" w:eastAsia="ja-JP"/>
        </w:rPr>
        <w:t xml:space="preserve"> to the competitiveness of these sectors, notably the audiovisual sector. Meanwhile, </w:t>
      </w:r>
      <w:r w:rsidRPr="7BCFDCF0">
        <w:rPr>
          <w:rFonts w:eastAsia="Times New Roman"/>
          <w:noProof/>
          <w:lang w:val="en-US" w:eastAsia="ja-JP"/>
        </w:rPr>
        <w:t>the promotion and protection of rights a</w:t>
      </w:r>
      <w:r w:rsidRPr="7BCFDCF0">
        <w:rPr>
          <w:rFonts w:eastAsia="Times New Roman"/>
          <w:noProof/>
          <w:lang w:val="en-US" w:eastAsia="ja-JP"/>
        </w:rPr>
        <w:t>nd Union values as enshrined in the Treaties, the Charter and the applicable international human rights convention w</w:t>
      </w:r>
      <w:r>
        <w:rPr>
          <w:rFonts w:eastAsia="Times New Roman"/>
          <w:noProof/>
          <w:lang w:val="en-US" w:eastAsia="ja-JP"/>
        </w:rPr>
        <w:t>ere</w:t>
      </w:r>
      <w:r w:rsidRPr="7BCFDCF0">
        <w:rPr>
          <w:rFonts w:eastAsia="Times New Roman"/>
          <w:noProof/>
          <w:lang w:val="en-US" w:eastAsia="ja-JP"/>
        </w:rPr>
        <w:t xml:space="preserve"> primarily the object of the </w:t>
      </w:r>
      <w:r w:rsidRPr="7BCFDCF0">
        <w:rPr>
          <w:rFonts w:eastAsia="Times New Roman"/>
          <w:b/>
          <w:bCs/>
          <w:noProof/>
          <w:lang w:val="en-US" w:eastAsia="ja-JP"/>
        </w:rPr>
        <w:t>Citizens, Equality, Rights and Values</w:t>
      </w:r>
      <w:r w:rsidRPr="7BCFDCF0">
        <w:rPr>
          <w:rFonts w:eastAsia="Times New Roman"/>
          <w:noProof/>
          <w:lang w:val="en-US" w:eastAsia="ja-JP"/>
        </w:rPr>
        <w:t xml:space="preserve"> (CERV) programme. CERV has supported civil society organisations working at European, national, regional and local levels, including grassroot</w:t>
      </w:r>
      <w:r>
        <w:rPr>
          <w:rFonts w:eastAsia="Times New Roman"/>
          <w:noProof/>
          <w:lang w:val="en-US" w:eastAsia="ja-JP"/>
        </w:rPr>
        <w:t>s</w:t>
      </w:r>
      <w:r w:rsidRPr="7BCFDCF0">
        <w:rPr>
          <w:rFonts w:eastAsia="Times New Roman"/>
          <w:noProof/>
          <w:lang w:val="en-US" w:eastAsia="ja-JP"/>
        </w:rPr>
        <w:t xml:space="preserve">, in their work to protect and promote Union values. The Union support in some areas, such as news media and </w:t>
      </w:r>
      <w:r>
        <w:rPr>
          <w:rFonts w:eastAsia="Times New Roman"/>
          <w:noProof/>
          <w:lang w:val="en-US" w:eastAsia="ja-JP"/>
        </w:rPr>
        <w:t>countering</w:t>
      </w:r>
      <w:r>
        <w:rPr>
          <w:rFonts w:eastAsia="Times New Roman"/>
          <w:noProof/>
          <w:lang w:val="en-US" w:eastAsia="ja-JP"/>
        </w:rPr>
        <w:t xml:space="preserve"> </w:t>
      </w:r>
      <w:r w:rsidRPr="7BCFDCF0">
        <w:rPr>
          <w:rFonts w:eastAsia="Times New Roman"/>
          <w:noProof/>
          <w:lang w:val="en-US" w:eastAsia="ja-JP"/>
        </w:rPr>
        <w:t>disinformation, was fragmented across different programmes. The cross</w:t>
      </w:r>
      <w:r w:rsidRPr="7BCFDCF0">
        <w:rPr>
          <w:rFonts w:eastAsia="Times New Roman"/>
          <w:noProof/>
          <w:color w:val="498205"/>
          <w:u w:val="single"/>
          <w:lang w:val="en-US" w:eastAsia="ja-JP"/>
        </w:rPr>
        <w:t>-</w:t>
      </w:r>
      <w:r w:rsidRPr="7BCFDCF0">
        <w:rPr>
          <w:rFonts w:eastAsia="Times New Roman"/>
          <w:noProof/>
          <w:lang w:val="en-US" w:eastAsia="ja-JP"/>
        </w:rPr>
        <w:t>sectoral strand of Cre</w:t>
      </w:r>
      <w:r w:rsidRPr="7BCFDCF0">
        <w:rPr>
          <w:rFonts w:eastAsia="Times New Roman"/>
          <w:noProof/>
          <w:color w:val="000000" w:themeColor="text1"/>
          <w:lang w:val="en-US" w:eastAsia="ja-JP"/>
        </w:rPr>
        <w:t xml:space="preserve">ative Europe included specific actions on media pluralism, literacy, and media collaborations, while the </w:t>
      </w:r>
      <w:r w:rsidRPr="7BCFDCF0">
        <w:rPr>
          <w:rFonts w:eastAsia="Times New Roman"/>
          <w:b/>
          <w:bCs/>
          <w:noProof/>
          <w:color w:val="000000" w:themeColor="text1"/>
          <w:lang w:val="en-US" w:eastAsia="ja-JP"/>
        </w:rPr>
        <w:t>Multimedia actions</w:t>
      </w:r>
      <w:r w:rsidRPr="7BCFDCF0">
        <w:rPr>
          <w:rFonts w:eastAsia="Times New Roman"/>
          <w:noProof/>
          <w:color w:val="000000" w:themeColor="text1"/>
          <w:lang w:val="en-US" w:eastAsia="ja-JP"/>
        </w:rPr>
        <w:t xml:space="preserve"> line supported the provision of </w:t>
      </w:r>
      <w:r w:rsidRPr="7BCFDCF0">
        <w:rPr>
          <w:rFonts w:eastAsia="Times New Roman"/>
          <w:noProof/>
          <w:color w:val="000000" w:themeColor="text1"/>
          <w:lang w:val="en-US" w:eastAsia="ja-JP"/>
        </w:rPr>
        <w:t xml:space="preserve">information on EU topics. Tackling disinformation has so far been funded through </w:t>
      </w:r>
      <w:r w:rsidRPr="7BCFDCF0">
        <w:rPr>
          <w:rFonts w:eastAsia="Times New Roman"/>
          <w:b/>
          <w:bCs/>
          <w:noProof/>
          <w:color w:val="000000" w:themeColor="text1"/>
          <w:lang w:val="en-US" w:eastAsia="ja-JP"/>
        </w:rPr>
        <w:t>Digital Europe.</w:t>
      </w:r>
      <w:r w:rsidRPr="7BCFDCF0">
        <w:rPr>
          <w:rFonts w:eastAsia="Times New Roman"/>
          <w:noProof/>
          <w:color w:val="000000" w:themeColor="text1"/>
          <w:lang w:val="en-US" w:eastAsia="ja-JP"/>
        </w:rPr>
        <w:t>  </w:t>
      </w:r>
      <w:r w:rsidRPr="00186592" w:rsidDel="00E061C5">
        <w:rPr>
          <w:rFonts w:eastAsia="Times New Roman"/>
          <w:noProof/>
          <w:color w:val="000000" w:themeColor="text1"/>
          <w:lang w:val="en-US" w:eastAsia="ja-JP"/>
        </w:rPr>
        <w:t xml:space="preserve"> </w:t>
      </w:r>
    </w:p>
    <w:p w14:paraId="20A3BBA9" w14:textId="77777777" w:rsidR="005B7178" w:rsidRPr="00F47FFD" w:rsidRDefault="005B7178" w:rsidP="00EC3A6D">
      <w:pPr>
        <w:spacing w:before="0" w:after="160"/>
        <w:textAlignment w:val="baseline"/>
        <w:rPr>
          <w:rFonts w:eastAsia="Times New Roman"/>
          <w:noProof/>
          <w:color w:val="000000" w:themeColor="text1"/>
          <w:lang w:val="en-US" w:eastAsia="ja-JP"/>
        </w:rPr>
      </w:pPr>
      <w:r w:rsidRPr="0063751D">
        <w:rPr>
          <w:rFonts w:eastAsia="Times New Roman"/>
          <w:noProof/>
          <w:color w:val="000000" w:themeColor="text1"/>
          <w:lang w:val="en-US" w:eastAsia="ja-JP"/>
        </w:rPr>
        <w:t>The</w:t>
      </w:r>
      <w:r w:rsidRPr="0063751D">
        <w:rPr>
          <w:rFonts w:eastAsia="Times New Roman"/>
          <w:noProof/>
          <w:color w:val="000000" w:themeColor="text1"/>
          <w:lang w:val="en-US" w:eastAsia="ja-JP"/>
        </w:rPr>
        <w:t xml:space="preserve"> 2028-203</w:t>
      </w:r>
      <w:r w:rsidRPr="0063751D">
        <w:rPr>
          <w:rFonts w:eastAsia="Times New Roman"/>
          <w:noProof/>
          <w:color w:val="000000" w:themeColor="text1"/>
          <w:lang w:val="en-US" w:eastAsia="ja-JP"/>
        </w:rPr>
        <w:t>4</w:t>
      </w:r>
      <w:r w:rsidRPr="0063751D">
        <w:rPr>
          <w:rFonts w:eastAsia="Times New Roman"/>
          <w:noProof/>
          <w:color w:val="000000" w:themeColor="text1"/>
          <w:lang w:val="en-US" w:eastAsia="ja-JP"/>
        </w:rPr>
        <w:t xml:space="preserve"> MFF</w:t>
      </w:r>
      <w:r>
        <w:rPr>
          <w:rFonts w:eastAsia="Times New Roman"/>
          <w:noProof/>
          <w:color w:val="000000" w:themeColor="text1"/>
          <w:lang w:val="en-US" w:eastAsia="ja-JP"/>
        </w:rPr>
        <w:t xml:space="preserve"> proposal aims at addressin</w:t>
      </w:r>
      <w:r>
        <w:rPr>
          <w:rFonts w:eastAsia="Times New Roman"/>
          <w:noProof/>
          <w:color w:val="000000" w:themeColor="text1"/>
          <w:lang w:val="en-US" w:eastAsia="ja-JP"/>
        </w:rPr>
        <w:t>g</w:t>
      </w:r>
      <w:r w:rsidRPr="6FEB1686">
        <w:rPr>
          <w:rFonts w:eastAsia="Times New Roman"/>
          <w:noProof/>
          <w:color w:val="000000" w:themeColor="text1"/>
          <w:lang w:val="en-US" w:eastAsia="ja-JP"/>
        </w:rPr>
        <w:t xml:space="preserve"> ‘complexities, weaknesses and rigidities’ currently present in the EU’s </w:t>
      </w:r>
      <w:r>
        <w:rPr>
          <w:rFonts w:eastAsia="Times New Roman"/>
          <w:noProof/>
          <w:color w:val="000000" w:themeColor="text1"/>
          <w:lang w:val="en-US" w:eastAsia="ja-JP"/>
        </w:rPr>
        <w:t>budget</w:t>
      </w:r>
      <w:r w:rsidRPr="6FEB1686">
        <w:rPr>
          <w:rFonts w:eastAsia="Times New Roman"/>
          <w:noProof/>
          <w:color w:val="000000" w:themeColor="text1"/>
          <w:lang w:val="en-US" w:eastAsia="ja-JP"/>
        </w:rPr>
        <w:t xml:space="preserve">, and </w:t>
      </w:r>
      <w:r>
        <w:rPr>
          <w:rFonts w:eastAsia="Times New Roman"/>
          <w:noProof/>
          <w:color w:val="000000" w:themeColor="text1"/>
          <w:lang w:val="en-US" w:eastAsia="ja-JP"/>
        </w:rPr>
        <w:t>provides a framework that is</w:t>
      </w:r>
      <w:r w:rsidRPr="6FEB1686">
        <w:rPr>
          <w:rFonts w:eastAsia="Times New Roman"/>
          <w:noProof/>
          <w:color w:val="000000" w:themeColor="text1"/>
          <w:lang w:val="en-US" w:eastAsia="ja-JP"/>
        </w:rPr>
        <w:t xml:space="preserve"> more focused, simpler, with fewer </w:t>
      </w:r>
      <w:r>
        <w:rPr>
          <w:rFonts w:eastAsia="Times New Roman"/>
          <w:noProof/>
          <w:color w:val="000000" w:themeColor="text1"/>
          <w:lang w:val="en-US" w:eastAsia="ja-JP"/>
        </w:rPr>
        <w:t>and more impactful</w:t>
      </w:r>
      <w:r w:rsidRPr="6FEB1686">
        <w:rPr>
          <w:rFonts w:eastAsia="Times New Roman"/>
          <w:noProof/>
          <w:color w:val="000000" w:themeColor="text1"/>
          <w:lang w:val="en-US" w:eastAsia="ja-JP"/>
        </w:rPr>
        <w:t xml:space="preserve"> programmes. For this reason, and to increase the budget’s flexibility and ability to respond to changing realities and emerging problems, this proposal seeks to streamline the EU intervention in the areas of </w:t>
      </w:r>
      <w:r>
        <w:rPr>
          <w:rFonts w:eastAsia="Times New Roman"/>
          <w:noProof/>
          <w:color w:val="000000" w:themeColor="text1"/>
          <w:lang w:val="en-US" w:eastAsia="ja-JP"/>
        </w:rPr>
        <w:t xml:space="preserve">culture, media and </w:t>
      </w:r>
      <w:r>
        <w:rPr>
          <w:rFonts w:eastAsia="Times New Roman"/>
          <w:noProof/>
          <w:color w:val="000000" w:themeColor="text1"/>
          <w:lang w:val="en-US" w:eastAsia="ja-JP"/>
        </w:rPr>
        <w:t xml:space="preserve">equality, citizens, rights and </w:t>
      </w:r>
      <w:r w:rsidRPr="000375E4">
        <w:rPr>
          <w:rFonts w:eastAsia="Times New Roman"/>
          <w:noProof/>
          <w:color w:val="000000" w:themeColor="text1"/>
          <w:lang w:val="en-US" w:eastAsia="ja-JP"/>
        </w:rPr>
        <w:t>values,</w:t>
      </w:r>
      <w:r w:rsidRPr="6FEB1686">
        <w:rPr>
          <w:rFonts w:eastAsia="Times New Roman"/>
          <w:noProof/>
          <w:color w:val="000000" w:themeColor="text1"/>
          <w:lang w:val="en-US" w:eastAsia="ja-JP"/>
        </w:rPr>
        <w:t xml:space="preserve"> </w:t>
      </w:r>
      <w:r>
        <w:rPr>
          <w:rFonts w:eastAsia="Times New Roman"/>
          <w:noProof/>
          <w:color w:val="000000" w:themeColor="text1"/>
          <w:lang w:val="en-US" w:eastAsia="ja-JP"/>
        </w:rPr>
        <w:t>exploiting</w:t>
      </w:r>
      <w:r w:rsidRPr="6FEB1686">
        <w:rPr>
          <w:rFonts w:eastAsia="Times New Roman"/>
          <w:noProof/>
          <w:color w:val="000000" w:themeColor="text1"/>
          <w:lang w:val="en-US" w:eastAsia="ja-JP"/>
        </w:rPr>
        <w:t xml:space="preserve"> </w:t>
      </w:r>
      <w:r w:rsidRPr="6FEB1686">
        <w:rPr>
          <w:rFonts w:eastAsia="Times New Roman"/>
          <w:noProof/>
          <w:color w:val="000000" w:themeColor="text1"/>
          <w:lang w:val="en-US" w:eastAsia="ja-JP"/>
        </w:rPr>
        <w:t>connections and synergies where relevant, while respecting the singu</w:t>
      </w:r>
      <w:r w:rsidRPr="6FEB1686">
        <w:rPr>
          <w:rFonts w:eastAsia="Times New Roman"/>
          <w:noProof/>
          <w:color w:val="000000" w:themeColor="text1"/>
          <w:lang w:val="en-US" w:eastAsia="ja-JP"/>
        </w:rPr>
        <w:t>larity and specific needs of each of these policy areas</w:t>
      </w:r>
      <w:r>
        <w:rPr>
          <w:rFonts w:eastAsia="Times New Roman"/>
          <w:noProof/>
          <w:color w:val="000000" w:themeColor="text1"/>
          <w:lang w:val="en-US" w:eastAsia="ja-JP"/>
        </w:rPr>
        <w:t>.</w:t>
      </w:r>
      <w:r w:rsidRPr="6FEB1686">
        <w:rPr>
          <w:rFonts w:eastAsia="Times New Roman"/>
          <w:noProof/>
          <w:lang w:val="en-US" w:eastAsia="ja-JP"/>
        </w:rPr>
        <w:t> </w:t>
      </w:r>
      <w:r w:rsidRPr="6FEB1686">
        <w:rPr>
          <w:rFonts w:eastAsia="Times New Roman"/>
          <w:noProof/>
          <w:color w:val="498205"/>
          <w:lang w:val="en-US" w:eastAsia="ja-JP"/>
        </w:rPr>
        <w:t> </w:t>
      </w:r>
    </w:p>
    <w:p w14:paraId="4462FD37"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szCs w:val="24"/>
          <w:lang w:val="en-US" w:eastAsia="ja-JP"/>
        </w:rPr>
        <w:t>In the area of </w:t>
      </w:r>
      <w:r>
        <w:rPr>
          <w:rFonts w:eastAsia="Times New Roman"/>
          <w:noProof/>
          <w:szCs w:val="24"/>
          <w:lang w:val="en-US" w:eastAsia="ja-JP"/>
        </w:rPr>
        <w:t xml:space="preserve">equality, </w:t>
      </w:r>
      <w:r>
        <w:rPr>
          <w:rFonts w:eastAsia="Times New Roman"/>
          <w:noProof/>
          <w:szCs w:val="24"/>
          <w:lang w:val="en-US" w:eastAsia="ja-JP"/>
        </w:rPr>
        <w:t xml:space="preserve">citizens, </w:t>
      </w:r>
      <w:r>
        <w:rPr>
          <w:rFonts w:eastAsia="Times New Roman"/>
          <w:noProof/>
          <w:szCs w:val="24"/>
          <w:lang w:val="en-US" w:eastAsia="ja-JP"/>
        </w:rPr>
        <w:t xml:space="preserve">rights and </w:t>
      </w:r>
      <w:r w:rsidRPr="000375E4">
        <w:rPr>
          <w:rFonts w:eastAsia="Times New Roman"/>
          <w:noProof/>
          <w:szCs w:val="24"/>
          <w:lang w:val="en-US" w:eastAsia="ja-JP"/>
        </w:rPr>
        <w:t>values, the proposal will contribute to upholding democracy and the rule of law, fundamental rights</w:t>
      </w:r>
      <w:r w:rsidRPr="00A44D37">
        <w:rPr>
          <w:rFonts w:eastAsia="Times New Roman"/>
          <w:noProof/>
          <w:szCs w:val="24"/>
          <w:lang w:val="en-US" w:eastAsia="ja-JP"/>
        </w:rPr>
        <w:t xml:space="preserve"> and equality, </w:t>
      </w:r>
      <w:r w:rsidRPr="00F47497">
        <w:rPr>
          <w:rFonts w:eastAsia="Times New Roman"/>
          <w:noProof/>
          <w:szCs w:val="24"/>
          <w:lang w:val="en-US" w:eastAsia="ja-JP"/>
        </w:rPr>
        <w:t>reducing</w:t>
      </w:r>
      <w:r w:rsidRPr="00A44D37">
        <w:rPr>
          <w:rFonts w:eastAsia="Times New Roman"/>
          <w:noProof/>
          <w:szCs w:val="24"/>
          <w:lang w:val="en-US" w:eastAsia="ja-JP"/>
        </w:rPr>
        <w:t xml:space="preserve"> discrimination and </w:t>
      </w:r>
      <w:r w:rsidRPr="00F47497">
        <w:rPr>
          <w:rFonts w:eastAsia="Times New Roman"/>
          <w:noProof/>
          <w:szCs w:val="24"/>
          <w:lang w:val="en-US" w:eastAsia="ja-JP"/>
        </w:rPr>
        <w:lastRenderedPageBreak/>
        <w:t>empowering</w:t>
      </w:r>
      <w:r w:rsidRPr="00A44D37">
        <w:rPr>
          <w:rFonts w:eastAsia="Times New Roman"/>
          <w:noProof/>
          <w:szCs w:val="24"/>
          <w:lang w:val="en-US" w:eastAsia="ja-JP"/>
        </w:rPr>
        <w:t xml:space="preserve"> civil society. The new </w:t>
      </w:r>
      <w:r>
        <w:rPr>
          <w:rFonts w:eastAsia="Times New Roman"/>
          <w:noProof/>
          <w:szCs w:val="24"/>
          <w:lang w:val="en-US" w:eastAsia="ja-JP"/>
        </w:rPr>
        <w:t>P</w:t>
      </w:r>
      <w:r w:rsidRPr="00A44D37">
        <w:rPr>
          <w:rFonts w:eastAsia="Times New Roman"/>
          <w:noProof/>
          <w:szCs w:val="24"/>
          <w:lang w:val="en-US" w:eastAsia="ja-JP"/>
        </w:rPr>
        <w:t xml:space="preserve">rogramme will contribute as well to fighting against gender-based violence, violence against children and other groups </w:t>
      </w:r>
      <w:r>
        <w:rPr>
          <w:rFonts w:eastAsia="Times New Roman"/>
          <w:noProof/>
          <w:szCs w:val="24"/>
          <w:lang w:val="en-US" w:eastAsia="ja-JP"/>
        </w:rPr>
        <w:t>at</w:t>
      </w:r>
      <w:r w:rsidRPr="00A44D37">
        <w:rPr>
          <w:rFonts w:eastAsia="Times New Roman"/>
          <w:noProof/>
          <w:szCs w:val="24"/>
          <w:lang w:val="en-US" w:eastAsia="ja-JP"/>
        </w:rPr>
        <w:t xml:space="preserve"> risk. In addition, it will contribute to enhancing democratic resilience and participation.  </w:t>
      </w:r>
    </w:p>
    <w:p w14:paraId="2498F103"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4A74CA21">
        <w:rPr>
          <w:rFonts w:eastAsia="Times New Roman"/>
          <w:noProof/>
          <w:lang w:val="en-US" w:eastAsia="ja-JP"/>
        </w:rPr>
        <w:t>Media is a driver of democratic values</w:t>
      </w:r>
      <w:r>
        <w:rPr>
          <w:rFonts w:eastAsia="Times New Roman"/>
          <w:noProof/>
          <w:lang w:val="en-US" w:eastAsia="ja-JP"/>
        </w:rPr>
        <w:t>,</w:t>
      </w:r>
      <w:r w:rsidRPr="4A74CA21">
        <w:rPr>
          <w:rFonts w:eastAsia="Times New Roman"/>
          <w:noProof/>
          <w:lang w:val="en-US" w:eastAsia="ja-JP"/>
        </w:rPr>
        <w:t xml:space="preserve"> cultural diversity and economic growth. </w:t>
      </w:r>
      <w:r w:rsidRPr="0095449E">
        <w:rPr>
          <w:rFonts w:eastAsia="Times New Roman"/>
          <w:noProof/>
          <w:lang w:val="en-US" w:eastAsia="ja-JP"/>
        </w:rPr>
        <w:t>The media sector encompasses inter alia content such as films, series, video games, news</w:t>
      </w:r>
      <w:r>
        <w:rPr>
          <w:rFonts w:eastAsia="Times New Roman"/>
          <w:noProof/>
          <w:lang w:val="en-US" w:eastAsia="ja-JP"/>
        </w:rPr>
        <w:t xml:space="preserve"> </w:t>
      </w:r>
      <w:r w:rsidRPr="0095449E">
        <w:rPr>
          <w:rFonts w:eastAsia="Times New Roman"/>
          <w:noProof/>
          <w:lang w:val="en-US" w:eastAsia="ja-JP"/>
        </w:rPr>
        <w:t xml:space="preserve">and information, immersive reality and multimedia, as well as services including theatrical exhibition, television and radio broadcasting, </w:t>
      </w:r>
      <w:r w:rsidRPr="3FB64BB1">
        <w:rPr>
          <w:rFonts w:eastAsia="Times New Roman"/>
          <w:noProof/>
          <w:lang w:val="en-US" w:eastAsia="ja-JP"/>
        </w:rPr>
        <w:t xml:space="preserve">print </w:t>
      </w:r>
      <w:r w:rsidRPr="1B80101D">
        <w:rPr>
          <w:rFonts w:eastAsia="Times New Roman"/>
          <w:noProof/>
          <w:lang w:val="en-US" w:eastAsia="ja-JP"/>
        </w:rPr>
        <w:t>and</w:t>
      </w:r>
      <w:r>
        <w:rPr>
          <w:rFonts w:eastAsia="Times New Roman"/>
          <w:noProof/>
          <w:lang w:val="en-US" w:eastAsia="ja-JP"/>
        </w:rPr>
        <w:t xml:space="preserve"> </w:t>
      </w:r>
      <w:r w:rsidRPr="0095449E">
        <w:rPr>
          <w:rFonts w:eastAsia="Times New Roman"/>
          <w:noProof/>
          <w:lang w:val="en-US" w:eastAsia="ja-JP"/>
        </w:rPr>
        <w:t xml:space="preserve">online </w:t>
      </w:r>
      <w:r w:rsidRPr="1B80101D">
        <w:rPr>
          <w:rFonts w:eastAsia="Times New Roman"/>
          <w:noProof/>
          <w:lang w:val="en-US" w:eastAsia="ja-JP"/>
        </w:rPr>
        <w:t xml:space="preserve">publishing, online </w:t>
      </w:r>
      <w:r w:rsidRPr="0095449E">
        <w:rPr>
          <w:rFonts w:eastAsia="Times New Roman"/>
          <w:noProof/>
          <w:lang w:val="en-US" w:eastAsia="ja-JP"/>
        </w:rPr>
        <w:t>videos and podcasts.</w:t>
      </w:r>
      <w:r w:rsidRPr="4A74CA21">
        <w:rPr>
          <w:rFonts w:eastAsia="Times New Roman"/>
          <w:noProof/>
          <w:lang w:val="en-US" w:eastAsia="ja-JP"/>
        </w:rPr>
        <w:t xml:space="preserve"> To be socially relevant, the audiovisual and media industries need to be resilient and competitive. The proposal will support a free, competitive and diverse media and audiovisual space. It will on one hand enhance the production, circulation, IP </w:t>
      </w:r>
      <w:r>
        <w:rPr>
          <w:rFonts w:eastAsia="Times New Roman"/>
          <w:noProof/>
          <w:lang w:val="en-US" w:eastAsia="ja-JP"/>
        </w:rPr>
        <w:t>exploitation</w:t>
      </w:r>
      <w:r w:rsidRPr="4A74CA21">
        <w:rPr>
          <w:rFonts w:eastAsia="Times New Roman"/>
          <w:noProof/>
          <w:lang w:val="en-US" w:eastAsia="ja-JP"/>
        </w:rPr>
        <w:t xml:space="preserve"> and consumption of audiovisual works and other forms of </w:t>
      </w:r>
      <w:r w:rsidRPr="4A74CA21">
        <w:rPr>
          <w:rFonts w:eastAsia="Times New Roman"/>
          <w:noProof/>
          <w:lang w:val="en-US" w:eastAsia="ja-JP"/>
        </w:rPr>
        <w:t>media content, such as gaming. On the other hand, it will contribute to protect</w:t>
      </w:r>
      <w:r>
        <w:rPr>
          <w:rFonts w:eastAsia="Times New Roman"/>
          <w:noProof/>
          <w:lang w:val="en-US" w:eastAsia="ja-JP"/>
        </w:rPr>
        <w:t>ing</w:t>
      </w:r>
      <w:r w:rsidRPr="4A74CA21">
        <w:rPr>
          <w:rFonts w:eastAsia="Times New Roman"/>
          <w:noProof/>
          <w:lang w:val="en-US" w:eastAsia="ja-JP"/>
        </w:rPr>
        <w:t xml:space="preserve"> the viability and pluralism of the information market, notably by supporting news media</w:t>
      </w:r>
      <w:r>
        <w:rPr>
          <w:rFonts w:eastAsia="Times New Roman"/>
          <w:noProof/>
          <w:lang w:val="en-US" w:eastAsia="ja-JP"/>
        </w:rPr>
        <w:t xml:space="preserve"> and</w:t>
      </w:r>
      <w:r w:rsidRPr="4A74CA21">
        <w:rPr>
          <w:rFonts w:eastAsia="Times New Roman"/>
          <w:noProof/>
          <w:lang w:val="en-US" w:eastAsia="ja-JP"/>
        </w:rPr>
        <w:t xml:space="preserve"> media independence</w:t>
      </w:r>
      <w:r>
        <w:rPr>
          <w:rFonts w:eastAsia="Times New Roman"/>
          <w:noProof/>
          <w:lang w:val="en-US" w:eastAsia="ja-JP"/>
        </w:rPr>
        <w:t xml:space="preserve"> including at regional and local levels</w:t>
      </w:r>
      <w:r>
        <w:rPr>
          <w:rFonts w:eastAsia="Times New Roman"/>
          <w:noProof/>
          <w:lang w:val="en-US" w:eastAsia="ja-JP"/>
        </w:rPr>
        <w:t>. It will also contribute to</w:t>
      </w:r>
      <w:r w:rsidRPr="4A74CA21">
        <w:rPr>
          <w:rFonts w:eastAsia="Times New Roman"/>
          <w:noProof/>
          <w:lang w:val="en-US" w:eastAsia="ja-JP"/>
        </w:rPr>
        <w:t xml:space="preserve"> tackl</w:t>
      </w:r>
      <w:r>
        <w:rPr>
          <w:rFonts w:eastAsia="Times New Roman"/>
          <w:noProof/>
          <w:lang w:val="en-US" w:eastAsia="ja-JP"/>
        </w:rPr>
        <w:t>ing</w:t>
      </w:r>
      <w:r w:rsidRPr="4A74CA21">
        <w:rPr>
          <w:rFonts w:eastAsia="Times New Roman"/>
          <w:noProof/>
          <w:lang w:val="en-US" w:eastAsia="ja-JP"/>
        </w:rPr>
        <w:t xml:space="preserve"> disinformation</w:t>
      </w:r>
      <w:r>
        <w:rPr>
          <w:rFonts w:eastAsia="Times New Roman"/>
          <w:noProof/>
          <w:lang w:val="en-US" w:eastAsia="ja-JP"/>
        </w:rPr>
        <w:t xml:space="preserve"> </w:t>
      </w:r>
      <w:r>
        <w:rPr>
          <w:rFonts w:eastAsia="Times New Roman"/>
          <w:noProof/>
          <w:lang w:val="en-US" w:eastAsia="ja-JP"/>
        </w:rPr>
        <w:t>and</w:t>
      </w:r>
      <w:r>
        <w:rPr>
          <w:rFonts w:eastAsia="Times New Roman"/>
          <w:noProof/>
          <w:lang w:val="en-US" w:eastAsia="ja-JP"/>
        </w:rPr>
        <w:t xml:space="preserve"> foreign </w:t>
      </w:r>
      <w:r>
        <w:rPr>
          <w:rFonts w:eastAsia="Times New Roman"/>
          <w:noProof/>
          <w:lang w:val="en-US" w:eastAsia="ja-JP"/>
        </w:rPr>
        <w:t xml:space="preserve">information manipulation and interference. </w:t>
      </w:r>
      <w:r w:rsidRPr="4A74CA21">
        <w:rPr>
          <w:rFonts w:eastAsia="Times New Roman"/>
          <w:noProof/>
          <w:lang w:val="en-US" w:eastAsia="ja-JP"/>
        </w:rPr>
        <w:t>   </w:t>
      </w:r>
    </w:p>
    <w:p w14:paraId="1A62C540"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09122A1">
        <w:rPr>
          <w:rFonts w:eastAsia="Times New Roman"/>
          <w:noProof/>
        </w:rPr>
        <w:t>Culture and the cultural and creative sectors are great assets for Europe, projecting the image of a dynamic continent on the world stage. Encompassing inter alia performing arts, literature and book publishing, music and visual arts, tangible and intangible cultural heritage, architecture, archives, libraries and museums, artistic crafts and design, they produce meanings on various mediums and through multiple formats.</w:t>
      </w:r>
      <w:r w:rsidRPr="009122A1">
        <w:rPr>
          <w:rFonts w:eastAsia="Times New Roman"/>
          <w:noProof/>
          <w:lang w:val="en-US"/>
        </w:rPr>
        <w:t xml:space="preserve"> </w:t>
      </w:r>
      <w:r w:rsidRPr="7CD1C9D8">
        <w:rPr>
          <w:rFonts w:eastAsia="Times New Roman"/>
          <w:noProof/>
          <w:lang w:val="en-US" w:eastAsia="ja-JP"/>
        </w:rPr>
        <w:t>T</w:t>
      </w:r>
      <w:r w:rsidRPr="7CD1C9D8">
        <w:rPr>
          <w:rFonts w:eastAsia="Times New Roman"/>
          <w:noProof/>
          <w:lang w:val="en-US" w:eastAsia="ja-JP"/>
        </w:rPr>
        <w:t>he</w:t>
      </w:r>
      <w:r w:rsidRPr="38E75F93">
        <w:rPr>
          <w:rFonts w:eastAsia="Times New Roman"/>
          <w:noProof/>
          <w:lang w:val="en-US" w:eastAsia="ja-JP"/>
        </w:rPr>
        <w:t xml:space="preserve"> EU intervention</w:t>
      </w:r>
      <w:r w:rsidRPr="5E8F4CE3">
        <w:rPr>
          <w:rFonts w:eastAsia="Times New Roman"/>
          <w:noProof/>
          <w:lang w:val="en-US" w:eastAsia="ja-JP"/>
        </w:rPr>
        <w:t xml:space="preserve"> </w:t>
      </w:r>
      <w:r w:rsidRPr="5E8F4CE3">
        <w:rPr>
          <w:rFonts w:eastAsia="Times New Roman"/>
          <w:noProof/>
          <w:lang w:val="en-US" w:eastAsia="ja-JP"/>
        </w:rPr>
        <w:t>in</w:t>
      </w:r>
      <w:r w:rsidRPr="38E75F93">
        <w:rPr>
          <w:rFonts w:eastAsia="Times New Roman"/>
          <w:noProof/>
          <w:lang w:val="en-US" w:eastAsia="ja-JP"/>
        </w:rPr>
        <w:t xml:space="preserve"> </w:t>
      </w:r>
      <w:r w:rsidRPr="658A1480">
        <w:rPr>
          <w:rFonts w:eastAsia="Times New Roman"/>
          <w:noProof/>
          <w:lang w:val="en-US" w:eastAsia="ja-JP"/>
        </w:rPr>
        <w:t xml:space="preserve">the field of </w:t>
      </w:r>
      <w:r w:rsidRPr="483B1B0B">
        <w:rPr>
          <w:rFonts w:eastAsia="Times New Roman"/>
          <w:noProof/>
          <w:lang w:val="en-US" w:eastAsia="ja-JP"/>
        </w:rPr>
        <w:t xml:space="preserve">culture </w:t>
      </w:r>
      <w:r w:rsidRPr="483B1B0B">
        <w:rPr>
          <w:rFonts w:eastAsia="Times New Roman"/>
          <w:noProof/>
          <w:lang w:val="en-US" w:eastAsia="ja-JP"/>
        </w:rPr>
        <w:t>will</w:t>
      </w:r>
      <w:r w:rsidRPr="38E75F93">
        <w:rPr>
          <w:rFonts w:eastAsia="Times New Roman"/>
          <w:noProof/>
          <w:lang w:val="en-US" w:eastAsia="ja-JP"/>
        </w:rPr>
        <w:t xml:space="preserve"> contribute to increasing cross-border cultural creation and cooperation, cultural participation and accessibility to a diversity of European cultural expressions and to protecting </w:t>
      </w:r>
      <w:r w:rsidRPr="1E758B3E">
        <w:rPr>
          <w:rFonts w:eastAsia="Times New Roman"/>
          <w:noProof/>
          <w:lang w:val="en-US" w:eastAsia="ja-JP"/>
        </w:rPr>
        <w:t xml:space="preserve">and preserving </w:t>
      </w:r>
      <w:r w:rsidRPr="1E758B3E">
        <w:rPr>
          <w:rFonts w:eastAsia="Times New Roman"/>
          <w:noProof/>
          <w:lang w:val="en-US" w:eastAsia="ja-JP"/>
        </w:rPr>
        <w:t>cultural heritage.</w:t>
      </w:r>
      <w:r w:rsidRPr="38E75F93">
        <w:rPr>
          <w:rFonts w:eastAsia="Times New Roman"/>
          <w:noProof/>
          <w:lang w:val="en-US" w:eastAsia="ja-JP"/>
        </w:rPr>
        <w:t xml:space="preserve"> The proposal will also help increase the circulation of </w:t>
      </w:r>
      <w:r w:rsidRPr="15FEAAC5">
        <w:rPr>
          <w:rFonts w:eastAsia="Times New Roman"/>
          <w:noProof/>
          <w:lang w:val="en-US" w:eastAsia="ja-JP"/>
        </w:rPr>
        <w:t xml:space="preserve">a diversity of </w:t>
      </w:r>
      <w:r w:rsidRPr="38E75F93">
        <w:rPr>
          <w:rFonts w:eastAsia="Times New Roman"/>
          <w:noProof/>
          <w:lang w:val="en-US" w:eastAsia="ja-JP"/>
        </w:rPr>
        <w:t>cultural works and the mobility of professionals, as well as promote inclusiveness and intergenerational fairness through culture</w:t>
      </w:r>
      <w:r w:rsidRPr="1E758B3E">
        <w:rPr>
          <w:rFonts w:eastAsia="Times New Roman"/>
          <w:noProof/>
          <w:lang w:val="en-US" w:eastAsia="ja-JP"/>
        </w:rPr>
        <w:t xml:space="preserve">. </w:t>
      </w:r>
      <w:r w:rsidRPr="66132AE4">
        <w:rPr>
          <w:rFonts w:eastAsia="Times New Roman"/>
          <w:noProof/>
          <w:lang w:val="en-US" w:eastAsia="ja-JP"/>
        </w:rPr>
        <w:t xml:space="preserve">Finally, it </w:t>
      </w:r>
      <w:r w:rsidRPr="66132AE4">
        <w:rPr>
          <w:rFonts w:eastAsia="Times New Roman"/>
          <w:noProof/>
          <w:lang w:val="en-US" w:eastAsia="ja-JP"/>
        </w:rPr>
        <w:t>will</w:t>
      </w:r>
      <w:r w:rsidRPr="66132AE4">
        <w:rPr>
          <w:rFonts w:eastAsia="Times New Roman"/>
          <w:noProof/>
          <w:lang w:val="en-US" w:eastAsia="ja-JP"/>
        </w:rPr>
        <w:t xml:space="preserve"> strengthen</w:t>
      </w:r>
      <w:r w:rsidRPr="38E75F93">
        <w:rPr>
          <w:rFonts w:eastAsia="Times New Roman"/>
          <w:noProof/>
          <w:lang w:val="en-US" w:eastAsia="ja-JP"/>
        </w:rPr>
        <w:t xml:space="preserve"> the social, economic and external dimensions of the cultural and creative sectors</w:t>
      </w:r>
      <w:r>
        <w:rPr>
          <w:rFonts w:eastAsia="Times New Roman"/>
          <w:noProof/>
          <w:lang w:val="en-US" w:eastAsia="ja-JP"/>
        </w:rPr>
        <w:t>.</w:t>
      </w:r>
    </w:p>
    <w:p w14:paraId="5A35F4D3" w14:textId="77777777" w:rsidR="005B7178" w:rsidRDefault="005B7178" w:rsidP="00C8739A">
      <w:pPr>
        <w:rPr>
          <w:rFonts w:eastAsia="Times New Roman"/>
          <w:noProof/>
          <w:lang w:val="en-US" w:eastAsia="ja-JP"/>
        </w:rPr>
      </w:pPr>
      <w:r w:rsidRPr="727A7D38">
        <w:rPr>
          <w:rFonts w:eastAsia="Times New Roman"/>
          <w:noProof/>
          <w:lang w:val="en-US" w:eastAsia="ja-JP"/>
        </w:rPr>
        <w:t>Finally, the EU should</w:t>
      </w:r>
      <w:r>
        <w:rPr>
          <w:rFonts w:eastAsia="Times New Roman"/>
          <w:noProof/>
          <w:lang w:val="en-US" w:eastAsia="ja-JP"/>
        </w:rPr>
        <w:t xml:space="preserve"> promote synergies among the media, culture</w:t>
      </w:r>
      <w:r>
        <w:rPr>
          <w:rFonts w:eastAsia="Times New Roman"/>
          <w:noProof/>
          <w:lang w:val="en-US" w:eastAsia="ja-JP"/>
        </w:rPr>
        <w:t xml:space="preserve">, </w:t>
      </w:r>
      <w:r w:rsidRPr="2069FD1F">
        <w:rPr>
          <w:rFonts w:eastAsia="Times New Roman"/>
          <w:noProof/>
          <w:lang w:val="en-US" w:eastAsia="ja-JP"/>
        </w:rPr>
        <w:t xml:space="preserve">and </w:t>
      </w:r>
      <w:r>
        <w:rPr>
          <w:noProof/>
        </w:rPr>
        <w:t>civic spheres, bringing together</w:t>
      </w:r>
      <w:r>
        <w:rPr>
          <w:noProof/>
        </w:rPr>
        <w:t xml:space="preserve"> public and private </w:t>
      </w:r>
      <w:r>
        <w:rPr>
          <w:noProof/>
        </w:rPr>
        <w:t>entities</w:t>
      </w:r>
      <w:r>
        <w:rPr>
          <w:noProof/>
        </w:rPr>
        <w:t xml:space="preserve"> as well as promoting cross-sectoral cooperation, and innovation, to address common challenge</w:t>
      </w:r>
      <w:r>
        <w:rPr>
          <w:noProof/>
        </w:rPr>
        <w:t>s</w:t>
      </w:r>
      <w:r>
        <w:rPr>
          <w:noProof/>
        </w:rPr>
        <w:t xml:space="preserve"> and contribute to societal resilience</w:t>
      </w:r>
      <w:r>
        <w:rPr>
          <w:noProof/>
        </w:rPr>
        <w:t xml:space="preserve"> and</w:t>
      </w:r>
      <w:r>
        <w:rPr>
          <w:noProof/>
        </w:rPr>
        <w:t xml:space="preserve"> democratic participation</w:t>
      </w:r>
      <w:r>
        <w:rPr>
          <w:noProof/>
        </w:rPr>
        <w:t>.</w:t>
      </w:r>
      <w:r>
        <w:rPr>
          <w:noProof/>
        </w:rPr>
        <w:t xml:space="preserve">  </w:t>
      </w:r>
    </w:p>
    <w:p w14:paraId="62FE34EB"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szCs w:val="24"/>
          <w:lang w:val="en-US" w:eastAsia="ja-JP"/>
        </w:rPr>
        <w:t xml:space="preserve">On this basis, the EU financing intervention will be best equipped to enhance and scale up existing successful schemes, to better address transnational challenges, and to fill gaps </w:t>
      </w:r>
      <w:r>
        <w:rPr>
          <w:rFonts w:eastAsia="Times New Roman"/>
          <w:noProof/>
          <w:szCs w:val="24"/>
          <w:lang w:val="en-US" w:eastAsia="ja-JP"/>
        </w:rPr>
        <w:t>impossible to address</w:t>
      </w:r>
      <w:r w:rsidRPr="00A44D37">
        <w:rPr>
          <w:rFonts w:eastAsia="Times New Roman"/>
          <w:noProof/>
          <w:szCs w:val="24"/>
          <w:lang w:val="en-US" w:eastAsia="ja-JP"/>
        </w:rPr>
        <w:t xml:space="preserve"> at Member States level. It will also provide wider coherence and better alignment between regulatory policy and funding instruments, as well as between internal and external policies. </w:t>
      </w:r>
      <w:r w:rsidRPr="00A44D37">
        <w:rPr>
          <w:rFonts w:eastAsia="Times New Roman"/>
          <w:noProof/>
          <w:szCs w:val="24"/>
          <w:lang w:eastAsia="ja-JP"/>
        </w:rPr>
        <w:t>Therefore, the proposal will contribute to reinforc</w:t>
      </w:r>
      <w:r>
        <w:rPr>
          <w:rFonts w:eastAsia="Times New Roman"/>
          <w:noProof/>
          <w:szCs w:val="24"/>
          <w:lang w:eastAsia="ja-JP"/>
        </w:rPr>
        <w:t>ing</w:t>
      </w:r>
      <w:r w:rsidRPr="00A44D37">
        <w:rPr>
          <w:rFonts w:eastAsia="Times New Roman"/>
          <w:noProof/>
          <w:szCs w:val="24"/>
          <w:lang w:eastAsia="ja-JP"/>
        </w:rPr>
        <w:t xml:space="preserve"> Europe’s societies, media and culture, and foster </w:t>
      </w:r>
      <w:r>
        <w:rPr>
          <w:rFonts w:eastAsia="Times New Roman"/>
          <w:noProof/>
          <w:szCs w:val="24"/>
          <w:lang w:eastAsia="ja-JP"/>
        </w:rPr>
        <w:t>Union</w:t>
      </w:r>
      <w:r w:rsidRPr="00A44D37">
        <w:rPr>
          <w:rFonts w:eastAsia="Times New Roman"/>
          <w:noProof/>
          <w:szCs w:val="24"/>
          <w:lang w:eastAsia="ja-JP"/>
        </w:rPr>
        <w:t xml:space="preserve"> values and democratic participation and help unlock the full potential of the Union as a source of progress</w:t>
      </w:r>
      <w:r>
        <w:rPr>
          <w:rFonts w:eastAsia="Times New Roman"/>
          <w:noProof/>
          <w:szCs w:val="24"/>
          <w:lang w:eastAsia="ja-JP"/>
        </w:rPr>
        <w:t xml:space="preserve">, sustainable development </w:t>
      </w:r>
      <w:r w:rsidRPr="00A44D37">
        <w:rPr>
          <w:rFonts w:eastAsia="Times New Roman"/>
          <w:noProof/>
          <w:szCs w:val="24"/>
          <w:lang w:eastAsia="ja-JP"/>
        </w:rPr>
        <w:t>and growth.</w:t>
      </w:r>
      <w:r w:rsidRPr="00A44D37">
        <w:rPr>
          <w:rFonts w:eastAsia="Times New Roman"/>
          <w:noProof/>
          <w:szCs w:val="24"/>
          <w:lang w:val="en-US" w:eastAsia="ja-JP"/>
        </w:rPr>
        <w:t> </w:t>
      </w:r>
    </w:p>
    <w:p w14:paraId="4D40F549"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4D7FD32E">
        <w:rPr>
          <w:rFonts w:eastAsia="Times New Roman"/>
          <w:noProof/>
          <w:lang w:eastAsia="ja-JP"/>
        </w:rPr>
        <w:t>The policy areas covered by this legal proposal are firmly anchored in the EU Treaties, which provide the legal bases for EU action through Union funding programmes</w:t>
      </w:r>
      <w:r>
        <w:rPr>
          <w:rFonts w:eastAsia="Times New Roman"/>
          <w:noProof/>
          <w:lang w:eastAsia="ja-JP"/>
        </w:rPr>
        <w:t>, and they contribute to the Union’s long-term objectives</w:t>
      </w:r>
      <w:r w:rsidRPr="6FEB1686">
        <w:rPr>
          <w:rFonts w:eastAsia="Times New Roman"/>
          <w:noProof/>
          <w:lang w:eastAsia="ja-JP"/>
        </w:rPr>
        <w:t>.</w:t>
      </w:r>
      <w:r w:rsidRPr="4D7FD32E">
        <w:rPr>
          <w:rFonts w:eastAsia="Times New Roman"/>
          <w:noProof/>
          <w:lang w:eastAsia="ja-JP"/>
        </w:rPr>
        <w:t xml:space="preserve"> The proposal provides for a date of application </w:t>
      </w:r>
      <w:r w:rsidRPr="00182495">
        <w:rPr>
          <w:rFonts w:eastAsia="Times New Roman"/>
          <w:noProof/>
          <w:lang w:eastAsia="ja-JP"/>
        </w:rPr>
        <w:t>as of 1 January 2028.</w:t>
      </w:r>
      <w:r w:rsidRPr="4D7FD32E">
        <w:rPr>
          <w:rFonts w:eastAsia="Times New Roman"/>
          <w:noProof/>
          <w:lang w:eastAsia="ja-JP"/>
        </w:rPr>
        <w:t>  </w:t>
      </w:r>
      <w:r w:rsidRPr="4D7FD32E">
        <w:rPr>
          <w:rFonts w:eastAsia="Times New Roman"/>
          <w:noProof/>
          <w:lang w:val="en-US" w:eastAsia="ja-JP"/>
        </w:rPr>
        <w:t> </w:t>
      </w:r>
    </w:p>
    <w:p w14:paraId="500ECA29" w14:textId="77777777" w:rsidR="005B7178" w:rsidRPr="002D5EE2" w:rsidRDefault="005B717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626E5C29" w14:textId="77777777" w:rsidR="005B7178" w:rsidRPr="00A44D37" w:rsidRDefault="005B7178" w:rsidP="00EC3A6D">
      <w:pPr>
        <w:spacing w:after="160"/>
        <w:textAlignment w:val="baseline"/>
        <w:rPr>
          <w:rFonts w:ascii="Segoe UI" w:eastAsia="Times New Roman" w:hAnsi="Segoe UI" w:cs="Segoe UI"/>
          <w:noProof/>
          <w:sz w:val="18"/>
          <w:szCs w:val="18"/>
          <w:lang w:val="en-US" w:eastAsia="ja-JP"/>
        </w:rPr>
      </w:pPr>
      <w:r w:rsidRPr="00A44D37">
        <w:rPr>
          <w:rFonts w:eastAsia="Times New Roman"/>
          <w:i/>
          <w:noProof/>
          <w:szCs w:val="24"/>
          <w:lang w:val="en-US" w:eastAsia="ja-JP"/>
        </w:rPr>
        <w:t xml:space="preserve">Fundamental rights, </w:t>
      </w:r>
      <w:r>
        <w:rPr>
          <w:rFonts w:eastAsia="Times New Roman"/>
          <w:i/>
          <w:noProof/>
          <w:szCs w:val="24"/>
          <w:lang w:val="en-US" w:eastAsia="ja-JP"/>
        </w:rPr>
        <w:t>EU</w:t>
      </w:r>
      <w:r w:rsidRPr="00A44D37">
        <w:rPr>
          <w:rFonts w:eastAsia="Times New Roman"/>
          <w:i/>
          <w:noProof/>
          <w:szCs w:val="24"/>
          <w:lang w:val="en-US" w:eastAsia="ja-JP"/>
        </w:rPr>
        <w:t xml:space="preserve"> values and democracy </w:t>
      </w:r>
      <w:r w:rsidRPr="00A44D37">
        <w:rPr>
          <w:rFonts w:eastAsia="Times New Roman"/>
          <w:noProof/>
          <w:color w:val="D13438"/>
          <w:szCs w:val="24"/>
          <w:lang w:val="en-US" w:eastAsia="ja-JP"/>
        </w:rPr>
        <w:t> </w:t>
      </w:r>
    </w:p>
    <w:p w14:paraId="3ED285DC"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BA47463">
        <w:rPr>
          <w:rFonts w:eastAsia="Times New Roman"/>
          <w:noProof/>
          <w:lang w:val="en-US" w:eastAsia="ja-JP"/>
        </w:rPr>
        <w:t xml:space="preserve">The proposal is fully in line with the </w:t>
      </w:r>
      <w:r w:rsidRPr="0BA47463">
        <w:rPr>
          <w:rFonts w:eastAsia="Times New Roman"/>
          <w:b/>
          <w:noProof/>
          <w:lang w:val="en-US" w:eastAsia="ja-JP"/>
        </w:rPr>
        <w:t xml:space="preserve">Charter of Fundamental Rights of the European Union, </w:t>
      </w:r>
      <w:r w:rsidRPr="0BA47463">
        <w:rPr>
          <w:rFonts w:eastAsia="Times New Roman"/>
          <w:noProof/>
          <w:lang w:val="en-US" w:eastAsia="ja-JP"/>
        </w:rPr>
        <w:t>and all relevant EU policy and legislative frameworks in the field of equality and non-discrimination.</w:t>
      </w:r>
      <w:r w:rsidRPr="0BA47463">
        <w:rPr>
          <w:rFonts w:eastAsia="Times New Roman"/>
          <w:b/>
          <w:noProof/>
          <w:lang w:val="en-US" w:eastAsia="ja-JP"/>
        </w:rPr>
        <w:t xml:space="preserve"> </w:t>
      </w:r>
      <w:r w:rsidRPr="0BA47463">
        <w:rPr>
          <w:rFonts w:eastAsia="Times New Roman"/>
          <w:noProof/>
          <w:lang w:val="en-US" w:eastAsia="ja-JP"/>
        </w:rPr>
        <w:t xml:space="preserve">It also contributes to the </w:t>
      </w:r>
      <w:r w:rsidRPr="0BA47463">
        <w:rPr>
          <w:rFonts w:eastAsia="Times New Roman"/>
          <w:b/>
          <w:noProof/>
          <w:lang w:val="en-US" w:eastAsia="ja-JP"/>
        </w:rPr>
        <w:t>Union of Equality strategy</w:t>
      </w:r>
      <w:r w:rsidRPr="0BA47463">
        <w:rPr>
          <w:rFonts w:eastAsia="Times New Roman"/>
          <w:b/>
          <w:noProof/>
          <w:lang w:val="en-US" w:eastAsia="ja-JP"/>
        </w:rPr>
        <w:t>.</w:t>
      </w:r>
      <w:r w:rsidRPr="0BA47463">
        <w:rPr>
          <w:rFonts w:eastAsia="Times New Roman"/>
          <w:b/>
          <w:noProof/>
          <w:lang w:val="en-US" w:eastAsia="ja-JP"/>
        </w:rPr>
        <w:t xml:space="preserve"> </w:t>
      </w:r>
      <w:r w:rsidRPr="0BA47463">
        <w:rPr>
          <w:rFonts w:eastAsia="Times New Roman"/>
          <w:noProof/>
          <w:lang w:val="en-US" w:eastAsia="ja-JP"/>
        </w:rPr>
        <w:t>A</w:t>
      </w:r>
      <w:r w:rsidRPr="0BA47463">
        <w:rPr>
          <w:rFonts w:eastAsia="Times New Roman"/>
          <w:b/>
          <w:noProof/>
          <w:lang w:val="en-US" w:eastAsia="ja-JP"/>
        </w:rPr>
        <w:t xml:space="preserve"> </w:t>
      </w:r>
      <w:r w:rsidRPr="0BA47463">
        <w:rPr>
          <w:rFonts w:eastAsia="Times New Roman"/>
          <w:noProof/>
          <w:lang w:val="en-US" w:eastAsia="ja-JP"/>
        </w:rPr>
        <w:t xml:space="preserve">core ambition of the </w:t>
      </w:r>
      <w:r w:rsidRPr="0BA47463">
        <w:rPr>
          <w:rFonts w:eastAsia="Times New Roman"/>
          <w:noProof/>
          <w:lang w:val="en-US" w:eastAsia="ja-JP"/>
        </w:rPr>
        <w:lastRenderedPageBreak/>
        <w:t>European Union</w:t>
      </w:r>
      <w:r w:rsidRPr="0BA47463">
        <w:rPr>
          <w:rFonts w:eastAsia="Times New Roman"/>
          <w:noProof/>
          <w:lang w:val="en-US" w:eastAsia="ja-JP"/>
        </w:rPr>
        <w:t xml:space="preserve"> is</w:t>
      </w:r>
      <w:r w:rsidRPr="0BA47463">
        <w:rPr>
          <w:rFonts w:eastAsia="Times New Roman"/>
          <w:noProof/>
          <w:lang w:val="en-US" w:eastAsia="ja-JP"/>
        </w:rPr>
        <w:t xml:space="preserve"> to ensure</w:t>
      </w:r>
      <w:r>
        <w:rPr>
          <w:rFonts w:eastAsia="Times New Roman"/>
          <w:noProof/>
          <w:szCs w:val="24"/>
          <w:lang w:val="en-US" w:eastAsia="ja-JP"/>
        </w:rPr>
        <w:t>, through a multi stakeholder</w:t>
      </w:r>
      <w:r w:rsidRPr="0BA47463">
        <w:rPr>
          <w:rFonts w:eastAsia="Times New Roman"/>
          <w:noProof/>
          <w:lang w:val="en-US" w:eastAsia="ja-JP"/>
        </w:rPr>
        <w:t xml:space="preserve"> and </w:t>
      </w:r>
      <w:r w:rsidRPr="0BA47463">
        <w:rPr>
          <w:rFonts w:eastAsia="Times New Roman"/>
          <w:noProof/>
          <w:lang w:val="en-US" w:eastAsia="ja-JP"/>
        </w:rPr>
        <w:t>intersectoral approach</w:t>
      </w:r>
      <w:r w:rsidRPr="0BA47463">
        <w:rPr>
          <w:rFonts w:eastAsia="Times New Roman"/>
          <w:noProof/>
          <w:lang w:val="en-US" w:eastAsia="ja-JP"/>
        </w:rPr>
        <w:t>,</w:t>
      </w:r>
      <w:r w:rsidRPr="0BA47463">
        <w:rPr>
          <w:rFonts w:eastAsia="Times New Roman"/>
          <w:noProof/>
          <w:lang w:val="en-US" w:eastAsia="ja-JP"/>
        </w:rPr>
        <w:t xml:space="preserve"> that all people, regardless of gender, race, ethnicity, disability, sexual orientation, age, religion or belief, can live free from discrimination and participate fully in society. </w:t>
      </w:r>
    </w:p>
    <w:p w14:paraId="2D661127" w14:textId="77777777" w:rsidR="005B7178" w:rsidRPr="00A44D37" w:rsidRDefault="005B7178" w:rsidP="00EC3A6D">
      <w:pPr>
        <w:spacing w:before="0" w:after="160"/>
        <w:rPr>
          <w:rFonts w:ascii="Segoe UI" w:eastAsia="Times New Roman" w:hAnsi="Segoe UI" w:cs="Segoe UI"/>
          <w:noProof/>
          <w:sz w:val="18"/>
          <w:szCs w:val="18"/>
          <w:lang w:val="en-US" w:eastAsia="ja-JP"/>
        </w:rPr>
      </w:pPr>
      <w:r w:rsidRPr="6D5515D7">
        <w:rPr>
          <w:rFonts w:eastAsia="Times New Roman"/>
          <w:noProof/>
          <w:lang w:val="en-US" w:eastAsia="ja-JP"/>
        </w:rPr>
        <w:t>The European Union’s commitment to equality is anchored in numerous key communications and action plans. The European Commission’s 2020 Strategy for the Equality of LGBTIQ People and the 2021 Gender Equality Strategy underscore the EU’s dedication to tackling discrimination and promoting equality across all aspects of society. Both strategies will be renewed</w:t>
      </w:r>
      <w:r>
        <w:rPr>
          <w:rFonts w:eastAsia="Times New Roman"/>
          <w:noProof/>
          <w:lang w:val="en-US" w:eastAsia="ja-JP"/>
        </w:rPr>
        <w:t>,</w:t>
      </w:r>
      <w:r w:rsidRPr="6D5515D7">
        <w:rPr>
          <w:rFonts w:eastAsia="Times New Roman"/>
          <w:noProof/>
          <w:lang w:val="en-US" w:eastAsia="ja-JP"/>
        </w:rPr>
        <w:t xml:space="preserve"> as the current ones end in 2025. These are complemented by the </w:t>
      </w:r>
      <w:r>
        <w:rPr>
          <w:rFonts w:eastAsia="Times New Roman"/>
          <w:noProof/>
          <w:lang w:val="en-US" w:eastAsia="ja-JP"/>
        </w:rPr>
        <w:t xml:space="preserve">upcoming </w:t>
      </w:r>
      <w:r w:rsidRPr="6D5515D7">
        <w:rPr>
          <w:rFonts w:eastAsia="Times New Roman"/>
          <w:noProof/>
          <w:lang w:val="en-US" w:eastAsia="ja-JP"/>
        </w:rPr>
        <w:t xml:space="preserve">EU Anti-Racism </w:t>
      </w:r>
      <w:r>
        <w:rPr>
          <w:rFonts w:eastAsia="Times New Roman"/>
          <w:noProof/>
          <w:lang w:val="en-US" w:eastAsia="ja-JP"/>
        </w:rPr>
        <w:t>Strategy 2026-2030</w:t>
      </w:r>
      <w:r>
        <w:rPr>
          <w:rFonts w:eastAsia="Times New Roman"/>
          <w:noProof/>
          <w:lang w:val="en-US" w:eastAsia="ja-JP"/>
        </w:rPr>
        <w:t>,</w:t>
      </w:r>
      <w:r w:rsidRPr="6D5515D7">
        <w:rPr>
          <w:rFonts w:eastAsia="Times New Roman"/>
          <w:noProof/>
          <w:lang w:val="en-US" w:eastAsia="ja-JP"/>
        </w:rPr>
        <w:t xml:space="preserve"> the EU Roma Strategic Framework for Equality, Inclusion and Participation (2020–2030), the Strategy for the Rights of Persons with Disabilities (2021–2030), and the EU Strategy on the Rights of the Child, the </w:t>
      </w:r>
      <w:r w:rsidRPr="6D5515D7">
        <w:rPr>
          <w:rFonts w:eastAsia="Times New Roman"/>
          <w:noProof/>
          <w:lang w:eastAsia="ja-JP"/>
        </w:rPr>
        <w:t xml:space="preserve">EU Strategy on combating antisemitism and fostering Jewish </w:t>
      </w:r>
      <w:r>
        <w:rPr>
          <w:rFonts w:eastAsia="Times New Roman"/>
          <w:noProof/>
          <w:lang w:eastAsia="ja-JP"/>
        </w:rPr>
        <w:t xml:space="preserve">life </w:t>
      </w:r>
      <w:r w:rsidRPr="6D5515D7">
        <w:rPr>
          <w:rFonts w:eastAsia="Times New Roman"/>
          <w:noProof/>
          <w:lang w:eastAsia="ja-JP"/>
        </w:rPr>
        <w:t>(2021-2030) and the work strand on combatting anti-Muslim hatred</w:t>
      </w:r>
      <w:r w:rsidRPr="00362D80">
        <w:rPr>
          <w:rFonts w:eastAsia="Times New Roman"/>
          <w:noProof/>
          <w:lang w:eastAsia="ja-JP"/>
        </w:rPr>
        <w:t xml:space="preserve">. </w:t>
      </w:r>
      <w:r w:rsidRPr="00362D80">
        <w:rPr>
          <w:rFonts w:eastAsia="Times New Roman"/>
          <w:noProof/>
          <w:lang w:eastAsia="ja-JP"/>
        </w:rPr>
        <w:t>The upcoming</w:t>
      </w:r>
      <w:r w:rsidRPr="00362D80">
        <w:rPr>
          <w:rFonts w:eastAsia="Times New Roman"/>
          <w:noProof/>
          <w:lang w:val="en-US" w:eastAsia="ja-JP"/>
        </w:rPr>
        <w:t xml:space="preserve"> Intergenerational Fairness Strategy is also of rele</w:t>
      </w:r>
      <w:r w:rsidRPr="00362D80">
        <w:rPr>
          <w:rFonts w:eastAsia="Times New Roman"/>
          <w:noProof/>
          <w:lang w:val="en-US" w:eastAsia="ja-JP"/>
        </w:rPr>
        <w:t>vance in this context.</w:t>
      </w:r>
      <w:r w:rsidRPr="6D5515D7">
        <w:rPr>
          <w:rFonts w:eastAsia="Times New Roman"/>
          <w:noProof/>
          <w:lang w:val="en-US" w:eastAsia="ja-JP"/>
        </w:rPr>
        <w:t> </w:t>
      </w:r>
    </w:p>
    <w:p w14:paraId="3FACE2E7" w14:textId="77777777" w:rsidR="005B7178" w:rsidRDefault="005B7178" w:rsidP="00EC3A6D">
      <w:pPr>
        <w:spacing w:before="0" w:after="160"/>
        <w:textAlignment w:val="baseline"/>
        <w:rPr>
          <w:rFonts w:eastAsia="Times New Roman"/>
          <w:noProof/>
          <w:color w:val="D13438"/>
          <w:szCs w:val="24"/>
          <w:lang w:val="en-US" w:eastAsia="ja-JP"/>
        </w:rPr>
      </w:pPr>
      <w:r w:rsidRPr="00A44D37">
        <w:rPr>
          <w:rFonts w:eastAsia="Times New Roman"/>
          <w:noProof/>
          <w:color w:val="000000"/>
          <w:szCs w:val="24"/>
          <w:lang w:eastAsia="ja-JP"/>
        </w:rPr>
        <w:t xml:space="preserve">The first EU comprehensive framework on democracy has been developed through the 2020 European Democracy Action Plan, the 2021 package of measures to reinforce democracy and protect the </w:t>
      </w:r>
      <w:r w:rsidRPr="00A44D37">
        <w:rPr>
          <w:rFonts w:eastAsia="Times New Roman"/>
          <w:noProof/>
          <w:color w:val="000000"/>
          <w:szCs w:val="24"/>
          <w:lang w:eastAsia="ja-JP"/>
        </w:rPr>
        <w:t>integrity of election</w:t>
      </w:r>
      <w:r>
        <w:rPr>
          <w:rFonts w:eastAsia="Times New Roman"/>
          <w:noProof/>
          <w:color w:val="000000"/>
          <w:szCs w:val="24"/>
          <w:lang w:eastAsia="ja-JP"/>
        </w:rPr>
        <w:t>s</w:t>
      </w:r>
      <w:r w:rsidRPr="00A44D37">
        <w:rPr>
          <w:rFonts w:eastAsia="Times New Roman"/>
          <w:noProof/>
          <w:color w:val="000000"/>
          <w:szCs w:val="24"/>
          <w:lang w:eastAsia="ja-JP"/>
        </w:rPr>
        <w:t xml:space="preserve"> and the 2023 Defence of Democracy Package</w:t>
      </w:r>
      <w:r>
        <w:rPr>
          <w:rFonts w:eastAsia="Times New Roman"/>
          <w:noProof/>
          <w:color w:val="000000"/>
          <w:szCs w:val="24"/>
          <w:lang w:eastAsia="ja-JP"/>
        </w:rPr>
        <w:t xml:space="preserve"> in synergy with the External Action Plan on Human Rights and Democracy 2020-2027</w:t>
      </w:r>
      <w:r>
        <w:rPr>
          <w:rFonts w:eastAsia="Times New Roman"/>
          <w:noProof/>
          <w:color w:val="000000"/>
          <w:szCs w:val="24"/>
          <w:lang w:eastAsia="ja-JP"/>
        </w:rPr>
        <w:t>.</w:t>
      </w:r>
      <w:r w:rsidRPr="00A44D37">
        <w:rPr>
          <w:rFonts w:eastAsia="Times New Roman"/>
          <w:noProof/>
          <w:color w:val="000000"/>
          <w:szCs w:val="24"/>
          <w:lang w:eastAsia="ja-JP"/>
        </w:rPr>
        <w:t> The most recent legislation in this context includes the Regulation on transparency of political advertising, and the EU law protecting persons who engage in public participation from manifestly unfounded claims or abusive court proceedings ('strategic lawsuits against public participation'). </w:t>
      </w:r>
      <w:r w:rsidRPr="00A44D37">
        <w:rPr>
          <w:rFonts w:eastAsia="Times New Roman"/>
          <w:noProof/>
          <w:color w:val="D13438"/>
          <w:szCs w:val="24"/>
          <w:lang w:val="en-US" w:eastAsia="ja-JP"/>
        </w:rPr>
        <w:t> </w:t>
      </w:r>
    </w:p>
    <w:p w14:paraId="66899AAC"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szCs w:val="24"/>
          <w:lang w:eastAsia="ja-JP"/>
        </w:rPr>
        <w:t xml:space="preserve">The upcoming </w:t>
      </w:r>
      <w:r w:rsidRPr="00A44D37">
        <w:rPr>
          <w:rFonts w:eastAsia="Times New Roman"/>
          <w:b/>
          <w:noProof/>
          <w:szCs w:val="24"/>
          <w:lang w:eastAsia="ja-JP"/>
        </w:rPr>
        <w:t>European Democracy Shield</w:t>
      </w:r>
      <w:r w:rsidRPr="00A44D37">
        <w:rPr>
          <w:rFonts w:eastAsia="Times New Roman"/>
          <w:noProof/>
          <w:szCs w:val="24"/>
          <w:lang w:eastAsia="ja-JP"/>
        </w:rPr>
        <w:t xml:space="preserve"> will seek to further protect and strengthen democracy</w:t>
      </w:r>
      <w:r>
        <w:rPr>
          <w:rFonts w:eastAsia="Times New Roman"/>
          <w:noProof/>
          <w:szCs w:val="24"/>
          <w:lang w:eastAsia="ja-JP"/>
        </w:rPr>
        <w:t xml:space="preserve"> and democratic resilience. </w:t>
      </w:r>
      <w:r w:rsidRPr="004F1131">
        <w:rPr>
          <w:rFonts w:eastAsia="Times New Roman"/>
          <w:noProof/>
          <w:szCs w:val="24"/>
          <w:lang w:eastAsia="ja-JP"/>
        </w:rPr>
        <w:t>I</w:t>
      </w:r>
      <w:r w:rsidRPr="004F1131">
        <w:rPr>
          <w:noProof/>
        </w:rPr>
        <w:t>t will seek to address the increasing threats to democratic institutions, systems and processes within the EU</w:t>
      </w:r>
      <w:r>
        <w:rPr>
          <w:noProof/>
        </w:rPr>
        <w:t xml:space="preserve"> and to enhance citizens</w:t>
      </w:r>
      <w:r>
        <w:rPr>
          <w:noProof/>
        </w:rPr>
        <w:t>’</w:t>
      </w:r>
      <w:r>
        <w:rPr>
          <w:noProof/>
        </w:rPr>
        <w:t xml:space="preserve"> trust and participation in democracy</w:t>
      </w:r>
      <w:r>
        <w:rPr>
          <w:noProof/>
        </w:rPr>
        <w:t>.</w:t>
      </w:r>
      <w:r w:rsidRPr="004F1131">
        <w:rPr>
          <w:rFonts w:eastAsia="Times New Roman"/>
          <w:noProof/>
          <w:szCs w:val="24"/>
          <w:lang w:eastAsia="ja-JP"/>
        </w:rPr>
        <w:t xml:space="preserve"> The</w:t>
      </w:r>
      <w:r w:rsidRPr="0061343D">
        <w:rPr>
          <w:rFonts w:eastAsia="Times New Roman"/>
          <w:noProof/>
          <w:szCs w:val="24"/>
          <w:lang w:eastAsia="ja-JP"/>
        </w:rPr>
        <w:t xml:space="preserve"> upcoming </w:t>
      </w:r>
      <w:r w:rsidRPr="003D435C">
        <w:rPr>
          <w:rFonts w:eastAsia="Times New Roman"/>
          <w:b/>
          <w:bCs/>
          <w:noProof/>
          <w:szCs w:val="24"/>
          <w:lang w:eastAsia="ja-JP"/>
        </w:rPr>
        <w:t>EU</w:t>
      </w:r>
      <w:r w:rsidRPr="004F1131">
        <w:rPr>
          <w:rFonts w:eastAsia="Times New Roman"/>
          <w:noProof/>
          <w:szCs w:val="24"/>
          <w:lang w:eastAsia="ja-JP"/>
        </w:rPr>
        <w:t xml:space="preserve"> </w:t>
      </w:r>
      <w:r w:rsidRPr="00EF71F1">
        <w:rPr>
          <w:rFonts w:eastAsia="Times New Roman"/>
          <w:b/>
          <w:bCs/>
          <w:noProof/>
          <w:szCs w:val="24"/>
          <w:lang w:eastAsia="ja-JP"/>
        </w:rPr>
        <w:t>Civil Society Strategy</w:t>
      </w:r>
      <w:r w:rsidRPr="0061343D">
        <w:rPr>
          <w:rFonts w:eastAsia="Times New Roman"/>
          <w:noProof/>
          <w:szCs w:val="24"/>
          <w:lang w:eastAsia="ja-JP"/>
        </w:rPr>
        <w:t xml:space="preserve"> will </w:t>
      </w:r>
      <w:r>
        <w:rPr>
          <w:rFonts w:eastAsia="Times New Roman"/>
          <w:noProof/>
          <w:szCs w:val="24"/>
          <w:lang w:eastAsia="ja-JP"/>
        </w:rPr>
        <w:t xml:space="preserve">seek to </w:t>
      </w:r>
      <w:r w:rsidRPr="0061343D">
        <w:rPr>
          <w:rFonts w:eastAsia="Times New Roman"/>
          <w:noProof/>
          <w:szCs w:val="24"/>
          <w:lang w:eastAsia="ja-JP"/>
        </w:rPr>
        <w:t xml:space="preserve">further protect and empower civil society, sending a strong signal of recognition to the work carried out by civil society and their contribution to EU policies. </w:t>
      </w:r>
    </w:p>
    <w:p w14:paraId="47FFA1C2"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0A44D37">
        <w:rPr>
          <w:rFonts w:eastAsia="Times New Roman"/>
          <w:i/>
          <w:noProof/>
          <w:szCs w:val="24"/>
          <w:lang w:val="en-US" w:eastAsia="ja-JP"/>
        </w:rPr>
        <w:t>Media and audiovisual </w:t>
      </w:r>
      <w:r w:rsidRPr="00A44D37">
        <w:rPr>
          <w:rFonts w:eastAsia="Times New Roman"/>
          <w:noProof/>
          <w:szCs w:val="24"/>
          <w:lang w:val="en-US" w:eastAsia="ja-JP"/>
        </w:rPr>
        <w:t> </w:t>
      </w:r>
    </w:p>
    <w:p w14:paraId="34ED712F"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1F305911">
        <w:rPr>
          <w:rFonts w:eastAsia="Times New Roman"/>
          <w:noProof/>
          <w:lang w:val="en-US" w:eastAsia="ja-JP"/>
        </w:rPr>
        <w:t xml:space="preserve">This legal proposal </w:t>
      </w:r>
      <w:r w:rsidRPr="69951E14">
        <w:rPr>
          <w:rFonts w:eastAsia="Times New Roman"/>
          <w:noProof/>
          <w:lang w:val="en-US" w:eastAsia="ja-JP"/>
        </w:rPr>
        <w:t>also</w:t>
      </w:r>
      <w:r w:rsidRPr="1F305911">
        <w:rPr>
          <w:rFonts w:eastAsia="Times New Roman"/>
          <w:noProof/>
          <w:lang w:val="en-US" w:eastAsia="ja-JP"/>
        </w:rPr>
        <w:t xml:space="preserve"> builds upon the EU media and audiovisual framework, where regulation, funding and policy effectively support each other, thereby facilitating democratic debate, enriching our culture, and driving the digital transformation with competitive EU media players.  </w:t>
      </w:r>
    </w:p>
    <w:p w14:paraId="141BEC85"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2E3F3AAE">
        <w:rPr>
          <w:rFonts w:eastAsia="Times New Roman"/>
          <w:noProof/>
          <w:lang w:val="en-US" w:eastAsia="ja-JP"/>
        </w:rPr>
        <w:t>It</w:t>
      </w:r>
      <w:r w:rsidRPr="2E3F3AAE">
        <w:rPr>
          <w:rFonts w:eastAsia="Times New Roman"/>
          <w:noProof/>
          <w:lang w:eastAsia="ja-JP"/>
        </w:rPr>
        <w:t xml:space="preserve"> will accompany EU single </w:t>
      </w:r>
      <w:r w:rsidRPr="4275D34C">
        <w:rPr>
          <w:rFonts w:eastAsia="Times New Roman"/>
          <w:noProof/>
          <w:lang w:eastAsia="ja-JP"/>
        </w:rPr>
        <w:t>market</w:t>
      </w:r>
      <w:r w:rsidRPr="2E3F3AAE">
        <w:rPr>
          <w:rFonts w:eastAsia="Times New Roman"/>
          <w:noProof/>
          <w:lang w:eastAsia="ja-JP"/>
        </w:rPr>
        <w:t xml:space="preserve"> policies in the audiovisual and media sectors, and its design will</w:t>
      </w:r>
      <w:r w:rsidRPr="2E3F3AAE">
        <w:rPr>
          <w:rFonts w:eastAsia="Times New Roman"/>
          <w:noProof/>
          <w:lang w:val="en-US" w:eastAsia="ja-JP"/>
        </w:rPr>
        <w:t xml:space="preserve"> complement and reinforce existing legislative instruments. The </w:t>
      </w:r>
      <w:r w:rsidRPr="01B789C1">
        <w:rPr>
          <w:rFonts w:eastAsia="Times New Roman"/>
          <w:b/>
          <w:bCs/>
          <w:noProof/>
          <w:lang w:val="en-US" w:eastAsia="ja-JP"/>
        </w:rPr>
        <w:t>Audiovisual Media Services Directive (AVMSD)</w:t>
      </w:r>
      <w:r w:rsidRPr="2E3F3AAE">
        <w:rPr>
          <w:rFonts w:eastAsia="Times New Roman"/>
          <w:noProof/>
          <w:lang w:val="en-US" w:eastAsia="ja-JP"/>
        </w:rPr>
        <w:t xml:space="preserve"> has laid down a common regulatory framework for audiovisual media services across the EU</w:t>
      </w:r>
      <w:r>
        <w:rPr>
          <w:rFonts w:eastAsia="Times New Roman"/>
          <w:noProof/>
          <w:lang w:val="en-US" w:eastAsia="ja-JP"/>
        </w:rPr>
        <w:t>, including provisions such as the promotion of European and independent works, protection of minors, and regulation of audiovisual advertising</w:t>
      </w:r>
      <w:r w:rsidRPr="2E3F3AAE">
        <w:rPr>
          <w:rFonts w:eastAsia="Times New Roman"/>
          <w:noProof/>
          <w:lang w:val="en-US" w:eastAsia="ja-JP"/>
        </w:rPr>
        <w:t xml:space="preserve">. Together with AVMSD, the proposed </w:t>
      </w:r>
      <w:r>
        <w:rPr>
          <w:rFonts w:eastAsia="Times New Roman"/>
          <w:noProof/>
          <w:lang w:val="en-US" w:eastAsia="ja-JP"/>
        </w:rPr>
        <w:t>P</w:t>
      </w:r>
      <w:r w:rsidRPr="2E3F3AAE">
        <w:rPr>
          <w:rFonts w:eastAsia="Times New Roman"/>
          <w:noProof/>
          <w:lang w:val="en-US" w:eastAsia="ja-JP"/>
        </w:rPr>
        <w:t>rogramme will strengthen the capacity of European audiovisual players to finance, produce and disseminate works that can be sufficientl</w:t>
      </w:r>
      <w:r w:rsidRPr="2E3F3AAE">
        <w:rPr>
          <w:rFonts w:eastAsia="Times New Roman"/>
          <w:noProof/>
          <w:lang w:val="en-US" w:eastAsia="ja-JP"/>
        </w:rPr>
        <w:t>y visible on the different media available and are attractive to audiences in an increasingly open and competitive market within Europe and beyond.  </w:t>
      </w:r>
    </w:p>
    <w:p w14:paraId="0E4D78FF"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4B04B674">
        <w:rPr>
          <w:rFonts w:eastAsia="Times New Roman"/>
          <w:noProof/>
          <w:lang w:val="en-US" w:eastAsia="ja-JP"/>
        </w:rPr>
        <w:t xml:space="preserve">The recently adopted </w:t>
      </w:r>
      <w:r w:rsidRPr="01B789C1">
        <w:rPr>
          <w:rFonts w:eastAsia="Times New Roman"/>
          <w:b/>
          <w:bCs/>
          <w:noProof/>
          <w:lang w:val="en-US" w:eastAsia="ja-JP"/>
        </w:rPr>
        <w:t>European Media Freedom Act (EMFA)</w:t>
      </w:r>
      <w:r w:rsidRPr="4B04B674">
        <w:rPr>
          <w:rFonts w:eastAsia="Times New Roman"/>
          <w:noProof/>
          <w:lang w:val="en-US" w:eastAsia="ja-JP"/>
        </w:rPr>
        <w:t xml:space="preserve"> provides safeguards for media freedom and pluralism, including protections against political interference, enhanced transparency of media ownership, and obligations on the independence of public service media. </w:t>
      </w:r>
      <w:r w:rsidRPr="4B04B674">
        <w:rPr>
          <w:rFonts w:eastAsia="Times New Roman"/>
          <w:noProof/>
          <w:lang w:val="en-US" w:eastAsia="ja-JP"/>
        </w:rPr>
        <w:t>Th</w:t>
      </w:r>
      <w:r>
        <w:rPr>
          <w:rFonts w:eastAsia="Times New Roman"/>
          <w:noProof/>
          <w:lang w:val="en-US" w:eastAsia="ja-JP"/>
        </w:rPr>
        <w:t>e</w:t>
      </w:r>
      <w:r w:rsidRPr="4B04B674">
        <w:rPr>
          <w:rFonts w:eastAsia="Times New Roman"/>
          <w:noProof/>
          <w:lang w:val="en-US" w:eastAsia="ja-JP"/>
        </w:rPr>
        <w:t xml:space="preserve"> </w:t>
      </w:r>
      <w:r>
        <w:rPr>
          <w:rFonts w:eastAsia="Times New Roman"/>
          <w:noProof/>
          <w:lang w:val="en-US" w:eastAsia="ja-JP"/>
        </w:rPr>
        <w:t>proposed</w:t>
      </w:r>
      <w:r w:rsidRPr="4B04B674">
        <w:rPr>
          <w:rFonts w:eastAsia="Times New Roman"/>
          <w:noProof/>
          <w:lang w:val="en-US" w:eastAsia="ja-JP"/>
        </w:rPr>
        <w:t xml:space="preserve"> </w:t>
      </w:r>
      <w:r>
        <w:rPr>
          <w:rFonts w:eastAsia="Times New Roman"/>
          <w:noProof/>
          <w:lang w:val="en-US" w:eastAsia="ja-JP"/>
        </w:rPr>
        <w:t>P</w:t>
      </w:r>
      <w:r w:rsidRPr="4B04B674">
        <w:rPr>
          <w:rFonts w:eastAsia="Times New Roman"/>
          <w:noProof/>
          <w:lang w:val="en-US" w:eastAsia="ja-JP"/>
        </w:rPr>
        <w:t xml:space="preserve">rogramme </w:t>
      </w:r>
      <w:r w:rsidRPr="6A6A6615">
        <w:rPr>
          <w:rFonts w:eastAsia="Times New Roman"/>
          <w:noProof/>
          <w:lang w:val="en-US" w:eastAsia="ja-JP"/>
        </w:rPr>
        <w:t>will complement</w:t>
      </w:r>
      <w:r w:rsidRPr="4B04B674">
        <w:rPr>
          <w:rFonts w:eastAsia="Times New Roman"/>
          <w:noProof/>
          <w:lang w:val="en-US" w:eastAsia="ja-JP"/>
        </w:rPr>
        <w:t xml:space="preserve"> EMFA by providing financial support to news media outlets and strengthen</w:t>
      </w:r>
      <w:r>
        <w:rPr>
          <w:rFonts w:eastAsia="Times New Roman"/>
          <w:noProof/>
          <w:lang w:val="en-US" w:eastAsia="ja-JP"/>
        </w:rPr>
        <w:t>ing</w:t>
      </w:r>
      <w:r w:rsidRPr="4B04B674">
        <w:rPr>
          <w:rFonts w:eastAsia="Times New Roman"/>
          <w:noProof/>
          <w:lang w:val="en-US" w:eastAsia="ja-JP"/>
        </w:rPr>
        <w:t xml:space="preserve"> editorial independence. </w:t>
      </w:r>
    </w:p>
    <w:p w14:paraId="4D277779"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7EEEF8F8">
        <w:rPr>
          <w:rFonts w:eastAsia="Times New Roman"/>
          <w:noProof/>
          <w:lang w:eastAsia="ja-JP"/>
        </w:rPr>
        <w:lastRenderedPageBreak/>
        <w:t xml:space="preserve">It will also build on the </w:t>
      </w:r>
      <w:r>
        <w:rPr>
          <w:rFonts w:eastAsia="Times New Roman"/>
          <w:noProof/>
          <w:lang w:eastAsia="ja-JP"/>
        </w:rPr>
        <w:t xml:space="preserve">Code of conduct on countering hate speech online, the </w:t>
      </w:r>
      <w:r w:rsidRPr="01B789C1">
        <w:rPr>
          <w:rFonts w:eastAsia="Times New Roman"/>
          <w:b/>
          <w:bCs/>
          <w:noProof/>
          <w:lang w:eastAsia="ja-JP"/>
        </w:rPr>
        <w:t>2018</w:t>
      </w:r>
      <w:r w:rsidRPr="7EEEF8F8">
        <w:rPr>
          <w:rFonts w:eastAsia="Times New Roman"/>
          <w:noProof/>
          <w:lang w:eastAsia="ja-JP"/>
        </w:rPr>
        <w:t xml:space="preserve"> </w:t>
      </w:r>
      <w:r w:rsidRPr="01B789C1">
        <w:rPr>
          <w:rFonts w:eastAsia="Times New Roman"/>
          <w:b/>
          <w:bCs/>
          <w:noProof/>
          <w:lang w:eastAsia="ja-JP"/>
        </w:rPr>
        <w:t>Action Plan against disinformation</w:t>
      </w:r>
      <w:r>
        <w:rPr>
          <w:rFonts w:eastAsia="Times New Roman"/>
          <w:noProof/>
          <w:lang w:eastAsia="ja-JP"/>
        </w:rPr>
        <w:t xml:space="preserve">, and </w:t>
      </w:r>
      <w:r w:rsidRPr="7EEEF8F8">
        <w:rPr>
          <w:rFonts w:eastAsia="Times New Roman"/>
          <w:noProof/>
          <w:lang w:eastAsia="ja-JP"/>
        </w:rPr>
        <w:t xml:space="preserve">the </w:t>
      </w:r>
      <w:r w:rsidRPr="01B789C1">
        <w:rPr>
          <w:rFonts w:eastAsia="Times New Roman"/>
          <w:b/>
          <w:bCs/>
          <w:noProof/>
          <w:lang w:eastAsia="ja-JP"/>
        </w:rPr>
        <w:t>Code of Conduct on Disinformation</w:t>
      </w:r>
      <w:r w:rsidRPr="7EEEF8F8">
        <w:rPr>
          <w:rFonts w:eastAsia="Times New Roman"/>
          <w:noProof/>
          <w:lang w:eastAsia="ja-JP"/>
        </w:rPr>
        <w:t xml:space="preserve"> recently integrated within the co-regulatory framework of the </w:t>
      </w:r>
      <w:r w:rsidRPr="01B789C1">
        <w:rPr>
          <w:rFonts w:eastAsia="Times New Roman"/>
          <w:b/>
          <w:bCs/>
          <w:noProof/>
          <w:lang w:eastAsia="ja-JP"/>
        </w:rPr>
        <w:t>Digital Services Act (DSA)</w:t>
      </w:r>
      <w:r w:rsidRPr="7EEEF8F8">
        <w:rPr>
          <w:rFonts w:eastAsia="Times New Roman"/>
          <w:noProof/>
          <w:lang w:eastAsia="ja-JP"/>
        </w:rPr>
        <w:t xml:space="preserve">, by enhancing media literacy and </w:t>
      </w:r>
      <w:r>
        <w:rPr>
          <w:rFonts w:eastAsia="Times New Roman"/>
          <w:noProof/>
          <w:lang w:eastAsia="ja-JP"/>
        </w:rPr>
        <w:t xml:space="preserve">reinforcing situation awareness on the online information space </w:t>
      </w:r>
      <w:r w:rsidRPr="7EEEF8F8">
        <w:rPr>
          <w:rFonts w:eastAsia="Times New Roman"/>
          <w:noProof/>
          <w:lang w:eastAsia="ja-JP"/>
        </w:rPr>
        <w:t>across Member States. </w:t>
      </w:r>
      <w:r w:rsidRPr="7EEEF8F8">
        <w:rPr>
          <w:rFonts w:eastAsia="Times New Roman"/>
          <w:noProof/>
          <w:lang w:val="en-US" w:eastAsia="ja-JP"/>
        </w:rPr>
        <w:t> </w:t>
      </w:r>
    </w:p>
    <w:p w14:paraId="7E1F3691"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0A44D37">
        <w:rPr>
          <w:rFonts w:eastAsia="Times New Roman"/>
          <w:i/>
          <w:noProof/>
          <w:szCs w:val="24"/>
          <w:lang w:eastAsia="ja-JP"/>
        </w:rPr>
        <w:t>Culture</w:t>
      </w:r>
      <w:r w:rsidRPr="00A44D37">
        <w:rPr>
          <w:rFonts w:eastAsia="Times New Roman"/>
          <w:noProof/>
          <w:szCs w:val="24"/>
          <w:lang w:val="en-US" w:eastAsia="ja-JP"/>
        </w:rPr>
        <w:t> </w:t>
      </w:r>
    </w:p>
    <w:p w14:paraId="0E7D622C"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sidRPr="0D04A953" w:rsidDel="00CE22D9">
        <w:rPr>
          <w:rFonts w:eastAsia="Times New Roman"/>
          <w:noProof/>
          <w:lang w:eastAsia="ja-JP"/>
        </w:rPr>
        <w:t xml:space="preserve">Concerning culture, cultural heritage and the cultural and creative sectors, the initiative </w:t>
      </w:r>
      <w:r w:rsidRPr="7A690583">
        <w:rPr>
          <w:rFonts w:eastAsia="Times New Roman"/>
          <w:noProof/>
          <w:lang w:eastAsia="ja-JP"/>
        </w:rPr>
        <w:t xml:space="preserve">will </w:t>
      </w:r>
      <w:r w:rsidRPr="4B3E55C8">
        <w:rPr>
          <w:rFonts w:eastAsia="Times New Roman"/>
          <w:noProof/>
          <w:lang w:eastAsia="ja-JP"/>
        </w:rPr>
        <w:t xml:space="preserve">accompany </w:t>
      </w:r>
      <w:r w:rsidRPr="0D04A953" w:rsidDel="00CE22D9">
        <w:rPr>
          <w:rFonts w:eastAsia="Times New Roman"/>
          <w:noProof/>
          <w:lang w:val="en-US" w:eastAsia="ja-JP"/>
        </w:rPr>
        <w:t>the upcoming</w:t>
      </w:r>
      <w:r w:rsidRPr="0D04A953" w:rsidDel="00CE22D9">
        <w:rPr>
          <w:rFonts w:eastAsia="Times New Roman"/>
          <w:b/>
          <w:noProof/>
          <w:lang w:val="en-US" w:eastAsia="ja-JP"/>
        </w:rPr>
        <w:t xml:space="preserve"> Culture Compass for Europe</w:t>
      </w:r>
      <w:r w:rsidRPr="0D04A953" w:rsidDel="00CE22D9">
        <w:rPr>
          <w:rFonts w:eastAsia="Times New Roman"/>
          <w:noProof/>
          <w:lang w:val="en-US" w:eastAsia="ja-JP"/>
        </w:rPr>
        <w:t>, which is intended as a strategic policy approach aiming to embed culture and the CCS in the Union</w:t>
      </w:r>
      <w:r>
        <w:rPr>
          <w:rFonts w:eastAsia="Times New Roman"/>
          <w:noProof/>
          <w:lang w:val="en-US" w:eastAsia="ja-JP"/>
        </w:rPr>
        <w:t>’s</w:t>
      </w:r>
      <w:r w:rsidRPr="0D04A953" w:rsidDel="00CE22D9">
        <w:rPr>
          <w:rFonts w:eastAsia="Times New Roman"/>
          <w:noProof/>
          <w:lang w:val="en-US" w:eastAsia="ja-JP"/>
        </w:rPr>
        <w:t xml:space="preserve"> overarching policy goals and to guide and harness their multiple dimensions. </w:t>
      </w:r>
      <w:r w:rsidRPr="1295BE0F" w:rsidDel="00CE22D9">
        <w:rPr>
          <w:rFonts w:eastAsia="Times New Roman"/>
          <w:noProof/>
          <w:color w:val="000000" w:themeColor="text1"/>
          <w:lang w:val="en-US"/>
        </w:rPr>
        <w:t> </w:t>
      </w:r>
      <w:r w:rsidRPr="1295BE0F" w:rsidDel="00074CC9">
        <w:rPr>
          <w:rFonts w:eastAsia="Times New Roman"/>
          <w:noProof/>
          <w:color w:val="004377"/>
          <w:u w:val="single"/>
          <w:lang w:val="en-US"/>
        </w:rPr>
        <w:t xml:space="preserve"> </w:t>
      </w:r>
    </w:p>
    <w:p w14:paraId="7B2BF172" w14:textId="77777777" w:rsidR="005B7178" w:rsidRPr="00A44D37" w:rsidRDefault="005B7178" w:rsidP="00EC3A6D">
      <w:pPr>
        <w:spacing w:before="0" w:after="160"/>
        <w:textAlignment w:val="baseline"/>
        <w:rPr>
          <w:rFonts w:ascii="Segoe UI" w:eastAsia="Times New Roman" w:hAnsi="Segoe UI" w:cs="Segoe UI"/>
          <w:noProof/>
          <w:sz w:val="18"/>
          <w:szCs w:val="18"/>
          <w:lang w:val="en-US" w:eastAsia="ja-JP"/>
        </w:rPr>
      </w:pPr>
      <w:r>
        <w:rPr>
          <w:rFonts w:eastAsia="Times New Roman"/>
          <w:noProof/>
          <w:lang w:val="en-US" w:eastAsia="ja-JP"/>
        </w:rPr>
        <w:t>T</w:t>
      </w:r>
      <w:r>
        <w:rPr>
          <w:rFonts w:eastAsia="Times New Roman"/>
          <w:noProof/>
          <w:lang w:val="en-US" w:eastAsia="ja-JP"/>
        </w:rPr>
        <w:t>he initiative</w:t>
      </w:r>
      <w:r w:rsidRPr="788DC758">
        <w:rPr>
          <w:rFonts w:eastAsia="Times New Roman"/>
          <w:noProof/>
          <w:lang w:val="en-US" w:eastAsia="ja-JP"/>
        </w:rPr>
        <w:t xml:space="preserve"> builds on </w:t>
      </w:r>
      <w:r>
        <w:rPr>
          <w:rFonts w:eastAsia="Times New Roman"/>
          <w:noProof/>
          <w:lang w:val="en-US" w:eastAsia="ja-JP"/>
        </w:rPr>
        <w:t>several</w:t>
      </w:r>
      <w:r w:rsidRPr="788DC758">
        <w:rPr>
          <w:rFonts w:eastAsia="Times New Roman"/>
          <w:noProof/>
          <w:lang w:val="en-US" w:eastAsia="ja-JP"/>
        </w:rPr>
        <w:t xml:space="preserve"> key policy initiatives, including the </w:t>
      </w:r>
      <w:r w:rsidRPr="788DC758">
        <w:rPr>
          <w:rFonts w:eastAsia="Times New Roman"/>
          <w:b/>
          <w:noProof/>
          <w:lang w:val="en-US" w:eastAsia="ja-JP"/>
        </w:rPr>
        <w:t>European Agenda for Culture</w:t>
      </w:r>
      <w:r w:rsidRPr="788DC758">
        <w:rPr>
          <w:rFonts w:eastAsia="Times New Roman"/>
          <w:noProof/>
          <w:lang w:val="en-US" w:eastAsia="ja-JP"/>
        </w:rPr>
        <w:t xml:space="preserve">, the </w:t>
      </w:r>
      <w:r w:rsidRPr="788DC758">
        <w:rPr>
          <w:rFonts w:eastAsia="Times New Roman"/>
          <w:b/>
          <w:noProof/>
          <w:lang w:val="en-US" w:eastAsia="ja-JP"/>
        </w:rPr>
        <w:t xml:space="preserve">Council’s Work </w:t>
      </w:r>
      <w:r w:rsidRPr="788DC758">
        <w:rPr>
          <w:rFonts w:eastAsia="Times New Roman"/>
          <w:b/>
          <w:bCs/>
          <w:noProof/>
          <w:lang w:val="en-US" w:eastAsia="ja-JP"/>
        </w:rPr>
        <w:t>Plans</w:t>
      </w:r>
      <w:r w:rsidRPr="788DC758">
        <w:rPr>
          <w:rFonts w:eastAsia="Times New Roman"/>
          <w:b/>
          <w:noProof/>
          <w:lang w:val="en-US" w:eastAsia="ja-JP"/>
        </w:rPr>
        <w:t xml:space="preserve"> for Culture</w:t>
      </w:r>
      <w:r w:rsidRPr="788DC758">
        <w:rPr>
          <w:rFonts w:eastAsia="Times New Roman"/>
          <w:noProof/>
          <w:lang w:val="en-US" w:eastAsia="ja-JP"/>
        </w:rPr>
        <w:t xml:space="preserve">, the </w:t>
      </w:r>
      <w:r w:rsidRPr="788DC758">
        <w:rPr>
          <w:rFonts w:eastAsia="Times New Roman"/>
          <w:b/>
          <w:noProof/>
          <w:lang w:val="en-US" w:eastAsia="ja-JP"/>
        </w:rPr>
        <w:t>EU Strategy for International Cultural Relations</w:t>
      </w:r>
      <w:r w:rsidRPr="788DC758">
        <w:rPr>
          <w:rFonts w:eastAsia="Times New Roman"/>
          <w:noProof/>
          <w:lang w:val="en-US" w:eastAsia="ja-JP"/>
        </w:rPr>
        <w:t xml:space="preserve">, and the </w:t>
      </w:r>
      <w:r w:rsidRPr="788DC758">
        <w:rPr>
          <w:rFonts w:eastAsia="Times New Roman"/>
          <w:b/>
          <w:noProof/>
          <w:lang w:val="en-US" w:eastAsia="ja-JP"/>
        </w:rPr>
        <w:t>European Framework for Action on Cultural Heritage</w:t>
      </w:r>
      <w:r w:rsidRPr="788DC758">
        <w:rPr>
          <w:rFonts w:eastAsia="Times New Roman"/>
          <w:noProof/>
          <w:lang w:val="en-US" w:eastAsia="ja-JP"/>
        </w:rPr>
        <w:t xml:space="preserve">, which all plea </w:t>
      </w:r>
      <w:r w:rsidRPr="788DC758">
        <w:rPr>
          <w:rFonts w:eastAsia="Times New Roman"/>
          <w:noProof/>
          <w:lang w:eastAsia="ja-JP"/>
        </w:rPr>
        <w:t>for a stronger role for culture and the CCS in the further social, economic and international development of our Union</w:t>
      </w:r>
      <w:r w:rsidRPr="788DC758">
        <w:rPr>
          <w:rFonts w:eastAsia="Times New Roman"/>
          <w:noProof/>
          <w:lang w:val="en-US" w:eastAsia="ja-JP"/>
        </w:rPr>
        <w:t xml:space="preserve">. It aligns with European initiatives such as the </w:t>
      </w:r>
      <w:r w:rsidRPr="788DC758">
        <w:rPr>
          <w:rFonts w:eastAsia="Times New Roman"/>
          <w:b/>
          <w:noProof/>
          <w:lang w:val="en-US" w:eastAsia="ja-JP"/>
        </w:rPr>
        <w:t>New European Bauhaus</w:t>
      </w:r>
      <w:r w:rsidRPr="788DC758">
        <w:rPr>
          <w:rFonts w:eastAsia="Times New Roman"/>
          <w:noProof/>
          <w:lang w:val="en-US" w:eastAsia="ja-JP"/>
        </w:rPr>
        <w:t xml:space="preserve">, the </w:t>
      </w:r>
      <w:r w:rsidRPr="788DC758">
        <w:rPr>
          <w:rFonts w:eastAsia="Times New Roman"/>
          <w:b/>
          <w:noProof/>
          <w:lang w:val="en-US" w:eastAsia="ja-JP"/>
        </w:rPr>
        <w:t>European Capitals of Culture</w:t>
      </w:r>
      <w:r w:rsidRPr="788DC758">
        <w:rPr>
          <w:rFonts w:eastAsia="Times New Roman"/>
          <w:noProof/>
          <w:lang w:val="en-US" w:eastAsia="ja-JP"/>
        </w:rPr>
        <w:t xml:space="preserve"> action and the </w:t>
      </w:r>
      <w:r w:rsidRPr="788DC758">
        <w:rPr>
          <w:rFonts w:eastAsia="Times New Roman"/>
          <w:b/>
          <w:noProof/>
          <w:lang w:val="en-US" w:eastAsia="ja-JP"/>
        </w:rPr>
        <w:t>European</w:t>
      </w:r>
      <w:r w:rsidRPr="788DC758">
        <w:rPr>
          <w:rFonts w:eastAsia="Times New Roman"/>
          <w:b/>
          <w:noProof/>
          <w:lang w:val="en-US" w:eastAsia="ja-JP"/>
        </w:rPr>
        <w:t xml:space="preserve"> Heritage Label </w:t>
      </w:r>
      <w:r w:rsidRPr="788DC758">
        <w:rPr>
          <w:rFonts w:eastAsia="Times New Roman"/>
          <w:noProof/>
          <w:lang w:val="en-US" w:eastAsia="ja-JP"/>
        </w:rPr>
        <w:t>action. It is also in line with the Rome Declaration of March 2017, where the Member States and EU institutions envisioned a Union “where citizens have new opportunities for cultural and social development and economic growth [...]; a Union which preserves our cultural heritage and promotes cultural diversity”. </w:t>
      </w:r>
    </w:p>
    <w:p w14:paraId="5FDA9CD8" w14:textId="77777777" w:rsidR="005B7178" w:rsidRDefault="005B7178" w:rsidP="00CE22D9">
      <w:pPr>
        <w:spacing w:before="0" w:after="160"/>
        <w:textAlignment w:val="baseline"/>
        <w:rPr>
          <w:rFonts w:eastAsia="Times New Roman"/>
          <w:noProof/>
          <w:szCs w:val="24"/>
          <w:lang w:val="en-US" w:eastAsia="ja-JP"/>
        </w:rPr>
      </w:pPr>
      <w:r w:rsidRPr="00A44D37">
        <w:rPr>
          <w:rFonts w:eastAsia="Times New Roman"/>
          <w:noProof/>
          <w:szCs w:val="24"/>
          <w:lang w:val="en-US" w:eastAsia="ja-JP"/>
        </w:rPr>
        <w:t xml:space="preserve">Furthermore, it is consistent with the Commission Communication on Strengthening European Identity through Education and Culture, which states that it is in the shared interest of all Member States “to harness the full potential of education and culture as drivers for jobs, economic growth, social fairness, active citizenship as well as a means to experience European identity in all its diversity”. </w:t>
      </w:r>
      <w:r>
        <w:rPr>
          <w:rFonts w:eastAsia="Times New Roman"/>
          <w:noProof/>
          <w:szCs w:val="24"/>
          <w:lang w:val="en-US" w:eastAsia="ja-JP"/>
        </w:rPr>
        <w:t>T</w:t>
      </w:r>
      <w:r w:rsidRPr="00A44D37">
        <w:rPr>
          <w:rFonts w:eastAsia="Times New Roman"/>
          <w:noProof/>
          <w:szCs w:val="24"/>
          <w:lang w:val="en-US" w:eastAsia="ja-JP"/>
        </w:rPr>
        <w:t xml:space="preserve">he initiative is also in line with the </w:t>
      </w:r>
      <w:r w:rsidRPr="00A44D37">
        <w:rPr>
          <w:rFonts w:eastAsia="Times New Roman"/>
          <w:b/>
          <w:noProof/>
          <w:szCs w:val="24"/>
          <w:lang w:val="en-US" w:eastAsia="ja-JP"/>
        </w:rPr>
        <w:t>2005 UNESCO Convention on the Protection and Promotion of the Diversity of Cultural Expressions</w:t>
      </w:r>
      <w:r w:rsidRPr="00A44D37">
        <w:rPr>
          <w:rFonts w:eastAsia="Times New Roman"/>
          <w:noProof/>
          <w:szCs w:val="24"/>
          <w:lang w:val="en-US" w:eastAsia="ja-JP"/>
        </w:rPr>
        <w:t>, to which the Union and its Member States are parties. </w:t>
      </w:r>
    </w:p>
    <w:p w14:paraId="60C0032D" w14:textId="77777777" w:rsidR="005B7178" w:rsidRPr="00A44D37" w:rsidRDefault="005B7178" w:rsidP="00CD3459">
      <w:pPr>
        <w:spacing w:before="0" w:after="160"/>
        <w:textAlignment w:val="baseline"/>
        <w:rPr>
          <w:rFonts w:ascii="Segoe UI" w:eastAsia="Times New Roman" w:hAnsi="Segoe UI" w:cs="Segoe UI"/>
          <w:noProof/>
          <w:sz w:val="18"/>
          <w:szCs w:val="18"/>
          <w:lang w:val="en-US" w:eastAsia="ja-JP"/>
        </w:rPr>
      </w:pPr>
      <w:r>
        <w:rPr>
          <w:rFonts w:eastAsia="Times New Roman"/>
          <w:noProof/>
          <w:lang w:val="en-US" w:eastAsia="ja-JP"/>
        </w:rPr>
        <w:t xml:space="preserve">Finally, the initiative is to be seen in the context </w:t>
      </w:r>
      <w:r w:rsidRPr="00362D80">
        <w:rPr>
          <w:rFonts w:eastAsia="Times New Roman"/>
          <w:noProof/>
          <w:lang w:val="en-US"/>
        </w:rPr>
        <w:t>of the upcoming EU Strategy on sustainable Tourism</w:t>
      </w:r>
      <w:r>
        <w:rPr>
          <w:rFonts w:eastAsia="Times New Roman"/>
          <w:noProof/>
          <w:lang w:val="en-US"/>
        </w:rPr>
        <w:t>,</w:t>
      </w:r>
      <w:r w:rsidRPr="00362D80">
        <w:rPr>
          <w:rFonts w:eastAsia="Times New Roman"/>
          <w:noProof/>
          <w:lang w:val="en-US"/>
        </w:rPr>
        <w:t xml:space="preserve"> aiming among others to support visitors in discovering lesser-known cultural routes and heritage sites across Europe, thus fostering economic development and promoting local jobs.</w:t>
      </w:r>
    </w:p>
    <w:p w14:paraId="4146C717" w14:textId="77777777" w:rsidR="005B7178" w:rsidRDefault="005B7178" w:rsidP="00CE22D9">
      <w:pPr>
        <w:spacing w:before="0" w:after="160"/>
        <w:textAlignment w:val="baseline"/>
        <w:rPr>
          <w:rFonts w:eastAsia="Times New Roman"/>
          <w:noProof/>
          <w:szCs w:val="24"/>
          <w:lang w:val="en-US" w:eastAsia="ja-JP"/>
        </w:rPr>
      </w:pPr>
    </w:p>
    <w:p w14:paraId="53508CDB" w14:textId="77777777" w:rsidR="005B7178" w:rsidRPr="002D5EE2" w:rsidRDefault="005B7178">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54387CAF" w14:textId="77777777" w:rsidR="005B7178" w:rsidRDefault="005B7178" w:rsidP="00EC3A6D">
      <w:pPr>
        <w:spacing w:before="0" w:after="160"/>
        <w:textAlignment w:val="baseline"/>
        <w:rPr>
          <w:rFonts w:eastAsia="Times New Roman"/>
          <w:noProof/>
          <w:szCs w:val="24"/>
          <w:lang w:val="en-US" w:eastAsia="ja-JP"/>
        </w:rPr>
      </w:pPr>
      <w:r w:rsidRPr="00A44D37">
        <w:rPr>
          <w:rFonts w:eastAsia="Times New Roman"/>
          <w:noProof/>
          <w:szCs w:val="24"/>
          <w:lang w:val="en-US" w:eastAsia="ja-JP"/>
        </w:rPr>
        <w:t xml:space="preserve">The initiative is </w:t>
      </w:r>
      <w:r>
        <w:rPr>
          <w:rFonts w:eastAsia="Times New Roman"/>
          <w:noProof/>
          <w:szCs w:val="24"/>
          <w:lang w:val="en-US" w:eastAsia="ja-JP"/>
        </w:rPr>
        <w:t>aligned</w:t>
      </w:r>
      <w:r w:rsidRPr="00A44D37">
        <w:rPr>
          <w:rFonts w:eastAsia="Times New Roman"/>
          <w:noProof/>
          <w:szCs w:val="24"/>
          <w:lang w:val="en-US" w:eastAsia="ja-JP"/>
        </w:rPr>
        <w:t xml:space="preserve"> with the overarching Commission’s 2024-2029 policy priorities, namely in terms of 1) Supporting people, strengthening our societies and our social model</w:t>
      </w:r>
      <w:r>
        <w:rPr>
          <w:rFonts w:eastAsia="Times New Roman"/>
          <w:noProof/>
          <w:szCs w:val="24"/>
          <w:lang w:val="en-US" w:eastAsia="ja-JP"/>
        </w:rPr>
        <w:t>;</w:t>
      </w:r>
      <w:r w:rsidRPr="00A44D37">
        <w:rPr>
          <w:rFonts w:eastAsia="Times New Roman"/>
          <w:noProof/>
          <w:szCs w:val="24"/>
          <w:lang w:val="en-US" w:eastAsia="ja-JP"/>
        </w:rPr>
        <w:t xml:space="preserve"> </w:t>
      </w:r>
      <w:r>
        <w:rPr>
          <w:rFonts w:eastAsia="Times New Roman"/>
          <w:noProof/>
          <w:szCs w:val="24"/>
          <w:lang w:val="en-US" w:eastAsia="ja-JP"/>
        </w:rPr>
        <w:t>2)</w:t>
      </w:r>
      <w:r w:rsidRPr="00A44D37">
        <w:rPr>
          <w:rFonts w:eastAsia="Times New Roman"/>
          <w:noProof/>
          <w:szCs w:val="24"/>
          <w:lang w:val="en-US" w:eastAsia="ja-JP"/>
        </w:rPr>
        <w:t xml:space="preserve"> Protecting our democracy, upholding our values</w:t>
      </w:r>
      <w:r>
        <w:rPr>
          <w:rFonts w:eastAsia="Times New Roman"/>
          <w:noProof/>
          <w:szCs w:val="24"/>
          <w:lang w:val="en-US" w:eastAsia="ja-JP"/>
        </w:rPr>
        <w:t>;</w:t>
      </w:r>
      <w:r w:rsidRPr="00A44D37">
        <w:rPr>
          <w:rFonts w:eastAsia="Times New Roman"/>
          <w:noProof/>
          <w:szCs w:val="24"/>
          <w:lang w:val="en-US" w:eastAsia="ja-JP"/>
        </w:rPr>
        <w:t xml:space="preserve"> 3)</w:t>
      </w:r>
      <w:r w:rsidRPr="003B0351">
        <w:rPr>
          <w:rFonts w:eastAsia="Times New Roman"/>
          <w:noProof/>
          <w:szCs w:val="24"/>
          <w:lang w:val="en-US" w:eastAsia="ja-JP"/>
        </w:rPr>
        <w:t xml:space="preserve"> </w:t>
      </w:r>
      <w:r w:rsidRPr="00A44D37">
        <w:rPr>
          <w:rFonts w:eastAsia="Times New Roman"/>
          <w:noProof/>
          <w:szCs w:val="24"/>
          <w:lang w:val="en-US" w:eastAsia="ja-JP"/>
        </w:rPr>
        <w:t>Europe’s sustainable prosperity and competitiveness</w:t>
      </w:r>
      <w:r>
        <w:rPr>
          <w:rFonts w:eastAsia="Times New Roman"/>
          <w:noProof/>
          <w:szCs w:val="24"/>
          <w:lang w:val="en-US" w:eastAsia="ja-JP"/>
        </w:rPr>
        <w:t>; and</w:t>
      </w:r>
      <w:r w:rsidRPr="00A44D37">
        <w:rPr>
          <w:rFonts w:eastAsia="Times New Roman"/>
          <w:noProof/>
          <w:szCs w:val="24"/>
          <w:lang w:val="en-US" w:eastAsia="ja-JP"/>
        </w:rPr>
        <w:t xml:space="preserve"> 4) a global Europe. </w:t>
      </w:r>
    </w:p>
    <w:p w14:paraId="16141839" w14:textId="77777777" w:rsidR="005B7178" w:rsidRDefault="005B7178" w:rsidP="00EC3A6D">
      <w:pPr>
        <w:pStyle w:val="ManualHeading3"/>
        <w:rPr>
          <w:noProof/>
        </w:rPr>
      </w:pPr>
      <w:r w:rsidRPr="00C570E3">
        <w:rPr>
          <w:noProof/>
        </w:rPr>
        <w:t xml:space="preserve">Consistency with policies supporting </w:t>
      </w:r>
      <w:r w:rsidRPr="00C570E3">
        <w:rPr>
          <w:noProof/>
        </w:rPr>
        <w:t>people, strengthening our societies and our social model</w:t>
      </w:r>
    </w:p>
    <w:p w14:paraId="1BF20399" w14:textId="77777777" w:rsidR="005B7178" w:rsidRPr="00A44D37" w:rsidRDefault="005B7178" w:rsidP="00EC3A6D">
      <w:pPr>
        <w:spacing w:before="0" w:after="160"/>
        <w:rPr>
          <w:rFonts w:ascii="Segoe UI" w:eastAsia="Times New Roman" w:hAnsi="Segoe UI" w:cs="Segoe UI"/>
          <w:noProof/>
          <w:sz w:val="18"/>
          <w:szCs w:val="18"/>
          <w:lang w:val="en-US" w:eastAsia="ja-JP"/>
        </w:rPr>
      </w:pPr>
      <w:r w:rsidRPr="00A44D37">
        <w:rPr>
          <w:rFonts w:eastAsia="Times New Roman"/>
          <w:noProof/>
          <w:szCs w:val="24"/>
          <w:lang w:val="en-US" w:eastAsia="ja-JP"/>
        </w:rPr>
        <w:t xml:space="preserve">In the context of the Multiannual Financial Framework (2028-2034), synergies will be fostered between media, culture, </w:t>
      </w:r>
      <w:r>
        <w:rPr>
          <w:rFonts w:eastAsia="Times New Roman"/>
          <w:noProof/>
          <w:szCs w:val="24"/>
          <w:lang w:val="en-US" w:eastAsia="ja-JP"/>
        </w:rPr>
        <w:t xml:space="preserve">equality, rights and </w:t>
      </w:r>
      <w:r w:rsidRPr="00A44D37">
        <w:rPr>
          <w:rFonts w:eastAsia="Times New Roman"/>
          <w:noProof/>
          <w:szCs w:val="24"/>
          <w:lang w:val="en-US" w:eastAsia="ja-JP"/>
        </w:rPr>
        <w:t>values initiatives and the future intervention in the fields of</w:t>
      </w:r>
      <w:r>
        <w:rPr>
          <w:rFonts w:eastAsia="Times New Roman"/>
          <w:noProof/>
          <w:szCs w:val="24"/>
          <w:lang w:val="en-US" w:eastAsia="ja-JP"/>
        </w:rPr>
        <w:t xml:space="preserve"> skills,</w:t>
      </w:r>
      <w:r w:rsidRPr="00A44D37">
        <w:rPr>
          <w:rFonts w:eastAsia="Times New Roman"/>
          <w:noProof/>
          <w:szCs w:val="24"/>
          <w:lang w:val="en-US" w:eastAsia="ja-JP"/>
        </w:rPr>
        <w:t xml:space="preserve"> education,</w:t>
      </w:r>
      <w:r>
        <w:rPr>
          <w:rFonts w:eastAsia="Times New Roman"/>
          <w:noProof/>
          <w:szCs w:val="24"/>
          <w:lang w:val="en-US" w:eastAsia="ja-JP"/>
        </w:rPr>
        <w:t xml:space="preserve"> social inclusion,</w:t>
      </w:r>
      <w:r w:rsidRPr="00A44D37">
        <w:rPr>
          <w:rFonts w:eastAsia="Times New Roman"/>
          <w:noProof/>
          <w:szCs w:val="24"/>
          <w:lang w:val="en-US" w:eastAsia="ja-JP"/>
        </w:rPr>
        <w:t xml:space="preserve"> solidarity</w:t>
      </w:r>
      <w:r>
        <w:rPr>
          <w:rFonts w:eastAsia="Times New Roman"/>
          <w:noProof/>
          <w:szCs w:val="24"/>
          <w:lang w:val="en-US" w:eastAsia="ja-JP"/>
        </w:rPr>
        <w:t>,</w:t>
      </w:r>
      <w:r>
        <w:rPr>
          <w:rFonts w:eastAsia="Times New Roman"/>
          <w:noProof/>
          <w:szCs w:val="24"/>
          <w:lang w:val="en-US" w:eastAsia="ja-JP"/>
        </w:rPr>
        <w:t xml:space="preserve"> intergenerational fairness,</w:t>
      </w:r>
      <w:r>
        <w:rPr>
          <w:rFonts w:eastAsia="Times New Roman"/>
          <w:noProof/>
          <w:szCs w:val="24"/>
          <w:lang w:val="en-US" w:eastAsia="ja-JP"/>
        </w:rPr>
        <w:t xml:space="preserve"> </w:t>
      </w:r>
      <w:r w:rsidRPr="00A44D37">
        <w:rPr>
          <w:rFonts w:eastAsia="Times New Roman"/>
          <w:noProof/>
          <w:szCs w:val="24"/>
          <w:lang w:val="en-US" w:eastAsia="ja-JP"/>
        </w:rPr>
        <w:t>youth</w:t>
      </w:r>
      <w:r>
        <w:rPr>
          <w:rFonts w:eastAsia="Times New Roman"/>
          <w:noProof/>
          <w:szCs w:val="24"/>
          <w:lang w:val="en-US" w:eastAsia="ja-JP"/>
        </w:rPr>
        <w:t xml:space="preserve"> and social and territorial cohesion</w:t>
      </w:r>
      <w:r w:rsidRPr="00A44D37">
        <w:rPr>
          <w:rFonts w:eastAsia="Times New Roman"/>
          <w:noProof/>
          <w:szCs w:val="24"/>
          <w:lang w:val="en-US" w:eastAsia="ja-JP"/>
        </w:rPr>
        <w:t xml:space="preserve">. These synergies, such as in media literacy, digital skills, civic engagement and civic education and skills development and inclusion through creativity and the arts </w:t>
      </w:r>
      <w:r w:rsidRPr="00A44D37">
        <w:rPr>
          <w:rFonts w:eastAsia="Times New Roman"/>
          <w:noProof/>
          <w:szCs w:val="24"/>
          <w:lang w:eastAsia="ja-JP"/>
        </w:rPr>
        <w:t>will be promoted in line with the objectives of the European Youth Strategy and the EU Citizenship Report. </w:t>
      </w:r>
      <w:r w:rsidRPr="00A44D37">
        <w:rPr>
          <w:rFonts w:eastAsia="Times New Roman"/>
          <w:noProof/>
          <w:szCs w:val="24"/>
          <w:lang w:val="en-US" w:eastAsia="ja-JP"/>
        </w:rPr>
        <w:t> </w:t>
      </w:r>
      <w:r w:rsidRPr="2B52139E">
        <w:rPr>
          <w:rFonts w:eastAsia="Times New Roman"/>
          <w:noProof/>
          <w:lang w:val="en-US" w:eastAsia="ja-JP"/>
        </w:rPr>
        <w:t>The initiative may also seek syne</w:t>
      </w:r>
      <w:r w:rsidRPr="2B52139E">
        <w:rPr>
          <w:rFonts w:eastAsia="Times New Roman"/>
          <w:noProof/>
          <w:lang w:val="en-US" w:eastAsia="ja-JP"/>
        </w:rPr>
        <w:t xml:space="preserve">rgies and </w:t>
      </w:r>
      <w:r w:rsidRPr="2B52139E">
        <w:rPr>
          <w:rFonts w:eastAsia="Times New Roman"/>
          <w:noProof/>
          <w:lang w:val="en-US" w:eastAsia="ja-JP"/>
        </w:rPr>
        <w:lastRenderedPageBreak/>
        <w:t xml:space="preserve">complementarities with future interventions under shared management </w:t>
      </w:r>
      <w:r>
        <w:rPr>
          <w:rFonts w:eastAsia="Times New Roman"/>
          <w:noProof/>
          <w:lang w:val="en-US" w:eastAsia="ja-JP"/>
        </w:rPr>
        <w:t xml:space="preserve">aimed at </w:t>
      </w:r>
      <w:r w:rsidRPr="2B52139E">
        <w:rPr>
          <w:rFonts w:eastAsia="Times New Roman"/>
          <w:noProof/>
          <w:lang w:val="en-US" w:eastAsia="ja-JP"/>
        </w:rPr>
        <w:t>strengthening social and territorial cohesion within the EU.</w:t>
      </w:r>
    </w:p>
    <w:p w14:paraId="2E80C399" w14:textId="77777777" w:rsidR="005B7178" w:rsidRDefault="005B7178" w:rsidP="00EC3A6D">
      <w:pPr>
        <w:spacing w:before="0" w:after="160"/>
        <w:textAlignment w:val="baseline"/>
        <w:rPr>
          <w:rFonts w:eastAsia="Times New Roman"/>
          <w:noProof/>
          <w:lang w:val="en-US" w:eastAsia="ja-JP"/>
        </w:rPr>
      </w:pPr>
      <w:r w:rsidRPr="0BA47463">
        <w:rPr>
          <w:rFonts w:eastAsia="Times New Roman"/>
          <w:noProof/>
          <w:lang w:val="en-US" w:eastAsia="ja-JP"/>
        </w:rPr>
        <w:t xml:space="preserve">The initiative complements some initiatives </w:t>
      </w:r>
      <w:r w:rsidRPr="0BA47463">
        <w:rPr>
          <w:rFonts w:eastAsia="Times New Roman"/>
          <w:noProof/>
          <w:lang w:val="en-US" w:eastAsia="ja-JP"/>
        </w:rPr>
        <w:t xml:space="preserve">promoting the principles of the European Pillar of Social Rights, including through </w:t>
      </w:r>
      <w:r w:rsidRPr="0BA47463">
        <w:rPr>
          <w:rFonts w:eastAsia="Times New Roman"/>
          <w:noProof/>
          <w:lang w:val="en-US" w:eastAsia="ja-JP"/>
        </w:rPr>
        <w:t>employment and social policies</w:t>
      </w:r>
      <w:r w:rsidRPr="0BA47463">
        <w:rPr>
          <w:rFonts w:eastAsia="Times New Roman"/>
          <w:noProof/>
          <w:lang w:val="en-US" w:eastAsia="ja-JP"/>
        </w:rPr>
        <w:t xml:space="preserve">, as well as </w:t>
      </w:r>
      <w:r w:rsidRPr="0BA47463">
        <w:rPr>
          <w:rFonts w:eastAsia="Times New Roman"/>
          <w:noProof/>
          <w:lang w:val="en-US" w:eastAsia="ja-JP"/>
        </w:rPr>
        <w:t>of the European Child Guarantee</w:t>
      </w:r>
      <w:r w:rsidRPr="0BA47463">
        <w:rPr>
          <w:rFonts w:eastAsia="Times New Roman"/>
          <w:noProof/>
          <w:lang w:val="en-US" w:eastAsia="ja-JP"/>
        </w:rPr>
        <w:t xml:space="preserve">. </w:t>
      </w:r>
      <w:r w:rsidRPr="0BA47463">
        <w:rPr>
          <w:rFonts w:eastAsia="Times New Roman"/>
          <w:noProof/>
          <w:lang w:val="en-US" w:eastAsia="ja-JP"/>
        </w:rPr>
        <w:t>This includes p</w:t>
      </w:r>
      <w:r w:rsidRPr="0BA47463">
        <w:rPr>
          <w:rFonts w:eastAsia="Times New Roman"/>
          <w:noProof/>
          <w:lang w:val="en-US" w:eastAsia="ja-JP"/>
        </w:rPr>
        <w:t>romoting equal access to rights and fostering diversity</w:t>
      </w:r>
      <w:r w:rsidRPr="0BA47463">
        <w:rPr>
          <w:rFonts w:eastAsia="Times New Roman"/>
          <w:noProof/>
          <w:lang w:val="en-US" w:eastAsia="ja-JP"/>
        </w:rPr>
        <w:t xml:space="preserve">, including at </w:t>
      </w:r>
      <w:r w:rsidRPr="0BA47463">
        <w:rPr>
          <w:rFonts w:eastAsia="Times New Roman"/>
          <w:noProof/>
          <w:lang w:val="en-US" w:eastAsia="ja-JP"/>
        </w:rPr>
        <w:t xml:space="preserve">the </w:t>
      </w:r>
      <w:r w:rsidRPr="0BA47463">
        <w:rPr>
          <w:rFonts w:eastAsia="Times New Roman"/>
          <w:noProof/>
          <w:lang w:val="en-US" w:eastAsia="ja-JP"/>
        </w:rPr>
        <w:t>regional and local level,</w:t>
      </w:r>
      <w:r w:rsidRPr="0BA47463">
        <w:rPr>
          <w:rFonts w:eastAsia="Times New Roman"/>
          <w:noProof/>
          <w:lang w:val="en-US" w:eastAsia="ja-JP"/>
        </w:rPr>
        <w:t xml:space="preserve"> </w:t>
      </w:r>
      <w:r w:rsidRPr="0BA47463">
        <w:rPr>
          <w:rFonts w:eastAsia="Times New Roman"/>
          <w:noProof/>
          <w:lang w:val="en-US" w:eastAsia="ja-JP"/>
        </w:rPr>
        <w:t xml:space="preserve">as means to </w:t>
      </w:r>
      <w:r w:rsidRPr="0BA47463">
        <w:rPr>
          <w:rFonts w:eastAsia="Times New Roman"/>
          <w:noProof/>
          <w:lang w:val="en-US" w:eastAsia="ja-JP"/>
        </w:rPr>
        <w:t>support social inclusion and fair labour markets</w:t>
      </w:r>
      <w:r w:rsidRPr="0BA47463">
        <w:rPr>
          <w:rFonts w:eastAsia="Times New Roman"/>
          <w:noProof/>
          <w:lang w:val="en-US" w:eastAsia="ja-JP"/>
        </w:rPr>
        <w:t>, and to tackle child poverty</w:t>
      </w:r>
      <w:r w:rsidRPr="0BA47463">
        <w:rPr>
          <w:rFonts w:eastAsia="Times New Roman"/>
          <w:noProof/>
          <w:lang w:val="en-US" w:eastAsia="ja-JP"/>
        </w:rPr>
        <w:t>. As key actors in shaping public discourse and fostering democratic engagement, culture and media are central to building inclusive, resilient soci</w:t>
      </w:r>
      <w:r w:rsidRPr="0BA47463">
        <w:rPr>
          <w:rFonts w:eastAsia="Times New Roman"/>
          <w:noProof/>
          <w:lang w:val="en-US" w:eastAsia="ja-JP"/>
        </w:rPr>
        <w:t xml:space="preserve">eties. In the context of the </w:t>
      </w:r>
      <w:r w:rsidRPr="0BA47463">
        <w:rPr>
          <w:rFonts w:eastAsia="Times New Roman"/>
          <w:b/>
          <w:noProof/>
          <w:lang w:val="en-US" w:eastAsia="ja-JP"/>
        </w:rPr>
        <w:t>Union of Skills,</w:t>
      </w:r>
      <w:r w:rsidRPr="0BA47463">
        <w:rPr>
          <w:rFonts w:eastAsia="Times New Roman"/>
          <w:noProof/>
          <w:lang w:val="en-US" w:eastAsia="ja-JP"/>
        </w:rPr>
        <w:t xml:space="preserve"> the initiative will actively contribute to the upskilling and reskilling of professionals in the cultural and creative industries (CCIs), supporting their adaptability in the face of digital and green transitions and labour market shifts. </w:t>
      </w:r>
      <w:r w:rsidRPr="0BA47463">
        <w:rPr>
          <w:rFonts w:eastAsia="Times New Roman"/>
          <w:noProof/>
          <w:lang w:eastAsia="ja-JP"/>
        </w:rPr>
        <w:t xml:space="preserve">Furthermore, by reinforcing the competitiveness of cultural and creative sectors, the </w:t>
      </w:r>
      <w:r w:rsidRPr="0BA47463">
        <w:rPr>
          <w:rFonts w:eastAsia="Times New Roman"/>
          <w:noProof/>
          <w:lang w:eastAsia="ja-JP"/>
        </w:rPr>
        <w:t>P</w:t>
      </w:r>
      <w:r w:rsidRPr="0BA47463">
        <w:rPr>
          <w:rFonts w:eastAsia="Times New Roman"/>
          <w:noProof/>
          <w:lang w:eastAsia="ja-JP"/>
        </w:rPr>
        <w:t xml:space="preserve">rogramme favours the creation of jobs in these sectors. </w:t>
      </w:r>
      <w:r w:rsidRPr="0BA47463">
        <w:rPr>
          <w:rFonts w:eastAsia="Times New Roman"/>
          <w:noProof/>
          <w:lang w:val="en-US" w:eastAsia="ja-JP"/>
        </w:rPr>
        <w:t xml:space="preserve">At the same time, the initiative will enhance capacity-building for civil society organisations (CSOs) working in the field of </w:t>
      </w:r>
      <w:r w:rsidRPr="0BA47463">
        <w:rPr>
          <w:rFonts w:eastAsia="Times New Roman"/>
          <w:noProof/>
          <w:lang w:val="en-US" w:eastAsia="ja-JP"/>
        </w:rPr>
        <w:t xml:space="preserve">equality, </w:t>
      </w:r>
      <w:r w:rsidRPr="0BA47463">
        <w:rPr>
          <w:rFonts w:eastAsia="Times New Roman"/>
          <w:noProof/>
          <w:lang w:val="en-US" w:eastAsia="ja-JP"/>
        </w:rPr>
        <w:t>rights</w:t>
      </w:r>
      <w:r w:rsidRPr="0BA47463">
        <w:rPr>
          <w:rFonts w:eastAsia="Times New Roman"/>
          <w:noProof/>
          <w:lang w:val="en-US" w:eastAsia="ja-JP"/>
        </w:rPr>
        <w:t xml:space="preserve"> and</w:t>
      </w:r>
      <w:r w:rsidRPr="0BA47463">
        <w:rPr>
          <w:rFonts w:eastAsia="Times New Roman"/>
          <w:noProof/>
          <w:lang w:val="en-US" w:eastAsia="ja-JP"/>
        </w:rPr>
        <w:t xml:space="preserve"> values. </w:t>
      </w:r>
    </w:p>
    <w:p w14:paraId="1CDC9535" w14:textId="77777777" w:rsidR="005B7178" w:rsidRPr="009932D4" w:rsidRDefault="005B7178" w:rsidP="00C42C85">
      <w:pPr>
        <w:spacing w:before="0" w:after="160"/>
        <w:textAlignment w:val="baseline"/>
        <w:rPr>
          <w:rFonts w:eastAsia="Times New Roman"/>
          <w:noProof/>
          <w:szCs w:val="24"/>
          <w:lang w:val="en-US" w:eastAsia="ja-JP"/>
        </w:rPr>
      </w:pPr>
      <w:r w:rsidRPr="009932D4">
        <w:rPr>
          <w:rFonts w:eastAsia="Times New Roman"/>
          <w:noProof/>
          <w:szCs w:val="24"/>
          <w:lang w:val="en-US" w:eastAsia="ja-JP"/>
        </w:rPr>
        <w:t xml:space="preserve">In light of increasing risks linked to natural hazards, health emergencies, technological accidents, evolving security threats, and other disruptions, </w:t>
      </w:r>
      <w:r>
        <w:rPr>
          <w:rFonts w:eastAsia="Times New Roman"/>
          <w:noProof/>
          <w:szCs w:val="24"/>
          <w:lang w:val="en-US" w:eastAsia="ja-JP"/>
        </w:rPr>
        <w:t>t</w:t>
      </w:r>
      <w:r w:rsidRPr="009932D4">
        <w:rPr>
          <w:rFonts w:eastAsia="Times New Roman"/>
          <w:noProof/>
          <w:szCs w:val="24"/>
          <w:lang w:val="en-US" w:eastAsia="ja-JP"/>
        </w:rPr>
        <w:t xml:space="preserve">his </w:t>
      </w:r>
      <w:r>
        <w:rPr>
          <w:rFonts w:eastAsia="Times New Roman"/>
          <w:noProof/>
          <w:szCs w:val="24"/>
          <w:lang w:val="en-US" w:eastAsia="ja-JP"/>
        </w:rPr>
        <w:t>i</w:t>
      </w:r>
      <w:r>
        <w:rPr>
          <w:rFonts w:eastAsia="Times New Roman"/>
          <w:noProof/>
          <w:szCs w:val="24"/>
          <w:lang w:val="en-US" w:eastAsia="ja-JP"/>
        </w:rPr>
        <w:t>nitiative</w:t>
      </w:r>
      <w:r w:rsidRPr="009932D4">
        <w:rPr>
          <w:rFonts w:eastAsia="Times New Roman"/>
          <w:noProof/>
          <w:szCs w:val="24"/>
          <w:lang w:val="en-US" w:eastAsia="ja-JP"/>
        </w:rPr>
        <w:t xml:space="preserve"> </w:t>
      </w:r>
      <w:r>
        <w:rPr>
          <w:rFonts w:eastAsia="Times New Roman"/>
          <w:noProof/>
          <w:szCs w:val="24"/>
          <w:lang w:val="en-US" w:eastAsia="ja-JP"/>
        </w:rPr>
        <w:t>will</w:t>
      </w:r>
      <w:r w:rsidRPr="009932D4">
        <w:rPr>
          <w:rFonts w:eastAsia="Times New Roman"/>
          <w:noProof/>
          <w:szCs w:val="24"/>
          <w:lang w:val="en-US" w:eastAsia="ja-JP"/>
        </w:rPr>
        <w:t xml:space="preserve"> enhance the resilience of vital societal functions, and build a more resilient, secure, and prepared Union</w:t>
      </w:r>
      <w:r>
        <w:rPr>
          <w:rFonts w:eastAsia="Times New Roman"/>
          <w:noProof/>
          <w:szCs w:val="24"/>
          <w:lang w:val="en-US" w:eastAsia="ja-JP"/>
        </w:rPr>
        <w:t>, i</w:t>
      </w:r>
      <w:r w:rsidRPr="009932D4">
        <w:rPr>
          <w:rFonts w:eastAsia="Times New Roman"/>
          <w:noProof/>
          <w:szCs w:val="24"/>
          <w:lang w:val="en-US" w:eastAsia="ja-JP"/>
        </w:rPr>
        <w:t xml:space="preserve">n line with the objectives of the </w:t>
      </w:r>
      <w:r w:rsidRPr="009932D4">
        <w:rPr>
          <w:rFonts w:eastAsia="Times New Roman"/>
          <w:b/>
          <w:bCs/>
          <w:noProof/>
          <w:szCs w:val="24"/>
          <w:lang w:val="en-US" w:eastAsia="ja-JP"/>
        </w:rPr>
        <w:t>EU Preparedness Union Strategy</w:t>
      </w:r>
      <w:r>
        <w:rPr>
          <w:rFonts w:eastAsia="Times New Roman"/>
          <w:noProof/>
          <w:szCs w:val="24"/>
          <w:lang w:val="en-US" w:eastAsia="ja-JP"/>
        </w:rPr>
        <w:t xml:space="preserve">. </w:t>
      </w:r>
    </w:p>
    <w:p w14:paraId="5554D6D0" w14:textId="77777777" w:rsidR="005B7178" w:rsidRDefault="005B7178" w:rsidP="001C5767">
      <w:pPr>
        <w:pStyle w:val="ManualHeading3"/>
        <w:rPr>
          <w:noProof/>
        </w:rPr>
      </w:pPr>
      <w:r>
        <w:rPr>
          <w:noProof/>
        </w:rPr>
        <w:t>Consistency</w:t>
      </w:r>
      <w:r w:rsidRPr="14D54F10">
        <w:rPr>
          <w:noProof/>
        </w:rPr>
        <w:t xml:space="preserve"> with </w:t>
      </w:r>
      <w:r w:rsidRPr="5BBDA397">
        <w:rPr>
          <w:noProof/>
        </w:rPr>
        <w:t>justice</w:t>
      </w:r>
      <w:r w:rsidRPr="195D350E">
        <w:rPr>
          <w:noProof/>
        </w:rPr>
        <w:t xml:space="preserve"> </w:t>
      </w:r>
      <w:r w:rsidRPr="14D54F10">
        <w:rPr>
          <w:noProof/>
        </w:rPr>
        <w:t>policie</w:t>
      </w:r>
      <w:r>
        <w:rPr>
          <w:noProof/>
        </w:rPr>
        <w:t>s</w:t>
      </w:r>
    </w:p>
    <w:p w14:paraId="32C1CB1F"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14D54F10">
        <w:rPr>
          <w:rFonts w:eastAsia="Times New Roman"/>
          <w:noProof/>
          <w:lang w:val="en-US" w:eastAsia="ja-JP"/>
        </w:rPr>
        <w:t xml:space="preserve">The </w:t>
      </w:r>
      <w:r>
        <w:rPr>
          <w:rFonts w:eastAsia="Times New Roman"/>
          <w:noProof/>
          <w:lang w:val="en-US" w:eastAsia="ja-JP"/>
        </w:rPr>
        <w:t>alignment between justice policies and the rule of law creates a robust framework that ensures accountability, promotes legal coherence across</w:t>
      </w:r>
      <w:r>
        <w:rPr>
          <w:rFonts w:eastAsia="Times New Roman"/>
          <w:noProof/>
          <w:lang w:val="en-US" w:eastAsia="ja-JP"/>
        </w:rPr>
        <w:t xml:space="preserve"> and within</w:t>
      </w:r>
      <w:r>
        <w:rPr>
          <w:rFonts w:eastAsia="Times New Roman"/>
          <w:noProof/>
          <w:lang w:val="en-US" w:eastAsia="ja-JP"/>
        </w:rPr>
        <w:t xml:space="preserve"> Member States, and protects fundamental rights, thereby enhancing trust and cooperation within the Union. The </w:t>
      </w:r>
      <w:r w:rsidRPr="14D54F10">
        <w:rPr>
          <w:rFonts w:eastAsia="Times New Roman"/>
          <w:noProof/>
          <w:lang w:val="en-US" w:eastAsia="ja-JP"/>
        </w:rPr>
        <w:t xml:space="preserve">relationship between fundamental rights and justice policies is key in shaping fair and equitable societies. Fundamental rights – ranging from the right to a fair trial, freedom </w:t>
      </w:r>
      <w:r w:rsidRPr="14D54F10">
        <w:rPr>
          <w:rFonts w:eastAsia="Times New Roman"/>
          <w:noProof/>
          <w:lang w:val="en-US" w:eastAsia="ja-JP"/>
        </w:rPr>
        <w:t>from discrimination</w:t>
      </w:r>
      <w:r w:rsidRPr="14D54F10">
        <w:rPr>
          <w:rFonts w:eastAsia="Times New Roman"/>
          <w:noProof/>
          <w:lang w:val="en-US" w:eastAsia="ja-JP"/>
        </w:rPr>
        <w:t xml:space="preserve"> to the protection of privacy – define the essential standards that justice systems must uphold, and translate abstract principles into concrete legal measures and practices. For instance, anti-discrimina</w:t>
      </w:r>
      <w:r w:rsidRPr="14D54F10">
        <w:rPr>
          <w:rFonts w:eastAsia="Times New Roman"/>
          <w:noProof/>
          <w:lang w:val="en-US" w:eastAsia="ja-JP"/>
        </w:rPr>
        <w:t>tion laws enforce the principle of equality before the law.  </w:t>
      </w:r>
    </w:p>
    <w:p w14:paraId="4F9A2AC5" w14:textId="77777777" w:rsidR="005B7178" w:rsidRPr="00023BB4" w:rsidRDefault="005B7178" w:rsidP="001C5767">
      <w:pPr>
        <w:spacing w:before="0" w:after="160"/>
        <w:textAlignment w:val="baseline"/>
        <w:rPr>
          <w:rFonts w:ascii="Segoe UI" w:eastAsia="Times New Roman" w:hAnsi="Segoe UI" w:cs="Segoe UI"/>
          <w:noProof/>
          <w:sz w:val="18"/>
          <w:szCs w:val="18"/>
          <w:lang w:val="en-US" w:eastAsia="ja-JP"/>
        </w:rPr>
      </w:pPr>
      <w:r w:rsidRPr="0BA47463">
        <w:rPr>
          <w:rFonts w:eastAsia="Times New Roman"/>
          <w:noProof/>
          <w:lang w:val="en-US" w:eastAsia="ja-JP"/>
        </w:rPr>
        <w:t xml:space="preserve">Thus, the synergy between fundamental rights and justice policies ensures that legal systems not only prevent abuses but </w:t>
      </w:r>
      <w:r w:rsidRPr="0BA47463">
        <w:rPr>
          <w:rFonts w:eastAsia="Times New Roman"/>
          <w:noProof/>
          <w:lang w:val="en-US" w:eastAsia="ja-JP"/>
        </w:rPr>
        <w:t xml:space="preserve">also </w:t>
      </w:r>
      <w:r w:rsidRPr="0BA47463">
        <w:rPr>
          <w:rFonts w:eastAsia="Times New Roman"/>
          <w:noProof/>
          <w:lang w:val="en-US" w:eastAsia="ja-JP"/>
        </w:rPr>
        <w:t xml:space="preserve">actively promote dignity, equality, and freedom. This synergy is essential for building public trust in legal institutions, fostering social cohesion, and ultimately ensuring that justice is accessible and meaningful for all individuals. To this end, in the context of the Multiannual Financial Framework (2028-2034), synergies will be fostered between this </w:t>
      </w:r>
      <w:r w:rsidRPr="0BA47463">
        <w:rPr>
          <w:rFonts w:eastAsia="Times New Roman"/>
          <w:noProof/>
          <w:lang w:val="en-US" w:eastAsia="ja-JP"/>
        </w:rPr>
        <w:t>P</w:t>
      </w:r>
      <w:r w:rsidRPr="0BA47463">
        <w:rPr>
          <w:rFonts w:eastAsia="Times New Roman"/>
          <w:noProof/>
          <w:lang w:val="en-US" w:eastAsia="ja-JP"/>
        </w:rPr>
        <w:t>rogramme and the future Justice programme. </w:t>
      </w:r>
    </w:p>
    <w:p w14:paraId="68679E7B" w14:textId="77777777" w:rsidR="005B7178" w:rsidRDefault="005B7178" w:rsidP="001C5767">
      <w:pPr>
        <w:pStyle w:val="ManualHeading3"/>
        <w:rPr>
          <w:noProof/>
        </w:rPr>
      </w:pPr>
      <w:r>
        <w:rPr>
          <w:noProof/>
        </w:rPr>
        <w:t xml:space="preserve">Consistency </w:t>
      </w:r>
      <w:r w:rsidRPr="00A44D37">
        <w:rPr>
          <w:noProof/>
        </w:rPr>
        <w:t>with policies for the Single Market and competitivenes</w:t>
      </w:r>
      <w:r>
        <w:rPr>
          <w:noProof/>
        </w:rPr>
        <w:t>s</w:t>
      </w:r>
    </w:p>
    <w:p w14:paraId="6A37C97F" w14:textId="77777777" w:rsidR="005B7178" w:rsidRPr="00A44D37" w:rsidRDefault="005B7178" w:rsidP="001C5767">
      <w:pPr>
        <w:spacing w:before="0" w:after="160"/>
        <w:rPr>
          <w:rFonts w:ascii="Segoe UI" w:eastAsia="Times New Roman" w:hAnsi="Segoe UI" w:cs="Segoe UI"/>
          <w:noProof/>
          <w:sz w:val="18"/>
          <w:szCs w:val="18"/>
          <w:lang w:val="en-US" w:eastAsia="ja-JP"/>
        </w:rPr>
      </w:pPr>
      <w:r>
        <w:rPr>
          <w:rFonts w:eastAsia="Times New Roman"/>
          <w:noProof/>
          <w:szCs w:val="24"/>
          <w:lang w:eastAsia="ja-JP"/>
        </w:rPr>
        <w:t>By contributing to the competitiveness of media, audiovisual and the cultural and creative sectors, t</w:t>
      </w:r>
      <w:r w:rsidRPr="00A44D37">
        <w:rPr>
          <w:rFonts w:eastAsia="Times New Roman"/>
          <w:noProof/>
          <w:szCs w:val="24"/>
          <w:lang w:eastAsia="ja-JP"/>
        </w:rPr>
        <w:t xml:space="preserve">he initiative will complement the EU policy framework on industrial policy and economic competitiveness. Notably, it builds on the </w:t>
      </w:r>
      <w:r w:rsidRPr="0067129A">
        <w:rPr>
          <w:rFonts w:eastAsia="Times New Roman"/>
          <w:noProof/>
          <w:szCs w:val="24"/>
          <w:lang w:eastAsia="ja-JP"/>
        </w:rPr>
        <w:t>2024</w:t>
      </w:r>
      <w:r w:rsidRPr="00A44D37">
        <w:rPr>
          <w:rFonts w:eastAsia="Times New Roman"/>
          <w:noProof/>
          <w:szCs w:val="24"/>
          <w:lang w:eastAsia="ja-JP"/>
        </w:rPr>
        <w:t xml:space="preserve"> </w:t>
      </w:r>
      <w:r w:rsidRPr="0067129A">
        <w:rPr>
          <w:rFonts w:eastAsia="Times New Roman"/>
          <w:noProof/>
          <w:szCs w:val="24"/>
          <w:lang w:eastAsia="ja-JP"/>
        </w:rPr>
        <w:t>Single Market and Competitiveness Report</w:t>
      </w:r>
      <w:r w:rsidRPr="00A44D37">
        <w:rPr>
          <w:rFonts w:eastAsia="Times New Roman"/>
          <w:noProof/>
          <w:szCs w:val="24"/>
          <w:lang w:eastAsia="ja-JP"/>
        </w:rPr>
        <w:t xml:space="preserve">, which adopts an ecosystem-based approach to strengthen the resilience and strategic autonomy of key industrial sectors, including cultural and creative industries. It also reflects the objectives of the </w:t>
      </w:r>
      <w:r w:rsidRPr="0067129A">
        <w:rPr>
          <w:rFonts w:eastAsia="Times New Roman"/>
          <w:noProof/>
          <w:szCs w:val="24"/>
          <w:lang w:eastAsia="ja-JP"/>
        </w:rPr>
        <w:t>Competitiveness Compass</w:t>
      </w:r>
      <w:r w:rsidRPr="00A44D37">
        <w:rPr>
          <w:rFonts w:eastAsia="Times New Roman"/>
          <w:noProof/>
          <w:szCs w:val="24"/>
          <w:lang w:eastAsia="ja-JP"/>
        </w:rPr>
        <w:t xml:space="preserve">, which sets out clear benchmarks to improve the EU’s long-term productivity </w:t>
      </w:r>
      <w:r>
        <w:rPr>
          <w:rFonts w:eastAsia="Times New Roman"/>
          <w:noProof/>
          <w:szCs w:val="24"/>
          <w:lang w:eastAsia="ja-JP"/>
        </w:rPr>
        <w:t xml:space="preserve">and resilience </w:t>
      </w:r>
      <w:r w:rsidRPr="00A44D37">
        <w:rPr>
          <w:rFonts w:eastAsia="Times New Roman"/>
          <w:noProof/>
          <w:szCs w:val="24"/>
          <w:lang w:eastAsia="ja-JP"/>
        </w:rPr>
        <w:t>and promote innovation. </w:t>
      </w:r>
      <w:r w:rsidRPr="00A44D37">
        <w:rPr>
          <w:rFonts w:eastAsia="Times New Roman"/>
          <w:noProof/>
          <w:szCs w:val="24"/>
          <w:lang w:val="en-US" w:eastAsia="ja-JP"/>
        </w:rPr>
        <w:t> </w:t>
      </w:r>
    </w:p>
    <w:p w14:paraId="7939EDCB" w14:textId="77777777" w:rsidR="005B7178" w:rsidRPr="00A44D37" w:rsidRDefault="005B7178" w:rsidP="001C5767">
      <w:pPr>
        <w:spacing w:before="0" w:after="160"/>
        <w:rPr>
          <w:rFonts w:ascii="Segoe UI" w:eastAsia="Times New Roman" w:hAnsi="Segoe UI" w:cs="Segoe UI"/>
          <w:noProof/>
          <w:sz w:val="18"/>
          <w:szCs w:val="18"/>
          <w:lang w:val="en-US" w:eastAsia="ja-JP"/>
        </w:rPr>
      </w:pPr>
      <w:r w:rsidRPr="00A44D37">
        <w:rPr>
          <w:rFonts w:eastAsia="Times New Roman"/>
          <w:noProof/>
          <w:szCs w:val="24"/>
          <w:lang w:eastAsia="ja-JP"/>
        </w:rPr>
        <w:t>In addition, the initiative relates to the</w:t>
      </w:r>
      <w:r w:rsidRPr="0067129A">
        <w:rPr>
          <w:rFonts w:eastAsia="Times New Roman"/>
          <w:noProof/>
          <w:szCs w:val="24"/>
          <w:lang w:eastAsia="ja-JP"/>
        </w:rPr>
        <w:t xml:space="preserve"> 2020 Commission Communication “An SME Strategy for a sustainable and digital Europe”,</w:t>
      </w:r>
      <w:r w:rsidRPr="00A44D37">
        <w:rPr>
          <w:rFonts w:eastAsia="Times New Roman"/>
          <w:noProof/>
          <w:szCs w:val="24"/>
          <w:lang w:eastAsia="ja-JP"/>
        </w:rPr>
        <w:t xml:space="preserve"> which aims to unleash the power of Europe’s SMEs to lead the twin transitions, based on three pillars: capacity-building and support; reducing regulatory burden and improving market access; and improving access to financing. The </w:t>
      </w:r>
      <w:r w:rsidRPr="00A44D37">
        <w:rPr>
          <w:rFonts w:eastAsia="Times New Roman"/>
          <w:noProof/>
          <w:szCs w:val="24"/>
          <w:lang w:eastAsia="ja-JP"/>
        </w:rPr>
        <w:lastRenderedPageBreak/>
        <w:t xml:space="preserve">initiative also contributes to the European Commission’s </w:t>
      </w:r>
      <w:r w:rsidRPr="0067129A">
        <w:rPr>
          <w:rFonts w:eastAsia="Times New Roman"/>
          <w:noProof/>
          <w:szCs w:val="24"/>
          <w:lang w:eastAsia="ja-JP"/>
        </w:rPr>
        <w:t>new Savings and Investments Union Strategy</w:t>
      </w:r>
      <w:r w:rsidRPr="00A44D37">
        <w:rPr>
          <w:rFonts w:eastAsia="Times New Roman"/>
          <w:noProof/>
          <w:szCs w:val="24"/>
          <w:lang w:eastAsia="ja-JP"/>
        </w:rPr>
        <w:t>, which aims to enhance financial opportunities for businesses.</w:t>
      </w:r>
      <w:r w:rsidRPr="00A44D37">
        <w:rPr>
          <w:rFonts w:eastAsia="Times New Roman"/>
          <w:noProof/>
          <w:szCs w:val="24"/>
          <w:lang w:val="en-US" w:eastAsia="ja-JP"/>
        </w:rPr>
        <w:t> </w:t>
      </w:r>
    </w:p>
    <w:p w14:paraId="3E646AB9" w14:textId="77777777" w:rsidR="005B7178" w:rsidRPr="00A44D37" w:rsidRDefault="005B7178" w:rsidP="001C5767">
      <w:pPr>
        <w:spacing w:before="0" w:after="160"/>
        <w:rPr>
          <w:rFonts w:ascii="Segoe UI" w:eastAsia="Times New Roman" w:hAnsi="Segoe UI" w:cs="Segoe UI"/>
          <w:noProof/>
          <w:sz w:val="18"/>
          <w:szCs w:val="18"/>
          <w:lang w:val="en-US" w:eastAsia="ja-JP"/>
        </w:rPr>
      </w:pPr>
      <w:r w:rsidRPr="35E45C5F">
        <w:rPr>
          <w:rFonts w:eastAsia="Times New Roman"/>
          <w:noProof/>
          <w:lang w:val="en-US" w:eastAsia="ja-JP"/>
        </w:rPr>
        <w:t>Research and innovation are essential to developing inclusive, rights-based cultural</w:t>
      </w:r>
      <w:r>
        <w:rPr>
          <w:rFonts w:eastAsia="Times New Roman"/>
          <w:noProof/>
          <w:lang w:val="en-US" w:eastAsia="ja-JP"/>
        </w:rPr>
        <w:t>, creative,</w:t>
      </w:r>
      <w:r w:rsidRPr="35E45C5F">
        <w:rPr>
          <w:rFonts w:eastAsia="Times New Roman"/>
          <w:noProof/>
          <w:lang w:val="en-US" w:eastAsia="ja-JP"/>
        </w:rPr>
        <w:t xml:space="preserve"> and media systems. The initiative will strengthen synergies with the future </w:t>
      </w:r>
      <w:r>
        <w:rPr>
          <w:rFonts w:eastAsia="Times New Roman"/>
          <w:noProof/>
          <w:lang w:val="en-US" w:eastAsia="ja-JP"/>
        </w:rPr>
        <w:t>Framewo</w:t>
      </w:r>
      <w:r>
        <w:rPr>
          <w:rFonts w:eastAsia="Times New Roman"/>
          <w:noProof/>
          <w:lang w:val="en-US" w:eastAsia="ja-JP"/>
        </w:rPr>
        <w:t>rk P</w:t>
      </w:r>
      <w:r w:rsidRPr="35E45C5F">
        <w:rPr>
          <w:rFonts w:eastAsia="Times New Roman"/>
          <w:noProof/>
          <w:lang w:val="en-US" w:eastAsia="ja-JP"/>
        </w:rPr>
        <w:t>rogramme for research and innovation</w:t>
      </w:r>
      <w:r>
        <w:rPr>
          <w:rFonts w:eastAsia="Times New Roman"/>
          <w:noProof/>
          <w:lang w:val="en-US" w:eastAsia="ja-JP"/>
        </w:rPr>
        <w:t xml:space="preserve"> and</w:t>
      </w:r>
      <w:r w:rsidRPr="00886C6F">
        <w:rPr>
          <w:rFonts w:eastAsia="Times New Roman"/>
          <w:noProof/>
          <w:lang w:val="en-US" w:eastAsia="ja-JP"/>
        </w:rPr>
        <w:t xml:space="preserve"> </w:t>
      </w:r>
      <w:r>
        <w:rPr>
          <w:rFonts w:eastAsia="Times New Roman"/>
          <w:noProof/>
          <w:lang w:val="en-US" w:eastAsia="ja-JP"/>
        </w:rPr>
        <w:t>the</w:t>
      </w:r>
      <w:r w:rsidRPr="35E45C5F">
        <w:rPr>
          <w:rFonts w:eastAsia="Times New Roman"/>
          <w:noProof/>
          <w:lang w:val="en-US" w:eastAsia="ja-JP"/>
        </w:rPr>
        <w:t xml:space="preserve"> future European Competitiveness Fund</w:t>
      </w:r>
      <w:r w:rsidRPr="35E45C5F">
        <w:rPr>
          <w:rFonts w:eastAsia="Times New Roman"/>
          <w:noProof/>
          <w:lang w:val="en-US" w:eastAsia="ja-JP"/>
        </w:rPr>
        <w:t>. Th</w:t>
      </w:r>
      <w:r>
        <w:rPr>
          <w:rFonts w:eastAsia="Times New Roman"/>
          <w:noProof/>
          <w:lang w:val="en-US" w:eastAsia="ja-JP"/>
        </w:rPr>
        <w:t>e latter</w:t>
      </w:r>
      <w:r w:rsidRPr="35E45C5F">
        <w:rPr>
          <w:rFonts w:eastAsia="Times New Roman"/>
          <w:noProof/>
          <w:lang w:val="en-US" w:eastAsia="ja-JP"/>
        </w:rPr>
        <w:t xml:space="preserve"> includes support for multidisciplinary research</w:t>
      </w:r>
      <w:r>
        <w:rPr>
          <w:rFonts w:eastAsia="Times New Roman"/>
          <w:noProof/>
          <w:lang w:val="en-US" w:eastAsia="ja-JP"/>
        </w:rPr>
        <w:t xml:space="preserve"> on</w:t>
      </w:r>
      <w:r w:rsidRPr="35E45C5F" w:rsidDel="006A2553">
        <w:rPr>
          <w:rFonts w:eastAsia="Times New Roman"/>
          <w:noProof/>
          <w:lang w:val="en-US" w:eastAsia="ja-JP"/>
        </w:rPr>
        <w:t xml:space="preserve"> </w:t>
      </w:r>
      <w:r w:rsidRPr="35E45C5F">
        <w:rPr>
          <w:rFonts w:eastAsia="Times New Roman"/>
          <w:noProof/>
          <w:lang w:val="en-US" w:eastAsia="ja-JP"/>
        </w:rPr>
        <w:t>a variety of topics</w:t>
      </w:r>
      <w:r>
        <w:rPr>
          <w:rFonts w:eastAsia="Times New Roman"/>
          <w:noProof/>
          <w:lang w:val="en-US" w:eastAsia="ja-JP"/>
        </w:rPr>
        <w:t>,</w:t>
      </w:r>
      <w:r w:rsidRPr="35E45C5F">
        <w:rPr>
          <w:rFonts w:eastAsia="Times New Roman"/>
          <w:noProof/>
          <w:lang w:val="en-US" w:eastAsia="ja-JP"/>
        </w:rPr>
        <w:t xml:space="preserve"> including democracy, values, equality, and disinformation, but also on digital and industrial topics closely linked to the </w:t>
      </w:r>
      <w:r>
        <w:rPr>
          <w:rFonts w:eastAsia="Times New Roman"/>
          <w:noProof/>
          <w:lang w:val="en-US" w:eastAsia="ja-JP"/>
        </w:rPr>
        <w:t>culture and creative sectors</w:t>
      </w:r>
      <w:r>
        <w:rPr>
          <w:rFonts w:eastAsia="Times New Roman"/>
          <w:noProof/>
          <w:lang w:val="en-US" w:eastAsia="ja-JP"/>
        </w:rPr>
        <w:t xml:space="preserve"> and </w:t>
      </w:r>
      <w:r>
        <w:rPr>
          <w:rFonts w:eastAsia="Times New Roman"/>
          <w:noProof/>
          <w:lang w:val="en-US" w:eastAsia="ja-JP"/>
        </w:rPr>
        <w:t>cultural heritage</w:t>
      </w:r>
      <w:r>
        <w:rPr>
          <w:rFonts w:eastAsia="Times New Roman"/>
          <w:noProof/>
          <w:lang w:val="en-US" w:eastAsia="ja-JP"/>
        </w:rPr>
        <w:t>.</w:t>
      </w:r>
      <w:r w:rsidRPr="35E45C5F">
        <w:rPr>
          <w:rFonts w:eastAsia="Times New Roman"/>
          <w:noProof/>
          <w:lang w:val="en-US" w:eastAsia="ja-JP"/>
        </w:rPr>
        <w:t xml:space="preserve"> </w:t>
      </w:r>
      <w:r w:rsidRPr="35E45C5F">
        <w:rPr>
          <w:rFonts w:eastAsia="Times New Roman"/>
          <w:noProof/>
          <w:lang w:val="en-US" w:eastAsia="ja-JP"/>
        </w:rPr>
        <w:t xml:space="preserve">Synergies </w:t>
      </w:r>
      <w:r>
        <w:rPr>
          <w:rFonts w:eastAsia="Times New Roman"/>
          <w:noProof/>
          <w:lang w:val="en-US" w:eastAsia="ja-JP"/>
        </w:rPr>
        <w:t xml:space="preserve">and complementarities </w:t>
      </w:r>
      <w:r w:rsidRPr="35E45C5F">
        <w:rPr>
          <w:rFonts w:eastAsia="Times New Roman"/>
          <w:noProof/>
          <w:lang w:val="en-US" w:eastAsia="ja-JP"/>
        </w:rPr>
        <w:t xml:space="preserve">will need to be strengthened to reinforce the </w:t>
      </w:r>
      <w:r>
        <w:rPr>
          <w:rFonts w:eastAsia="Times New Roman"/>
          <w:noProof/>
          <w:lang w:val="en-US" w:eastAsia="ja-JP"/>
        </w:rPr>
        <w:t>European research ecosystem</w:t>
      </w:r>
      <w:r w:rsidRPr="35E45C5F">
        <w:rPr>
          <w:rFonts w:eastAsia="Times New Roman"/>
          <w:noProof/>
          <w:lang w:val="en-US" w:eastAsia="ja-JP"/>
        </w:rPr>
        <w:t>, so that the cultural and creative sectors and civil society fully benefit from the advances of European research and innovation areas. </w:t>
      </w:r>
      <w:r>
        <w:rPr>
          <w:noProof/>
        </w:rPr>
        <w:t xml:space="preserve">The </w:t>
      </w:r>
      <w:r>
        <w:rPr>
          <w:noProof/>
        </w:rPr>
        <w:t>P</w:t>
      </w:r>
      <w:r>
        <w:rPr>
          <w:noProof/>
        </w:rPr>
        <w:t xml:space="preserve">rogramme will thus </w:t>
      </w:r>
      <w:r>
        <w:rPr>
          <w:noProof/>
        </w:rPr>
        <w:t xml:space="preserve">contribute to </w:t>
      </w:r>
      <w:r>
        <w:rPr>
          <w:noProof/>
        </w:rPr>
        <w:t>the take-up of the results of research and innovation ac</w:t>
      </w:r>
      <w:r>
        <w:rPr>
          <w:noProof/>
        </w:rPr>
        <w:t>tions funded under the Research Framework Programme.</w:t>
      </w:r>
    </w:p>
    <w:p w14:paraId="2D5F1D4A" w14:textId="77777777" w:rsidR="005B7178" w:rsidRPr="00A44D37" w:rsidRDefault="005B7178" w:rsidP="001C5767">
      <w:pPr>
        <w:spacing w:before="0" w:after="160"/>
        <w:rPr>
          <w:rFonts w:eastAsia="Times New Roman"/>
          <w:b/>
          <w:bCs/>
          <w:noProof/>
          <w:lang w:val="en-US" w:eastAsia="ja-JP"/>
        </w:rPr>
      </w:pPr>
      <w:r w:rsidRPr="2D819BAA">
        <w:rPr>
          <w:rFonts w:eastAsia="Times New Roman"/>
          <w:noProof/>
          <w:lang w:val="en-US" w:eastAsia="ja-JP"/>
        </w:rPr>
        <w:t>Moreover, the proposal contributes to addressing Europe’s digital transformation, in line with the objectives of the Digital Decade 2030. It will complement it by supporting actions that promote digital preparedness</w:t>
      </w:r>
      <w:r w:rsidRPr="20FCCF8F">
        <w:rPr>
          <w:rFonts w:eastAsia="Times New Roman"/>
          <w:noProof/>
          <w:lang w:val="en-US" w:eastAsia="ja-JP"/>
        </w:rPr>
        <w:t>,</w:t>
      </w:r>
      <w:r w:rsidRPr="2D819BAA">
        <w:rPr>
          <w:rFonts w:eastAsia="Times New Roman"/>
          <w:noProof/>
          <w:lang w:val="en-US" w:eastAsia="ja-JP"/>
        </w:rPr>
        <w:t xml:space="preserve"> </w:t>
      </w:r>
      <w:r w:rsidRPr="01B789C1">
        <w:rPr>
          <w:rFonts w:eastAsia="Times New Roman"/>
          <w:noProof/>
          <w:lang w:val="en-US" w:eastAsia="ja-JP"/>
        </w:rPr>
        <w:t xml:space="preserve">skills development </w:t>
      </w:r>
      <w:r w:rsidRPr="2D819BAA">
        <w:rPr>
          <w:rFonts w:eastAsia="Times New Roman"/>
          <w:noProof/>
          <w:lang w:val="en-US" w:eastAsia="ja-JP"/>
        </w:rPr>
        <w:t>and applied innovation in the societal, culture and media sectors</w:t>
      </w:r>
      <w:r>
        <w:rPr>
          <w:rFonts w:eastAsia="Times New Roman"/>
          <w:noProof/>
          <w:lang w:val="en-US" w:eastAsia="ja-JP"/>
        </w:rPr>
        <w:t xml:space="preserve">, such as the AI </w:t>
      </w:r>
      <w:r>
        <w:rPr>
          <w:rFonts w:eastAsia="Times New Roman"/>
          <w:noProof/>
          <w:lang w:val="en-US" w:eastAsia="ja-JP"/>
        </w:rPr>
        <w:t>C</w:t>
      </w:r>
      <w:r>
        <w:rPr>
          <w:rFonts w:eastAsia="Times New Roman"/>
          <w:noProof/>
          <w:lang w:val="en-US" w:eastAsia="ja-JP"/>
        </w:rPr>
        <w:t>ontinent Action Plan and the Apply AI strategy</w:t>
      </w:r>
      <w:r w:rsidRPr="2D819BAA">
        <w:rPr>
          <w:rFonts w:eastAsia="Times New Roman"/>
          <w:noProof/>
          <w:lang w:val="en-US" w:eastAsia="ja-JP"/>
        </w:rPr>
        <w:t xml:space="preserve">. It will also </w:t>
      </w:r>
      <w:r>
        <w:rPr>
          <w:rFonts w:eastAsia="Times New Roman"/>
          <w:noProof/>
          <w:lang w:val="en-US" w:eastAsia="ja-JP"/>
        </w:rPr>
        <w:t>accompany</w:t>
      </w:r>
      <w:r w:rsidRPr="2D819BAA">
        <w:rPr>
          <w:rFonts w:eastAsia="Times New Roman"/>
          <w:noProof/>
          <w:lang w:val="en-US" w:eastAsia="ja-JP"/>
        </w:rPr>
        <w:t xml:space="preserve"> </w:t>
      </w:r>
      <w:r w:rsidRPr="2D819BAA">
        <w:rPr>
          <w:rFonts w:eastAsia="Times New Roman"/>
          <w:noProof/>
          <w:lang w:val="en-US" w:eastAsia="ja-JP"/>
        </w:rPr>
        <w:t xml:space="preserve">existing regulation, such as the Digital Services Act, the </w:t>
      </w:r>
      <w:r w:rsidRPr="2D819BAA">
        <w:rPr>
          <w:rFonts w:eastAsia="Times New Roman"/>
          <w:noProof/>
          <w:lang w:val="en-US" w:eastAsia="ja-JP"/>
        </w:rPr>
        <w:t>Digital Markets Act</w:t>
      </w:r>
      <w:r>
        <w:rPr>
          <w:rFonts w:eastAsia="Times New Roman"/>
          <w:noProof/>
          <w:lang w:val="en-US" w:eastAsia="ja-JP"/>
        </w:rPr>
        <w:t xml:space="preserve"> and the AI Act</w:t>
      </w:r>
      <w:r w:rsidRPr="2D819BAA">
        <w:rPr>
          <w:rFonts w:eastAsia="Times New Roman"/>
          <w:noProof/>
          <w:lang w:val="en-US" w:eastAsia="ja-JP"/>
        </w:rPr>
        <w:t xml:space="preserve"> by increasing the audiovisual and media content access, strengthening media literacy, encourag</w:t>
      </w:r>
      <w:r>
        <w:rPr>
          <w:rFonts w:eastAsia="Times New Roman"/>
          <w:noProof/>
          <w:lang w:val="en-US" w:eastAsia="ja-JP"/>
        </w:rPr>
        <w:t>ing</w:t>
      </w:r>
      <w:r w:rsidRPr="2D819BAA">
        <w:rPr>
          <w:rFonts w:eastAsia="Times New Roman"/>
          <w:noProof/>
          <w:lang w:val="en-US" w:eastAsia="ja-JP"/>
        </w:rPr>
        <w:t xml:space="preserve"> fair competition and platform-neutral access to audiences. Cross-border collaborations and availability of audiovisual content would also strengthen interoperability of digital products.</w:t>
      </w:r>
    </w:p>
    <w:p w14:paraId="34F370CE" w14:textId="77777777" w:rsidR="005B7178" w:rsidRDefault="005B7178" w:rsidP="001C5767">
      <w:pPr>
        <w:pStyle w:val="ManualHeading3"/>
        <w:rPr>
          <w:noProof/>
        </w:rPr>
      </w:pPr>
      <w:r>
        <w:rPr>
          <w:noProof/>
        </w:rPr>
        <w:t>Consistency</w:t>
      </w:r>
      <w:r w:rsidRPr="00A44D37" w:rsidDel="006A2553">
        <w:rPr>
          <w:noProof/>
        </w:rPr>
        <w:t xml:space="preserve"> </w:t>
      </w:r>
      <w:r w:rsidRPr="00A44D37">
        <w:rPr>
          <w:noProof/>
        </w:rPr>
        <w:t>with policies </w:t>
      </w:r>
      <w:r w:rsidRPr="00771FBE">
        <w:rPr>
          <w:noProof/>
        </w:rPr>
        <w:t>for a global Europ</w:t>
      </w:r>
      <w:r>
        <w:rPr>
          <w:noProof/>
        </w:rPr>
        <w:t>e</w:t>
      </w:r>
    </w:p>
    <w:p w14:paraId="7A3B6F44" w14:textId="77777777" w:rsidR="005B7178" w:rsidRDefault="005B7178" w:rsidP="672D478C">
      <w:pPr>
        <w:spacing w:before="0" w:after="160"/>
        <w:rPr>
          <w:rFonts w:eastAsia="Times New Roman"/>
          <w:noProof/>
          <w:lang w:val="en-US" w:eastAsia="ja-JP"/>
        </w:rPr>
      </w:pPr>
      <w:r w:rsidRPr="73034CA2">
        <w:rPr>
          <w:rFonts w:eastAsia="Times New Roman"/>
          <w:noProof/>
          <w:lang w:val="en-US" w:eastAsia="ja-JP"/>
        </w:rPr>
        <w:t xml:space="preserve">The proposed </w:t>
      </w:r>
      <w:r>
        <w:rPr>
          <w:rFonts w:eastAsia="Times New Roman"/>
          <w:noProof/>
          <w:lang w:val="en-US" w:eastAsia="ja-JP"/>
        </w:rPr>
        <w:t>P</w:t>
      </w:r>
      <w:r w:rsidRPr="73034CA2">
        <w:rPr>
          <w:rFonts w:eastAsia="Times New Roman"/>
          <w:noProof/>
          <w:lang w:val="en-US" w:eastAsia="ja-JP"/>
        </w:rPr>
        <w:t xml:space="preserve">rogramme will, once adopted, complement actions financed through the Union’s external actions. </w:t>
      </w:r>
      <w:r>
        <w:rPr>
          <w:rFonts w:eastAsia="Times New Roman"/>
          <w:noProof/>
          <w:lang w:val="en-US" w:eastAsia="ja-JP"/>
        </w:rPr>
        <w:t>For instance, b</w:t>
      </w:r>
      <w:r w:rsidRPr="73034CA2">
        <w:rPr>
          <w:rFonts w:eastAsia="Times New Roman"/>
          <w:noProof/>
          <w:lang w:val="en-US" w:eastAsia="ja-JP"/>
        </w:rPr>
        <w:t>y promoting cultural exchanges</w:t>
      </w:r>
      <w:r w:rsidRPr="30A41DBA">
        <w:rPr>
          <w:rFonts w:eastAsia="Times New Roman"/>
          <w:noProof/>
          <w:lang w:val="en-US" w:eastAsia="ja-JP"/>
        </w:rPr>
        <w:t xml:space="preserve"> and </w:t>
      </w:r>
      <w:r w:rsidRPr="36BFEA58">
        <w:rPr>
          <w:rFonts w:eastAsia="Times New Roman"/>
          <w:noProof/>
          <w:lang w:val="en-US" w:eastAsia="ja-JP"/>
        </w:rPr>
        <w:t>supporting</w:t>
      </w:r>
      <w:r w:rsidRPr="73034CA2">
        <w:rPr>
          <w:rFonts w:eastAsia="Times New Roman"/>
          <w:noProof/>
          <w:lang w:val="en-US" w:eastAsia="ja-JP"/>
        </w:rPr>
        <w:t xml:space="preserve"> </w:t>
      </w:r>
      <w:r>
        <w:rPr>
          <w:rFonts w:eastAsia="Times New Roman"/>
          <w:noProof/>
          <w:lang w:val="en-US" w:eastAsia="ja-JP"/>
        </w:rPr>
        <w:t>Union</w:t>
      </w:r>
      <w:r w:rsidRPr="73034CA2">
        <w:rPr>
          <w:rFonts w:eastAsia="Times New Roman"/>
          <w:noProof/>
          <w:lang w:val="en-US" w:eastAsia="ja-JP"/>
        </w:rPr>
        <w:t xml:space="preserve"> </w:t>
      </w:r>
      <w:r>
        <w:rPr>
          <w:rFonts w:eastAsia="Times New Roman"/>
          <w:noProof/>
          <w:lang w:val="en-US" w:eastAsia="ja-JP"/>
        </w:rPr>
        <w:t>creative industries,</w:t>
      </w:r>
      <w:r w:rsidRPr="73034CA2">
        <w:rPr>
          <w:rFonts w:eastAsia="Times New Roman"/>
          <w:noProof/>
          <w:lang w:val="en-US" w:eastAsia="ja-JP"/>
        </w:rPr>
        <w:t xml:space="preserve"> media and audiovisual content globally including through international collaborations, it will </w:t>
      </w:r>
      <w:r w:rsidRPr="467751C8">
        <w:rPr>
          <w:rFonts w:eastAsia="Times New Roman"/>
          <w:noProof/>
          <w:lang w:val="en-US" w:eastAsia="ja-JP"/>
        </w:rPr>
        <w:t>open</w:t>
      </w:r>
      <w:r w:rsidRPr="73034CA2">
        <w:rPr>
          <w:rFonts w:eastAsia="Times New Roman"/>
          <w:noProof/>
          <w:lang w:val="en-US" w:eastAsia="ja-JP"/>
        </w:rPr>
        <w:t xml:space="preserve"> new markets, </w:t>
      </w:r>
      <w:r w:rsidRPr="506AEDD0">
        <w:rPr>
          <w:rFonts w:eastAsia="Times New Roman"/>
          <w:noProof/>
          <w:lang w:val="en-US" w:eastAsia="ja-JP"/>
        </w:rPr>
        <w:t>attract</w:t>
      </w:r>
      <w:r w:rsidRPr="73034CA2">
        <w:rPr>
          <w:rFonts w:eastAsia="Times New Roman"/>
          <w:noProof/>
          <w:lang w:val="en-US" w:eastAsia="ja-JP"/>
        </w:rPr>
        <w:t xml:space="preserve"> global talent, </w:t>
      </w:r>
      <w:r w:rsidRPr="297A3126">
        <w:rPr>
          <w:rFonts w:eastAsia="Times New Roman"/>
          <w:noProof/>
          <w:lang w:val="en-US" w:eastAsia="ja-JP"/>
        </w:rPr>
        <w:t>enhance</w:t>
      </w:r>
      <w:r w:rsidRPr="73034CA2">
        <w:rPr>
          <w:rFonts w:eastAsia="Times New Roman"/>
          <w:noProof/>
          <w:lang w:val="en-US" w:eastAsia="ja-JP"/>
        </w:rPr>
        <w:t xml:space="preserve"> the EU’s influence and attractiveness on the world stage. The future intervention will include participation of third countries in the </w:t>
      </w:r>
      <w:r>
        <w:rPr>
          <w:rFonts w:eastAsia="Times New Roman"/>
          <w:noProof/>
          <w:lang w:val="en-US" w:eastAsia="ja-JP"/>
        </w:rPr>
        <w:t>P</w:t>
      </w:r>
      <w:r w:rsidRPr="73034CA2">
        <w:rPr>
          <w:rFonts w:eastAsia="Times New Roman"/>
          <w:noProof/>
          <w:lang w:val="en-US" w:eastAsia="ja-JP"/>
        </w:rPr>
        <w:t>rogramme and support for international collaborations, allowing for synergies with EU’s policies on external action. </w:t>
      </w:r>
    </w:p>
    <w:p w14:paraId="55287B23" w14:textId="77777777" w:rsidR="005B7178" w:rsidRPr="002D5EE2" w:rsidRDefault="005B7178">
      <w:pPr>
        <w:pStyle w:val="ManualHeading1"/>
        <w:rPr>
          <w:noProof/>
        </w:rPr>
      </w:pPr>
      <w:r w:rsidRPr="002D5EE2">
        <w:rPr>
          <w:noProof/>
        </w:rPr>
        <w:t>2.</w:t>
      </w:r>
      <w:r w:rsidRPr="002D5EE2">
        <w:rPr>
          <w:noProof/>
        </w:rPr>
        <w:tab/>
        <w:t>LEGAL BASIS, SUBSIDIARITY AND PROPORTIONALITY</w:t>
      </w:r>
    </w:p>
    <w:p w14:paraId="0D08DC3D" w14:textId="77777777" w:rsidR="005B7178" w:rsidRPr="002D5EE2" w:rsidRDefault="005B7178">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27F5C091"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0903D3B6">
        <w:rPr>
          <w:rFonts w:eastAsia="Times New Roman"/>
          <w:noProof/>
          <w:color w:val="000000" w:themeColor="text1"/>
          <w:lang w:val="en-US" w:eastAsia="ja-JP"/>
        </w:rPr>
        <w:t xml:space="preserve">The proposal is based on Articles 19(2), 21(2), </w:t>
      </w:r>
      <w:r w:rsidRPr="0903D3B6">
        <w:rPr>
          <w:rFonts w:eastAsia="Times New Roman"/>
          <w:noProof/>
          <w:color w:val="000000" w:themeColor="text1"/>
          <w:lang w:val="en-US" w:eastAsia="ja-JP"/>
        </w:rPr>
        <w:t xml:space="preserve">24, </w:t>
      </w:r>
      <w:r w:rsidRPr="0903D3B6">
        <w:rPr>
          <w:rFonts w:eastAsia="Times New Roman"/>
          <w:noProof/>
          <w:color w:val="000000" w:themeColor="text1"/>
          <w:lang w:val="en-US" w:eastAsia="ja-JP"/>
        </w:rPr>
        <w:t>167(5), 168(5)</w:t>
      </w:r>
      <w:r>
        <w:rPr>
          <w:rFonts w:eastAsia="Times New Roman"/>
          <w:noProof/>
          <w:color w:val="000000" w:themeColor="text1"/>
          <w:lang w:val="en-US" w:eastAsia="ja-JP"/>
        </w:rPr>
        <w:t xml:space="preserve"> and</w:t>
      </w:r>
      <w:r w:rsidRPr="0903D3B6">
        <w:rPr>
          <w:rFonts w:eastAsia="Times New Roman"/>
          <w:noProof/>
          <w:color w:val="000000" w:themeColor="text1"/>
          <w:lang w:val="en-US" w:eastAsia="ja-JP"/>
        </w:rPr>
        <w:t xml:space="preserve"> </w:t>
      </w:r>
      <w:r w:rsidRPr="0903D3B6">
        <w:rPr>
          <w:rFonts w:eastAsia="Times New Roman"/>
          <w:noProof/>
          <w:color w:val="000000" w:themeColor="text1"/>
          <w:lang w:val="en-US" w:eastAsia="ja-JP"/>
        </w:rPr>
        <w:t>173(3)</w:t>
      </w:r>
      <w:r w:rsidRPr="0903D3B6">
        <w:rPr>
          <w:rFonts w:eastAsia="Times New Roman"/>
          <w:noProof/>
          <w:color w:val="000000" w:themeColor="text1"/>
          <w:lang w:val="en-US" w:eastAsia="ja-JP"/>
        </w:rPr>
        <w:t xml:space="preserve"> </w:t>
      </w:r>
      <w:r w:rsidRPr="0903D3B6">
        <w:rPr>
          <w:rFonts w:eastAsia="Times New Roman"/>
          <w:noProof/>
          <w:color w:val="000000" w:themeColor="text1"/>
          <w:lang w:val="en-US" w:eastAsia="ja-JP"/>
        </w:rPr>
        <w:t xml:space="preserve">of the Treaty on the Functioning of the European Union (TFEU), to achieve the </w:t>
      </w:r>
      <w:r>
        <w:rPr>
          <w:rFonts w:eastAsia="Times New Roman"/>
          <w:noProof/>
          <w:color w:val="000000" w:themeColor="text1"/>
          <w:lang w:val="en-US" w:eastAsia="ja-JP"/>
        </w:rPr>
        <w:t>P</w:t>
      </w:r>
      <w:r w:rsidRPr="0903D3B6">
        <w:rPr>
          <w:rFonts w:eastAsia="Times New Roman"/>
          <w:noProof/>
          <w:color w:val="000000" w:themeColor="text1"/>
          <w:lang w:val="en-US" w:eastAsia="ja-JP"/>
        </w:rPr>
        <w:t>rogramme’s general objectives in a comprehensive way. </w:t>
      </w:r>
    </w:p>
    <w:p w14:paraId="19E93B31" w14:textId="77777777" w:rsidR="005B7178" w:rsidRDefault="005B7178" w:rsidP="00281A77">
      <w:pPr>
        <w:spacing w:before="0"/>
        <w:rPr>
          <w:rFonts w:eastAsia="Times New Roman"/>
          <w:noProof/>
          <w:color w:val="000000" w:themeColor="text1"/>
          <w:lang w:val="en-US" w:eastAsia="ja-JP"/>
        </w:rPr>
      </w:pPr>
      <w:r w:rsidRPr="0903D3B6">
        <w:rPr>
          <w:rFonts w:eastAsia="Times New Roman"/>
          <w:b/>
          <w:bCs/>
          <w:noProof/>
          <w:color w:val="000000" w:themeColor="text1"/>
          <w:lang w:val="en-IE" w:eastAsia="ja-JP"/>
        </w:rPr>
        <w:t>Article 19(2) TFEU</w:t>
      </w:r>
      <w:r w:rsidRPr="0903D3B6">
        <w:rPr>
          <w:rFonts w:eastAsia="Times New Roman"/>
          <w:noProof/>
          <w:color w:val="000000" w:themeColor="text1"/>
          <w:lang w:val="en-IE" w:eastAsia="ja-JP"/>
        </w:rPr>
        <w:t xml:space="preserve"> provides for the adoption of incentive measures to support Member State action in combating discrimination based on sex, racial or ethnic origin, religion or belief, disability, age or sexual orientation. </w:t>
      </w:r>
    </w:p>
    <w:p w14:paraId="23908957" w14:textId="77777777" w:rsidR="005B7178" w:rsidRDefault="005B7178" w:rsidP="0903D3B6">
      <w:pPr>
        <w:spacing w:before="0" w:after="160"/>
        <w:textAlignment w:val="baseline"/>
        <w:rPr>
          <w:noProof/>
          <w:szCs w:val="24"/>
        </w:rPr>
      </w:pPr>
      <w:r w:rsidRPr="00C54774">
        <w:rPr>
          <w:noProof/>
          <w:szCs w:val="24"/>
        </w:rPr>
        <w:t xml:space="preserve">Democratic engagement, civic participation and the fostering of civil society are essential building blocks of the notion of </w:t>
      </w:r>
      <w:r w:rsidRPr="00C54774">
        <w:rPr>
          <w:noProof/>
          <w:szCs w:val="24"/>
        </w:rPr>
        <w:t>Union</w:t>
      </w:r>
      <w:r w:rsidRPr="00C54774">
        <w:rPr>
          <w:noProof/>
          <w:szCs w:val="24"/>
        </w:rPr>
        <w:t xml:space="preserve"> citizenship</w:t>
      </w:r>
      <w:r>
        <w:rPr>
          <w:noProof/>
          <w:szCs w:val="24"/>
        </w:rPr>
        <w:t>.</w:t>
      </w:r>
      <w:r w:rsidRPr="00C54774">
        <w:rPr>
          <w:noProof/>
          <w:szCs w:val="24"/>
        </w:rPr>
        <w:t xml:space="preserve"> </w:t>
      </w:r>
      <w:r>
        <w:rPr>
          <w:noProof/>
          <w:szCs w:val="24"/>
        </w:rPr>
        <w:t>T</w:t>
      </w:r>
      <w:r w:rsidRPr="00C54774">
        <w:rPr>
          <w:noProof/>
          <w:szCs w:val="24"/>
        </w:rPr>
        <w:t xml:space="preserve">hey constitute crucial factors and facilitators of the right to move and reside freely in the </w:t>
      </w:r>
      <w:r w:rsidRPr="00C54774">
        <w:rPr>
          <w:noProof/>
          <w:szCs w:val="24"/>
        </w:rPr>
        <w:t>Union</w:t>
      </w:r>
      <w:r w:rsidRPr="00C54774">
        <w:rPr>
          <w:noProof/>
          <w:szCs w:val="24"/>
        </w:rPr>
        <w:t>.</w:t>
      </w:r>
    </w:p>
    <w:p w14:paraId="7AF18D78" w14:textId="77777777" w:rsidR="005B7178" w:rsidRDefault="005B7178" w:rsidP="0903D3B6">
      <w:pPr>
        <w:spacing w:before="0" w:after="160"/>
        <w:textAlignment w:val="baseline"/>
        <w:rPr>
          <w:rFonts w:eastAsia="Times New Roman"/>
          <w:noProof/>
          <w:color w:val="000000"/>
          <w:lang w:val="en-US" w:eastAsia="ja-JP"/>
        </w:rPr>
      </w:pPr>
      <w:r w:rsidRPr="0903D3B6">
        <w:rPr>
          <w:rFonts w:eastAsia="Times New Roman"/>
          <w:b/>
          <w:bCs/>
          <w:noProof/>
          <w:color w:val="000000" w:themeColor="text1"/>
          <w:lang w:val="en-IE" w:eastAsia="ja-JP"/>
        </w:rPr>
        <w:t>Article 21(2) TFEU</w:t>
      </w:r>
      <w:r w:rsidRPr="0903D3B6">
        <w:rPr>
          <w:rFonts w:eastAsia="Times New Roman"/>
          <w:noProof/>
          <w:color w:val="000000" w:themeColor="text1"/>
          <w:lang w:val="en-IE" w:eastAsia="ja-JP"/>
        </w:rPr>
        <w:t xml:space="preserve"> provides for Union measures to facilitate the exercise of citizens’ rights to move and reside freely within the territory of the Member States. Actions to inform citizens and authorities </w:t>
      </w:r>
      <w:r w:rsidRPr="009B0976">
        <w:rPr>
          <w:rFonts w:eastAsia="Times New Roman"/>
          <w:noProof/>
          <w:color w:val="000000" w:themeColor="text1"/>
          <w:lang w:val="en-IE" w:eastAsia="ja-JP"/>
        </w:rPr>
        <w:t xml:space="preserve">about </w:t>
      </w:r>
      <w:r w:rsidRPr="009B0976">
        <w:rPr>
          <w:rFonts w:eastAsia="Times New Roman"/>
          <w:noProof/>
          <w:color w:val="000000" w:themeColor="text1"/>
          <w:lang w:val="en-IE" w:eastAsia="ja-JP"/>
        </w:rPr>
        <w:t>citizens voting</w:t>
      </w:r>
      <w:r w:rsidRPr="009B0976">
        <w:rPr>
          <w:rFonts w:eastAsia="Times New Roman"/>
          <w:noProof/>
          <w:color w:val="000000" w:themeColor="text1"/>
          <w:lang w:val="en-IE" w:eastAsia="ja-JP"/>
        </w:rPr>
        <w:t xml:space="preserve"> rights</w:t>
      </w:r>
      <w:r w:rsidRPr="0903D3B6">
        <w:rPr>
          <w:rFonts w:eastAsia="Times New Roman"/>
          <w:noProof/>
          <w:color w:val="000000" w:themeColor="text1"/>
          <w:lang w:val="en-IE" w:eastAsia="ja-JP"/>
        </w:rPr>
        <w:t xml:space="preserve"> when residing in another Member State</w:t>
      </w:r>
      <w:r w:rsidRPr="0903D3B6">
        <w:rPr>
          <w:rFonts w:eastAsia="Times New Roman"/>
          <w:noProof/>
          <w:color w:val="000000" w:themeColor="text1"/>
          <w:lang w:val="en-IE" w:eastAsia="ja-JP"/>
        </w:rPr>
        <w:t xml:space="preserve"> can also be </w:t>
      </w:r>
      <w:r w:rsidRPr="0903D3B6">
        <w:rPr>
          <w:rFonts w:eastAsia="Times New Roman"/>
          <w:noProof/>
          <w:color w:val="000000" w:themeColor="text1"/>
          <w:lang w:val="en-IE" w:eastAsia="ja-JP"/>
        </w:rPr>
        <w:lastRenderedPageBreak/>
        <w:t>covered by this Article</w:t>
      </w:r>
      <w:r>
        <w:rPr>
          <w:rFonts w:eastAsia="Times New Roman"/>
          <w:noProof/>
          <w:color w:val="000000" w:themeColor="text1"/>
          <w:lang w:val="en-IE" w:eastAsia="ja-JP"/>
        </w:rPr>
        <w:t>,</w:t>
      </w:r>
      <w:r w:rsidRPr="0903D3B6">
        <w:rPr>
          <w:rFonts w:eastAsia="Times New Roman"/>
          <w:noProof/>
          <w:color w:val="000000" w:themeColor="text1"/>
          <w:lang w:val="en-IE" w:eastAsia="ja-JP"/>
        </w:rPr>
        <w:t xml:space="preserve"> since in practice they </w:t>
      </w:r>
      <w:r w:rsidRPr="0903D3B6">
        <w:rPr>
          <w:rFonts w:eastAsia="Times New Roman"/>
          <w:noProof/>
          <w:color w:val="000000" w:themeColor="text1"/>
          <w:lang w:val="en-IE" w:eastAsia="ja-JP"/>
        </w:rPr>
        <w:t xml:space="preserve">also </w:t>
      </w:r>
      <w:r w:rsidRPr="0903D3B6">
        <w:rPr>
          <w:rFonts w:eastAsia="Times New Roman"/>
          <w:noProof/>
          <w:color w:val="000000" w:themeColor="text1"/>
          <w:lang w:val="en-IE" w:eastAsia="ja-JP"/>
        </w:rPr>
        <w:t>facilitate the exercise of a citizen’s right to move and reside freely.</w:t>
      </w:r>
      <w:r w:rsidRPr="0903D3B6">
        <w:rPr>
          <w:rFonts w:eastAsia="Times New Roman"/>
          <w:noProof/>
          <w:color w:val="000000" w:themeColor="text1"/>
          <w:lang w:val="en-US" w:eastAsia="ja-JP"/>
        </w:rPr>
        <w:t> </w:t>
      </w:r>
    </w:p>
    <w:p w14:paraId="1FCD1DA5" w14:textId="77777777" w:rsidR="005B7178" w:rsidRPr="00727D21" w:rsidRDefault="005B7178" w:rsidP="00727D21">
      <w:pPr>
        <w:spacing w:before="0" w:after="160"/>
        <w:textAlignment w:val="baseline"/>
        <w:rPr>
          <w:rFonts w:eastAsia="Times New Roman"/>
          <w:b/>
          <w:bCs/>
          <w:noProof/>
          <w:color w:val="000000" w:themeColor="text1"/>
          <w:lang w:val="en-US" w:eastAsia="ja-JP"/>
        </w:rPr>
      </w:pPr>
      <w:r w:rsidRPr="00925B9F">
        <w:rPr>
          <w:rFonts w:eastAsia="Times New Roman"/>
          <w:b/>
          <w:bCs/>
          <w:noProof/>
          <w:color w:val="000000" w:themeColor="text1"/>
          <w:lang w:val="en-US" w:eastAsia="ja-JP"/>
        </w:rPr>
        <w:t>Art</w:t>
      </w:r>
      <w:r>
        <w:rPr>
          <w:rFonts w:eastAsia="Times New Roman"/>
          <w:b/>
          <w:bCs/>
          <w:noProof/>
          <w:color w:val="000000" w:themeColor="text1"/>
          <w:lang w:val="en-US" w:eastAsia="ja-JP"/>
        </w:rPr>
        <w:t>icle</w:t>
      </w:r>
      <w:r w:rsidRPr="00925B9F">
        <w:rPr>
          <w:rFonts w:eastAsia="Times New Roman"/>
          <w:b/>
          <w:bCs/>
          <w:noProof/>
          <w:color w:val="000000" w:themeColor="text1"/>
          <w:lang w:val="en-US" w:eastAsia="ja-JP"/>
        </w:rPr>
        <w:t xml:space="preserve"> 24 TFEU</w:t>
      </w:r>
      <w:r w:rsidRPr="0903D3B6">
        <w:rPr>
          <w:rFonts w:eastAsia="Times New Roman"/>
          <w:noProof/>
          <w:szCs w:val="24"/>
        </w:rPr>
        <w:t xml:space="preserve"> </w:t>
      </w:r>
      <w:r w:rsidRPr="007F4EF9">
        <w:rPr>
          <w:rFonts w:eastAsia="Times New Roman"/>
          <w:noProof/>
          <w:color w:val="000000" w:themeColor="text1"/>
          <w:lang w:eastAsia="ja-JP"/>
        </w:rPr>
        <w:t>obliges the European Parliament and the Council to adopt provisions for the procedures and conditions required for a citizens</w:t>
      </w:r>
      <w:r>
        <w:rPr>
          <w:rFonts w:eastAsia="Times New Roman"/>
          <w:noProof/>
          <w:color w:val="000000" w:themeColor="text1"/>
          <w:lang w:eastAsia="ja-JP"/>
        </w:rPr>
        <w:t>’</w:t>
      </w:r>
      <w:r w:rsidRPr="007F4EF9">
        <w:rPr>
          <w:rFonts w:eastAsia="Times New Roman"/>
          <w:noProof/>
          <w:color w:val="000000" w:themeColor="text1"/>
          <w:lang w:eastAsia="ja-JP"/>
        </w:rPr>
        <w:t xml:space="preserve"> initiative within the meaning of Article 11 TEU. This has been done by adopting Regulation (EU) 2019/788 of the European Parliament and of the Council</w:t>
      </w:r>
      <w:r>
        <w:rPr>
          <w:rStyle w:val="Allmrkuseviide"/>
          <w:rFonts w:eastAsia="Times New Roman"/>
          <w:noProof/>
          <w:color w:val="000000" w:themeColor="text1"/>
          <w:lang w:eastAsia="ja-JP"/>
        </w:rPr>
        <w:footnoteReference w:id="2"/>
      </w:r>
      <w:r w:rsidRPr="007F4EF9">
        <w:rPr>
          <w:rFonts w:eastAsia="Times New Roman"/>
          <w:noProof/>
          <w:color w:val="000000" w:themeColor="text1"/>
          <w:lang w:eastAsia="ja-JP"/>
        </w:rPr>
        <w:t>. The Programme should support the financing of technical and organisational support for the implementation of that Regulation, thereby underpinning the exercise by citizens of the right to launch and support European citizens’ initiatives. Together with the other rights set out in Article 24 TFEU, that right ensures citizens’ direct participation in the democratic life of the Union.</w:t>
      </w:r>
    </w:p>
    <w:p w14:paraId="1AF70FE5"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00A44D37">
        <w:rPr>
          <w:rFonts w:eastAsia="Times New Roman"/>
          <w:b/>
          <w:noProof/>
          <w:color w:val="000000"/>
          <w:szCs w:val="24"/>
          <w:lang w:val="en-IE" w:eastAsia="ja-JP"/>
        </w:rPr>
        <w:t>Article 167(5) TFEU</w:t>
      </w:r>
      <w:r w:rsidRPr="00A44D37">
        <w:rPr>
          <w:rFonts w:eastAsia="Times New Roman"/>
          <w:noProof/>
          <w:color w:val="000000"/>
          <w:szCs w:val="24"/>
          <w:lang w:val="en-IE" w:eastAsia="ja-JP"/>
        </w:rPr>
        <w:t xml:space="preserve"> tasks the Union to </w:t>
      </w:r>
      <w:r>
        <w:rPr>
          <w:rFonts w:eastAsia="Times New Roman"/>
          <w:noProof/>
          <w:color w:val="000000"/>
          <w:szCs w:val="24"/>
          <w:lang w:val="en-IE" w:eastAsia="ja-JP"/>
        </w:rPr>
        <w:t xml:space="preserve">adopt </w:t>
      </w:r>
      <w:r>
        <w:rPr>
          <w:rFonts w:eastAsia="Times New Roman"/>
          <w:noProof/>
          <w:color w:val="000000"/>
          <w:szCs w:val="24"/>
          <w:lang w:val="en-IE" w:eastAsia="ja-JP"/>
        </w:rPr>
        <w:t xml:space="preserve">incentive measures to </w:t>
      </w:r>
      <w:r w:rsidRPr="00A44D37">
        <w:rPr>
          <w:rFonts w:eastAsia="Times New Roman"/>
          <w:noProof/>
          <w:color w:val="000000"/>
          <w:szCs w:val="24"/>
          <w:lang w:val="en-IE" w:eastAsia="ja-JP"/>
        </w:rPr>
        <w:t xml:space="preserve">contribute to </w:t>
      </w:r>
      <w:r w:rsidRPr="00A44D37">
        <w:rPr>
          <w:rFonts w:eastAsia="Times New Roman"/>
          <w:noProof/>
          <w:color w:val="000000"/>
          <w:szCs w:val="24"/>
          <w:lang w:val="en-IE" w:eastAsia="ja-JP"/>
        </w:rPr>
        <w:t>the flowering of the cultures of the Member States, while respecting their national and regional diversity and by bringing forward the common cultural heritage. The actions by the Union shall encourage co-operation between Member States and supplement their actions in areas such as</w:t>
      </w:r>
      <w:r>
        <w:rPr>
          <w:rFonts w:eastAsia="Times New Roman"/>
          <w:noProof/>
          <w:color w:val="000000"/>
          <w:szCs w:val="24"/>
          <w:lang w:val="en-IE" w:eastAsia="ja-JP"/>
        </w:rPr>
        <w:t xml:space="preserve"> </w:t>
      </w:r>
      <w:r w:rsidRPr="00A44D37">
        <w:rPr>
          <w:rFonts w:eastAsia="Times New Roman"/>
          <w:noProof/>
          <w:color w:val="000000"/>
          <w:szCs w:val="24"/>
          <w:lang w:val="en-IE" w:eastAsia="ja-JP"/>
        </w:rPr>
        <w:t>improvement of the knowledge and dissemination of the culture and history of the European peoples and conservation and safeguarding of cultural heritage of European significance. </w:t>
      </w:r>
      <w:r w:rsidRPr="00A44D37">
        <w:rPr>
          <w:rFonts w:eastAsia="Times New Roman"/>
          <w:noProof/>
          <w:color w:val="000000"/>
          <w:szCs w:val="24"/>
          <w:lang w:val="en-US" w:eastAsia="ja-JP"/>
        </w:rPr>
        <w:t> </w:t>
      </w:r>
    </w:p>
    <w:p w14:paraId="13298C93"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5E6B311C">
        <w:rPr>
          <w:rFonts w:eastAsia="Times New Roman"/>
          <w:b/>
          <w:noProof/>
          <w:color w:val="000000" w:themeColor="text1"/>
          <w:lang w:val="en-IE" w:eastAsia="ja-JP"/>
        </w:rPr>
        <w:t>Article 168</w:t>
      </w:r>
      <w:r w:rsidRPr="5E6B311C">
        <w:rPr>
          <w:rFonts w:eastAsia="Times New Roman"/>
          <w:b/>
          <w:bCs/>
          <w:noProof/>
          <w:color w:val="000000" w:themeColor="text1"/>
          <w:lang w:val="en-IE" w:eastAsia="ja-JP"/>
        </w:rPr>
        <w:t>(5)</w:t>
      </w:r>
      <w:r w:rsidRPr="5E6B311C">
        <w:rPr>
          <w:rFonts w:eastAsia="Times New Roman"/>
          <w:b/>
          <w:noProof/>
          <w:color w:val="000000" w:themeColor="text1"/>
          <w:lang w:val="en-IE" w:eastAsia="ja-JP"/>
        </w:rPr>
        <w:t xml:space="preserve"> TFEU</w:t>
      </w:r>
      <w:r w:rsidRPr="5E6B311C">
        <w:rPr>
          <w:rFonts w:eastAsia="Times New Roman"/>
          <w:noProof/>
          <w:color w:val="000000" w:themeColor="text1"/>
          <w:lang w:val="en-IE" w:eastAsia="ja-JP"/>
        </w:rPr>
        <w:t xml:space="preserve"> provides </w:t>
      </w:r>
      <w:r w:rsidRPr="20E6B737">
        <w:rPr>
          <w:rFonts w:eastAsia="Times New Roman"/>
          <w:noProof/>
          <w:color w:val="000000" w:themeColor="text1"/>
          <w:lang w:val="en-IE" w:eastAsia="ja-JP"/>
        </w:rPr>
        <w:t xml:space="preserve">a legal </w:t>
      </w:r>
      <w:r w:rsidRPr="1A4451FE">
        <w:rPr>
          <w:rFonts w:eastAsia="Times New Roman"/>
          <w:noProof/>
          <w:color w:val="000000" w:themeColor="text1"/>
          <w:lang w:val="en-IE" w:eastAsia="ja-JP"/>
        </w:rPr>
        <w:t xml:space="preserve">basis for the adoption </w:t>
      </w:r>
      <w:r w:rsidRPr="7AE42D01">
        <w:rPr>
          <w:rFonts w:eastAsia="Times New Roman"/>
          <w:noProof/>
          <w:color w:val="000000" w:themeColor="text1"/>
          <w:lang w:val="en-IE" w:eastAsia="ja-JP"/>
        </w:rPr>
        <w:t>of</w:t>
      </w:r>
      <w:r w:rsidRPr="57F1FA6F">
        <w:rPr>
          <w:rFonts w:eastAsia="Times New Roman"/>
          <w:noProof/>
          <w:color w:val="000000" w:themeColor="text1"/>
          <w:lang w:val="en-IE" w:eastAsia="ja-JP"/>
        </w:rPr>
        <w:t xml:space="preserve"> incentive measures designed to protect and improve human </w:t>
      </w:r>
      <w:r w:rsidRPr="7AE42D01">
        <w:rPr>
          <w:rFonts w:eastAsia="Times New Roman"/>
          <w:noProof/>
          <w:color w:val="000000" w:themeColor="text1"/>
          <w:lang w:val="en-IE" w:eastAsia="ja-JP"/>
        </w:rPr>
        <w:t>health.</w:t>
      </w:r>
      <w:r w:rsidRPr="5E6B311C">
        <w:rPr>
          <w:rFonts w:eastAsia="Times New Roman"/>
          <w:noProof/>
          <w:color w:val="000000" w:themeColor="text1"/>
          <w:lang w:val="en-IE" w:eastAsia="ja-JP"/>
        </w:rPr>
        <w:t xml:space="preserve"> Violence, including against children and women, constitutes a danger to physical and mental health. Children are vulnerable citizens and need an increased level of protection against these dangers</w:t>
      </w:r>
      <w:r>
        <w:rPr>
          <w:rFonts w:eastAsia="Times New Roman"/>
          <w:noProof/>
          <w:color w:val="000000" w:themeColor="text1"/>
          <w:lang w:val="en-IE" w:eastAsia="ja-JP"/>
        </w:rPr>
        <w:t>, which often include cross border threats</w:t>
      </w:r>
      <w:r w:rsidRPr="5E6B311C">
        <w:rPr>
          <w:rFonts w:eastAsia="Times New Roman"/>
          <w:noProof/>
          <w:color w:val="000000" w:themeColor="text1"/>
          <w:lang w:val="en-IE" w:eastAsia="ja-JP"/>
        </w:rPr>
        <w:t>. Violence against women also constitutes a serious threat to the physical and mental health of victims, who are in need of a high level of protection. </w:t>
      </w:r>
      <w:r w:rsidRPr="5E6B311C">
        <w:rPr>
          <w:rFonts w:eastAsia="Times New Roman"/>
          <w:noProof/>
          <w:color w:val="000000" w:themeColor="text1"/>
          <w:lang w:val="en-US" w:eastAsia="ja-JP"/>
        </w:rPr>
        <w:t> </w:t>
      </w:r>
    </w:p>
    <w:p w14:paraId="3C02A8B6"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0631F4E4">
        <w:rPr>
          <w:rFonts w:eastAsia="Times New Roman"/>
          <w:b/>
          <w:bCs/>
          <w:noProof/>
          <w:color w:val="000000" w:themeColor="text1"/>
          <w:lang w:val="en-IE" w:eastAsia="ja-JP"/>
        </w:rPr>
        <w:t xml:space="preserve">Article 173(3) TFEU </w:t>
      </w:r>
      <w:r w:rsidRPr="0631F4E4">
        <w:rPr>
          <w:rFonts w:eastAsia="Times New Roman"/>
          <w:noProof/>
          <w:color w:val="333333"/>
          <w:lang w:val="en-IE" w:eastAsia="ja-JP"/>
        </w:rPr>
        <w:t xml:space="preserve">states that the Union </w:t>
      </w:r>
      <w:r>
        <w:rPr>
          <w:rFonts w:eastAsia="Times New Roman"/>
          <w:noProof/>
          <w:color w:val="333333"/>
          <w:lang w:val="en-IE" w:eastAsia="ja-JP"/>
        </w:rPr>
        <w:t xml:space="preserve">may decide on specific measures in </w:t>
      </w:r>
      <w:r>
        <w:rPr>
          <w:rFonts w:eastAsia="Times New Roman"/>
          <w:noProof/>
          <w:color w:val="333333"/>
          <w:lang w:val="en-IE" w:eastAsia="ja-JP"/>
        </w:rPr>
        <w:t>support of action taken in the Member States to</w:t>
      </w:r>
      <w:r>
        <w:rPr>
          <w:rFonts w:eastAsia="Times New Roman"/>
          <w:noProof/>
          <w:color w:val="333333"/>
          <w:lang w:val="en-IE" w:eastAsia="ja-JP"/>
        </w:rPr>
        <w:t xml:space="preserve"> </w:t>
      </w:r>
      <w:r w:rsidRPr="0631F4E4">
        <w:rPr>
          <w:rFonts w:eastAsia="Times New Roman"/>
          <w:noProof/>
          <w:color w:val="333333"/>
          <w:lang w:val="en-IE" w:eastAsia="ja-JP"/>
        </w:rPr>
        <w:t>ensure that the conditions necessary for the competitiveness of the Union's industry exist, including taking action to encourage an environment favourable to initiative and to the development of undertakings.</w:t>
      </w:r>
      <w:r w:rsidRPr="0631F4E4">
        <w:rPr>
          <w:rFonts w:eastAsia="Times New Roman"/>
          <w:noProof/>
          <w:color w:val="333333"/>
          <w:lang w:val="en-US" w:eastAsia="ja-JP"/>
        </w:rPr>
        <w:t> </w:t>
      </w:r>
    </w:p>
    <w:p w14:paraId="4D0F28A1" w14:textId="77777777" w:rsidR="005B7178" w:rsidRPr="002D5EE2" w:rsidRDefault="005B7178">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r>
      <w:r w:rsidRPr="002D5EE2">
        <w:rPr>
          <w:rFonts w:eastAsia="Arial Unicode MS"/>
          <w:noProof/>
          <w:u w:color="000000"/>
          <w:bdr w:val="nil"/>
          <w:lang w:val="en-US" w:eastAsia="en-GB"/>
        </w:rPr>
        <w:t xml:space="preserve">Subsidiarity (for non-exclusive competence) </w:t>
      </w:r>
    </w:p>
    <w:p w14:paraId="59969283"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szCs w:val="24"/>
          <w:lang w:eastAsia="ja-JP"/>
        </w:rPr>
        <w:t xml:space="preserve">The promotion and protection of </w:t>
      </w:r>
      <w:r>
        <w:rPr>
          <w:rFonts w:eastAsia="Times New Roman"/>
          <w:noProof/>
          <w:szCs w:val="24"/>
          <w:lang w:eastAsia="ja-JP"/>
        </w:rPr>
        <w:t xml:space="preserve">culture, media and </w:t>
      </w:r>
      <w:r w:rsidRPr="004A2DC4">
        <w:rPr>
          <w:rFonts w:eastAsia="Times New Roman"/>
          <w:noProof/>
          <w:szCs w:val="24"/>
          <w:lang w:eastAsia="ja-JP"/>
        </w:rPr>
        <w:t>Union values requires</w:t>
      </w:r>
      <w:r w:rsidRPr="00A44D37">
        <w:rPr>
          <w:rFonts w:eastAsia="Times New Roman"/>
          <w:noProof/>
          <w:szCs w:val="24"/>
          <w:lang w:eastAsia="ja-JP"/>
        </w:rPr>
        <w:t xml:space="preserve"> transnational cooperation and coordinated efforts that extend beyond national borders. These are areas where the complexity of the challenges makes it difficult for Member States to </w:t>
      </w:r>
      <w:r>
        <w:rPr>
          <w:rFonts w:eastAsia="Times New Roman"/>
          <w:noProof/>
          <w:szCs w:val="24"/>
          <w:lang w:eastAsia="ja-JP"/>
        </w:rPr>
        <w:t xml:space="preserve">address them sufficiently </w:t>
      </w:r>
      <w:r w:rsidRPr="00A44D37">
        <w:rPr>
          <w:rFonts w:eastAsia="Times New Roman"/>
          <w:noProof/>
          <w:szCs w:val="24"/>
          <w:lang w:eastAsia="ja-JP"/>
        </w:rPr>
        <w:t>on their own. Coordinated action at EU level allows for more coherent and impactful responses</w:t>
      </w:r>
      <w:r>
        <w:rPr>
          <w:rFonts w:eastAsia="Times New Roman"/>
          <w:noProof/>
          <w:szCs w:val="24"/>
          <w:lang w:eastAsia="ja-JP"/>
        </w:rPr>
        <w:t xml:space="preserve"> </w:t>
      </w:r>
      <w:r w:rsidRPr="00A44D37">
        <w:rPr>
          <w:rFonts w:eastAsia="Times New Roman"/>
          <w:noProof/>
          <w:szCs w:val="24"/>
          <w:lang w:eastAsia="ja-JP"/>
        </w:rPr>
        <w:t>to address transnational and common challenges that slow down progress and allow systemic impact through the identification and the resolution of structural gaps not pri</w:t>
      </w:r>
      <w:r w:rsidRPr="00A44D37">
        <w:rPr>
          <w:rFonts w:eastAsia="Times New Roman"/>
          <w:noProof/>
          <w:szCs w:val="24"/>
          <w:lang w:eastAsia="ja-JP"/>
        </w:rPr>
        <w:t>oritised by Member States. The EU budget plays a key role in enabling these collective responses. Such an approach also ensures greater coherence between internal policies and the Union’s promotion of its values and international standards abroad.</w:t>
      </w:r>
      <w:r w:rsidRPr="00A44D37">
        <w:rPr>
          <w:rFonts w:eastAsia="Times New Roman"/>
          <w:noProof/>
          <w:szCs w:val="24"/>
          <w:lang w:val="en-US" w:eastAsia="ja-JP"/>
        </w:rPr>
        <w:t> </w:t>
      </w:r>
    </w:p>
    <w:p w14:paraId="007F8642"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007F0574">
        <w:rPr>
          <w:rFonts w:eastAsia="Times New Roman"/>
          <w:noProof/>
          <w:lang w:eastAsia="ja-JP"/>
        </w:rPr>
        <w:t xml:space="preserve">By reason of the scale and effects of the proposed </w:t>
      </w:r>
      <w:r w:rsidRPr="007F0574">
        <w:rPr>
          <w:rFonts w:eastAsia="Times New Roman"/>
          <w:noProof/>
          <w:lang w:eastAsia="ja-JP"/>
        </w:rPr>
        <w:t>programme</w:t>
      </w:r>
      <w:r w:rsidRPr="007F0574">
        <w:rPr>
          <w:rFonts w:eastAsia="Times New Roman"/>
          <w:noProof/>
          <w:lang w:eastAsia="ja-JP"/>
        </w:rPr>
        <w:t xml:space="preserve">, </w:t>
      </w:r>
      <w:r w:rsidRPr="007F0574">
        <w:rPr>
          <w:rFonts w:eastAsia="Times New Roman"/>
          <w:noProof/>
          <w:lang w:eastAsia="ja-JP"/>
        </w:rPr>
        <w:t>a Union</w:t>
      </w:r>
      <w:r w:rsidRPr="007F0574">
        <w:rPr>
          <w:rFonts w:eastAsia="Times New Roman"/>
          <w:noProof/>
          <w:lang w:eastAsia="ja-JP"/>
        </w:rPr>
        <w:t>-level action brings added value</w:t>
      </w:r>
      <w:r w:rsidRPr="007F0574">
        <w:rPr>
          <w:rFonts w:eastAsia="Times New Roman"/>
          <w:noProof/>
          <w:lang w:eastAsia="ja-JP"/>
        </w:rPr>
        <w:t>, as these objectives cannot be sufficiently achieved by the Member States acting alone</w:t>
      </w:r>
      <w:r w:rsidRPr="007F0574">
        <w:rPr>
          <w:rFonts w:eastAsia="Times New Roman"/>
          <w:noProof/>
          <w:lang w:eastAsia="ja-JP"/>
        </w:rPr>
        <w:t>. For instance, it strengthens a sense of EU citizenship and mutual understanding by facilitating cross-border activities that foster civic engagement, solidarity, and wider participation in culture and media</w:t>
      </w:r>
      <w:r w:rsidRPr="00DE179F">
        <w:rPr>
          <w:rFonts w:eastAsia="Times New Roman"/>
          <w:noProof/>
          <w:lang w:eastAsia="ja-JP"/>
        </w:rPr>
        <w:t xml:space="preserve">. </w:t>
      </w:r>
      <w:r w:rsidRPr="007F0574">
        <w:rPr>
          <w:rFonts w:eastAsia="Times New Roman"/>
          <w:noProof/>
          <w:lang w:eastAsia="ja-JP"/>
        </w:rPr>
        <w:t xml:space="preserve">It also ensures consistent and high standards across the EU and effective application of rights enshrined in EU law across Member States, which is essential for the protection of EU citizens. Moreover, EU action reinforces the Single Market </w:t>
      </w:r>
      <w:r w:rsidRPr="007F0574">
        <w:rPr>
          <w:rFonts w:eastAsia="Times New Roman"/>
          <w:noProof/>
          <w:lang w:eastAsia="ja-JP"/>
        </w:rPr>
        <w:lastRenderedPageBreak/>
        <w:t>by promoting fair access and mobility, while enabling more efficient delivery through coordinated frameworks and larger-scale joint projects. By addressing fragmentation, promoting collaboration across Member States and pooling resources at EU level, the initiative ensur</w:t>
      </w:r>
      <w:r w:rsidRPr="007F0574">
        <w:rPr>
          <w:rFonts w:eastAsia="Times New Roman"/>
          <w:noProof/>
          <w:lang w:eastAsia="ja-JP"/>
        </w:rPr>
        <w:t xml:space="preserve">es that </w:t>
      </w:r>
      <w:r w:rsidRPr="007F0574">
        <w:rPr>
          <w:rFonts w:eastAsia="Times New Roman"/>
          <w:noProof/>
          <w:lang w:eastAsia="ja-JP"/>
        </w:rPr>
        <w:t>creative industries,</w:t>
      </w:r>
      <w:r w:rsidRPr="007F0574">
        <w:rPr>
          <w:rFonts w:eastAsia="Times New Roman"/>
          <w:noProof/>
          <w:lang w:eastAsia="ja-JP"/>
        </w:rPr>
        <w:t xml:space="preserve"> audiovisual and media companies and creators can fully benefit from the Single Market. It improves access to diverse cultural </w:t>
      </w:r>
      <w:r w:rsidRPr="007F0574">
        <w:rPr>
          <w:rFonts w:eastAsia="Times New Roman"/>
          <w:noProof/>
          <w:lang w:eastAsia="ja-JP"/>
        </w:rPr>
        <w:t>and creative</w:t>
      </w:r>
      <w:r w:rsidRPr="3B1D928C">
        <w:rPr>
          <w:rFonts w:eastAsia="Times New Roman"/>
          <w:noProof/>
          <w:lang w:eastAsia="ja-JP"/>
        </w:rPr>
        <w:t xml:space="preserve"> </w:t>
      </w:r>
      <w:r w:rsidRPr="007F0574">
        <w:rPr>
          <w:rFonts w:eastAsia="Times New Roman"/>
          <w:noProof/>
          <w:lang w:eastAsia="ja-JP"/>
        </w:rPr>
        <w:t>content, supports media pluralism, and increases the competitiveness of the European audiovisual industry.</w:t>
      </w:r>
      <w:r w:rsidRPr="007F0574">
        <w:rPr>
          <w:rFonts w:eastAsia="Times New Roman"/>
          <w:noProof/>
          <w:lang w:val="en-US" w:eastAsia="ja-JP"/>
        </w:rPr>
        <w:t> </w:t>
      </w:r>
    </w:p>
    <w:p w14:paraId="374E3D36"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28C34CDF">
        <w:rPr>
          <w:rFonts w:eastAsia="Times New Roman"/>
          <w:noProof/>
          <w:color w:val="000000" w:themeColor="text1"/>
          <w:lang w:eastAsia="ja-JP"/>
        </w:rPr>
        <w:t>The added</w:t>
      </w:r>
      <w:r w:rsidRPr="744BAFB3">
        <w:rPr>
          <w:rFonts w:eastAsia="Times New Roman"/>
          <w:noProof/>
          <w:color w:val="000000" w:themeColor="text1"/>
          <w:lang w:eastAsia="ja-JP"/>
        </w:rPr>
        <w:t xml:space="preserve"> </w:t>
      </w:r>
      <w:r w:rsidRPr="28C34CDF">
        <w:rPr>
          <w:rFonts w:eastAsia="Times New Roman"/>
          <w:noProof/>
          <w:color w:val="000000" w:themeColor="text1"/>
          <w:lang w:eastAsia="ja-JP"/>
        </w:rPr>
        <w:t xml:space="preserve">value of EU funding </w:t>
      </w:r>
      <w:r w:rsidRPr="28C34CDF">
        <w:rPr>
          <w:rFonts w:eastAsia="Times New Roman"/>
          <w:noProof/>
          <w:lang w:eastAsia="ja-JP"/>
        </w:rPr>
        <w:t xml:space="preserve">in these policy areas </w:t>
      </w:r>
      <w:r w:rsidRPr="28C34CDF">
        <w:rPr>
          <w:rFonts w:eastAsia="Times New Roman"/>
          <w:noProof/>
          <w:color w:val="000000" w:themeColor="text1"/>
          <w:lang w:eastAsia="ja-JP"/>
        </w:rPr>
        <w:t xml:space="preserve">was highlighted by a vast majority of respondents to the open public consultation carried out by the Commission for </w:t>
      </w:r>
      <w:r w:rsidRPr="28C34CDF">
        <w:rPr>
          <w:rFonts w:eastAsia="Times New Roman"/>
          <w:noProof/>
          <w:lang w:eastAsia="ja-JP"/>
        </w:rPr>
        <w:t xml:space="preserve">the new </w:t>
      </w:r>
      <w:r w:rsidRPr="28C34CDF">
        <w:rPr>
          <w:rFonts w:eastAsia="Times New Roman"/>
          <w:noProof/>
          <w:color w:val="000000" w:themeColor="text1"/>
          <w:lang w:eastAsia="ja-JP"/>
        </w:rPr>
        <w:t>EU programmes (see below).</w:t>
      </w:r>
      <w:r w:rsidRPr="28C34CDF">
        <w:rPr>
          <w:rFonts w:eastAsia="Times New Roman"/>
          <w:noProof/>
          <w:color w:val="000000" w:themeColor="text1"/>
          <w:lang w:val="en-US" w:eastAsia="ja-JP"/>
        </w:rPr>
        <w:t> </w:t>
      </w:r>
    </w:p>
    <w:p w14:paraId="4F8F130A"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3EDA4472" w14:textId="77777777" w:rsidR="005B7178" w:rsidRPr="00A44D37" w:rsidRDefault="005B7178" w:rsidP="001C5767">
      <w:pPr>
        <w:spacing w:before="0" w:after="160"/>
        <w:textAlignment w:val="baseline"/>
        <w:rPr>
          <w:rFonts w:ascii="Segoe UI" w:eastAsia="Times New Roman" w:hAnsi="Segoe UI" w:cs="Segoe UI"/>
          <w:noProof/>
          <w:sz w:val="18"/>
          <w:szCs w:val="18"/>
          <w:lang w:val="en-US" w:eastAsia="ja-JP"/>
        </w:rPr>
      </w:pPr>
      <w:r w:rsidRPr="6FEB1686">
        <w:rPr>
          <w:rFonts w:eastAsia="Times New Roman"/>
          <w:noProof/>
          <w:color w:val="000000" w:themeColor="text1"/>
          <w:lang w:eastAsia="ja-JP"/>
        </w:rPr>
        <w:t xml:space="preserve">The </w:t>
      </w:r>
      <w:r w:rsidRPr="6FEB1686">
        <w:rPr>
          <w:rFonts w:eastAsia="Times New Roman"/>
          <w:noProof/>
          <w:color w:val="000000" w:themeColor="text1"/>
          <w:lang w:eastAsia="ja-JP"/>
        </w:rPr>
        <w:t>proposal complies with the principle of proportionality, in that it does not go beyond the minimum required to achieve the stated objectives at EU level and what is necessary for those purposes.</w:t>
      </w:r>
      <w:r w:rsidRPr="6FEB1686">
        <w:rPr>
          <w:rFonts w:eastAsia="Times New Roman"/>
          <w:noProof/>
          <w:color w:val="000000" w:themeColor="text1"/>
          <w:lang w:val="en-US" w:eastAsia="ja-JP"/>
        </w:rPr>
        <w:t> </w:t>
      </w:r>
    </w:p>
    <w:p w14:paraId="56808CC6"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1CA56D16" w14:textId="77777777" w:rsidR="005B7178" w:rsidRPr="00E21623" w:rsidRDefault="005B7178" w:rsidP="001C5767">
      <w:pPr>
        <w:spacing w:before="0" w:after="160"/>
        <w:rPr>
          <w:rFonts w:eastAsia="Times New Roman"/>
          <w:noProof/>
          <w:lang w:eastAsia="ja-JP"/>
        </w:rPr>
      </w:pPr>
      <w:r w:rsidRPr="233EE902">
        <w:rPr>
          <w:rFonts w:eastAsia="Times New Roman"/>
          <w:noProof/>
          <w:lang w:eastAsia="ja-JP"/>
        </w:rPr>
        <w:t xml:space="preserve">The new </w:t>
      </w:r>
      <w:r>
        <w:rPr>
          <w:rFonts w:eastAsia="Times New Roman"/>
          <w:noProof/>
          <w:lang w:eastAsia="ja-JP"/>
        </w:rPr>
        <w:t>‘</w:t>
      </w:r>
      <w:r>
        <w:rPr>
          <w:rFonts w:eastAsia="Times New Roman"/>
          <w:noProof/>
          <w:lang w:eastAsia="ja-JP"/>
        </w:rPr>
        <w:t>Agora</w:t>
      </w:r>
      <w:r>
        <w:rPr>
          <w:rFonts w:eastAsia="Times New Roman"/>
          <w:noProof/>
          <w:lang w:eastAsia="ja-JP"/>
        </w:rPr>
        <w:t>EU</w:t>
      </w:r>
      <w:r>
        <w:rPr>
          <w:rFonts w:eastAsia="Times New Roman"/>
          <w:noProof/>
          <w:lang w:eastAsia="ja-JP"/>
        </w:rPr>
        <w:t>’</w:t>
      </w:r>
      <w:r>
        <w:rPr>
          <w:rFonts w:eastAsia="Times New Roman"/>
          <w:noProof/>
          <w:lang w:eastAsia="ja-JP"/>
        </w:rPr>
        <w:t xml:space="preserve"> Programme </w:t>
      </w:r>
      <w:r w:rsidRPr="233EE902">
        <w:rPr>
          <w:rFonts w:eastAsia="Times New Roman"/>
          <w:noProof/>
          <w:lang w:eastAsia="ja-JP"/>
        </w:rPr>
        <w:t xml:space="preserve">builds primarily on the Creative Europe Programme (2021-2027), the Citizens, Equality, Rights and Values (CERV) Programme (2021-2027) and existing prerogative lines, bringing together EU financial support to sustain culture, media and </w:t>
      </w:r>
      <w:r w:rsidRPr="004A2DC4">
        <w:rPr>
          <w:rFonts w:eastAsia="Times New Roman"/>
          <w:noProof/>
          <w:lang w:eastAsia="ja-JP"/>
        </w:rPr>
        <w:t>Union values.</w:t>
      </w:r>
      <w:r w:rsidRPr="233EE902">
        <w:rPr>
          <w:rFonts w:eastAsia="Times New Roman"/>
          <w:noProof/>
          <w:lang w:eastAsia="ja-JP"/>
        </w:rPr>
        <w:t xml:space="preserve"> The new instrument takes into account the specific features of the different sectors, their different target groups, and particular needs</w:t>
      </w:r>
      <w:r>
        <w:rPr>
          <w:rFonts w:eastAsia="Times New Roman"/>
          <w:noProof/>
          <w:lang w:eastAsia="ja-JP"/>
        </w:rPr>
        <w:t>,</w:t>
      </w:r>
      <w:r w:rsidRPr="233EE902">
        <w:rPr>
          <w:rFonts w:eastAsia="Times New Roman"/>
          <w:noProof/>
          <w:lang w:eastAsia="ja-JP"/>
        </w:rPr>
        <w:t xml:space="preserve"> while ensuring synergies and complementarities. </w:t>
      </w:r>
    </w:p>
    <w:p w14:paraId="1156A0B7" w14:textId="77777777" w:rsidR="005B7178" w:rsidRPr="00550536" w:rsidRDefault="005B7178">
      <w:pPr>
        <w:pStyle w:val="ManualHeading1"/>
        <w:rPr>
          <w:noProof/>
        </w:rPr>
      </w:pPr>
      <w:r w:rsidRPr="00550536">
        <w:rPr>
          <w:noProof/>
        </w:rPr>
        <w:t>3.</w:t>
      </w:r>
      <w:r w:rsidRPr="00550536">
        <w:rPr>
          <w:noProof/>
        </w:rPr>
        <w:tab/>
        <w:t xml:space="preserve">RESULTS OF EX-POST EVALUATIONS, STAKEHOLDER CONSULTATIONS AND IMPACT </w:t>
      </w:r>
      <w:r w:rsidRPr="00550536">
        <w:rPr>
          <w:noProof/>
        </w:rPr>
        <w:t>ASSESSMENTS</w:t>
      </w:r>
    </w:p>
    <w:p w14:paraId="4360370A"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5D2C5B10" w14:textId="77777777" w:rsidR="005B7178" w:rsidRPr="00A44D37" w:rsidRDefault="005B7178" w:rsidP="00685C79">
      <w:pPr>
        <w:spacing w:before="0" w:after="160"/>
        <w:rPr>
          <w:rFonts w:ascii="Segoe UI" w:eastAsia="Times New Roman" w:hAnsi="Segoe UI" w:cs="Segoe UI"/>
          <w:noProof/>
          <w:sz w:val="18"/>
          <w:szCs w:val="18"/>
          <w:lang w:val="en-US" w:eastAsia="ja-JP"/>
        </w:rPr>
      </w:pPr>
      <w:r w:rsidRPr="7A1D79A7">
        <w:rPr>
          <w:rFonts w:eastAsia="Times New Roman"/>
          <w:noProof/>
          <w:lang w:eastAsia="ja-JP"/>
        </w:rPr>
        <w:t>The Commission has taken into account the results of the final evaluation of the Creative Europe programme 2014-2020 and interim final evaluation of the Creative Europe programme 2021-2027, as well as the interim evaluation of the CERV programme and the final evaluations of the Europe for Citizens programme and the Rights, Equality and Citizens programmes, which were carried out over the period 2023-2025.</w:t>
      </w:r>
      <w:r w:rsidRPr="7A1D79A7">
        <w:rPr>
          <w:rFonts w:eastAsia="Times New Roman"/>
          <w:noProof/>
          <w:lang w:val="en-US" w:eastAsia="ja-JP"/>
        </w:rPr>
        <w:t> </w:t>
      </w:r>
    </w:p>
    <w:p w14:paraId="09AE6C40"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szCs w:val="24"/>
          <w:lang w:eastAsia="ja-JP"/>
        </w:rPr>
        <w:t>These evaluations assessed the performance of the programmes, based on their effectiveness, efficiency, relevance, coherence, sustainability and EU added value.</w:t>
      </w:r>
      <w:r w:rsidRPr="00A44D37">
        <w:rPr>
          <w:rFonts w:eastAsia="Times New Roman"/>
          <w:noProof/>
          <w:szCs w:val="24"/>
          <w:lang w:val="en-US" w:eastAsia="ja-JP"/>
        </w:rPr>
        <w:t> </w:t>
      </w:r>
    </w:p>
    <w:p w14:paraId="037B9B43"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18AB0ACD">
        <w:rPr>
          <w:rFonts w:eastAsia="Times New Roman"/>
          <w:noProof/>
          <w:lang w:eastAsia="ja-JP"/>
        </w:rPr>
        <w:t>The results of these evaluations indicate that the existing programmes have largely delivered on their policy objectives and provided EU added value, while highlighting areas for improvement in terms of design. </w:t>
      </w:r>
      <w:r w:rsidRPr="18AB0ACD">
        <w:rPr>
          <w:rFonts w:eastAsia="Times New Roman"/>
          <w:noProof/>
          <w:lang w:val="en-US" w:eastAsia="ja-JP"/>
        </w:rPr>
        <w:t> </w:t>
      </w:r>
    </w:p>
    <w:p w14:paraId="37FFFBCF" w14:textId="77777777" w:rsidR="005B7178" w:rsidRPr="00537738" w:rsidRDefault="005B7178" w:rsidP="00685C79">
      <w:pPr>
        <w:spacing w:before="0" w:after="160"/>
        <w:textAlignment w:val="baseline"/>
        <w:rPr>
          <w:rFonts w:ascii="Segoe UI" w:eastAsia="Times New Roman" w:hAnsi="Segoe UI" w:cs="Segoe UI"/>
          <w:noProof/>
          <w:sz w:val="18"/>
          <w:szCs w:val="18"/>
          <w:lang w:val="en-US" w:eastAsia="ja-JP"/>
        </w:rPr>
      </w:pPr>
      <w:r w:rsidRPr="00537738">
        <w:rPr>
          <w:rFonts w:eastAsia="Times New Roman"/>
          <w:noProof/>
        </w:rPr>
        <w:t>The evaluation of</w:t>
      </w:r>
      <w:r w:rsidRPr="00537738">
        <w:rPr>
          <w:rFonts w:eastAsia="Times New Roman"/>
          <w:noProof/>
        </w:rPr>
        <w:t xml:space="preserve"> </w:t>
      </w:r>
      <w:r w:rsidRPr="00537738">
        <w:rPr>
          <w:rFonts w:eastAsia="Times New Roman"/>
          <w:b/>
          <w:noProof/>
          <w:lang w:eastAsia="ja-JP"/>
        </w:rPr>
        <w:t>Creative Europe</w:t>
      </w:r>
      <w:r w:rsidRPr="00537738">
        <w:rPr>
          <w:rFonts w:eastAsia="Times New Roman"/>
          <w:noProof/>
          <w:lang w:eastAsia="ja-JP"/>
        </w:rPr>
        <w:t xml:space="preserve"> </w:t>
      </w:r>
      <w:r w:rsidRPr="00537738">
        <w:rPr>
          <w:rFonts w:eastAsia="Times New Roman"/>
          <w:noProof/>
        </w:rPr>
        <w:t xml:space="preserve">underscores the </w:t>
      </w:r>
      <w:r w:rsidRPr="00537738">
        <w:rPr>
          <w:rFonts w:eastAsia="Times New Roman"/>
          <w:noProof/>
        </w:rPr>
        <w:t>contribution of the Programme</w:t>
      </w:r>
      <w:r w:rsidRPr="00537738">
        <w:rPr>
          <w:rFonts w:eastAsia="Times New Roman"/>
          <w:noProof/>
          <w:lang w:eastAsia="ja-JP"/>
        </w:rPr>
        <w:t xml:space="preserve"> to the general objective of supporting cultural and linguistic diversity and </w:t>
      </w:r>
      <w:r w:rsidRPr="00537738">
        <w:rPr>
          <w:rFonts w:eastAsia="Times New Roman"/>
          <w:noProof/>
          <w:lang w:eastAsia="ja-JP"/>
        </w:rPr>
        <w:t xml:space="preserve">cultural </w:t>
      </w:r>
      <w:r w:rsidRPr="00537738">
        <w:rPr>
          <w:rFonts w:eastAsia="Times New Roman"/>
          <w:noProof/>
          <w:lang w:eastAsia="ja-JP"/>
        </w:rPr>
        <w:t xml:space="preserve">heritage by increasing people’s access to </w:t>
      </w:r>
      <w:r w:rsidRPr="00537738">
        <w:rPr>
          <w:rFonts w:eastAsia="Times New Roman"/>
          <w:noProof/>
          <w:lang w:eastAsia="ja-JP"/>
        </w:rPr>
        <w:t xml:space="preserve">a variety of </w:t>
      </w:r>
      <w:r w:rsidRPr="00537738">
        <w:rPr>
          <w:rFonts w:eastAsia="Times New Roman"/>
          <w:noProof/>
          <w:lang w:eastAsia="ja-JP"/>
        </w:rPr>
        <w:t xml:space="preserve">content </w:t>
      </w:r>
      <w:r w:rsidRPr="00537738">
        <w:rPr>
          <w:rFonts w:eastAsia="Times New Roman"/>
          <w:noProof/>
        </w:rPr>
        <w:t>coming in particular from beyond national border</w:t>
      </w:r>
      <w:r w:rsidRPr="00537738">
        <w:rPr>
          <w:rFonts w:eastAsia="Times New Roman"/>
          <w:noProof/>
        </w:rPr>
        <w:t>s</w:t>
      </w:r>
      <w:r w:rsidRPr="00537738">
        <w:rPr>
          <w:rFonts w:eastAsia="Times New Roman"/>
          <w:noProof/>
        </w:rPr>
        <w:t xml:space="preserve"> </w:t>
      </w:r>
      <w:r w:rsidRPr="00537738">
        <w:rPr>
          <w:rFonts w:eastAsia="Times New Roman"/>
          <w:noProof/>
          <w:lang w:eastAsia="ja-JP"/>
        </w:rPr>
        <w:t xml:space="preserve">and to the objective of competitiveness by helping audiovisual and other creative and cultural operators to </w:t>
      </w:r>
      <w:r w:rsidRPr="00537738">
        <w:rPr>
          <w:rFonts w:eastAsia="Times New Roman"/>
          <w:noProof/>
          <w:lang w:eastAsia="ja-JP"/>
        </w:rPr>
        <w:t>improve</w:t>
      </w:r>
      <w:r w:rsidRPr="00537738">
        <w:rPr>
          <w:rFonts w:eastAsia="Times New Roman"/>
          <w:noProof/>
          <w:lang w:eastAsia="ja-JP"/>
        </w:rPr>
        <w:t xml:space="preserve"> </w:t>
      </w:r>
      <w:r w:rsidRPr="00537738">
        <w:rPr>
          <w:rFonts w:eastAsia="Times New Roman"/>
          <w:noProof/>
        </w:rPr>
        <w:t xml:space="preserve">their skills and </w:t>
      </w:r>
      <w:r w:rsidRPr="00537738">
        <w:rPr>
          <w:rFonts w:eastAsia="Times New Roman"/>
          <w:noProof/>
          <w:lang w:eastAsia="ja-JP"/>
        </w:rPr>
        <w:t xml:space="preserve">scale up at European level. It has a unique place as the only source of funding for transnational cooperation, </w:t>
      </w:r>
      <w:r w:rsidRPr="00537738">
        <w:rPr>
          <w:rFonts w:eastAsia="Times New Roman"/>
          <w:noProof/>
          <w:lang w:eastAsia="ja-JP"/>
        </w:rPr>
        <w:t>excha</w:t>
      </w:r>
      <w:r w:rsidRPr="00537738">
        <w:rPr>
          <w:rFonts w:eastAsia="Times New Roman"/>
          <w:noProof/>
        </w:rPr>
        <w:t xml:space="preserve">nge of good practices, </w:t>
      </w:r>
      <w:r w:rsidRPr="00537738">
        <w:rPr>
          <w:rFonts w:eastAsia="Times New Roman"/>
          <w:noProof/>
          <w:lang w:eastAsia="ja-JP"/>
        </w:rPr>
        <w:t xml:space="preserve">circulation and mobility in these </w:t>
      </w:r>
      <w:r w:rsidRPr="00537738">
        <w:rPr>
          <w:rFonts w:eastAsia="Times New Roman"/>
          <w:noProof/>
          <w:lang w:eastAsia="ja-JP"/>
        </w:rPr>
        <w:t>sectors.</w:t>
      </w:r>
      <w:r w:rsidRPr="00537738">
        <w:rPr>
          <w:rFonts w:eastAsia="Times New Roman"/>
          <w:noProof/>
          <w:lang w:val="en-US" w:eastAsia="ja-JP"/>
        </w:rPr>
        <w:t> </w:t>
      </w:r>
    </w:p>
    <w:p w14:paraId="726BFCF4"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2D819BAA">
        <w:rPr>
          <w:rFonts w:eastAsia="Times New Roman"/>
          <w:noProof/>
          <w:lang w:eastAsia="ja-JP"/>
        </w:rPr>
        <w:t xml:space="preserve">The interim evaluation of the </w:t>
      </w:r>
      <w:r w:rsidRPr="2D819BAA">
        <w:rPr>
          <w:rFonts w:eastAsia="Times New Roman"/>
          <w:b/>
          <w:bCs/>
          <w:noProof/>
          <w:lang w:eastAsia="ja-JP"/>
        </w:rPr>
        <w:t>CERV programme</w:t>
      </w:r>
      <w:r w:rsidRPr="2D819BAA">
        <w:rPr>
          <w:rFonts w:eastAsia="Times New Roman"/>
          <w:noProof/>
          <w:lang w:eastAsia="ja-JP"/>
        </w:rPr>
        <w:t xml:space="preserve"> confirmed that the programme occupies an otherwise largely empty space in the values and fundamental rights funding landscape, as the </w:t>
      </w:r>
      <w:r w:rsidRPr="2D819BAA">
        <w:rPr>
          <w:rFonts w:eastAsia="Times New Roman"/>
          <w:noProof/>
          <w:lang w:eastAsia="ja-JP"/>
        </w:rPr>
        <w:lastRenderedPageBreak/>
        <w:t xml:space="preserve">dedicated EU instrument to safeguard and promote fundamental rights, equality and non-discrimination, democracy and the rule of law in Europe. The evaluation also showed the key role played by the programme in supporting civil society organisations working on rights and values, </w:t>
      </w:r>
      <w:r>
        <w:rPr>
          <w:rFonts w:eastAsia="Times New Roman"/>
          <w:noProof/>
          <w:lang w:eastAsia="ja-JP"/>
        </w:rPr>
        <w:t>including those at the grassroot</w:t>
      </w:r>
      <w:r>
        <w:rPr>
          <w:rFonts w:eastAsia="Times New Roman"/>
          <w:noProof/>
          <w:lang w:eastAsia="ja-JP"/>
        </w:rPr>
        <w:t>s</w:t>
      </w:r>
      <w:r>
        <w:rPr>
          <w:rFonts w:eastAsia="Times New Roman"/>
          <w:noProof/>
          <w:lang w:eastAsia="ja-JP"/>
        </w:rPr>
        <w:t xml:space="preserve"> level,</w:t>
      </w:r>
      <w:r w:rsidRPr="2D819BAA">
        <w:rPr>
          <w:rFonts w:eastAsia="Times New Roman"/>
          <w:noProof/>
          <w:lang w:eastAsia="ja-JP"/>
        </w:rPr>
        <w:t xml:space="preserve"> who would often lack other funding sources </w:t>
      </w:r>
      <w:r w:rsidRPr="2D819BAA">
        <w:rPr>
          <w:rFonts w:eastAsia="Times New Roman"/>
          <w:noProof/>
          <w:lang w:eastAsia="ja-JP"/>
        </w:rPr>
        <w:t>and forms of support.</w:t>
      </w:r>
      <w:r w:rsidRPr="2D819BAA">
        <w:rPr>
          <w:rFonts w:eastAsia="Times New Roman"/>
          <w:noProof/>
          <w:lang w:val="en-US" w:eastAsia="ja-JP"/>
        </w:rPr>
        <w:t> </w:t>
      </w:r>
    </w:p>
    <w:p w14:paraId="33D404CB"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color w:val="000000"/>
          <w:szCs w:val="24"/>
          <w:lang w:eastAsia="ja-JP"/>
        </w:rPr>
        <w:t xml:space="preserve">The evaluation of the </w:t>
      </w:r>
      <w:r w:rsidRPr="00A44D37">
        <w:rPr>
          <w:rFonts w:eastAsia="Times New Roman"/>
          <w:b/>
          <w:noProof/>
          <w:color w:val="000000"/>
          <w:szCs w:val="24"/>
          <w:lang w:eastAsia="ja-JP"/>
        </w:rPr>
        <w:t>Multimedia Actions line</w:t>
      </w:r>
      <w:r w:rsidRPr="00A44D37">
        <w:rPr>
          <w:rFonts w:eastAsia="Times New Roman"/>
          <w:noProof/>
          <w:color w:val="000000"/>
          <w:szCs w:val="24"/>
          <w:lang w:eastAsia="ja-JP"/>
        </w:rPr>
        <w:t xml:space="preserve"> (2021-2023) confirms that it was effective in strengthening news coverage on EU affairs from a European perspective. The actions supported the production of a high volume of original content, achieving a notable audience reach.</w:t>
      </w:r>
      <w:r w:rsidRPr="00A44D37">
        <w:rPr>
          <w:rFonts w:eastAsia="Times New Roman"/>
          <w:noProof/>
          <w:color w:val="000000"/>
          <w:szCs w:val="24"/>
          <w:lang w:val="en-US" w:eastAsia="ja-JP"/>
        </w:rPr>
        <w:t> </w:t>
      </w:r>
    </w:p>
    <w:p w14:paraId="67C8A5CD"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Stakeholder </w:t>
      </w:r>
      <w:r w:rsidRPr="007718A8">
        <w:rPr>
          <w:rFonts w:eastAsia="Arial Unicode MS"/>
          <w:noProof/>
          <w:u w:color="000000"/>
          <w:bdr w:val="nil"/>
          <w:lang w:val="en-US" w:eastAsia="en-GB"/>
        </w:rPr>
        <w:t>consultations</w:t>
      </w:r>
    </w:p>
    <w:p w14:paraId="178DA34F"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4A74CA21">
        <w:rPr>
          <w:rFonts w:eastAsia="Times New Roman"/>
          <w:noProof/>
          <w:lang w:eastAsia="ja-JP"/>
        </w:rPr>
        <w:t>A public consultation informed the impact assessment for EU programmes in the domains of cross-border education, youth, culture, media, values and civil society under the post-2027 MFF. It was conducted between 12 February and 7 May 2025. In total, the consultation gathered 5,</w:t>
      </w:r>
      <w:r>
        <w:rPr>
          <w:rFonts w:eastAsia="Times New Roman"/>
          <w:noProof/>
          <w:lang w:eastAsia="ja-JP"/>
        </w:rPr>
        <w:t>845</w:t>
      </w:r>
      <w:r w:rsidRPr="4A74CA21">
        <w:rPr>
          <w:rFonts w:eastAsia="Times New Roman"/>
          <w:noProof/>
          <w:lang w:eastAsia="ja-JP"/>
        </w:rPr>
        <w:t xml:space="preserve"> valid replies.</w:t>
      </w:r>
      <w:r w:rsidRPr="4A74CA21">
        <w:rPr>
          <w:rFonts w:eastAsia="Times New Roman"/>
          <w:noProof/>
          <w:lang w:val="en-US" w:eastAsia="ja-JP"/>
        </w:rPr>
        <w:t> </w:t>
      </w:r>
    </w:p>
    <w:p w14:paraId="2FBECE83" w14:textId="77777777" w:rsidR="005B7178" w:rsidRPr="00A44D37" w:rsidRDefault="005B7178" w:rsidP="00182495">
      <w:pPr>
        <w:spacing w:before="0" w:after="160"/>
        <w:ind w:right="1"/>
        <w:textAlignment w:val="baseline"/>
        <w:rPr>
          <w:rFonts w:ascii="Segoe UI" w:eastAsia="Times New Roman" w:hAnsi="Segoe UI" w:cs="Segoe UI"/>
          <w:noProof/>
          <w:sz w:val="18"/>
          <w:szCs w:val="18"/>
          <w:lang w:val="en-US" w:eastAsia="ja-JP"/>
        </w:rPr>
      </w:pPr>
      <w:r w:rsidRPr="00A44D37">
        <w:rPr>
          <w:rFonts w:eastAsia="Times New Roman"/>
          <w:noProof/>
          <w:szCs w:val="24"/>
          <w:lang w:eastAsia="ja-JP"/>
        </w:rPr>
        <w:t xml:space="preserve">The responses revealed a clear affirmation of the EU’s continued role in fostering cross-border cooperation and supporting culture, media, democracy and </w:t>
      </w:r>
      <w:r>
        <w:rPr>
          <w:rFonts w:eastAsia="Times New Roman"/>
          <w:noProof/>
          <w:szCs w:val="24"/>
          <w:lang w:eastAsia="ja-JP"/>
        </w:rPr>
        <w:t xml:space="preserve">fundamental </w:t>
      </w:r>
      <w:r w:rsidRPr="00A44D37">
        <w:rPr>
          <w:rFonts w:eastAsia="Times New Roman"/>
          <w:noProof/>
          <w:szCs w:val="24"/>
          <w:lang w:eastAsia="ja-JP"/>
        </w:rPr>
        <w:t>rights. For example, the proportions of respondents finding it ‘very important’ or ‘important’ to ‘protect democracy and democratic standards’, to ‘promote respect of fundamental rights (including children’s and women’s rights)’, to ‘promote media independence and media pluralism, fight against disinformation’ and to ‘promote cultural and creative diversity’ were respectively at 91%, 88%, 85% and 78%. </w:t>
      </w:r>
      <w:r w:rsidRPr="00A44D37">
        <w:rPr>
          <w:rFonts w:eastAsia="Times New Roman"/>
          <w:noProof/>
          <w:szCs w:val="24"/>
          <w:lang w:val="en-US" w:eastAsia="ja-JP"/>
        </w:rPr>
        <w:t> </w:t>
      </w:r>
    </w:p>
    <w:p w14:paraId="46055600" w14:textId="77777777" w:rsidR="005B7178" w:rsidRPr="00A44D37" w:rsidRDefault="005B7178" w:rsidP="00182495">
      <w:pPr>
        <w:spacing w:before="0" w:after="160"/>
        <w:ind w:right="1"/>
        <w:textAlignment w:val="baseline"/>
        <w:rPr>
          <w:rFonts w:ascii="Segoe UI" w:eastAsia="Times New Roman" w:hAnsi="Segoe UI" w:cs="Segoe UI"/>
          <w:noProof/>
          <w:sz w:val="18"/>
          <w:szCs w:val="18"/>
          <w:lang w:val="en-US" w:eastAsia="ja-JP"/>
        </w:rPr>
      </w:pPr>
      <w:r w:rsidRPr="4A74CA21">
        <w:rPr>
          <w:rFonts w:eastAsia="Times New Roman"/>
          <w:noProof/>
          <w:lang w:eastAsia="ja-JP"/>
        </w:rPr>
        <w:t xml:space="preserve">The responses to the public consultation also confirmed that EU funding provided added value compared to funding at national, local or regional level in the areas it covered. For example, 66% of respondents considered that ‘Protecting democracy and promoting democratic standards’ is an area where EU funding provides </w:t>
      </w:r>
      <w:r>
        <w:rPr>
          <w:rFonts w:eastAsia="Times New Roman"/>
          <w:noProof/>
          <w:lang w:eastAsia="ja-JP"/>
        </w:rPr>
        <w:t>significant</w:t>
      </w:r>
      <w:r w:rsidRPr="4A74CA21">
        <w:rPr>
          <w:rFonts w:eastAsia="Times New Roman"/>
          <w:noProof/>
          <w:lang w:eastAsia="ja-JP"/>
        </w:rPr>
        <w:t xml:space="preserve"> </w:t>
      </w:r>
      <w:r>
        <w:rPr>
          <w:rFonts w:eastAsia="Times New Roman"/>
          <w:noProof/>
          <w:lang w:eastAsia="ja-JP"/>
        </w:rPr>
        <w:t xml:space="preserve">added </w:t>
      </w:r>
      <w:r w:rsidRPr="4A74CA21">
        <w:rPr>
          <w:rFonts w:eastAsia="Times New Roman"/>
          <w:noProof/>
          <w:lang w:eastAsia="ja-JP"/>
        </w:rPr>
        <w:t xml:space="preserve">value. Nearly two thirds of respondents mentioned support to the audiovisual and media sectors as an “important” policy objective. Finally, approximately 80% of respondents see an added value in EU funding going to ‘Promote cultural and linguistic diversity’ and ‘Promote and preserve cultural heritage and European remembrance’ and </w:t>
      </w:r>
      <w:r w:rsidRPr="29D03CCB">
        <w:rPr>
          <w:rFonts w:eastAsia="Times New Roman"/>
          <w:noProof/>
          <w:lang w:eastAsia="ja-JP"/>
        </w:rPr>
        <w:t>7</w:t>
      </w:r>
      <w:r w:rsidRPr="29D03CCB">
        <w:rPr>
          <w:rFonts w:eastAsia="Times New Roman"/>
          <w:noProof/>
          <w:lang w:eastAsia="ja-JP"/>
        </w:rPr>
        <w:t>4</w:t>
      </w:r>
      <w:r w:rsidRPr="4A74CA21">
        <w:rPr>
          <w:rFonts w:eastAsia="Times New Roman"/>
          <w:noProof/>
          <w:lang w:eastAsia="ja-JP"/>
        </w:rPr>
        <w:t>% to ‘Ensure widespread access to culture and cultural heritage’.</w:t>
      </w:r>
      <w:r w:rsidRPr="4A74CA21">
        <w:rPr>
          <w:rFonts w:eastAsia="Times New Roman"/>
          <w:noProof/>
          <w:lang w:val="en-US" w:eastAsia="ja-JP"/>
        </w:rPr>
        <w:t> </w:t>
      </w:r>
    </w:p>
    <w:p w14:paraId="55C112BE" w14:textId="77777777" w:rsidR="005B7178" w:rsidRPr="00A44D37" w:rsidRDefault="005B7178" w:rsidP="00182495">
      <w:pPr>
        <w:spacing w:before="0" w:after="160"/>
        <w:ind w:right="1"/>
        <w:textAlignment w:val="baseline"/>
        <w:rPr>
          <w:rFonts w:ascii="Segoe UI" w:eastAsia="Times New Roman" w:hAnsi="Segoe UI" w:cs="Segoe UI"/>
          <w:noProof/>
          <w:sz w:val="18"/>
          <w:szCs w:val="18"/>
          <w:lang w:val="en-US" w:eastAsia="ja-JP"/>
        </w:rPr>
      </w:pPr>
      <w:r w:rsidRPr="00A44D37">
        <w:rPr>
          <w:rFonts w:eastAsia="Times New Roman"/>
          <w:noProof/>
          <w:szCs w:val="24"/>
          <w:lang w:eastAsia="ja-JP"/>
        </w:rPr>
        <w:t xml:space="preserve">Asked to evaluate the obstacles preventing the EU budget from fully delivering on its objectives in the policy areas, respondents generally welcomed the </w:t>
      </w:r>
      <w:r w:rsidRPr="00A44D37">
        <w:rPr>
          <w:rFonts w:eastAsia="Times New Roman"/>
          <w:noProof/>
          <w:szCs w:val="24"/>
          <w:lang w:eastAsia="ja-JP"/>
        </w:rPr>
        <w:t>Commission’s focus on greater efficiency in funding, but not at the cost of “identity” and “trust”, preserving thematic clarity and stakeholder ownership.</w:t>
      </w:r>
      <w:r w:rsidRPr="00A44D37">
        <w:rPr>
          <w:rFonts w:eastAsia="Times New Roman"/>
          <w:noProof/>
          <w:szCs w:val="24"/>
          <w:lang w:val="en-US" w:eastAsia="ja-JP"/>
        </w:rPr>
        <w:t> </w:t>
      </w:r>
    </w:p>
    <w:p w14:paraId="6AF8ED92" w14:textId="77777777" w:rsidR="005B7178" w:rsidRPr="00A44D37" w:rsidRDefault="005B7178" w:rsidP="00182495">
      <w:pPr>
        <w:spacing w:before="0" w:after="160"/>
        <w:ind w:right="1"/>
        <w:textAlignment w:val="baseline"/>
        <w:rPr>
          <w:rFonts w:ascii="Segoe UI" w:eastAsia="Times New Roman" w:hAnsi="Segoe UI" w:cs="Segoe UI"/>
          <w:noProof/>
          <w:sz w:val="18"/>
          <w:szCs w:val="18"/>
          <w:lang w:val="en-US" w:eastAsia="ja-JP"/>
        </w:rPr>
      </w:pPr>
      <w:r w:rsidRPr="4A74CA21">
        <w:rPr>
          <w:rFonts w:eastAsia="Times New Roman"/>
          <w:noProof/>
          <w:lang w:eastAsia="ja-JP"/>
        </w:rPr>
        <w:t>Quantitative</w:t>
      </w:r>
      <w:r>
        <w:rPr>
          <w:rFonts w:eastAsia="Times New Roman"/>
          <w:noProof/>
          <w:lang w:eastAsia="ja-JP"/>
        </w:rPr>
        <w:t xml:space="preserve"> </w:t>
      </w:r>
      <w:r w:rsidRPr="4A74CA21">
        <w:rPr>
          <w:rFonts w:eastAsia="Times New Roman"/>
          <w:noProof/>
          <w:lang w:eastAsia="ja-JP"/>
        </w:rPr>
        <w:t>results show that the most frequently cited obstacles across all groups were administrative burden (identified by 51% of citizens and 56% of organisations) and complex, fund-specific compliance rules (49% of citizens and 52% of organisations). These issues reflect concerns not only with regulatory complexity but also with fragmentation between instruments and inefficiencies in delivery. Additional barriers included lack of flexibility to reallocate resources in response to emerging needs (45% of citizens a</w:t>
      </w:r>
      <w:r w:rsidRPr="4A74CA21">
        <w:rPr>
          <w:rFonts w:eastAsia="Times New Roman"/>
          <w:noProof/>
          <w:lang w:eastAsia="ja-JP"/>
        </w:rPr>
        <w:t>nd 50% of organisations), delays in programme implementation and funding disbursement, and insufficient communication or clarity about funding opportunities. Public authorities and NGOs in particular emphasised delays as a source of reduced impact and local credibility.</w:t>
      </w:r>
      <w:r w:rsidRPr="4A74CA21">
        <w:rPr>
          <w:rFonts w:eastAsia="Times New Roman"/>
          <w:noProof/>
          <w:lang w:val="en-US" w:eastAsia="ja-JP"/>
        </w:rPr>
        <w:t> </w:t>
      </w:r>
    </w:p>
    <w:p w14:paraId="6ABEDF1D" w14:textId="77777777" w:rsidR="005B7178" w:rsidRDefault="005B7178" w:rsidP="00182495">
      <w:pPr>
        <w:pStyle w:val="ManualHeading2"/>
        <w:ind w:right="1"/>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37825D16" w14:textId="77777777" w:rsidR="005B7178" w:rsidRPr="00E21623" w:rsidRDefault="005B7178" w:rsidP="00182495">
      <w:pPr>
        <w:spacing w:before="0" w:after="160"/>
        <w:ind w:right="1"/>
        <w:textAlignment w:val="baseline"/>
        <w:rPr>
          <w:rFonts w:eastAsia="Times New Roman"/>
          <w:noProof/>
          <w:szCs w:val="24"/>
          <w:lang w:val="en-US" w:eastAsia="ja-JP"/>
        </w:rPr>
      </w:pPr>
      <w:r w:rsidRPr="00E21623">
        <w:rPr>
          <w:rFonts w:eastAsia="Times New Roman"/>
          <w:noProof/>
          <w:szCs w:val="24"/>
          <w:lang w:val="en-US" w:eastAsia="ja-JP"/>
        </w:rPr>
        <w:t xml:space="preserve">The proposal has been informed by external reports and assessments. </w:t>
      </w:r>
    </w:p>
    <w:p w14:paraId="1F39F102" w14:textId="77777777" w:rsidR="005B7178" w:rsidRPr="00E21623" w:rsidRDefault="005B7178" w:rsidP="00182495">
      <w:pPr>
        <w:spacing w:before="0" w:after="160"/>
        <w:ind w:right="1"/>
        <w:textAlignment w:val="baseline"/>
        <w:rPr>
          <w:rFonts w:eastAsia="Times New Roman"/>
          <w:noProof/>
          <w:lang w:val="en-US" w:eastAsia="ja-JP"/>
        </w:rPr>
      </w:pPr>
      <w:r w:rsidRPr="6FEB1686">
        <w:rPr>
          <w:rFonts w:eastAsia="Times New Roman"/>
          <w:noProof/>
          <w:lang w:val="en-US" w:eastAsia="ja-JP"/>
        </w:rPr>
        <w:lastRenderedPageBreak/>
        <w:t xml:space="preserve">The proposal has been informed by a wealth of studies and reports, such as from the </w:t>
      </w:r>
      <w:r>
        <w:rPr>
          <w:rFonts w:eastAsia="Times New Roman"/>
          <w:noProof/>
          <w:lang w:val="en-US" w:eastAsia="ja-JP"/>
        </w:rPr>
        <w:t xml:space="preserve">European Parliament, the </w:t>
      </w:r>
      <w:r w:rsidRPr="6FEB1686">
        <w:rPr>
          <w:rFonts w:eastAsia="Times New Roman"/>
          <w:noProof/>
          <w:lang w:val="en-US" w:eastAsia="ja-JP"/>
        </w:rPr>
        <w:t xml:space="preserve">EU Agency for Fundamental Rights and the European Institute for Gender Equality, which point towards the </w:t>
      </w:r>
      <w:r w:rsidRPr="6FEB1686">
        <w:rPr>
          <w:rFonts w:eastAsia="Times New Roman"/>
          <w:noProof/>
          <w:lang w:eastAsia="ja-JP"/>
        </w:rPr>
        <w:t>growing and serious challenges testing fundamental rights and values in the EU as well as the resilience of our democratic institutions</w:t>
      </w:r>
      <w:r>
        <w:rPr>
          <w:rStyle w:val="Allmrkuseviide"/>
          <w:rFonts w:eastAsia="Times New Roman"/>
          <w:noProof/>
          <w:lang w:eastAsia="ja-JP"/>
        </w:rPr>
        <w:footnoteReference w:id="3"/>
      </w:r>
      <w:r w:rsidRPr="6FEB1686">
        <w:rPr>
          <w:rFonts w:eastAsia="Times New Roman"/>
          <w:noProof/>
          <w:lang w:eastAsia="ja-JP"/>
        </w:rPr>
        <w:t xml:space="preserve">. </w:t>
      </w:r>
    </w:p>
    <w:p w14:paraId="0CDF8F4E" w14:textId="77777777" w:rsidR="005B7178" w:rsidRPr="00A44D37" w:rsidRDefault="005B7178" w:rsidP="00182495">
      <w:pPr>
        <w:spacing w:before="0" w:after="160"/>
        <w:ind w:right="1"/>
        <w:textAlignment w:val="baseline"/>
        <w:rPr>
          <w:rFonts w:ascii="Segoe UI" w:eastAsia="Times New Roman" w:hAnsi="Segoe UI" w:cs="Segoe UI"/>
          <w:noProof/>
          <w:sz w:val="18"/>
          <w:szCs w:val="18"/>
          <w:lang w:val="en-US" w:eastAsia="ja-JP"/>
        </w:rPr>
      </w:pPr>
      <w:r w:rsidRPr="70D8B7A7">
        <w:rPr>
          <w:rFonts w:eastAsia="Times New Roman"/>
          <w:noProof/>
          <w:lang w:val="en-US" w:eastAsia="ja-JP"/>
        </w:rPr>
        <w:t>In the field of media and audiovisual, it has relied on the conclusions of the 2023 European Media Industry Outlook</w:t>
      </w:r>
      <w:r>
        <w:rPr>
          <w:rStyle w:val="Allmrkuseviide"/>
          <w:rFonts w:eastAsia="Times New Roman"/>
          <w:noProof/>
          <w:lang w:val="en-US" w:eastAsia="ja-JP"/>
        </w:rPr>
        <w:footnoteReference w:id="4"/>
      </w:r>
      <w:r w:rsidRPr="70D8B7A7">
        <w:rPr>
          <w:rFonts w:eastAsia="Times New Roman"/>
          <w:noProof/>
          <w:lang w:val="en-US" w:eastAsia="ja-JP"/>
        </w:rPr>
        <w:t>, which provided valuable insights into the structural challenges of the media and audiovisual industries (incl. gaming). </w:t>
      </w:r>
      <w:r w:rsidRPr="0036503D">
        <w:rPr>
          <w:rFonts w:eastAsia="Times New Roman"/>
          <w:noProof/>
          <w:lang w:eastAsia="ja-JP"/>
        </w:rPr>
        <w:t>M</w:t>
      </w:r>
      <w:r w:rsidRPr="70D8B7A7">
        <w:rPr>
          <w:rFonts w:eastAsia="Times New Roman"/>
          <w:noProof/>
          <w:lang w:eastAsia="ja-JP"/>
        </w:rPr>
        <w:t>edia companies</w:t>
      </w:r>
      <w:r w:rsidRPr="0036503D">
        <w:rPr>
          <w:rFonts w:eastAsia="Times New Roman"/>
          <w:noProof/>
          <w:lang w:eastAsia="ja-JP"/>
        </w:rPr>
        <w:t xml:space="preserve"> in</w:t>
      </w:r>
      <w:r w:rsidRPr="46EDBD74">
        <w:rPr>
          <w:rFonts w:eastAsia="Times New Roman"/>
          <w:noProof/>
          <w:lang w:eastAsia="ja-JP"/>
        </w:rPr>
        <w:t xml:space="preserve"> the EU</w:t>
      </w:r>
      <w:r w:rsidRPr="70D8B7A7">
        <w:rPr>
          <w:rFonts w:eastAsia="Times New Roman"/>
          <w:noProof/>
          <w:lang w:eastAsia="ja-JP"/>
        </w:rPr>
        <w:t xml:space="preserve"> are under increasing pressure from global competitors for users’ attention and revenue. Consumer spending and media consumption have stagnated since the COVID-19 </w:t>
      </w:r>
      <w:r w:rsidRPr="3F9FAD22">
        <w:rPr>
          <w:rFonts w:eastAsia="Times New Roman"/>
          <w:noProof/>
          <w:lang w:eastAsia="ja-JP"/>
        </w:rPr>
        <w:t>pandemic</w:t>
      </w:r>
      <w:r w:rsidRPr="70D8B7A7">
        <w:rPr>
          <w:rFonts w:eastAsia="Times New Roman"/>
          <w:noProof/>
          <w:lang w:eastAsia="ja-JP"/>
        </w:rPr>
        <w:t>, with digital platforms aggregating more content and capturing more ad revenue than traditional media.</w:t>
      </w:r>
      <w:r w:rsidRPr="70D8B7A7">
        <w:rPr>
          <w:rFonts w:ascii="Aptos" w:eastAsia="Times New Roman" w:hAnsi="Aptos" w:cs="Segoe UI"/>
          <w:noProof/>
          <w:lang w:val="en-US" w:eastAsia="ja-JP"/>
        </w:rPr>
        <w:t xml:space="preserve"> T</w:t>
      </w:r>
      <w:r w:rsidRPr="70D8B7A7">
        <w:rPr>
          <w:rFonts w:eastAsia="Times New Roman"/>
          <w:noProof/>
          <w:lang w:eastAsia="ja-JP"/>
        </w:rPr>
        <w:t>he sectors also struggle with high technology adoption costs, limited private investment,</w:t>
      </w:r>
      <w:r w:rsidRPr="70D8B7A7">
        <w:rPr>
          <w:rFonts w:eastAsia="Times New Roman"/>
          <w:noProof/>
          <w:lang w:eastAsia="ja-JP"/>
        </w:rPr>
        <w:t xml:space="preserve"> and heavy dependence on non-EU technologies. In addition, the report revealed that, in the EU, the circulation of audiovisual work</w:t>
      </w:r>
      <w:r>
        <w:rPr>
          <w:rFonts w:eastAsia="Times New Roman"/>
          <w:noProof/>
          <w:lang w:eastAsia="ja-JP"/>
        </w:rPr>
        <w:t>s</w:t>
      </w:r>
      <w:r w:rsidRPr="70D8B7A7">
        <w:rPr>
          <w:rFonts w:eastAsia="Times New Roman"/>
          <w:noProof/>
          <w:lang w:eastAsia="ja-JP"/>
        </w:rPr>
        <w:t xml:space="preserve"> across borders is limited, hindering the industry’s potential. Meanwhile, the viability of news media is increasingly at risk, with declining revenues, shrinking employment, and limited consumer trust.</w:t>
      </w:r>
      <w:r w:rsidRPr="70D8B7A7">
        <w:rPr>
          <w:rFonts w:eastAsia="Times New Roman"/>
          <w:noProof/>
          <w:lang w:val="en-US" w:eastAsia="ja-JP"/>
        </w:rPr>
        <w:t> </w:t>
      </w:r>
    </w:p>
    <w:p w14:paraId="778951F0" w14:textId="77777777" w:rsidR="005B7178" w:rsidRPr="00E21623" w:rsidRDefault="005B7178" w:rsidP="00182495">
      <w:pPr>
        <w:spacing w:before="0" w:after="160"/>
        <w:ind w:right="1"/>
        <w:rPr>
          <w:rFonts w:eastAsia="Times New Roman"/>
          <w:noProof/>
          <w:lang w:val="en-US"/>
        </w:rPr>
      </w:pPr>
      <w:r w:rsidRPr="7A50A5DE">
        <w:rPr>
          <w:rFonts w:eastAsia="Times New Roman"/>
          <w:noProof/>
          <w:lang w:val="en-US"/>
        </w:rPr>
        <w:t xml:space="preserve">In the field of culture and creative sectors, the proposal has </w:t>
      </w:r>
      <w:r w:rsidRPr="7A50A5DE">
        <w:rPr>
          <w:rFonts w:eastAsia="Times New Roman"/>
          <w:noProof/>
          <w:lang w:val="en-US"/>
        </w:rPr>
        <w:t>been informed by thematic meetings, findings of independent studies, Council conclusions</w:t>
      </w:r>
      <w:r w:rsidRPr="75A0A75B">
        <w:rPr>
          <w:rStyle w:val="Allmrkuseviide"/>
          <w:rFonts w:eastAsia="Times New Roman"/>
          <w:noProof/>
          <w:lang w:val="en-US"/>
        </w:rPr>
        <w:footnoteReference w:id="5"/>
      </w:r>
      <w:r w:rsidRPr="7A50A5DE">
        <w:rPr>
          <w:rFonts w:eastAsia="Times New Roman"/>
          <w:noProof/>
          <w:lang w:val="en-US"/>
        </w:rPr>
        <w:t xml:space="preserve">, </w:t>
      </w:r>
      <w:r w:rsidRPr="6E5306D3">
        <w:rPr>
          <w:rFonts w:eastAsia="Times New Roman"/>
          <w:noProof/>
          <w:lang w:val="en-US"/>
        </w:rPr>
        <w:t>re</w:t>
      </w:r>
      <w:r w:rsidRPr="6E5306D3">
        <w:rPr>
          <w:rFonts w:eastAsia="Times New Roman"/>
          <w:noProof/>
          <w:lang w:val="en-US"/>
        </w:rPr>
        <w:t>solutions</w:t>
      </w:r>
      <w:r>
        <w:rPr>
          <w:rFonts w:eastAsia="Times New Roman"/>
          <w:noProof/>
          <w:lang w:val="en-US"/>
        </w:rPr>
        <w:t xml:space="preserve"> from the European Parliament</w:t>
      </w:r>
      <w:r w:rsidRPr="73622930">
        <w:rPr>
          <w:rStyle w:val="Allmrkuseviide"/>
          <w:rFonts w:eastAsia="Times New Roman"/>
          <w:noProof/>
          <w:lang w:val="en-US"/>
        </w:rPr>
        <w:footnoteReference w:id="6"/>
      </w:r>
      <w:r w:rsidRPr="22231108">
        <w:rPr>
          <w:rFonts w:eastAsia="Times New Roman"/>
          <w:noProof/>
          <w:lang w:val="en-US"/>
        </w:rPr>
        <w:t>, the</w:t>
      </w:r>
      <w:r w:rsidRPr="7A50A5DE">
        <w:rPr>
          <w:rFonts w:eastAsia="Times New Roman"/>
          <w:noProof/>
          <w:lang w:val="en-US"/>
        </w:rPr>
        <w:t xml:space="preserve"> evaluation of the European Heritage Label action</w:t>
      </w:r>
      <w:r w:rsidRPr="26C236AD">
        <w:rPr>
          <w:rStyle w:val="Allmrkuseviide"/>
          <w:rFonts w:eastAsia="Times New Roman"/>
          <w:noProof/>
          <w:lang w:val="en-US"/>
        </w:rPr>
        <w:footnoteReference w:id="7"/>
      </w:r>
      <w:r w:rsidRPr="7A50A5DE">
        <w:rPr>
          <w:rFonts w:eastAsia="Times New Roman"/>
          <w:noProof/>
          <w:lang w:val="en-US"/>
        </w:rPr>
        <w:t xml:space="preserve"> and the first interim evaluation of the European Capital of Culture action for the year 2020-2033</w:t>
      </w:r>
      <w:r w:rsidRPr="355F756E">
        <w:rPr>
          <w:rStyle w:val="Allmrkuseviide"/>
          <w:rFonts w:eastAsia="Times New Roman"/>
          <w:noProof/>
          <w:lang w:val="en-US"/>
        </w:rPr>
        <w:footnoteReference w:id="8"/>
      </w:r>
      <w:r w:rsidRPr="7A50A5DE">
        <w:rPr>
          <w:rFonts w:eastAsia="Times New Roman"/>
          <w:noProof/>
          <w:lang w:val="en-US"/>
        </w:rPr>
        <w:t>, as well as recommendations made by experts from Member States in the context of the Open Method of Coordination on culture</w:t>
      </w:r>
      <w:r w:rsidRPr="1585C49D">
        <w:rPr>
          <w:rStyle w:val="Allmrkuseviide"/>
          <w:rFonts w:eastAsia="Times New Roman"/>
          <w:noProof/>
          <w:lang w:val="en-US"/>
        </w:rPr>
        <w:footnoteReference w:id="9"/>
      </w:r>
      <w:r w:rsidRPr="7A50A5DE">
        <w:rPr>
          <w:rFonts w:eastAsia="Times New Roman"/>
          <w:noProof/>
          <w:lang w:val="en-US"/>
        </w:rPr>
        <w:t>. These various sources underline the persisting relevance of the Culture strand of Creative Europe while pointing at areas of improvement, in particular in connection with the d</w:t>
      </w:r>
      <w:r>
        <w:rPr>
          <w:rFonts w:eastAsia="Times New Roman"/>
          <w:noProof/>
          <w:lang w:val="en-US"/>
        </w:rPr>
        <w:t>igital and green</w:t>
      </w:r>
      <w:r w:rsidRPr="7A50A5DE">
        <w:rPr>
          <w:rFonts w:eastAsia="Times New Roman"/>
          <w:noProof/>
          <w:lang w:val="en-US"/>
        </w:rPr>
        <w:t xml:space="preserve"> transition</w:t>
      </w:r>
      <w:r>
        <w:rPr>
          <w:rFonts w:eastAsia="Times New Roman"/>
          <w:noProof/>
          <w:lang w:val="en-US"/>
        </w:rPr>
        <w:t>s</w:t>
      </w:r>
      <w:r w:rsidRPr="7A50A5DE">
        <w:rPr>
          <w:rFonts w:eastAsia="Times New Roman"/>
          <w:noProof/>
          <w:lang w:val="en-US"/>
        </w:rPr>
        <w:t xml:space="preserve"> and the surge of AI, working conditions of artists and cultural and creative professionals, as well as the international context.</w:t>
      </w:r>
      <w:r w:rsidRPr="00E21623">
        <w:rPr>
          <w:rFonts w:eastAsia="Times New Roman"/>
          <w:noProof/>
          <w:lang w:val="en-US"/>
        </w:rPr>
        <w:t xml:space="preserve"> </w:t>
      </w:r>
    </w:p>
    <w:p w14:paraId="6A1963A3"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lastRenderedPageBreak/>
        <w:t>•</w:t>
      </w:r>
      <w:r w:rsidRPr="007718A8">
        <w:rPr>
          <w:rFonts w:eastAsia="Arial Unicode MS"/>
          <w:noProof/>
          <w:u w:color="000000"/>
          <w:bdr w:val="nil"/>
          <w:lang w:val="en-US" w:eastAsia="en-GB"/>
        </w:rPr>
        <w:tab/>
        <w:t xml:space="preserve">Impact </w:t>
      </w:r>
      <w:r w:rsidRPr="007718A8">
        <w:rPr>
          <w:rFonts w:eastAsia="Arial Unicode MS"/>
          <w:noProof/>
          <w:u w:color="000000"/>
          <w:bdr w:val="nil"/>
          <w:lang w:val="en-US" w:eastAsia="en-GB"/>
        </w:rPr>
        <w:t>assessment</w:t>
      </w:r>
    </w:p>
    <w:p w14:paraId="6B10635E"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Pr>
          <w:rFonts w:eastAsia="Times New Roman"/>
          <w:noProof/>
          <w:szCs w:val="24"/>
          <w:lang w:eastAsia="ja-JP"/>
        </w:rPr>
        <w:t xml:space="preserve">This proposal was subject to an impact assessment. </w:t>
      </w:r>
      <w:r w:rsidRPr="00A44D37">
        <w:rPr>
          <w:rFonts w:eastAsia="Times New Roman"/>
          <w:noProof/>
          <w:szCs w:val="24"/>
          <w:lang w:eastAsia="ja-JP"/>
        </w:rPr>
        <w:t>Commission services have explored several alternative policy options to address the challenges of the sectors concerned and determined which option served better the policy areas and the priorities of the Commission. The various options were mutually exclusive. One option was to continue the existing Creative Europe</w:t>
      </w:r>
      <w:r>
        <w:rPr>
          <w:rFonts w:eastAsia="Times New Roman"/>
          <w:noProof/>
          <w:szCs w:val="24"/>
          <w:lang w:eastAsia="ja-JP"/>
        </w:rPr>
        <w:t xml:space="preserve"> and CERV</w:t>
      </w:r>
      <w:r w:rsidRPr="00A44D37">
        <w:rPr>
          <w:rFonts w:eastAsia="Times New Roman"/>
          <w:noProof/>
          <w:szCs w:val="24"/>
          <w:lang w:eastAsia="ja-JP"/>
        </w:rPr>
        <w:t xml:space="preserve"> programmes as stand-alone programmes, while introducing some incremental improvements. A second option consisted of bringing together the programmes aimed at protecting </w:t>
      </w:r>
      <w:r w:rsidRPr="004A2DC4">
        <w:rPr>
          <w:rFonts w:eastAsia="Times New Roman"/>
          <w:noProof/>
          <w:szCs w:val="24"/>
          <w:lang w:eastAsia="ja-JP"/>
        </w:rPr>
        <w:t>Union values,</w:t>
      </w:r>
      <w:r w:rsidRPr="00A44D37" w:rsidDel="00D82D8B">
        <w:rPr>
          <w:rFonts w:eastAsia="Times New Roman"/>
          <w:noProof/>
          <w:szCs w:val="24"/>
          <w:lang w:eastAsia="ja-JP"/>
        </w:rPr>
        <w:t xml:space="preserve"> </w:t>
      </w:r>
      <w:r w:rsidRPr="00A44D37">
        <w:rPr>
          <w:rFonts w:eastAsia="Times New Roman"/>
          <w:noProof/>
          <w:szCs w:val="24"/>
          <w:lang w:eastAsia="ja-JP"/>
        </w:rPr>
        <w:t>me</w:t>
      </w:r>
      <w:r w:rsidRPr="00A44D37">
        <w:rPr>
          <w:rFonts w:eastAsia="Times New Roman"/>
          <w:noProof/>
          <w:szCs w:val="24"/>
          <w:lang w:eastAsia="ja-JP"/>
        </w:rPr>
        <w:t>dia and culture. A third option was a full integration</w:t>
      </w:r>
      <w:r>
        <w:rPr>
          <w:rFonts w:eastAsia="Times New Roman"/>
          <w:noProof/>
          <w:szCs w:val="24"/>
          <w:lang w:eastAsia="ja-JP"/>
        </w:rPr>
        <w:t xml:space="preserve"> under a single instrument</w:t>
      </w:r>
      <w:r w:rsidRPr="00A44D37">
        <w:rPr>
          <w:rFonts w:eastAsia="Times New Roman"/>
          <w:noProof/>
          <w:szCs w:val="24"/>
          <w:lang w:eastAsia="ja-JP"/>
        </w:rPr>
        <w:t xml:space="preserve"> of policies covered today by CERV, Creative Europe, </w:t>
      </w:r>
      <w:r>
        <w:rPr>
          <w:rFonts w:eastAsia="Times New Roman"/>
          <w:noProof/>
          <w:szCs w:val="24"/>
          <w:lang w:eastAsia="ja-JP"/>
        </w:rPr>
        <w:t>together with</w:t>
      </w:r>
      <w:r w:rsidRPr="00A44D37">
        <w:rPr>
          <w:rFonts w:eastAsia="Times New Roman"/>
          <w:noProof/>
          <w:szCs w:val="24"/>
          <w:lang w:eastAsia="ja-JP"/>
        </w:rPr>
        <w:t xml:space="preserve"> those covered </w:t>
      </w:r>
      <w:r>
        <w:rPr>
          <w:rFonts w:eastAsia="Times New Roman"/>
          <w:noProof/>
          <w:szCs w:val="24"/>
          <w:lang w:eastAsia="ja-JP"/>
        </w:rPr>
        <w:t xml:space="preserve">by </w:t>
      </w:r>
      <w:r w:rsidRPr="00A44D37">
        <w:rPr>
          <w:rFonts w:eastAsia="Times New Roman"/>
          <w:noProof/>
          <w:szCs w:val="24"/>
          <w:lang w:eastAsia="ja-JP"/>
        </w:rPr>
        <w:t>Erasmus+ and European Solidarity Corps (ESC)</w:t>
      </w:r>
      <w:r>
        <w:rPr>
          <w:rFonts w:eastAsia="Times New Roman"/>
          <w:noProof/>
          <w:szCs w:val="24"/>
          <w:lang w:eastAsia="ja-JP"/>
        </w:rPr>
        <w:t>.</w:t>
      </w:r>
    </w:p>
    <w:p w14:paraId="6EC0F05A"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3854F0C0">
        <w:rPr>
          <w:rFonts w:eastAsia="Times New Roman"/>
          <w:noProof/>
          <w:lang w:eastAsia="ja-JP"/>
        </w:rPr>
        <w:t>Other alternatives were also considered yet discarded at an early stage. One was the discontinuation of the EU funding in the fields currently covered by CERV and Creative Europe, but it was rejected given the importance of the problems affecting the sectors concerned, the prominence given to these policies in the Political Guidelines and the assessment of the continued relevance and added value of the EU funding intervention, underpinned by the respective mid-term evaluations. The option of alternative mer</w:t>
      </w:r>
      <w:r w:rsidRPr="3854F0C0">
        <w:rPr>
          <w:rFonts w:eastAsia="Times New Roman"/>
          <w:noProof/>
          <w:lang w:eastAsia="ja-JP"/>
        </w:rPr>
        <w:t>ging of programmes (e.g. only the Media strand of Creative Europe with the CERV programme) was also abandoned at an early stage, as it would not have effectively aligned with political priorities or adequately catered for the challenges of the sectors concerned. </w:t>
      </w:r>
      <w:r w:rsidRPr="3854F0C0">
        <w:rPr>
          <w:rFonts w:eastAsia="Times New Roman"/>
          <w:noProof/>
          <w:lang w:val="en-US" w:eastAsia="ja-JP"/>
        </w:rPr>
        <w:t> </w:t>
      </w:r>
    </w:p>
    <w:p w14:paraId="7AD1996A"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3854F0C0">
        <w:rPr>
          <w:rFonts w:eastAsia="Times New Roman"/>
          <w:noProof/>
          <w:lang w:eastAsia="ja-JP"/>
        </w:rPr>
        <w:t>The main potential impact</w:t>
      </w:r>
      <w:r>
        <w:rPr>
          <w:rFonts w:eastAsia="Times New Roman"/>
          <w:noProof/>
          <w:lang w:eastAsia="ja-JP"/>
        </w:rPr>
        <w:t>s</w:t>
      </w:r>
      <w:r w:rsidRPr="3854F0C0">
        <w:rPr>
          <w:rFonts w:eastAsia="Times New Roman"/>
          <w:noProof/>
          <w:lang w:eastAsia="ja-JP"/>
        </w:rPr>
        <w:t xml:space="preserve"> of the three shortlisted options (continuity, full integration, and objective-based merger) were analysed across various social, economic and environmental dimensions. Where relevant, the analysis also covered costs and benefits, impacts on competitiveness and SMEs and on digitalisation, as well as</w:t>
      </w:r>
      <w:r>
        <w:rPr>
          <w:rFonts w:eastAsia="Times New Roman"/>
          <w:noProof/>
          <w:lang w:eastAsia="ja-JP"/>
        </w:rPr>
        <w:t xml:space="preserve"> their</w:t>
      </w:r>
      <w:r w:rsidRPr="3854F0C0">
        <w:rPr>
          <w:rFonts w:eastAsia="Times New Roman"/>
          <w:noProof/>
          <w:lang w:eastAsia="ja-JP"/>
        </w:rPr>
        <w:t xml:space="preserve"> contribution to the United Nations Sustainable Development Goals (SDG). The three policy options were assessed based on their effectiveness, efficiency, coherence and proportionality, applying the Social </w:t>
      </w:r>
      <w:r w:rsidRPr="3854F0C0">
        <w:rPr>
          <w:rFonts w:eastAsia="Times New Roman"/>
          <w:noProof/>
          <w:lang w:eastAsia="ja-JP"/>
        </w:rPr>
        <w:t>Multi-Criteria Evaluation (SMCE).</w:t>
      </w:r>
      <w:r w:rsidRPr="3854F0C0">
        <w:rPr>
          <w:rFonts w:eastAsia="Times New Roman"/>
          <w:noProof/>
          <w:lang w:val="en-US" w:eastAsia="ja-JP"/>
        </w:rPr>
        <w:t> </w:t>
      </w:r>
    </w:p>
    <w:p w14:paraId="55F766ED" w14:textId="77777777" w:rsidR="005B7178" w:rsidRPr="00A44D37" w:rsidRDefault="005B7178" w:rsidP="00DF7F43">
      <w:pPr>
        <w:spacing w:before="0" w:after="160"/>
        <w:textAlignment w:val="baseline"/>
        <w:rPr>
          <w:rFonts w:ascii="Segoe UI" w:hAnsi="Segoe UI" w:cs="Segoe UI"/>
          <w:noProof/>
          <w:sz w:val="18"/>
          <w:szCs w:val="18"/>
          <w:lang w:val="en-US" w:eastAsia="ja-JP"/>
        </w:rPr>
      </w:pPr>
      <w:r w:rsidRPr="3854F0C0">
        <w:rPr>
          <w:rFonts w:eastAsia="Times New Roman"/>
          <w:noProof/>
          <w:lang w:eastAsia="ja-JP"/>
        </w:rPr>
        <w:t>The evaluation of the options and their impacts highlighted that an integration based on policy objectives (objective-based merger)</w:t>
      </w:r>
      <w:r w:rsidRPr="00727D21">
        <w:rPr>
          <w:rFonts w:eastAsia="Times New Roman"/>
          <w:noProof/>
          <w:lang w:eastAsia="ja-JP"/>
        </w:rPr>
        <w:t xml:space="preserve"> </w:t>
      </w:r>
      <w:r w:rsidRPr="3854F0C0">
        <w:rPr>
          <w:rFonts w:eastAsia="Times New Roman"/>
          <w:noProof/>
          <w:lang w:eastAsia="ja-JP"/>
        </w:rPr>
        <w:t>would offer better potential compared to the two alternatives. It would allow for reinforced coordination, targeted flexibility, and a more impactful use of the EU budget – without sacrificing policy focus or accessibility. It would offer the optimal balance between simplification and policy relevance. It is also congruent with stakeholders’ calls, who ask for the simplification of access to funding, flexibility of resource allocation and the application of common rules. In line with the Political Guideline</w:t>
      </w:r>
      <w:r w:rsidRPr="3854F0C0">
        <w:rPr>
          <w:rFonts w:eastAsia="Times New Roman"/>
          <w:noProof/>
          <w:lang w:eastAsia="ja-JP"/>
        </w:rPr>
        <w:t xml:space="preserve">s, it follows a ‘funding-follows-policy’ principle, bringing together programmes aiming at protecting </w:t>
      </w:r>
      <w:r>
        <w:rPr>
          <w:rFonts w:eastAsia="Times New Roman"/>
          <w:noProof/>
          <w:lang w:eastAsia="ja-JP"/>
        </w:rPr>
        <w:t xml:space="preserve">culture, media and </w:t>
      </w:r>
      <w:r w:rsidRPr="004A2DC4">
        <w:rPr>
          <w:rFonts w:eastAsia="Times New Roman"/>
          <w:noProof/>
          <w:lang w:eastAsia="ja-JP"/>
        </w:rPr>
        <w:t>Union values.</w:t>
      </w:r>
      <w:r w:rsidRPr="3854F0C0">
        <w:rPr>
          <w:rFonts w:eastAsia="Times New Roman"/>
          <w:noProof/>
          <w:lang w:eastAsia="ja-JP"/>
        </w:rPr>
        <w:t xml:space="preserve"> It will build on the success of current programmes, best practices of the current MFF, as evidenced by evaluations, better addressing transnational and common challenges, filling funding gaps at Member States level, and enhancing coherence between internal and external policies, while enhancing synergies, efficiency and effectiveness, and reducing overlaps. It will pay due v</w:t>
      </w:r>
      <w:r w:rsidRPr="3854F0C0">
        <w:rPr>
          <w:rFonts w:eastAsia="Times New Roman"/>
          <w:noProof/>
          <w:lang w:eastAsia="ja-JP"/>
        </w:rPr>
        <w:t>isibility to each of the policy areas included in the merged programme</w:t>
      </w:r>
      <w:r>
        <w:rPr>
          <w:rFonts w:eastAsia="Times New Roman"/>
          <w:noProof/>
          <w:lang w:eastAsia="ja-JP"/>
        </w:rPr>
        <w:t xml:space="preserve"> in full respect of the horizontal provisions detailed in Regulation </w:t>
      </w:r>
      <w:r>
        <w:rPr>
          <w:rFonts w:eastAsia="Times New Roman"/>
          <w:noProof/>
          <w:lang w:eastAsia="ja-JP"/>
        </w:rPr>
        <w:t>(EU, Euratom)</w:t>
      </w:r>
      <w:r>
        <w:rPr>
          <w:rFonts w:eastAsia="Times New Roman"/>
          <w:noProof/>
          <w:lang w:eastAsia="ja-JP"/>
        </w:rPr>
        <w:t xml:space="preserve"> </w:t>
      </w:r>
      <w:r w:rsidRPr="00EE042E">
        <w:rPr>
          <w:rFonts w:eastAsia="Times New Roman"/>
          <w:noProof/>
          <w:lang w:eastAsia="ja-JP"/>
        </w:rPr>
        <w:t>[202X/XXX, Performance Regulation</w:t>
      </w:r>
      <w:r w:rsidRPr="000D0740">
        <w:rPr>
          <w:rFonts w:eastAsia="Times New Roman"/>
          <w:noProof/>
          <w:lang w:eastAsia="ja-JP"/>
        </w:rPr>
        <w:t>] applicable to all Union programmes</w:t>
      </w:r>
      <w:r w:rsidRPr="3854F0C0">
        <w:rPr>
          <w:rFonts w:eastAsia="Times New Roman"/>
          <w:noProof/>
          <w:lang w:eastAsia="ja-JP"/>
        </w:rPr>
        <w:t>. It will also increase action on cross-cutting priorities and synergies affecting the societal, media and cultural and creative sectors (e.g. sectoral skills, access to finance, innovation uptake, etc.).</w:t>
      </w:r>
      <w:r w:rsidRPr="3854F0C0">
        <w:rPr>
          <w:rFonts w:eastAsia="Times New Roman"/>
          <w:b/>
          <w:bCs/>
          <w:noProof/>
          <w:lang w:eastAsia="ja-JP"/>
        </w:rPr>
        <w:t> </w:t>
      </w:r>
      <w:r w:rsidRPr="3854F0C0">
        <w:rPr>
          <w:rFonts w:eastAsia="Times New Roman"/>
          <w:noProof/>
          <w:lang w:eastAsia="ja-JP"/>
        </w:rPr>
        <w:t> </w:t>
      </w:r>
      <w:r w:rsidRPr="3854F0C0">
        <w:rPr>
          <w:rFonts w:eastAsia="Times New Roman"/>
          <w:noProof/>
          <w:lang w:val="en-US" w:eastAsia="ja-JP"/>
        </w:rPr>
        <w:t> </w:t>
      </w:r>
    </w:p>
    <w:p w14:paraId="0F346FD6"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3854F0C0">
        <w:rPr>
          <w:rFonts w:eastAsia="Times New Roman"/>
          <w:noProof/>
          <w:lang w:eastAsia="ja-JP"/>
        </w:rPr>
        <w:t xml:space="preserve">Based on the Better </w:t>
      </w:r>
      <w:r w:rsidRPr="00AF78C3">
        <w:rPr>
          <w:rFonts w:eastAsia="Times New Roman"/>
          <w:noProof/>
          <w:lang w:eastAsia="ja-JP"/>
        </w:rPr>
        <w:t>Regulation guidelines</w:t>
      </w:r>
      <w:r w:rsidRPr="00343E97">
        <w:rPr>
          <w:rFonts w:eastAsia="Times New Roman"/>
          <w:noProof/>
          <w:lang w:eastAsia="ja-JP"/>
        </w:rPr>
        <w:t>,</w:t>
      </w:r>
      <w:r w:rsidRPr="3854F0C0">
        <w:rPr>
          <w:rFonts w:eastAsia="Times New Roman"/>
          <w:noProof/>
          <w:lang w:eastAsia="ja-JP"/>
        </w:rPr>
        <w:t xml:space="preserve"> this impact assessment report was submitted for quality scrutiny to the Regulatory Scrutiny Board (RSB). The RSB gave an opinion </w:t>
      </w:r>
      <w:r>
        <w:rPr>
          <w:rFonts w:eastAsia="Times New Roman"/>
          <w:noProof/>
          <w:lang w:eastAsia="ja-JP"/>
        </w:rPr>
        <w:t>on</w:t>
      </w:r>
      <w:r w:rsidRPr="3854F0C0">
        <w:rPr>
          <w:rFonts w:eastAsia="Times New Roman"/>
          <w:noProof/>
          <w:lang w:eastAsia="ja-JP"/>
        </w:rPr>
        <w:t xml:space="preserve"> the impact assessment on 13 June 2025. </w:t>
      </w:r>
      <w:r>
        <w:rPr>
          <w:rFonts w:eastAsia="Times New Roman"/>
          <w:noProof/>
          <w:lang w:eastAsia="ja-JP"/>
        </w:rPr>
        <w:t xml:space="preserve">The </w:t>
      </w:r>
      <w:r w:rsidRPr="3854F0C0">
        <w:rPr>
          <w:rFonts w:eastAsia="Times New Roman"/>
          <w:noProof/>
          <w:lang w:eastAsia="ja-JP"/>
        </w:rPr>
        <w:t xml:space="preserve">RSB made a series of comments and recommendations on scope, problem definition and the use of evaluations, intervention logic </w:t>
      </w:r>
      <w:r w:rsidRPr="3854F0C0">
        <w:rPr>
          <w:rFonts w:eastAsia="Times New Roman"/>
          <w:noProof/>
          <w:lang w:eastAsia="ja-JP"/>
        </w:rPr>
        <w:lastRenderedPageBreak/>
        <w:t>and objectives, comparison of options and cost-benefit analysis, governance, coherence and future monitoring and evaluation.</w:t>
      </w:r>
      <w:r w:rsidRPr="3854F0C0">
        <w:rPr>
          <w:rFonts w:eastAsia="Times New Roman"/>
          <w:noProof/>
          <w:color w:val="333333"/>
          <w:lang w:eastAsia="ja-JP"/>
        </w:rPr>
        <w:t xml:space="preserve"> </w:t>
      </w:r>
      <w:r w:rsidRPr="000C4351">
        <w:rPr>
          <w:rFonts w:eastAsia="Times New Roman"/>
          <w:noProof/>
          <w:lang w:eastAsia="ja-JP"/>
        </w:rPr>
        <w:t>The impact assessment accompanying this legal proposal was reviewed</w:t>
      </w:r>
      <w:r>
        <w:rPr>
          <w:rFonts w:eastAsia="Times New Roman"/>
          <w:noProof/>
          <w:lang w:eastAsia="ja-JP"/>
        </w:rPr>
        <w:t xml:space="preserve"> in accordance wit</w:t>
      </w:r>
      <w:r>
        <w:rPr>
          <w:rFonts w:eastAsia="Times New Roman"/>
          <w:noProof/>
          <w:lang w:eastAsia="ja-JP"/>
        </w:rPr>
        <w:t xml:space="preserve">h </w:t>
      </w:r>
      <w:r w:rsidRPr="000C4351">
        <w:rPr>
          <w:rFonts w:eastAsia="Times New Roman"/>
          <w:noProof/>
          <w:lang w:eastAsia="ja-JP"/>
        </w:rPr>
        <w:t xml:space="preserve">the Board’s comments. </w:t>
      </w:r>
    </w:p>
    <w:p w14:paraId="69B32122"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180AFEA1"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color w:val="000000"/>
          <w:szCs w:val="24"/>
          <w:lang w:eastAsia="ja-JP"/>
        </w:rPr>
        <w:t xml:space="preserve">The initiative will streamline EU management, governance and implementation of EU programmes to improve efficiency for applicants, beneficiaries and EU institutions. Application and reporting procedures will be simplified and further harmonised, through the introduction of common or aligned rules, making it easier for applicants to apply to calls addressing complementary policy objectives. </w:t>
      </w:r>
    </w:p>
    <w:p w14:paraId="78D721D4"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00A44D37">
        <w:rPr>
          <w:rFonts w:eastAsia="Times New Roman"/>
          <w:noProof/>
          <w:color w:val="000000"/>
          <w:szCs w:val="24"/>
          <w:lang w:eastAsia="ja-JP"/>
        </w:rPr>
        <w:t>To simplify implementation and reduce administrative burden for beneficiaries, the use of simplified forms of funding (including financing not linked to costs and lump sums) will become the standard form of contribution for reimbursing grants. The use of financial support to third parties, which has proven efficient in making EU funding more accessible to small organisations, will also continue and could be extended where appropriate. Moreover, increasing the use of multi-annual grants will also have a posi</w:t>
      </w:r>
      <w:r w:rsidRPr="00A44D37">
        <w:rPr>
          <w:rFonts w:eastAsia="Times New Roman"/>
          <w:noProof/>
          <w:color w:val="000000"/>
          <w:szCs w:val="24"/>
          <w:lang w:eastAsia="ja-JP"/>
        </w:rPr>
        <w:t xml:space="preserve">tive impact. Obstacles encountered by grassroots organisations and first-time applicants will be addressed through targeted simplification measures addressing their circumstances, enhanced communication, and promotion of funding opportunities. </w:t>
      </w:r>
      <w:r>
        <w:rPr>
          <w:rFonts w:eastAsia="Times New Roman"/>
          <w:noProof/>
          <w:color w:val="000000"/>
          <w:szCs w:val="24"/>
          <w:lang w:eastAsia="ja-JP"/>
        </w:rPr>
        <w:t>The p</w:t>
      </w:r>
      <w:r w:rsidRPr="00A44D37">
        <w:rPr>
          <w:rFonts w:eastAsia="Times New Roman"/>
          <w:noProof/>
          <w:color w:val="000000"/>
          <w:szCs w:val="24"/>
          <w:lang w:eastAsia="ja-JP"/>
        </w:rPr>
        <w:t xml:space="preserve">ooling of resources, including in areas such as monitoring, internal and external communication will bring economies of scale and enhance the predictability of EU funding more widely among beneficiaries, stakeholders and EU citizens. </w:t>
      </w:r>
      <w:r w:rsidRPr="00A44D37">
        <w:rPr>
          <w:rFonts w:eastAsia="Times New Roman"/>
          <w:noProof/>
          <w:szCs w:val="24"/>
          <w:lang w:val="en-US" w:eastAsia="ja-JP"/>
        </w:rPr>
        <w:t> </w:t>
      </w:r>
    </w:p>
    <w:p w14:paraId="7039BCD2"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720DB966" w14:textId="77777777" w:rsidR="005B7178" w:rsidRDefault="005B7178" w:rsidP="00685C79">
      <w:pPr>
        <w:spacing w:before="0" w:after="160"/>
        <w:textAlignment w:val="baseline"/>
        <w:rPr>
          <w:rFonts w:eastAsia="Times New Roman"/>
          <w:noProof/>
          <w:lang w:eastAsia="ja-JP"/>
        </w:rPr>
      </w:pPr>
      <w:r w:rsidRPr="53C5407A">
        <w:rPr>
          <w:rFonts w:eastAsia="Times New Roman"/>
          <w:noProof/>
          <w:lang w:eastAsia="ja-JP"/>
        </w:rPr>
        <w:t xml:space="preserve">Building on the previous Creative Europe and Citizens, Equality, Rights and Values (CERV) programmes and pre-existing prerogative lines, the new instrument aims at promoting Union values, </w:t>
      </w:r>
      <w:r w:rsidRPr="53C5407A">
        <w:rPr>
          <w:rFonts w:eastAsia="Times New Roman"/>
          <w:noProof/>
          <w:lang w:eastAsia="ja-JP"/>
        </w:rPr>
        <w:t xml:space="preserve">including </w:t>
      </w:r>
      <w:r>
        <w:rPr>
          <w:rFonts w:eastAsia="Times New Roman"/>
          <w:noProof/>
          <w:lang w:eastAsia="ja-JP"/>
        </w:rPr>
        <w:t xml:space="preserve">respect for </w:t>
      </w:r>
      <w:r w:rsidRPr="53C5407A">
        <w:rPr>
          <w:rFonts w:eastAsia="Times New Roman"/>
          <w:noProof/>
          <w:lang w:eastAsia="ja-JP"/>
        </w:rPr>
        <w:t>fundamental rights, equality,</w:t>
      </w:r>
      <w:r w:rsidRPr="53C5407A">
        <w:rPr>
          <w:rFonts w:eastAsia="Times New Roman"/>
          <w:noProof/>
          <w:lang w:eastAsia="ja-JP"/>
        </w:rPr>
        <w:t xml:space="preserve"> democracy, as well as culture and media. </w:t>
      </w:r>
    </w:p>
    <w:p w14:paraId="138E7AAA" w14:textId="77777777" w:rsidR="005B7178" w:rsidRPr="00C570E3" w:rsidRDefault="005B7178" w:rsidP="00685C79">
      <w:pPr>
        <w:spacing w:before="0" w:after="160"/>
        <w:textAlignment w:val="baseline"/>
        <w:rPr>
          <w:rFonts w:eastAsia="Times New Roman"/>
          <w:noProof/>
          <w:lang w:val="en-US" w:eastAsia="ja-JP"/>
        </w:rPr>
      </w:pPr>
      <w:r w:rsidRPr="6FEB1686">
        <w:rPr>
          <w:rFonts w:eastAsia="Times New Roman"/>
          <w:noProof/>
          <w:lang w:val="en-US" w:eastAsia="ja-JP"/>
        </w:rPr>
        <w:t xml:space="preserve">It is in line with and </w:t>
      </w:r>
      <w:r w:rsidRPr="2B662405">
        <w:rPr>
          <w:rFonts w:eastAsia="Times New Roman"/>
          <w:noProof/>
          <w:lang w:val="en-US" w:eastAsia="ja-JP"/>
        </w:rPr>
        <w:t>promotes</w:t>
      </w:r>
      <w:r w:rsidRPr="6FEB1686">
        <w:rPr>
          <w:rFonts w:eastAsia="Times New Roman"/>
          <w:noProof/>
          <w:lang w:val="en-US" w:eastAsia="ja-JP"/>
        </w:rPr>
        <w:t xml:space="preserve"> the values set out in Article 2 of the Treaty on European Union. The objectives of the new</w:t>
      </w:r>
      <w:r>
        <w:rPr>
          <w:rFonts w:eastAsia="Times New Roman"/>
          <w:noProof/>
          <w:lang w:val="en-US" w:eastAsia="ja-JP"/>
        </w:rPr>
        <w:t xml:space="preserve"> Programme</w:t>
      </w:r>
      <w:r w:rsidRPr="6FEB1686">
        <w:rPr>
          <w:rFonts w:eastAsia="Times New Roman"/>
          <w:noProof/>
          <w:lang w:val="en-US" w:eastAsia="ja-JP"/>
        </w:rPr>
        <w:t xml:space="preserve"> are closely linked to the promotion of fundamental rights and are thus in line with the Charter of Fundamental Rights of the EU. In particular, this proposal will contribute to the promotion and protection of the rights</w:t>
      </w:r>
      <w:r>
        <w:rPr>
          <w:rFonts w:eastAsia="Times New Roman"/>
          <w:noProof/>
          <w:lang w:val="en-US" w:eastAsia="ja-JP"/>
        </w:rPr>
        <w:t xml:space="preserve"> and principles</w:t>
      </w:r>
      <w:r w:rsidRPr="6FEB1686">
        <w:rPr>
          <w:rFonts w:eastAsia="Times New Roman"/>
          <w:noProof/>
          <w:lang w:val="en-US" w:eastAsia="ja-JP"/>
        </w:rPr>
        <w:t xml:space="preserve"> enshrined in Article</w:t>
      </w:r>
      <w:r>
        <w:rPr>
          <w:rFonts w:eastAsia="Times New Roman"/>
          <w:noProof/>
          <w:lang w:val="en-US" w:eastAsia="ja-JP"/>
        </w:rPr>
        <w:t>s</w:t>
      </w:r>
      <w:r w:rsidRPr="6FEB1686">
        <w:rPr>
          <w:rFonts w:eastAsia="Times New Roman"/>
          <w:noProof/>
          <w:lang w:val="en-US" w:eastAsia="ja-JP"/>
        </w:rPr>
        <w:t xml:space="preserve"> 8 (protection of personal data), 11 (freedom of expression, right</w:t>
      </w:r>
      <w:r w:rsidRPr="6FEB1686">
        <w:rPr>
          <w:rFonts w:eastAsia="Times New Roman"/>
          <w:strike/>
          <w:noProof/>
          <w:color w:val="498205"/>
          <w:lang w:val="en-US" w:eastAsia="ja-JP"/>
        </w:rPr>
        <w:t>s</w:t>
      </w:r>
      <w:r w:rsidRPr="6FEB1686">
        <w:rPr>
          <w:rFonts w:eastAsia="Times New Roman"/>
          <w:noProof/>
          <w:lang w:val="en-US" w:eastAsia="ja-JP"/>
        </w:rPr>
        <w:t xml:space="preserve"> to information, media freedom and pluralism), 12 (freedom of assembly and of association), 13 (freedom of the arts and science), 15 (freedom to choose an occupation and right to engage in work), 20 and 21 (equality and non-discrimination), 22 (cultural and linguistic diversity), 23 (equality between women and men), 24 (rights of the child), 26 (rights of persons with disabilities), 31 (fair and just working conditions), 32 (prohibition of child labour and protection of young people at work), 33 (family and</w:t>
      </w:r>
      <w:r w:rsidRPr="6FEB1686">
        <w:rPr>
          <w:rFonts w:eastAsia="Times New Roman"/>
          <w:noProof/>
          <w:lang w:val="en-US" w:eastAsia="ja-JP"/>
        </w:rPr>
        <w:t xml:space="preserve"> professional life),</w:t>
      </w:r>
      <w:r>
        <w:rPr>
          <w:rFonts w:eastAsia="Times New Roman"/>
          <w:noProof/>
          <w:lang w:val="en-US" w:eastAsia="ja-JP"/>
        </w:rPr>
        <w:t xml:space="preserve"> </w:t>
      </w:r>
      <w:r w:rsidRPr="6FEB1686">
        <w:rPr>
          <w:rFonts w:eastAsia="Times New Roman"/>
          <w:noProof/>
          <w:lang w:val="en-US" w:eastAsia="ja-JP"/>
        </w:rPr>
        <w:t>39 to 46 (citizens’ rights) of the Charter. </w:t>
      </w:r>
    </w:p>
    <w:p w14:paraId="5C0481EE" w14:textId="77777777" w:rsidR="005B7178" w:rsidRDefault="005B7178">
      <w:pPr>
        <w:pStyle w:val="ManualHeading1"/>
        <w:rPr>
          <w:noProof/>
        </w:rPr>
      </w:pPr>
      <w:r w:rsidRPr="00550536">
        <w:rPr>
          <w:noProof/>
        </w:rPr>
        <w:t>4.</w:t>
      </w:r>
      <w:r w:rsidRPr="00550536">
        <w:rPr>
          <w:noProof/>
        </w:rPr>
        <w:tab/>
        <w:t>BUDGETARY IMPLICATIONS</w:t>
      </w:r>
    </w:p>
    <w:p w14:paraId="33F96DD0" w14:textId="77777777" w:rsidR="005B7178" w:rsidRPr="00CD3FCA" w:rsidRDefault="005B7178">
      <w:pPr>
        <w:pBdr>
          <w:top w:val="nil"/>
          <w:left w:val="nil"/>
          <w:bottom w:val="nil"/>
          <w:right w:val="nil"/>
          <w:between w:val="nil"/>
          <w:bar w:val="nil"/>
        </w:pBdr>
        <w:spacing w:before="0" w:after="240"/>
        <w:rPr>
          <w:rFonts w:eastAsia="Arial Unicode MS"/>
          <w:noProof/>
        </w:rPr>
      </w:pPr>
      <w:r>
        <w:rPr>
          <w:rFonts w:eastAsia="Arial Unicode MS"/>
          <w:noProof/>
        </w:rPr>
        <w:t>see Annex</w:t>
      </w:r>
    </w:p>
    <w:p w14:paraId="02F6A30D" w14:textId="77777777" w:rsidR="005B7178" w:rsidRPr="00550536" w:rsidRDefault="005B7178">
      <w:pPr>
        <w:pStyle w:val="ManualHeading1"/>
        <w:rPr>
          <w:noProof/>
        </w:rPr>
      </w:pPr>
      <w:r w:rsidRPr="00550536">
        <w:rPr>
          <w:noProof/>
        </w:rPr>
        <w:t>5.</w:t>
      </w:r>
      <w:r w:rsidRPr="00550536">
        <w:rPr>
          <w:noProof/>
        </w:rPr>
        <w:tab/>
        <w:t>OTHER ELEMENTS</w:t>
      </w:r>
    </w:p>
    <w:p w14:paraId="4AD9DF12" w14:textId="77777777" w:rsidR="005B7178" w:rsidRDefault="005B717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234F9BF8" w14:textId="77777777" w:rsidR="005B7178" w:rsidRPr="00A44D37" w:rsidRDefault="005B7178">
      <w:pPr>
        <w:spacing w:before="0" w:after="160"/>
        <w:textAlignment w:val="baseline"/>
        <w:rPr>
          <w:rFonts w:ascii="Segoe UI" w:hAnsi="Segoe UI" w:cs="Segoe UI"/>
          <w:noProof/>
          <w:sz w:val="18"/>
          <w:szCs w:val="18"/>
          <w:lang w:val="en-US" w:eastAsia="ja-JP"/>
        </w:rPr>
      </w:pPr>
      <w:r w:rsidRPr="233EE902">
        <w:rPr>
          <w:rFonts w:eastAsia="Times New Roman"/>
          <w:noProof/>
          <w:lang w:val="en-US" w:eastAsia="ja-JP"/>
        </w:rPr>
        <w:t xml:space="preserve">This initiative will be monitored through the performance framework for the </w:t>
      </w:r>
      <w:r>
        <w:rPr>
          <w:rFonts w:eastAsia="Times New Roman"/>
          <w:noProof/>
          <w:lang w:val="en-US" w:eastAsia="ja-JP"/>
        </w:rPr>
        <w:t>2028-2034</w:t>
      </w:r>
      <w:r w:rsidRPr="233EE902">
        <w:rPr>
          <w:rFonts w:eastAsia="Times New Roman"/>
          <w:noProof/>
          <w:lang w:val="en-US" w:eastAsia="ja-JP"/>
        </w:rPr>
        <w:t xml:space="preserve"> budget</w:t>
      </w:r>
      <w:r>
        <w:rPr>
          <w:rFonts w:eastAsia="Times New Roman"/>
          <w:noProof/>
          <w:lang w:val="en-US" w:eastAsia="ja-JP"/>
        </w:rPr>
        <w:t xml:space="preserve"> defined in </w:t>
      </w:r>
      <w:r w:rsidRPr="5A36E2EF">
        <w:rPr>
          <w:rFonts w:eastAsia="Times New Roman"/>
          <w:noProof/>
          <w:lang w:val="en-US" w:eastAsia="ja-JP"/>
        </w:rPr>
        <w:t xml:space="preserve">Regulation </w:t>
      </w:r>
      <w:r w:rsidRPr="47296313">
        <w:rPr>
          <w:rFonts w:eastAsia="Times New Roman"/>
          <w:noProof/>
          <w:lang w:val="en-US" w:eastAsia="ja-JP"/>
        </w:rPr>
        <w:t>(EU) [</w:t>
      </w:r>
      <w:r w:rsidRPr="49481D42">
        <w:rPr>
          <w:rFonts w:eastAsia="Times New Roman"/>
          <w:noProof/>
          <w:lang w:val="en-US" w:eastAsia="ja-JP"/>
        </w:rPr>
        <w:t xml:space="preserve">XXX]* of the European Parliament and of the Council </w:t>
      </w:r>
      <w:r w:rsidRPr="49481D42">
        <w:rPr>
          <w:rFonts w:eastAsia="Times New Roman"/>
          <w:noProof/>
          <w:lang w:val="en-US" w:eastAsia="ja-JP"/>
        </w:rPr>
        <w:lastRenderedPageBreak/>
        <w:t>[</w:t>
      </w:r>
      <w:r w:rsidRPr="004F1131">
        <w:rPr>
          <w:rFonts w:eastAsia="Times New Roman"/>
          <w:noProof/>
          <w:lang w:val="en-US" w:eastAsia="ja-JP"/>
        </w:rPr>
        <w:t>Performance</w:t>
      </w:r>
      <w:r w:rsidRPr="555778DE">
        <w:rPr>
          <w:rFonts w:eastAsia="Times New Roman"/>
          <w:noProof/>
          <w:lang w:val="en-US" w:eastAsia="ja-JP"/>
        </w:rPr>
        <w:t>]</w:t>
      </w:r>
      <w:r w:rsidRPr="00362D80">
        <w:rPr>
          <w:rFonts w:eastAsia="Times New Roman"/>
          <w:noProof/>
          <w:lang w:val="en-US" w:eastAsia="ja-JP"/>
        </w:rPr>
        <w:t xml:space="preserve">, </w:t>
      </w:r>
      <w:r>
        <w:rPr>
          <w:rFonts w:eastAsia="Times New Roman"/>
          <w:noProof/>
          <w:lang w:val="en-US" w:eastAsia="ja-JP"/>
        </w:rPr>
        <w:t xml:space="preserve">which also details the specific rules regarding evaluations. </w:t>
      </w:r>
      <w:r w:rsidRPr="233EE902">
        <w:rPr>
          <w:rFonts w:eastAsia="Times New Roman"/>
          <w:noProof/>
          <w:lang w:val="en-US" w:eastAsia="ja-JP"/>
        </w:rPr>
        <w:t xml:space="preserve">The evaluation shall be conducted in accordance with the Commission's Better Regulation Guidelines and will be based on indicators relevant to the objectives of the </w:t>
      </w:r>
      <w:r>
        <w:rPr>
          <w:rFonts w:eastAsia="Times New Roman"/>
          <w:noProof/>
          <w:lang w:val="en-US" w:eastAsia="ja-JP"/>
        </w:rPr>
        <w:t>P</w:t>
      </w:r>
      <w:r w:rsidRPr="233EE902">
        <w:rPr>
          <w:rFonts w:eastAsia="Times New Roman"/>
          <w:noProof/>
          <w:lang w:val="en-US" w:eastAsia="ja-JP"/>
        </w:rPr>
        <w:t>rogramme.   </w:t>
      </w:r>
    </w:p>
    <w:p w14:paraId="401F4F30" w14:textId="77777777" w:rsidR="005B7178" w:rsidRPr="00F900FE" w:rsidRDefault="005B7178" w:rsidP="00685C79">
      <w:pPr>
        <w:spacing w:before="0" w:after="160"/>
        <w:textAlignment w:val="baseline"/>
        <w:rPr>
          <w:rFonts w:eastAsia="Times New Roman"/>
          <w:noProof/>
          <w:color w:val="333333"/>
          <w:szCs w:val="24"/>
          <w:lang w:eastAsia="ja-JP"/>
        </w:rPr>
      </w:pPr>
      <w:r w:rsidRPr="00F900FE">
        <w:rPr>
          <w:rFonts w:eastAsia="Times New Roman"/>
          <w:noProof/>
          <w:color w:val="333333"/>
          <w:szCs w:val="24"/>
          <w:lang w:eastAsia="ja-JP"/>
        </w:rPr>
        <w:t xml:space="preserve">A part of the </w:t>
      </w:r>
      <w:r>
        <w:rPr>
          <w:rFonts w:eastAsia="Times New Roman"/>
          <w:noProof/>
          <w:color w:val="333333"/>
          <w:szCs w:val="24"/>
          <w:lang w:eastAsia="ja-JP"/>
        </w:rPr>
        <w:t>P</w:t>
      </w:r>
      <w:r w:rsidRPr="00F900FE">
        <w:rPr>
          <w:rFonts w:eastAsia="Times New Roman"/>
          <w:noProof/>
          <w:color w:val="333333"/>
          <w:szCs w:val="24"/>
          <w:lang w:eastAsia="ja-JP"/>
        </w:rPr>
        <w:t xml:space="preserve">rogramme will be implemented by </w:t>
      </w:r>
      <w:r>
        <w:rPr>
          <w:rFonts w:eastAsia="Times New Roman"/>
          <w:noProof/>
          <w:color w:val="333333"/>
          <w:szCs w:val="24"/>
          <w:lang w:eastAsia="ja-JP"/>
        </w:rPr>
        <w:t>an</w:t>
      </w:r>
      <w:r w:rsidRPr="00F900FE">
        <w:rPr>
          <w:rFonts w:eastAsia="Times New Roman"/>
          <w:noProof/>
          <w:color w:val="333333"/>
          <w:szCs w:val="24"/>
          <w:lang w:eastAsia="ja-JP"/>
        </w:rPr>
        <w:t xml:space="preserve"> </w:t>
      </w:r>
      <w:r w:rsidRPr="00F900FE">
        <w:rPr>
          <w:rFonts w:eastAsia="Times New Roman"/>
          <w:noProof/>
          <w:color w:val="333333"/>
          <w:szCs w:val="24"/>
          <w:lang w:eastAsia="ja-JP"/>
        </w:rPr>
        <w:t xml:space="preserve">Executive Agency under the supervision of the Commission services responsible for the </w:t>
      </w:r>
      <w:r>
        <w:rPr>
          <w:rFonts w:eastAsia="Times New Roman"/>
          <w:noProof/>
          <w:color w:val="333333"/>
          <w:szCs w:val="24"/>
          <w:lang w:eastAsia="ja-JP"/>
        </w:rPr>
        <w:t>P</w:t>
      </w:r>
      <w:r w:rsidRPr="00F900FE">
        <w:rPr>
          <w:rFonts w:eastAsia="Times New Roman"/>
          <w:noProof/>
          <w:color w:val="333333"/>
          <w:szCs w:val="24"/>
          <w:lang w:eastAsia="ja-JP"/>
        </w:rPr>
        <w:t>rogramme. </w:t>
      </w:r>
    </w:p>
    <w:p w14:paraId="0C2DB2F7" w14:textId="77777777" w:rsidR="005B7178" w:rsidRDefault="005B717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50376EFE" w14:textId="77777777" w:rsidR="005B7178" w:rsidRPr="00B74D3E" w:rsidRDefault="005B7178" w:rsidP="000215A6">
      <w:pPr>
        <w:rPr>
          <w:noProof/>
          <w:sz w:val="22"/>
        </w:rPr>
      </w:pPr>
      <w:r w:rsidRPr="174E16F1">
        <w:rPr>
          <w:noProof/>
          <w:lang w:eastAsia="ja-JP"/>
        </w:rPr>
        <w:t xml:space="preserve">The general objectives of the Programme are to promote cultural and linguistic diversity and heritage, to increase the competitiveness of the cultural and creative sectors, in particular the media and audiovisual industries, </w:t>
      </w:r>
      <w:r w:rsidRPr="00843D4A">
        <w:rPr>
          <w:noProof/>
          <w:lang w:eastAsia="ja-JP"/>
        </w:rPr>
        <w:t>to safeguard artistic and media freedom,</w:t>
      </w:r>
      <w:r w:rsidRPr="174E16F1">
        <w:rPr>
          <w:noProof/>
          <w:lang w:eastAsia="ja-JP"/>
        </w:rPr>
        <w:t xml:space="preserve"> and to protect and promote equality, </w:t>
      </w:r>
      <w:r>
        <w:rPr>
          <w:noProof/>
          <w:lang w:eastAsia="ja-JP"/>
        </w:rPr>
        <w:t xml:space="preserve">active </w:t>
      </w:r>
      <w:r w:rsidRPr="174E16F1">
        <w:rPr>
          <w:noProof/>
          <w:lang w:eastAsia="ja-JP"/>
        </w:rPr>
        <w:t>citizenship, rights and values as enshrined in the Treaties and in the Charter, thereby enhancing democratic participation and societal resilience</w:t>
      </w:r>
      <w:r>
        <w:rPr>
          <w:noProof/>
          <w:lang w:eastAsia="ja-JP"/>
        </w:rPr>
        <w:t xml:space="preserve"> within the Union</w:t>
      </w:r>
      <w:r w:rsidRPr="174E16F1">
        <w:rPr>
          <w:noProof/>
          <w:lang w:eastAsia="ja-JP"/>
        </w:rPr>
        <w:t>.</w:t>
      </w:r>
    </w:p>
    <w:p w14:paraId="79A9E820" w14:textId="77777777" w:rsidR="005B7178" w:rsidRDefault="005B7178" w:rsidP="00685C79">
      <w:pPr>
        <w:spacing w:before="0" w:after="160"/>
        <w:textAlignment w:val="baseline"/>
        <w:rPr>
          <w:rFonts w:eastAsia="Times New Roman"/>
          <w:noProof/>
          <w:lang w:eastAsia="ja-JP"/>
        </w:rPr>
      </w:pPr>
      <w:r>
        <w:rPr>
          <w:rFonts w:eastAsia="Times New Roman"/>
          <w:noProof/>
          <w:lang w:eastAsia="ja-JP"/>
        </w:rPr>
        <w:t>Within this general objective, the Programme shall have three separate strands:</w:t>
      </w:r>
    </w:p>
    <w:p w14:paraId="063B1C5F" w14:textId="77777777" w:rsidR="005B7178" w:rsidRPr="006C122C" w:rsidRDefault="005B7178" w:rsidP="00B74D3E">
      <w:pPr>
        <w:spacing w:before="0" w:after="160"/>
        <w:textAlignment w:val="baseline"/>
        <w:rPr>
          <w:rStyle w:val="normaltextrun"/>
          <w:noProof/>
          <w:lang w:eastAsia="ja-JP"/>
        </w:rPr>
      </w:pPr>
      <w:r>
        <w:rPr>
          <w:noProof/>
          <w:lang w:eastAsia="ja-JP"/>
        </w:rPr>
        <w:t>First, the</w:t>
      </w:r>
      <w:r>
        <w:rPr>
          <w:noProof/>
          <w:lang w:eastAsia="ja-JP"/>
        </w:rPr>
        <w:t xml:space="preserve"> </w:t>
      </w:r>
      <w:r>
        <w:rPr>
          <w:noProof/>
          <w:lang w:eastAsia="ja-JP"/>
        </w:rPr>
        <w:t>‘</w:t>
      </w:r>
      <w:r>
        <w:rPr>
          <w:noProof/>
          <w:lang w:eastAsia="ja-JP"/>
        </w:rPr>
        <w:t xml:space="preserve">Creative Europe </w:t>
      </w:r>
      <w:r>
        <w:rPr>
          <w:noProof/>
          <w:lang w:eastAsia="ja-JP"/>
        </w:rPr>
        <w:t>–</w:t>
      </w:r>
      <w:r>
        <w:rPr>
          <w:noProof/>
          <w:lang w:eastAsia="ja-JP"/>
        </w:rPr>
        <w:t xml:space="preserve"> </w:t>
      </w:r>
      <w:r>
        <w:rPr>
          <w:noProof/>
          <w:lang w:eastAsia="ja-JP"/>
        </w:rPr>
        <w:t>Culture</w:t>
      </w:r>
      <w:r>
        <w:rPr>
          <w:noProof/>
          <w:lang w:eastAsia="ja-JP"/>
        </w:rPr>
        <w:t>’</w:t>
      </w:r>
      <w:r>
        <w:rPr>
          <w:noProof/>
          <w:lang w:eastAsia="ja-JP"/>
        </w:rPr>
        <w:t xml:space="preserve"> strand,</w:t>
      </w:r>
      <w:r>
        <w:rPr>
          <w:rStyle w:val="normaltextrun"/>
          <w:noProof/>
        </w:rPr>
        <w:t xml:space="preserve"> which will implement the following specific objective: </w:t>
      </w:r>
    </w:p>
    <w:p w14:paraId="24BC2F05" w14:textId="77777777" w:rsidR="005B7178" w:rsidRDefault="005B7178" w:rsidP="00B66E94">
      <w:pPr>
        <w:pStyle w:val="Point0"/>
        <w:rPr>
          <w:noProof/>
          <w:lang w:eastAsia="ja-JP"/>
        </w:rPr>
      </w:pPr>
      <w:r w:rsidRPr="00B66E94">
        <w:rPr>
          <w:noProof/>
        </w:rPr>
        <w:t>(a)</w:t>
      </w:r>
      <w:r w:rsidRPr="00B66E94">
        <w:rPr>
          <w:noProof/>
        </w:rPr>
        <w:tab/>
      </w:r>
      <w:r w:rsidRPr="285119B8">
        <w:rPr>
          <w:rStyle w:val="normaltextrun"/>
          <w:noProof/>
        </w:rPr>
        <w:t xml:space="preserve">Contribute to </w:t>
      </w:r>
      <w:r>
        <w:rPr>
          <w:rStyle w:val="normaltextrun"/>
          <w:noProof/>
        </w:rPr>
        <w:t xml:space="preserve">cross-border cultural </w:t>
      </w:r>
      <w:r w:rsidRPr="5B0DA49C">
        <w:rPr>
          <w:rStyle w:val="normaltextrun"/>
          <w:noProof/>
        </w:rPr>
        <w:t xml:space="preserve">creation, </w:t>
      </w:r>
      <w:r>
        <w:rPr>
          <w:rStyle w:val="normaltextrun"/>
          <w:noProof/>
        </w:rPr>
        <w:t xml:space="preserve">cooperation, participation and accessibility, and </w:t>
      </w:r>
      <w:r w:rsidRPr="3141841E">
        <w:rPr>
          <w:rStyle w:val="normaltextrun"/>
          <w:noProof/>
        </w:rPr>
        <w:t xml:space="preserve">cross-border </w:t>
      </w:r>
      <w:r w:rsidRPr="15EE6391">
        <w:rPr>
          <w:rStyle w:val="normaltextrun"/>
          <w:noProof/>
        </w:rPr>
        <w:t>circulation</w:t>
      </w:r>
      <w:r>
        <w:rPr>
          <w:rStyle w:val="normaltextrun"/>
          <w:noProof/>
        </w:rPr>
        <w:t xml:space="preserve"> of </w:t>
      </w:r>
      <w:r w:rsidRPr="737F822A">
        <w:rPr>
          <w:rStyle w:val="normaltextrun"/>
          <w:noProof/>
        </w:rPr>
        <w:t xml:space="preserve">a diversity of </w:t>
      </w:r>
      <w:r>
        <w:rPr>
          <w:rStyle w:val="normaltextrun"/>
          <w:noProof/>
        </w:rPr>
        <w:t xml:space="preserve">cultural works, while strengthening </w:t>
      </w:r>
      <w:r w:rsidRPr="006DF0A6">
        <w:rPr>
          <w:rStyle w:val="normaltextrun"/>
          <w:noProof/>
        </w:rPr>
        <w:t>the social, economic</w:t>
      </w:r>
      <w:r>
        <w:rPr>
          <w:rStyle w:val="normaltextrun"/>
          <w:noProof/>
        </w:rPr>
        <w:t xml:space="preserve"> </w:t>
      </w:r>
      <w:r w:rsidRPr="006DF0A6">
        <w:rPr>
          <w:rStyle w:val="normaltextrun"/>
          <w:noProof/>
        </w:rPr>
        <w:t xml:space="preserve">and international dimensions of the </w:t>
      </w:r>
      <w:r>
        <w:rPr>
          <w:rStyle w:val="normaltextrun"/>
          <w:noProof/>
        </w:rPr>
        <w:t xml:space="preserve">cultural and creative </w:t>
      </w:r>
      <w:r w:rsidRPr="3141841E">
        <w:rPr>
          <w:rStyle w:val="normaltextrun"/>
          <w:noProof/>
        </w:rPr>
        <w:t>sectors</w:t>
      </w:r>
      <w:r>
        <w:rPr>
          <w:rStyle w:val="normaltextrun"/>
          <w:noProof/>
        </w:rPr>
        <w:t>. </w:t>
      </w:r>
      <w:r>
        <w:rPr>
          <w:rStyle w:val="eop"/>
          <w:noProof/>
        </w:rPr>
        <w:t> </w:t>
      </w:r>
      <w:r>
        <w:rPr>
          <w:noProof/>
          <w:lang w:eastAsia="ja-JP"/>
        </w:rPr>
        <w:t xml:space="preserve"> </w:t>
      </w:r>
    </w:p>
    <w:p w14:paraId="6264A9BB" w14:textId="77777777" w:rsidR="005B7178" w:rsidRPr="006C122C" w:rsidRDefault="005B7178" w:rsidP="00B74D3E">
      <w:pPr>
        <w:rPr>
          <w:noProof/>
          <w:lang w:eastAsia="ja-JP"/>
        </w:rPr>
      </w:pPr>
      <w:r>
        <w:rPr>
          <w:noProof/>
          <w:lang w:eastAsia="ja-JP"/>
        </w:rPr>
        <w:t xml:space="preserve">Second, the </w:t>
      </w:r>
      <w:r>
        <w:rPr>
          <w:noProof/>
          <w:lang w:eastAsia="ja-JP"/>
        </w:rPr>
        <w:t>‘</w:t>
      </w:r>
      <w:r>
        <w:rPr>
          <w:noProof/>
          <w:lang w:eastAsia="ja-JP"/>
        </w:rPr>
        <w:t>MEDIA</w:t>
      </w:r>
      <w:r w:rsidRPr="006C122C">
        <w:rPr>
          <w:noProof/>
          <w:lang w:eastAsia="ja-JP"/>
        </w:rPr>
        <w:t>+</w:t>
      </w:r>
      <w:r>
        <w:rPr>
          <w:noProof/>
          <w:lang w:eastAsia="ja-JP"/>
        </w:rPr>
        <w:t>’</w:t>
      </w:r>
      <w:r w:rsidRPr="006C122C">
        <w:rPr>
          <w:noProof/>
          <w:lang w:eastAsia="ja-JP"/>
        </w:rPr>
        <w:t xml:space="preserve"> strand, which will implement the following specific objectives: </w:t>
      </w:r>
    </w:p>
    <w:p w14:paraId="4AD05FBF" w14:textId="77777777" w:rsidR="005B7178" w:rsidRPr="000375E4" w:rsidRDefault="005B7178" w:rsidP="00B66E94">
      <w:pPr>
        <w:pStyle w:val="Point0"/>
        <w:rPr>
          <w:rStyle w:val="eop"/>
          <w:noProof/>
        </w:rPr>
      </w:pPr>
      <w:r w:rsidRPr="00B66E94">
        <w:rPr>
          <w:rStyle w:val="eop"/>
          <w:noProof/>
        </w:rPr>
        <w:t>(a)</w:t>
      </w:r>
      <w:r w:rsidRPr="00B66E94">
        <w:rPr>
          <w:rStyle w:val="eop"/>
          <w:noProof/>
        </w:rPr>
        <w:tab/>
      </w:r>
      <w:r>
        <w:rPr>
          <w:rStyle w:val="normaltextrun"/>
          <w:noProof/>
        </w:rPr>
        <w:t xml:space="preserve">Contribute </w:t>
      </w:r>
      <w:r>
        <w:rPr>
          <w:rStyle w:val="normaltextrun"/>
          <w:noProof/>
        </w:rPr>
        <w:t xml:space="preserve">to the cultural diversity and competitiveness of the audiovisual and </w:t>
      </w:r>
      <w:r>
        <w:rPr>
          <w:rStyle w:val="normaltextrun"/>
          <w:noProof/>
        </w:rPr>
        <w:t>video games industries, notably by enhancing creation and cross-border distribution of European content and its access by citizens</w:t>
      </w:r>
      <w:r w:rsidRPr="000375E4">
        <w:rPr>
          <w:rStyle w:val="normaltextrun"/>
          <w:noProof/>
        </w:rPr>
        <w:t>.</w:t>
      </w:r>
    </w:p>
    <w:p w14:paraId="36F6030C" w14:textId="77777777" w:rsidR="005B7178" w:rsidRPr="000375E4" w:rsidRDefault="005B7178" w:rsidP="00B66E94">
      <w:pPr>
        <w:pStyle w:val="Point0"/>
        <w:rPr>
          <w:rStyle w:val="eop"/>
          <w:noProof/>
        </w:rPr>
      </w:pPr>
      <w:r w:rsidRPr="00B66E94">
        <w:rPr>
          <w:rStyle w:val="eop"/>
          <w:noProof/>
        </w:rPr>
        <w:t>(b)</w:t>
      </w:r>
      <w:r w:rsidRPr="00B66E94">
        <w:rPr>
          <w:rStyle w:val="eop"/>
          <w:noProof/>
        </w:rPr>
        <w:tab/>
      </w:r>
      <w:r w:rsidRPr="000375E4">
        <w:rPr>
          <w:rStyle w:val="normaltextrun"/>
          <w:noProof/>
        </w:rPr>
        <w:t xml:space="preserve">Contribute to a free, viable and diverse </w:t>
      </w:r>
      <w:r>
        <w:rPr>
          <w:rStyle w:val="normaltextrun"/>
          <w:noProof/>
        </w:rPr>
        <w:t>Union</w:t>
      </w:r>
      <w:r w:rsidRPr="007A0760">
        <w:rPr>
          <w:rStyle w:val="normaltextrun"/>
          <w:noProof/>
        </w:rPr>
        <w:t xml:space="preserve"> information ecosystem, notably by supporting free and independent journalism and news media, enhancing citizens’ access to trustworthy information and tackling disinformation</w:t>
      </w:r>
      <w:r w:rsidRPr="000375E4">
        <w:rPr>
          <w:rStyle w:val="normaltextrun"/>
          <w:noProof/>
        </w:rPr>
        <w:t xml:space="preserve">. </w:t>
      </w:r>
    </w:p>
    <w:p w14:paraId="16DFA2FA" w14:textId="77777777" w:rsidR="005B7178" w:rsidRPr="000375E4" w:rsidRDefault="005B7178" w:rsidP="000D0740">
      <w:pPr>
        <w:rPr>
          <w:noProof/>
        </w:rPr>
      </w:pPr>
      <w:r>
        <w:rPr>
          <w:noProof/>
        </w:rPr>
        <w:t>Third, the</w:t>
      </w:r>
      <w:r>
        <w:rPr>
          <w:noProof/>
        </w:rPr>
        <w:t xml:space="preserve"> </w:t>
      </w:r>
      <w:r>
        <w:rPr>
          <w:noProof/>
        </w:rPr>
        <w:t xml:space="preserve">Democracy, Citizens, Equality, Rights and </w:t>
      </w:r>
      <w:r w:rsidRPr="004F1131">
        <w:rPr>
          <w:noProof/>
        </w:rPr>
        <w:t>Values</w:t>
      </w:r>
      <w:r>
        <w:rPr>
          <w:noProof/>
        </w:rPr>
        <w:t xml:space="preserve"> (‘CERV+’)</w:t>
      </w:r>
      <w:r>
        <w:rPr>
          <w:noProof/>
        </w:rPr>
        <w:t xml:space="preserve"> </w:t>
      </w:r>
      <w:r w:rsidRPr="000375E4">
        <w:rPr>
          <w:noProof/>
        </w:rPr>
        <w:t>strand, which will implement the following specific objective</w:t>
      </w:r>
      <w:r>
        <w:rPr>
          <w:noProof/>
        </w:rPr>
        <w:t>s</w:t>
      </w:r>
      <w:r w:rsidRPr="000375E4">
        <w:rPr>
          <w:noProof/>
        </w:rPr>
        <w:t xml:space="preserve">: </w:t>
      </w:r>
    </w:p>
    <w:p w14:paraId="1C7C0C77" w14:textId="77777777" w:rsidR="005B7178" w:rsidRPr="00FC3010" w:rsidRDefault="005B7178" w:rsidP="00B66E94">
      <w:pPr>
        <w:pStyle w:val="Point0"/>
        <w:rPr>
          <w:rStyle w:val="normaltextrun"/>
          <w:noProof/>
        </w:rPr>
      </w:pPr>
      <w:r w:rsidRPr="00B66E94">
        <w:rPr>
          <w:rStyle w:val="normaltextrun"/>
          <w:noProof/>
        </w:rPr>
        <w:t>(a)</w:t>
      </w:r>
      <w:r w:rsidRPr="00B66E94">
        <w:rPr>
          <w:rStyle w:val="normaltextrun"/>
          <w:noProof/>
        </w:rPr>
        <w:tab/>
      </w:r>
      <w:r w:rsidRPr="00AB0041">
        <w:rPr>
          <w:rStyle w:val="eop"/>
          <w:noProof/>
        </w:rPr>
        <w:t xml:space="preserve">Contribute </w:t>
      </w:r>
      <w:r w:rsidRPr="007A0760">
        <w:rPr>
          <w:rStyle w:val="normaltextrun"/>
          <w:noProof/>
        </w:rPr>
        <w:t>to protecting and promoting fundamental rights,</w:t>
      </w:r>
      <w:r w:rsidRPr="00E11C1B">
        <w:rPr>
          <w:rStyle w:val="normaltextrun"/>
          <w:noProof/>
        </w:rPr>
        <w:t xml:space="preserve"> </w:t>
      </w:r>
      <w:r w:rsidRPr="007A0760">
        <w:rPr>
          <w:rStyle w:val="normaltextrun"/>
          <w:noProof/>
        </w:rPr>
        <w:t>equality and non-discrimination</w:t>
      </w:r>
      <w:r w:rsidRPr="007A0760">
        <w:rPr>
          <w:rStyle w:val="normaltextrun"/>
          <w:noProof/>
        </w:rPr>
        <w:t xml:space="preserve"> </w:t>
      </w:r>
      <w:r>
        <w:rPr>
          <w:rStyle w:val="normaltextrun"/>
          <w:noProof/>
        </w:rPr>
        <w:t xml:space="preserve">and </w:t>
      </w:r>
      <w:r>
        <w:rPr>
          <w:rStyle w:val="normaltextrun"/>
          <w:noProof/>
        </w:rPr>
        <w:t xml:space="preserve">Union </w:t>
      </w:r>
      <w:r w:rsidRPr="007A0760">
        <w:rPr>
          <w:rStyle w:val="normaltextrun"/>
          <w:noProof/>
        </w:rPr>
        <w:t>citizen</w:t>
      </w:r>
      <w:r>
        <w:rPr>
          <w:rStyle w:val="normaltextrun"/>
          <w:noProof/>
        </w:rPr>
        <w:t>s</w:t>
      </w:r>
      <w:r w:rsidRPr="007A0760">
        <w:rPr>
          <w:rStyle w:val="normaltextrun"/>
          <w:noProof/>
        </w:rPr>
        <w:t>’ rights enshrined in the Treaties including free movement of citizens, and empower</w:t>
      </w:r>
      <w:r>
        <w:rPr>
          <w:rStyle w:val="normaltextrun"/>
          <w:noProof/>
        </w:rPr>
        <w:t>ing</w:t>
      </w:r>
      <w:r w:rsidRPr="007A0760">
        <w:rPr>
          <w:rStyle w:val="normaltextrun"/>
          <w:noProof/>
        </w:rPr>
        <w:t xml:space="preserve"> civil </w:t>
      </w:r>
      <w:r w:rsidRPr="007A0760">
        <w:rPr>
          <w:rStyle w:val="normaltextrun"/>
          <w:noProof/>
        </w:rPr>
        <w:t>society</w:t>
      </w:r>
      <w:r w:rsidRPr="5318CE68">
        <w:rPr>
          <w:rStyle w:val="normaltextrun"/>
          <w:noProof/>
        </w:rPr>
        <w:t>.</w:t>
      </w:r>
    </w:p>
    <w:p w14:paraId="5DF6FB2F" w14:textId="77777777" w:rsidR="005B7178" w:rsidRPr="00AB0041" w:rsidRDefault="005B7178" w:rsidP="00B66E94">
      <w:pPr>
        <w:pStyle w:val="Point0"/>
        <w:rPr>
          <w:rStyle w:val="eop"/>
          <w:noProof/>
        </w:rPr>
      </w:pPr>
      <w:r w:rsidRPr="00B66E94">
        <w:rPr>
          <w:rStyle w:val="eop"/>
          <w:noProof/>
        </w:rPr>
        <w:t>(b)</w:t>
      </w:r>
      <w:r w:rsidRPr="00B66E94">
        <w:rPr>
          <w:rStyle w:val="eop"/>
          <w:noProof/>
        </w:rPr>
        <w:tab/>
      </w:r>
      <w:r w:rsidRPr="00AB0041">
        <w:rPr>
          <w:rStyle w:val="eop"/>
          <w:noProof/>
        </w:rPr>
        <w:t xml:space="preserve">Contribute </w:t>
      </w:r>
      <w:r w:rsidRPr="007A0760">
        <w:rPr>
          <w:rStyle w:val="normaltextrun"/>
          <w:noProof/>
        </w:rPr>
        <w:t xml:space="preserve">to fighting against </w:t>
      </w:r>
      <w:r w:rsidRPr="007A0760">
        <w:rPr>
          <w:rStyle w:val="normaltextrun"/>
          <w:noProof/>
        </w:rPr>
        <w:t>gender-based violence, violence against children and other groups at risk</w:t>
      </w:r>
      <w:r w:rsidRPr="007A0760">
        <w:rPr>
          <w:rStyle w:val="normaltextrun"/>
          <w:noProof/>
        </w:rPr>
        <w:t xml:space="preserve"> </w:t>
      </w:r>
      <w:r>
        <w:rPr>
          <w:rStyle w:val="normaltextrun"/>
          <w:noProof/>
        </w:rPr>
        <w:t>of such violence</w:t>
      </w:r>
      <w:r w:rsidRPr="5318CE68">
        <w:rPr>
          <w:rStyle w:val="normaltextrun"/>
          <w:noProof/>
        </w:rPr>
        <w:t>.</w:t>
      </w:r>
    </w:p>
    <w:p w14:paraId="670F1EA0" w14:textId="77777777" w:rsidR="005B7178" w:rsidRPr="000375E4" w:rsidRDefault="005B7178" w:rsidP="00B66E94">
      <w:pPr>
        <w:pStyle w:val="Point0"/>
        <w:rPr>
          <w:rStyle w:val="eop"/>
          <w:noProof/>
        </w:rPr>
      </w:pPr>
      <w:r w:rsidRPr="00B66E94">
        <w:rPr>
          <w:rStyle w:val="eop"/>
          <w:noProof/>
        </w:rPr>
        <w:t>(c)</w:t>
      </w:r>
      <w:r w:rsidRPr="00B66E94">
        <w:rPr>
          <w:rStyle w:val="eop"/>
          <w:noProof/>
        </w:rPr>
        <w:tab/>
      </w:r>
      <w:r w:rsidRPr="000375E4">
        <w:rPr>
          <w:noProof/>
        </w:rPr>
        <w:t xml:space="preserve">Contribute </w:t>
      </w:r>
      <w:r w:rsidRPr="007A0760">
        <w:rPr>
          <w:rStyle w:val="normaltextrun"/>
          <w:noProof/>
        </w:rPr>
        <w:t xml:space="preserve">to enhancing democratic participation and upholding the rule of </w:t>
      </w:r>
      <w:r w:rsidRPr="007A0760">
        <w:rPr>
          <w:rStyle w:val="normaltextrun"/>
          <w:noProof/>
        </w:rPr>
        <w:t>law</w:t>
      </w:r>
      <w:r>
        <w:rPr>
          <w:noProof/>
        </w:rPr>
        <w:t>.</w:t>
      </w:r>
    </w:p>
    <w:p w14:paraId="4A16D730" w14:textId="77777777" w:rsidR="005B7178" w:rsidRDefault="005B7178" w:rsidP="00685C79">
      <w:pPr>
        <w:spacing w:before="0" w:after="0"/>
        <w:textAlignment w:val="baseline"/>
        <w:rPr>
          <w:rFonts w:eastAsia="Times New Roman"/>
          <w:noProof/>
          <w:lang w:val="en-US" w:eastAsia="ja-JP"/>
        </w:rPr>
      </w:pPr>
      <w:r w:rsidRPr="000375E4">
        <w:rPr>
          <w:rStyle w:val="normaltextrun"/>
          <w:noProof/>
        </w:rPr>
        <w:t>To maximise impact and enhance synergies</w:t>
      </w:r>
      <w:r w:rsidRPr="00CC4E11">
        <w:rPr>
          <w:rStyle w:val="normaltextrun"/>
          <w:iCs/>
          <w:noProof/>
        </w:rPr>
        <w:t xml:space="preserve"> across the </w:t>
      </w:r>
      <w:r>
        <w:rPr>
          <w:rStyle w:val="normaltextrun"/>
          <w:iCs/>
          <w:noProof/>
        </w:rPr>
        <w:t>s</w:t>
      </w:r>
      <w:r w:rsidRPr="00CC4E11">
        <w:rPr>
          <w:rStyle w:val="normaltextrun"/>
          <w:iCs/>
          <w:noProof/>
        </w:rPr>
        <w:t>trands</w:t>
      </w:r>
      <w:r>
        <w:rPr>
          <w:rStyle w:val="normaltextrun"/>
          <w:iCs/>
          <w:noProof/>
        </w:rPr>
        <w:t>,</w:t>
      </w:r>
      <w:r w:rsidRPr="00CC4E11">
        <w:rPr>
          <w:rStyle w:val="normaltextrun"/>
          <w:iCs/>
          <w:noProof/>
        </w:rPr>
        <w:t xml:space="preserve"> </w:t>
      </w:r>
      <w:r w:rsidRPr="00CC4E11">
        <w:rPr>
          <w:rStyle w:val="normaltextrun"/>
          <w:noProof/>
        </w:rPr>
        <w:t xml:space="preserve">the Programme shall support cross-cutting and horizontal activities contributing to the general objective, </w:t>
      </w:r>
      <w:r w:rsidRPr="00CC4E11">
        <w:rPr>
          <w:rStyle w:val="normaltextrun"/>
          <w:iCs/>
          <w:noProof/>
        </w:rPr>
        <w:t xml:space="preserve">notably </w:t>
      </w:r>
      <w:r w:rsidRPr="00CC4E11">
        <w:rPr>
          <w:rStyle w:val="normaltextrun"/>
          <w:noProof/>
        </w:rPr>
        <w:t xml:space="preserve">by developing synergies between the cultural, media and civic </w:t>
      </w:r>
      <w:r w:rsidRPr="00CC4E11">
        <w:rPr>
          <w:rStyle w:val="normaltextrun"/>
          <w:iCs/>
          <w:noProof/>
        </w:rPr>
        <w:t>spheres and</w:t>
      </w:r>
      <w:r w:rsidRPr="00CC4E11">
        <w:rPr>
          <w:rStyle w:val="normaltextrun"/>
          <w:noProof/>
        </w:rPr>
        <w:t xml:space="preserve"> promoting cross-sectoral collaboration and innovation</w:t>
      </w:r>
      <w:r>
        <w:rPr>
          <w:rFonts w:eastAsia="Times New Roman"/>
          <w:noProof/>
          <w:lang w:val="en-US" w:eastAsia="ja-JP"/>
        </w:rPr>
        <w:t>.</w:t>
      </w:r>
    </w:p>
    <w:p w14:paraId="694A17F7" w14:textId="77777777" w:rsidR="005B7178" w:rsidRPr="00A44D37" w:rsidRDefault="005B7178" w:rsidP="00685C79">
      <w:pPr>
        <w:spacing w:before="0" w:after="0"/>
        <w:textAlignment w:val="baseline"/>
        <w:rPr>
          <w:rFonts w:eastAsia="Times New Roman"/>
          <w:noProof/>
          <w:lang w:val="en-US" w:eastAsia="ja-JP"/>
        </w:rPr>
      </w:pPr>
    </w:p>
    <w:p w14:paraId="5A863C2A" w14:textId="77777777" w:rsidR="005B7178" w:rsidRPr="00A44D37" w:rsidRDefault="005B7178" w:rsidP="00685C79">
      <w:pPr>
        <w:spacing w:before="0" w:after="160"/>
        <w:textAlignment w:val="baseline"/>
        <w:rPr>
          <w:rFonts w:ascii="Segoe UI" w:eastAsia="Times New Roman" w:hAnsi="Segoe UI" w:cs="Segoe UI"/>
          <w:noProof/>
          <w:sz w:val="18"/>
          <w:szCs w:val="18"/>
          <w:lang w:val="en-US" w:eastAsia="ja-JP"/>
        </w:rPr>
      </w:pPr>
      <w:r w:rsidRPr="7A1D79A7">
        <w:rPr>
          <w:rFonts w:eastAsia="Times New Roman"/>
          <w:noProof/>
          <w:lang w:val="en-US" w:eastAsia="ja-JP"/>
        </w:rPr>
        <w:t xml:space="preserve">To be effective, the </w:t>
      </w:r>
      <w:r>
        <w:rPr>
          <w:rFonts w:eastAsia="Times New Roman"/>
          <w:noProof/>
          <w:lang w:val="en-US" w:eastAsia="ja-JP"/>
        </w:rPr>
        <w:t>P</w:t>
      </w:r>
      <w:r w:rsidRPr="7A1D79A7">
        <w:rPr>
          <w:rFonts w:eastAsia="Times New Roman"/>
          <w:noProof/>
          <w:lang w:val="en-US" w:eastAsia="ja-JP"/>
        </w:rPr>
        <w:t>rogramme should take into account the specific nature of the different policies, their different target groups</w:t>
      </w:r>
      <w:r>
        <w:rPr>
          <w:rFonts w:eastAsia="Times New Roman"/>
          <w:noProof/>
          <w:lang w:val="en-US" w:eastAsia="ja-JP"/>
        </w:rPr>
        <w:t xml:space="preserve"> </w:t>
      </w:r>
      <w:r w:rsidRPr="7A1D79A7">
        <w:rPr>
          <w:rFonts w:eastAsia="Times New Roman"/>
          <w:noProof/>
          <w:lang w:val="en-US" w:eastAsia="ja-JP"/>
        </w:rPr>
        <w:t>and their particular needs through targeted approaches. </w:t>
      </w:r>
    </w:p>
    <w:p w14:paraId="6ABF0480" w14:textId="77777777" w:rsidR="005B7178" w:rsidRPr="00685C79" w:rsidRDefault="005B7178">
      <w:pPr>
        <w:rPr>
          <w:noProof/>
          <w:lang w:val="en-US"/>
        </w:rPr>
        <w:sectPr w:rsidR="00D438C2" w:rsidRPr="00685C79" w:rsidSect="00AC3668">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pPr>
    </w:p>
    <w:p w14:paraId="3D1C9C42" w14:textId="77777777" w:rsidR="005B7178" w:rsidRDefault="005B7178" w:rsidP="006160F8">
      <w:pPr>
        <w:pStyle w:val="Rfrenceinterinstitutionnelle"/>
        <w:rPr>
          <w:noProof/>
        </w:rPr>
      </w:pPr>
      <w:r>
        <w:rPr>
          <w:noProof/>
        </w:rPr>
        <w:lastRenderedPageBreak/>
        <w:t>2025/0550 (COD)</w:t>
      </w:r>
    </w:p>
    <w:p w14:paraId="0DA37030" w14:textId="77777777" w:rsidR="005B7178" w:rsidRPr="00F96E01" w:rsidRDefault="005B7178" w:rsidP="006160F8">
      <w:pPr>
        <w:pStyle w:val="Statut"/>
        <w:rPr>
          <w:noProof/>
        </w:rPr>
      </w:pPr>
      <w:r w:rsidRPr="006160F8">
        <w:rPr>
          <w:noProof/>
        </w:rPr>
        <w:t>Proposal for a</w:t>
      </w:r>
    </w:p>
    <w:p w14:paraId="52139D9B" w14:textId="77777777" w:rsidR="005B7178" w:rsidRPr="00F96E01" w:rsidRDefault="005B7178" w:rsidP="006160F8">
      <w:pPr>
        <w:pStyle w:val="Typedudocument"/>
        <w:rPr>
          <w:noProof/>
        </w:rPr>
      </w:pPr>
      <w:r w:rsidRPr="006160F8">
        <w:rPr>
          <w:noProof/>
        </w:rPr>
        <w:t>REGULATION OF THE EUROPEAN PARLIAMENT AND OF THE COUNCIL</w:t>
      </w:r>
    </w:p>
    <w:p w14:paraId="559217AD" w14:textId="77777777" w:rsidR="005B7178" w:rsidRPr="00F96E01" w:rsidRDefault="005B7178" w:rsidP="006160F8">
      <w:pPr>
        <w:pStyle w:val="Titreobjet"/>
        <w:rPr>
          <w:noProof/>
        </w:rPr>
      </w:pPr>
      <w:r w:rsidRPr="006160F8">
        <w:rPr>
          <w:noProof/>
        </w:rPr>
        <w:t>establishing the 'AgoraEU' programme for the period 2028-2034, and repealing Regulations (EU) 2021/692 and (EU) 2021/818</w:t>
      </w:r>
    </w:p>
    <w:p w14:paraId="60A335EA" w14:textId="77777777" w:rsidR="005B7178" w:rsidRPr="00F96E01" w:rsidRDefault="005B7178">
      <w:pPr>
        <w:pStyle w:val="Institutionquiagit"/>
        <w:rPr>
          <w:noProof/>
        </w:rPr>
      </w:pPr>
      <w:r w:rsidRPr="00F96E01">
        <w:rPr>
          <w:noProof/>
        </w:rPr>
        <w:t>THE EUROPEAN PARLIAMENT AND THE COUNCIL OF THE EUROPEAN UNION,</w:t>
      </w:r>
    </w:p>
    <w:p w14:paraId="70584BB0" w14:textId="77777777" w:rsidR="005B7178" w:rsidRPr="00476568" w:rsidRDefault="005B7178" w:rsidP="00565F08">
      <w:pPr>
        <w:rPr>
          <w:noProof/>
        </w:rPr>
      </w:pPr>
      <w:r>
        <w:rPr>
          <w:noProof/>
        </w:rPr>
        <w:t xml:space="preserve">Having regard to the Treaty on the Functioning of the European Union, and in particular </w:t>
      </w:r>
      <w:r w:rsidRPr="005429CF">
        <w:rPr>
          <w:noProof/>
          <w:color w:val="000000" w:themeColor="text1"/>
        </w:rPr>
        <w:t>Article</w:t>
      </w:r>
      <w:r w:rsidRPr="007B4E92">
        <w:rPr>
          <w:noProof/>
        </w:rPr>
        <w:t>s 19(2)</w:t>
      </w:r>
      <w:r w:rsidRPr="007B4E92">
        <w:rPr>
          <w:noProof/>
        </w:rPr>
        <w:t xml:space="preserve">, </w:t>
      </w:r>
      <w:r w:rsidRPr="007B4E92">
        <w:rPr>
          <w:noProof/>
        </w:rPr>
        <w:t>21(2), 24, 167(5)</w:t>
      </w:r>
      <w:r w:rsidRPr="007B4E92">
        <w:rPr>
          <w:noProof/>
        </w:rPr>
        <w:t>, 168(5)</w:t>
      </w:r>
      <w:r w:rsidRPr="007B4E92">
        <w:rPr>
          <w:noProof/>
        </w:rPr>
        <w:t xml:space="preserve"> and 173(3)</w:t>
      </w:r>
      <w:r w:rsidRPr="007B4E92">
        <w:rPr>
          <w:noProof/>
        </w:rPr>
        <w:t xml:space="preserve"> </w:t>
      </w:r>
      <w:r w:rsidRPr="005429CF">
        <w:rPr>
          <w:noProof/>
          <w:color w:val="000000" w:themeColor="text1"/>
        </w:rPr>
        <w:t>thereof</w:t>
      </w:r>
      <w:r>
        <w:rPr>
          <w:noProof/>
        </w:rPr>
        <w:t>,</w:t>
      </w:r>
    </w:p>
    <w:p w14:paraId="065C9E8B" w14:textId="77777777" w:rsidR="005B7178" w:rsidRPr="00476568" w:rsidRDefault="005B7178" w:rsidP="00565F08">
      <w:pPr>
        <w:rPr>
          <w:noProof/>
        </w:rPr>
      </w:pPr>
      <w:r w:rsidRPr="00476568">
        <w:rPr>
          <w:noProof/>
        </w:rPr>
        <w:t>Having regard to the proposal from the European Commission,</w:t>
      </w:r>
    </w:p>
    <w:p w14:paraId="2A3AFADC" w14:textId="77777777" w:rsidR="005B7178" w:rsidRPr="00476568" w:rsidRDefault="005B7178" w:rsidP="00565F08">
      <w:pPr>
        <w:rPr>
          <w:noProof/>
        </w:rPr>
      </w:pPr>
      <w:r>
        <w:rPr>
          <w:noProof/>
        </w:rPr>
        <w:t>After transmission of the draft legislative act to the national parliaments,</w:t>
      </w:r>
    </w:p>
    <w:p w14:paraId="33B6A4E3" w14:textId="77777777" w:rsidR="005B7178" w:rsidRPr="00476568" w:rsidRDefault="005B7178" w:rsidP="00565F08">
      <w:pPr>
        <w:rPr>
          <w:i/>
          <w:iCs/>
          <w:noProof/>
        </w:rPr>
      </w:pPr>
      <w:r w:rsidRPr="00476568">
        <w:rPr>
          <w:noProof/>
        </w:rPr>
        <w:t>Having regard to the opinion of the European Economic and Social Committee</w:t>
      </w:r>
      <w:r>
        <w:rPr>
          <w:rStyle w:val="Allmrkuseviide"/>
          <w:noProof/>
        </w:rPr>
        <w:footnoteReference w:id="10"/>
      </w:r>
      <w:r w:rsidRPr="00476568">
        <w:rPr>
          <w:noProof/>
        </w:rPr>
        <w:t xml:space="preserve">, </w:t>
      </w:r>
    </w:p>
    <w:p w14:paraId="00E05F93" w14:textId="77777777" w:rsidR="005B7178" w:rsidRPr="00476568" w:rsidRDefault="005B7178" w:rsidP="00565F08">
      <w:pPr>
        <w:rPr>
          <w:noProof/>
        </w:rPr>
      </w:pPr>
      <w:r w:rsidRPr="00476568">
        <w:rPr>
          <w:noProof/>
        </w:rPr>
        <w:t>Having regard to the opinion of the Committee of the Regions</w:t>
      </w:r>
      <w:r>
        <w:rPr>
          <w:rStyle w:val="Allmrkuseviide"/>
          <w:noProof/>
        </w:rPr>
        <w:footnoteReference w:id="11"/>
      </w:r>
      <w:r w:rsidRPr="00476568">
        <w:rPr>
          <w:noProof/>
        </w:rPr>
        <w:t xml:space="preserve">, </w:t>
      </w:r>
    </w:p>
    <w:p w14:paraId="3ABF4C57" w14:textId="77777777" w:rsidR="005B7178" w:rsidRPr="00476568" w:rsidRDefault="005B7178" w:rsidP="00565F08">
      <w:pPr>
        <w:rPr>
          <w:noProof/>
        </w:rPr>
      </w:pPr>
      <w:r>
        <w:rPr>
          <w:noProof/>
        </w:rPr>
        <w:t xml:space="preserve">Acting in accordance with the ordinary legislative </w:t>
      </w:r>
      <w:r>
        <w:rPr>
          <w:noProof/>
        </w:rPr>
        <w:t>procedure</w:t>
      </w:r>
    </w:p>
    <w:p w14:paraId="57E07973" w14:textId="77777777" w:rsidR="005B7178" w:rsidRPr="00F96E01" w:rsidRDefault="005B7178">
      <w:pPr>
        <w:rPr>
          <w:noProof/>
        </w:rPr>
      </w:pPr>
      <w:r w:rsidRPr="00F96E01">
        <w:rPr>
          <w:noProof/>
        </w:rPr>
        <w:t>Whereas:</w:t>
      </w:r>
    </w:p>
    <w:p w14:paraId="59A01FE5" w14:textId="77777777" w:rsidR="005B7178" w:rsidRPr="00565F08" w:rsidRDefault="005B7178" w:rsidP="00B66E94">
      <w:pPr>
        <w:pStyle w:val="ManualConsidrant"/>
        <w:rPr>
          <w:rFonts w:eastAsia="Arial Unicode MS"/>
          <w:noProof/>
          <w:lang w:val="en-IE"/>
        </w:rPr>
      </w:pPr>
      <w:r w:rsidRPr="00B66E94">
        <w:rPr>
          <w:noProof/>
        </w:rPr>
        <w:t>(1)</w:t>
      </w:r>
      <w:r w:rsidRPr="00B66E94">
        <w:rPr>
          <w:noProof/>
        </w:rPr>
        <w:tab/>
      </w:r>
      <w:r>
        <w:rPr>
          <w:noProof/>
        </w:rPr>
        <w:t>Pursuant to</w:t>
      </w:r>
      <w:r w:rsidRPr="00B74D3E">
        <w:rPr>
          <w:noProof/>
        </w:rPr>
        <w:t xml:space="preserve"> Article 2 of the Treaty on European Union (TEU), the Union is founded on the values of respect for human dignity, freedom, democracy, equality, the rule of law and the respect for human rights, including the rights of persons belonging to minorities, which are common to the Member States in a society in which pluralism, non-discrimination, tolerance, justice, solidarity and equality between women and men prevail</w:t>
      </w:r>
      <w:r>
        <w:rPr>
          <w:noProof/>
        </w:rPr>
        <w:t xml:space="preserve"> (‘Union values’)</w:t>
      </w:r>
      <w:r w:rsidRPr="00B74D3E">
        <w:rPr>
          <w:noProof/>
        </w:rPr>
        <w:t>. The Union values are reflected in the rights, freedoms and princi</w:t>
      </w:r>
      <w:r w:rsidRPr="00B74D3E">
        <w:rPr>
          <w:noProof/>
        </w:rPr>
        <w:t xml:space="preserve">ples set out </w:t>
      </w:r>
      <w:r w:rsidRPr="00B74D3E" w:rsidDel="00FC0BBC">
        <w:rPr>
          <w:noProof/>
        </w:rPr>
        <w:t xml:space="preserve">in </w:t>
      </w:r>
      <w:r w:rsidRPr="00B74D3E">
        <w:rPr>
          <w:noProof/>
        </w:rPr>
        <w:t xml:space="preserve">the Charter of Fundamental Rights of the European Union (the ‘Charter’). Article 3 TEU further mandates the Union to promote the protection of the rights of the child. </w:t>
      </w:r>
      <w:r w:rsidRPr="00565F08">
        <w:rPr>
          <w:rFonts w:eastAsia="Calibri"/>
          <w:noProof/>
          <w:lang w:val="en-IE"/>
        </w:rPr>
        <w:t>Article 10 TEU further states that the functioning of the Union shall be founded on representative democracy, that citizens are directly represented at Union level in the European Parliament and that citizens have the right to participate in the democratic life of the Union.</w:t>
      </w:r>
      <w:r w:rsidRPr="001F1A96">
        <w:rPr>
          <w:rFonts w:eastAsia="Calibri"/>
          <w:noProof/>
          <w:lang w:val="en-IE"/>
        </w:rPr>
        <w:t xml:space="preserve"> </w:t>
      </w:r>
      <w:r>
        <w:rPr>
          <w:rFonts w:eastAsia="Calibri"/>
          <w:noProof/>
          <w:lang w:val="en-IE"/>
        </w:rPr>
        <w:t>Article 20 establishes Union citizenship and sets ou</w:t>
      </w:r>
      <w:r>
        <w:rPr>
          <w:rFonts w:eastAsia="Calibri"/>
          <w:noProof/>
          <w:lang w:val="en-IE"/>
        </w:rPr>
        <w:t xml:space="preserve">t important rights </w:t>
      </w:r>
      <w:r>
        <w:rPr>
          <w:rFonts w:eastAsia="Calibri"/>
          <w:noProof/>
        </w:rPr>
        <w:t>that c</w:t>
      </w:r>
      <w:r w:rsidRPr="00DB64A9">
        <w:rPr>
          <w:rFonts w:eastAsia="Calibri"/>
          <w:noProof/>
        </w:rPr>
        <w:t>itizens of the Union shall</w:t>
      </w:r>
      <w:r>
        <w:rPr>
          <w:rFonts w:eastAsia="Calibri"/>
          <w:noProof/>
        </w:rPr>
        <w:t>, inter alia,</w:t>
      </w:r>
      <w:r w:rsidRPr="00DB64A9">
        <w:rPr>
          <w:rFonts w:eastAsia="Calibri"/>
          <w:noProof/>
        </w:rPr>
        <w:t xml:space="preserve"> enjoy</w:t>
      </w:r>
      <w:r>
        <w:rPr>
          <w:rFonts w:eastAsia="Calibri"/>
          <w:noProof/>
        </w:rPr>
        <w:t xml:space="preserve">. </w:t>
      </w:r>
    </w:p>
    <w:p w14:paraId="6EF47C57" w14:textId="77777777" w:rsidR="005B7178" w:rsidRPr="001E0F5D" w:rsidRDefault="005B7178" w:rsidP="00B66E94">
      <w:pPr>
        <w:pStyle w:val="ManualConsidrant"/>
        <w:rPr>
          <w:rFonts w:eastAsia="Arial Unicode MS"/>
          <w:noProof/>
          <w:lang w:val="en-IE"/>
        </w:rPr>
      </w:pPr>
      <w:r w:rsidRPr="00B66E94">
        <w:rPr>
          <w:noProof/>
        </w:rPr>
        <w:t>(2)</w:t>
      </w:r>
      <w:r w:rsidRPr="00B66E94">
        <w:rPr>
          <w:noProof/>
        </w:rPr>
        <w:tab/>
      </w:r>
      <w:r w:rsidRPr="00B74D3E">
        <w:rPr>
          <w:noProof/>
        </w:rPr>
        <w:t>Culture</w:t>
      </w:r>
      <w:r>
        <w:rPr>
          <w:noProof/>
        </w:rPr>
        <w:t xml:space="preserve"> and</w:t>
      </w:r>
      <w:r w:rsidRPr="00B74D3E">
        <w:rPr>
          <w:noProof/>
        </w:rPr>
        <w:t xml:space="preserve"> media and</w:t>
      </w:r>
      <w:r>
        <w:rPr>
          <w:noProof/>
        </w:rPr>
        <w:t xml:space="preserve"> promotion and respect of</w:t>
      </w:r>
      <w:r w:rsidRPr="00B74D3E">
        <w:rPr>
          <w:noProof/>
        </w:rPr>
        <w:t xml:space="preserve"> Union values are all crucial components of a free, fair, diverse, inclusive and cohesive Union. Citizens’ participation and engagement, in due respect of Union values, constitutes the basis of the democratic life of the Union, with media playing a crucial role in shaping public opinion and free debate. Audiovisual works and all other forms of cultural and creative expressions, including cultural heritage, are essential to Europe’s diversity and to forg</w:t>
      </w:r>
      <w:r>
        <w:rPr>
          <w:noProof/>
        </w:rPr>
        <w:t>ing</w:t>
      </w:r>
      <w:r w:rsidRPr="00B74D3E">
        <w:rPr>
          <w:noProof/>
        </w:rPr>
        <w:t xml:space="preserve"> societal resilience and mutual understandin</w:t>
      </w:r>
      <w:r>
        <w:rPr>
          <w:noProof/>
        </w:rPr>
        <w:t xml:space="preserve">g among </w:t>
      </w:r>
      <w:r>
        <w:rPr>
          <w:noProof/>
        </w:rPr>
        <w:t>European citizens and communities</w:t>
      </w:r>
      <w:r w:rsidRPr="00B74D3E">
        <w:rPr>
          <w:noProof/>
        </w:rPr>
        <w:t xml:space="preserve">. </w:t>
      </w:r>
    </w:p>
    <w:p w14:paraId="345301E1" w14:textId="77777777" w:rsidR="005B7178" w:rsidRPr="00565F08" w:rsidRDefault="005B7178" w:rsidP="00B66E94">
      <w:pPr>
        <w:pStyle w:val="ManualConsidrant"/>
        <w:rPr>
          <w:rFonts w:eastAsia="Arial Unicode MS"/>
          <w:noProof/>
          <w:lang w:val="en-IE"/>
        </w:rPr>
      </w:pPr>
      <w:r w:rsidRPr="00B66E94">
        <w:rPr>
          <w:noProof/>
        </w:rPr>
        <w:lastRenderedPageBreak/>
        <w:t>(3)</w:t>
      </w:r>
      <w:r w:rsidRPr="00B66E94">
        <w:rPr>
          <w:noProof/>
        </w:rPr>
        <w:tab/>
      </w:r>
      <w:r>
        <w:rPr>
          <w:noProof/>
        </w:rPr>
        <w:t xml:space="preserve">The </w:t>
      </w:r>
      <w:r>
        <w:rPr>
          <w:noProof/>
        </w:rPr>
        <w:t>‘</w:t>
      </w:r>
      <w:r>
        <w:rPr>
          <w:noProof/>
        </w:rPr>
        <w:t>Agora</w:t>
      </w:r>
      <w:r>
        <w:rPr>
          <w:noProof/>
        </w:rPr>
        <w:t>EU</w:t>
      </w:r>
      <w:r>
        <w:rPr>
          <w:noProof/>
        </w:rPr>
        <w:t>’</w:t>
      </w:r>
      <w:r>
        <w:rPr>
          <w:noProof/>
        </w:rPr>
        <w:t xml:space="preserve"> Programme</w:t>
      </w:r>
      <w:r>
        <w:rPr>
          <w:noProof/>
        </w:rPr>
        <w:t xml:space="preserve"> (the ‘Programme’) will provide a significant contribution to the attainment and realisation of these objectives, rights and values.</w:t>
      </w:r>
    </w:p>
    <w:p w14:paraId="6F7BDA58" w14:textId="77777777" w:rsidR="005B7178" w:rsidRPr="00B74D3E" w:rsidRDefault="005B7178" w:rsidP="00B66E94">
      <w:pPr>
        <w:pStyle w:val="ManualConsidrant"/>
        <w:rPr>
          <w:noProof/>
        </w:rPr>
      </w:pPr>
      <w:r w:rsidRPr="00B66E94">
        <w:rPr>
          <w:noProof/>
        </w:rPr>
        <w:t>(4)</w:t>
      </w:r>
      <w:r w:rsidRPr="00B66E94">
        <w:rPr>
          <w:noProof/>
        </w:rPr>
        <w:tab/>
      </w:r>
      <w:r w:rsidRPr="00B74D3E">
        <w:rPr>
          <w:noProof/>
        </w:rPr>
        <w:t xml:space="preserve">The </w:t>
      </w:r>
      <w:r w:rsidRPr="00AA2B61">
        <w:rPr>
          <w:noProof/>
        </w:rPr>
        <w:t xml:space="preserve"> Programme</w:t>
      </w:r>
      <w:r w:rsidRPr="00B74D3E">
        <w:rPr>
          <w:noProof/>
        </w:rPr>
        <w:t xml:space="preserve"> should succeed the Creative Europe Programme established by Regulation (EU) 2021/818 of the European Parliament and the Council</w:t>
      </w:r>
      <w:r w:rsidRPr="00565F08">
        <w:rPr>
          <w:rStyle w:val="Allmrkuseviide"/>
          <w:rFonts w:eastAsia="Arial Unicode MS"/>
          <w:noProof/>
          <w:lang w:val="en-IE"/>
        </w:rPr>
        <w:footnoteReference w:id="12"/>
      </w:r>
      <w:r w:rsidRPr="00D20B24">
        <w:rPr>
          <w:noProof/>
        </w:rPr>
        <w:t xml:space="preserve"> and the Citizens, Equality, Rights and Values Programme, established by Regulation (EU) 2021/692 of the European Parliament and of the Council</w:t>
      </w:r>
      <w:r w:rsidRPr="00565F08">
        <w:rPr>
          <w:rStyle w:val="Allmrkuseviide"/>
          <w:rFonts w:eastAsia="Arial Unicode MS"/>
          <w:noProof/>
          <w:lang w:val="en-IE"/>
        </w:rPr>
        <w:footnoteReference w:id="13"/>
      </w:r>
      <w:r>
        <w:rPr>
          <w:noProof/>
        </w:rPr>
        <w:t>. It</w:t>
      </w:r>
      <w:r w:rsidRPr="00B74D3E">
        <w:rPr>
          <w:noProof/>
        </w:rPr>
        <w:t xml:space="preserve"> should streamline various funding actions in support of media freedom and pluralism, fight against disinformation </w:t>
      </w:r>
      <w:r>
        <w:rPr>
          <w:noProof/>
        </w:rPr>
        <w:t>in support of the</w:t>
      </w:r>
      <w:r w:rsidRPr="00B74D3E">
        <w:rPr>
          <w:noProof/>
        </w:rPr>
        <w:t xml:space="preserve"> provision on information on Union affairs. </w:t>
      </w:r>
      <w:r w:rsidRPr="00362D80">
        <w:rPr>
          <w:noProof/>
        </w:rPr>
        <w:t>Free and pluralistic media and civil society are among key watchdogs of the Union’s democratic systems, playing a crucial role for democratic resilience, and should be supported.</w:t>
      </w:r>
      <w:r>
        <w:rPr>
          <w:noProof/>
        </w:rPr>
        <w:t xml:space="preserve"> The Programme</w:t>
      </w:r>
      <w:r w:rsidRPr="00B74D3E">
        <w:rPr>
          <w:noProof/>
        </w:rPr>
        <w:t xml:space="preserve"> should </w:t>
      </w:r>
      <w:r>
        <w:rPr>
          <w:noProof/>
        </w:rPr>
        <w:t xml:space="preserve">also </w:t>
      </w:r>
      <w:r w:rsidRPr="00B74D3E">
        <w:rPr>
          <w:noProof/>
        </w:rPr>
        <w:t xml:space="preserve">support the cultural, creative and media sectors, </w:t>
      </w:r>
      <w:r w:rsidRPr="00B74D3E">
        <w:rPr>
          <w:noProof/>
        </w:rPr>
        <w:t xml:space="preserve">harness the power of culture and cultural diversity, </w:t>
      </w:r>
      <w:r w:rsidRPr="00B74D3E">
        <w:rPr>
          <w:noProof/>
        </w:rPr>
        <w:t xml:space="preserve">enhance the information </w:t>
      </w:r>
      <w:r w:rsidRPr="00B74D3E">
        <w:rPr>
          <w:noProof/>
        </w:rPr>
        <w:t xml:space="preserve">space, and </w:t>
      </w:r>
      <w:r w:rsidRPr="00B74D3E">
        <w:rPr>
          <w:noProof/>
        </w:rPr>
        <w:t>support the Union’s efforts to strengthen a rights-based, inclusive, equal and democratic society. This Regulation lays down an indicative financial envelope for</w:t>
      </w:r>
      <w:r>
        <w:rPr>
          <w:noProof/>
        </w:rPr>
        <w:t xml:space="preserve"> the </w:t>
      </w:r>
      <w:r>
        <w:rPr>
          <w:noProof/>
        </w:rPr>
        <w:t>‘</w:t>
      </w:r>
      <w:r>
        <w:rPr>
          <w:noProof/>
        </w:rPr>
        <w:t>Agora</w:t>
      </w:r>
      <w:r>
        <w:rPr>
          <w:noProof/>
        </w:rPr>
        <w:t>EU</w:t>
      </w:r>
      <w:r>
        <w:rPr>
          <w:noProof/>
        </w:rPr>
        <w:t>’</w:t>
      </w:r>
      <w:r>
        <w:rPr>
          <w:noProof/>
        </w:rPr>
        <w:t xml:space="preserve"> Programme</w:t>
      </w:r>
      <w:r w:rsidRPr="00362D80">
        <w:rPr>
          <w:rStyle w:val="Allmrkuseviide"/>
          <w:noProof/>
        </w:rPr>
        <w:footnoteReference w:id="14"/>
      </w:r>
      <w:r w:rsidRPr="003025C7">
        <w:rPr>
          <w:noProof/>
        </w:rPr>
        <w:t>.</w:t>
      </w:r>
      <w:r w:rsidRPr="00441744">
        <w:rPr>
          <w:noProof/>
        </w:rPr>
        <w:t xml:space="preserve"> For the purpose of this Regulation, current prices are calculated by applying a fixed 2% deflator.</w:t>
      </w:r>
    </w:p>
    <w:p w14:paraId="7D74585A" w14:textId="77777777" w:rsidR="005B7178" w:rsidRDefault="005B7178" w:rsidP="00B66E94">
      <w:pPr>
        <w:pStyle w:val="ManualConsidrant"/>
        <w:rPr>
          <w:noProof/>
        </w:rPr>
      </w:pPr>
      <w:r w:rsidRPr="00B66E94">
        <w:rPr>
          <w:noProof/>
        </w:rPr>
        <w:t>(5)</w:t>
      </w:r>
      <w:r w:rsidRPr="00B66E94">
        <w:rPr>
          <w:noProof/>
        </w:rPr>
        <w:tab/>
      </w:r>
      <w:r w:rsidRPr="00B74D3E">
        <w:rPr>
          <w:noProof/>
        </w:rPr>
        <w:t>To be effective, the Programme should take into account the specific nature and challenges of the different policy areas</w:t>
      </w:r>
      <w:r>
        <w:rPr>
          <w:noProof/>
        </w:rPr>
        <w:t xml:space="preserve"> and sectors</w:t>
      </w:r>
      <w:r w:rsidRPr="00B74D3E">
        <w:rPr>
          <w:noProof/>
        </w:rPr>
        <w:t>, their different target groups and their particular needs through targeted approaches.</w:t>
      </w:r>
    </w:p>
    <w:p w14:paraId="736E7498" w14:textId="77777777" w:rsidR="005B7178" w:rsidRPr="00B74D3E" w:rsidRDefault="005B7178" w:rsidP="00B66E94">
      <w:pPr>
        <w:pStyle w:val="ManualConsidrant"/>
        <w:rPr>
          <w:noProof/>
        </w:rPr>
      </w:pPr>
      <w:r w:rsidRPr="00B66E94">
        <w:rPr>
          <w:noProof/>
        </w:rPr>
        <w:t>(6)</w:t>
      </w:r>
      <w:r w:rsidRPr="00B66E94">
        <w:rPr>
          <w:noProof/>
        </w:rPr>
        <w:tab/>
      </w:r>
      <w:r w:rsidRPr="001227AC">
        <w:rPr>
          <w:noProof/>
        </w:rPr>
        <w:t xml:space="preserve">In a fast changing economic, social and geopolitical environment, the recent experience has shown the need for a more flexible multiannual financial framework and its programmes. To that effect, and in line with the objectives of the </w:t>
      </w:r>
      <w:r>
        <w:rPr>
          <w:noProof/>
        </w:rPr>
        <w:t>‘</w:t>
      </w:r>
      <w:r>
        <w:rPr>
          <w:noProof/>
        </w:rPr>
        <w:t>Agora</w:t>
      </w:r>
      <w:r>
        <w:rPr>
          <w:noProof/>
        </w:rPr>
        <w:t>EU</w:t>
      </w:r>
      <w:r>
        <w:rPr>
          <w:noProof/>
        </w:rPr>
        <w:t>’</w:t>
      </w:r>
      <w:r>
        <w:rPr>
          <w:noProof/>
        </w:rPr>
        <w:t xml:space="preserve"> </w:t>
      </w:r>
      <w:r w:rsidRPr="001227AC">
        <w:rPr>
          <w:noProof/>
        </w:rPr>
        <w:t>Programme, the funding will take due account of the evolving policy needs and Union’s priorities as identified in relevant documents published by the Commission, in Council conclusions and European Parliament resolutions while ensuring sufficient predictability for t</w:t>
      </w:r>
      <w:r w:rsidRPr="001227AC">
        <w:rPr>
          <w:noProof/>
        </w:rPr>
        <w:t>he implementatio</w:t>
      </w:r>
      <w:r w:rsidRPr="003025C7">
        <w:rPr>
          <w:noProof/>
        </w:rPr>
        <w:t>n</w:t>
      </w:r>
      <w:r w:rsidRPr="00362D80">
        <w:rPr>
          <w:noProof/>
        </w:rPr>
        <w:t>.</w:t>
      </w:r>
      <w:r w:rsidRPr="001227AC">
        <w:rPr>
          <w:noProof/>
        </w:rPr>
        <w:t xml:space="preserve"> </w:t>
      </w:r>
    </w:p>
    <w:p w14:paraId="6F7BEDD1" w14:textId="77777777" w:rsidR="005B7178" w:rsidRDefault="005B7178" w:rsidP="00B66E94">
      <w:pPr>
        <w:pStyle w:val="ManualConsidrant"/>
        <w:rPr>
          <w:noProof/>
        </w:rPr>
      </w:pPr>
      <w:r w:rsidRPr="00B66E94">
        <w:rPr>
          <w:noProof/>
        </w:rPr>
        <w:t>(7)</w:t>
      </w:r>
      <w:r w:rsidRPr="00B66E94">
        <w:rPr>
          <w:noProof/>
        </w:rPr>
        <w:tab/>
      </w:r>
      <w:r>
        <w:rPr>
          <w:noProof/>
        </w:rPr>
        <w:t>The cultural and creative sectors</w:t>
      </w:r>
      <w:r>
        <w:rPr>
          <w:noProof/>
        </w:rPr>
        <w:t>,</w:t>
      </w:r>
      <w:r>
        <w:rPr>
          <w:noProof/>
        </w:rPr>
        <w:t xml:space="preserve"> </w:t>
      </w:r>
      <w:r>
        <w:rPr>
          <w:noProof/>
        </w:rPr>
        <w:t xml:space="preserve">including performing arts (such as theatre and dance), literature and book publishing, music, visual arts, tangible and intangible cultural heritage, architecture, archives, libraries and museums, crafts and design (including fashion design), </w:t>
      </w:r>
      <w:r>
        <w:rPr>
          <w:noProof/>
        </w:rPr>
        <w:t>serve as</w:t>
      </w:r>
      <w:r>
        <w:rPr>
          <w:noProof/>
        </w:rPr>
        <w:t xml:space="preserve"> </w:t>
      </w:r>
      <w:r>
        <w:rPr>
          <w:noProof/>
        </w:rPr>
        <w:t>‘</w:t>
      </w:r>
      <w:r>
        <w:rPr>
          <w:noProof/>
        </w:rPr>
        <w:t>public good</w:t>
      </w:r>
      <w:r>
        <w:rPr>
          <w:noProof/>
        </w:rPr>
        <w:t>’</w:t>
      </w:r>
      <w:r>
        <w:rPr>
          <w:noProof/>
        </w:rPr>
        <w:t>,</w:t>
      </w:r>
      <w:r>
        <w:rPr>
          <w:noProof/>
        </w:rPr>
        <w:t xml:space="preserve"> generating </w:t>
      </w:r>
      <w:r>
        <w:rPr>
          <w:noProof/>
        </w:rPr>
        <w:t xml:space="preserve">meaning and embodying </w:t>
      </w:r>
      <w:r>
        <w:rPr>
          <w:noProof/>
        </w:rPr>
        <w:t xml:space="preserve">the </w:t>
      </w:r>
      <w:r>
        <w:rPr>
          <w:noProof/>
        </w:rPr>
        <w:t>values</w:t>
      </w:r>
      <w:r>
        <w:rPr>
          <w:noProof/>
        </w:rPr>
        <w:t xml:space="preserve"> of the Union</w:t>
      </w:r>
      <w:r>
        <w:rPr>
          <w:noProof/>
        </w:rPr>
        <w:t>. They are also</w:t>
      </w:r>
      <w:r w:rsidDel="00565F08">
        <w:rPr>
          <w:noProof/>
        </w:rPr>
        <w:t xml:space="preserve"> </w:t>
      </w:r>
      <w:r>
        <w:rPr>
          <w:noProof/>
        </w:rPr>
        <w:t xml:space="preserve">a great asset for </w:t>
      </w:r>
      <w:r>
        <w:rPr>
          <w:noProof/>
        </w:rPr>
        <w:t xml:space="preserve">the </w:t>
      </w:r>
      <w:r w:rsidRPr="00BB2A7E">
        <w:rPr>
          <w:noProof/>
        </w:rPr>
        <w:t>Union</w:t>
      </w:r>
      <w:r>
        <w:rPr>
          <w:noProof/>
        </w:rPr>
        <w:t xml:space="preserve"> and its regions</w:t>
      </w:r>
      <w:r>
        <w:rPr>
          <w:noProof/>
        </w:rPr>
        <w:t xml:space="preserve">, </w:t>
      </w:r>
      <w:r>
        <w:rPr>
          <w:noProof/>
        </w:rPr>
        <w:t xml:space="preserve">attracting sustainable tourism and </w:t>
      </w:r>
      <w:r>
        <w:rPr>
          <w:noProof/>
        </w:rPr>
        <w:t>projecting the image of a dynamic continent on the world stage. The Programme should take into account</w:t>
      </w:r>
      <w:r>
        <w:rPr>
          <w:noProof/>
        </w:rPr>
        <w:t>, on the</w:t>
      </w:r>
      <w:r>
        <w:rPr>
          <w:noProof/>
        </w:rPr>
        <w:t xml:space="preserve"> </w:t>
      </w:r>
      <w:r>
        <w:rPr>
          <w:noProof/>
        </w:rPr>
        <w:t>one hand,</w:t>
      </w:r>
      <w:r>
        <w:rPr>
          <w:noProof/>
        </w:rPr>
        <w:t xml:space="preserve"> their</w:t>
      </w:r>
      <w:r>
        <w:rPr>
          <w:noProof/>
        </w:rPr>
        <w:t xml:space="preserve"> </w:t>
      </w:r>
      <w:r>
        <w:rPr>
          <w:noProof/>
        </w:rPr>
        <w:t xml:space="preserve">intrinsic </w:t>
      </w:r>
      <w:r>
        <w:rPr>
          <w:noProof/>
        </w:rPr>
        <w:t xml:space="preserve">and </w:t>
      </w:r>
      <w:r>
        <w:rPr>
          <w:noProof/>
        </w:rPr>
        <w:t>artistic value</w:t>
      </w:r>
      <w:r>
        <w:rPr>
          <w:noProof/>
        </w:rPr>
        <w:t>,</w:t>
      </w:r>
      <w:r>
        <w:rPr>
          <w:noProof/>
        </w:rPr>
        <w:t xml:space="preserve"> as well as</w:t>
      </w:r>
      <w:r>
        <w:rPr>
          <w:noProof/>
        </w:rPr>
        <w:t>, on the other hand,</w:t>
      </w:r>
      <w:r>
        <w:rPr>
          <w:noProof/>
        </w:rPr>
        <w:t xml:space="preserve"> their </w:t>
      </w:r>
      <w:r>
        <w:rPr>
          <w:noProof/>
        </w:rPr>
        <w:t xml:space="preserve">extrinsic </w:t>
      </w:r>
      <w:r>
        <w:rPr>
          <w:noProof/>
        </w:rPr>
        <w:t>social</w:t>
      </w:r>
      <w:r>
        <w:rPr>
          <w:noProof/>
        </w:rPr>
        <w:t xml:space="preserve"> and economic contributions, including to social and territorial cohesion, well-being and health, growth</w:t>
      </w:r>
      <w:r>
        <w:rPr>
          <w:noProof/>
        </w:rPr>
        <w:t xml:space="preserve"> and job creation</w:t>
      </w:r>
      <w:r>
        <w:rPr>
          <w:noProof/>
        </w:rPr>
        <w:t>, competitiveness</w:t>
      </w:r>
      <w:r>
        <w:rPr>
          <w:noProof/>
        </w:rPr>
        <w:t>, creativity</w:t>
      </w:r>
      <w:r>
        <w:rPr>
          <w:noProof/>
        </w:rPr>
        <w:t xml:space="preserve"> and innovation.</w:t>
      </w:r>
    </w:p>
    <w:p w14:paraId="005F5BD9" w14:textId="77777777" w:rsidR="005B7178" w:rsidRPr="00B74D3E" w:rsidRDefault="005B7178" w:rsidP="00B66E94">
      <w:pPr>
        <w:pStyle w:val="ManualConsidrant"/>
        <w:rPr>
          <w:noProof/>
        </w:rPr>
      </w:pPr>
      <w:r w:rsidRPr="00B66E94">
        <w:rPr>
          <w:noProof/>
        </w:rPr>
        <w:t>(8)</w:t>
      </w:r>
      <w:r w:rsidRPr="00B66E94">
        <w:rPr>
          <w:noProof/>
        </w:rPr>
        <w:tab/>
      </w:r>
      <w:r>
        <w:rPr>
          <w:noProof/>
        </w:rPr>
        <w:t>The</w:t>
      </w:r>
      <w:r w:rsidRPr="00B74D3E">
        <w:rPr>
          <w:noProof/>
        </w:rPr>
        <w:t xml:space="preserve"> </w:t>
      </w:r>
      <w:r>
        <w:rPr>
          <w:noProof/>
        </w:rPr>
        <w:t>cultur</w:t>
      </w:r>
      <w:r>
        <w:rPr>
          <w:noProof/>
        </w:rPr>
        <w:t>al</w:t>
      </w:r>
      <w:r>
        <w:rPr>
          <w:noProof/>
        </w:rPr>
        <w:t xml:space="preserve"> and creative sectors</w:t>
      </w:r>
      <w:r w:rsidRPr="00B74D3E">
        <w:rPr>
          <w:noProof/>
        </w:rPr>
        <w:t xml:space="preserve"> are however fragmented along national and linguistic lines in </w:t>
      </w:r>
      <w:r>
        <w:rPr>
          <w:noProof/>
        </w:rPr>
        <w:t>the Union</w:t>
      </w:r>
      <w:r w:rsidRPr="00B74D3E">
        <w:rPr>
          <w:noProof/>
        </w:rPr>
        <w:t xml:space="preserve">. They also face multiple challenges, such as attacks on freedom of </w:t>
      </w:r>
      <w:r w:rsidRPr="00B74D3E">
        <w:rPr>
          <w:noProof/>
        </w:rPr>
        <w:lastRenderedPageBreak/>
        <w:t>artistic expression, precarious working conditions,</w:t>
      </w:r>
      <w:r>
        <w:rPr>
          <w:noProof/>
        </w:rPr>
        <w:t xml:space="preserve"> </w:t>
      </w:r>
      <w:r w:rsidRPr="00B74D3E">
        <w:rPr>
          <w:noProof/>
        </w:rPr>
        <w:t xml:space="preserve">digital transformations with the rise of artificial intelligence, and the need to adapt to climate change. The Programme should help </w:t>
      </w:r>
      <w:r w:rsidRPr="00B74D3E">
        <w:rPr>
          <w:noProof/>
        </w:rPr>
        <w:t>th</w:t>
      </w:r>
      <w:r>
        <w:rPr>
          <w:noProof/>
        </w:rPr>
        <w:t>ose sectors</w:t>
      </w:r>
      <w:r w:rsidRPr="00B74D3E">
        <w:rPr>
          <w:noProof/>
        </w:rPr>
        <w:t xml:space="preserve"> </w:t>
      </w:r>
      <w:r w:rsidRPr="00B74D3E">
        <w:rPr>
          <w:noProof/>
        </w:rPr>
        <w:t>respond to such challenges, untap their full potential and project themselves resolutely into the future while ensuring the widest participation</w:t>
      </w:r>
      <w:r>
        <w:rPr>
          <w:noProof/>
        </w:rPr>
        <w:t>, including from local and regional actors</w:t>
      </w:r>
      <w:r>
        <w:rPr>
          <w:noProof/>
        </w:rPr>
        <w:t xml:space="preserve">, </w:t>
      </w:r>
      <w:r>
        <w:rPr>
          <w:noProof/>
        </w:rPr>
        <w:t>through various</w:t>
      </w:r>
      <w:r>
        <w:rPr>
          <w:noProof/>
        </w:rPr>
        <w:t xml:space="preserve"> </w:t>
      </w:r>
      <w:r>
        <w:rPr>
          <w:noProof/>
        </w:rPr>
        <w:t>channels</w:t>
      </w:r>
      <w:r>
        <w:rPr>
          <w:noProof/>
        </w:rPr>
        <w:t xml:space="preserve"> and formats</w:t>
      </w:r>
      <w:r>
        <w:rPr>
          <w:noProof/>
        </w:rPr>
        <w:t>.</w:t>
      </w:r>
      <w:r w:rsidRPr="00B74D3E">
        <w:rPr>
          <w:noProof/>
        </w:rPr>
        <w:t xml:space="preserve">  </w:t>
      </w:r>
    </w:p>
    <w:p w14:paraId="65533D1E" w14:textId="77777777" w:rsidR="005B7178" w:rsidRPr="00B74D3E" w:rsidRDefault="005B7178" w:rsidP="00B66E94">
      <w:pPr>
        <w:pStyle w:val="ManualConsidrant"/>
        <w:rPr>
          <w:noProof/>
        </w:rPr>
      </w:pPr>
      <w:r w:rsidRPr="00B66E94">
        <w:rPr>
          <w:noProof/>
        </w:rPr>
        <w:t>(9)</w:t>
      </w:r>
      <w:r w:rsidRPr="00B66E94">
        <w:rPr>
          <w:noProof/>
        </w:rPr>
        <w:tab/>
      </w:r>
      <w:r>
        <w:rPr>
          <w:noProof/>
        </w:rPr>
        <w:t xml:space="preserve">Europe's cultural heritage is a shared and priceless legacy facing budget constraints, natural and </w:t>
      </w:r>
      <w:r>
        <w:rPr>
          <w:noProof/>
        </w:rPr>
        <w:t>human-induced</w:t>
      </w:r>
      <w:r>
        <w:rPr>
          <w:noProof/>
        </w:rPr>
        <w:t xml:space="preserve"> disasters, climate change, and </w:t>
      </w:r>
      <w:r>
        <w:rPr>
          <w:noProof/>
        </w:rPr>
        <w:t xml:space="preserve">regional </w:t>
      </w:r>
      <w:r>
        <w:rPr>
          <w:noProof/>
        </w:rPr>
        <w:t>conflicts. It is important to safeguard and preserve such</w:t>
      </w:r>
      <w:r>
        <w:rPr>
          <w:noProof/>
        </w:rPr>
        <w:t xml:space="preserve"> a</w:t>
      </w:r>
      <w:r>
        <w:rPr>
          <w:noProof/>
        </w:rPr>
        <w:t xml:space="preserve"> legacy, enhancing access and fostering a collective European identity. Digital preservation further ensures that future generations can learn from, appreciate, and draw inspiration from their cultural heritage. </w:t>
      </w:r>
    </w:p>
    <w:p w14:paraId="455C84F6" w14:textId="77777777" w:rsidR="005B7178" w:rsidRPr="00B74D3E" w:rsidRDefault="005B7178" w:rsidP="00B66E94">
      <w:pPr>
        <w:pStyle w:val="ManualConsidrant"/>
        <w:rPr>
          <w:noProof/>
        </w:rPr>
      </w:pPr>
      <w:r w:rsidRPr="00B66E94">
        <w:rPr>
          <w:noProof/>
        </w:rPr>
        <w:t>(10)</w:t>
      </w:r>
      <w:r w:rsidRPr="00B66E94">
        <w:rPr>
          <w:noProof/>
        </w:rPr>
        <w:tab/>
      </w:r>
      <w:r w:rsidRPr="00B74D3E">
        <w:rPr>
          <w:noProof/>
        </w:rPr>
        <w:t>The Programme should also give financial support to the European Heritage Label and the European Capitals of Culture actions, that celebrate and preserve Europe's rich cultural diversity and heritage</w:t>
      </w:r>
      <w:r>
        <w:rPr>
          <w:noProof/>
        </w:rPr>
        <w:t>, connecting it to the local level</w:t>
      </w:r>
      <w:r>
        <w:rPr>
          <w:noProof/>
        </w:rPr>
        <w:t xml:space="preserve"> </w:t>
      </w:r>
      <w:r w:rsidRPr="008F7330">
        <w:rPr>
          <w:noProof/>
        </w:rPr>
        <w:t xml:space="preserve">and </w:t>
      </w:r>
      <w:r>
        <w:rPr>
          <w:noProof/>
        </w:rPr>
        <w:t>contribut</w:t>
      </w:r>
      <w:r>
        <w:rPr>
          <w:noProof/>
        </w:rPr>
        <w:t xml:space="preserve">ing </w:t>
      </w:r>
      <w:r w:rsidRPr="008F7330">
        <w:rPr>
          <w:noProof/>
        </w:rPr>
        <w:t>to culture-driven development strategies.</w:t>
      </w:r>
      <w:r w:rsidRPr="00B74D3E">
        <w:rPr>
          <w:noProof/>
        </w:rPr>
        <w:t xml:space="preserve"> </w:t>
      </w:r>
    </w:p>
    <w:p w14:paraId="0965AA29" w14:textId="77777777" w:rsidR="005B7178" w:rsidRPr="00B74D3E" w:rsidRDefault="005B7178" w:rsidP="00B66E94">
      <w:pPr>
        <w:pStyle w:val="ManualConsidrant"/>
        <w:rPr>
          <w:noProof/>
        </w:rPr>
      </w:pPr>
      <w:r w:rsidRPr="00B66E94">
        <w:rPr>
          <w:noProof/>
        </w:rPr>
        <w:t>(11)</w:t>
      </w:r>
      <w:r w:rsidRPr="00B66E94">
        <w:rPr>
          <w:noProof/>
        </w:rPr>
        <w:tab/>
      </w:r>
      <w:r w:rsidRPr="00B74D3E">
        <w:rPr>
          <w:noProof/>
        </w:rPr>
        <w:t>Europe's media sectors</w:t>
      </w:r>
      <w:r w:rsidRPr="00AF2483">
        <w:rPr>
          <w:noProof/>
        </w:rPr>
        <w:t xml:space="preserve"> </w:t>
      </w:r>
      <w:r w:rsidRPr="00B74D3E">
        <w:rPr>
          <w:noProof/>
        </w:rPr>
        <w:t xml:space="preserve">hold a unique position in our democracies, culture, and economies. They encompass, inter alia, content such as films, series, video games, news and information, immersive reality and multimedia, as well as services including theatrical exhibition, television and radio broadcasting, print and online publishing, advertising online videos and podcasts. The digital transformation, notably the rise of artificial intelligence, has accelerated media convergence, changed consumer behaviour, </w:t>
      </w:r>
      <w:r w:rsidRPr="00B74D3E">
        <w:rPr>
          <w:noProof/>
        </w:rPr>
        <w:t xml:space="preserve">disrupted business and revenue models, as well as intellectual property management and exploitation. The Union should </w:t>
      </w:r>
      <w:r>
        <w:rPr>
          <w:noProof/>
        </w:rPr>
        <w:t>therefore</w:t>
      </w:r>
      <w:r w:rsidRPr="00B74D3E">
        <w:rPr>
          <w:noProof/>
        </w:rPr>
        <w:t xml:space="preserve"> help the Union’s media thrive, </w:t>
      </w:r>
      <w:r>
        <w:rPr>
          <w:noProof/>
        </w:rPr>
        <w:t xml:space="preserve">foster innovation and access to finance, </w:t>
      </w:r>
      <w:r w:rsidRPr="00B74D3E">
        <w:rPr>
          <w:noProof/>
        </w:rPr>
        <w:t>promot</w:t>
      </w:r>
      <w:r>
        <w:rPr>
          <w:noProof/>
        </w:rPr>
        <w:t>e</w:t>
      </w:r>
      <w:r w:rsidRPr="00B74D3E">
        <w:rPr>
          <w:noProof/>
        </w:rPr>
        <w:t xml:space="preserve"> </w:t>
      </w:r>
      <w:r>
        <w:rPr>
          <w:noProof/>
        </w:rPr>
        <w:t xml:space="preserve">cross fertilisation </w:t>
      </w:r>
      <w:r>
        <w:rPr>
          <w:noProof/>
        </w:rPr>
        <w:t>between news, audi</w:t>
      </w:r>
      <w:r>
        <w:rPr>
          <w:noProof/>
        </w:rPr>
        <w:t>o</w:t>
      </w:r>
      <w:r>
        <w:rPr>
          <w:noProof/>
        </w:rPr>
        <w:t>visual and other</w:t>
      </w:r>
      <w:r w:rsidRPr="00B74D3E">
        <w:rPr>
          <w:noProof/>
        </w:rPr>
        <w:t xml:space="preserve"> media sectors and support collaborations between </w:t>
      </w:r>
      <w:r>
        <w:rPr>
          <w:noProof/>
        </w:rPr>
        <w:t>different types of</w:t>
      </w:r>
      <w:r w:rsidRPr="00B74D3E">
        <w:rPr>
          <w:noProof/>
        </w:rPr>
        <w:t xml:space="preserve"> media entities</w:t>
      </w:r>
      <w:r>
        <w:rPr>
          <w:noProof/>
        </w:rPr>
        <w:t xml:space="preserve"> </w:t>
      </w:r>
      <w:r>
        <w:rPr>
          <w:noProof/>
        </w:rPr>
        <w:t>a</w:t>
      </w:r>
      <w:r>
        <w:rPr>
          <w:noProof/>
        </w:rPr>
        <w:t>cross the Union.</w:t>
      </w:r>
    </w:p>
    <w:p w14:paraId="1C3DA3BD" w14:textId="77777777" w:rsidR="005B7178" w:rsidRPr="00B74D3E" w:rsidRDefault="005B7178" w:rsidP="00B66E94">
      <w:pPr>
        <w:pStyle w:val="ManualConsidrant"/>
        <w:rPr>
          <w:noProof/>
        </w:rPr>
      </w:pPr>
      <w:r w:rsidRPr="00B66E94">
        <w:rPr>
          <w:noProof/>
        </w:rPr>
        <w:t>(12)</w:t>
      </w:r>
      <w:r w:rsidRPr="00B66E94">
        <w:rPr>
          <w:noProof/>
        </w:rPr>
        <w:tab/>
      </w:r>
      <w:r w:rsidRPr="00B74D3E">
        <w:rPr>
          <w:noProof/>
        </w:rPr>
        <w:t>The Union audiovisual sector</w:t>
      </w:r>
      <w:r w:rsidRPr="00B74D3E" w:rsidDel="00AA2DC1">
        <w:rPr>
          <w:noProof/>
        </w:rPr>
        <w:t xml:space="preserve"> </w:t>
      </w:r>
      <w:r w:rsidRPr="00B74D3E">
        <w:rPr>
          <w:noProof/>
        </w:rPr>
        <w:t>face</w:t>
      </w:r>
      <w:r>
        <w:rPr>
          <w:noProof/>
        </w:rPr>
        <w:t>s</w:t>
      </w:r>
      <w:r w:rsidRPr="00B74D3E" w:rsidDel="00AA2DC1">
        <w:rPr>
          <w:noProof/>
        </w:rPr>
        <w:t xml:space="preserve"> </w:t>
      </w:r>
      <w:r w:rsidRPr="00B74D3E">
        <w:rPr>
          <w:noProof/>
        </w:rPr>
        <w:t>challenges stemming from limited cross-border circulation, shifting consumption habits and the dominance of non-</w:t>
      </w:r>
      <w:r>
        <w:rPr>
          <w:noProof/>
        </w:rPr>
        <w:t>Union</w:t>
      </w:r>
      <w:r w:rsidRPr="00B74D3E">
        <w:rPr>
          <w:noProof/>
        </w:rPr>
        <w:t xml:space="preserve"> </w:t>
      </w:r>
      <w:r w:rsidRPr="00B74D3E">
        <w:rPr>
          <w:noProof/>
        </w:rPr>
        <w:t>players. Given these challenges, Union intervention should support the capacity of European audiovisual and video games industries to create, finance, produce and disseminate European works on all platforms that are available and attractive to audiences within the Union and beyond. It should foster transmedia adaptations of intellectual property between di</w:t>
      </w:r>
      <w:r w:rsidRPr="00B74D3E">
        <w:rPr>
          <w:noProof/>
        </w:rPr>
        <w:t xml:space="preserve">fferent media formats, contribute to promoting collaboration among Member States with different market capacities, and accompany the Union’s audiovisual regulatory framework. </w:t>
      </w:r>
    </w:p>
    <w:p w14:paraId="03BF5006" w14:textId="77777777" w:rsidR="005B7178" w:rsidRDefault="005B7178" w:rsidP="00B66E94">
      <w:pPr>
        <w:pStyle w:val="ManualConsidrant"/>
        <w:rPr>
          <w:noProof/>
        </w:rPr>
      </w:pPr>
      <w:r w:rsidRPr="00B66E94">
        <w:rPr>
          <w:noProof/>
        </w:rPr>
        <w:t>(13)</w:t>
      </w:r>
      <w:r w:rsidRPr="00B66E94">
        <w:rPr>
          <w:noProof/>
        </w:rPr>
        <w:tab/>
      </w:r>
      <w:r w:rsidRPr="00B74D3E">
        <w:rPr>
          <w:noProof/>
        </w:rPr>
        <w:t>News media outlets and journalists across the Union are under increased pressure</w:t>
      </w:r>
      <w:r>
        <w:rPr>
          <w:noProof/>
        </w:rPr>
        <w:t>,</w:t>
      </w:r>
      <w:r>
        <w:rPr>
          <w:noProof/>
        </w:rPr>
        <w:t xml:space="preserve"> </w:t>
      </w:r>
      <w:r>
        <w:rPr>
          <w:noProof/>
        </w:rPr>
        <w:t xml:space="preserve">notably due to </w:t>
      </w:r>
      <w:r>
        <w:rPr>
          <w:noProof/>
        </w:rPr>
        <w:t xml:space="preserve">the </w:t>
      </w:r>
      <w:r w:rsidRPr="00B74D3E">
        <w:rPr>
          <w:noProof/>
        </w:rPr>
        <w:t xml:space="preserve">rise of global online platforms, shifting consumption habits and growing spread of </w:t>
      </w:r>
      <w:r>
        <w:rPr>
          <w:noProof/>
        </w:rPr>
        <w:t>disinformation</w:t>
      </w:r>
      <w:r>
        <w:rPr>
          <w:noProof/>
        </w:rPr>
        <w:t xml:space="preserve">. These </w:t>
      </w:r>
      <w:r>
        <w:rPr>
          <w:noProof/>
        </w:rPr>
        <w:t>challenges</w:t>
      </w:r>
      <w:r w:rsidRPr="00B74D3E">
        <w:rPr>
          <w:noProof/>
        </w:rPr>
        <w:t xml:space="preserve"> impact news revenues and distribution, undermining the viability and public trust </w:t>
      </w:r>
      <w:r>
        <w:rPr>
          <w:noProof/>
        </w:rPr>
        <w:t xml:space="preserve">in </w:t>
      </w:r>
      <w:r w:rsidRPr="00B74D3E">
        <w:rPr>
          <w:noProof/>
        </w:rPr>
        <w:t>news media outlets, and limiting citizens’ access to diverse, professionally produced European journalistic content. The Union should support a viable, independent and diverse information ecosystem, protect jo</w:t>
      </w:r>
      <w:r w:rsidRPr="00B74D3E">
        <w:rPr>
          <w:noProof/>
        </w:rPr>
        <w:t xml:space="preserve">urnalists under threat, promote media freedom and pluralism, and reinforce the integrity of the information space, by </w:t>
      </w:r>
      <w:r>
        <w:rPr>
          <w:noProof/>
        </w:rPr>
        <w:t xml:space="preserve">promoting measures and enhancing cooperation aimed at </w:t>
      </w:r>
      <w:r w:rsidRPr="00B74D3E">
        <w:rPr>
          <w:noProof/>
        </w:rPr>
        <w:t xml:space="preserve">tackling disinformation and supporting </w:t>
      </w:r>
      <w:r>
        <w:rPr>
          <w:noProof/>
        </w:rPr>
        <w:t xml:space="preserve">digital and </w:t>
      </w:r>
      <w:r w:rsidRPr="00B74D3E">
        <w:rPr>
          <w:noProof/>
        </w:rPr>
        <w:t>media literacy</w:t>
      </w:r>
      <w:r>
        <w:rPr>
          <w:noProof/>
        </w:rPr>
        <w:t>, including for young people</w:t>
      </w:r>
      <w:r w:rsidRPr="00B74D3E">
        <w:rPr>
          <w:noProof/>
        </w:rPr>
        <w:t>.</w:t>
      </w:r>
      <w:r w:rsidRPr="00B74D3E" w:rsidDel="00EF4CDC">
        <w:rPr>
          <w:noProof/>
        </w:rPr>
        <w:t xml:space="preserve"> </w:t>
      </w:r>
    </w:p>
    <w:p w14:paraId="5D6D98CC" w14:textId="77777777" w:rsidR="005B7178" w:rsidRPr="00B74D3E" w:rsidRDefault="005B7178" w:rsidP="00B66E94">
      <w:pPr>
        <w:pStyle w:val="ManualConsidrant"/>
        <w:rPr>
          <w:noProof/>
        </w:rPr>
      </w:pPr>
      <w:r w:rsidRPr="00B66E94">
        <w:rPr>
          <w:noProof/>
        </w:rPr>
        <w:t>(14)</w:t>
      </w:r>
      <w:r w:rsidRPr="00B66E94">
        <w:rPr>
          <w:noProof/>
        </w:rPr>
        <w:tab/>
      </w:r>
      <w:r w:rsidRPr="00F95CDE">
        <w:rPr>
          <w:noProof/>
        </w:rPr>
        <w:t xml:space="preserve">Democracies in the Union are facing increasing challenges. Declining trust of citizens in democratic institutions and processes is exacerbated by disinformation, social </w:t>
      </w:r>
      <w:r w:rsidRPr="00F95CDE">
        <w:rPr>
          <w:noProof/>
        </w:rPr>
        <w:lastRenderedPageBreak/>
        <w:t>polarisation and hatred impacting the electoral and other democratic processes. A whole of society approach is needed to make European democracy more resilient</w:t>
      </w:r>
      <w:r>
        <w:rPr>
          <w:noProof/>
        </w:rPr>
        <w:t>.</w:t>
      </w:r>
    </w:p>
    <w:p w14:paraId="508BA0CD" w14:textId="77777777" w:rsidR="005B7178" w:rsidRPr="00D52B5B" w:rsidRDefault="005B7178" w:rsidP="00B66E94">
      <w:pPr>
        <w:pStyle w:val="ManualConsidrant"/>
        <w:rPr>
          <w:iCs/>
          <w:noProof/>
          <w:lang w:val="en-IE"/>
        </w:rPr>
      </w:pPr>
      <w:r w:rsidRPr="00B66E94">
        <w:rPr>
          <w:noProof/>
        </w:rPr>
        <w:t>(15)</w:t>
      </w:r>
      <w:r w:rsidRPr="00B66E94">
        <w:rPr>
          <w:noProof/>
        </w:rPr>
        <w:tab/>
      </w:r>
      <w:r w:rsidRPr="000C4E06">
        <w:rPr>
          <w:iCs/>
          <w:noProof/>
          <w:lang w:val="en-IE"/>
        </w:rPr>
        <w:t>The protection and promotion of</w:t>
      </w:r>
      <w:r>
        <w:rPr>
          <w:iCs/>
          <w:noProof/>
          <w:lang w:val="en-IE"/>
        </w:rPr>
        <w:t xml:space="preserve"> </w:t>
      </w:r>
      <w:r w:rsidRPr="000C4E06">
        <w:rPr>
          <w:noProof/>
          <w:lang w:val="en-IE"/>
        </w:rPr>
        <w:t>fundamental rights contributes to the construction of a more democratic Union. Non-discrimination is a core principle of the Union</w:t>
      </w:r>
      <w:r>
        <w:rPr>
          <w:iCs/>
          <w:noProof/>
          <w:lang w:val="en-IE"/>
        </w:rPr>
        <w:t xml:space="preserve"> enshrined in Article 19 TFEU and in Article 21 of the Charter</w:t>
      </w:r>
      <w:r w:rsidRPr="000C4E06">
        <w:rPr>
          <w:iCs/>
          <w:noProof/>
          <w:lang w:val="en-IE"/>
        </w:rPr>
        <w:t>.</w:t>
      </w:r>
      <w:r w:rsidRPr="000C4E06">
        <w:rPr>
          <w:noProof/>
          <w:lang w:val="en-IE"/>
        </w:rPr>
        <w:t xml:space="preserve"> Working towards an equal and discrimination-free society contributes to untap</w:t>
      </w:r>
      <w:r>
        <w:rPr>
          <w:noProof/>
          <w:lang w:val="en-IE"/>
        </w:rPr>
        <w:t>ping</w:t>
      </w:r>
      <w:r w:rsidRPr="000C4E06">
        <w:rPr>
          <w:noProof/>
          <w:lang w:val="en-IE"/>
        </w:rPr>
        <w:t xml:space="preserve"> the potential of individuals in their diversity and to cultural, economic and social growth. It also helps to address important root causes of violence against vulnerable groups</w:t>
      </w:r>
      <w:r>
        <w:rPr>
          <w:noProof/>
          <w:lang w:val="en-IE"/>
        </w:rPr>
        <w:t>, which in turn is a front</w:t>
      </w:r>
      <w:r>
        <w:rPr>
          <w:noProof/>
          <w:lang w:val="en-IE"/>
        </w:rPr>
        <w:t>al attack on equality</w:t>
      </w:r>
      <w:r w:rsidRPr="000C4E06">
        <w:rPr>
          <w:noProof/>
          <w:lang w:val="en-IE"/>
        </w:rPr>
        <w:t>. The</w:t>
      </w:r>
      <w:r>
        <w:rPr>
          <w:noProof/>
          <w:lang w:val="en-IE"/>
        </w:rPr>
        <w:t>refore, the</w:t>
      </w:r>
      <w:r w:rsidRPr="000C4E06">
        <w:rPr>
          <w:noProof/>
          <w:lang w:val="en-IE"/>
        </w:rPr>
        <w:t xml:space="preserve"> Programme should</w:t>
      </w:r>
      <w:r w:rsidRPr="000C4E06" w:rsidDel="00400D9F">
        <w:rPr>
          <w:noProof/>
          <w:lang w:val="en-IE"/>
        </w:rPr>
        <w:t xml:space="preserve"> </w:t>
      </w:r>
      <w:r w:rsidRPr="000C4E06">
        <w:rPr>
          <w:noProof/>
          <w:lang w:val="en-IE"/>
        </w:rPr>
        <w:t xml:space="preserve">promote actions to address all forms of discrimination and intolerance, </w:t>
      </w:r>
      <w:r>
        <w:rPr>
          <w:noProof/>
          <w:lang w:val="en-IE"/>
        </w:rPr>
        <w:t>namely</w:t>
      </w:r>
      <w:r>
        <w:rPr>
          <w:noProof/>
          <w:lang w:val="en-IE"/>
        </w:rPr>
        <w:t xml:space="preserve"> </w:t>
      </w:r>
      <w:r w:rsidRPr="000C4E06">
        <w:rPr>
          <w:noProof/>
          <w:lang w:val="en-IE"/>
        </w:rPr>
        <w:t xml:space="preserve">direct and indirect discrimination, </w:t>
      </w:r>
      <w:r>
        <w:rPr>
          <w:noProof/>
          <w:lang w:val="en-IE"/>
        </w:rPr>
        <w:t>paying attention to the specific forms of</w:t>
      </w:r>
      <w:r w:rsidRPr="000C4E06">
        <w:rPr>
          <w:noProof/>
          <w:lang w:val="en-IE"/>
        </w:rPr>
        <w:t xml:space="preserve"> structural and intersectional discrimination, with a view to support</w:t>
      </w:r>
      <w:r>
        <w:rPr>
          <w:noProof/>
          <w:lang w:val="en-IE"/>
        </w:rPr>
        <w:t>ing</w:t>
      </w:r>
      <w:r w:rsidRPr="000C4E06">
        <w:rPr>
          <w:noProof/>
          <w:lang w:val="en-IE"/>
        </w:rPr>
        <w:t xml:space="preserve"> relevant </w:t>
      </w:r>
      <w:r>
        <w:rPr>
          <w:noProof/>
          <w:lang w:val="en-IE"/>
        </w:rPr>
        <w:t>Union</w:t>
      </w:r>
      <w:r w:rsidRPr="000C4E06">
        <w:rPr>
          <w:noProof/>
          <w:lang w:val="en-IE"/>
        </w:rPr>
        <w:t xml:space="preserve"> </w:t>
      </w:r>
      <w:r w:rsidRPr="000C4E06">
        <w:rPr>
          <w:noProof/>
          <w:lang w:val="en-IE"/>
        </w:rPr>
        <w:t>policy frameworks. The Programme should support actions to prevent and combat all forms of xenophobia and racism, antisemitism and anti-</w:t>
      </w:r>
      <w:r>
        <w:rPr>
          <w:noProof/>
          <w:lang w:val="en-IE"/>
        </w:rPr>
        <w:t>M</w:t>
      </w:r>
      <w:r w:rsidRPr="000C4E06">
        <w:rPr>
          <w:noProof/>
          <w:lang w:val="en-IE"/>
        </w:rPr>
        <w:t>uslim hatred, homophobia, biphobia, transphobia, interphobia</w:t>
      </w:r>
      <w:r>
        <w:rPr>
          <w:noProof/>
          <w:lang w:val="en-IE"/>
        </w:rPr>
        <w:t xml:space="preserve">, </w:t>
      </w:r>
      <w:r w:rsidRPr="000C4E06">
        <w:rPr>
          <w:noProof/>
          <w:lang w:val="en-IE"/>
        </w:rPr>
        <w:t xml:space="preserve">intolerance </w:t>
      </w:r>
      <w:r>
        <w:rPr>
          <w:noProof/>
          <w:lang w:val="en-IE"/>
        </w:rPr>
        <w:t>an</w:t>
      </w:r>
      <w:r>
        <w:rPr>
          <w:noProof/>
          <w:lang w:val="en-IE"/>
        </w:rPr>
        <w:t xml:space="preserve">d discrimination </w:t>
      </w:r>
      <w:r w:rsidRPr="000C4E06">
        <w:rPr>
          <w:noProof/>
          <w:lang w:val="en-IE"/>
        </w:rPr>
        <w:t>based on gender identity, intolerance towards persons belonging to minorities including Roma,</w:t>
      </w:r>
      <w:r>
        <w:rPr>
          <w:noProof/>
          <w:lang w:val="en-IE"/>
        </w:rPr>
        <w:t xml:space="preserve"> </w:t>
      </w:r>
      <w:r w:rsidRPr="000C4E06">
        <w:rPr>
          <w:noProof/>
          <w:lang w:val="en-IE"/>
        </w:rPr>
        <w:t>as well as hate speech. The Programme should also contribute to enabl</w:t>
      </w:r>
      <w:r>
        <w:rPr>
          <w:noProof/>
          <w:lang w:val="en-IE"/>
        </w:rPr>
        <w:t>ing</w:t>
      </w:r>
      <w:r w:rsidRPr="000C4E06">
        <w:rPr>
          <w:noProof/>
          <w:lang w:val="en-IE"/>
        </w:rPr>
        <w:t xml:space="preserve"> the Union to deliver on the commitment taken as Party to the UN Convention on the Rights of Persons with Disabilities </w:t>
      </w:r>
      <w:r w:rsidRPr="7B6427FA">
        <w:rPr>
          <w:noProof/>
          <w:lang w:val="en-IE"/>
        </w:rPr>
        <w:t>adopted on 13 December 2006</w:t>
      </w:r>
      <w:r>
        <w:rPr>
          <w:rStyle w:val="Allmrkuseviide"/>
          <w:rFonts w:eastAsia="Arial Unicode MS"/>
          <w:noProof/>
          <w:lang w:val="en-IE"/>
        </w:rPr>
        <w:footnoteReference w:id="15"/>
      </w:r>
      <w:r w:rsidRPr="000C4E06">
        <w:rPr>
          <w:noProof/>
          <w:lang w:val="en-IE"/>
        </w:rPr>
        <w:t xml:space="preserve"> </w:t>
      </w:r>
      <w:r w:rsidRPr="000C4E06">
        <w:rPr>
          <w:noProof/>
          <w:lang w:val="en-IE"/>
        </w:rPr>
        <w:t xml:space="preserve">to promote, protect and ensure the full and equal enjoyment of all human rights and </w:t>
      </w:r>
      <w:r w:rsidRPr="000C4E06">
        <w:rPr>
          <w:noProof/>
          <w:lang w:val="en-IE"/>
        </w:rPr>
        <w:t>fundamental freedoms by all persons with disabilities.</w:t>
      </w:r>
    </w:p>
    <w:p w14:paraId="17A4B862" w14:textId="77777777" w:rsidR="005B7178" w:rsidRPr="00DD5842" w:rsidRDefault="005B7178" w:rsidP="00B66E94">
      <w:pPr>
        <w:pStyle w:val="ManualConsidrant"/>
        <w:rPr>
          <w:rFonts w:eastAsia="Arial Unicode MS"/>
          <w:iCs/>
          <w:noProof/>
          <w:lang w:val="en-IE"/>
        </w:rPr>
      </w:pPr>
      <w:r w:rsidRPr="00B66E94">
        <w:rPr>
          <w:noProof/>
        </w:rPr>
        <w:t>(16)</w:t>
      </w:r>
      <w:r w:rsidRPr="00B66E94">
        <w:rPr>
          <w:noProof/>
        </w:rPr>
        <w:tab/>
      </w:r>
      <w:r>
        <w:rPr>
          <w:noProof/>
        </w:rPr>
        <w:t xml:space="preserve">The rights to privacy and the protection of personal data, enshrined respectively in Article 7 of the Charter and in Article 16 TFEU and Article 8 of the Charter, are enforced through </w:t>
      </w:r>
      <w:r>
        <w:rPr>
          <w:noProof/>
        </w:rPr>
        <w:t>a dedicated Regulation</w:t>
      </w:r>
      <w:r w:rsidRPr="006F5255">
        <w:rPr>
          <w:rStyle w:val="Allmrkuseviide"/>
          <w:noProof/>
        </w:rPr>
        <w:footnoteReference w:id="16"/>
      </w:r>
      <w:r>
        <w:rPr>
          <w:noProof/>
        </w:rPr>
        <w:t xml:space="preserve"> and Directive</w:t>
      </w:r>
      <w:r w:rsidRPr="006F5255">
        <w:rPr>
          <w:rStyle w:val="Allmrkuseviide"/>
          <w:noProof/>
        </w:rPr>
        <w:footnoteReference w:id="17"/>
      </w:r>
      <w:r>
        <w:rPr>
          <w:noProof/>
        </w:rPr>
        <w:t xml:space="preserve">. </w:t>
      </w:r>
      <w:r>
        <w:rPr>
          <w:noProof/>
        </w:rPr>
        <w:t>The Union</w:t>
      </w:r>
      <w:r>
        <w:rPr>
          <w:noProof/>
        </w:rPr>
        <w:t>’</w:t>
      </w:r>
      <w:r>
        <w:rPr>
          <w:noProof/>
        </w:rPr>
        <w:t>s legal framework</w:t>
      </w:r>
      <w:r>
        <w:rPr>
          <w:noProof/>
        </w:rPr>
        <w:t xml:space="preserve"> </w:t>
      </w:r>
      <w:r>
        <w:rPr>
          <w:noProof/>
        </w:rPr>
        <w:t>lay</w:t>
      </w:r>
      <w:r>
        <w:rPr>
          <w:noProof/>
        </w:rPr>
        <w:t>s</w:t>
      </w:r>
      <w:r>
        <w:rPr>
          <w:noProof/>
        </w:rPr>
        <w:t xml:space="preserve"> down provisions to ensure that the right to protection of personal data is effectively protected. These legal instruments entrust the national data protection supervisory authorities with the task of promoting public awareness and understanding the risks, rules, safeguards and rights in relation to the processing of personal data. </w:t>
      </w:r>
      <w:r>
        <w:rPr>
          <w:noProof/>
        </w:rPr>
        <w:t xml:space="preserve">The Programme should contribute </w:t>
      </w:r>
      <w:r>
        <w:rPr>
          <w:noProof/>
        </w:rPr>
        <w:t>to rais</w:t>
      </w:r>
      <w:r>
        <w:rPr>
          <w:noProof/>
        </w:rPr>
        <w:t>ing</w:t>
      </w:r>
      <w:r>
        <w:rPr>
          <w:noProof/>
        </w:rPr>
        <w:t xml:space="preserve"> awareness, </w:t>
      </w:r>
      <w:r>
        <w:rPr>
          <w:noProof/>
        </w:rPr>
        <w:t>carry out studies and other relevant activities</w:t>
      </w:r>
      <w:r>
        <w:rPr>
          <w:noProof/>
        </w:rPr>
        <w:t xml:space="preserve"> in this field</w:t>
      </w:r>
      <w:r>
        <w:rPr>
          <w:noProof/>
        </w:rPr>
        <w:t>, including through the natio</w:t>
      </w:r>
      <w:r>
        <w:rPr>
          <w:noProof/>
        </w:rPr>
        <w:t>nal data protection supervisory authorities</w:t>
      </w:r>
      <w:r>
        <w:rPr>
          <w:noProof/>
        </w:rPr>
        <w:t xml:space="preserve">, </w:t>
      </w:r>
      <w:r>
        <w:rPr>
          <w:noProof/>
        </w:rPr>
        <w:t>given the importance of the right to the protection of personal data in times of rapid technological developments.</w:t>
      </w:r>
    </w:p>
    <w:p w14:paraId="25424E43" w14:textId="77777777" w:rsidR="005B7178" w:rsidRPr="00A231CF" w:rsidRDefault="005B7178" w:rsidP="00B66E94">
      <w:pPr>
        <w:pStyle w:val="ManualConsidrant"/>
        <w:rPr>
          <w:noProof/>
          <w:lang w:val="en-IE"/>
        </w:rPr>
      </w:pPr>
      <w:r w:rsidRPr="00B66E94">
        <w:rPr>
          <w:noProof/>
        </w:rPr>
        <w:t>(17)</w:t>
      </w:r>
      <w:r w:rsidRPr="00B66E94">
        <w:rPr>
          <w:noProof/>
        </w:rPr>
        <w:tab/>
      </w:r>
      <w:r w:rsidRPr="00A231CF">
        <w:rPr>
          <w:noProof/>
        </w:rPr>
        <w:t>Gender equality is a fundamental right</w:t>
      </w:r>
      <w:r w:rsidRPr="64649597">
        <w:rPr>
          <w:noProof/>
        </w:rPr>
        <w:t xml:space="preserve"> and</w:t>
      </w:r>
      <w:r w:rsidRPr="00A231CF">
        <w:rPr>
          <w:noProof/>
        </w:rPr>
        <w:t xml:space="preserve"> an objective of the Union and should be supported by the </w:t>
      </w:r>
      <w:r>
        <w:rPr>
          <w:noProof/>
        </w:rPr>
        <w:t>P</w:t>
      </w:r>
      <w:r w:rsidRPr="00A231CF">
        <w:rPr>
          <w:noProof/>
        </w:rPr>
        <w:t xml:space="preserve">rogramme. </w:t>
      </w:r>
      <w:r w:rsidRPr="00A231CF">
        <w:rPr>
          <w:noProof/>
          <w:lang w:val="en-IE"/>
        </w:rPr>
        <w:t>Despite many achievements, significant challenges remain, which require to reinforce the Union’s commitment. This include</w:t>
      </w:r>
      <w:r>
        <w:rPr>
          <w:noProof/>
          <w:lang w:val="en-IE"/>
        </w:rPr>
        <w:t>s</w:t>
      </w:r>
      <w:r w:rsidRPr="00A231CF">
        <w:rPr>
          <w:noProof/>
          <w:lang w:val="en-IE"/>
        </w:rPr>
        <w:t xml:space="preserve"> working towards freedom from gender-based violence, the highest standards of health, including in particular sexual and reproductive health, equal pay and economic empowerment, work-life balance and care, equal employment, career opportunities and working conditions, quality and inclusive education, political participa</w:t>
      </w:r>
      <w:r w:rsidRPr="00A231CF">
        <w:rPr>
          <w:noProof/>
          <w:lang w:val="en-IE"/>
        </w:rPr>
        <w:t xml:space="preserve">tion and equal representation, institutional mechanisms that deliver on women’s rights, actively tackling gender stereotypes and addressing intersectional discrimination. </w:t>
      </w:r>
    </w:p>
    <w:p w14:paraId="7BC11ED4" w14:textId="77777777" w:rsidR="005B7178" w:rsidRPr="008440E3" w:rsidRDefault="005B7178" w:rsidP="00B66E94">
      <w:pPr>
        <w:pStyle w:val="ManualConsidrant"/>
        <w:rPr>
          <w:noProof/>
          <w:lang w:val="en-IE"/>
        </w:rPr>
      </w:pPr>
      <w:r w:rsidRPr="00B66E94">
        <w:rPr>
          <w:noProof/>
        </w:rPr>
        <w:t>(18)</w:t>
      </w:r>
      <w:r w:rsidRPr="00B66E94">
        <w:rPr>
          <w:noProof/>
        </w:rPr>
        <w:tab/>
      </w:r>
      <w:r w:rsidRPr="008440E3">
        <w:rPr>
          <w:noProof/>
        </w:rPr>
        <w:t xml:space="preserve">Gender-based violence and violence against women, children, young persons and other groups at risk, such as LGBTIQ persons and persons with disabilities, constitute a serious violation of fundamental rights and continue to persist throughout the Union, </w:t>
      </w:r>
      <w:r w:rsidRPr="008440E3">
        <w:rPr>
          <w:noProof/>
        </w:rPr>
        <w:lastRenderedPageBreak/>
        <w:t xml:space="preserve">in all social and economic contexts. Violence against women </w:t>
      </w:r>
      <w:r>
        <w:rPr>
          <w:noProof/>
        </w:rPr>
        <w:t xml:space="preserve"> and persons belonging to other groups at risk </w:t>
      </w:r>
      <w:r w:rsidRPr="008440E3">
        <w:rPr>
          <w:noProof/>
        </w:rPr>
        <w:t xml:space="preserve">is a violation of human rights and </w:t>
      </w:r>
      <w:r>
        <w:rPr>
          <w:noProof/>
        </w:rPr>
        <w:t>a frontal attack on equality</w:t>
      </w:r>
      <w:r>
        <w:rPr>
          <w:noProof/>
        </w:rPr>
        <w:t>. Thus,</w:t>
      </w:r>
      <w:r w:rsidRPr="008440E3">
        <w:rPr>
          <w:noProof/>
        </w:rPr>
        <w:t xml:space="preserve"> preventing and </w:t>
      </w:r>
      <w:r w:rsidRPr="008440E3">
        <w:rPr>
          <w:iCs/>
          <w:noProof/>
        </w:rPr>
        <w:t xml:space="preserve">addressing </w:t>
      </w:r>
      <w:r w:rsidRPr="008440E3">
        <w:rPr>
          <w:noProof/>
        </w:rPr>
        <w:t>such violence</w:t>
      </w:r>
      <w:r>
        <w:rPr>
          <w:noProof/>
        </w:rPr>
        <w:t xml:space="preserve"> </w:t>
      </w:r>
      <w:r w:rsidRPr="008440E3">
        <w:rPr>
          <w:noProof/>
        </w:rPr>
        <w:t>is a societal imperative and contributes</w:t>
      </w:r>
      <w:r w:rsidRPr="008440E3">
        <w:rPr>
          <w:noProof/>
        </w:rPr>
        <w:t xml:space="preserve"> to tackling such discrimination as well as addressing the impacts of violence, including on health. </w:t>
      </w:r>
      <w:r>
        <w:rPr>
          <w:noProof/>
        </w:rPr>
        <w:t xml:space="preserve">At the same time, ensuring a discrimination-free society </w:t>
      </w:r>
      <w:r>
        <w:rPr>
          <w:noProof/>
        </w:rPr>
        <w:t xml:space="preserve">will </w:t>
      </w:r>
      <w:r>
        <w:rPr>
          <w:noProof/>
        </w:rPr>
        <w:t>also help address the root causes of violence against vulnerable groups</w:t>
      </w:r>
      <w:r>
        <w:rPr>
          <w:noProof/>
        </w:rPr>
        <w:t>,</w:t>
      </w:r>
      <w:r>
        <w:rPr>
          <w:noProof/>
        </w:rPr>
        <w:t xml:space="preserve"> </w:t>
      </w:r>
      <w:r>
        <w:rPr>
          <w:noProof/>
        </w:rPr>
        <w:t xml:space="preserve">since </w:t>
      </w:r>
      <w:r>
        <w:rPr>
          <w:noProof/>
        </w:rPr>
        <w:t>they</w:t>
      </w:r>
      <w:r>
        <w:rPr>
          <w:noProof/>
        </w:rPr>
        <w:t xml:space="preserve"> are intrinsically linked. </w:t>
      </w:r>
      <w:r w:rsidRPr="008440E3">
        <w:rPr>
          <w:noProof/>
        </w:rPr>
        <w:t>The</w:t>
      </w:r>
      <w:r>
        <w:rPr>
          <w:noProof/>
        </w:rPr>
        <w:t>refore</w:t>
      </w:r>
      <w:r>
        <w:rPr>
          <w:noProof/>
        </w:rPr>
        <w:t>,</w:t>
      </w:r>
      <w:r>
        <w:rPr>
          <w:noProof/>
        </w:rPr>
        <w:t xml:space="preserve"> the</w:t>
      </w:r>
      <w:r w:rsidRPr="008440E3">
        <w:rPr>
          <w:noProof/>
        </w:rPr>
        <w:t xml:space="preserve"> Programme should continue the longstanding Union effort in preventing, responding to and </w:t>
      </w:r>
      <w:r>
        <w:rPr>
          <w:noProof/>
        </w:rPr>
        <w:t>fighting</w:t>
      </w:r>
      <w:r w:rsidRPr="008440E3">
        <w:rPr>
          <w:noProof/>
        </w:rPr>
        <w:t xml:space="preserve"> violence at all levels as well as in protecting and supporting all direct and indirect victims and survivors of violence, buil</w:t>
      </w:r>
      <w:r w:rsidRPr="008440E3">
        <w:rPr>
          <w:noProof/>
        </w:rPr>
        <w:t>ding on the five consecutive generations of the Daphne programme and strand</w:t>
      </w:r>
      <w:r w:rsidRPr="64649597">
        <w:rPr>
          <w:rStyle w:val="Allmrkuseviide"/>
          <w:rFonts w:eastAsia="Calibri"/>
          <w:noProof/>
        </w:rPr>
        <w:footnoteReference w:id="18"/>
      </w:r>
      <w:r w:rsidRPr="008440E3">
        <w:rPr>
          <w:iCs/>
          <w:noProof/>
        </w:rPr>
        <w:t>.</w:t>
      </w:r>
      <w:r w:rsidRPr="008440E3">
        <w:rPr>
          <w:noProof/>
        </w:rPr>
        <w:t xml:space="preserve"> The Programme should support the achievement of </w:t>
      </w:r>
      <w:r>
        <w:rPr>
          <w:noProof/>
        </w:rPr>
        <w:t>the</w:t>
      </w:r>
      <w:r w:rsidRPr="008440E3">
        <w:rPr>
          <w:noProof/>
        </w:rPr>
        <w:t xml:space="preserve"> objectives </w:t>
      </w:r>
      <w:r>
        <w:rPr>
          <w:noProof/>
        </w:rPr>
        <w:t xml:space="preserve">of the </w:t>
      </w:r>
      <w:r w:rsidRPr="008440E3">
        <w:rPr>
          <w:noProof/>
        </w:rPr>
        <w:t>Council of Europe Convention on preventing and combating violence against women</w:t>
      </w:r>
      <w:r>
        <w:rPr>
          <w:noProof/>
        </w:rPr>
        <w:t xml:space="preserve"> adopted in Istanbul on 11 May 2011</w:t>
      </w:r>
      <w:r>
        <w:rPr>
          <w:noProof/>
        </w:rPr>
        <w:t>,</w:t>
      </w:r>
      <w:r w:rsidRPr="008440E3">
        <w:rPr>
          <w:noProof/>
        </w:rPr>
        <w:t xml:space="preserve"> the implementation of the </w:t>
      </w:r>
      <w:r>
        <w:rPr>
          <w:noProof/>
        </w:rPr>
        <w:t xml:space="preserve">Commission </w:t>
      </w:r>
      <w:r w:rsidRPr="008440E3">
        <w:rPr>
          <w:noProof/>
        </w:rPr>
        <w:t xml:space="preserve">Recommendation on </w:t>
      </w:r>
      <w:r w:rsidRPr="008440E3">
        <w:rPr>
          <w:noProof/>
        </w:rPr>
        <w:t>developing and strengthening integrated child protection systems in the best interests of the child</w:t>
      </w:r>
      <w:r w:rsidRPr="008440E3">
        <w:rPr>
          <w:rStyle w:val="Allmrkuseviide"/>
          <w:rFonts w:eastAsia="Calibri"/>
          <w:noProof/>
        </w:rPr>
        <w:footnoteReference w:id="19"/>
      </w:r>
      <w:r w:rsidRPr="008440E3">
        <w:rPr>
          <w:noProof/>
        </w:rPr>
        <w:t>, which protects children from any form of violence</w:t>
      </w:r>
      <w:r>
        <w:rPr>
          <w:noProof/>
        </w:rPr>
        <w:t xml:space="preserve">, as well as </w:t>
      </w:r>
      <w:r w:rsidRPr="000C4E06">
        <w:rPr>
          <w:rFonts w:eastAsia="Arial Unicode MS"/>
          <w:noProof/>
          <w:lang w:val="en-IE"/>
        </w:rPr>
        <w:t xml:space="preserve">contribute to </w:t>
      </w:r>
      <w:r w:rsidRPr="000C4E06">
        <w:rPr>
          <w:rFonts w:eastAsia="Arial Unicode MS"/>
          <w:noProof/>
          <w:lang w:val="en-IE"/>
        </w:rPr>
        <w:t>enabl</w:t>
      </w:r>
      <w:r>
        <w:rPr>
          <w:rFonts w:eastAsia="Arial Unicode MS"/>
          <w:noProof/>
          <w:lang w:val="en-IE"/>
        </w:rPr>
        <w:t>ing</w:t>
      </w:r>
      <w:r w:rsidRPr="000C4E06">
        <w:rPr>
          <w:rFonts w:eastAsia="Arial Unicode MS"/>
          <w:noProof/>
          <w:lang w:val="en-IE"/>
        </w:rPr>
        <w:t xml:space="preserve"> the Union to deliver on the commitment taken as Party </w:t>
      </w:r>
      <w:r w:rsidRPr="008440E3">
        <w:rPr>
          <w:noProof/>
        </w:rPr>
        <w:t>to the U</w:t>
      </w:r>
      <w:r>
        <w:rPr>
          <w:noProof/>
        </w:rPr>
        <w:t>N Convention on the Rights of Persons with Disabilities</w:t>
      </w:r>
      <w:r>
        <w:rPr>
          <w:noProof/>
        </w:rPr>
        <w:t xml:space="preserve">, which </w:t>
      </w:r>
      <w:r w:rsidRPr="008440E3">
        <w:rPr>
          <w:noProof/>
        </w:rPr>
        <w:t>protect</w:t>
      </w:r>
      <w:r>
        <w:rPr>
          <w:noProof/>
        </w:rPr>
        <w:t>s</w:t>
      </w:r>
      <w:r w:rsidRPr="008440E3">
        <w:rPr>
          <w:noProof/>
        </w:rPr>
        <w:t xml:space="preserve"> persons with disabilities against any form of exploitation, violence and abuse</w:t>
      </w:r>
      <w:r w:rsidRPr="008440E3">
        <w:rPr>
          <w:noProof/>
        </w:rPr>
        <w:t xml:space="preserve">. </w:t>
      </w:r>
    </w:p>
    <w:p w14:paraId="3AC89796" w14:textId="77777777" w:rsidR="005B7178" w:rsidRDefault="005B7178" w:rsidP="00B66E94">
      <w:pPr>
        <w:pStyle w:val="ManualConsidrant"/>
        <w:rPr>
          <w:noProof/>
        </w:rPr>
      </w:pPr>
      <w:r w:rsidRPr="00B66E94">
        <w:rPr>
          <w:noProof/>
        </w:rPr>
        <w:t>(19)</w:t>
      </w:r>
      <w:r w:rsidRPr="00B66E94">
        <w:rPr>
          <w:noProof/>
        </w:rPr>
        <w:tab/>
      </w:r>
      <w:r w:rsidRPr="71619913">
        <w:rPr>
          <w:noProof/>
        </w:rPr>
        <w:t xml:space="preserve">In accordance with Union </w:t>
      </w:r>
      <w:r w:rsidRPr="034EB66F">
        <w:rPr>
          <w:noProof/>
        </w:rPr>
        <w:t>a</w:t>
      </w:r>
      <w:r w:rsidRPr="034EB66F">
        <w:rPr>
          <w:noProof/>
        </w:rPr>
        <w:t>c</w:t>
      </w:r>
      <w:r w:rsidRPr="034EB66F">
        <w:rPr>
          <w:noProof/>
        </w:rPr>
        <w:t>quis</w:t>
      </w:r>
      <w:r w:rsidRPr="71619913">
        <w:rPr>
          <w:noProof/>
        </w:rPr>
        <w:t xml:space="preserve"> </w:t>
      </w:r>
      <w:r w:rsidRPr="71619913">
        <w:rPr>
          <w:noProof/>
        </w:rPr>
        <w:t>on equal treatment, the Member States have set up independent bodies for the promotion of equal treatment (‘equality bodies’), which play a key role in promoting equality and ensuring the effective application of equal treatment legislation.</w:t>
      </w:r>
      <w:r>
        <w:rPr>
          <w:noProof/>
        </w:rPr>
        <w:t xml:space="preserve"> Further, the Programme should support t</w:t>
      </w:r>
      <w:r w:rsidRPr="71619913">
        <w:rPr>
          <w:noProof/>
        </w:rPr>
        <w:t xml:space="preserve">he European Network of Equality Bodies (Equinet) composed of the national equality bodies as provided </w:t>
      </w:r>
      <w:r w:rsidRPr="71619913">
        <w:rPr>
          <w:noProof/>
        </w:rPr>
        <w:t xml:space="preserve">for </w:t>
      </w:r>
      <w:r w:rsidRPr="6D0D01FF">
        <w:rPr>
          <w:noProof/>
        </w:rPr>
        <w:t xml:space="preserve">by </w:t>
      </w:r>
      <w:r w:rsidRPr="00B44B79">
        <w:rPr>
          <w:noProof/>
        </w:rPr>
        <w:t xml:space="preserve">Council </w:t>
      </w:r>
      <w:r w:rsidRPr="5F2566E5">
        <w:rPr>
          <w:noProof/>
        </w:rPr>
        <w:t>Directive</w:t>
      </w:r>
      <w:r>
        <w:rPr>
          <w:noProof/>
        </w:rPr>
        <w:t xml:space="preserve"> </w:t>
      </w:r>
      <w:r w:rsidRPr="00B44B79">
        <w:rPr>
          <w:noProof/>
        </w:rPr>
        <w:t>(EU) 2024/1499</w:t>
      </w:r>
      <w:r w:rsidRPr="0DC9E843">
        <w:rPr>
          <w:rStyle w:val="Allmrkuseviide"/>
          <w:rFonts w:eastAsia="Calibri"/>
          <w:noProof/>
        </w:rPr>
        <w:footnoteReference w:id="20"/>
      </w:r>
      <w:r>
        <w:rPr>
          <w:noProof/>
        </w:rPr>
        <w:t xml:space="preserve"> and </w:t>
      </w:r>
      <w:r w:rsidRPr="00B44B79">
        <w:rPr>
          <w:noProof/>
        </w:rPr>
        <w:t>Directive (EU) 2024/1500 of the European Parliament and of the Council</w:t>
      </w:r>
      <w:r w:rsidRPr="0DC9E843">
        <w:rPr>
          <w:rStyle w:val="Allmrkuseviide"/>
          <w:rFonts w:eastAsia="Calibri"/>
          <w:noProof/>
        </w:rPr>
        <w:footnoteReference w:id="21"/>
      </w:r>
      <w:r w:rsidRPr="5F2566E5">
        <w:rPr>
          <w:noProof/>
        </w:rPr>
        <w:t>,</w:t>
      </w:r>
      <w:r w:rsidRPr="71619913">
        <w:rPr>
          <w:noProof/>
        </w:rPr>
        <w:t xml:space="preserve"> </w:t>
      </w:r>
      <w:r>
        <w:rPr>
          <w:noProof/>
        </w:rPr>
        <w:t>s</w:t>
      </w:r>
      <w:r>
        <w:rPr>
          <w:noProof/>
        </w:rPr>
        <w:t xml:space="preserve">ince </w:t>
      </w:r>
      <w:r w:rsidRPr="71619913">
        <w:rPr>
          <w:noProof/>
        </w:rPr>
        <w:t xml:space="preserve">Equinet is the only entity which ensures coordination of </w:t>
      </w:r>
      <w:r w:rsidRPr="71619913">
        <w:rPr>
          <w:noProof/>
        </w:rPr>
        <w:t>activities between equality bodies</w:t>
      </w:r>
      <w:r>
        <w:rPr>
          <w:noProof/>
        </w:rPr>
        <w:t>. This</w:t>
      </w:r>
      <w:r w:rsidRPr="2395AB56">
        <w:rPr>
          <w:noProof/>
        </w:rPr>
        <w:t xml:space="preserve"> </w:t>
      </w:r>
      <w:r w:rsidRPr="2395AB56">
        <w:rPr>
          <w:noProof/>
        </w:rPr>
        <w:t>is</w:t>
      </w:r>
      <w:r>
        <w:rPr>
          <w:noProof/>
        </w:rPr>
        <w:t xml:space="preserve"> </w:t>
      </w:r>
      <w:r>
        <w:rPr>
          <w:noProof/>
        </w:rPr>
        <w:t xml:space="preserve">of </w:t>
      </w:r>
      <w:r w:rsidRPr="71619913">
        <w:rPr>
          <w:noProof/>
        </w:rPr>
        <w:t>key importance for the effective implementation of Union anti-discrimination law in the Member States.</w:t>
      </w:r>
    </w:p>
    <w:p w14:paraId="3C6C36F9" w14:textId="77777777" w:rsidR="005B7178" w:rsidRDefault="005B7178" w:rsidP="00B66E94">
      <w:pPr>
        <w:pStyle w:val="ManualConsidrant"/>
        <w:rPr>
          <w:noProof/>
        </w:rPr>
      </w:pPr>
      <w:r w:rsidRPr="00B66E94">
        <w:rPr>
          <w:noProof/>
        </w:rPr>
        <w:t>(20)</w:t>
      </w:r>
      <w:r w:rsidRPr="00B66E94">
        <w:rPr>
          <w:noProof/>
        </w:rPr>
        <w:tab/>
      </w:r>
      <w:r w:rsidRPr="7091555F">
        <w:rPr>
          <w:noProof/>
        </w:rPr>
        <w:t xml:space="preserve">Citizens throughout the Union, many of whom regularly or at least occasionally </w:t>
      </w:r>
      <w:r w:rsidRPr="617FBA96">
        <w:rPr>
          <w:noProof/>
        </w:rPr>
        <w:t xml:space="preserve">travel to, </w:t>
      </w:r>
      <w:r w:rsidRPr="7091555F">
        <w:rPr>
          <w:noProof/>
        </w:rPr>
        <w:t xml:space="preserve">live, study, work or volunteer in another Member State, should feel able to enjoy and exercise their citizenship rights and to place their trust in equal access, full enforceability and protection of their rights without any discrimination, no matter where in the Union they happen to be. </w:t>
      </w:r>
      <w:r w:rsidRPr="00D51F7E">
        <w:rPr>
          <w:noProof/>
        </w:rPr>
        <w:t>Citizens should be more aware of their rights deriving from citizenship of the Union, namely their right to move and reside freely i</w:t>
      </w:r>
      <w:r w:rsidRPr="00D51F7E">
        <w:rPr>
          <w:noProof/>
        </w:rPr>
        <w:t xml:space="preserve">n the Union, </w:t>
      </w:r>
      <w:r>
        <w:rPr>
          <w:noProof/>
        </w:rPr>
        <w:t>their voting rights when residing in another Member State</w:t>
      </w:r>
      <w:r w:rsidRPr="00D51F7E">
        <w:rPr>
          <w:noProof/>
        </w:rPr>
        <w:t xml:space="preserve">, their right to petition the European Parliament in any of the </w:t>
      </w:r>
      <w:r>
        <w:rPr>
          <w:noProof/>
        </w:rPr>
        <w:t xml:space="preserve">official </w:t>
      </w:r>
      <w:r w:rsidRPr="00D51F7E">
        <w:rPr>
          <w:noProof/>
        </w:rPr>
        <w:t xml:space="preserve">languages, their right to submit </w:t>
      </w:r>
      <w:r w:rsidRPr="00D51F7E">
        <w:rPr>
          <w:noProof/>
        </w:rPr>
        <w:lastRenderedPageBreak/>
        <w:t xml:space="preserve">citizens' initiatives and their right to lodge complaints with the European </w:t>
      </w:r>
      <w:r>
        <w:rPr>
          <w:noProof/>
        </w:rPr>
        <w:t>o</w:t>
      </w:r>
      <w:r w:rsidRPr="00D51F7E">
        <w:rPr>
          <w:noProof/>
        </w:rPr>
        <w:t xml:space="preserve">mbudsman against institutional maladministration. </w:t>
      </w:r>
    </w:p>
    <w:p w14:paraId="1E85D45D" w14:textId="77777777" w:rsidR="005B7178" w:rsidRPr="008A4F8C" w:rsidRDefault="005B7178" w:rsidP="00B66E94">
      <w:pPr>
        <w:pStyle w:val="ManualConsidrant"/>
        <w:rPr>
          <w:noProof/>
        </w:rPr>
      </w:pPr>
      <w:r w:rsidRPr="00B66E94">
        <w:rPr>
          <w:noProof/>
        </w:rPr>
        <w:t>(21)</w:t>
      </w:r>
      <w:r w:rsidRPr="00B66E94">
        <w:rPr>
          <w:noProof/>
        </w:rPr>
        <w:tab/>
      </w:r>
      <w:r w:rsidRPr="00D51F7E">
        <w:rPr>
          <w:noProof/>
        </w:rPr>
        <w:t>Encouraging citizens to play a more active role in democracy at Union level will strengthen European civil society and foster the development of a European identity.</w:t>
      </w:r>
      <w:r>
        <w:rPr>
          <w:noProof/>
        </w:rPr>
        <w:t xml:space="preserve"> </w:t>
      </w:r>
      <w:r w:rsidRPr="7091555F">
        <w:rPr>
          <w:noProof/>
        </w:rPr>
        <w:t xml:space="preserve">Civil society </w:t>
      </w:r>
      <w:r>
        <w:rPr>
          <w:noProof/>
        </w:rPr>
        <w:t xml:space="preserve">therefore </w:t>
      </w:r>
      <w:r w:rsidRPr="7091555F">
        <w:rPr>
          <w:noProof/>
        </w:rPr>
        <w:t>needs to be supported in promoting, safeguarding and raising awareness of Union values and in contributing to the effective enjoyment of rights under Union law. When Union citizens participate in the democratic life of the Union, they contribute to making a reality representative democracy, a principle on which the func</w:t>
      </w:r>
      <w:r w:rsidRPr="7091555F">
        <w:rPr>
          <w:noProof/>
        </w:rPr>
        <w:t>tioning of the Union is founded and which gives concrete expression to the value of democracy enshrined in Article 2 TEU.</w:t>
      </w:r>
      <w:r w:rsidRPr="005B58DD">
        <w:rPr>
          <w:noProof/>
        </w:rPr>
        <w:t xml:space="preserve"> </w:t>
      </w:r>
    </w:p>
    <w:p w14:paraId="0F30A877" w14:textId="77777777" w:rsidR="005B7178" w:rsidRPr="007F7ABE" w:rsidRDefault="005B7178" w:rsidP="00B66E94">
      <w:pPr>
        <w:pStyle w:val="ManualConsidrant"/>
        <w:rPr>
          <w:noProof/>
        </w:rPr>
      </w:pPr>
      <w:r w:rsidRPr="00B66E94">
        <w:rPr>
          <w:noProof/>
        </w:rPr>
        <w:t>(22)</w:t>
      </w:r>
      <w:r w:rsidRPr="00B66E94">
        <w:rPr>
          <w:noProof/>
        </w:rPr>
        <w:tab/>
      </w:r>
      <w:r w:rsidRPr="3EAC9A75">
        <w:rPr>
          <w:noProof/>
        </w:rPr>
        <w:t xml:space="preserve">In order to bring the Union closer to its citizens and to foster democratic participation, a variety of actions and coordinated efforts are necessary. European citizenship and European identity should be developed and advanced by encouraging citizens’ understanding of the policy-making process, and by promoting civic engagement in the actions of the Union. </w:t>
      </w:r>
      <w:r w:rsidRPr="0041362B">
        <w:rPr>
          <w:noProof/>
        </w:rPr>
        <w:t xml:space="preserve">Remembrance activities and critical reflection on Europe’s historical memory are necessary to make citizens aware of the common history, </w:t>
      </w:r>
      <w:r>
        <w:rPr>
          <w:noProof/>
        </w:rPr>
        <w:t>and to lay</w:t>
      </w:r>
      <w:r w:rsidRPr="0041362B">
        <w:rPr>
          <w:noProof/>
        </w:rPr>
        <w:t xml:space="preserve"> the f</w:t>
      </w:r>
      <w:r w:rsidRPr="0041362B">
        <w:rPr>
          <w:noProof/>
        </w:rPr>
        <w:t xml:space="preserve">oundation for a </w:t>
      </w:r>
      <w:r w:rsidRPr="00D4447D">
        <w:rPr>
          <w:noProof/>
        </w:rPr>
        <w:t>common future</w:t>
      </w:r>
      <w:r>
        <w:rPr>
          <w:noProof/>
        </w:rPr>
        <w:t xml:space="preserve"> </w:t>
      </w:r>
      <w:r w:rsidRPr="00D4447D">
        <w:rPr>
          <w:noProof/>
        </w:rPr>
        <w:t xml:space="preserve">and shared values. </w:t>
      </w:r>
      <w:r w:rsidRPr="3EAC9A75">
        <w:rPr>
          <w:noProof/>
        </w:rPr>
        <w:t>Furthermore, supporting civil society organisations at local, regional, national and transnational level in the areas covered by the Programme will contribute to increasing citizens’ engagement in society and ultimately to their active involvement in the democratic life of the Union. At the same time, supporting activities that promote mutual understanding, intercultural dialogue, cultural and linguistic diversity, social inclusion and respect for others fost</w:t>
      </w:r>
      <w:r w:rsidRPr="3EAC9A75">
        <w:rPr>
          <w:noProof/>
        </w:rPr>
        <w:t xml:space="preserve">ers a sense of belonging to the Union and of a common citizenship under a European identity, based on a shared understanding of our common European values, culture, history and heritage. </w:t>
      </w:r>
    </w:p>
    <w:p w14:paraId="58BB84F1" w14:textId="77777777" w:rsidR="005B7178" w:rsidRDefault="005B7178" w:rsidP="00B66E94">
      <w:pPr>
        <w:pStyle w:val="ManualConsidrant"/>
        <w:rPr>
          <w:noProof/>
          <w:lang w:val="en-IE"/>
        </w:rPr>
      </w:pPr>
      <w:r w:rsidRPr="00B66E94">
        <w:rPr>
          <w:noProof/>
        </w:rPr>
        <w:t>(23)</w:t>
      </w:r>
      <w:r w:rsidRPr="00B66E94">
        <w:rPr>
          <w:noProof/>
        </w:rPr>
        <w:tab/>
      </w:r>
      <w:r>
        <w:rPr>
          <w:noProof/>
          <w:lang w:val="en-IE"/>
        </w:rPr>
        <w:t>C</w:t>
      </w:r>
      <w:r w:rsidRPr="0028074D">
        <w:rPr>
          <w:noProof/>
          <w:lang w:val="en-IE"/>
        </w:rPr>
        <w:t>ivil society organisations</w:t>
      </w:r>
      <w:r>
        <w:rPr>
          <w:noProof/>
          <w:lang w:val="en-IE"/>
        </w:rPr>
        <w:t xml:space="preserve">, </w:t>
      </w:r>
      <w:r w:rsidRPr="0028074D">
        <w:rPr>
          <w:noProof/>
          <w:lang w:val="en-IE"/>
        </w:rPr>
        <w:t xml:space="preserve">and other civic space actors, such as independent </w:t>
      </w:r>
      <w:r>
        <w:rPr>
          <w:noProof/>
          <w:lang w:val="en-IE"/>
        </w:rPr>
        <w:t>h</w:t>
      </w:r>
      <w:r w:rsidRPr="0028074D">
        <w:rPr>
          <w:noProof/>
          <w:lang w:val="en-IE"/>
        </w:rPr>
        <w:t xml:space="preserve">uman </w:t>
      </w:r>
      <w:r>
        <w:rPr>
          <w:noProof/>
          <w:lang w:val="en-IE"/>
        </w:rPr>
        <w:t>r</w:t>
      </w:r>
      <w:r w:rsidRPr="0028074D">
        <w:rPr>
          <w:noProof/>
          <w:lang w:val="en-IE"/>
        </w:rPr>
        <w:t xml:space="preserve">ights bodies, </w:t>
      </w:r>
      <w:r>
        <w:rPr>
          <w:noProof/>
          <w:lang w:val="en-IE"/>
        </w:rPr>
        <w:t>e</w:t>
      </w:r>
      <w:r w:rsidRPr="0028074D">
        <w:rPr>
          <w:noProof/>
          <w:lang w:val="en-IE"/>
        </w:rPr>
        <w:t xml:space="preserve">quality </w:t>
      </w:r>
      <w:r>
        <w:rPr>
          <w:noProof/>
          <w:lang w:val="en-IE"/>
        </w:rPr>
        <w:t>b</w:t>
      </w:r>
      <w:r w:rsidRPr="0028074D">
        <w:rPr>
          <w:noProof/>
          <w:lang w:val="en-IE"/>
        </w:rPr>
        <w:t>odies</w:t>
      </w:r>
      <w:r>
        <w:rPr>
          <w:noProof/>
          <w:lang w:val="en-IE"/>
        </w:rPr>
        <w:t xml:space="preserve"> and</w:t>
      </w:r>
      <w:r w:rsidRPr="0028074D">
        <w:rPr>
          <w:noProof/>
          <w:lang w:val="en-IE"/>
        </w:rPr>
        <w:t xml:space="preserve"> Ombudspersons Institutions, play a vital role in contributing to the implementation of policy, encouraging people’s participation, holding institutions accountable, and driving positive change.</w:t>
      </w:r>
      <w:r>
        <w:rPr>
          <w:noProof/>
          <w:lang w:val="en-IE"/>
        </w:rPr>
        <w:t xml:space="preserve"> </w:t>
      </w:r>
      <w:r>
        <w:rPr>
          <w:noProof/>
          <w:lang w:val="en-IE"/>
        </w:rPr>
        <w:t xml:space="preserve">The Programme should </w:t>
      </w:r>
      <w:r>
        <w:rPr>
          <w:noProof/>
          <w:lang w:val="en-IE"/>
        </w:rPr>
        <w:t>help ensure</w:t>
      </w:r>
      <w:r w:rsidRPr="0028074D">
        <w:rPr>
          <w:noProof/>
          <w:lang w:val="en-IE"/>
        </w:rPr>
        <w:t xml:space="preserve"> sufficient resources and an enabling environment</w:t>
      </w:r>
      <w:r>
        <w:rPr>
          <w:noProof/>
          <w:lang w:val="en-IE"/>
        </w:rPr>
        <w:t xml:space="preserve"> for them</w:t>
      </w:r>
      <w:r w:rsidRPr="0028074D">
        <w:rPr>
          <w:noProof/>
          <w:lang w:val="en-IE"/>
        </w:rPr>
        <w:t xml:space="preserve"> to operate </w:t>
      </w:r>
      <w:r>
        <w:rPr>
          <w:noProof/>
          <w:lang w:val="en-IE"/>
        </w:rPr>
        <w:t xml:space="preserve">independently, </w:t>
      </w:r>
      <w:r w:rsidRPr="0028074D">
        <w:rPr>
          <w:noProof/>
          <w:lang w:val="en-IE"/>
        </w:rPr>
        <w:t>freely</w:t>
      </w:r>
      <w:r>
        <w:rPr>
          <w:noProof/>
          <w:lang w:val="en-IE"/>
        </w:rPr>
        <w:t>, safely,</w:t>
      </w:r>
      <w:r w:rsidRPr="0028074D">
        <w:rPr>
          <w:noProof/>
          <w:lang w:val="en-IE"/>
        </w:rPr>
        <w:t xml:space="preserve"> and effectively. To this end, Union funding should complement ef</w:t>
      </w:r>
      <w:r w:rsidRPr="0028074D">
        <w:rPr>
          <w:noProof/>
          <w:lang w:val="en-IE"/>
        </w:rPr>
        <w:t xml:space="preserve">forts at national level by supporting, </w:t>
      </w:r>
      <w:r>
        <w:rPr>
          <w:noProof/>
          <w:lang w:val="en-IE"/>
        </w:rPr>
        <w:t xml:space="preserve">protecting, </w:t>
      </w:r>
      <w:r w:rsidRPr="0028074D">
        <w:rPr>
          <w:noProof/>
          <w:lang w:val="en-IE"/>
        </w:rPr>
        <w:t>empowering and building their capacity, as emphasi</w:t>
      </w:r>
      <w:r>
        <w:rPr>
          <w:noProof/>
          <w:lang w:val="en-IE"/>
        </w:rPr>
        <w:t>s</w:t>
      </w:r>
      <w:r w:rsidRPr="0028074D">
        <w:rPr>
          <w:noProof/>
          <w:lang w:val="en-IE"/>
        </w:rPr>
        <w:t>ed in the European Parliament resolution of 19 April 2018</w:t>
      </w:r>
      <w:r w:rsidRPr="00B74D3E">
        <w:rPr>
          <w:rStyle w:val="Allmrkuseviide"/>
          <w:noProof/>
        </w:rPr>
        <w:footnoteReference w:id="22"/>
      </w:r>
      <w:r w:rsidRPr="0028074D">
        <w:rPr>
          <w:noProof/>
          <w:lang w:val="en-IE"/>
        </w:rPr>
        <w:t>, as well as Council conclusions of 10 March 2023</w:t>
      </w:r>
      <w:r w:rsidRPr="00B74D3E">
        <w:rPr>
          <w:rStyle w:val="Allmrkuseviide"/>
          <w:noProof/>
        </w:rPr>
        <w:footnoteReference w:id="23"/>
      </w:r>
      <w:r w:rsidRPr="0028074D">
        <w:rPr>
          <w:noProof/>
          <w:lang w:val="en-IE"/>
        </w:rPr>
        <w:t xml:space="preserve"> and 7 March 2025</w:t>
      </w:r>
      <w:r w:rsidRPr="00B74D3E">
        <w:rPr>
          <w:rStyle w:val="Allmrkuseviide"/>
          <w:noProof/>
        </w:rPr>
        <w:footnoteReference w:id="24"/>
      </w:r>
      <w:r w:rsidRPr="0028074D">
        <w:rPr>
          <w:noProof/>
          <w:lang w:val="en-IE"/>
        </w:rPr>
        <w:t xml:space="preserve">. Civil society also plays an important role in ensuring an effective </w:t>
      </w:r>
      <w:r w:rsidRPr="0028074D">
        <w:rPr>
          <w:noProof/>
          <w:lang w:val="en-IE"/>
        </w:rPr>
        <w:t>implementation of Directive (EU) 2019/1937 of the European Parliament and of the Council</w:t>
      </w:r>
      <w:r w:rsidRPr="00B74D3E">
        <w:rPr>
          <w:rStyle w:val="Allmrkuseviide"/>
          <w:noProof/>
        </w:rPr>
        <w:footnoteReference w:id="25"/>
      </w:r>
      <w:r w:rsidRPr="0028074D">
        <w:rPr>
          <w:noProof/>
          <w:lang w:val="en-IE"/>
        </w:rPr>
        <w:t xml:space="preserve"> by fostering a speak-up culture and a favourable environment for whistleblowers.</w:t>
      </w:r>
    </w:p>
    <w:p w14:paraId="2CE7F5BB" w14:textId="77777777" w:rsidR="005B7178" w:rsidRPr="00E52491" w:rsidRDefault="005B7178" w:rsidP="00B66E94">
      <w:pPr>
        <w:pStyle w:val="ManualConsidrant"/>
        <w:rPr>
          <w:iCs/>
          <w:noProof/>
          <w:lang w:val="en-IE"/>
        </w:rPr>
      </w:pPr>
      <w:r w:rsidRPr="00B66E94">
        <w:rPr>
          <w:noProof/>
        </w:rPr>
        <w:t>(24)</w:t>
      </w:r>
      <w:r w:rsidRPr="00B66E94">
        <w:rPr>
          <w:noProof/>
        </w:rPr>
        <w:tab/>
      </w:r>
      <w:r>
        <w:rPr>
          <w:noProof/>
          <w:lang w:val="en-IE"/>
        </w:rPr>
        <w:t>The Court of Justice</w:t>
      </w:r>
      <w:r>
        <w:rPr>
          <w:noProof/>
          <w:lang w:val="en-IE"/>
        </w:rPr>
        <w:t xml:space="preserve"> of the European Union</w:t>
      </w:r>
      <w:r>
        <w:rPr>
          <w:noProof/>
          <w:lang w:val="en-IE"/>
        </w:rPr>
        <w:t xml:space="preserve"> has confirmed that the Union is a </w:t>
      </w:r>
      <w:r w:rsidRPr="00160F4E">
        <w:rPr>
          <w:noProof/>
        </w:rPr>
        <w:t>legal structure that is based on the fundamental premis</w:t>
      </w:r>
      <w:r>
        <w:rPr>
          <w:noProof/>
        </w:rPr>
        <w:t>e</w:t>
      </w:r>
      <w:r w:rsidRPr="00160F4E">
        <w:rPr>
          <w:noProof/>
        </w:rPr>
        <w:t xml:space="preserve"> that each Member State shares with </w:t>
      </w:r>
      <w:r w:rsidRPr="00160F4E">
        <w:rPr>
          <w:noProof/>
        </w:rPr>
        <w:lastRenderedPageBreak/>
        <w:t>all the other Member States, and recognises that they share with it, the common values contained in Article</w:t>
      </w:r>
      <w:r>
        <w:rPr>
          <w:noProof/>
        </w:rPr>
        <w:t xml:space="preserve"> </w:t>
      </w:r>
      <w:r w:rsidRPr="00160F4E">
        <w:rPr>
          <w:noProof/>
        </w:rPr>
        <w:t>2 TEU, on which the Union is founded</w:t>
      </w:r>
      <w:r>
        <w:rPr>
          <w:rStyle w:val="Allmrkuseviide"/>
          <w:rFonts w:eastAsia="Arial Unicode MS"/>
          <w:noProof/>
        </w:rPr>
        <w:footnoteReference w:id="26"/>
      </w:r>
      <w:r w:rsidRPr="00160F4E">
        <w:rPr>
          <w:noProof/>
        </w:rPr>
        <w:t>. That premis</w:t>
      </w:r>
      <w:r>
        <w:rPr>
          <w:noProof/>
        </w:rPr>
        <w:t>e</w:t>
      </w:r>
      <w:r w:rsidRPr="00160F4E">
        <w:rPr>
          <w:noProof/>
        </w:rPr>
        <w:t xml:space="preserve"> is based on the specific and essential characteristics of </w:t>
      </w:r>
      <w:r>
        <w:rPr>
          <w:noProof/>
        </w:rPr>
        <w:t>Union</w:t>
      </w:r>
      <w:r w:rsidRPr="00160F4E">
        <w:rPr>
          <w:noProof/>
        </w:rPr>
        <w:t xml:space="preserve"> </w:t>
      </w:r>
      <w:r w:rsidRPr="00160F4E">
        <w:rPr>
          <w:noProof/>
        </w:rPr>
        <w:t xml:space="preserve">law, </w:t>
      </w:r>
      <w:r>
        <w:rPr>
          <w:noProof/>
        </w:rPr>
        <w:t>including</w:t>
      </w:r>
      <w:r w:rsidRPr="00160F4E">
        <w:rPr>
          <w:noProof/>
        </w:rPr>
        <w:t xml:space="preserve"> the autonomy it enjoys in relation to the laws of the Member States and to international law. That premis</w:t>
      </w:r>
      <w:r>
        <w:rPr>
          <w:noProof/>
        </w:rPr>
        <w:t>e</w:t>
      </w:r>
      <w:r w:rsidRPr="00160F4E">
        <w:rPr>
          <w:noProof/>
        </w:rPr>
        <w:t xml:space="preserve"> implies and justifies the existence of mutual trust between the Member States that those values will be recognised and, therefore, that the </w:t>
      </w:r>
      <w:r>
        <w:rPr>
          <w:noProof/>
        </w:rPr>
        <w:t>Union</w:t>
      </w:r>
      <w:r w:rsidRPr="00160F4E">
        <w:rPr>
          <w:noProof/>
        </w:rPr>
        <w:t xml:space="preserve"> </w:t>
      </w:r>
      <w:r w:rsidRPr="00160F4E">
        <w:rPr>
          <w:noProof/>
        </w:rPr>
        <w:t>law that implements them will be respected</w:t>
      </w:r>
      <w:r>
        <w:rPr>
          <w:noProof/>
        </w:rPr>
        <w:t xml:space="preserve">. </w:t>
      </w:r>
      <w:r w:rsidRPr="006A3DA9">
        <w:rPr>
          <w:noProof/>
        </w:rPr>
        <w:t>It follows that compliance by a Member State with the values contained in Article</w:t>
      </w:r>
      <w:r>
        <w:rPr>
          <w:noProof/>
        </w:rPr>
        <w:t xml:space="preserve"> </w:t>
      </w:r>
      <w:r w:rsidRPr="006A3DA9">
        <w:rPr>
          <w:noProof/>
        </w:rPr>
        <w:t xml:space="preserve">2 TEU is a condition for the enjoyment </w:t>
      </w:r>
      <w:r w:rsidRPr="006A3DA9">
        <w:rPr>
          <w:noProof/>
        </w:rPr>
        <w:t>of all the rights deriving from the application of the Treaties to that Member State</w:t>
      </w:r>
      <w:r>
        <w:rPr>
          <w:noProof/>
        </w:rPr>
        <w:t xml:space="preserve">. </w:t>
      </w:r>
      <w:r w:rsidRPr="0066033E">
        <w:rPr>
          <w:noProof/>
        </w:rPr>
        <w:t xml:space="preserve">The </w:t>
      </w:r>
      <w:r>
        <w:rPr>
          <w:noProof/>
        </w:rPr>
        <w:t xml:space="preserve">Court of Justice of the </w:t>
      </w:r>
      <w:r w:rsidRPr="0066033E">
        <w:rPr>
          <w:noProof/>
        </w:rPr>
        <w:t xml:space="preserve">European Union has therefore confirmed that in the areas for which the Union is competent, it can take action to ensure </w:t>
      </w:r>
      <w:r w:rsidRPr="0066033E">
        <w:rPr>
          <w:noProof/>
        </w:rPr>
        <w:t>respect for the values set out in Article</w:t>
      </w:r>
      <w:r>
        <w:rPr>
          <w:noProof/>
        </w:rPr>
        <w:t xml:space="preserve"> </w:t>
      </w:r>
      <w:r w:rsidRPr="0066033E">
        <w:rPr>
          <w:noProof/>
        </w:rPr>
        <w:t>2 TEU</w:t>
      </w:r>
      <w:r>
        <w:rPr>
          <w:noProof/>
        </w:rPr>
        <w:t>.</w:t>
      </w:r>
      <w:r w:rsidRPr="00BC3042">
        <w:rPr>
          <w:noProof/>
          <w:lang w:val="en-IE"/>
        </w:rPr>
        <w:t xml:space="preserve"> </w:t>
      </w:r>
    </w:p>
    <w:p w14:paraId="59CADB27" w14:textId="77777777" w:rsidR="005B7178" w:rsidRDefault="005B7178" w:rsidP="00B66E94">
      <w:pPr>
        <w:pStyle w:val="ManualConsidrant"/>
        <w:rPr>
          <w:noProof/>
          <w:lang w:val="en-IE"/>
        </w:rPr>
      </w:pPr>
      <w:r w:rsidRPr="00B66E94">
        <w:rPr>
          <w:noProof/>
        </w:rPr>
        <w:t>(25)</w:t>
      </w:r>
      <w:r w:rsidRPr="00B66E94">
        <w:rPr>
          <w:noProof/>
        </w:rPr>
        <w:tab/>
      </w:r>
      <w:r w:rsidRPr="0028474A">
        <w:rPr>
          <w:noProof/>
          <w:lang w:val="en-IE"/>
        </w:rPr>
        <w:t xml:space="preserve">At a time when European societies face challenges </w:t>
      </w:r>
      <w:r w:rsidRPr="0028474A">
        <w:rPr>
          <w:noProof/>
          <w:lang w:val="en-IE"/>
        </w:rPr>
        <w:t>that affect democracies</w:t>
      </w:r>
      <w:r>
        <w:rPr>
          <w:noProof/>
          <w:lang w:val="en-IE"/>
        </w:rPr>
        <w:t xml:space="preserve">, </w:t>
      </w:r>
      <w:r>
        <w:rPr>
          <w:noProof/>
          <w:lang w:val="en-IE"/>
        </w:rPr>
        <w:t xml:space="preserve">such as </w:t>
      </w:r>
      <w:r>
        <w:rPr>
          <w:noProof/>
          <w:lang w:val="en-IE"/>
        </w:rPr>
        <w:t>raise of extremisms</w:t>
      </w:r>
      <w:r>
        <w:rPr>
          <w:noProof/>
          <w:lang w:val="en-IE"/>
        </w:rPr>
        <w:t xml:space="preserve"> and intolerance</w:t>
      </w:r>
      <w:r>
        <w:rPr>
          <w:noProof/>
          <w:lang w:val="en-IE"/>
        </w:rPr>
        <w:t>,</w:t>
      </w:r>
      <w:r>
        <w:rPr>
          <w:noProof/>
          <w:lang w:val="en-IE"/>
        </w:rPr>
        <w:t xml:space="preserve"> disinformation and </w:t>
      </w:r>
      <w:r>
        <w:rPr>
          <w:noProof/>
          <w:lang w:val="en-IE"/>
        </w:rPr>
        <w:t xml:space="preserve">foreign </w:t>
      </w:r>
      <w:r>
        <w:rPr>
          <w:noProof/>
          <w:lang w:val="en-IE"/>
        </w:rPr>
        <w:t>information manipulation</w:t>
      </w:r>
      <w:r>
        <w:rPr>
          <w:noProof/>
          <w:lang w:val="en-IE"/>
        </w:rPr>
        <w:t xml:space="preserve"> and interference</w:t>
      </w:r>
      <w:r>
        <w:rPr>
          <w:noProof/>
          <w:lang w:val="en-IE"/>
        </w:rPr>
        <w:t xml:space="preserve"> by </w:t>
      </w:r>
      <w:r>
        <w:rPr>
          <w:noProof/>
          <w:lang w:val="en-IE"/>
        </w:rPr>
        <w:t>hostile</w:t>
      </w:r>
      <w:r>
        <w:rPr>
          <w:noProof/>
          <w:lang w:val="en-IE"/>
        </w:rPr>
        <w:t xml:space="preserve"> </w:t>
      </w:r>
      <w:r>
        <w:rPr>
          <w:noProof/>
          <w:lang w:val="en-IE"/>
        </w:rPr>
        <w:t>actors,</w:t>
      </w:r>
      <w:r>
        <w:rPr>
          <w:noProof/>
          <w:lang w:val="en-IE"/>
        </w:rPr>
        <w:t xml:space="preserve"> </w:t>
      </w:r>
      <w:r w:rsidRPr="0028474A">
        <w:rPr>
          <w:noProof/>
          <w:lang w:val="en-IE"/>
        </w:rPr>
        <w:t xml:space="preserve">it is crucial that </w:t>
      </w:r>
      <w:r w:rsidRPr="0028474A">
        <w:rPr>
          <w:iCs/>
          <w:noProof/>
          <w:lang w:val="en-IE"/>
        </w:rPr>
        <w:t xml:space="preserve">Union values such as </w:t>
      </w:r>
      <w:r>
        <w:rPr>
          <w:iCs/>
          <w:noProof/>
          <w:lang w:val="en-IE"/>
        </w:rPr>
        <w:t xml:space="preserve">respect for </w:t>
      </w:r>
      <w:r w:rsidRPr="0028474A">
        <w:rPr>
          <w:noProof/>
          <w:lang w:val="en-IE"/>
        </w:rPr>
        <w:t>fundamental rights</w:t>
      </w:r>
      <w:r w:rsidRPr="0028474A">
        <w:rPr>
          <w:iCs/>
          <w:noProof/>
          <w:lang w:val="en-IE"/>
        </w:rPr>
        <w:t>, equality and democracy,</w:t>
      </w:r>
      <w:r w:rsidRPr="0028474A">
        <w:rPr>
          <w:noProof/>
          <w:lang w:val="en-IE"/>
        </w:rPr>
        <w:t xml:space="preserve"> continue to be actively cultivated, protected, promoted, enforced, and shared among citizens and peoples,</w:t>
      </w:r>
      <w:r>
        <w:rPr>
          <w:noProof/>
          <w:lang w:val="en-IE"/>
        </w:rPr>
        <w:t xml:space="preserve"> so that those values remain</w:t>
      </w:r>
      <w:r w:rsidRPr="0028474A">
        <w:rPr>
          <w:noProof/>
          <w:lang w:val="en-IE"/>
        </w:rPr>
        <w:t xml:space="preserve"> at the heart of the Union project. A deterioration in their protection in</w:t>
      </w:r>
      <w:r w:rsidRPr="0028474A">
        <w:rPr>
          <w:noProof/>
          <w:lang w:val="en-IE"/>
        </w:rPr>
        <w:t xml:space="preserve"> any Member State can have detrimental effects on the Union as a whole.</w:t>
      </w:r>
      <w:r>
        <w:rPr>
          <w:noProof/>
          <w:lang w:val="en-IE"/>
        </w:rPr>
        <w:t xml:space="preserve"> It is therefore crucial that this Programme contributes to protecting Union values, including respect for fundamental rights, equality and democracy.</w:t>
      </w:r>
    </w:p>
    <w:p w14:paraId="5646474D" w14:textId="77777777" w:rsidR="005B7178" w:rsidRPr="00B46C72" w:rsidRDefault="005B7178" w:rsidP="00B66E94">
      <w:pPr>
        <w:pStyle w:val="ManualConsidrant"/>
        <w:rPr>
          <w:noProof/>
          <w:lang w:val="en-IE"/>
        </w:rPr>
      </w:pPr>
      <w:r w:rsidRPr="00B66E94">
        <w:rPr>
          <w:noProof/>
        </w:rPr>
        <w:t>(26)</w:t>
      </w:r>
      <w:r w:rsidRPr="00B66E94">
        <w:rPr>
          <w:noProof/>
        </w:rPr>
        <w:tab/>
      </w:r>
      <w:r w:rsidRPr="00B46C72">
        <w:rPr>
          <w:noProof/>
          <w:lang w:val="en-IE"/>
        </w:rPr>
        <w:t>In light of increasing risks linked to natural hazards,</w:t>
      </w:r>
      <w:r>
        <w:rPr>
          <w:noProof/>
          <w:lang w:val="en-IE"/>
        </w:rPr>
        <w:t xml:space="preserve"> climate and environmental disasters,</w:t>
      </w:r>
      <w:r w:rsidRPr="00B46C72">
        <w:rPr>
          <w:noProof/>
          <w:lang w:val="en-IE"/>
        </w:rPr>
        <w:t xml:space="preserve"> health emergencies, technological accidents, evolving security threats, and other disruptions, it is essential to enhance the Union’s and Member States’ capability to anticipate, prepare for, and respond to crises</w:t>
      </w:r>
      <w:r>
        <w:rPr>
          <w:noProof/>
          <w:lang w:val="en-IE"/>
        </w:rPr>
        <w:t>.</w:t>
      </w:r>
      <w:r w:rsidRPr="00B46C72">
        <w:rPr>
          <w:noProof/>
          <w:lang w:val="en-IE"/>
        </w:rPr>
        <w:t xml:space="preserve"> The Programme should therefore support citizens’ </w:t>
      </w:r>
      <w:r w:rsidRPr="00B46C72">
        <w:rPr>
          <w:noProof/>
          <w:lang w:val="en-IE"/>
        </w:rPr>
        <w:t xml:space="preserve">education and </w:t>
      </w:r>
      <w:r w:rsidRPr="00B46C72">
        <w:rPr>
          <w:noProof/>
          <w:lang w:val="en-IE"/>
        </w:rPr>
        <w:t xml:space="preserve">engagement </w:t>
      </w:r>
      <w:r w:rsidRPr="00B46C72">
        <w:rPr>
          <w:noProof/>
          <w:lang w:val="en-IE"/>
        </w:rPr>
        <w:t xml:space="preserve">on </w:t>
      </w:r>
      <w:r w:rsidRPr="00B46C72">
        <w:rPr>
          <w:noProof/>
          <w:lang w:val="en-IE"/>
        </w:rPr>
        <w:t xml:space="preserve">crisis preparedness thus enhancing </w:t>
      </w:r>
      <w:r w:rsidRPr="00B46C72">
        <w:rPr>
          <w:noProof/>
          <w:lang w:val="en-IE"/>
        </w:rPr>
        <w:t xml:space="preserve">societal </w:t>
      </w:r>
      <w:r w:rsidRPr="00B46C72">
        <w:rPr>
          <w:noProof/>
          <w:lang w:val="en-IE"/>
        </w:rPr>
        <w:t>resilience</w:t>
      </w:r>
      <w:r>
        <w:rPr>
          <w:noProof/>
          <w:lang w:val="en-IE"/>
        </w:rPr>
        <w:t>.</w:t>
      </w:r>
      <w:r w:rsidRPr="00B46C72">
        <w:rPr>
          <w:noProof/>
          <w:lang w:val="en-IE"/>
        </w:rPr>
        <w:t xml:space="preserve"> </w:t>
      </w:r>
    </w:p>
    <w:p w14:paraId="612A3089" w14:textId="77777777" w:rsidR="005B7178" w:rsidRPr="00DD5842" w:rsidRDefault="005B7178" w:rsidP="00B66E94">
      <w:pPr>
        <w:pStyle w:val="ManualConsidrant"/>
        <w:rPr>
          <w:noProof/>
        </w:rPr>
      </w:pPr>
      <w:r w:rsidRPr="00B66E94">
        <w:rPr>
          <w:noProof/>
        </w:rPr>
        <w:t>(27)</w:t>
      </w:r>
      <w:r w:rsidRPr="00B66E94">
        <w:rPr>
          <w:noProof/>
        </w:rPr>
        <w:tab/>
      </w:r>
      <w:r>
        <w:rPr>
          <w:noProof/>
        </w:rPr>
        <w:t>Hence, the</w:t>
      </w:r>
      <w:r w:rsidRPr="000A2D77">
        <w:rPr>
          <w:noProof/>
        </w:rPr>
        <w:t xml:space="preserve"> Programme should </w:t>
      </w:r>
      <w:r>
        <w:rPr>
          <w:noProof/>
        </w:rPr>
        <w:t xml:space="preserve">also </w:t>
      </w:r>
      <w:r w:rsidRPr="000A2D77">
        <w:rPr>
          <w:noProof/>
        </w:rPr>
        <w:t xml:space="preserve">support actions aiming at safeguarding and strengthening democracy in the </w:t>
      </w:r>
      <w:r w:rsidRPr="000A2D77">
        <w:rPr>
          <w:iCs/>
          <w:noProof/>
        </w:rPr>
        <w:t>Union, reinforcing</w:t>
      </w:r>
      <w:r w:rsidRPr="000A2D77">
        <w:rPr>
          <w:noProof/>
        </w:rPr>
        <w:t xml:space="preserve"> public trust in democracy and democratic institutions, </w:t>
      </w:r>
      <w:r>
        <w:rPr>
          <w:iCs/>
          <w:noProof/>
        </w:rPr>
        <w:t>strengthening</w:t>
      </w:r>
      <w:r w:rsidRPr="000A2D77">
        <w:rPr>
          <w:noProof/>
        </w:rPr>
        <w:t xml:space="preserve"> </w:t>
      </w:r>
      <w:r w:rsidRPr="000A2D77">
        <w:rPr>
          <w:noProof/>
        </w:rPr>
        <w:t xml:space="preserve">democratic preparedness and resilience, fostering citizens’ engagement, participation and awareness of common history and values, </w:t>
      </w:r>
      <w:r>
        <w:rPr>
          <w:noProof/>
        </w:rPr>
        <w:t>thereby</w:t>
      </w:r>
      <w:r w:rsidRPr="000A2D77">
        <w:rPr>
          <w:noProof/>
        </w:rPr>
        <w:t xml:space="preserve"> supporting citizens’ exercise of their rights, including their electoral rights, in full respect of Member States’ competences in the organisation of elections. </w:t>
      </w:r>
      <w:r>
        <w:rPr>
          <w:iCs/>
          <w:noProof/>
        </w:rPr>
        <w:t>The Programme sho</w:t>
      </w:r>
      <w:r>
        <w:rPr>
          <w:iCs/>
          <w:noProof/>
        </w:rPr>
        <w:t>uld also contribute to foster</w:t>
      </w:r>
      <w:r>
        <w:rPr>
          <w:iCs/>
          <w:noProof/>
        </w:rPr>
        <w:t>ing</w:t>
      </w:r>
      <w:r>
        <w:rPr>
          <w:iCs/>
          <w:noProof/>
        </w:rPr>
        <w:t xml:space="preserve"> critical thinking, civic participation and democracy through education as a lifelong effort, so that all citizens have the skills to recognise foreign information, manipulation and interference and disinformation</w:t>
      </w:r>
      <w:r w:rsidRPr="43A75F4A">
        <w:rPr>
          <w:noProof/>
        </w:rPr>
        <w:t>.</w:t>
      </w:r>
    </w:p>
    <w:p w14:paraId="2A94D043" w14:textId="77777777" w:rsidR="005B7178" w:rsidRPr="00B74D3E" w:rsidRDefault="005B7178" w:rsidP="00B66E94">
      <w:pPr>
        <w:pStyle w:val="ManualConsidrant"/>
        <w:rPr>
          <w:noProof/>
        </w:rPr>
      </w:pPr>
      <w:r w:rsidRPr="00B66E94">
        <w:rPr>
          <w:noProof/>
        </w:rPr>
        <w:t>(28)</w:t>
      </w:r>
      <w:r w:rsidRPr="00B66E94">
        <w:rPr>
          <w:noProof/>
        </w:rPr>
        <w:tab/>
      </w:r>
      <w:r>
        <w:rPr>
          <w:noProof/>
        </w:rPr>
        <w:t xml:space="preserve">The Programme should foster synergies and complementarity with Global Europe as it will contribute to the advancement of the </w:t>
      </w:r>
      <w:r w:rsidRPr="00565869">
        <w:rPr>
          <w:noProof/>
          <w:lang w:val="en-IE"/>
        </w:rPr>
        <w:t xml:space="preserve">Union’s international cultural relations and to the </w:t>
      </w:r>
      <w:r>
        <w:rPr>
          <w:noProof/>
          <w:lang w:val="en-IE"/>
        </w:rPr>
        <w:t>Union</w:t>
      </w:r>
      <w:r w:rsidRPr="00565869">
        <w:rPr>
          <w:noProof/>
          <w:lang w:val="en-IE"/>
        </w:rPr>
        <w:t>’s external action objectives through cultural cooperation</w:t>
      </w:r>
      <w:r>
        <w:rPr>
          <w:noProof/>
        </w:rPr>
        <w:t>.</w:t>
      </w:r>
    </w:p>
    <w:p w14:paraId="2A0661AC" w14:textId="77777777" w:rsidR="005B7178" w:rsidRPr="001946D5" w:rsidRDefault="005B7178" w:rsidP="00B66E94">
      <w:pPr>
        <w:pStyle w:val="ManualConsidrant"/>
        <w:rPr>
          <w:noProof/>
        </w:rPr>
      </w:pPr>
      <w:r w:rsidRPr="00B66E94">
        <w:rPr>
          <w:noProof/>
        </w:rPr>
        <w:t>(29)</w:t>
      </w:r>
      <w:r w:rsidRPr="00B66E94">
        <w:rPr>
          <w:noProof/>
        </w:rPr>
        <w:tab/>
      </w:r>
      <w:r w:rsidRPr="001946D5">
        <w:rPr>
          <w:noProof/>
        </w:rPr>
        <w:t xml:space="preserve">The Programme should </w:t>
      </w:r>
      <w:r>
        <w:rPr>
          <w:noProof/>
        </w:rPr>
        <w:t xml:space="preserve">also </w:t>
      </w:r>
      <w:r w:rsidRPr="001946D5">
        <w:rPr>
          <w:noProof/>
        </w:rPr>
        <w:t xml:space="preserve">support the financing of technical and organisational support for the </w:t>
      </w:r>
      <w:r w:rsidRPr="3ECCE803">
        <w:rPr>
          <w:rFonts w:eastAsiaTheme="minorEastAsia"/>
          <w:noProof/>
        </w:rPr>
        <w:t>implementation</w:t>
      </w:r>
      <w:r w:rsidRPr="0006395E">
        <w:rPr>
          <w:noProof/>
        </w:rPr>
        <w:t xml:space="preserve"> of</w:t>
      </w:r>
      <w:r w:rsidRPr="00DF45F1">
        <w:rPr>
          <w:noProof/>
        </w:rPr>
        <w:t xml:space="preserve"> </w:t>
      </w:r>
      <w:r>
        <w:rPr>
          <w:noProof/>
        </w:rPr>
        <w:t>Regulation</w:t>
      </w:r>
      <w:r>
        <w:rPr>
          <w:noProof/>
        </w:rPr>
        <w:t xml:space="preserve"> </w:t>
      </w:r>
      <w:r w:rsidRPr="001946D5">
        <w:rPr>
          <w:noProof/>
        </w:rPr>
        <w:t>(EU)2019/788 of the European Parliament and of the Council</w:t>
      </w:r>
      <w:r w:rsidRPr="43A75F4A">
        <w:rPr>
          <w:rStyle w:val="Allmrkuseviide"/>
          <w:rFonts w:eastAsia="Calibri"/>
          <w:noProof/>
        </w:rPr>
        <w:footnoteReference w:id="27"/>
      </w:r>
      <w:r w:rsidRPr="001946D5">
        <w:rPr>
          <w:noProof/>
        </w:rPr>
        <w:t>, thereby underpinning the exercise by citizens of the right to launch and support European citizens’ initiatives.</w:t>
      </w:r>
      <w:r>
        <w:rPr>
          <w:noProof/>
        </w:rPr>
        <w:t xml:space="preserve"> </w:t>
      </w:r>
      <w:r w:rsidRPr="005A577E">
        <w:rPr>
          <w:noProof/>
        </w:rPr>
        <w:t>Together with the other rights set out in Article 24 TFEU, that right ensures citizens’ direct participation in the democratic life of the Union</w:t>
      </w:r>
      <w:r>
        <w:rPr>
          <w:noProof/>
        </w:rPr>
        <w:t>.</w:t>
      </w:r>
    </w:p>
    <w:p w14:paraId="51DDDA53" w14:textId="77777777" w:rsidR="005B7178" w:rsidRPr="00B46C72" w:rsidRDefault="005B7178" w:rsidP="00B66E94">
      <w:pPr>
        <w:pStyle w:val="ManualConsidrant"/>
        <w:rPr>
          <w:noProof/>
          <w:lang w:val="en-IE"/>
        </w:rPr>
      </w:pPr>
      <w:r w:rsidRPr="00B66E94">
        <w:rPr>
          <w:noProof/>
        </w:rPr>
        <w:lastRenderedPageBreak/>
        <w:t>(30)</w:t>
      </w:r>
      <w:r w:rsidRPr="00B66E94">
        <w:rPr>
          <w:noProof/>
        </w:rPr>
        <w:tab/>
      </w:r>
      <w:r w:rsidRPr="00B46C72">
        <w:rPr>
          <w:noProof/>
        </w:rPr>
        <w:t>To ensure</w:t>
      </w:r>
      <w:r w:rsidRPr="00B46C72">
        <w:rPr>
          <w:noProof/>
          <w:lang w:val="en-IE"/>
        </w:rPr>
        <w:t xml:space="preserve"> consistency, </w:t>
      </w:r>
      <w:r w:rsidRPr="00B46C72">
        <w:rPr>
          <w:noProof/>
        </w:rPr>
        <w:t xml:space="preserve">the </w:t>
      </w:r>
      <w:r w:rsidRPr="00B46C72">
        <w:rPr>
          <w:noProof/>
          <w:lang w:val="en-IE"/>
        </w:rPr>
        <w:t>budgetary guarantee and financial instruments</w:t>
      </w:r>
      <w:r>
        <w:rPr>
          <w:noProof/>
          <w:lang w:val="en-IE"/>
        </w:rPr>
        <w:t xml:space="preserve"> </w:t>
      </w:r>
      <w:r w:rsidRPr="00B46C72">
        <w:rPr>
          <w:noProof/>
        </w:rPr>
        <w:t xml:space="preserve">under the Programme, </w:t>
      </w:r>
      <w:r w:rsidRPr="00B46C72">
        <w:rPr>
          <w:noProof/>
          <w:lang w:val="en-IE"/>
        </w:rPr>
        <w:t>including when combined with other forms of non-repayable support in blending operations,</w:t>
      </w:r>
      <w:r>
        <w:rPr>
          <w:noProof/>
          <w:lang w:val="en-IE"/>
        </w:rPr>
        <w:t xml:space="preserve"> </w:t>
      </w:r>
      <w:r w:rsidRPr="00B46C72">
        <w:rPr>
          <w:noProof/>
        </w:rPr>
        <w:t xml:space="preserve">should be implemented in accordance with the applicable rules of the </w:t>
      </w:r>
      <w:r>
        <w:rPr>
          <w:noProof/>
        </w:rPr>
        <w:t>European Competitiveness Fund (</w:t>
      </w:r>
      <w:r>
        <w:rPr>
          <w:noProof/>
          <w:color w:val="000000" w:themeColor="text1"/>
        </w:rPr>
        <w:t>ECF) InvestEU Instrument</w:t>
      </w:r>
      <w:r w:rsidRPr="00B46C72">
        <w:rPr>
          <w:noProof/>
        </w:rPr>
        <w:t xml:space="preserve"> through agreements concluded for that type of support under the ECF Invest</w:t>
      </w:r>
      <w:r>
        <w:rPr>
          <w:noProof/>
        </w:rPr>
        <w:t>EU</w:t>
      </w:r>
      <w:r w:rsidRPr="00B46C72">
        <w:rPr>
          <w:noProof/>
        </w:rPr>
        <w:t xml:space="preserve"> Instrument.</w:t>
      </w:r>
    </w:p>
    <w:p w14:paraId="470D8FFF" w14:textId="77777777" w:rsidR="005B7178" w:rsidRPr="00B74D3E" w:rsidRDefault="005B7178" w:rsidP="00B66E94">
      <w:pPr>
        <w:pStyle w:val="ManualConsidrant"/>
        <w:rPr>
          <w:noProof/>
        </w:rPr>
      </w:pPr>
      <w:r w:rsidRPr="00B66E94">
        <w:rPr>
          <w:noProof/>
        </w:rPr>
        <w:t>(31)</w:t>
      </w:r>
      <w:r w:rsidRPr="00B66E94">
        <w:rPr>
          <w:noProof/>
        </w:rPr>
        <w:tab/>
      </w:r>
      <w:r w:rsidRPr="00B74D3E">
        <w:rPr>
          <w:noProof/>
        </w:rPr>
        <w:t xml:space="preserve">Where Union support under the Programme is to be provided in the form of a budgetary guarantee or a financial instrument, including where combined with non-repayable support in a blending operation, it is necessary that such support is provided exclusively through the </w:t>
      </w:r>
      <w:r w:rsidRPr="00565F08">
        <w:rPr>
          <w:rFonts w:eastAsia="Times New Roman"/>
          <w:noProof/>
        </w:rPr>
        <w:t xml:space="preserve">ECF </w:t>
      </w:r>
      <w:r>
        <w:rPr>
          <w:rFonts w:eastAsia="Times New Roman"/>
          <w:noProof/>
        </w:rPr>
        <w:t xml:space="preserve">InvestEU </w:t>
      </w:r>
      <w:r w:rsidRPr="00565F08">
        <w:rPr>
          <w:rFonts w:eastAsia="Times New Roman"/>
          <w:noProof/>
        </w:rPr>
        <w:t>Instrument</w:t>
      </w:r>
      <w:r w:rsidRPr="00B74D3E">
        <w:rPr>
          <w:noProof/>
        </w:rPr>
        <w:t xml:space="preserve"> in accordance with the applicable rules of the </w:t>
      </w:r>
      <w:r w:rsidRPr="00565F08">
        <w:rPr>
          <w:rFonts w:eastAsia="Times New Roman"/>
          <w:noProof/>
        </w:rPr>
        <w:t xml:space="preserve">ECF </w:t>
      </w:r>
      <w:r>
        <w:rPr>
          <w:rFonts w:eastAsia="Times New Roman"/>
          <w:noProof/>
        </w:rPr>
        <w:t xml:space="preserve">InvestEU </w:t>
      </w:r>
      <w:r w:rsidRPr="00565F08">
        <w:rPr>
          <w:rFonts w:eastAsia="Times New Roman"/>
          <w:noProof/>
        </w:rPr>
        <w:t xml:space="preserve">Instrument.   </w:t>
      </w:r>
      <w:r w:rsidRPr="00B74D3E">
        <w:rPr>
          <w:noProof/>
        </w:rPr>
        <w:t xml:space="preserve"> </w:t>
      </w:r>
    </w:p>
    <w:p w14:paraId="6E5A0E6A" w14:textId="77777777" w:rsidR="005B7178" w:rsidRPr="00B74D3E" w:rsidRDefault="005B7178" w:rsidP="00B66E94">
      <w:pPr>
        <w:pStyle w:val="ManualConsidrant"/>
        <w:rPr>
          <w:noProof/>
        </w:rPr>
      </w:pPr>
      <w:r w:rsidRPr="00B66E94">
        <w:rPr>
          <w:noProof/>
        </w:rPr>
        <w:t>(32)</w:t>
      </w:r>
      <w:r w:rsidRPr="00B66E94">
        <w:rPr>
          <w:noProof/>
        </w:rPr>
        <w:tab/>
      </w:r>
      <w:r w:rsidRPr="00B74D3E">
        <w:rPr>
          <w:noProof/>
        </w:rPr>
        <w:t>The Commission should be able to divide budgetary commitments into annual instalments. In that case, the Commission should commit the annual instalments during the implementation of the Programme, taking into account the progress of the actions that receive financial assistance, their estimated needs and the budget available.</w:t>
      </w:r>
    </w:p>
    <w:p w14:paraId="0FE7DE1D" w14:textId="77777777" w:rsidR="005B7178" w:rsidRPr="00B74D3E" w:rsidRDefault="005B7178" w:rsidP="00B66E94">
      <w:pPr>
        <w:pStyle w:val="ManualConsidrant"/>
        <w:rPr>
          <w:noProof/>
        </w:rPr>
      </w:pPr>
      <w:r w:rsidRPr="00B66E94">
        <w:rPr>
          <w:noProof/>
        </w:rPr>
        <w:t>(33)</w:t>
      </w:r>
      <w:r w:rsidRPr="00B66E94">
        <w:rPr>
          <w:noProof/>
        </w:rPr>
        <w:tab/>
      </w:r>
      <w:r w:rsidRPr="00D20B24">
        <w:rPr>
          <w:noProof/>
        </w:rPr>
        <w:t>Regulation (EU, Euratom) 2024/2509 of the European Parliament and of the Council</w:t>
      </w:r>
      <w:r w:rsidRPr="00565F08">
        <w:rPr>
          <w:rStyle w:val="Allmrkuseviide"/>
          <w:rFonts w:eastAsia="Arial Unicode MS"/>
          <w:noProof/>
        </w:rPr>
        <w:footnoteReference w:id="28"/>
      </w:r>
      <w:r w:rsidRPr="00B74D3E">
        <w:rPr>
          <w:noProof/>
        </w:rPr>
        <w:t xml:space="preserve"> applies to the Programme. It lays down the rules on the establishment and the implementation of the general budget of the Union, including the rules on grants, prizes, non-financial donations, procurement, indirect implementation, financial assistance, financial instruments and budgetary guarantees. </w:t>
      </w:r>
    </w:p>
    <w:p w14:paraId="4D40BDB3" w14:textId="77777777" w:rsidR="005B7178" w:rsidRPr="00B74D3E" w:rsidRDefault="005B7178" w:rsidP="00B66E94">
      <w:pPr>
        <w:pStyle w:val="ManualConsidrant"/>
        <w:rPr>
          <w:noProof/>
        </w:rPr>
      </w:pPr>
      <w:r w:rsidRPr="00B66E94">
        <w:rPr>
          <w:noProof/>
        </w:rPr>
        <w:t>(34)</w:t>
      </w:r>
      <w:r w:rsidRPr="00B66E94">
        <w:rPr>
          <w:noProof/>
        </w:rPr>
        <w:tab/>
      </w:r>
      <w:r w:rsidRPr="00B74D3E">
        <w:rPr>
          <w:noProof/>
        </w:rPr>
        <w:t>In accordance with Regulation (EU, Euratom) 2024/2509, Regulation (EU, Euratom) No 883/2013 of the European Parliament and of the Council</w:t>
      </w:r>
      <w:r w:rsidRPr="00565F08">
        <w:rPr>
          <w:rStyle w:val="Allmrkuseviide"/>
          <w:rFonts w:eastAsia="Arial Unicode MS"/>
          <w:noProof/>
        </w:rPr>
        <w:footnoteReference w:id="29"/>
      </w:r>
      <w:r w:rsidRPr="00B74D3E">
        <w:rPr>
          <w:noProof/>
        </w:rPr>
        <w:t>, Council Regulation (EC, Euratom) No 2988/95</w:t>
      </w:r>
      <w:r w:rsidRPr="00565F08">
        <w:rPr>
          <w:rStyle w:val="Allmrkuseviide"/>
          <w:rFonts w:eastAsia="Arial Unicode MS"/>
          <w:noProof/>
        </w:rPr>
        <w:footnoteReference w:id="30"/>
      </w:r>
      <w:r w:rsidRPr="00B74D3E">
        <w:rPr>
          <w:noProof/>
        </w:rPr>
        <w:t>, Council Regulation (Euratom, EC) No 2185/96</w:t>
      </w:r>
      <w:r w:rsidRPr="00565F08">
        <w:rPr>
          <w:rStyle w:val="Allmrkuseviide"/>
          <w:rFonts w:eastAsia="Arial Unicode MS"/>
          <w:noProof/>
        </w:rPr>
        <w:footnoteReference w:id="31"/>
      </w:r>
      <w:r w:rsidRPr="00B74D3E">
        <w:rPr>
          <w:noProof/>
        </w:rPr>
        <w:t xml:space="preserve">  and Council Regulation (EU) 2017/1939</w:t>
      </w:r>
      <w:r w:rsidRPr="00565F08">
        <w:rPr>
          <w:rStyle w:val="Allmrkuseviide"/>
          <w:rFonts w:eastAsia="Arial Unicode MS"/>
          <w:noProof/>
        </w:rPr>
        <w:footnoteReference w:id="32"/>
      </w:r>
      <w:r w:rsidRPr="00D20B24">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Regulations (EU, Euratom) No 883/2013 and (Euratom, EC) No 2185/96, the European Anti-Fraud Office (‘OLAF’) may carry out investigations, including on-the-spot che</w:t>
      </w:r>
      <w:r w:rsidRPr="00D20B24">
        <w:rPr>
          <w:noProof/>
        </w:rPr>
        <w:t xml:space="preserve">cks and inspections, with a view to establishing whether there has been fraud, corruption or any other illegal activity affecting the financial interests of the Union. In accordance with Regulation (EU) 2017/1939, the European Public Prosecutor's Office (EPPO) may </w:t>
      </w:r>
      <w:r w:rsidRPr="00D20B24">
        <w:rPr>
          <w:noProof/>
        </w:rPr>
        <w:lastRenderedPageBreak/>
        <w:t>investigate and prosecute fraud and other illegal activities affecting the financial interests of the Union as provided for in Directive (EU) 2017/1371 of the European Parliament and of the Council</w:t>
      </w:r>
      <w:r w:rsidRPr="00565F08">
        <w:rPr>
          <w:rStyle w:val="Allmrkuseviide"/>
          <w:rFonts w:eastAsia="Arial Unicode MS"/>
          <w:noProof/>
        </w:rPr>
        <w:footnoteReference w:id="33"/>
      </w:r>
      <w:r w:rsidRPr="00B74D3E">
        <w:rPr>
          <w:noProof/>
        </w:rPr>
        <w:t>. In accordance with Regulation (EU, Euratom) 2024/2509, any person or entity receiving Union funds is to fully cooperate in the protection of the Union’s financial interests, to grant the necessary rights and access to the Commission, OLAF, EPPO and the European Court of Auditors and to ensure that any third parties involved in the implementation of Union funds grant equivalent rights.</w:t>
      </w:r>
    </w:p>
    <w:p w14:paraId="47BA5A96" w14:textId="77777777" w:rsidR="005B7178" w:rsidRPr="00E77B26" w:rsidRDefault="005B7178" w:rsidP="00B66E94">
      <w:pPr>
        <w:pStyle w:val="ManualConsidrant"/>
        <w:rPr>
          <w:noProof/>
        </w:rPr>
      </w:pPr>
      <w:r w:rsidRPr="00B66E94">
        <w:rPr>
          <w:noProof/>
        </w:rPr>
        <w:t>(35)</w:t>
      </w:r>
      <w:r w:rsidRPr="00B66E94">
        <w:rPr>
          <w:noProof/>
        </w:rPr>
        <w:tab/>
      </w:r>
      <w:r w:rsidRPr="3ECCE803">
        <w:rPr>
          <w:noProof/>
        </w:rPr>
        <w:t xml:space="preserve">The Programme is to be implemented in accordance with </w:t>
      </w:r>
      <w:r>
        <w:rPr>
          <w:noProof/>
        </w:rPr>
        <w:t>Regulation (EU) [XXX]* of the European Parliament and of the Council [Performance]</w:t>
      </w:r>
      <w:r w:rsidRPr="006A71CC">
        <w:rPr>
          <w:noProof/>
        </w:rPr>
        <w:t xml:space="preserve"> </w:t>
      </w:r>
      <w:r w:rsidRPr="3ECCE803">
        <w:rPr>
          <w:noProof/>
        </w:rPr>
        <w:t>which establishes the rules for the expenditure tracking and the performance framework for the budget, including rules for ensuring a uniform application of the principles of ‘do no significant harm’ and gender equality referred to in Article 33(2), points (d) and (f), of Regulation (EU, Euratom) 2024/2509 respectively, rules for monitoring and reporting on the performanc</w:t>
      </w:r>
      <w:r w:rsidRPr="3ECCE803">
        <w:rPr>
          <w:noProof/>
        </w:rPr>
        <w:t>e of Union programmes and activities, rules for establishing a Union funding portal, rules for the evaluation of the programmes, as well as other horizontal provisions applicable to all Union programmes such as those on information, communication and visibility</w:t>
      </w:r>
      <w:r w:rsidRPr="3ECCE803">
        <w:rPr>
          <w:noProof/>
        </w:rPr>
        <w:t>,</w:t>
      </w:r>
      <w:r w:rsidRPr="3ECCE803">
        <w:rPr>
          <w:rFonts w:eastAsiaTheme="minorEastAsia"/>
          <w:noProof/>
        </w:rPr>
        <w:t xml:space="preserve"> while taking into account the scope and nature of the activities and priorities</w:t>
      </w:r>
      <w:r w:rsidRPr="00CB0727">
        <w:rPr>
          <w:rStyle w:val="cf01"/>
          <w:rFonts w:ascii="Times New Roman" w:hAnsi="Times New Roman" w:cs="Times New Roman"/>
          <w:noProof/>
        </w:rPr>
        <w:t>.</w:t>
      </w:r>
      <w:r w:rsidRPr="3ECCE803">
        <w:rPr>
          <w:noProof/>
        </w:rPr>
        <w:t> </w:t>
      </w:r>
    </w:p>
    <w:p w14:paraId="53320F2C" w14:textId="77777777" w:rsidR="005B7178" w:rsidRPr="00565F08" w:rsidRDefault="005B7178" w:rsidP="00B66E94">
      <w:pPr>
        <w:pStyle w:val="ManualConsidrant"/>
        <w:rPr>
          <w:rStyle w:val="cf01"/>
          <w:rFonts w:ascii="Times New Roman" w:hAnsi="Times New Roman" w:cs="Times New Roman"/>
          <w:noProof/>
        </w:rPr>
      </w:pPr>
      <w:r w:rsidRPr="00B66E94">
        <w:rPr>
          <w:rStyle w:val="cf01"/>
          <w:noProof/>
        </w:rPr>
        <w:t>(36)</w:t>
      </w:r>
      <w:r w:rsidRPr="00B66E94">
        <w:rPr>
          <w:rStyle w:val="cf01"/>
          <w:noProof/>
        </w:rPr>
        <w:tab/>
      </w:r>
      <w:r w:rsidRPr="3ECCE803">
        <w:rPr>
          <w:noProof/>
        </w:rPr>
        <w:t>The Programme should also support the role of Programme Desks,</w:t>
      </w:r>
      <w:r w:rsidRPr="3ECCE803">
        <w:rPr>
          <w:noProof/>
        </w:rPr>
        <w:t xml:space="preserve"> which Member States have the possibility to establish, and which should</w:t>
      </w:r>
      <w:r w:rsidRPr="3ECCE803">
        <w:rPr>
          <w:noProof/>
        </w:rPr>
        <w:t xml:space="preserve"> provid</w:t>
      </w:r>
      <w:r w:rsidRPr="3ECCE803">
        <w:rPr>
          <w:noProof/>
        </w:rPr>
        <w:t>e</w:t>
      </w:r>
      <w:r w:rsidRPr="3ECCE803">
        <w:rPr>
          <w:noProof/>
        </w:rPr>
        <w:t xml:space="preserve"> guidance and assistance to applicants on funding opportunities and cross-border collaborations, contributing to the Programme’s outreach visibility and dissemination in accordance with </w:t>
      </w:r>
      <w:r>
        <w:rPr>
          <w:rFonts w:eastAsia="Times New Roman"/>
          <w:noProof/>
        </w:rPr>
        <w:t>Regulation (EU) [XXX]* of the European Parliament and of the Council [Performance]</w:t>
      </w:r>
      <w:r w:rsidRPr="006A71CC">
        <w:rPr>
          <w:noProof/>
        </w:rPr>
        <w:t xml:space="preserve">. </w:t>
      </w:r>
      <w:r w:rsidRPr="3ECCE803">
        <w:rPr>
          <w:noProof/>
        </w:rPr>
        <w:t>Programme Desks should carry out their functions independently and without interference from public authorities in their decision making, and ought not to have an</w:t>
      </w:r>
      <w:r w:rsidRPr="3ECCE803">
        <w:rPr>
          <w:noProof/>
        </w:rPr>
        <w:t>y responsibility regarding the management of the programme</w:t>
      </w:r>
      <w:r w:rsidRPr="3ECCE803">
        <w:rPr>
          <w:rStyle w:val="Allmrkuseviide"/>
          <w:noProof/>
        </w:rPr>
        <w:footnoteReference w:id="34"/>
      </w:r>
      <w:r w:rsidRPr="00DD5842">
        <w:rPr>
          <w:rStyle w:val="cf01"/>
          <w:rFonts w:ascii="Times New Roman" w:hAnsi="Times New Roman" w:cs="Times New Roman"/>
          <w:noProof/>
        </w:rPr>
        <w:t>.</w:t>
      </w:r>
    </w:p>
    <w:p w14:paraId="427CED4A" w14:textId="77777777" w:rsidR="005B7178" w:rsidRPr="00565F08" w:rsidRDefault="005B7178" w:rsidP="00B66E94">
      <w:pPr>
        <w:pStyle w:val="ManualConsidrant"/>
        <w:rPr>
          <w:noProof/>
        </w:rPr>
      </w:pPr>
      <w:r w:rsidRPr="00B66E94">
        <w:rPr>
          <w:noProof/>
        </w:rPr>
        <w:t>(37)</w:t>
      </w:r>
      <w:r w:rsidRPr="00B66E94">
        <w:rPr>
          <w:noProof/>
        </w:rPr>
        <w:tab/>
      </w:r>
      <w:r w:rsidRPr="00565F08">
        <w:rPr>
          <w:noProof/>
        </w:rPr>
        <w:t>Pursuant to Article 85(1) of Council Decision (EU) 2021/1764</w:t>
      </w:r>
      <w:r w:rsidRPr="00565F08">
        <w:rPr>
          <w:rStyle w:val="Allmrkuseviide"/>
          <w:noProof/>
        </w:rPr>
        <w:footnoteReference w:id="35"/>
      </w:r>
      <w:r w:rsidRPr="00565F08">
        <w:rPr>
          <w:noProof/>
        </w:rPr>
        <w:t>, persons and entities established in overseas countries and territories are eligible for funding subject to the ruled objectives of the Programme and possible arrangements applicable to the Member State to which the relevant overseas country or territory is linked.</w:t>
      </w:r>
    </w:p>
    <w:p w14:paraId="4DA815B6" w14:textId="77777777" w:rsidR="005B7178" w:rsidRPr="00B74D3E" w:rsidRDefault="005B7178" w:rsidP="00B66E94">
      <w:pPr>
        <w:pStyle w:val="ManualConsidrant"/>
        <w:rPr>
          <w:noProof/>
        </w:rPr>
      </w:pPr>
      <w:r w:rsidRPr="00B66E94">
        <w:rPr>
          <w:noProof/>
        </w:rPr>
        <w:t>(38)</w:t>
      </w:r>
      <w:r w:rsidRPr="00B66E94">
        <w:rPr>
          <w:noProof/>
        </w:rPr>
        <w:tab/>
      </w:r>
      <w:r w:rsidRPr="009170C7">
        <w:rPr>
          <w:noProof/>
        </w:rPr>
        <w:t xml:space="preserve">Participation of third countries in the ‘Audiovisual’ specific objective requires a certain level of reciprocity and regulatory alignment. For this reason, the situation of their audiovisual markets, the proximity of their legal frameworks with the </w:t>
      </w:r>
      <w:r>
        <w:rPr>
          <w:noProof/>
        </w:rPr>
        <w:t>Union</w:t>
      </w:r>
      <w:r w:rsidRPr="009170C7">
        <w:rPr>
          <w:noProof/>
        </w:rPr>
        <w:t xml:space="preserve"> </w:t>
      </w:r>
      <w:r w:rsidRPr="009170C7">
        <w:rPr>
          <w:noProof/>
        </w:rPr>
        <w:lastRenderedPageBreak/>
        <w:t xml:space="preserve">audiovisual media acquis, in particular Directive 2010/13/EU, and the access to their support schemes </w:t>
      </w:r>
      <w:r w:rsidRPr="009170C7">
        <w:rPr>
          <w:noProof/>
        </w:rPr>
        <w:t xml:space="preserve">should be taken into consideration when concluding Association Agreements. This is of particular importance concerning other European countries, whose audiovisual works benefit from the provisions of Directive 2010/13/EU that promote European works, notably the quotas system. In the specific case of acceding countries, candidate countries and potential candidates, the requirement to align their national legislations with Directive 2010/13/EU was already included in Regulation (EU) 2021/818 establishing the </w:t>
      </w:r>
      <w:r w:rsidRPr="009170C7">
        <w:rPr>
          <w:noProof/>
        </w:rPr>
        <w:t>Creative Europe Programme. This condition has been an efficient incentive to accelerate their work on the overall alignment with the EU acquis in view of accession.</w:t>
      </w:r>
    </w:p>
    <w:p w14:paraId="4455BB30" w14:textId="77777777" w:rsidR="005B7178" w:rsidRPr="00B74D3E" w:rsidRDefault="005B7178" w:rsidP="00B66E94">
      <w:pPr>
        <w:pStyle w:val="ManualConsidrant"/>
        <w:rPr>
          <w:noProof/>
        </w:rPr>
      </w:pPr>
      <w:r w:rsidRPr="00B66E94">
        <w:rPr>
          <w:noProof/>
        </w:rPr>
        <w:t>(39)</w:t>
      </w:r>
      <w:r w:rsidRPr="00B66E94">
        <w:rPr>
          <w:noProof/>
        </w:rPr>
        <w:tab/>
      </w:r>
      <w:r w:rsidRPr="00B74D3E">
        <w:rPr>
          <w:noProof/>
        </w:rPr>
        <w:t xml:space="preserve">Since the objectives of this Regulation cannot be sufficiently achieved by the Member States but can rather, by reason of the transnational nature of the challenges, be better achieved at Union level, the Union may adopt measures, in accordance with the principle of subsidiarity, as set out in Article 5 </w:t>
      </w:r>
      <w:r>
        <w:rPr>
          <w:noProof/>
        </w:rPr>
        <w:t>TEU</w:t>
      </w:r>
      <w:r w:rsidRPr="00B74D3E">
        <w:rPr>
          <w:noProof/>
        </w:rPr>
        <w:t>. In accordance with the principle of proportionality, as set out in that Article, this Regulation does not go beyond what is necessary in order to achieve those objectives.</w:t>
      </w:r>
    </w:p>
    <w:p w14:paraId="27FAF2A3" w14:textId="77777777" w:rsidR="005B7178" w:rsidRDefault="005B7178" w:rsidP="00B66E94">
      <w:pPr>
        <w:pStyle w:val="ManualConsidrant"/>
        <w:rPr>
          <w:noProof/>
        </w:rPr>
      </w:pPr>
      <w:r w:rsidRPr="00B66E94">
        <w:rPr>
          <w:noProof/>
        </w:rPr>
        <w:t>(40)</w:t>
      </w:r>
      <w:r w:rsidRPr="00B66E94">
        <w:rPr>
          <w:noProof/>
        </w:rPr>
        <w:tab/>
      </w:r>
      <w:r w:rsidRPr="00B74D3E">
        <w:rPr>
          <w:noProof/>
        </w:rPr>
        <w:t xml:space="preserve">This Regulation </w:t>
      </w:r>
      <w:r w:rsidRPr="00565F08">
        <w:rPr>
          <w:noProof/>
        </w:rPr>
        <w:t>establishes the</w:t>
      </w:r>
      <w:r w:rsidRPr="00B74D3E">
        <w:rPr>
          <w:noProof/>
        </w:rPr>
        <w:t xml:space="preserve"> </w:t>
      </w:r>
      <w:r w:rsidRPr="00565F08">
        <w:rPr>
          <w:noProof/>
        </w:rPr>
        <w:t xml:space="preserve">Programme for 2028 to 2034, which </w:t>
      </w:r>
      <w:r>
        <w:rPr>
          <w:noProof/>
        </w:rPr>
        <w:t>succeeds to</w:t>
      </w:r>
      <w:r>
        <w:rPr>
          <w:noProof/>
        </w:rPr>
        <w:t xml:space="preserve"> </w:t>
      </w:r>
      <w:r w:rsidRPr="00B74D3E">
        <w:rPr>
          <w:noProof/>
        </w:rPr>
        <w:t xml:space="preserve">the Programmes </w:t>
      </w:r>
      <w:r w:rsidRPr="00565F08">
        <w:rPr>
          <w:noProof/>
        </w:rPr>
        <w:t xml:space="preserve">established by </w:t>
      </w:r>
      <w:r w:rsidRPr="00B74D3E">
        <w:rPr>
          <w:noProof/>
        </w:rPr>
        <w:t>Regulations (EU) 2021/692 and (EU) 2021/818 for 2021 to 2027. Regulations (EU) 2021/692 and (EU) 2021/818 should therefore be repealed</w:t>
      </w:r>
      <w:r w:rsidRPr="00565F08">
        <w:rPr>
          <w:noProof/>
        </w:rPr>
        <w:t>,</w:t>
      </w:r>
    </w:p>
    <w:p w14:paraId="613B14A8" w14:textId="77777777" w:rsidR="005B7178" w:rsidRDefault="005B7178">
      <w:pPr>
        <w:pStyle w:val="Formuledadoption"/>
        <w:rPr>
          <w:noProof/>
        </w:rPr>
      </w:pPr>
      <w:r w:rsidRPr="00F96E01">
        <w:rPr>
          <w:noProof/>
        </w:rPr>
        <w:t>HAVE ADOPTED THIS REGULATION:</w:t>
      </w:r>
    </w:p>
    <w:p w14:paraId="329448C6" w14:textId="77777777" w:rsidR="005B7178" w:rsidRDefault="005B7178" w:rsidP="0031499C">
      <w:pPr>
        <w:pStyle w:val="ChapterTitle"/>
        <w:rPr>
          <w:noProof/>
        </w:rPr>
      </w:pPr>
      <w:r>
        <w:rPr>
          <w:noProof/>
        </w:rPr>
        <w:t>Chapter I</w:t>
      </w:r>
    </w:p>
    <w:p w14:paraId="7DB8A24D" w14:textId="77777777" w:rsidR="005B7178" w:rsidRPr="0031499C" w:rsidRDefault="005B7178" w:rsidP="0031499C">
      <w:pPr>
        <w:pStyle w:val="ChapterTitle"/>
        <w:rPr>
          <w:noProof/>
        </w:rPr>
      </w:pPr>
      <w:r>
        <w:rPr>
          <w:noProof/>
        </w:rPr>
        <w:t>General provisions</w:t>
      </w:r>
    </w:p>
    <w:p w14:paraId="2F376407" w14:textId="77777777" w:rsidR="005B7178" w:rsidRDefault="005B7178">
      <w:pPr>
        <w:pStyle w:val="Titrearticle"/>
        <w:rPr>
          <w:noProof/>
        </w:rPr>
      </w:pPr>
      <w:r w:rsidRPr="00F96E01">
        <w:rPr>
          <w:noProof/>
        </w:rPr>
        <w:t>Article 1</w:t>
      </w:r>
    </w:p>
    <w:p w14:paraId="7B05245A" w14:textId="77777777" w:rsidR="005B7178" w:rsidRPr="00C25493" w:rsidRDefault="005B7178" w:rsidP="0031499C">
      <w:pPr>
        <w:pStyle w:val="Titrearticle"/>
        <w:rPr>
          <w:b/>
          <w:bCs/>
          <w:noProof/>
        </w:rPr>
      </w:pPr>
      <w:r w:rsidRPr="00C25493">
        <w:rPr>
          <w:b/>
          <w:bCs/>
          <w:noProof/>
        </w:rPr>
        <w:t>Subject matter</w:t>
      </w:r>
    </w:p>
    <w:p w14:paraId="0F50794C" w14:textId="77777777" w:rsidR="005B7178" w:rsidRPr="00051BAC" w:rsidRDefault="005B7178" w:rsidP="0031499C">
      <w:pPr>
        <w:rPr>
          <w:noProof/>
        </w:rPr>
      </w:pPr>
      <w:r>
        <w:rPr>
          <w:noProof/>
        </w:rPr>
        <w:t xml:space="preserve">This Regulation </w:t>
      </w:r>
      <w:r w:rsidRPr="008573B3">
        <w:rPr>
          <w:noProof/>
        </w:rPr>
        <w:t xml:space="preserve">establishes the </w:t>
      </w:r>
      <w:r w:rsidRPr="008573B3">
        <w:rPr>
          <w:noProof/>
        </w:rPr>
        <w:t>‘Agora</w:t>
      </w:r>
      <w:r>
        <w:rPr>
          <w:noProof/>
        </w:rPr>
        <w:t>EU</w:t>
      </w:r>
      <w:r w:rsidRPr="008573B3">
        <w:rPr>
          <w:noProof/>
        </w:rPr>
        <w:t>’ Programme</w:t>
      </w:r>
      <w:r w:rsidRPr="008573B3">
        <w:rPr>
          <w:noProof/>
        </w:rPr>
        <w:t xml:space="preserve"> (the ‘Programme’) and lays down the objectives of the Programme, its budget for the period</w:t>
      </w:r>
      <w:r w:rsidRPr="008573B3">
        <w:rPr>
          <w:noProof/>
        </w:rPr>
        <w:t xml:space="preserve"> 2028-203</w:t>
      </w:r>
      <w:r>
        <w:rPr>
          <w:noProof/>
        </w:rPr>
        <w:t>4</w:t>
      </w:r>
      <w:r w:rsidRPr="008573B3">
        <w:rPr>
          <w:noProof/>
        </w:rPr>
        <w:t>, the forms of Union</w:t>
      </w:r>
      <w:r>
        <w:rPr>
          <w:noProof/>
        </w:rPr>
        <w:t xml:space="preserve"> funding and the rules for providing such funding. </w:t>
      </w:r>
    </w:p>
    <w:p w14:paraId="1D4A21F7" w14:textId="77777777" w:rsidR="005B7178" w:rsidRDefault="005B7178">
      <w:pPr>
        <w:pStyle w:val="Titrearticle"/>
        <w:rPr>
          <w:noProof/>
        </w:rPr>
      </w:pPr>
      <w:r w:rsidRPr="00F96E01">
        <w:rPr>
          <w:noProof/>
        </w:rPr>
        <w:t>Article</w:t>
      </w:r>
      <w:r w:rsidRPr="005429CF">
        <w:rPr>
          <w:noProof/>
        </w:rPr>
        <w:t xml:space="preserve"> </w:t>
      </w:r>
      <w:r w:rsidRPr="007B4E92">
        <w:rPr>
          <w:noProof/>
        </w:rPr>
        <w:t>2</w:t>
      </w:r>
    </w:p>
    <w:p w14:paraId="4005D3E7" w14:textId="77777777" w:rsidR="005B7178" w:rsidRPr="002B7293" w:rsidRDefault="005B7178" w:rsidP="0031499C">
      <w:pPr>
        <w:pStyle w:val="Titrearticle"/>
        <w:rPr>
          <w:noProof/>
        </w:rPr>
      </w:pPr>
      <w:r w:rsidRPr="0031499C">
        <w:rPr>
          <w:b/>
          <w:bCs/>
          <w:noProof/>
        </w:rPr>
        <w:t>Definitions</w:t>
      </w:r>
    </w:p>
    <w:p w14:paraId="3A9F1039" w14:textId="77777777" w:rsidR="005B7178" w:rsidRDefault="005B7178" w:rsidP="0031499C">
      <w:pPr>
        <w:rPr>
          <w:noProof/>
          <w:lang w:eastAsia="en-IE"/>
        </w:rPr>
      </w:pPr>
      <w:r w:rsidRPr="002B7293">
        <w:rPr>
          <w:noProof/>
        </w:rPr>
        <w:t>For</w:t>
      </w:r>
      <w:r w:rsidRPr="002B7293">
        <w:rPr>
          <w:noProof/>
          <w:lang w:eastAsia="en-IE"/>
        </w:rPr>
        <w:t xml:space="preserve"> the purposes of this Regulation</w:t>
      </w:r>
      <w:r>
        <w:rPr>
          <w:noProof/>
          <w:lang w:eastAsia="en-IE"/>
        </w:rPr>
        <w:t xml:space="preserve">, </w:t>
      </w:r>
      <w:r w:rsidRPr="002B7293">
        <w:rPr>
          <w:noProof/>
          <w:lang w:eastAsia="en-IE"/>
        </w:rPr>
        <w:t>the following definition appl</w:t>
      </w:r>
      <w:r>
        <w:rPr>
          <w:noProof/>
          <w:lang w:eastAsia="en-IE"/>
        </w:rPr>
        <w:t>ies</w:t>
      </w:r>
      <w:r w:rsidRPr="002B7293">
        <w:rPr>
          <w:noProof/>
          <w:lang w:eastAsia="en-IE"/>
        </w:rPr>
        <w:t>:</w:t>
      </w:r>
    </w:p>
    <w:p w14:paraId="033E233E" w14:textId="77777777" w:rsidR="005B7178" w:rsidRPr="002B7293" w:rsidRDefault="005B7178" w:rsidP="0031499C">
      <w:pPr>
        <w:rPr>
          <w:noProof/>
          <w:lang w:val="en-IE"/>
        </w:rPr>
      </w:pPr>
      <w:r w:rsidRPr="002B7293">
        <w:rPr>
          <w:noProof/>
        </w:rPr>
        <w:br/>
        <w:t>‘award procedure’ means an award procedure, as defined in Article 2, point (3), of Regulation (EU, Euratom) 2024/2509, as well as procedures for entrusting the implementation and provision of support through financial instruments, for granting the budgetary guarantee, or for providing support under the budgetary guarantee.  </w:t>
      </w:r>
    </w:p>
    <w:p w14:paraId="01DAAE69" w14:textId="77777777" w:rsidR="005B7178" w:rsidRDefault="005B7178" w:rsidP="0031499C">
      <w:pPr>
        <w:pStyle w:val="Titrearticle"/>
        <w:rPr>
          <w:noProof/>
          <w:lang w:val="en-IE"/>
        </w:rPr>
      </w:pPr>
      <w:r>
        <w:rPr>
          <w:noProof/>
          <w:lang w:val="en-IE"/>
        </w:rPr>
        <w:lastRenderedPageBreak/>
        <w:t>Article 3</w:t>
      </w:r>
    </w:p>
    <w:p w14:paraId="3D619E0E" w14:textId="77777777" w:rsidR="005B7178" w:rsidRDefault="005B7178" w:rsidP="0031499C">
      <w:pPr>
        <w:pStyle w:val="Titrearticle"/>
        <w:ind w:left="360"/>
        <w:rPr>
          <w:b/>
          <w:bCs/>
          <w:i w:val="0"/>
          <w:iCs/>
          <w:noProof/>
        </w:rPr>
      </w:pPr>
      <w:r w:rsidRPr="003076E1">
        <w:rPr>
          <w:b/>
          <w:bCs/>
          <w:i w:val="0"/>
          <w:iCs/>
          <w:noProof/>
        </w:rPr>
        <w:t>Programme objectives</w:t>
      </w:r>
    </w:p>
    <w:p w14:paraId="64F95A7E" w14:textId="77777777" w:rsidR="005B7178" w:rsidRPr="00B74D3E" w:rsidRDefault="005B7178" w:rsidP="00B66E94">
      <w:pPr>
        <w:pStyle w:val="Point0"/>
        <w:rPr>
          <w:noProof/>
          <w:sz w:val="22"/>
        </w:rPr>
      </w:pPr>
      <w:r w:rsidRPr="00B66E94">
        <w:rPr>
          <w:noProof/>
        </w:rPr>
        <w:t>(1)</w:t>
      </w:r>
      <w:r w:rsidRPr="00B66E94">
        <w:rPr>
          <w:noProof/>
        </w:rPr>
        <w:tab/>
      </w:r>
      <w:r w:rsidRPr="174E16F1">
        <w:rPr>
          <w:noProof/>
          <w:lang w:eastAsia="ja-JP"/>
        </w:rPr>
        <w:t xml:space="preserve">The general objectives of the Programme are to promote cultural and linguistic diversity and heritage, to increase the competitiveness of the cultural and creative sectors, in particular the media and audiovisual industries, </w:t>
      </w:r>
      <w:r w:rsidRPr="00843D4A">
        <w:rPr>
          <w:noProof/>
          <w:lang w:eastAsia="ja-JP"/>
        </w:rPr>
        <w:t>to safeguard artistic and media freedom,</w:t>
      </w:r>
      <w:r w:rsidRPr="174E16F1">
        <w:rPr>
          <w:noProof/>
          <w:lang w:eastAsia="ja-JP"/>
        </w:rPr>
        <w:t xml:space="preserve"> and to protect and promote equality, </w:t>
      </w:r>
      <w:r>
        <w:rPr>
          <w:noProof/>
          <w:lang w:eastAsia="ja-JP"/>
        </w:rPr>
        <w:t xml:space="preserve">active </w:t>
      </w:r>
      <w:r w:rsidRPr="174E16F1">
        <w:rPr>
          <w:noProof/>
          <w:lang w:eastAsia="ja-JP"/>
        </w:rPr>
        <w:t>citizenship, rights and values as enshrined in the Treaties and in the Charter, thereby enhancing democratic participation and societal resilience.</w:t>
      </w:r>
    </w:p>
    <w:p w14:paraId="4D117D0C" w14:textId="77777777" w:rsidR="005B7178" w:rsidRDefault="005B7178" w:rsidP="00B66E94">
      <w:pPr>
        <w:pStyle w:val="Point0"/>
        <w:rPr>
          <w:noProof/>
        </w:rPr>
      </w:pPr>
      <w:r w:rsidRPr="00B66E94">
        <w:rPr>
          <w:noProof/>
        </w:rPr>
        <w:t>(2)</w:t>
      </w:r>
      <w:r w:rsidRPr="00B66E94">
        <w:rPr>
          <w:noProof/>
        </w:rPr>
        <w:tab/>
      </w:r>
      <w:r w:rsidRPr="281A8EF1">
        <w:rPr>
          <w:noProof/>
        </w:rPr>
        <w:t>Within the general objective</w:t>
      </w:r>
      <w:r>
        <w:rPr>
          <w:noProof/>
        </w:rPr>
        <w:t>s</w:t>
      </w:r>
      <w:r w:rsidRPr="281A8EF1">
        <w:rPr>
          <w:noProof/>
        </w:rPr>
        <w:t xml:space="preserve"> set out in paragraph 1, the Programme </w:t>
      </w:r>
      <w:r w:rsidRPr="00270E6F">
        <w:rPr>
          <w:noProof/>
        </w:rPr>
        <w:t>shall have</w:t>
      </w:r>
      <w:r w:rsidRPr="281A8EF1">
        <w:rPr>
          <w:noProof/>
        </w:rPr>
        <w:t xml:space="preserve"> the following strands</w:t>
      </w:r>
      <w:r>
        <w:rPr>
          <w:noProof/>
        </w:rPr>
        <w:t>, implementing the following specific objectives</w:t>
      </w:r>
      <w:r w:rsidRPr="281A8EF1">
        <w:rPr>
          <w:noProof/>
        </w:rPr>
        <w:t>:</w:t>
      </w:r>
    </w:p>
    <w:p w14:paraId="32F71711" w14:textId="77777777" w:rsidR="005B7178" w:rsidRDefault="005B7178" w:rsidP="00B66E94">
      <w:pPr>
        <w:pStyle w:val="Point0"/>
        <w:rPr>
          <w:rStyle w:val="eop"/>
          <w:noProof/>
        </w:rPr>
      </w:pPr>
      <w:r w:rsidRPr="00B66E94">
        <w:rPr>
          <w:rStyle w:val="eop"/>
          <w:noProof/>
        </w:rPr>
        <w:t>(a)</w:t>
      </w:r>
      <w:r w:rsidRPr="00B66E94">
        <w:rPr>
          <w:rStyle w:val="eop"/>
          <w:noProof/>
        </w:rPr>
        <w:tab/>
      </w:r>
      <w:r>
        <w:rPr>
          <w:rStyle w:val="normaltextrun"/>
          <w:noProof/>
        </w:rPr>
        <w:t>t</w:t>
      </w:r>
      <w:r>
        <w:rPr>
          <w:rStyle w:val="normaltextrun"/>
          <w:noProof/>
        </w:rPr>
        <w:t>he ‘</w:t>
      </w:r>
      <w:r>
        <w:rPr>
          <w:rStyle w:val="normaltextrun"/>
          <w:noProof/>
        </w:rPr>
        <w:t xml:space="preserve">Creative Europe - </w:t>
      </w:r>
      <w:r>
        <w:rPr>
          <w:rStyle w:val="normaltextrun"/>
          <w:noProof/>
        </w:rPr>
        <w:t>Culture’ Strand shall:</w:t>
      </w:r>
      <w:r>
        <w:rPr>
          <w:rStyle w:val="eop"/>
          <w:noProof/>
        </w:rPr>
        <w:t> </w:t>
      </w:r>
    </w:p>
    <w:p w14:paraId="4C3CBB9F" w14:textId="77777777" w:rsidR="005B7178" w:rsidRDefault="005B7178" w:rsidP="00E14B1A">
      <w:pPr>
        <w:pStyle w:val="LegalNumPar3"/>
        <w:rPr>
          <w:rStyle w:val="normaltextrun"/>
          <w:noProof/>
        </w:rPr>
      </w:pPr>
      <w:r w:rsidRPr="3141841E">
        <w:rPr>
          <w:rStyle w:val="normaltextrun"/>
          <w:noProof/>
        </w:rPr>
        <w:t>c</w:t>
      </w:r>
      <w:r w:rsidRPr="3141841E">
        <w:rPr>
          <w:rStyle w:val="normaltextrun"/>
          <w:noProof/>
        </w:rPr>
        <w:t>ontribute to cross-border cultural creation, cooperation, participation and accessibility, and</w:t>
      </w:r>
      <w:r w:rsidRPr="3141841E">
        <w:rPr>
          <w:rStyle w:val="normaltextrun"/>
          <w:noProof/>
        </w:rPr>
        <w:t xml:space="preserve"> </w:t>
      </w:r>
      <w:r w:rsidRPr="3141841E">
        <w:rPr>
          <w:rStyle w:val="normaltextrun"/>
          <w:noProof/>
        </w:rPr>
        <w:t xml:space="preserve">cross-border </w:t>
      </w:r>
      <w:r w:rsidRPr="3141841E">
        <w:rPr>
          <w:rStyle w:val="normaltextrun"/>
          <w:noProof/>
        </w:rPr>
        <w:t>circulation of a diversity of</w:t>
      </w:r>
      <w:r>
        <w:rPr>
          <w:rStyle w:val="normaltextrun"/>
          <w:noProof/>
        </w:rPr>
        <w:t xml:space="preserve"> </w:t>
      </w:r>
      <w:r w:rsidRPr="3141841E">
        <w:rPr>
          <w:rStyle w:val="normaltextrun"/>
          <w:noProof/>
        </w:rPr>
        <w:t>cultural works, while strengthening the social, economic</w:t>
      </w:r>
      <w:r w:rsidRPr="66132AE4">
        <w:rPr>
          <w:rStyle w:val="normaltextrun"/>
          <w:noProof/>
        </w:rPr>
        <w:t xml:space="preserve"> </w:t>
      </w:r>
      <w:r w:rsidRPr="3141841E">
        <w:rPr>
          <w:rStyle w:val="normaltextrun"/>
          <w:noProof/>
        </w:rPr>
        <w:t>and international dimensions of the cultural and creative sectors</w:t>
      </w:r>
      <w:r w:rsidRPr="25AC3997">
        <w:rPr>
          <w:rStyle w:val="normaltextrun"/>
          <w:noProof/>
        </w:rPr>
        <w:t xml:space="preserve"> (‘</w:t>
      </w:r>
      <w:r>
        <w:rPr>
          <w:rStyle w:val="normaltextrun"/>
          <w:noProof/>
        </w:rPr>
        <w:t>c</w:t>
      </w:r>
      <w:r w:rsidRPr="25AC3997">
        <w:rPr>
          <w:rStyle w:val="normaltextrun"/>
          <w:noProof/>
        </w:rPr>
        <w:t>ulture’</w:t>
      </w:r>
      <w:r w:rsidRPr="5D9C9B98">
        <w:rPr>
          <w:rStyle w:val="normaltextrun"/>
          <w:noProof/>
        </w:rPr>
        <w:t>)</w:t>
      </w:r>
      <w:r w:rsidRPr="5D9C9B98">
        <w:rPr>
          <w:rStyle w:val="normaltextrun"/>
          <w:noProof/>
        </w:rPr>
        <w:t>;</w:t>
      </w:r>
      <w:r w:rsidRPr="3141841E">
        <w:rPr>
          <w:rStyle w:val="normaltextrun"/>
          <w:noProof/>
        </w:rPr>
        <w:t>  </w:t>
      </w:r>
    </w:p>
    <w:p w14:paraId="50F69170" w14:textId="77777777" w:rsidR="005B7178" w:rsidRDefault="005B7178" w:rsidP="00B66E94">
      <w:pPr>
        <w:pStyle w:val="Point0"/>
        <w:rPr>
          <w:rStyle w:val="eop"/>
          <w:noProof/>
        </w:rPr>
      </w:pPr>
      <w:r w:rsidRPr="00B66E94">
        <w:rPr>
          <w:rStyle w:val="eop"/>
          <w:noProof/>
        </w:rPr>
        <w:t>(b)</w:t>
      </w:r>
      <w:r w:rsidRPr="00B66E94">
        <w:rPr>
          <w:rStyle w:val="eop"/>
          <w:noProof/>
        </w:rPr>
        <w:tab/>
      </w:r>
      <w:r>
        <w:rPr>
          <w:rStyle w:val="normaltextrun"/>
          <w:noProof/>
        </w:rPr>
        <w:t>t</w:t>
      </w:r>
      <w:r w:rsidRPr="007A0760">
        <w:rPr>
          <w:rStyle w:val="normaltextrun"/>
          <w:noProof/>
        </w:rPr>
        <w:t xml:space="preserve">he ‘MEDIA+’ </w:t>
      </w:r>
      <w:r>
        <w:rPr>
          <w:rStyle w:val="normaltextrun"/>
          <w:noProof/>
        </w:rPr>
        <w:t>s</w:t>
      </w:r>
      <w:r w:rsidRPr="007A0760">
        <w:rPr>
          <w:rStyle w:val="normaltextrun"/>
          <w:noProof/>
        </w:rPr>
        <w:t>trand shall: </w:t>
      </w:r>
      <w:r w:rsidRPr="001752CF">
        <w:rPr>
          <w:rStyle w:val="normaltextrun"/>
          <w:noProof/>
        </w:rPr>
        <w:t> </w:t>
      </w:r>
    </w:p>
    <w:p w14:paraId="1E3644E4" w14:textId="77777777" w:rsidR="005B7178" w:rsidRDefault="005B7178" w:rsidP="00051CB4">
      <w:pPr>
        <w:pStyle w:val="LegalNumPar3"/>
        <w:numPr>
          <w:ilvl w:val="2"/>
          <w:numId w:val="33"/>
        </w:numPr>
        <w:rPr>
          <w:rStyle w:val="normaltextrun"/>
          <w:noProof/>
        </w:rPr>
      </w:pPr>
      <w:r>
        <w:rPr>
          <w:rStyle w:val="normaltextrun"/>
          <w:noProof/>
        </w:rPr>
        <w:t>c</w:t>
      </w:r>
      <w:r>
        <w:rPr>
          <w:rStyle w:val="normaltextrun"/>
          <w:noProof/>
        </w:rPr>
        <w:t>ontribute to</w:t>
      </w:r>
      <w:r>
        <w:rPr>
          <w:rStyle w:val="normaltextrun"/>
          <w:noProof/>
        </w:rPr>
        <w:t xml:space="preserve"> the</w:t>
      </w:r>
      <w:r>
        <w:rPr>
          <w:rStyle w:val="normaltextrun"/>
          <w:noProof/>
        </w:rPr>
        <w:t xml:space="preserve"> cultural diversity and competitiveness of the audiovisual and video games industries, notably by enhancing creation and cross-border distribution of European content and its access by citizens (‘audiovisual’)</w:t>
      </w:r>
      <w:r>
        <w:rPr>
          <w:rStyle w:val="normaltextrun"/>
          <w:noProof/>
        </w:rPr>
        <w:t>;</w:t>
      </w:r>
    </w:p>
    <w:p w14:paraId="22FD9215" w14:textId="77777777" w:rsidR="005B7178" w:rsidRPr="008573B3" w:rsidRDefault="005B7178" w:rsidP="00051CB4">
      <w:pPr>
        <w:pStyle w:val="LegalNumPar3"/>
        <w:numPr>
          <w:ilvl w:val="2"/>
          <w:numId w:val="33"/>
        </w:numPr>
        <w:rPr>
          <w:rStyle w:val="normaltextrun"/>
          <w:noProof/>
        </w:rPr>
      </w:pPr>
      <w:r>
        <w:rPr>
          <w:rStyle w:val="normaltextrun"/>
          <w:noProof/>
        </w:rPr>
        <w:t>c</w:t>
      </w:r>
      <w:r w:rsidRPr="007A0760">
        <w:rPr>
          <w:rStyle w:val="normaltextrun"/>
          <w:noProof/>
        </w:rPr>
        <w:t xml:space="preserve">ontribute to a free, viable and diverse </w:t>
      </w:r>
      <w:r>
        <w:rPr>
          <w:rStyle w:val="normaltextrun"/>
          <w:noProof/>
        </w:rPr>
        <w:t>Union</w:t>
      </w:r>
      <w:r w:rsidRPr="007A0760">
        <w:rPr>
          <w:rStyle w:val="normaltextrun"/>
          <w:noProof/>
        </w:rPr>
        <w:t xml:space="preserve"> </w:t>
      </w:r>
      <w:r w:rsidRPr="007A0760">
        <w:rPr>
          <w:rStyle w:val="normaltextrun"/>
          <w:noProof/>
        </w:rPr>
        <w:t xml:space="preserve">information ecosystem, notably by supporting free and independent journalism and news media, enhancing citizens’ access to </w:t>
      </w:r>
      <w:r w:rsidRPr="008573B3">
        <w:rPr>
          <w:rStyle w:val="normaltextrun"/>
          <w:noProof/>
        </w:rPr>
        <w:t>trustworthy information and tackling disinformation</w:t>
      </w:r>
      <w:r w:rsidRPr="008573B3">
        <w:rPr>
          <w:rStyle w:val="normaltextrun"/>
          <w:noProof/>
        </w:rPr>
        <w:t xml:space="preserve"> </w:t>
      </w:r>
      <w:r w:rsidRPr="008573B3">
        <w:rPr>
          <w:rStyle w:val="normaltextrun"/>
          <w:noProof/>
        </w:rPr>
        <w:t>(‘news’)</w:t>
      </w:r>
      <w:r w:rsidRPr="008573B3">
        <w:rPr>
          <w:rStyle w:val="normaltextrun"/>
          <w:noProof/>
        </w:rPr>
        <w:t>;</w:t>
      </w:r>
      <w:r w:rsidRPr="008573B3">
        <w:rPr>
          <w:rStyle w:val="normaltextrun"/>
          <w:noProof/>
        </w:rPr>
        <w:t>  </w:t>
      </w:r>
    </w:p>
    <w:p w14:paraId="74D9EC65" w14:textId="77777777" w:rsidR="005B7178" w:rsidRPr="008573B3" w:rsidRDefault="005B7178" w:rsidP="00B66E94">
      <w:pPr>
        <w:pStyle w:val="Point0"/>
        <w:rPr>
          <w:rStyle w:val="normaltextrun"/>
          <w:noProof/>
        </w:rPr>
      </w:pPr>
      <w:r w:rsidRPr="00B66E94">
        <w:rPr>
          <w:rStyle w:val="normaltextrun"/>
          <w:noProof/>
        </w:rPr>
        <w:t>(c)</w:t>
      </w:r>
      <w:r w:rsidRPr="00B66E94">
        <w:rPr>
          <w:rStyle w:val="normaltextrun"/>
          <w:noProof/>
        </w:rPr>
        <w:tab/>
      </w:r>
      <w:r w:rsidRPr="008573B3">
        <w:rPr>
          <w:rStyle w:val="normaltextrun"/>
          <w:noProof/>
        </w:rPr>
        <w:t>t</w:t>
      </w:r>
      <w:r w:rsidRPr="008573B3">
        <w:rPr>
          <w:rStyle w:val="normaltextrun"/>
          <w:noProof/>
        </w:rPr>
        <w:t xml:space="preserve">he </w:t>
      </w:r>
      <w:r w:rsidRPr="00E11C1B">
        <w:rPr>
          <w:rStyle w:val="normaltextrun"/>
          <w:noProof/>
        </w:rPr>
        <w:t>Democracy, Citizens, Equality, Rights and Values</w:t>
      </w:r>
      <w:r w:rsidRPr="00E11C1B">
        <w:rPr>
          <w:rStyle w:val="normaltextrun"/>
          <w:noProof/>
        </w:rPr>
        <w:t xml:space="preserve"> (‘CERV+’)</w:t>
      </w:r>
      <w:r w:rsidRPr="008573B3">
        <w:rPr>
          <w:rStyle w:val="normaltextrun"/>
          <w:noProof/>
        </w:rPr>
        <w:t xml:space="preserve"> </w:t>
      </w:r>
      <w:r w:rsidRPr="008573B3">
        <w:rPr>
          <w:rStyle w:val="normaltextrun"/>
          <w:noProof/>
        </w:rPr>
        <w:t>s</w:t>
      </w:r>
      <w:r w:rsidRPr="008573B3">
        <w:rPr>
          <w:rStyle w:val="normaltextrun"/>
          <w:noProof/>
        </w:rPr>
        <w:t>trand shall: </w:t>
      </w:r>
    </w:p>
    <w:p w14:paraId="674EC471" w14:textId="77777777" w:rsidR="005B7178" w:rsidRPr="007A0760" w:rsidRDefault="005B7178" w:rsidP="00051CB4">
      <w:pPr>
        <w:pStyle w:val="LegalNumPar3"/>
        <w:numPr>
          <w:ilvl w:val="2"/>
          <w:numId w:val="34"/>
        </w:numPr>
        <w:rPr>
          <w:rStyle w:val="normaltextrun"/>
          <w:noProof/>
        </w:rPr>
      </w:pPr>
      <w:r w:rsidRPr="008573B3">
        <w:rPr>
          <w:rStyle w:val="normaltextrun"/>
          <w:noProof/>
        </w:rPr>
        <w:t>c</w:t>
      </w:r>
      <w:r w:rsidRPr="008573B3">
        <w:rPr>
          <w:rStyle w:val="normaltextrun"/>
          <w:noProof/>
        </w:rPr>
        <w:t>ontribute to protecting and promoting</w:t>
      </w:r>
      <w:r w:rsidRPr="007A0760">
        <w:rPr>
          <w:rStyle w:val="normaltextrun"/>
          <w:noProof/>
        </w:rPr>
        <w:t xml:space="preserve"> fundamental rights, </w:t>
      </w:r>
      <w:r>
        <w:rPr>
          <w:rStyle w:val="normaltextrun"/>
          <w:noProof/>
        </w:rPr>
        <w:t xml:space="preserve">equality and non-discrimination and </w:t>
      </w:r>
      <w:r>
        <w:rPr>
          <w:rStyle w:val="normaltextrun"/>
          <w:noProof/>
        </w:rPr>
        <w:t xml:space="preserve">Union </w:t>
      </w:r>
      <w:r w:rsidRPr="007A0760">
        <w:rPr>
          <w:rStyle w:val="normaltextrun"/>
          <w:noProof/>
        </w:rPr>
        <w:t>citizen’s rights enshrined in the Treaties including free movement of citizens, and empower</w:t>
      </w:r>
      <w:r>
        <w:rPr>
          <w:rStyle w:val="normaltextrun"/>
          <w:noProof/>
        </w:rPr>
        <w:t>ing</w:t>
      </w:r>
      <w:r w:rsidRPr="007A0760">
        <w:rPr>
          <w:rStyle w:val="normaltextrun"/>
          <w:noProof/>
        </w:rPr>
        <w:t xml:space="preserve"> civil society (‘</w:t>
      </w:r>
      <w:r>
        <w:rPr>
          <w:rStyle w:val="normaltextrun"/>
          <w:noProof/>
        </w:rPr>
        <w:t>r</w:t>
      </w:r>
      <w:r w:rsidRPr="007A0760">
        <w:rPr>
          <w:rStyle w:val="normaltextrun"/>
          <w:noProof/>
        </w:rPr>
        <w:t xml:space="preserve">ights, </w:t>
      </w:r>
      <w:r w:rsidRPr="007C3E13">
        <w:rPr>
          <w:rStyle w:val="normaltextrun"/>
          <w:noProof/>
        </w:rPr>
        <w:t>e</w:t>
      </w:r>
      <w:r w:rsidRPr="007C3E13">
        <w:rPr>
          <w:rStyle w:val="normaltextrun"/>
          <w:noProof/>
        </w:rPr>
        <w:t xml:space="preserve">quality, </w:t>
      </w:r>
      <w:r w:rsidRPr="007C3E13">
        <w:rPr>
          <w:rStyle w:val="normaltextrun"/>
          <w:noProof/>
        </w:rPr>
        <w:t>c</w:t>
      </w:r>
      <w:r w:rsidRPr="007C3E13">
        <w:rPr>
          <w:rStyle w:val="normaltextrun"/>
          <w:noProof/>
        </w:rPr>
        <w:t>itizens</w:t>
      </w:r>
      <w:r w:rsidRPr="007C3E13" w:rsidDel="002028F1">
        <w:rPr>
          <w:rStyle w:val="normaltextrun"/>
          <w:noProof/>
        </w:rPr>
        <w:t xml:space="preserve"> and </w:t>
      </w:r>
      <w:r w:rsidRPr="007C3E13">
        <w:rPr>
          <w:rStyle w:val="normaltextrun"/>
          <w:noProof/>
        </w:rPr>
        <w:t>c</w:t>
      </w:r>
      <w:r w:rsidRPr="007C3E13" w:rsidDel="002028F1">
        <w:rPr>
          <w:rStyle w:val="normaltextrun"/>
          <w:noProof/>
        </w:rPr>
        <w:t xml:space="preserve">ivil </w:t>
      </w:r>
      <w:r w:rsidRPr="007C3E13">
        <w:rPr>
          <w:rStyle w:val="normaltextrun"/>
          <w:noProof/>
        </w:rPr>
        <w:t>s</w:t>
      </w:r>
      <w:r w:rsidRPr="007C3E13" w:rsidDel="002028F1">
        <w:rPr>
          <w:rStyle w:val="normaltextrun"/>
          <w:noProof/>
        </w:rPr>
        <w:t>ociety’</w:t>
      </w:r>
      <w:r w:rsidRPr="007A0760">
        <w:rPr>
          <w:rStyle w:val="normaltextrun"/>
          <w:noProof/>
        </w:rPr>
        <w:t>)</w:t>
      </w:r>
      <w:r>
        <w:rPr>
          <w:rStyle w:val="normaltextrun"/>
          <w:noProof/>
        </w:rPr>
        <w:t>;</w:t>
      </w:r>
      <w:r w:rsidRPr="007A0760">
        <w:rPr>
          <w:rStyle w:val="normaltextrun"/>
          <w:noProof/>
        </w:rPr>
        <w:t> </w:t>
      </w:r>
    </w:p>
    <w:p w14:paraId="53D316AA" w14:textId="77777777" w:rsidR="005B7178" w:rsidRPr="007A0760" w:rsidRDefault="005B7178" w:rsidP="00E14B1A">
      <w:pPr>
        <w:pStyle w:val="LegalNumPar3"/>
        <w:rPr>
          <w:rStyle w:val="normaltextrun"/>
          <w:noProof/>
        </w:rPr>
      </w:pPr>
      <w:r>
        <w:rPr>
          <w:rStyle w:val="normaltextrun"/>
          <w:noProof/>
        </w:rPr>
        <w:t>c</w:t>
      </w:r>
      <w:r w:rsidRPr="007A0760">
        <w:rPr>
          <w:rStyle w:val="normaltextrun"/>
          <w:noProof/>
        </w:rPr>
        <w:t xml:space="preserve">ontribute to fighting against gender-based violence, violence against children and other groups at risk </w:t>
      </w:r>
      <w:r>
        <w:rPr>
          <w:rStyle w:val="normaltextrun"/>
          <w:noProof/>
        </w:rPr>
        <w:t xml:space="preserve">of </w:t>
      </w:r>
      <w:r>
        <w:rPr>
          <w:rStyle w:val="normaltextrun"/>
          <w:noProof/>
        </w:rPr>
        <w:t>such violence</w:t>
      </w:r>
      <w:r w:rsidRPr="007A0760">
        <w:rPr>
          <w:rStyle w:val="normaltextrun"/>
          <w:noProof/>
        </w:rPr>
        <w:t xml:space="preserve"> (‘Daphne’)</w:t>
      </w:r>
      <w:r>
        <w:rPr>
          <w:rStyle w:val="normaltextrun"/>
          <w:noProof/>
        </w:rPr>
        <w:t>;</w:t>
      </w:r>
      <w:r w:rsidRPr="007A0760">
        <w:rPr>
          <w:rStyle w:val="normaltextrun"/>
          <w:noProof/>
        </w:rPr>
        <w:t> </w:t>
      </w:r>
    </w:p>
    <w:p w14:paraId="64195C03" w14:textId="77777777" w:rsidR="005B7178" w:rsidRPr="007C3E13" w:rsidRDefault="005B7178" w:rsidP="00E14B1A">
      <w:pPr>
        <w:pStyle w:val="LegalNumPar3"/>
        <w:rPr>
          <w:rStyle w:val="normaltextrun"/>
          <w:noProof/>
        </w:rPr>
      </w:pPr>
      <w:r>
        <w:rPr>
          <w:rStyle w:val="normaltextrun"/>
          <w:noProof/>
        </w:rPr>
        <w:t>c</w:t>
      </w:r>
      <w:r w:rsidRPr="007A0760">
        <w:rPr>
          <w:rStyle w:val="normaltextrun"/>
          <w:noProof/>
        </w:rPr>
        <w:t>ontribute to enhancing democratic participation and upholding the rule of law (‘</w:t>
      </w:r>
      <w:r>
        <w:rPr>
          <w:rStyle w:val="normaltextrun"/>
          <w:noProof/>
        </w:rPr>
        <w:t>d</w:t>
      </w:r>
      <w:r w:rsidRPr="007A0760">
        <w:rPr>
          <w:rStyle w:val="normaltextrun"/>
          <w:noProof/>
        </w:rPr>
        <w:t>emocratic participation and rule of law’).</w:t>
      </w:r>
      <w:r w:rsidRPr="007C3E13">
        <w:rPr>
          <w:rStyle w:val="normaltextrun"/>
          <w:noProof/>
        </w:rPr>
        <w:t> </w:t>
      </w:r>
    </w:p>
    <w:p w14:paraId="3BEBBA47" w14:textId="77777777" w:rsidR="005B7178" w:rsidRPr="001752CF" w:rsidRDefault="005B7178" w:rsidP="00B66E94">
      <w:pPr>
        <w:pStyle w:val="Point0"/>
        <w:rPr>
          <w:noProof/>
        </w:rPr>
      </w:pPr>
      <w:r w:rsidRPr="00B66E94">
        <w:rPr>
          <w:noProof/>
        </w:rPr>
        <w:t>(3)</w:t>
      </w:r>
      <w:r w:rsidRPr="00B66E94">
        <w:rPr>
          <w:noProof/>
        </w:rPr>
        <w:tab/>
      </w:r>
      <w:r w:rsidRPr="001752CF">
        <w:rPr>
          <w:noProof/>
          <w:lang w:eastAsia="ja-JP"/>
        </w:rPr>
        <w:t xml:space="preserve">To maximise impact and enhance synergies across the </w:t>
      </w:r>
      <w:r w:rsidRPr="001752CF">
        <w:rPr>
          <w:noProof/>
          <w:lang w:eastAsia="ja-JP"/>
        </w:rPr>
        <w:t>s</w:t>
      </w:r>
      <w:r w:rsidRPr="001752CF">
        <w:rPr>
          <w:noProof/>
          <w:lang w:eastAsia="ja-JP"/>
        </w:rPr>
        <w:t xml:space="preserve">trands referred to in paragraph 2, the Programme shall support cross-cutting and horizontal activities contributing to the general objective referred to in paragraph 1, notably by </w:t>
      </w:r>
      <w:r w:rsidRPr="001752CF">
        <w:rPr>
          <w:noProof/>
          <w:lang w:eastAsia="ja-JP"/>
        </w:rPr>
        <w:lastRenderedPageBreak/>
        <w:t>developing synergies between the cultural, media and civic spheres and promoting cross-sectoral collaboration and innovation.</w:t>
      </w:r>
    </w:p>
    <w:p w14:paraId="5D5611CE" w14:textId="77777777" w:rsidR="005B7178" w:rsidRPr="00B5333C" w:rsidRDefault="005B7178" w:rsidP="007A0760">
      <w:pPr>
        <w:pStyle w:val="ChapterTitle"/>
        <w:rPr>
          <w:noProof/>
          <w:lang w:val="fr-BE"/>
        </w:rPr>
      </w:pPr>
      <w:r w:rsidRPr="00B5333C">
        <w:rPr>
          <w:noProof/>
          <w:lang w:val="fr-BE"/>
        </w:rPr>
        <w:t xml:space="preserve">Chapter </w:t>
      </w:r>
      <w:r w:rsidRPr="00B5333C">
        <w:rPr>
          <w:noProof/>
          <w:lang w:val="fr-BE"/>
        </w:rPr>
        <w:t>II</w:t>
      </w:r>
    </w:p>
    <w:p w14:paraId="49F5E7C6" w14:textId="77777777" w:rsidR="005B7178" w:rsidRPr="00B5333C" w:rsidRDefault="005B7178" w:rsidP="007A0760">
      <w:pPr>
        <w:pStyle w:val="ChapterTitle"/>
        <w:rPr>
          <w:noProof/>
          <w:lang w:val="fr-BE"/>
        </w:rPr>
      </w:pPr>
      <w:r w:rsidRPr="00B5333C">
        <w:rPr>
          <w:noProof/>
          <w:lang w:val="fr-BE"/>
        </w:rPr>
        <w:t xml:space="preserve">Creative Europe - </w:t>
      </w:r>
      <w:r w:rsidRPr="00B5333C">
        <w:rPr>
          <w:noProof/>
          <w:lang w:val="fr-BE"/>
        </w:rPr>
        <w:t xml:space="preserve">Culture </w:t>
      </w:r>
      <w:r w:rsidRPr="00B5333C">
        <w:rPr>
          <w:noProof/>
          <w:lang w:val="fr-BE"/>
        </w:rPr>
        <w:t>s</w:t>
      </w:r>
      <w:r w:rsidRPr="00B5333C">
        <w:rPr>
          <w:noProof/>
          <w:lang w:val="fr-BE"/>
        </w:rPr>
        <w:t xml:space="preserve">trand </w:t>
      </w:r>
    </w:p>
    <w:p w14:paraId="79C96BE5" w14:textId="77777777" w:rsidR="005B7178" w:rsidRPr="00B5333C" w:rsidRDefault="005B7178" w:rsidP="007A0760">
      <w:pPr>
        <w:pStyle w:val="Titrearticle"/>
        <w:rPr>
          <w:noProof/>
          <w:lang w:val="fr-BE"/>
        </w:rPr>
      </w:pPr>
      <w:r w:rsidRPr="00B5333C">
        <w:rPr>
          <w:noProof/>
          <w:lang w:val="fr-BE"/>
        </w:rPr>
        <w:t>Article 4</w:t>
      </w:r>
    </w:p>
    <w:p w14:paraId="3F3D2FA5" w14:textId="77777777" w:rsidR="005B7178" w:rsidRPr="00B5333C" w:rsidRDefault="005B7178" w:rsidP="008A4CB2">
      <w:pPr>
        <w:jc w:val="center"/>
        <w:rPr>
          <w:b/>
          <w:bCs/>
          <w:i/>
          <w:iCs/>
          <w:noProof/>
          <w:lang w:val="fr-BE"/>
        </w:rPr>
      </w:pPr>
      <w:r w:rsidRPr="00B5333C">
        <w:rPr>
          <w:b/>
          <w:bCs/>
          <w:i/>
          <w:iCs/>
          <w:noProof/>
          <w:lang w:val="fr-BE"/>
        </w:rPr>
        <w:t>Culture</w:t>
      </w:r>
    </w:p>
    <w:p w14:paraId="2959A5BC" w14:textId="77777777" w:rsidR="005B7178" w:rsidRPr="00B74D3E" w:rsidRDefault="005B7178" w:rsidP="00B74D3E">
      <w:pPr>
        <w:spacing w:before="360" w:line="279" w:lineRule="auto"/>
        <w:rPr>
          <w:rFonts w:eastAsia="Aptos"/>
          <w:noProof/>
        </w:rPr>
      </w:pPr>
      <w:bookmarkStart w:id="3" w:name="_Hlk202693076"/>
      <w:bookmarkStart w:id="4" w:name="_Hlk202693094"/>
      <w:r w:rsidRPr="184A2751">
        <w:rPr>
          <w:rFonts w:eastAsia="Aptos"/>
          <w:noProof/>
        </w:rPr>
        <w:t>Within</w:t>
      </w:r>
      <w:bookmarkEnd w:id="3"/>
      <w:r w:rsidRPr="184A2751">
        <w:rPr>
          <w:rFonts w:eastAsia="Aptos"/>
          <w:noProof/>
        </w:rPr>
        <w:t xml:space="preserve"> t</w:t>
      </w:r>
      <w:r w:rsidRPr="3141841E">
        <w:rPr>
          <w:rFonts w:eastAsia="Aptos"/>
          <w:noProof/>
        </w:rPr>
        <w:t xml:space="preserve">he </w:t>
      </w:r>
      <w:r>
        <w:rPr>
          <w:rFonts w:eastAsia="Aptos"/>
          <w:noProof/>
        </w:rPr>
        <w:t xml:space="preserve">Creative Europe - </w:t>
      </w:r>
      <w:r w:rsidRPr="3141841E">
        <w:rPr>
          <w:rFonts w:eastAsia="Aptos"/>
          <w:noProof/>
        </w:rPr>
        <w:t xml:space="preserve">Culture </w:t>
      </w:r>
      <w:r w:rsidRPr="3141841E">
        <w:rPr>
          <w:rFonts w:eastAsia="Aptos"/>
          <w:noProof/>
        </w:rPr>
        <w:t>strand</w:t>
      </w:r>
      <w:r w:rsidRPr="3141841E">
        <w:rPr>
          <w:rFonts w:eastAsia="Aptos"/>
          <w:noProof/>
        </w:rPr>
        <w:t xml:space="preserve">, </w:t>
      </w:r>
      <w:r w:rsidRPr="184A2751">
        <w:rPr>
          <w:rFonts w:eastAsia="Aptos"/>
          <w:noProof/>
        </w:rPr>
        <w:t xml:space="preserve">the </w:t>
      </w:r>
      <w:r>
        <w:rPr>
          <w:rFonts w:eastAsia="Aptos"/>
          <w:noProof/>
        </w:rPr>
        <w:t>‘</w:t>
      </w:r>
      <w:r w:rsidRPr="184A2751">
        <w:rPr>
          <w:rFonts w:eastAsia="Aptos"/>
          <w:noProof/>
        </w:rPr>
        <w:t>Culture</w:t>
      </w:r>
      <w:r>
        <w:rPr>
          <w:rFonts w:eastAsia="Aptos"/>
          <w:noProof/>
        </w:rPr>
        <w:t>’</w:t>
      </w:r>
      <w:r w:rsidRPr="184A2751">
        <w:rPr>
          <w:rFonts w:eastAsia="Aptos"/>
          <w:noProof/>
        </w:rPr>
        <w:t xml:space="preserve"> specific objective, </w:t>
      </w:r>
      <w:r w:rsidRPr="3141841E">
        <w:rPr>
          <w:rFonts w:eastAsia="Aptos"/>
          <w:noProof/>
        </w:rPr>
        <w:t xml:space="preserve">covering </w:t>
      </w:r>
      <w:r w:rsidRPr="3141841E">
        <w:rPr>
          <w:rFonts w:eastAsia="Aptos"/>
          <w:noProof/>
        </w:rPr>
        <w:t xml:space="preserve">the cultural and creative sectors, </w:t>
      </w:r>
      <w:r w:rsidRPr="3141841E">
        <w:rPr>
          <w:rFonts w:eastAsia="Aptos"/>
          <w:noProof/>
        </w:rPr>
        <w:t>shall</w:t>
      </w:r>
      <w:r w:rsidRPr="3141841E">
        <w:rPr>
          <w:rFonts w:eastAsia="Aptos"/>
          <w:noProof/>
        </w:rPr>
        <w:t xml:space="preserve"> focus on</w:t>
      </w:r>
      <w:r w:rsidRPr="3141841E">
        <w:rPr>
          <w:rFonts w:eastAsia="Aptos"/>
          <w:noProof/>
        </w:rPr>
        <w:t xml:space="preserve">: </w:t>
      </w:r>
    </w:p>
    <w:bookmarkEnd w:id="4"/>
    <w:p w14:paraId="6F37DA23" w14:textId="77777777" w:rsidR="005B7178" w:rsidRDefault="005B7178" w:rsidP="00B66E94">
      <w:pPr>
        <w:pStyle w:val="Point2"/>
        <w:rPr>
          <w:noProof/>
        </w:rPr>
      </w:pPr>
      <w:r w:rsidRPr="00B66E94">
        <w:rPr>
          <w:noProof/>
        </w:rPr>
        <w:t>(a)</w:t>
      </w:r>
      <w:r w:rsidRPr="00B66E94">
        <w:rPr>
          <w:noProof/>
        </w:rPr>
        <w:tab/>
      </w:r>
      <w:r>
        <w:rPr>
          <w:noProof/>
        </w:rPr>
        <w:t>foster</w:t>
      </w:r>
      <w:r>
        <w:rPr>
          <w:noProof/>
        </w:rPr>
        <w:t>ing</w:t>
      </w:r>
      <w:r>
        <w:rPr>
          <w:noProof/>
        </w:rPr>
        <w:t xml:space="preserve"> cross-border creation, </w:t>
      </w:r>
      <w:r w:rsidRPr="00FE3808">
        <w:rPr>
          <w:noProof/>
        </w:rPr>
        <w:t>cooperation</w:t>
      </w:r>
      <w:r>
        <w:rPr>
          <w:noProof/>
        </w:rPr>
        <w:t xml:space="preserve"> and exchanges</w:t>
      </w:r>
      <w:r>
        <w:rPr>
          <w:noProof/>
        </w:rPr>
        <w:t xml:space="preserve"> across various formats</w:t>
      </w:r>
      <w:r>
        <w:rPr>
          <w:noProof/>
        </w:rPr>
        <w:t xml:space="preserve">, including </w:t>
      </w:r>
      <w:r w:rsidRPr="00FE3808">
        <w:rPr>
          <w:noProof/>
        </w:rPr>
        <w:t xml:space="preserve">through the mobility of artists and cultural and creative professionals, </w:t>
      </w:r>
      <w:r>
        <w:rPr>
          <w:noProof/>
        </w:rPr>
        <w:t xml:space="preserve">artistic </w:t>
      </w:r>
      <w:r w:rsidRPr="00FE3808">
        <w:rPr>
          <w:noProof/>
        </w:rPr>
        <w:t>residencies</w:t>
      </w:r>
      <w:r>
        <w:rPr>
          <w:noProof/>
        </w:rPr>
        <w:t>,</w:t>
      </w:r>
      <w:r w:rsidRPr="00FE3808">
        <w:rPr>
          <w:noProof/>
        </w:rPr>
        <w:t xml:space="preserve"> as well as partnerships between organisations of all sizes;   </w:t>
      </w:r>
    </w:p>
    <w:p w14:paraId="4CB85D6F" w14:textId="77777777" w:rsidR="005B7178" w:rsidRPr="007A0760" w:rsidRDefault="005B7178" w:rsidP="00B66E94">
      <w:pPr>
        <w:pStyle w:val="Point2"/>
        <w:rPr>
          <w:noProof/>
          <w:lang w:val="en-IE"/>
        </w:rPr>
      </w:pPr>
      <w:r w:rsidRPr="00B66E94">
        <w:rPr>
          <w:noProof/>
        </w:rPr>
        <w:t>(b)</w:t>
      </w:r>
      <w:r w:rsidRPr="00B66E94">
        <w:rPr>
          <w:noProof/>
        </w:rPr>
        <w:tab/>
      </w:r>
      <w:r w:rsidRPr="22E4BACB">
        <w:rPr>
          <w:noProof/>
          <w:lang w:val="en-IE"/>
        </w:rPr>
        <w:t>improv</w:t>
      </w:r>
      <w:r w:rsidRPr="22E4BACB">
        <w:rPr>
          <w:noProof/>
          <w:lang w:val="en-IE"/>
        </w:rPr>
        <w:t>ing</w:t>
      </w:r>
      <w:r w:rsidRPr="007A0760">
        <w:rPr>
          <w:noProof/>
          <w:lang w:val="en-IE"/>
        </w:rPr>
        <w:t xml:space="preserve"> access to and participation in culture and cultural heritage for all, notably </w:t>
      </w:r>
      <w:r>
        <w:rPr>
          <w:noProof/>
          <w:lang w:val="en-IE"/>
        </w:rPr>
        <w:t xml:space="preserve">for </w:t>
      </w:r>
      <w:r w:rsidRPr="007A0760">
        <w:rPr>
          <w:noProof/>
          <w:lang w:val="en-IE"/>
        </w:rPr>
        <w:t>young</w:t>
      </w:r>
      <w:r>
        <w:rPr>
          <w:noProof/>
          <w:lang w:val="en-IE"/>
        </w:rPr>
        <w:t xml:space="preserve"> </w:t>
      </w:r>
      <w:r w:rsidRPr="27153485">
        <w:rPr>
          <w:noProof/>
          <w:lang w:val="en-IE"/>
        </w:rPr>
        <w:t>people</w:t>
      </w:r>
      <w:r w:rsidRPr="27153485">
        <w:rPr>
          <w:noProof/>
          <w:lang w:val="en-IE"/>
        </w:rPr>
        <w:t>,</w:t>
      </w:r>
      <w:r w:rsidRPr="007A0760">
        <w:rPr>
          <w:noProof/>
          <w:lang w:val="en-IE"/>
        </w:rPr>
        <w:t xml:space="preserve"> and strengthenin</w:t>
      </w:r>
      <w:r w:rsidRPr="008A07D0">
        <w:rPr>
          <w:rFonts w:eastAsia="Times New Roman"/>
          <w:noProof/>
          <w:lang w:val="en-IE"/>
        </w:rPr>
        <w:t>g social resilience and social</w:t>
      </w:r>
      <w:r w:rsidRPr="008A07D0">
        <w:rPr>
          <w:rFonts w:asciiTheme="minorHAnsi" w:eastAsiaTheme="minorEastAsia" w:hAnsiTheme="minorHAnsi" w:cstheme="minorBidi"/>
          <w:noProof/>
          <w:lang w:val="en-IE"/>
        </w:rPr>
        <w:t xml:space="preserve"> </w:t>
      </w:r>
      <w:r w:rsidRPr="007A0760">
        <w:rPr>
          <w:noProof/>
          <w:lang w:val="en-IE"/>
        </w:rPr>
        <w:t xml:space="preserve">cohesion, in particular intergenerational fairness, equality and diversity, through cultural engagement; </w:t>
      </w:r>
    </w:p>
    <w:p w14:paraId="57E55ABE" w14:textId="77777777" w:rsidR="005B7178" w:rsidRPr="00FE3808" w:rsidRDefault="005B7178" w:rsidP="00B66E94">
      <w:pPr>
        <w:pStyle w:val="Point2"/>
        <w:rPr>
          <w:noProof/>
          <w:lang w:val="en-IE"/>
        </w:rPr>
      </w:pPr>
      <w:r w:rsidRPr="00B66E94">
        <w:rPr>
          <w:noProof/>
        </w:rPr>
        <w:t>(c)</w:t>
      </w:r>
      <w:r w:rsidRPr="00B66E94">
        <w:rPr>
          <w:noProof/>
        </w:rPr>
        <w:tab/>
      </w:r>
      <w:r w:rsidRPr="7B161E52">
        <w:rPr>
          <w:noProof/>
          <w:lang w:val="en-IE"/>
        </w:rPr>
        <w:t>support</w:t>
      </w:r>
      <w:r w:rsidRPr="7B161E52">
        <w:rPr>
          <w:noProof/>
          <w:lang w:val="en-IE"/>
        </w:rPr>
        <w:t>ing</w:t>
      </w:r>
      <w:r w:rsidRPr="7B161E52">
        <w:rPr>
          <w:noProof/>
          <w:lang w:val="en-IE"/>
        </w:rPr>
        <w:t xml:space="preserve"> the circulation, distribution, promotion and visibility of diverse European cultural content</w:t>
      </w:r>
      <w:r w:rsidRPr="7B161E52">
        <w:rPr>
          <w:noProof/>
          <w:lang w:val="en-IE"/>
        </w:rPr>
        <w:t xml:space="preserve"> </w:t>
      </w:r>
      <w:r w:rsidRPr="44EE1F7C">
        <w:rPr>
          <w:noProof/>
          <w:lang w:val="en-IE"/>
        </w:rPr>
        <w:t>through</w:t>
      </w:r>
      <w:r w:rsidRPr="280A0592">
        <w:rPr>
          <w:noProof/>
          <w:lang w:val="en-IE"/>
        </w:rPr>
        <w:t xml:space="preserve"> </w:t>
      </w:r>
      <w:r>
        <w:rPr>
          <w:noProof/>
          <w:lang w:val="en-IE"/>
        </w:rPr>
        <w:t xml:space="preserve">various channels </w:t>
      </w:r>
      <w:r w:rsidRPr="7B161E52">
        <w:rPr>
          <w:noProof/>
          <w:lang w:val="en-IE"/>
        </w:rPr>
        <w:t xml:space="preserve">across </w:t>
      </w:r>
      <w:r w:rsidRPr="7B161E52">
        <w:rPr>
          <w:noProof/>
          <w:lang w:val="en-IE"/>
        </w:rPr>
        <w:t>the Union</w:t>
      </w:r>
      <w:r w:rsidRPr="7B161E52">
        <w:rPr>
          <w:noProof/>
          <w:lang w:val="en-IE"/>
        </w:rPr>
        <w:t xml:space="preserve"> and internationally</w:t>
      </w:r>
      <w:r w:rsidRPr="7B161E52">
        <w:rPr>
          <w:noProof/>
          <w:lang w:val="en-IE"/>
        </w:rPr>
        <w:t xml:space="preserve">, including through European platforms for emerging artists, support to entities aiming at training and promoting young artists, prizes that promote artistic talent and excellence, touring initiatives, </w:t>
      </w:r>
      <w:r w:rsidRPr="7B161E52">
        <w:rPr>
          <w:noProof/>
          <w:lang w:val="en-IE"/>
        </w:rPr>
        <w:t xml:space="preserve">festivals, </w:t>
      </w:r>
      <w:r w:rsidRPr="7B161E52">
        <w:rPr>
          <w:noProof/>
          <w:lang w:val="en-IE"/>
        </w:rPr>
        <w:t xml:space="preserve">and translation;  </w:t>
      </w:r>
    </w:p>
    <w:p w14:paraId="14D708B0" w14:textId="77777777" w:rsidR="005B7178" w:rsidRPr="00E14B1A" w:rsidRDefault="005B7178" w:rsidP="00B66E94">
      <w:pPr>
        <w:pStyle w:val="Point2"/>
        <w:rPr>
          <w:noProof/>
          <w:lang w:val="en-IE"/>
        </w:rPr>
      </w:pPr>
      <w:r w:rsidRPr="00B66E94">
        <w:rPr>
          <w:noProof/>
        </w:rPr>
        <w:t>(d)</w:t>
      </w:r>
      <w:r w:rsidRPr="00B66E94">
        <w:rPr>
          <w:noProof/>
        </w:rPr>
        <w:tab/>
      </w:r>
      <w:r w:rsidRPr="00E14B1A">
        <w:rPr>
          <w:noProof/>
          <w:lang w:val="en-IE"/>
        </w:rPr>
        <w:t>s</w:t>
      </w:r>
      <w:r w:rsidRPr="00E14B1A">
        <w:rPr>
          <w:noProof/>
          <w:lang w:val="en-IE"/>
        </w:rPr>
        <w:t>trengthen</w:t>
      </w:r>
      <w:r w:rsidRPr="00E14B1A">
        <w:rPr>
          <w:noProof/>
          <w:lang w:val="en-IE"/>
        </w:rPr>
        <w:t>ing</w:t>
      </w:r>
      <w:r w:rsidRPr="00E14B1A">
        <w:rPr>
          <w:noProof/>
          <w:lang w:val="en-IE"/>
        </w:rPr>
        <w:t xml:space="preserve"> </w:t>
      </w:r>
      <w:r w:rsidRPr="00E14B1A">
        <w:rPr>
          <w:noProof/>
          <w:lang w:val="en-IE"/>
        </w:rPr>
        <w:t>the</w:t>
      </w:r>
      <w:r w:rsidRPr="00E14B1A">
        <w:rPr>
          <w:noProof/>
          <w:lang w:val="en-IE"/>
        </w:rPr>
        <w:t xml:space="preserve"> </w:t>
      </w:r>
      <w:r w:rsidRPr="00E14B1A">
        <w:rPr>
          <w:noProof/>
          <w:lang w:val="en-IE"/>
        </w:rPr>
        <w:t xml:space="preserve">capacity and skills </w:t>
      </w:r>
      <w:r w:rsidRPr="00E14B1A">
        <w:rPr>
          <w:noProof/>
          <w:lang w:val="en-IE"/>
        </w:rPr>
        <w:t xml:space="preserve">in the cultural and creative sectors </w:t>
      </w:r>
      <w:r w:rsidRPr="00E14B1A">
        <w:rPr>
          <w:noProof/>
          <w:lang w:val="en-IE"/>
        </w:rPr>
        <w:t>to</w:t>
      </w:r>
      <w:r w:rsidRPr="00E14B1A">
        <w:rPr>
          <w:noProof/>
          <w:lang w:val="en-IE"/>
        </w:rPr>
        <w:t xml:space="preserve"> drive</w:t>
      </w:r>
      <w:r w:rsidRPr="00E14B1A">
        <w:rPr>
          <w:noProof/>
          <w:lang w:val="en-IE"/>
        </w:rPr>
        <w:t xml:space="preserve"> innovation and competitiveness and to navigate the green and digital transitions, including through support for networks</w:t>
      </w:r>
      <w:r w:rsidRPr="00E14B1A">
        <w:rPr>
          <w:noProof/>
          <w:lang w:val="en-IE"/>
        </w:rPr>
        <w:t xml:space="preserve"> of cultural and creative </w:t>
      </w:r>
      <w:r w:rsidRPr="00E14B1A">
        <w:rPr>
          <w:noProof/>
          <w:lang w:val="en-IE"/>
        </w:rPr>
        <w:t>organisation</w:t>
      </w:r>
      <w:r w:rsidRPr="00E14B1A">
        <w:rPr>
          <w:noProof/>
          <w:lang w:val="en-IE"/>
        </w:rPr>
        <w:t>s</w:t>
      </w:r>
      <w:r w:rsidRPr="00E14B1A">
        <w:rPr>
          <w:noProof/>
          <w:lang w:val="en-IE"/>
        </w:rPr>
        <w:t xml:space="preserve">, training and peer-learning activities; </w:t>
      </w:r>
    </w:p>
    <w:p w14:paraId="1874FD5D" w14:textId="77777777" w:rsidR="005B7178" w:rsidRPr="007C3E13" w:rsidRDefault="005B7178" w:rsidP="00B66E94">
      <w:pPr>
        <w:pStyle w:val="Point2"/>
        <w:rPr>
          <w:noProof/>
          <w:lang w:val="en-IE"/>
        </w:rPr>
      </w:pPr>
      <w:r w:rsidRPr="00B66E94">
        <w:rPr>
          <w:noProof/>
        </w:rPr>
        <w:t>(e)</w:t>
      </w:r>
      <w:r w:rsidRPr="00B66E94">
        <w:rPr>
          <w:noProof/>
        </w:rPr>
        <w:tab/>
      </w:r>
      <w:r w:rsidRPr="007C3E13">
        <w:rPr>
          <w:noProof/>
          <w:lang w:val="en-IE"/>
        </w:rPr>
        <w:t>promot</w:t>
      </w:r>
      <w:r w:rsidRPr="007C3E13">
        <w:rPr>
          <w:noProof/>
          <w:lang w:val="en-IE"/>
        </w:rPr>
        <w:t>ing</w:t>
      </w:r>
      <w:r w:rsidRPr="007C3E13">
        <w:rPr>
          <w:noProof/>
          <w:lang w:val="en-IE"/>
        </w:rPr>
        <w:t xml:space="preserve"> cultural policy development through cooperation and exchange of good practices at </w:t>
      </w:r>
      <w:r w:rsidRPr="007C3E13">
        <w:rPr>
          <w:noProof/>
          <w:lang w:val="en-IE"/>
        </w:rPr>
        <w:t xml:space="preserve">Union </w:t>
      </w:r>
      <w:r w:rsidRPr="007C3E13">
        <w:rPr>
          <w:noProof/>
          <w:lang w:val="en-IE"/>
        </w:rPr>
        <w:t>level, and improv</w:t>
      </w:r>
      <w:r w:rsidRPr="007C3E13">
        <w:rPr>
          <w:noProof/>
          <w:lang w:val="en-IE"/>
        </w:rPr>
        <w:t>ing</w:t>
      </w:r>
      <w:r w:rsidRPr="007C3E13">
        <w:rPr>
          <w:noProof/>
          <w:lang w:val="en-IE"/>
        </w:rPr>
        <w:t xml:space="preserve"> evidence</w:t>
      </w:r>
      <w:r w:rsidRPr="007C3E13">
        <w:rPr>
          <w:noProof/>
          <w:lang w:val="en-IE"/>
        </w:rPr>
        <w:t xml:space="preserve"> </w:t>
      </w:r>
      <w:r w:rsidRPr="007C3E13">
        <w:rPr>
          <w:noProof/>
          <w:lang w:val="en-IE"/>
        </w:rPr>
        <w:t>base</w:t>
      </w:r>
      <w:r w:rsidRPr="007C3E13">
        <w:rPr>
          <w:noProof/>
          <w:lang w:val="en-IE"/>
        </w:rPr>
        <w:t xml:space="preserve"> </w:t>
      </w:r>
      <w:r w:rsidRPr="007C3E13">
        <w:rPr>
          <w:noProof/>
          <w:lang w:val="en-IE"/>
        </w:rPr>
        <w:t>through enhanced data collection</w:t>
      </w:r>
      <w:r w:rsidRPr="007C3E13">
        <w:rPr>
          <w:noProof/>
          <w:lang w:val="en-IE"/>
        </w:rPr>
        <w:t>,</w:t>
      </w:r>
      <w:r w:rsidRPr="007C3E13">
        <w:rPr>
          <w:noProof/>
          <w:lang w:val="en-IE"/>
        </w:rPr>
        <w:t xml:space="preserve"> analysis, and pilot actions; </w:t>
      </w:r>
    </w:p>
    <w:p w14:paraId="5B289FD1" w14:textId="77777777" w:rsidR="005B7178" w:rsidRDefault="005B7178" w:rsidP="00B66E94">
      <w:pPr>
        <w:pStyle w:val="Point2"/>
        <w:rPr>
          <w:noProof/>
          <w:lang w:val="en-IE"/>
        </w:rPr>
      </w:pPr>
      <w:r w:rsidRPr="00B66E94">
        <w:rPr>
          <w:noProof/>
        </w:rPr>
        <w:t>(f)</w:t>
      </w:r>
      <w:r w:rsidRPr="00B66E94">
        <w:rPr>
          <w:noProof/>
        </w:rPr>
        <w:tab/>
      </w:r>
      <w:r w:rsidRPr="13B7CDB6">
        <w:rPr>
          <w:noProof/>
          <w:lang w:val="en-IE"/>
        </w:rPr>
        <w:t>advanc</w:t>
      </w:r>
      <w:r w:rsidRPr="13B7CDB6">
        <w:rPr>
          <w:noProof/>
          <w:lang w:val="en-IE"/>
        </w:rPr>
        <w:t>ing</w:t>
      </w:r>
      <w:r w:rsidRPr="00565869">
        <w:rPr>
          <w:noProof/>
          <w:lang w:val="en-IE"/>
        </w:rPr>
        <w:t xml:space="preserve"> the Union’s international cultural relations and </w:t>
      </w:r>
      <w:r w:rsidRPr="6DB8A7A3">
        <w:rPr>
          <w:noProof/>
          <w:lang w:val="en-IE"/>
        </w:rPr>
        <w:t>contribut</w:t>
      </w:r>
      <w:r w:rsidRPr="6DB8A7A3">
        <w:rPr>
          <w:noProof/>
          <w:lang w:val="en-IE"/>
        </w:rPr>
        <w:t>ing</w:t>
      </w:r>
      <w:r w:rsidRPr="00565869">
        <w:rPr>
          <w:noProof/>
          <w:lang w:val="en-IE"/>
        </w:rPr>
        <w:t xml:space="preserve"> to the </w:t>
      </w:r>
      <w:r>
        <w:rPr>
          <w:noProof/>
          <w:lang w:val="en-IE"/>
        </w:rPr>
        <w:t>Union</w:t>
      </w:r>
      <w:r w:rsidRPr="00565869">
        <w:rPr>
          <w:noProof/>
          <w:lang w:val="en-IE"/>
        </w:rPr>
        <w:t xml:space="preserve">’s </w:t>
      </w:r>
      <w:r w:rsidRPr="00565869">
        <w:rPr>
          <w:noProof/>
          <w:lang w:val="en-IE"/>
        </w:rPr>
        <w:t>external action objectives through cultural cooperation</w:t>
      </w:r>
      <w:r w:rsidRPr="5951EEB3">
        <w:rPr>
          <w:noProof/>
          <w:lang w:val="en-IE"/>
        </w:rPr>
        <w:t>;</w:t>
      </w:r>
    </w:p>
    <w:p w14:paraId="4087F642" w14:textId="77777777" w:rsidR="005B7178" w:rsidRDefault="005B7178" w:rsidP="00B66E94">
      <w:pPr>
        <w:pStyle w:val="Point2"/>
        <w:rPr>
          <w:noProof/>
          <w:lang w:val="en-IE"/>
        </w:rPr>
      </w:pPr>
      <w:r w:rsidRPr="00B66E94">
        <w:rPr>
          <w:noProof/>
        </w:rPr>
        <w:t>(g)</w:t>
      </w:r>
      <w:r w:rsidRPr="00B66E94">
        <w:rPr>
          <w:noProof/>
        </w:rPr>
        <w:tab/>
      </w:r>
      <w:r w:rsidRPr="001E02DC">
        <w:rPr>
          <w:noProof/>
          <w:lang w:val="en-IE"/>
        </w:rPr>
        <w:t>support</w:t>
      </w:r>
      <w:r w:rsidRPr="001E02DC">
        <w:rPr>
          <w:noProof/>
          <w:lang w:val="en-IE"/>
        </w:rPr>
        <w:t>ing</w:t>
      </w:r>
      <w:r w:rsidRPr="001E02DC">
        <w:rPr>
          <w:noProof/>
          <w:lang w:val="en-IE"/>
        </w:rPr>
        <w:t xml:space="preserve"> the implementation of the Decisions </w:t>
      </w:r>
      <w:r w:rsidRPr="007F6511">
        <w:rPr>
          <w:noProof/>
        </w:rPr>
        <w:t>No 445/2014/EU</w:t>
      </w:r>
      <w:r>
        <w:rPr>
          <w:rStyle w:val="Allmrkuseviide"/>
          <w:noProof/>
          <w:lang w:val="en-IE"/>
        </w:rPr>
        <w:footnoteReference w:id="36"/>
      </w:r>
      <w:r w:rsidRPr="007F6511">
        <w:rPr>
          <w:noProof/>
        </w:rPr>
        <w:t xml:space="preserve"> </w:t>
      </w:r>
      <w:r>
        <w:rPr>
          <w:noProof/>
        </w:rPr>
        <w:t>and No 1194/2011/EU</w:t>
      </w:r>
      <w:r w:rsidRPr="3141841E">
        <w:rPr>
          <w:rStyle w:val="Allmrkuseviide"/>
          <w:rFonts w:eastAsiaTheme="minorEastAsia"/>
          <w:noProof/>
          <w:lang w:val="en-IE"/>
        </w:rPr>
        <w:footnoteReference w:id="37"/>
      </w:r>
      <w:r w:rsidRPr="3141841E">
        <w:rPr>
          <w:rStyle w:val="Allmrkuseviide"/>
          <w:rFonts w:eastAsiaTheme="minorEastAsia"/>
          <w:noProof/>
          <w:lang w:val="en-IE"/>
        </w:rPr>
        <w:t xml:space="preserve"> </w:t>
      </w:r>
      <w:r w:rsidRPr="223BFDFD">
        <w:rPr>
          <w:noProof/>
          <w:lang w:val="en-IE"/>
        </w:rPr>
        <w:t xml:space="preserve">of </w:t>
      </w:r>
      <w:r w:rsidRPr="15D3BA61">
        <w:rPr>
          <w:noProof/>
          <w:lang w:val="en-IE"/>
        </w:rPr>
        <w:t xml:space="preserve">the </w:t>
      </w:r>
      <w:r w:rsidRPr="161E3CE2">
        <w:rPr>
          <w:noProof/>
          <w:lang w:val="en-IE"/>
        </w:rPr>
        <w:t xml:space="preserve">European </w:t>
      </w:r>
      <w:r w:rsidRPr="161E3CE2">
        <w:rPr>
          <w:noProof/>
          <w:lang w:val="en-IE"/>
        </w:rPr>
        <w:t>Parl</w:t>
      </w:r>
      <w:r w:rsidRPr="3141841E">
        <w:rPr>
          <w:noProof/>
          <w:lang w:val="en-IE"/>
        </w:rPr>
        <w:t>i</w:t>
      </w:r>
      <w:r w:rsidRPr="161E3CE2">
        <w:rPr>
          <w:noProof/>
          <w:lang w:val="en-IE"/>
        </w:rPr>
        <w:t>ament</w:t>
      </w:r>
      <w:r w:rsidRPr="161E3CE2">
        <w:rPr>
          <w:noProof/>
          <w:lang w:val="en-IE"/>
        </w:rPr>
        <w:t xml:space="preserve"> </w:t>
      </w:r>
      <w:r w:rsidRPr="3907EA57">
        <w:rPr>
          <w:noProof/>
          <w:lang w:val="en-IE"/>
        </w:rPr>
        <w:t xml:space="preserve">and </w:t>
      </w:r>
      <w:r w:rsidRPr="3907EA57">
        <w:rPr>
          <w:noProof/>
          <w:lang w:val="en-IE"/>
        </w:rPr>
        <w:t xml:space="preserve">the Council </w:t>
      </w:r>
      <w:r w:rsidRPr="3907EA57">
        <w:rPr>
          <w:noProof/>
          <w:lang w:val="en-IE"/>
        </w:rPr>
        <w:t xml:space="preserve">of the </w:t>
      </w:r>
      <w:r w:rsidRPr="08B8721C">
        <w:rPr>
          <w:noProof/>
          <w:lang w:val="en-IE"/>
        </w:rPr>
        <w:t>Union</w:t>
      </w:r>
      <w:r w:rsidRPr="3FD69835">
        <w:rPr>
          <w:noProof/>
          <w:lang w:val="en-IE"/>
        </w:rPr>
        <w:t>.</w:t>
      </w:r>
    </w:p>
    <w:p w14:paraId="3AFF19F1" w14:textId="77777777" w:rsidR="005B7178" w:rsidRDefault="005B7178" w:rsidP="004126E5">
      <w:pPr>
        <w:spacing w:before="360"/>
        <w:rPr>
          <w:rFonts w:eastAsia="Aptos"/>
          <w:noProof/>
        </w:rPr>
      </w:pPr>
      <w:r>
        <w:rPr>
          <w:rFonts w:eastAsia="Aptos"/>
          <w:noProof/>
        </w:rPr>
        <w:lastRenderedPageBreak/>
        <w:t>The implementation of the ‘Culture’ specific objective shall be carried out</w:t>
      </w:r>
      <w:r>
        <w:rPr>
          <w:rFonts w:eastAsia="Aptos"/>
          <w:noProof/>
        </w:rPr>
        <w:t xml:space="preserve"> with full respect of artistic freedom</w:t>
      </w:r>
      <w:r>
        <w:rPr>
          <w:rFonts w:eastAsia="Aptos"/>
          <w:noProof/>
        </w:rPr>
        <w:t xml:space="preserve"> </w:t>
      </w:r>
      <w:r w:rsidRPr="004126E5">
        <w:rPr>
          <w:rFonts w:eastAsia="Aptos"/>
          <w:noProof/>
        </w:rPr>
        <w:t xml:space="preserve">and diversity of cultural expressions, and contribute to the improvement of working conditions for </w:t>
      </w:r>
      <w:r w:rsidRPr="004126E5">
        <w:rPr>
          <w:rFonts w:eastAsia="Aptos"/>
          <w:noProof/>
        </w:rPr>
        <w:t>artists and cultural and creative professionals.</w:t>
      </w:r>
      <w:r w:rsidRPr="3141841E">
        <w:rPr>
          <w:rFonts w:eastAsia="Aptos"/>
          <w:noProof/>
        </w:rPr>
        <w:t xml:space="preserve"> </w:t>
      </w:r>
    </w:p>
    <w:p w14:paraId="679315D4" w14:textId="77777777" w:rsidR="005B7178" w:rsidRDefault="005B7178" w:rsidP="004126E5">
      <w:pPr>
        <w:spacing w:before="360"/>
        <w:rPr>
          <w:rFonts w:eastAsia="Aptos"/>
          <w:noProof/>
        </w:rPr>
      </w:pPr>
    </w:p>
    <w:p w14:paraId="10B959B5" w14:textId="77777777" w:rsidR="005B7178" w:rsidRPr="00362D80" w:rsidRDefault="005B7178" w:rsidP="007A0760">
      <w:pPr>
        <w:pStyle w:val="ChapterTitle"/>
        <w:rPr>
          <w:noProof/>
          <w:szCs w:val="32"/>
          <w:lang w:val="en-US"/>
        </w:rPr>
      </w:pPr>
      <w:r w:rsidRPr="00362D80">
        <w:rPr>
          <w:noProof/>
          <w:szCs w:val="32"/>
          <w:lang w:val="en-US"/>
        </w:rPr>
        <w:t>C</w:t>
      </w:r>
      <w:r w:rsidRPr="00362D80">
        <w:rPr>
          <w:noProof/>
          <w:szCs w:val="32"/>
          <w:lang w:val="en-US"/>
        </w:rPr>
        <w:t>hapter</w:t>
      </w:r>
      <w:r w:rsidRPr="00362D80">
        <w:rPr>
          <w:noProof/>
          <w:szCs w:val="32"/>
          <w:lang w:val="en-US"/>
        </w:rPr>
        <w:t xml:space="preserve"> III</w:t>
      </w:r>
    </w:p>
    <w:p w14:paraId="31B3399D" w14:textId="77777777" w:rsidR="005B7178" w:rsidRPr="00362D80" w:rsidRDefault="005B7178" w:rsidP="007A0760">
      <w:pPr>
        <w:pStyle w:val="ChapterTitle"/>
        <w:rPr>
          <w:noProof/>
          <w:lang w:val="en-US"/>
        </w:rPr>
      </w:pPr>
      <w:r w:rsidRPr="00362D80">
        <w:rPr>
          <w:noProof/>
          <w:lang w:val="en-US"/>
        </w:rPr>
        <w:t xml:space="preserve">MEDIA+ </w:t>
      </w:r>
      <w:r w:rsidRPr="00362D80">
        <w:rPr>
          <w:noProof/>
          <w:lang w:val="en-US"/>
        </w:rPr>
        <w:t>s</w:t>
      </w:r>
      <w:r w:rsidRPr="00362D80">
        <w:rPr>
          <w:noProof/>
          <w:lang w:val="en-US"/>
        </w:rPr>
        <w:t xml:space="preserve">trand </w:t>
      </w:r>
    </w:p>
    <w:p w14:paraId="43B6131A" w14:textId="77777777" w:rsidR="005B7178" w:rsidRPr="00362D80" w:rsidRDefault="005B7178" w:rsidP="004E5F46">
      <w:pPr>
        <w:pStyle w:val="Titrearticle"/>
        <w:rPr>
          <w:noProof/>
          <w:lang w:val="en-US"/>
        </w:rPr>
      </w:pPr>
      <w:r w:rsidRPr="00362D80">
        <w:rPr>
          <w:noProof/>
          <w:lang w:val="en-US"/>
        </w:rPr>
        <w:t>Article 5</w:t>
      </w:r>
    </w:p>
    <w:p w14:paraId="3B07A8D5" w14:textId="77777777" w:rsidR="005B7178" w:rsidRPr="000161DF" w:rsidRDefault="005B7178" w:rsidP="004E5F46">
      <w:pPr>
        <w:pStyle w:val="Titrearticle"/>
        <w:rPr>
          <w:noProof/>
          <w:lang w:eastAsia="ja-JP"/>
        </w:rPr>
      </w:pPr>
      <w:r w:rsidRPr="004E5F46">
        <w:rPr>
          <w:b/>
          <w:bCs/>
          <w:noProof/>
          <w:lang w:eastAsia="ja-JP"/>
        </w:rPr>
        <w:t>Audiovisual</w:t>
      </w:r>
      <w:r w:rsidRPr="005A6E4F">
        <w:rPr>
          <w:noProof/>
          <w:lang w:eastAsia="ja-JP"/>
        </w:rPr>
        <w:t xml:space="preserve"> </w:t>
      </w:r>
    </w:p>
    <w:p w14:paraId="2FE4CBCC" w14:textId="77777777" w:rsidR="005B7178" w:rsidRPr="00B74D3E" w:rsidRDefault="005B7178" w:rsidP="00B74D3E">
      <w:pPr>
        <w:spacing w:before="360" w:line="279" w:lineRule="auto"/>
        <w:rPr>
          <w:noProof/>
          <w:szCs w:val="24"/>
        </w:rPr>
      </w:pPr>
      <w:r>
        <w:rPr>
          <w:noProof/>
          <w:szCs w:val="24"/>
        </w:rPr>
        <w:t>Within the MEDIA+ strand, t</w:t>
      </w:r>
      <w:r w:rsidRPr="00B74D3E">
        <w:rPr>
          <w:noProof/>
          <w:szCs w:val="24"/>
        </w:rPr>
        <w:t xml:space="preserve">he </w:t>
      </w:r>
      <w:r>
        <w:rPr>
          <w:noProof/>
          <w:szCs w:val="24"/>
        </w:rPr>
        <w:t>‘</w:t>
      </w:r>
      <w:r w:rsidRPr="00B74D3E">
        <w:rPr>
          <w:noProof/>
          <w:szCs w:val="24"/>
        </w:rPr>
        <w:t>Audiovisual</w:t>
      </w:r>
      <w:r>
        <w:rPr>
          <w:noProof/>
          <w:szCs w:val="24"/>
        </w:rPr>
        <w:t>’</w:t>
      </w:r>
      <w:r w:rsidRPr="00B74D3E">
        <w:rPr>
          <w:noProof/>
          <w:szCs w:val="24"/>
        </w:rPr>
        <w:t xml:space="preserve"> specific objective</w:t>
      </w:r>
      <w:r>
        <w:rPr>
          <w:noProof/>
          <w:szCs w:val="24"/>
        </w:rPr>
        <w:t xml:space="preserve"> shall</w:t>
      </w:r>
      <w:r>
        <w:rPr>
          <w:noProof/>
          <w:szCs w:val="24"/>
        </w:rPr>
        <w:t xml:space="preserve"> focus on</w:t>
      </w:r>
      <w:r>
        <w:rPr>
          <w:noProof/>
          <w:szCs w:val="24"/>
        </w:rPr>
        <w:t>:</w:t>
      </w:r>
    </w:p>
    <w:p w14:paraId="776B1178" w14:textId="77777777" w:rsidR="005B7178" w:rsidRPr="004E5F46" w:rsidRDefault="005B7178" w:rsidP="00B66E94">
      <w:pPr>
        <w:pStyle w:val="Point2"/>
        <w:rPr>
          <w:noProof/>
        </w:rPr>
      </w:pPr>
      <w:r w:rsidRPr="00B66E94">
        <w:rPr>
          <w:noProof/>
        </w:rPr>
        <w:t>(a)</w:t>
      </w:r>
      <w:r w:rsidRPr="00B66E94">
        <w:rPr>
          <w:noProof/>
        </w:rPr>
        <w:tab/>
      </w:r>
      <w:r w:rsidRPr="004E5F46">
        <w:rPr>
          <w:noProof/>
        </w:rPr>
        <w:t xml:space="preserve">supporting the creation of European audiovisual works across </w:t>
      </w:r>
      <w:r w:rsidRPr="004E5F46">
        <w:rPr>
          <w:noProof/>
        </w:rPr>
        <w:t>multiple formats and genres,</w:t>
      </w:r>
      <w:r>
        <w:rPr>
          <w:noProof/>
        </w:rPr>
        <w:t xml:space="preserve"> with the</w:t>
      </w:r>
      <w:r w:rsidRPr="004E5F46">
        <w:rPr>
          <w:noProof/>
        </w:rPr>
        <w:t xml:space="preserve"> potential to reach diverse audiences across borders;  </w:t>
      </w:r>
    </w:p>
    <w:p w14:paraId="618A29EB" w14:textId="77777777" w:rsidR="005B7178" w:rsidRPr="004E5F46" w:rsidRDefault="005B7178" w:rsidP="00B66E94">
      <w:pPr>
        <w:pStyle w:val="Point2"/>
        <w:rPr>
          <w:noProof/>
          <w:lang w:eastAsia="ja-JP"/>
        </w:rPr>
      </w:pPr>
      <w:r w:rsidRPr="00B66E94">
        <w:rPr>
          <w:noProof/>
        </w:rPr>
        <w:t>(b)</w:t>
      </w:r>
      <w:r w:rsidRPr="00B66E94">
        <w:rPr>
          <w:noProof/>
        </w:rPr>
        <w:tab/>
      </w:r>
      <w:r w:rsidRPr="004E5F46">
        <w:rPr>
          <w:noProof/>
          <w:lang w:eastAsia="ja-JP"/>
        </w:rPr>
        <w:t xml:space="preserve">fostering the cross-border circulation, distribution, prominence and visibility of European audiovisual works on all mediums </w:t>
      </w:r>
      <w:r>
        <w:rPr>
          <w:noProof/>
          <w:lang w:eastAsia="ja-JP"/>
        </w:rPr>
        <w:t xml:space="preserve">across </w:t>
      </w:r>
      <w:r w:rsidRPr="004E5F46">
        <w:rPr>
          <w:noProof/>
          <w:lang w:eastAsia="ja-JP"/>
        </w:rPr>
        <w:t xml:space="preserve">the Union and internationally, including through coordinated distribution strategies, marketing and promotion tools;  </w:t>
      </w:r>
    </w:p>
    <w:p w14:paraId="0C7709FF" w14:textId="77777777" w:rsidR="005B7178" w:rsidRPr="004E5F46" w:rsidRDefault="005B7178" w:rsidP="00B66E94">
      <w:pPr>
        <w:pStyle w:val="Point2"/>
        <w:rPr>
          <w:noProof/>
          <w:lang w:val="en-US" w:eastAsia="ja-JP"/>
        </w:rPr>
      </w:pPr>
      <w:r w:rsidRPr="00B66E94">
        <w:rPr>
          <w:noProof/>
        </w:rPr>
        <w:t>(c)</w:t>
      </w:r>
      <w:r w:rsidRPr="00B66E94">
        <w:rPr>
          <w:noProof/>
        </w:rPr>
        <w:tab/>
      </w:r>
      <w:r w:rsidRPr="004E5F46">
        <w:rPr>
          <w:noProof/>
          <w:lang w:val="en-US" w:eastAsia="ja-JP"/>
        </w:rPr>
        <w:t>building audiences for European audiovisual works, including through a network of European cinemas, festivals and outreach campaigns, and address</w:t>
      </w:r>
      <w:r>
        <w:rPr>
          <w:noProof/>
          <w:lang w:val="en-US" w:eastAsia="ja-JP"/>
        </w:rPr>
        <w:t>ing</w:t>
      </w:r>
      <w:r w:rsidRPr="004E5F46">
        <w:rPr>
          <w:noProof/>
          <w:lang w:val="en-US" w:eastAsia="ja-JP"/>
        </w:rPr>
        <w:t xml:space="preserve"> in particular young Europeans and underserved communities</w:t>
      </w:r>
      <w:r>
        <w:rPr>
          <w:noProof/>
          <w:lang w:val="en-US" w:eastAsia="ja-JP"/>
        </w:rPr>
        <w:t>;</w:t>
      </w:r>
      <w:r>
        <w:rPr>
          <w:noProof/>
          <w:lang w:val="en-US" w:eastAsia="ja-JP"/>
        </w:rPr>
        <w:t xml:space="preserve"> </w:t>
      </w:r>
    </w:p>
    <w:p w14:paraId="4DC72525" w14:textId="77777777" w:rsidR="005B7178" w:rsidRPr="004E5F46" w:rsidRDefault="005B7178" w:rsidP="00B66E94">
      <w:pPr>
        <w:pStyle w:val="Point2"/>
        <w:rPr>
          <w:noProof/>
          <w:lang w:val="en-US" w:eastAsia="ja-JP"/>
        </w:rPr>
      </w:pPr>
      <w:r w:rsidRPr="00B66E94">
        <w:rPr>
          <w:noProof/>
        </w:rPr>
        <w:t>(d)</w:t>
      </w:r>
      <w:r w:rsidRPr="00B66E94">
        <w:rPr>
          <w:noProof/>
        </w:rPr>
        <w:tab/>
      </w:r>
      <w:r w:rsidRPr="004E5F46">
        <w:rPr>
          <w:noProof/>
          <w:lang w:val="en-US" w:eastAsia="ja-JP"/>
        </w:rPr>
        <w:t>support</w:t>
      </w:r>
      <w:r>
        <w:rPr>
          <w:noProof/>
          <w:lang w:val="en-US" w:eastAsia="ja-JP"/>
        </w:rPr>
        <w:t>ing the</w:t>
      </w:r>
      <w:r w:rsidRPr="004E5F46">
        <w:rPr>
          <w:noProof/>
          <w:lang w:val="en-US" w:eastAsia="ja-JP"/>
        </w:rPr>
        <w:t xml:space="preserve"> development and prototyping of European video games and immersive content, </w:t>
      </w:r>
      <w:r>
        <w:rPr>
          <w:noProof/>
          <w:lang w:val="en-US" w:eastAsia="ja-JP"/>
        </w:rPr>
        <w:t xml:space="preserve">including </w:t>
      </w:r>
      <w:r>
        <w:rPr>
          <w:noProof/>
          <w:lang w:val="en-US" w:eastAsia="ja-JP"/>
        </w:rPr>
        <w:t xml:space="preserve">through </w:t>
      </w:r>
      <w:r w:rsidRPr="004E5F46">
        <w:rPr>
          <w:noProof/>
          <w:lang w:val="en-US" w:eastAsia="ja-JP"/>
        </w:rPr>
        <w:t xml:space="preserve">market testing, promotion and discoverability audience-driven strategies, and distribution across all platforms;  </w:t>
      </w:r>
    </w:p>
    <w:p w14:paraId="6BE8EE68" w14:textId="77777777" w:rsidR="005B7178" w:rsidRPr="004E5F46" w:rsidRDefault="005B7178" w:rsidP="00B66E94">
      <w:pPr>
        <w:pStyle w:val="Point2"/>
        <w:rPr>
          <w:noProof/>
          <w:lang w:eastAsia="ja-JP"/>
        </w:rPr>
      </w:pPr>
      <w:r w:rsidRPr="00B66E94">
        <w:rPr>
          <w:noProof/>
        </w:rPr>
        <w:t>(e)</w:t>
      </w:r>
      <w:r w:rsidRPr="00B66E94">
        <w:rPr>
          <w:noProof/>
        </w:rPr>
        <w:tab/>
      </w:r>
      <w:r w:rsidRPr="004E5F46">
        <w:rPr>
          <w:noProof/>
          <w:lang w:eastAsia="ja-JP"/>
        </w:rPr>
        <w:t>enhanc</w:t>
      </w:r>
      <w:r>
        <w:rPr>
          <w:noProof/>
          <w:lang w:eastAsia="ja-JP"/>
        </w:rPr>
        <w:t>ing</w:t>
      </w:r>
      <w:r w:rsidRPr="004E5F46">
        <w:rPr>
          <w:noProof/>
          <w:lang w:eastAsia="ja-JP"/>
        </w:rPr>
        <w:t xml:space="preserve"> talent development, support</w:t>
      </w:r>
      <w:r>
        <w:rPr>
          <w:noProof/>
          <w:lang w:eastAsia="ja-JP"/>
        </w:rPr>
        <w:t>ing</w:t>
      </w:r>
      <w:r w:rsidRPr="004E5F46">
        <w:rPr>
          <w:noProof/>
          <w:lang w:eastAsia="ja-JP"/>
        </w:rPr>
        <w:t xml:space="preserve"> access to finance, business-to-business exchanges and networking, adoption of innovative tools and business models and cross-media intellectual property exploitation strategies, particularly in response to creative, market and technological shifts;  </w:t>
      </w:r>
    </w:p>
    <w:p w14:paraId="620EF02F" w14:textId="77777777" w:rsidR="005B7178" w:rsidRPr="004E5F46" w:rsidRDefault="005B7178" w:rsidP="00B66E94">
      <w:pPr>
        <w:pStyle w:val="Point2"/>
        <w:rPr>
          <w:noProof/>
        </w:rPr>
      </w:pPr>
      <w:r w:rsidRPr="00B66E94">
        <w:rPr>
          <w:noProof/>
        </w:rPr>
        <w:t>(f)</w:t>
      </w:r>
      <w:r w:rsidRPr="00B66E94">
        <w:rPr>
          <w:noProof/>
        </w:rPr>
        <w:tab/>
      </w:r>
      <w:r w:rsidRPr="004E5F46">
        <w:rPr>
          <w:noProof/>
        </w:rPr>
        <w:t>foster</w:t>
      </w:r>
      <w:r>
        <w:rPr>
          <w:noProof/>
        </w:rPr>
        <w:t>ing</w:t>
      </w:r>
      <w:r w:rsidRPr="004E5F46">
        <w:rPr>
          <w:noProof/>
        </w:rPr>
        <w:t xml:space="preserve"> policy dialogue, exchange of best practices, data collection</w:t>
      </w:r>
      <w:r w:rsidRPr="004E5F46">
        <w:rPr>
          <w:noProof/>
          <w:lang w:eastAsia="ja-JP"/>
        </w:rPr>
        <w:t xml:space="preserve"> and analysis, including the payment of </w:t>
      </w:r>
      <w:r w:rsidRPr="004E5F46">
        <w:rPr>
          <w:noProof/>
        </w:rPr>
        <w:t xml:space="preserve">the </w:t>
      </w:r>
      <w:r w:rsidRPr="004E5F46">
        <w:rPr>
          <w:noProof/>
          <w:lang w:eastAsia="ja-JP"/>
        </w:rPr>
        <w:t>contribution fee for Union membership</w:t>
      </w:r>
      <w:r w:rsidRPr="004E5F46">
        <w:rPr>
          <w:noProof/>
        </w:rPr>
        <w:t xml:space="preserve"> of the European </w:t>
      </w:r>
      <w:r w:rsidRPr="004E5F46">
        <w:rPr>
          <w:noProof/>
          <w:lang w:eastAsia="ja-JP"/>
        </w:rPr>
        <w:t>Audiovisual Observatory;</w:t>
      </w:r>
    </w:p>
    <w:p w14:paraId="72212432" w14:textId="77777777" w:rsidR="005B7178" w:rsidRDefault="005B7178" w:rsidP="00B66E94">
      <w:pPr>
        <w:pStyle w:val="Point2"/>
        <w:rPr>
          <w:noProof/>
        </w:rPr>
      </w:pPr>
      <w:r w:rsidRPr="00B66E94">
        <w:rPr>
          <w:noProof/>
        </w:rPr>
        <w:t>(g)</w:t>
      </w:r>
      <w:r w:rsidRPr="00B66E94">
        <w:rPr>
          <w:noProof/>
        </w:rPr>
        <w:tab/>
      </w:r>
      <w:r w:rsidRPr="004E5F46">
        <w:rPr>
          <w:noProof/>
        </w:rPr>
        <w:t>contribut</w:t>
      </w:r>
      <w:r>
        <w:rPr>
          <w:noProof/>
        </w:rPr>
        <w:t>ing</w:t>
      </w:r>
      <w:r w:rsidRPr="004E5F46">
        <w:rPr>
          <w:noProof/>
        </w:rPr>
        <w:t xml:space="preserve"> to the implementation of Directive 2010/13/EU of the European Parliament and of the Council</w:t>
      </w:r>
      <w:r>
        <w:rPr>
          <w:noProof/>
        </w:rPr>
        <w:t>.</w:t>
      </w:r>
      <w:r w:rsidRPr="00B74D3E">
        <w:rPr>
          <w:rStyle w:val="Allmrkuseviide"/>
          <w:noProof/>
        </w:rPr>
        <w:footnoteReference w:id="38"/>
      </w:r>
      <w:r w:rsidRPr="004E5F46">
        <w:rPr>
          <w:noProof/>
        </w:rPr>
        <w:t xml:space="preserve"> </w:t>
      </w:r>
    </w:p>
    <w:p w14:paraId="7C768C4B" w14:textId="77777777" w:rsidR="005B7178" w:rsidRPr="00B74D3E" w:rsidRDefault="005B7178" w:rsidP="00B74D3E">
      <w:pPr>
        <w:spacing w:before="360" w:line="279" w:lineRule="auto"/>
        <w:rPr>
          <w:noProof/>
          <w:szCs w:val="24"/>
        </w:rPr>
      </w:pPr>
      <w:r w:rsidRPr="00B74D3E">
        <w:rPr>
          <w:noProof/>
          <w:szCs w:val="24"/>
        </w:rPr>
        <w:lastRenderedPageBreak/>
        <w:t>The implementation of the ‘Audiovisual’ specific objective shall be carried out with full respect for artistic freedom and ensuring collaboration among entities from Member States with different audiovisual capacities</w:t>
      </w:r>
      <w:r>
        <w:rPr>
          <w:noProof/>
          <w:szCs w:val="24"/>
        </w:rPr>
        <w:t>.</w:t>
      </w:r>
      <w:r w:rsidRPr="002D1CAA">
        <w:rPr>
          <w:rFonts w:eastAsia="Times New Roman"/>
          <w:noProof/>
          <w:szCs w:val="24"/>
          <w:lang w:val="en-IE"/>
        </w:rPr>
        <w:t xml:space="preserve"> </w:t>
      </w:r>
    </w:p>
    <w:p w14:paraId="6AF11C71" w14:textId="77777777" w:rsidR="005B7178" w:rsidRDefault="005B7178" w:rsidP="004E5F46">
      <w:pPr>
        <w:pStyle w:val="Titrearticle"/>
        <w:rPr>
          <w:noProof/>
        </w:rPr>
      </w:pPr>
      <w:r>
        <w:rPr>
          <w:noProof/>
        </w:rPr>
        <w:t>Article 6</w:t>
      </w:r>
    </w:p>
    <w:p w14:paraId="3EDD1D5A" w14:textId="77777777" w:rsidR="005B7178" w:rsidRDefault="005B7178" w:rsidP="004E5F46">
      <w:pPr>
        <w:pStyle w:val="Titrearticle"/>
        <w:rPr>
          <w:noProof/>
          <w:lang w:eastAsia="ja-JP"/>
        </w:rPr>
      </w:pPr>
      <w:r w:rsidRPr="004E5F46">
        <w:rPr>
          <w:b/>
          <w:bCs/>
          <w:noProof/>
        </w:rPr>
        <w:t>N</w:t>
      </w:r>
      <w:r w:rsidRPr="004E5F46">
        <w:rPr>
          <w:b/>
          <w:bCs/>
          <w:noProof/>
          <w:lang w:eastAsia="ja-JP"/>
        </w:rPr>
        <w:t>ews</w:t>
      </w:r>
      <w:r w:rsidRPr="00D3623B">
        <w:rPr>
          <w:noProof/>
          <w:lang w:eastAsia="ja-JP"/>
        </w:rPr>
        <w:t xml:space="preserve"> </w:t>
      </w:r>
    </w:p>
    <w:p w14:paraId="43BBDABD" w14:textId="77777777" w:rsidR="005B7178" w:rsidRPr="00B74D3E" w:rsidRDefault="005B7178" w:rsidP="00B74D3E">
      <w:pPr>
        <w:spacing w:before="360" w:line="279" w:lineRule="auto"/>
        <w:rPr>
          <w:noProof/>
          <w:szCs w:val="24"/>
        </w:rPr>
      </w:pPr>
      <w:bookmarkStart w:id="5" w:name="_Hlk200717277"/>
      <w:r>
        <w:rPr>
          <w:noProof/>
          <w:szCs w:val="24"/>
        </w:rPr>
        <w:t>Within the MEDIA+ strand, t</w:t>
      </w:r>
      <w:r w:rsidRPr="00B74D3E">
        <w:rPr>
          <w:noProof/>
          <w:szCs w:val="24"/>
        </w:rPr>
        <w:t xml:space="preserve">he </w:t>
      </w:r>
      <w:r>
        <w:rPr>
          <w:noProof/>
          <w:szCs w:val="24"/>
        </w:rPr>
        <w:t>‘</w:t>
      </w:r>
      <w:r w:rsidRPr="00B74D3E">
        <w:rPr>
          <w:noProof/>
          <w:szCs w:val="24"/>
        </w:rPr>
        <w:t>News</w:t>
      </w:r>
      <w:r>
        <w:rPr>
          <w:noProof/>
          <w:szCs w:val="24"/>
        </w:rPr>
        <w:t>’</w:t>
      </w:r>
      <w:r w:rsidRPr="00B74D3E">
        <w:rPr>
          <w:noProof/>
          <w:szCs w:val="24"/>
        </w:rPr>
        <w:t xml:space="preserve"> specific objective shall</w:t>
      </w:r>
      <w:bookmarkEnd w:id="5"/>
      <w:r>
        <w:rPr>
          <w:noProof/>
          <w:szCs w:val="24"/>
        </w:rPr>
        <w:t xml:space="preserve"> focus on</w:t>
      </w:r>
      <w:r w:rsidRPr="00B74D3E">
        <w:rPr>
          <w:noProof/>
          <w:szCs w:val="24"/>
        </w:rPr>
        <w:t xml:space="preserve">: </w:t>
      </w:r>
    </w:p>
    <w:p w14:paraId="18C364B9" w14:textId="77777777" w:rsidR="005B7178" w:rsidRPr="004E5F46" w:rsidRDefault="005B7178" w:rsidP="00B66E94">
      <w:pPr>
        <w:pStyle w:val="Point2"/>
        <w:rPr>
          <w:noProof/>
        </w:rPr>
      </w:pPr>
      <w:r w:rsidRPr="00B66E94">
        <w:rPr>
          <w:noProof/>
        </w:rPr>
        <w:t>(a)</w:t>
      </w:r>
      <w:r w:rsidRPr="00B66E94">
        <w:rPr>
          <w:noProof/>
        </w:rPr>
        <w:tab/>
      </w:r>
      <w:r w:rsidRPr="004E5F46">
        <w:rPr>
          <w:noProof/>
          <w:lang w:eastAsia="ja-JP"/>
        </w:rPr>
        <w:t>protect</w:t>
      </w:r>
      <w:r>
        <w:rPr>
          <w:noProof/>
          <w:lang w:eastAsia="ja-JP"/>
        </w:rPr>
        <w:t>ing</w:t>
      </w:r>
      <w:r w:rsidRPr="004E5F46">
        <w:rPr>
          <w:noProof/>
        </w:rPr>
        <w:t xml:space="preserve"> news media outlets and journalists, especially where they face threats, monitor</w:t>
      </w:r>
      <w:r>
        <w:rPr>
          <w:noProof/>
        </w:rPr>
        <w:t>ing</w:t>
      </w:r>
      <w:r w:rsidRPr="004E5F46">
        <w:rPr>
          <w:noProof/>
        </w:rPr>
        <w:t>, assess</w:t>
      </w:r>
      <w:r>
        <w:rPr>
          <w:noProof/>
        </w:rPr>
        <w:t>ing</w:t>
      </w:r>
      <w:r w:rsidRPr="004E5F46">
        <w:rPr>
          <w:noProof/>
        </w:rPr>
        <w:t xml:space="preserve"> and address</w:t>
      </w:r>
      <w:r>
        <w:rPr>
          <w:noProof/>
        </w:rPr>
        <w:t>ing</w:t>
      </w:r>
      <w:r w:rsidRPr="004E5F46">
        <w:rPr>
          <w:noProof/>
        </w:rPr>
        <w:t xml:space="preserve"> risks to media freedom and pluralism in the internal market and promot</w:t>
      </w:r>
      <w:r>
        <w:rPr>
          <w:noProof/>
        </w:rPr>
        <w:t>ing</w:t>
      </w:r>
      <w:r w:rsidRPr="004E5F46">
        <w:rPr>
          <w:noProof/>
        </w:rPr>
        <w:t xml:space="preserve"> journalistic and editorial standards; </w:t>
      </w:r>
    </w:p>
    <w:p w14:paraId="1AFBBB71" w14:textId="77777777" w:rsidR="005B7178" w:rsidRPr="004E5F46" w:rsidRDefault="005B7178" w:rsidP="00B66E94">
      <w:pPr>
        <w:pStyle w:val="Point2"/>
        <w:rPr>
          <w:noProof/>
        </w:rPr>
      </w:pPr>
      <w:r w:rsidRPr="00B66E94">
        <w:rPr>
          <w:noProof/>
        </w:rPr>
        <w:t>(b)</w:t>
      </w:r>
      <w:r w:rsidRPr="00B66E94">
        <w:rPr>
          <w:noProof/>
        </w:rPr>
        <w:tab/>
      </w:r>
      <w:r w:rsidRPr="222CC16B">
        <w:rPr>
          <w:noProof/>
          <w:lang w:eastAsia="ja-JP"/>
        </w:rPr>
        <w:t>e</w:t>
      </w:r>
      <w:r w:rsidRPr="222CC16B">
        <w:rPr>
          <w:noProof/>
          <w:lang w:eastAsia="ja-JP"/>
        </w:rPr>
        <w:t>nhan</w:t>
      </w:r>
      <w:r w:rsidRPr="222CC16B">
        <w:rPr>
          <w:noProof/>
          <w:lang w:eastAsia="ja-JP"/>
        </w:rPr>
        <w:t>cing</w:t>
      </w:r>
      <w:r w:rsidRPr="1B4F1381">
        <w:rPr>
          <w:noProof/>
          <w:lang w:eastAsia="ja-JP"/>
        </w:rPr>
        <w:t xml:space="preserve"> </w:t>
      </w:r>
      <w:r>
        <w:rPr>
          <w:noProof/>
        </w:rPr>
        <w:t>the</w:t>
      </w:r>
      <w:r w:rsidRPr="004E5F46">
        <w:rPr>
          <w:noProof/>
        </w:rPr>
        <w:t xml:space="preserve"> production, distribution and consumption of professional journalistic content, </w:t>
      </w:r>
      <w:r>
        <w:rPr>
          <w:noProof/>
        </w:rPr>
        <w:t>in</w:t>
      </w:r>
      <w:r>
        <w:rPr>
          <w:noProof/>
        </w:rPr>
        <w:t>cluding</w:t>
      </w:r>
      <w:r w:rsidRPr="004E5F46">
        <w:rPr>
          <w:noProof/>
        </w:rPr>
        <w:t xml:space="preserve"> coverage of Union affairs, investigative journalism, local news, and public interest media</w:t>
      </w:r>
      <w:r>
        <w:rPr>
          <w:noProof/>
        </w:rPr>
        <w:t>;</w:t>
      </w:r>
    </w:p>
    <w:p w14:paraId="4652944C" w14:textId="77777777" w:rsidR="005B7178" w:rsidRPr="004E5F46" w:rsidRDefault="005B7178" w:rsidP="00B66E94">
      <w:pPr>
        <w:pStyle w:val="Point2"/>
        <w:rPr>
          <w:noProof/>
          <w:lang w:eastAsia="ja-JP"/>
        </w:rPr>
      </w:pPr>
      <w:r w:rsidRPr="00B66E94">
        <w:rPr>
          <w:noProof/>
        </w:rPr>
        <w:t>(c)</w:t>
      </w:r>
      <w:r w:rsidRPr="00B66E94">
        <w:rPr>
          <w:noProof/>
        </w:rPr>
        <w:tab/>
      </w:r>
      <w:r w:rsidRPr="004E5F46">
        <w:rPr>
          <w:noProof/>
          <w:lang w:eastAsia="ja-JP"/>
        </w:rPr>
        <w:t>support</w:t>
      </w:r>
      <w:r>
        <w:rPr>
          <w:noProof/>
          <w:lang w:eastAsia="ja-JP"/>
        </w:rPr>
        <w:t xml:space="preserve">ing </w:t>
      </w:r>
      <w:r w:rsidRPr="004E5F46">
        <w:rPr>
          <w:noProof/>
          <w:lang w:eastAsia="ja-JP"/>
        </w:rPr>
        <w:t>the digital transformation of news organisations, innovative practices, new production, distribution and business models, facilitat</w:t>
      </w:r>
      <w:r>
        <w:rPr>
          <w:noProof/>
          <w:lang w:eastAsia="ja-JP"/>
        </w:rPr>
        <w:t>ing</w:t>
      </w:r>
      <w:r w:rsidRPr="004E5F46">
        <w:rPr>
          <w:noProof/>
          <w:lang w:eastAsia="ja-JP"/>
        </w:rPr>
        <w:t xml:space="preserve"> access to finance and encouraging cross-border activities and the reskilling and upskilling of news media professionals</w:t>
      </w:r>
      <w:r>
        <w:rPr>
          <w:noProof/>
          <w:lang w:eastAsia="ja-JP"/>
        </w:rPr>
        <w:t>;</w:t>
      </w:r>
    </w:p>
    <w:p w14:paraId="691014ED" w14:textId="77777777" w:rsidR="005B7178" w:rsidRPr="004E5F46" w:rsidRDefault="005B7178" w:rsidP="00B66E94">
      <w:pPr>
        <w:pStyle w:val="Point2"/>
        <w:rPr>
          <w:noProof/>
        </w:rPr>
      </w:pPr>
      <w:r w:rsidRPr="00B66E94">
        <w:rPr>
          <w:noProof/>
        </w:rPr>
        <w:t>(d)</w:t>
      </w:r>
      <w:r w:rsidRPr="00B66E94">
        <w:rPr>
          <w:noProof/>
        </w:rPr>
        <w:tab/>
      </w:r>
      <w:r>
        <w:rPr>
          <w:noProof/>
          <w:lang w:eastAsia="ja-JP"/>
        </w:rPr>
        <w:t>e</w:t>
      </w:r>
      <w:r>
        <w:rPr>
          <w:noProof/>
          <w:lang w:eastAsia="ja-JP"/>
        </w:rPr>
        <w:t>nhancing cooperation and</w:t>
      </w:r>
      <w:r>
        <w:rPr>
          <w:noProof/>
          <w:lang w:eastAsia="ja-JP"/>
        </w:rPr>
        <w:t xml:space="preserve"> </w:t>
      </w:r>
      <w:r w:rsidRPr="004E5F46">
        <w:rPr>
          <w:noProof/>
          <w:lang w:eastAsia="ja-JP"/>
        </w:rPr>
        <w:t>promot</w:t>
      </w:r>
      <w:r>
        <w:rPr>
          <w:noProof/>
          <w:lang w:eastAsia="ja-JP"/>
        </w:rPr>
        <w:t xml:space="preserve">ing </w:t>
      </w:r>
      <w:r w:rsidRPr="004E5F46">
        <w:rPr>
          <w:noProof/>
        </w:rPr>
        <w:t xml:space="preserve">measures </w:t>
      </w:r>
      <w:r>
        <w:rPr>
          <w:noProof/>
        </w:rPr>
        <w:t xml:space="preserve"> </w:t>
      </w:r>
      <w:r>
        <w:rPr>
          <w:noProof/>
        </w:rPr>
        <w:t>a</w:t>
      </w:r>
      <w:r w:rsidRPr="004E5F46">
        <w:rPr>
          <w:noProof/>
        </w:rPr>
        <w:t xml:space="preserve">imed at </w:t>
      </w:r>
      <w:r w:rsidRPr="004E5F46">
        <w:rPr>
          <w:noProof/>
          <w:lang w:eastAsia="ja-JP"/>
        </w:rPr>
        <w:t>monitoring</w:t>
      </w:r>
      <w:r w:rsidRPr="004E5F46">
        <w:rPr>
          <w:noProof/>
        </w:rPr>
        <w:t xml:space="preserve"> and safeguarding the online information space, including detecting and </w:t>
      </w:r>
      <w:r w:rsidRPr="004E5F46">
        <w:rPr>
          <w:noProof/>
        </w:rPr>
        <w:t>combating</w:t>
      </w:r>
      <w:r w:rsidRPr="002716C8">
        <w:rPr>
          <w:noProof/>
          <w:lang w:eastAsia="ja-JP"/>
        </w:rPr>
        <w:t xml:space="preserve"> </w:t>
      </w:r>
      <w:r w:rsidRPr="004E5F46">
        <w:rPr>
          <w:noProof/>
        </w:rPr>
        <w:t>disinformation</w:t>
      </w:r>
      <w:r w:rsidRPr="004E5F46">
        <w:rPr>
          <w:noProof/>
          <w:lang w:eastAsia="ja-JP"/>
        </w:rPr>
        <w:t xml:space="preserve"> and foreign information manipulation and interference</w:t>
      </w:r>
      <w:r w:rsidRPr="004E5F46">
        <w:rPr>
          <w:noProof/>
        </w:rPr>
        <w:t xml:space="preserve">, thereby contributing to greater resilience across the Union; </w:t>
      </w:r>
    </w:p>
    <w:p w14:paraId="28FFC8D4" w14:textId="77777777" w:rsidR="005B7178" w:rsidRPr="004E5F46" w:rsidRDefault="005B7178" w:rsidP="00B66E94">
      <w:pPr>
        <w:pStyle w:val="Point2"/>
        <w:rPr>
          <w:noProof/>
          <w:lang w:eastAsia="ja-JP"/>
        </w:rPr>
      </w:pPr>
      <w:r w:rsidRPr="00B66E94">
        <w:rPr>
          <w:noProof/>
        </w:rPr>
        <w:t>(e)</w:t>
      </w:r>
      <w:r w:rsidRPr="00B66E94">
        <w:rPr>
          <w:noProof/>
        </w:rPr>
        <w:tab/>
      </w:r>
      <w:r w:rsidRPr="004E5F46">
        <w:rPr>
          <w:noProof/>
          <w:lang w:eastAsia="ja-JP"/>
        </w:rPr>
        <w:t>promot</w:t>
      </w:r>
      <w:r>
        <w:rPr>
          <w:noProof/>
          <w:lang w:eastAsia="ja-JP"/>
        </w:rPr>
        <w:t>ing</w:t>
      </w:r>
      <w:r w:rsidRPr="004E5F46">
        <w:rPr>
          <w:noProof/>
        </w:rPr>
        <w:t xml:space="preserve"> </w:t>
      </w:r>
      <w:r w:rsidRPr="004E5F46">
        <w:rPr>
          <w:noProof/>
        </w:rPr>
        <w:t>digital and media literacy activities in order to enable citizens</w:t>
      </w:r>
      <w:r>
        <w:rPr>
          <w:noProof/>
        </w:rPr>
        <w:t>, including young people,</w:t>
      </w:r>
      <w:r w:rsidRPr="004E5F46">
        <w:rPr>
          <w:noProof/>
        </w:rPr>
        <w:t xml:space="preserve"> to use and develop a critical understanding of the information ecosystem;</w:t>
      </w:r>
    </w:p>
    <w:p w14:paraId="77C822BC" w14:textId="77777777" w:rsidR="005B7178" w:rsidRDefault="005B7178" w:rsidP="00B66E94">
      <w:pPr>
        <w:pStyle w:val="Point2"/>
        <w:rPr>
          <w:noProof/>
          <w:lang w:eastAsia="ja-JP"/>
        </w:rPr>
      </w:pPr>
      <w:r w:rsidRPr="00B66E94">
        <w:rPr>
          <w:noProof/>
        </w:rPr>
        <w:t>(f)</w:t>
      </w:r>
      <w:r w:rsidRPr="00B66E94">
        <w:rPr>
          <w:noProof/>
        </w:rPr>
        <w:tab/>
      </w:r>
      <w:r>
        <w:rPr>
          <w:noProof/>
          <w:lang w:eastAsia="ja-JP"/>
        </w:rPr>
        <w:t>reinforc</w:t>
      </w:r>
      <w:r>
        <w:rPr>
          <w:noProof/>
          <w:lang w:eastAsia="ja-JP"/>
        </w:rPr>
        <w:t>ing</w:t>
      </w:r>
      <w:r>
        <w:rPr>
          <w:noProof/>
          <w:lang w:eastAsia="ja-JP"/>
        </w:rPr>
        <w:t xml:space="preserve"> </w:t>
      </w:r>
      <w:r w:rsidRPr="004E5F46">
        <w:rPr>
          <w:noProof/>
          <w:lang w:eastAsia="ja-JP"/>
        </w:rPr>
        <w:t xml:space="preserve">policy dialogue, data collection and analysis and development of common standards, including by supporting the work of the European Board for Media Services. </w:t>
      </w:r>
    </w:p>
    <w:p w14:paraId="53E98F91" w14:textId="77777777" w:rsidR="005B7178" w:rsidRDefault="005B7178" w:rsidP="00B74D3E">
      <w:pPr>
        <w:spacing w:before="360" w:line="279" w:lineRule="auto"/>
        <w:rPr>
          <w:noProof/>
          <w:szCs w:val="24"/>
        </w:rPr>
      </w:pPr>
      <w:r w:rsidRPr="00B74D3E">
        <w:rPr>
          <w:noProof/>
          <w:szCs w:val="24"/>
        </w:rPr>
        <w:t xml:space="preserve">The implementation of the </w:t>
      </w:r>
      <w:r>
        <w:rPr>
          <w:noProof/>
          <w:szCs w:val="24"/>
        </w:rPr>
        <w:t>‘</w:t>
      </w:r>
      <w:r w:rsidRPr="00B74D3E">
        <w:rPr>
          <w:noProof/>
          <w:szCs w:val="24"/>
        </w:rPr>
        <w:t>News</w:t>
      </w:r>
      <w:r>
        <w:rPr>
          <w:noProof/>
          <w:szCs w:val="24"/>
        </w:rPr>
        <w:t>’</w:t>
      </w:r>
      <w:r w:rsidRPr="00B74D3E">
        <w:rPr>
          <w:noProof/>
          <w:szCs w:val="24"/>
        </w:rPr>
        <w:t xml:space="preserve"> specific objective shall be carried out with full respect </w:t>
      </w:r>
      <w:r w:rsidRPr="00B74D3E">
        <w:rPr>
          <w:noProof/>
          <w:szCs w:val="24"/>
        </w:rPr>
        <w:t>for media</w:t>
      </w:r>
      <w:r w:rsidRPr="00B74D3E">
        <w:rPr>
          <w:noProof/>
          <w:szCs w:val="24"/>
        </w:rPr>
        <w:t xml:space="preserve"> editorial independence and professional standards. </w:t>
      </w:r>
    </w:p>
    <w:p w14:paraId="42357E86" w14:textId="77777777" w:rsidR="005B7178" w:rsidRPr="00B74D3E" w:rsidRDefault="005B7178" w:rsidP="00B74D3E">
      <w:pPr>
        <w:spacing w:before="360" w:line="279" w:lineRule="auto"/>
        <w:rPr>
          <w:noProof/>
          <w:szCs w:val="24"/>
        </w:rPr>
      </w:pPr>
    </w:p>
    <w:p w14:paraId="1943B426" w14:textId="77777777" w:rsidR="005B7178" w:rsidRPr="00E11C1B" w:rsidRDefault="005B7178" w:rsidP="004E5F46">
      <w:pPr>
        <w:pStyle w:val="ChapterTitle"/>
        <w:rPr>
          <w:noProof/>
          <w:lang w:val="fr-FR"/>
        </w:rPr>
      </w:pPr>
      <w:bookmarkStart w:id="6" w:name="_Hlk200991936"/>
      <w:r w:rsidRPr="00E11C1B">
        <w:rPr>
          <w:noProof/>
          <w:lang w:val="fr-FR"/>
        </w:rPr>
        <w:lastRenderedPageBreak/>
        <w:t xml:space="preserve">Chapter </w:t>
      </w:r>
      <w:r w:rsidRPr="00E11C1B">
        <w:rPr>
          <w:noProof/>
          <w:lang w:val="fr-FR"/>
        </w:rPr>
        <w:t xml:space="preserve">IV </w:t>
      </w:r>
    </w:p>
    <w:p w14:paraId="5562C4A2" w14:textId="77777777" w:rsidR="005B7178" w:rsidRPr="00E11C1B" w:rsidRDefault="005B7178" w:rsidP="004E5F46">
      <w:pPr>
        <w:pStyle w:val="ChapterTitle"/>
        <w:rPr>
          <w:noProof/>
          <w:lang w:val="fr-FR"/>
        </w:rPr>
      </w:pPr>
      <w:r w:rsidRPr="00E11C1B">
        <w:rPr>
          <w:rFonts w:eastAsia="Times New Roman"/>
          <w:b w:val="0"/>
          <w:noProof/>
          <w:lang w:val="fr-FR"/>
        </w:rPr>
        <w:t>CERV+</w:t>
      </w:r>
      <w:r w:rsidRPr="00E11C1B">
        <w:rPr>
          <w:rFonts w:eastAsia="Times New Roman"/>
          <w:b w:val="0"/>
          <w:noProof/>
          <w:lang w:val="fr-FR"/>
        </w:rPr>
        <w:t xml:space="preserve"> Strand</w:t>
      </w:r>
      <w:r w:rsidRPr="00E11C1B">
        <w:rPr>
          <w:noProof/>
          <w:lang w:val="fr-FR"/>
        </w:rPr>
        <w:t xml:space="preserve"> </w:t>
      </w:r>
    </w:p>
    <w:p w14:paraId="491E68D9" w14:textId="77777777" w:rsidR="005B7178" w:rsidRPr="00E11C1B" w:rsidRDefault="005B7178" w:rsidP="004E5F46">
      <w:pPr>
        <w:pStyle w:val="Titrearticle"/>
        <w:rPr>
          <w:noProof/>
          <w:lang w:val="fr-FR"/>
        </w:rPr>
      </w:pPr>
      <w:r w:rsidRPr="00E11C1B">
        <w:rPr>
          <w:noProof/>
          <w:lang w:val="fr-FR"/>
        </w:rPr>
        <w:t>Article 7</w:t>
      </w:r>
    </w:p>
    <w:p w14:paraId="2EA9192F" w14:textId="77777777" w:rsidR="005B7178" w:rsidRPr="00027B2F" w:rsidRDefault="005B7178" w:rsidP="004E5F46">
      <w:pPr>
        <w:pStyle w:val="Titrearticle"/>
        <w:rPr>
          <w:b/>
          <w:bCs/>
          <w:noProof/>
        </w:rPr>
      </w:pPr>
      <w:r w:rsidRPr="6FEB1686" w:rsidDel="00F9651A">
        <w:rPr>
          <w:b/>
          <w:bCs/>
          <w:noProof/>
        </w:rPr>
        <w:t>Rights</w:t>
      </w:r>
      <w:r w:rsidRPr="10388691" w:rsidDel="00F9651A">
        <w:rPr>
          <w:b/>
          <w:bCs/>
          <w:noProof/>
        </w:rPr>
        <w:t xml:space="preserve">, </w:t>
      </w:r>
      <w:r>
        <w:rPr>
          <w:b/>
          <w:bCs/>
          <w:noProof/>
        </w:rPr>
        <w:t>e</w:t>
      </w:r>
      <w:r w:rsidRPr="5167266D">
        <w:rPr>
          <w:b/>
          <w:bCs/>
          <w:noProof/>
        </w:rPr>
        <w:t>quality</w:t>
      </w:r>
      <w:r w:rsidRPr="0B115049">
        <w:rPr>
          <w:b/>
          <w:bCs/>
          <w:noProof/>
        </w:rPr>
        <w:t xml:space="preserve">, </w:t>
      </w:r>
      <w:r>
        <w:rPr>
          <w:b/>
          <w:bCs/>
          <w:noProof/>
        </w:rPr>
        <w:t>c</w:t>
      </w:r>
      <w:r w:rsidRPr="0B115049">
        <w:rPr>
          <w:b/>
          <w:bCs/>
          <w:noProof/>
        </w:rPr>
        <w:t>itizens</w:t>
      </w:r>
      <w:r w:rsidRPr="6FEB1686">
        <w:rPr>
          <w:b/>
          <w:bCs/>
          <w:noProof/>
        </w:rPr>
        <w:t xml:space="preserve"> and </w:t>
      </w:r>
      <w:r>
        <w:rPr>
          <w:b/>
          <w:bCs/>
          <w:noProof/>
        </w:rPr>
        <w:t>c</w:t>
      </w:r>
      <w:r w:rsidRPr="6FEB1686" w:rsidDel="00F9651A">
        <w:rPr>
          <w:b/>
          <w:bCs/>
          <w:noProof/>
        </w:rPr>
        <w:t xml:space="preserve">ivil </w:t>
      </w:r>
      <w:r>
        <w:rPr>
          <w:b/>
          <w:bCs/>
          <w:noProof/>
        </w:rPr>
        <w:t>s</w:t>
      </w:r>
      <w:r w:rsidRPr="6FEB1686" w:rsidDel="00F9651A">
        <w:rPr>
          <w:b/>
          <w:bCs/>
          <w:noProof/>
        </w:rPr>
        <w:t>ociety</w:t>
      </w:r>
      <w:r w:rsidRPr="6FEB1686">
        <w:rPr>
          <w:b/>
          <w:bCs/>
          <w:noProof/>
        </w:rPr>
        <w:t xml:space="preserve"> </w:t>
      </w:r>
    </w:p>
    <w:p w14:paraId="2837FD70" w14:textId="77777777" w:rsidR="005B7178" w:rsidRDefault="005B7178" w:rsidP="00B74D3E">
      <w:pPr>
        <w:spacing w:before="360" w:line="279" w:lineRule="auto"/>
        <w:rPr>
          <w:noProof/>
          <w:lang w:eastAsia="ja-JP"/>
        </w:rPr>
      </w:pPr>
      <w:r>
        <w:rPr>
          <w:noProof/>
          <w:lang w:eastAsia="ja-JP"/>
        </w:rPr>
        <w:t xml:space="preserve">Within the </w:t>
      </w:r>
      <w:r>
        <w:rPr>
          <w:noProof/>
          <w:lang w:eastAsia="ja-JP"/>
        </w:rPr>
        <w:t xml:space="preserve">CERV+ </w:t>
      </w:r>
      <w:r>
        <w:rPr>
          <w:noProof/>
          <w:lang w:eastAsia="ja-JP"/>
        </w:rPr>
        <w:t xml:space="preserve">strand, </w:t>
      </w:r>
      <w:r>
        <w:rPr>
          <w:noProof/>
          <w:lang w:eastAsia="ja-JP"/>
        </w:rPr>
        <w:t>t</w:t>
      </w:r>
      <w:r w:rsidRPr="240A2544">
        <w:rPr>
          <w:noProof/>
          <w:lang w:eastAsia="ja-JP"/>
        </w:rPr>
        <w:t>he ‘</w:t>
      </w:r>
      <w:r w:rsidRPr="7408BCD3">
        <w:rPr>
          <w:noProof/>
          <w:lang w:eastAsia="ja-JP"/>
        </w:rPr>
        <w:t>Rights, Equality</w:t>
      </w:r>
      <w:r w:rsidRPr="0B115049">
        <w:rPr>
          <w:noProof/>
          <w:lang w:eastAsia="ja-JP"/>
        </w:rPr>
        <w:t>, Citizens</w:t>
      </w:r>
      <w:r w:rsidRPr="7408BCD3">
        <w:rPr>
          <w:noProof/>
          <w:lang w:eastAsia="ja-JP"/>
        </w:rPr>
        <w:t xml:space="preserve"> </w:t>
      </w:r>
      <w:r w:rsidRPr="00ED20C7">
        <w:rPr>
          <w:noProof/>
          <w:lang w:eastAsia="ja-JP"/>
        </w:rPr>
        <w:t>and Civil Society’</w:t>
      </w:r>
      <w:r w:rsidRPr="240A2544">
        <w:rPr>
          <w:noProof/>
          <w:lang w:eastAsia="ja-JP"/>
        </w:rPr>
        <w:t xml:space="preserve"> </w:t>
      </w:r>
      <w:r>
        <w:rPr>
          <w:noProof/>
          <w:lang w:eastAsia="ja-JP"/>
        </w:rPr>
        <w:t xml:space="preserve">specific </w:t>
      </w:r>
      <w:r w:rsidRPr="00ED20C7">
        <w:rPr>
          <w:noProof/>
          <w:lang w:eastAsia="ja-JP"/>
        </w:rPr>
        <w:t xml:space="preserve">objective </w:t>
      </w:r>
      <w:r w:rsidRPr="240A2544">
        <w:rPr>
          <w:noProof/>
          <w:lang w:eastAsia="ja-JP"/>
        </w:rPr>
        <w:t>shall</w:t>
      </w:r>
      <w:r>
        <w:rPr>
          <w:noProof/>
          <w:lang w:eastAsia="ja-JP"/>
        </w:rPr>
        <w:t xml:space="preserve"> focus on</w:t>
      </w:r>
      <w:r w:rsidRPr="240A2544">
        <w:rPr>
          <w:noProof/>
          <w:lang w:eastAsia="ja-JP"/>
        </w:rPr>
        <w:t>:</w:t>
      </w:r>
    </w:p>
    <w:p w14:paraId="0702719B" w14:textId="77777777" w:rsidR="005B7178" w:rsidRPr="00E14B1A" w:rsidRDefault="005B7178" w:rsidP="00B66E94">
      <w:pPr>
        <w:pStyle w:val="Point1"/>
        <w:rPr>
          <w:noProof/>
          <w:lang w:val="en-IE"/>
        </w:rPr>
      </w:pPr>
      <w:r w:rsidRPr="00B66E94">
        <w:rPr>
          <w:noProof/>
        </w:rPr>
        <w:t>(a)</w:t>
      </w:r>
      <w:r w:rsidRPr="00B66E94">
        <w:rPr>
          <w:noProof/>
        </w:rPr>
        <w:tab/>
      </w:r>
      <w:r w:rsidRPr="00E14B1A">
        <w:rPr>
          <w:noProof/>
          <w:lang w:val="en-IE"/>
        </w:rPr>
        <w:t>promot</w:t>
      </w:r>
      <w:r w:rsidRPr="00E14B1A">
        <w:rPr>
          <w:noProof/>
          <w:lang w:val="en-IE"/>
        </w:rPr>
        <w:t>ing</w:t>
      </w:r>
      <w:r w:rsidRPr="00E14B1A">
        <w:rPr>
          <w:noProof/>
          <w:lang w:val="en-IE"/>
        </w:rPr>
        <w:t xml:space="preserve"> equality,</w:t>
      </w:r>
      <w:r w:rsidRPr="00E14B1A">
        <w:rPr>
          <w:noProof/>
          <w:lang w:val="en-IE"/>
        </w:rPr>
        <w:t xml:space="preserve"> and </w:t>
      </w:r>
      <w:r w:rsidRPr="00E14B1A">
        <w:rPr>
          <w:noProof/>
          <w:lang w:val="en-IE"/>
        </w:rPr>
        <w:t>prevent</w:t>
      </w:r>
      <w:r w:rsidRPr="00E14B1A">
        <w:rPr>
          <w:noProof/>
          <w:lang w:val="en-IE"/>
        </w:rPr>
        <w:t>ing</w:t>
      </w:r>
      <w:r w:rsidRPr="00E14B1A">
        <w:rPr>
          <w:noProof/>
          <w:lang w:val="en-IE"/>
        </w:rPr>
        <w:t xml:space="preserve"> and fight</w:t>
      </w:r>
      <w:r w:rsidRPr="00E14B1A">
        <w:rPr>
          <w:noProof/>
          <w:lang w:val="en-IE"/>
        </w:rPr>
        <w:t>ing</w:t>
      </w:r>
      <w:r w:rsidRPr="00E14B1A">
        <w:rPr>
          <w:noProof/>
          <w:lang w:val="en-IE"/>
        </w:rPr>
        <w:t xml:space="preserve"> against discrimination on the grounds of sex, racial or ethnic origin, religion or belief, disability, age or sexual orientation, and all forms of racism and intolerance;  </w:t>
      </w:r>
    </w:p>
    <w:p w14:paraId="03CCF877" w14:textId="77777777" w:rsidR="005B7178" w:rsidRPr="008F1E99" w:rsidRDefault="005B7178" w:rsidP="00B66E94">
      <w:pPr>
        <w:pStyle w:val="Point1"/>
        <w:rPr>
          <w:noProof/>
          <w:lang w:val="en-IE"/>
        </w:rPr>
      </w:pPr>
      <w:r w:rsidRPr="00B66E94">
        <w:rPr>
          <w:noProof/>
        </w:rPr>
        <w:t>(b)</w:t>
      </w:r>
      <w:r w:rsidRPr="00B66E94">
        <w:rPr>
          <w:noProof/>
        </w:rPr>
        <w:tab/>
      </w:r>
      <w:r w:rsidRPr="004D089F">
        <w:rPr>
          <w:noProof/>
          <w:lang w:val="en-IE"/>
        </w:rPr>
        <w:t>promot</w:t>
      </w:r>
      <w:r w:rsidRPr="004D089F">
        <w:rPr>
          <w:noProof/>
          <w:lang w:val="en-IE"/>
        </w:rPr>
        <w:t>ing</w:t>
      </w:r>
      <w:r w:rsidRPr="004D089F">
        <w:rPr>
          <w:noProof/>
          <w:lang w:val="en-IE"/>
        </w:rPr>
        <w:t xml:space="preserve"> </w:t>
      </w:r>
      <w:r w:rsidRPr="004D089F">
        <w:rPr>
          <w:noProof/>
          <w:lang w:val="en-IE"/>
        </w:rPr>
        <w:t>gender equalit</w:t>
      </w:r>
      <w:r w:rsidRPr="004D089F">
        <w:rPr>
          <w:noProof/>
          <w:lang w:val="en-IE"/>
        </w:rPr>
        <w:t>y</w:t>
      </w:r>
      <w:r w:rsidRPr="004D089F">
        <w:rPr>
          <w:noProof/>
          <w:lang w:val="en-IE"/>
        </w:rPr>
        <w:t>, gender mainstreaming</w:t>
      </w:r>
      <w:r w:rsidRPr="004D089F">
        <w:rPr>
          <w:noProof/>
          <w:lang w:val="en-IE"/>
        </w:rPr>
        <w:t xml:space="preserve"> and women’s empowerment, and </w:t>
      </w:r>
      <w:r w:rsidRPr="004D089F">
        <w:rPr>
          <w:noProof/>
          <w:lang w:val="en-IE"/>
        </w:rPr>
        <w:t>protect</w:t>
      </w:r>
      <w:r w:rsidRPr="004D089F">
        <w:rPr>
          <w:noProof/>
          <w:lang w:val="en-IE"/>
        </w:rPr>
        <w:t>ing</w:t>
      </w:r>
      <w:r w:rsidRPr="004D089F">
        <w:rPr>
          <w:noProof/>
          <w:lang w:val="en-IE"/>
        </w:rPr>
        <w:t xml:space="preserve"> and promot</w:t>
      </w:r>
      <w:r w:rsidRPr="004D089F">
        <w:rPr>
          <w:noProof/>
          <w:lang w:val="en-IE"/>
        </w:rPr>
        <w:t>ing</w:t>
      </w:r>
      <w:r w:rsidRPr="004D089F">
        <w:rPr>
          <w:noProof/>
          <w:lang w:val="en-IE"/>
        </w:rPr>
        <w:t xml:space="preserve"> women’s</w:t>
      </w:r>
      <w:r w:rsidRPr="004D089F">
        <w:rPr>
          <w:noProof/>
          <w:lang w:val="en-IE"/>
        </w:rPr>
        <w:t xml:space="preserve"> </w:t>
      </w:r>
      <w:r w:rsidRPr="004D089F">
        <w:rPr>
          <w:noProof/>
          <w:lang w:val="en-IE"/>
        </w:rPr>
        <w:t>full enjoyment of rights</w:t>
      </w:r>
      <w:r w:rsidRPr="008F1E99">
        <w:rPr>
          <w:noProof/>
          <w:lang w:val="en-IE"/>
        </w:rPr>
        <w:t xml:space="preserve">; </w:t>
      </w:r>
    </w:p>
    <w:p w14:paraId="6964A6B3" w14:textId="77777777" w:rsidR="005B7178" w:rsidRPr="008F1E99" w:rsidRDefault="005B7178" w:rsidP="00B66E94">
      <w:pPr>
        <w:pStyle w:val="Point1"/>
        <w:rPr>
          <w:noProof/>
          <w:lang w:val="en-IE"/>
        </w:rPr>
      </w:pPr>
      <w:r w:rsidRPr="00B66E94">
        <w:rPr>
          <w:noProof/>
        </w:rPr>
        <w:t>(c)</w:t>
      </w:r>
      <w:r w:rsidRPr="00B66E94">
        <w:rPr>
          <w:noProof/>
        </w:rPr>
        <w:tab/>
      </w:r>
      <w:r w:rsidRPr="004D089F">
        <w:rPr>
          <w:noProof/>
          <w:lang w:val="en-IE"/>
        </w:rPr>
        <w:t>promot</w:t>
      </w:r>
      <w:r w:rsidRPr="004D089F">
        <w:rPr>
          <w:noProof/>
          <w:lang w:val="en-IE"/>
        </w:rPr>
        <w:t>ing</w:t>
      </w:r>
      <w:r w:rsidRPr="004D089F">
        <w:rPr>
          <w:noProof/>
          <w:lang w:val="en-IE"/>
        </w:rPr>
        <w:t xml:space="preserve"> </w:t>
      </w:r>
      <w:r w:rsidRPr="004D089F">
        <w:rPr>
          <w:noProof/>
          <w:lang w:val="en-IE"/>
        </w:rPr>
        <w:t xml:space="preserve">accessibility and </w:t>
      </w:r>
      <w:r w:rsidRPr="004D089F">
        <w:rPr>
          <w:noProof/>
          <w:lang w:val="en-IE"/>
        </w:rPr>
        <w:t>protect</w:t>
      </w:r>
      <w:r w:rsidRPr="004D089F">
        <w:rPr>
          <w:noProof/>
          <w:lang w:val="en-IE"/>
        </w:rPr>
        <w:t>ing</w:t>
      </w:r>
      <w:r w:rsidRPr="004D089F">
        <w:rPr>
          <w:noProof/>
          <w:lang w:val="en-IE"/>
        </w:rPr>
        <w:t xml:space="preserve"> </w:t>
      </w:r>
      <w:r w:rsidRPr="004D089F">
        <w:rPr>
          <w:noProof/>
          <w:lang w:val="en-IE"/>
        </w:rPr>
        <w:t>and promot</w:t>
      </w:r>
      <w:r w:rsidRPr="004D089F">
        <w:rPr>
          <w:noProof/>
          <w:lang w:val="en-IE"/>
        </w:rPr>
        <w:t>ing</w:t>
      </w:r>
      <w:r w:rsidRPr="004D089F">
        <w:rPr>
          <w:noProof/>
          <w:lang w:val="en-IE"/>
        </w:rPr>
        <w:t xml:space="preserve"> </w:t>
      </w:r>
      <w:r w:rsidRPr="004D089F">
        <w:rPr>
          <w:noProof/>
          <w:lang w:val="en-IE"/>
        </w:rPr>
        <w:t>the rights of persons with disabilities, support</w:t>
      </w:r>
      <w:r>
        <w:rPr>
          <w:noProof/>
          <w:lang w:val="en-IE"/>
        </w:rPr>
        <w:t>ing</w:t>
      </w:r>
      <w:r w:rsidRPr="004D089F">
        <w:rPr>
          <w:noProof/>
          <w:lang w:val="en-IE"/>
        </w:rPr>
        <w:t xml:space="preserve"> the EU implementation of the UN Convention on the Rights of Persons with Disabilities</w:t>
      </w:r>
      <w:r w:rsidRPr="008F1E99">
        <w:rPr>
          <w:noProof/>
          <w:lang w:val="en-IE"/>
        </w:rPr>
        <w:t xml:space="preserve">; </w:t>
      </w:r>
    </w:p>
    <w:p w14:paraId="555C0714" w14:textId="77777777" w:rsidR="005B7178" w:rsidRPr="008F1E99" w:rsidRDefault="005B7178" w:rsidP="00B66E94">
      <w:pPr>
        <w:pStyle w:val="Point1"/>
        <w:rPr>
          <w:noProof/>
          <w:lang w:val="en-IE"/>
        </w:rPr>
      </w:pPr>
      <w:r w:rsidRPr="00B66E94">
        <w:rPr>
          <w:noProof/>
        </w:rPr>
        <w:t>(d)</w:t>
      </w:r>
      <w:r w:rsidRPr="00B66E94">
        <w:rPr>
          <w:noProof/>
        </w:rPr>
        <w:tab/>
      </w:r>
      <w:r w:rsidRPr="008F1E99">
        <w:rPr>
          <w:noProof/>
          <w:lang w:val="en-IE"/>
        </w:rPr>
        <w:t>protect</w:t>
      </w:r>
      <w:r w:rsidRPr="008F1E99">
        <w:rPr>
          <w:noProof/>
          <w:lang w:val="en-IE"/>
        </w:rPr>
        <w:t>ing</w:t>
      </w:r>
      <w:r w:rsidRPr="008F1E99">
        <w:rPr>
          <w:noProof/>
          <w:lang w:val="en-IE"/>
        </w:rPr>
        <w:t xml:space="preserve"> and promot</w:t>
      </w:r>
      <w:r w:rsidRPr="008F1E99">
        <w:rPr>
          <w:noProof/>
          <w:lang w:val="en-IE"/>
        </w:rPr>
        <w:t>ing</w:t>
      </w:r>
      <w:r w:rsidRPr="008F1E99">
        <w:rPr>
          <w:noProof/>
          <w:lang w:val="en-IE"/>
        </w:rPr>
        <w:t xml:space="preserve"> the rights of the child</w:t>
      </w:r>
      <w:r w:rsidRPr="008F1E99">
        <w:rPr>
          <w:noProof/>
          <w:lang w:val="en-IE"/>
        </w:rPr>
        <w:t>;</w:t>
      </w:r>
      <w:r w:rsidRPr="008F1E99">
        <w:rPr>
          <w:noProof/>
          <w:lang w:val="en-IE"/>
        </w:rPr>
        <w:t xml:space="preserve"> </w:t>
      </w:r>
    </w:p>
    <w:p w14:paraId="4688733D" w14:textId="77777777" w:rsidR="005B7178" w:rsidRPr="008F1E99" w:rsidRDefault="005B7178" w:rsidP="00B66E94">
      <w:pPr>
        <w:pStyle w:val="Point1"/>
        <w:rPr>
          <w:noProof/>
          <w:lang w:val="en-IE"/>
        </w:rPr>
      </w:pPr>
      <w:r w:rsidRPr="00B66E94">
        <w:rPr>
          <w:noProof/>
        </w:rPr>
        <w:t>(e)</w:t>
      </w:r>
      <w:r w:rsidRPr="00B66E94">
        <w:rPr>
          <w:noProof/>
        </w:rPr>
        <w:tab/>
      </w:r>
      <w:r w:rsidRPr="008F1E99">
        <w:rPr>
          <w:noProof/>
          <w:lang w:val="en-IE"/>
        </w:rPr>
        <w:t>protect</w:t>
      </w:r>
      <w:r w:rsidRPr="008F1E99">
        <w:rPr>
          <w:noProof/>
          <w:lang w:val="en-IE"/>
        </w:rPr>
        <w:t>ing</w:t>
      </w:r>
      <w:r w:rsidRPr="008F1E99">
        <w:rPr>
          <w:noProof/>
          <w:lang w:val="en-IE"/>
        </w:rPr>
        <w:t xml:space="preserve"> and promot</w:t>
      </w:r>
      <w:r w:rsidRPr="008F1E99">
        <w:rPr>
          <w:noProof/>
          <w:lang w:val="en-IE"/>
        </w:rPr>
        <w:t>ing</w:t>
      </w:r>
      <w:r w:rsidRPr="008F1E99">
        <w:rPr>
          <w:noProof/>
          <w:lang w:val="en-IE"/>
        </w:rPr>
        <w:t xml:space="preserve"> freedom of expression, the right to privacy, the protection of personal data as well as rights in the digital space</w:t>
      </w:r>
      <w:r w:rsidRPr="008F1E99">
        <w:rPr>
          <w:noProof/>
          <w:lang w:val="en-IE"/>
        </w:rPr>
        <w:t>;</w:t>
      </w:r>
    </w:p>
    <w:p w14:paraId="7BB9D75A" w14:textId="77777777" w:rsidR="005B7178" w:rsidRPr="004D089F" w:rsidRDefault="005B7178" w:rsidP="00B66E94">
      <w:pPr>
        <w:pStyle w:val="Point1"/>
        <w:rPr>
          <w:noProof/>
        </w:rPr>
      </w:pPr>
      <w:r w:rsidRPr="00B66E94">
        <w:rPr>
          <w:noProof/>
        </w:rPr>
        <w:t>(f)</w:t>
      </w:r>
      <w:r w:rsidRPr="00B66E94">
        <w:rPr>
          <w:noProof/>
        </w:rPr>
        <w:tab/>
      </w:r>
      <w:r w:rsidRPr="008F1E99">
        <w:rPr>
          <w:noProof/>
          <w:lang w:val="en-IE"/>
        </w:rPr>
        <w:t xml:space="preserve">nurturing a vibrant civic space by building the capacity of, and providing financial support to, civil society </w:t>
      </w:r>
      <w:r w:rsidRPr="008F1E99">
        <w:rPr>
          <w:noProof/>
          <w:lang w:val="en-IE"/>
        </w:rPr>
        <w:t>organisations, human rights defenders, and other relevant actors, which are active at all levels in protecting, promoting and raising citizen’s awareness of rights enshrined in the Treaty, promoting EU democratic resilience, non-discrimination and equality and more broadly Union values, such as the respect for fundamental rights, the rule of law, democracy and in protecting and promoting respect of the Charter</w:t>
      </w:r>
      <w:r w:rsidRPr="008F1E99">
        <w:rPr>
          <w:noProof/>
          <w:lang w:val="en-IE"/>
        </w:rPr>
        <w:t>.</w:t>
      </w:r>
      <w:r w:rsidRPr="008F1E99">
        <w:rPr>
          <w:noProof/>
          <w:lang w:val="en-IE"/>
        </w:rPr>
        <w:t xml:space="preserve"> </w:t>
      </w:r>
    </w:p>
    <w:p w14:paraId="2387A2FD" w14:textId="77777777" w:rsidR="005B7178" w:rsidRDefault="005B7178" w:rsidP="004E5F46">
      <w:pPr>
        <w:pStyle w:val="Titrearticle"/>
        <w:rPr>
          <w:noProof/>
        </w:rPr>
      </w:pPr>
      <w:r>
        <w:rPr>
          <w:noProof/>
        </w:rPr>
        <w:t>Article 8</w:t>
      </w:r>
    </w:p>
    <w:p w14:paraId="2584912A" w14:textId="77777777" w:rsidR="005B7178" w:rsidRPr="00027B2F" w:rsidRDefault="005B7178" w:rsidP="004E5F46">
      <w:pPr>
        <w:pStyle w:val="Titrearticle"/>
        <w:rPr>
          <w:b/>
          <w:bCs/>
          <w:noProof/>
        </w:rPr>
      </w:pPr>
      <w:r w:rsidRPr="6FEB1686">
        <w:rPr>
          <w:b/>
          <w:bCs/>
          <w:noProof/>
        </w:rPr>
        <w:t>Daphne</w:t>
      </w:r>
    </w:p>
    <w:p w14:paraId="69C1B625" w14:textId="77777777" w:rsidR="005B7178" w:rsidRPr="00ED20C7" w:rsidRDefault="005B7178" w:rsidP="00B74D3E">
      <w:pPr>
        <w:rPr>
          <w:noProof/>
        </w:rPr>
      </w:pPr>
      <w:r w:rsidRPr="00ED20C7">
        <w:rPr>
          <w:noProof/>
        </w:rPr>
        <w:t xml:space="preserve">Within the </w:t>
      </w:r>
      <w:r>
        <w:rPr>
          <w:noProof/>
        </w:rPr>
        <w:t>CERV+</w:t>
      </w:r>
      <w:r>
        <w:rPr>
          <w:noProof/>
        </w:rPr>
        <w:t xml:space="preserve"> strand, </w:t>
      </w:r>
      <w:r w:rsidRPr="00ED20C7">
        <w:rPr>
          <w:noProof/>
        </w:rPr>
        <w:t>the ‘Daphne’</w:t>
      </w:r>
      <w:r w:rsidRPr="00ED20C7" w:rsidDel="003D20DF">
        <w:rPr>
          <w:noProof/>
        </w:rPr>
        <w:t xml:space="preserve"> </w:t>
      </w:r>
      <w:r>
        <w:rPr>
          <w:noProof/>
        </w:rPr>
        <w:t xml:space="preserve">specific </w:t>
      </w:r>
      <w:r w:rsidRPr="00ED20C7">
        <w:rPr>
          <w:noProof/>
        </w:rPr>
        <w:t>objective shall</w:t>
      </w:r>
      <w:r>
        <w:rPr>
          <w:noProof/>
        </w:rPr>
        <w:t xml:space="preserve"> focus on</w:t>
      </w:r>
      <w:r w:rsidRPr="00ED20C7">
        <w:rPr>
          <w:noProof/>
        </w:rPr>
        <w:t>:</w:t>
      </w:r>
    </w:p>
    <w:p w14:paraId="4775AAFE" w14:textId="77777777" w:rsidR="005B7178" w:rsidRPr="00E14B1A" w:rsidRDefault="005B7178" w:rsidP="00B66E94">
      <w:pPr>
        <w:pStyle w:val="Point0"/>
        <w:rPr>
          <w:noProof/>
          <w:lang w:val="en-IE"/>
        </w:rPr>
      </w:pPr>
      <w:r w:rsidRPr="00B66E94">
        <w:rPr>
          <w:noProof/>
        </w:rPr>
        <w:t>(a)</w:t>
      </w:r>
      <w:r w:rsidRPr="00B66E94">
        <w:rPr>
          <w:noProof/>
        </w:rPr>
        <w:tab/>
      </w:r>
      <w:r w:rsidRPr="00E14B1A">
        <w:rPr>
          <w:noProof/>
          <w:lang w:val="en-IE"/>
        </w:rPr>
        <w:t>prevent</w:t>
      </w:r>
      <w:r w:rsidRPr="00E14B1A">
        <w:rPr>
          <w:noProof/>
          <w:lang w:val="en-IE"/>
        </w:rPr>
        <w:t>ing</w:t>
      </w:r>
      <w:r w:rsidRPr="00E14B1A">
        <w:rPr>
          <w:noProof/>
          <w:lang w:val="en-IE"/>
        </w:rPr>
        <w:t>, respond</w:t>
      </w:r>
      <w:r w:rsidRPr="00E14B1A">
        <w:rPr>
          <w:noProof/>
          <w:lang w:val="en-IE"/>
        </w:rPr>
        <w:t>ing</w:t>
      </w:r>
      <w:r w:rsidRPr="00E14B1A">
        <w:rPr>
          <w:noProof/>
          <w:lang w:val="en-IE"/>
        </w:rPr>
        <w:t xml:space="preserve"> to and</w:t>
      </w:r>
      <w:r w:rsidRPr="00E14B1A" w:rsidDel="00AB128A">
        <w:rPr>
          <w:noProof/>
          <w:lang w:val="en-IE"/>
        </w:rPr>
        <w:t xml:space="preserve"> </w:t>
      </w:r>
      <w:r w:rsidRPr="00E14B1A">
        <w:rPr>
          <w:noProof/>
          <w:lang w:val="en-IE"/>
        </w:rPr>
        <w:t>fight</w:t>
      </w:r>
      <w:r w:rsidRPr="00E14B1A">
        <w:rPr>
          <w:noProof/>
          <w:lang w:val="en-IE"/>
        </w:rPr>
        <w:t>ing</w:t>
      </w:r>
      <w:r w:rsidRPr="00E14B1A" w:rsidDel="6E5DDAED">
        <w:rPr>
          <w:noProof/>
          <w:lang w:val="en-IE"/>
        </w:rPr>
        <w:t xml:space="preserve"> </w:t>
      </w:r>
      <w:r w:rsidRPr="00E14B1A">
        <w:rPr>
          <w:noProof/>
          <w:lang w:val="en-IE"/>
        </w:rPr>
        <w:t>at all level</w:t>
      </w:r>
      <w:r w:rsidRPr="00E14B1A">
        <w:rPr>
          <w:noProof/>
          <w:lang w:val="en-IE"/>
        </w:rPr>
        <w:t>s</w:t>
      </w:r>
      <w:r w:rsidRPr="00E14B1A">
        <w:rPr>
          <w:noProof/>
          <w:lang w:val="en-IE"/>
        </w:rPr>
        <w:t xml:space="preserve"> </w:t>
      </w:r>
      <w:r w:rsidRPr="00E14B1A" w:rsidDel="6E5DDAED">
        <w:rPr>
          <w:noProof/>
          <w:lang w:val="en-IE"/>
        </w:rPr>
        <w:t xml:space="preserve">all forms of </w:t>
      </w:r>
      <w:r w:rsidRPr="00E14B1A">
        <w:rPr>
          <w:noProof/>
          <w:lang w:val="en-IE"/>
        </w:rPr>
        <w:t>gender-based violence against women and girls, domestic violence, and violence against children, young and older people, LGBTIQ people, persons with disabilities and other groups at risk;</w:t>
      </w:r>
    </w:p>
    <w:p w14:paraId="082DAE4A" w14:textId="77777777" w:rsidR="005B7178" w:rsidRPr="0056489B" w:rsidRDefault="005B7178" w:rsidP="00B66E94">
      <w:pPr>
        <w:pStyle w:val="Point0"/>
        <w:rPr>
          <w:noProof/>
          <w:lang w:val="en-IE"/>
        </w:rPr>
      </w:pPr>
      <w:r w:rsidRPr="00B66E94">
        <w:rPr>
          <w:noProof/>
        </w:rPr>
        <w:t>(b)</w:t>
      </w:r>
      <w:r w:rsidRPr="00B66E94">
        <w:rPr>
          <w:noProof/>
        </w:rPr>
        <w:tab/>
      </w:r>
      <w:r w:rsidRPr="00ED20C7">
        <w:rPr>
          <w:noProof/>
          <w:lang w:val="en-IE"/>
        </w:rPr>
        <w:t>protect</w:t>
      </w:r>
      <w:r>
        <w:rPr>
          <w:noProof/>
          <w:lang w:val="en-IE"/>
        </w:rPr>
        <w:t>ing</w:t>
      </w:r>
      <w:r w:rsidRPr="00ED20C7">
        <w:rPr>
          <w:noProof/>
          <w:lang w:val="en-IE"/>
        </w:rPr>
        <w:t xml:space="preserve"> and support</w:t>
      </w:r>
      <w:r>
        <w:rPr>
          <w:noProof/>
          <w:lang w:val="en-IE"/>
        </w:rPr>
        <w:t>ing</w:t>
      </w:r>
      <w:r w:rsidRPr="00ED20C7">
        <w:rPr>
          <w:noProof/>
          <w:lang w:val="en-IE"/>
        </w:rPr>
        <w:t xml:space="preserve"> all direct and indirect victims and survivors of violence</w:t>
      </w:r>
      <w:r>
        <w:rPr>
          <w:noProof/>
          <w:lang w:val="en-IE"/>
        </w:rPr>
        <w:t xml:space="preserve"> as referred in point (a)</w:t>
      </w:r>
      <w:r w:rsidRPr="00ED20C7">
        <w:rPr>
          <w:noProof/>
          <w:lang w:val="en-IE"/>
        </w:rPr>
        <w:t xml:space="preserve">; </w:t>
      </w:r>
    </w:p>
    <w:p w14:paraId="5B840275" w14:textId="77777777" w:rsidR="005B7178" w:rsidRPr="00ED20C7" w:rsidRDefault="005B7178" w:rsidP="00B66E94">
      <w:pPr>
        <w:pStyle w:val="Point0"/>
        <w:rPr>
          <w:noProof/>
          <w:lang w:val="en-IE"/>
        </w:rPr>
      </w:pPr>
      <w:r w:rsidRPr="00B66E94">
        <w:rPr>
          <w:noProof/>
        </w:rPr>
        <w:t>(c)</w:t>
      </w:r>
      <w:r w:rsidRPr="00B66E94">
        <w:rPr>
          <w:noProof/>
        </w:rPr>
        <w:tab/>
      </w:r>
      <w:r w:rsidRPr="00ED20C7" w:rsidDel="002E790C">
        <w:rPr>
          <w:noProof/>
          <w:lang w:val="en-IE"/>
        </w:rPr>
        <w:t>s</w:t>
      </w:r>
      <w:r w:rsidRPr="00ED20C7" w:rsidDel="1DFDD66C">
        <w:rPr>
          <w:noProof/>
          <w:lang w:val="en-IE"/>
        </w:rPr>
        <w:t>upport</w:t>
      </w:r>
      <w:r>
        <w:rPr>
          <w:noProof/>
          <w:lang w:val="en-IE"/>
        </w:rPr>
        <w:t>ing</w:t>
      </w:r>
      <w:r w:rsidRPr="00ED20C7" w:rsidDel="1DFDD66C">
        <w:rPr>
          <w:noProof/>
          <w:lang w:val="en-IE"/>
        </w:rPr>
        <w:t xml:space="preserve"> the </w:t>
      </w:r>
      <w:r w:rsidRPr="00ED20C7">
        <w:rPr>
          <w:noProof/>
          <w:lang w:val="en-IE"/>
        </w:rPr>
        <w:t>achievement of the objectives</w:t>
      </w:r>
      <w:r w:rsidRPr="00ED20C7" w:rsidDel="1DFDD66C">
        <w:rPr>
          <w:noProof/>
          <w:lang w:val="en-IE"/>
        </w:rPr>
        <w:t xml:space="preserve"> of the </w:t>
      </w:r>
      <w:r w:rsidRPr="00ED20C7">
        <w:rPr>
          <w:noProof/>
          <w:lang w:val="en-IE"/>
        </w:rPr>
        <w:t>Council of Europe Convention on preventing and combating violence against women and domestic violence</w:t>
      </w:r>
      <w:r w:rsidRPr="00ED20C7" w:rsidDel="1DFDD66C">
        <w:rPr>
          <w:noProof/>
          <w:lang w:val="en-IE"/>
        </w:rPr>
        <w:t xml:space="preserve"> </w:t>
      </w:r>
      <w:r w:rsidRPr="00ED20C7">
        <w:rPr>
          <w:noProof/>
          <w:lang w:val="en-IE"/>
        </w:rPr>
        <w:t xml:space="preserve">in </w:t>
      </w:r>
      <w:r w:rsidRPr="00ED20C7" w:rsidDel="1DFDD66C">
        <w:rPr>
          <w:noProof/>
          <w:lang w:val="en-IE"/>
        </w:rPr>
        <w:t xml:space="preserve">the </w:t>
      </w:r>
      <w:r w:rsidRPr="00ED20C7">
        <w:rPr>
          <w:noProof/>
          <w:lang w:val="en-IE"/>
        </w:rPr>
        <w:t xml:space="preserve">Union. </w:t>
      </w:r>
    </w:p>
    <w:p w14:paraId="725F1778" w14:textId="77777777" w:rsidR="005B7178" w:rsidRDefault="005B7178" w:rsidP="004E5F46">
      <w:pPr>
        <w:pStyle w:val="Titrearticle"/>
        <w:rPr>
          <w:noProof/>
          <w:lang w:val="en-IE"/>
        </w:rPr>
      </w:pPr>
      <w:r>
        <w:rPr>
          <w:noProof/>
          <w:lang w:val="en-IE"/>
        </w:rPr>
        <w:lastRenderedPageBreak/>
        <w:t>Article 9</w:t>
      </w:r>
    </w:p>
    <w:p w14:paraId="4514560C" w14:textId="77777777" w:rsidR="005B7178" w:rsidRPr="00027B2F" w:rsidRDefault="005B7178" w:rsidP="004E5F46">
      <w:pPr>
        <w:pStyle w:val="Titrearticle"/>
        <w:rPr>
          <w:b/>
          <w:bCs/>
          <w:noProof/>
        </w:rPr>
      </w:pPr>
      <w:r>
        <w:rPr>
          <w:b/>
          <w:bCs/>
          <w:noProof/>
        </w:rPr>
        <w:t>Democratic participation</w:t>
      </w:r>
      <w:r w:rsidRPr="00D3623B">
        <w:rPr>
          <w:b/>
          <w:bCs/>
          <w:noProof/>
        </w:rPr>
        <w:t xml:space="preserve"> </w:t>
      </w:r>
      <w:r w:rsidRPr="4025C884">
        <w:rPr>
          <w:b/>
          <w:bCs/>
          <w:noProof/>
        </w:rPr>
        <w:t>and rule of law</w:t>
      </w:r>
    </w:p>
    <w:p w14:paraId="3835E326" w14:textId="77777777" w:rsidR="005B7178" w:rsidRPr="00027B2F" w:rsidRDefault="005B7178" w:rsidP="00B74D3E">
      <w:pPr>
        <w:rPr>
          <w:noProof/>
        </w:rPr>
      </w:pPr>
      <w:r w:rsidRPr="00ED20C7">
        <w:rPr>
          <w:noProof/>
        </w:rPr>
        <w:t xml:space="preserve">Within the </w:t>
      </w:r>
      <w:r w:rsidRPr="00BC588D">
        <w:rPr>
          <w:noProof/>
        </w:rPr>
        <w:t>CERV+</w:t>
      </w:r>
      <w:r w:rsidRPr="00BC588D">
        <w:rPr>
          <w:noProof/>
        </w:rPr>
        <w:t xml:space="preserve"> strand</w:t>
      </w:r>
      <w:r w:rsidRPr="00FC08FC">
        <w:rPr>
          <w:noProof/>
        </w:rPr>
        <w:t>,</w:t>
      </w:r>
      <w:r>
        <w:rPr>
          <w:noProof/>
        </w:rPr>
        <w:t xml:space="preserve"> </w:t>
      </w:r>
      <w:r w:rsidRPr="7DC6A066">
        <w:rPr>
          <w:noProof/>
        </w:rPr>
        <w:t xml:space="preserve">the </w:t>
      </w:r>
      <w:r>
        <w:rPr>
          <w:noProof/>
        </w:rPr>
        <w:t>‘</w:t>
      </w:r>
      <w:r w:rsidRPr="00834F5D">
        <w:rPr>
          <w:noProof/>
        </w:rPr>
        <w:t xml:space="preserve">Democratic </w:t>
      </w:r>
      <w:r w:rsidRPr="03C9AFB5">
        <w:rPr>
          <w:noProof/>
        </w:rPr>
        <w:t xml:space="preserve">participation </w:t>
      </w:r>
      <w:r w:rsidRPr="505FC524">
        <w:rPr>
          <w:noProof/>
        </w:rPr>
        <w:t>and rule of law’</w:t>
      </w:r>
      <w:r>
        <w:rPr>
          <w:noProof/>
        </w:rPr>
        <w:t xml:space="preserve"> specific</w:t>
      </w:r>
      <w:r>
        <w:rPr>
          <w:noProof/>
        </w:rPr>
        <w:t xml:space="preserve"> objective of the P</w:t>
      </w:r>
      <w:r w:rsidRPr="7DC6A066">
        <w:rPr>
          <w:noProof/>
        </w:rPr>
        <w:t>rogramme shall focus on:</w:t>
      </w:r>
    </w:p>
    <w:p w14:paraId="06580C03" w14:textId="77777777" w:rsidR="005B7178" w:rsidRPr="004E5F46" w:rsidRDefault="005B7178" w:rsidP="00B66E94">
      <w:pPr>
        <w:pStyle w:val="Point1"/>
        <w:rPr>
          <w:noProof/>
          <w:lang w:val="en-IE"/>
        </w:rPr>
      </w:pPr>
      <w:r w:rsidRPr="00B66E94">
        <w:rPr>
          <w:noProof/>
        </w:rPr>
        <w:t>(a)</w:t>
      </w:r>
      <w:r w:rsidRPr="00B66E94">
        <w:rPr>
          <w:noProof/>
        </w:rPr>
        <w:tab/>
      </w:r>
      <w:r w:rsidRPr="004E5F46">
        <w:rPr>
          <w:noProof/>
          <w:lang w:val="en-IE"/>
        </w:rPr>
        <w:t xml:space="preserve">protecting and promoting Union </w:t>
      </w:r>
      <w:r w:rsidRPr="004E5F46">
        <w:rPr>
          <w:noProof/>
          <w:lang w:val="en-IE"/>
        </w:rPr>
        <w:t>citizenship rights as well as citizens’ participation and engagement in the democratic and civic life of the Union, and support open,</w:t>
      </w:r>
      <w:r>
        <w:rPr>
          <w:noProof/>
          <w:lang w:val="en-IE"/>
        </w:rPr>
        <w:t xml:space="preserve"> resilient,</w:t>
      </w:r>
      <w:r w:rsidRPr="004E5F46">
        <w:rPr>
          <w:noProof/>
          <w:lang w:val="en-IE"/>
        </w:rPr>
        <w:t xml:space="preserve"> rights-based, and equal societies based on the rule of law;</w:t>
      </w:r>
    </w:p>
    <w:p w14:paraId="7AD19572" w14:textId="77777777" w:rsidR="005B7178" w:rsidRPr="004E5F46" w:rsidRDefault="005B7178" w:rsidP="00B66E94">
      <w:pPr>
        <w:pStyle w:val="Point1"/>
        <w:rPr>
          <w:noProof/>
          <w:lang w:val="en-IE"/>
        </w:rPr>
      </w:pPr>
      <w:r w:rsidRPr="00B66E94">
        <w:rPr>
          <w:noProof/>
        </w:rPr>
        <w:t>(b)</w:t>
      </w:r>
      <w:r w:rsidRPr="00B66E94">
        <w:rPr>
          <w:noProof/>
        </w:rPr>
        <w:tab/>
      </w:r>
      <w:r w:rsidRPr="004E5F46">
        <w:rPr>
          <w:noProof/>
          <w:lang w:val="en-IE"/>
        </w:rPr>
        <w:t xml:space="preserve">supporting free, fair, resilient, accessible and inclusive electoral and democratic processes; </w:t>
      </w:r>
    </w:p>
    <w:p w14:paraId="555F25C2" w14:textId="77777777" w:rsidR="005B7178" w:rsidRDefault="005B7178" w:rsidP="00B66E94">
      <w:pPr>
        <w:pStyle w:val="Point1"/>
        <w:rPr>
          <w:noProof/>
          <w:lang w:val="en-IE"/>
        </w:rPr>
      </w:pPr>
      <w:r w:rsidRPr="00B66E94">
        <w:rPr>
          <w:noProof/>
        </w:rPr>
        <w:t>(c)</w:t>
      </w:r>
      <w:r w:rsidRPr="00B66E94">
        <w:rPr>
          <w:noProof/>
        </w:rPr>
        <w:tab/>
      </w:r>
      <w:r w:rsidRPr="004E5F46">
        <w:rPr>
          <w:noProof/>
          <w:lang w:val="en-IE"/>
        </w:rPr>
        <w:t xml:space="preserve">promoting </w:t>
      </w:r>
      <w:r>
        <w:rPr>
          <w:noProof/>
          <w:lang w:val="en-IE"/>
        </w:rPr>
        <w:t xml:space="preserve">civic </w:t>
      </w:r>
      <w:r>
        <w:rPr>
          <w:noProof/>
          <w:lang w:val="en-IE"/>
        </w:rPr>
        <w:t xml:space="preserve">awareness </w:t>
      </w:r>
      <w:r w:rsidRPr="00FC077B">
        <w:rPr>
          <w:noProof/>
          <w:lang w:val="en-IE"/>
        </w:rPr>
        <w:t>and</w:t>
      </w:r>
      <w:r>
        <w:rPr>
          <w:noProof/>
          <w:lang w:val="en-IE"/>
        </w:rPr>
        <w:t xml:space="preserve"> </w:t>
      </w:r>
      <w:r w:rsidRPr="004E5F46">
        <w:rPr>
          <w:noProof/>
          <w:lang w:val="en-IE"/>
        </w:rPr>
        <w:t xml:space="preserve">better understanding of the Union, its common history, memory and diversity to foster mutual understanding and tolerance.   </w:t>
      </w:r>
    </w:p>
    <w:p w14:paraId="3E385A52" w14:textId="77777777" w:rsidR="005B7178" w:rsidRDefault="005B7178" w:rsidP="002E7782">
      <w:pPr>
        <w:pStyle w:val="ChapterTitle"/>
        <w:rPr>
          <w:rFonts w:eastAsia="Times New Roman"/>
          <w:noProof/>
          <w:szCs w:val="32"/>
        </w:rPr>
      </w:pPr>
      <w:r w:rsidRPr="0075616B">
        <w:rPr>
          <w:rFonts w:eastAsia="Times New Roman"/>
          <w:noProof/>
          <w:szCs w:val="32"/>
        </w:rPr>
        <w:t>C</w:t>
      </w:r>
      <w:r>
        <w:rPr>
          <w:rFonts w:eastAsia="Times New Roman"/>
          <w:noProof/>
          <w:szCs w:val="32"/>
        </w:rPr>
        <w:t>hapter</w:t>
      </w:r>
      <w:r w:rsidRPr="0075616B">
        <w:rPr>
          <w:rFonts w:eastAsia="Times New Roman"/>
          <w:noProof/>
          <w:szCs w:val="32"/>
        </w:rPr>
        <w:t xml:space="preserve"> </w:t>
      </w:r>
      <w:r w:rsidRPr="0075616B">
        <w:rPr>
          <w:rFonts w:eastAsia="Times New Roman"/>
          <w:noProof/>
          <w:szCs w:val="32"/>
        </w:rPr>
        <w:t>V</w:t>
      </w:r>
    </w:p>
    <w:p w14:paraId="12EDC346" w14:textId="77777777" w:rsidR="005B7178" w:rsidRDefault="005B7178" w:rsidP="002E021B">
      <w:pPr>
        <w:pStyle w:val="ChapterTitle"/>
        <w:rPr>
          <w:noProof/>
        </w:rPr>
      </w:pPr>
      <w:bookmarkStart w:id="7" w:name="_Hlk201479767"/>
      <w:r w:rsidRPr="00762239">
        <w:rPr>
          <w:noProof/>
        </w:rPr>
        <w:t xml:space="preserve">Cross-cutting and horizontal </w:t>
      </w:r>
      <w:r>
        <w:rPr>
          <w:noProof/>
        </w:rPr>
        <w:t>priorities and activities</w:t>
      </w:r>
    </w:p>
    <w:p w14:paraId="466912D8" w14:textId="77777777" w:rsidR="005B7178" w:rsidRDefault="005B7178" w:rsidP="002E021B">
      <w:pPr>
        <w:pStyle w:val="Titrearticle"/>
        <w:rPr>
          <w:noProof/>
        </w:rPr>
      </w:pPr>
      <w:r>
        <w:rPr>
          <w:noProof/>
        </w:rPr>
        <w:t>Article 10</w:t>
      </w:r>
    </w:p>
    <w:bookmarkEnd w:id="7"/>
    <w:p w14:paraId="4804CE12" w14:textId="77777777" w:rsidR="005B7178" w:rsidRPr="00E403CE" w:rsidRDefault="005B7178" w:rsidP="00B74D3E">
      <w:pPr>
        <w:rPr>
          <w:noProof/>
        </w:rPr>
      </w:pPr>
      <w:r w:rsidRPr="00E403CE">
        <w:rPr>
          <w:noProof/>
        </w:rPr>
        <w:t>Within the general objective</w:t>
      </w:r>
      <w:r>
        <w:rPr>
          <w:noProof/>
        </w:rPr>
        <w:t>s</w:t>
      </w:r>
      <w:r w:rsidRPr="00E403CE">
        <w:rPr>
          <w:noProof/>
        </w:rPr>
        <w:t xml:space="preserve"> set out in Article 3, the Programme shall support </w:t>
      </w:r>
      <w:r>
        <w:rPr>
          <w:noProof/>
        </w:rPr>
        <w:t xml:space="preserve">the following </w:t>
      </w:r>
      <w:r w:rsidRPr="00E403CE">
        <w:rPr>
          <w:noProof/>
        </w:rPr>
        <w:t>cross-cutting and horizon</w:t>
      </w:r>
      <w:r>
        <w:rPr>
          <w:noProof/>
        </w:rPr>
        <w:t>t</w:t>
      </w:r>
      <w:r w:rsidRPr="00E403CE">
        <w:rPr>
          <w:noProof/>
        </w:rPr>
        <w:t>al priorities and activities:</w:t>
      </w:r>
    </w:p>
    <w:p w14:paraId="7B626E10" w14:textId="77777777" w:rsidR="005B7178" w:rsidRPr="00E14B1A" w:rsidRDefault="005B7178" w:rsidP="00B66E94">
      <w:pPr>
        <w:pStyle w:val="Point0"/>
        <w:rPr>
          <w:noProof/>
          <w:lang w:val="en-IE"/>
        </w:rPr>
      </w:pPr>
      <w:r w:rsidRPr="00B66E94">
        <w:rPr>
          <w:noProof/>
        </w:rPr>
        <w:t>(a)</w:t>
      </w:r>
      <w:r w:rsidRPr="00B66E94">
        <w:rPr>
          <w:noProof/>
        </w:rPr>
        <w:tab/>
      </w:r>
      <w:r w:rsidRPr="00E14B1A">
        <w:rPr>
          <w:noProof/>
          <w:lang w:val="en-IE"/>
        </w:rPr>
        <w:t xml:space="preserve">cross-sectoral cooperation and innovation across the cultural, media and civic fields, </w:t>
      </w:r>
      <w:r w:rsidRPr="00E14B1A">
        <w:rPr>
          <w:noProof/>
          <w:lang w:val="en-IE"/>
        </w:rPr>
        <w:t xml:space="preserve">and </w:t>
      </w:r>
      <w:r w:rsidRPr="00E14B1A">
        <w:rPr>
          <w:noProof/>
          <w:lang w:val="en-IE"/>
        </w:rPr>
        <w:t>protect</w:t>
      </w:r>
      <w:r w:rsidRPr="00E14B1A">
        <w:rPr>
          <w:noProof/>
          <w:lang w:val="en-IE"/>
        </w:rPr>
        <w:t>ion</w:t>
      </w:r>
      <w:r w:rsidRPr="00E14B1A">
        <w:rPr>
          <w:noProof/>
          <w:lang w:val="en-IE"/>
        </w:rPr>
        <w:t xml:space="preserve"> </w:t>
      </w:r>
      <w:r w:rsidRPr="00E14B1A">
        <w:rPr>
          <w:noProof/>
          <w:lang w:val="en-IE"/>
        </w:rPr>
        <w:t xml:space="preserve">of </w:t>
      </w:r>
      <w:r w:rsidRPr="00E14B1A">
        <w:rPr>
          <w:noProof/>
          <w:lang w:val="en-IE"/>
        </w:rPr>
        <w:t>the integrity of the public discourse</w:t>
      </w:r>
      <w:r w:rsidRPr="00E14B1A">
        <w:rPr>
          <w:noProof/>
          <w:lang w:val="en-IE"/>
        </w:rPr>
        <w:t>,</w:t>
      </w:r>
      <w:r w:rsidRPr="00E14B1A">
        <w:rPr>
          <w:noProof/>
          <w:lang w:val="en-IE"/>
        </w:rPr>
        <w:t xml:space="preserve"> thereby bolstering democratic resilience</w:t>
      </w:r>
      <w:r w:rsidRPr="00E14B1A">
        <w:rPr>
          <w:noProof/>
          <w:lang w:val="en-IE"/>
        </w:rPr>
        <w:t xml:space="preserve">, societal preparedness </w:t>
      </w:r>
      <w:r w:rsidRPr="00E14B1A">
        <w:rPr>
          <w:noProof/>
          <w:lang w:val="en-IE"/>
        </w:rPr>
        <w:t>and cultural and civic engagemen</w:t>
      </w:r>
      <w:r w:rsidRPr="00E14B1A">
        <w:rPr>
          <w:noProof/>
          <w:lang w:val="en-IE"/>
        </w:rPr>
        <w:t>t</w:t>
      </w:r>
      <w:r w:rsidRPr="00E14B1A">
        <w:rPr>
          <w:noProof/>
          <w:lang w:val="en-IE"/>
        </w:rPr>
        <w:t>;</w:t>
      </w:r>
    </w:p>
    <w:p w14:paraId="0A2560BD" w14:textId="77777777" w:rsidR="005B7178" w:rsidRPr="00E403CE" w:rsidRDefault="005B7178" w:rsidP="00B66E94">
      <w:pPr>
        <w:pStyle w:val="Point0"/>
        <w:rPr>
          <w:noProof/>
          <w:lang w:val="en-IE"/>
        </w:rPr>
      </w:pPr>
      <w:r w:rsidRPr="00B66E94">
        <w:rPr>
          <w:noProof/>
        </w:rPr>
        <w:t>(b)</w:t>
      </w:r>
      <w:r w:rsidRPr="00B66E94">
        <w:rPr>
          <w:noProof/>
        </w:rPr>
        <w:tab/>
      </w:r>
      <w:r w:rsidRPr="00E403CE">
        <w:rPr>
          <w:noProof/>
          <w:lang w:val="en-IE"/>
        </w:rPr>
        <w:t xml:space="preserve">a responsible use of innovative tools and </w:t>
      </w:r>
      <w:r w:rsidRPr="00E403CE">
        <w:rPr>
          <w:noProof/>
          <w:lang w:val="en-IE"/>
        </w:rPr>
        <w:t>content technologies, notably A</w:t>
      </w:r>
      <w:r>
        <w:rPr>
          <w:noProof/>
          <w:lang w:val="en-IE"/>
        </w:rPr>
        <w:t>rtificial Intelligence</w:t>
      </w:r>
      <w:r w:rsidRPr="00E403CE">
        <w:rPr>
          <w:noProof/>
          <w:lang w:val="en-IE"/>
        </w:rPr>
        <w:t>, as well as skills development and capacity-building through cross sectoral approaches;</w:t>
      </w:r>
    </w:p>
    <w:p w14:paraId="56FCEF20" w14:textId="77777777" w:rsidR="005B7178" w:rsidRPr="008327A7" w:rsidRDefault="005B7178" w:rsidP="00B66E94">
      <w:pPr>
        <w:pStyle w:val="Point0"/>
        <w:rPr>
          <w:noProof/>
          <w:lang w:val="en-IE"/>
        </w:rPr>
      </w:pPr>
      <w:r w:rsidRPr="00B66E94">
        <w:rPr>
          <w:noProof/>
        </w:rPr>
        <w:t>(c)</w:t>
      </w:r>
      <w:r w:rsidRPr="00B66E94">
        <w:rPr>
          <w:noProof/>
        </w:rPr>
        <w:tab/>
      </w:r>
      <w:r w:rsidRPr="008327A7">
        <w:rPr>
          <w:noProof/>
          <w:lang w:val="en-IE"/>
        </w:rPr>
        <w:t>actions for the development, implementation, and monitoring of relevant Union legislation and policy</w:t>
      </w:r>
      <w:r>
        <w:rPr>
          <w:noProof/>
          <w:lang w:val="en-IE"/>
        </w:rPr>
        <w:t xml:space="preserve"> </w:t>
      </w:r>
      <w:r w:rsidRPr="008327A7" w:rsidDel="00AE1217">
        <w:rPr>
          <w:noProof/>
          <w:lang w:val="en-IE"/>
        </w:rPr>
        <w:t xml:space="preserve">in </w:t>
      </w:r>
      <w:r w:rsidRPr="008327A7">
        <w:rPr>
          <w:noProof/>
          <w:lang w:val="en-IE"/>
        </w:rPr>
        <w:t>the</w:t>
      </w:r>
      <w:r w:rsidRPr="008327A7">
        <w:rPr>
          <w:noProof/>
          <w:lang w:val="en-IE"/>
        </w:rPr>
        <w:t xml:space="preserve"> culture, media and civic fields, </w:t>
      </w:r>
      <w:r w:rsidRPr="008327A7">
        <w:rPr>
          <w:noProof/>
          <w:lang w:val="en-IE"/>
        </w:rPr>
        <w:t>including</w:t>
      </w:r>
      <w:r>
        <w:rPr>
          <w:noProof/>
          <w:lang w:val="en-IE"/>
        </w:rPr>
        <w:t>, where applicable,</w:t>
      </w:r>
      <w:r w:rsidRPr="008327A7">
        <w:rPr>
          <w:noProof/>
          <w:lang w:val="en-IE"/>
        </w:rPr>
        <w:t xml:space="preserve"> through </w:t>
      </w:r>
      <w:r w:rsidRPr="007343C0">
        <w:rPr>
          <w:noProof/>
          <w:lang w:val="en-IE"/>
        </w:rPr>
        <w:t xml:space="preserve">cooperation </w:t>
      </w:r>
      <w:r w:rsidRPr="007343C0">
        <w:rPr>
          <w:noProof/>
          <w:lang w:val="en-IE"/>
        </w:rPr>
        <w:t>among</w:t>
      </w:r>
      <w:r w:rsidRPr="007343C0">
        <w:rPr>
          <w:noProof/>
          <w:lang w:val="en-IE"/>
        </w:rPr>
        <w:t xml:space="preserve"> national authorities and stakeholders</w:t>
      </w:r>
      <w:r>
        <w:rPr>
          <w:noProof/>
          <w:lang w:val="en-IE"/>
        </w:rPr>
        <w:t>.</w:t>
      </w:r>
    </w:p>
    <w:p w14:paraId="406E8EDE" w14:textId="77777777" w:rsidR="005B7178" w:rsidRPr="007343C0" w:rsidRDefault="005B7178" w:rsidP="00B66E94">
      <w:pPr>
        <w:pStyle w:val="Point0"/>
        <w:rPr>
          <w:noProof/>
          <w:lang w:val="en-IE"/>
        </w:rPr>
      </w:pPr>
      <w:r w:rsidRPr="00B66E94">
        <w:rPr>
          <w:noProof/>
        </w:rPr>
        <w:t>(d)</w:t>
      </w:r>
      <w:r w:rsidRPr="00B66E94">
        <w:rPr>
          <w:noProof/>
        </w:rPr>
        <w:tab/>
      </w:r>
      <w:r>
        <w:rPr>
          <w:noProof/>
          <w:lang w:val="en-IE"/>
        </w:rPr>
        <w:t xml:space="preserve">in line with </w:t>
      </w:r>
      <w:r w:rsidRPr="00AF45E2">
        <w:rPr>
          <w:noProof/>
          <w:lang w:val="en-IE"/>
        </w:rPr>
        <w:t xml:space="preserve">the provisions of the </w:t>
      </w:r>
      <w:r>
        <w:rPr>
          <w:noProof/>
        </w:rPr>
        <w:t xml:space="preserve">Regulation (EU) [XXX]* of the European Parliament and of the Council </w:t>
      </w:r>
      <w:r>
        <w:rPr>
          <w:noProof/>
        </w:rPr>
        <w:t>[Performance]</w:t>
      </w:r>
      <w:r w:rsidRPr="00AF45E2">
        <w:rPr>
          <w:noProof/>
          <w:lang w:val="en-IE"/>
        </w:rPr>
        <w:t xml:space="preserve">, </w:t>
      </w:r>
      <w:r w:rsidRPr="00E403CE">
        <w:rPr>
          <w:noProof/>
          <w:lang w:val="en-IE"/>
        </w:rPr>
        <w:t xml:space="preserve">the promotion of the Programme, and its funding opportunities, including through Programme Desks, thereby enhancing outreach, visibility and the dissemination of the Programme results; </w:t>
      </w:r>
    </w:p>
    <w:p w14:paraId="6C6BB83B" w14:textId="77777777" w:rsidR="005B7178" w:rsidRPr="00E403CE" w:rsidRDefault="005B7178" w:rsidP="00B74D3E">
      <w:pPr>
        <w:rPr>
          <w:noProof/>
        </w:rPr>
      </w:pPr>
      <w:r w:rsidRPr="00E403CE">
        <w:rPr>
          <w:noProof/>
        </w:rPr>
        <w:t>The financing of cross-cutting and horizontal priorities and activities shall be determined by their nature and scope.</w:t>
      </w:r>
    </w:p>
    <w:p w14:paraId="7B87AA9D" w14:textId="77777777" w:rsidR="005B7178" w:rsidRPr="002E7782" w:rsidRDefault="005B7178" w:rsidP="002E7782">
      <w:pPr>
        <w:pStyle w:val="ChapterTitle"/>
        <w:rPr>
          <w:noProof/>
          <w:lang w:val="fr-BE"/>
        </w:rPr>
      </w:pPr>
      <w:r w:rsidRPr="002E7782">
        <w:rPr>
          <w:noProof/>
          <w:lang w:val="fr-BE"/>
        </w:rPr>
        <w:lastRenderedPageBreak/>
        <w:t>C</w:t>
      </w:r>
      <w:r>
        <w:rPr>
          <w:noProof/>
          <w:lang w:val="fr-BE"/>
        </w:rPr>
        <w:t>hapter</w:t>
      </w:r>
      <w:r w:rsidRPr="002E7782">
        <w:rPr>
          <w:noProof/>
          <w:lang w:val="fr-BE"/>
        </w:rPr>
        <w:t xml:space="preserve"> VI </w:t>
      </w:r>
    </w:p>
    <w:p w14:paraId="1EA93A8E" w14:textId="77777777" w:rsidR="005B7178" w:rsidRPr="00B74D3E" w:rsidRDefault="005B7178" w:rsidP="002E7782">
      <w:pPr>
        <w:pStyle w:val="ChapterTitle"/>
        <w:rPr>
          <w:noProof/>
          <w:lang w:val="fr-BE"/>
        </w:rPr>
      </w:pPr>
      <w:r w:rsidRPr="00BB322E">
        <w:rPr>
          <w:noProof/>
          <w:lang w:val="fr-BE"/>
        </w:rPr>
        <w:t>Financial provisions</w:t>
      </w:r>
    </w:p>
    <w:p w14:paraId="5D381441" w14:textId="77777777" w:rsidR="005B7178" w:rsidRPr="00B74D3E" w:rsidRDefault="005B7178" w:rsidP="002E7782">
      <w:pPr>
        <w:pStyle w:val="Titrearticle"/>
        <w:rPr>
          <w:noProof/>
          <w:lang w:val="fr-BE"/>
        </w:rPr>
      </w:pPr>
      <w:r w:rsidRPr="00B74D3E">
        <w:rPr>
          <w:noProof/>
          <w:lang w:val="fr-BE"/>
        </w:rPr>
        <w:t>Article 11</w:t>
      </w:r>
    </w:p>
    <w:p w14:paraId="4B6DE412" w14:textId="77777777" w:rsidR="005B7178" w:rsidRPr="00233AB8" w:rsidRDefault="005B7178" w:rsidP="002E7782">
      <w:pPr>
        <w:pStyle w:val="Titrearticle"/>
        <w:rPr>
          <w:b/>
          <w:noProof/>
          <w:lang w:val="en-IE"/>
        </w:rPr>
      </w:pPr>
      <w:r w:rsidRPr="00233AB8">
        <w:rPr>
          <w:b/>
          <w:noProof/>
          <w:lang w:val="en-IE"/>
        </w:rPr>
        <w:t>Budget</w:t>
      </w:r>
    </w:p>
    <w:p w14:paraId="51D353F0" w14:textId="77777777" w:rsidR="005B7178" w:rsidRPr="00FE6978" w:rsidRDefault="005B7178" w:rsidP="00B66E94">
      <w:pPr>
        <w:pStyle w:val="ManualNumPar1"/>
        <w:rPr>
          <w:noProof/>
        </w:rPr>
      </w:pPr>
      <w:r w:rsidRPr="00B66E94">
        <w:rPr>
          <w:noProof/>
        </w:rPr>
        <w:t>1.</w:t>
      </w:r>
      <w:r w:rsidRPr="00B66E94">
        <w:rPr>
          <w:noProof/>
        </w:rPr>
        <w:tab/>
      </w:r>
      <w:r w:rsidRPr="00C504E2">
        <w:rPr>
          <w:noProof/>
        </w:rPr>
        <w:t xml:space="preserve">The </w:t>
      </w:r>
      <w:r w:rsidRPr="00D459EB">
        <w:rPr>
          <w:noProof/>
        </w:rPr>
        <w:t xml:space="preserve">indicative financial envelope for the implementation of the Programme for the period </w:t>
      </w:r>
      <w:r w:rsidRPr="71959BB9">
        <w:rPr>
          <w:rStyle w:val="Instructions"/>
          <w:rFonts w:eastAsiaTheme="minorEastAsia"/>
          <w:i w:val="0"/>
          <w:noProof/>
          <w:color w:val="auto"/>
        </w:rPr>
        <w:t>2028-203</w:t>
      </w:r>
      <w:r w:rsidRPr="71959BB9">
        <w:rPr>
          <w:rStyle w:val="Instructions"/>
          <w:rFonts w:eastAsiaTheme="minorEastAsia"/>
          <w:i w:val="0"/>
          <w:noProof/>
          <w:color w:val="auto"/>
        </w:rPr>
        <w:t>4</w:t>
      </w:r>
      <w:r w:rsidRPr="71959BB9">
        <w:rPr>
          <w:rStyle w:val="Instructions"/>
          <w:rFonts w:eastAsiaTheme="minorEastAsia"/>
          <w:noProof/>
          <w:color w:val="auto"/>
        </w:rPr>
        <w:t xml:space="preserve"> </w:t>
      </w:r>
      <w:r w:rsidRPr="00BD048A">
        <w:rPr>
          <w:noProof/>
        </w:rPr>
        <w:t>is set at EUR</w:t>
      </w:r>
      <w:r w:rsidRPr="71959BB9">
        <w:rPr>
          <w:rStyle w:val="Instructions"/>
          <w:rFonts w:eastAsiaTheme="minorEastAsia"/>
          <w:noProof/>
          <w:color w:val="auto"/>
        </w:rPr>
        <w:t xml:space="preserve"> </w:t>
      </w:r>
      <w:r>
        <w:rPr>
          <w:rStyle w:val="Instructions"/>
          <w:rFonts w:eastAsiaTheme="minorEastAsia"/>
          <w:i w:val="0"/>
          <w:noProof/>
          <w:color w:val="auto"/>
        </w:rPr>
        <w:t xml:space="preserve">8 582 000 000 </w:t>
      </w:r>
      <w:r w:rsidRPr="00BD048A">
        <w:rPr>
          <w:noProof/>
        </w:rPr>
        <w:t>in</w:t>
      </w:r>
      <w:r w:rsidRPr="00D459EB">
        <w:rPr>
          <w:noProof/>
        </w:rPr>
        <w:t xml:space="preserve"> current prices.</w:t>
      </w:r>
      <w:r w:rsidRPr="009D0F91">
        <w:rPr>
          <w:noProof/>
          <w:highlight w:val="lightGray"/>
        </w:rPr>
        <w:t xml:space="preserve"> </w:t>
      </w:r>
    </w:p>
    <w:p w14:paraId="33481061" w14:textId="77777777" w:rsidR="005B7178" w:rsidRPr="002E7782" w:rsidRDefault="005B7178" w:rsidP="00B66E94">
      <w:pPr>
        <w:pStyle w:val="ManualNumPar1"/>
        <w:rPr>
          <w:rStyle w:val="Instructions"/>
          <w:rFonts w:eastAsiaTheme="minorEastAsia"/>
          <w:noProof/>
          <w:color w:val="auto"/>
        </w:rPr>
      </w:pPr>
      <w:r w:rsidRPr="00B66E94">
        <w:rPr>
          <w:rStyle w:val="Instructions"/>
          <w:rFonts w:eastAsiaTheme="minorHAnsi"/>
          <w:noProof/>
        </w:rPr>
        <w:t>2.</w:t>
      </w:r>
      <w:r w:rsidRPr="00B66E94">
        <w:rPr>
          <w:rStyle w:val="Instructions"/>
          <w:rFonts w:eastAsiaTheme="minorHAnsi"/>
          <w:noProof/>
        </w:rPr>
        <w:tab/>
      </w:r>
      <w:r w:rsidRPr="00B74D3E">
        <w:rPr>
          <w:noProof/>
        </w:rPr>
        <w:t>Budgetary commitments for activities</w:t>
      </w:r>
      <w:r>
        <w:rPr>
          <w:noProof/>
        </w:rPr>
        <w:t xml:space="preserve"> </w:t>
      </w:r>
      <w:r w:rsidRPr="00B74D3E">
        <w:rPr>
          <w:noProof/>
        </w:rPr>
        <w:t xml:space="preserve">extending over more than one financial year may be broken down over </w:t>
      </w:r>
      <w:r w:rsidRPr="00B74D3E">
        <w:rPr>
          <w:noProof/>
        </w:rPr>
        <w:t>several years into annual instalments.</w:t>
      </w:r>
    </w:p>
    <w:p w14:paraId="6EA92C2E" w14:textId="77777777" w:rsidR="005B7178" w:rsidRPr="004126E5" w:rsidRDefault="005B7178" w:rsidP="00B66E94">
      <w:pPr>
        <w:pStyle w:val="ManualNumPar1"/>
        <w:rPr>
          <w:i/>
          <w:noProof/>
        </w:rPr>
      </w:pPr>
      <w:r w:rsidRPr="00B66E94">
        <w:rPr>
          <w:noProof/>
        </w:rPr>
        <w:t>3.</w:t>
      </w:r>
      <w:r w:rsidRPr="00B66E94">
        <w:rPr>
          <w:noProof/>
        </w:rPr>
        <w:tab/>
      </w:r>
      <w:r w:rsidRPr="004126E5">
        <w:rPr>
          <w:noProof/>
        </w:rPr>
        <w:t xml:space="preserve">Appropriations may be entered in the Union budget beyond </w:t>
      </w:r>
      <w:r>
        <w:rPr>
          <w:noProof/>
        </w:rPr>
        <w:t>2034</w:t>
      </w:r>
      <w:r w:rsidRPr="004126E5">
        <w:rPr>
          <w:noProof/>
        </w:rPr>
        <w:t xml:space="preserve"> to cover the expenses necessary and to</w:t>
      </w:r>
      <w:r>
        <w:rPr>
          <w:noProof/>
        </w:rPr>
        <w:t xml:space="preserve"> </w:t>
      </w:r>
      <w:r w:rsidRPr="004126E5">
        <w:rPr>
          <w:noProof/>
        </w:rPr>
        <w:t>enable the management of actions not completed by the end of the Programme.</w:t>
      </w:r>
      <w:r w:rsidRPr="004126E5">
        <w:rPr>
          <w:rFonts w:eastAsia="Times New Roman"/>
          <w:noProof/>
        </w:rPr>
        <w:t xml:space="preserve"> </w:t>
      </w:r>
    </w:p>
    <w:p w14:paraId="6B10E3D5" w14:textId="77777777" w:rsidR="005B7178" w:rsidRDefault="005B7178" w:rsidP="00B66E94">
      <w:pPr>
        <w:pStyle w:val="ManualNumPar1"/>
        <w:rPr>
          <w:noProof/>
        </w:rPr>
      </w:pPr>
      <w:r w:rsidRPr="00B66E94">
        <w:rPr>
          <w:noProof/>
        </w:rPr>
        <w:t>4.</w:t>
      </w:r>
      <w:r w:rsidRPr="00B66E94">
        <w:rPr>
          <w:noProof/>
        </w:rPr>
        <w:tab/>
      </w:r>
      <w:r>
        <w:rPr>
          <w:noProof/>
        </w:rPr>
        <w:t xml:space="preserve">The financial envelope referred to in paragraph 1 of this Article and the amounts of additional resources referred to in Article </w:t>
      </w:r>
      <w:r w:rsidRPr="00E715D8">
        <w:rPr>
          <w:noProof/>
        </w:rPr>
        <w:t>1</w:t>
      </w:r>
      <w:r>
        <w:rPr>
          <w:noProof/>
        </w:rPr>
        <w:t>2</w:t>
      </w:r>
      <w:r>
        <w:rPr>
          <w:noProof/>
        </w:rPr>
        <w:t xml:space="preserve"> may also be used for technical and administrative assistance for the implementation of the Programme, such as preparatory, monitoring, control, audit and evaluation activities, corporate information technology systems and platforms, information and communication activities, including corporate communication on the political priorities of the Union, and all other technical and a</w:t>
      </w:r>
      <w:r>
        <w:rPr>
          <w:noProof/>
        </w:rPr>
        <w:t xml:space="preserve">dministrative assistance </w:t>
      </w:r>
      <w:bookmarkStart w:id="8" w:name="_Hlk195084220"/>
      <w:r>
        <w:rPr>
          <w:noProof/>
        </w:rPr>
        <w:t>or staff-related expenses</w:t>
      </w:r>
      <w:bookmarkEnd w:id="8"/>
      <w:r>
        <w:rPr>
          <w:noProof/>
        </w:rPr>
        <w:t xml:space="preserve"> incurred by the Commission for the management of the Programme. </w:t>
      </w:r>
    </w:p>
    <w:p w14:paraId="02015DCA" w14:textId="77777777" w:rsidR="005B7178" w:rsidRPr="00C23310" w:rsidRDefault="005B7178" w:rsidP="00875FE4">
      <w:pPr>
        <w:pStyle w:val="Text1"/>
        <w:rPr>
          <w:noProof/>
        </w:rPr>
      </w:pPr>
    </w:p>
    <w:p w14:paraId="0977C828" w14:textId="77777777" w:rsidR="005B7178" w:rsidRDefault="005B7178" w:rsidP="002E7782">
      <w:pPr>
        <w:pStyle w:val="Titrearticle"/>
        <w:rPr>
          <w:noProof/>
        </w:rPr>
      </w:pPr>
      <w:r>
        <w:rPr>
          <w:noProof/>
        </w:rPr>
        <w:t>Article 12</w:t>
      </w:r>
    </w:p>
    <w:p w14:paraId="53465BBB" w14:textId="77777777" w:rsidR="005B7178" w:rsidRPr="00C25493" w:rsidRDefault="005B7178" w:rsidP="002E7782">
      <w:pPr>
        <w:pStyle w:val="Titrearticle"/>
        <w:rPr>
          <w:b/>
          <w:bCs/>
          <w:noProof/>
        </w:rPr>
      </w:pPr>
      <w:r w:rsidRPr="00C25493">
        <w:rPr>
          <w:b/>
          <w:bCs/>
          <w:noProof/>
        </w:rPr>
        <w:t xml:space="preserve">Additional resources </w:t>
      </w:r>
    </w:p>
    <w:p w14:paraId="4D3A046B" w14:textId="77777777" w:rsidR="005B7178" w:rsidRDefault="005B7178" w:rsidP="00B66E94">
      <w:pPr>
        <w:pStyle w:val="ManualNumPar1"/>
        <w:rPr>
          <w:noProof/>
        </w:rPr>
      </w:pPr>
      <w:r w:rsidRPr="00B66E94">
        <w:rPr>
          <w:noProof/>
        </w:rPr>
        <w:t>1.</w:t>
      </w:r>
      <w:r w:rsidRPr="00B66E94">
        <w:rPr>
          <w:noProof/>
        </w:rPr>
        <w:tab/>
      </w:r>
      <w:r>
        <w:rPr>
          <w:noProof/>
        </w:rPr>
        <w:t xml:space="preserve">Member States, Union institutions, bodies and agencies, third countries, international organisations, international financial institutions, or other third parties, may make additional financial or non-financial contributions to the Programme. Additional financial contributions shall constitute external assigned revenue within the meaning of Article 21(2), points (a), (d), or (e), or Article 21(5) of Regulation (EU, Euratom) 2024/2509. </w:t>
      </w:r>
    </w:p>
    <w:p w14:paraId="45C85237" w14:textId="77777777" w:rsidR="005B7178" w:rsidRDefault="005B7178" w:rsidP="00B66E94">
      <w:pPr>
        <w:pStyle w:val="ManualNumPar1"/>
        <w:rPr>
          <w:noProof/>
        </w:rPr>
      </w:pPr>
      <w:r w:rsidRPr="00B66E94">
        <w:rPr>
          <w:noProof/>
        </w:rPr>
        <w:t>2.</w:t>
      </w:r>
      <w:r w:rsidRPr="00B66E94">
        <w:rPr>
          <w:noProof/>
        </w:rPr>
        <w:tab/>
      </w:r>
      <w:r>
        <w:rPr>
          <w:noProof/>
        </w:rPr>
        <w:t xml:space="preserve">Resources allocated to Member States under shared management may, at their request, be made available to the Programme. The Commission shall implement those resources directly or indirectly in accordance with Article 62(1), point (a) or (c), of Regulation (EU, Euratom) 2024/2509. They shall be additional to the amount referred to in Article </w:t>
      </w:r>
      <w:r w:rsidRPr="006F1015">
        <w:rPr>
          <w:noProof/>
        </w:rPr>
        <w:t>11</w:t>
      </w:r>
      <w:r>
        <w:rPr>
          <w:noProof/>
        </w:rPr>
        <w:t>(1) of this Regulation. Those resources shall be used for the benefit of the Member State concerned. Where the Commission has not entered into a legal commitment unde</w:t>
      </w:r>
      <w:r>
        <w:rPr>
          <w:noProof/>
        </w:rPr>
        <w:t xml:space="preserve">r direct or indirect management for additional amounts thus made available to the Programme, the corresponding uncommitted amounts may, at the request of the Member State concerned, be transferred back to one or more respective source programmes or their successors. </w:t>
      </w:r>
    </w:p>
    <w:p w14:paraId="3106DD8D" w14:textId="77777777" w:rsidR="005B7178" w:rsidRDefault="005B7178" w:rsidP="002E7782">
      <w:pPr>
        <w:pStyle w:val="Titrearticle"/>
        <w:rPr>
          <w:noProof/>
        </w:rPr>
      </w:pPr>
      <w:r>
        <w:rPr>
          <w:noProof/>
        </w:rPr>
        <w:lastRenderedPageBreak/>
        <w:t>Article 13</w:t>
      </w:r>
    </w:p>
    <w:p w14:paraId="6F6E2E54" w14:textId="77777777" w:rsidR="005B7178" w:rsidRPr="00E679E6" w:rsidRDefault="005B7178" w:rsidP="002E7782">
      <w:pPr>
        <w:pStyle w:val="Titrearticle"/>
        <w:rPr>
          <w:b/>
          <w:noProof/>
        </w:rPr>
      </w:pPr>
      <w:r w:rsidRPr="00C25493">
        <w:rPr>
          <w:b/>
          <w:bCs/>
          <w:noProof/>
        </w:rPr>
        <w:t xml:space="preserve">Alternative, combined and cumulative funding </w:t>
      </w:r>
    </w:p>
    <w:p w14:paraId="70F450FC" w14:textId="77777777" w:rsidR="005B7178" w:rsidRPr="004674B9" w:rsidRDefault="005B7178" w:rsidP="00B66E94">
      <w:pPr>
        <w:pStyle w:val="ManualNumPar1"/>
        <w:rPr>
          <w:noProof/>
        </w:rPr>
      </w:pPr>
      <w:r w:rsidRPr="00B66E94">
        <w:rPr>
          <w:noProof/>
        </w:rPr>
        <w:t>1.</w:t>
      </w:r>
      <w:r w:rsidRPr="00B66E94">
        <w:rPr>
          <w:noProof/>
        </w:rPr>
        <w:tab/>
      </w:r>
      <w:r w:rsidRPr="004674B9">
        <w:rPr>
          <w:noProof/>
        </w:rPr>
        <w:t xml:space="preserve">The </w:t>
      </w:r>
      <w:r w:rsidRPr="002E7782">
        <w:rPr>
          <w:noProof/>
        </w:rPr>
        <w:t>Programme shall be implemented in synergy with other Union programmes. An action that has received Union contribution from another programme may also receive a contribution under this Programme. The rules of the relevant Union programme shall apply to the corresponding contribution, or a single set of rules may be applied to all contributions and a single legal commitment may be concluded. If all Union contributions are provided based on eligible cost, the cumulative support from the Union budget shall</w:t>
      </w:r>
      <w:r w:rsidRPr="002E7782">
        <w:rPr>
          <w:noProof/>
        </w:rPr>
        <w:t xml:space="preserve"> not exceed the total eligible costs of the action and may be calculated on a pro-rata basis in accordance with the documents setting out the conditions for support. </w:t>
      </w:r>
    </w:p>
    <w:p w14:paraId="67D3D924" w14:textId="77777777" w:rsidR="005B7178" w:rsidRPr="004674B9" w:rsidRDefault="005B7178" w:rsidP="00B66E94">
      <w:pPr>
        <w:pStyle w:val="ManualNumPar1"/>
        <w:rPr>
          <w:rFonts w:eastAsia="Times New Roman"/>
          <w:noProof/>
          <w:color w:val="000000" w:themeColor="text1"/>
          <w:lang w:val="en-IE"/>
        </w:rPr>
      </w:pPr>
      <w:r w:rsidRPr="00B66E94">
        <w:rPr>
          <w:noProof/>
        </w:rPr>
        <w:t>2.</w:t>
      </w:r>
      <w:r w:rsidRPr="00B66E94">
        <w:rPr>
          <w:noProof/>
        </w:rPr>
        <w:tab/>
      </w:r>
      <w:r w:rsidRPr="009711D3">
        <w:rPr>
          <w:noProof/>
        </w:rPr>
        <w:t>Award procedures under the Programme may be jointly conducted under direct or indirect management with Member States, Union institutions, bodies and agencies, third countries, international organisations, international financial institutions, or other third parties</w:t>
      </w:r>
      <w:r>
        <w:rPr>
          <w:noProof/>
        </w:rPr>
        <w:t xml:space="preserve"> (‘partners to the joint award procedure’)</w:t>
      </w:r>
      <w:r w:rsidRPr="009711D3">
        <w:rPr>
          <w:noProof/>
        </w:rPr>
        <w:t xml:space="preserve">, provided the protection of the financial interests of the Union is ensured. Such procedures shall be subject to a single set of rules and lead to the conclusion of single legal commitments. </w:t>
      </w:r>
      <w:r>
        <w:rPr>
          <w:noProof/>
        </w:rPr>
        <w:t>For that pur</w:t>
      </w:r>
      <w:r>
        <w:rPr>
          <w:noProof/>
        </w:rPr>
        <w:t xml:space="preserve">pose, </w:t>
      </w:r>
      <w:r w:rsidRPr="009711D3">
        <w:rPr>
          <w:noProof/>
        </w:rPr>
        <w:t xml:space="preserve">the partners to the joint award procedure may make resources available to the Programme in accordance with Article </w:t>
      </w:r>
      <w:r>
        <w:rPr>
          <w:noProof/>
        </w:rPr>
        <w:t>12</w:t>
      </w:r>
      <w:r w:rsidRPr="009711D3">
        <w:rPr>
          <w:noProof/>
        </w:rPr>
        <w:t xml:space="preserve"> of this Regulation, or the partners may be entrusted with the implementation of the award procedure, where applicable in accordance with Article 62(1), point (c), of Regulation (EU, Euratom) 2024</w:t>
      </w:r>
      <w:r w:rsidRPr="004674B9">
        <w:rPr>
          <w:rFonts w:eastAsia="Times New Roman"/>
          <w:noProof/>
          <w:color w:val="000000" w:themeColor="text1"/>
          <w:lang w:val="en-IE"/>
        </w:rPr>
        <w:t xml:space="preserve">/2509. </w:t>
      </w:r>
      <w:r>
        <w:rPr>
          <w:rFonts w:eastAsia="Times New Roman"/>
          <w:noProof/>
          <w:color w:val="000000" w:themeColor="text1"/>
          <w:lang w:val="en-IE"/>
        </w:rPr>
        <w:t>I</w:t>
      </w:r>
      <w:r w:rsidRPr="004674B9">
        <w:rPr>
          <w:rFonts w:eastAsia="Times New Roman"/>
          <w:noProof/>
          <w:color w:val="000000" w:themeColor="text1"/>
          <w:lang w:val="en-IE"/>
        </w:rPr>
        <w:t>n joint award procedures</w:t>
      </w:r>
      <w:r>
        <w:rPr>
          <w:rFonts w:eastAsia="Times New Roman"/>
          <w:noProof/>
          <w:color w:val="000000" w:themeColor="text1"/>
          <w:lang w:val="en-IE"/>
        </w:rPr>
        <w:t>, representatives of the partners to the joint award procedure may also be members of</w:t>
      </w:r>
      <w:r w:rsidRPr="004674B9">
        <w:rPr>
          <w:rFonts w:eastAsia="Times New Roman"/>
          <w:noProof/>
          <w:color w:val="000000" w:themeColor="text1"/>
          <w:lang w:val="en-IE"/>
        </w:rPr>
        <w:t xml:space="preserve"> the evaluation committee </w:t>
      </w:r>
      <w:r>
        <w:rPr>
          <w:rFonts w:eastAsia="Times New Roman"/>
          <w:noProof/>
          <w:color w:val="000000" w:themeColor="text1"/>
          <w:lang w:val="en-IE"/>
        </w:rPr>
        <w:t>referred to in Article 153(3) of Regulation (EU, Euratom) 2024/2509</w:t>
      </w:r>
      <w:r w:rsidRPr="004674B9">
        <w:rPr>
          <w:rFonts w:eastAsia="Times New Roman"/>
          <w:noProof/>
          <w:color w:val="000000" w:themeColor="text1"/>
          <w:lang w:val="en-IE"/>
        </w:rPr>
        <w:t>.</w:t>
      </w:r>
    </w:p>
    <w:p w14:paraId="453E352F" w14:textId="77777777" w:rsidR="005B7178" w:rsidRDefault="005B7178" w:rsidP="002E7782">
      <w:pPr>
        <w:pStyle w:val="Titrearticle"/>
        <w:rPr>
          <w:noProof/>
          <w:lang w:val="en-IE"/>
        </w:rPr>
      </w:pPr>
      <w:r>
        <w:rPr>
          <w:noProof/>
          <w:lang w:val="en-IE"/>
        </w:rPr>
        <w:t>Article 14</w:t>
      </w:r>
    </w:p>
    <w:p w14:paraId="7E8B369E" w14:textId="77777777" w:rsidR="005B7178" w:rsidRPr="00C25493" w:rsidRDefault="005B7178" w:rsidP="002E7782">
      <w:pPr>
        <w:pStyle w:val="Titrearticle"/>
        <w:rPr>
          <w:b/>
          <w:bCs/>
          <w:noProof/>
        </w:rPr>
      </w:pPr>
      <w:r w:rsidRPr="00C25493">
        <w:rPr>
          <w:b/>
          <w:bCs/>
          <w:noProof/>
        </w:rPr>
        <w:t>Third countries associated to the Programme</w:t>
      </w:r>
    </w:p>
    <w:p w14:paraId="3DBB56D7" w14:textId="77777777" w:rsidR="005B7178" w:rsidRPr="00276DA1" w:rsidRDefault="005B7178" w:rsidP="00B66E94">
      <w:pPr>
        <w:pStyle w:val="ManualNumPar1"/>
        <w:rPr>
          <w:noProof/>
        </w:rPr>
      </w:pPr>
      <w:r w:rsidRPr="00B66E94">
        <w:rPr>
          <w:noProof/>
        </w:rPr>
        <w:t>1.</w:t>
      </w:r>
      <w:r w:rsidRPr="00B66E94">
        <w:rPr>
          <w:noProof/>
        </w:rPr>
        <w:tab/>
      </w:r>
      <w:r w:rsidRPr="00D3660D">
        <w:rPr>
          <w:noProof/>
        </w:rPr>
        <w:t xml:space="preserve">The </w:t>
      </w:r>
      <w:r>
        <w:rPr>
          <w:noProof/>
        </w:rPr>
        <w:t>P</w:t>
      </w:r>
      <w:r w:rsidRPr="00D3660D">
        <w:rPr>
          <w:noProof/>
        </w:rPr>
        <w:t xml:space="preserve">rogramme may be opened to the participation of the following third countries through full or partial association, in accordance with the objectives laid down in Article </w:t>
      </w:r>
      <w:r w:rsidRPr="006F1015">
        <w:rPr>
          <w:noProof/>
        </w:rPr>
        <w:t xml:space="preserve">3 </w:t>
      </w:r>
      <w:r w:rsidRPr="00D3660D">
        <w:rPr>
          <w:noProof/>
        </w:rPr>
        <w:t>and in accordance with the relevant international agreements or any decisions adopted under the framework of those agreements and</w:t>
      </w:r>
      <w:r w:rsidRPr="00224972">
        <w:rPr>
          <w:noProof/>
        </w:rPr>
        <w:t xml:space="preserve"> applicable to</w:t>
      </w:r>
      <w:r w:rsidRPr="00276DA1">
        <w:rPr>
          <w:noProof/>
        </w:rPr>
        <w:t>:</w:t>
      </w:r>
    </w:p>
    <w:p w14:paraId="56FF514B" w14:textId="77777777" w:rsidR="005B7178" w:rsidRPr="00763606" w:rsidRDefault="005B7178" w:rsidP="00B66E94">
      <w:pPr>
        <w:pStyle w:val="Point1"/>
        <w:rPr>
          <w:noProof/>
        </w:rPr>
      </w:pPr>
      <w:r w:rsidRPr="00B66E94">
        <w:rPr>
          <w:noProof/>
        </w:rPr>
        <w:t>(a)</w:t>
      </w:r>
      <w:r w:rsidRPr="00B66E94">
        <w:rPr>
          <w:noProof/>
        </w:rPr>
        <w:tab/>
      </w:r>
      <w:r w:rsidRPr="00D3660D">
        <w:rPr>
          <w:noProof/>
        </w:rPr>
        <w:t xml:space="preserve">members of the European Free Trade Association which are members of the European Economic Area, as well as European </w:t>
      </w:r>
      <w:r>
        <w:rPr>
          <w:noProof/>
        </w:rPr>
        <w:t>m</w:t>
      </w:r>
      <w:r w:rsidRPr="00D3660D">
        <w:rPr>
          <w:noProof/>
        </w:rPr>
        <w:t>icro</w:t>
      </w:r>
      <w:r w:rsidRPr="00D3660D" w:rsidDel="000F15D8">
        <w:rPr>
          <w:noProof/>
        </w:rPr>
        <w:t>-</w:t>
      </w:r>
      <w:r>
        <w:rPr>
          <w:noProof/>
        </w:rPr>
        <w:t>s</w:t>
      </w:r>
      <w:r w:rsidRPr="00D3660D">
        <w:rPr>
          <w:noProof/>
        </w:rPr>
        <w:t>tates;</w:t>
      </w:r>
    </w:p>
    <w:p w14:paraId="1BDE8643" w14:textId="77777777" w:rsidR="005B7178" w:rsidRPr="00763606" w:rsidRDefault="005B7178" w:rsidP="00B66E94">
      <w:pPr>
        <w:pStyle w:val="Point1"/>
        <w:rPr>
          <w:noProof/>
        </w:rPr>
      </w:pPr>
      <w:r w:rsidRPr="00B66E94">
        <w:rPr>
          <w:noProof/>
        </w:rPr>
        <w:t>(b)</w:t>
      </w:r>
      <w:r w:rsidRPr="00B66E94">
        <w:rPr>
          <w:noProof/>
        </w:rPr>
        <w:tab/>
      </w:r>
      <w:r>
        <w:rPr>
          <w:noProof/>
        </w:rPr>
        <w:t>acceding countries, candidate countries and potential candidates;</w:t>
      </w:r>
    </w:p>
    <w:p w14:paraId="42D16DEA" w14:textId="77777777" w:rsidR="005B7178" w:rsidRPr="00763606" w:rsidRDefault="005B7178" w:rsidP="00B66E94">
      <w:pPr>
        <w:pStyle w:val="Point1"/>
        <w:rPr>
          <w:noProof/>
        </w:rPr>
      </w:pPr>
      <w:r w:rsidRPr="00B66E94">
        <w:rPr>
          <w:noProof/>
        </w:rPr>
        <w:t>(c)</w:t>
      </w:r>
      <w:r w:rsidRPr="00B66E94">
        <w:rPr>
          <w:noProof/>
        </w:rPr>
        <w:tab/>
      </w:r>
      <w:r w:rsidRPr="00D3660D">
        <w:rPr>
          <w:noProof/>
        </w:rPr>
        <w:t xml:space="preserve">European </w:t>
      </w:r>
      <w:r w:rsidRPr="00D3660D">
        <w:rPr>
          <w:noProof/>
        </w:rPr>
        <w:t>Neighbourhood Policy countries;</w:t>
      </w:r>
    </w:p>
    <w:p w14:paraId="77727EF9" w14:textId="77777777" w:rsidR="005B7178" w:rsidRPr="00DF5662" w:rsidRDefault="005B7178" w:rsidP="00B66E94">
      <w:pPr>
        <w:pStyle w:val="Point1"/>
        <w:rPr>
          <w:noProof/>
        </w:rPr>
      </w:pPr>
      <w:r w:rsidRPr="00B66E94">
        <w:rPr>
          <w:noProof/>
        </w:rPr>
        <w:t>(d)</w:t>
      </w:r>
      <w:r w:rsidRPr="00B66E94">
        <w:rPr>
          <w:noProof/>
        </w:rPr>
        <w:tab/>
      </w:r>
      <w:r w:rsidRPr="00D3660D">
        <w:rPr>
          <w:noProof/>
        </w:rPr>
        <w:t>other third countries.</w:t>
      </w:r>
    </w:p>
    <w:p w14:paraId="7E7E15E8" w14:textId="77777777" w:rsidR="005B7178" w:rsidRPr="00DD3762" w:rsidRDefault="005B7178" w:rsidP="00B66E94">
      <w:pPr>
        <w:pStyle w:val="ManualNumPar1"/>
        <w:rPr>
          <w:noProof/>
          <w:szCs w:val="24"/>
        </w:rPr>
      </w:pPr>
      <w:r w:rsidRPr="00B66E94">
        <w:rPr>
          <w:noProof/>
        </w:rPr>
        <w:t>2.</w:t>
      </w:r>
      <w:r w:rsidRPr="00B66E94">
        <w:rPr>
          <w:noProof/>
        </w:rPr>
        <w:tab/>
      </w:r>
      <w:r w:rsidRPr="00D3660D">
        <w:rPr>
          <w:noProof/>
        </w:rPr>
        <w:t xml:space="preserve">The </w:t>
      </w:r>
      <w:r>
        <w:rPr>
          <w:noProof/>
        </w:rPr>
        <w:t>A</w:t>
      </w:r>
      <w:r w:rsidRPr="00D3660D">
        <w:rPr>
          <w:noProof/>
        </w:rPr>
        <w:t xml:space="preserve">ssociation </w:t>
      </w:r>
      <w:r>
        <w:rPr>
          <w:noProof/>
        </w:rPr>
        <w:t>A</w:t>
      </w:r>
      <w:r w:rsidRPr="00D3660D">
        <w:rPr>
          <w:noProof/>
        </w:rPr>
        <w:t>greements for participation</w:t>
      </w:r>
      <w:r>
        <w:rPr>
          <w:noProof/>
        </w:rPr>
        <w:t xml:space="preserve"> in the P</w:t>
      </w:r>
      <w:r w:rsidRPr="00D3660D">
        <w:rPr>
          <w:noProof/>
        </w:rPr>
        <w:t>rogramme</w:t>
      </w:r>
      <w:r>
        <w:rPr>
          <w:noProof/>
        </w:rPr>
        <w:t xml:space="preserve">s </w:t>
      </w:r>
      <w:r w:rsidRPr="00D3660D">
        <w:rPr>
          <w:noProof/>
        </w:rPr>
        <w:t>shall:</w:t>
      </w:r>
    </w:p>
    <w:p w14:paraId="461B646F" w14:textId="77777777" w:rsidR="005B7178" w:rsidRPr="00F7769E" w:rsidRDefault="005B7178" w:rsidP="00B66E94">
      <w:pPr>
        <w:pStyle w:val="Point1"/>
        <w:rPr>
          <w:noProof/>
        </w:rPr>
      </w:pPr>
      <w:r w:rsidRPr="00B66E94">
        <w:rPr>
          <w:noProof/>
        </w:rPr>
        <w:t>(a)</w:t>
      </w:r>
      <w:r w:rsidRPr="00B66E94">
        <w:rPr>
          <w:noProof/>
        </w:rPr>
        <w:tab/>
      </w:r>
      <w:r w:rsidRPr="00F7769E">
        <w:rPr>
          <w:noProof/>
        </w:rPr>
        <w:t xml:space="preserve">ensure a fair balance as regards the contributions and benefits of the third country participating in the </w:t>
      </w:r>
      <w:r>
        <w:rPr>
          <w:noProof/>
        </w:rPr>
        <w:t>P</w:t>
      </w:r>
      <w:r w:rsidRPr="00F7769E">
        <w:rPr>
          <w:noProof/>
        </w:rPr>
        <w:t>rogrammes;</w:t>
      </w:r>
    </w:p>
    <w:p w14:paraId="23E8D99B" w14:textId="77777777" w:rsidR="005B7178" w:rsidRPr="00F7769E" w:rsidRDefault="005B7178" w:rsidP="00B66E94">
      <w:pPr>
        <w:pStyle w:val="Point1"/>
        <w:rPr>
          <w:noProof/>
        </w:rPr>
      </w:pPr>
      <w:r w:rsidRPr="00B66E94">
        <w:rPr>
          <w:noProof/>
        </w:rPr>
        <w:t>(b)</w:t>
      </w:r>
      <w:r w:rsidRPr="00B66E94">
        <w:rPr>
          <w:noProof/>
        </w:rPr>
        <w:tab/>
      </w:r>
      <w:r w:rsidRPr="00F7769E">
        <w:rPr>
          <w:noProof/>
        </w:rPr>
        <w:t xml:space="preserve">lay down the conditions of participation in the </w:t>
      </w:r>
      <w:r>
        <w:rPr>
          <w:noProof/>
        </w:rPr>
        <w:t>Union P</w:t>
      </w:r>
      <w:r w:rsidRPr="00F7769E">
        <w:rPr>
          <w:noProof/>
        </w:rPr>
        <w:t>rogramme, including the calculation of financial contributions, consisting of an operational contribution and a participation fee, to a programme and its general administrative costs;</w:t>
      </w:r>
    </w:p>
    <w:p w14:paraId="36F0DCA3" w14:textId="77777777" w:rsidR="005B7178" w:rsidRPr="002E7782" w:rsidRDefault="005B7178" w:rsidP="00B66E94">
      <w:pPr>
        <w:pStyle w:val="Point1"/>
        <w:rPr>
          <w:rFonts w:eastAsiaTheme="minorEastAsia"/>
          <w:noProof/>
        </w:rPr>
      </w:pPr>
      <w:r w:rsidRPr="00B66E94">
        <w:rPr>
          <w:noProof/>
        </w:rPr>
        <w:t>(c)</w:t>
      </w:r>
      <w:r w:rsidRPr="00B66E94">
        <w:rPr>
          <w:noProof/>
        </w:rPr>
        <w:tab/>
      </w:r>
      <w:r w:rsidRPr="00F7769E">
        <w:rPr>
          <w:noProof/>
        </w:rPr>
        <w:t xml:space="preserve">not confer on the third country any decision-making power in the </w:t>
      </w:r>
      <w:r>
        <w:rPr>
          <w:noProof/>
        </w:rPr>
        <w:t>P</w:t>
      </w:r>
      <w:r w:rsidRPr="00F7769E">
        <w:rPr>
          <w:noProof/>
        </w:rPr>
        <w:t>rogramme</w:t>
      </w:r>
      <w:r>
        <w:rPr>
          <w:noProof/>
        </w:rPr>
        <w:t xml:space="preserve">; </w:t>
      </w:r>
    </w:p>
    <w:p w14:paraId="514D1E13" w14:textId="77777777" w:rsidR="005B7178" w:rsidRPr="002E7782" w:rsidRDefault="005B7178" w:rsidP="00B66E94">
      <w:pPr>
        <w:pStyle w:val="Point1"/>
        <w:rPr>
          <w:noProof/>
        </w:rPr>
      </w:pPr>
      <w:r w:rsidRPr="00B66E94">
        <w:rPr>
          <w:noProof/>
        </w:rPr>
        <w:lastRenderedPageBreak/>
        <w:t>(d)</w:t>
      </w:r>
      <w:r w:rsidRPr="00B66E94">
        <w:rPr>
          <w:noProof/>
        </w:rPr>
        <w:tab/>
      </w:r>
      <w:r w:rsidRPr="002E7782">
        <w:rPr>
          <w:noProof/>
        </w:rPr>
        <w:t>guarantee the rights of the Union to ensure sound financial management and to protect its financial interests</w:t>
      </w:r>
      <w:r>
        <w:rPr>
          <w:noProof/>
        </w:rPr>
        <w:t>;</w:t>
      </w:r>
      <w:r w:rsidRPr="002E7782">
        <w:rPr>
          <w:noProof/>
        </w:rPr>
        <w:t xml:space="preserve"> </w:t>
      </w:r>
    </w:p>
    <w:p w14:paraId="168795F9" w14:textId="77777777" w:rsidR="005B7178" w:rsidRPr="002E7782" w:rsidRDefault="005B7178" w:rsidP="00B66E94">
      <w:pPr>
        <w:pStyle w:val="Point1"/>
        <w:rPr>
          <w:noProof/>
          <w:szCs w:val="24"/>
        </w:rPr>
      </w:pPr>
      <w:r w:rsidRPr="00B66E94">
        <w:rPr>
          <w:noProof/>
        </w:rPr>
        <w:t>(e)</w:t>
      </w:r>
      <w:r w:rsidRPr="00B66E94">
        <w:rPr>
          <w:noProof/>
        </w:rPr>
        <w:tab/>
      </w:r>
      <w:r w:rsidRPr="00F7769E">
        <w:rPr>
          <w:noProof/>
        </w:rPr>
        <w:t xml:space="preserve">where relevant, ensure the protection of security and public </w:t>
      </w:r>
      <w:r w:rsidRPr="00F7769E">
        <w:rPr>
          <w:noProof/>
        </w:rPr>
        <w:t>order interests of the Union.</w:t>
      </w:r>
    </w:p>
    <w:p w14:paraId="6A91277A" w14:textId="77777777" w:rsidR="005B7178" w:rsidRPr="001F3C4B" w:rsidRDefault="005B7178" w:rsidP="002E7782">
      <w:pPr>
        <w:rPr>
          <w:noProof/>
        </w:rPr>
      </w:pPr>
      <w:r>
        <w:rPr>
          <w:noProof/>
        </w:rPr>
        <w:t xml:space="preserve">For the </w:t>
      </w:r>
      <w:r w:rsidRPr="009122A1">
        <w:rPr>
          <w:noProof/>
        </w:rPr>
        <w:t xml:space="preserve">purposes of point (d), the third country shall grant the necessary rights and access required under Regulation (EU, Euratom) 2024/2509 and Regulation (EU, Euratom) No 883/2013, and guarantee that enforcement decisions imposing a pecuniary obligation on the </w:t>
      </w:r>
      <w:r w:rsidRPr="00E14B1A">
        <w:rPr>
          <w:noProof/>
        </w:rPr>
        <w:t>basis of Article 299 TFEU, as well as judgements and orders of the Court of Justice</w:t>
      </w:r>
      <w:r w:rsidRPr="00E14B1A">
        <w:rPr>
          <w:noProof/>
        </w:rPr>
        <w:t xml:space="preserve"> of the </w:t>
      </w:r>
      <w:r w:rsidRPr="001F3C4B">
        <w:rPr>
          <w:noProof/>
        </w:rPr>
        <w:t>European Union</w:t>
      </w:r>
      <w:r w:rsidRPr="001F3C4B">
        <w:rPr>
          <w:noProof/>
        </w:rPr>
        <w:t xml:space="preserve">, are </w:t>
      </w:r>
      <w:r w:rsidRPr="001F3C4B">
        <w:rPr>
          <w:noProof/>
        </w:rPr>
        <w:t>enforceable.</w:t>
      </w:r>
    </w:p>
    <w:p w14:paraId="5DA47219" w14:textId="77777777" w:rsidR="005B7178" w:rsidRPr="00E472B9" w:rsidRDefault="005B7178" w:rsidP="00B66E94">
      <w:pPr>
        <w:pStyle w:val="ManualNumPar1"/>
        <w:rPr>
          <w:noProof/>
        </w:rPr>
      </w:pPr>
      <w:r w:rsidRPr="00B66E94">
        <w:rPr>
          <w:noProof/>
        </w:rPr>
        <w:t>3.</w:t>
      </w:r>
      <w:r w:rsidRPr="00B66E94">
        <w:rPr>
          <w:noProof/>
        </w:rPr>
        <w:tab/>
      </w:r>
      <w:r w:rsidRPr="001F3C4B">
        <w:rPr>
          <w:noProof/>
        </w:rPr>
        <w:t xml:space="preserve">The </w:t>
      </w:r>
      <w:r w:rsidRPr="001F3C4B">
        <w:rPr>
          <w:noProof/>
        </w:rPr>
        <w:t>a</w:t>
      </w:r>
      <w:r w:rsidRPr="001F3C4B">
        <w:rPr>
          <w:noProof/>
        </w:rPr>
        <w:t xml:space="preserve">ssociation </w:t>
      </w:r>
      <w:r w:rsidRPr="001F3C4B">
        <w:rPr>
          <w:noProof/>
        </w:rPr>
        <w:t>a</w:t>
      </w:r>
      <w:r w:rsidRPr="001F3C4B">
        <w:rPr>
          <w:noProof/>
        </w:rPr>
        <w:t>greements granting participation in the ‘Audiovisual’ specific objective referred to in Article 3 shall take into account the situation of the audiovisual market in the country concerned,</w:t>
      </w:r>
      <w:r w:rsidRPr="001F3C4B">
        <w:rPr>
          <w:noProof/>
        </w:rPr>
        <w:t xml:space="preserve"> including the proximity of their legal framework with the Union audiovisual media acquis and the</w:t>
      </w:r>
      <w:r w:rsidRPr="001F3C4B">
        <w:rPr>
          <w:noProof/>
        </w:rPr>
        <w:t xml:space="preserve"> </w:t>
      </w:r>
      <w:r w:rsidRPr="001F3C4B">
        <w:rPr>
          <w:rFonts w:eastAsia="Times New Roman"/>
          <w:noProof/>
          <w:kern w:val="2"/>
          <w:szCs w:val="24"/>
          <w14:ligatures w14:val="standardContextual"/>
        </w:rPr>
        <w:t>access to its</w:t>
      </w:r>
      <w:r>
        <w:rPr>
          <w:rFonts w:eastAsia="Times New Roman"/>
          <w:noProof/>
          <w:kern w:val="2"/>
          <w:szCs w:val="24"/>
          <w14:ligatures w14:val="standardContextual"/>
        </w:rPr>
        <w:t xml:space="preserve"> equivalent</w:t>
      </w:r>
      <w:r w:rsidRPr="001F3C4B">
        <w:rPr>
          <w:rFonts w:eastAsia="Times New Roman"/>
          <w:noProof/>
          <w:kern w:val="2"/>
          <w:szCs w:val="24"/>
          <w14:ligatures w14:val="standardContextual"/>
        </w:rPr>
        <w:t xml:space="preserve"> support schemes</w:t>
      </w:r>
      <w:r w:rsidRPr="001F3C4B">
        <w:rPr>
          <w:rFonts w:eastAsia="Times New Roman"/>
          <w:noProof/>
          <w:kern w:val="2"/>
          <w:szCs w:val="24"/>
          <w14:ligatures w14:val="standardContextual"/>
        </w:rPr>
        <w:t>, in particular with regard to other European countries</w:t>
      </w:r>
      <w:r w:rsidRPr="001F3C4B">
        <w:rPr>
          <w:rFonts w:eastAsia="Times New Roman"/>
          <w:i/>
          <w:iCs/>
          <w:noProof/>
          <w:kern w:val="2"/>
          <w:szCs w:val="24"/>
          <w14:ligatures w14:val="standardContextual"/>
        </w:rPr>
        <w:t xml:space="preserve">. </w:t>
      </w:r>
      <w:r w:rsidRPr="001F3C4B">
        <w:rPr>
          <w:rFonts w:eastAsia="Times New Roman"/>
          <w:noProof/>
          <w:kern w:val="2"/>
          <w:szCs w:val="24"/>
          <w14:ligatures w14:val="standardContextual"/>
        </w:rPr>
        <w:t xml:space="preserve">The agreements concluded with the countries referred to in paragraph 1 (b) shall require the alignment of their </w:t>
      </w:r>
      <w:r w:rsidRPr="001F3C4B">
        <w:rPr>
          <w:rFonts w:eastAsia="Times New Roman"/>
          <w:noProof/>
          <w:kern w:val="2"/>
          <w:szCs w:val="24"/>
          <w14:ligatures w14:val="standardContextual"/>
        </w:rPr>
        <w:t>national law to Directive 2010/13/EU to grant participation in the ‘Audiovisual’ specific objective</w:t>
      </w:r>
      <w:r>
        <w:rPr>
          <w:rFonts w:eastAsia="Times New Roman"/>
          <w:noProof/>
          <w:kern w:val="2"/>
          <w:szCs w:val="24"/>
          <w14:ligatures w14:val="standardContextual"/>
        </w:rPr>
        <w:t>.</w:t>
      </w:r>
    </w:p>
    <w:p w14:paraId="08BA0FD0" w14:textId="77777777" w:rsidR="005B7178" w:rsidRPr="002E7782" w:rsidRDefault="005B7178" w:rsidP="002E7782">
      <w:pPr>
        <w:pStyle w:val="Titrearticle"/>
        <w:rPr>
          <w:noProof/>
        </w:rPr>
      </w:pPr>
      <w:r w:rsidRPr="002E7782">
        <w:rPr>
          <w:noProof/>
        </w:rPr>
        <w:t>Article 1</w:t>
      </w:r>
      <w:r>
        <w:rPr>
          <w:noProof/>
        </w:rPr>
        <w:t>5</w:t>
      </w:r>
    </w:p>
    <w:p w14:paraId="64FD5329" w14:textId="77777777" w:rsidR="005B7178" w:rsidRPr="00C25493" w:rsidRDefault="005B7178" w:rsidP="002E7782">
      <w:pPr>
        <w:pStyle w:val="Titrearticle"/>
        <w:rPr>
          <w:b/>
          <w:bCs/>
          <w:noProof/>
        </w:rPr>
      </w:pPr>
      <w:r w:rsidRPr="00C25493">
        <w:rPr>
          <w:b/>
          <w:bCs/>
          <w:noProof/>
        </w:rPr>
        <w:t xml:space="preserve">Implementation and forms of </w:t>
      </w:r>
      <w:r>
        <w:rPr>
          <w:b/>
          <w:bCs/>
          <w:noProof/>
        </w:rPr>
        <w:t>Union</w:t>
      </w:r>
      <w:r w:rsidRPr="00C25493">
        <w:rPr>
          <w:b/>
          <w:bCs/>
          <w:noProof/>
        </w:rPr>
        <w:t xml:space="preserve"> funding</w:t>
      </w:r>
    </w:p>
    <w:p w14:paraId="656C395D" w14:textId="77777777" w:rsidR="005B7178" w:rsidRPr="009122A1" w:rsidRDefault="005B7178" w:rsidP="00B66E94">
      <w:pPr>
        <w:pStyle w:val="ManualNumPar1"/>
        <w:rPr>
          <w:noProof/>
        </w:rPr>
      </w:pPr>
      <w:r w:rsidRPr="00B66E94">
        <w:rPr>
          <w:noProof/>
        </w:rPr>
        <w:t>1.</w:t>
      </w:r>
      <w:r w:rsidRPr="00B66E94">
        <w:rPr>
          <w:noProof/>
        </w:rPr>
        <w:tab/>
      </w:r>
      <w:r w:rsidRPr="00763606">
        <w:rPr>
          <w:noProof/>
        </w:rPr>
        <w:t xml:space="preserve">The </w:t>
      </w:r>
      <w:r>
        <w:rPr>
          <w:noProof/>
        </w:rPr>
        <w:t>Programme</w:t>
      </w:r>
      <w:r w:rsidRPr="00763606">
        <w:rPr>
          <w:noProof/>
        </w:rPr>
        <w:t xml:space="preserve"> shall be implemented in accordance with Regulation (EU, Euratom) 2024/2509, under direct management or </w:t>
      </w:r>
      <w:r>
        <w:rPr>
          <w:noProof/>
        </w:rPr>
        <w:t xml:space="preserve">under indirect </w:t>
      </w:r>
      <w:r w:rsidRPr="009122A1">
        <w:rPr>
          <w:noProof/>
        </w:rPr>
        <w:t xml:space="preserve">management with entities referred to in Article 62(1), point (c) of that Regulation. </w:t>
      </w:r>
    </w:p>
    <w:p w14:paraId="03E18D17" w14:textId="77777777" w:rsidR="005B7178" w:rsidRPr="009122A1" w:rsidRDefault="005B7178" w:rsidP="00B66E94">
      <w:pPr>
        <w:pStyle w:val="ManualNumPar1"/>
        <w:rPr>
          <w:noProof/>
          <w:lang w:val="en-IE"/>
        </w:rPr>
      </w:pPr>
      <w:r w:rsidRPr="00B66E94">
        <w:rPr>
          <w:noProof/>
        </w:rPr>
        <w:t>1.</w:t>
      </w:r>
      <w:r w:rsidRPr="00B66E94">
        <w:rPr>
          <w:noProof/>
        </w:rPr>
        <w:tab/>
      </w:r>
      <w:r w:rsidRPr="009122A1">
        <w:rPr>
          <w:noProof/>
          <w:lang w:val="en-IE"/>
        </w:rPr>
        <w:t xml:space="preserve">Union funding may be provided in any form in accordance with Regulation (EU, Euratom) 2024/2509, in particular grants, prizes, procurement and non-financial donations. </w:t>
      </w:r>
    </w:p>
    <w:p w14:paraId="7EEE58D5" w14:textId="77777777" w:rsidR="005B7178" w:rsidRPr="009122A1" w:rsidRDefault="005B7178" w:rsidP="00B66E94">
      <w:pPr>
        <w:pStyle w:val="ManualNumPar1"/>
        <w:rPr>
          <w:noProof/>
          <w:lang w:val="en-IE"/>
        </w:rPr>
      </w:pPr>
      <w:r w:rsidRPr="00B66E94">
        <w:rPr>
          <w:noProof/>
        </w:rPr>
        <w:t>2.</w:t>
      </w:r>
      <w:r w:rsidRPr="00B66E94">
        <w:rPr>
          <w:noProof/>
        </w:rPr>
        <w:tab/>
      </w:r>
      <w:r w:rsidRPr="009122A1">
        <w:rPr>
          <w:noProof/>
          <w:lang w:val="en-IE"/>
        </w:rPr>
        <w:t xml:space="preserve">Where Union support is provided in the form of a budgetary guarantee or a financial instrument, including where combined with non-repayable support in a blending operation, it shall be exclusively provided through the </w:t>
      </w:r>
      <w:r>
        <w:rPr>
          <w:rFonts w:eastAsia="Times New Roman"/>
          <w:noProof/>
          <w:color w:val="000000" w:themeColor="text1"/>
          <w:lang w:val="en-IE"/>
        </w:rPr>
        <w:t>ECF InvestEU Instrument</w:t>
      </w:r>
      <w:r w:rsidRPr="00FC3010">
        <w:rPr>
          <w:noProof/>
        </w:rPr>
        <w:t xml:space="preserve"> </w:t>
      </w:r>
      <w:r w:rsidRPr="009122A1">
        <w:rPr>
          <w:noProof/>
          <w:lang w:val="en-IE"/>
        </w:rPr>
        <w:t xml:space="preserve">and implemented in accordance with the applicable rules of the </w:t>
      </w:r>
      <w:r>
        <w:rPr>
          <w:rFonts w:eastAsia="Times New Roman"/>
          <w:noProof/>
          <w:color w:val="000000" w:themeColor="text1"/>
        </w:rPr>
        <w:t>ECF InvestEU Instrument</w:t>
      </w:r>
      <w:r w:rsidRPr="00FC3010">
        <w:rPr>
          <w:noProof/>
        </w:rPr>
        <w:t xml:space="preserve"> </w:t>
      </w:r>
      <w:r w:rsidRPr="009122A1">
        <w:rPr>
          <w:noProof/>
          <w:lang w:val="en-IE"/>
        </w:rPr>
        <w:t xml:space="preserve">through agreements concluded for that type of support under the </w:t>
      </w:r>
      <w:r>
        <w:rPr>
          <w:rFonts w:eastAsia="Times New Roman"/>
          <w:noProof/>
          <w:color w:val="000000" w:themeColor="text1"/>
          <w:szCs w:val="24"/>
        </w:rPr>
        <w:t>ECF InvestEU Instrument</w:t>
      </w:r>
      <w:r w:rsidRPr="2079FCB8">
        <w:rPr>
          <w:noProof/>
          <w:lang w:val="en-IE"/>
        </w:rPr>
        <w:t xml:space="preserve">.   </w:t>
      </w:r>
    </w:p>
    <w:p w14:paraId="18D2ED66" w14:textId="77777777" w:rsidR="005B7178" w:rsidRPr="00FC3010" w:rsidRDefault="005B7178" w:rsidP="00B66E94">
      <w:pPr>
        <w:pStyle w:val="ManualNumPar1"/>
        <w:rPr>
          <w:noProof/>
        </w:rPr>
      </w:pPr>
      <w:r w:rsidRPr="00B66E94">
        <w:rPr>
          <w:noProof/>
        </w:rPr>
        <w:t>3.</w:t>
      </w:r>
      <w:r w:rsidRPr="00B66E94">
        <w:rPr>
          <w:noProof/>
        </w:rPr>
        <w:tab/>
      </w:r>
      <w:r w:rsidRPr="009122A1">
        <w:rPr>
          <w:noProof/>
          <w:lang w:val="en-IE"/>
        </w:rPr>
        <w:t xml:space="preserve">Union support in the form of a budgetary guarantee shall be provided within the maximum amount of the budgetary guarantee established by the </w:t>
      </w:r>
      <w:r w:rsidRPr="00FC3010">
        <w:rPr>
          <w:noProof/>
        </w:rPr>
        <w:t>ECF Regulation</w:t>
      </w:r>
      <w:r w:rsidRPr="00FC3010">
        <w:rPr>
          <w:noProof/>
        </w:rPr>
        <w:t>.</w:t>
      </w:r>
    </w:p>
    <w:p w14:paraId="6EEA2C02" w14:textId="77777777" w:rsidR="005B7178" w:rsidRPr="009122A1" w:rsidRDefault="005B7178" w:rsidP="00B66E94">
      <w:pPr>
        <w:pStyle w:val="ManualNumPar1"/>
        <w:rPr>
          <w:noProof/>
          <w:lang w:val="en-IE"/>
        </w:rPr>
      </w:pPr>
      <w:r w:rsidRPr="00B66E94">
        <w:rPr>
          <w:noProof/>
        </w:rPr>
        <w:t>4.</w:t>
      </w:r>
      <w:r w:rsidRPr="00B66E94">
        <w:rPr>
          <w:noProof/>
        </w:rPr>
        <w:tab/>
      </w:r>
      <w:r w:rsidRPr="009122A1">
        <w:rPr>
          <w:noProof/>
          <w:lang w:val="en-IE"/>
        </w:rPr>
        <w:t xml:space="preserve">Where the Programme makes use of the </w:t>
      </w:r>
      <w:r>
        <w:rPr>
          <w:rFonts w:eastAsia="Times New Roman"/>
          <w:noProof/>
          <w:color w:val="000000" w:themeColor="text1"/>
          <w:szCs w:val="24"/>
        </w:rPr>
        <w:t>ECF InvestEU Instrument</w:t>
      </w:r>
      <w:r w:rsidRPr="009122A1">
        <w:rPr>
          <w:noProof/>
          <w:lang w:val="en-IE"/>
        </w:rPr>
        <w:t>, it shall provide the provisioning for the budgetary guarantee and the financing to financial instruments, including when combined with non-repayable support in the form of a blending operation.</w:t>
      </w:r>
    </w:p>
    <w:p w14:paraId="28A72D48" w14:textId="77777777" w:rsidR="005B7178" w:rsidRPr="009122A1" w:rsidRDefault="005B7178" w:rsidP="00B66E94">
      <w:pPr>
        <w:pStyle w:val="ManualNumPar1"/>
        <w:rPr>
          <w:noProof/>
          <w:lang w:val="en-IE"/>
        </w:rPr>
      </w:pPr>
      <w:r w:rsidRPr="00B66E94">
        <w:rPr>
          <w:noProof/>
        </w:rPr>
        <w:t>5.</w:t>
      </w:r>
      <w:r w:rsidRPr="00B66E94">
        <w:rPr>
          <w:noProof/>
        </w:rPr>
        <w:tab/>
      </w:r>
      <w:r w:rsidRPr="009122A1">
        <w:rPr>
          <w:noProof/>
          <w:lang w:val="en-IE"/>
        </w:rPr>
        <w:t xml:space="preserve">Where Union funding is provided in the form of a grant, funding shall be provided as financing not linked to costs or, where necessary, simplified cost options, in accordance with Regulation (EU, Euratom) 2024/2509. Funding may be provided in the form of actual eligible cost reimbursement only where the objectives of an action cannot be achieved otherwise. </w:t>
      </w:r>
    </w:p>
    <w:p w14:paraId="3080F401" w14:textId="77777777" w:rsidR="005B7178" w:rsidRPr="009122A1" w:rsidRDefault="005B7178" w:rsidP="00B66E94">
      <w:pPr>
        <w:pStyle w:val="ManualNumPar1"/>
        <w:rPr>
          <w:noProof/>
        </w:rPr>
      </w:pPr>
      <w:r w:rsidRPr="00B66E94">
        <w:rPr>
          <w:noProof/>
        </w:rPr>
        <w:lastRenderedPageBreak/>
        <w:t>6.</w:t>
      </w:r>
      <w:r w:rsidRPr="00B66E94">
        <w:rPr>
          <w:noProof/>
        </w:rPr>
        <w:tab/>
      </w:r>
      <w:r w:rsidRPr="009122A1">
        <w:rPr>
          <w:noProof/>
        </w:rPr>
        <w:t>For the purposes of Article 153(3) of Regulation (EU, Euratom) 2024/2509, the evaluation committee may be composed partially or fully of independent external experts.</w:t>
      </w:r>
    </w:p>
    <w:p w14:paraId="5E1DA3D3" w14:textId="77777777" w:rsidR="005B7178" w:rsidRPr="00CE62BE" w:rsidRDefault="005B7178" w:rsidP="00B66E94">
      <w:pPr>
        <w:pStyle w:val="ManualNumPar1"/>
        <w:rPr>
          <w:noProof/>
          <w:lang w:val="en-US" w:eastAsia="ja-JP"/>
        </w:rPr>
      </w:pPr>
      <w:r w:rsidRPr="00B66E94">
        <w:rPr>
          <w:noProof/>
        </w:rPr>
        <w:t>7.</w:t>
      </w:r>
      <w:r w:rsidRPr="00B66E94">
        <w:rPr>
          <w:noProof/>
        </w:rPr>
        <w:tab/>
      </w:r>
      <w:r w:rsidRPr="009122A1">
        <w:rPr>
          <w:noProof/>
          <w:lang w:val="en-US" w:eastAsia="ja-JP"/>
        </w:rPr>
        <w:t xml:space="preserve">Entities applying for a funding under the </w:t>
      </w:r>
      <w:r>
        <w:rPr>
          <w:noProof/>
          <w:lang w:val="en-US" w:eastAsia="ja-JP"/>
        </w:rPr>
        <w:t xml:space="preserve">Creative Europe - </w:t>
      </w:r>
      <w:r w:rsidRPr="009122A1">
        <w:rPr>
          <w:noProof/>
          <w:lang w:val="en-US" w:eastAsia="ja-JP"/>
        </w:rPr>
        <w:t>Culture strand of the Programme</w:t>
      </w:r>
      <w:r w:rsidRPr="009122A1">
        <w:rPr>
          <w:noProof/>
          <w:lang w:val="en-US" w:eastAsia="ja-JP"/>
        </w:rPr>
        <w:t xml:space="preserve"> </w:t>
      </w:r>
      <w:r w:rsidRPr="009122A1">
        <w:rPr>
          <w:noProof/>
          <w:lang w:val="en-US" w:eastAsia="ja-JP"/>
        </w:rPr>
        <w:t>that have received over 50% of their annual revenue from public sources over the last two years, shall be considered as having the necessary financial, professional and administrative capacity to carry out activities under the Programme</w:t>
      </w:r>
      <w:r w:rsidRPr="00CE62BE">
        <w:rPr>
          <w:noProof/>
          <w:lang w:val="en-US" w:eastAsia="ja-JP"/>
        </w:rPr>
        <w:t>. They shall not be required to present further documentation to demonstrate that capacity.</w:t>
      </w:r>
    </w:p>
    <w:p w14:paraId="3222D136" w14:textId="77777777" w:rsidR="005B7178" w:rsidRDefault="005B7178" w:rsidP="002E7782">
      <w:pPr>
        <w:pStyle w:val="Titrearticle"/>
        <w:rPr>
          <w:noProof/>
          <w:lang w:val="en-US"/>
        </w:rPr>
      </w:pPr>
      <w:r>
        <w:rPr>
          <w:noProof/>
          <w:lang w:val="en-US"/>
        </w:rPr>
        <w:t>Article 16</w:t>
      </w:r>
    </w:p>
    <w:p w14:paraId="7CC0CC3F" w14:textId="77777777" w:rsidR="005B7178" w:rsidRPr="00C25493" w:rsidRDefault="005B7178" w:rsidP="002E7782">
      <w:pPr>
        <w:pStyle w:val="Titrearticle"/>
        <w:rPr>
          <w:noProof/>
        </w:rPr>
      </w:pPr>
      <w:r w:rsidRPr="002E7782">
        <w:rPr>
          <w:b/>
          <w:bCs/>
          <w:noProof/>
        </w:rPr>
        <w:t>Eligibility</w:t>
      </w:r>
    </w:p>
    <w:p w14:paraId="0B687F9B" w14:textId="77777777" w:rsidR="005B7178" w:rsidRPr="00E0791D" w:rsidRDefault="005B7178" w:rsidP="00B66E94">
      <w:pPr>
        <w:pStyle w:val="ManualNumPar1"/>
        <w:rPr>
          <w:noProof/>
          <w:lang w:val="en-IE"/>
        </w:rPr>
      </w:pPr>
      <w:r w:rsidRPr="00B66E94">
        <w:rPr>
          <w:noProof/>
        </w:rPr>
        <w:t>1.</w:t>
      </w:r>
      <w:r w:rsidRPr="00B66E94">
        <w:rPr>
          <w:noProof/>
        </w:rPr>
        <w:tab/>
      </w:r>
      <w:r w:rsidRPr="002E7782">
        <w:rPr>
          <w:noProof/>
          <w:lang w:val="en-IE"/>
        </w:rPr>
        <w:t xml:space="preserve">Eligibility criteria shall be set to support achievement of the objectives laid down in Article 3, in accordance with Regulation (EU, Euratom) 2024/2509 and shall apply to all award procedures under the </w:t>
      </w:r>
      <w:r w:rsidRPr="00E0791D">
        <w:rPr>
          <w:noProof/>
          <w:lang w:val="en-IE"/>
        </w:rPr>
        <w:t>Programme.</w:t>
      </w:r>
    </w:p>
    <w:p w14:paraId="42F41462" w14:textId="77777777" w:rsidR="005B7178" w:rsidRPr="00E0791D" w:rsidRDefault="005B7178" w:rsidP="00B66E94">
      <w:pPr>
        <w:pStyle w:val="ManualNumPar1"/>
        <w:rPr>
          <w:noProof/>
          <w:lang w:val="en-IE"/>
        </w:rPr>
      </w:pPr>
      <w:r w:rsidRPr="00B66E94">
        <w:rPr>
          <w:noProof/>
        </w:rPr>
        <w:t>2.</w:t>
      </w:r>
      <w:r w:rsidRPr="00B66E94">
        <w:rPr>
          <w:noProof/>
        </w:rPr>
        <w:tab/>
      </w:r>
      <w:r w:rsidRPr="00E0791D">
        <w:rPr>
          <w:noProof/>
          <w:lang w:val="en-IE"/>
        </w:rPr>
        <w:t xml:space="preserve">In award procedures </w:t>
      </w:r>
      <w:r w:rsidRPr="00FC3010">
        <w:rPr>
          <w:noProof/>
        </w:rPr>
        <w:t>under direct and indirect management,</w:t>
      </w:r>
      <w:r w:rsidRPr="00FC3010">
        <w:rPr>
          <w:noProof/>
        </w:rPr>
        <w:t xml:space="preserve"> one or more of</w:t>
      </w:r>
      <w:r w:rsidRPr="00FC3010">
        <w:rPr>
          <w:noProof/>
        </w:rPr>
        <w:t xml:space="preserve"> </w:t>
      </w:r>
      <w:r w:rsidRPr="00E0791D">
        <w:rPr>
          <w:noProof/>
          <w:lang w:val="en-IE"/>
        </w:rPr>
        <w:t>the following legal entities may be eligible to</w:t>
      </w:r>
      <w:r w:rsidRPr="00E0791D">
        <w:rPr>
          <w:noProof/>
          <w:lang w:val="en-IE"/>
        </w:rPr>
        <w:t xml:space="preserve"> provide or</w:t>
      </w:r>
      <w:r w:rsidRPr="00E0791D">
        <w:rPr>
          <w:noProof/>
          <w:lang w:val="en-IE"/>
        </w:rPr>
        <w:t xml:space="preserve"> receive Union </w:t>
      </w:r>
      <w:r w:rsidRPr="00E0791D">
        <w:rPr>
          <w:noProof/>
          <w:lang w:val="en-IE"/>
        </w:rPr>
        <w:t>support</w:t>
      </w:r>
      <w:r w:rsidRPr="00E0791D">
        <w:rPr>
          <w:noProof/>
          <w:lang w:val="en-IE"/>
        </w:rPr>
        <w:t xml:space="preserve">: </w:t>
      </w:r>
    </w:p>
    <w:p w14:paraId="28BEBA7C" w14:textId="77777777" w:rsidR="005B7178" w:rsidRDefault="005B7178" w:rsidP="00B66E94">
      <w:pPr>
        <w:pStyle w:val="Point1"/>
        <w:rPr>
          <w:noProof/>
        </w:rPr>
      </w:pPr>
      <w:r w:rsidRPr="00B66E94">
        <w:rPr>
          <w:noProof/>
        </w:rPr>
        <w:t>(a)</w:t>
      </w:r>
      <w:r w:rsidRPr="00B66E94">
        <w:rPr>
          <w:noProof/>
        </w:rPr>
        <w:tab/>
      </w:r>
      <w:r w:rsidRPr="00183F38">
        <w:rPr>
          <w:noProof/>
        </w:rPr>
        <w:t>entities established in a Member States</w:t>
      </w:r>
      <w:r>
        <w:rPr>
          <w:noProof/>
        </w:rPr>
        <w:t>;</w:t>
      </w:r>
      <w:r w:rsidRPr="00183F38">
        <w:rPr>
          <w:noProof/>
        </w:rPr>
        <w:t xml:space="preserve"> </w:t>
      </w:r>
    </w:p>
    <w:p w14:paraId="3804FA71" w14:textId="77777777" w:rsidR="005B7178" w:rsidRPr="00183F38" w:rsidRDefault="005B7178" w:rsidP="00B66E94">
      <w:pPr>
        <w:pStyle w:val="Point1"/>
        <w:rPr>
          <w:noProof/>
        </w:rPr>
      </w:pPr>
      <w:r w:rsidRPr="00B66E94">
        <w:rPr>
          <w:noProof/>
        </w:rPr>
        <w:t>(b)</w:t>
      </w:r>
      <w:r w:rsidRPr="00B66E94">
        <w:rPr>
          <w:noProof/>
        </w:rPr>
        <w:tab/>
      </w:r>
      <w:r>
        <w:rPr>
          <w:noProof/>
        </w:rPr>
        <w:t xml:space="preserve">entities established in </w:t>
      </w:r>
      <w:r w:rsidRPr="00183F38">
        <w:rPr>
          <w:noProof/>
        </w:rPr>
        <w:t>an associated third country;</w:t>
      </w:r>
    </w:p>
    <w:p w14:paraId="3208A143" w14:textId="77777777" w:rsidR="005B7178" w:rsidRPr="00183F38" w:rsidRDefault="005B7178" w:rsidP="00B66E94">
      <w:pPr>
        <w:pStyle w:val="Point1"/>
        <w:rPr>
          <w:noProof/>
        </w:rPr>
      </w:pPr>
      <w:r w:rsidRPr="00B66E94">
        <w:rPr>
          <w:noProof/>
        </w:rPr>
        <w:t>(c)</w:t>
      </w:r>
      <w:r w:rsidRPr="00B66E94">
        <w:rPr>
          <w:noProof/>
        </w:rPr>
        <w:tab/>
      </w:r>
      <w:r w:rsidRPr="00183F38">
        <w:rPr>
          <w:noProof/>
        </w:rPr>
        <w:t xml:space="preserve">international organisations; </w:t>
      </w:r>
    </w:p>
    <w:p w14:paraId="101F4383" w14:textId="77777777" w:rsidR="005B7178" w:rsidRPr="00183F38" w:rsidRDefault="005B7178" w:rsidP="00B66E94">
      <w:pPr>
        <w:pStyle w:val="Point1"/>
        <w:rPr>
          <w:noProof/>
        </w:rPr>
      </w:pPr>
      <w:r w:rsidRPr="00B66E94">
        <w:rPr>
          <w:noProof/>
        </w:rPr>
        <w:t>(d)</w:t>
      </w:r>
      <w:r w:rsidRPr="00B66E94">
        <w:rPr>
          <w:noProof/>
        </w:rPr>
        <w:tab/>
      </w:r>
      <w:r>
        <w:rPr>
          <w:noProof/>
        </w:rPr>
        <w:t>other entities established in non-associated third countries where the funding of such entities is essential for implementing the action and contributes to the objectives laid down in Article 3.</w:t>
      </w:r>
    </w:p>
    <w:p w14:paraId="1A6DA699" w14:textId="77777777" w:rsidR="005B7178" w:rsidRPr="002E7782" w:rsidRDefault="005B7178" w:rsidP="00B66E94">
      <w:pPr>
        <w:pStyle w:val="ManualNumPar1"/>
        <w:rPr>
          <w:noProof/>
        </w:rPr>
      </w:pPr>
      <w:r w:rsidRPr="00B66E94">
        <w:rPr>
          <w:noProof/>
        </w:rPr>
        <w:t>3.</w:t>
      </w:r>
      <w:r w:rsidRPr="00B66E94">
        <w:rPr>
          <w:noProof/>
        </w:rPr>
        <w:tab/>
      </w:r>
      <w:r w:rsidRPr="53C5407A">
        <w:rPr>
          <w:noProof/>
        </w:rPr>
        <w:t>In addition to Article 168(2) and (3) of Regulation (EU, Euratom) 2024/2509, associated third countries referred to in Article 1</w:t>
      </w:r>
      <w:r w:rsidRPr="53C5407A">
        <w:rPr>
          <w:noProof/>
        </w:rPr>
        <w:t>4</w:t>
      </w:r>
      <w:r w:rsidRPr="53C5407A">
        <w:rPr>
          <w:noProof/>
        </w:rPr>
        <w:t xml:space="preserve">(1) of this Regulation may, where relevant, participate in and benefit from any procurement mechanisms set out in Article 168(2) and (3) of Regulation (EU, Euratom) 2024/2509. Rules applicable to Member States shall be applied, mutatis mutandis, to participating associated third countries.  </w:t>
      </w:r>
    </w:p>
    <w:p w14:paraId="7B9D0349" w14:textId="77777777" w:rsidR="005B7178" w:rsidRPr="00E6320F" w:rsidRDefault="005B7178" w:rsidP="00B66E94">
      <w:pPr>
        <w:pStyle w:val="ManualNumPar1"/>
        <w:rPr>
          <w:noProof/>
          <w:lang w:val="en-IE"/>
        </w:rPr>
      </w:pPr>
      <w:r w:rsidRPr="00B66E94">
        <w:rPr>
          <w:noProof/>
        </w:rPr>
        <w:t>4.</w:t>
      </w:r>
      <w:r w:rsidRPr="00B66E94">
        <w:rPr>
          <w:noProof/>
        </w:rPr>
        <w:tab/>
      </w:r>
      <w:r w:rsidRPr="0002073F">
        <w:rPr>
          <w:noProof/>
          <w:lang w:val="en-IE"/>
        </w:rPr>
        <w:t xml:space="preserve">Award procedures affecting security or public order, in particular concerning strategic assets and interests of the Union or its Member </w:t>
      </w:r>
      <w:r w:rsidRPr="0002073F">
        <w:rPr>
          <w:noProof/>
          <w:lang w:val="en-IE"/>
        </w:rPr>
        <w:t>States</w:t>
      </w:r>
      <w:r>
        <w:rPr>
          <w:noProof/>
          <w:lang w:val="en-IE"/>
        </w:rPr>
        <w:t>,</w:t>
      </w:r>
      <w:r w:rsidRPr="0002073F">
        <w:rPr>
          <w:noProof/>
          <w:lang w:val="en-IE"/>
        </w:rPr>
        <w:t xml:space="preserve"> </w:t>
      </w:r>
      <w:r>
        <w:rPr>
          <w:noProof/>
          <w:lang w:val="en-IE"/>
        </w:rPr>
        <w:t>shall</w:t>
      </w:r>
      <w:r w:rsidRPr="0002073F">
        <w:rPr>
          <w:noProof/>
          <w:lang w:val="en-IE"/>
        </w:rPr>
        <w:t xml:space="preserve"> be restricted in accordance with Article 136 of Regulation (EU, Euratom) 2024/2509.</w:t>
      </w:r>
      <w:r w:rsidRPr="00E6320F">
        <w:rPr>
          <w:noProof/>
          <w:lang w:val="en-IE"/>
        </w:rPr>
        <w:t xml:space="preserve"> </w:t>
      </w:r>
    </w:p>
    <w:p w14:paraId="51940134" w14:textId="77777777" w:rsidR="005B7178" w:rsidRPr="00E6320F" w:rsidRDefault="005B7178" w:rsidP="00B66E94">
      <w:pPr>
        <w:pStyle w:val="ManualNumPar1"/>
        <w:rPr>
          <w:noProof/>
          <w:lang w:val="en-IE"/>
        </w:rPr>
      </w:pPr>
      <w:r w:rsidRPr="00B66E94">
        <w:rPr>
          <w:noProof/>
        </w:rPr>
        <w:t>5.</w:t>
      </w:r>
      <w:r w:rsidRPr="00B66E94">
        <w:rPr>
          <w:noProof/>
        </w:rPr>
        <w:tab/>
      </w:r>
      <w:r w:rsidRPr="00E6320F">
        <w:rPr>
          <w:noProof/>
          <w:lang w:val="en-IE"/>
        </w:rPr>
        <w:t>The work programme referred to in Article 110 of Regulation (EU, Euratom) 2024/2509 may further specify the eligibility criteria set out in this Regulation or set additional eligibility criteria for specific actions.</w:t>
      </w:r>
    </w:p>
    <w:p w14:paraId="35FF0122" w14:textId="77777777" w:rsidR="005B7178" w:rsidRPr="00E6320F" w:rsidRDefault="005B7178" w:rsidP="00B66E94">
      <w:pPr>
        <w:pStyle w:val="ManualNumPar1"/>
        <w:rPr>
          <w:noProof/>
          <w:lang w:val="en-IE"/>
        </w:rPr>
      </w:pPr>
      <w:r w:rsidRPr="00B66E94">
        <w:rPr>
          <w:noProof/>
        </w:rPr>
        <w:t>6.</w:t>
      </w:r>
      <w:r w:rsidRPr="00B66E94">
        <w:rPr>
          <w:noProof/>
        </w:rPr>
        <w:tab/>
      </w:r>
      <w:r w:rsidRPr="00E6320F">
        <w:rPr>
          <w:noProof/>
          <w:lang w:val="en-IE"/>
        </w:rPr>
        <w:t xml:space="preserve">An operating grant may be awarded without a call for proposals to the European Network of National Equality Bodies (Equinet), to cover expenditure associated with the permanent work programme of Equinet. </w:t>
      </w:r>
    </w:p>
    <w:p w14:paraId="12DB35A5" w14:textId="77777777" w:rsidR="005B7178" w:rsidRDefault="005B7178" w:rsidP="00E6320F">
      <w:pPr>
        <w:pStyle w:val="Titrearticle"/>
        <w:rPr>
          <w:noProof/>
        </w:rPr>
      </w:pPr>
      <w:r>
        <w:rPr>
          <w:noProof/>
        </w:rPr>
        <w:lastRenderedPageBreak/>
        <w:t>Article 17</w:t>
      </w:r>
    </w:p>
    <w:p w14:paraId="7EA5A892" w14:textId="77777777" w:rsidR="005B7178" w:rsidRPr="00E6320F" w:rsidRDefault="005B7178" w:rsidP="00E6320F">
      <w:pPr>
        <w:pStyle w:val="Titrearticle"/>
        <w:rPr>
          <w:b/>
          <w:bCs/>
          <w:noProof/>
        </w:rPr>
      </w:pPr>
      <w:r w:rsidRPr="00E6320F">
        <w:rPr>
          <w:b/>
          <w:bCs/>
          <w:noProof/>
        </w:rPr>
        <w:t>Work programme</w:t>
      </w:r>
    </w:p>
    <w:p w14:paraId="3440DAA2" w14:textId="77777777" w:rsidR="005B7178" w:rsidRPr="00E6320F" w:rsidRDefault="005B7178" w:rsidP="00E6320F">
      <w:pPr>
        <w:rPr>
          <w:i/>
          <w:noProof/>
        </w:rPr>
      </w:pPr>
      <w:r w:rsidRPr="00B74D3E">
        <w:rPr>
          <w:noProof/>
        </w:rPr>
        <w:t xml:space="preserve">The Programme shall be implemented by work programmes referred to in Article 110 Regulation (EU, Euratom) 2024/2509. The work programmes shall set out, where applicable, the activities and related amounts of Union support to be implemented through the ECF </w:t>
      </w:r>
      <w:r>
        <w:rPr>
          <w:noProof/>
        </w:rPr>
        <w:t>I</w:t>
      </w:r>
      <w:r w:rsidRPr="00B74D3E">
        <w:rPr>
          <w:noProof/>
        </w:rPr>
        <w:t>nvest</w:t>
      </w:r>
      <w:r>
        <w:rPr>
          <w:noProof/>
        </w:rPr>
        <w:t>EU</w:t>
      </w:r>
      <w:r w:rsidRPr="00B74D3E">
        <w:rPr>
          <w:noProof/>
        </w:rPr>
        <w:t xml:space="preserve"> instrument</w:t>
      </w:r>
      <w:r>
        <w:rPr>
          <w:noProof/>
        </w:rPr>
        <w:t>.</w:t>
      </w:r>
      <w:r w:rsidRPr="00B74D3E">
        <w:rPr>
          <w:noProof/>
        </w:rPr>
        <w:t xml:space="preserve"> </w:t>
      </w:r>
    </w:p>
    <w:p w14:paraId="37103A6A" w14:textId="77777777" w:rsidR="005B7178" w:rsidRDefault="005B7178" w:rsidP="00E6320F">
      <w:pPr>
        <w:pStyle w:val="ChapterTitle"/>
        <w:rPr>
          <w:noProof/>
          <w:lang w:val="en-IE"/>
        </w:rPr>
      </w:pPr>
      <w:r w:rsidRPr="00E156AA">
        <w:rPr>
          <w:noProof/>
          <w:lang w:val="en-IE"/>
        </w:rPr>
        <w:t>C</w:t>
      </w:r>
      <w:r>
        <w:rPr>
          <w:noProof/>
          <w:lang w:val="en-IE"/>
        </w:rPr>
        <w:t>hapter</w:t>
      </w:r>
      <w:r w:rsidRPr="00E156AA">
        <w:rPr>
          <w:noProof/>
          <w:lang w:val="en-IE"/>
        </w:rPr>
        <w:t xml:space="preserve"> VI</w:t>
      </w:r>
      <w:r>
        <w:rPr>
          <w:noProof/>
          <w:lang w:val="en-IE"/>
        </w:rPr>
        <w:t>I</w:t>
      </w:r>
    </w:p>
    <w:p w14:paraId="049DCBE1" w14:textId="77777777" w:rsidR="005B7178" w:rsidRPr="00C047B2" w:rsidRDefault="005B7178" w:rsidP="00E6320F">
      <w:pPr>
        <w:pStyle w:val="ChapterTitle"/>
        <w:rPr>
          <w:noProof/>
        </w:rPr>
      </w:pPr>
      <w:r w:rsidRPr="00E156AA">
        <w:rPr>
          <w:rFonts w:eastAsia="Times New Roman"/>
          <w:noProof/>
          <w:lang w:val="en-IE"/>
        </w:rPr>
        <w:t>F</w:t>
      </w:r>
      <w:r w:rsidRPr="00C047B2">
        <w:rPr>
          <w:noProof/>
        </w:rPr>
        <w:t>inal provisions</w:t>
      </w:r>
    </w:p>
    <w:p w14:paraId="34A32246" w14:textId="77777777" w:rsidR="005B7178" w:rsidRDefault="005B7178" w:rsidP="00E6320F">
      <w:pPr>
        <w:pStyle w:val="Titrearticle"/>
        <w:rPr>
          <w:noProof/>
          <w:lang w:val="en-IE"/>
        </w:rPr>
      </w:pPr>
      <w:r>
        <w:rPr>
          <w:noProof/>
          <w:lang w:val="en-IE"/>
        </w:rPr>
        <w:t>Article 18</w:t>
      </w:r>
    </w:p>
    <w:p w14:paraId="71669F5C" w14:textId="77777777" w:rsidR="005B7178" w:rsidRPr="00C25493" w:rsidRDefault="005B7178" w:rsidP="00E6320F">
      <w:pPr>
        <w:pStyle w:val="Titrearticle"/>
        <w:rPr>
          <w:noProof/>
        </w:rPr>
      </w:pPr>
      <w:r w:rsidRPr="00E6320F">
        <w:rPr>
          <w:b/>
          <w:bCs/>
          <w:noProof/>
        </w:rPr>
        <w:t>Repeal</w:t>
      </w:r>
      <w:r w:rsidRPr="00C25493">
        <w:rPr>
          <w:noProof/>
        </w:rPr>
        <w:t xml:space="preserve"> </w:t>
      </w:r>
    </w:p>
    <w:p w14:paraId="08FC74A7" w14:textId="77777777" w:rsidR="005B7178" w:rsidRDefault="005B7178" w:rsidP="00E6320F">
      <w:pPr>
        <w:rPr>
          <w:noProof/>
        </w:rPr>
      </w:pPr>
      <w:r w:rsidRPr="3ABF6C52">
        <w:rPr>
          <w:noProof/>
        </w:rPr>
        <w:t xml:space="preserve">Regulations (EU) 2021/692 and (EU) 2021/818 are repealed with effect </w:t>
      </w:r>
      <w:r w:rsidRPr="005429CF">
        <w:rPr>
          <w:noProof/>
        </w:rPr>
        <w:t xml:space="preserve">from </w:t>
      </w:r>
      <w:r w:rsidRPr="007B4E92">
        <w:rPr>
          <w:noProof/>
        </w:rPr>
        <w:t>1 January 2028</w:t>
      </w:r>
      <w:r w:rsidRPr="006C27E8">
        <w:rPr>
          <w:noProof/>
        </w:rPr>
        <w:t>.</w:t>
      </w:r>
    </w:p>
    <w:p w14:paraId="5813D141" w14:textId="77777777" w:rsidR="005B7178" w:rsidRDefault="005B7178" w:rsidP="00E6320F">
      <w:pPr>
        <w:pStyle w:val="Titrearticle"/>
        <w:rPr>
          <w:noProof/>
        </w:rPr>
      </w:pPr>
      <w:r>
        <w:rPr>
          <w:noProof/>
        </w:rPr>
        <w:t>Article 19</w:t>
      </w:r>
    </w:p>
    <w:p w14:paraId="0B4F995C" w14:textId="77777777" w:rsidR="005B7178" w:rsidRPr="00E6320F" w:rsidRDefault="005B7178" w:rsidP="00E6320F">
      <w:pPr>
        <w:pStyle w:val="Titrearticle"/>
        <w:rPr>
          <w:b/>
          <w:bCs/>
          <w:noProof/>
        </w:rPr>
      </w:pPr>
      <w:r w:rsidRPr="00E6320F">
        <w:rPr>
          <w:b/>
          <w:bCs/>
          <w:noProof/>
        </w:rPr>
        <w:t xml:space="preserve">Transitional provisions </w:t>
      </w:r>
    </w:p>
    <w:p w14:paraId="07BB23BC" w14:textId="77777777" w:rsidR="005B7178" w:rsidRPr="00E6320F" w:rsidRDefault="005B7178" w:rsidP="00B66E94">
      <w:pPr>
        <w:pStyle w:val="ManualNumPar1"/>
        <w:rPr>
          <w:noProof/>
        </w:rPr>
      </w:pPr>
      <w:r w:rsidRPr="00B66E94">
        <w:rPr>
          <w:noProof/>
        </w:rPr>
        <w:t>1.</w:t>
      </w:r>
      <w:r w:rsidRPr="00B66E94">
        <w:rPr>
          <w:noProof/>
        </w:rPr>
        <w:tab/>
      </w:r>
      <w:r w:rsidRPr="00E6320F">
        <w:rPr>
          <w:noProof/>
        </w:rPr>
        <w:t xml:space="preserve">This Regulation shall not affect the continuation or modification of the actions concerned, until their closure, under Regulations </w:t>
      </w:r>
      <w:r w:rsidRPr="00E6320F">
        <w:rPr>
          <w:rFonts w:cs="EUAlbertina"/>
          <w:noProof/>
        </w:rPr>
        <w:t xml:space="preserve">(EU) 2021/692 and (EU) 2021/818 </w:t>
      </w:r>
      <w:r w:rsidRPr="00E6320F">
        <w:rPr>
          <w:noProof/>
        </w:rPr>
        <w:t>, which shall continue to apply to the actions concerned until their closure.</w:t>
      </w:r>
    </w:p>
    <w:p w14:paraId="31569773" w14:textId="77777777" w:rsidR="005B7178" w:rsidRPr="00476568" w:rsidRDefault="005B7178" w:rsidP="00B66E94">
      <w:pPr>
        <w:pStyle w:val="ManualNumPar1"/>
        <w:rPr>
          <w:noProof/>
        </w:rPr>
      </w:pPr>
      <w:r w:rsidRPr="00B66E94">
        <w:rPr>
          <w:noProof/>
        </w:rPr>
        <w:t>2.</w:t>
      </w:r>
      <w:r w:rsidRPr="00B66E94">
        <w:rPr>
          <w:noProof/>
        </w:rPr>
        <w:tab/>
      </w:r>
      <w:r>
        <w:rPr>
          <w:noProof/>
        </w:rPr>
        <w:t>The financial envelope for</w:t>
      </w:r>
      <w:r w:rsidRPr="00476568">
        <w:rPr>
          <w:noProof/>
        </w:rPr>
        <w:t xml:space="preserve"> the</w:t>
      </w:r>
      <w:r w:rsidRPr="005429CF">
        <w:rPr>
          <w:noProof/>
        </w:rPr>
        <w:t xml:space="preserve"> </w:t>
      </w:r>
      <w:r w:rsidRPr="007B4E92">
        <w:rPr>
          <w:noProof/>
        </w:rPr>
        <w:t xml:space="preserve">Programme </w:t>
      </w:r>
      <w:r w:rsidRPr="00476568">
        <w:rPr>
          <w:noProof/>
        </w:rPr>
        <w:t>may also cover technical and administrative assistance expenses necessary to ensure the transition between the Programme</w:t>
      </w:r>
      <w:r w:rsidRPr="00734E20">
        <w:rPr>
          <w:noProof/>
        </w:rPr>
        <w:t xml:space="preserve"> </w:t>
      </w:r>
      <w:r w:rsidRPr="007B4E92">
        <w:rPr>
          <w:noProof/>
        </w:rPr>
        <w:t xml:space="preserve">and </w:t>
      </w:r>
      <w:r w:rsidRPr="00476568">
        <w:rPr>
          <w:noProof/>
        </w:rPr>
        <w:t xml:space="preserve">the measures adopted under </w:t>
      </w:r>
      <w:r w:rsidRPr="13969845">
        <w:rPr>
          <w:noProof/>
          <w:color w:val="000000" w:themeColor="text1"/>
        </w:rPr>
        <w:t>Regulations</w:t>
      </w:r>
      <w:r w:rsidRPr="3FBB8D81">
        <w:rPr>
          <w:noProof/>
          <w:color w:val="000000" w:themeColor="text1"/>
        </w:rPr>
        <w:t xml:space="preserve"> </w:t>
      </w:r>
      <w:r w:rsidRPr="3FBB8D81">
        <w:rPr>
          <w:rFonts w:cs="EUAlbertina"/>
          <w:noProof/>
          <w:color w:val="000000" w:themeColor="text1"/>
        </w:rPr>
        <w:t>(EU) 2021/692 and (EU) 2021/81</w:t>
      </w:r>
      <w:r w:rsidRPr="00476568">
        <w:rPr>
          <w:noProof/>
        </w:rPr>
        <w:t xml:space="preserve">. </w:t>
      </w:r>
    </w:p>
    <w:p w14:paraId="61FCDA70" w14:textId="77777777" w:rsidR="005B7178" w:rsidRDefault="005B7178" w:rsidP="00E6320F">
      <w:pPr>
        <w:pStyle w:val="Titrearticle"/>
        <w:rPr>
          <w:noProof/>
        </w:rPr>
      </w:pPr>
      <w:r>
        <w:rPr>
          <w:noProof/>
        </w:rPr>
        <w:t>Article 20</w:t>
      </w:r>
    </w:p>
    <w:p w14:paraId="3C54D55A" w14:textId="77777777" w:rsidR="005B7178" w:rsidRPr="00C25493" w:rsidRDefault="005B7178" w:rsidP="00E6320F">
      <w:pPr>
        <w:pStyle w:val="Titrearticle"/>
        <w:rPr>
          <w:b/>
          <w:bCs/>
          <w:noProof/>
        </w:rPr>
      </w:pPr>
      <w:r w:rsidRPr="00C25493">
        <w:rPr>
          <w:b/>
          <w:bCs/>
          <w:noProof/>
        </w:rPr>
        <w:t xml:space="preserve">Entry into </w:t>
      </w:r>
      <w:r w:rsidRPr="00C25493">
        <w:rPr>
          <w:b/>
          <w:bCs/>
          <w:noProof/>
        </w:rPr>
        <w:t>force</w:t>
      </w:r>
      <w:r>
        <w:rPr>
          <w:b/>
          <w:bCs/>
          <w:noProof/>
        </w:rPr>
        <w:t xml:space="preserve"> and application </w:t>
      </w:r>
    </w:p>
    <w:bookmarkEnd w:id="6"/>
    <w:p w14:paraId="1D89AF4B" w14:textId="77777777" w:rsidR="005B7178" w:rsidRDefault="005B7178">
      <w:pPr>
        <w:rPr>
          <w:noProof/>
        </w:rPr>
      </w:pPr>
      <w:r w:rsidRPr="00F96E01">
        <w:rPr>
          <w:noProof/>
        </w:rPr>
        <w:t xml:space="preserve">This </w:t>
      </w:r>
      <w:r>
        <w:rPr>
          <w:noProof/>
        </w:rPr>
        <w:t>Regulation shall enter into force on the</w:t>
      </w:r>
      <w:r>
        <w:rPr>
          <w:noProof/>
        </w:rPr>
        <w:t xml:space="preserve"> twentieth</w:t>
      </w:r>
      <w:r>
        <w:rPr>
          <w:noProof/>
        </w:rPr>
        <w:t xml:space="preserve"> day following that of its publication in the </w:t>
      </w:r>
      <w:r w:rsidRPr="00767FD5">
        <w:rPr>
          <w:i/>
          <w:iCs/>
          <w:noProof/>
        </w:rPr>
        <w:t>Official Journal of the European Union</w:t>
      </w:r>
      <w:r>
        <w:rPr>
          <w:noProof/>
        </w:rPr>
        <w:t>.</w:t>
      </w:r>
    </w:p>
    <w:p w14:paraId="4616A2AB" w14:textId="77777777" w:rsidR="005B7178" w:rsidRPr="008C5028" w:rsidRDefault="005B7178" w:rsidP="00E6320F">
      <w:pPr>
        <w:rPr>
          <w:i/>
          <w:noProof/>
        </w:rPr>
      </w:pPr>
      <w:r>
        <w:rPr>
          <w:noProof/>
        </w:rPr>
        <w:t xml:space="preserve">It shall apply from </w:t>
      </w:r>
      <w:r w:rsidRPr="007B4E92">
        <w:rPr>
          <w:noProof/>
        </w:rPr>
        <w:t>1 January 2028</w:t>
      </w:r>
      <w:r w:rsidRPr="008C5028">
        <w:rPr>
          <w:noProof/>
        </w:rPr>
        <w:t>.</w:t>
      </w:r>
    </w:p>
    <w:p w14:paraId="6D6B4C77" w14:textId="77777777" w:rsidR="005B7178" w:rsidRPr="00F96E01" w:rsidRDefault="005B7178">
      <w:pPr>
        <w:pStyle w:val="Applicationdirecte"/>
        <w:rPr>
          <w:noProof/>
        </w:rPr>
      </w:pPr>
      <w:r w:rsidRPr="00F96E01">
        <w:rPr>
          <w:noProof/>
        </w:rPr>
        <w:t>This Regulation shall be binding in its entirety and directly applicable in all Member States.</w:t>
      </w:r>
    </w:p>
    <w:p w14:paraId="486162F9" w14:textId="77777777" w:rsidR="005B7178" w:rsidRDefault="005B7178" w:rsidP="00BE2C15">
      <w:pPr>
        <w:pStyle w:val="Fait"/>
        <w:rPr>
          <w:noProof/>
        </w:rPr>
      </w:pPr>
      <w:r>
        <w:rPr>
          <w:noProof/>
        </w:rPr>
        <w:t>Done at Brussels,</w:t>
      </w:r>
    </w:p>
    <w:p w14:paraId="5B1EBA1B" w14:textId="77777777" w:rsidR="005B7178" w:rsidRDefault="005B7178" w:rsidP="00BE2C15">
      <w:pPr>
        <w:pStyle w:val="Institutionquisigne"/>
        <w:rPr>
          <w:noProof/>
        </w:rPr>
      </w:pPr>
      <w:r w:rsidRPr="00D438C2">
        <w:rPr>
          <w:noProof/>
        </w:rPr>
        <w:t>For the European Parliament</w:t>
      </w:r>
      <w:r w:rsidRPr="00D438C2">
        <w:rPr>
          <w:noProof/>
        </w:rPr>
        <w:tab/>
        <w:t>For the Council</w:t>
      </w:r>
    </w:p>
    <w:p w14:paraId="44D67ADF" w14:textId="77777777" w:rsidR="005B7178" w:rsidRDefault="005B7178" w:rsidP="00D438C2">
      <w:pPr>
        <w:pStyle w:val="Personnequisigne"/>
        <w:rPr>
          <w:noProof/>
        </w:rPr>
      </w:pPr>
      <w:r w:rsidRPr="00D438C2">
        <w:rPr>
          <w:noProof/>
        </w:rPr>
        <w:t>The President</w:t>
      </w:r>
      <w:r w:rsidRPr="00D438C2">
        <w:rPr>
          <w:noProof/>
        </w:rPr>
        <w:tab/>
        <w:t>The President</w:t>
      </w:r>
    </w:p>
    <w:p w14:paraId="7334876A" w14:textId="77777777" w:rsidR="005B7178" w:rsidRDefault="005B7178" w:rsidP="00D438C2">
      <w:pPr>
        <w:rPr>
          <w:noProof/>
        </w:rPr>
        <w:sectPr w:rsidR="00D438C2" w:rsidSect="00AC3668">
          <w:headerReference w:type="even" r:id="rId30"/>
          <w:headerReference w:type="default" r:id="rId31"/>
          <w:footerReference w:type="even" r:id="rId32"/>
          <w:footerReference w:type="default" r:id="rId33"/>
          <w:headerReference w:type="first" r:id="rId34"/>
          <w:footerReference w:type="first" r:id="rId35"/>
          <w:pgSz w:w="11907" w:h="16839"/>
          <w:pgMar w:top="1134" w:right="1417" w:bottom="1134" w:left="1417" w:header="709" w:footer="709" w:gutter="0"/>
          <w:cols w:space="708"/>
          <w:docGrid w:linePitch="360"/>
        </w:sectPr>
      </w:pPr>
    </w:p>
    <w:p w14:paraId="413BD582" w14:textId="77777777" w:rsidR="005B7178" w:rsidRPr="009846D6" w:rsidRDefault="005B7178">
      <w:pPr>
        <w:pStyle w:val="Fichefinanciretitre"/>
        <w:keepNext/>
        <w:rPr>
          <w:noProof/>
        </w:rPr>
      </w:pPr>
      <w:r w:rsidRPr="00732102">
        <w:rPr>
          <w:noProof/>
        </w:rPr>
        <w:lastRenderedPageBreak/>
        <w:t>LEGISLATIVE FINANCIAL AND DIGITAL STATEMENT</w:t>
      </w:r>
    </w:p>
    <w:p w14:paraId="2F7ABA90" w14:textId="77777777" w:rsidR="005B7178" w:rsidRDefault="005B7178">
      <w:pPr>
        <w:pStyle w:val="SK1"/>
        <w:rPr>
          <w:rFonts w:asciiTheme="minorHAnsi" w:eastAsiaTheme="minorEastAsia" w:hAnsiTheme="minorHAnsi" w:cstheme="minorBidi"/>
          <w:noProof/>
          <w:kern w:val="2"/>
          <w:sz w:val="22"/>
          <w:lang w:eastAsia="en-GB"/>
          <w14:ligatures w14:val="standardContextual"/>
        </w:rPr>
      </w:pPr>
      <w:r w:rsidRPr="00292B05">
        <w:rPr>
          <w:noProof/>
        </w:rPr>
        <w:t>1.</w:t>
      </w:r>
      <w:r>
        <w:rPr>
          <w:rFonts w:asciiTheme="minorHAnsi" w:eastAsiaTheme="minorEastAsia" w:hAnsiTheme="minorHAnsi" w:cstheme="minorBidi"/>
          <w:noProof/>
          <w:kern w:val="2"/>
          <w:sz w:val="22"/>
          <w:lang w:eastAsia="en-GB"/>
          <w14:ligatures w14:val="standardContextual"/>
        </w:rPr>
        <w:tab/>
      </w:r>
      <w:r w:rsidRPr="00292B05">
        <w:rPr>
          <w:noProof/>
        </w:rPr>
        <w:t>FRAMEWORK OF THE PROPOSAL/INITIATIVE</w:t>
      </w:r>
      <w:r>
        <w:rPr>
          <w:noProof/>
          <w:webHidden/>
        </w:rPr>
        <w:tab/>
        <w:t>3</w:t>
      </w:r>
    </w:p>
    <w:p w14:paraId="1253F417"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1.1.</w:t>
      </w:r>
      <w:r>
        <w:rPr>
          <w:rFonts w:asciiTheme="minorHAnsi" w:eastAsiaTheme="minorEastAsia" w:hAnsiTheme="minorHAnsi" w:cstheme="minorBidi"/>
          <w:noProof/>
          <w:kern w:val="2"/>
          <w:sz w:val="22"/>
          <w:lang w:eastAsia="en-GB"/>
          <w14:ligatures w14:val="standardContextual"/>
        </w:rPr>
        <w:tab/>
      </w:r>
      <w:r w:rsidRPr="00292B05">
        <w:rPr>
          <w:noProof/>
        </w:rPr>
        <w:t>Title of the proposal/initiative</w:t>
      </w:r>
      <w:r>
        <w:rPr>
          <w:noProof/>
          <w:webHidden/>
        </w:rPr>
        <w:tab/>
        <w:t>3</w:t>
      </w:r>
    </w:p>
    <w:p w14:paraId="39C7DEA9"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1.2.</w:t>
      </w:r>
      <w:r>
        <w:rPr>
          <w:rFonts w:asciiTheme="minorHAnsi" w:eastAsiaTheme="minorEastAsia" w:hAnsiTheme="minorHAnsi" w:cstheme="minorBidi"/>
          <w:noProof/>
          <w:kern w:val="2"/>
          <w:sz w:val="22"/>
          <w:lang w:eastAsia="en-GB"/>
          <w14:ligatures w14:val="standardContextual"/>
        </w:rPr>
        <w:tab/>
      </w:r>
      <w:r w:rsidRPr="00292B05">
        <w:rPr>
          <w:noProof/>
        </w:rPr>
        <w:t>Policy area(s) concerned</w:t>
      </w:r>
      <w:r>
        <w:rPr>
          <w:noProof/>
          <w:webHidden/>
        </w:rPr>
        <w:tab/>
        <w:t>3</w:t>
      </w:r>
    </w:p>
    <w:p w14:paraId="43B5DE19"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1.3.</w:t>
      </w:r>
      <w:r>
        <w:rPr>
          <w:rFonts w:asciiTheme="minorHAnsi" w:eastAsiaTheme="minorEastAsia" w:hAnsiTheme="minorHAnsi" w:cstheme="minorBidi"/>
          <w:noProof/>
          <w:kern w:val="2"/>
          <w:sz w:val="22"/>
          <w:lang w:eastAsia="en-GB"/>
          <w14:ligatures w14:val="standardContextual"/>
        </w:rPr>
        <w:tab/>
      </w:r>
      <w:r w:rsidRPr="00292B05">
        <w:rPr>
          <w:noProof/>
        </w:rPr>
        <w:t>Objective(s)</w:t>
      </w:r>
      <w:r>
        <w:rPr>
          <w:noProof/>
          <w:webHidden/>
        </w:rPr>
        <w:tab/>
        <w:t>3</w:t>
      </w:r>
    </w:p>
    <w:p w14:paraId="331643B8"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1.3.1.</w:t>
      </w:r>
      <w:r>
        <w:rPr>
          <w:rFonts w:asciiTheme="minorHAnsi" w:eastAsiaTheme="minorEastAsia" w:hAnsiTheme="minorHAnsi" w:cstheme="minorBidi"/>
          <w:noProof/>
          <w:kern w:val="2"/>
          <w:sz w:val="22"/>
          <w:lang w:eastAsia="en-GB"/>
          <w14:ligatures w14:val="standardContextual"/>
        </w:rPr>
        <w:tab/>
      </w:r>
      <w:r w:rsidRPr="00292B05">
        <w:rPr>
          <w:noProof/>
        </w:rPr>
        <w:t>General objective(s)</w:t>
      </w:r>
      <w:r>
        <w:rPr>
          <w:noProof/>
          <w:webHidden/>
        </w:rPr>
        <w:tab/>
        <w:t>3</w:t>
      </w:r>
    </w:p>
    <w:p w14:paraId="7830AD20"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1.3.2.</w:t>
      </w:r>
      <w:r>
        <w:rPr>
          <w:rFonts w:asciiTheme="minorHAnsi" w:eastAsiaTheme="minorEastAsia" w:hAnsiTheme="minorHAnsi" w:cstheme="minorBidi"/>
          <w:noProof/>
          <w:kern w:val="2"/>
          <w:sz w:val="22"/>
          <w:lang w:eastAsia="en-GB"/>
          <w14:ligatures w14:val="standardContextual"/>
        </w:rPr>
        <w:tab/>
      </w:r>
      <w:r w:rsidRPr="00292B05">
        <w:rPr>
          <w:noProof/>
        </w:rPr>
        <w:t>Specific objective(s)</w:t>
      </w:r>
      <w:r>
        <w:rPr>
          <w:noProof/>
          <w:webHidden/>
        </w:rPr>
        <w:tab/>
        <w:t>3</w:t>
      </w:r>
    </w:p>
    <w:p w14:paraId="7E6EA92B"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1.3.3.</w:t>
      </w:r>
      <w:r>
        <w:rPr>
          <w:rFonts w:asciiTheme="minorHAnsi" w:eastAsiaTheme="minorEastAsia" w:hAnsiTheme="minorHAnsi" w:cstheme="minorBidi"/>
          <w:noProof/>
          <w:kern w:val="2"/>
          <w:sz w:val="22"/>
          <w:lang w:eastAsia="en-GB"/>
          <w14:ligatures w14:val="standardContextual"/>
        </w:rPr>
        <w:tab/>
      </w:r>
      <w:r w:rsidRPr="00292B05">
        <w:rPr>
          <w:noProof/>
        </w:rPr>
        <w:t>Expected result(s) and impact</w:t>
      </w:r>
      <w:r>
        <w:rPr>
          <w:noProof/>
          <w:webHidden/>
        </w:rPr>
        <w:tab/>
        <w:t>3</w:t>
      </w:r>
    </w:p>
    <w:p w14:paraId="765CE342"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1.3.4.</w:t>
      </w:r>
      <w:r>
        <w:rPr>
          <w:rFonts w:asciiTheme="minorHAnsi" w:eastAsiaTheme="minorEastAsia" w:hAnsiTheme="minorHAnsi" w:cstheme="minorBidi"/>
          <w:noProof/>
          <w:kern w:val="2"/>
          <w:sz w:val="22"/>
          <w:lang w:eastAsia="en-GB"/>
          <w14:ligatures w14:val="standardContextual"/>
        </w:rPr>
        <w:tab/>
      </w:r>
      <w:r w:rsidRPr="00292B05">
        <w:rPr>
          <w:noProof/>
        </w:rPr>
        <w:t>Indicators of performance</w:t>
      </w:r>
      <w:r>
        <w:rPr>
          <w:noProof/>
          <w:webHidden/>
        </w:rPr>
        <w:tab/>
        <w:t>3</w:t>
      </w:r>
    </w:p>
    <w:p w14:paraId="648758EE"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1.4.</w:t>
      </w:r>
      <w:r>
        <w:rPr>
          <w:rFonts w:asciiTheme="minorHAnsi" w:eastAsiaTheme="minorEastAsia" w:hAnsiTheme="minorHAnsi" w:cstheme="minorBidi"/>
          <w:noProof/>
          <w:kern w:val="2"/>
          <w:sz w:val="22"/>
          <w:lang w:eastAsia="en-GB"/>
          <w14:ligatures w14:val="standardContextual"/>
        </w:rPr>
        <w:tab/>
      </w:r>
      <w:r w:rsidRPr="00292B05">
        <w:rPr>
          <w:noProof/>
        </w:rPr>
        <w:t>The proposal/initiative relates to:</w:t>
      </w:r>
      <w:r>
        <w:rPr>
          <w:noProof/>
          <w:webHidden/>
        </w:rPr>
        <w:tab/>
        <w:t>4</w:t>
      </w:r>
    </w:p>
    <w:p w14:paraId="376B8957"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1.5.</w:t>
      </w:r>
      <w:r>
        <w:rPr>
          <w:rFonts w:asciiTheme="minorHAnsi" w:eastAsiaTheme="minorEastAsia" w:hAnsiTheme="minorHAnsi" w:cstheme="minorBidi"/>
          <w:noProof/>
          <w:kern w:val="2"/>
          <w:sz w:val="22"/>
          <w:lang w:eastAsia="en-GB"/>
          <w14:ligatures w14:val="standardContextual"/>
        </w:rPr>
        <w:tab/>
      </w:r>
      <w:r w:rsidRPr="00292B05">
        <w:rPr>
          <w:noProof/>
        </w:rPr>
        <w:t>Grounds for the proposal/initiative</w:t>
      </w:r>
      <w:r>
        <w:rPr>
          <w:noProof/>
          <w:webHidden/>
        </w:rPr>
        <w:tab/>
        <w:t>4</w:t>
      </w:r>
    </w:p>
    <w:p w14:paraId="33809125"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1.5.1.</w:t>
      </w:r>
      <w:r>
        <w:rPr>
          <w:rFonts w:asciiTheme="minorHAnsi" w:eastAsiaTheme="minorEastAsia" w:hAnsiTheme="minorHAnsi" w:cstheme="minorBidi"/>
          <w:noProof/>
          <w:kern w:val="2"/>
          <w:sz w:val="22"/>
          <w:lang w:eastAsia="en-GB"/>
          <w14:ligatures w14:val="standardContextual"/>
        </w:rPr>
        <w:tab/>
      </w:r>
      <w:r w:rsidRPr="00292B05">
        <w:rPr>
          <w:noProof/>
        </w:rPr>
        <w:t>Requirement(s) to be met in the short or long term including a detailed timeline for roll-out of the implementation of the initiative</w:t>
      </w:r>
      <w:r>
        <w:rPr>
          <w:noProof/>
          <w:webHidden/>
        </w:rPr>
        <w:tab/>
        <w:t>4</w:t>
      </w:r>
    </w:p>
    <w:p w14:paraId="664CF74E"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1.5.2.</w:t>
      </w:r>
      <w:r>
        <w:rPr>
          <w:rFonts w:asciiTheme="minorHAnsi" w:eastAsiaTheme="minorEastAsia" w:hAnsiTheme="minorHAnsi" w:cstheme="minorBidi"/>
          <w:noProof/>
          <w:kern w:val="2"/>
          <w:sz w:val="22"/>
          <w:lang w:eastAsia="en-GB"/>
          <w14:ligatures w14:val="standardContextual"/>
        </w:rPr>
        <w:tab/>
      </w:r>
      <w:r w:rsidRPr="00292B05">
        <w:rPr>
          <w:noProof/>
        </w:rPr>
        <w:t>Added value of EU involvement (it may result from different factors, e.g. coordination gains, legal certainty, greater effectiveness or complementarities). For the purposes of this section 'added value of EU involvement' is the value resulting from EU action, that is additional to the value that would have been otherwise created by Member States alone.</w:t>
      </w:r>
      <w:r>
        <w:rPr>
          <w:noProof/>
          <w:webHidden/>
        </w:rPr>
        <w:tab/>
        <w:t>4</w:t>
      </w:r>
    </w:p>
    <w:p w14:paraId="31B85463"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1.5.3.</w:t>
      </w:r>
      <w:r>
        <w:rPr>
          <w:rFonts w:asciiTheme="minorHAnsi" w:eastAsiaTheme="minorEastAsia" w:hAnsiTheme="minorHAnsi" w:cstheme="minorBidi"/>
          <w:noProof/>
          <w:kern w:val="2"/>
          <w:sz w:val="22"/>
          <w:lang w:eastAsia="en-GB"/>
          <w14:ligatures w14:val="standardContextual"/>
        </w:rPr>
        <w:tab/>
      </w:r>
      <w:r w:rsidRPr="00292B05">
        <w:rPr>
          <w:noProof/>
        </w:rPr>
        <w:t>Lessons learned from similar experiences in the past</w:t>
      </w:r>
      <w:r>
        <w:rPr>
          <w:noProof/>
          <w:webHidden/>
        </w:rPr>
        <w:tab/>
        <w:t>4</w:t>
      </w:r>
    </w:p>
    <w:p w14:paraId="078A26C5"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1.5.4.</w:t>
      </w:r>
      <w:r>
        <w:rPr>
          <w:rFonts w:asciiTheme="minorHAnsi" w:eastAsiaTheme="minorEastAsia" w:hAnsiTheme="minorHAnsi" w:cstheme="minorBidi"/>
          <w:noProof/>
          <w:kern w:val="2"/>
          <w:sz w:val="22"/>
          <w:lang w:eastAsia="en-GB"/>
          <w14:ligatures w14:val="standardContextual"/>
        </w:rPr>
        <w:tab/>
      </w:r>
      <w:r w:rsidRPr="00292B05">
        <w:rPr>
          <w:noProof/>
        </w:rPr>
        <w:t>Compatibility with the multiannual financial framework and possible synergies with other appropriate instruments</w:t>
      </w:r>
      <w:r>
        <w:rPr>
          <w:noProof/>
          <w:webHidden/>
        </w:rPr>
        <w:tab/>
        <w:t>5</w:t>
      </w:r>
    </w:p>
    <w:p w14:paraId="59FE0E02"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1.5.5.</w:t>
      </w:r>
      <w:r>
        <w:rPr>
          <w:rFonts w:asciiTheme="minorHAnsi" w:eastAsiaTheme="minorEastAsia" w:hAnsiTheme="minorHAnsi" w:cstheme="minorBidi"/>
          <w:noProof/>
          <w:kern w:val="2"/>
          <w:sz w:val="22"/>
          <w:lang w:eastAsia="en-GB"/>
          <w14:ligatures w14:val="standardContextual"/>
        </w:rPr>
        <w:tab/>
      </w:r>
      <w:r w:rsidRPr="00292B05">
        <w:rPr>
          <w:noProof/>
        </w:rPr>
        <w:t>Assessment of the different available financing options, including scope for redeployment</w:t>
      </w:r>
      <w:r>
        <w:rPr>
          <w:noProof/>
          <w:webHidden/>
        </w:rPr>
        <w:tab/>
        <w:t>5</w:t>
      </w:r>
    </w:p>
    <w:p w14:paraId="026C56A5"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1.6.</w:t>
      </w:r>
      <w:r>
        <w:rPr>
          <w:rFonts w:asciiTheme="minorHAnsi" w:eastAsiaTheme="minorEastAsia" w:hAnsiTheme="minorHAnsi" w:cstheme="minorBidi"/>
          <w:noProof/>
          <w:kern w:val="2"/>
          <w:sz w:val="22"/>
          <w:lang w:eastAsia="en-GB"/>
          <w14:ligatures w14:val="standardContextual"/>
        </w:rPr>
        <w:tab/>
      </w:r>
      <w:r w:rsidRPr="00292B05">
        <w:rPr>
          <w:noProof/>
        </w:rPr>
        <w:t>Duration of the proposal/initiative and of its financial impact</w:t>
      </w:r>
      <w:r>
        <w:rPr>
          <w:noProof/>
          <w:webHidden/>
        </w:rPr>
        <w:tab/>
        <w:t>6</w:t>
      </w:r>
    </w:p>
    <w:p w14:paraId="1144AB58"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1.7.</w:t>
      </w:r>
      <w:r>
        <w:rPr>
          <w:rFonts w:asciiTheme="minorHAnsi" w:eastAsiaTheme="minorEastAsia" w:hAnsiTheme="minorHAnsi" w:cstheme="minorBidi"/>
          <w:noProof/>
          <w:kern w:val="2"/>
          <w:sz w:val="22"/>
          <w:lang w:eastAsia="en-GB"/>
          <w14:ligatures w14:val="standardContextual"/>
        </w:rPr>
        <w:tab/>
      </w:r>
      <w:r w:rsidRPr="00292B05">
        <w:rPr>
          <w:noProof/>
        </w:rPr>
        <w:t>Method(s) of budget implementation planned</w:t>
      </w:r>
      <w:r>
        <w:rPr>
          <w:noProof/>
          <w:webHidden/>
        </w:rPr>
        <w:tab/>
        <w:t>6</w:t>
      </w:r>
    </w:p>
    <w:p w14:paraId="126E19AD" w14:textId="77777777" w:rsidR="005B7178" w:rsidRDefault="005B7178">
      <w:pPr>
        <w:pStyle w:val="SK1"/>
        <w:rPr>
          <w:rFonts w:asciiTheme="minorHAnsi" w:eastAsiaTheme="minorEastAsia" w:hAnsiTheme="minorHAnsi" w:cstheme="minorBidi"/>
          <w:noProof/>
          <w:kern w:val="2"/>
          <w:sz w:val="22"/>
          <w:lang w:eastAsia="en-GB"/>
          <w14:ligatures w14:val="standardContextual"/>
        </w:rPr>
      </w:pPr>
      <w:r w:rsidRPr="00292B05">
        <w:rPr>
          <w:noProof/>
        </w:rPr>
        <w:t>2.</w:t>
      </w:r>
      <w:r>
        <w:rPr>
          <w:rFonts w:asciiTheme="minorHAnsi" w:eastAsiaTheme="minorEastAsia" w:hAnsiTheme="minorHAnsi" w:cstheme="minorBidi"/>
          <w:noProof/>
          <w:kern w:val="2"/>
          <w:sz w:val="22"/>
          <w:lang w:eastAsia="en-GB"/>
          <w14:ligatures w14:val="standardContextual"/>
        </w:rPr>
        <w:tab/>
      </w:r>
      <w:r w:rsidRPr="00292B05">
        <w:rPr>
          <w:noProof/>
        </w:rPr>
        <w:t>MANAGEMENT MEASURES</w:t>
      </w:r>
      <w:r>
        <w:rPr>
          <w:noProof/>
          <w:webHidden/>
        </w:rPr>
        <w:tab/>
        <w:t>8</w:t>
      </w:r>
    </w:p>
    <w:p w14:paraId="24DBD000"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2.1.</w:t>
      </w:r>
      <w:r>
        <w:rPr>
          <w:rFonts w:asciiTheme="minorHAnsi" w:eastAsiaTheme="minorEastAsia" w:hAnsiTheme="minorHAnsi" w:cstheme="minorBidi"/>
          <w:noProof/>
          <w:kern w:val="2"/>
          <w:sz w:val="22"/>
          <w:lang w:eastAsia="en-GB"/>
          <w14:ligatures w14:val="standardContextual"/>
        </w:rPr>
        <w:tab/>
      </w:r>
      <w:r w:rsidRPr="00292B05">
        <w:rPr>
          <w:noProof/>
        </w:rPr>
        <w:t>Monitoring and reporting rules</w:t>
      </w:r>
      <w:r>
        <w:rPr>
          <w:noProof/>
          <w:webHidden/>
        </w:rPr>
        <w:tab/>
        <w:t>8</w:t>
      </w:r>
    </w:p>
    <w:p w14:paraId="1FC754C9"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2.2.</w:t>
      </w:r>
      <w:r>
        <w:rPr>
          <w:rFonts w:asciiTheme="minorHAnsi" w:eastAsiaTheme="minorEastAsia" w:hAnsiTheme="minorHAnsi" w:cstheme="minorBidi"/>
          <w:noProof/>
          <w:kern w:val="2"/>
          <w:sz w:val="22"/>
          <w:lang w:eastAsia="en-GB"/>
          <w14:ligatures w14:val="standardContextual"/>
        </w:rPr>
        <w:tab/>
      </w:r>
      <w:r w:rsidRPr="00292B05">
        <w:rPr>
          <w:noProof/>
        </w:rPr>
        <w:t>Management and control system(s)</w:t>
      </w:r>
      <w:r>
        <w:rPr>
          <w:noProof/>
          <w:webHidden/>
        </w:rPr>
        <w:tab/>
        <w:t>8</w:t>
      </w:r>
    </w:p>
    <w:p w14:paraId="3D0C731E"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2.2.1.</w:t>
      </w:r>
      <w:r>
        <w:rPr>
          <w:rFonts w:asciiTheme="minorHAnsi" w:eastAsiaTheme="minorEastAsia" w:hAnsiTheme="minorHAnsi" w:cstheme="minorBidi"/>
          <w:noProof/>
          <w:kern w:val="2"/>
          <w:sz w:val="22"/>
          <w:lang w:eastAsia="en-GB"/>
          <w14:ligatures w14:val="standardContextual"/>
        </w:rPr>
        <w:tab/>
      </w:r>
      <w:r w:rsidRPr="00292B05">
        <w:rPr>
          <w:noProof/>
        </w:rPr>
        <w:t xml:space="preserve">Justification of the budget implementation method(s), the funding implementation mechanism(s), the payment modalities and the control </w:t>
      </w:r>
      <w:r w:rsidRPr="00292B05">
        <w:rPr>
          <w:noProof/>
        </w:rPr>
        <w:t>strategy proposed</w:t>
      </w:r>
      <w:r>
        <w:rPr>
          <w:noProof/>
          <w:webHidden/>
        </w:rPr>
        <w:tab/>
        <w:t>8</w:t>
      </w:r>
    </w:p>
    <w:p w14:paraId="21A92669"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2.2.2.</w:t>
      </w:r>
      <w:r>
        <w:rPr>
          <w:rFonts w:asciiTheme="minorHAnsi" w:eastAsiaTheme="minorEastAsia" w:hAnsiTheme="minorHAnsi" w:cstheme="minorBidi"/>
          <w:noProof/>
          <w:kern w:val="2"/>
          <w:sz w:val="22"/>
          <w:lang w:eastAsia="en-GB"/>
          <w14:ligatures w14:val="standardContextual"/>
        </w:rPr>
        <w:tab/>
      </w:r>
      <w:r w:rsidRPr="00292B05">
        <w:rPr>
          <w:noProof/>
        </w:rPr>
        <w:t>Information concerning the risks identified and the internal control system(s) set up to mitigate them</w:t>
      </w:r>
      <w:r>
        <w:rPr>
          <w:noProof/>
          <w:webHidden/>
        </w:rPr>
        <w:tab/>
        <w:t>8</w:t>
      </w:r>
    </w:p>
    <w:p w14:paraId="71333BD2"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2.2.3.</w:t>
      </w:r>
      <w:r>
        <w:rPr>
          <w:rFonts w:asciiTheme="minorHAnsi" w:eastAsiaTheme="minorEastAsia" w:hAnsiTheme="minorHAnsi" w:cstheme="minorBidi"/>
          <w:noProof/>
          <w:kern w:val="2"/>
          <w:sz w:val="22"/>
          <w:lang w:eastAsia="en-GB"/>
          <w14:ligatures w14:val="standardContextual"/>
        </w:rPr>
        <w:tab/>
      </w:r>
      <w:r w:rsidRPr="00292B05">
        <w:rPr>
          <w:noProof/>
        </w:rPr>
        <w:t>Estimation and justification of the cost-effectiveness of the controls (ratio between the control costs  and the value of the related funds managed), and assessment of the expected levels of risk of error (at payment &amp; at closure)</w:t>
      </w:r>
      <w:r>
        <w:rPr>
          <w:noProof/>
          <w:webHidden/>
        </w:rPr>
        <w:tab/>
        <w:t>8</w:t>
      </w:r>
    </w:p>
    <w:p w14:paraId="558AD189"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2.3.</w:t>
      </w:r>
      <w:r>
        <w:rPr>
          <w:rFonts w:asciiTheme="minorHAnsi" w:eastAsiaTheme="minorEastAsia" w:hAnsiTheme="minorHAnsi" w:cstheme="minorBidi"/>
          <w:noProof/>
          <w:kern w:val="2"/>
          <w:sz w:val="22"/>
          <w:lang w:eastAsia="en-GB"/>
          <w14:ligatures w14:val="standardContextual"/>
        </w:rPr>
        <w:tab/>
      </w:r>
      <w:r w:rsidRPr="00292B05">
        <w:rPr>
          <w:noProof/>
        </w:rPr>
        <w:t>Measures to prevent fraud and irregularities</w:t>
      </w:r>
      <w:r>
        <w:rPr>
          <w:noProof/>
          <w:webHidden/>
        </w:rPr>
        <w:tab/>
        <w:t>9</w:t>
      </w:r>
    </w:p>
    <w:p w14:paraId="4995647D" w14:textId="77777777" w:rsidR="005B7178" w:rsidRDefault="005B7178">
      <w:pPr>
        <w:pStyle w:val="SK1"/>
        <w:rPr>
          <w:rFonts w:asciiTheme="minorHAnsi" w:eastAsiaTheme="minorEastAsia" w:hAnsiTheme="minorHAnsi" w:cstheme="minorBidi"/>
          <w:noProof/>
          <w:kern w:val="2"/>
          <w:sz w:val="22"/>
          <w:lang w:eastAsia="en-GB"/>
          <w14:ligatures w14:val="standardContextual"/>
        </w:rPr>
      </w:pPr>
      <w:r w:rsidRPr="00292B05">
        <w:rPr>
          <w:noProof/>
        </w:rPr>
        <w:t>3.</w:t>
      </w:r>
      <w:r>
        <w:rPr>
          <w:rFonts w:asciiTheme="minorHAnsi" w:eastAsiaTheme="minorEastAsia" w:hAnsiTheme="minorHAnsi" w:cstheme="minorBidi"/>
          <w:noProof/>
          <w:kern w:val="2"/>
          <w:sz w:val="22"/>
          <w:lang w:eastAsia="en-GB"/>
          <w14:ligatures w14:val="standardContextual"/>
        </w:rPr>
        <w:tab/>
      </w:r>
      <w:r w:rsidRPr="00292B05">
        <w:rPr>
          <w:noProof/>
        </w:rPr>
        <w:t>ESTIMATED FINANCIAL IMPACT OF THE PROPOSAL/INITIATIVE</w:t>
      </w:r>
      <w:r>
        <w:rPr>
          <w:noProof/>
          <w:webHidden/>
        </w:rPr>
        <w:tab/>
        <w:t>10</w:t>
      </w:r>
    </w:p>
    <w:p w14:paraId="033CE296"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3.1.</w:t>
      </w:r>
      <w:r>
        <w:rPr>
          <w:rFonts w:asciiTheme="minorHAnsi" w:eastAsiaTheme="minorEastAsia" w:hAnsiTheme="minorHAnsi" w:cstheme="minorBidi"/>
          <w:noProof/>
          <w:kern w:val="2"/>
          <w:sz w:val="22"/>
          <w:lang w:eastAsia="en-GB"/>
          <w14:ligatures w14:val="standardContextual"/>
        </w:rPr>
        <w:tab/>
      </w:r>
      <w:r w:rsidRPr="00292B05">
        <w:rPr>
          <w:noProof/>
        </w:rPr>
        <w:t>Heading(s) of the multiannual financial framework and expenditure budget line(s) affected</w:t>
      </w:r>
      <w:r>
        <w:rPr>
          <w:noProof/>
          <w:webHidden/>
        </w:rPr>
        <w:tab/>
        <w:t>10</w:t>
      </w:r>
    </w:p>
    <w:p w14:paraId="51CD396E"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lastRenderedPageBreak/>
        <w:t>3.2.</w:t>
      </w:r>
      <w:r>
        <w:rPr>
          <w:rFonts w:asciiTheme="minorHAnsi" w:eastAsiaTheme="minorEastAsia" w:hAnsiTheme="minorHAnsi" w:cstheme="minorBidi"/>
          <w:noProof/>
          <w:kern w:val="2"/>
          <w:sz w:val="22"/>
          <w:lang w:eastAsia="en-GB"/>
          <w14:ligatures w14:val="standardContextual"/>
        </w:rPr>
        <w:tab/>
      </w:r>
      <w:r w:rsidRPr="00292B05">
        <w:rPr>
          <w:noProof/>
        </w:rPr>
        <w:t>Estimated financial impact of the proposal on appropriations</w:t>
      </w:r>
      <w:r>
        <w:rPr>
          <w:noProof/>
          <w:webHidden/>
        </w:rPr>
        <w:tab/>
        <w:t>12</w:t>
      </w:r>
    </w:p>
    <w:p w14:paraId="49211FDB"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3.2.1.</w:t>
      </w:r>
      <w:r>
        <w:rPr>
          <w:rFonts w:asciiTheme="minorHAnsi" w:eastAsiaTheme="minorEastAsia" w:hAnsiTheme="minorHAnsi" w:cstheme="minorBidi"/>
          <w:noProof/>
          <w:kern w:val="2"/>
          <w:sz w:val="22"/>
          <w:lang w:eastAsia="en-GB"/>
          <w14:ligatures w14:val="standardContextual"/>
        </w:rPr>
        <w:tab/>
      </w:r>
      <w:r w:rsidRPr="00292B05">
        <w:rPr>
          <w:noProof/>
        </w:rPr>
        <w:t>Summary of estimated impact on operational appropriations</w:t>
      </w:r>
      <w:r>
        <w:rPr>
          <w:noProof/>
          <w:webHidden/>
        </w:rPr>
        <w:tab/>
        <w:t>12</w:t>
      </w:r>
    </w:p>
    <w:p w14:paraId="16CFFECF"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3.2.1.1.</w:t>
      </w:r>
      <w:r>
        <w:rPr>
          <w:rFonts w:asciiTheme="minorHAnsi" w:eastAsiaTheme="minorEastAsia" w:hAnsiTheme="minorHAnsi" w:cstheme="minorBidi"/>
          <w:noProof/>
          <w:kern w:val="2"/>
          <w:sz w:val="22"/>
          <w:lang w:eastAsia="en-GB"/>
          <w14:ligatures w14:val="standardContextual"/>
        </w:rPr>
        <w:tab/>
      </w:r>
      <w:r w:rsidRPr="00292B05">
        <w:rPr>
          <w:noProof/>
        </w:rPr>
        <w:t>Appropriations from voted budget</w:t>
      </w:r>
      <w:r>
        <w:rPr>
          <w:noProof/>
          <w:webHidden/>
        </w:rPr>
        <w:tab/>
        <w:t>12</w:t>
      </w:r>
    </w:p>
    <w:p w14:paraId="446F1467"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3.2.1.2.</w:t>
      </w:r>
      <w:r>
        <w:rPr>
          <w:rFonts w:asciiTheme="minorHAnsi" w:eastAsiaTheme="minorEastAsia" w:hAnsiTheme="minorHAnsi" w:cstheme="minorBidi"/>
          <w:noProof/>
          <w:kern w:val="2"/>
          <w:sz w:val="22"/>
          <w:lang w:eastAsia="en-GB"/>
          <w14:ligatures w14:val="standardContextual"/>
        </w:rPr>
        <w:tab/>
      </w:r>
      <w:r w:rsidRPr="00292B05">
        <w:rPr>
          <w:noProof/>
        </w:rPr>
        <w:t>Appropriations from external assigned revenues</w:t>
      </w:r>
      <w:r>
        <w:rPr>
          <w:noProof/>
          <w:webHidden/>
        </w:rPr>
        <w:tab/>
        <w:t>17</w:t>
      </w:r>
    </w:p>
    <w:p w14:paraId="746E9F03"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3.2.2.</w:t>
      </w:r>
      <w:r>
        <w:rPr>
          <w:rFonts w:asciiTheme="minorHAnsi" w:eastAsiaTheme="minorEastAsia" w:hAnsiTheme="minorHAnsi" w:cstheme="minorBidi"/>
          <w:noProof/>
          <w:kern w:val="2"/>
          <w:sz w:val="22"/>
          <w:lang w:eastAsia="en-GB"/>
          <w14:ligatures w14:val="standardContextual"/>
        </w:rPr>
        <w:tab/>
      </w:r>
      <w:r w:rsidRPr="00292B05">
        <w:rPr>
          <w:noProof/>
        </w:rPr>
        <w:t>Estimated output funded from operational appropriations</w:t>
      </w:r>
      <w:r>
        <w:rPr>
          <w:noProof/>
          <w:webHidden/>
        </w:rPr>
        <w:tab/>
        <w:t>22</w:t>
      </w:r>
    </w:p>
    <w:p w14:paraId="52D72FFF"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3.2.3.</w:t>
      </w:r>
      <w:r>
        <w:rPr>
          <w:rFonts w:asciiTheme="minorHAnsi" w:eastAsiaTheme="minorEastAsia" w:hAnsiTheme="minorHAnsi" w:cstheme="minorBidi"/>
          <w:noProof/>
          <w:kern w:val="2"/>
          <w:sz w:val="22"/>
          <w:lang w:eastAsia="en-GB"/>
          <w14:ligatures w14:val="standardContextual"/>
        </w:rPr>
        <w:tab/>
      </w:r>
      <w:r w:rsidRPr="00292B05">
        <w:rPr>
          <w:noProof/>
        </w:rPr>
        <w:t>Summary of estimated impact on administrative appropriations</w:t>
      </w:r>
      <w:r>
        <w:rPr>
          <w:noProof/>
          <w:webHidden/>
        </w:rPr>
        <w:tab/>
        <w:t>24</w:t>
      </w:r>
    </w:p>
    <w:p w14:paraId="245937DC"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 xml:space="preserve">3.2.3.1. Appropriations </w:t>
      </w:r>
      <w:r w:rsidRPr="00292B05">
        <w:rPr>
          <w:rFonts w:eastAsia="Calibri"/>
          <w:noProof/>
        </w:rPr>
        <w:t>from</w:t>
      </w:r>
      <w:r w:rsidRPr="00292B05">
        <w:rPr>
          <w:noProof/>
        </w:rPr>
        <w:t xml:space="preserve"> voted budget</w:t>
      </w:r>
      <w:r>
        <w:rPr>
          <w:noProof/>
          <w:webHidden/>
        </w:rPr>
        <w:tab/>
        <w:t>24</w:t>
      </w:r>
    </w:p>
    <w:p w14:paraId="0DC0ADD2"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3.2.3.2.</w:t>
      </w:r>
      <w:r>
        <w:rPr>
          <w:rFonts w:asciiTheme="minorHAnsi" w:eastAsiaTheme="minorEastAsia" w:hAnsiTheme="minorHAnsi" w:cstheme="minorBidi"/>
          <w:noProof/>
          <w:kern w:val="2"/>
          <w:sz w:val="22"/>
          <w:lang w:eastAsia="en-GB"/>
          <w14:ligatures w14:val="standardContextual"/>
        </w:rPr>
        <w:tab/>
      </w:r>
      <w:r w:rsidRPr="00292B05">
        <w:rPr>
          <w:noProof/>
        </w:rPr>
        <w:t>Appropriations from external assigned revenues</w:t>
      </w:r>
      <w:r>
        <w:rPr>
          <w:noProof/>
          <w:webHidden/>
        </w:rPr>
        <w:tab/>
        <w:t>24</w:t>
      </w:r>
    </w:p>
    <w:p w14:paraId="33D8FBED"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3.2.3.3.</w:t>
      </w:r>
      <w:r>
        <w:rPr>
          <w:rFonts w:asciiTheme="minorHAnsi" w:eastAsiaTheme="minorEastAsia" w:hAnsiTheme="minorHAnsi" w:cstheme="minorBidi"/>
          <w:noProof/>
          <w:kern w:val="2"/>
          <w:sz w:val="22"/>
          <w:lang w:eastAsia="en-GB"/>
          <w14:ligatures w14:val="standardContextual"/>
        </w:rPr>
        <w:tab/>
      </w:r>
      <w:r w:rsidRPr="00292B05">
        <w:rPr>
          <w:noProof/>
        </w:rPr>
        <w:t>Total appropriations</w:t>
      </w:r>
      <w:r>
        <w:rPr>
          <w:noProof/>
          <w:webHidden/>
        </w:rPr>
        <w:tab/>
        <w:t>24</w:t>
      </w:r>
    </w:p>
    <w:p w14:paraId="26457423"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3.2.4.</w:t>
      </w:r>
      <w:r>
        <w:rPr>
          <w:rFonts w:asciiTheme="minorHAnsi" w:eastAsiaTheme="minorEastAsia" w:hAnsiTheme="minorHAnsi" w:cstheme="minorBidi"/>
          <w:noProof/>
          <w:kern w:val="2"/>
          <w:sz w:val="22"/>
          <w:lang w:eastAsia="en-GB"/>
          <w14:ligatures w14:val="standardContextual"/>
        </w:rPr>
        <w:tab/>
      </w:r>
      <w:r w:rsidRPr="00292B05">
        <w:rPr>
          <w:noProof/>
        </w:rPr>
        <w:t>Estimated requirements of human resources</w:t>
      </w:r>
      <w:r>
        <w:rPr>
          <w:noProof/>
          <w:webHidden/>
        </w:rPr>
        <w:tab/>
        <w:t>25</w:t>
      </w:r>
    </w:p>
    <w:p w14:paraId="51852FAA"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3.2.4.1.</w:t>
      </w:r>
      <w:r>
        <w:rPr>
          <w:rFonts w:asciiTheme="minorHAnsi" w:eastAsiaTheme="minorEastAsia" w:hAnsiTheme="minorHAnsi" w:cstheme="minorBidi"/>
          <w:noProof/>
          <w:kern w:val="2"/>
          <w:sz w:val="22"/>
          <w:lang w:eastAsia="en-GB"/>
          <w14:ligatures w14:val="standardContextual"/>
        </w:rPr>
        <w:tab/>
      </w:r>
      <w:r w:rsidRPr="00292B05">
        <w:rPr>
          <w:noProof/>
        </w:rPr>
        <w:t>Financed from voted budget</w:t>
      </w:r>
      <w:r>
        <w:rPr>
          <w:noProof/>
          <w:webHidden/>
        </w:rPr>
        <w:tab/>
        <w:t>25</w:t>
      </w:r>
    </w:p>
    <w:p w14:paraId="7D827B80"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3.2.4.2.</w:t>
      </w:r>
      <w:r>
        <w:rPr>
          <w:rFonts w:asciiTheme="minorHAnsi" w:eastAsiaTheme="minorEastAsia" w:hAnsiTheme="minorHAnsi" w:cstheme="minorBidi"/>
          <w:noProof/>
          <w:kern w:val="2"/>
          <w:sz w:val="22"/>
          <w:lang w:eastAsia="en-GB"/>
          <w14:ligatures w14:val="standardContextual"/>
        </w:rPr>
        <w:tab/>
      </w:r>
      <w:r w:rsidRPr="00292B05">
        <w:rPr>
          <w:noProof/>
        </w:rPr>
        <w:t>Financed from external assigned revenues</w:t>
      </w:r>
      <w:r>
        <w:rPr>
          <w:noProof/>
          <w:webHidden/>
        </w:rPr>
        <w:tab/>
        <w:t>26</w:t>
      </w:r>
    </w:p>
    <w:p w14:paraId="11C8C92D"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3.2.4.3.</w:t>
      </w:r>
      <w:r>
        <w:rPr>
          <w:rFonts w:asciiTheme="minorHAnsi" w:eastAsiaTheme="minorEastAsia" w:hAnsiTheme="minorHAnsi" w:cstheme="minorBidi"/>
          <w:noProof/>
          <w:kern w:val="2"/>
          <w:sz w:val="22"/>
          <w:lang w:eastAsia="en-GB"/>
          <w14:ligatures w14:val="standardContextual"/>
        </w:rPr>
        <w:tab/>
      </w:r>
      <w:r w:rsidRPr="00292B05">
        <w:rPr>
          <w:noProof/>
        </w:rPr>
        <w:t>Total requirements of human resources</w:t>
      </w:r>
      <w:r>
        <w:rPr>
          <w:noProof/>
          <w:webHidden/>
        </w:rPr>
        <w:tab/>
        <w:t>26</w:t>
      </w:r>
    </w:p>
    <w:p w14:paraId="5EDA7792"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3.2.5.</w:t>
      </w:r>
      <w:r>
        <w:rPr>
          <w:rFonts w:asciiTheme="minorHAnsi" w:eastAsiaTheme="minorEastAsia" w:hAnsiTheme="minorHAnsi" w:cstheme="minorBidi"/>
          <w:noProof/>
          <w:kern w:val="2"/>
          <w:sz w:val="22"/>
          <w:lang w:eastAsia="en-GB"/>
          <w14:ligatures w14:val="standardContextual"/>
        </w:rPr>
        <w:tab/>
      </w:r>
      <w:r w:rsidRPr="00292B05">
        <w:rPr>
          <w:noProof/>
        </w:rPr>
        <w:t>Overview of estimated impact on digital technology-related investments</w:t>
      </w:r>
      <w:r>
        <w:rPr>
          <w:noProof/>
          <w:webHidden/>
        </w:rPr>
        <w:tab/>
        <w:t>28</w:t>
      </w:r>
    </w:p>
    <w:p w14:paraId="7E2A0D07"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3.2.6.</w:t>
      </w:r>
      <w:r>
        <w:rPr>
          <w:rFonts w:asciiTheme="minorHAnsi" w:eastAsiaTheme="minorEastAsia" w:hAnsiTheme="minorHAnsi" w:cstheme="minorBidi"/>
          <w:noProof/>
          <w:kern w:val="2"/>
          <w:sz w:val="22"/>
          <w:lang w:eastAsia="en-GB"/>
          <w14:ligatures w14:val="standardContextual"/>
        </w:rPr>
        <w:tab/>
      </w:r>
      <w:r w:rsidRPr="00292B05">
        <w:rPr>
          <w:noProof/>
        </w:rPr>
        <w:t>Compatibility with the current multiannual financial framework</w:t>
      </w:r>
      <w:r>
        <w:rPr>
          <w:noProof/>
          <w:webHidden/>
        </w:rPr>
        <w:tab/>
        <w:t>28</w:t>
      </w:r>
    </w:p>
    <w:p w14:paraId="2E42C273" w14:textId="77777777" w:rsidR="005B7178" w:rsidRDefault="005B7178">
      <w:pPr>
        <w:pStyle w:val="SK3"/>
        <w:rPr>
          <w:rFonts w:asciiTheme="minorHAnsi" w:eastAsiaTheme="minorEastAsia" w:hAnsiTheme="minorHAnsi" w:cstheme="minorBidi"/>
          <w:noProof/>
          <w:kern w:val="2"/>
          <w:sz w:val="22"/>
          <w:lang w:eastAsia="en-GB"/>
          <w14:ligatures w14:val="standardContextual"/>
        </w:rPr>
      </w:pPr>
      <w:r w:rsidRPr="00292B05">
        <w:rPr>
          <w:noProof/>
        </w:rPr>
        <w:t>3.2.7.</w:t>
      </w:r>
      <w:r>
        <w:rPr>
          <w:rFonts w:asciiTheme="minorHAnsi" w:eastAsiaTheme="minorEastAsia" w:hAnsiTheme="minorHAnsi" w:cstheme="minorBidi"/>
          <w:noProof/>
          <w:kern w:val="2"/>
          <w:sz w:val="22"/>
          <w:lang w:eastAsia="en-GB"/>
          <w14:ligatures w14:val="standardContextual"/>
        </w:rPr>
        <w:tab/>
      </w:r>
      <w:r w:rsidRPr="00292B05">
        <w:rPr>
          <w:noProof/>
        </w:rPr>
        <w:t>Third-party contributions</w:t>
      </w:r>
      <w:r>
        <w:rPr>
          <w:noProof/>
          <w:webHidden/>
        </w:rPr>
        <w:tab/>
        <w:t>28</w:t>
      </w:r>
    </w:p>
    <w:p w14:paraId="522A87D3" w14:textId="77777777" w:rsidR="005B7178" w:rsidRPr="005F34F5"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3.3.</w:t>
      </w:r>
      <w:r w:rsidRPr="005F34F5">
        <w:rPr>
          <w:rFonts w:asciiTheme="minorHAnsi" w:eastAsiaTheme="minorEastAsia" w:hAnsiTheme="minorHAnsi" w:cstheme="minorBidi"/>
          <w:noProof/>
          <w:kern w:val="2"/>
          <w:sz w:val="22"/>
          <w:lang w:eastAsia="en-GB"/>
          <w14:ligatures w14:val="standardContextual"/>
        </w:rPr>
        <w:tab/>
      </w:r>
      <w:r w:rsidRPr="00292B05">
        <w:rPr>
          <w:noProof/>
        </w:rPr>
        <w:t>Estimated impact on revenue</w:t>
      </w:r>
      <w:r w:rsidRPr="005F34F5">
        <w:rPr>
          <w:noProof/>
          <w:webHidden/>
        </w:rPr>
        <w:tab/>
        <w:t>29</w:t>
      </w:r>
    </w:p>
    <w:p w14:paraId="44A97F85" w14:textId="77777777" w:rsidR="005B7178" w:rsidRDefault="005B7178">
      <w:pPr>
        <w:pStyle w:val="SK1"/>
        <w:rPr>
          <w:rFonts w:asciiTheme="minorHAnsi" w:eastAsiaTheme="minorEastAsia" w:hAnsiTheme="minorHAnsi" w:cstheme="minorBidi"/>
          <w:noProof/>
          <w:kern w:val="2"/>
          <w:sz w:val="22"/>
          <w:lang w:eastAsia="en-GB"/>
          <w14:ligatures w14:val="standardContextual"/>
        </w:rPr>
      </w:pPr>
      <w:r w:rsidRPr="00292B05">
        <w:rPr>
          <w:noProof/>
        </w:rPr>
        <w:t>4.</w:t>
      </w:r>
      <w:r>
        <w:rPr>
          <w:rFonts w:asciiTheme="minorHAnsi" w:eastAsiaTheme="minorEastAsia" w:hAnsiTheme="minorHAnsi" w:cstheme="minorBidi"/>
          <w:noProof/>
          <w:kern w:val="2"/>
          <w:sz w:val="22"/>
          <w:lang w:eastAsia="en-GB"/>
          <w14:ligatures w14:val="standardContextual"/>
        </w:rPr>
        <w:tab/>
      </w:r>
      <w:r w:rsidRPr="00292B05">
        <w:rPr>
          <w:caps/>
          <w:noProof/>
        </w:rPr>
        <w:t>Digital dimensions</w:t>
      </w:r>
      <w:r>
        <w:rPr>
          <w:noProof/>
          <w:webHidden/>
        </w:rPr>
        <w:tab/>
        <w:t>29</w:t>
      </w:r>
    </w:p>
    <w:p w14:paraId="358DF14D"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4.1.</w:t>
      </w:r>
      <w:r>
        <w:rPr>
          <w:rFonts w:asciiTheme="minorHAnsi" w:eastAsiaTheme="minorEastAsia" w:hAnsiTheme="minorHAnsi" w:cstheme="minorBidi"/>
          <w:noProof/>
          <w:kern w:val="2"/>
          <w:sz w:val="22"/>
          <w:lang w:eastAsia="en-GB"/>
          <w14:ligatures w14:val="standardContextual"/>
        </w:rPr>
        <w:tab/>
      </w:r>
      <w:r w:rsidRPr="00292B05">
        <w:rPr>
          <w:noProof/>
        </w:rPr>
        <w:t>Requirements of digital relevance</w:t>
      </w:r>
      <w:r>
        <w:rPr>
          <w:noProof/>
          <w:webHidden/>
        </w:rPr>
        <w:tab/>
        <w:t>30</w:t>
      </w:r>
    </w:p>
    <w:p w14:paraId="216EE49A"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4.2.</w:t>
      </w:r>
      <w:r>
        <w:rPr>
          <w:rFonts w:asciiTheme="minorHAnsi" w:eastAsiaTheme="minorEastAsia" w:hAnsiTheme="minorHAnsi" w:cstheme="minorBidi"/>
          <w:noProof/>
          <w:kern w:val="2"/>
          <w:sz w:val="22"/>
          <w:lang w:eastAsia="en-GB"/>
          <w14:ligatures w14:val="standardContextual"/>
        </w:rPr>
        <w:tab/>
      </w:r>
      <w:r w:rsidRPr="00292B05">
        <w:rPr>
          <w:noProof/>
        </w:rPr>
        <w:t>Data</w:t>
      </w:r>
      <w:r>
        <w:rPr>
          <w:noProof/>
          <w:webHidden/>
        </w:rPr>
        <w:tab/>
        <w:t>30</w:t>
      </w:r>
    </w:p>
    <w:p w14:paraId="3644A251"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4.3.</w:t>
      </w:r>
      <w:r>
        <w:rPr>
          <w:rFonts w:asciiTheme="minorHAnsi" w:eastAsiaTheme="minorEastAsia" w:hAnsiTheme="minorHAnsi" w:cstheme="minorBidi"/>
          <w:noProof/>
          <w:kern w:val="2"/>
          <w:sz w:val="22"/>
          <w:lang w:eastAsia="en-GB"/>
          <w14:ligatures w14:val="standardContextual"/>
        </w:rPr>
        <w:tab/>
      </w:r>
      <w:r w:rsidRPr="00292B05">
        <w:rPr>
          <w:noProof/>
        </w:rPr>
        <w:t>Digital solutions</w:t>
      </w:r>
      <w:r>
        <w:rPr>
          <w:noProof/>
          <w:webHidden/>
        </w:rPr>
        <w:tab/>
        <w:t>31</w:t>
      </w:r>
    </w:p>
    <w:p w14:paraId="0213C403"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bCs/>
          <w:noProof/>
        </w:rPr>
        <w:t>4.4.</w:t>
      </w:r>
      <w:r>
        <w:rPr>
          <w:rFonts w:asciiTheme="minorHAnsi" w:eastAsiaTheme="minorEastAsia" w:hAnsiTheme="minorHAnsi" w:cstheme="minorBidi"/>
          <w:noProof/>
          <w:kern w:val="2"/>
          <w:sz w:val="22"/>
          <w:lang w:eastAsia="en-GB"/>
          <w14:ligatures w14:val="standardContextual"/>
        </w:rPr>
        <w:tab/>
      </w:r>
      <w:r w:rsidRPr="00292B05">
        <w:rPr>
          <w:bCs/>
          <w:noProof/>
        </w:rPr>
        <w:t>Interoperability assessment</w:t>
      </w:r>
      <w:r>
        <w:rPr>
          <w:noProof/>
          <w:webHidden/>
        </w:rPr>
        <w:tab/>
        <w:t>31</w:t>
      </w:r>
    </w:p>
    <w:p w14:paraId="4B535E9D" w14:textId="77777777" w:rsidR="005B7178" w:rsidRDefault="005B7178">
      <w:pPr>
        <w:pStyle w:val="SK2"/>
        <w:rPr>
          <w:rFonts w:asciiTheme="minorHAnsi" w:eastAsiaTheme="minorEastAsia" w:hAnsiTheme="minorHAnsi" w:cstheme="minorBidi"/>
          <w:noProof/>
          <w:kern w:val="2"/>
          <w:sz w:val="22"/>
          <w:lang w:eastAsia="en-GB"/>
          <w14:ligatures w14:val="standardContextual"/>
        </w:rPr>
      </w:pPr>
      <w:r w:rsidRPr="00292B05">
        <w:rPr>
          <w:noProof/>
        </w:rPr>
        <w:t>4.5.</w:t>
      </w:r>
      <w:r>
        <w:rPr>
          <w:rFonts w:asciiTheme="minorHAnsi" w:eastAsiaTheme="minorEastAsia" w:hAnsiTheme="minorHAnsi" w:cstheme="minorBidi"/>
          <w:noProof/>
          <w:kern w:val="2"/>
          <w:sz w:val="22"/>
          <w:lang w:eastAsia="en-GB"/>
          <w14:ligatures w14:val="standardContextual"/>
        </w:rPr>
        <w:tab/>
      </w:r>
      <w:r w:rsidRPr="00292B05">
        <w:rPr>
          <w:noProof/>
        </w:rPr>
        <w:t>Measures to support digital implementation</w:t>
      </w:r>
      <w:r>
        <w:rPr>
          <w:noProof/>
          <w:webHidden/>
        </w:rPr>
        <w:tab/>
        <w:t>32</w:t>
      </w:r>
    </w:p>
    <w:p w14:paraId="5861775D" w14:textId="77777777" w:rsidR="005B7178" w:rsidRDefault="005B7178">
      <w:pPr>
        <w:pStyle w:val="SK1"/>
        <w:ind w:left="0" w:firstLine="0"/>
        <w:rPr>
          <w:noProof/>
        </w:rPr>
        <w:sectPr w:rsidR="00D438C2" w:rsidSect="00AC3668">
          <w:headerReference w:type="even" r:id="rId36"/>
          <w:headerReference w:type="default" r:id="rId37"/>
          <w:footerReference w:type="even" r:id="rId38"/>
          <w:footerReference w:type="default" r:id="rId39"/>
          <w:headerReference w:type="first" r:id="rId40"/>
          <w:footerReference w:type="first" r:id="rId41"/>
          <w:pgSz w:w="11907" w:h="16840" w:code="9"/>
          <w:pgMar w:top="1134" w:right="1418" w:bottom="1134" w:left="1418" w:header="709" w:footer="709" w:gutter="0"/>
          <w:pgNumType w:start="1"/>
          <w:cols w:space="720"/>
          <w:docGrid w:linePitch="360"/>
        </w:sectPr>
      </w:pPr>
    </w:p>
    <w:p w14:paraId="2E2D22D2" w14:textId="77777777" w:rsidR="005B7178" w:rsidRDefault="005B7178">
      <w:pPr>
        <w:pStyle w:val="ManualHeading1"/>
        <w:rPr>
          <w:noProof/>
        </w:rPr>
      </w:pPr>
      <w:r w:rsidRPr="0021790A">
        <w:rPr>
          <w:noProof/>
        </w:rPr>
        <w:lastRenderedPageBreak/>
        <w:t>1.</w:t>
      </w:r>
      <w:r w:rsidRPr="0021790A">
        <w:rPr>
          <w:noProof/>
        </w:rPr>
        <w:tab/>
      </w:r>
      <w:r>
        <w:rPr>
          <w:noProof/>
        </w:rPr>
        <w:t xml:space="preserve">FRAMEWORK OF THE PROPOSAL/INITIATIVE </w:t>
      </w:r>
    </w:p>
    <w:p w14:paraId="149DABAE" w14:textId="77777777" w:rsidR="005B7178" w:rsidRPr="008774EA" w:rsidRDefault="005B7178">
      <w:pPr>
        <w:pStyle w:val="ManualHeading2"/>
        <w:rPr>
          <w:noProof/>
        </w:rPr>
      </w:pPr>
      <w:r w:rsidRPr="008774EA">
        <w:rPr>
          <w:noProof/>
        </w:rPr>
        <w:t>1.1.</w:t>
      </w:r>
      <w:r w:rsidRPr="008774EA">
        <w:rPr>
          <w:noProof/>
        </w:rPr>
        <w:tab/>
        <w:t>Title of the proposal/initiative</w:t>
      </w:r>
    </w:p>
    <w:p w14:paraId="7FD0006F"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rFonts w:eastAsiaTheme="minorEastAsia"/>
          <w:noProof/>
          <w:szCs w:val="24"/>
        </w:rPr>
      </w:pPr>
      <w:r w:rsidRPr="00513670">
        <w:rPr>
          <w:rFonts w:eastAsiaTheme="minorEastAsia"/>
          <w:noProof/>
          <w:szCs w:val="24"/>
        </w:rPr>
        <w:t>Proposal for a Regulation of the European Parliament and the Council establishing</w:t>
      </w:r>
      <w:r>
        <w:rPr>
          <w:rFonts w:eastAsiaTheme="minorEastAsia"/>
          <w:noProof/>
          <w:szCs w:val="24"/>
        </w:rPr>
        <w:t xml:space="preserve"> the</w:t>
      </w:r>
      <w:r w:rsidRPr="00513670">
        <w:rPr>
          <w:rFonts w:eastAsiaTheme="minorEastAsia"/>
          <w:noProof/>
          <w:szCs w:val="24"/>
        </w:rPr>
        <w:t xml:space="preserve"> </w:t>
      </w:r>
      <w:r>
        <w:rPr>
          <w:rFonts w:eastAsiaTheme="minorEastAsia"/>
          <w:noProof/>
          <w:szCs w:val="24"/>
        </w:rPr>
        <w:t>‘Agora</w:t>
      </w:r>
      <w:r>
        <w:rPr>
          <w:rFonts w:eastAsiaTheme="minorEastAsia"/>
          <w:noProof/>
          <w:szCs w:val="24"/>
        </w:rPr>
        <w:t>EU</w:t>
      </w:r>
      <w:r>
        <w:rPr>
          <w:rFonts w:eastAsiaTheme="minorEastAsia"/>
          <w:noProof/>
          <w:szCs w:val="24"/>
        </w:rPr>
        <w:t>’</w:t>
      </w:r>
      <w:r>
        <w:rPr>
          <w:rFonts w:eastAsiaTheme="minorEastAsia"/>
          <w:noProof/>
          <w:szCs w:val="24"/>
        </w:rPr>
        <w:t xml:space="preserve"> Programme</w:t>
      </w:r>
      <w:r>
        <w:rPr>
          <w:rFonts w:eastAsiaTheme="minorEastAsia"/>
          <w:noProof/>
          <w:szCs w:val="24"/>
        </w:rPr>
        <w:t xml:space="preserve"> an</w:t>
      </w:r>
      <w:r w:rsidRPr="00513670">
        <w:rPr>
          <w:rFonts w:eastAsiaTheme="minorEastAsia"/>
          <w:noProof/>
          <w:szCs w:val="24"/>
        </w:rPr>
        <w:t>d repealing regulations (EU) No</w:t>
      </w:r>
      <w:r>
        <w:rPr>
          <w:rFonts w:eastAsiaTheme="minorEastAsia"/>
          <w:noProof/>
          <w:szCs w:val="24"/>
        </w:rPr>
        <w:t xml:space="preserve"> 2021/692 and No 2021/818</w:t>
      </w:r>
      <w:r w:rsidRPr="00513670">
        <w:rPr>
          <w:rFonts w:eastAsiaTheme="minorEastAsia"/>
          <w:noProof/>
          <w:szCs w:val="24"/>
        </w:rPr>
        <w:t xml:space="preserve"> for the period 2028-2034</w:t>
      </w:r>
    </w:p>
    <w:p w14:paraId="69AD9470" w14:textId="77777777" w:rsidR="005B7178" w:rsidRDefault="005B7178">
      <w:pPr>
        <w:pStyle w:val="ManualHeading2"/>
        <w:rPr>
          <w:i/>
          <w:noProof/>
        </w:rPr>
      </w:pPr>
      <w:r w:rsidRPr="0021790A">
        <w:rPr>
          <w:noProof/>
        </w:rPr>
        <w:t>1.2.</w:t>
      </w:r>
      <w:r w:rsidRPr="0021790A">
        <w:rPr>
          <w:noProof/>
        </w:rPr>
        <w:tab/>
      </w:r>
      <w:r>
        <w:rPr>
          <w:noProof/>
        </w:rPr>
        <w:t>Policy area(s) concerned</w:t>
      </w:r>
      <w:r>
        <w:rPr>
          <w:i/>
          <w:noProof/>
        </w:rPr>
        <w:t xml:space="preserve"> </w:t>
      </w:r>
    </w:p>
    <w:p w14:paraId="43247F1A" w14:textId="77777777" w:rsidR="005B7178"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 xml:space="preserve">Culture, audiovisual and media, fundamental rights, equality and non-discrimination, the rule of law, civil society, democratic participation. </w:t>
      </w:r>
    </w:p>
    <w:p w14:paraId="6A2CF04B" w14:textId="77777777" w:rsidR="005B7178" w:rsidRDefault="005B7178">
      <w:pPr>
        <w:pStyle w:val="ManualHeading2"/>
        <w:rPr>
          <w:noProof/>
        </w:rPr>
      </w:pPr>
      <w:r>
        <w:rPr>
          <w:noProof/>
        </w:rPr>
        <w:t>1.3.</w:t>
      </w:r>
      <w:r>
        <w:rPr>
          <w:noProof/>
        </w:rPr>
        <w:tab/>
      </w:r>
      <w:r w:rsidRPr="7D67B65D">
        <w:rPr>
          <w:noProof/>
        </w:rPr>
        <w:t>Objective(s)</w:t>
      </w:r>
    </w:p>
    <w:p w14:paraId="590B6402" w14:textId="77777777" w:rsidR="005B7178" w:rsidRPr="009B753E" w:rsidRDefault="005B7178">
      <w:pPr>
        <w:pStyle w:val="ManualHeading3"/>
        <w:rPr>
          <w:noProof/>
        </w:rPr>
      </w:pPr>
      <w:r>
        <w:rPr>
          <w:noProof/>
        </w:rPr>
        <w:t>1.3.1.</w:t>
      </w:r>
      <w:r>
        <w:rPr>
          <w:noProof/>
        </w:rPr>
        <w:tab/>
      </w:r>
      <w:r w:rsidRPr="7D67B65D">
        <w:rPr>
          <w:noProof/>
        </w:rPr>
        <w:t>General objective(s)</w:t>
      </w:r>
    </w:p>
    <w:p w14:paraId="250876BF" w14:textId="77777777" w:rsidR="005B7178" w:rsidRPr="00FC3010" w:rsidRDefault="005B7178" w:rsidP="00550B3D">
      <w:pPr>
        <w:pStyle w:val="Text1"/>
        <w:pBdr>
          <w:top w:val="single" w:sz="4" w:space="1" w:color="auto"/>
          <w:left w:val="single" w:sz="4" w:space="4" w:color="auto"/>
          <w:bottom w:val="single" w:sz="4" w:space="1" w:color="auto"/>
          <w:right w:val="single" w:sz="4" w:space="4" w:color="auto"/>
        </w:pBdr>
        <w:rPr>
          <w:noProof/>
        </w:rPr>
      </w:pPr>
      <w:r w:rsidRPr="00550B3D">
        <w:rPr>
          <w:noProof/>
        </w:rPr>
        <w:t xml:space="preserve">The general objectives of the Programme are to promote cultural and linguistic diversity and heritage, to increase the competitiveness of the cultural and creative sectors, in particular the media and audiovisual industries, to </w:t>
      </w:r>
      <w:r w:rsidRPr="00550B3D">
        <w:rPr>
          <w:noProof/>
        </w:rPr>
        <w:t>safeguard artistic and media freedom, and to protect and promote equality, active citizenship, rights and values as enshrined in the Treaties and in the Charter, thereby enhancing democratic participation and societal resilience within the Union.</w:t>
      </w:r>
    </w:p>
    <w:p w14:paraId="50C044F1" w14:textId="77777777" w:rsidR="005B7178" w:rsidRDefault="005B7178">
      <w:pPr>
        <w:pStyle w:val="ManualHeading3"/>
        <w:rPr>
          <w:noProof/>
        </w:rPr>
      </w:pPr>
      <w:r>
        <w:rPr>
          <w:noProof/>
        </w:rPr>
        <w:t>1.3.2.</w:t>
      </w:r>
      <w:r>
        <w:rPr>
          <w:noProof/>
        </w:rPr>
        <w:tab/>
      </w:r>
      <w:r w:rsidRPr="7D67B65D">
        <w:rPr>
          <w:noProof/>
        </w:rPr>
        <w:t>Specific objective(s)</w:t>
      </w:r>
    </w:p>
    <w:p w14:paraId="7B21BD4B"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 xml:space="preserve">The </w:t>
      </w:r>
      <w:r>
        <w:rPr>
          <w:rFonts w:eastAsiaTheme="minorEastAsia"/>
          <w:noProof/>
          <w:szCs w:val="24"/>
        </w:rPr>
        <w:t>P</w:t>
      </w:r>
      <w:r w:rsidRPr="00513670">
        <w:rPr>
          <w:rFonts w:eastAsiaTheme="minorEastAsia"/>
          <w:noProof/>
          <w:szCs w:val="24"/>
        </w:rPr>
        <w:t xml:space="preserve">rogramme will underpin the following specific objectives: </w:t>
      </w:r>
    </w:p>
    <w:p w14:paraId="5867EE17"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a)</w:t>
      </w:r>
      <w:r w:rsidRPr="00513670">
        <w:rPr>
          <w:rFonts w:eastAsiaTheme="minorEastAsia"/>
          <w:noProof/>
          <w:szCs w:val="24"/>
        </w:rPr>
        <w:tab/>
        <w:t xml:space="preserve">contribute to cross-border cultural creation, cooperation, participation and accessibility, and cross-border circulation of a diversity of cultural works, while strengthening the social, economic and international dimensions of the cultural and creative sectors (‘culture’);  </w:t>
      </w:r>
    </w:p>
    <w:p w14:paraId="2625CE56"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 xml:space="preserve">b) </w:t>
      </w:r>
      <w:r w:rsidRPr="00513670">
        <w:rPr>
          <w:rFonts w:eastAsiaTheme="minorEastAsia"/>
          <w:noProof/>
          <w:szCs w:val="24"/>
        </w:rPr>
        <w:t>contribute to the cultural diversity and competitiveness of the audiovisual and video games industries, notably by enhancing creation and cross-border distribution of European content and its access by citizens (‘audiovisual’);</w:t>
      </w:r>
    </w:p>
    <w:p w14:paraId="136974E3"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rFonts w:eastAsiaTheme="minorEastAsia"/>
          <w:noProof/>
          <w:szCs w:val="24"/>
        </w:rPr>
      </w:pPr>
      <w:r w:rsidRPr="00513670">
        <w:rPr>
          <w:rFonts w:eastAsiaTheme="minorEastAsia"/>
          <w:noProof/>
          <w:szCs w:val="24"/>
        </w:rPr>
        <w:t xml:space="preserve">c) contribute to a free, viable and diverse </w:t>
      </w:r>
      <w:r w:rsidRPr="00513670">
        <w:rPr>
          <w:rFonts w:eastAsiaTheme="minorEastAsia"/>
          <w:noProof/>
          <w:szCs w:val="24"/>
        </w:rPr>
        <w:t xml:space="preserve">Union information ecosystem, notably by supporting free and independent journalism and news media, enhancing citizens’ access to trustworthy information and tackling disinformation (‘news’); </w:t>
      </w:r>
    </w:p>
    <w:p w14:paraId="4FB5F26B"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 xml:space="preserve">d) contribute to protecting and promoting fundamental rights, </w:t>
      </w:r>
      <w:r w:rsidRPr="007A0760">
        <w:rPr>
          <w:rStyle w:val="normaltextrun"/>
          <w:noProof/>
        </w:rPr>
        <w:t>equality and non-discrimination</w:t>
      </w:r>
      <w:r w:rsidRPr="00513670">
        <w:rPr>
          <w:rFonts w:eastAsiaTheme="minorEastAsia"/>
          <w:noProof/>
          <w:szCs w:val="24"/>
        </w:rPr>
        <w:t xml:space="preserve"> </w:t>
      </w:r>
      <w:r>
        <w:rPr>
          <w:rFonts w:eastAsiaTheme="minorEastAsia"/>
          <w:noProof/>
          <w:szCs w:val="24"/>
        </w:rPr>
        <w:t xml:space="preserve">and </w:t>
      </w:r>
      <w:r w:rsidRPr="00513670">
        <w:rPr>
          <w:rFonts w:eastAsiaTheme="minorEastAsia"/>
          <w:noProof/>
          <w:szCs w:val="24"/>
        </w:rPr>
        <w:t>Union citizen’s rights enshrined in the Treaties including free movement of citizens, and empower</w:t>
      </w:r>
      <w:r>
        <w:rPr>
          <w:rFonts w:eastAsiaTheme="minorEastAsia"/>
          <w:noProof/>
          <w:szCs w:val="24"/>
        </w:rPr>
        <w:t>ing</w:t>
      </w:r>
      <w:r w:rsidRPr="00513670">
        <w:rPr>
          <w:rFonts w:eastAsiaTheme="minorEastAsia"/>
          <w:noProof/>
          <w:szCs w:val="24"/>
        </w:rPr>
        <w:t xml:space="preserve"> civil society (‘rights, equality, citizens and civil society’). </w:t>
      </w:r>
    </w:p>
    <w:p w14:paraId="1221D76E"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 xml:space="preserve">e) contribute to fighting against gender-based violence, violence against children and other groups at risk </w:t>
      </w:r>
      <w:r w:rsidRPr="00513670">
        <w:rPr>
          <w:rFonts w:eastAsiaTheme="minorEastAsia"/>
          <w:noProof/>
          <w:szCs w:val="24"/>
        </w:rPr>
        <w:t xml:space="preserve">of such violence (‘Daphne’). </w:t>
      </w:r>
    </w:p>
    <w:p w14:paraId="3752414C"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f) contribute to enhancing democratic participation and upholding the rule of law (‘</w:t>
      </w:r>
      <w:r w:rsidRPr="00513670">
        <w:rPr>
          <w:rFonts w:eastAsiaTheme="minorEastAsia"/>
          <w:noProof/>
          <w:szCs w:val="24"/>
        </w:rPr>
        <w:t>democratic participation and rule of law’).</w:t>
      </w:r>
    </w:p>
    <w:p w14:paraId="699FCC23" w14:textId="77777777" w:rsidR="005B7178" w:rsidRPr="00513670" w:rsidRDefault="005B7178" w:rsidP="00E8362D">
      <w:pPr>
        <w:pStyle w:val="Text1"/>
        <w:pBdr>
          <w:top w:val="single" w:sz="4" w:space="1" w:color="auto"/>
          <w:left w:val="single" w:sz="4" w:space="4" w:color="auto"/>
          <w:bottom w:val="single" w:sz="4" w:space="1" w:color="auto"/>
          <w:right w:val="single" w:sz="4" w:space="4" w:color="auto"/>
        </w:pBdr>
        <w:rPr>
          <w:rFonts w:eastAsiaTheme="minorEastAsia"/>
          <w:noProof/>
          <w:szCs w:val="24"/>
        </w:rPr>
      </w:pPr>
      <w:r w:rsidRPr="00513670">
        <w:rPr>
          <w:rFonts w:eastAsiaTheme="minorEastAsia"/>
          <w:noProof/>
          <w:szCs w:val="24"/>
        </w:rPr>
        <w:t>To maximise impact and enhance synergies, the Programme shall support cross-cutting and horizontal activities contributing to the general objective</w:t>
      </w:r>
      <w:r>
        <w:rPr>
          <w:rFonts w:eastAsiaTheme="minorEastAsia"/>
          <w:noProof/>
          <w:szCs w:val="24"/>
        </w:rPr>
        <w:t>s</w:t>
      </w:r>
      <w:r w:rsidRPr="00513670">
        <w:rPr>
          <w:rFonts w:eastAsiaTheme="minorEastAsia"/>
          <w:noProof/>
          <w:szCs w:val="24"/>
        </w:rPr>
        <w:t xml:space="preserve">, notably by </w:t>
      </w:r>
      <w:r w:rsidRPr="00513670">
        <w:rPr>
          <w:rFonts w:eastAsiaTheme="minorEastAsia"/>
          <w:noProof/>
          <w:szCs w:val="24"/>
        </w:rPr>
        <w:t>developing synergies between the cultural, media and civic spheres and promoting cross-sectoral collaboration and innovation.</w:t>
      </w:r>
    </w:p>
    <w:p w14:paraId="32673827" w14:textId="77777777" w:rsidR="005B7178" w:rsidRPr="00BD0A20" w:rsidRDefault="005B7178">
      <w:pPr>
        <w:pStyle w:val="ManualHeading3"/>
        <w:rPr>
          <w:noProof/>
        </w:rPr>
      </w:pPr>
      <w:r>
        <w:rPr>
          <w:noProof/>
        </w:rPr>
        <w:lastRenderedPageBreak/>
        <w:t>1.3.3.</w:t>
      </w:r>
      <w:r>
        <w:rPr>
          <w:noProof/>
        </w:rPr>
        <w:tab/>
      </w:r>
      <w:r w:rsidRPr="7D67B65D">
        <w:rPr>
          <w:noProof/>
        </w:rPr>
        <w:t>Expected result(s) and impact</w:t>
      </w:r>
    </w:p>
    <w:p w14:paraId="3CE1F70D" w14:textId="77777777" w:rsidR="005B7178" w:rsidRDefault="005B7178">
      <w:pPr>
        <w:pStyle w:val="Text1"/>
        <w:rPr>
          <w:i/>
          <w:noProof/>
          <w:sz w:val="20"/>
        </w:rPr>
      </w:pPr>
      <w:r>
        <w:rPr>
          <w:i/>
          <w:noProof/>
          <w:sz w:val="20"/>
        </w:rPr>
        <w:t>Specify the effects which the proposal/initiative should have on the beneficiaries/groups targeted.</w:t>
      </w:r>
    </w:p>
    <w:p w14:paraId="43CF811E" w14:textId="77777777" w:rsidR="005B7178" w:rsidRPr="00AE647E"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The Programme will have positive impact on cross-border cultural cooperation, cultural participation and accessibility, and circulation of diverse cultural works. This will come through promotion of cooperation, creation, networking and pooling of experience in the cultural and creative sectors (CCS), support of circulation of diverse cultural content and access to cultural diversity and heritage, and support of mobility of artists and CCS professionals beyond national borders. Actions will result in, among</w:t>
      </w:r>
      <w:r w:rsidRPr="00513670">
        <w:rPr>
          <w:rFonts w:eastAsiaTheme="minorEastAsia"/>
          <w:noProof/>
          <w:szCs w:val="24"/>
        </w:rPr>
        <w:t xml:space="preserve"> others, better equipped CCS to address key challenges, reinforced CCS creative potential in respect of artistic freedom, a more diverse cultural content circulating beyond national borders, more artists and CCS professionals expanding their careers, increased and more inclusive access to more diverse cultural content and heritage, increased international cultural partnerships and exchanges, increased digitisation, access, preservation and reuse of digital heritage.</w:t>
      </w:r>
    </w:p>
    <w:p w14:paraId="0A993C1C" w14:textId="77777777" w:rsidR="005B7178" w:rsidRPr="00CD026A"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The Programme</w:t>
      </w:r>
      <w:r w:rsidRPr="00513670" w:rsidDel="008757DD">
        <w:rPr>
          <w:rFonts w:eastAsiaTheme="minorEastAsia"/>
          <w:noProof/>
          <w:szCs w:val="24"/>
        </w:rPr>
        <w:t xml:space="preserve"> </w:t>
      </w:r>
      <w:r w:rsidRPr="00513670">
        <w:rPr>
          <w:rFonts w:eastAsiaTheme="minorEastAsia"/>
          <w:noProof/>
          <w:szCs w:val="24"/>
        </w:rPr>
        <w:t>will have positive impact on supporting the creation, circulation and access of EU audiovisual and media content, and a diverse information market. Support to audiovisual works will contribute to strengthening European cultural diversity and competitiveness, through e.g. co-productions. It will bring improvements as well in the creation, circulation and access to video games content, and foster cross-media IP</w:t>
      </w:r>
      <w:r w:rsidRPr="00504F5D">
        <w:rPr>
          <w:noProof/>
        </w:rPr>
        <w:t xml:space="preserve"> exploitatio</w:t>
      </w:r>
      <w:r w:rsidRPr="00513670">
        <w:rPr>
          <w:rFonts w:eastAsiaTheme="minorEastAsia"/>
          <w:noProof/>
          <w:szCs w:val="24"/>
        </w:rPr>
        <w:t>n. The integrity of the EU information market will be protected through support to medi</w:t>
      </w:r>
      <w:r w:rsidRPr="00513670">
        <w:rPr>
          <w:rFonts w:eastAsiaTheme="minorEastAsia"/>
          <w:noProof/>
          <w:szCs w:val="24"/>
        </w:rPr>
        <w:t xml:space="preserve">a pluralism and independence, media viability and media literacy, and by strengthening situational awareness.  </w:t>
      </w:r>
    </w:p>
    <w:p w14:paraId="33A3BA57" w14:textId="77777777" w:rsidR="005B7178" w:rsidRPr="00AE647E"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 xml:space="preserve">The Programme will have positive impact on the protection and promotion of fundamental rights and non-discrimination, as well as on a thriving civic space. Actions will have the effect to increase the visibility and awareness of fundamental rights, reduce discrimination and harassment. Actions will also have the effect to protect individuals, and particularly women, children and groups at risk from violence and to support victims in addressing its consequences. Citizens and organisations will be able </w:t>
      </w:r>
      <w:r w:rsidRPr="00513670">
        <w:rPr>
          <w:rFonts w:eastAsiaTheme="minorEastAsia"/>
          <w:noProof/>
          <w:szCs w:val="24"/>
        </w:rPr>
        <w:t xml:space="preserve">to </w:t>
      </w:r>
      <w:r w:rsidRPr="00513670">
        <w:rPr>
          <w:rFonts w:eastAsiaTheme="minorEastAsia"/>
          <w:noProof/>
          <w:szCs w:val="24"/>
        </w:rPr>
        <w:t xml:space="preserve">participate meaningfully in the political, economic, social and cultural life of their societies. Citizens will be able to freely express their views, choose their political leaders, and have a say about their future. </w:t>
      </w:r>
    </w:p>
    <w:p w14:paraId="2B306FFA" w14:textId="77777777" w:rsidR="005B7178" w:rsidRDefault="005B7178">
      <w:pPr>
        <w:pStyle w:val="ManualHeading3"/>
        <w:rPr>
          <w:noProof/>
        </w:rPr>
      </w:pPr>
      <w:r>
        <w:rPr>
          <w:noProof/>
        </w:rPr>
        <w:t>1.3.4.</w:t>
      </w:r>
      <w:r>
        <w:rPr>
          <w:noProof/>
        </w:rPr>
        <w:tab/>
      </w:r>
      <w:r w:rsidRPr="7D67B65D">
        <w:rPr>
          <w:noProof/>
        </w:rPr>
        <w:t>Indicators of performance</w:t>
      </w:r>
    </w:p>
    <w:p w14:paraId="7C449186" w14:textId="77777777" w:rsidR="005B7178" w:rsidRDefault="005B7178">
      <w:pPr>
        <w:pStyle w:val="Text1"/>
        <w:rPr>
          <w:i/>
          <w:noProof/>
          <w:sz w:val="20"/>
        </w:rPr>
      </w:pPr>
      <w:r>
        <w:rPr>
          <w:i/>
          <w:noProof/>
          <w:sz w:val="20"/>
        </w:rPr>
        <w:t>Specify the indicators for monitoring progress and achievements.</w:t>
      </w:r>
    </w:p>
    <w:p w14:paraId="6D8FBB5C" w14:textId="77777777" w:rsidR="005B7178" w:rsidRPr="00612214" w:rsidRDefault="005B7178" w:rsidP="00E8362D">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 xml:space="preserve">The output and result indicators for the purpose of monitoring progress and achievements of this programme will correspond to the common indicators provided under </w:t>
      </w:r>
      <w:r>
        <w:rPr>
          <w:rFonts w:eastAsia="Times New Roman"/>
          <w:noProof/>
          <w:szCs w:val="24"/>
        </w:rPr>
        <w:t>Regulation (EU) [XXX]* of the European Parliament and of the Council [Performance]</w:t>
      </w:r>
      <w:r>
        <w:rPr>
          <w:noProof/>
        </w:rPr>
        <w:t>.</w:t>
      </w:r>
    </w:p>
    <w:p w14:paraId="3E13B806" w14:textId="77777777" w:rsidR="005B7178" w:rsidRDefault="005B7178">
      <w:pPr>
        <w:pStyle w:val="ManualHeading2"/>
        <w:rPr>
          <w:noProof/>
        </w:rPr>
      </w:pPr>
      <w:r>
        <w:rPr>
          <w:noProof/>
        </w:rPr>
        <w:t>1.4.</w:t>
      </w:r>
      <w:r>
        <w:rPr>
          <w:noProof/>
        </w:rPr>
        <w:tab/>
      </w:r>
      <w:r w:rsidRPr="7D67B65D">
        <w:rPr>
          <w:noProof/>
        </w:rPr>
        <w:t xml:space="preserve">The proposal/initiative relates to: </w:t>
      </w:r>
    </w:p>
    <w:p w14:paraId="1587A4E9" w14:textId="77777777" w:rsidR="005B7178" w:rsidRPr="003B4AA4" w:rsidRDefault="005B7178">
      <w:pPr>
        <w:pStyle w:val="Text1"/>
        <w:rPr>
          <w:noProof/>
          <w:sz w:val="22"/>
        </w:rPr>
      </w:pPr>
      <w:r w:rsidRPr="00513670">
        <w:rPr>
          <w:rFonts w:eastAsia="Wingdings"/>
          <w:noProof/>
          <w:sz w:val="22"/>
        </w:rPr>
        <w:t>¨</w:t>
      </w:r>
      <w:r w:rsidRPr="003B4AA4">
        <w:rPr>
          <w:noProof/>
        </w:rPr>
        <w:t>a new action</w:t>
      </w:r>
      <w:r w:rsidRPr="003B4AA4">
        <w:rPr>
          <w:noProof/>
          <w:sz w:val="22"/>
        </w:rPr>
        <w:t xml:space="preserve"> </w:t>
      </w:r>
    </w:p>
    <w:p w14:paraId="0FCE333F" w14:textId="77777777" w:rsidR="005B7178" w:rsidRPr="003B4AA4" w:rsidRDefault="005B7178">
      <w:pPr>
        <w:pStyle w:val="Text1"/>
        <w:rPr>
          <w:noProof/>
          <w:sz w:val="22"/>
        </w:rPr>
      </w:pPr>
      <w:r w:rsidRPr="00513670">
        <w:rPr>
          <w:rFonts w:eastAsia="Wingdings"/>
          <w:noProof/>
          <w:sz w:val="22"/>
        </w:rPr>
        <w:t>¨</w:t>
      </w:r>
      <w:r w:rsidRPr="003B4AA4">
        <w:rPr>
          <w:i/>
          <w:iCs/>
          <w:noProof/>
          <w:sz w:val="22"/>
        </w:rPr>
        <w:t xml:space="preserve"> </w:t>
      </w:r>
      <w:r w:rsidRPr="003B4AA4">
        <w:rPr>
          <w:noProof/>
        </w:rPr>
        <w:t>a new action following a pilot project / preparatory action</w:t>
      </w:r>
      <w:r w:rsidRPr="003B4AA4">
        <w:rPr>
          <w:rStyle w:val="Allmrkuseviide"/>
          <w:noProof/>
        </w:rPr>
        <w:footnoteReference w:id="39"/>
      </w:r>
      <w:r w:rsidRPr="003B4AA4">
        <w:rPr>
          <w:noProof/>
          <w:sz w:val="22"/>
        </w:rPr>
        <w:t xml:space="preserve"> </w:t>
      </w:r>
    </w:p>
    <w:p w14:paraId="7490BEFE" w14:textId="77777777" w:rsidR="005B7178" w:rsidRPr="003B4AA4" w:rsidRDefault="005B7178">
      <w:pPr>
        <w:pStyle w:val="Text1"/>
        <w:rPr>
          <w:noProof/>
          <w:sz w:val="22"/>
        </w:rPr>
      </w:pPr>
      <w:r>
        <w:rPr>
          <w:rFonts w:ascii="Segoe UI Symbol" w:eastAsia="Wingdings" w:hAnsi="Segoe UI Symbol" w:cs="Wingdings"/>
          <w:noProof/>
          <w:sz w:val="22"/>
        </w:rPr>
        <w:t>☒</w:t>
      </w:r>
      <w:r w:rsidRPr="003B4AA4">
        <w:rPr>
          <w:i/>
          <w:iCs/>
          <w:noProof/>
          <w:sz w:val="22"/>
        </w:rPr>
        <w:t xml:space="preserve"> </w:t>
      </w:r>
      <w:r w:rsidRPr="003B4AA4">
        <w:rPr>
          <w:noProof/>
        </w:rPr>
        <w:t>the extension of an existing action</w:t>
      </w:r>
      <w:r w:rsidRPr="003B4AA4">
        <w:rPr>
          <w:noProof/>
          <w:sz w:val="22"/>
        </w:rPr>
        <w:t xml:space="preserve"> </w:t>
      </w:r>
    </w:p>
    <w:p w14:paraId="6FFBFE92" w14:textId="77777777" w:rsidR="005B7178" w:rsidRPr="003B4AA4" w:rsidRDefault="005B7178">
      <w:pPr>
        <w:pStyle w:val="Text1"/>
        <w:rPr>
          <w:noProof/>
        </w:rPr>
      </w:pPr>
      <w:r w:rsidRPr="00513670">
        <w:rPr>
          <w:rFonts w:eastAsia="Wingdings"/>
          <w:noProof/>
          <w:sz w:val="22"/>
        </w:rPr>
        <w:t>¨</w:t>
      </w:r>
      <w:r w:rsidRPr="003B4AA4">
        <w:rPr>
          <w:noProof/>
        </w:rPr>
        <w:t>a merger or redirection of one or more actions towards another/a new action</w:t>
      </w:r>
    </w:p>
    <w:p w14:paraId="31622140" w14:textId="77777777" w:rsidR="005B7178" w:rsidRDefault="005B7178">
      <w:pPr>
        <w:pStyle w:val="ManualHeading2"/>
        <w:rPr>
          <w:bCs/>
          <w:noProof/>
          <w:szCs w:val="24"/>
        </w:rPr>
      </w:pPr>
      <w:r w:rsidRPr="0021790A">
        <w:rPr>
          <w:noProof/>
        </w:rPr>
        <w:lastRenderedPageBreak/>
        <w:t>1.5.</w:t>
      </w:r>
      <w:r w:rsidRPr="0021790A">
        <w:rPr>
          <w:noProof/>
        </w:rPr>
        <w:tab/>
      </w:r>
      <w:r>
        <w:rPr>
          <w:noProof/>
        </w:rPr>
        <w:t xml:space="preserve">Grounds for the proposal/initiative </w:t>
      </w:r>
    </w:p>
    <w:p w14:paraId="1CA2519E" w14:textId="77777777" w:rsidR="005B7178" w:rsidRDefault="005B7178">
      <w:pPr>
        <w:pStyle w:val="ManualHeading3"/>
        <w:rPr>
          <w:noProof/>
        </w:rPr>
      </w:pPr>
      <w:r w:rsidRPr="0021790A">
        <w:rPr>
          <w:noProof/>
        </w:rPr>
        <w:t>1.5.1.</w:t>
      </w:r>
      <w:r w:rsidRPr="0021790A">
        <w:rPr>
          <w:noProof/>
        </w:rPr>
        <w:tab/>
      </w:r>
      <w:r>
        <w:rPr>
          <w:noProof/>
        </w:rPr>
        <w:t>Requirement(s) to be met in the short or long term including a detailed timeline for roll-out of the implementation of the initiative</w:t>
      </w:r>
    </w:p>
    <w:p w14:paraId="1A21EB2C"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rPr>
        <w:t>The Programme will contribute to tackling specific and common challenges and fostering synergies in the culture, media, and civic spheres while taking into account the specific nature and challenges of the different policy areas, their different target groups and their particular needs. By bringing together support in these areas, the Union will be better equipped to address recurrent but also new and emerging policy priorities, such as protecting democracies, rights and equality, fostering an enabling spac</w:t>
      </w:r>
      <w:r w:rsidRPr="00513670">
        <w:rPr>
          <w:rFonts w:eastAsiaTheme="minorEastAsia"/>
          <w:noProof/>
          <w:szCs w:val="24"/>
        </w:rPr>
        <w:t xml:space="preserve">e for civil society, contributing to cultural and linguistic diversity and to the protection of cultural heritage, strengthening the cultural and creative sectors and increasing their resilience, promoting media freedom and pluralism, and enhancing the economic growth of the media and cultural players. </w:t>
      </w:r>
    </w:p>
    <w:p w14:paraId="2247C97C" w14:textId="77777777" w:rsidR="005B7178" w:rsidRDefault="005B7178">
      <w:pPr>
        <w:pStyle w:val="ManualHeading3"/>
        <w:rPr>
          <w:bCs/>
          <w:noProof/>
          <w:szCs w:val="24"/>
        </w:rPr>
      </w:pPr>
      <w:r w:rsidRPr="0021790A">
        <w:rPr>
          <w:noProof/>
        </w:rPr>
        <w:t>1.5.2.</w:t>
      </w:r>
      <w:r w:rsidRPr="0021790A">
        <w:rPr>
          <w:noProof/>
        </w:rPr>
        <w:tab/>
      </w:r>
      <w:r>
        <w:rPr>
          <w:noProof/>
        </w:rPr>
        <w:t xml:space="preserve">Added value of EU </w:t>
      </w:r>
      <w:r w:rsidRPr="00CD72BB">
        <w:rPr>
          <w:noProof/>
        </w:rPr>
        <w:t xml:space="preserve">involvement (it may </w:t>
      </w:r>
      <w:r w:rsidRPr="00CD72BB">
        <w:rPr>
          <w:noProof/>
        </w:rPr>
        <w:t>result from different factors, e.g. coordination gains, legal certainty, great</w:t>
      </w:r>
      <w:r w:rsidRPr="004830A5">
        <w:rPr>
          <w:noProof/>
        </w:rPr>
        <w:t>er effectiveness or complementarities).</w:t>
      </w:r>
      <w:r>
        <w:rPr>
          <w:noProof/>
        </w:rPr>
        <w:t xml:space="preserve"> For the purposes of this section 'added value of EU involvement' is the value resulting from EU action, that is additional to the value that would have been otherwise created by Member States alone.</w:t>
      </w:r>
    </w:p>
    <w:p w14:paraId="37094D00" w14:textId="77777777" w:rsidR="005B7178" w:rsidRPr="00236737" w:rsidRDefault="005B7178" w:rsidP="00C02A25">
      <w:pPr>
        <w:pStyle w:val="Text1"/>
        <w:pBdr>
          <w:top w:val="single" w:sz="4" w:space="1" w:color="auto"/>
          <w:left w:val="single" w:sz="4" w:space="4" w:color="auto"/>
          <w:bottom w:val="single" w:sz="4" w:space="1" w:color="auto"/>
          <w:right w:val="single" w:sz="4" w:space="4" w:color="auto"/>
        </w:pBdr>
        <w:rPr>
          <w:noProof/>
          <w:u w:val="single"/>
        </w:rPr>
      </w:pPr>
      <w:r w:rsidRPr="00612214">
        <w:rPr>
          <w:noProof/>
          <w:u w:val="single"/>
        </w:rPr>
        <w:t xml:space="preserve">Reasons for action at EU level (ex-ante) </w:t>
      </w:r>
    </w:p>
    <w:p w14:paraId="7ADBC041"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sidRPr="00612214">
        <w:rPr>
          <w:noProof/>
        </w:rPr>
        <w:t xml:space="preserve">Funding covered by the programme concentrates on activities where the EU intervention can bring additional value compared to action of Member States alone. </w:t>
      </w:r>
    </w:p>
    <w:p w14:paraId="5B6B73D9"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rPr>
      </w:pPr>
      <w:r w:rsidRPr="00612214">
        <w:rPr>
          <w:noProof/>
        </w:rPr>
        <w:t xml:space="preserve">In particular: </w:t>
      </w:r>
    </w:p>
    <w:p w14:paraId="44483DF3"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rPr>
      </w:pPr>
      <w:r w:rsidRPr="00612214">
        <w:rPr>
          <w:noProof/>
        </w:rPr>
        <w:t>- Addressing transnational and common challenges (e.g., shrinking civic spaces, threats to media freedom and pluralism, fragmentation of the cultural, creative and media sectors along national and linguistic borders): these challenges makes it difficult for Member States to address them sufficiently on their own. EU level efforts enable cooperation, capacity building, mutual learning and the pooling of resources, sharing of expertise and best practices.</w:t>
      </w:r>
    </w:p>
    <w:p w14:paraId="227D5F42"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rPr>
      </w:pPr>
      <w:r w:rsidRPr="00612214">
        <w:rPr>
          <w:noProof/>
        </w:rPr>
        <w:t xml:space="preserve">- National-level funding and policies alone are insufficient to protect and promote EU values and democratic standards, and to safeguard the civic space. This also applies to the overall competitiveness and diversity of the media, audiovisual and other cultural and creative </w:t>
      </w:r>
      <w:r>
        <w:rPr>
          <w:noProof/>
        </w:rPr>
        <w:t>s</w:t>
      </w:r>
      <w:r w:rsidRPr="00612214">
        <w:rPr>
          <w:noProof/>
        </w:rPr>
        <w:t>ectors.</w:t>
      </w:r>
    </w:p>
    <w:p w14:paraId="3EBC217F" w14:textId="77777777" w:rsidR="005B7178" w:rsidRPr="00236737" w:rsidRDefault="005B7178" w:rsidP="00C02A25">
      <w:pPr>
        <w:pStyle w:val="Text1"/>
        <w:pBdr>
          <w:top w:val="single" w:sz="4" w:space="1" w:color="auto"/>
          <w:left w:val="single" w:sz="4" w:space="4" w:color="auto"/>
          <w:bottom w:val="single" w:sz="4" w:space="1" w:color="auto"/>
          <w:right w:val="single" w:sz="4" w:space="4" w:color="auto"/>
        </w:pBdr>
        <w:rPr>
          <w:noProof/>
        </w:rPr>
      </w:pPr>
      <w:r w:rsidRPr="00236737">
        <w:rPr>
          <w:noProof/>
        </w:rPr>
        <w:t>- EU support is essential to maintain access to audiovisual and cultural content across all Member States and a high level of protection of fundamental rights.</w:t>
      </w:r>
    </w:p>
    <w:p w14:paraId="525DD9A8" w14:textId="77777777" w:rsidR="005B7178" w:rsidRPr="00236737" w:rsidRDefault="005B7178" w:rsidP="00C02A25">
      <w:pPr>
        <w:pStyle w:val="Text1"/>
        <w:pBdr>
          <w:top w:val="single" w:sz="4" w:space="1" w:color="auto"/>
          <w:left w:val="single" w:sz="4" w:space="4" w:color="auto"/>
          <w:bottom w:val="single" w:sz="4" w:space="1" w:color="auto"/>
          <w:right w:val="single" w:sz="4" w:space="4" w:color="auto"/>
        </w:pBdr>
        <w:rPr>
          <w:noProof/>
        </w:rPr>
      </w:pPr>
      <w:r w:rsidRPr="00236737">
        <w:rPr>
          <w:noProof/>
        </w:rPr>
        <w:t xml:space="preserve">- EU support fill funding and service gaps not covered at </w:t>
      </w:r>
      <w:r>
        <w:rPr>
          <w:noProof/>
        </w:rPr>
        <w:t>Member State</w:t>
      </w:r>
      <w:r w:rsidRPr="00236737">
        <w:rPr>
          <w:noProof/>
        </w:rPr>
        <w:t xml:space="preserve"> level.</w:t>
      </w:r>
    </w:p>
    <w:p w14:paraId="7573D7AC"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rPr>
      </w:pPr>
      <w:r w:rsidRPr="00236737">
        <w:rPr>
          <w:noProof/>
        </w:rPr>
        <w:t>-</w:t>
      </w:r>
      <w:r>
        <w:rPr>
          <w:noProof/>
        </w:rPr>
        <w:t xml:space="preserve"> </w:t>
      </w:r>
      <w:r w:rsidRPr="00236737">
        <w:rPr>
          <w:noProof/>
        </w:rPr>
        <w:t xml:space="preserve">EU </w:t>
      </w:r>
      <w:r w:rsidRPr="00612214">
        <w:rPr>
          <w:noProof/>
        </w:rPr>
        <w:t>action is critical to promote Union values at international level, implementing international standards coherently with internal policies.</w:t>
      </w:r>
    </w:p>
    <w:p w14:paraId="7825D2EC"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u w:val="single"/>
        </w:rPr>
      </w:pPr>
      <w:r w:rsidRPr="00612214">
        <w:rPr>
          <w:noProof/>
          <w:u w:val="single"/>
        </w:rPr>
        <w:t xml:space="preserve">Expected generated  EU added value (ex-post) </w:t>
      </w:r>
    </w:p>
    <w:p w14:paraId="5E19A83C"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lang w:val="en-US"/>
        </w:rPr>
      </w:pPr>
      <w:r w:rsidRPr="00612214">
        <w:rPr>
          <w:noProof/>
          <w:lang w:val="en-US"/>
        </w:rPr>
        <w:t xml:space="preserve">- EU-level action will enable transnational cooperation, pooling of resources, and </w:t>
      </w:r>
      <w:r w:rsidRPr="00612214">
        <w:rPr>
          <w:noProof/>
          <w:lang w:val="en-US"/>
        </w:rPr>
        <w:t>exchange of best practices across Member States, leading to more coherent and impactful responses to shared challenges.</w:t>
      </w:r>
    </w:p>
    <w:p w14:paraId="1957F36B"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lang w:val="en-US"/>
        </w:rPr>
      </w:pPr>
      <w:r w:rsidRPr="00612214">
        <w:rPr>
          <w:noProof/>
          <w:lang w:val="en-US"/>
        </w:rPr>
        <w:t>- EU support will complement national measures by supporting areas underfunded or deprioritized nationally.</w:t>
      </w:r>
    </w:p>
    <w:p w14:paraId="5E221FBE"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lang w:val="en-US"/>
        </w:rPr>
      </w:pPr>
      <w:r w:rsidRPr="00236737">
        <w:rPr>
          <w:noProof/>
          <w:lang w:val="en-US"/>
        </w:rPr>
        <w:lastRenderedPageBreak/>
        <w:t xml:space="preserve">- </w:t>
      </w:r>
      <w:r w:rsidRPr="00612214">
        <w:rPr>
          <w:noProof/>
          <w:lang w:val="en-US"/>
        </w:rPr>
        <w:t>EU action will enhance mobility of professionals and circulation, reinforcing the functioning of the internal market and cultural and linguistic diversity.</w:t>
      </w:r>
    </w:p>
    <w:p w14:paraId="5E28ADFD"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lang w:val="en-US"/>
        </w:rPr>
      </w:pPr>
      <w:r w:rsidRPr="00612214">
        <w:rPr>
          <w:noProof/>
          <w:lang w:val="en-US"/>
        </w:rPr>
        <w:t>- EU-level actions will raise awareness of rights and nurture a sense of EU citizenship and mutual understanding, through the greater awareness and appreciation of cultural diversity, the protection and promotion of Union values, supporting democratic and societal resilience, and a trustworthy information space, objectives that national interventions alone cannot fully achieve.</w:t>
      </w:r>
    </w:p>
    <w:p w14:paraId="59A7A750" w14:textId="77777777" w:rsidR="005B7178" w:rsidRPr="00612214" w:rsidRDefault="005B7178" w:rsidP="00C02A25">
      <w:pPr>
        <w:pStyle w:val="Text1"/>
        <w:pBdr>
          <w:top w:val="single" w:sz="4" w:space="1" w:color="auto"/>
          <w:left w:val="single" w:sz="4" w:space="4" w:color="auto"/>
          <w:bottom w:val="single" w:sz="4" w:space="1" w:color="auto"/>
          <w:right w:val="single" w:sz="4" w:space="4" w:color="auto"/>
        </w:pBdr>
        <w:rPr>
          <w:noProof/>
          <w:lang w:val="en-US"/>
        </w:rPr>
      </w:pPr>
      <w:r w:rsidRPr="00612214">
        <w:rPr>
          <w:noProof/>
          <w:lang w:val="en-US"/>
        </w:rPr>
        <w:t>- EU support will foster cross border access to media, audiovisual and other cultural and creative content to European citizens.</w:t>
      </w:r>
    </w:p>
    <w:p w14:paraId="0FCA9131" w14:textId="77777777" w:rsidR="005B7178" w:rsidRDefault="005B7178">
      <w:pPr>
        <w:pStyle w:val="ManualHeading3"/>
        <w:rPr>
          <w:noProof/>
        </w:rPr>
      </w:pPr>
      <w:r w:rsidRPr="0021790A">
        <w:rPr>
          <w:noProof/>
        </w:rPr>
        <w:t>1.5.3.</w:t>
      </w:r>
      <w:r w:rsidRPr="0021790A">
        <w:rPr>
          <w:noProof/>
        </w:rPr>
        <w:tab/>
      </w:r>
      <w:r>
        <w:rPr>
          <w:noProof/>
        </w:rPr>
        <w:t>Lessons learned from similar experiences in the past</w:t>
      </w:r>
    </w:p>
    <w:p w14:paraId="6930B235"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sidRPr="001E15C2">
        <w:rPr>
          <w:noProof/>
        </w:rPr>
        <w:t xml:space="preserve">The results of the mid-term evaluations for the period </w:t>
      </w:r>
      <w:r w:rsidRPr="001E15C2">
        <w:rPr>
          <w:noProof/>
        </w:rPr>
        <w:t>2021-2027 indicat</w:t>
      </w:r>
      <w:r>
        <w:rPr>
          <w:noProof/>
        </w:rPr>
        <w:t>e</w:t>
      </w:r>
      <w:r w:rsidRPr="001E15C2">
        <w:rPr>
          <w:noProof/>
        </w:rPr>
        <w:t xml:space="preserve"> that the existing programmes have largely delivered on their policy objectives and provided EU added value, while highlighting areas for improvement in terms of design.</w:t>
      </w:r>
      <w:r>
        <w:rPr>
          <w:noProof/>
        </w:rPr>
        <w:t xml:space="preserve"> For example, the interim evaluation of the Citizens, Equality, Rights and Values (CERV) programme confirmed that the programme occupies a largely empty space in the values and fundamental rights funding landscape. Creative Europe has contributed to support cultural and linguistic diversity by increasing people’s access to </w:t>
      </w:r>
      <w:r>
        <w:rPr>
          <w:noProof/>
        </w:rPr>
        <w:t>diverse European content as well as to help audiovisual and other creative and cultural operators to scale up at European level and become more competitive. The evaluation on Multimedia Actions equally confirmed the added value of supporting independent news coverage on EU affairs.</w:t>
      </w:r>
    </w:p>
    <w:p w14:paraId="0C3177F2"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 xml:space="preserve">The evaluations also point </w:t>
      </w:r>
      <w:r w:rsidRPr="001E15C2">
        <w:rPr>
          <w:rFonts w:eastAsia="Times New Roman"/>
          <w:noProof/>
        </w:rPr>
        <w:t xml:space="preserve">to </w:t>
      </w:r>
      <w:r w:rsidRPr="003D5475">
        <w:rPr>
          <w:rFonts w:eastAsia="Times New Roman"/>
          <w:noProof/>
        </w:rPr>
        <w:t>areas of improvement</w:t>
      </w:r>
      <w:r w:rsidRPr="001E15C2">
        <w:rPr>
          <w:rFonts w:eastAsia="Times New Roman"/>
          <w:noProof/>
        </w:rPr>
        <w:t xml:space="preserve"> in terms of </w:t>
      </w:r>
      <w:r w:rsidRPr="003D5475">
        <w:rPr>
          <w:rFonts w:eastAsia="Times New Roman"/>
          <w:noProof/>
        </w:rPr>
        <w:t>design</w:t>
      </w:r>
      <w:r w:rsidRPr="001E15C2">
        <w:rPr>
          <w:rFonts w:eastAsia="Times New Roman"/>
          <w:noProof/>
        </w:rPr>
        <w:t>. These include</w:t>
      </w:r>
      <w:r w:rsidRPr="001E15C2" w:rsidDel="00BE05CF">
        <w:rPr>
          <w:rFonts w:eastAsia="Times New Roman"/>
          <w:noProof/>
        </w:rPr>
        <w:t xml:space="preserve"> </w:t>
      </w:r>
      <w:r w:rsidRPr="001E15C2">
        <w:rPr>
          <w:rFonts w:eastAsia="Times New Roman"/>
          <w:noProof/>
        </w:rPr>
        <w:t>expanding the reach of the programmes, easing access, simplifying management, enhancing monitoring, strengthening synergies and avoiding overlaps with other programmes, and increasing flexibility to address new challenges</w:t>
      </w:r>
      <w:r>
        <w:rPr>
          <w:rFonts w:eastAsia="Times New Roman"/>
          <w:noProof/>
        </w:rPr>
        <w:t xml:space="preserve">. </w:t>
      </w:r>
    </w:p>
    <w:p w14:paraId="60D32679" w14:textId="77777777" w:rsidR="005B7178" w:rsidRDefault="005B7178">
      <w:pPr>
        <w:pStyle w:val="ManualHeading3"/>
        <w:rPr>
          <w:noProof/>
        </w:rPr>
      </w:pPr>
      <w:r w:rsidRPr="0021790A">
        <w:rPr>
          <w:noProof/>
        </w:rPr>
        <w:t>1.5.4.</w:t>
      </w:r>
      <w:r w:rsidRPr="0021790A">
        <w:rPr>
          <w:noProof/>
        </w:rPr>
        <w:tab/>
      </w:r>
      <w:r>
        <w:rPr>
          <w:noProof/>
        </w:rPr>
        <w:t>Compatibility with the multiannual financial framework and possible synergies with other appropriate instruments</w:t>
      </w:r>
    </w:p>
    <w:p w14:paraId="1F77EC91" w14:textId="77777777" w:rsidR="005B7178" w:rsidRDefault="005B7178" w:rsidP="00337E6A">
      <w:pPr>
        <w:pStyle w:val="Text1"/>
        <w:pBdr>
          <w:top w:val="single" w:sz="4" w:space="1" w:color="auto"/>
          <w:left w:val="single" w:sz="4" w:space="4" w:color="auto"/>
          <w:bottom w:val="single" w:sz="4" w:space="1" w:color="auto"/>
          <w:right w:val="single" w:sz="4" w:space="4" w:color="auto"/>
        </w:pBdr>
        <w:rPr>
          <w:noProof/>
        </w:rPr>
      </w:pPr>
      <w:r>
        <w:rPr>
          <w:noProof/>
        </w:rPr>
        <w:t>The initiative is part of the 2028-20</w:t>
      </w:r>
      <w:r w:rsidRPr="00FC08FC">
        <w:rPr>
          <w:noProof/>
        </w:rPr>
        <w:t>3</w:t>
      </w:r>
      <w:r w:rsidRPr="00CF173C">
        <w:rPr>
          <w:noProof/>
        </w:rPr>
        <w:t>4</w:t>
      </w:r>
      <w:r>
        <w:rPr>
          <w:noProof/>
        </w:rPr>
        <w:t xml:space="preserve"> multiannual financial framework proposal. </w:t>
      </w:r>
    </w:p>
    <w:p w14:paraId="56BB2CC6"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p>
    <w:p w14:paraId="65B18750" w14:textId="77777777" w:rsidR="005B7178" w:rsidRPr="00DA26CC" w:rsidRDefault="005B7178" w:rsidP="00C02A25">
      <w:pPr>
        <w:pStyle w:val="Text1"/>
        <w:pBdr>
          <w:top w:val="single" w:sz="4" w:space="1" w:color="auto"/>
          <w:left w:val="single" w:sz="4" w:space="4" w:color="auto"/>
          <w:bottom w:val="single" w:sz="4" w:space="1" w:color="auto"/>
          <w:right w:val="single" w:sz="4" w:space="4" w:color="auto"/>
        </w:pBdr>
        <w:rPr>
          <w:noProof/>
        </w:rPr>
      </w:pPr>
      <w:r w:rsidRPr="00DA26CC">
        <w:rPr>
          <w:noProof/>
        </w:rPr>
        <w:t>The initiative is aligned with the overarching Commission’s 2024-2029 policy priorities, namely in terms of 1) Supporting people, strengthening our societies and our social model; 2) Protecting our democracy, upholding our values; 3) Europe’s sustainable prosperity and competitiveness; and 4) a global Europe.</w:t>
      </w:r>
    </w:p>
    <w:p w14:paraId="66A0EAAB" w14:textId="77777777" w:rsidR="005B7178" w:rsidRPr="00DA26CC" w:rsidRDefault="005B7178" w:rsidP="00C02A25">
      <w:pPr>
        <w:pStyle w:val="Text1"/>
        <w:pBdr>
          <w:top w:val="single" w:sz="4" w:space="1" w:color="auto"/>
          <w:left w:val="single" w:sz="4" w:space="4" w:color="auto"/>
          <w:bottom w:val="single" w:sz="4" w:space="1" w:color="auto"/>
          <w:right w:val="single" w:sz="4" w:space="4" w:color="auto"/>
        </w:pBdr>
        <w:rPr>
          <w:noProof/>
        </w:rPr>
      </w:pPr>
      <w:r w:rsidRPr="00DA26CC">
        <w:rPr>
          <w:noProof/>
        </w:rPr>
        <w:t>1) Synergies with policies supporting people, strengthening our societies and our social model</w:t>
      </w:r>
    </w:p>
    <w:p w14:paraId="46577D75"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sidRPr="00DA26CC">
        <w:rPr>
          <w:noProof/>
        </w:rPr>
        <w:t>Synergies will be fostered between media, culture, values and rights initiatives and the future intervention in the fields of education, solidarity and youth. These synergies, such as in media literacy, digital skills, civic engagement and civic education</w:t>
      </w:r>
      <w:r>
        <w:rPr>
          <w:noProof/>
        </w:rPr>
        <w:t>, arts and culture education,</w:t>
      </w:r>
      <w:r w:rsidRPr="00DA26CC">
        <w:rPr>
          <w:noProof/>
        </w:rPr>
        <w:t xml:space="preserve"> and skills development and inclusion, will be promoted in line with the objectives of the European Youth Strategy and the EU Citizenship Report as well as other upcoming policy initiatives. The initiative complements some initiatives under employment and social policies. Promoting equal access to rights and fostering diversity will support social inclusion and fair labour markets. The cultural and creative sectors and </w:t>
      </w:r>
      <w:r>
        <w:rPr>
          <w:noProof/>
        </w:rPr>
        <w:t>media</w:t>
      </w:r>
      <w:r w:rsidRPr="00AD1CDB">
        <w:rPr>
          <w:noProof/>
        </w:rPr>
        <w:t xml:space="preserve"> </w:t>
      </w:r>
      <w:r w:rsidRPr="00DA26CC">
        <w:rPr>
          <w:noProof/>
        </w:rPr>
        <w:t xml:space="preserve">industries will actively contribute to the upskilling </w:t>
      </w:r>
      <w:r w:rsidRPr="00DA26CC">
        <w:rPr>
          <w:noProof/>
        </w:rPr>
        <w:t xml:space="preserve">and reskilling of professionals, in the context of the </w:t>
      </w:r>
      <w:r w:rsidRPr="00DA26CC">
        <w:rPr>
          <w:noProof/>
        </w:rPr>
        <w:lastRenderedPageBreak/>
        <w:t>Union of Skills, likewise, it will likely favour the creation of jobs in these sectors.</w:t>
      </w:r>
      <w:r>
        <w:rPr>
          <w:noProof/>
        </w:rPr>
        <w:t xml:space="preserve"> The cultural and creative sectors will also focus on improving working conditions of artists and of cultural and creative professionals.</w:t>
      </w:r>
    </w:p>
    <w:p w14:paraId="2574DB74"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2) Synergies with justice policies </w:t>
      </w:r>
    </w:p>
    <w:p w14:paraId="0F13C4D7"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The alignment between justice policies and the rule of law creates a robust framework that ensures accountability, promotes legal coherence across Member States, and protects fundamental rights, thereby enhancing trust and cooperation within the Union. The relationship between fundamental rights and justice policies is key in shaping fair and equitable societies. Fundamental rights – ranging from the right to a fair trial, freedom from discrimination to the protection of privacy – define the essential stand</w:t>
      </w:r>
      <w:r>
        <w:rPr>
          <w:noProof/>
        </w:rPr>
        <w:t>ards that justice systems must uphold, and translate abstract principles into concrete legal measures and practices. For instance, anti-discrimination laws enforce the principle of equality before the law. Thus, the synergy between fundamental rights and justice policies ensures that legal systems not only prevent abuses but actively promote dignity, equality, and freedom. This synergy is essential for building public trust in legal institutions, fostering social cohesion, and ultimately ensuring that justi</w:t>
      </w:r>
      <w:r>
        <w:rPr>
          <w:noProof/>
        </w:rPr>
        <w:t>ce is accessible and meaningful for all individuals. To this end, synergies will be fostered between this programme and the future Justice programme.  </w:t>
      </w:r>
    </w:p>
    <w:p w14:paraId="04731B77"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 xml:space="preserve">3) Synergies with policies for the Single Market and competitiveness </w:t>
      </w:r>
    </w:p>
    <w:p w14:paraId="4EF14FEA"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 will complement the EU policy </w:t>
      </w:r>
      <w:r>
        <w:rPr>
          <w:noProof/>
        </w:rPr>
        <w:t>framework on Single Market and economic competitiveness. Notably, it builds on the 2024 Single Market and Competitiveness Report, which adopts an ecosystem-based approach to strengthen the resilience and strategic autonomy of key industrial sectors, including cultural and creative industries. It also reflects the objectives of the Competitiveness Compass, which sets out clear benchmarks to improve the EU’s long-term productivity and promote innovation. </w:t>
      </w:r>
    </w:p>
    <w:p w14:paraId="1A9399E1"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The initiative will strengthen synergies with the future European Competitiveness Fund and the future programme for research and innovation. This includes support for multidisciplinary research in a variety of topics including democracy, values, equality, and disinformation, but also on digital and industrial topics closely linked to the cultural and creative sectors (e.g., extended reality, immersive environments, new media). Moreover, the proposal contributes to addressing Europe’s digital transformation,</w:t>
      </w:r>
      <w:r>
        <w:rPr>
          <w:noProof/>
        </w:rPr>
        <w:t xml:space="preserve"> in line with the objectives of the Digital Decade 2030. </w:t>
      </w:r>
    </w:p>
    <w:p w14:paraId="2B83065C"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4) Synergies with policies for a global Europe</w:t>
      </w:r>
    </w:p>
    <w:p w14:paraId="5C97C50C" w14:textId="77777777" w:rsidR="005B7178" w:rsidRDefault="005B7178" w:rsidP="00C02A25">
      <w:pPr>
        <w:pStyle w:val="Text1"/>
        <w:pBdr>
          <w:top w:val="single" w:sz="4" w:space="1" w:color="auto"/>
          <w:left w:val="single" w:sz="4" w:space="4" w:color="auto"/>
          <w:bottom w:val="single" w:sz="4" w:space="1" w:color="auto"/>
          <w:right w:val="single" w:sz="4" w:space="4" w:color="auto"/>
        </w:pBdr>
        <w:rPr>
          <w:noProof/>
        </w:rPr>
      </w:pPr>
      <w:r>
        <w:rPr>
          <w:noProof/>
        </w:rPr>
        <w:t xml:space="preserve">The future programme will complement actions financed through the Union external actions. For instance, by promoting cultural exchanges and supporting EU media and audiovisual content globally </w:t>
      </w:r>
      <w:r>
        <w:rPr>
          <w:noProof/>
        </w:rPr>
        <w:t>including through   international collaborations, it will open new markets, attract global talent, enhance the EU’s influence and attractiveness on the world stage.</w:t>
      </w:r>
    </w:p>
    <w:p w14:paraId="456F3E17" w14:textId="77777777" w:rsidR="005B7178" w:rsidRDefault="005B7178">
      <w:pPr>
        <w:pStyle w:val="ManualHeading3"/>
        <w:rPr>
          <w:noProof/>
        </w:rPr>
      </w:pPr>
      <w:r w:rsidRPr="0021790A">
        <w:rPr>
          <w:noProof/>
        </w:rPr>
        <w:t>1.5.5.</w:t>
      </w:r>
      <w:r w:rsidRPr="0021790A">
        <w:rPr>
          <w:noProof/>
        </w:rPr>
        <w:tab/>
      </w:r>
      <w:r>
        <w:rPr>
          <w:noProof/>
        </w:rPr>
        <w:t>Assessment of the different available financing options, including scope for redeployment</w:t>
      </w:r>
    </w:p>
    <w:p w14:paraId="57ADE54D" w14:textId="77777777" w:rsidR="005B7178" w:rsidRDefault="005B7178">
      <w:pPr>
        <w:pStyle w:val="ManualHeading2"/>
        <w:rPr>
          <w:bCs/>
          <w:noProof/>
          <w:szCs w:val="24"/>
        </w:rPr>
      </w:pPr>
      <w:r>
        <w:rPr>
          <w:noProof/>
        </w:rPr>
        <w:t xml:space="preserve"> - </w:t>
      </w:r>
      <w:r>
        <w:rPr>
          <w:noProof/>
        </w:rPr>
        <w:br w:type="page"/>
      </w:r>
      <w:r w:rsidRPr="0021790A">
        <w:rPr>
          <w:noProof/>
        </w:rPr>
        <w:lastRenderedPageBreak/>
        <w:t>1.6.</w:t>
      </w:r>
      <w:r w:rsidRPr="0021790A">
        <w:rPr>
          <w:noProof/>
        </w:rPr>
        <w:tab/>
      </w:r>
      <w:r>
        <w:rPr>
          <w:noProof/>
        </w:rPr>
        <w:t>Duration of the proposal/initiative and of its financial impact</w:t>
      </w:r>
    </w:p>
    <w:p w14:paraId="454298DC" w14:textId="77777777" w:rsidR="005B7178" w:rsidRDefault="005B7178">
      <w:pPr>
        <w:pStyle w:val="Text1"/>
        <w:rPr>
          <w:noProof/>
        </w:rPr>
      </w:pPr>
      <w:r>
        <w:rPr>
          <w:rFonts w:ascii="Segoe UI Symbol" w:eastAsia="Wingdings" w:hAnsi="Segoe UI Symbol" w:cs="Wingdings"/>
          <w:noProof/>
        </w:rPr>
        <w:t>☒</w:t>
      </w:r>
      <w:r>
        <w:rPr>
          <w:b/>
          <w:i/>
          <w:noProof/>
        </w:rPr>
        <w:t xml:space="preserve"> </w:t>
      </w:r>
      <w:r>
        <w:rPr>
          <w:b/>
          <w:noProof/>
        </w:rPr>
        <w:t xml:space="preserve">limited duration </w:t>
      </w:r>
    </w:p>
    <w:p w14:paraId="26EEFA41" w14:textId="77777777" w:rsidR="005B7178" w:rsidRPr="00FC08FC" w:rsidRDefault="005B7178">
      <w:pPr>
        <w:pStyle w:val="ListDash2"/>
        <w:rPr>
          <w:noProof/>
        </w:rPr>
      </w:pPr>
      <w:r>
        <w:rPr>
          <w:rFonts w:ascii="Segoe UI Symbol" w:eastAsia="Wingdings" w:hAnsi="Segoe UI Symbol" w:cs="Wingdings"/>
          <w:noProof/>
        </w:rPr>
        <w:t>☒</w:t>
      </w:r>
      <w:r>
        <w:rPr>
          <w:noProof/>
        </w:rPr>
        <w:tab/>
        <w:t xml:space="preserve">in effect from </w:t>
      </w:r>
      <w:r>
        <w:rPr>
          <w:noProof/>
        </w:rPr>
        <w:t>01</w:t>
      </w:r>
      <w:r>
        <w:rPr>
          <w:noProof/>
        </w:rPr>
        <w:t>/</w:t>
      </w:r>
      <w:r>
        <w:rPr>
          <w:noProof/>
        </w:rPr>
        <w:t>01</w:t>
      </w:r>
      <w:r>
        <w:rPr>
          <w:noProof/>
        </w:rPr>
        <w:t>/</w:t>
      </w:r>
      <w:r>
        <w:rPr>
          <w:noProof/>
        </w:rPr>
        <w:t>2028</w:t>
      </w:r>
      <w:r>
        <w:rPr>
          <w:noProof/>
        </w:rPr>
        <w:t xml:space="preserve"> </w:t>
      </w:r>
      <w:r w:rsidRPr="00FC08FC">
        <w:rPr>
          <w:noProof/>
        </w:rPr>
        <w:t xml:space="preserve">to </w:t>
      </w:r>
      <w:r w:rsidRPr="00CF173C">
        <w:rPr>
          <w:noProof/>
        </w:rPr>
        <w:t>31</w:t>
      </w:r>
      <w:r w:rsidRPr="00CF173C">
        <w:rPr>
          <w:noProof/>
        </w:rPr>
        <w:t>/</w:t>
      </w:r>
      <w:r w:rsidRPr="00CF173C">
        <w:rPr>
          <w:noProof/>
        </w:rPr>
        <w:t>12</w:t>
      </w:r>
      <w:r>
        <w:rPr>
          <w:noProof/>
        </w:rPr>
        <w:t>/</w:t>
      </w:r>
      <w:r w:rsidRPr="00CF173C">
        <w:rPr>
          <w:noProof/>
        </w:rPr>
        <w:t>2034</w:t>
      </w:r>
      <w:r w:rsidRPr="00FC08FC">
        <w:rPr>
          <w:noProof/>
        </w:rPr>
        <w:t xml:space="preserve"> </w:t>
      </w:r>
    </w:p>
    <w:p w14:paraId="39034A48" w14:textId="77777777" w:rsidR="005B7178" w:rsidRDefault="005B7178">
      <w:pPr>
        <w:pStyle w:val="ListDash2"/>
        <w:rPr>
          <w:noProof/>
        </w:rPr>
      </w:pPr>
      <w:r w:rsidRPr="00FC08FC">
        <w:rPr>
          <w:rFonts w:ascii="Segoe UI Symbol" w:eastAsia="Wingdings" w:hAnsi="Segoe UI Symbol" w:cs="Wingdings"/>
          <w:noProof/>
        </w:rPr>
        <w:t>☒</w:t>
      </w:r>
      <w:r w:rsidRPr="00FC08FC">
        <w:rPr>
          <w:noProof/>
        </w:rPr>
        <w:tab/>
        <w:t xml:space="preserve">financial impact from </w:t>
      </w:r>
      <w:r w:rsidRPr="00CF173C">
        <w:rPr>
          <w:noProof/>
        </w:rPr>
        <w:t xml:space="preserve">2028 to </w:t>
      </w:r>
      <w:r w:rsidRPr="00FC08FC">
        <w:rPr>
          <w:noProof/>
        </w:rPr>
        <w:t xml:space="preserve">2034 </w:t>
      </w:r>
      <w:r w:rsidRPr="00FC08FC">
        <w:rPr>
          <w:noProof/>
        </w:rPr>
        <w:t xml:space="preserve">for commitment appropriations and from </w:t>
      </w:r>
      <w:r w:rsidRPr="00CF173C">
        <w:rPr>
          <w:noProof/>
        </w:rPr>
        <w:t xml:space="preserve">2028 to </w:t>
      </w:r>
      <w:r w:rsidRPr="00FC08FC">
        <w:rPr>
          <w:noProof/>
        </w:rPr>
        <w:t xml:space="preserve">203x </w:t>
      </w:r>
      <w:r w:rsidRPr="00FC08FC">
        <w:rPr>
          <w:noProof/>
        </w:rPr>
        <w:t>for payment appropriations</w:t>
      </w:r>
      <w:r>
        <w:rPr>
          <w:noProof/>
        </w:rPr>
        <w:t xml:space="preserve">. </w:t>
      </w:r>
    </w:p>
    <w:p w14:paraId="4E458E9D" w14:textId="77777777" w:rsidR="005B7178" w:rsidRDefault="005B7178">
      <w:pPr>
        <w:pStyle w:val="Text1"/>
        <w:rPr>
          <w:noProof/>
        </w:rPr>
      </w:pPr>
      <w:r w:rsidRPr="00513670">
        <w:rPr>
          <w:rFonts w:eastAsia="Wingdings"/>
          <w:noProof/>
        </w:rPr>
        <w:t>¨</w:t>
      </w:r>
      <w:r>
        <w:rPr>
          <w:b/>
          <w:i/>
          <w:noProof/>
        </w:rPr>
        <w:t xml:space="preserve"> </w:t>
      </w:r>
      <w:r>
        <w:rPr>
          <w:b/>
          <w:noProof/>
        </w:rPr>
        <w:t>unlimited duration</w:t>
      </w:r>
    </w:p>
    <w:p w14:paraId="5D7CEA6F" w14:textId="77777777" w:rsidR="005B7178" w:rsidRDefault="005B7178">
      <w:pPr>
        <w:pStyle w:val="ListDash1"/>
        <w:rPr>
          <w:noProof/>
        </w:rPr>
      </w:pPr>
      <w:r>
        <w:rPr>
          <w:noProof/>
        </w:rPr>
        <w:t>Implementation with a start-up period from YYYY to YYYY,</w:t>
      </w:r>
    </w:p>
    <w:p w14:paraId="1C3A9684" w14:textId="77777777" w:rsidR="005B7178" w:rsidRDefault="005B7178">
      <w:pPr>
        <w:pStyle w:val="ListDash1"/>
        <w:rPr>
          <w:noProof/>
        </w:rPr>
      </w:pPr>
      <w:r>
        <w:rPr>
          <w:noProof/>
        </w:rPr>
        <w:t>followed by full-scale operation.</w:t>
      </w:r>
    </w:p>
    <w:p w14:paraId="0EAD18E7" w14:textId="77777777" w:rsidR="005B7178" w:rsidRDefault="005B7178">
      <w:pPr>
        <w:pStyle w:val="ManualHeading2"/>
        <w:rPr>
          <w:bCs/>
          <w:noProof/>
          <w:szCs w:val="24"/>
        </w:rPr>
      </w:pPr>
      <w:r w:rsidRPr="0021790A">
        <w:rPr>
          <w:noProof/>
        </w:rPr>
        <w:t>1.7.</w:t>
      </w:r>
      <w:r w:rsidRPr="0021790A">
        <w:rPr>
          <w:noProof/>
        </w:rPr>
        <w:tab/>
      </w:r>
      <w:r>
        <w:rPr>
          <w:noProof/>
        </w:rPr>
        <w:t>Method(s) of budget implementation planned</w:t>
      </w:r>
    </w:p>
    <w:p w14:paraId="21A10C51" w14:textId="77777777" w:rsidR="005B7178" w:rsidRDefault="005B7178">
      <w:pPr>
        <w:pStyle w:val="Text1"/>
        <w:rPr>
          <w:noProof/>
        </w:rPr>
      </w:pPr>
      <w:r>
        <w:rPr>
          <w:rFonts w:ascii="Segoe UI Symbol" w:eastAsia="Wingdings" w:hAnsi="Segoe UI Symbol" w:cs="Wingdings"/>
          <w:noProof/>
        </w:rPr>
        <w:t>☒</w:t>
      </w:r>
      <w:r>
        <w:rPr>
          <w:i/>
          <w:noProof/>
        </w:rPr>
        <w:t xml:space="preserve"> </w:t>
      </w:r>
      <w:r>
        <w:rPr>
          <w:b/>
          <w:noProof/>
        </w:rPr>
        <w:t>Direct management</w:t>
      </w:r>
      <w:r>
        <w:rPr>
          <w:noProof/>
        </w:rPr>
        <w:t xml:space="preserve"> by the Commission</w:t>
      </w:r>
    </w:p>
    <w:p w14:paraId="3A625452" w14:textId="77777777" w:rsidR="005B7178" w:rsidRDefault="005B7178">
      <w:pPr>
        <w:pStyle w:val="ListDash2"/>
        <w:rPr>
          <w:rFonts w:cs="EUAlbertina"/>
          <w:noProof/>
        </w:rPr>
      </w:pPr>
      <w:r>
        <w:rPr>
          <w:rFonts w:ascii="Segoe UI Symbol" w:eastAsia="Wingdings" w:hAnsi="Segoe UI Symbol" w:cs="Wingdings"/>
          <w:noProof/>
        </w:rPr>
        <w:t>☒</w:t>
      </w:r>
      <w:r>
        <w:rPr>
          <w:noProof/>
        </w:rPr>
        <w:t xml:space="preserve"> by its departments, including by its staff in the Union delegations; </w:t>
      </w:r>
    </w:p>
    <w:p w14:paraId="69499FE9" w14:textId="77777777" w:rsidR="005B7178" w:rsidRDefault="005B7178">
      <w:pPr>
        <w:pStyle w:val="ListDash2"/>
        <w:rPr>
          <w:noProof/>
        </w:rPr>
      </w:pPr>
      <w:r>
        <w:rPr>
          <w:rFonts w:ascii="Segoe UI Symbol" w:eastAsia="Wingdings" w:hAnsi="Segoe UI Symbol" w:cs="Wingdings"/>
          <w:noProof/>
        </w:rPr>
        <w:t>☒</w:t>
      </w:r>
      <w:r>
        <w:rPr>
          <w:noProof/>
        </w:rPr>
        <w:tab/>
        <w:t xml:space="preserve">by the executive agencies </w:t>
      </w:r>
    </w:p>
    <w:p w14:paraId="48888A7B" w14:textId="77777777" w:rsidR="005B7178" w:rsidRDefault="005B7178">
      <w:pPr>
        <w:pStyle w:val="Text1"/>
        <w:rPr>
          <w:noProof/>
        </w:rPr>
      </w:pPr>
      <w:r w:rsidRPr="00513670">
        <w:rPr>
          <w:rFonts w:eastAsia="Wingdings"/>
          <w:noProof/>
        </w:rPr>
        <w:t>¨</w:t>
      </w:r>
      <w:r>
        <w:rPr>
          <w:b/>
          <w:i/>
          <w:noProof/>
        </w:rPr>
        <w:t xml:space="preserve"> </w:t>
      </w:r>
      <w:r>
        <w:rPr>
          <w:b/>
          <w:noProof/>
        </w:rPr>
        <w:t>Shared management</w:t>
      </w:r>
      <w:r>
        <w:rPr>
          <w:noProof/>
        </w:rPr>
        <w:t xml:space="preserve"> with the Member States </w:t>
      </w:r>
    </w:p>
    <w:p w14:paraId="39356C8C" w14:textId="77777777" w:rsidR="005B7178" w:rsidRDefault="005B7178">
      <w:pPr>
        <w:pStyle w:val="Text1"/>
        <w:rPr>
          <w:noProof/>
        </w:rPr>
      </w:pPr>
      <w:r>
        <w:rPr>
          <w:rFonts w:ascii="Segoe UI Symbol" w:eastAsia="Wingdings" w:hAnsi="Segoe UI Symbol" w:cs="Wingdings"/>
          <w:noProof/>
        </w:rPr>
        <w:t>☒</w:t>
      </w:r>
      <w:r>
        <w:rPr>
          <w:i/>
          <w:noProof/>
        </w:rPr>
        <w:t xml:space="preserve"> </w:t>
      </w:r>
      <w:r>
        <w:rPr>
          <w:b/>
          <w:noProof/>
        </w:rPr>
        <w:t>Indirect management</w:t>
      </w:r>
      <w:r>
        <w:rPr>
          <w:noProof/>
        </w:rPr>
        <w:t xml:space="preserve"> by entrusting budget implementation tasks to:</w:t>
      </w:r>
    </w:p>
    <w:p w14:paraId="519204DC" w14:textId="77777777" w:rsidR="005B7178" w:rsidRDefault="005B7178">
      <w:pPr>
        <w:pStyle w:val="ListDash2"/>
        <w:rPr>
          <w:noProof/>
        </w:rPr>
      </w:pPr>
      <w:r w:rsidRPr="00513670">
        <w:rPr>
          <w:rFonts w:eastAsia="Wingdings"/>
          <w:noProof/>
        </w:rPr>
        <w:t>¨</w:t>
      </w:r>
      <w:r>
        <w:rPr>
          <w:noProof/>
        </w:rPr>
        <w:t xml:space="preserve"> third countries or the bodies they have designated</w:t>
      </w:r>
    </w:p>
    <w:p w14:paraId="69D14921" w14:textId="77777777" w:rsidR="005B7178" w:rsidRDefault="005B7178">
      <w:pPr>
        <w:pStyle w:val="ListDash2"/>
        <w:rPr>
          <w:noProof/>
        </w:rPr>
      </w:pPr>
      <w:r>
        <w:rPr>
          <w:rFonts w:ascii="Segoe UI Symbol" w:eastAsia="Wingdings" w:hAnsi="Segoe UI Symbol" w:cs="Wingdings"/>
          <w:noProof/>
        </w:rPr>
        <w:t>☒</w:t>
      </w:r>
      <w:r>
        <w:rPr>
          <w:noProof/>
        </w:rPr>
        <w:t xml:space="preserve"> international organisations and their agencies </w:t>
      </w:r>
      <w:r w:rsidRPr="00DA26CC">
        <w:rPr>
          <w:noProof/>
        </w:rPr>
        <w:t>(e.g. UNESCO, OECD, CoE...</w:t>
      </w:r>
      <w:r>
        <w:rPr>
          <w:noProof/>
        </w:rPr>
        <w:t>)</w:t>
      </w:r>
    </w:p>
    <w:p w14:paraId="1CEF75B2" w14:textId="77777777" w:rsidR="005B7178" w:rsidRDefault="005B7178">
      <w:pPr>
        <w:pStyle w:val="ListDash2"/>
        <w:rPr>
          <w:noProof/>
        </w:rPr>
      </w:pPr>
      <w:r>
        <w:rPr>
          <w:rFonts w:ascii="Segoe UI Symbol" w:eastAsia="Wingdings" w:hAnsi="Segoe UI Symbol" w:cs="Wingdings"/>
          <w:noProof/>
        </w:rPr>
        <w:t>☒</w:t>
      </w:r>
      <w:r>
        <w:rPr>
          <w:noProof/>
        </w:rPr>
        <w:t xml:space="preserve"> the European Investment Bank and the European Investment Fund</w:t>
      </w:r>
    </w:p>
    <w:p w14:paraId="2982E710" w14:textId="77777777" w:rsidR="005B7178" w:rsidRDefault="005B7178">
      <w:pPr>
        <w:pStyle w:val="ListDash2"/>
        <w:rPr>
          <w:noProof/>
        </w:rPr>
      </w:pPr>
      <w:r w:rsidRPr="00513670">
        <w:rPr>
          <w:rFonts w:eastAsia="Wingdings"/>
          <w:noProof/>
        </w:rPr>
        <w:t>¨</w:t>
      </w:r>
      <w:r>
        <w:rPr>
          <w:noProof/>
        </w:rPr>
        <w:t xml:space="preserve"> bodies referred to in Articles 70 and 71 of the Financial Regulation</w:t>
      </w:r>
    </w:p>
    <w:p w14:paraId="1DE70989" w14:textId="77777777" w:rsidR="005B7178" w:rsidRDefault="005B7178">
      <w:pPr>
        <w:pStyle w:val="ListDash2"/>
        <w:rPr>
          <w:noProof/>
        </w:rPr>
      </w:pPr>
      <w:r>
        <w:rPr>
          <w:rFonts w:ascii="Segoe UI Symbol" w:eastAsia="Wingdings" w:hAnsi="Segoe UI Symbol" w:cs="Wingdings"/>
          <w:noProof/>
        </w:rPr>
        <w:t>☒</w:t>
      </w:r>
      <w:r>
        <w:rPr>
          <w:noProof/>
        </w:rPr>
        <w:t xml:space="preserve"> public law bodies</w:t>
      </w:r>
      <w:r>
        <w:rPr>
          <w:noProof/>
        </w:rPr>
        <w:t xml:space="preserve"> (</w:t>
      </w:r>
      <w:r w:rsidRPr="7133E52E">
        <w:rPr>
          <w:noProof/>
        </w:rPr>
        <w:t>eg Pillar assessed bodies</w:t>
      </w:r>
      <w:r>
        <w:rPr>
          <w:noProof/>
        </w:rPr>
        <w:t>)</w:t>
      </w:r>
    </w:p>
    <w:p w14:paraId="43659381" w14:textId="77777777" w:rsidR="005B7178" w:rsidRDefault="005B7178">
      <w:pPr>
        <w:pStyle w:val="ListDash2"/>
        <w:rPr>
          <w:noProof/>
        </w:rPr>
      </w:pPr>
      <w:r>
        <w:rPr>
          <w:rFonts w:ascii="Segoe UI Symbol" w:eastAsia="Wingdings" w:hAnsi="Segoe UI Symbol" w:cs="Wingdings"/>
          <w:noProof/>
        </w:rPr>
        <w:t>☒</w:t>
      </w:r>
      <w:r>
        <w:rPr>
          <w:noProof/>
        </w:rPr>
        <w:t xml:space="preserve"> bodies governed by private law with a public service mission to the extent that they are provided with adequate financial guarantees</w:t>
      </w:r>
    </w:p>
    <w:p w14:paraId="2AD88153" w14:textId="77777777" w:rsidR="005B7178" w:rsidRDefault="005B7178">
      <w:pPr>
        <w:pStyle w:val="ListDash2"/>
        <w:rPr>
          <w:noProof/>
        </w:rPr>
      </w:pPr>
      <w:r>
        <w:rPr>
          <w:rFonts w:ascii="Segoe UI Symbol" w:eastAsia="Wingdings" w:hAnsi="Segoe UI Symbol" w:cs="Wingdings"/>
          <w:noProof/>
        </w:rPr>
        <w:t>☒</w:t>
      </w:r>
      <w:r>
        <w:rPr>
          <w:noProof/>
        </w:rPr>
        <w:t xml:space="preserve"> bodies governed by the private law of a Member State that are entrusted with the implementation of a public-private partnership and that are provided with adequate financial guarantees</w:t>
      </w:r>
      <w:r>
        <w:rPr>
          <w:noProof/>
        </w:rPr>
        <w:t xml:space="preserve"> </w:t>
      </w:r>
      <w:r w:rsidRPr="7133E52E">
        <w:rPr>
          <w:noProof/>
        </w:rPr>
        <w:t>(Pillar assessed bodies)</w:t>
      </w:r>
    </w:p>
    <w:p w14:paraId="4EE60F3D" w14:textId="77777777" w:rsidR="005B7178" w:rsidRDefault="005B7178">
      <w:pPr>
        <w:pStyle w:val="ListDash2"/>
        <w:rPr>
          <w:noProof/>
        </w:rPr>
      </w:pPr>
      <w:r w:rsidRPr="00513670">
        <w:rPr>
          <w:rFonts w:eastAsia="Wingdings"/>
          <w:noProof/>
        </w:rPr>
        <w:t>¨</w:t>
      </w:r>
      <w:r>
        <w:rPr>
          <w:noProof/>
        </w:rPr>
        <w:t xml:space="preserve"> bodies or persons entrusted with the implementation of specific actions in the common foreign and security policy pursuant to Title V of the Treaty on European Union, and identified in the relevant basic act</w:t>
      </w:r>
    </w:p>
    <w:p w14:paraId="6AE378F0" w14:textId="77777777" w:rsidR="005B7178" w:rsidRDefault="005B7178">
      <w:pPr>
        <w:pStyle w:val="ListDash2"/>
        <w:rPr>
          <w:noProof/>
        </w:rPr>
      </w:pPr>
      <w:r w:rsidRPr="00513670">
        <w:rPr>
          <w:rFonts w:eastAsia="Wingdings"/>
          <w:noProof/>
        </w:rPr>
        <w:t>¨ </w:t>
      </w:r>
      <w:r>
        <w:rPr>
          <w:noProof/>
        </w:rPr>
        <w:t xml:space="preserve">bodies established in a Member State, governed by the private law of a Member State or </w:t>
      </w:r>
      <w:r>
        <w:rPr>
          <w:noProof/>
        </w:rPr>
        <w:t>Union law and eligible to be entrusted, in accordance with sector-specific rules, with the implementation of Union funds or budgetary guarantees, to the extent that such bodies are controlled by public law bodies or by bodies governed by private law with a public service mission, and are provided with adequate financial guarantees in the form of joint and several liability by the controlling bodies or equivalent financial guarantees and which may be, for each action, limited to the maximum amount of the Uni</w:t>
      </w:r>
      <w:r>
        <w:rPr>
          <w:noProof/>
        </w:rPr>
        <w:t>on support.</w:t>
      </w:r>
    </w:p>
    <w:p w14:paraId="33A390F7" w14:textId="77777777" w:rsidR="005B7178" w:rsidRDefault="005B7178">
      <w:pPr>
        <w:rPr>
          <w:noProof/>
        </w:rPr>
      </w:pPr>
      <w:r>
        <w:rPr>
          <w:noProof/>
        </w:rPr>
        <w:t xml:space="preserve">Comments </w:t>
      </w:r>
    </w:p>
    <w:p w14:paraId="24FD1E49" w14:textId="77777777" w:rsidR="005B7178" w:rsidRPr="00270E71" w:rsidRDefault="005B7178" w:rsidP="004B2DE1">
      <w:pPr>
        <w:pBdr>
          <w:top w:val="single" w:sz="4" w:space="1" w:color="auto"/>
          <w:left w:val="single" w:sz="4" w:space="4" w:color="auto"/>
          <w:bottom w:val="single" w:sz="4" w:space="1" w:color="auto"/>
          <w:right w:val="single" w:sz="4" w:space="4" w:color="auto"/>
        </w:pBdr>
        <w:rPr>
          <w:noProof/>
        </w:rPr>
      </w:pPr>
      <w:r w:rsidRPr="00513670">
        <w:rPr>
          <w:rFonts w:eastAsiaTheme="minorEastAsia"/>
          <w:noProof/>
          <w:szCs w:val="24"/>
          <w:lang w:eastAsia="de-DE"/>
        </w:rPr>
        <w:t xml:space="preserve">The programme will be implemented under direct management (with parts delegated to the European Education and Culture Executive Agency) as well as under indirect management </w:t>
      </w:r>
      <w:r w:rsidRPr="00513670">
        <w:rPr>
          <w:rFonts w:eastAsiaTheme="minorEastAsia"/>
          <w:noProof/>
          <w:szCs w:val="24"/>
          <w:lang w:eastAsia="de-DE"/>
        </w:rPr>
        <w:lastRenderedPageBreak/>
        <w:t xml:space="preserve">through International organisations (e.g. UNESCO, OECD, CoE,...) and other Pillar assessed bodies, which has proven to be successful in previous Multiannual Financial Frameworks (MFFs). </w:t>
      </w:r>
    </w:p>
    <w:p w14:paraId="1D7FA619" w14:textId="77777777" w:rsidR="005B7178" w:rsidRDefault="005B7178">
      <w:pPr>
        <w:rPr>
          <w:noProof/>
        </w:rPr>
        <w:sectPr w:rsidR="00D438C2" w:rsidSect="00AC3668">
          <w:headerReference w:type="even" r:id="rId42"/>
          <w:headerReference w:type="default" r:id="rId43"/>
          <w:footerReference w:type="even" r:id="rId44"/>
          <w:footerReference w:type="default" r:id="rId45"/>
          <w:headerReference w:type="first" r:id="rId46"/>
          <w:footerReference w:type="first" r:id="rId47"/>
          <w:pgSz w:w="11907" w:h="16840" w:code="9"/>
          <w:pgMar w:top="1134" w:right="1418" w:bottom="1134" w:left="1418" w:header="709" w:footer="709" w:gutter="0"/>
          <w:cols w:space="708"/>
          <w:docGrid w:linePitch="360"/>
        </w:sectPr>
      </w:pPr>
    </w:p>
    <w:p w14:paraId="4513BCD0" w14:textId="77777777" w:rsidR="005B7178" w:rsidRDefault="005B7178">
      <w:pPr>
        <w:pStyle w:val="ManualHeading1"/>
        <w:rPr>
          <w:bCs/>
          <w:noProof/>
          <w:szCs w:val="24"/>
        </w:rPr>
      </w:pPr>
      <w:r w:rsidRPr="0021790A">
        <w:rPr>
          <w:noProof/>
        </w:rPr>
        <w:lastRenderedPageBreak/>
        <w:t>2.</w:t>
      </w:r>
      <w:r w:rsidRPr="0021790A">
        <w:rPr>
          <w:noProof/>
        </w:rPr>
        <w:tab/>
      </w:r>
      <w:r>
        <w:rPr>
          <w:noProof/>
        </w:rPr>
        <w:t xml:space="preserve">MANAGEMENT MEASURES </w:t>
      </w:r>
    </w:p>
    <w:p w14:paraId="213F4617" w14:textId="77777777" w:rsidR="005B7178" w:rsidRDefault="005B7178">
      <w:pPr>
        <w:pStyle w:val="ManualHeading2"/>
        <w:rPr>
          <w:noProof/>
        </w:rPr>
      </w:pPr>
      <w:r w:rsidRPr="0021790A">
        <w:rPr>
          <w:noProof/>
        </w:rPr>
        <w:t>2.1.</w:t>
      </w:r>
      <w:r w:rsidRPr="0021790A">
        <w:rPr>
          <w:noProof/>
        </w:rPr>
        <w:tab/>
      </w:r>
      <w:r>
        <w:rPr>
          <w:noProof/>
        </w:rPr>
        <w:t xml:space="preserve">Monitoring and </w:t>
      </w:r>
      <w:r>
        <w:rPr>
          <w:noProof/>
        </w:rPr>
        <w:t xml:space="preserve">reporting rules </w:t>
      </w:r>
    </w:p>
    <w:p w14:paraId="1370A19F" w14:textId="77777777" w:rsidR="005B7178" w:rsidRPr="00FC3010" w:rsidRDefault="005B7178" w:rsidP="00B66E94">
      <w:pPr>
        <w:pStyle w:val="ManualConsidrant"/>
        <w:rPr>
          <w:noProof/>
        </w:rPr>
      </w:pPr>
      <w:r w:rsidRPr="00B66E94">
        <w:rPr>
          <w:noProof/>
        </w:rPr>
        <w:t>(41)</w:t>
      </w:r>
      <w:r w:rsidRPr="00B66E94">
        <w:rPr>
          <w:noProof/>
        </w:rPr>
        <w:tab/>
      </w:r>
      <w:r w:rsidRPr="00FC3010">
        <w:rPr>
          <w:noProof/>
        </w:rPr>
        <w:t>The monitoring and reporting rules for this programme will follow the requirements laid down in</w:t>
      </w:r>
      <w:r>
        <w:rPr>
          <w:noProof/>
        </w:rPr>
        <w:t xml:space="preserve"> </w:t>
      </w:r>
      <w:r>
        <w:rPr>
          <w:rFonts w:eastAsia="Times New Roman"/>
          <w:noProof/>
          <w:szCs w:val="24"/>
        </w:rPr>
        <w:t>Regulation (EU) [XXX]* of the European Parliament and of the Council [</w:t>
      </w:r>
      <w:r w:rsidRPr="000B15F4">
        <w:rPr>
          <w:rFonts w:eastAsia="Times New Roman"/>
          <w:noProof/>
          <w:szCs w:val="24"/>
        </w:rPr>
        <w:t>Pe</w:t>
      </w:r>
      <w:r>
        <w:rPr>
          <w:rFonts w:eastAsia="Times New Roman"/>
          <w:noProof/>
          <w:szCs w:val="24"/>
        </w:rPr>
        <w:t>rformance]</w:t>
      </w:r>
      <w:r w:rsidRPr="000B15F4">
        <w:rPr>
          <w:noProof/>
        </w:rPr>
        <w:t>.</w:t>
      </w:r>
    </w:p>
    <w:p w14:paraId="62F50C41" w14:textId="77777777" w:rsidR="005B7178" w:rsidRDefault="005B7178">
      <w:pPr>
        <w:pStyle w:val="ManualHeading2"/>
        <w:rPr>
          <w:bCs/>
          <w:noProof/>
          <w:szCs w:val="24"/>
        </w:rPr>
      </w:pPr>
      <w:r w:rsidRPr="0021790A">
        <w:rPr>
          <w:noProof/>
        </w:rPr>
        <w:t>2.2.</w:t>
      </w:r>
      <w:r w:rsidRPr="0021790A">
        <w:rPr>
          <w:noProof/>
        </w:rPr>
        <w:tab/>
      </w:r>
      <w:r>
        <w:rPr>
          <w:noProof/>
        </w:rPr>
        <w:t xml:space="preserve">Management and control system(s) </w:t>
      </w:r>
    </w:p>
    <w:p w14:paraId="6DE3FBFE" w14:textId="77777777" w:rsidR="005B7178" w:rsidRPr="00721674" w:rsidRDefault="005B7178">
      <w:pPr>
        <w:pStyle w:val="ManualHeading3"/>
        <w:rPr>
          <w:noProof/>
        </w:rPr>
      </w:pPr>
      <w:r w:rsidRPr="0021790A">
        <w:rPr>
          <w:noProof/>
        </w:rPr>
        <w:t>2.2.1.</w:t>
      </w:r>
      <w:r w:rsidRPr="0021790A">
        <w:rPr>
          <w:noProof/>
        </w:rPr>
        <w:tab/>
      </w:r>
      <w:r>
        <w:rPr>
          <w:noProof/>
        </w:rPr>
        <w:t>Justification of the budget implementation method(s), the funding implementation mechanism(s), the payment modalities and the control strategy proposed</w:t>
      </w:r>
    </w:p>
    <w:p w14:paraId="5E472C11"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sidRPr="7133E52E">
        <w:rPr>
          <w:noProof/>
        </w:rPr>
        <w:t>The majority of the</w:t>
      </w:r>
      <w:r w:rsidRPr="7133E52E" w:rsidDel="00792849">
        <w:rPr>
          <w:noProof/>
        </w:rPr>
        <w:t xml:space="preserve"> </w:t>
      </w:r>
      <w:r>
        <w:rPr>
          <w:noProof/>
        </w:rPr>
        <w:t>P</w:t>
      </w:r>
      <w:r w:rsidRPr="004867F5">
        <w:rPr>
          <w:noProof/>
        </w:rPr>
        <w:t>rogramme's actions will</w:t>
      </w:r>
      <w:r w:rsidRPr="004867F5" w:rsidDel="00792849">
        <w:rPr>
          <w:noProof/>
        </w:rPr>
        <w:t xml:space="preserve"> </w:t>
      </w:r>
      <w:r w:rsidRPr="004867F5">
        <w:rPr>
          <w:noProof/>
        </w:rPr>
        <w:t xml:space="preserve">be implemented </w:t>
      </w:r>
      <w:r w:rsidRPr="7133E52E">
        <w:rPr>
          <w:noProof/>
        </w:rPr>
        <w:t>under direct management mode</w:t>
      </w:r>
      <w:r>
        <w:rPr>
          <w:noProof/>
        </w:rPr>
        <w:t xml:space="preserve">, and partly </w:t>
      </w:r>
      <w:r>
        <w:rPr>
          <w:noProof/>
        </w:rPr>
        <w:t>delegated to</w:t>
      </w:r>
      <w:r w:rsidRPr="7133E52E" w:rsidDel="00871107">
        <w:rPr>
          <w:noProof/>
        </w:rPr>
        <w:t xml:space="preserve"> </w:t>
      </w:r>
      <w:r>
        <w:rPr>
          <w:noProof/>
        </w:rPr>
        <w:t>the</w:t>
      </w:r>
      <w:r>
        <w:rPr>
          <w:noProof/>
        </w:rPr>
        <w:t xml:space="preserve"> </w:t>
      </w:r>
      <w:r w:rsidRPr="00D87822">
        <w:rPr>
          <w:noProof/>
        </w:rPr>
        <w:t>European Education and Culture Executive Agency (</w:t>
      </w:r>
      <w:r w:rsidRPr="004867F5">
        <w:rPr>
          <w:noProof/>
        </w:rPr>
        <w:t>EACEA</w:t>
      </w:r>
      <w:r>
        <w:rPr>
          <w:noProof/>
        </w:rPr>
        <w:t>)</w:t>
      </w:r>
      <w:r w:rsidRPr="004867F5">
        <w:rPr>
          <w:noProof/>
        </w:rPr>
        <w:t>. The current</w:t>
      </w:r>
      <w:r w:rsidRPr="2685DBA8">
        <w:rPr>
          <w:noProof/>
        </w:rPr>
        <w:t xml:space="preserve"> implementing mode has proven</w:t>
      </w:r>
      <w:r w:rsidRPr="2685DBA8" w:rsidDel="007C023F">
        <w:rPr>
          <w:noProof/>
        </w:rPr>
        <w:t xml:space="preserve"> </w:t>
      </w:r>
      <w:r w:rsidRPr="2685DBA8">
        <w:rPr>
          <w:noProof/>
        </w:rPr>
        <w:t>effective</w:t>
      </w:r>
      <w:r>
        <w:rPr>
          <w:noProof/>
        </w:rPr>
        <w:t xml:space="preserve"> in the precedessor programmes</w:t>
      </w:r>
      <w:r w:rsidRPr="2685DBA8">
        <w:rPr>
          <w:noProof/>
        </w:rPr>
        <w:t>, and the error rates are currently less than 2%</w:t>
      </w:r>
      <w:r>
        <w:rPr>
          <w:noProof/>
        </w:rPr>
        <w:t xml:space="preserve"> for the Creative Europe programme</w:t>
      </w:r>
      <w:r w:rsidRPr="2685DBA8">
        <w:rPr>
          <w:noProof/>
        </w:rPr>
        <w:t>, based on preliminary results for the current MFF.</w:t>
      </w:r>
      <w:r>
        <w:rPr>
          <w:noProof/>
        </w:rPr>
        <w:t xml:space="preserve"> </w:t>
      </w:r>
      <w:r>
        <w:rPr>
          <w:noProof/>
        </w:rPr>
        <w:t>Funding</w:t>
      </w:r>
      <w:r w:rsidRPr="2685DBA8" w:rsidDel="00F174C1">
        <w:rPr>
          <w:noProof/>
        </w:rPr>
        <w:t xml:space="preserve"> </w:t>
      </w:r>
      <w:r w:rsidRPr="2685DBA8">
        <w:rPr>
          <w:noProof/>
        </w:rPr>
        <w:t xml:space="preserve">will be implemented </w:t>
      </w:r>
      <w:r>
        <w:rPr>
          <w:noProof/>
        </w:rPr>
        <w:t>using the implementation modes offered by the Financial Regulation, mainly grants and procurement, as this allows to better adapt the actions to the needs of the policy and to have more flexibilit</w:t>
      </w:r>
      <w:r>
        <w:rPr>
          <w:noProof/>
        </w:rPr>
        <w:t>y to re-adjust priorit</w:t>
      </w:r>
      <w:r>
        <w:rPr>
          <w:noProof/>
        </w:rPr>
        <w:t xml:space="preserve">ies </w:t>
      </w:r>
      <w:r w:rsidRPr="2685DBA8">
        <w:rPr>
          <w:noProof/>
        </w:rPr>
        <w:t xml:space="preserve">in particular through grants. </w:t>
      </w:r>
      <w:r>
        <w:rPr>
          <w:noProof/>
        </w:rPr>
        <w:t>G</w:t>
      </w:r>
      <w:r w:rsidRPr="2685DBA8">
        <w:rPr>
          <w:noProof/>
        </w:rPr>
        <w:t>rants will be in the form of actual costs</w:t>
      </w:r>
      <w:r w:rsidRPr="54FB6F7F">
        <w:rPr>
          <w:noProof/>
        </w:rPr>
        <w:t>,</w:t>
      </w:r>
      <w:r w:rsidRPr="2685DBA8">
        <w:rPr>
          <w:noProof/>
        </w:rPr>
        <w:t xml:space="preserve"> lump sums, flat rates, unit costs or a combination of these. The use of scales of units costs and other simplified measures will reduce the scope for error in cost claims. Several measures to allow better access for example for smaller organisations, simplification of guidelines and procedures on the basis of the Financial Regulation will be applied (see above). </w:t>
      </w:r>
    </w:p>
    <w:p w14:paraId="6B727E7C" w14:textId="77777777" w:rsidR="005B7178" w:rsidRPr="00FC3010" w:rsidRDefault="005B7178" w:rsidP="005A5FD8">
      <w:pPr>
        <w:pStyle w:val="Text1"/>
        <w:pBdr>
          <w:top w:val="single" w:sz="4" w:space="1" w:color="auto"/>
          <w:left w:val="single" w:sz="4" w:space="4" w:color="auto"/>
          <w:bottom w:val="single" w:sz="4" w:space="1" w:color="auto"/>
          <w:right w:val="single" w:sz="4" w:space="4" w:color="auto"/>
        </w:pBdr>
        <w:rPr>
          <w:noProof/>
        </w:rPr>
      </w:pPr>
      <w:r w:rsidRPr="00FC3010">
        <w:rPr>
          <w:noProof/>
        </w:rPr>
        <w:t>Direct management by the Commission will also allow to establish direct contacts with the beneficiaries/contractors engaged in the implementation of activities that serve Union policies.</w:t>
      </w:r>
      <w:r w:rsidRPr="00FC3010" w:rsidDel="00812668">
        <w:rPr>
          <w:noProof/>
        </w:rPr>
        <w:t xml:space="preserve"> </w:t>
      </w:r>
      <w:r w:rsidRPr="00FC3010">
        <w:rPr>
          <w:noProof/>
        </w:rPr>
        <w:t xml:space="preserve"> </w:t>
      </w:r>
    </w:p>
    <w:p w14:paraId="226B53FC" w14:textId="77777777" w:rsidR="005B7178" w:rsidRDefault="005B7178">
      <w:pPr>
        <w:pStyle w:val="ManualHeading3"/>
        <w:rPr>
          <w:bCs/>
          <w:noProof/>
          <w:szCs w:val="24"/>
        </w:rPr>
      </w:pPr>
      <w:r w:rsidRPr="0021790A">
        <w:rPr>
          <w:noProof/>
        </w:rPr>
        <w:t>2.2.2.</w:t>
      </w:r>
      <w:r w:rsidRPr="0021790A">
        <w:rPr>
          <w:noProof/>
        </w:rPr>
        <w:tab/>
      </w:r>
      <w:r>
        <w:rPr>
          <w:noProof/>
        </w:rPr>
        <w:t>Information concerning the risks identified and the internal control system(s) set up to mitigate them</w:t>
      </w:r>
    </w:p>
    <w:p w14:paraId="0A81A49F"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Pr>
          <w:noProof/>
        </w:rPr>
        <w:t>The Programme</w:t>
      </w:r>
      <w:r w:rsidRPr="2685DBA8">
        <w:rPr>
          <w:noProof/>
        </w:rPr>
        <w:t xml:space="preserve"> faces the same risks as other Commission programmes </w:t>
      </w:r>
      <w:r w:rsidRPr="7AFF0DE8">
        <w:rPr>
          <w:noProof/>
        </w:rPr>
        <w:t xml:space="preserve">that </w:t>
      </w:r>
      <w:r w:rsidRPr="2685DBA8">
        <w:rPr>
          <w:noProof/>
        </w:rPr>
        <w:t xml:space="preserve">target beneficiaries which are diverse in nature. In particular, </w:t>
      </w:r>
      <w:r>
        <w:rPr>
          <w:noProof/>
        </w:rPr>
        <w:t>some</w:t>
      </w:r>
      <w:r w:rsidRPr="2685DBA8">
        <w:rPr>
          <w:noProof/>
        </w:rPr>
        <w:t xml:space="preserve"> beneficiaries are not recurring or do not have extensive administrative structures. </w:t>
      </w:r>
      <w:r>
        <w:rPr>
          <w:noProof/>
        </w:rPr>
        <w:t xml:space="preserve">Risks are mainly related to (1) ensuring quality of selected projects and their subsequent technical implementation; (2) risk of inefficient or non-economic use of funds awarded, both for grants and procurement; (3) fraud. </w:t>
      </w:r>
    </w:p>
    <w:p w14:paraId="2A951279"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Pr>
          <w:noProof/>
        </w:rPr>
        <w:t xml:space="preserve">Most of these risks are expected to be reduced thanks to: (1) careful design of calls for proposals; (2) guidance to applicants and beneficiaries; (3) the </w:t>
      </w:r>
      <w:r w:rsidRPr="2685DBA8">
        <w:rPr>
          <w:noProof/>
        </w:rPr>
        <w:t>use</w:t>
      </w:r>
      <w:r>
        <w:rPr>
          <w:noProof/>
        </w:rPr>
        <w:t xml:space="preserve"> of</w:t>
      </w:r>
      <w:r w:rsidRPr="2685DBA8">
        <w:rPr>
          <w:noProof/>
        </w:rPr>
        <w:t xml:space="preserve"> the simplified cost options of unit costs, flat rates and lump sums</w:t>
      </w:r>
      <w:r>
        <w:rPr>
          <w:noProof/>
        </w:rPr>
        <w:t>,</w:t>
      </w:r>
      <w:r w:rsidRPr="2685DBA8">
        <w:rPr>
          <w:noProof/>
        </w:rPr>
        <w:t xml:space="preserve"> which have been effectively applied in the current MFF</w:t>
      </w:r>
      <w:r>
        <w:rPr>
          <w:noProof/>
        </w:rPr>
        <w:t xml:space="preserve"> and are provided in the Financial Regulation; (4) the use of corporate procedures and systems for the management of proposals and grants </w:t>
      </w:r>
      <w:r w:rsidRPr="2685DBA8">
        <w:rPr>
          <w:noProof/>
        </w:rPr>
        <w:t>(</w:t>
      </w:r>
      <w:r>
        <w:rPr>
          <w:noProof/>
        </w:rPr>
        <w:t xml:space="preserve">e.g. </w:t>
      </w:r>
      <w:r w:rsidRPr="2685DBA8">
        <w:rPr>
          <w:noProof/>
        </w:rPr>
        <w:t>grants vademecum, e-Grants etc.) to ensure a full alignment with best practice in all stages of the grant and procurement lifecycles</w:t>
      </w:r>
      <w:r>
        <w:rPr>
          <w:noProof/>
        </w:rPr>
        <w:t>.</w:t>
      </w:r>
    </w:p>
    <w:p w14:paraId="33F273F7"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Pr>
          <w:noProof/>
        </w:rPr>
        <w:t xml:space="preserve">The control strategy is composed of different building blocks: (1) programming, evaluation and selection of proposals to ensure that only best proposals are funded; (2) signing and monitoring of grant agreements, subject to ex ante verification at both financial and policy level; (3) ex post audits based on a “detection strategy” </w:t>
      </w:r>
      <w:r>
        <w:rPr>
          <w:noProof/>
        </w:rPr>
        <w:lastRenderedPageBreak/>
        <w:t>aimed at identifying a maximum of anomalies in view of recovering undue payments.</w:t>
      </w:r>
    </w:p>
    <w:p w14:paraId="7757938F"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Pr>
          <w:noProof/>
        </w:rPr>
        <w:t>Parts of</w:t>
      </w:r>
      <w:r w:rsidRPr="2685DBA8">
        <w:rPr>
          <w:noProof/>
        </w:rPr>
        <w:t xml:space="preserve"> </w:t>
      </w:r>
      <w:r>
        <w:rPr>
          <w:noProof/>
        </w:rPr>
        <w:t xml:space="preserve">the </w:t>
      </w:r>
      <w:r>
        <w:rPr>
          <w:noProof/>
        </w:rPr>
        <w:t>P</w:t>
      </w:r>
      <w:r>
        <w:rPr>
          <w:noProof/>
        </w:rPr>
        <w:t>rogramme</w:t>
      </w:r>
      <w:r w:rsidRPr="2685DBA8">
        <w:rPr>
          <w:noProof/>
        </w:rPr>
        <w:t xml:space="preserve"> will continue to be implemented by the </w:t>
      </w:r>
      <w:r w:rsidRPr="2685DBA8">
        <w:rPr>
          <w:noProof/>
        </w:rPr>
        <w:t>E</w:t>
      </w:r>
      <w:r>
        <w:rPr>
          <w:noProof/>
        </w:rPr>
        <w:t>ducation and Culture Executive Agency (EACEA)</w:t>
      </w:r>
      <w:r>
        <w:rPr>
          <w:noProof/>
        </w:rPr>
        <w:t xml:space="preserve"> which uses </w:t>
      </w:r>
      <w:r w:rsidRPr="2685DBA8">
        <w:rPr>
          <w:noProof/>
        </w:rPr>
        <w:t xml:space="preserve">the </w:t>
      </w:r>
      <w:r>
        <w:rPr>
          <w:noProof/>
        </w:rPr>
        <w:t xml:space="preserve">same </w:t>
      </w:r>
      <w:r w:rsidRPr="2685DBA8">
        <w:rPr>
          <w:noProof/>
        </w:rPr>
        <w:t>corporate procedures applied throughout the Commission</w:t>
      </w:r>
      <w:r>
        <w:rPr>
          <w:noProof/>
        </w:rPr>
        <w:t>.</w:t>
      </w:r>
    </w:p>
    <w:p w14:paraId="75C4C411"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sidRPr="2685DBA8">
        <w:rPr>
          <w:noProof/>
        </w:rPr>
        <w:t xml:space="preserve">EACEA applies an annual </w:t>
      </w:r>
      <w:r w:rsidRPr="00C91BAA">
        <w:rPr>
          <w:i/>
          <w:iCs/>
          <w:noProof/>
        </w:rPr>
        <w:t>ex post</w:t>
      </w:r>
      <w:r w:rsidRPr="2685DBA8">
        <w:rPr>
          <w:i/>
          <w:iCs/>
          <w:noProof/>
        </w:rPr>
        <w:t xml:space="preserve"> </w:t>
      </w:r>
      <w:r w:rsidRPr="00C91BAA">
        <w:rPr>
          <w:noProof/>
        </w:rPr>
        <w:t>audit</w:t>
      </w:r>
      <w:r w:rsidRPr="2685DBA8">
        <w:rPr>
          <w:i/>
          <w:iCs/>
          <w:noProof/>
        </w:rPr>
        <w:t xml:space="preserve"> </w:t>
      </w:r>
      <w:r w:rsidRPr="00C91BAA">
        <w:rPr>
          <w:noProof/>
        </w:rPr>
        <w:t>plan</w:t>
      </w:r>
      <w:r w:rsidRPr="2685DBA8">
        <w:rPr>
          <w:noProof/>
        </w:rPr>
        <w:t xml:space="preserve"> which covers all actions, and confirms an error rate below 2% for the current MFF. </w:t>
      </w:r>
    </w:p>
    <w:p w14:paraId="18A2A867"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Pr>
          <w:noProof/>
        </w:rPr>
        <w:t xml:space="preserve">Currently, </w:t>
      </w:r>
      <w:r w:rsidRPr="2685DBA8">
        <w:rPr>
          <w:noProof/>
        </w:rPr>
        <w:t>EACEA is supervised by its Steering Committee with DG EAC and DG CNECT as the parent DGs regarding the Creative Europe programme</w:t>
      </w:r>
      <w:r>
        <w:rPr>
          <w:noProof/>
        </w:rPr>
        <w:t xml:space="preserve"> as well as DG JUST as parent DG for the CERV programme</w:t>
      </w:r>
      <w:r w:rsidRPr="2685DBA8">
        <w:rPr>
          <w:noProof/>
        </w:rPr>
        <w:t>. Regular reporting via dashboards is ensured as well as regular coordination meetings with the parent DGs.</w:t>
      </w:r>
    </w:p>
    <w:p w14:paraId="3323445F" w14:textId="77777777" w:rsidR="005B7178" w:rsidRDefault="005B7178">
      <w:pPr>
        <w:pStyle w:val="ManualHeading3"/>
        <w:rPr>
          <w:noProof/>
        </w:rPr>
      </w:pPr>
      <w:r w:rsidRPr="0021790A">
        <w:rPr>
          <w:noProof/>
        </w:rPr>
        <w:t>2.2.3.</w:t>
      </w:r>
      <w:r w:rsidRPr="0021790A">
        <w:rPr>
          <w:noProof/>
        </w:rPr>
        <w:tab/>
      </w:r>
      <w:r>
        <w:rPr>
          <w:noProof/>
        </w:rPr>
        <w:t xml:space="preserve">Estimation and justification of the cost-effectiveness of the controls (ratio between the control costs  and the value of the related funds managed), and assessment of the expected levels of risk of error (at payment &amp; at closure) </w:t>
      </w:r>
    </w:p>
    <w:p w14:paraId="6B02B8E4" w14:textId="77777777" w:rsidR="005B7178" w:rsidRDefault="005B7178" w:rsidP="005A5FD8">
      <w:pPr>
        <w:pStyle w:val="Text1"/>
        <w:pBdr>
          <w:top w:val="single" w:sz="4" w:space="1" w:color="000000"/>
          <w:left w:val="single" w:sz="4" w:space="4" w:color="000000"/>
          <w:bottom w:val="single" w:sz="4" w:space="1" w:color="000000"/>
          <w:right w:val="single" w:sz="4" w:space="4" w:color="000000"/>
        </w:pBdr>
        <w:rPr>
          <w:noProof/>
        </w:rPr>
      </w:pPr>
      <w:bookmarkStart w:id="9" w:name="_Hlk201737993"/>
      <w:r w:rsidRPr="003E37C6">
        <w:rPr>
          <w:noProof/>
        </w:rPr>
        <w:t>The cost of controls of the programme amounts to approximately 6% of the payments done by the Commission. This is expected to stay stable or slightly decrease if the use of simplified cost options is further expanded.</w:t>
      </w:r>
      <w:r w:rsidRPr="0035630B">
        <w:rPr>
          <w:noProof/>
        </w:rPr>
        <w:t xml:space="preserve"> </w:t>
      </w:r>
      <w:r w:rsidRPr="00977018">
        <w:rPr>
          <w:noProof/>
        </w:rPr>
        <w:t xml:space="preserve">The objective for the management and control system is to maintain the expected levels of risk of error (at payment </w:t>
      </w:r>
      <w:r>
        <w:rPr>
          <w:noProof/>
        </w:rPr>
        <w:t>and</w:t>
      </w:r>
      <w:r w:rsidRPr="00977018">
        <w:rPr>
          <w:noProof/>
        </w:rPr>
        <w:t xml:space="preserve"> at closure) below the materiality threshold of 2%.</w:t>
      </w:r>
    </w:p>
    <w:bookmarkEnd w:id="9"/>
    <w:p w14:paraId="627BEE80" w14:textId="77777777" w:rsidR="005B7178" w:rsidRDefault="005B7178">
      <w:pPr>
        <w:pStyle w:val="ManualHeading2"/>
        <w:rPr>
          <w:bCs/>
          <w:noProof/>
          <w:szCs w:val="24"/>
        </w:rPr>
      </w:pPr>
      <w:r w:rsidRPr="0021790A">
        <w:rPr>
          <w:noProof/>
        </w:rPr>
        <w:t>2.3.</w:t>
      </w:r>
      <w:r w:rsidRPr="0021790A">
        <w:rPr>
          <w:noProof/>
        </w:rPr>
        <w:tab/>
      </w:r>
      <w:r>
        <w:rPr>
          <w:noProof/>
        </w:rPr>
        <w:t xml:space="preserve">Measures to prevent fraud and irregularities </w:t>
      </w:r>
    </w:p>
    <w:p w14:paraId="47797F17" w14:textId="77777777" w:rsidR="005B7178" w:rsidRPr="00DF5D9E" w:rsidRDefault="005B7178" w:rsidP="005A5FD8">
      <w:pPr>
        <w:pStyle w:val="Text1"/>
        <w:pBdr>
          <w:top w:val="single" w:sz="4" w:space="1" w:color="auto"/>
          <w:left w:val="single" w:sz="4" w:space="4" w:color="auto"/>
          <w:bottom w:val="single" w:sz="4" w:space="1" w:color="auto"/>
          <w:right w:val="single" w:sz="4" w:space="4" w:color="auto"/>
        </w:pBdr>
        <w:rPr>
          <w:noProof/>
        </w:rPr>
      </w:pPr>
      <w:r w:rsidRPr="00CF173C">
        <w:rPr>
          <w:rFonts w:eastAsiaTheme="minorEastAsia"/>
          <w:noProof/>
          <w:szCs w:val="24"/>
        </w:rPr>
        <w:t>The responsible services wil</w:t>
      </w:r>
      <w:r w:rsidRPr="00DF5D9E">
        <w:rPr>
          <w:noProof/>
        </w:rPr>
        <w:t xml:space="preserve">l continue to apply their Anti-Fraud Strategy – that are in line with the Commission’s Anti-Fraud Strategy (CAFS) – to ensure inter alia that their internal anti-fraud related controls are fully aligned with the CAFS and that its fraud risk management approach is geared to identify fraud risk cases and adequate responses.  </w:t>
      </w:r>
    </w:p>
    <w:p w14:paraId="1B0D5FFD"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sidRPr="039C4CD1">
        <w:rPr>
          <w:noProof/>
        </w:rPr>
        <w:t>Anti-fraud strategies of both EACEA and the Commission  enable fraud risk to be addressed, mainly via measures to prevent irregularity which are then escalated in the event of fraud detection. The following measures will continue to be implemented, both at the parent DG</w:t>
      </w:r>
      <w:r>
        <w:rPr>
          <w:noProof/>
        </w:rPr>
        <w:t>s</w:t>
      </w:r>
      <w:r w:rsidRPr="039C4CD1">
        <w:rPr>
          <w:noProof/>
        </w:rPr>
        <w:t xml:space="preserve"> as in EACEA: Desk monitoring, monitoring missions in accordance with a defined monitoring strategy, clear reporting requirements in the grant agreements with beneficiaries, kick-off meetings with new beneficiaries, possibility to cut grants upon non-delivery of results or non-compliance with certain funding conditions such as those linked to communication. </w:t>
      </w:r>
    </w:p>
    <w:p w14:paraId="6B281D16" w14:textId="77777777" w:rsidR="005B7178" w:rsidRDefault="005B7178" w:rsidP="005A5FD8">
      <w:pPr>
        <w:pStyle w:val="Text1"/>
        <w:pBdr>
          <w:top w:val="single" w:sz="4" w:space="1" w:color="auto"/>
          <w:left w:val="single" w:sz="4" w:space="4" w:color="auto"/>
          <w:bottom w:val="single" w:sz="4" w:space="1" w:color="auto"/>
          <w:right w:val="single" w:sz="4" w:space="4" w:color="auto"/>
        </w:pBdr>
        <w:rPr>
          <w:noProof/>
        </w:rPr>
      </w:pPr>
      <w:r w:rsidRPr="039C4CD1">
        <w:rPr>
          <w:noProof/>
        </w:rPr>
        <w:t>Beneficiaries in exclusion cases are submitted to the Early Detection and Exclusion Database (EDES) and cases are followed up with OLAF and the European Public Prosecutor’s Office (EPPO)</w:t>
      </w:r>
      <w:r>
        <w:rPr>
          <w:noProof/>
        </w:rPr>
        <w:t>.</w:t>
      </w:r>
    </w:p>
    <w:p w14:paraId="7CF0CD53" w14:textId="77777777" w:rsidR="005B7178" w:rsidRDefault="005B7178">
      <w:pPr>
        <w:rPr>
          <w:noProof/>
        </w:rPr>
        <w:sectPr w:rsidR="00D438C2" w:rsidSect="00AC3668">
          <w:headerReference w:type="even" r:id="rId48"/>
          <w:headerReference w:type="default" r:id="rId49"/>
          <w:footerReference w:type="even" r:id="rId50"/>
          <w:footerReference w:type="default" r:id="rId51"/>
          <w:headerReference w:type="first" r:id="rId52"/>
          <w:footerReference w:type="first" r:id="rId53"/>
          <w:pgSz w:w="11907" w:h="16840" w:code="9"/>
          <w:pgMar w:top="1134" w:right="1418" w:bottom="1134" w:left="1418" w:header="709" w:footer="709" w:gutter="0"/>
          <w:cols w:space="708"/>
          <w:docGrid w:linePitch="360"/>
        </w:sectPr>
      </w:pPr>
    </w:p>
    <w:p w14:paraId="3D01DE91" w14:textId="77777777" w:rsidR="005B7178" w:rsidRDefault="005B7178">
      <w:pPr>
        <w:pStyle w:val="ManualHeading1"/>
        <w:rPr>
          <w:noProof/>
        </w:rPr>
      </w:pPr>
      <w:r w:rsidRPr="0021790A">
        <w:rPr>
          <w:noProof/>
        </w:rPr>
        <w:lastRenderedPageBreak/>
        <w:t>3.</w:t>
      </w:r>
      <w:r w:rsidRPr="0021790A">
        <w:rPr>
          <w:noProof/>
        </w:rPr>
        <w:tab/>
      </w:r>
      <w:r>
        <w:rPr>
          <w:noProof/>
        </w:rPr>
        <w:t xml:space="preserve">ESTIMATED FINANCIAL IMPACT OF THE PROPOSAL/INITIATIVE </w:t>
      </w:r>
    </w:p>
    <w:p w14:paraId="0BC42C6F" w14:textId="77777777" w:rsidR="005B7178" w:rsidRPr="005A5FD8" w:rsidRDefault="005B7178" w:rsidP="005A5FD8">
      <w:pPr>
        <w:pStyle w:val="Text1"/>
        <w:rPr>
          <w:noProof/>
        </w:rPr>
      </w:pPr>
    </w:p>
    <w:p w14:paraId="7FE943EF" w14:textId="77777777" w:rsidR="005B7178" w:rsidRDefault="005B7178">
      <w:pPr>
        <w:pStyle w:val="ManualHeading2"/>
        <w:rPr>
          <w:noProof/>
        </w:rPr>
      </w:pPr>
      <w:r w:rsidRPr="0021790A">
        <w:rPr>
          <w:noProof/>
        </w:rPr>
        <w:t>3.1.</w:t>
      </w:r>
      <w:r w:rsidRPr="0021790A">
        <w:rPr>
          <w:noProof/>
        </w:rPr>
        <w:tab/>
      </w:r>
      <w:r>
        <w:rPr>
          <w:noProof/>
        </w:rPr>
        <w:t xml:space="preserve">Heading(s) of the multiannual financial framework and </w:t>
      </w:r>
      <w:r>
        <w:rPr>
          <w:noProof/>
        </w:rPr>
        <w:t xml:space="preserve">expenditure budget line(s) affected </w:t>
      </w:r>
    </w:p>
    <w:p w14:paraId="32E02F12" w14:textId="77777777" w:rsidR="005B7178" w:rsidRDefault="005B7178">
      <w:pPr>
        <w:pStyle w:val="ListBullet1"/>
        <w:rPr>
          <w:noProof/>
        </w:rPr>
      </w:pPr>
      <w:r>
        <w:rPr>
          <w:noProof/>
        </w:rPr>
        <w:t xml:space="preserve">New budget lines requested </w:t>
      </w:r>
    </w:p>
    <w:p w14:paraId="5D7A9A22" w14:textId="77777777" w:rsidR="005B7178" w:rsidRDefault="005B7178">
      <w:pPr>
        <w:pStyle w:val="Text1"/>
        <w:rPr>
          <w:i/>
          <w:noProof/>
          <w:sz w:val="20"/>
        </w:rPr>
      </w:pPr>
      <w:r>
        <w:rPr>
          <w:i/>
          <w:noProof/>
          <w:u w:val="single"/>
        </w:rPr>
        <w:t>In order</w:t>
      </w:r>
      <w:r>
        <w:rPr>
          <w:i/>
          <w:noProof/>
        </w:rPr>
        <w:t xml:space="preserve"> of multiannual financial framework headings and budget lines.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D438C2" w14:paraId="1DE4726F" w14:textId="77777777">
        <w:trPr>
          <w:jc w:val="center"/>
        </w:trPr>
        <w:tc>
          <w:tcPr>
            <w:tcW w:w="1080" w:type="dxa"/>
            <w:vMerge w:val="restart"/>
            <w:vAlign w:val="center"/>
          </w:tcPr>
          <w:p w14:paraId="4377E6F7" w14:textId="77777777" w:rsidR="005B7178" w:rsidRPr="003A769F" w:rsidRDefault="005B7178">
            <w:pPr>
              <w:spacing w:before="60" w:after="60"/>
              <w:jc w:val="center"/>
              <w:rPr>
                <w:noProof/>
                <w:sz w:val="18"/>
                <w:szCs w:val="18"/>
                <w:lang w:val="en-IE"/>
              </w:rPr>
            </w:pPr>
            <w:r w:rsidRPr="003A769F">
              <w:rPr>
                <w:noProof/>
                <w:sz w:val="18"/>
                <w:lang w:val="en-IE"/>
              </w:rPr>
              <w:t>Heading of multiannual financial framework</w:t>
            </w:r>
          </w:p>
        </w:tc>
        <w:tc>
          <w:tcPr>
            <w:tcW w:w="3960" w:type="dxa"/>
            <w:vAlign w:val="center"/>
          </w:tcPr>
          <w:p w14:paraId="69E458AF" w14:textId="77777777" w:rsidR="005B7178" w:rsidRDefault="005B7178">
            <w:pPr>
              <w:spacing w:before="60" w:after="60"/>
              <w:jc w:val="center"/>
              <w:rPr>
                <w:noProof/>
              </w:rPr>
            </w:pPr>
            <w:r>
              <w:rPr>
                <w:noProof/>
                <w:sz w:val="20"/>
              </w:rPr>
              <w:t>Budget line</w:t>
            </w:r>
          </w:p>
        </w:tc>
        <w:tc>
          <w:tcPr>
            <w:tcW w:w="1080" w:type="dxa"/>
            <w:vAlign w:val="center"/>
          </w:tcPr>
          <w:p w14:paraId="782B324C" w14:textId="77777777" w:rsidR="005B7178" w:rsidRDefault="005B7178">
            <w:pPr>
              <w:spacing w:before="60" w:after="60"/>
              <w:jc w:val="center"/>
              <w:rPr>
                <w:noProof/>
              </w:rPr>
            </w:pPr>
            <w:r>
              <w:rPr>
                <w:noProof/>
                <w:sz w:val="18"/>
              </w:rPr>
              <w:t>Type of expenditure</w:t>
            </w:r>
          </w:p>
        </w:tc>
        <w:tc>
          <w:tcPr>
            <w:tcW w:w="4440" w:type="dxa"/>
            <w:gridSpan w:val="4"/>
            <w:vAlign w:val="center"/>
          </w:tcPr>
          <w:p w14:paraId="2C359010" w14:textId="77777777" w:rsidR="005B7178" w:rsidRDefault="005B7178">
            <w:pPr>
              <w:spacing w:before="60" w:after="60"/>
              <w:jc w:val="center"/>
              <w:rPr>
                <w:noProof/>
              </w:rPr>
            </w:pPr>
            <w:r>
              <w:rPr>
                <w:noProof/>
                <w:sz w:val="20"/>
              </w:rPr>
              <w:t xml:space="preserve">Contribution </w:t>
            </w:r>
          </w:p>
        </w:tc>
      </w:tr>
      <w:tr w:rsidR="00D438C2" w14:paraId="2DC89E0A" w14:textId="77777777">
        <w:trPr>
          <w:cantSplit/>
          <w:jc w:val="center"/>
        </w:trPr>
        <w:tc>
          <w:tcPr>
            <w:tcW w:w="1080" w:type="dxa"/>
            <w:vMerge/>
            <w:vAlign w:val="center"/>
          </w:tcPr>
          <w:p w14:paraId="6006BDC6" w14:textId="77777777" w:rsidR="005B7178" w:rsidRDefault="005B7178">
            <w:pPr>
              <w:jc w:val="center"/>
              <w:rPr>
                <w:noProof/>
              </w:rPr>
            </w:pPr>
          </w:p>
        </w:tc>
        <w:tc>
          <w:tcPr>
            <w:tcW w:w="3960" w:type="dxa"/>
            <w:vAlign w:val="center"/>
          </w:tcPr>
          <w:p w14:paraId="7DAB50A2" w14:textId="77777777" w:rsidR="005B7178" w:rsidRDefault="005B7178">
            <w:pPr>
              <w:rPr>
                <w:noProof/>
              </w:rPr>
            </w:pPr>
            <w:r>
              <w:rPr>
                <w:noProof/>
                <w:sz w:val="20"/>
              </w:rPr>
              <w:t xml:space="preserve">Number </w:t>
            </w:r>
            <w:r>
              <w:rPr>
                <w:noProof/>
                <w:sz w:val="22"/>
              </w:rPr>
              <w:br/>
            </w:r>
          </w:p>
        </w:tc>
        <w:tc>
          <w:tcPr>
            <w:tcW w:w="1080" w:type="dxa"/>
            <w:vAlign w:val="center"/>
          </w:tcPr>
          <w:p w14:paraId="304152C9" w14:textId="77777777" w:rsidR="005B7178" w:rsidRDefault="005B7178">
            <w:pPr>
              <w:jc w:val="center"/>
              <w:rPr>
                <w:noProof/>
              </w:rPr>
            </w:pPr>
            <w:r>
              <w:rPr>
                <w:noProof/>
                <w:sz w:val="18"/>
              </w:rPr>
              <w:t>Diff./Non-diff.</w:t>
            </w:r>
          </w:p>
        </w:tc>
        <w:tc>
          <w:tcPr>
            <w:tcW w:w="956" w:type="dxa"/>
            <w:vAlign w:val="center"/>
          </w:tcPr>
          <w:p w14:paraId="5511AD47" w14:textId="77777777" w:rsidR="005B7178" w:rsidRDefault="005B7178">
            <w:pPr>
              <w:jc w:val="center"/>
              <w:rPr>
                <w:noProof/>
                <w:sz w:val="18"/>
              </w:rPr>
            </w:pPr>
            <w:r>
              <w:rPr>
                <w:noProof/>
                <w:sz w:val="18"/>
              </w:rPr>
              <w:t>from EFTA countries</w:t>
            </w:r>
          </w:p>
        </w:tc>
        <w:tc>
          <w:tcPr>
            <w:tcW w:w="1080" w:type="dxa"/>
            <w:vAlign w:val="center"/>
          </w:tcPr>
          <w:p w14:paraId="223168D7" w14:textId="77777777" w:rsidR="005B7178" w:rsidRPr="003A769F" w:rsidRDefault="005B7178">
            <w:pPr>
              <w:jc w:val="center"/>
              <w:rPr>
                <w:noProof/>
                <w:sz w:val="18"/>
                <w:lang w:val="en-IE"/>
              </w:rPr>
            </w:pPr>
            <w:r w:rsidRPr="003A769F">
              <w:rPr>
                <w:noProof/>
                <w:sz w:val="18"/>
                <w:lang w:val="en-IE"/>
              </w:rPr>
              <w:t>from candidate countries and potential candidates</w:t>
            </w:r>
          </w:p>
        </w:tc>
        <w:tc>
          <w:tcPr>
            <w:tcW w:w="956" w:type="dxa"/>
            <w:vAlign w:val="center"/>
          </w:tcPr>
          <w:p w14:paraId="5C8FD719" w14:textId="77777777" w:rsidR="005B7178" w:rsidRPr="00FF5DD8" w:rsidRDefault="005B7178">
            <w:pPr>
              <w:jc w:val="center"/>
              <w:rPr>
                <w:noProof/>
                <w:sz w:val="18"/>
              </w:rPr>
            </w:pPr>
            <w:r w:rsidRPr="00FF5DD8">
              <w:rPr>
                <w:noProof/>
                <w:sz w:val="18"/>
              </w:rPr>
              <w:t>from other third countries</w:t>
            </w:r>
          </w:p>
        </w:tc>
        <w:tc>
          <w:tcPr>
            <w:tcW w:w="1448" w:type="dxa"/>
            <w:vAlign w:val="center"/>
          </w:tcPr>
          <w:p w14:paraId="153BAF81" w14:textId="77777777" w:rsidR="005B7178" w:rsidRPr="00FF5DD8" w:rsidRDefault="005B7178">
            <w:pPr>
              <w:jc w:val="center"/>
              <w:rPr>
                <w:noProof/>
              </w:rPr>
            </w:pPr>
            <w:r w:rsidRPr="00154373">
              <w:rPr>
                <w:noProof/>
                <w:sz w:val="18"/>
                <w:szCs w:val="18"/>
                <w:lang w:val="en-IE"/>
              </w:rPr>
              <w:t xml:space="preserve">other assigned revenue </w:t>
            </w:r>
          </w:p>
        </w:tc>
      </w:tr>
      <w:tr w:rsidR="00812668" w14:paraId="2B7CE109" w14:textId="77777777">
        <w:trPr>
          <w:cantSplit/>
          <w:jc w:val="center"/>
        </w:trPr>
        <w:tc>
          <w:tcPr>
            <w:tcW w:w="1080" w:type="dxa"/>
            <w:vAlign w:val="center"/>
          </w:tcPr>
          <w:p w14:paraId="0463A5A0" w14:textId="77777777" w:rsidR="005B7178" w:rsidRDefault="005B7178">
            <w:pPr>
              <w:jc w:val="center"/>
              <w:rPr>
                <w:noProof/>
                <w:color w:val="0000FF"/>
              </w:rPr>
            </w:pPr>
            <w:r>
              <w:rPr>
                <w:noProof/>
                <w:color w:val="0000FF"/>
              </w:rPr>
              <w:t>2</w:t>
            </w:r>
          </w:p>
        </w:tc>
        <w:tc>
          <w:tcPr>
            <w:tcW w:w="3960" w:type="dxa"/>
            <w:vAlign w:val="center"/>
          </w:tcPr>
          <w:p w14:paraId="7DD5A33E" w14:textId="77777777" w:rsidR="005B7178" w:rsidRDefault="005B7178" w:rsidP="00D84473">
            <w:pPr>
              <w:spacing w:before="60"/>
              <w:rPr>
                <w:noProof/>
              </w:rPr>
            </w:pPr>
            <w:r w:rsidRPr="43393771">
              <w:rPr>
                <w:noProof/>
                <w:sz w:val="22"/>
              </w:rPr>
              <w:t xml:space="preserve">06 01 02 Support expenditure for </w:t>
            </w:r>
            <w:r>
              <w:rPr>
                <w:noProof/>
                <w:sz w:val="22"/>
              </w:rPr>
              <w:t>‘Agora</w:t>
            </w:r>
            <w:r>
              <w:rPr>
                <w:noProof/>
                <w:sz w:val="22"/>
              </w:rPr>
              <w:t>EU</w:t>
            </w:r>
            <w:r>
              <w:rPr>
                <w:noProof/>
                <w:sz w:val="22"/>
              </w:rPr>
              <w:t>’</w:t>
            </w:r>
          </w:p>
          <w:p w14:paraId="07E4839A" w14:textId="77777777" w:rsidR="005B7178" w:rsidRDefault="005B7178">
            <w:pPr>
              <w:spacing w:before="60"/>
              <w:rPr>
                <w:noProof/>
                <w:sz w:val="22"/>
              </w:rPr>
            </w:pPr>
          </w:p>
        </w:tc>
        <w:tc>
          <w:tcPr>
            <w:tcW w:w="1080" w:type="dxa"/>
            <w:vAlign w:val="center"/>
          </w:tcPr>
          <w:p w14:paraId="64996B02" w14:textId="77777777" w:rsidR="005B7178" w:rsidRDefault="005B7178">
            <w:pPr>
              <w:jc w:val="center"/>
              <w:rPr>
                <w:noProof/>
                <w:sz w:val="22"/>
              </w:rPr>
            </w:pPr>
            <w:r>
              <w:rPr>
                <w:noProof/>
                <w:sz w:val="22"/>
              </w:rPr>
              <w:t>Non-diff</w:t>
            </w:r>
          </w:p>
        </w:tc>
        <w:tc>
          <w:tcPr>
            <w:tcW w:w="956" w:type="dxa"/>
            <w:vAlign w:val="center"/>
          </w:tcPr>
          <w:p w14:paraId="6CAB112D" w14:textId="77777777" w:rsidR="005B7178" w:rsidRPr="007974DD" w:rsidRDefault="005B7178">
            <w:pPr>
              <w:jc w:val="center"/>
              <w:rPr>
                <w:noProof/>
                <w:sz w:val="20"/>
                <w:szCs w:val="20"/>
              </w:rPr>
            </w:pPr>
            <w:r>
              <w:rPr>
                <w:noProof/>
                <w:sz w:val="20"/>
                <w:szCs w:val="20"/>
              </w:rPr>
              <w:t>YES/NO</w:t>
            </w:r>
          </w:p>
        </w:tc>
        <w:tc>
          <w:tcPr>
            <w:tcW w:w="1080" w:type="dxa"/>
            <w:vAlign w:val="center"/>
          </w:tcPr>
          <w:p w14:paraId="79BEE94D" w14:textId="77777777" w:rsidR="005B7178" w:rsidRPr="007974DD" w:rsidRDefault="005B7178">
            <w:pPr>
              <w:jc w:val="center"/>
              <w:rPr>
                <w:noProof/>
                <w:sz w:val="20"/>
                <w:szCs w:val="20"/>
              </w:rPr>
            </w:pPr>
            <w:r>
              <w:rPr>
                <w:noProof/>
                <w:sz w:val="20"/>
                <w:szCs w:val="20"/>
              </w:rPr>
              <w:t>YES/NO</w:t>
            </w:r>
          </w:p>
        </w:tc>
        <w:tc>
          <w:tcPr>
            <w:tcW w:w="956" w:type="dxa"/>
            <w:vAlign w:val="center"/>
          </w:tcPr>
          <w:p w14:paraId="2C0915DA" w14:textId="77777777" w:rsidR="005B7178" w:rsidRPr="007974DD" w:rsidRDefault="005B7178">
            <w:pPr>
              <w:jc w:val="center"/>
              <w:rPr>
                <w:noProof/>
                <w:sz w:val="20"/>
                <w:szCs w:val="20"/>
              </w:rPr>
            </w:pPr>
            <w:r>
              <w:rPr>
                <w:noProof/>
                <w:sz w:val="20"/>
                <w:szCs w:val="20"/>
              </w:rPr>
              <w:t>YES/NO</w:t>
            </w:r>
          </w:p>
        </w:tc>
        <w:tc>
          <w:tcPr>
            <w:tcW w:w="1448" w:type="dxa"/>
            <w:vAlign w:val="center"/>
          </w:tcPr>
          <w:p w14:paraId="73980ECE" w14:textId="77777777" w:rsidR="005B7178" w:rsidRPr="007974DD" w:rsidRDefault="005B7178">
            <w:pPr>
              <w:jc w:val="center"/>
              <w:rPr>
                <w:noProof/>
                <w:sz w:val="20"/>
                <w:szCs w:val="20"/>
              </w:rPr>
            </w:pPr>
            <w:r>
              <w:rPr>
                <w:noProof/>
                <w:sz w:val="20"/>
                <w:szCs w:val="20"/>
              </w:rPr>
              <w:t>YES/NO</w:t>
            </w:r>
          </w:p>
        </w:tc>
      </w:tr>
      <w:tr w:rsidR="00D438C2" w14:paraId="347927EF" w14:textId="77777777">
        <w:trPr>
          <w:cantSplit/>
          <w:jc w:val="center"/>
        </w:trPr>
        <w:tc>
          <w:tcPr>
            <w:tcW w:w="1080" w:type="dxa"/>
            <w:vAlign w:val="center"/>
          </w:tcPr>
          <w:p w14:paraId="70D1D4D5" w14:textId="77777777" w:rsidR="005B7178" w:rsidRDefault="005B7178">
            <w:pPr>
              <w:jc w:val="center"/>
              <w:rPr>
                <w:noProof/>
                <w:color w:val="0000FF"/>
              </w:rPr>
            </w:pPr>
            <w:r>
              <w:rPr>
                <w:noProof/>
                <w:color w:val="0000FF"/>
              </w:rPr>
              <w:t>2</w:t>
            </w:r>
          </w:p>
        </w:tc>
        <w:tc>
          <w:tcPr>
            <w:tcW w:w="3960" w:type="dxa"/>
            <w:vAlign w:val="center"/>
          </w:tcPr>
          <w:p w14:paraId="3CDEE2EB" w14:textId="77777777" w:rsidR="005B7178" w:rsidRDefault="005B7178">
            <w:pPr>
              <w:spacing w:before="60"/>
              <w:rPr>
                <w:noProof/>
              </w:rPr>
            </w:pPr>
            <w:r>
              <w:rPr>
                <w:noProof/>
                <w:sz w:val="22"/>
              </w:rPr>
              <w:t xml:space="preserve">06 03 01 </w:t>
            </w:r>
            <w:r>
              <w:rPr>
                <w:noProof/>
                <w:sz w:val="22"/>
              </w:rPr>
              <w:t xml:space="preserve">Creative Europe - </w:t>
            </w:r>
            <w:r>
              <w:rPr>
                <w:noProof/>
                <w:sz w:val="22"/>
              </w:rPr>
              <w:t>Culture</w:t>
            </w:r>
          </w:p>
          <w:p w14:paraId="4DB42ECE" w14:textId="77777777" w:rsidR="005B7178" w:rsidRDefault="005B7178">
            <w:pPr>
              <w:spacing w:after="60"/>
              <w:rPr>
                <w:noProof/>
              </w:rPr>
            </w:pPr>
          </w:p>
        </w:tc>
        <w:tc>
          <w:tcPr>
            <w:tcW w:w="1080" w:type="dxa"/>
            <w:vAlign w:val="center"/>
          </w:tcPr>
          <w:p w14:paraId="14748216" w14:textId="77777777" w:rsidR="005B7178" w:rsidRDefault="005B7178">
            <w:pPr>
              <w:jc w:val="center"/>
              <w:rPr>
                <w:noProof/>
                <w:color w:val="0000FF"/>
              </w:rPr>
            </w:pPr>
            <w:r>
              <w:rPr>
                <w:noProof/>
                <w:sz w:val="22"/>
              </w:rPr>
              <w:t>Diff</w:t>
            </w:r>
            <w:r w:rsidDel="003F69D0">
              <w:rPr>
                <w:noProof/>
                <w:sz w:val="22"/>
              </w:rPr>
              <w:t>.</w:t>
            </w:r>
          </w:p>
        </w:tc>
        <w:tc>
          <w:tcPr>
            <w:tcW w:w="956" w:type="dxa"/>
            <w:vAlign w:val="center"/>
          </w:tcPr>
          <w:p w14:paraId="54AF3306" w14:textId="77777777" w:rsidR="005B7178" w:rsidRPr="008D0E8A" w:rsidRDefault="005B7178">
            <w:pPr>
              <w:jc w:val="center"/>
              <w:rPr>
                <w:noProof/>
                <w:sz w:val="20"/>
                <w:szCs w:val="20"/>
              </w:rPr>
            </w:pPr>
            <w:r w:rsidRPr="007974DD">
              <w:rPr>
                <w:noProof/>
                <w:sz w:val="20"/>
                <w:szCs w:val="20"/>
              </w:rPr>
              <w:t>YES/NO</w:t>
            </w:r>
          </w:p>
        </w:tc>
        <w:tc>
          <w:tcPr>
            <w:tcW w:w="1080" w:type="dxa"/>
            <w:vAlign w:val="center"/>
          </w:tcPr>
          <w:p w14:paraId="60454D63" w14:textId="77777777" w:rsidR="005B7178" w:rsidRPr="008D0E8A" w:rsidRDefault="005B7178">
            <w:pPr>
              <w:jc w:val="center"/>
              <w:rPr>
                <w:noProof/>
                <w:sz w:val="20"/>
                <w:szCs w:val="20"/>
              </w:rPr>
            </w:pPr>
            <w:r w:rsidRPr="007974DD">
              <w:rPr>
                <w:noProof/>
                <w:sz w:val="20"/>
                <w:szCs w:val="20"/>
              </w:rPr>
              <w:t>YES/NO</w:t>
            </w:r>
          </w:p>
        </w:tc>
        <w:tc>
          <w:tcPr>
            <w:tcW w:w="956" w:type="dxa"/>
            <w:vAlign w:val="center"/>
          </w:tcPr>
          <w:p w14:paraId="5DB6B17E" w14:textId="77777777" w:rsidR="005B7178" w:rsidRPr="008D0E8A" w:rsidRDefault="005B7178">
            <w:pPr>
              <w:jc w:val="center"/>
              <w:rPr>
                <w:noProof/>
                <w:sz w:val="20"/>
                <w:szCs w:val="20"/>
              </w:rPr>
            </w:pPr>
            <w:r w:rsidRPr="007974DD">
              <w:rPr>
                <w:noProof/>
                <w:sz w:val="20"/>
                <w:szCs w:val="20"/>
              </w:rPr>
              <w:t>YES/NO</w:t>
            </w:r>
          </w:p>
        </w:tc>
        <w:tc>
          <w:tcPr>
            <w:tcW w:w="1448" w:type="dxa"/>
            <w:vAlign w:val="center"/>
          </w:tcPr>
          <w:p w14:paraId="44C42982" w14:textId="77777777" w:rsidR="005B7178" w:rsidRPr="008D0E8A" w:rsidRDefault="005B7178">
            <w:pPr>
              <w:jc w:val="center"/>
              <w:rPr>
                <w:noProof/>
                <w:sz w:val="20"/>
                <w:szCs w:val="20"/>
              </w:rPr>
            </w:pPr>
            <w:r w:rsidRPr="007974DD">
              <w:rPr>
                <w:noProof/>
                <w:sz w:val="20"/>
                <w:szCs w:val="20"/>
              </w:rPr>
              <w:t>YES/NO</w:t>
            </w:r>
          </w:p>
        </w:tc>
      </w:tr>
      <w:tr w:rsidR="00D438C2" w14:paraId="474A01BD" w14:textId="77777777">
        <w:trPr>
          <w:cantSplit/>
          <w:jc w:val="center"/>
        </w:trPr>
        <w:tc>
          <w:tcPr>
            <w:tcW w:w="1080" w:type="dxa"/>
            <w:vAlign w:val="center"/>
          </w:tcPr>
          <w:p w14:paraId="26FDCF25" w14:textId="77777777" w:rsidR="005B7178" w:rsidRDefault="005B7178">
            <w:pPr>
              <w:jc w:val="center"/>
              <w:rPr>
                <w:noProof/>
                <w:color w:val="0000FF"/>
              </w:rPr>
            </w:pPr>
            <w:r>
              <w:rPr>
                <w:noProof/>
                <w:color w:val="0000FF"/>
              </w:rPr>
              <w:t>2</w:t>
            </w:r>
          </w:p>
        </w:tc>
        <w:tc>
          <w:tcPr>
            <w:tcW w:w="3960" w:type="dxa"/>
            <w:vAlign w:val="center"/>
          </w:tcPr>
          <w:p w14:paraId="720097AE" w14:textId="77777777" w:rsidR="005B7178" w:rsidRDefault="005B7178">
            <w:pPr>
              <w:spacing w:before="60"/>
              <w:rPr>
                <w:noProof/>
              </w:rPr>
            </w:pPr>
            <w:r>
              <w:rPr>
                <w:noProof/>
                <w:sz w:val="22"/>
              </w:rPr>
              <w:t xml:space="preserve">06 03 02 </w:t>
            </w:r>
            <w:r>
              <w:rPr>
                <w:noProof/>
                <w:sz w:val="22"/>
              </w:rPr>
              <w:t>MEDIA</w:t>
            </w:r>
            <w:r>
              <w:rPr>
                <w:noProof/>
                <w:sz w:val="22"/>
              </w:rPr>
              <w:t>+</w:t>
            </w:r>
          </w:p>
          <w:p w14:paraId="1BC7D4DE" w14:textId="77777777" w:rsidR="005B7178" w:rsidRDefault="005B7178">
            <w:pPr>
              <w:spacing w:after="60"/>
              <w:rPr>
                <w:noProof/>
              </w:rPr>
            </w:pPr>
          </w:p>
        </w:tc>
        <w:tc>
          <w:tcPr>
            <w:tcW w:w="1080" w:type="dxa"/>
            <w:vAlign w:val="center"/>
          </w:tcPr>
          <w:p w14:paraId="5C3DF66E" w14:textId="77777777" w:rsidR="005B7178" w:rsidRDefault="005B7178">
            <w:pPr>
              <w:jc w:val="center"/>
              <w:rPr>
                <w:noProof/>
                <w:color w:val="0000FF"/>
              </w:rPr>
            </w:pPr>
            <w:r>
              <w:rPr>
                <w:noProof/>
                <w:sz w:val="22"/>
              </w:rPr>
              <w:t>Diff</w:t>
            </w:r>
            <w:r w:rsidDel="003F69D0">
              <w:rPr>
                <w:noProof/>
                <w:sz w:val="22"/>
              </w:rPr>
              <w:t>.</w:t>
            </w:r>
          </w:p>
        </w:tc>
        <w:tc>
          <w:tcPr>
            <w:tcW w:w="956" w:type="dxa"/>
            <w:vAlign w:val="center"/>
          </w:tcPr>
          <w:p w14:paraId="5023B320" w14:textId="77777777" w:rsidR="005B7178" w:rsidRPr="008D0E8A" w:rsidRDefault="005B7178">
            <w:pPr>
              <w:jc w:val="center"/>
              <w:rPr>
                <w:noProof/>
                <w:sz w:val="20"/>
                <w:szCs w:val="20"/>
              </w:rPr>
            </w:pPr>
            <w:r w:rsidRPr="007974DD">
              <w:rPr>
                <w:noProof/>
                <w:sz w:val="20"/>
                <w:szCs w:val="20"/>
              </w:rPr>
              <w:t>YES/NO</w:t>
            </w:r>
          </w:p>
        </w:tc>
        <w:tc>
          <w:tcPr>
            <w:tcW w:w="1080" w:type="dxa"/>
            <w:vAlign w:val="center"/>
          </w:tcPr>
          <w:p w14:paraId="049BB250" w14:textId="77777777" w:rsidR="005B7178" w:rsidRPr="008D0E8A" w:rsidRDefault="005B7178">
            <w:pPr>
              <w:jc w:val="center"/>
              <w:rPr>
                <w:noProof/>
                <w:sz w:val="20"/>
                <w:szCs w:val="20"/>
              </w:rPr>
            </w:pPr>
            <w:r w:rsidRPr="007974DD">
              <w:rPr>
                <w:noProof/>
                <w:sz w:val="20"/>
                <w:szCs w:val="20"/>
              </w:rPr>
              <w:t>YES/NO</w:t>
            </w:r>
          </w:p>
        </w:tc>
        <w:tc>
          <w:tcPr>
            <w:tcW w:w="956" w:type="dxa"/>
            <w:vAlign w:val="center"/>
          </w:tcPr>
          <w:p w14:paraId="641458D0" w14:textId="77777777" w:rsidR="005B7178" w:rsidRPr="008D0E8A" w:rsidRDefault="005B7178">
            <w:pPr>
              <w:jc w:val="center"/>
              <w:rPr>
                <w:noProof/>
                <w:sz w:val="20"/>
                <w:szCs w:val="20"/>
              </w:rPr>
            </w:pPr>
            <w:r w:rsidRPr="007974DD">
              <w:rPr>
                <w:noProof/>
                <w:sz w:val="20"/>
                <w:szCs w:val="20"/>
              </w:rPr>
              <w:t>YES/NO</w:t>
            </w:r>
          </w:p>
        </w:tc>
        <w:tc>
          <w:tcPr>
            <w:tcW w:w="1448" w:type="dxa"/>
            <w:vAlign w:val="center"/>
          </w:tcPr>
          <w:p w14:paraId="7BA014C7" w14:textId="77777777" w:rsidR="005B7178" w:rsidRPr="008D0E8A" w:rsidRDefault="005B7178">
            <w:pPr>
              <w:jc w:val="center"/>
              <w:rPr>
                <w:noProof/>
                <w:sz w:val="20"/>
                <w:szCs w:val="20"/>
              </w:rPr>
            </w:pPr>
            <w:r w:rsidRPr="007974DD">
              <w:rPr>
                <w:noProof/>
                <w:sz w:val="20"/>
                <w:szCs w:val="20"/>
              </w:rPr>
              <w:t>YES/NO</w:t>
            </w:r>
          </w:p>
        </w:tc>
      </w:tr>
      <w:tr w:rsidR="00D438C2" w14:paraId="4169A84A" w14:textId="77777777">
        <w:trPr>
          <w:jc w:val="center"/>
        </w:trPr>
        <w:tc>
          <w:tcPr>
            <w:tcW w:w="1080" w:type="dxa"/>
            <w:vAlign w:val="center"/>
          </w:tcPr>
          <w:p w14:paraId="7D319BC7" w14:textId="77777777" w:rsidR="005B7178" w:rsidRDefault="005B7178">
            <w:pPr>
              <w:jc w:val="center"/>
              <w:rPr>
                <w:noProof/>
                <w:color w:val="0000FF"/>
              </w:rPr>
            </w:pPr>
            <w:r>
              <w:rPr>
                <w:noProof/>
                <w:color w:val="0000FF"/>
              </w:rPr>
              <w:t>2</w:t>
            </w:r>
          </w:p>
        </w:tc>
        <w:tc>
          <w:tcPr>
            <w:tcW w:w="3960" w:type="dxa"/>
            <w:vAlign w:val="center"/>
          </w:tcPr>
          <w:p w14:paraId="7332259D" w14:textId="77777777" w:rsidR="005B7178" w:rsidRDefault="005B7178">
            <w:pPr>
              <w:spacing w:before="60"/>
              <w:rPr>
                <w:noProof/>
              </w:rPr>
            </w:pPr>
            <w:r>
              <w:rPr>
                <w:noProof/>
                <w:sz w:val="22"/>
              </w:rPr>
              <w:t xml:space="preserve">06 03 03 </w:t>
            </w:r>
            <w:r>
              <w:rPr>
                <w:noProof/>
                <w:sz w:val="22"/>
              </w:rPr>
              <w:t>CERV+</w:t>
            </w:r>
          </w:p>
          <w:p w14:paraId="65D9EFD8" w14:textId="77777777" w:rsidR="005B7178" w:rsidRDefault="005B7178">
            <w:pPr>
              <w:spacing w:after="60"/>
              <w:rPr>
                <w:noProof/>
                <w:color w:val="0000FF"/>
              </w:rPr>
            </w:pPr>
          </w:p>
        </w:tc>
        <w:tc>
          <w:tcPr>
            <w:tcW w:w="1080" w:type="dxa"/>
            <w:vAlign w:val="center"/>
          </w:tcPr>
          <w:p w14:paraId="74D31C63" w14:textId="77777777" w:rsidR="005B7178" w:rsidRDefault="005B7178">
            <w:pPr>
              <w:jc w:val="center"/>
              <w:rPr>
                <w:noProof/>
                <w:color w:val="0000FF"/>
              </w:rPr>
            </w:pPr>
            <w:r>
              <w:rPr>
                <w:noProof/>
                <w:sz w:val="22"/>
              </w:rPr>
              <w:t>Diff.</w:t>
            </w:r>
          </w:p>
        </w:tc>
        <w:tc>
          <w:tcPr>
            <w:tcW w:w="956" w:type="dxa"/>
            <w:vAlign w:val="center"/>
          </w:tcPr>
          <w:p w14:paraId="61F509E2" w14:textId="77777777" w:rsidR="005B7178" w:rsidRPr="008D0E8A" w:rsidRDefault="005B7178">
            <w:pPr>
              <w:jc w:val="center"/>
              <w:rPr>
                <w:noProof/>
                <w:sz w:val="20"/>
                <w:szCs w:val="20"/>
              </w:rPr>
            </w:pPr>
            <w:r w:rsidRPr="007974DD">
              <w:rPr>
                <w:noProof/>
                <w:sz w:val="20"/>
                <w:szCs w:val="20"/>
              </w:rPr>
              <w:t>YES/NO</w:t>
            </w:r>
          </w:p>
        </w:tc>
        <w:tc>
          <w:tcPr>
            <w:tcW w:w="1080" w:type="dxa"/>
            <w:vAlign w:val="center"/>
          </w:tcPr>
          <w:p w14:paraId="10891020" w14:textId="77777777" w:rsidR="005B7178" w:rsidRPr="008D0E8A" w:rsidRDefault="005B7178">
            <w:pPr>
              <w:jc w:val="center"/>
              <w:rPr>
                <w:noProof/>
                <w:color w:val="0000FF"/>
                <w:sz w:val="20"/>
                <w:szCs w:val="20"/>
              </w:rPr>
            </w:pPr>
            <w:r w:rsidRPr="007974DD">
              <w:rPr>
                <w:noProof/>
                <w:sz w:val="20"/>
                <w:szCs w:val="20"/>
              </w:rPr>
              <w:t>YES/NO</w:t>
            </w:r>
          </w:p>
        </w:tc>
        <w:tc>
          <w:tcPr>
            <w:tcW w:w="956" w:type="dxa"/>
            <w:vAlign w:val="center"/>
          </w:tcPr>
          <w:p w14:paraId="753C5A1D" w14:textId="77777777" w:rsidR="005B7178" w:rsidRPr="008D0E8A" w:rsidRDefault="005B7178">
            <w:pPr>
              <w:jc w:val="center"/>
              <w:rPr>
                <w:noProof/>
                <w:color w:val="0000FF"/>
                <w:sz w:val="20"/>
                <w:szCs w:val="20"/>
              </w:rPr>
            </w:pPr>
            <w:r w:rsidRPr="007974DD">
              <w:rPr>
                <w:noProof/>
                <w:sz w:val="20"/>
                <w:szCs w:val="20"/>
              </w:rPr>
              <w:t>YES/NO</w:t>
            </w:r>
          </w:p>
        </w:tc>
        <w:tc>
          <w:tcPr>
            <w:tcW w:w="1448" w:type="dxa"/>
            <w:vAlign w:val="center"/>
          </w:tcPr>
          <w:p w14:paraId="2759F71C" w14:textId="77777777" w:rsidR="005B7178" w:rsidRPr="008D0E8A" w:rsidRDefault="005B7178">
            <w:pPr>
              <w:jc w:val="center"/>
              <w:rPr>
                <w:noProof/>
                <w:sz w:val="20"/>
                <w:szCs w:val="20"/>
              </w:rPr>
            </w:pPr>
            <w:r w:rsidRPr="007974DD">
              <w:rPr>
                <w:noProof/>
                <w:sz w:val="20"/>
                <w:szCs w:val="20"/>
              </w:rPr>
              <w:t>YES/NO</w:t>
            </w:r>
          </w:p>
        </w:tc>
      </w:tr>
    </w:tbl>
    <w:p w14:paraId="0D6A04CA" w14:textId="77777777" w:rsidR="005B7178" w:rsidRDefault="005B7178">
      <w:pPr>
        <w:rPr>
          <w:noProof/>
        </w:rPr>
        <w:sectPr w:rsidR="00D438C2" w:rsidSect="00AC3668">
          <w:headerReference w:type="even" r:id="rId54"/>
          <w:headerReference w:type="default" r:id="rId55"/>
          <w:footerReference w:type="even" r:id="rId56"/>
          <w:footerReference w:type="default" r:id="rId57"/>
          <w:headerReference w:type="first" r:id="rId58"/>
          <w:footerReference w:type="first" r:id="rId59"/>
          <w:pgSz w:w="11907" w:h="16840" w:code="1"/>
          <w:pgMar w:top="1134" w:right="1418" w:bottom="1134" w:left="1418" w:header="709" w:footer="709" w:gutter="0"/>
          <w:cols w:space="708"/>
          <w:docGrid w:linePitch="360"/>
        </w:sectPr>
      </w:pPr>
    </w:p>
    <w:p w14:paraId="37466E0F" w14:textId="77777777" w:rsidR="005B7178" w:rsidRDefault="005B7178" w:rsidP="00F67E4F">
      <w:pPr>
        <w:pStyle w:val="ManualHeading2"/>
        <w:rPr>
          <w:bCs/>
          <w:noProof/>
          <w:szCs w:val="24"/>
        </w:rPr>
      </w:pPr>
      <w:r w:rsidRPr="0021790A">
        <w:rPr>
          <w:noProof/>
        </w:rPr>
        <w:lastRenderedPageBreak/>
        <w:t>3.2.</w:t>
      </w:r>
      <w:r w:rsidRPr="0021790A">
        <w:rPr>
          <w:noProof/>
        </w:rPr>
        <w:tab/>
      </w:r>
      <w:r>
        <w:rPr>
          <w:noProof/>
        </w:rPr>
        <w:t xml:space="preserve">Estimated financial impact of the proposal on appropriations </w:t>
      </w:r>
    </w:p>
    <w:p w14:paraId="23F90387" w14:textId="77777777" w:rsidR="005B7178" w:rsidRDefault="005B7178" w:rsidP="00F67E4F">
      <w:pPr>
        <w:pStyle w:val="ManualHeading3"/>
        <w:rPr>
          <w:noProof/>
        </w:rPr>
      </w:pPr>
      <w:r w:rsidRPr="0021790A">
        <w:rPr>
          <w:noProof/>
        </w:rPr>
        <w:t>3.2.1.</w:t>
      </w:r>
      <w:r w:rsidRPr="0021790A">
        <w:rPr>
          <w:noProof/>
        </w:rPr>
        <w:tab/>
      </w:r>
      <w:r>
        <w:rPr>
          <w:noProof/>
        </w:rPr>
        <w:t xml:space="preserve">Summary of estimated impact on operational appropriations </w:t>
      </w:r>
    </w:p>
    <w:p w14:paraId="23090FDC" w14:textId="77777777" w:rsidR="005B7178" w:rsidRDefault="005B7178" w:rsidP="00F67E4F">
      <w:pPr>
        <w:pStyle w:val="ListDash1"/>
        <w:rPr>
          <w:noProof/>
        </w:rPr>
      </w:pPr>
      <w:r>
        <w:rPr>
          <w:rFonts w:ascii="Wingdings" w:eastAsia="Wingdings" w:hAnsi="Wingdings" w:cs="Wingdings"/>
          <w:noProof/>
        </w:rPr>
        <w:t></w:t>
      </w:r>
      <w:r>
        <w:rPr>
          <w:noProof/>
        </w:rPr>
        <w:tab/>
        <w:t xml:space="preserve">The proposal/initiative does not require the use of operational appropriations </w:t>
      </w:r>
    </w:p>
    <w:p w14:paraId="2DB23F25" w14:textId="77777777" w:rsidR="005B7178" w:rsidRDefault="005B7178" w:rsidP="00F67E4F">
      <w:pPr>
        <w:pStyle w:val="ListDash1"/>
        <w:rPr>
          <w:noProof/>
        </w:rPr>
      </w:pPr>
      <w:r w:rsidRPr="00D6510D">
        <w:rPr>
          <w:rFonts w:ascii="Wingdings" w:eastAsia="Wingdings" w:hAnsi="Wingdings" w:cs="Wingdings"/>
          <w:noProof/>
        </w:rPr>
        <w:t></w:t>
      </w:r>
      <w:r>
        <w:rPr>
          <w:noProof/>
        </w:rPr>
        <w:tab/>
        <w:t>The proposal/initiative requires the use of operational appropriations, as explained below</w:t>
      </w:r>
    </w:p>
    <w:p w14:paraId="2A2D2836" w14:textId="77777777" w:rsidR="005B7178" w:rsidRDefault="005B7178" w:rsidP="00F67E4F">
      <w:pPr>
        <w:pStyle w:val="ManualHeading3"/>
        <w:rPr>
          <w:noProof/>
        </w:rPr>
      </w:pPr>
      <w:r>
        <w:rPr>
          <w:noProof/>
        </w:rPr>
        <w:t>3.2.1.1.</w:t>
      </w:r>
      <w:r>
        <w:rPr>
          <w:noProof/>
        </w:rPr>
        <w:tab/>
        <w:t>Appropriations from voted budget</w:t>
      </w:r>
    </w:p>
    <w:p w14:paraId="216C7B2F" w14:textId="77777777" w:rsidR="005B7178" w:rsidRPr="003A769F" w:rsidRDefault="005B7178" w:rsidP="00F67E4F">
      <w:pPr>
        <w:jc w:val="right"/>
        <w:rPr>
          <w:noProof/>
          <w:sz w:val="18"/>
          <w:szCs w:val="18"/>
          <w:lang w:val="en-IE"/>
        </w:rPr>
      </w:pPr>
      <w:r w:rsidRPr="003A769F">
        <w:rPr>
          <w:noProof/>
          <w:sz w:val="18"/>
          <w:szCs w:val="18"/>
          <w:lang w:val="en-IE"/>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1153"/>
        <w:gridCol w:w="8344"/>
      </w:tblGrid>
      <w:tr w:rsidR="00F67E4F" w14:paraId="0854E3C8" w14:textId="77777777">
        <w:tc>
          <w:tcPr>
            <w:tcW w:w="1739" w:type="pct"/>
            <w:shd w:val="thinDiagStripe" w:color="C0C0C0" w:fill="auto"/>
            <w:vAlign w:val="center"/>
          </w:tcPr>
          <w:p w14:paraId="59BE6C33" w14:textId="77777777" w:rsidR="005B7178" w:rsidRPr="003A769F" w:rsidRDefault="005B7178">
            <w:pPr>
              <w:spacing w:before="60" w:after="60"/>
              <w:jc w:val="center"/>
              <w:rPr>
                <w:b/>
                <w:noProof/>
                <w:lang w:val="en-IE"/>
              </w:rPr>
            </w:pPr>
            <w:r w:rsidRPr="003A769F">
              <w:rPr>
                <w:b/>
                <w:noProof/>
                <w:sz w:val="22"/>
                <w:lang w:val="en-IE"/>
              </w:rPr>
              <w:t xml:space="preserve">Heading of multiannual financial framework </w:t>
            </w:r>
          </w:p>
        </w:tc>
        <w:tc>
          <w:tcPr>
            <w:tcW w:w="396" w:type="pct"/>
            <w:vAlign w:val="center"/>
          </w:tcPr>
          <w:p w14:paraId="7949CE38" w14:textId="77777777" w:rsidR="005B7178" w:rsidRDefault="005B7178" w:rsidP="007717E6">
            <w:pPr>
              <w:spacing w:before="60" w:after="60"/>
              <w:rPr>
                <w:noProof/>
              </w:rPr>
            </w:pPr>
            <w:r>
              <w:rPr>
                <w:noProof/>
                <w:sz w:val="22"/>
              </w:rPr>
              <w:t>2</w:t>
            </w:r>
          </w:p>
        </w:tc>
        <w:tc>
          <w:tcPr>
            <w:tcW w:w="2865" w:type="pct"/>
            <w:vAlign w:val="center"/>
          </w:tcPr>
          <w:p w14:paraId="1F79378D" w14:textId="77777777" w:rsidR="005B7178" w:rsidRDefault="005B7178">
            <w:pPr>
              <w:spacing w:before="60" w:after="60"/>
              <w:rPr>
                <w:noProof/>
              </w:rPr>
            </w:pPr>
          </w:p>
        </w:tc>
      </w:tr>
    </w:tbl>
    <w:p w14:paraId="3BB3350A" w14:textId="77777777" w:rsidR="005B7178" w:rsidRDefault="005B7178" w:rsidP="00F67E4F">
      <w:pPr>
        <w:rPr>
          <w:noProof/>
          <w:sz w:val="16"/>
        </w:rPr>
      </w:pPr>
    </w:p>
    <w:tbl>
      <w:tblPr>
        <w:tblW w:w="5000" w:type="pct"/>
        <w:tblLook w:val="04A0" w:firstRow="1" w:lastRow="0" w:firstColumn="1" w:lastColumn="0" w:noHBand="0" w:noVBand="1"/>
      </w:tblPr>
      <w:tblGrid>
        <w:gridCol w:w="4396"/>
        <w:gridCol w:w="1237"/>
        <w:gridCol w:w="796"/>
        <w:gridCol w:w="840"/>
        <w:gridCol w:w="840"/>
        <w:gridCol w:w="840"/>
        <w:gridCol w:w="840"/>
        <w:gridCol w:w="840"/>
        <w:gridCol w:w="840"/>
        <w:gridCol w:w="840"/>
        <w:gridCol w:w="2243"/>
      </w:tblGrid>
      <w:tr w:rsidR="00F67E4F" w:rsidRPr="001A37C8" w14:paraId="26961240" w14:textId="77777777" w:rsidTr="00090727">
        <w:trPr>
          <w:trHeight w:val="410"/>
        </w:trPr>
        <w:tc>
          <w:tcPr>
            <w:tcW w:w="2174" w:type="pct"/>
            <w:gridSpan w:val="3"/>
            <w:vMerge w:val="restart"/>
            <w:tcBorders>
              <w:top w:val="single" w:sz="8" w:space="0" w:color="auto"/>
              <w:left w:val="single" w:sz="8" w:space="0" w:color="auto"/>
              <w:bottom w:val="single" w:sz="8" w:space="0" w:color="000000" w:themeColor="text1"/>
              <w:right w:val="single" w:sz="8" w:space="0" w:color="000000" w:themeColor="text1"/>
            </w:tcBorders>
            <w:vAlign w:val="center"/>
            <w:hideMark/>
          </w:tcPr>
          <w:p w14:paraId="6506A21D" w14:textId="77777777" w:rsidR="005B7178" w:rsidRPr="001A37C8" w:rsidRDefault="005B7178">
            <w:pPr>
              <w:spacing w:before="0" w:after="0"/>
              <w:jc w:val="center"/>
              <w:rPr>
                <w:rFonts w:eastAsia="Times New Roman"/>
                <w:noProof/>
                <w:color w:val="000000"/>
                <w:sz w:val="22"/>
                <w:lang w:val="en-IE" w:eastAsia="en-IE"/>
              </w:rPr>
            </w:pPr>
          </w:p>
        </w:tc>
        <w:tc>
          <w:tcPr>
            <w:tcW w:w="293" w:type="pct"/>
            <w:tcBorders>
              <w:top w:val="single" w:sz="8" w:space="0" w:color="auto"/>
              <w:left w:val="nil"/>
              <w:bottom w:val="single" w:sz="8" w:space="0" w:color="auto"/>
              <w:right w:val="single" w:sz="8" w:space="0" w:color="auto"/>
            </w:tcBorders>
            <w:vAlign w:val="center"/>
            <w:hideMark/>
          </w:tcPr>
          <w:p w14:paraId="4A861870" w14:textId="77777777" w:rsidR="005B7178" w:rsidRPr="001A37C8" w:rsidRDefault="005B7178">
            <w:pPr>
              <w:spacing w:before="0" w:after="0"/>
              <w:jc w:val="center"/>
              <w:rPr>
                <w:rFonts w:eastAsia="Times New Roman"/>
                <w:noProof/>
                <w:color w:val="000000"/>
                <w:sz w:val="20"/>
                <w:szCs w:val="20"/>
                <w:lang w:val="en-IE" w:eastAsia="en-IE"/>
              </w:rPr>
            </w:pPr>
            <w:r w:rsidRPr="001A37C8">
              <w:rPr>
                <w:rFonts w:eastAsia="Times New Roman"/>
                <w:noProof/>
                <w:color w:val="000000"/>
                <w:sz w:val="20"/>
                <w:szCs w:val="20"/>
                <w:lang w:val="en-IE" w:eastAsia="en-IE"/>
              </w:rPr>
              <w:t>Year</w:t>
            </w:r>
          </w:p>
        </w:tc>
        <w:tc>
          <w:tcPr>
            <w:tcW w:w="293" w:type="pct"/>
            <w:tcBorders>
              <w:top w:val="single" w:sz="8" w:space="0" w:color="auto"/>
              <w:left w:val="nil"/>
              <w:bottom w:val="single" w:sz="8" w:space="0" w:color="auto"/>
              <w:right w:val="single" w:sz="8" w:space="0" w:color="auto"/>
            </w:tcBorders>
            <w:vAlign w:val="center"/>
            <w:hideMark/>
          </w:tcPr>
          <w:p w14:paraId="15645BBA" w14:textId="77777777" w:rsidR="005B7178" w:rsidRPr="001A37C8" w:rsidRDefault="005B7178">
            <w:pPr>
              <w:spacing w:before="0" w:after="0"/>
              <w:jc w:val="center"/>
              <w:rPr>
                <w:rFonts w:eastAsia="Times New Roman"/>
                <w:noProof/>
                <w:color w:val="000000"/>
                <w:sz w:val="20"/>
                <w:szCs w:val="20"/>
                <w:lang w:val="en-IE" w:eastAsia="en-IE"/>
              </w:rPr>
            </w:pPr>
            <w:r w:rsidRPr="001A37C8">
              <w:rPr>
                <w:rFonts w:eastAsia="Times New Roman"/>
                <w:noProof/>
                <w:color w:val="000000"/>
                <w:sz w:val="20"/>
                <w:szCs w:val="20"/>
                <w:lang w:val="en-IE" w:eastAsia="en-IE"/>
              </w:rPr>
              <w:t>Year</w:t>
            </w:r>
          </w:p>
        </w:tc>
        <w:tc>
          <w:tcPr>
            <w:tcW w:w="293" w:type="pct"/>
            <w:tcBorders>
              <w:top w:val="single" w:sz="8" w:space="0" w:color="auto"/>
              <w:left w:val="nil"/>
              <w:bottom w:val="single" w:sz="8" w:space="0" w:color="auto"/>
              <w:right w:val="single" w:sz="8" w:space="0" w:color="auto"/>
            </w:tcBorders>
            <w:vAlign w:val="center"/>
            <w:hideMark/>
          </w:tcPr>
          <w:p w14:paraId="461FBCA5" w14:textId="77777777" w:rsidR="005B7178" w:rsidRPr="001A37C8" w:rsidRDefault="005B7178">
            <w:pPr>
              <w:spacing w:before="0" w:after="0"/>
              <w:jc w:val="center"/>
              <w:rPr>
                <w:rFonts w:eastAsia="Times New Roman"/>
                <w:noProof/>
                <w:color w:val="000000"/>
                <w:sz w:val="20"/>
                <w:szCs w:val="20"/>
                <w:lang w:val="en-IE" w:eastAsia="en-IE"/>
              </w:rPr>
            </w:pPr>
            <w:r w:rsidRPr="001A37C8">
              <w:rPr>
                <w:rFonts w:eastAsia="Times New Roman"/>
                <w:noProof/>
                <w:color w:val="000000"/>
                <w:sz w:val="20"/>
                <w:szCs w:val="20"/>
                <w:lang w:val="en-IE" w:eastAsia="en-IE"/>
              </w:rPr>
              <w:t>Year</w:t>
            </w:r>
          </w:p>
        </w:tc>
        <w:tc>
          <w:tcPr>
            <w:tcW w:w="293" w:type="pct"/>
            <w:tcBorders>
              <w:top w:val="single" w:sz="8" w:space="0" w:color="auto"/>
              <w:left w:val="nil"/>
              <w:bottom w:val="single" w:sz="8" w:space="0" w:color="auto"/>
              <w:right w:val="single" w:sz="8" w:space="0" w:color="auto"/>
            </w:tcBorders>
            <w:vAlign w:val="center"/>
            <w:hideMark/>
          </w:tcPr>
          <w:p w14:paraId="4A94EA1F" w14:textId="77777777" w:rsidR="005B7178" w:rsidRPr="001A37C8" w:rsidRDefault="005B7178">
            <w:pPr>
              <w:spacing w:before="0" w:after="0"/>
              <w:jc w:val="center"/>
              <w:rPr>
                <w:rFonts w:eastAsia="Times New Roman"/>
                <w:noProof/>
                <w:color w:val="000000"/>
                <w:sz w:val="20"/>
                <w:szCs w:val="20"/>
                <w:lang w:val="en-IE" w:eastAsia="en-IE"/>
              </w:rPr>
            </w:pPr>
            <w:r w:rsidRPr="001A37C8">
              <w:rPr>
                <w:rFonts w:eastAsia="Times New Roman"/>
                <w:noProof/>
                <w:color w:val="000000"/>
                <w:sz w:val="20"/>
                <w:szCs w:val="20"/>
                <w:lang w:val="en-IE" w:eastAsia="en-IE"/>
              </w:rPr>
              <w:t>Year</w:t>
            </w:r>
          </w:p>
        </w:tc>
        <w:tc>
          <w:tcPr>
            <w:tcW w:w="293" w:type="pct"/>
            <w:tcBorders>
              <w:top w:val="single" w:sz="8" w:space="0" w:color="auto"/>
              <w:left w:val="nil"/>
              <w:bottom w:val="single" w:sz="8" w:space="0" w:color="auto"/>
              <w:right w:val="single" w:sz="8" w:space="0" w:color="auto"/>
            </w:tcBorders>
            <w:vAlign w:val="center"/>
            <w:hideMark/>
          </w:tcPr>
          <w:p w14:paraId="4DE67B7B" w14:textId="77777777" w:rsidR="005B7178" w:rsidRPr="001A37C8" w:rsidRDefault="005B7178">
            <w:pPr>
              <w:spacing w:before="0" w:after="0"/>
              <w:jc w:val="center"/>
              <w:rPr>
                <w:rFonts w:eastAsia="Times New Roman"/>
                <w:noProof/>
                <w:color w:val="000000"/>
                <w:sz w:val="20"/>
                <w:szCs w:val="20"/>
                <w:lang w:val="en-IE" w:eastAsia="en-IE"/>
              </w:rPr>
            </w:pPr>
            <w:r w:rsidRPr="001A37C8">
              <w:rPr>
                <w:rFonts w:eastAsia="Times New Roman"/>
                <w:noProof/>
                <w:color w:val="000000"/>
                <w:sz w:val="20"/>
                <w:szCs w:val="20"/>
                <w:lang w:val="en-IE" w:eastAsia="en-IE"/>
              </w:rPr>
              <w:t>Year</w:t>
            </w:r>
          </w:p>
        </w:tc>
        <w:tc>
          <w:tcPr>
            <w:tcW w:w="293" w:type="pct"/>
            <w:tcBorders>
              <w:top w:val="single" w:sz="8" w:space="0" w:color="auto"/>
              <w:left w:val="nil"/>
              <w:bottom w:val="single" w:sz="8" w:space="0" w:color="auto"/>
              <w:right w:val="single" w:sz="8" w:space="0" w:color="auto"/>
            </w:tcBorders>
            <w:vAlign w:val="center"/>
            <w:hideMark/>
          </w:tcPr>
          <w:p w14:paraId="1E1BFDD2" w14:textId="77777777" w:rsidR="005B7178" w:rsidRPr="001A37C8" w:rsidRDefault="005B7178">
            <w:pPr>
              <w:spacing w:before="0" w:after="0"/>
              <w:jc w:val="center"/>
              <w:rPr>
                <w:rFonts w:eastAsia="Times New Roman"/>
                <w:noProof/>
                <w:color w:val="000000"/>
                <w:sz w:val="20"/>
                <w:szCs w:val="20"/>
                <w:lang w:val="en-IE" w:eastAsia="en-IE"/>
              </w:rPr>
            </w:pPr>
            <w:r w:rsidRPr="001A37C8">
              <w:rPr>
                <w:rFonts w:eastAsia="Times New Roman"/>
                <w:noProof/>
                <w:color w:val="000000"/>
                <w:sz w:val="20"/>
                <w:szCs w:val="20"/>
                <w:lang w:val="en-IE" w:eastAsia="en-IE"/>
              </w:rPr>
              <w:t>Year</w:t>
            </w:r>
          </w:p>
        </w:tc>
        <w:tc>
          <w:tcPr>
            <w:tcW w:w="293" w:type="pct"/>
            <w:tcBorders>
              <w:top w:val="single" w:sz="8" w:space="0" w:color="auto"/>
              <w:left w:val="nil"/>
              <w:bottom w:val="single" w:sz="8" w:space="0" w:color="auto"/>
              <w:right w:val="single" w:sz="8" w:space="0" w:color="auto"/>
            </w:tcBorders>
            <w:vAlign w:val="center"/>
            <w:hideMark/>
          </w:tcPr>
          <w:p w14:paraId="32E5167D" w14:textId="77777777" w:rsidR="005B7178" w:rsidRPr="001A37C8" w:rsidRDefault="005B7178">
            <w:pPr>
              <w:spacing w:before="0" w:after="0"/>
              <w:jc w:val="center"/>
              <w:rPr>
                <w:rFonts w:eastAsia="Times New Roman"/>
                <w:noProof/>
                <w:color w:val="000000"/>
                <w:sz w:val="20"/>
                <w:szCs w:val="20"/>
                <w:lang w:val="en-IE" w:eastAsia="en-IE"/>
              </w:rPr>
            </w:pPr>
            <w:r w:rsidRPr="001A37C8">
              <w:rPr>
                <w:rFonts w:eastAsia="Times New Roman"/>
                <w:noProof/>
                <w:color w:val="000000"/>
                <w:sz w:val="20"/>
                <w:szCs w:val="20"/>
                <w:lang w:val="en-IE" w:eastAsia="en-IE"/>
              </w:rPr>
              <w:t>Year</w:t>
            </w:r>
          </w:p>
        </w:tc>
        <w:tc>
          <w:tcPr>
            <w:tcW w:w="775" w:type="pct"/>
            <w:vMerge w:val="restart"/>
            <w:tcBorders>
              <w:top w:val="single" w:sz="8" w:space="0" w:color="auto"/>
              <w:left w:val="single" w:sz="8" w:space="0" w:color="auto"/>
              <w:bottom w:val="single" w:sz="8" w:space="0" w:color="000000" w:themeColor="text1"/>
              <w:right w:val="single" w:sz="8" w:space="0" w:color="auto"/>
            </w:tcBorders>
            <w:vAlign w:val="center"/>
            <w:hideMark/>
          </w:tcPr>
          <w:p w14:paraId="199C91E7"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TOTAL MFF 2028-2034</w:t>
            </w:r>
          </w:p>
        </w:tc>
      </w:tr>
      <w:tr w:rsidR="00F67E4F" w:rsidRPr="001A37C8" w14:paraId="63C1A3E3" w14:textId="77777777" w:rsidTr="00275776">
        <w:trPr>
          <w:trHeight w:val="300"/>
        </w:trPr>
        <w:tc>
          <w:tcPr>
            <w:tcW w:w="2174" w:type="pct"/>
            <w:gridSpan w:val="3"/>
            <w:vMerge/>
            <w:vAlign w:val="center"/>
            <w:hideMark/>
          </w:tcPr>
          <w:p w14:paraId="6646F817" w14:textId="77777777" w:rsidR="005B7178" w:rsidRPr="001A37C8" w:rsidRDefault="005B7178">
            <w:pPr>
              <w:spacing w:before="0" w:after="0"/>
              <w:jc w:val="left"/>
              <w:rPr>
                <w:rFonts w:eastAsia="Times New Roman"/>
                <w:noProof/>
                <w:color w:val="000000"/>
                <w:sz w:val="22"/>
                <w:lang w:val="en-IE" w:eastAsia="en-IE"/>
              </w:rPr>
            </w:pPr>
          </w:p>
        </w:tc>
        <w:tc>
          <w:tcPr>
            <w:tcW w:w="293" w:type="pct"/>
            <w:tcBorders>
              <w:top w:val="nil"/>
              <w:left w:val="nil"/>
              <w:bottom w:val="single" w:sz="4" w:space="0" w:color="auto"/>
              <w:right w:val="single" w:sz="8" w:space="0" w:color="auto"/>
            </w:tcBorders>
            <w:vAlign w:val="center"/>
            <w:hideMark/>
          </w:tcPr>
          <w:p w14:paraId="4BA87833"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2028</w:t>
            </w:r>
          </w:p>
        </w:tc>
        <w:tc>
          <w:tcPr>
            <w:tcW w:w="293" w:type="pct"/>
            <w:tcBorders>
              <w:top w:val="nil"/>
              <w:left w:val="nil"/>
              <w:bottom w:val="single" w:sz="4" w:space="0" w:color="auto"/>
              <w:right w:val="single" w:sz="8" w:space="0" w:color="auto"/>
            </w:tcBorders>
            <w:vAlign w:val="center"/>
            <w:hideMark/>
          </w:tcPr>
          <w:p w14:paraId="1918214F"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2029</w:t>
            </w:r>
          </w:p>
        </w:tc>
        <w:tc>
          <w:tcPr>
            <w:tcW w:w="293" w:type="pct"/>
            <w:tcBorders>
              <w:top w:val="nil"/>
              <w:left w:val="nil"/>
              <w:bottom w:val="single" w:sz="4" w:space="0" w:color="auto"/>
              <w:right w:val="single" w:sz="8" w:space="0" w:color="auto"/>
            </w:tcBorders>
            <w:vAlign w:val="center"/>
            <w:hideMark/>
          </w:tcPr>
          <w:p w14:paraId="4DC292F0"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2030</w:t>
            </w:r>
          </w:p>
        </w:tc>
        <w:tc>
          <w:tcPr>
            <w:tcW w:w="293" w:type="pct"/>
            <w:tcBorders>
              <w:top w:val="nil"/>
              <w:left w:val="nil"/>
              <w:bottom w:val="single" w:sz="4" w:space="0" w:color="auto"/>
              <w:right w:val="single" w:sz="8" w:space="0" w:color="auto"/>
            </w:tcBorders>
            <w:vAlign w:val="center"/>
            <w:hideMark/>
          </w:tcPr>
          <w:p w14:paraId="3C8BE6B7"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2031</w:t>
            </w:r>
          </w:p>
        </w:tc>
        <w:tc>
          <w:tcPr>
            <w:tcW w:w="293" w:type="pct"/>
            <w:tcBorders>
              <w:top w:val="nil"/>
              <w:left w:val="nil"/>
              <w:bottom w:val="single" w:sz="4" w:space="0" w:color="auto"/>
              <w:right w:val="single" w:sz="8" w:space="0" w:color="auto"/>
            </w:tcBorders>
            <w:vAlign w:val="center"/>
            <w:hideMark/>
          </w:tcPr>
          <w:p w14:paraId="5E1ED90A"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2032</w:t>
            </w:r>
          </w:p>
        </w:tc>
        <w:tc>
          <w:tcPr>
            <w:tcW w:w="293" w:type="pct"/>
            <w:tcBorders>
              <w:top w:val="nil"/>
              <w:left w:val="nil"/>
              <w:bottom w:val="single" w:sz="4" w:space="0" w:color="auto"/>
              <w:right w:val="single" w:sz="8" w:space="0" w:color="auto"/>
            </w:tcBorders>
            <w:vAlign w:val="center"/>
            <w:hideMark/>
          </w:tcPr>
          <w:p w14:paraId="60793750"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2033</w:t>
            </w:r>
          </w:p>
        </w:tc>
        <w:tc>
          <w:tcPr>
            <w:tcW w:w="293" w:type="pct"/>
            <w:tcBorders>
              <w:top w:val="nil"/>
              <w:left w:val="nil"/>
              <w:bottom w:val="single" w:sz="4" w:space="0" w:color="auto"/>
              <w:right w:val="single" w:sz="8" w:space="0" w:color="auto"/>
            </w:tcBorders>
            <w:vAlign w:val="center"/>
            <w:hideMark/>
          </w:tcPr>
          <w:p w14:paraId="254BDA5F" w14:textId="77777777" w:rsidR="005B7178" w:rsidRPr="001A37C8" w:rsidRDefault="005B7178">
            <w:pPr>
              <w:spacing w:before="0" w:after="0"/>
              <w:jc w:val="center"/>
              <w:rPr>
                <w:rFonts w:eastAsia="Times New Roman"/>
                <w:b/>
                <w:bCs/>
                <w:noProof/>
                <w:color w:val="000000"/>
                <w:sz w:val="20"/>
                <w:szCs w:val="20"/>
                <w:lang w:val="en-IE" w:eastAsia="en-IE"/>
              </w:rPr>
            </w:pPr>
            <w:r w:rsidRPr="001A37C8">
              <w:rPr>
                <w:rFonts w:eastAsia="Times New Roman"/>
                <w:b/>
                <w:bCs/>
                <w:noProof/>
                <w:color w:val="000000"/>
                <w:sz w:val="20"/>
                <w:szCs w:val="20"/>
                <w:lang w:val="en-IE" w:eastAsia="en-IE"/>
              </w:rPr>
              <w:t>2034</w:t>
            </w:r>
          </w:p>
        </w:tc>
        <w:tc>
          <w:tcPr>
            <w:tcW w:w="775" w:type="pct"/>
            <w:vMerge/>
            <w:vAlign w:val="center"/>
            <w:hideMark/>
          </w:tcPr>
          <w:p w14:paraId="6A052DF9" w14:textId="77777777" w:rsidR="005B7178" w:rsidRPr="001A37C8" w:rsidRDefault="005B7178">
            <w:pPr>
              <w:spacing w:before="0" w:after="0"/>
              <w:jc w:val="left"/>
              <w:rPr>
                <w:rFonts w:eastAsia="Times New Roman"/>
                <w:b/>
                <w:bCs/>
                <w:noProof/>
                <w:color w:val="000000"/>
                <w:sz w:val="20"/>
                <w:szCs w:val="20"/>
                <w:lang w:val="en-IE" w:eastAsia="en-IE"/>
              </w:rPr>
            </w:pPr>
          </w:p>
        </w:tc>
      </w:tr>
      <w:tr w:rsidR="00F67E4F" w:rsidRPr="001A37C8" w14:paraId="5A0DADFC" w14:textId="77777777" w:rsidTr="00275776">
        <w:trPr>
          <w:trHeight w:val="30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16B93407" w14:textId="77777777" w:rsidR="005B7178" w:rsidRPr="001A37C8" w:rsidRDefault="005B7178">
            <w:pPr>
              <w:spacing w:before="0" w:after="0"/>
              <w:jc w:val="left"/>
              <w:rPr>
                <w:rFonts w:eastAsia="Times New Roman"/>
                <w:noProof/>
                <w:color w:val="000000"/>
                <w:sz w:val="21"/>
                <w:szCs w:val="21"/>
                <w:lang w:val="en-IE" w:eastAsia="en-IE"/>
              </w:rPr>
            </w:pPr>
            <w:r w:rsidRPr="001A37C8">
              <w:rPr>
                <w:rFonts w:eastAsia="Times New Roman"/>
                <w:noProof/>
                <w:color w:val="000000"/>
                <w:sz w:val="21"/>
                <w:szCs w:val="21"/>
                <w:lang w:val="en-IE" w:eastAsia="en-IE"/>
              </w:rPr>
              <w:t xml:space="preserve">Operational appropriations </w:t>
            </w:r>
          </w:p>
        </w:tc>
      </w:tr>
      <w:tr w:rsidR="007D4C68" w:rsidRPr="001A37C8" w14:paraId="1FC133C7" w14:textId="77777777" w:rsidTr="00275776">
        <w:trPr>
          <w:trHeight w:val="470"/>
        </w:trPr>
        <w:tc>
          <w:tcPr>
            <w:tcW w:w="1486" w:type="pct"/>
            <w:vMerge w:val="restart"/>
            <w:tcBorders>
              <w:top w:val="single" w:sz="4" w:space="0" w:color="auto"/>
              <w:left w:val="single" w:sz="4" w:space="0" w:color="auto"/>
              <w:bottom w:val="single" w:sz="4" w:space="0" w:color="auto"/>
              <w:right w:val="single" w:sz="4" w:space="0" w:color="auto"/>
            </w:tcBorders>
            <w:noWrap/>
            <w:vAlign w:val="center"/>
            <w:hideMark/>
          </w:tcPr>
          <w:p w14:paraId="59D87449" w14:textId="77777777" w:rsidR="005B7178" w:rsidRPr="001A37C8" w:rsidRDefault="005B7178" w:rsidP="007D4C68">
            <w:pPr>
              <w:spacing w:before="0" w:after="0"/>
              <w:jc w:val="left"/>
              <w:rPr>
                <w:rFonts w:eastAsia="Times New Roman"/>
                <w:noProof/>
                <w:color w:val="000000"/>
                <w:sz w:val="22"/>
                <w:lang w:val="en-IE" w:eastAsia="en-IE"/>
              </w:rPr>
            </w:pPr>
            <w:r w:rsidRPr="001A37C8">
              <w:rPr>
                <w:rFonts w:eastAsia="Times New Roman"/>
                <w:noProof/>
                <w:color w:val="000000"/>
                <w:sz w:val="22"/>
                <w:lang w:val="en-IE" w:eastAsia="en-IE"/>
              </w:rPr>
              <w:t>Budget line</w:t>
            </w:r>
            <w:r>
              <w:rPr>
                <w:rFonts w:eastAsia="Times New Roman"/>
                <w:noProof/>
                <w:color w:val="000000"/>
                <w:sz w:val="22"/>
                <w:lang w:val="en-IE" w:eastAsia="en-IE"/>
              </w:rPr>
              <w:t xml:space="preserve"> 06 03 01 Creative Europe - Culture</w:t>
            </w:r>
          </w:p>
        </w:tc>
        <w:tc>
          <w:tcPr>
            <w:tcW w:w="418" w:type="pct"/>
            <w:tcBorders>
              <w:top w:val="single" w:sz="4" w:space="0" w:color="auto"/>
              <w:left w:val="single" w:sz="4" w:space="0" w:color="auto"/>
              <w:bottom w:val="single" w:sz="4" w:space="0" w:color="auto"/>
              <w:right w:val="single" w:sz="4" w:space="0" w:color="auto"/>
            </w:tcBorders>
            <w:vAlign w:val="center"/>
            <w:hideMark/>
          </w:tcPr>
          <w:p w14:paraId="5FF20942" w14:textId="77777777" w:rsidR="005B7178" w:rsidRPr="001A37C8" w:rsidRDefault="005B7178" w:rsidP="007D4C68">
            <w:pPr>
              <w:spacing w:before="0" w:after="0"/>
              <w:rPr>
                <w:rFonts w:eastAsia="Times New Roman"/>
                <w:noProof/>
                <w:color w:val="000000"/>
                <w:sz w:val="18"/>
                <w:szCs w:val="18"/>
                <w:lang w:val="en-IE" w:eastAsia="en-IE"/>
              </w:rPr>
            </w:pPr>
            <w:r w:rsidRPr="001A37C8">
              <w:rPr>
                <w:rFonts w:eastAsia="Times New Roman"/>
                <w:noProof/>
                <w:color w:val="000000"/>
                <w:sz w:val="18"/>
                <w:szCs w:val="18"/>
                <w:lang w:val="en-IE" w:eastAsia="en-IE"/>
              </w:rPr>
              <w:t>Commitments</w:t>
            </w:r>
          </w:p>
        </w:tc>
        <w:tc>
          <w:tcPr>
            <w:tcW w:w="270" w:type="pct"/>
            <w:tcBorders>
              <w:top w:val="single" w:sz="4" w:space="0" w:color="auto"/>
              <w:left w:val="single" w:sz="4" w:space="0" w:color="auto"/>
              <w:bottom w:val="single" w:sz="4" w:space="0" w:color="auto"/>
              <w:right w:val="single" w:sz="4" w:space="0" w:color="auto"/>
            </w:tcBorders>
            <w:vAlign w:val="center"/>
            <w:hideMark/>
          </w:tcPr>
          <w:p w14:paraId="635A02AA" w14:textId="77777777" w:rsidR="005B7178" w:rsidRPr="001A37C8" w:rsidRDefault="005B7178" w:rsidP="007D4C68">
            <w:pPr>
              <w:spacing w:before="0" w:after="0"/>
              <w:jc w:val="center"/>
              <w:rPr>
                <w:rFonts w:eastAsia="Times New Roman"/>
                <w:noProof/>
                <w:color w:val="000000"/>
                <w:sz w:val="14"/>
                <w:szCs w:val="14"/>
                <w:lang w:val="en-IE" w:eastAsia="en-IE"/>
              </w:rPr>
            </w:pPr>
            <w:r w:rsidRPr="001A37C8">
              <w:rPr>
                <w:rFonts w:eastAsia="Times New Roman"/>
                <w:noProof/>
                <w:color w:val="000000"/>
                <w:sz w:val="14"/>
                <w:szCs w:val="14"/>
                <w:lang w:val="en-IE" w:eastAsia="en-IE"/>
              </w:rPr>
              <w:t>(1a)</w:t>
            </w:r>
          </w:p>
        </w:tc>
        <w:tc>
          <w:tcPr>
            <w:tcW w:w="293" w:type="pct"/>
            <w:tcBorders>
              <w:top w:val="single" w:sz="4" w:space="0" w:color="auto"/>
              <w:left w:val="single" w:sz="4" w:space="0" w:color="auto"/>
              <w:bottom w:val="single" w:sz="4" w:space="0" w:color="auto"/>
              <w:right w:val="single" w:sz="4" w:space="0" w:color="auto"/>
            </w:tcBorders>
            <w:hideMark/>
          </w:tcPr>
          <w:p w14:paraId="0F251DDC" w14:textId="77777777" w:rsidR="005B7178" w:rsidRPr="001A37C8" w:rsidRDefault="005B7178" w:rsidP="007D4C68">
            <w:pPr>
              <w:spacing w:before="0" w:after="0"/>
              <w:jc w:val="right"/>
              <w:rPr>
                <w:rFonts w:eastAsia="Times New Roman"/>
                <w:noProof/>
                <w:color w:val="000000"/>
                <w:sz w:val="20"/>
                <w:szCs w:val="20"/>
                <w:lang w:val="en-IE" w:eastAsia="en-IE"/>
              </w:rPr>
            </w:pPr>
            <w:r>
              <w:rPr>
                <w:noProof/>
              </w:rPr>
              <w:t xml:space="preserve">0,230 </w:t>
            </w:r>
          </w:p>
        </w:tc>
        <w:tc>
          <w:tcPr>
            <w:tcW w:w="293" w:type="pct"/>
            <w:tcBorders>
              <w:top w:val="single" w:sz="4" w:space="0" w:color="auto"/>
              <w:left w:val="single" w:sz="4" w:space="0" w:color="auto"/>
              <w:bottom w:val="single" w:sz="4" w:space="0" w:color="auto"/>
              <w:right w:val="single" w:sz="4" w:space="0" w:color="auto"/>
            </w:tcBorders>
            <w:hideMark/>
          </w:tcPr>
          <w:p w14:paraId="1DF73C31" w14:textId="77777777" w:rsidR="005B7178" w:rsidRPr="001A37C8" w:rsidRDefault="005B7178" w:rsidP="007D4C68">
            <w:pPr>
              <w:spacing w:before="0" w:after="0"/>
              <w:jc w:val="right"/>
              <w:rPr>
                <w:rFonts w:eastAsia="Times New Roman"/>
                <w:noProof/>
                <w:color w:val="000000"/>
                <w:sz w:val="20"/>
                <w:szCs w:val="20"/>
                <w:lang w:val="en-IE" w:eastAsia="en-IE"/>
              </w:rPr>
            </w:pPr>
            <w:r>
              <w:rPr>
                <w:noProof/>
              </w:rPr>
              <w:t xml:space="preserve">0,238 </w:t>
            </w:r>
          </w:p>
        </w:tc>
        <w:tc>
          <w:tcPr>
            <w:tcW w:w="293" w:type="pct"/>
            <w:tcBorders>
              <w:top w:val="single" w:sz="4" w:space="0" w:color="auto"/>
              <w:left w:val="single" w:sz="4" w:space="0" w:color="auto"/>
              <w:bottom w:val="single" w:sz="4" w:space="0" w:color="auto"/>
              <w:right w:val="single" w:sz="4" w:space="0" w:color="auto"/>
            </w:tcBorders>
            <w:hideMark/>
          </w:tcPr>
          <w:p w14:paraId="30CCF147" w14:textId="77777777" w:rsidR="005B7178" w:rsidRPr="001A37C8" w:rsidRDefault="005B7178" w:rsidP="007D4C68">
            <w:pPr>
              <w:spacing w:before="0" w:after="0"/>
              <w:jc w:val="right"/>
              <w:rPr>
                <w:rFonts w:eastAsia="Times New Roman"/>
                <w:noProof/>
                <w:color w:val="000000"/>
                <w:sz w:val="20"/>
                <w:szCs w:val="20"/>
                <w:lang w:val="en-IE" w:eastAsia="en-IE"/>
              </w:rPr>
            </w:pPr>
            <w:r>
              <w:rPr>
                <w:noProof/>
              </w:rPr>
              <w:t xml:space="preserve">0,247 </w:t>
            </w:r>
          </w:p>
        </w:tc>
        <w:tc>
          <w:tcPr>
            <w:tcW w:w="293" w:type="pct"/>
            <w:tcBorders>
              <w:top w:val="single" w:sz="4" w:space="0" w:color="auto"/>
              <w:left w:val="single" w:sz="4" w:space="0" w:color="auto"/>
              <w:bottom w:val="single" w:sz="4" w:space="0" w:color="auto"/>
              <w:right w:val="single" w:sz="4" w:space="0" w:color="auto"/>
            </w:tcBorders>
            <w:hideMark/>
          </w:tcPr>
          <w:p w14:paraId="41510397" w14:textId="77777777" w:rsidR="005B7178" w:rsidRPr="001A37C8" w:rsidRDefault="005B7178" w:rsidP="007D4C68">
            <w:pPr>
              <w:spacing w:before="0" w:after="0"/>
              <w:jc w:val="right"/>
              <w:rPr>
                <w:rFonts w:eastAsia="Times New Roman"/>
                <w:noProof/>
                <w:color w:val="000000"/>
                <w:sz w:val="20"/>
                <w:szCs w:val="20"/>
                <w:lang w:val="en-IE" w:eastAsia="en-IE"/>
              </w:rPr>
            </w:pPr>
            <w:r>
              <w:rPr>
                <w:noProof/>
              </w:rPr>
              <w:t xml:space="preserve">0,256 </w:t>
            </w:r>
          </w:p>
        </w:tc>
        <w:tc>
          <w:tcPr>
            <w:tcW w:w="293" w:type="pct"/>
            <w:tcBorders>
              <w:top w:val="single" w:sz="4" w:space="0" w:color="auto"/>
              <w:left w:val="single" w:sz="4" w:space="0" w:color="auto"/>
              <w:bottom w:val="single" w:sz="4" w:space="0" w:color="auto"/>
              <w:right w:val="single" w:sz="4" w:space="0" w:color="auto"/>
            </w:tcBorders>
            <w:hideMark/>
          </w:tcPr>
          <w:p w14:paraId="5C0386AE" w14:textId="77777777" w:rsidR="005B7178" w:rsidRPr="001A37C8" w:rsidRDefault="005B7178" w:rsidP="007D4C68">
            <w:pPr>
              <w:spacing w:before="0" w:after="0"/>
              <w:jc w:val="right"/>
              <w:rPr>
                <w:rFonts w:eastAsia="Times New Roman"/>
                <w:noProof/>
                <w:color w:val="000000"/>
                <w:sz w:val="20"/>
                <w:szCs w:val="20"/>
                <w:lang w:val="en-IE" w:eastAsia="en-IE"/>
              </w:rPr>
            </w:pPr>
            <w:r>
              <w:rPr>
                <w:noProof/>
              </w:rPr>
              <w:t xml:space="preserve">0,265 </w:t>
            </w:r>
          </w:p>
        </w:tc>
        <w:tc>
          <w:tcPr>
            <w:tcW w:w="293" w:type="pct"/>
            <w:tcBorders>
              <w:top w:val="single" w:sz="4" w:space="0" w:color="auto"/>
              <w:left w:val="single" w:sz="4" w:space="0" w:color="auto"/>
              <w:bottom w:val="single" w:sz="4" w:space="0" w:color="auto"/>
              <w:right w:val="single" w:sz="4" w:space="0" w:color="auto"/>
            </w:tcBorders>
            <w:hideMark/>
          </w:tcPr>
          <w:p w14:paraId="0E529E5A" w14:textId="77777777" w:rsidR="005B7178" w:rsidRPr="001A37C8" w:rsidRDefault="005B7178" w:rsidP="007D4C68">
            <w:pPr>
              <w:spacing w:before="0" w:after="0"/>
              <w:jc w:val="right"/>
              <w:rPr>
                <w:rFonts w:eastAsia="Times New Roman"/>
                <w:noProof/>
                <w:color w:val="000000"/>
                <w:sz w:val="20"/>
                <w:szCs w:val="20"/>
                <w:lang w:val="en-IE" w:eastAsia="en-IE"/>
              </w:rPr>
            </w:pPr>
            <w:r>
              <w:rPr>
                <w:noProof/>
              </w:rPr>
              <w:t xml:space="preserve">0,275 </w:t>
            </w:r>
          </w:p>
        </w:tc>
        <w:tc>
          <w:tcPr>
            <w:tcW w:w="293" w:type="pct"/>
            <w:tcBorders>
              <w:top w:val="single" w:sz="4" w:space="0" w:color="auto"/>
              <w:left w:val="single" w:sz="4" w:space="0" w:color="auto"/>
              <w:bottom w:val="single" w:sz="4" w:space="0" w:color="auto"/>
              <w:right w:val="single" w:sz="4" w:space="0" w:color="auto"/>
            </w:tcBorders>
            <w:hideMark/>
          </w:tcPr>
          <w:p w14:paraId="12918DB5" w14:textId="77777777" w:rsidR="005B7178" w:rsidRPr="001A37C8" w:rsidRDefault="005B7178" w:rsidP="007D4C68">
            <w:pPr>
              <w:spacing w:before="0" w:after="0"/>
              <w:jc w:val="right"/>
              <w:rPr>
                <w:rFonts w:eastAsia="Times New Roman"/>
                <w:noProof/>
                <w:color w:val="000000"/>
                <w:sz w:val="20"/>
                <w:szCs w:val="20"/>
                <w:lang w:val="en-IE" w:eastAsia="en-IE"/>
              </w:rPr>
            </w:pPr>
            <w:r>
              <w:rPr>
                <w:noProof/>
              </w:rPr>
              <w:t xml:space="preserve">0,285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61644" w14:textId="77777777" w:rsidR="005B7178" w:rsidRPr="001A37C8" w:rsidRDefault="005B7178" w:rsidP="007D4C68">
            <w:pPr>
              <w:spacing w:before="0" w:after="0"/>
              <w:jc w:val="right"/>
              <w:rPr>
                <w:rFonts w:eastAsia="Times New Roman"/>
                <w:b/>
                <w:bCs/>
                <w:noProof/>
                <w:color w:val="000000"/>
                <w:sz w:val="20"/>
                <w:szCs w:val="20"/>
                <w:lang w:val="en-IE" w:eastAsia="en-IE"/>
              </w:rPr>
            </w:pPr>
            <w:r>
              <w:rPr>
                <w:noProof/>
              </w:rPr>
              <w:t>1,796</w:t>
            </w:r>
          </w:p>
        </w:tc>
      </w:tr>
      <w:tr w:rsidR="004467FB" w:rsidRPr="001A37C8" w14:paraId="5CA4E95E" w14:textId="77777777" w:rsidTr="00275776">
        <w:trPr>
          <w:trHeight w:val="300"/>
        </w:trPr>
        <w:tc>
          <w:tcPr>
            <w:tcW w:w="1486" w:type="pct"/>
            <w:vMerge/>
            <w:vAlign w:val="center"/>
            <w:hideMark/>
          </w:tcPr>
          <w:p w14:paraId="51EC238C" w14:textId="77777777" w:rsidR="005B7178" w:rsidRPr="001A37C8" w:rsidRDefault="005B7178">
            <w:pPr>
              <w:spacing w:before="0" w:after="0"/>
              <w:jc w:val="left"/>
              <w:rPr>
                <w:rFonts w:eastAsia="Times New Roman"/>
                <w:noProof/>
                <w:color w:val="000000"/>
                <w:sz w:val="22"/>
                <w:lang w:val="en-IE" w:eastAsia="en-IE"/>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6B1C8BEC" w14:textId="77777777" w:rsidR="005B7178" w:rsidRPr="001A37C8" w:rsidRDefault="005B7178">
            <w:pPr>
              <w:spacing w:before="0" w:after="0"/>
              <w:rPr>
                <w:rFonts w:eastAsia="Times New Roman"/>
                <w:noProof/>
                <w:color w:val="000000"/>
                <w:sz w:val="18"/>
                <w:szCs w:val="18"/>
                <w:lang w:val="en-IE" w:eastAsia="en-IE"/>
              </w:rPr>
            </w:pPr>
            <w:r w:rsidRPr="001A37C8">
              <w:rPr>
                <w:rFonts w:eastAsia="Times New Roman"/>
                <w:noProof/>
                <w:color w:val="000000"/>
                <w:sz w:val="18"/>
                <w:szCs w:val="18"/>
                <w:lang w:val="en-IE" w:eastAsia="en-IE"/>
              </w:rPr>
              <w:t>Payments</w:t>
            </w:r>
          </w:p>
        </w:tc>
        <w:tc>
          <w:tcPr>
            <w:tcW w:w="270" w:type="pct"/>
            <w:tcBorders>
              <w:top w:val="single" w:sz="4" w:space="0" w:color="auto"/>
              <w:left w:val="single" w:sz="4" w:space="0" w:color="auto"/>
              <w:bottom w:val="single" w:sz="4" w:space="0" w:color="auto"/>
              <w:right w:val="single" w:sz="4" w:space="0" w:color="auto"/>
            </w:tcBorders>
            <w:vAlign w:val="center"/>
            <w:hideMark/>
          </w:tcPr>
          <w:p w14:paraId="4130C350" w14:textId="77777777" w:rsidR="005B7178" w:rsidRPr="001A37C8" w:rsidRDefault="005B7178">
            <w:pPr>
              <w:spacing w:before="0" w:after="0"/>
              <w:jc w:val="center"/>
              <w:rPr>
                <w:rFonts w:eastAsia="Times New Roman"/>
                <w:noProof/>
                <w:color w:val="000000"/>
                <w:sz w:val="14"/>
                <w:szCs w:val="14"/>
                <w:lang w:val="en-IE" w:eastAsia="en-IE"/>
              </w:rPr>
            </w:pPr>
            <w:r w:rsidRPr="001A37C8">
              <w:rPr>
                <w:rFonts w:eastAsia="Times New Roman"/>
                <w:noProof/>
                <w:color w:val="000000"/>
                <w:sz w:val="14"/>
                <w:szCs w:val="14"/>
                <w:lang w:val="en-IE" w:eastAsia="en-IE"/>
              </w:rPr>
              <w:t>(2a)</w:t>
            </w:r>
          </w:p>
        </w:tc>
        <w:tc>
          <w:tcPr>
            <w:tcW w:w="293" w:type="pct"/>
            <w:tcBorders>
              <w:top w:val="single" w:sz="4" w:space="0" w:color="auto"/>
              <w:left w:val="single" w:sz="4" w:space="0" w:color="auto"/>
              <w:bottom w:val="single" w:sz="4" w:space="0" w:color="auto"/>
              <w:right w:val="single" w:sz="4" w:space="0" w:color="auto"/>
            </w:tcBorders>
            <w:vAlign w:val="center"/>
            <w:hideMark/>
          </w:tcPr>
          <w:p w14:paraId="06C1A12B" w14:textId="77777777" w:rsidR="005B7178" w:rsidRPr="001A37C8" w:rsidRDefault="005B717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w:t>
            </w:r>
            <w:r w:rsidRPr="001A37C8">
              <w:rPr>
                <w:rFonts w:eastAsia="Times New Roman"/>
                <w:noProof/>
                <w:color w:val="000000"/>
                <w:sz w:val="20"/>
                <w:szCs w:val="20"/>
                <w:lang w:val="en-IE" w:eastAsia="en-IE"/>
              </w:rPr>
              <w:t> </w:t>
            </w:r>
          </w:p>
        </w:tc>
        <w:tc>
          <w:tcPr>
            <w:tcW w:w="293" w:type="pct"/>
            <w:tcBorders>
              <w:top w:val="single" w:sz="4" w:space="0" w:color="auto"/>
              <w:left w:val="single" w:sz="4" w:space="0" w:color="auto"/>
              <w:bottom w:val="single" w:sz="4" w:space="0" w:color="auto"/>
              <w:right w:val="single" w:sz="4" w:space="0" w:color="auto"/>
            </w:tcBorders>
            <w:vAlign w:val="center"/>
            <w:hideMark/>
          </w:tcPr>
          <w:p w14:paraId="4D509E93" w14:textId="77777777" w:rsidR="005B7178" w:rsidRPr="001A37C8" w:rsidRDefault="005B717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w:t>
            </w:r>
            <w:r w:rsidRPr="001A37C8">
              <w:rPr>
                <w:rFonts w:eastAsia="Times New Roman"/>
                <w:noProof/>
                <w:color w:val="000000"/>
                <w:sz w:val="20"/>
                <w:szCs w:val="20"/>
                <w:lang w:val="en-IE" w:eastAsia="en-IE"/>
              </w:rPr>
              <w:t> </w:t>
            </w:r>
          </w:p>
        </w:tc>
        <w:tc>
          <w:tcPr>
            <w:tcW w:w="293" w:type="pct"/>
            <w:tcBorders>
              <w:top w:val="single" w:sz="4" w:space="0" w:color="auto"/>
              <w:left w:val="single" w:sz="4" w:space="0" w:color="auto"/>
              <w:bottom w:val="single" w:sz="4" w:space="0" w:color="auto"/>
              <w:right w:val="single" w:sz="4" w:space="0" w:color="auto"/>
            </w:tcBorders>
            <w:vAlign w:val="center"/>
            <w:hideMark/>
          </w:tcPr>
          <w:p w14:paraId="28E050D5" w14:textId="77777777" w:rsidR="005B7178" w:rsidRPr="001A37C8" w:rsidRDefault="005B717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w:t>
            </w:r>
            <w:r w:rsidRPr="001A37C8">
              <w:rPr>
                <w:rFonts w:eastAsia="Times New Roman"/>
                <w:noProof/>
                <w:color w:val="000000"/>
                <w:sz w:val="20"/>
                <w:szCs w:val="20"/>
                <w:lang w:val="en-IE" w:eastAsia="en-IE"/>
              </w:rPr>
              <w:t> </w:t>
            </w:r>
          </w:p>
        </w:tc>
        <w:tc>
          <w:tcPr>
            <w:tcW w:w="293" w:type="pct"/>
            <w:tcBorders>
              <w:top w:val="single" w:sz="4" w:space="0" w:color="auto"/>
              <w:left w:val="single" w:sz="4" w:space="0" w:color="auto"/>
              <w:bottom w:val="single" w:sz="4" w:space="0" w:color="auto"/>
              <w:right w:val="single" w:sz="4" w:space="0" w:color="auto"/>
            </w:tcBorders>
            <w:vAlign w:val="center"/>
            <w:hideMark/>
          </w:tcPr>
          <w:p w14:paraId="4089D6A4" w14:textId="77777777" w:rsidR="005B7178" w:rsidRPr="001A37C8" w:rsidRDefault="005B717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w:t>
            </w:r>
            <w:r w:rsidRPr="001A37C8">
              <w:rPr>
                <w:rFonts w:eastAsia="Times New Roman"/>
                <w:noProof/>
                <w:color w:val="000000"/>
                <w:sz w:val="20"/>
                <w:szCs w:val="20"/>
                <w:lang w:val="en-IE" w:eastAsia="en-IE"/>
              </w:rPr>
              <w:t> </w:t>
            </w:r>
          </w:p>
        </w:tc>
        <w:tc>
          <w:tcPr>
            <w:tcW w:w="293" w:type="pct"/>
            <w:tcBorders>
              <w:top w:val="single" w:sz="4" w:space="0" w:color="auto"/>
              <w:left w:val="single" w:sz="4" w:space="0" w:color="auto"/>
              <w:bottom w:val="single" w:sz="4" w:space="0" w:color="auto"/>
              <w:right w:val="single" w:sz="4" w:space="0" w:color="auto"/>
            </w:tcBorders>
            <w:vAlign w:val="center"/>
            <w:hideMark/>
          </w:tcPr>
          <w:p w14:paraId="02FC3490" w14:textId="77777777" w:rsidR="005B7178" w:rsidRPr="001A37C8" w:rsidRDefault="005B717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w:t>
            </w:r>
            <w:r w:rsidRPr="001A37C8">
              <w:rPr>
                <w:rFonts w:eastAsia="Times New Roman"/>
                <w:noProof/>
                <w:color w:val="000000"/>
                <w:sz w:val="20"/>
                <w:szCs w:val="20"/>
                <w:lang w:val="en-IE" w:eastAsia="en-IE"/>
              </w:rPr>
              <w:t> </w:t>
            </w:r>
          </w:p>
        </w:tc>
        <w:tc>
          <w:tcPr>
            <w:tcW w:w="293" w:type="pct"/>
            <w:tcBorders>
              <w:top w:val="single" w:sz="4" w:space="0" w:color="auto"/>
              <w:left w:val="single" w:sz="4" w:space="0" w:color="auto"/>
              <w:bottom w:val="single" w:sz="4" w:space="0" w:color="auto"/>
              <w:right w:val="single" w:sz="4" w:space="0" w:color="auto"/>
            </w:tcBorders>
            <w:vAlign w:val="center"/>
            <w:hideMark/>
          </w:tcPr>
          <w:p w14:paraId="207929C4" w14:textId="77777777" w:rsidR="005B7178" w:rsidRPr="001A37C8" w:rsidRDefault="005B717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w:t>
            </w:r>
            <w:r w:rsidRPr="001A37C8">
              <w:rPr>
                <w:rFonts w:eastAsia="Times New Roman"/>
                <w:noProof/>
                <w:color w:val="000000"/>
                <w:sz w:val="20"/>
                <w:szCs w:val="20"/>
                <w:lang w:val="en-IE" w:eastAsia="en-IE"/>
              </w:rPr>
              <w:t> </w:t>
            </w:r>
          </w:p>
        </w:tc>
        <w:tc>
          <w:tcPr>
            <w:tcW w:w="293" w:type="pct"/>
            <w:tcBorders>
              <w:top w:val="single" w:sz="4" w:space="0" w:color="auto"/>
              <w:left w:val="single" w:sz="4" w:space="0" w:color="auto"/>
              <w:bottom w:val="single" w:sz="4" w:space="0" w:color="auto"/>
              <w:right w:val="single" w:sz="4" w:space="0" w:color="auto"/>
            </w:tcBorders>
            <w:vAlign w:val="center"/>
            <w:hideMark/>
          </w:tcPr>
          <w:p w14:paraId="6344198C" w14:textId="77777777" w:rsidR="005B7178" w:rsidRPr="001A37C8" w:rsidRDefault="005B717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w:t>
            </w:r>
            <w:r w:rsidRPr="001A37C8">
              <w:rPr>
                <w:rFonts w:eastAsia="Times New Roman"/>
                <w:noProof/>
                <w:color w:val="000000"/>
                <w:sz w:val="20"/>
                <w:szCs w:val="20"/>
                <w:lang w:val="en-IE" w:eastAsia="en-IE"/>
              </w:rPr>
              <w:t>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4FC6E" w14:textId="77777777" w:rsidR="005B7178" w:rsidRPr="001A37C8" w:rsidRDefault="005B717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0924B6" w:rsidRPr="001A37C8" w14:paraId="4430EC91" w14:textId="77777777" w:rsidTr="00275776">
        <w:trPr>
          <w:trHeight w:val="470"/>
        </w:trPr>
        <w:tc>
          <w:tcPr>
            <w:tcW w:w="1486" w:type="pct"/>
            <w:vMerge w:val="restart"/>
            <w:tcBorders>
              <w:top w:val="single" w:sz="4" w:space="0" w:color="auto"/>
              <w:left w:val="single" w:sz="4" w:space="0" w:color="auto"/>
              <w:bottom w:val="single" w:sz="4" w:space="0" w:color="auto"/>
              <w:right w:val="single" w:sz="4" w:space="0" w:color="auto"/>
            </w:tcBorders>
            <w:vAlign w:val="center"/>
            <w:hideMark/>
          </w:tcPr>
          <w:p w14:paraId="3D999A15" w14:textId="77777777" w:rsidR="005B7178" w:rsidRPr="001A37C8" w:rsidRDefault="005B7178" w:rsidP="000924B6">
            <w:pPr>
              <w:spacing w:before="0" w:after="0"/>
              <w:rPr>
                <w:rFonts w:eastAsia="Times New Roman"/>
                <w:noProof/>
                <w:color w:val="000000"/>
                <w:sz w:val="20"/>
                <w:szCs w:val="20"/>
                <w:lang w:val="en-IE" w:eastAsia="en-IE"/>
              </w:rPr>
            </w:pPr>
            <w:r w:rsidRPr="001A37C8">
              <w:rPr>
                <w:rFonts w:eastAsia="Times New Roman"/>
                <w:noProof/>
                <w:color w:val="000000"/>
                <w:sz w:val="20"/>
                <w:szCs w:val="20"/>
                <w:lang w:val="en-IE" w:eastAsia="en-IE"/>
              </w:rPr>
              <w:t>Budget line</w:t>
            </w:r>
            <w:r>
              <w:rPr>
                <w:rFonts w:eastAsia="Times New Roman"/>
                <w:noProof/>
                <w:color w:val="000000"/>
                <w:sz w:val="20"/>
                <w:szCs w:val="20"/>
                <w:lang w:val="en-IE" w:eastAsia="en-IE"/>
              </w:rPr>
              <w:t xml:space="preserve"> 06 03 02 MEDIA+</w:t>
            </w:r>
          </w:p>
        </w:tc>
        <w:tc>
          <w:tcPr>
            <w:tcW w:w="418" w:type="pct"/>
            <w:tcBorders>
              <w:top w:val="single" w:sz="4" w:space="0" w:color="auto"/>
              <w:left w:val="single" w:sz="4" w:space="0" w:color="auto"/>
              <w:bottom w:val="single" w:sz="4" w:space="0" w:color="auto"/>
              <w:right w:val="single" w:sz="4" w:space="0" w:color="auto"/>
            </w:tcBorders>
            <w:vAlign w:val="center"/>
            <w:hideMark/>
          </w:tcPr>
          <w:p w14:paraId="48B8F6CA" w14:textId="77777777" w:rsidR="005B7178" w:rsidRPr="001A37C8" w:rsidRDefault="005B7178" w:rsidP="000924B6">
            <w:pPr>
              <w:spacing w:before="0" w:after="0"/>
              <w:rPr>
                <w:rFonts w:eastAsia="Times New Roman"/>
                <w:noProof/>
                <w:color w:val="000000"/>
                <w:sz w:val="18"/>
                <w:szCs w:val="18"/>
                <w:lang w:val="en-IE" w:eastAsia="en-IE"/>
              </w:rPr>
            </w:pPr>
            <w:r w:rsidRPr="001A37C8">
              <w:rPr>
                <w:rFonts w:eastAsia="Times New Roman"/>
                <w:noProof/>
                <w:color w:val="000000"/>
                <w:sz w:val="18"/>
                <w:szCs w:val="18"/>
                <w:lang w:val="en-IE" w:eastAsia="en-IE"/>
              </w:rPr>
              <w:t>Commitments</w:t>
            </w:r>
          </w:p>
        </w:tc>
        <w:tc>
          <w:tcPr>
            <w:tcW w:w="270" w:type="pct"/>
            <w:tcBorders>
              <w:top w:val="single" w:sz="4" w:space="0" w:color="auto"/>
              <w:left w:val="single" w:sz="4" w:space="0" w:color="auto"/>
              <w:bottom w:val="single" w:sz="4" w:space="0" w:color="auto"/>
              <w:right w:val="single" w:sz="4" w:space="0" w:color="auto"/>
            </w:tcBorders>
            <w:vAlign w:val="center"/>
            <w:hideMark/>
          </w:tcPr>
          <w:p w14:paraId="7AE07115" w14:textId="77777777" w:rsidR="005B7178" w:rsidRPr="001A37C8" w:rsidRDefault="005B7178" w:rsidP="000924B6">
            <w:pPr>
              <w:spacing w:before="0" w:after="0"/>
              <w:jc w:val="center"/>
              <w:rPr>
                <w:rFonts w:eastAsia="Times New Roman"/>
                <w:noProof/>
                <w:color w:val="000000"/>
                <w:sz w:val="14"/>
                <w:szCs w:val="14"/>
                <w:lang w:val="en-IE" w:eastAsia="en-IE"/>
              </w:rPr>
            </w:pPr>
            <w:r w:rsidRPr="001A37C8">
              <w:rPr>
                <w:rFonts w:eastAsia="Times New Roman"/>
                <w:noProof/>
                <w:color w:val="000000"/>
                <w:sz w:val="14"/>
                <w:szCs w:val="14"/>
                <w:lang w:val="en-IE" w:eastAsia="en-IE"/>
              </w:rPr>
              <w:t>(1b)</w:t>
            </w:r>
          </w:p>
        </w:tc>
        <w:tc>
          <w:tcPr>
            <w:tcW w:w="293" w:type="pct"/>
            <w:tcBorders>
              <w:top w:val="single" w:sz="4" w:space="0" w:color="auto"/>
              <w:left w:val="single" w:sz="4" w:space="0" w:color="auto"/>
              <w:bottom w:val="single" w:sz="4" w:space="0" w:color="auto"/>
              <w:right w:val="single" w:sz="4" w:space="0" w:color="auto"/>
            </w:tcBorders>
            <w:hideMark/>
          </w:tcPr>
          <w:p w14:paraId="0F5F1A55" w14:textId="77777777" w:rsidR="005B7178" w:rsidRPr="001A37C8" w:rsidRDefault="005B7178" w:rsidP="000924B6">
            <w:pPr>
              <w:spacing w:before="0" w:after="0"/>
              <w:jc w:val="right"/>
              <w:rPr>
                <w:rFonts w:eastAsia="Times New Roman"/>
                <w:noProof/>
                <w:color w:val="000000"/>
                <w:sz w:val="20"/>
                <w:szCs w:val="20"/>
                <w:lang w:val="en-IE" w:eastAsia="en-IE"/>
              </w:rPr>
            </w:pPr>
            <w:r>
              <w:rPr>
                <w:noProof/>
              </w:rPr>
              <w:t xml:space="preserve">0,409 </w:t>
            </w:r>
          </w:p>
        </w:tc>
        <w:tc>
          <w:tcPr>
            <w:tcW w:w="293" w:type="pct"/>
            <w:tcBorders>
              <w:top w:val="single" w:sz="4" w:space="0" w:color="auto"/>
              <w:left w:val="single" w:sz="4" w:space="0" w:color="auto"/>
              <w:bottom w:val="single" w:sz="4" w:space="0" w:color="auto"/>
              <w:right w:val="single" w:sz="4" w:space="0" w:color="auto"/>
            </w:tcBorders>
            <w:hideMark/>
          </w:tcPr>
          <w:p w14:paraId="4E81F157" w14:textId="77777777" w:rsidR="005B7178" w:rsidRPr="001A37C8" w:rsidRDefault="005B7178" w:rsidP="000924B6">
            <w:pPr>
              <w:spacing w:before="0" w:after="0"/>
              <w:jc w:val="right"/>
              <w:rPr>
                <w:rFonts w:eastAsia="Times New Roman"/>
                <w:noProof/>
                <w:color w:val="000000"/>
                <w:sz w:val="20"/>
                <w:szCs w:val="20"/>
                <w:lang w:val="en-IE" w:eastAsia="en-IE"/>
              </w:rPr>
            </w:pPr>
            <w:r>
              <w:rPr>
                <w:noProof/>
              </w:rPr>
              <w:t xml:space="preserve">0,424 </w:t>
            </w:r>
          </w:p>
        </w:tc>
        <w:tc>
          <w:tcPr>
            <w:tcW w:w="293" w:type="pct"/>
            <w:tcBorders>
              <w:top w:val="single" w:sz="4" w:space="0" w:color="auto"/>
              <w:left w:val="single" w:sz="4" w:space="0" w:color="auto"/>
              <w:bottom w:val="single" w:sz="4" w:space="0" w:color="auto"/>
              <w:right w:val="single" w:sz="4" w:space="0" w:color="auto"/>
            </w:tcBorders>
            <w:hideMark/>
          </w:tcPr>
          <w:p w14:paraId="6A1474DD" w14:textId="77777777" w:rsidR="005B7178" w:rsidRPr="001A37C8" w:rsidRDefault="005B7178" w:rsidP="000924B6">
            <w:pPr>
              <w:spacing w:before="0" w:after="0"/>
              <w:jc w:val="right"/>
              <w:rPr>
                <w:rFonts w:eastAsia="Times New Roman"/>
                <w:noProof/>
                <w:color w:val="000000"/>
                <w:sz w:val="20"/>
                <w:szCs w:val="20"/>
                <w:lang w:val="en-IE" w:eastAsia="en-IE"/>
              </w:rPr>
            </w:pPr>
            <w:r>
              <w:rPr>
                <w:noProof/>
              </w:rPr>
              <w:t xml:space="preserve">0,439 </w:t>
            </w:r>
          </w:p>
        </w:tc>
        <w:tc>
          <w:tcPr>
            <w:tcW w:w="293" w:type="pct"/>
            <w:tcBorders>
              <w:top w:val="single" w:sz="4" w:space="0" w:color="auto"/>
              <w:left w:val="single" w:sz="4" w:space="0" w:color="auto"/>
              <w:bottom w:val="single" w:sz="4" w:space="0" w:color="auto"/>
              <w:right w:val="single" w:sz="4" w:space="0" w:color="auto"/>
            </w:tcBorders>
            <w:hideMark/>
          </w:tcPr>
          <w:p w14:paraId="2DD42F75" w14:textId="77777777" w:rsidR="005B7178" w:rsidRPr="001A37C8" w:rsidRDefault="005B7178" w:rsidP="000924B6">
            <w:pPr>
              <w:spacing w:before="0" w:after="0"/>
              <w:jc w:val="right"/>
              <w:rPr>
                <w:rFonts w:eastAsia="Times New Roman"/>
                <w:noProof/>
                <w:color w:val="000000"/>
                <w:sz w:val="20"/>
                <w:szCs w:val="20"/>
                <w:lang w:val="en-IE" w:eastAsia="en-IE"/>
              </w:rPr>
            </w:pPr>
            <w:r>
              <w:rPr>
                <w:noProof/>
              </w:rPr>
              <w:t xml:space="preserve">0,455 </w:t>
            </w:r>
          </w:p>
        </w:tc>
        <w:tc>
          <w:tcPr>
            <w:tcW w:w="293" w:type="pct"/>
            <w:tcBorders>
              <w:top w:val="single" w:sz="4" w:space="0" w:color="auto"/>
              <w:left w:val="single" w:sz="4" w:space="0" w:color="auto"/>
              <w:bottom w:val="single" w:sz="4" w:space="0" w:color="auto"/>
              <w:right w:val="single" w:sz="4" w:space="0" w:color="auto"/>
            </w:tcBorders>
            <w:hideMark/>
          </w:tcPr>
          <w:p w14:paraId="402D67EE" w14:textId="77777777" w:rsidR="005B7178" w:rsidRPr="001A37C8" w:rsidRDefault="005B7178" w:rsidP="000924B6">
            <w:pPr>
              <w:spacing w:before="0" w:after="0"/>
              <w:jc w:val="right"/>
              <w:rPr>
                <w:rFonts w:eastAsia="Times New Roman"/>
                <w:noProof/>
                <w:color w:val="000000"/>
                <w:sz w:val="20"/>
                <w:szCs w:val="20"/>
                <w:lang w:val="en-IE" w:eastAsia="en-IE"/>
              </w:rPr>
            </w:pPr>
            <w:r>
              <w:rPr>
                <w:noProof/>
              </w:rPr>
              <w:t xml:space="preserve">0,472 </w:t>
            </w:r>
          </w:p>
        </w:tc>
        <w:tc>
          <w:tcPr>
            <w:tcW w:w="293" w:type="pct"/>
            <w:tcBorders>
              <w:top w:val="single" w:sz="4" w:space="0" w:color="auto"/>
              <w:left w:val="single" w:sz="4" w:space="0" w:color="auto"/>
              <w:bottom w:val="single" w:sz="4" w:space="0" w:color="auto"/>
              <w:right w:val="single" w:sz="4" w:space="0" w:color="auto"/>
            </w:tcBorders>
            <w:hideMark/>
          </w:tcPr>
          <w:p w14:paraId="28F8F9CB" w14:textId="77777777" w:rsidR="005B7178" w:rsidRPr="001A37C8" w:rsidRDefault="005B7178" w:rsidP="000924B6">
            <w:pPr>
              <w:spacing w:before="0" w:after="0"/>
              <w:jc w:val="right"/>
              <w:rPr>
                <w:rFonts w:eastAsia="Times New Roman"/>
                <w:noProof/>
                <w:color w:val="000000"/>
                <w:sz w:val="20"/>
                <w:szCs w:val="20"/>
                <w:lang w:val="en-IE" w:eastAsia="en-IE"/>
              </w:rPr>
            </w:pPr>
            <w:r>
              <w:rPr>
                <w:noProof/>
              </w:rPr>
              <w:t xml:space="preserve">0,489 </w:t>
            </w:r>
          </w:p>
        </w:tc>
        <w:tc>
          <w:tcPr>
            <w:tcW w:w="293" w:type="pct"/>
            <w:tcBorders>
              <w:top w:val="single" w:sz="4" w:space="0" w:color="auto"/>
              <w:left w:val="single" w:sz="4" w:space="0" w:color="auto"/>
              <w:bottom w:val="single" w:sz="4" w:space="0" w:color="auto"/>
              <w:right w:val="single" w:sz="4" w:space="0" w:color="auto"/>
            </w:tcBorders>
            <w:hideMark/>
          </w:tcPr>
          <w:p w14:paraId="72939C89" w14:textId="77777777" w:rsidR="005B7178" w:rsidRPr="001A37C8" w:rsidRDefault="005B7178" w:rsidP="000924B6">
            <w:pPr>
              <w:spacing w:before="0" w:after="0"/>
              <w:jc w:val="right"/>
              <w:rPr>
                <w:rFonts w:eastAsia="Times New Roman"/>
                <w:noProof/>
                <w:color w:val="000000"/>
                <w:sz w:val="20"/>
                <w:szCs w:val="20"/>
                <w:lang w:val="en-IE" w:eastAsia="en-IE"/>
              </w:rPr>
            </w:pPr>
            <w:r>
              <w:rPr>
                <w:noProof/>
              </w:rPr>
              <w:t xml:space="preserve">0,506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93207" w14:textId="77777777" w:rsidR="005B7178" w:rsidRPr="001A37C8" w:rsidRDefault="005B7178" w:rsidP="000924B6">
            <w:pPr>
              <w:spacing w:before="0" w:after="0"/>
              <w:jc w:val="right"/>
              <w:rPr>
                <w:rFonts w:eastAsia="Times New Roman"/>
                <w:b/>
                <w:bCs/>
                <w:noProof/>
                <w:color w:val="000000"/>
                <w:sz w:val="20"/>
                <w:szCs w:val="20"/>
                <w:lang w:val="en-IE" w:eastAsia="en-IE"/>
              </w:rPr>
            </w:pPr>
            <w:r>
              <w:rPr>
                <w:noProof/>
              </w:rPr>
              <w:t>3,194</w:t>
            </w:r>
          </w:p>
        </w:tc>
      </w:tr>
      <w:tr w:rsidR="00090727" w:rsidRPr="001A37C8" w14:paraId="03319D91" w14:textId="77777777" w:rsidTr="00275776">
        <w:trPr>
          <w:trHeight w:val="300"/>
        </w:trPr>
        <w:tc>
          <w:tcPr>
            <w:tcW w:w="1486" w:type="pct"/>
            <w:vMerge/>
            <w:vAlign w:val="center"/>
            <w:hideMark/>
          </w:tcPr>
          <w:p w14:paraId="23F04F18" w14:textId="77777777" w:rsidR="005B7178" w:rsidRPr="001A37C8" w:rsidRDefault="005B7178" w:rsidP="00090727">
            <w:pPr>
              <w:spacing w:before="0" w:after="0"/>
              <w:jc w:val="left"/>
              <w:rPr>
                <w:rFonts w:eastAsia="Times New Roman"/>
                <w:noProof/>
                <w:color w:val="000000"/>
                <w:sz w:val="20"/>
                <w:szCs w:val="20"/>
                <w:lang w:val="en-IE" w:eastAsia="en-IE"/>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5170C15" w14:textId="77777777" w:rsidR="005B7178" w:rsidRPr="001A37C8" w:rsidRDefault="005B7178" w:rsidP="00090727">
            <w:pPr>
              <w:spacing w:before="0" w:after="0"/>
              <w:rPr>
                <w:rFonts w:eastAsia="Times New Roman"/>
                <w:noProof/>
                <w:color w:val="000000"/>
                <w:sz w:val="18"/>
                <w:szCs w:val="18"/>
                <w:lang w:val="en-IE" w:eastAsia="en-IE"/>
              </w:rPr>
            </w:pPr>
            <w:r w:rsidRPr="001A37C8">
              <w:rPr>
                <w:rFonts w:eastAsia="Times New Roman"/>
                <w:noProof/>
                <w:color w:val="000000"/>
                <w:sz w:val="18"/>
                <w:szCs w:val="18"/>
                <w:lang w:val="en-IE" w:eastAsia="en-IE"/>
              </w:rPr>
              <w:t>Payments</w:t>
            </w:r>
          </w:p>
        </w:tc>
        <w:tc>
          <w:tcPr>
            <w:tcW w:w="270" w:type="pct"/>
            <w:tcBorders>
              <w:top w:val="single" w:sz="4" w:space="0" w:color="auto"/>
              <w:left w:val="single" w:sz="4" w:space="0" w:color="auto"/>
              <w:bottom w:val="single" w:sz="4" w:space="0" w:color="auto"/>
              <w:right w:val="single" w:sz="4" w:space="0" w:color="auto"/>
            </w:tcBorders>
            <w:vAlign w:val="center"/>
            <w:hideMark/>
          </w:tcPr>
          <w:p w14:paraId="70375C97" w14:textId="77777777" w:rsidR="005B7178" w:rsidRPr="001A37C8" w:rsidRDefault="005B7178" w:rsidP="00090727">
            <w:pPr>
              <w:spacing w:before="0" w:after="0"/>
              <w:jc w:val="center"/>
              <w:rPr>
                <w:rFonts w:eastAsia="Times New Roman"/>
                <w:noProof/>
                <w:color w:val="000000"/>
                <w:sz w:val="14"/>
                <w:szCs w:val="14"/>
                <w:lang w:val="en-IE" w:eastAsia="en-IE"/>
              </w:rPr>
            </w:pPr>
            <w:r w:rsidRPr="001A37C8">
              <w:rPr>
                <w:rFonts w:eastAsia="Times New Roman"/>
                <w:noProof/>
                <w:color w:val="000000"/>
                <w:sz w:val="14"/>
                <w:szCs w:val="14"/>
                <w:lang w:val="en-IE" w:eastAsia="en-IE"/>
              </w:rPr>
              <w:t>(2b)</w:t>
            </w:r>
          </w:p>
        </w:tc>
        <w:tc>
          <w:tcPr>
            <w:tcW w:w="293" w:type="pct"/>
            <w:tcBorders>
              <w:top w:val="single" w:sz="4" w:space="0" w:color="auto"/>
              <w:left w:val="single" w:sz="4" w:space="0" w:color="auto"/>
              <w:bottom w:val="single" w:sz="4" w:space="0" w:color="auto"/>
              <w:right w:val="single" w:sz="4" w:space="0" w:color="auto"/>
            </w:tcBorders>
            <w:vAlign w:val="center"/>
            <w:hideMark/>
          </w:tcPr>
          <w:p w14:paraId="16E7FA54"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5C7B2A87"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7C1B57DA"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40064C18"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4CA1FEF9"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7DBF7084"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344C84E5"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3124A" w14:textId="77777777" w:rsidR="005B7178" w:rsidRPr="001A37C8" w:rsidRDefault="005B7178" w:rsidP="00090727">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090727" w:rsidRPr="001A37C8" w14:paraId="0B7C5F8D" w14:textId="77777777" w:rsidTr="00275776">
        <w:trPr>
          <w:trHeight w:val="300"/>
        </w:trPr>
        <w:tc>
          <w:tcPr>
            <w:tcW w:w="1486" w:type="pct"/>
            <w:vMerge w:val="restart"/>
            <w:tcBorders>
              <w:top w:val="single" w:sz="4" w:space="0" w:color="auto"/>
              <w:left w:val="single" w:sz="4" w:space="0" w:color="auto"/>
              <w:bottom w:val="single" w:sz="4" w:space="0" w:color="auto"/>
              <w:right w:val="single" w:sz="4" w:space="0" w:color="auto"/>
            </w:tcBorders>
            <w:vAlign w:val="center"/>
          </w:tcPr>
          <w:p w14:paraId="217680BF" w14:textId="77777777" w:rsidR="005B7178" w:rsidRPr="001A37C8" w:rsidRDefault="005B7178" w:rsidP="00090727">
            <w:pPr>
              <w:spacing w:before="0" w:after="0"/>
              <w:jc w:val="left"/>
              <w:rPr>
                <w:rFonts w:eastAsia="Times New Roman"/>
                <w:noProof/>
                <w:color w:val="000000"/>
                <w:sz w:val="20"/>
                <w:szCs w:val="20"/>
                <w:lang w:val="en-IE" w:eastAsia="en-IE"/>
              </w:rPr>
            </w:pPr>
            <w:r>
              <w:rPr>
                <w:rFonts w:eastAsia="Times New Roman"/>
                <w:noProof/>
                <w:color w:val="000000"/>
                <w:sz w:val="20"/>
                <w:szCs w:val="20"/>
                <w:lang w:val="en-IE" w:eastAsia="en-IE"/>
              </w:rPr>
              <w:t>Budget line 06 03 03 CERV+</w:t>
            </w:r>
          </w:p>
        </w:tc>
        <w:tc>
          <w:tcPr>
            <w:tcW w:w="418" w:type="pct"/>
            <w:tcBorders>
              <w:top w:val="single" w:sz="4" w:space="0" w:color="auto"/>
              <w:left w:val="single" w:sz="4" w:space="0" w:color="auto"/>
              <w:bottom w:val="single" w:sz="4" w:space="0" w:color="auto"/>
              <w:right w:val="single" w:sz="4" w:space="0" w:color="auto"/>
            </w:tcBorders>
            <w:vAlign w:val="center"/>
          </w:tcPr>
          <w:p w14:paraId="5A35D44A" w14:textId="77777777" w:rsidR="005B7178" w:rsidRPr="001A37C8" w:rsidRDefault="005B7178" w:rsidP="00090727">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 xml:space="preserve">Commitments </w:t>
            </w:r>
          </w:p>
        </w:tc>
        <w:tc>
          <w:tcPr>
            <w:tcW w:w="270" w:type="pct"/>
            <w:tcBorders>
              <w:top w:val="single" w:sz="4" w:space="0" w:color="auto"/>
              <w:left w:val="single" w:sz="4" w:space="0" w:color="auto"/>
              <w:bottom w:val="single" w:sz="4" w:space="0" w:color="auto"/>
              <w:right w:val="single" w:sz="4" w:space="0" w:color="auto"/>
            </w:tcBorders>
            <w:vAlign w:val="center"/>
          </w:tcPr>
          <w:p w14:paraId="5E1DEE80" w14:textId="77777777" w:rsidR="005B7178" w:rsidRPr="001A37C8" w:rsidRDefault="005B7178" w:rsidP="00090727">
            <w:pPr>
              <w:spacing w:before="0" w:after="0"/>
              <w:jc w:val="center"/>
              <w:rPr>
                <w:rFonts w:eastAsia="Times New Roman"/>
                <w:noProof/>
                <w:color w:val="000000"/>
                <w:sz w:val="14"/>
                <w:szCs w:val="14"/>
                <w:lang w:val="en-IE" w:eastAsia="en-IE"/>
              </w:rPr>
            </w:pPr>
            <w:r>
              <w:rPr>
                <w:rFonts w:eastAsia="Times New Roman"/>
                <w:noProof/>
                <w:color w:val="000000"/>
                <w:sz w:val="14"/>
                <w:szCs w:val="14"/>
                <w:lang w:val="en-IE" w:eastAsia="en-IE"/>
              </w:rPr>
              <w:t>(1c)</w:t>
            </w:r>
          </w:p>
        </w:tc>
        <w:tc>
          <w:tcPr>
            <w:tcW w:w="293" w:type="pct"/>
            <w:tcBorders>
              <w:top w:val="single" w:sz="4" w:space="0" w:color="auto"/>
              <w:left w:val="single" w:sz="4" w:space="0" w:color="auto"/>
              <w:bottom w:val="single" w:sz="4" w:space="0" w:color="auto"/>
              <w:right w:val="single" w:sz="4" w:space="0" w:color="auto"/>
            </w:tcBorders>
          </w:tcPr>
          <w:p w14:paraId="3D53999D" w14:textId="77777777" w:rsidR="005B7178" w:rsidRPr="001A37C8" w:rsidRDefault="005B7178" w:rsidP="00090727">
            <w:pPr>
              <w:spacing w:before="0" w:after="0"/>
              <w:jc w:val="right"/>
              <w:rPr>
                <w:rFonts w:eastAsia="Times New Roman"/>
                <w:noProof/>
                <w:color w:val="000000"/>
                <w:sz w:val="20"/>
                <w:szCs w:val="20"/>
                <w:lang w:val="en-IE" w:eastAsia="en-IE"/>
              </w:rPr>
            </w:pPr>
            <w:r>
              <w:rPr>
                <w:noProof/>
              </w:rPr>
              <w:t xml:space="preserve"> 0,460 </w:t>
            </w:r>
          </w:p>
        </w:tc>
        <w:tc>
          <w:tcPr>
            <w:tcW w:w="293" w:type="pct"/>
            <w:tcBorders>
              <w:top w:val="single" w:sz="4" w:space="0" w:color="auto"/>
              <w:left w:val="single" w:sz="4" w:space="0" w:color="auto"/>
              <w:bottom w:val="single" w:sz="4" w:space="0" w:color="auto"/>
              <w:right w:val="single" w:sz="4" w:space="0" w:color="auto"/>
            </w:tcBorders>
          </w:tcPr>
          <w:p w14:paraId="4B38F234" w14:textId="77777777" w:rsidR="005B7178" w:rsidRPr="001A37C8" w:rsidRDefault="005B7178" w:rsidP="00090727">
            <w:pPr>
              <w:spacing w:before="0" w:after="0"/>
              <w:jc w:val="right"/>
              <w:rPr>
                <w:rFonts w:eastAsia="Times New Roman"/>
                <w:noProof/>
                <w:color w:val="000000"/>
                <w:sz w:val="20"/>
                <w:szCs w:val="20"/>
                <w:lang w:val="en-IE" w:eastAsia="en-IE"/>
              </w:rPr>
            </w:pPr>
            <w:r>
              <w:rPr>
                <w:noProof/>
              </w:rPr>
              <w:t xml:space="preserve"> 0,477 </w:t>
            </w:r>
          </w:p>
        </w:tc>
        <w:tc>
          <w:tcPr>
            <w:tcW w:w="293" w:type="pct"/>
            <w:tcBorders>
              <w:top w:val="single" w:sz="4" w:space="0" w:color="auto"/>
              <w:left w:val="single" w:sz="4" w:space="0" w:color="auto"/>
              <w:bottom w:val="single" w:sz="4" w:space="0" w:color="auto"/>
              <w:right w:val="single" w:sz="4" w:space="0" w:color="auto"/>
            </w:tcBorders>
          </w:tcPr>
          <w:p w14:paraId="62B08A62" w14:textId="77777777" w:rsidR="005B7178" w:rsidRPr="001A37C8" w:rsidRDefault="005B7178" w:rsidP="00090727">
            <w:pPr>
              <w:spacing w:before="0" w:after="0"/>
              <w:jc w:val="right"/>
              <w:rPr>
                <w:rFonts w:eastAsia="Times New Roman"/>
                <w:noProof/>
                <w:color w:val="000000"/>
                <w:sz w:val="20"/>
                <w:szCs w:val="20"/>
                <w:lang w:val="en-IE" w:eastAsia="en-IE"/>
              </w:rPr>
            </w:pPr>
            <w:r>
              <w:rPr>
                <w:noProof/>
              </w:rPr>
              <w:t xml:space="preserve"> 0,494 </w:t>
            </w:r>
          </w:p>
        </w:tc>
        <w:tc>
          <w:tcPr>
            <w:tcW w:w="293" w:type="pct"/>
            <w:tcBorders>
              <w:top w:val="single" w:sz="4" w:space="0" w:color="auto"/>
              <w:left w:val="single" w:sz="4" w:space="0" w:color="auto"/>
              <w:bottom w:val="single" w:sz="4" w:space="0" w:color="auto"/>
              <w:right w:val="single" w:sz="4" w:space="0" w:color="auto"/>
            </w:tcBorders>
          </w:tcPr>
          <w:p w14:paraId="29B9B51C" w14:textId="77777777" w:rsidR="005B7178" w:rsidRPr="001A37C8" w:rsidRDefault="005B7178" w:rsidP="00090727">
            <w:pPr>
              <w:spacing w:before="0" w:after="0"/>
              <w:jc w:val="right"/>
              <w:rPr>
                <w:rFonts w:eastAsia="Times New Roman"/>
                <w:noProof/>
                <w:color w:val="000000"/>
                <w:sz w:val="20"/>
                <w:szCs w:val="20"/>
                <w:lang w:val="en-IE" w:eastAsia="en-IE"/>
              </w:rPr>
            </w:pPr>
            <w:r>
              <w:rPr>
                <w:noProof/>
              </w:rPr>
              <w:t xml:space="preserve"> 0,512 </w:t>
            </w:r>
          </w:p>
        </w:tc>
        <w:tc>
          <w:tcPr>
            <w:tcW w:w="293" w:type="pct"/>
            <w:tcBorders>
              <w:top w:val="single" w:sz="4" w:space="0" w:color="auto"/>
              <w:left w:val="single" w:sz="4" w:space="0" w:color="auto"/>
              <w:bottom w:val="single" w:sz="4" w:space="0" w:color="auto"/>
              <w:right w:val="single" w:sz="4" w:space="0" w:color="auto"/>
            </w:tcBorders>
          </w:tcPr>
          <w:p w14:paraId="5465AF0A" w14:textId="77777777" w:rsidR="005B7178" w:rsidRPr="001A37C8" w:rsidRDefault="005B7178" w:rsidP="00090727">
            <w:pPr>
              <w:spacing w:before="0" w:after="0"/>
              <w:jc w:val="right"/>
              <w:rPr>
                <w:rFonts w:eastAsia="Times New Roman"/>
                <w:noProof/>
                <w:color w:val="000000"/>
                <w:sz w:val="20"/>
                <w:szCs w:val="20"/>
                <w:lang w:val="en-IE" w:eastAsia="en-IE"/>
              </w:rPr>
            </w:pPr>
            <w:r>
              <w:rPr>
                <w:noProof/>
              </w:rPr>
              <w:t xml:space="preserve"> 0,531 </w:t>
            </w:r>
          </w:p>
        </w:tc>
        <w:tc>
          <w:tcPr>
            <w:tcW w:w="293" w:type="pct"/>
            <w:tcBorders>
              <w:top w:val="single" w:sz="4" w:space="0" w:color="auto"/>
              <w:left w:val="single" w:sz="4" w:space="0" w:color="auto"/>
              <w:bottom w:val="single" w:sz="4" w:space="0" w:color="auto"/>
              <w:right w:val="single" w:sz="4" w:space="0" w:color="auto"/>
            </w:tcBorders>
          </w:tcPr>
          <w:p w14:paraId="5BF8F17E" w14:textId="77777777" w:rsidR="005B7178" w:rsidRPr="001A37C8" w:rsidRDefault="005B7178" w:rsidP="00090727">
            <w:pPr>
              <w:spacing w:before="0" w:after="0"/>
              <w:jc w:val="right"/>
              <w:rPr>
                <w:rFonts w:eastAsia="Times New Roman"/>
                <w:noProof/>
                <w:color w:val="000000"/>
                <w:sz w:val="20"/>
                <w:szCs w:val="20"/>
                <w:lang w:val="en-IE" w:eastAsia="en-IE"/>
              </w:rPr>
            </w:pPr>
            <w:r>
              <w:rPr>
                <w:noProof/>
              </w:rPr>
              <w:t xml:space="preserve"> 0,550 </w:t>
            </w:r>
          </w:p>
        </w:tc>
        <w:tc>
          <w:tcPr>
            <w:tcW w:w="293" w:type="pct"/>
            <w:tcBorders>
              <w:top w:val="single" w:sz="4" w:space="0" w:color="auto"/>
              <w:left w:val="single" w:sz="4" w:space="0" w:color="auto"/>
              <w:bottom w:val="single" w:sz="4" w:space="0" w:color="auto"/>
              <w:right w:val="single" w:sz="4" w:space="0" w:color="auto"/>
            </w:tcBorders>
          </w:tcPr>
          <w:p w14:paraId="785546F6" w14:textId="77777777" w:rsidR="005B7178" w:rsidRPr="001A37C8" w:rsidRDefault="005B7178" w:rsidP="00090727">
            <w:pPr>
              <w:spacing w:before="0" w:after="0"/>
              <w:jc w:val="right"/>
              <w:rPr>
                <w:rFonts w:eastAsia="Times New Roman"/>
                <w:noProof/>
                <w:color w:val="000000"/>
                <w:sz w:val="20"/>
                <w:szCs w:val="20"/>
                <w:lang w:val="en-IE" w:eastAsia="en-IE"/>
              </w:rPr>
            </w:pPr>
            <w:r>
              <w:rPr>
                <w:noProof/>
              </w:rPr>
              <w:t xml:space="preserve"> 0,569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438D" w14:textId="77777777" w:rsidR="005B7178" w:rsidRPr="001A37C8" w:rsidRDefault="005B7178" w:rsidP="00090727">
            <w:pPr>
              <w:spacing w:before="0" w:after="0"/>
              <w:jc w:val="right"/>
              <w:rPr>
                <w:rFonts w:eastAsia="Times New Roman"/>
                <w:b/>
                <w:bCs/>
                <w:noProof/>
                <w:color w:val="000000"/>
                <w:sz w:val="20"/>
                <w:szCs w:val="20"/>
                <w:lang w:val="en-IE" w:eastAsia="en-IE"/>
              </w:rPr>
            </w:pPr>
            <w:r>
              <w:rPr>
                <w:noProof/>
              </w:rPr>
              <w:t>3,593</w:t>
            </w:r>
          </w:p>
        </w:tc>
      </w:tr>
      <w:tr w:rsidR="00090727" w:rsidRPr="001A37C8" w14:paraId="54B25584" w14:textId="77777777" w:rsidTr="00275776">
        <w:trPr>
          <w:trHeight w:val="487"/>
        </w:trPr>
        <w:tc>
          <w:tcPr>
            <w:tcW w:w="1486" w:type="pct"/>
            <w:vMerge/>
            <w:vAlign w:val="center"/>
          </w:tcPr>
          <w:p w14:paraId="3D6A6A48" w14:textId="77777777" w:rsidR="005B7178" w:rsidRPr="001A37C8" w:rsidRDefault="005B7178" w:rsidP="00090727">
            <w:pPr>
              <w:spacing w:before="0" w:after="0"/>
              <w:jc w:val="left"/>
              <w:rPr>
                <w:rFonts w:eastAsia="Times New Roman"/>
                <w:noProof/>
                <w:color w:val="000000"/>
                <w:sz w:val="20"/>
                <w:szCs w:val="20"/>
                <w:lang w:val="en-IE" w:eastAsia="en-IE"/>
              </w:rPr>
            </w:pPr>
          </w:p>
        </w:tc>
        <w:tc>
          <w:tcPr>
            <w:tcW w:w="418" w:type="pct"/>
            <w:tcBorders>
              <w:top w:val="single" w:sz="4" w:space="0" w:color="auto"/>
              <w:left w:val="single" w:sz="4" w:space="0" w:color="auto"/>
              <w:bottom w:val="single" w:sz="4" w:space="0" w:color="auto"/>
              <w:right w:val="single" w:sz="4" w:space="0" w:color="auto"/>
            </w:tcBorders>
            <w:vAlign w:val="center"/>
          </w:tcPr>
          <w:p w14:paraId="367C1FA1" w14:textId="77777777" w:rsidR="005B7178" w:rsidRPr="001A37C8" w:rsidRDefault="005B7178" w:rsidP="00090727">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Payments</w:t>
            </w:r>
          </w:p>
        </w:tc>
        <w:tc>
          <w:tcPr>
            <w:tcW w:w="270" w:type="pct"/>
            <w:tcBorders>
              <w:top w:val="single" w:sz="4" w:space="0" w:color="auto"/>
              <w:left w:val="single" w:sz="4" w:space="0" w:color="auto"/>
              <w:bottom w:val="single" w:sz="4" w:space="0" w:color="auto"/>
              <w:right w:val="single" w:sz="4" w:space="0" w:color="auto"/>
            </w:tcBorders>
            <w:vAlign w:val="center"/>
          </w:tcPr>
          <w:p w14:paraId="52D6244D" w14:textId="77777777" w:rsidR="005B7178" w:rsidRPr="001A37C8" w:rsidRDefault="005B7178" w:rsidP="00090727">
            <w:pPr>
              <w:spacing w:before="0" w:after="0"/>
              <w:jc w:val="center"/>
              <w:rPr>
                <w:rFonts w:eastAsia="Times New Roman"/>
                <w:noProof/>
                <w:color w:val="000000"/>
                <w:sz w:val="14"/>
                <w:szCs w:val="14"/>
                <w:lang w:val="en-IE" w:eastAsia="en-IE"/>
              </w:rPr>
            </w:pPr>
            <w:r>
              <w:rPr>
                <w:rFonts w:eastAsia="Times New Roman"/>
                <w:noProof/>
                <w:color w:val="000000"/>
                <w:sz w:val="14"/>
                <w:szCs w:val="14"/>
                <w:lang w:val="en-IE" w:eastAsia="en-IE"/>
              </w:rPr>
              <w:t>(2c)</w:t>
            </w:r>
          </w:p>
        </w:tc>
        <w:tc>
          <w:tcPr>
            <w:tcW w:w="293" w:type="pct"/>
            <w:tcBorders>
              <w:top w:val="single" w:sz="4" w:space="0" w:color="auto"/>
              <w:left w:val="single" w:sz="4" w:space="0" w:color="auto"/>
              <w:bottom w:val="single" w:sz="4" w:space="0" w:color="auto"/>
              <w:right w:val="single" w:sz="4" w:space="0" w:color="auto"/>
            </w:tcBorders>
            <w:vAlign w:val="center"/>
          </w:tcPr>
          <w:p w14:paraId="7C3B7C61"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11F9059"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2F16A99"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2930EE8"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5EAF8AE9"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F70F910"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7C0FA6A3" w14:textId="77777777" w:rsidR="005B7178" w:rsidRPr="001A37C8" w:rsidRDefault="005B7178" w:rsidP="00090727">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8B485" w14:textId="77777777" w:rsidR="005B7178" w:rsidRPr="001A37C8" w:rsidRDefault="005B7178" w:rsidP="00090727">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3013E7" w:rsidRPr="001A37C8" w14:paraId="6DC78662" w14:textId="77777777" w:rsidTr="00421F4D">
        <w:trPr>
          <w:trHeight w:val="300"/>
        </w:trPr>
        <w:tc>
          <w:tcPr>
            <w:tcW w:w="1486" w:type="pct"/>
            <w:vMerge w:val="restart"/>
            <w:tcBorders>
              <w:top w:val="single" w:sz="4" w:space="0" w:color="auto"/>
              <w:left w:val="single" w:sz="4" w:space="0" w:color="auto"/>
              <w:right w:val="single" w:sz="4" w:space="0" w:color="auto"/>
            </w:tcBorders>
            <w:vAlign w:val="center"/>
          </w:tcPr>
          <w:p w14:paraId="588784E4" w14:textId="77777777" w:rsidR="005B7178" w:rsidRPr="001A37C8" w:rsidRDefault="005B7178" w:rsidP="00132EC8">
            <w:pPr>
              <w:spacing w:before="0" w:after="0"/>
              <w:jc w:val="left"/>
              <w:rPr>
                <w:rFonts w:eastAsia="Times New Roman"/>
                <w:noProof/>
                <w:color w:val="000000"/>
                <w:sz w:val="20"/>
                <w:szCs w:val="20"/>
                <w:lang w:val="en-IE" w:eastAsia="en-IE"/>
              </w:rPr>
            </w:pPr>
            <w:r>
              <w:rPr>
                <w:rFonts w:eastAsia="Times New Roman"/>
                <w:noProof/>
                <w:color w:val="000000"/>
                <w:sz w:val="20"/>
                <w:szCs w:val="20"/>
                <w:lang w:val="en-IE" w:eastAsia="en-IE"/>
              </w:rPr>
              <w:t>Of which: 06 03 03 01 Equality, Rights, Citizens and Values</w:t>
            </w:r>
          </w:p>
        </w:tc>
        <w:tc>
          <w:tcPr>
            <w:tcW w:w="418" w:type="pct"/>
            <w:tcBorders>
              <w:top w:val="single" w:sz="4" w:space="0" w:color="auto"/>
              <w:left w:val="single" w:sz="4" w:space="0" w:color="auto"/>
              <w:bottom w:val="single" w:sz="4" w:space="0" w:color="auto"/>
              <w:right w:val="single" w:sz="4" w:space="0" w:color="auto"/>
            </w:tcBorders>
            <w:vAlign w:val="center"/>
          </w:tcPr>
          <w:p w14:paraId="6201F3CC" w14:textId="77777777" w:rsidR="005B7178" w:rsidRDefault="005B7178" w:rsidP="00132EC8">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 xml:space="preserve">Commitments </w:t>
            </w:r>
          </w:p>
        </w:tc>
        <w:tc>
          <w:tcPr>
            <w:tcW w:w="270" w:type="pct"/>
            <w:tcBorders>
              <w:top w:val="single" w:sz="4" w:space="0" w:color="auto"/>
              <w:left w:val="single" w:sz="4" w:space="0" w:color="auto"/>
              <w:bottom w:val="single" w:sz="4" w:space="0" w:color="auto"/>
              <w:right w:val="single" w:sz="4" w:space="0" w:color="auto"/>
            </w:tcBorders>
            <w:vAlign w:val="center"/>
          </w:tcPr>
          <w:p w14:paraId="7FF2B232" w14:textId="77777777" w:rsidR="005B7178" w:rsidRDefault="005B7178" w:rsidP="00132EC8">
            <w:pPr>
              <w:spacing w:before="0" w:after="0"/>
              <w:jc w:val="center"/>
              <w:rPr>
                <w:rFonts w:eastAsia="Times New Roman"/>
                <w:noProof/>
                <w:color w:val="000000"/>
                <w:sz w:val="14"/>
                <w:szCs w:val="14"/>
                <w:lang w:val="en-IE" w:eastAsia="en-IE"/>
              </w:rPr>
            </w:pPr>
          </w:p>
        </w:tc>
        <w:tc>
          <w:tcPr>
            <w:tcW w:w="293" w:type="pct"/>
            <w:tcBorders>
              <w:top w:val="single" w:sz="4" w:space="0" w:color="auto"/>
              <w:left w:val="single" w:sz="4" w:space="0" w:color="auto"/>
              <w:bottom w:val="single" w:sz="4" w:space="0" w:color="auto"/>
              <w:right w:val="single" w:sz="4" w:space="0" w:color="auto"/>
            </w:tcBorders>
            <w:vAlign w:val="center"/>
          </w:tcPr>
          <w:p w14:paraId="1CAB273F"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6D0D51C2"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33067052"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90FC28C"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CA736A6"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5E84437"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3A8DB784"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60C02" w14:textId="77777777" w:rsidR="005B717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3013E7" w:rsidRPr="001A37C8" w14:paraId="6800721B" w14:textId="77777777" w:rsidTr="71959BB9">
        <w:trPr>
          <w:trHeight w:val="300"/>
        </w:trPr>
        <w:tc>
          <w:tcPr>
            <w:tcW w:w="1486" w:type="pct"/>
            <w:vMerge/>
            <w:vAlign w:val="center"/>
          </w:tcPr>
          <w:p w14:paraId="1A7B5FC1" w14:textId="77777777" w:rsidR="005B7178" w:rsidRPr="001A37C8" w:rsidRDefault="005B7178" w:rsidP="00132EC8">
            <w:pPr>
              <w:spacing w:before="0" w:after="0"/>
              <w:jc w:val="left"/>
              <w:rPr>
                <w:rFonts w:eastAsia="Times New Roman"/>
                <w:noProof/>
                <w:color w:val="000000"/>
                <w:sz w:val="20"/>
                <w:szCs w:val="20"/>
                <w:lang w:val="en-IE" w:eastAsia="en-IE"/>
              </w:rPr>
            </w:pPr>
          </w:p>
        </w:tc>
        <w:tc>
          <w:tcPr>
            <w:tcW w:w="418" w:type="pct"/>
            <w:tcBorders>
              <w:top w:val="single" w:sz="4" w:space="0" w:color="auto"/>
              <w:left w:val="single" w:sz="4" w:space="0" w:color="auto"/>
              <w:bottom w:val="single" w:sz="4" w:space="0" w:color="auto"/>
              <w:right w:val="single" w:sz="4" w:space="0" w:color="auto"/>
            </w:tcBorders>
            <w:vAlign w:val="center"/>
          </w:tcPr>
          <w:p w14:paraId="0A153639" w14:textId="77777777" w:rsidR="005B7178" w:rsidRDefault="005B7178" w:rsidP="00132EC8">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Payments</w:t>
            </w:r>
          </w:p>
        </w:tc>
        <w:tc>
          <w:tcPr>
            <w:tcW w:w="270" w:type="pct"/>
            <w:tcBorders>
              <w:top w:val="single" w:sz="4" w:space="0" w:color="auto"/>
              <w:left w:val="single" w:sz="4" w:space="0" w:color="auto"/>
              <w:bottom w:val="single" w:sz="4" w:space="0" w:color="auto"/>
              <w:right w:val="single" w:sz="4" w:space="0" w:color="auto"/>
            </w:tcBorders>
            <w:vAlign w:val="center"/>
          </w:tcPr>
          <w:p w14:paraId="6ACDEAA4" w14:textId="77777777" w:rsidR="005B7178" w:rsidRDefault="005B7178" w:rsidP="00132EC8">
            <w:pPr>
              <w:spacing w:before="0" w:after="0"/>
              <w:jc w:val="center"/>
              <w:rPr>
                <w:rFonts w:eastAsia="Times New Roman"/>
                <w:noProof/>
                <w:color w:val="000000"/>
                <w:sz w:val="14"/>
                <w:szCs w:val="14"/>
                <w:lang w:val="en-IE" w:eastAsia="en-IE"/>
              </w:rPr>
            </w:pPr>
          </w:p>
        </w:tc>
        <w:tc>
          <w:tcPr>
            <w:tcW w:w="293" w:type="pct"/>
            <w:tcBorders>
              <w:top w:val="single" w:sz="4" w:space="0" w:color="auto"/>
              <w:left w:val="single" w:sz="4" w:space="0" w:color="auto"/>
              <w:bottom w:val="single" w:sz="4" w:space="0" w:color="auto"/>
              <w:right w:val="single" w:sz="4" w:space="0" w:color="auto"/>
            </w:tcBorders>
            <w:vAlign w:val="center"/>
          </w:tcPr>
          <w:p w14:paraId="78AF8FC8"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22BF5C1"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6B7F9798"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8E7A20D"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94092A2"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D461663"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54D59D05"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5A67B" w14:textId="77777777" w:rsidR="005B717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3013E7" w:rsidRPr="001A37C8" w14:paraId="0809F635" w14:textId="77777777" w:rsidTr="006E273D">
        <w:trPr>
          <w:trHeight w:val="300"/>
        </w:trPr>
        <w:tc>
          <w:tcPr>
            <w:tcW w:w="1486" w:type="pct"/>
            <w:vMerge w:val="restart"/>
            <w:tcBorders>
              <w:top w:val="single" w:sz="4" w:space="0" w:color="auto"/>
              <w:left w:val="single" w:sz="4" w:space="0" w:color="auto"/>
              <w:right w:val="single" w:sz="4" w:space="0" w:color="auto"/>
            </w:tcBorders>
            <w:vAlign w:val="center"/>
          </w:tcPr>
          <w:p w14:paraId="74266333" w14:textId="77777777" w:rsidR="005B7178" w:rsidRPr="001A37C8" w:rsidRDefault="005B7178" w:rsidP="00132EC8">
            <w:pPr>
              <w:spacing w:before="0" w:after="0"/>
              <w:jc w:val="left"/>
              <w:rPr>
                <w:rFonts w:eastAsia="Times New Roman"/>
                <w:noProof/>
                <w:color w:val="000000"/>
                <w:sz w:val="20"/>
                <w:szCs w:val="20"/>
                <w:lang w:val="en-IE" w:eastAsia="en-IE"/>
              </w:rPr>
            </w:pPr>
            <w:r>
              <w:rPr>
                <w:rFonts w:eastAsia="Times New Roman"/>
                <w:noProof/>
                <w:color w:val="000000"/>
                <w:sz w:val="20"/>
                <w:szCs w:val="20"/>
                <w:lang w:val="en-IE" w:eastAsia="en-IE"/>
              </w:rPr>
              <w:t xml:space="preserve">Of which: 06 03 03 02 Democratic participation and rule of </w:t>
            </w:r>
            <w:r>
              <w:rPr>
                <w:rFonts w:eastAsia="Times New Roman"/>
                <w:noProof/>
                <w:color w:val="000000"/>
                <w:sz w:val="20"/>
                <w:szCs w:val="20"/>
                <w:lang w:val="en-IE" w:eastAsia="en-IE"/>
              </w:rPr>
              <w:t>law</w:t>
            </w:r>
          </w:p>
        </w:tc>
        <w:tc>
          <w:tcPr>
            <w:tcW w:w="418" w:type="pct"/>
            <w:tcBorders>
              <w:top w:val="single" w:sz="4" w:space="0" w:color="auto"/>
              <w:left w:val="single" w:sz="4" w:space="0" w:color="auto"/>
              <w:bottom w:val="single" w:sz="4" w:space="0" w:color="auto"/>
              <w:right w:val="single" w:sz="4" w:space="0" w:color="auto"/>
            </w:tcBorders>
            <w:vAlign w:val="center"/>
          </w:tcPr>
          <w:p w14:paraId="7FB8A338" w14:textId="77777777" w:rsidR="005B7178" w:rsidRDefault="005B7178" w:rsidP="00132EC8">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 xml:space="preserve">Commitments </w:t>
            </w:r>
          </w:p>
        </w:tc>
        <w:tc>
          <w:tcPr>
            <w:tcW w:w="270" w:type="pct"/>
            <w:tcBorders>
              <w:top w:val="single" w:sz="4" w:space="0" w:color="auto"/>
              <w:left w:val="single" w:sz="4" w:space="0" w:color="auto"/>
              <w:bottom w:val="single" w:sz="4" w:space="0" w:color="auto"/>
              <w:right w:val="single" w:sz="4" w:space="0" w:color="auto"/>
            </w:tcBorders>
            <w:vAlign w:val="center"/>
          </w:tcPr>
          <w:p w14:paraId="695A99BF" w14:textId="77777777" w:rsidR="005B7178" w:rsidRDefault="005B7178" w:rsidP="00132EC8">
            <w:pPr>
              <w:spacing w:before="0" w:after="0"/>
              <w:jc w:val="center"/>
              <w:rPr>
                <w:rFonts w:eastAsia="Times New Roman"/>
                <w:noProof/>
                <w:color w:val="000000"/>
                <w:sz w:val="14"/>
                <w:szCs w:val="14"/>
                <w:lang w:val="en-IE" w:eastAsia="en-IE"/>
              </w:rPr>
            </w:pPr>
          </w:p>
        </w:tc>
        <w:tc>
          <w:tcPr>
            <w:tcW w:w="293" w:type="pct"/>
            <w:tcBorders>
              <w:top w:val="single" w:sz="4" w:space="0" w:color="auto"/>
              <w:left w:val="single" w:sz="4" w:space="0" w:color="auto"/>
              <w:bottom w:val="single" w:sz="4" w:space="0" w:color="auto"/>
              <w:right w:val="single" w:sz="4" w:space="0" w:color="auto"/>
            </w:tcBorders>
            <w:vAlign w:val="center"/>
          </w:tcPr>
          <w:p w14:paraId="53C91EB6"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65ABFC4A"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1FA8A5D"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539ABF57"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72AB573A"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323E381E"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7FBAE0B"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098FD" w14:textId="77777777" w:rsidR="005B717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3013E7" w:rsidRPr="001A37C8" w14:paraId="04CBDA03" w14:textId="77777777" w:rsidTr="71959BB9">
        <w:trPr>
          <w:trHeight w:val="300"/>
        </w:trPr>
        <w:tc>
          <w:tcPr>
            <w:tcW w:w="1486" w:type="pct"/>
            <w:vMerge/>
            <w:vAlign w:val="center"/>
          </w:tcPr>
          <w:p w14:paraId="01370FFF" w14:textId="77777777" w:rsidR="005B7178" w:rsidRPr="001A37C8" w:rsidRDefault="005B7178" w:rsidP="00132EC8">
            <w:pPr>
              <w:spacing w:before="0" w:after="0"/>
              <w:jc w:val="left"/>
              <w:rPr>
                <w:rFonts w:eastAsia="Times New Roman"/>
                <w:noProof/>
                <w:color w:val="000000"/>
                <w:sz w:val="20"/>
                <w:szCs w:val="20"/>
                <w:lang w:val="en-IE" w:eastAsia="en-IE"/>
              </w:rPr>
            </w:pPr>
          </w:p>
        </w:tc>
        <w:tc>
          <w:tcPr>
            <w:tcW w:w="418" w:type="pct"/>
            <w:tcBorders>
              <w:top w:val="single" w:sz="4" w:space="0" w:color="auto"/>
              <w:left w:val="single" w:sz="4" w:space="0" w:color="auto"/>
              <w:bottom w:val="single" w:sz="4" w:space="0" w:color="auto"/>
              <w:right w:val="single" w:sz="4" w:space="0" w:color="auto"/>
            </w:tcBorders>
            <w:vAlign w:val="center"/>
          </w:tcPr>
          <w:p w14:paraId="386D5AB7" w14:textId="77777777" w:rsidR="005B7178" w:rsidRDefault="005B7178" w:rsidP="00132EC8">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Payments</w:t>
            </w:r>
          </w:p>
        </w:tc>
        <w:tc>
          <w:tcPr>
            <w:tcW w:w="270" w:type="pct"/>
            <w:tcBorders>
              <w:top w:val="single" w:sz="4" w:space="0" w:color="auto"/>
              <w:left w:val="single" w:sz="4" w:space="0" w:color="auto"/>
              <w:bottom w:val="single" w:sz="4" w:space="0" w:color="auto"/>
              <w:right w:val="single" w:sz="4" w:space="0" w:color="auto"/>
            </w:tcBorders>
            <w:vAlign w:val="center"/>
          </w:tcPr>
          <w:p w14:paraId="563DF758" w14:textId="77777777" w:rsidR="005B7178" w:rsidRDefault="005B7178" w:rsidP="00132EC8">
            <w:pPr>
              <w:spacing w:before="0" w:after="0"/>
              <w:jc w:val="center"/>
              <w:rPr>
                <w:rFonts w:eastAsia="Times New Roman"/>
                <w:noProof/>
                <w:color w:val="000000"/>
                <w:sz w:val="14"/>
                <w:szCs w:val="14"/>
                <w:lang w:val="en-IE" w:eastAsia="en-IE"/>
              </w:rPr>
            </w:pPr>
          </w:p>
        </w:tc>
        <w:tc>
          <w:tcPr>
            <w:tcW w:w="293" w:type="pct"/>
            <w:tcBorders>
              <w:top w:val="single" w:sz="4" w:space="0" w:color="auto"/>
              <w:left w:val="single" w:sz="4" w:space="0" w:color="auto"/>
              <w:bottom w:val="single" w:sz="4" w:space="0" w:color="auto"/>
              <w:right w:val="single" w:sz="4" w:space="0" w:color="auto"/>
            </w:tcBorders>
            <w:vAlign w:val="center"/>
          </w:tcPr>
          <w:p w14:paraId="2246E09C"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4237AE5"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302E5BD7"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7D8606DE"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9C26298"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514D2314"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747A982"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EA1A4" w14:textId="77777777" w:rsidR="005B717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3013E7" w:rsidRPr="001A37C8" w14:paraId="272158BC" w14:textId="77777777" w:rsidTr="006E273D">
        <w:trPr>
          <w:trHeight w:val="300"/>
        </w:trPr>
        <w:tc>
          <w:tcPr>
            <w:tcW w:w="1486" w:type="pct"/>
            <w:vMerge w:val="restart"/>
            <w:tcBorders>
              <w:top w:val="single" w:sz="4" w:space="0" w:color="auto"/>
              <w:left w:val="single" w:sz="4" w:space="0" w:color="auto"/>
              <w:right w:val="single" w:sz="4" w:space="0" w:color="auto"/>
            </w:tcBorders>
            <w:vAlign w:val="center"/>
          </w:tcPr>
          <w:p w14:paraId="1B7758DE" w14:textId="77777777" w:rsidR="005B7178" w:rsidRPr="001A37C8" w:rsidRDefault="005B7178" w:rsidP="00132EC8">
            <w:pPr>
              <w:spacing w:before="0" w:after="0"/>
              <w:jc w:val="left"/>
              <w:rPr>
                <w:rFonts w:eastAsia="Times New Roman"/>
                <w:noProof/>
                <w:color w:val="000000"/>
                <w:sz w:val="20"/>
                <w:szCs w:val="20"/>
                <w:lang w:val="en-IE" w:eastAsia="en-IE"/>
              </w:rPr>
            </w:pPr>
            <w:r>
              <w:rPr>
                <w:rFonts w:eastAsia="Times New Roman"/>
                <w:noProof/>
                <w:color w:val="000000"/>
                <w:sz w:val="20"/>
                <w:szCs w:val="20"/>
                <w:lang w:val="en-IE" w:eastAsia="en-IE"/>
              </w:rPr>
              <w:t>Of which: 06 03 03 03 Daphne</w:t>
            </w:r>
          </w:p>
        </w:tc>
        <w:tc>
          <w:tcPr>
            <w:tcW w:w="418" w:type="pct"/>
            <w:tcBorders>
              <w:top w:val="single" w:sz="4" w:space="0" w:color="auto"/>
              <w:left w:val="single" w:sz="4" w:space="0" w:color="auto"/>
              <w:bottom w:val="single" w:sz="4" w:space="0" w:color="auto"/>
              <w:right w:val="single" w:sz="4" w:space="0" w:color="auto"/>
            </w:tcBorders>
            <w:vAlign w:val="center"/>
          </w:tcPr>
          <w:p w14:paraId="4C9903D4" w14:textId="77777777" w:rsidR="005B7178" w:rsidRDefault="005B7178" w:rsidP="00132EC8">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 xml:space="preserve">Commitments </w:t>
            </w:r>
          </w:p>
        </w:tc>
        <w:tc>
          <w:tcPr>
            <w:tcW w:w="270" w:type="pct"/>
            <w:tcBorders>
              <w:top w:val="single" w:sz="4" w:space="0" w:color="auto"/>
              <w:left w:val="single" w:sz="4" w:space="0" w:color="auto"/>
              <w:bottom w:val="single" w:sz="4" w:space="0" w:color="auto"/>
              <w:right w:val="single" w:sz="4" w:space="0" w:color="auto"/>
            </w:tcBorders>
            <w:vAlign w:val="center"/>
          </w:tcPr>
          <w:p w14:paraId="2534CB49" w14:textId="77777777" w:rsidR="005B7178" w:rsidRDefault="005B7178" w:rsidP="00132EC8">
            <w:pPr>
              <w:spacing w:before="0" w:after="0"/>
              <w:jc w:val="center"/>
              <w:rPr>
                <w:rFonts w:eastAsia="Times New Roman"/>
                <w:noProof/>
                <w:color w:val="000000"/>
                <w:sz w:val="14"/>
                <w:szCs w:val="14"/>
                <w:lang w:val="en-IE" w:eastAsia="en-IE"/>
              </w:rPr>
            </w:pPr>
          </w:p>
        </w:tc>
        <w:tc>
          <w:tcPr>
            <w:tcW w:w="293" w:type="pct"/>
            <w:tcBorders>
              <w:top w:val="single" w:sz="4" w:space="0" w:color="auto"/>
              <w:left w:val="single" w:sz="4" w:space="0" w:color="auto"/>
              <w:bottom w:val="single" w:sz="4" w:space="0" w:color="auto"/>
              <w:right w:val="single" w:sz="4" w:space="0" w:color="auto"/>
            </w:tcBorders>
            <w:vAlign w:val="center"/>
          </w:tcPr>
          <w:p w14:paraId="75677F3E"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E89518E"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50A7AF2"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4E1B5EE5"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B144DE3"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24FCB703"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E05B4C0"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3E83E" w14:textId="77777777" w:rsidR="005B717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3013E7" w:rsidRPr="001A37C8" w14:paraId="1DA98353" w14:textId="77777777" w:rsidTr="71959BB9">
        <w:trPr>
          <w:trHeight w:val="300"/>
        </w:trPr>
        <w:tc>
          <w:tcPr>
            <w:tcW w:w="1486" w:type="pct"/>
            <w:vMerge/>
            <w:vAlign w:val="center"/>
          </w:tcPr>
          <w:p w14:paraId="4555DF57" w14:textId="77777777" w:rsidR="005B7178" w:rsidRPr="001A37C8" w:rsidRDefault="005B7178" w:rsidP="00132EC8">
            <w:pPr>
              <w:spacing w:before="0" w:after="0"/>
              <w:jc w:val="left"/>
              <w:rPr>
                <w:rFonts w:eastAsia="Times New Roman"/>
                <w:noProof/>
                <w:color w:val="000000"/>
                <w:sz w:val="20"/>
                <w:szCs w:val="20"/>
                <w:lang w:val="en-IE" w:eastAsia="en-IE"/>
              </w:rPr>
            </w:pPr>
          </w:p>
        </w:tc>
        <w:tc>
          <w:tcPr>
            <w:tcW w:w="418" w:type="pct"/>
            <w:tcBorders>
              <w:top w:val="single" w:sz="4" w:space="0" w:color="auto"/>
              <w:left w:val="single" w:sz="4" w:space="0" w:color="auto"/>
              <w:bottom w:val="single" w:sz="4" w:space="0" w:color="auto"/>
              <w:right w:val="single" w:sz="4" w:space="0" w:color="auto"/>
            </w:tcBorders>
            <w:vAlign w:val="center"/>
          </w:tcPr>
          <w:p w14:paraId="0A65EB8B" w14:textId="77777777" w:rsidR="005B7178" w:rsidRDefault="005B7178" w:rsidP="00132EC8">
            <w:pPr>
              <w:spacing w:before="0" w:after="0"/>
              <w:rPr>
                <w:rFonts w:eastAsia="Times New Roman"/>
                <w:noProof/>
                <w:color w:val="000000"/>
                <w:sz w:val="18"/>
                <w:szCs w:val="18"/>
                <w:lang w:val="en-IE" w:eastAsia="en-IE"/>
              </w:rPr>
            </w:pPr>
            <w:r>
              <w:rPr>
                <w:rFonts w:eastAsia="Times New Roman"/>
                <w:noProof/>
                <w:color w:val="000000"/>
                <w:sz w:val="18"/>
                <w:szCs w:val="18"/>
                <w:lang w:val="en-IE" w:eastAsia="en-IE"/>
              </w:rPr>
              <w:t>Payments</w:t>
            </w:r>
          </w:p>
        </w:tc>
        <w:tc>
          <w:tcPr>
            <w:tcW w:w="270" w:type="pct"/>
            <w:tcBorders>
              <w:top w:val="single" w:sz="4" w:space="0" w:color="auto"/>
              <w:left w:val="single" w:sz="4" w:space="0" w:color="auto"/>
              <w:bottom w:val="single" w:sz="4" w:space="0" w:color="auto"/>
              <w:right w:val="single" w:sz="4" w:space="0" w:color="auto"/>
            </w:tcBorders>
            <w:vAlign w:val="center"/>
          </w:tcPr>
          <w:p w14:paraId="0309EC4C" w14:textId="77777777" w:rsidR="005B7178" w:rsidRDefault="005B7178" w:rsidP="00132EC8">
            <w:pPr>
              <w:spacing w:before="0" w:after="0"/>
              <w:jc w:val="center"/>
              <w:rPr>
                <w:rFonts w:eastAsia="Times New Roman"/>
                <w:noProof/>
                <w:color w:val="000000"/>
                <w:sz w:val="14"/>
                <w:szCs w:val="14"/>
                <w:lang w:val="en-IE" w:eastAsia="en-IE"/>
              </w:rPr>
            </w:pPr>
          </w:p>
        </w:tc>
        <w:tc>
          <w:tcPr>
            <w:tcW w:w="293" w:type="pct"/>
            <w:tcBorders>
              <w:top w:val="single" w:sz="4" w:space="0" w:color="auto"/>
              <w:left w:val="single" w:sz="4" w:space="0" w:color="auto"/>
              <w:bottom w:val="single" w:sz="4" w:space="0" w:color="auto"/>
              <w:right w:val="single" w:sz="4" w:space="0" w:color="auto"/>
            </w:tcBorders>
            <w:vAlign w:val="center"/>
          </w:tcPr>
          <w:p w14:paraId="2EBAC6F3"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4E6F199E"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17369BDE"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2506427B"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7C313050"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06175FC8"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tcPr>
          <w:p w14:paraId="49C232BA" w14:textId="77777777" w:rsidR="005B7178" w:rsidRDefault="005B7178" w:rsidP="00132EC8">
            <w:pPr>
              <w:spacing w:before="0" w:after="0"/>
              <w:jc w:val="right"/>
              <w:rPr>
                <w:rFonts w:eastAsia="Times New Roman"/>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0F6D1" w14:textId="77777777" w:rsidR="005B717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132EC8" w:rsidRPr="001A37C8" w14:paraId="5C3BD92B" w14:textId="77777777" w:rsidTr="00275776">
        <w:trPr>
          <w:trHeight w:val="300"/>
        </w:trPr>
        <w:tc>
          <w:tcPr>
            <w:tcW w:w="5000" w:type="pct"/>
            <w:gridSpan w:val="11"/>
            <w:tcBorders>
              <w:top w:val="single" w:sz="4" w:space="0" w:color="auto"/>
              <w:left w:val="single" w:sz="4" w:space="0" w:color="auto"/>
              <w:bottom w:val="single" w:sz="4" w:space="0" w:color="auto"/>
              <w:right w:val="single" w:sz="4" w:space="0" w:color="auto"/>
            </w:tcBorders>
            <w:noWrap/>
            <w:vAlign w:val="center"/>
            <w:hideMark/>
          </w:tcPr>
          <w:p w14:paraId="0B1FC100" w14:textId="77777777" w:rsidR="005B7178" w:rsidRPr="001A37C8" w:rsidRDefault="005B7178" w:rsidP="00132EC8">
            <w:pPr>
              <w:spacing w:before="0" w:after="0"/>
              <w:jc w:val="left"/>
              <w:rPr>
                <w:rFonts w:eastAsia="Times New Roman"/>
                <w:noProof/>
                <w:sz w:val="22"/>
                <w:lang w:val="en-IE" w:eastAsia="en-IE"/>
              </w:rPr>
            </w:pPr>
            <w:r>
              <w:rPr>
                <w:rFonts w:eastAsia="Times New Roman"/>
                <w:noProof/>
                <w:sz w:val="22"/>
                <w:lang w:val="en-IE" w:eastAsia="en-IE"/>
              </w:rPr>
              <w:t xml:space="preserve">Appropriations of an administrative nature financed from the envelope of specific </w:t>
            </w:r>
            <w:r w:rsidRPr="001A37C8">
              <w:rPr>
                <w:rFonts w:eastAsia="Times New Roman"/>
                <w:noProof/>
                <w:sz w:val="22"/>
                <w:lang w:val="en-IE" w:eastAsia="en-IE"/>
              </w:rPr>
              <w:t>programmes</w:t>
            </w:r>
            <w:r>
              <w:rPr>
                <w:rStyle w:val="Allmrkuseviide"/>
                <w:rFonts w:eastAsia="Times New Roman"/>
                <w:noProof/>
                <w:sz w:val="22"/>
                <w:lang w:val="en-IE" w:eastAsia="en-IE"/>
              </w:rPr>
              <w:footnoteReference w:id="40"/>
            </w:r>
            <w:r>
              <w:rPr>
                <w:rStyle w:val="Allmrkuseviide"/>
                <w:rFonts w:eastAsia="Times New Roman"/>
                <w:noProof/>
                <w:sz w:val="22"/>
                <w:lang w:val="en-IE" w:eastAsia="en-IE"/>
              </w:rPr>
              <w:footnoteReference w:id="41"/>
            </w:r>
          </w:p>
        </w:tc>
      </w:tr>
      <w:tr w:rsidR="00132EC8" w:rsidRPr="001A37C8" w14:paraId="1DE68C7C" w14:textId="77777777" w:rsidTr="00275776">
        <w:trPr>
          <w:trHeight w:val="530"/>
        </w:trPr>
        <w:tc>
          <w:tcPr>
            <w:tcW w:w="1486" w:type="pct"/>
            <w:tcBorders>
              <w:top w:val="single" w:sz="4" w:space="0" w:color="auto"/>
              <w:left w:val="single" w:sz="4" w:space="0" w:color="auto"/>
              <w:bottom w:val="single" w:sz="4" w:space="0" w:color="auto"/>
              <w:right w:val="single" w:sz="4" w:space="0" w:color="auto"/>
            </w:tcBorders>
            <w:vAlign w:val="center"/>
            <w:hideMark/>
          </w:tcPr>
          <w:p w14:paraId="7F071AFD" w14:textId="77777777" w:rsidR="005B7178" w:rsidRPr="001A37C8" w:rsidRDefault="005B7178" w:rsidP="00132EC8">
            <w:pPr>
              <w:spacing w:before="0" w:after="0"/>
              <w:rPr>
                <w:rFonts w:eastAsia="Times New Roman"/>
                <w:noProof/>
                <w:color w:val="000000"/>
                <w:sz w:val="20"/>
                <w:szCs w:val="20"/>
                <w:lang w:val="en-IE" w:eastAsia="en-IE"/>
              </w:rPr>
            </w:pPr>
            <w:r w:rsidRPr="001A37C8">
              <w:rPr>
                <w:rFonts w:eastAsia="Times New Roman"/>
                <w:noProof/>
                <w:color w:val="000000"/>
                <w:sz w:val="20"/>
                <w:szCs w:val="20"/>
                <w:lang w:val="en-IE" w:eastAsia="en-IE"/>
              </w:rPr>
              <w:t>Budget line</w:t>
            </w:r>
            <w:r>
              <w:rPr>
                <w:rFonts w:eastAsia="Times New Roman"/>
                <w:noProof/>
                <w:color w:val="000000"/>
                <w:sz w:val="20"/>
                <w:szCs w:val="20"/>
                <w:lang w:val="en-IE" w:eastAsia="en-IE"/>
              </w:rPr>
              <w:t xml:space="preserve"> 06 01 02 support expenditure for AgoraEU</w:t>
            </w:r>
          </w:p>
        </w:tc>
        <w:tc>
          <w:tcPr>
            <w:tcW w:w="418" w:type="pct"/>
            <w:tcBorders>
              <w:top w:val="single" w:sz="4" w:space="0" w:color="auto"/>
              <w:left w:val="single" w:sz="4" w:space="0" w:color="auto"/>
              <w:bottom w:val="single" w:sz="4" w:space="0" w:color="auto"/>
              <w:right w:val="single" w:sz="4" w:space="0" w:color="auto"/>
            </w:tcBorders>
            <w:vAlign w:val="center"/>
            <w:hideMark/>
          </w:tcPr>
          <w:p w14:paraId="4EA349FB" w14:textId="77777777" w:rsidR="005B7178" w:rsidRPr="001A37C8" w:rsidRDefault="005B7178" w:rsidP="00132EC8">
            <w:pPr>
              <w:spacing w:before="0" w:after="0"/>
              <w:jc w:val="right"/>
              <w:rPr>
                <w:rFonts w:eastAsia="Times New Roman"/>
                <w:noProof/>
                <w:color w:val="000000"/>
                <w:sz w:val="18"/>
                <w:szCs w:val="18"/>
                <w:lang w:val="en-IE" w:eastAsia="en-IE"/>
              </w:rPr>
            </w:pPr>
            <w:r w:rsidRPr="001A37C8">
              <w:rPr>
                <w:rFonts w:eastAsia="Times New Roman"/>
                <w:noProof/>
                <w:color w:val="000000"/>
                <w:sz w:val="18"/>
                <w:szCs w:val="18"/>
                <w:lang w:val="en-IE" w:eastAsia="en-IE"/>
              </w:rPr>
              <w:t> </w:t>
            </w:r>
          </w:p>
        </w:tc>
        <w:tc>
          <w:tcPr>
            <w:tcW w:w="270" w:type="pct"/>
            <w:tcBorders>
              <w:top w:val="single" w:sz="4" w:space="0" w:color="auto"/>
              <w:left w:val="single" w:sz="4" w:space="0" w:color="auto"/>
              <w:bottom w:val="single" w:sz="4" w:space="0" w:color="auto"/>
              <w:right w:val="single" w:sz="4" w:space="0" w:color="auto"/>
            </w:tcBorders>
            <w:vAlign w:val="center"/>
            <w:hideMark/>
          </w:tcPr>
          <w:p w14:paraId="6959F594" w14:textId="77777777" w:rsidR="005B7178" w:rsidRPr="001A37C8" w:rsidRDefault="005B7178" w:rsidP="00132EC8">
            <w:pPr>
              <w:spacing w:before="0" w:after="0"/>
              <w:jc w:val="center"/>
              <w:rPr>
                <w:rFonts w:eastAsia="Times New Roman"/>
                <w:noProof/>
                <w:color w:val="000000"/>
                <w:sz w:val="14"/>
                <w:szCs w:val="14"/>
                <w:lang w:val="en-IE" w:eastAsia="en-IE"/>
              </w:rPr>
            </w:pPr>
            <w:r>
              <w:rPr>
                <w:rFonts w:eastAsia="Times New Roman"/>
                <w:noProof/>
                <w:color w:val="000000"/>
                <w:sz w:val="14"/>
                <w:szCs w:val="14"/>
                <w:lang w:val="en-IE" w:eastAsia="en-IE"/>
              </w:rPr>
              <w:t>(</w:t>
            </w:r>
            <w:r w:rsidRPr="001A37C8">
              <w:rPr>
                <w:rFonts w:eastAsia="Times New Roman"/>
                <w:noProof/>
                <w:color w:val="000000"/>
                <w:sz w:val="14"/>
                <w:szCs w:val="14"/>
                <w:lang w:val="en-IE" w:eastAsia="en-IE"/>
              </w:rPr>
              <w:t>3</w:t>
            </w:r>
            <w:r>
              <w:rPr>
                <w:rFonts w:eastAsia="Times New Roman"/>
                <w:noProof/>
                <w:color w:val="000000"/>
                <w:sz w:val="14"/>
                <w:szCs w:val="14"/>
                <w:lang w:val="en-IE" w:eastAsia="en-IE"/>
              </w:rPr>
              <w:t>)</w:t>
            </w:r>
          </w:p>
        </w:tc>
        <w:tc>
          <w:tcPr>
            <w:tcW w:w="293" w:type="pct"/>
            <w:tcBorders>
              <w:top w:val="single" w:sz="4" w:space="0" w:color="auto"/>
              <w:left w:val="single" w:sz="4" w:space="0" w:color="auto"/>
              <w:bottom w:val="single" w:sz="4" w:space="0" w:color="auto"/>
              <w:right w:val="single" w:sz="4" w:space="0" w:color="auto"/>
            </w:tcBorders>
            <w:vAlign w:val="center"/>
            <w:hideMark/>
          </w:tcPr>
          <w:p w14:paraId="3B2F0EF9"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175E48FE"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1722E648"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30E91FDD"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7A78349A"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7086F78C"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vAlign w:val="center"/>
            <w:hideMark/>
          </w:tcPr>
          <w:p w14:paraId="04D39C97"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2B0188"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r w:rsidR="00275776" w:rsidRPr="001A37C8" w14:paraId="445FFF5D" w14:textId="77777777" w:rsidTr="00275776">
        <w:trPr>
          <w:trHeight w:val="850"/>
        </w:trPr>
        <w:tc>
          <w:tcPr>
            <w:tcW w:w="1486" w:type="pct"/>
            <w:tcBorders>
              <w:top w:val="single" w:sz="4" w:space="0" w:color="auto"/>
              <w:left w:val="single" w:sz="4" w:space="0" w:color="auto"/>
              <w:bottom w:val="single" w:sz="4" w:space="0" w:color="auto"/>
              <w:right w:val="single" w:sz="4" w:space="0" w:color="auto"/>
            </w:tcBorders>
            <w:vAlign w:val="center"/>
            <w:hideMark/>
          </w:tcPr>
          <w:p w14:paraId="30A82EDD" w14:textId="77777777" w:rsidR="005B7178" w:rsidRPr="001A37C8" w:rsidRDefault="005B7178" w:rsidP="00132EC8">
            <w:pPr>
              <w:spacing w:before="0" w:after="0"/>
              <w:jc w:val="center"/>
              <w:rPr>
                <w:rFonts w:eastAsia="Times New Roman"/>
                <w:b/>
                <w:bCs/>
                <w:noProof/>
                <w:color w:val="000000"/>
                <w:sz w:val="22"/>
                <w:lang w:val="en-IE" w:eastAsia="en-IE"/>
              </w:rPr>
            </w:pPr>
            <w:r w:rsidRPr="001A37C8">
              <w:rPr>
                <w:rFonts w:eastAsia="Times New Roman"/>
                <w:b/>
                <w:bCs/>
                <w:noProof/>
                <w:color w:val="000000"/>
                <w:sz w:val="22"/>
                <w:lang w:val="en-IE" w:eastAsia="en-IE"/>
              </w:rPr>
              <w:t>TOTAL appropriations</w:t>
            </w:r>
          </w:p>
        </w:tc>
        <w:tc>
          <w:tcPr>
            <w:tcW w:w="418" w:type="pct"/>
            <w:tcBorders>
              <w:top w:val="single" w:sz="4" w:space="0" w:color="auto"/>
              <w:left w:val="single" w:sz="4" w:space="0" w:color="auto"/>
              <w:bottom w:val="single" w:sz="4" w:space="0" w:color="auto"/>
              <w:right w:val="single" w:sz="4" w:space="0" w:color="auto"/>
            </w:tcBorders>
            <w:vAlign w:val="center"/>
            <w:hideMark/>
          </w:tcPr>
          <w:p w14:paraId="3F1AA881" w14:textId="77777777" w:rsidR="005B7178" w:rsidRPr="001A37C8" w:rsidRDefault="005B7178" w:rsidP="00132EC8">
            <w:pPr>
              <w:spacing w:before="0" w:after="0"/>
              <w:rPr>
                <w:rFonts w:eastAsia="Times New Roman"/>
                <w:noProof/>
                <w:color w:val="000000"/>
                <w:sz w:val="18"/>
                <w:szCs w:val="18"/>
                <w:lang w:val="en-IE" w:eastAsia="en-IE"/>
              </w:rPr>
            </w:pPr>
            <w:r w:rsidRPr="001A37C8">
              <w:rPr>
                <w:rFonts w:eastAsia="Times New Roman"/>
                <w:noProof/>
                <w:color w:val="000000"/>
                <w:sz w:val="18"/>
                <w:szCs w:val="18"/>
                <w:lang w:val="en-IE" w:eastAsia="en-IE"/>
              </w:rPr>
              <w:t>Commitments</w:t>
            </w:r>
          </w:p>
        </w:tc>
        <w:tc>
          <w:tcPr>
            <w:tcW w:w="270" w:type="pct"/>
            <w:tcBorders>
              <w:top w:val="single" w:sz="4" w:space="0" w:color="auto"/>
              <w:left w:val="single" w:sz="4" w:space="0" w:color="auto"/>
              <w:bottom w:val="single" w:sz="4" w:space="0" w:color="auto"/>
              <w:right w:val="single" w:sz="4" w:space="0" w:color="auto"/>
            </w:tcBorders>
            <w:vAlign w:val="center"/>
            <w:hideMark/>
          </w:tcPr>
          <w:p w14:paraId="7CBF3CFE" w14:textId="77777777" w:rsidR="005B7178" w:rsidRPr="001A37C8" w:rsidRDefault="005B7178" w:rsidP="00132EC8">
            <w:pPr>
              <w:spacing w:before="0" w:after="0"/>
              <w:jc w:val="center"/>
              <w:rPr>
                <w:rFonts w:eastAsia="Times New Roman"/>
                <w:noProof/>
                <w:color w:val="000000"/>
                <w:sz w:val="14"/>
                <w:szCs w:val="14"/>
                <w:lang w:val="en-IE" w:eastAsia="en-IE"/>
              </w:rPr>
            </w:pPr>
            <w:r w:rsidRPr="001A37C8">
              <w:rPr>
                <w:rFonts w:eastAsia="Times New Roman"/>
                <w:noProof/>
                <w:color w:val="000000"/>
                <w:sz w:val="14"/>
                <w:szCs w:val="14"/>
                <w:lang w:val="en-IE" w:eastAsia="en-IE"/>
              </w:rPr>
              <w:t>=1a+1b+3</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93DE33"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1,099</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6C0232A"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1,139</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411FDE4"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1,180</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145E295"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1,223</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1121DEE"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1,268</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F132F51"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1,313</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0B258A"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1,360</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CAC2DA6"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ascii="Aptos Display" w:hAnsi="Aptos Display"/>
                <w:noProof/>
                <w:color w:val="000000"/>
                <w:sz w:val="22"/>
              </w:rPr>
              <w:t>8,582</w:t>
            </w:r>
          </w:p>
        </w:tc>
      </w:tr>
      <w:tr w:rsidR="00275776" w:rsidRPr="001A37C8" w14:paraId="6DFEC195" w14:textId="77777777" w:rsidTr="00275776">
        <w:trPr>
          <w:trHeight w:val="570"/>
        </w:trPr>
        <w:tc>
          <w:tcPr>
            <w:tcW w:w="1486" w:type="pct"/>
            <w:tcBorders>
              <w:top w:val="single" w:sz="4" w:space="0" w:color="auto"/>
              <w:left w:val="single" w:sz="4" w:space="0" w:color="auto"/>
              <w:bottom w:val="single" w:sz="4" w:space="0" w:color="auto"/>
              <w:right w:val="single" w:sz="4" w:space="0" w:color="auto"/>
            </w:tcBorders>
            <w:vAlign w:val="center"/>
            <w:hideMark/>
          </w:tcPr>
          <w:p w14:paraId="31D46642" w14:textId="77777777" w:rsidR="005B7178" w:rsidRPr="001A37C8" w:rsidRDefault="005B7178" w:rsidP="00132EC8">
            <w:pPr>
              <w:spacing w:before="0" w:after="0"/>
              <w:jc w:val="center"/>
              <w:rPr>
                <w:rFonts w:eastAsia="Times New Roman"/>
                <w:b/>
                <w:bCs/>
                <w:noProof/>
                <w:color w:val="000000"/>
                <w:sz w:val="22"/>
                <w:lang w:val="en-IE" w:eastAsia="en-IE"/>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3C63B2CA" w14:textId="77777777" w:rsidR="005B7178" w:rsidRPr="001A37C8" w:rsidRDefault="005B7178" w:rsidP="00132EC8">
            <w:pPr>
              <w:spacing w:before="0" w:after="0"/>
              <w:rPr>
                <w:rFonts w:eastAsia="Times New Roman"/>
                <w:noProof/>
                <w:color w:val="000000"/>
                <w:sz w:val="18"/>
                <w:szCs w:val="18"/>
                <w:lang w:val="en-IE" w:eastAsia="en-IE"/>
              </w:rPr>
            </w:pPr>
            <w:r w:rsidRPr="001A37C8">
              <w:rPr>
                <w:rFonts w:eastAsia="Times New Roman"/>
                <w:noProof/>
                <w:color w:val="000000"/>
                <w:sz w:val="18"/>
                <w:szCs w:val="18"/>
                <w:lang w:val="en-IE" w:eastAsia="en-IE"/>
              </w:rPr>
              <w:t>Payments</w:t>
            </w:r>
          </w:p>
        </w:tc>
        <w:tc>
          <w:tcPr>
            <w:tcW w:w="270" w:type="pct"/>
            <w:tcBorders>
              <w:top w:val="single" w:sz="4" w:space="0" w:color="auto"/>
              <w:left w:val="single" w:sz="4" w:space="0" w:color="auto"/>
              <w:bottom w:val="single" w:sz="4" w:space="0" w:color="auto"/>
              <w:right w:val="single" w:sz="4" w:space="0" w:color="auto"/>
            </w:tcBorders>
            <w:vAlign w:val="center"/>
            <w:hideMark/>
          </w:tcPr>
          <w:p w14:paraId="57CECDCB" w14:textId="77777777" w:rsidR="005B7178" w:rsidRPr="001A37C8" w:rsidRDefault="005B7178" w:rsidP="00132EC8">
            <w:pPr>
              <w:spacing w:before="0" w:after="0"/>
              <w:jc w:val="center"/>
              <w:rPr>
                <w:rFonts w:eastAsia="Times New Roman"/>
                <w:noProof/>
                <w:color w:val="000000"/>
                <w:sz w:val="14"/>
                <w:szCs w:val="14"/>
                <w:lang w:val="en-IE" w:eastAsia="en-IE"/>
              </w:rPr>
            </w:pPr>
            <w:r w:rsidRPr="001A37C8">
              <w:rPr>
                <w:rFonts w:eastAsia="Times New Roman"/>
                <w:noProof/>
                <w:color w:val="000000"/>
                <w:sz w:val="14"/>
                <w:szCs w:val="14"/>
                <w:lang w:val="en-IE" w:eastAsia="en-IE"/>
              </w:rPr>
              <w:t>=2a+2b+3</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B9B97E"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DDAF5"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5CE14"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FD6D1"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0EBF1"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8321F"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7CA9A"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noProof/>
                <w:color w:val="000000"/>
                <w:sz w:val="20"/>
                <w:szCs w:val="20"/>
                <w:lang w:val="en-IE" w:eastAsia="en-IE"/>
              </w:rPr>
              <w:t>pm </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41963" w14:textId="77777777" w:rsidR="005B7178" w:rsidRPr="001A37C8" w:rsidRDefault="005B7178" w:rsidP="00132EC8">
            <w:pPr>
              <w:spacing w:before="0" w:after="0"/>
              <w:jc w:val="right"/>
              <w:rPr>
                <w:rFonts w:eastAsia="Times New Roman"/>
                <w:b/>
                <w:bCs/>
                <w:noProof/>
                <w:color w:val="000000"/>
                <w:sz w:val="20"/>
                <w:szCs w:val="20"/>
                <w:lang w:val="en-IE" w:eastAsia="en-IE"/>
              </w:rPr>
            </w:pPr>
            <w:r>
              <w:rPr>
                <w:rFonts w:eastAsia="Times New Roman"/>
                <w:b/>
                <w:bCs/>
                <w:noProof/>
                <w:color w:val="000000"/>
                <w:sz w:val="20"/>
                <w:szCs w:val="20"/>
                <w:lang w:val="en-IE" w:eastAsia="en-IE"/>
              </w:rPr>
              <w:t>pm</w:t>
            </w:r>
          </w:p>
        </w:tc>
      </w:tr>
    </w:tbl>
    <w:p w14:paraId="61555588" w14:textId="77777777" w:rsidR="005B7178" w:rsidRPr="00027891" w:rsidRDefault="005B7178" w:rsidP="00EB6F88">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1153"/>
        <w:gridCol w:w="8344"/>
      </w:tblGrid>
      <w:tr w:rsidR="00EB6F88" w14:paraId="29B6EA32" w14:textId="77777777">
        <w:trPr>
          <w:jc w:val="center"/>
        </w:trPr>
        <w:tc>
          <w:tcPr>
            <w:tcW w:w="1668" w:type="pct"/>
            <w:vAlign w:val="center"/>
          </w:tcPr>
          <w:p w14:paraId="21BF2B88" w14:textId="77777777" w:rsidR="005B7178" w:rsidRPr="003A769F" w:rsidRDefault="005B7178">
            <w:pPr>
              <w:spacing w:before="60" w:after="60"/>
              <w:jc w:val="center"/>
              <w:rPr>
                <w:b/>
                <w:noProof/>
                <w:lang w:val="en-IE"/>
              </w:rPr>
            </w:pPr>
            <w:r w:rsidRPr="003A769F">
              <w:rPr>
                <w:noProof/>
                <w:sz w:val="22"/>
                <w:lang w:val="en-IE"/>
              </w:rPr>
              <w:br w:type="page"/>
            </w:r>
            <w:r w:rsidRPr="003A769F">
              <w:rPr>
                <w:b/>
                <w:noProof/>
                <w:sz w:val="22"/>
                <w:lang w:val="en-IE"/>
              </w:rPr>
              <w:t xml:space="preserve">Heading of multiannual financial framework </w:t>
            </w:r>
          </w:p>
        </w:tc>
        <w:tc>
          <w:tcPr>
            <w:tcW w:w="380" w:type="pct"/>
            <w:vAlign w:val="center"/>
          </w:tcPr>
          <w:p w14:paraId="3DF5D42D" w14:textId="77777777" w:rsidR="005B7178" w:rsidRDefault="005B7178">
            <w:pPr>
              <w:spacing w:before="60" w:after="60"/>
              <w:jc w:val="center"/>
              <w:rPr>
                <w:noProof/>
              </w:rPr>
            </w:pPr>
            <w:r w:rsidRPr="4CB40031">
              <w:rPr>
                <w:b/>
                <w:bCs/>
                <w:noProof/>
                <w:sz w:val="22"/>
              </w:rPr>
              <w:t>4</w:t>
            </w:r>
          </w:p>
        </w:tc>
        <w:tc>
          <w:tcPr>
            <w:tcW w:w="2749" w:type="pct"/>
            <w:vAlign w:val="center"/>
          </w:tcPr>
          <w:p w14:paraId="1AD99F09" w14:textId="77777777" w:rsidR="005B7178" w:rsidRDefault="005B7178">
            <w:pPr>
              <w:spacing w:before="60" w:after="60"/>
              <w:rPr>
                <w:noProof/>
              </w:rPr>
            </w:pPr>
            <w:r w:rsidRPr="4CB40031">
              <w:rPr>
                <w:noProof/>
                <w:sz w:val="22"/>
              </w:rPr>
              <w:t>‘Administrative expenditure’</w:t>
            </w:r>
            <w:r w:rsidRPr="4CB40031">
              <w:rPr>
                <w:rStyle w:val="Allmrkuseviide"/>
                <w:noProof/>
                <w:sz w:val="22"/>
              </w:rPr>
              <w:footnoteReference w:id="42"/>
            </w:r>
          </w:p>
        </w:tc>
      </w:tr>
    </w:tbl>
    <w:p w14:paraId="69435668" w14:textId="77777777" w:rsidR="005B7178" w:rsidRPr="003A769F" w:rsidRDefault="005B7178" w:rsidP="00EB6F88">
      <w:pPr>
        <w:jc w:val="right"/>
        <w:rPr>
          <w:noProof/>
          <w:sz w:val="20"/>
          <w:lang w:val="en-IE"/>
        </w:rPr>
      </w:pPr>
      <w:r w:rsidRPr="003A769F">
        <w:rPr>
          <w:noProof/>
          <w:sz w:val="20"/>
          <w:lang w:val="en-IE"/>
        </w:rPr>
        <w:t>EUR million (to three decimal places)</w:t>
      </w:r>
    </w:p>
    <w:tbl>
      <w:tblPr>
        <w:tblW w:w="5000" w:type="pct"/>
        <w:tblLook w:val="04A0" w:firstRow="1" w:lastRow="0" w:firstColumn="1" w:lastColumn="0" w:noHBand="0" w:noVBand="1"/>
      </w:tblPr>
      <w:tblGrid>
        <w:gridCol w:w="988"/>
        <w:gridCol w:w="6089"/>
        <w:gridCol w:w="598"/>
        <w:gridCol w:w="598"/>
        <w:gridCol w:w="766"/>
        <w:gridCol w:w="766"/>
        <w:gridCol w:w="766"/>
        <w:gridCol w:w="766"/>
        <w:gridCol w:w="766"/>
        <w:gridCol w:w="766"/>
        <w:gridCol w:w="766"/>
        <w:gridCol w:w="917"/>
      </w:tblGrid>
      <w:tr w:rsidR="00EB6F88" w:rsidRPr="00EB2752" w14:paraId="45A977F4" w14:textId="77777777" w:rsidTr="00CF173C">
        <w:trPr>
          <w:trHeight w:val="300"/>
        </w:trPr>
        <w:tc>
          <w:tcPr>
            <w:tcW w:w="2877" w:type="pct"/>
            <w:gridSpan w:val="4"/>
            <w:vMerge w:val="restart"/>
            <w:tcBorders>
              <w:top w:val="single" w:sz="8" w:space="0" w:color="auto"/>
              <w:left w:val="single" w:sz="8" w:space="0" w:color="auto"/>
              <w:bottom w:val="single" w:sz="8" w:space="0" w:color="000000" w:themeColor="text1"/>
              <w:right w:val="single" w:sz="8" w:space="0" w:color="000000" w:themeColor="text1"/>
            </w:tcBorders>
            <w:vAlign w:val="center"/>
            <w:hideMark/>
          </w:tcPr>
          <w:p w14:paraId="5756B03E" w14:textId="77777777" w:rsidR="005B7178" w:rsidRPr="003E626F" w:rsidRDefault="005B7178">
            <w:pPr>
              <w:spacing w:before="0" w:after="0"/>
              <w:jc w:val="center"/>
              <w:rPr>
                <w:rFonts w:eastAsia="Times New Roman"/>
                <w:b/>
                <w:bCs/>
                <w:noProof/>
                <w:color w:val="000000"/>
                <w:lang w:val="en-IE" w:eastAsia="en-IE"/>
              </w:rPr>
            </w:pPr>
            <w:r w:rsidRPr="4CB40031">
              <w:rPr>
                <w:rFonts w:eastAsia="Times New Roman"/>
                <w:b/>
                <w:bCs/>
                <w:noProof/>
                <w:color w:val="000000" w:themeColor="text1"/>
                <w:lang w:val="en-IE" w:eastAsia="en-IE"/>
              </w:rPr>
              <w:t>DG: &lt;EAC/CNECT/JUST&gt;</w:t>
            </w:r>
          </w:p>
        </w:tc>
        <w:tc>
          <w:tcPr>
            <w:tcW w:w="259" w:type="pct"/>
            <w:tcBorders>
              <w:top w:val="single" w:sz="8" w:space="0" w:color="auto"/>
              <w:left w:val="nil"/>
              <w:bottom w:val="nil"/>
              <w:right w:val="single" w:sz="8" w:space="0" w:color="auto"/>
            </w:tcBorders>
            <w:vAlign w:val="center"/>
            <w:hideMark/>
          </w:tcPr>
          <w:p w14:paraId="33B419E9"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259" w:type="pct"/>
            <w:tcBorders>
              <w:top w:val="single" w:sz="8" w:space="0" w:color="auto"/>
              <w:left w:val="nil"/>
              <w:bottom w:val="nil"/>
              <w:right w:val="single" w:sz="8" w:space="0" w:color="auto"/>
            </w:tcBorders>
            <w:vAlign w:val="center"/>
            <w:hideMark/>
          </w:tcPr>
          <w:p w14:paraId="1F52BBE4"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259" w:type="pct"/>
            <w:tcBorders>
              <w:top w:val="single" w:sz="8" w:space="0" w:color="auto"/>
              <w:left w:val="nil"/>
              <w:bottom w:val="nil"/>
              <w:right w:val="single" w:sz="8" w:space="0" w:color="auto"/>
            </w:tcBorders>
            <w:vAlign w:val="center"/>
            <w:hideMark/>
          </w:tcPr>
          <w:p w14:paraId="43FECECD"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259" w:type="pct"/>
            <w:tcBorders>
              <w:top w:val="single" w:sz="8" w:space="0" w:color="auto"/>
              <w:left w:val="nil"/>
              <w:bottom w:val="nil"/>
              <w:right w:val="single" w:sz="8" w:space="0" w:color="auto"/>
            </w:tcBorders>
            <w:vAlign w:val="center"/>
            <w:hideMark/>
          </w:tcPr>
          <w:p w14:paraId="2150786C"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259" w:type="pct"/>
            <w:tcBorders>
              <w:top w:val="single" w:sz="8" w:space="0" w:color="auto"/>
              <w:left w:val="nil"/>
              <w:bottom w:val="nil"/>
              <w:right w:val="single" w:sz="8" w:space="0" w:color="auto"/>
            </w:tcBorders>
            <w:vAlign w:val="center"/>
            <w:hideMark/>
          </w:tcPr>
          <w:p w14:paraId="27289AEE"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259" w:type="pct"/>
            <w:tcBorders>
              <w:top w:val="single" w:sz="8" w:space="0" w:color="auto"/>
              <w:left w:val="nil"/>
              <w:bottom w:val="nil"/>
              <w:right w:val="single" w:sz="8" w:space="0" w:color="auto"/>
            </w:tcBorders>
            <w:vAlign w:val="center"/>
            <w:hideMark/>
          </w:tcPr>
          <w:p w14:paraId="5BCC722D"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259" w:type="pct"/>
            <w:tcBorders>
              <w:top w:val="single" w:sz="8" w:space="0" w:color="auto"/>
              <w:left w:val="nil"/>
              <w:bottom w:val="nil"/>
              <w:right w:val="single" w:sz="8" w:space="0" w:color="auto"/>
            </w:tcBorders>
            <w:vAlign w:val="center"/>
            <w:hideMark/>
          </w:tcPr>
          <w:p w14:paraId="4D4520C2"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310" w:type="pct"/>
            <w:vMerge w:val="restart"/>
            <w:tcBorders>
              <w:top w:val="single" w:sz="8" w:space="0" w:color="auto"/>
              <w:left w:val="single" w:sz="8" w:space="0" w:color="auto"/>
              <w:bottom w:val="single" w:sz="8" w:space="0" w:color="000000" w:themeColor="text1"/>
              <w:right w:val="single" w:sz="8" w:space="0" w:color="auto"/>
            </w:tcBorders>
            <w:vAlign w:val="center"/>
            <w:hideMark/>
          </w:tcPr>
          <w:p w14:paraId="70068857"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TOTAL MFF 2028-2034</w:t>
            </w:r>
          </w:p>
        </w:tc>
      </w:tr>
      <w:tr w:rsidR="00EB6F88" w:rsidRPr="00EB2752" w14:paraId="72AA0E8D" w14:textId="77777777" w:rsidTr="00CF173C">
        <w:trPr>
          <w:trHeight w:val="300"/>
        </w:trPr>
        <w:tc>
          <w:tcPr>
            <w:tcW w:w="2877" w:type="pct"/>
            <w:gridSpan w:val="4"/>
            <w:vMerge/>
            <w:vAlign w:val="center"/>
            <w:hideMark/>
          </w:tcPr>
          <w:p w14:paraId="116B9958" w14:textId="77777777" w:rsidR="005B7178" w:rsidRPr="00EB2752" w:rsidRDefault="005B7178">
            <w:pPr>
              <w:spacing w:before="0" w:after="0"/>
              <w:jc w:val="left"/>
              <w:rPr>
                <w:rFonts w:eastAsia="Times New Roman"/>
                <w:noProof/>
                <w:color w:val="000000"/>
                <w:szCs w:val="24"/>
                <w:lang w:val="en-IE" w:eastAsia="en-IE"/>
              </w:rPr>
            </w:pPr>
          </w:p>
        </w:tc>
        <w:tc>
          <w:tcPr>
            <w:tcW w:w="259" w:type="pct"/>
            <w:tcBorders>
              <w:top w:val="nil"/>
              <w:left w:val="nil"/>
              <w:bottom w:val="single" w:sz="8" w:space="0" w:color="auto"/>
              <w:right w:val="single" w:sz="8" w:space="0" w:color="auto"/>
            </w:tcBorders>
            <w:vAlign w:val="center"/>
            <w:hideMark/>
          </w:tcPr>
          <w:p w14:paraId="67E6864E"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2028</w:t>
            </w:r>
          </w:p>
        </w:tc>
        <w:tc>
          <w:tcPr>
            <w:tcW w:w="259" w:type="pct"/>
            <w:tcBorders>
              <w:top w:val="nil"/>
              <w:left w:val="nil"/>
              <w:bottom w:val="single" w:sz="8" w:space="0" w:color="auto"/>
              <w:right w:val="single" w:sz="8" w:space="0" w:color="auto"/>
            </w:tcBorders>
            <w:vAlign w:val="center"/>
            <w:hideMark/>
          </w:tcPr>
          <w:p w14:paraId="11BB472A"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2029</w:t>
            </w:r>
          </w:p>
        </w:tc>
        <w:tc>
          <w:tcPr>
            <w:tcW w:w="259" w:type="pct"/>
            <w:tcBorders>
              <w:top w:val="nil"/>
              <w:left w:val="nil"/>
              <w:bottom w:val="single" w:sz="8" w:space="0" w:color="auto"/>
              <w:right w:val="single" w:sz="8" w:space="0" w:color="auto"/>
            </w:tcBorders>
            <w:vAlign w:val="center"/>
            <w:hideMark/>
          </w:tcPr>
          <w:p w14:paraId="58A5CE27"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2030</w:t>
            </w:r>
          </w:p>
        </w:tc>
        <w:tc>
          <w:tcPr>
            <w:tcW w:w="259" w:type="pct"/>
            <w:tcBorders>
              <w:top w:val="nil"/>
              <w:left w:val="nil"/>
              <w:bottom w:val="single" w:sz="8" w:space="0" w:color="auto"/>
              <w:right w:val="single" w:sz="8" w:space="0" w:color="auto"/>
            </w:tcBorders>
            <w:vAlign w:val="center"/>
            <w:hideMark/>
          </w:tcPr>
          <w:p w14:paraId="6BE29B56"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2031</w:t>
            </w:r>
          </w:p>
        </w:tc>
        <w:tc>
          <w:tcPr>
            <w:tcW w:w="259" w:type="pct"/>
            <w:tcBorders>
              <w:top w:val="nil"/>
              <w:left w:val="nil"/>
              <w:bottom w:val="single" w:sz="8" w:space="0" w:color="auto"/>
              <w:right w:val="single" w:sz="8" w:space="0" w:color="auto"/>
            </w:tcBorders>
            <w:vAlign w:val="center"/>
            <w:hideMark/>
          </w:tcPr>
          <w:p w14:paraId="6F6E2508"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2032</w:t>
            </w:r>
          </w:p>
        </w:tc>
        <w:tc>
          <w:tcPr>
            <w:tcW w:w="259" w:type="pct"/>
            <w:tcBorders>
              <w:top w:val="nil"/>
              <w:left w:val="nil"/>
              <w:bottom w:val="single" w:sz="8" w:space="0" w:color="auto"/>
              <w:right w:val="single" w:sz="8" w:space="0" w:color="auto"/>
            </w:tcBorders>
            <w:vAlign w:val="center"/>
            <w:hideMark/>
          </w:tcPr>
          <w:p w14:paraId="6F8F883C"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2033</w:t>
            </w:r>
          </w:p>
        </w:tc>
        <w:tc>
          <w:tcPr>
            <w:tcW w:w="259" w:type="pct"/>
            <w:tcBorders>
              <w:top w:val="nil"/>
              <w:left w:val="nil"/>
              <w:bottom w:val="single" w:sz="8" w:space="0" w:color="auto"/>
              <w:right w:val="single" w:sz="8" w:space="0" w:color="auto"/>
            </w:tcBorders>
            <w:vAlign w:val="center"/>
            <w:hideMark/>
          </w:tcPr>
          <w:p w14:paraId="706A4806"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2034</w:t>
            </w:r>
          </w:p>
        </w:tc>
        <w:tc>
          <w:tcPr>
            <w:tcW w:w="310" w:type="pct"/>
            <w:vMerge/>
            <w:vAlign w:val="center"/>
            <w:hideMark/>
          </w:tcPr>
          <w:p w14:paraId="385A137A" w14:textId="77777777" w:rsidR="005B7178" w:rsidRPr="00EB2752" w:rsidRDefault="005B7178">
            <w:pPr>
              <w:spacing w:before="0" w:after="0"/>
              <w:jc w:val="left"/>
              <w:rPr>
                <w:rFonts w:eastAsia="Times New Roman"/>
                <w:b/>
                <w:bCs/>
                <w:noProof/>
                <w:color w:val="000000"/>
                <w:sz w:val="20"/>
                <w:szCs w:val="20"/>
                <w:lang w:val="en-IE" w:eastAsia="en-IE"/>
              </w:rPr>
            </w:pPr>
          </w:p>
        </w:tc>
      </w:tr>
      <w:tr w:rsidR="00EB6F88" w:rsidRPr="00EB2752" w14:paraId="360C34CC" w14:textId="77777777" w:rsidTr="00CF173C">
        <w:trPr>
          <w:trHeight w:val="300"/>
        </w:trPr>
        <w:tc>
          <w:tcPr>
            <w:tcW w:w="2877" w:type="pct"/>
            <w:gridSpan w:val="4"/>
            <w:tcBorders>
              <w:top w:val="single" w:sz="8" w:space="0" w:color="auto"/>
              <w:left w:val="single" w:sz="8" w:space="0" w:color="auto"/>
              <w:bottom w:val="single" w:sz="8" w:space="0" w:color="auto"/>
              <w:right w:val="single" w:sz="8" w:space="0" w:color="000000" w:themeColor="text1"/>
            </w:tcBorders>
            <w:vAlign w:val="center"/>
            <w:hideMark/>
          </w:tcPr>
          <w:p w14:paraId="00FD3242" w14:textId="77777777" w:rsidR="005B7178" w:rsidRPr="00EB2752" w:rsidRDefault="005B7178">
            <w:pPr>
              <w:spacing w:before="0" w:after="0"/>
              <w:jc w:val="left"/>
              <w:rPr>
                <w:rFonts w:ascii="Wingdings" w:eastAsia="Times New Roman" w:hAnsi="Wingdings"/>
                <w:noProof/>
                <w:color w:val="000000"/>
                <w:sz w:val="22"/>
                <w:lang w:val="en-IE" w:eastAsia="en-IE"/>
              </w:rPr>
            </w:pPr>
            <w:r w:rsidRPr="00EB2752">
              <w:rPr>
                <w:rFonts w:ascii="Wingdings" w:eastAsia="Times New Roman" w:hAnsi="Wingdings"/>
                <w:noProof/>
                <w:color w:val="000000"/>
                <w:sz w:val="22"/>
                <w:lang w:val="en-IE" w:eastAsia="en-IE"/>
              </w:rPr>
              <w:t></w:t>
            </w:r>
            <w:r w:rsidRPr="00EB2752">
              <w:rPr>
                <w:rFonts w:eastAsia="Times New Roman"/>
                <w:noProof/>
                <w:color w:val="000000"/>
                <w:sz w:val="22"/>
                <w:lang w:val="en-IE" w:eastAsia="en-IE"/>
              </w:rPr>
              <w:t xml:space="preserve"> Human resources </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0C7DCB59"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37,070</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50EEBFBE"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37,070</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723EBA05"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37,070</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6B7339D1"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37,070</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3E7DE543"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37,070</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7ED10930"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37,070</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345A6C13"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37,070</w:t>
            </w:r>
          </w:p>
        </w:tc>
        <w:tc>
          <w:tcPr>
            <w:tcW w:w="310" w:type="pct"/>
            <w:tcBorders>
              <w:top w:val="nil"/>
              <w:left w:val="nil"/>
              <w:bottom w:val="single" w:sz="8" w:space="0" w:color="auto"/>
              <w:right w:val="single" w:sz="8" w:space="0" w:color="auto"/>
            </w:tcBorders>
            <w:shd w:val="clear" w:color="auto" w:fill="D9D9D9" w:themeFill="background1" w:themeFillShade="D9"/>
            <w:vAlign w:val="center"/>
            <w:hideMark/>
          </w:tcPr>
          <w:p w14:paraId="0BF0F5A3"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259,490</w:t>
            </w:r>
          </w:p>
        </w:tc>
      </w:tr>
      <w:tr w:rsidR="00EB6F88" w:rsidRPr="00EB2752" w14:paraId="0E1F11C4" w14:textId="77777777" w:rsidTr="00CF173C">
        <w:trPr>
          <w:trHeight w:val="300"/>
        </w:trPr>
        <w:tc>
          <w:tcPr>
            <w:tcW w:w="2877" w:type="pct"/>
            <w:gridSpan w:val="4"/>
            <w:tcBorders>
              <w:top w:val="single" w:sz="8" w:space="0" w:color="auto"/>
              <w:left w:val="single" w:sz="8" w:space="0" w:color="auto"/>
              <w:bottom w:val="single" w:sz="8" w:space="0" w:color="auto"/>
              <w:right w:val="single" w:sz="8" w:space="0" w:color="000000" w:themeColor="text1"/>
            </w:tcBorders>
            <w:vAlign w:val="center"/>
            <w:hideMark/>
          </w:tcPr>
          <w:p w14:paraId="0D5253FF" w14:textId="77777777" w:rsidR="005B7178" w:rsidRPr="00EB2752" w:rsidRDefault="005B7178">
            <w:pPr>
              <w:spacing w:before="0" w:after="0"/>
              <w:jc w:val="left"/>
              <w:rPr>
                <w:rFonts w:ascii="Wingdings" w:eastAsia="Times New Roman" w:hAnsi="Wingdings"/>
                <w:noProof/>
                <w:color w:val="000000"/>
                <w:sz w:val="22"/>
                <w:lang w:val="en-IE" w:eastAsia="en-IE"/>
              </w:rPr>
            </w:pPr>
            <w:r w:rsidRPr="00EB2752">
              <w:rPr>
                <w:rFonts w:ascii="Wingdings" w:eastAsia="Times New Roman" w:hAnsi="Wingdings"/>
                <w:noProof/>
                <w:color w:val="000000"/>
                <w:sz w:val="22"/>
                <w:lang w:val="en-IE" w:eastAsia="en-IE"/>
              </w:rPr>
              <w:t></w:t>
            </w:r>
            <w:r w:rsidRPr="00EB2752">
              <w:rPr>
                <w:rFonts w:eastAsia="Times New Roman"/>
                <w:noProof/>
                <w:color w:val="000000"/>
                <w:sz w:val="22"/>
                <w:lang w:val="en-IE" w:eastAsia="en-IE"/>
              </w:rPr>
              <w:t xml:space="preserve"> Other administrative expenditure </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2A6D27F8"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1,523</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38A30FC3"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1,538</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62A08E4B"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1,553</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447FC703"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1,569</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750289EA"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1585</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7D71CF50"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1,602</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122B3344" w14:textId="77777777" w:rsidR="005B7178" w:rsidRPr="00EB2752" w:rsidRDefault="005B7178">
            <w:pPr>
              <w:spacing w:before="0" w:after="0"/>
              <w:jc w:val="right"/>
              <w:rPr>
                <w:rFonts w:eastAsia="Times New Roman"/>
                <w:noProof/>
                <w:color w:val="000000"/>
                <w:sz w:val="20"/>
                <w:szCs w:val="20"/>
                <w:lang w:val="en-IE" w:eastAsia="en-IE"/>
              </w:rPr>
            </w:pPr>
            <w:r w:rsidRPr="4CB40031">
              <w:rPr>
                <w:rFonts w:eastAsia="Times New Roman"/>
                <w:noProof/>
                <w:color w:val="000000" w:themeColor="text1"/>
                <w:sz w:val="20"/>
                <w:szCs w:val="20"/>
                <w:lang w:val="en-IE" w:eastAsia="en-IE"/>
              </w:rPr>
              <w:t>1,619</w:t>
            </w:r>
          </w:p>
        </w:tc>
        <w:tc>
          <w:tcPr>
            <w:tcW w:w="310" w:type="pct"/>
            <w:tcBorders>
              <w:top w:val="nil"/>
              <w:left w:val="nil"/>
              <w:bottom w:val="single" w:sz="8" w:space="0" w:color="auto"/>
              <w:right w:val="single" w:sz="8" w:space="0" w:color="auto"/>
            </w:tcBorders>
            <w:shd w:val="clear" w:color="auto" w:fill="D9D9D9" w:themeFill="background1" w:themeFillShade="D9"/>
            <w:vAlign w:val="center"/>
            <w:hideMark/>
          </w:tcPr>
          <w:p w14:paraId="1E5A6D47"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10,988</w:t>
            </w:r>
          </w:p>
        </w:tc>
      </w:tr>
      <w:tr w:rsidR="00EB6F88" w:rsidRPr="00EB2752" w14:paraId="66AEC610" w14:textId="77777777" w:rsidTr="00CF173C">
        <w:trPr>
          <w:trHeight w:val="300"/>
        </w:trPr>
        <w:tc>
          <w:tcPr>
            <w:tcW w:w="355" w:type="pct"/>
            <w:tcBorders>
              <w:top w:val="nil"/>
              <w:left w:val="single" w:sz="8" w:space="0" w:color="auto"/>
              <w:bottom w:val="single" w:sz="8" w:space="0" w:color="auto"/>
              <w:right w:val="single" w:sz="8" w:space="0" w:color="auto"/>
            </w:tcBorders>
            <w:vAlign w:val="center"/>
            <w:hideMark/>
          </w:tcPr>
          <w:p w14:paraId="58F93EEE" w14:textId="77777777" w:rsidR="005B7178" w:rsidRPr="00EB2752" w:rsidRDefault="005B7178">
            <w:pPr>
              <w:spacing w:before="0" w:after="0"/>
              <w:jc w:val="center"/>
              <w:rPr>
                <w:rFonts w:eastAsia="Times New Roman"/>
                <w:b/>
                <w:bCs/>
                <w:noProof/>
                <w:color w:val="000000"/>
                <w:sz w:val="22"/>
                <w:lang w:val="en-IE" w:eastAsia="en-IE"/>
              </w:rPr>
            </w:pPr>
            <w:r w:rsidRPr="4CB40031">
              <w:rPr>
                <w:rFonts w:eastAsia="Times New Roman"/>
                <w:b/>
                <w:bCs/>
                <w:noProof/>
                <w:color w:val="000000" w:themeColor="text1"/>
                <w:sz w:val="22"/>
                <w:lang w:val="en-IE" w:eastAsia="en-IE"/>
              </w:rPr>
              <w:t xml:space="preserve">TOTAL  </w:t>
            </w:r>
            <w:r w:rsidRPr="4CB40031">
              <w:rPr>
                <w:rFonts w:eastAsia="Times New Roman"/>
                <w:noProof/>
                <w:color w:val="000000" w:themeColor="text1"/>
                <w:sz w:val="22"/>
                <w:lang w:val="en-IE" w:eastAsia="en-IE"/>
              </w:rPr>
              <w:t>&lt;…….&gt;</w:t>
            </w:r>
          </w:p>
        </w:tc>
        <w:tc>
          <w:tcPr>
            <w:tcW w:w="2522" w:type="pct"/>
            <w:gridSpan w:val="3"/>
            <w:tcBorders>
              <w:top w:val="single" w:sz="8" w:space="0" w:color="auto"/>
              <w:left w:val="nil"/>
              <w:bottom w:val="single" w:sz="8" w:space="0" w:color="auto"/>
              <w:right w:val="single" w:sz="8" w:space="0" w:color="000000" w:themeColor="text1"/>
            </w:tcBorders>
            <w:vAlign w:val="center"/>
            <w:hideMark/>
          </w:tcPr>
          <w:p w14:paraId="6CF0092C" w14:textId="77777777" w:rsidR="005B7178" w:rsidRPr="00EB2752" w:rsidRDefault="005B7178">
            <w:pPr>
              <w:spacing w:before="0" w:after="0"/>
              <w:jc w:val="left"/>
              <w:rPr>
                <w:rFonts w:eastAsia="Times New Roman"/>
                <w:noProof/>
                <w:color w:val="000000"/>
                <w:sz w:val="18"/>
                <w:szCs w:val="18"/>
                <w:lang w:val="en-IE" w:eastAsia="en-IE"/>
              </w:rPr>
            </w:pPr>
            <w:r w:rsidRPr="00EB2752">
              <w:rPr>
                <w:rFonts w:eastAsia="Times New Roman"/>
                <w:noProof/>
                <w:color w:val="000000"/>
                <w:sz w:val="18"/>
                <w:szCs w:val="18"/>
                <w:lang w:val="en-IE" w:eastAsia="en-IE"/>
              </w:rPr>
              <w:t xml:space="preserve">Appropriations </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4F9CDF95"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38,593</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503A480C"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38,608</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66EAC3EE"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38,623</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576B7DEA"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38,639</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51CA6EE5"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38,655</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5E0D2ED1"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38,672</w:t>
            </w:r>
          </w:p>
        </w:tc>
        <w:tc>
          <w:tcPr>
            <w:tcW w:w="259" w:type="pct"/>
            <w:tcBorders>
              <w:top w:val="nil"/>
              <w:left w:val="nil"/>
              <w:bottom w:val="single" w:sz="8" w:space="0" w:color="auto"/>
              <w:right w:val="single" w:sz="8" w:space="0" w:color="auto"/>
            </w:tcBorders>
            <w:shd w:val="clear" w:color="auto" w:fill="D9D9D9" w:themeFill="background1" w:themeFillShade="D9"/>
            <w:vAlign w:val="center"/>
            <w:hideMark/>
          </w:tcPr>
          <w:p w14:paraId="3AC9E9C8"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38,689</w:t>
            </w:r>
          </w:p>
        </w:tc>
        <w:tc>
          <w:tcPr>
            <w:tcW w:w="310" w:type="pct"/>
            <w:tcBorders>
              <w:top w:val="nil"/>
              <w:left w:val="nil"/>
              <w:bottom w:val="single" w:sz="8" w:space="0" w:color="auto"/>
              <w:right w:val="single" w:sz="8" w:space="0" w:color="auto"/>
            </w:tcBorders>
            <w:shd w:val="clear" w:color="auto" w:fill="D9D9D9" w:themeFill="background1" w:themeFillShade="D9"/>
            <w:vAlign w:val="center"/>
            <w:hideMark/>
          </w:tcPr>
          <w:p w14:paraId="6F1A8009" w14:textId="77777777" w:rsidR="005B7178" w:rsidRPr="00EB2752" w:rsidRDefault="005B7178">
            <w:pPr>
              <w:spacing w:before="0" w:after="0"/>
              <w:jc w:val="right"/>
              <w:rPr>
                <w:rFonts w:eastAsia="Times New Roman"/>
                <w:b/>
                <w:bCs/>
                <w:noProof/>
                <w:color w:val="000000"/>
                <w:sz w:val="20"/>
                <w:szCs w:val="20"/>
                <w:lang w:val="en-IE" w:eastAsia="en-IE"/>
              </w:rPr>
            </w:pPr>
            <w:r w:rsidRPr="4CB40031">
              <w:rPr>
                <w:rFonts w:eastAsia="Times New Roman"/>
                <w:b/>
                <w:bCs/>
                <w:noProof/>
                <w:color w:val="000000" w:themeColor="text1"/>
                <w:sz w:val="20"/>
                <w:szCs w:val="20"/>
                <w:lang w:val="en-IE" w:eastAsia="en-IE"/>
              </w:rPr>
              <w:t>270,478</w:t>
            </w:r>
          </w:p>
        </w:tc>
      </w:tr>
      <w:tr w:rsidR="00EB6F88" w:rsidRPr="00EB2752" w14:paraId="1D17BCC7" w14:textId="77777777" w:rsidTr="00CF173C">
        <w:trPr>
          <w:trHeight w:val="300"/>
        </w:trPr>
        <w:tc>
          <w:tcPr>
            <w:tcW w:w="355" w:type="pct"/>
            <w:tcBorders>
              <w:top w:val="nil"/>
              <w:left w:val="nil"/>
              <w:bottom w:val="nil"/>
              <w:right w:val="nil"/>
            </w:tcBorders>
            <w:noWrap/>
            <w:vAlign w:val="bottom"/>
            <w:hideMark/>
          </w:tcPr>
          <w:p w14:paraId="59F14A1F" w14:textId="77777777" w:rsidR="005B7178" w:rsidRPr="00EB2752" w:rsidRDefault="005B7178">
            <w:pPr>
              <w:spacing w:before="0" w:after="0"/>
              <w:jc w:val="right"/>
              <w:rPr>
                <w:rFonts w:eastAsia="Times New Roman"/>
                <w:b/>
                <w:bCs/>
                <w:noProof/>
                <w:color w:val="000000"/>
                <w:sz w:val="20"/>
                <w:szCs w:val="20"/>
                <w:lang w:val="en-IE" w:eastAsia="en-IE"/>
              </w:rPr>
            </w:pPr>
          </w:p>
        </w:tc>
        <w:tc>
          <w:tcPr>
            <w:tcW w:w="2118" w:type="pct"/>
            <w:tcBorders>
              <w:top w:val="nil"/>
              <w:left w:val="nil"/>
              <w:bottom w:val="nil"/>
              <w:right w:val="nil"/>
            </w:tcBorders>
            <w:noWrap/>
            <w:vAlign w:val="bottom"/>
            <w:hideMark/>
          </w:tcPr>
          <w:p w14:paraId="18B58033" w14:textId="77777777" w:rsidR="005B7178" w:rsidRPr="00EB2752" w:rsidRDefault="005B7178">
            <w:pPr>
              <w:spacing w:before="0" w:after="0"/>
              <w:jc w:val="left"/>
              <w:rPr>
                <w:rFonts w:eastAsia="Times New Roman"/>
                <w:noProof/>
                <w:sz w:val="20"/>
                <w:szCs w:val="20"/>
                <w:lang w:val="en-IE" w:eastAsia="en-IE"/>
              </w:rPr>
            </w:pPr>
          </w:p>
        </w:tc>
        <w:tc>
          <w:tcPr>
            <w:tcW w:w="202" w:type="pct"/>
            <w:tcBorders>
              <w:top w:val="nil"/>
              <w:left w:val="nil"/>
              <w:bottom w:val="nil"/>
              <w:right w:val="nil"/>
            </w:tcBorders>
            <w:noWrap/>
            <w:vAlign w:val="bottom"/>
            <w:hideMark/>
          </w:tcPr>
          <w:p w14:paraId="0603DE73" w14:textId="77777777" w:rsidR="005B7178" w:rsidRPr="00EB2752" w:rsidRDefault="005B7178">
            <w:pPr>
              <w:spacing w:before="0" w:after="0"/>
              <w:jc w:val="left"/>
              <w:rPr>
                <w:rFonts w:eastAsia="Times New Roman"/>
                <w:noProof/>
                <w:sz w:val="20"/>
                <w:szCs w:val="20"/>
                <w:lang w:val="en-IE" w:eastAsia="en-IE"/>
              </w:rPr>
            </w:pPr>
          </w:p>
        </w:tc>
        <w:tc>
          <w:tcPr>
            <w:tcW w:w="202" w:type="pct"/>
            <w:tcBorders>
              <w:top w:val="nil"/>
              <w:left w:val="nil"/>
              <w:bottom w:val="nil"/>
              <w:right w:val="nil"/>
            </w:tcBorders>
            <w:noWrap/>
            <w:vAlign w:val="bottom"/>
            <w:hideMark/>
          </w:tcPr>
          <w:p w14:paraId="5D79A4E9"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1EB87542"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25772D0F"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6808683F"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259423E3"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3F317DA0"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68AD4BDF"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5B44A7AA" w14:textId="77777777" w:rsidR="005B7178" w:rsidRPr="00EB2752" w:rsidRDefault="005B7178">
            <w:pPr>
              <w:spacing w:before="0" w:after="0"/>
              <w:jc w:val="left"/>
              <w:rPr>
                <w:rFonts w:eastAsia="Times New Roman"/>
                <w:noProof/>
                <w:sz w:val="20"/>
                <w:szCs w:val="20"/>
                <w:lang w:val="en-IE" w:eastAsia="en-IE"/>
              </w:rPr>
            </w:pPr>
          </w:p>
        </w:tc>
        <w:tc>
          <w:tcPr>
            <w:tcW w:w="310" w:type="pct"/>
            <w:tcBorders>
              <w:top w:val="nil"/>
              <w:left w:val="nil"/>
              <w:bottom w:val="nil"/>
              <w:right w:val="nil"/>
            </w:tcBorders>
            <w:noWrap/>
            <w:vAlign w:val="bottom"/>
            <w:hideMark/>
          </w:tcPr>
          <w:p w14:paraId="73E1160C" w14:textId="77777777" w:rsidR="005B7178" w:rsidRPr="00EB2752" w:rsidRDefault="005B7178">
            <w:pPr>
              <w:spacing w:before="0" w:after="0"/>
              <w:jc w:val="left"/>
              <w:rPr>
                <w:rFonts w:eastAsia="Times New Roman"/>
                <w:noProof/>
                <w:sz w:val="20"/>
                <w:szCs w:val="20"/>
                <w:lang w:val="en-IE" w:eastAsia="en-IE"/>
              </w:rPr>
            </w:pPr>
          </w:p>
        </w:tc>
      </w:tr>
      <w:tr w:rsidR="00EB6F88" w:rsidRPr="00EB2752" w14:paraId="3F7D6E74" w14:textId="77777777" w:rsidTr="00CF173C">
        <w:trPr>
          <w:trHeight w:val="300"/>
        </w:trPr>
        <w:tc>
          <w:tcPr>
            <w:tcW w:w="355" w:type="pct"/>
            <w:tcBorders>
              <w:top w:val="nil"/>
              <w:left w:val="nil"/>
              <w:bottom w:val="nil"/>
              <w:right w:val="nil"/>
            </w:tcBorders>
            <w:noWrap/>
            <w:vAlign w:val="bottom"/>
            <w:hideMark/>
          </w:tcPr>
          <w:p w14:paraId="32B1DFDB" w14:textId="77777777" w:rsidR="005B7178" w:rsidRPr="00EB2752" w:rsidRDefault="005B7178">
            <w:pPr>
              <w:spacing w:before="0" w:after="0"/>
              <w:jc w:val="right"/>
              <w:rPr>
                <w:rFonts w:eastAsia="Times New Roman"/>
                <w:b/>
                <w:bCs/>
                <w:noProof/>
                <w:color w:val="000000"/>
                <w:sz w:val="20"/>
                <w:szCs w:val="20"/>
                <w:lang w:val="en-IE" w:eastAsia="en-IE"/>
              </w:rPr>
            </w:pPr>
          </w:p>
        </w:tc>
        <w:tc>
          <w:tcPr>
            <w:tcW w:w="2118" w:type="pct"/>
            <w:tcBorders>
              <w:top w:val="nil"/>
              <w:left w:val="nil"/>
              <w:bottom w:val="nil"/>
              <w:right w:val="nil"/>
            </w:tcBorders>
            <w:noWrap/>
            <w:vAlign w:val="bottom"/>
            <w:hideMark/>
          </w:tcPr>
          <w:p w14:paraId="6CE5ABEC" w14:textId="77777777" w:rsidR="005B7178" w:rsidRPr="00EB2752" w:rsidRDefault="005B7178">
            <w:pPr>
              <w:spacing w:before="0" w:after="0"/>
              <w:jc w:val="left"/>
              <w:rPr>
                <w:rFonts w:eastAsia="Times New Roman"/>
                <w:noProof/>
                <w:sz w:val="20"/>
                <w:szCs w:val="20"/>
                <w:lang w:val="en-IE" w:eastAsia="en-IE"/>
              </w:rPr>
            </w:pPr>
          </w:p>
        </w:tc>
        <w:tc>
          <w:tcPr>
            <w:tcW w:w="202" w:type="pct"/>
            <w:tcBorders>
              <w:top w:val="nil"/>
              <w:left w:val="nil"/>
              <w:bottom w:val="nil"/>
              <w:right w:val="nil"/>
            </w:tcBorders>
            <w:noWrap/>
            <w:vAlign w:val="bottom"/>
            <w:hideMark/>
          </w:tcPr>
          <w:p w14:paraId="420174FF" w14:textId="77777777" w:rsidR="005B7178" w:rsidRPr="00EB2752" w:rsidRDefault="005B7178">
            <w:pPr>
              <w:spacing w:before="0" w:after="0"/>
              <w:jc w:val="left"/>
              <w:rPr>
                <w:rFonts w:eastAsia="Times New Roman"/>
                <w:noProof/>
                <w:sz w:val="20"/>
                <w:szCs w:val="20"/>
                <w:lang w:val="en-IE" w:eastAsia="en-IE"/>
              </w:rPr>
            </w:pPr>
          </w:p>
        </w:tc>
        <w:tc>
          <w:tcPr>
            <w:tcW w:w="202" w:type="pct"/>
            <w:tcBorders>
              <w:top w:val="nil"/>
              <w:left w:val="nil"/>
              <w:bottom w:val="nil"/>
              <w:right w:val="nil"/>
            </w:tcBorders>
            <w:noWrap/>
            <w:vAlign w:val="bottom"/>
            <w:hideMark/>
          </w:tcPr>
          <w:p w14:paraId="4CF222A4"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0027DCC7"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144D60B0"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778301B9"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77E610D8"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50211D70"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21732BFA" w14:textId="77777777" w:rsidR="005B7178" w:rsidRPr="00EB2752" w:rsidRDefault="005B7178">
            <w:pPr>
              <w:spacing w:before="0" w:after="0"/>
              <w:jc w:val="left"/>
              <w:rPr>
                <w:rFonts w:eastAsia="Times New Roman"/>
                <w:noProof/>
                <w:sz w:val="20"/>
                <w:szCs w:val="20"/>
                <w:lang w:val="en-IE" w:eastAsia="en-IE"/>
              </w:rPr>
            </w:pPr>
          </w:p>
        </w:tc>
        <w:tc>
          <w:tcPr>
            <w:tcW w:w="259" w:type="pct"/>
            <w:tcBorders>
              <w:top w:val="nil"/>
              <w:left w:val="nil"/>
              <w:bottom w:val="nil"/>
              <w:right w:val="nil"/>
            </w:tcBorders>
            <w:noWrap/>
            <w:vAlign w:val="bottom"/>
            <w:hideMark/>
          </w:tcPr>
          <w:p w14:paraId="5A6AEAF0" w14:textId="77777777" w:rsidR="005B7178" w:rsidRPr="00EB2752" w:rsidRDefault="005B7178">
            <w:pPr>
              <w:spacing w:before="0" w:after="0"/>
              <w:jc w:val="left"/>
              <w:rPr>
                <w:rFonts w:eastAsia="Times New Roman"/>
                <w:noProof/>
                <w:sz w:val="20"/>
                <w:szCs w:val="20"/>
                <w:lang w:val="en-IE" w:eastAsia="en-IE"/>
              </w:rPr>
            </w:pPr>
          </w:p>
        </w:tc>
        <w:tc>
          <w:tcPr>
            <w:tcW w:w="310" w:type="pct"/>
            <w:tcBorders>
              <w:top w:val="nil"/>
              <w:left w:val="nil"/>
              <w:bottom w:val="nil"/>
              <w:right w:val="nil"/>
            </w:tcBorders>
            <w:noWrap/>
            <w:vAlign w:val="bottom"/>
            <w:hideMark/>
          </w:tcPr>
          <w:p w14:paraId="52C3E037" w14:textId="77777777" w:rsidR="005B7178" w:rsidRPr="00EB2752" w:rsidRDefault="005B7178">
            <w:pPr>
              <w:spacing w:before="0" w:after="0"/>
              <w:jc w:val="left"/>
              <w:rPr>
                <w:rFonts w:eastAsia="Times New Roman"/>
                <w:noProof/>
                <w:sz w:val="20"/>
                <w:szCs w:val="20"/>
                <w:lang w:val="en-IE" w:eastAsia="en-IE"/>
              </w:rPr>
            </w:pPr>
          </w:p>
        </w:tc>
      </w:tr>
      <w:tr w:rsidR="00EB6F88" w:rsidRPr="00EB2752" w14:paraId="13EE12B6" w14:textId="77777777" w:rsidTr="00CF173C">
        <w:trPr>
          <w:trHeight w:val="300"/>
        </w:trPr>
        <w:tc>
          <w:tcPr>
            <w:tcW w:w="2473" w:type="pct"/>
            <w:gridSpan w:val="2"/>
            <w:tcBorders>
              <w:top w:val="single" w:sz="8" w:space="0" w:color="auto"/>
              <w:left w:val="single" w:sz="8" w:space="0" w:color="auto"/>
              <w:bottom w:val="single" w:sz="8" w:space="0" w:color="auto"/>
              <w:right w:val="single" w:sz="8" w:space="0" w:color="000000" w:themeColor="text1"/>
            </w:tcBorders>
            <w:shd w:val="clear" w:color="auto" w:fill="E6E6E6"/>
            <w:vAlign w:val="center"/>
            <w:hideMark/>
          </w:tcPr>
          <w:p w14:paraId="4A033520" w14:textId="77777777" w:rsidR="005B7178" w:rsidRPr="00EB2752" w:rsidRDefault="005B7178">
            <w:pPr>
              <w:spacing w:before="0" w:after="0"/>
              <w:jc w:val="center"/>
              <w:rPr>
                <w:rFonts w:eastAsia="Times New Roman"/>
                <w:b/>
                <w:bCs/>
                <w:noProof/>
                <w:color w:val="000000"/>
                <w:sz w:val="22"/>
                <w:lang w:val="en-IE" w:eastAsia="en-IE"/>
              </w:rPr>
            </w:pPr>
            <w:r w:rsidRPr="17706546">
              <w:rPr>
                <w:rFonts w:eastAsia="Times New Roman"/>
                <w:b/>
                <w:bCs/>
                <w:noProof/>
                <w:color w:val="000000" w:themeColor="text1"/>
                <w:sz w:val="22"/>
                <w:lang w:val="en-IE" w:eastAsia="en-IE"/>
              </w:rPr>
              <w:t xml:space="preserve">TOTAL appropriations under HEADING 4 of the multiannual financial framework </w:t>
            </w:r>
          </w:p>
        </w:tc>
        <w:tc>
          <w:tcPr>
            <w:tcW w:w="404" w:type="pct"/>
            <w:gridSpan w:val="2"/>
            <w:tcBorders>
              <w:top w:val="single" w:sz="8" w:space="0" w:color="auto"/>
              <w:left w:val="nil"/>
              <w:bottom w:val="single" w:sz="8" w:space="0" w:color="auto"/>
              <w:right w:val="single" w:sz="8" w:space="0" w:color="000000" w:themeColor="text1"/>
            </w:tcBorders>
            <w:vAlign w:val="center"/>
            <w:hideMark/>
          </w:tcPr>
          <w:p w14:paraId="7819F66C" w14:textId="77777777" w:rsidR="005B7178" w:rsidRPr="00EB2752" w:rsidRDefault="005B7178">
            <w:pPr>
              <w:spacing w:before="0" w:after="0"/>
              <w:jc w:val="center"/>
              <w:rPr>
                <w:rFonts w:eastAsia="Times New Roman"/>
                <w:noProof/>
                <w:color w:val="000000"/>
                <w:sz w:val="18"/>
                <w:szCs w:val="18"/>
                <w:lang w:val="en-IE" w:eastAsia="en-IE"/>
              </w:rPr>
            </w:pPr>
            <w:r w:rsidRPr="00EB2752">
              <w:rPr>
                <w:rFonts w:eastAsia="Times New Roman"/>
                <w:noProof/>
                <w:color w:val="000000"/>
                <w:sz w:val="18"/>
                <w:szCs w:val="18"/>
                <w:lang w:val="en-IE" w:eastAsia="en-IE"/>
              </w:rPr>
              <w:t xml:space="preserve">(Total commitments = Total </w:t>
            </w:r>
            <w:r w:rsidRPr="00EB2752">
              <w:rPr>
                <w:rFonts w:eastAsia="Times New Roman"/>
                <w:noProof/>
                <w:color w:val="000000"/>
                <w:sz w:val="18"/>
                <w:szCs w:val="18"/>
                <w:lang w:val="en-IE" w:eastAsia="en-IE"/>
              </w:rPr>
              <w:lastRenderedPageBreak/>
              <w:t>payments)</w:t>
            </w:r>
          </w:p>
        </w:tc>
        <w:tc>
          <w:tcPr>
            <w:tcW w:w="2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70F795C"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lastRenderedPageBreak/>
              <w:t>0</w:t>
            </w:r>
          </w:p>
        </w:tc>
        <w:tc>
          <w:tcPr>
            <w:tcW w:w="2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7AF7618"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0</w:t>
            </w:r>
          </w:p>
        </w:tc>
        <w:tc>
          <w:tcPr>
            <w:tcW w:w="2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1524EFC"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0</w:t>
            </w:r>
          </w:p>
        </w:tc>
        <w:tc>
          <w:tcPr>
            <w:tcW w:w="2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DACF256"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0</w:t>
            </w:r>
          </w:p>
        </w:tc>
        <w:tc>
          <w:tcPr>
            <w:tcW w:w="2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ED9B073"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0</w:t>
            </w:r>
          </w:p>
        </w:tc>
        <w:tc>
          <w:tcPr>
            <w:tcW w:w="2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52F222"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0</w:t>
            </w:r>
          </w:p>
        </w:tc>
        <w:tc>
          <w:tcPr>
            <w:tcW w:w="2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1FF1B2"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0</w:t>
            </w:r>
          </w:p>
        </w:tc>
        <w:tc>
          <w:tcPr>
            <w:tcW w:w="310"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9881082" w14:textId="77777777" w:rsidR="005B7178" w:rsidRPr="00EB2752" w:rsidRDefault="005B7178">
            <w:pPr>
              <w:spacing w:before="0" w:after="0"/>
              <w:jc w:val="right"/>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0</w:t>
            </w:r>
          </w:p>
        </w:tc>
      </w:tr>
    </w:tbl>
    <w:p w14:paraId="2F508E89" w14:textId="77777777" w:rsidR="005B7178" w:rsidRPr="003A769F" w:rsidRDefault="005B7178" w:rsidP="00EB6F88">
      <w:pPr>
        <w:jc w:val="right"/>
        <w:rPr>
          <w:noProof/>
          <w:sz w:val="20"/>
          <w:lang w:val="en-IE"/>
        </w:rPr>
      </w:pPr>
      <w:r w:rsidRPr="003A769F">
        <w:rPr>
          <w:noProof/>
          <w:sz w:val="20"/>
          <w:lang w:val="en-IE"/>
        </w:rPr>
        <w:t xml:space="preserve">EUR million (to </w:t>
      </w:r>
      <w:r w:rsidRPr="003A769F">
        <w:rPr>
          <w:noProof/>
          <w:sz w:val="20"/>
          <w:lang w:val="en-IE"/>
        </w:rPr>
        <w:t>three decimal places)</w:t>
      </w:r>
    </w:p>
    <w:tbl>
      <w:tblPr>
        <w:tblW w:w="5000" w:type="pct"/>
        <w:tblLook w:val="04A0" w:firstRow="1" w:lastRow="0" w:firstColumn="1" w:lastColumn="0" w:noHBand="0" w:noVBand="1"/>
      </w:tblPr>
      <w:tblGrid>
        <w:gridCol w:w="2460"/>
        <w:gridCol w:w="1878"/>
        <w:gridCol w:w="1257"/>
        <w:gridCol w:w="1257"/>
        <w:gridCol w:w="1260"/>
        <w:gridCol w:w="1260"/>
        <w:gridCol w:w="1260"/>
        <w:gridCol w:w="1260"/>
        <w:gridCol w:w="1260"/>
        <w:gridCol w:w="1400"/>
      </w:tblGrid>
      <w:tr w:rsidR="00EB6F88" w:rsidRPr="00EB2752" w14:paraId="5A867E1F" w14:textId="77777777" w:rsidTr="005135EE">
        <w:trPr>
          <w:trHeight w:val="410"/>
        </w:trPr>
        <w:tc>
          <w:tcPr>
            <w:tcW w:w="1489" w:type="pct"/>
            <w:gridSpan w:val="2"/>
            <w:vMerge w:val="restart"/>
            <w:tcBorders>
              <w:top w:val="single" w:sz="8" w:space="0" w:color="auto"/>
              <w:left w:val="single" w:sz="8" w:space="0" w:color="auto"/>
              <w:bottom w:val="single" w:sz="8" w:space="0" w:color="000000" w:themeColor="text1"/>
              <w:right w:val="single" w:sz="8" w:space="0" w:color="000000" w:themeColor="text1"/>
            </w:tcBorders>
            <w:vAlign w:val="center"/>
            <w:hideMark/>
          </w:tcPr>
          <w:p w14:paraId="4078DD02" w14:textId="77777777" w:rsidR="005B7178" w:rsidRPr="00EB2752" w:rsidRDefault="005B7178">
            <w:pPr>
              <w:spacing w:before="0" w:after="0"/>
              <w:jc w:val="center"/>
              <w:rPr>
                <w:rFonts w:eastAsia="Times New Roman"/>
                <w:noProof/>
                <w:color w:val="000000"/>
                <w:szCs w:val="24"/>
                <w:lang w:val="en-IE" w:eastAsia="en-IE"/>
              </w:rPr>
            </w:pPr>
            <w:r w:rsidRPr="00EB2752">
              <w:rPr>
                <w:rFonts w:eastAsia="Times New Roman"/>
                <w:noProof/>
                <w:color w:val="000000"/>
                <w:szCs w:val="24"/>
                <w:lang w:val="en-IE" w:eastAsia="en-IE"/>
              </w:rPr>
              <w:t> </w:t>
            </w:r>
          </w:p>
        </w:tc>
        <w:tc>
          <w:tcPr>
            <w:tcW w:w="432" w:type="pct"/>
            <w:tcBorders>
              <w:top w:val="single" w:sz="8" w:space="0" w:color="auto"/>
              <w:left w:val="nil"/>
              <w:bottom w:val="nil"/>
              <w:right w:val="single" w:sz="8" w:space="0" w:color="auto"/>
            </w:tcBorders>
            <w:vAlign w:val="center"/>
            <w:hideMark/>
          </w:tcPr>
          <w:p w14:paraId="77C37B40"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432" w:type="pct"/>
            <w:tcBorders>
              <w:top w:val="single" w:sz="8" w:space="0" w:color="auto"/>
              <w:left w:val="nil"/>
              <w:bottom w:val="nil"/>
              <w:right w:val="single" w:sz="8" w:space="0" w:color="auto"/>
            </w:tcBorders>
            <w:vAlign w:val="center"/>
            <w:hideMark/>
          </w:tcPr>
          <w:p w14:paraId="215C4B2D"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433" w:type="pct"/>
            <w:tcBorders>
              <w:top w:val="single" w:sz="8" w:space="0" w:color="auto"/>
              <w:left w:val="nil"/>
              <w:bottom w:val="nil"/>
              <w:right w:val="single" w:sz="8" w:space="0" w:color="auto"/>
            </w:tcBorders>
            <w:vAlign w:val="center"/>
            <w:hideMark/>
          </w:tcPr>
          <w:p w14:paraId="6CBCB9D0"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433" w:type="pct"/>
            <w:tcBorders>
              <w:top w:val="single" w:sz="8" w:space="0" w:color="auto"/>
              <w:left w:val="nil"/>
              <w:bottom w:val="nil"/>
              <w:right w:val="single" w:sz="8" w:space="0" w:color="auto"/>
            </w:tcBorders>
            <w:vAlign w:val="center"/>
            <w:hideMark/>
          </w:tcPr>
          <w:p w14:paraId="1F3150CF"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433" w:type="pct"/>
            <w:tcBorders>
              <w:top w:val="single" w:sz="8" w:space="0" w:color="auto"/>
              <w:left w:val="nil"/>
              <w:bottom w:val="nil"/>
              <w:right w:val="single" w:sz="8" w:space="0" w:color="auto"/>
            </w:tcBorders>
            <w:vAlign w:val="center"/>
            <w:hideMark/>
          </w:tcPr>
          <w:p w14:paraId="41F5CC92"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433" w:type="pct"/>
            <w:tcBorders>
              <w:top w:val="single" w:sz="8" w:space="0" w:color="auto"/>
              <w:left w:val="nil"/>
              <w:bottom w:val="nil"/>
              <w:right w:val="single" w:sz="8" w:space="0" w:color="auto"/>
            </w:tcBorders>
            <w:vAlign w:val="center"/>
            <w:hideMark/>
          </w:tcPr>
          <w:p w14:paraId="0DB5DFCC"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433" w:type="pct"/>
            <w:tcBorders>
              <w:top w:val="single" w:sz="8" w:space="0" w:color="auto"/>
              <w:left w:val="nil"/>
              <w:bottom w:val="nil"/>
              <w:right w:val="single" w:sz="8" w:space="0" w:color="auto"/>
            </w:tcBorders>
            <w:vAlign w:val="center"/>
            <w:hideMark/>
          </w:tcPr>
          <w:p w14:paraId="15575806" w14:textId="77777777" w:rsidR="005B7178" w:rsidRPr="00EB2752" w:rsidRDefault="005B7178">
            <w:pPr>
              <w:spacing w:before="0" w:after="0"/>
              <w:jc w:val="center"/>
              <w:rPr>
                <w:rFonts w:eastAsia="Times New Roman"/>
                <w:noProof/>
                <w:color w:val="000000"/>
                <w:sz w:val="20"/>
                <w:szCs w:val="20"/>
                <w:lang w:val="en-IE" w:eastAsia="en-IE"/>
              </w:rPr>
            </w:pPr>
            <w:r w:rsidRPr="00EB2752">
              <w:rPr>
                <w:rFonts w:eastAsia="Times New Roman"/>
                <w:noProof/>
                <w:color w:val="000000"/>
                <w:sz w:val="20"/>
                <w:szCs w:val="20"/>
                <w:lang w:val="en-IE" w:eastAsia="en-IE"/>
              </w:rPr>
              <w:t>Year</w:t>
            </w:r>
          </w:p>
        </w:tc>
        <w:tc>
          <w:tcPr>
            <w:tcW w:w="481" w:type="pct"/>
            <w:vMerge w:val="restart"/>
            <w:tcBorders>
              <w:top w:val="single" w:sz="8" w:space="0" w:color="auto"/>
              <w:left w:val="single" w:sz="8" w:space="0" w:color="auto"/>
              <w:bottom w:val="single" w:sz="8" w:space="0" w:color="000000" w:themeColor="text1"/>
              <w:right w:val="single" w:sz="8" w:space="0" w:color="auto"/>
            </w:tcBorders>
            <w:vAlign w:val="center"/>
            <w:hideMark/>
          </w:tcPr>
          <w:p w14:paraId="52D89986"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TOTAL MFF 2028-2034</w:t>
            </w:r>
          </w:p>
        </w:tc>
      </w:tr>
      <w:tr w:rsidR="00EB6F88" w:rsidRPr="00EB2752" w14:paraId="72DEB3CD" w14:textId="77777777" w:rsidTr="005135EE">
        <w:trPr>
          <w:trHeight w:val="300"/>
        </w:trPr>
        <w:tc>
          <w:tcPr>
            <w:tcW w:w="1489" w:type="pct"/>
            <w:gridSpan w:val="2"/>
            <w:vMerge/>
            <w:vAlign w:val="center"/>
            <w:hideMark/>
          </w:tcPr>
          <w:p w14:paraId="74A1604C" w14:textId="77777777" w:rsidR="005B7178" w:rsidRPr="00EB2752" w:rsidRDefault="005B7178">
            <w:pPr>
              <w:spacing w:before="0" w:after="0"/>
              <w:jc w:val="left"/>
              <w:rPr>
                <w:rFonts w:eastAsia="Times New Roman"/>
                <w:noProof/>
                <w:color w:val="000000"/>
                <w:szCs w:val="24"/>
                <w:lang w:val="en-IE" w:eastAsia="en-IE"/>
              </w:rPr>
            </w:pPr>
          </w:p>
        </w:tc>
        <w:tc>
          <w:tcPr>
            <w:tcW w:w="432" w:type="pct"/>
            <w:tcBorders>
              <w:top w:val="nil"/>
              <w:left w:val="nil"/>
              <w:bottom w:val="single" w:sz="8" w:space="0" w:color="auto"/>
              <w:right w:val="single" w:sz="8" w:space="0" w:color="auto"/>
            </w:tcBorders>
            <w:vAlign w:val="center"/>
            <w:hideMark/>
          </w:tcPr>
          <w:p w14:paraId="6DF8392B"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2028</w:t>
            </w:r>
          </w:p>
        </w:tc>
        <w:tc>
          <w:tcPr>
            <w:tcW w:w="432" w:type="pct"/>
            <w:tcBorders>
              <w:top w:val="nil"/>
              <w:left w:val="nil"/>
              <w:bottom w:val="single" w:sz="8" w:space="0" w:color="auto"/>
              <w:right w:val="single" w:sz="8" w:space="0" w:color="auto"/>
            </w:tcBorders>
            <w:vAlign w:val="center"/>
            <w:hideMark/>
          </w:tcPr>
          <w:p w14:paraId="66B626AC"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2029</w:t>
            </w:r>
          </w:p>
        </w:tc>
        <w:tc>
          <w:tcPr>
            <w:tcW w:w="433" w:type="pct"/>
            <w:tcBorders>
              <w:top w:val="nil"/>
              <w:left w:val="nil"/>
              <w:bottom w:val="single" w:sz="8" w:space="0" w:color="auto"/>
              <w:right w:val="single" w:sz="8" w:space="0" w:color="auto"/>
            </w:tcBorders>
            <w:vAlign w:val="center"/>
            <w:hideMark/>
          </w:tcPr>
          <w:p w14:paraId="74F67EA8"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2030</w:t>
            </w:r>
          </w:p>
        </w:tc>
        <w:tc>
          <w:tcPr>
            <w:tcW w:w="433" w:type="pct"/>
            <w:tcBorders>
              <w:top w:val="nil"/>
              <w:left w:val="nil"/>
              <w:bottom w:val="single" w:sz="8" w:space="0" w:color="auto"/>
              <w:right w:val="single" w:sz="8" w:space="0" w:color="auto"/>
            </w:tcBorders>
            <w:vAlign w:val="center"/>
            <w:hideMark/>
          </w:tcPr>
          <w:p w14:paraId="2F65DBA2"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2031</w:t>
            </w:r>
          </w:p>
        </w:tc>
        <w:tc>
          <w:tcPr>
            <w:tcW w:w="433" w:type="pct"/>
            <w:tcBorders>
              <w:top w:val="nil"/>
              <w:left w:val="nil"/>
              <w:bottom w:val="single" w:sz="8" w:space="0" w:color="auto"/>
              <w:right w:val="single" w:sz="8" w:space="0" w:color="auto"/>
            </w:tcBorders>
            <w:vAlign w:val="center"/>
            <w:hideMark/>
          </w:tcPr>
          <w:p w14:paraId="71A79F34"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2032</w:t>
            </w:r>
          </w:p>
        </w:tc>
        <w:tc>
          <w:tcPr>
            <w:tcW w:w="433" w:type="pct"/>
            <w:tcBorders>
              <w:top w:val="nil"/>
              <w:left w:val="nil"/>
              <w:bottom w:val="single" w:sz="8" w:space="0" w:color="auto"/>
              <w:right w:val="single" w:sz="8" w:space="0" w:color="auto"/>
            </w:tcBorders>
            <w:vAlign w:val="center"/>
            <w:hideMark/>
          </w:tcPr>
          <w:p w14:paraId="4693876D"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2033</w:t>
            </w:r>
          </w:p>
        </w:tc>
        <w:tc>
          <w:tcPr>
            <w:tcW w:w="433" w:type="pct"/>
            <w:tcBorders>
              <w:top w:val="nil"/>
              <w:left w:val="nil"/>
              <w:bottom w:val="single" w:sz="8" w:space="0" w:color="auto"/>
              <w:right w:val="single" w:sz="8" w:space="0" w:color="auto"/>
            </w:tcBorders>
            <w:vAlign w:val="center"/>
            <w:hideMark/>
          </w:tcPr>
          <w:p w14:paraId="24BF2C0D" w14:textId="77777777" w:rsidR="005B7178" w:rsidRPr="00EB2752" w:rsidRDefault="005B7178">
            <w:pPr>
              <w:spacing w:before="0" w:after="0"/>
              <w:jc w:val="center"/>
              <w:rPr>
                <w:rFonts w:eastAsia="Times New Roman"/>
                <w:b/>
                <w:bCs/>
                <w:noProof/>
                <w:color w:val="000000"/>
                <w:sz w:val="20"/>
                <w:szCs w:val="20"/>
                <w:lang w:val="en-IE" w:eastAsia="en-IE"/>
              </w:rPr>
            </w:pPr>
            <w:r w:rsidRPr="00EB2752">
              <w:rPr>
                <w:rFonts w:eastAsia="Times New Roman"/>
                <w:b/>
                <w:bCs/>
                <w:noProof/>
                <w:color w:val="000000"/>
                <w:sz w:val="20"/>
                <w:szCs w:val="20"/>
                <w:lang w:val="en-IE" w:eastAsia="en-IE"/>
              </w:rPr>
              <w:t>2034</w:t>
            </w:r>
          </w:p>
        </w:tc>
        <w:tc>
          <w:tcPr>
            <w:tcW w:w="481" w:type="pct"/>
            <w:vMerge/>
            <w:vAlign w:val="center"/>
            <w:hideMark/>
          </w:tcPr>
          <w:p w14:paraId="5509C530" w14:textId="77777777" w:rsidR="005B7178" w:rsidRPr="00EB2752" w:rsidRDefault="005B7178">
            <w:pPr>
              <w:spacing w:before="0" w:after="0"/>
              <w:jc w:val="left"/>
              <w:rPr>
                <w:rFonts w:eastAsia="Times New Roman"/>
                <w:b/>
                <w:bCs/>
                <w:noProof/>
                <w:color w:val="000000"/>
                <w:sz w:val="20"/>
                <w:szCs w:val="20"/>
                <w:lang w:val="en-IE" w:eastAsia="en-IE"/>
              </w:rPr>
            </w:pPr>
          </w:p>
        </w:tc>
      </w:tr>
      <w:tr w:rsidR="005135EE" w:rsidRPr="00EB2752" w14:paraId="17371CA5" w14:textId="77777777" w:rsidTr="005135EE">
        <w:trPr>
          <w:trHeight w:val="418"/>
        </w:trPr>
        <w:tc>
          <w:tcPr>
            <w:tcW w:w="845" w:type="pct"/>
            <w:tcBorders>
              <w:top w:val="nil"/>
              <w:left w:val="single" w:sz="8" w:space="0" w:color="auto"/>
              <w:bottom w:val="single" w:sz="8" w:space="0" w:color="auto"/>
              <w:right w:val="single" w:sz="8" w:space="0" w:color="000000" w:themeColor="text1"/>
            </w:tcBorders>
            <w:shd w:val="clear" w:color="auto" w:fill="C0C0C0"/>
            <w:vAlign w:val="center"/>
            <w:hideMark/>
          </w:tcPr>
          <w:p w14:paraId="64A4B8DB" w14:textId="77777777" w:rsidR="005B7178" w:rsidRPr="00EB2752" w:rsidRDefault="005B7178" w:rsidP="005135EE">
            <w:pPr>
              <w:spacing w:before="0" w:after="0"/>
              <w:jc w:val="center"/>
              <w:rPr>
                <w:rFonts w:eastAsia="Times New Roman"/>
                <w:b/>
                <w:bCs/>
                <w:noProof/>
                <w:color w:val="000000"/>
                <w:sz w:val="22"/>
                <w:lang w:val="en-IE" w:eastAsia="en-IE"/>
              </w:rPr>
            </w:pPr>
            <w:r w:rsidRPr="1062AEA3">
              <w:rPr>
                <w:rFonts w:eastAsia="Times New Roman"/>
                <w:b/>
                <w:bCs/>
                <w:noProof/>
                <w:color w:val="000000" w:themeColor="text1"/>
                <w:sz w:val="22"/>
                <w:lang w:val="en-IE" w:eastAsia="en-IE"/>
              </w:rPr>
              <w:t>TOTAL appropriations under HEADINGS 1 to 4</w:t>
            </w:r>
          </w:p>
        </w:tc>
        <w:tc>
          <w:tcPr>
            <w:tcW w:w="645" w:type="pct"/>
            <w:tcBorders>
              <w:top w:val="nil"/>
              <w:left w:val="nil"/>
              <w:bottom w:val="single" w:sz="8" w:space="0" w:color="auto"/>
              <w:right w:val="single" w:sz="8" w:space="0" w:color="auto"/>
            </w:tcBorders>
            <w:vAlign w:val="center"/>
            <w:hideMark/>
          </w:tcPr>
          <w:p w14:paraId="1E548D4A" w14:textId="77777777" w:rsidR="005B7178" w:rsidRPr="00EB2752" w:rsidRDefault="005B7178" w:rsidP="005135EE">
            <w:pPr>
              <w:spacing w:before="0" w:after="0"/>
              <w:rPr>
                <w:rFonts w:eastAsia="Times New Roman"/>
                <w:noProof/>
                <w:color w:val="000000"/>
                <w:sz w:val="18"/>
                <w:szCs w:val="18"/>
                <w:lang w:val="en-IE" w:eastAsia="en-IE"/>
              </w:rPr>
            </w:pPr>
            <w:r w:rsidRPr="00EB2752">
              <w:rPr>
                <w:rFonts w:eastAsia="Times New Roman"/>
                <w:noProof/>
                <w:color w:val="000000"/>
                <w:sz w:val="18"/>
                <w:szCs w:val="18"/>
                <w:lang w:val="en-IE" w:eastAsia="en-IE"/>
              </w:rPr>
              <w:t>Commitments</w:t>
            </w:r>
          </w:p>
        </w:tc>
        <w:tc>
          <w:tcPr>
            <w:tcW w:w="432" w:type="pct"/>
            <w:tcBorders>
              <w:top w:val="nil"/>
              <w:left w:val="nil"/>
              <w:bottom w:val="single" w:sz="8" w:space="0" w:color="auto"/>
              <w:right w:val="single" w:sz="8" w:space="0" w:color="auto"/>
            </w:tcBorders>
            <w:shd w:val="clear" w:color="auto" w:fill="D9D9D9" w:themeFill="background1" w:themeFillShade="D9"/>
            <w:vAlign w:val="center"/>
            <w:hideMark/>
          </w:tcPr>
          <w:p w14:paraId="2CBD20A8"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2" w:type="pct"/>
            <w:tcBorders>
              <w:top w:val="nil"/>
              <w:left w:val="nil"/>
              <w:bottom w:val="single" w:sz="8" w:space="0" w:color="auto"/>
              <w:right w:val="single" w:sz="8" w:space="0" w:color="auto"/>
            </w:tcBorders>
            <w:shd w:val="clear" w:color="auto" w:fill="D9D9D9" w:themeFill="background1" w:themeFillShade="D9"/>
            <w:vAlign w:val="center"/>
            <w:hideMark/>
          </w:tcPr>
          <w:p w14:paraId="6E9A9F86"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3CE6D75C"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7EE0ABAD"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0C270217"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4F87D1BE"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2886585E"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81" w:type="pct"/>
            <w:tcBorders>
              <w:top w:val="nil"/>
              <w:left w:val="nil"/>
              <w:bottom w:val="single" w:sz="8" w:space="0" w:color="auto"/>
              <w:right w:val="single" w:sz="8" w:space="0" w:color="auto"/>
            </w:tcBorders>
            <w:shd w:val="clear" w:color="auto" w:fill="D9D9D9" w:themeFill="background1" w:themeFillShade="D9"/>
            <w:vAlign w:val="center"/>
            <w:hideMark/>
          </w:tcPr>
          <w:p w14:paraId="44F8C8AB"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b/>
                <w:bCs/>
                <w:noProof/>
                <w:color w:val="000000"/>
                <w:sz w:val="20"/>
                <w:szCs w:val="20"/>
                <w:lang w:val="en-IE" w:eastAsia="en-IE"/>
              </w:rPr>
              <w:t>pm</w:t>
            </w:r>
          </w:p>
        </w:tc>
      </w:tr>
      <w:tr w:rsidR="005135EE" w:rsidRPr="00EB2752" w14:paraId="5F715061" w14:textId="77777777" w:rsidTr="005135EE">
        <w:trPr>
          <w:trHeight w:val="418"/>
        </w:trPr>
        <w:tc>
          <w:tcPr>
            <w:tcW w:w="845" w:type="pct"/>
            <w:tcBorders>
              <w:top w:val="nil"/>
              <w:left w:val="single" w:sz="8" w:space="0" w:color="auto"/>
              <w:bottom w:val="single" w:sz="8" w:space="0" w:color="auto"/>
              <w:right w:val="single" w:sz="8" w:space="0" w:color="000000" w:themeColor="text1"/>
            </w:tcBorders>
            <w:shd w:val="clear" w:color="auto" w:fill="C0C0C0"/>
            <w:vAlign w:val="center"/>
            <w:hideMark/>
          </w:tcPr>
          <w:p w14:paraId="38529539" w14:textId="77777777" w:rsidR="005B7178" w:rsidRPr="00EB2752" w:rsidRDefault="005B7178" w:rsidP="005135EE">
            <w:pPr>
              <w:spacing w:before="0" w:after="0"/>
              <w:jc w:val="center"/>
              <w:rPr>
                <w:rFonts w:eastAsia="Times New Roman"/>
                <w:noProof/>
                <w:color w:val="000000"/>
                <w:sz w:val="22"/>
                <w:lang w:val="en-IE" w:eastAsia="en-IE"/>
              </w:rPr>
            </w:pPr>
            <w:r w:rsidRPr="00EB2752">
              <w:rPr>
                <w:rFonts w:eastAsia="Times New Roman"/>
                <w:noProof/>
                <w:color w:val="000000"/>
                <w:sz w:val="22"/>
                <w:lang w:val="en-IE" w:eastAsia="en-IE"/>
              </w:rPr>
              <w:t>of the multiannual financial framework</w:t>
            </w:r>
            <w:r w:rsidRPr="00EB2752">
              <w:rPr>
                <w:rFonts w:eastAsia="Times New Roman"/>
                <w:b/>
                <w:bCs/>
                <w:noProof/>
                <w:color w:val="000000"/>
                <w:sz w:val="22"/>
                <w:lang w:val="en-IE" w:eastAsia="en-IE"/>
              </w:rPr>
              <w:t xml:space="preserve"> </w:t>
            </w:r>
          </w:p>
        </w:tc>
        <w:tc>
          <w:tcPr>
            <w:tcW w:w="645" w:type="pct"/>
            <w:tcBorders>
              <w:top w:val="nil"/>
              <w:left w:val="nil"/>
              <w:bottom w:val="single" w:sz="8" w:space="0" w:color="auto"/>
              <w:right w:val="single" w:sz="8" w:space="0" w:color="auto"/>
            </w:tcBorders>
            <w:vAlign w:val="center"/>
            <w:hideMark/>
          </w:tcPr>
          <w:p w14:paraId="533376C9" w14:textId="77777777" w:rsidR="005B7178" w:rsidRPr="00EB2752" w:rsidRDefault="005B7178" w:rsidP="005135EE">
            <w:pPr>
              <w:spacing w:before="0" w:after="0"/>
              <w:rPr>
                <w:rFonts w:eastAsia="Times New Roman"/>
                <w:noProof/>
                <w:color w:val="000000"/>
                <w:sz w:val="18"/>
                <w:szCs w:val="18"/>
                <w:lang w:val="en-IE" w:eastAsia="en-IE"/>
              </w:rPr>
            </w:pPr>
            <w:r w:rsidRPr="00EB2752">
              <w:rPr>
                <w:rFonts w:eastAsia="Times New Roman"/>
                <w:noProof/>
                <w:color w:val="000000"/>
                <w:sz w:val="18"/>
                <w:szCs w:val="18"/>
                <w:lang w:val="en-IE" w:eastAsia="en-IE"/>
              </w:rPr>
              <w:t>Payments</w:t>
            </w:r>
          </w:p>
        </w:tc>
        <w:tc>
          <w:tcPr>
            <w:tcW w:w="432" w:type="pct"/>
            <w:tcBorders>
              <w:top w:val="nil"/>
              <w:left w:val="nil"/>
              <w:bottom w:val="single" w:sz="8" w:space="0" w:color="auto"/>
              <w:right w:val="single" w:sz="8" w:space="0" w:color="auto"/>
            </w:tcBorders>
            <w:shd w:val="clear" w:color="auto" w:fill="D9D9D9" w:themeFill="background1" w:themeFillShade="D9"/>
            <w:vAlign w:val="center"/>
            <w:hideMark/>
          </w:tcPr>
          <w:p w14:paraId="7860D701"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2" w:type="pct"/>
            <w:tcBorders>
              <w:top w:val="nil"/>
              <w:left w:val="nil"/>
              <w:bottom w:val="single" w:sz="8" w:space="0" w:color="auto"/>
              <w:right w:val="single" w:sz="8" w:space="0" w:color="auto"/>
            </w:tcBorders>
            <w:shd w:val="clear" w:color="auto" w:fill="D9D9D9" w:themeFill="background1" w:themeFillShade="D9"/>
            <w:vAlign w:val="center"/>
            <w:hideMark/>
          </w:tcPr>
          <w:p w14:paraId="36254756"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4F2E7F64"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45D9EE4D"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5497EB0B"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6320F47D"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33" w:type="pct"/>
            <w:tcBorders>
              <w:top w:val="nil"/>
              <w:left w:val="nil"/>
              <w:bottom w:val="single" w:sz="8" w:space="0" w:color="auto"/>
              <w:right w:val="single" w:sz="8" w:space="0" w:color="auto"/>
            </w:tcBorders>
            <w:shd w:val="clear" w:color="auto" w:fill="D9D9D9" w:themeFill="background1" w:themeFillShade="D9"/>
            <w:vAlign w:val="center"/>
            <w:hideMark/>
          </w:tcPr>
          <w:p w14:paraId="0250440B"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noProof/>
                <w:color w:val="000000"/>
                <w:sz w:val="20"/>
                <w:szCs w:val="20"/>
                <w:lang w:val="en-IE" w:eastAsia="en-IE"/>
              </w:rPr>
              <w:t>pm </w:t>
            </w:r>
          </w:p>
        </w:tc>
        <w:tc>
          <w:tcPr>
            <w:tcW w:w="481" w:type="pct"/>
            <w:tcBorders>
              <w:top w:val="nil"/>
              <w:left w:val="nil"/>
              <w:bottom w:val="single" w:sz="8" w:space="0" w:color="auto"/>
              <w:right w:val="single" w:sz="8" w:space="0" w:color="auto"/>
            </w:tcBorders>
            <w:shd w:val="clear" w:color="auto" w:fill="D9D9D9" w:themeFill="background1" w:themeFillShade="D9"/>
            <w:vAlign w:val="center"/>
            <w:hideMark/>
          </w:tcPr>
          <w:p w14:paraId="5C4F0B4C" w14:textId="77777777" w:rsidR="005B7178" w:rsidRPr="00EB2752" w:rsidRDefault="005B7178" w:rsidP="005135EE">
            <w:pPr>
              <w:spacing w:before="0" w:after="0"/>
              <w:jc w:val="right"/>
              <w:rPr>
                <w:rFonts w:eastAsia="Times New Roman"/>
                <w:b/>
                <w:bCs/>
                <w:noProof/>
                <w:color w:val="000000"/>
                <w:szCs w:val="24"/>
                <w:lang w:val="en-IE" w:eastAsia="en-IE"/>
              </w:rPr>
            </w:pPr>
            <w:r>
              <w:rPr>
                <w:rFonts w:eastAsia="Times New Roman"/>
                <w:b/>
                <w:bCs/>
                <w:noProof/>
                <w:color w:val="000000"/>
                <w:sz w:val="20"/>
                <w:szCs w:val="20"/>
                <w:lang w:val="en-IE" w:eastAsia="en-IE"/>
              </w:rPr>
              <w:t>pm</w:t>
            </w:r>
          </w:p>
        </w:tc>
      </w:tr>
    </w:tbl>
    <w:p w14:paraId="19258E0E" w14:textId="77777777" w:rsidR="005B7178" w:rsidRDefault="005B7178" w:rsidP="00F67E4F">
      <w:pPr>
        <w:pStyle w:val="ManualHeading3"/>
        <w:rPr>
          <w:bCs/>
          <w:noProof/>
          <w:szCs w:val="24"/>
        </w:rPr>
      </w:pPr>
      <w:r w:rsidRPr="0021790A">
        <w:rPr>
          <w:noProof/>
        </w:rPr>
        <w:t>3.2.2.</w:t>
      </w:r>
      <w:r w:rsidRPr="0021790A">
        <w:rPr>
          <w:noProof/>
        </w:rPr>
        <w:tab/>
      </w:r>
      <w:r>
        <w:rPr>
          <w:noProof/>
        </w:rPr>
        <w:t xml:space="preserve">Estimated output funded from operational </w:t>
      </w:r>
      <w:r w:rsidRPr="009C39E5">
        <w:rPr>
          <w:noProof/>
        </w:rPr>
        <w:t>appropriations (not to be completed for decentralised agencies)</w:t>
      </w:r>
    </w:p>
    <w:p w14:paraId="50C76961" w14:textId="77777777" w:rsidR="005B7178" w:rsidRPr="003E626F" w:rsidRDefault="005B7178" w:rsidP="00B66E94">
      <w:pPr>
        <w:pStyle w:val="ManualConsidrant"/>
        <w:rPr>
          <w:noProof/>
        </w:rPr>
      </w:pPr>
      <w:bookmarkStart w:id="10" w:name="_Hlk201776584"/>
      <w:r w:rsidRPr="00B66E94">
        <w:rPr>
          <w:noProof/>
        </w:rPr>
        <w:t>(42)</w:t>
      </w:r>
      <w:r w:rsidRPr="00B66E94">
        <w:rPr>
          <w:noProof/>
        </w:rPr>
        <w:tab/>
      </w:r>
      <w:r w:rsidRPr="00CF173C">
        <w:rPr>
          <w:noProof/>
        </w:rPr>
        <w:t xml:space="preserve">The output and result indicators for the purpose of monitoring progress and achievements of this programme will correspond to the common indicators provided </w:t>
      </w:r>
      <w:r w:rsidRPr="00B5333C">
        <w:rPr>
          <w:noProof/>
        </w:rPr>
        <w:t xml:space="preserve">under </w:t>
      </w:r>
      <w:r w:rsidRPr="00B5333C">
        <w:rPr>
          <w:rFonts w:eastAsia="Times New Roman"/>
          <w:noProof/>
          <w:szCs w:val="24"/>
        </w:rPr>
        <w:t>Regulation (EU) [XXX]* of the European Parliament and of the Council [</w:t>
      </w:r>
      <w:r>
        <w:rPr>
          <w:rFonts w:eastAsia="Times New Roman"/>
          <w:noProof/>
          <w:szCs w:val="24"/>
        </w:rPr>
        <w:t>P</w:t>
      </w:r>
      <w:r w:rsidRPr="00B5333C">
        <w:rPr>
          <w:rFonts w:eastAsia="Times New Roman"/>
          <w:noProof/>
          <w:szCs w:val="24"/>
        </w:rPr>
        <w:t>erformance]</w:t>
      </w:r>
      <w:r w:rsidRPr="00B5333C">
        <w:rPr>
          <w:noProof/>
        </w:rPr>
        <w:t>.</w:t>
      </w:r>
    </w:p>
    <w:bookmarkEnd w:id="10"/>
    <w:p w14:paraId="0D229438" w14:textId="77777777" w:rsidR="005B7178" w:rsidRDefault="005B7178" w:rsidP="00F67E4F">
      <w:pPr>
        <w:jc w:val="right"/>
        <w:rPr>
          <w:noProof/>
          <w:sz w:val="20"/>
          <w:lang w:val="en-IE"/>
        </w:rPr>
      </w:pPr>
    </w:p>
    <w:p w14:paraId="029CE3FE" w14:textId="77777777" w:rsidR="005B7178" w:rsidRPr="003A769F" w:rsidRDefault="005B7178" w:rsidP="00F67E4F">
      <w:pPr>
        <w:jc w:val="right"/>
        <w:rPr>
          <w:noProof/>
          <w:sz w:val="20"/>
          <w:lang w:val="en-IE"/>
        </w:rPr>
      </w:pPr>
      <w:r w:rsidRPr="003A769F">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588"/>
        <w:gridCol w:w="621"/>
        <w:gridCol w:w="648"/>
        <w:gridCol w:w="432"/>
        <w:gridCol w:w="720"/>
        <w:gridCol w:w="540"/>
        <w:gridCol w:w="720"/>
        <w:gridCol w:w="720"/>
        <w:gridCol w:w="900"/>
      </w:tblGrid>
      <w:tr w:rsidR="00F67E4F" w14:paraId="412F29E2" w14:textId="77777777">
        <w:trPr>
          <w:jc w:val="center"/>
        </w:trPr>
        <w:tc>
          <w:tcPr>
            <w:tcW w:w="1423" w:type="dxa"/>
            <w:vMerge w:val="restart"/>
            <w:vAlign w:val="center"/>
          </w:tcPr>
          <w:p w14:paraId="57E32ADD" w14:textId="77777777" w:rsidR="005B7178" w:rsidRDefault="005B7178">
            <w:pPr>
              <w:ind w:right="-29"/>
              <w:jc w:val="center"/>
              <w:rPr>
                <w:b/>
                <w:noProof/>
                <w:sz w:val="18"/>
                <w:szCs w:val="18"/>
              </w:rPr>
            </w:pPr>
            <w:r>
              <w:rPr>
                <w:b/>
                <w:noProof/>
                <w:sz w:val="18"/>
              </w:rPr>
              <w:t xml:space="preserve">Indicate objectives and outputs </w:t>
            </w:r>
          </w:p>
          <w:p w14:paraId="40F044D7" w14:textId="77777777" w:rsidR="005B7178" w:rsidRDefault="005B7178">
            <w:pPr>
              <w:ind w:right="-29"/>
              <w:jc w:val="center"/>
              <w:rPr>
                <w:b/>
                <w:noProof/>
                <w:sz w:val="18"/>
                <w:szCs w:val="18"/>
              </w:rPr>
            </w:pPr>
          </w:p>
          <w:p w14:paraId="5C8DD3CE" w14:textId="77777777" w:rsidR="005B7178" w:rsidRDefault="005B7178">
            <w:pPr>
              <w:ind w:right="-29"/>
              <w:jc w:val="center"/>
              <w:rPr>
                <w:noProof/>
                <w:sz w:val="18"/>
                <w:szCs w:val="18"/>
              </w:rPr>
            </w:pPr>
            <w:r>
              <w:rPr>
                <w:rFonts w:ascii="Wingdings" w:eastAsia="Wingdings" w:hAnsi="Wingdings" w:cs="Wingdings"/>
                <w:noProof/>
                <w:sz w:val="18"/>
              </w:rPr>
              <w:t></w:t>
            </w:r>
          </w:p>
        </w:tc>
        <w:tc>
          <w:tcPr>
            <w:tcW w:w="720" w:type="dxa"/>
            <w:vAlign w:val="center"/>
          </w:tcPr>
          <w:p w14:paraId="48036EA9" w14:textId="77777777" w:rsidR="005B7178" w:rsidRDefault="005B7178">
            <w:pPr>
              <w:ind w:right="-29"/>
              <w:jc w:val="center"/>
              <w:rPr>
                <w:noProof/>
                <w:sz w:val="18"/>
                <w:szCs w:val="18"/>
              </w:rPr>
            </w:pPr>
          </w:p>
        </w:tc>
        <w:tc>
          <w:tcPr>
            <w:tcW w:w="701" w:type="dxa"/>
            <w:vAlign w:val="center"/>
          </w:tcPr>
          <w:p w14:paraId="46B927A7" w14:textId="77777777" w:rsidR="005B7178" w:rsidRDefault="005B7178">
            <w:pPr>
              <w:ind w:right="-29"/>
              <w:jc w:val="center"/>
              <w:rPr>
                <w:noProof/>
                <w:sz w:val="18"/>
                <w:szCs w:val="18"/>
              </w:rPr>
            </w:pPr>
          </w:p>
        </w:tc>
        <w:tc>
          <w:tcPr>
            <w:tcW w:w="1224" w:type="dxa"/>
            <w:gridSpan w:val="2"/>
            <w:tcBorders>
              <w:left w:val="nil"/>
            </w:tcBorders>
            <w:vAlign w:val="center"/>
          </w:tcPr>
          <w:p w14:paraId="48331ED7" w14:textId="77777777" w:rsidR="005B7178" w:rsidRDefault="005B7178">
            <w:pPr>
              <w:ind w:right="-29"/>
              <w:jc w:val="center"/>
              <w:rPr>
                <w:noProof/>
                <w:sz w:val="18"/>
                <w:szCs w:val="18"/>
              </w:rPr>
            </w:pPr>
            <w:r>
              <w:rPr>
                <w:noProof/>
                <w:sz w:val="18"/>
              </w:rPr>
              <w:t xml:space="preserve">Year </w:t>
            </w:r>
            <w:r>
              <w:rPr>
                <w:noProof/>
                <w:sz w:val="22"/>
              </w:rPr>
              <w:br/>
            </w:r>
            <w:r>
              <w:rPr>
                <w:b/>
                <w:noProof/>
                <w:sz w:val="18"/>
              </w:rPr>
              <w:t>2028</w:t>
            </w:r>
          </w:p>
        </w:tc>
        <w:tc>
          <w:tcPr>
            <w:tcW w:w="1260" w:type="dxa"/>
            <w:gridSpan w:val="2"/>
            <w:vAlign w:val="center"/>
          </w:tcPr>
          <w:p w14:paraId="6C32EA88" w14:textId="77777777" w:rsidR="005B7178" w:rsidRDefault="005B7178">
            <w:pPr>
              <w:ind w:right="-29"/>
              <w:jc w:val="center"/>
              <w:rPr>
                <w:noProof/>
                <w:sz w:val="18"/>
                <w:szCs w:val="18"/>
              </w:rPr>
            </w:pPr>
            <w:r>
              <w:rPr>
                <w:noProof/>
                <w:sz w:val="18"/>
              </w:rPr>
              <w:t xml:space="preserve">Year </w:t>
            </w:r>
            <w:r>
              <w:rPr>
                <w:noProof/>
                <w:sz w:val="22"/>
              </w:rPr>
              <w:br/>
            </w:r>
            <w:r>
              <w:rPr>
                <w:b/>
                <w:noProof/>
                <w:sz w:val="18"/>
              </w:rPr>
              <w:t>2029</w:t>
            </w:r>
          </w:p>
        </w:tc>
        <w:tc>
          <w:tcPr>
            <w:tcW w:w="1440" w:type="dxa"/>
            <w:gridSpan w:val="2"/>
            <w:vAlign w:val="center"/>
          </w:tcPr>
          <w:p w14:paraId="785C47BB" w14:textId="77777777" w:rsidR="005B7178" w:rsidRDefault="005B7178">
            <w:pPr>
              <w:ind w:right="-29"/>
              <w:jc w:val="center"/>
              <w:rPr>
                <w:noProof/>
                <w:sz w:val="18"/>
                <w:szCs w:val="18"/>
              </w:rPr>
            </w:pPr>
            <w:r>
              <w:rPr>
                <w:noProof/>
                <w:sz w:val="18"/>
              </w:rPr>
              <w:t xml:space="preserve">Year </w:t>
            </w:r>
            <w:r>
              <w:rPr>
                <w:noProof/>
                <w:sz w:val="22"/>
              </w:rPr>
              <w:br/>
            </w:r>
            <w:r>
              <w:rPr>
                <w:b/>
                <w:noProof/>
                <w:sz w:val="18"/>
              </w:rPr>
              <w:t>2030</w:t>
            </w:r>
          </w:p>
        </w:tc>
        <w:tc>
          <w:tcPr>
            <w:tcW w:w="1539" w:type="dxa"/>
            <w:gridSpan w:val="3"/>
            <w:vAlign w:val="center"/>
          </w:tcPr>
          <w:p w14:paraId="0738D988" w14:textId="77777777" w:rsidR="005B7178" w:rsidRDefault="005B7178">
            <w:pPr>
              <w:ind w:right="-29"/>
              <w:jc w:val="center"/>
              <w:rPr>
                <w:noProof/>
                <w:sz w:val="18"/>
                <w:szCs w:val="18"/>
              </w:rPr>
            </w:pPr>
            <w:r>
              <w:rPr>
                <w:noProof/>
                <w:sz w:val="18"/>
              </w:rPr>
              <w:t xml:space="preserve">Year </w:t>
            </w:r>
            <w:r>
              <w:rPr>
                <w:noProof/>
                <w:sz w:val="22"/>
              </w:rPr>
              <w:br/>
            </w:r>
            <w:r>
              <w:rPr>
                <w:b/>
                <w:noProof/>
                <w:sz w:val="18"/>
              </w:rPr>
              <w:t>2031</w:t>
            </w:r>
          </w:p>
        </w:tc>
        <w:tc>
          <w:tcPr>
            <w:tcW w:w="3681" w:type="dxa"/>
            <w:gridSpan w:val="6"/>
            <w:vAlign w:val="center"/>
          </w:tcPr>
          <w:p w14:paraId="2AFDEEFB" w14:textId="77777777" w:rsidR="005B7178" w:rsidRPr="003A769F" w:rsidRDefault="005B7178">
            <w:pPr>
              <w:jc w:val="center"/>
              <w:rPr>
                <w:noProof/>
                <w:sz w:val="18"/>
                <w:szCs w:val="18"/>
                <w:lang w:val="en-IE"/>
              </w:rPr>
            </w:pPr>
            <w:r w:rsidRPr="003A769F">
              <w:rPr>
                <w:noProof/>
                <w:sz w:val="18"/>
                <w:lang w:val="en-IE"/>
              </w:rPr>
              <w:t xml:space="preserve">Enter as many years as necessary to show the duration of the impact (see </w:t>
            </w:r>
            <w:r>
              <w:rPr>
                <w:noProof/>
                <w:sz w:val="18"/>
                <w:lang w:val="en-IE"/>
              </w:rPr>
              <w:t>Section</w:t>
            </w:r>
            <w:r w:rsidRPr="003A769F">
              <w:rPr>
                <w:noProof/>
                <w:sz w:val="18"/>
                <w:lang w:val="en-IE"/>
              </w:rPr>
              <w:t>1.6)</w:t>
            </w:r>
          </w:p>
        </w:tc>
        <w:tc>
          <w:tcPr>
            <w:tcW w:w="1620" w:type="dxa"/>
            <w:gridSpan w:val="2"/>
            <w:tcBorders>
              <w:left w:val="nil"/>
              <w:bottom w:val="nil"/>
            </w:tcBorders>
            <w:vAlign w:val="center"/>
          </w:tcPr>
          <w:p w14:paraId="6AC5CBFA" w14:textId="77777777" w:rsidR="005B7178" w:rsidRDefault="005B7178">
            <w:pPr>
              <w:ind w:right="-29"/>
              <w:jc w:val="center"/>
              <w:rPr>
                <w:noProof/>
                <w:sz w:val="18"/>
                <w:szCs w:val="18"/>
              </w:rPr>
            </w:pPr>
            <w:r>
              <w:rPr>
                <w:b/>
                <w:noProof/>
                <w:sz w:val="18"/>
              </w:rPr>
              <w:t>TOTAL</w:t>
            </w:r>
          </w:p>
        </w:tc>
      </w:tr>
      <w:tr w:rsidR="00F67E4F" w14:paraId="253BA2C3" w14:textId="77777777">
        <w:trPr>
          <w:jc w:val="center"/>
        </w:trPr>
        <w:tc>
          <w:tcPr>
            <w:tcW w:w="1423" w:type="dxa"/>
            <w:vMerge/>
            <w:vAlign w:val="center"/>
          </w:tcPr>
          <w:p w14:paraId="4966AAE1" w14:textId="77777777" w:rsidR="005B7178" w:rsidRDefault="005B7178">
            <w:pPr>
              <w:ind w:right="-29"/>
              <w:jc w:val="center"/>
              <w:rPr>
                <w:noProof/>
                <w:sz w:val="18"/>
                <w:szCs w:val="18"/>
              </w:rPr>
            </w:pPr>
          </w:p>
        </w:tc>
        <w:tc>
          <w:tcPr>
            <w:tcW w:w="12185" w:type="dxa"/>
            <w:gridSpan w:val="19"/>
            <w:vAlign w:val="center"/>
          </w:tcPr>
          <w:p w14:paraId="02B6432C" w14:textId="77777777" w:rsidR="005B7178" w:rsidRDefault="005B7178">
            <w:pPr>
              <w:spacing w:before="60" w:after="60"/>
              <w:ind w:right="-29"/>
              <w:jc w:val="center"/>
              <w:rPr>
                <w:noProof/>
                <w:sz w:val="18"/>
                <w:szCs w:val="18"/>
              </w:rPr>
            </w:pPr>
            <w:r>
              <w:rPr>
                <w:b/>
                <w:noProof/>
                <w:sz w:val="18"/>
              </w:rPr>
              <w:t>OUTPUTS</w:t>
            </w:r>
          </w:p>
        </w:tc>
      </w:tr>
      <w:tr w:rsidR="0045284E" w14:paraId="2251255F" w14:textId="77777777" w:rsidTr="1587BADA">
        <w:trPr>
          <w:cantSplit/>
          <w:trHeight w:val="1134"/>
          <w:jc w:val="center"/>
        </w:trPr>
        <w:tc>
          <w:tcPr>
            <w:tcW w:w="1423" w:type="dxa"/>
            <w:vMerge/>
            <w:vAlign w:val="center"/>
          </w:tcPr>
          <w:p w14:paraId="7BDFDA05" w14:textId="77777777" w:rsidR="005B7178" w:rsidRDefault="005B7178">
            <w:pPr>
              <w:rPr>
                <w:noProof/>
                <w:sz w:val="18"/>
                <w:szCs w:val="18"/>
              </w:rPr>
            </w:pPr>
          </w:p>
        </w:tc>
        <w:tc>
          <w:tcPr>
            <w:tcW w:w="720" w:type="dxa"/>
            <w:vAlign w:val="center"/>
          </w:tcPr>
          <w:p w14:paraId="55BBF816" w14:textId="77777777" w:rsidR="005B7178" w:rsidRDefault="005B7178">
            <w:pPr>
              <w:jc w:val="center"/>
              <w:rPr>
                <w:noProof/>
                <w:sz w:val="18"/>
                <w:szCs w:val="18"/>
              </w:rPr>
            </w:pPr>
            <w:r w:rsidRPr="6F19C14C">
              <w:rPr>
                <w:noProof/>
                <w:sz w:val="18"/>
                <w:szCs w:val="18"/>
              </w:rPr>
              <w:t>Type</w:t>
            </w:r>
            <w:r w:rsidRPr="6F19C14C">
              <w:rPr>
                <w:rStyle w:val="Allmrkuseviide"/>
                <w:noProof/>
                <w:sz w:val="18"/>
                <w:szCs w:val="18"/>
              </w:rPr>
              <w:footnoteReference w:id="43"/>
            </w:r>
          </w:p>
          <w:p w14:paraId="27295104" w14:textId="77777777" w:rsidR="005B7178" w:rsidRDefault="005B7178">
            <w:pPr>
              <w:spacing w:before="0" w:after="0"/>
              <w:jc w:val="center"/>
              <w:rPr>
                <w:noProof/>
                <w:sz w:val="18"/>
                <w:szCs w:val="18"/>
              </w:rPr>
            </w:pPr>
          </w:p>
        </w:tc>
        <w:tc>
          <w:tcPr>
            <w:tcW w:w="701" w:type="dxa"/>
            <w:vAlign w:val="center"/>
          </w:tcPr>
          <w:p w14:paraId="7715C4F1" w14:textId="77777777" w:rsidR="005B7178" w:rsidRDefault="005B7178">
            <w:pPr>
              <w:jc w:val="center"/>
              <w:rPr>
                <w:noProof/>
                <w:sz w:val="18"/>
                <w:szCs w:val="18"/>
              </w:rPr>
            </w:pPr>
            <w:r>
              <w:rPr>
                <w:noProof/>
                <w:sz w:val="18"/>
              </w:rPr>
              <w:t>Average cost</w:t>
            </w:r>
          </w:p>
        </w:tc>
        <w:tc>
          <w:tcPr>
            <w:tcW w:w="504" w:type="dxa"/>
            <w:tcBorders>
              <w:left w:val="nil"/>
              <w:right w:val="dashSmallGap" w:sz="4" w:space="0" w:color="auto"/>
            </w:tcBorders>
            <w:textDirection w:val="btLr"/>
            <w:vAlign w:val="center"/>
          </w:tcPr>
          <w:p w14:paraId="19313E20" w14:textId="77777777" w:rsidR="005B7178" w:rsidRDefault="005B7178">
            <w:pPr>
              <w:ind w:left="113" w:right="113"/>
              <w:jc w:val="center"/>
              <w:rPr>
                <w:noProof/>
                <w:sz w:val="18"/>
                <w:szCs w:val="18"/>
              </w:rPr>
            </w:pPr>
            <w:r>
              <w:rPr>
                <w:noProof/>
                <w:sz w:val="18"/>
              </w:rPr>
              <w:t>No</w:t>
            </w:r>
          </w:p>
        </w:tc>
        <w:tc>
          <w:tcPr>
            <w:tcW w:w="720" w:type="dxa"/>
            <w:tcBorders>
              <w:left w:val="dashSmallGap" w:sz="4" w:space="0" w:color="auto"/>
            </w:tcBorders>
            <w:vAlign w:val="center"/>
          </w:tcPr>
          <w:p w14:paraId="11290CBF" w14:textId="77777777" w:rsidR="005B7178" w:rsidRDefault="005B7178">
            <w:pPr>
              <w:jc w:val="center"/>
              <w:rPr>
                <w:noProof/>
                <w:sz w:val="18"/>
                <w:szCs w:val="18"/>
              </w:rPr>
            </w:pPr>
            <w:r>
              <w:rPr>
                <w:noProof/>
                <w:sz w:val="18"/>
              </w:rPr>
              <w:t>Cost</w:t>
            </w:r>
          </w:p>
        </w:tc>
        <w:tc>
          <w:tcPr>
            <w:tcW w:w="540" w:type="dxa"/>
            <w:tcBorders>
              <w:right w:val="dashSmallGap" w:sz="4" w:space="0" w:color="auto"/>
            </w:tcBorders>
            <w:textDirection w:val="btLr"/>
            <w:vAlign w:val="center"/>
          </w:tcPr>
          <w:p w14:paraId="6EDABAEC" w14:textId="77777777" w:rsidR="005B7178" w:rsidRDefault="005B7178">
            <w:pPr>
              <w:ind w:left="113" w:right="113"/>
              <w:jc w:val="center"/>
              <w:rPr>
                <w:noProof/>
                <w:sz w:val="18"/>
                <w:szCs w:val="18"/>
              </w:rPr>
            </w:pPr>
            <w:r>
              <w:rPr>
                <w:noProof/>
                <w:sz w:val="18"/>
              </w:rPr>
              <w:t>No</w:t>
            </w:r>
          </w:p>
        </w:tc>
        <w:tc>
          <w:tcPr>
            <w:tcW w:w="720" w:type="dxa"/>
            <w:tcBorders>
              <w:left w:val="dashSmallGap" w:sz="4" w:space="0" w:color="auto"/>
            </w:tcBorders>
            <w:vAlign w:val="center"/>
          </w:tcPr>
          <w:p w14:paraId="5841F122" w14:textId="77777777" w:rsidR="005B7178" w:rsidRDefault="005B7178">
            <w:pPr>
              <w:jc w:val="center"/>
              <w:rPr>
                <w:noProof/>
                <w:sz w:val="18"/>
                <w:szCs w:val="18"/>
              </w:rPr>
            </w:pPr>
            <w:r>
              <w:rPr>
                <w:noProof/>
                <w:sz w:val="18"/>
              </w:rPr>
              <w:t>Cost</w:t>
            </w:r>
          </w:p>
        </w:tc>
        <w:tc>
          <w:tcPr>
            <w:tcW w:w="720" w:type="dxa"/>
            <w:tcBorders>
              <w:right w:val="dashSmallGap" w:sz="4" w:space="0" w:color="auto"/>
            </w:tcBorders>
            <w:textDirection w:val="btLr"/>
            <w:vAlign w:val="center"/>
          </w:tcPr>
          <w:p w14:paraId="74CC99DD" w14:textId="77777777" w:rsidR="005B7178" w:rsidRDefault="005B7178">
            <w:pPr>
              <w:ind w:left="113" w:right="113"/>
              <w:jc w:val="center"/>
              <w:rPr>
                <w:noProof/>
                <w:sz w:val="18"/>
                <w:szCs w:val="18"/>
              </w:rPr>
            </w:pPr>
            <w:r>
              <w:rPr>
                <w:noProof/>
                <w:sz w:val="18"/>
              </w:rPr>
              <w:t>No</w:t>
            </w:r>
          </w:p>
        </w:tc>
        <w:tc>
          <w:tcPr>
            <w:tcW w:w="720" w:type="dxa"/>
            <w:tcBorders>
              <w:left w:val="dashSmallGap" w:sz="4" w:space="0" w:color="auto"/>
            </w:tcBorders>
            <w:vAlign w:val="center"/>
          </w:tcPr>
          <w:p w14:paraId="68379E6E" w14:textId="77777777" w:rsidR="005B7178" w:rsidRDefault="005B7178">
            <w:pPr>
              <w:jc w:val="center"/>
              <w:rPr>
                <w:noProof/>
                <w:sz w:val="18"/>
                <w:szCs w:val="18"/>
              </w:rPr>
            </w:pPr>
            <w:r>
              <w:rPr>
                <w:noProof/>
                <w:sz w:val="18"/>
              </w:rPr>
              <w:t>Cost</w:t>
            </w:r>
          </w:p>
        </w:tc>
        <w:tc>
          <w:tcPr>
            <w:tcW w:w="900" w:type="dxa"/>
            <w:tcBorders>
              <w:right w:val="dashSmallGap" w:sz="4" w:space="0" w:color="auto"/>
            </w:tcBorders>
            <w:textDirection w:val="btLr"/>
            <w:vAlign w:val="center"/>
          </w:tcPr>
          <w:p w14:paraId="38C5D893" w14:textId="77777777" w:rsidR="005B7178" w:rsidRDefault="005B7178">
            <w:pPr>
              <w:ind w:left="113" w:right="113"/>
              <w:jc w:val="center"/>
              <w:rPr>
                <w:noProof/>
                <w:sz w:val="18"/>
                <w:szCs w:val="18"/>
              </w:rPr>
            </w:pPr>
            <w:r>
              <w:rPr>
                <w:noProof/>
                <w:sz w:val="18"/>
              </w:rPr>
              <w:t>No</w:t>
            </w:r>
          </w:p>
        </w:tc>
        <w:tc>
          <w:tcPr>
            <w:tcW w:w="639" w:type="dxa"/>
            <w:gridSpan w:val="2"/>
            <w:tcBorders>
              <w:left w:val="dashSmallGap" w:sz="4" w:space="0" w:color="auto"/>
            </w:tcBorders>
            <w:vAlign w:val="center"/>
          </w:tcPr>
          <w:p w14:paraId="1912477C" w14:textId="77777777" w:rsidR="005B7178" w:rsidRDefault="005B7178">
            <w:pPr>
              <w:jc w:val="center"/>
              <w:rPr>
                <w:noProof/>
                <w:sz w:val="18"/>
                <w:szCs w:val="18"/>
              </w:rPr>
            </w:pPr>
            <w:r>
              <w:rPr>
                <w:noProof/>
                <w:sz w:val="18"/>
              </w:rPr>
              <w:t>Cost</w:t>
            </w:r>
          </w:p>
        </w:tc>
        <w:tc>
          <w:tcPr>
            <w:tcW w:w="621" w:type="dxa"/>
            <w:tcBorders>
              <w:right w:val="dashSmallGap" w:sz="4" w:space="0" w:color="auto"/>
            </w:tcBorders>
            <w:textDirection w:val="btLr"/>
            <w:vAlign w:val="center"/>
          </w:tcPr>
          <w:p w14:paraId="6D4D2FD8" w14:textId="77777777" w:rsidR="005B7178" w:rsidRDefault="005B7178">
            <w:pPr>
              <w:ind w:left="113" w:right="113"/>
              <w:jc w:val="center"/>
              <w:rPr>
                <w:noProof/>
                <w:sz w:val="18"/>
                <w:szCs w:val="18"/>
              </w:rPr>
            </w:pPr>
            <w:r>
              <w:rPr>
                <w:noProof/>
                <w:sz w:val="18"/>
              </w:rPr>
              <w:t>No</w:t>
            </w:r>
          </w:p>
        </w:tc>
        <w:tc>
          <w:tcPr>
            <w:tcW w:w="648" w:type="dxa"/>
            <w:tcBorders>
              <w:left w:val="dashSmallGap" w:sz="4" w:space="0" w:color="auto"/>
            </w:tcBorders>
            <w:vAlign w:val="center"/>
          </w:tcPr>
          <w:p w14:paraId="45315C77" w14:textId="77777777" w:rsidR="005B7178" w:rsidRDefault="005B7178">
            <w:pPr>
              <w:jc w:val="center"/>
              <w:rPr>
                <w:noProof/>
                <w:sz w:val="18"/>
                <w:szCs w:val="18"/>
              </w:rPr>
            </w:pPr>
            <w:r>
              <w:rPr>
                <w:noProof/>
                <w:sz w:val="18"/>
              </w:rPr>
              <w:t>Cost</w:t>
            </w:r>
          </w:p>
        </w:tc>
        <w:tc>
          <w:tcPr>
            <w:tcW w:w="432" w:type="dxa"/>
            <w:tcBorders>
              <w:right w:val="dashSmallGap" w:sz="4" w:space="0" w:color="auto"/>
            </w:tcBorders>
            <w:textDirection w:val="btLr"/>
            <w:vAlign w:val="center"/>
          </w:tcPr>
          <w:p w14:paraId="11B529C2" w14:textId="77777777" w:rsidR="005B7178" w:rsidRDefault="005B7178">
            <w:pPr>
              <w:ind w:left="113" w:right="113"/>
              <w:jc w:val="center"/>
              <w:rPr>
                <w:noProof/>
                <w:sz w:val="18"/>
                <w:szCs w:val="18"/>
              </w:rPr>
            </w:pPr>
            <w:r>
              <w:rPr>
                <w:noProof/>
                <w:sz w:val="18"/>
              </w:rPr>
              <w:t>No</w:t>
            </w:r>
          </w:p>
        </w:tc>
        <w:tc>
          <w:tcPr>
            <w:tcW w:w="720" w:type="dxa"/>
            <w:tcBorders>
              <w:left w:val="dashSmallGap" w:sz="4" w:space="0" w:color="auto"/>
            </w:tcBorders>
            <w:vAlign w:val="center"/>
          </w:tcPr>
          <w:p w14:paraId="6E0FB9DC" w14:textId="77777777" w:rsidR="005B7178" w:rsidRDefault="005B7178">
            <w:pPr>
              <w:jc w:val="center"/>
              <w:rPr>
                <w:noProof/>
                <w:sz w:val="18"/>
                <w:szCs w:val="18"/>
              </w:rPr>
            </w:pPr>
            <w:r>
              <w:rPr>
                <w:noProof/>
                <w:sz w:val="18"/>
              </w:rPr>
              <w:t>Cost</w:t>
            </w:r>
          </w:p>
        </w:tc>
        <w:tc>
          <w:tcPr>
            <w:tcW w:w="540" w:type="dxa"/>
            <w:tcBorders>
              <w:right w:val="dashSmallGap" w:sz="4" w:space="0" w:color="auto"/>
            </w:tcBorders>
            <w:textDirection w:val="btLr"/>
            <w:vAlign w:val="center"/>
          </w:tcPr>
          <w:p w14:paraId="6C5A2A93" w14:textId="77777777" w:rsidR="005B7178" w:rsidRDefault="005B7178">
            <w:pPr>
              <w:ind w:left="113" w:right="113"/>
              <w:jc w:val="center"/>
              <w:rPr>
                <w:noProof/>
                <w:sz w:val="18"/>
                <w:szCs w:val="18"/>
              </w:rPr>
            </w:pPr>
            <w:r>
              <w:rPr>
                <w:noProof/>
                <w:sz w:val="18"/>
              </w:rPr>
              <w:t>No</w:t>
            </w:r>
          </w:p>
        </w:tc>
        <w:tc>
          <w:tcPr>
            <w:tcW w:w="720" w:type="dxa"/>
            <w:tcBorders>
              <w:left w:val="dashSmallGap" w:sz="4" w:space="0" w:color="auto"/>
            </w:tcBorders>
            <w:vAlign w:val="center"/>
          </w:tcPr>
          <w:p w14:paraId="5A203AC5" w14:textId="77777777" w:rsidR="005B7178" w:rsidRDefault="005B7178">
            <w:pPr>
              <w:jc w:val="center"/>
              <w:rPr>
                <w:noProof/>
                <w:sz w:val="18"/>
                <w:szCs w:val="18"/>
              </w:rPr>
            </w:pPr>
            <w:r>
              <w:rPr>
                <w:noProof/>
                <w:sz w:val="18"/>
              </w:rPr>
              <w:t>Cost</w:t>
            </w:r>
          </w:p>
        </w:tc>
        <w:tc>
          <w:tcPr>
            <w:tcW w:w="720" w:type="dxa"/>
            <w:tcBorders>
              <w:right w:val="dashSmallGap" w:sz="4" w:space="0" w:color="auto"/>
            </w:tcBorders>
            <w:vAlign w:val="center"/>
          </w:tcPr>
          <w:p w14:paraId="217B6AAA" w14:textId="77777777" w:rsidR="005B7178" w:rsidRDefault="005B7178">
            <w:pPr>
              <w:jc w:val="center"/>
              <w:rPr>
                <w:noProof/>
                <w:sz w:val="18"/>
                <w:szCs w:val="18"/>
              </w:rPr>
            </w:pPr>
            <w:r>
              <w:rPr>
                <w:noProof/>
                <w:sz w:val="18"/>
              </w:rPr>
              <w:t>Total No</w:t>
            </w:r>
          </w:p>
        </w:tc>
        <w:tc>
          <w:tcPr>
            <w:tcW w:w="900" w:type="dxa"/>
            <w:tcBorders>
              <w:left w:val="dashSmallGap" w:sz="4" w:space="0" w:color="auto"/>
            </w:tcBorders>
            <w:vAlign w:val="center"/>
          </w:tcPr>
          <w:p w14:paraId="16B7C018" w14:textId="77777777" w:rsidR="005B7178" w:rsidRDefault="005B7178">
            <w:pPr>
              <w:jc w:val="center"/>
              <w:rPr>
                <w:noProof/>
                <w:sz w:val="18"/>
                <w:szCs w:val="18"/>
              </w:rPr>
            </w:pPr>
            <w:r>
              <w:rPr>
                <w:noProof/>
                <w:sz w:val="18"/>
              </w:rPr>
              <w:t>Total cost</w:t>
            </w:r>
          </w:p>
        </w:tc>
      </w:tr>
      <w:tr w:rsidR="00F67E4F" w14:paraId="18A33845" w14:textId="77777777">
        <w:trPr>
          <w:jc w:val="center"/>
        </w:trPr>
        <w:tc>
          <w:tcPr>
            <w:tcW w:w="2844" w:type="dxa"/>
            <w:gridSpan w:val="3"/>
            <w:vAlign w:val="center"/>
          </w:tcPr>
          <w:p w14:paraId="1E138063" w14:textId="77777777" w:rsidR="005B7178" w:rsidRDefault="005B7178">
            <w:pPr>
              <w:spacing w:before="60" w:after="60"/>
              <w:ind w:right="-29"/>
              <w:jc w:val="center"/>
              <w:rPr>
                <w:noProof/>
                <w:sz w:val="18"/>
                <w:szCs w:val="18"/>
              </w:rPr>
            </w:pPr>
            <w:r w:rsidRPr="6F19C14C">
              <w:rPr>
                <w:noProof/>
                <w:sz w:val="18"/>
                <w:szCs w:val="18"/>
              </w:rPr>
              <w:t>SPECIFIC OBJECTIVE No 1</w:t>
            </w:r>
            <w:r w:rsidRPr="6F19C14C">
              <w:rPr>
                <w:rStyle w:val="Allmrkuseviide"/>
                <w:noProof/>
                <w:sz w:val="18"/>
                <w:szCs w:val="18"/>
              </w:rPr>
              <w:footnoteReference w:id="44"/>
            </w:r>
            <w:r w:rsidRPr="6F19C14C">
              <w:rPr>
                <w:noProof/>
                <w:sz w:val="18"/>
                <w:szCs w:val="18"/>
              </w:rPr>
              <w:t>…</w:t>
            </w:r>
          </w:p>
        </w:tc>
        <w:tc>
          <w:tcPr>
            <w:tcW w:w="504" w:type="dxa"/>
            <w:tcBorders>
              <w:top w:val="nil"/>
              <w:left w:val="nil"/>
              <w:bottom w:val="nil"/>
              <w:right w:val="nil"/>
            </w:tcBorders>
          </w:tcPr>
          <w:p w14:paraId="6D310564"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0CA8CCB6" w14:textId="77777777" w:rsidR="005B7178" w:rsidRDefault="005B7178">
            <w:pPr>
              <w:spacing w:before="60" w:after="60"/>
              <w:ind w:right="-29"/>
              <w:jc w:val="center"/>
              <w:rPr>
                <w:noProof/>
                <w:sz w:val="18"/>
                <w:szCs w:val="18"/>
              </w:rPr>
            </w:pPr>
          </w:p>
        </w:tc>
        <w:tc>
          <w:tcPr>
            <w:tcW w:w="540" w:type="dxa"/>
            <w:tcBorders>
              <w:top w:val="nil"/>
              <w:left w:val="nil"/>
              <w:bottom w:val="nil"/>
              <w:right w:val="nil"/>
            </w:tcBorders>
          </w:tcPr>
          <w:p w14:paraId="42C20D80"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298CC7DC"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18DC0D07"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4CEC91AB" w14:textId="77777777" w:rsidR="005B7178" w:rsidRDefault="005B7178">
            <w:pPr>
              <w:spacing w:before="60" w:after="60"/>
              <w:ind w:right="-29"/>
              <w:jc w:val="center"/>
              <w:rPr>
                <w:noProof/>
                <w:sz w:val="18"/>
                <w:szCs w:val="18"/>
              </w:rPr>
            </w:pPr>
          </w:p>
        </w:tc>
        <w:tc>
          <w:tcPr>
            <w:tcW w:w="900" w:type="dxa"/>
            <w:tcBorders>
              <w:top w:val="nil"/>
              <w:left w:val="nil"/>
              <w:bottom w:val="nil"/>
              <w:right w:val="nil"/>
            </w:tcBorders>
          </w:tcPr>
          <w:p w14:paraId="2A9D3BF1" w14:textId="77777777" w:rsidR="005B7178" w:rsidRDefault="005B7178">
            <w:pPr>
              <w:spacing w:before="60" w:after="60"/>
              <w:ind w:right="-29"/>
              <w:jc w:val="center"/>
              <w:rPr>
                <w:noProof/>
                <w:sz w:val="18"/>
                <w:szCs w:val="18"/>
              </w:rPr>
            </w:pPr>
          </w:p>
        </w:tc>
        <w:tc>
          <w:tcPr>
            <w:tcW w:w="639" w:type="dxa"/>
            <w:gridSpan w:val="2"/>
            <w:tcBorders>
              <w:top w:val="nil"/>
              <w:left w:val="nil"/>
              <w:bottom w:val="nil"/>
              <w:right w:val="nil"/>
            </w:tcBorders>
          </w:tcPr>
          <w:p w14:paraId="6D1158D3" w14:textId="77777777" w:rsidR="005B7178" w:rsidRDefault="005B7178">
            <w:pPr>
              <w:spacing w:before="60" w:after="60"/>
              <w:ind w:right="-29"/>
              <w:jc w:val="center"/>
              <w:rPr>
                <w:noProof/>
                <w:sz w:val="18"/>
                <w:szCs w:val="18"/>
              </w:rPr>
            </w:pPr>
          </w:p>
        </w:tc>
        <w:tc>
          <w:tcPr>
            <w:tcW w:w="621" w:type="dxa"/>
            <w:tcBorders>
              <w:top w:val="nil"/>
              <w:left w:val="nil"/>
              <w:bottom w:val="nil"/>
              <w:right w:val="nil"/>
            </w:tcBorders>
          </w:tcPr>
          <w:p w14:paraId="4D899368" w14:textId="77777777" w:rsidR="005B7178" w:rsidRDefault="005B7178">
            <w:pPr>
              <w:spacing w:before="60" w:after="60"/>
              <w:ind w:right="-29"/>
              <w:jc w:val="center"/>
              <w:rPr>
                <w:noProof/>
                <w:sz w:val="18"/>
                <w:szCs w:val="18"/>
              </w:rPr>
            </w:pPr>
          </w:p>
        </w:tc>
        <w:tc>
          <w:tcPr>
            <w:tcW w:w="648" w:type="dxa"/>
            <w:tcBorders>
              <w:top w:val="nil"/>
              <w:left w:val="nil"/>
              <w:bottom w:val="nil"/>
              <w:right w:val="nil"/>
            </w:tcBorders>
          </w:tcPr>
          <w:p w14:paraId="31E8E741" w14:textId="77777777" w:rsidR="005B7178" w:rsidRDefault="005B7178">
            <w:pPr>
              <w:spacing w:before="60" w:after="60"/>
              <w:ind w:right="-29"/>
              <w:jc w:val="center"/>
              <w:rPr>
                <w:noProof/>
                <w:sz w:val="18"/>
                <w:szCs w:val="18"/>
              </w:rPr>
            </w:pPr>
          </w:p>
        </w:tc>
        <w:tc>
          <w:tcPr>
            <w:tcW w:w="432" w:type="dxa"/>
            <w:tcBorders>
              <w:top w:val="nil"/>
              <w:left w:val="nil"/>
              <w:bottom w:val="nil"/>
              <w:right w:val="nil"/>
            </w:tcBorders>
          </w:tcPr>
          <w:p w14:paraId="4EFC86B9"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48C94671" w14:textId="77777777" w:rsidR="005B7178" w:rsidRDefault="005B7178">
            <w:pPr>
              <w:spacing w:before="60" w:after="60"/>
              <w:ind w:right="-29"/>
              <w:jc w:val="center"/>
              <w:rPr>
                <w:noProof/>
                <w:sz w:val="18"/>
                <w:szCs w:val="18"/>
              </w:rPr>
            </w:pPr>
          </w:p>
        </w:tc>
        <w:tc>
          <w:tcPr>
            <w:tcW w:w="540" w:type="dxa"/>
            <w:tcBorders>
              <w:top w:val="nil"/>
              <w:left w:val="nil"/>
              <w:bottom w:val="nil"/>
              <w:right w:val="nil"/>
            </w:tcBorders>
          </w:tcPr>
          <w:p w14:paraId="6CA031B8"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58A0436C"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17476F83" w14:textId="77777777" w:rsidR="005B7178" w:rsidRDefault="005B7178">
            <w:pPr>
              <w:spacing w:before="60" w:after="60"/>
              <w:ind w:right="-29"/>
              <w:jc w:val="center"/>
              <w:rPr>
                <w:noProof/>
                <w:sz w:val="18"/>
                <w:szCs w:val="18"/>
              </w:rPr>
            </w:pPr>
          </w:p>
        </w:tc>
        <w:tc>
          <w:tcPr>
            <w:tcW w:w="900" w:type="dxa"/>
            <w:tcBorders>
              <w:top w:val="nil"/>
              <w:left w:val="nil"/>
              <w:bottom w:val="nil"/>
              <w:right w:val="nil"/>
            </w:tcBorders>
          </w:tcPr>
          <w:p w14:paraId="2A8DAFEF" w14:textId="77777777" w:rsidR="005B7178" w:rsidRDefault="005B7178">
            <w:pPr>
              <w:spacing w:before="60" w:after="60"/>
              <w:ind w:right="-29"/>
              <w:jc w:val="center"/>
              <w:rPr>
                <w:noProof/>
                <w:sz w:val="18"/>
                <w:szCs w:val="18"/>
              </w:rPr>
            </w:pPr>
          </w:p>
        </w:tc>
      </w:tr>
      <w:tr w:rsidR="00F67E4F" w14:paraId="1BF66EBB" w14:textId="77777777">
        <w:trPr>
          <w:trHeight w:hRule="exact" w:val="369"/>
          <w:jc w:val="center"/>
        </w:trPr>
        <w:tc>
          <w:tcPr>
            <w:tcW w:w="1423" w:type="dxa"/>
          </w:tcPr>
          <w:p w14:paraId="48B27DBE" w14:textId="77777777" w:rsidR="005B7178" w:rsidRDefault="005B7178">
            <w:pPr>
              <w:ind w:right="-29"/>
              <w:jc w:val="center"/>
              <w:rPr>
                <w:noProof/>
                <w:sz w:val="18"/>
                <w:szCs w:val="18"/>
              </w:rPr>
            </w:pPr>
            <w:r>
              <w:rPr>
                <w:noProof/>
                <w:sz w:val="18"/>
              </w:rPr>
              <w:t>- Output</w:t>
            </w:r>
          </w:p>
        </w:tc>
        <w:tc>
          <w:tcPr>
            <w:tcW w:w="720" w:type="dxa"/>
          </w:tcPr>
          <w:p w14:paraId="028EB13A" w14:textId="77777777" w:rsidR="005B7178" w:rsidRDefault="005B7178">
            <w:pPr>
              <w:ind w:right="-29"/>
              <w:jc w:val="center"/>
              <w:rPr>
                <w:noProof/>
                <w:sz w:val="18"/>
                <w:szCs w:val="18"/>
              </w:rPr>
            </w:pPr>
          </w:p>
        </w:tc>
        <w:tc>
          <w:tcPr>
            <w:tcW w:w="701" w:type="dxa"/>
          </w:tcPr>
          <w:p w14:paraId="3731B152" w14:textId="77777777" w:rsidR="005B7178" w:rsidRDefault="005B7178">
            <w:pPr>
              <w:ind w:right="-29"/>
              <w:jc w:val="center"/>
              <w:rPr>
                <w:noProof/>
                <w:sz w:val="18"/>
                <w:szCs w:val="18"/>
              </w:rPr>
            </w:pPr>
          </w:p>
        </w:tc>
        <w:tc>
          <w:tcPr>
            <w:tcW w:w="504" w:type="dxa"/>
            <w:tcBorders>
              <w:right w:val="dashSmallGap" w:sz="4" w:space="0" w:color="auto"/>
            </w:tcBorders>
          </w:tcPr>
          <w:p w14:paraId="086C79ED" w14:textId="77777777" w:rsidR="005B7178" w:rsidRDefault="005B7178">
            <w:pPr>
              <w:ind w:right="-29"/>
              <w:jc w:val="center"/>
              <w:rPr>
                <w:noProof/>
                <w:sz w:val="18"/>
                <w:szCs w:val="18"/>
              </w:rPr>
            </w:pPr>
          </w:p>
        </w:tc>
        <w:tc>
          <w:tcPr>
            <w:tcW w:w="720" w:type="dxa"/>
            <w:tcBorders>
              <w:left w:val="dashSmallGap" w:sz="4" w:space="0" w:color="auto"/>
            </w:tcBorders>
          </w:tcPr>
          <w:p w14:paraId="448E2920" w14:textId="77777777" w:rsidR="005B7178" w:rsidRDefault="005B7178">
            <w:pPr>
              <w:ind w:right="-29"/>
              <w:jc w:val="center"/>
              <w:rPr>
                <w:noProof/>
                <w:sz w:val="18"/>
                <w:szCs w:val="18"/>
              </w:rPr>
            </w:pPr>
          </w:p>
        </w:tc>
        <w:tc>
          <w:tcPr>
            <w:tcW w:w="540" w:type="dxa"/>
            <w:tcBorders>
              <w:right w:val="dashSmallGap" w:sz="4" w:space="0" w:color="auto"/>
            </w:tcBorders>
          </w:tcPr>
          <w:p w14:paraId="1CCC9B07" w14:textId="77777777" w:rsidR="005B7178" w:rsidRDefault="005B7178">
            <w:pPr>
              <w:ind w:right="-29"/>
              <w:jc w:val="center"/>
              <w:rPr>
                <w:noProof/>
                <w:sz w:val="18"/>
                <w:szCs w:val="18"/>
              </w:rPr>
            </w:pPr>
          </w:p>
        </w:tc>
        <w:tc>
          <w:tcPr>
            <w:tcW w:w="720" w:type="dxa"/>
            <w:tcBorders>
              <w:left w:val="dashSmallGap" w:sz="4" w:space="0" w:color="auto"/>
            </w:tcBorders>
          </w:tcPr>
          <w:p w14:paraId="70640C52" w14:textId="77777777" w:rsidR="005B7178" w:rsidRDefault="005B7178">
            <w:pPr>
              <w:ind w:right="-29"/>
              <w:jc w:val="center"/>
              <w:rPr>
                <w:noProof/>
                <w:sz w:val="18"/>
                <w:szCs w:val="18"/>
              </w:rPr>
            </w:pPr>
          </w:p>
        </w:tc>
        <w:tc>
          <w:tcPr>
            <w:tcW w:w="720" w:type="dxa"/>
            <w:tcBorders>
              <w:right w:val="dashSmallGap" w:sz="4" w:space="0" w:color="auto"/>
            </w:tcBorders>
          </w:tcPr>
          <w:p w14:paraId="49398925" w14:textId="77777777" w:rsidR="005B7178" w:rsidRDefault="005B7178">
            <w:pPr>
              <w:ind w:right="-29"/>
              <w:jc w:val="center"/>
              <w:rPr>
                <w:noProof/>
                <w:sz w:val="18"/>
                <w:szCs w:val="18"/>
              </w:rPr>
            </w:pPr>
          </w:p>
        </w:tc>
        <w:tc>
          <w:tcPr>
            <w:tcW w:w="720" w:type="dxa"/>
            <w:tcBorders>
              <w:left w:val="dashSmallGap" w:sz="4" w:space="0" w:color="auto"/>
            </w:tcBorders>
          </w:tcPr>
          <w:p w14:paraId="3F4F24E3" w14:textId="77777777" w:rsidR="005B7178" w:rsidRDefault="005B7178">
            <w:pPr>
              <w:ind w:right="-29"/>
              <w:jc w:val="center"/>
              <w:rPr>
                <w:noProof/>
                <w:sz w:val="18"/>
                <w:szCs w:val="18"/>
              </w:rPr>
            </w:pPr>
          </w:p>
        </w:tc>
        <w:tc>
          <w:tcPr>
            <w:tcW w:w="900" w:type="dxa"/>
            <w:tcBorders>
              <w:right w:val="dashSmallGap" w:sz="4" w:space="0" w:color="auto"/>
            </w:tcBorders>
          </w:tcPr>
          <w:p w14:paraId="5A46E723" w14:textId="77777777" w:rsidR="005B7178" w:rsidRDefault="005B7178">
            <w:pPr>
              <w:ind w:right="-29"/>
              <w:jc w:val="center"/>
              <w:rPr>
                <w:noProof/>
                <w:sz w:val="18"/>
                <w:szCs w:val="18"/>
              </w:rPr>
            </w:pPr>
          </w:p>
        </w:tc>
        <w:tc>
          <w:tcPr>
            <w:tcW w:w="639" w:type="dxa"/>
            <w:gridSpan w:val="2"/>
            <w:tcBorders>
              <w:left w:val="dashSmallGap" w:sz="4" w:space="0" w:color="auto"/>
            </w:tcBorders>
          </w:tcPr>
          <w:p w14:paraId="6D1E1F46" w14:textId="77777777" w:rsidR="005B7178" w:rsidRDefault="005B7178">
            <w:pPr>
              <w:ind w:right="-29"/>
              <w:jc w:val="center"/>
              <w:rPr>
                <w:noProof/>
                <w:sz w:val="18"/>
                <w:szCs w:val="18"/>
              </w:rPr>
            </w:pPr>
          </w:p>
        </w:tc>
        <w:tc>
          <w:tcPr>
            <w:tcW w:w="621" w:type="dxa"/>
            <w:tcBorders>
              <w:right w:val="dashSmallGap" w:sz="4" w:space="0" w:color="auto"/>
            </w:tcBorders>
          </w:tcPr>
          <w:p w14:paraId="37A2C068" w14:textId="77777777" w:rsidR="005B7178" w:rsidRDefault="005B7178">
            <w:pPr>
              <w:ind w:right="-29"/>
              <w:jc w:val="center"/>
              <w:rPr>
                <w:noProof/>
                <w:sz w:val="18"/>
                <w:szCs w:val="18"/>
              </w:rPr>
            </w:pPr>
          </w:p>
        </w:tc>
        <w:tc>
          <w:tcPr>
            <w:tcW w:w="648" w:type="dxa"/>
            <w:tcBorders>
              <w:left w:val="dashSmallGap" w:sz="4" w:space="0" w:color="auto"/>
            </w:tcBorders>
          </w:tcPr>
          <w:p w14:paraId="79BC38E8" w14:textId="77777777" w:rsidR="005B7178" w:rsidRDefault="005B7178">
            <w:pPr>
              <w:ind w:right="-29"/>
              <w:jc w:val="center"/>
              <w:rPr>
                <w:noProof/>
                <w:sz w:val="18"/>
                <w:szCs w:val="18"/>
              </w:rPr>
            </w:pPr>
          </w:p>
        </w:tc>
        <w:tc>
          <w:tcPr>
            <w:tcW w:w="432" w:type="dxa"/>
            <w:tcBorders>
              <w:right w:val="dashSmallGap" w:sz="4" w:space="0" w:color="auto"/>
            </w:tcBorders>
          </w:tcPr>
          <w:p w14:paraId="44E02866" w14:textId="77777777" w:rsidR="005B7178" w:rsidRDefault="005B7178">
            <w:pPr>
              <w:ind w:right="-29"/>
              <w:jc w:val="center"/>
              <w:rPr>
                <w:noProof/>
                <w:sz w:val="18"/>
                <w:szCs w:val="18"/>
              </w:rPr>
            </w:pPr>
          </w:p>
        </w:tc>
        <w:tc>
          <w:tcPr>
            <w:tcW w:w="720" w:type="dxa"/>
            <w:tcBorders>
              <w:left w:val="dashSmallGap" w:sz="4" w:space="0" w:color="auto"/>
            </w:tcBorders>
          </w:tcPr>
          <w:p w14:paraId="667A9E4E" w14:textId="77777777" w:rsidR="005B7178" w:rsidRDefault="005B7178">
            <w:pPr>
              <w:ind w:right="-29"/>
              <w:jc w:val="center"/>
              <w:rPr>
                <w:noProof/>
                <w:sz w:val="18"/>
                <w:szCs w:val="18"/>
              </w:rPr>
            </w:pPr>
          </w:p>
        </w:tc>
        <w:tc>
          <w:tcPr>
            <w:tcW w:w="540" w:type="dxa"/>
            <w:tcBorders>
              <w:right w:val="dashSmallGap" w:sz="4" w:space="0" w:color="auto"/>
            </w:tcBorders>
          </w:tcPr>
          <w:p w14:paraId="0917FA98" w14:textId="77777777" w:rsidR="005B7178" w:rsidRDefault="005B7178">
            <w:pPr>
              <w:ind w:right="-29"/>
              <w:jc w:val="center"/>
              <w:rPr>
                <w:noProof/>
                <w:sz w:val="18"/>
                <w:szCs w:val="18"/>
              </w:rPr>
            </w:pPr>
          </w:p>
        </w:tc>
        <w:tc>
          <w:tcPr>
            <w:tcW w:w="720" w:type="dxa"/>
            <w:tcBorders>
              <w:left w:val="dashSmallGap" w:sz="4" w:space="0" w:color="auto"/>
            </w:tcBorders>
          </w:tcPr>
          <w:p w14:paraId="77F54E0A" w14:textId="77777777" w:rsidR="005B7178" w:rsidRDefault="005B7178">
            <w:pPr>
              <w:ind w:right="-29"/>
              <w:jc w:val="center"/>
              <w:rPr>
                <w:noProof/>
                <w:sz w:val="18"/>
                <w:szCs w:val="18"/>
              </w:rPr>
            </w:pPr>
          </w:p>
        </w:tc>
        <w:tc>
          <w:tcPr>
            <w:tcW w:w="720" w:type="dxa"/>
          </w:tcPr>
          <w:p w14:paraId="18BFD803" w14:textId="77777777" w:rsidR="005B7178" w:rsidRDefault="005B7178">
            <w:pPr>
              <w:ind w:right="-29"/>
              <w:jc w:val="center"/>
              <w:rPr>
                <w:noProof/>
                <w:sz w:val="18"/>
                <w:szCs w:val="18"/>
              </w:rPr>
            </w:pPr>
          </w:p>
        </w:tc>
        <w:tc>
          <w:tcPr>
            <w:tcW w:w="900" w:type="dxa"/>
          </w:tcPr>
          <w:p w14:paraId="12CEA0AB" w14:textId="77777777" w:rsidR="005B7178" w:rsidRDefault="005B7178">
            <w:pPr>
              <w:ind w:right="-29"/>
              <w:jc w:val="center"/>
              <w:rPr>
                <w:noProof/>
                <w:sz w:val="18"/>
                <w:szCs w:val="18"/>
              </w:rPr>
            </w:pPr>
          </w:p>
        </w:tc>
      </w:tr>
      <w:tr w:rsidR="00F67E4F" w14:paraId="0A14B25A" w14:textId="77777777">
        <w:trPr>
          <w:trHeight w:hRule="exact" w:val="369"/>
          <w:jc w:val="center"/>
        </w:trPr>
        <w:tc>
          <w:tcPr>
            <w:tcW w:w="1423" w:type="dxa"/>
          </w:tcPr>
          <w:p w14:paraId="5802AEA9" w14:textId="77777777" w:rsidR="005B7178" w:rsidRDefault="005B7178">
            <w:pPr>
              <w:ind w:right="-29"/>
              <w:jc w:val="center"/>
              <w:rPr>
                <w:noProof/>
                <w:sz w:val="18"/>
                <w:szCs w:val="18"/>
              </w:rPr>
            </w:pPr>
            <w:r>
              <w:rPr>
                <w:noProof/>
                <w:sz w:val="18"/>
              </w:rPr>
              <w:lastRenderedPageBreak/>
              <w:t>- Output</w:t>
            </w:r>
          </w:p>
        </w:tc>
        <w:tc>
          <w:tcPr>
            <w:tcW w:w="720" w:type="dxa"/>
          </w:tcPr>
          <w:p w14:paraId="79F3621B" w14:textId="77777777" w:rsidR="005B7178" w:rsidRDefault="005B7178">
            <w:pPr>
              <w:ind w:right="-29"/>
              <w:jc w:val="center"/>
              <w:rPr>
                <w:noProof/>
                <w:sz w:val="18"/>
                <w:szCs w:val="18"/>
              </w:rPr>
            </w:pPr>
          </w:p>
        </w:tc>
        <w:tc>
          <w:tcPr>
            <w:tcW w:w="701" w:type="dxa"/>
          </w:tcPr>
          <w:p w14:paraId="0907A86A" w14:textId="77777777" w:rsidR="005B7178" w:rsidRDefault="005B7178">
            <w:pPr>
              <w:ind w:right="-29"/>
              <w:jc w:val="center"/>
              <w:rPr>
                <w:noProof/>
                <w:sz w:val="18"/>
                <w:szCs w:val="18"/>
              </w:rPr>
            </w:pPr>
          </w:p>
        </w:tc>
        <w:tc>
          <w:tcPr>
            <w:tcW w:w="504" w:type="dxa"/>
            <w:tcBorders>
              <w:right w:val="dashSmallGap" w:sz="4" w:space="0" w:color="auto"/>
            </w:tcBorders>
          </w:tcPr>
          <w:p w14:paraId="05D48EB4" w14:textId="77777777" w:rsidR="005B7178" w:rsidRDefault="005B7178">
            <w:pPr>
              <w:ind w:right="-29"/>
              <w:jc w:val="center"/>
              <w:rPr>
                <w:noProof/>
                <w:sz w:val="18"/>
                <w:szCs w:val="18"/>
              </w:rPr>
            </w:pPr>
          </w:p>
        </w:tc>
        <w:tc>
          <w:tcPr>
            <w:tcW w:w="720" w:type="dxa"/>
            <w:tcBorders>
              <w:left w:val="dashSmallGap" w:sz="4" w:space="0" w:color="auto"/>
            </w:tcBorders>
          </w:tcPr>
          <w:p w14:paraId="4673389A" w14:textId="77777777" w:rsidR="005B7178" w:rsidRDefault="005B7178">
            <w:pPr>
              <w:ind w:right="-29"/>
              <w:jc w:val="center"/>
              <w:rPr>
                <w:noProof/>
                <w:sz w:val="18"/>
                <w:szCs w:val="18"/>
              </w:rPr>
            </w:pPr>
          </w:p>
        </w:tc>
        <w:tc>
          <w:tcPr>
            <w:tcW w:w="540" w:type="dxa"/>
            <w:tcBorders>
              <w:right w:val="dashSmallGap" w:sz="4" w:space="0" w:color="auto"/>
            </w:tcBorders>
          </w:tcPr>
          <w:p w14:paraId="4D4F420A" w14:textId="77777777" w:rsidR="005B7178" w:rsidRDefault="005B7178">
            <w:pPr>
              <w:ind w:right="-29"/>
              <w:jc w:val="center"/>
              <w:rPr>
                <w:noProof/>
                <w:sz w:val="18"/>
                <w:szCs w:val="18"/>
              </w:rPr>
            </w:pPr>
          </w:p>
        </w:tc>
        <w:tc>
          <w:tcPr>
            <w:tcW w:w="720" w:type="dxa"/>
            <w:tcBorders>
              <w:left w:val="dashSmallGap" w:sz="4" w:space="0" w:color="auto"/>
            </w:tcBorders>
          </w:tcPr>
          <w:p w14:paraId="74A54828" w14:textId="77777777" w:rsidR="005B7178" w:rsidRDefault="005B7178">
            <w:pPr>
              <w:ind w:right="-29"/>
              <w:jc w:val="center"/>
              <w:rPr>
                <w:noProof/>
                <w:sz w:val="18"/>
                <w:szCs w:val="18"/>
              </w:rPr>
            </w:pPr>
          </w:p>
        </w:tc>
        <w:tc>
          <w:tcPr>
            <w:tcW w:w="720" w:type="dxa"/>
            <w:tcBorders>
              <w:right w:val="dashSmallGap" w:sz="4" w:space="0" w:color="auto"/>
            </w:tcBorders>
          </w:tcPr>
          <w:p w14:paraId="03CE0E29" w14:textId="77777777" w:rsidR="005B7178" w:rsidRDefault="005B7178">
            <w:pPr>
              <w:ind w:right="-29"/>
              <w:jc w:val="center"/>
              <w:rPr>
                <w:noProof/>
                <w:sz w:val="18"/>
                <w:szCs w:val="18"/>
              </w:rPr>
            </w:pPr>
          </w:p>
        </w:tc>
        <w:tc>
          <w:tcPr>
            <w:tcW w:w="720" w:type="dxa"/>
            <w:tcBorders>
              <w:left w:val="dashSmallGap" w:sz="4" w:space="0" w:color="auto"/>
            </w:tcBorders>
          </w:tcPr>
          <w:p w14:paraId="1301F677" w14:textId="77777777" w:rsidR="005B7178" w:rsidRDefault="005B7178">
            <w:pPr>
              <w:ind w:right="-29"/>
              <w:jc w:val="center"/>
              <w:rPr>
                <w:noProof/>
                <w:sz w:val="18"/>
                <w:szCs w:val="18"/>
              </w:rPr>
            </w:pPr>
          </w:p>
        </w:tc>
        <w:tc>
          <w:tcPr>
            <w:tcW w:w="900" w:type="dxa"/>
            <w:tcBorders>
              <w:right w:val="dashSmallGap" w:sz="4" w:space="0" w:color="auto"/>
            </w:tcBorders>
          </w:tcPr>
          <w:p w14:paraId="4D58F637" w14:textId="77777777" w:rsidR="005B7178" w:rsidRDefault="005B7178">
            <w:pPr>
              <w:ind w:right="-29"/>
              <w:jc w:val="center"/>
              <w:rPr>
                <w:noProof/>
                <w:sz w:val="18"/>
                <w:szCs w:val="18"/>
              </w:rPr>
            </w:pPr>
          </w:p>
        </w:tc>
        <w:tc>
          <w:tcPr>
            <w:tcW w:w="639" w:type="dxa"/>
            <w:gridSpan w:val="2"/>
            <w:tcBorders>
              <w:left w:val="dashSmallGap" w:sz="4" w:space="0" w:color="auto"/>
            </w:tcBorders>
          </w:tcPr>
          <w:p w14:paraId="68EA84A7" w14:textId="77777777" w:rsidR="005B7178" w:rsidRDefault="005B7178">
            <w:pPr>
              <w:ind w:right="-29"/>
              <w:jc w:val="center"/>
              <w:rPr>
                <w:noProof/>
                <w:sz w:val="18"/>
                <w:szCs w:val="18"/>
              </w:rPr>
            </w:pPr>
          </w:p>
        </w:tc>
        <w:tc>
          <w:tcPr>
            <w:tcW w:w="621" w:type="dxa"/>
            <w:tcBorders>
              <w:right w:val="dashSmallGap" w:sz="4" w:space="0" w:color="auto"/>
            </w:tcBorders>
          </w:tcPr>
          <w:p w14:paraId="07EFF15C" w14:textId="77777777" w:rsidR="005B7178" w:rsidRDefault="005B7178">
            <w:pPr>
              <w:ind w:right="-29"/>
              <w:jc w:val="center"/>
              <w:rPr>
                <w:noProof/>
                <w:sz w:val="18"/>
                <w:szCs w:val="18"/>
              </w:rPr>
            </w:pPr>
          </w:p>
        </w:tc>
        <w:tc>
          <w:tcPr>
            <w:tcW w:w="648" w:type="dxa"/>
            <w:tcBorders>
              <w:left w:val="dashSmallGap" w:sz="4" w:space="0" w:color="auto"/>
            </w:tcBorders>
          </w:tcPr>
          <w:p w14:paraId="1B0AFF1C" w14:textId="77777777" w:rsidR="005B7178" w:rsidRDefault="005B7178">
            <w:pPr>
              <w:ind w:right="-29"/>
              <w:jc w:val="center"/>
              <w:rPr>
                <w:noProof/>
                <w:sz w:val="18"/>
                <w:szCs w:val="18"/>
              </w:rPr>
            </w:pPr>
          </w:p>
        </w:tc>
        <w:tc>
          <w:tcPr>
            <w:tcW w:w="432" w:type="dxa"/>
            <w:tcBorders>
              <w:right w:val="dashSmallGap" w:sz="4" w:space="0" w:color="auto"/>
            </w:tcBorders>
          </w:tcPr>
          <w:p w14:paraId="0FE9A0DA" w14:textId="77777777" w:rsidR="005B7178" w:rsidRDefault="005B7178">
            <w:pPr>
              <w:ind w:right="-29"/>
              <w:jc w:val="center"/>
              <w:rPr>
                <w:noProof/>
                <w:sz w:val="18"/>
                <w:szCs w:val="18"/>
              </w:rPr>
            </w:pPr>
          </w:p>
        </w:tc>
        <w:tc>
          <w:tcPr>
            <w:tcW w:w="720" w:type="dxa"/>
            <w:tcBorders>
              <w:left w:val="dashSmallGap" w:sz="4" w:space="0" w:color="auto"/>
            </w:tcBorders>
          </w:tcPr>
          <w:p w14:paraId="10CC9035" w14:textId="77777777" w:rsidR="005B7178" w:rsidRDefault="005B7178">
            <w:pPr>
              <w:ind w:right="-29"/>
              <w:jc w:val="center"/>
              <w:rPr>
                <w:noProof/>
                <w:sz w:val="18"/>
                <w:szCs w:val="18"/>
              </w:rPr>
            </w:pPr>
          </w:p>
        </w:tc>
        <w:tc>
          <w:tcPr>
            <w:tcW w:w="540" w:type="dxa"/>
            <w:tcBorders>
              <w:right w:val="dashSmallGap" w:sz="4" w:space="0" w:color="auto"/>
            </w:tcBorders>
          </w:tcPr>
          <w:p w14:paraId="12C4FFE6" w14:textId="77777777" w:rsidR="005B7178" w:rsidRDefault="005B7178">
            <w:pPr>
              <w:ind w:right="-29"/>
              <w:jc w:val="center"/>
              <w:rPr>
                <w:noProof/>
                <w:sz w:val="18"/>
                <w:szCs w:val="18"/>
              </w:rPr>
            </w:pPr>
          </w:p>
        </w:tc>
        <w:tc>
          <w:tcPr>
            <w:tcW w:w="720" w:type="dxa"/>
            <w:tcBorders>
              <w:left w:val="dashSmallGap" w:sz="4" w:space="0" w:color="auto"/>
            </w:tcBorders>
          </w:tcPr>
          <w:p w14:paraId="2A99C856" w14:textId="77777777" w:rsidR="005B7178" w:rsidRDefault="005B7178">
            <w:pPr>
              <w:ind w:right="-29"/>
              <w:jc w:val="center"/>
              <w:rPr>
                <w:noProof/>
                <w:sz w:val="18"/>
                <w:szCs w:val="18"/>
              </w:rPr>
            </w:pPr>
          </w:p>
        </w:tc>
        <w:tc>
          <w:tcPr>
            <w:tcW w:w="720" w:type="dxa"/>
          </w:tcPr>
          <w:p w14:paraId="68A76468" w14:textId="77777777" w:rsidR="005B7178" w:rsidRDefault="005B7178">
            <w:pPr>
              <w:ind w:right="-29"/>
              <w:jc w:val="center"/>
              <w:rPr>
                <w:noProof/>
                <w:sz w:val="18"/>
                <w:szCs w:val="18"/>
              </w:rPr>
            </w:pPr>
          </w:p>
        </w:tc>
        <w:tc>
          <w:tcPr>
            <w:tcW w:w="900" w:type="dxa"/>
          </w:tcPr>
          <w:p w14:paraId="78C3C976" w14:textId="77777777" w:rsidR="005B7178" w:rsidRDefault="005B7178">
            <w:pPr>
              <w:ind w:right="-29"/>
              <w:jc w:val="center"/>
              <w:rPr>
                <w:noProof/>
                <w:sz w:val="18"/>
                <w:szCs w:val="18"/>
              </w:rPr>
            </w:pPr>
          </w:p>
        </w:tc>
      </w:tr>
      <w:tr w:rsidR="00F67E4F" w14:paraId="4D4631F5" w14:textId="77777777">
        <w:trPr>
          <w:trHeight w:hRule="exact" w:val="369"/>
          <w:jc w:val="center"/>
        </w:trPr>
        <w:tc>
          <w:tcPr>
            <w:tcW w:w="1423" w:type="dxa"/>
          </w:tcPr>
          <w:p w14:paraId="570ACB2F" w14:textId="77777777" w:rsidR="005B7178" w:rsidRDefault="005B7178">
            <w:pPr>
              <w:ind w:right="-29"/>
              <w:jc w:val="center"/>
              <w:rPr>
                <w:noProof/>
                <w:sz w:val="18"/>
                <w:szCs w:val="18"/>
              </w:rPr>
            </w:pPr>
            <w:r>
              <w:rPr>
                <w:noProof/>
                <w:sz w:val="18"/>
              </w:rPr>
              <w:t>- Output</w:t>
            </w:r>
          </w:p>
        </w:tc>
        <w:tc>
          <w:tcPr>
            <w:tcW w:w="720" w:type="dxa"/>
          </w:tcPr>
          <w:p w14:paraId="5421B585" w14:textId="77777777" w:rsidR="005B7178" w:rsidRDefault="005B7178">
            <w:pPr>
              <w:ind w:right="-29"/>
              <w:jc w:val="center"/>
              <w:rPr>
                <w:noProof/>
                <w:sz w:val="18"/>
                <w:szCs w:val="18"/>
              </w:rPr>
            </w:pPr>
          </w:p>
        </w:tc>
        <w:tc>
          <w:tcPr>
            <w:tcW w:w="701" w:type="dxa"/>
          </w:tcPr>
          <w:p w14:paraId="2C3D9B4A" w14:textId="77777777" w:rsidR="005B7178" w:rsidRDefault="005B7178">
            <w:pPr>
              <w:ind w:right="-29"/>
              <w:jc w:val="center"/>
              <w:rPr>
                <w:noProof/>
                <w:sz w:val="18"/>
                <w:szCs w:val="18"/>
              </w:rPr>
            </w:pPr>
          </w:p>
        </w:tc>
        <w:tc>
          <w:tcPr>
            <w:tcW w:w="504" w:type="dxa"/>
          </w:tcPr>
          <w:p w14:paraId="527B35E8" w14:textId="77777777" w:rsidR="005B7178" w:rsidRDefault="005B7178">
            <w:pPr>
              <w:ind w:right="-29"/>
              <w:jc w:val="center"/>
              <w:rPr>
                <w:noProof/>
                <w:sz w:val="18"/>
                <w:szCs w:val="18"/>
              </w:rPr>
            </w:pPr>
          </w:p>
        </w:tc>
        <w:tc>
          <w:tcPr>
            <w:tcW w:w="720" w:type="dxa"/>
          </w:tcPr>
          <w:p w14:paraId="5BCFDED2" w14:textId="77777777" w:rsidR="005B7178" w:rsidRDefault="005B7178">
            <w:pPr>
              <w:ind w:right="-29"/>
              <w:jc w:val="center"/>
              <w:rPr>
                <w:noProof/>
                <w:sz w:val="18"/>
                <w:szCs w:val="18"/>
              </w:rPr>
            </w:pPr>
          </w:p>
        </w:tc>
        <w:tc>
          <w:tcPr>
            <w:tcW w:w="540" w:type="dxa"/>
          </w:tcPr>
          <w:p w14:paraId="50A3FA73" w14:textId="77777777" w:rsidR="005B7178" w:rsidRDefault="005B7178">
            <w:pPr>
              <w:ind w:right="-29"/>
              <w:jc w:val="center"/>
              <w:rPr>
                <w:noProof/>
                <w:sz w:val="18"/>
                <w:szCs w:val="18"/>
              </w:rPr>
            </w:pPr>
          </w:p>
        </w:tc>
        <w:tc>
          <w:tcPr>
            <w:tcW w:w="720" w:type="dxa"/>
          </w:tcPr>
          <w:p w14:paraId="3DCBF7A7" w14:textId="77777777" w:rsidR="005B7178" w:rsidRDefault="005B7178">
            <w:pPr>
              <w:ind w:right="-29"/>
              <w:jc w:val="center"/>
              <w:rPr>
                <w:noProof/>
                <w:sz w:val="18"/>
                <w:szCs w:val="18"/>
              </w:rPr>
            </w:pPr>
          </w:p>
        </w:tc>
        <w:tc>
          <w:tcPr>
            <w:tcW w:w="720" w:type="dxa"/>
          </w:tcPr>
          <w:p w14:paraId="54E88E65" w14:textId="77777777" w:rsidR="005B7178" w:rsidRDefault="005B7178">
            <w:pPr>
              <w:ind w:right="-29"/>
              <w:jc w:val="center"/>
              <w:rPr>
                <w:noProof/>
                <w:sz w:val="18"/>
                <w:szCs w:val="18"/>
              </w:rPr>
            </w:pPr>
          </w:p>
        </w:tc>
        <w:tc>
          <w:tcPr>
            <w:tcW w:w="720" w:type="dxa"/>
          </w:tcPr>
          <w:p w14:paraId="78AB9287" w14:textId="77777777" w:rsidR="005B7178" w:rsidRDefault="005B7178">
            <w:pPr>
              <w:ind w:right="-29"/>
              <w:jc w:val="center"/>
              <w:rPr>
                <w:noProof/>
                <w:sz w:val="18"/>
                <w:szCs w:val="18"/>
              </w:rPr>
            </w:pPr>
          </w:p>
        </w:tc>
        <w:tc>
          <w:tcPr>
            <w:tcW w:w="900" w:type="dxa"/>
          </w:tcPr>
          <w:p w14:paraId="69213D13" w14:textId="77777777" w:rsidR="005B7178" w:rsidRDefault="005B7178">
            <w:pPr>
              <w:ind w:right="-29"/>
              <w:jc w:val="center"/>
              <w:rPr>
                <w:noProof/>
                <w:sz w:val="18"/>
                <w:szCs w:val="18"/>
              </w:rPr>
            </w:pPr>
          </w:p>
        </w:tc>
        <w:tc>
          <w:tcPr>
            <w:tcW w:w="639" w:type="dxa"/>
            <w:gridSpan w:val="2"/>
          </w:tcPr>
          <w:p w14:paraId="3B3101CE" w14:textId="77777777" w:rsidR="005B7178" w:rsidRDefault="005B7178">
            <w:pPr>
              <w:ind w:right="-29"/>
              <w:jc w:val="center"/>
              <w:rPr>
                <w:noProof/>
                <w:sz w:val="18"/>
                <w:szCs w:val="18"/>
              </w:rPr>
            </w:pPr>
          </w:p>
        </w:tc>
        <w:tc>
          <w:tcPr>
            <w:tcW w:w="621" w:type="dxa"/>
          </w:tcPr>
          <w:p w14:paraId="621F17FF" w14:textId="77777777" w:rsidR="005B7178" w:rsidRDefault="005B7178">
            <w:pPr>
              <w:ind w:right="-29"/>
              <w:jc w:val="center"/>
              <w:rPr>
                <w:noProof/>
                <w:sz w:val="18"/>
                <w:szCs w:val="18"/>
              </w:rPr>
            </w:pPr>
          </w:p>
        </w:tc>
        <w:tc>
          <w:tcPr>
            <w:tcW w:w="648" w:type="dxa"/>
          </w:tcPr>
          <w:p w14:paraId="5DE87B82" w14:textId="77777777" w:rsidR="005B7178" w:rsidRDefault="005B7178">
            <w:pPr>
              <w:ind w:right="-29"/>
              <w:jc w:val="center"/>
              <w:rPr>
                <w:noProof/>
                <w:sz w:val="18"/>
                <w:szCs w:val="18"/>
              </w:rPr>
            </w:pPr>
          </w:p>
        </w:tc>
        <w:tc>
          <w:tcPr>
            <w:tcW w:w="432" w:type="dxa"/>
          </w:tcPr>
          <w:p w14:paraId="3AD71D51" w14:textId="77777777" w:rsidR="005B7178" w:rsidRDefault="005B7178">
            <w:pPr>
              <w:ind w:right="-29"/>
              <w:jc w:val="center"/>
              <w:rPr>
                <w:noProof/>
                <w:sz w:val="18"/>
                <w:szCs w:val="18"/>
              </w:rPr>
            </w:pPr>
          </w:p>
        </w:tc>
        <w:tc>
          <w:tcPr>
            <w:tcW w:w="720" w:type="dxa"/>
          </w:tcPr>
          <w:p w14:paraId="698C8643" w14:textId="77777777" w:rsidR="005B7178" w:rsidRDefault="005B7178">
            <w:pPr>
              <w:ind w:right="-29"/>
              <w:jc w:val="center"/>
              <w:rPr>
                <w:noProof/>
                <w:sz w:val="18"/>
                <w:szCs w:val="18"/>
              </w:rPr>
            </w:pPr>
          </w:p>
        </w:tc>
        <w:tc>
          <w:tcPr>
            <w:tcW w:w="540" w:type="dxa"/>
          </w:tcPr>
          <w:p w14:paraId="4F07B060" w14:textId="77777777" w:rsidR="005B7178" w:rsidRDefault="005B7178">
            <w:pPr>
              <w:ind w:right="-29"/>
              <w:jc w:val="center"/>
              <w:rPr>
                <w:noProof/>
                <w:sz w:val="18"/>
                <w:szCs w:val="18"/>
              </w:rPr>
            </w:pPr>
          </w:p>
        </w:tc>
        <w:tc>
          <w:tcPr>
            <w:tcW w:w="720" w:type="dxa"/>
          </w:tcPr>
          <w:p w14:paraId="75062C43" w14:textId="77777777" w:rsidR="005B7178" w:rsidRDefault="005B7178">
            <w:pPr>
              <w:ind w:right="-29"/>
              <w:jc w:val="center"/>
              <w:rPr>
                <w:noProof/>
                <w:sz w:val="18"/>
                <w:szCs w:val="18"/>
              </w:rPr>
            </w:pPr>
          </w:p>
        </w:tc>
        <w:tc>
          <w:tcPr>
            <w:tcW w:w="720" w:type="dxa"/>
          </w:tcPr>
          <w:p w14:paraId="08DCFAEF" w14:textId="77777777" w:rsidR="005B7178" w:rsidRDefault="005B7178">
            <w:pPr>
              <w:ind w:right="-29"/>
              <w:jc w:val="center"/>
              <w:rPr>
                <w:noProof/>
                <w:sz w:val="18"/>
                <w:szCs w:val="18"/>
              </w:rPr>
            </w:pPr>
          </w:p>
        </w:tc>
        <w:tc>
          <w:tcPr>
            <w:tcW w:w="900" w:type="dxa"/>
          </w:tcPr>
          <w:p w14:paraId="20934837" w14:textId="77777777" w:rsidR="005B7178" w:rsidRDefault="005B7178">
            <w:pPr>
              <w:ind w:right="-29"/>
              <w:jc w:val="center"/>
              <w:rPr>
                <w:noProof/>
                <w:sz w:val="18"/>
                <w:szCs w:val="18"/>
              </w:rPr>
            </w:pPr>
          </w:p>
        </w:tc>
      </w:tr>
      <w:tr w:rsidR="00F67E4F" w:rsidRPr="003A769F" w14:paraId="5123F123" w14:textId="77777777">
        <w:trPr>
          <w:trHeight w:val="77"/>
          <w:jc w:val="center"/>
        </w:trPr>
        <w:tc>
          <w:tcPr>
            <w:tcW w:w="2844" w:type="dxa"/>
            <w:gridSpan w:val="3"/>
            <w:tcBorders>
              <w:bottom w:val="single" w:sz="12" w:space="0" w:color="auto"/>
            </w:tcBorders>
            <w:vAlign w:val="center"/>
          </w:tcPr>
          <w:p w14:paraId="18F764E4" w14:textId="77777777" w:rsidR="005B7178" w:rsidRPr="003A769F" w:rsidRDefault="005B7178">
            <w:pPr>
              <w:ind w:right="-29"/>
              <w:jc w:val="center"/>
              <w:rPr>
                <w:noProof/>
                <w:sz w:val="18"/>
                <w:szCs w:val="18"/>
                <w:lang w:val="en-IE"/>
              </w:rPr>
            </w:pPr>
            <w:r w:rsidRPr="003A769F">
              <w:rPr>
                <w:noProof/>
                <w:sz w:val="18"/>
                <w:lang w:val="en-IE"/>
              </w:rPr>
              <w:t>Subtotal for specific objective No 1</w:t>
            </w:r>
          </w:p>
        </w:tc>
        <w:tc>
          <w:tcPr>
            <w:tcW w:w="504" w:type="dxa"/>
            <w:tcBorders>
              <w:bottom w:val="single" w:sz="12" w:space="0" w:color="auto"/>
            </w:tcBorders>
          </w:tcPr>
          <w:p w14:paraId="65E62CFB"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4A589531" w14:textId="77777777" w:rsidR="005B7178" w:rsidRPr="003A769F" w:rsidRDefault="005B7178">
            <w:pPr>
              <w:ind w:right="-29"/>
              <w:jc w:val="center"/>
              <w:rPr>
                <w:noProof/>
                <w:sz w:val="18"/>
                <w:szCs w:val="18"/>
                <w:lang w:val="en-IE"/>
              </w:rPr>
            </w:pPr>
          </w:p>
        </w:tc>
        <w:tc>
          <w:tcPr>
            <w:tcW w:w="540" w:type="dxa"/>
            <w:tcBorders>
              <w:bottom w:val="single" w:sz="12" w:space="0" w:color="auto"/>
            </w:tcBorders>
          </w:tcPr>
          <w:p w14:paraId="436043E1"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5F18E8BA"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59A5072D"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2B1140DC" w14:textId="77777777" w:rsidR="005B7178" w:rsidRPr="003A769F" w:rsidRDefault="005B7178">
            <w:pPr>
              <w:ind w:right="-29"/>
              <w:jc w:val="center"/>
              <w:rPr>
                <w:noProof/>
                <w:sz w:val="18"/>
                <w:szCs w:val="18"/>
                <w:lang w:val="en-IE"/>
              </w:rPr>
            </w:pPr>
          </w:p>
        </w:tc>
        <w:tc>
          <w:tcPr>
            <w:tcW w:w="900" w:type="dxa"/>
            <w:tcBorders>
              <w:bottom w:val="single" w:sz="12" w:space="0" w:color="auto"/>
            </w:tcBorders>
          </w:tcPr>
          <w:p w14:paraId="4FF206E5" w14:textId="77777777" w:rsidR="005B7178" w:rsidRPr="003A769F" w:rsidRDefault="005B7178">
            <w:pPr>
              <w:ind w:right="-29"/>
              <w:jc w:val="center"/>
              <w:rPr>
                <w:noProof/>
                <w:sz w:val="18"/>
                <w:szCs w:val="18"/>
                <w:lang w:val="en-IE"/>
              </w:rPr>
            </w:pPr>
          </w:p>
        </w:tc>
        <w:tc>
          <w:tcPr>
            <w:tcW w:w="639" w:type="dxa"/>
            <w:gridSpan w:val="2"/>
            <w:tcBorders>
              <w:bottom w:val="single" w:sz="12" w:space="0" w:color="auto"/>
            </w:tcBorders>
          </w:tcPr>
          <w:p w14:paraId="12FF6A44" w14:textId="77777777" w:rsidR="005B7178" w:rsidRPr="003A769F" w:rsidRDefault="005B7178">
            <w:pPr>
              <w:ind w:right="-29"/>
              <w:jc w:val="center"/>
              <w:rPr>
                <w:noProof/>
                <w:sz w:val="18"/>
                <w:szCs w:val="18"/>
                <w:lang w:val="en-IE"/>
              </w:rPr>
            </w:pPr>
          </w:p>
        </w:tc>
        <w:tc>
          <w:tcPr>
            <w:tcW w:w="621" w:type="dxa"/>
            <w:tcBorders>
              <w:bottom w:val="single" w:sz="12" w:space="0" w:color="auto"/>
            </w:tcBorders>
          </w:tcPr>
          <w:p w14:paraId="6B9C7BD5" w14:textId="77777777" w:rsidR="005B7178" w:rsidRPr="003A769F" w:rsidRDefault="005B7178">
            <w:pPr>
              <w:ind w:right="-29"/>
              <w:jc w:val="center"/>
              <w:rPr>
                <w:noProof/>
                <w:sz w:val="18"/>
                <w:szCs w:val="18"/>
                <w:lang w:val="en-IE"/>
              </w:rPr>
            </w:pPr>
          </w:p>
        </w:tc>
        <w:tc>
          <w:tcPr>
            <w:tcW w:w="648" w:type="dxa"/>
            <w:tcBorders>
              <w:bottom w:val="single" w:sz="12" w:space="0" w:color="auto"/>
            </w:tcBorders>
          </w:tcPr>
          <w:p w14:paraId="6D477F01" w14:textId="77777777" w:rsidR="005B7178" w:rsidRPr="003A769F" w:rsidRDefault="005B7178">
            <w:pPr>
              <w:ind w:right="-29"/>
              <w:jc w:val="center"/>
              <w:rPr>
                <w:noProof/>
                <w:sz w:val="18"/>
                <w:szCs w:val="18"/>
                <w:lang w:val="en-IE"/>
              </w:rPr>
            </w:pPr>
          </w:p>
        </w:tc>
        <w:tc>
          <w:tcPr>
            <w:tcW w:w="432" w:type="dxa"/>
            <w:tcBorders>
              <w:bottom w:val="single" w:sz="12" w:space="0" w:color="auto"/>
            </w:tcBorders>
          </w:tcPr>
          <w:p w14:paraId="6AE04777"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3922950B" w14:textId="77777777" w:rsidR="005B7178" w:rsidRPr="003A769F" w:rsidRDefault="005B7178">
            <w:pPr>
              <w:ind w:right="-29"/>
              <w:jc w:val="center"/>
              <w:rPr>
                <w:noProof/>
                <w:sz w:val="18"/>
                <w:szCs w:val="18"/>
                <w:lang w:val="en-IE"/>
              </w:rPr>
            </w:pPr>
          </w:p>
        </w:tc>
        <w:tc>
          <w:tcPr>
            <w:tcW w:w="540" w:type="dxa"/>
            <w:tcBorders>
              <w:bottom w:val="single" w:sz="12" w:space="0" w:color="auto"/>
            </w:tcBorders>
          </w:tcPr>
          <w:p w14:paraId="7EBCA7BA"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267B7785"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69A4E0FC" w14:textId="77777777" w:rsidR="005B7178" w:rsidRPr="003A769F" w:rsidRDefault="005B7178">
            <w:pPr>
              <w:ind w:right="-29"/>
              <w:jc w:val="center"/>
              <w:rPr>
                <w:noProof/>
                <w:sz w:val="18"/>
                <w:szCs w:val="18"/>
                <w:lang w:val="en-IE"/>
              </w:rPr>
            </w:pPr>
          </w:p>
        </w:tc>
        <w:tc>
          <w:tcPr>
            <w:tcW w:w="900" w:type="dxa"/>
            <w:tcBorders>
              <w:bottom w:val="single" w:sz="12" w:space="0" w:color="auto"/>
            </w:tcBorders>
          </w:tcPr>
          <w:p w14:paraId="7558222C" w14:textId="77777777" w:rsidR="005B7178" w:rsidRPr="003A769F" w:rsidRDefault="005B7178">
            <w:pPr>
              <w:ind w:right="-29"/>
              <w:jc w:val="center"/>
              <w:rPr>
                <w:noProof/>
                <w:sz w:val="18"/>
                <w:szCs w:val="18"/>
                <w:lang w:val="en-IE"/>
              </w:rPr>
            </w:pPr>
          </w:p>
        </w:tc>
      </w:tr>
      <w:tr w:rsidR="00F67E4F" w14:paraId="1FC26ED3" w14:textId="77777777">
        <w:trPr>
          <w:jc w:val="center"/>
        </w:trPr>
        <w:tc>
          <w:tcPr>
            <w:tcW w:w="2844" w:type="dxa"/>
            <w:gridSpan w:val="3"/>
            <w:vAlign w:val="center"/>
          </w:tcPr>
          <w:p w14:paraId="6AE6AEFE" w14:textId="77777777" w:rsidR="005B7178" w:rsidRDefault="005B7178">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14:paraId="2ED439F7"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1EC07D98" w14:textId="77777777" w:rsidR="005B7178" w:rsidRDefault="005B7178">
            <w:pPr>
              <w:spacing w:before="60" w:after="60"/>
              <w:ind w:right="-29"/>
              <w:jc w:val="center"/>
              <w:rPr>
                <w:noProof/>
                <w:sz w:val="18"/>
                <w:szCs w:val="18"/>
              </w:rPr>
            </w:pPr>
          </w:p>
        </w:tc>
        <w:tc>
          <w:tcPr>
            <w:tcW w:w="540" w:type="dxa"/>
            <w:tcBorders>
              <w:top w:val="nil"/>
              <w:left w:val="nil"/>
              <w:bottom w:val="nil"/>
              <w:right w:val="nil"/>
            </w:tcBorders>
          </w:tcPr>
          <w:p w14:paraId="599EE0EC"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3F279A1F"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6D506FAD"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41D92693" w14:textId="77777777" w:rsidR="005B7178" w:rsidRDefault="005B7178">
            <w:pPr>
              <w:spacing w:before="60" w:after="60"/>
              <w:ind w:right="-29"/>
              <w:jc w:val="center"/>
              <w:rPr>
                <w:noProof/>
                <w:sz w:val="18"/>
                <w:szCs w:val="18"/>
              </w:rPr>
            </w:pPr>
          </w:p>
        </w:tc>
        <w:tc>
          <w:tcPr>
            <w:tcW w:w="900" w:type="dxa"/>
            <w:tcBorders>
              <w:top w:val="nil"/>
              <w:left w:val="nil"/>
              <w:bottom w:val="nil"/>
              <w:right w:val="nil"/>
            </w:tcBorders>
          </w:tcPr>
          <w:p w14:paraId="42A9B071" w14:textId="77777777" w:rsidR="005B7178" w:rsidRDefault="005B7178">
            <w:pPr>
              <w:spacing w:before="60" w:after="60"/>
              <w:ind w:right="-29"/>
              <w:jc w:val="center"/>
              <w:rPr>
                <w:noProof/>
                <w:sz w:val="18"/>
                <w:szCs w:val="18"/>
              </w:rPr>
            </w:pPr>
          </w:p>
        </w:tc>
        <w:tc>
          <w:tcPr>
            <w:tcW w:w="639" w:type="dxa"/>
            <w:gridSpan w:val="2"/>
            <w:tcBorders>
              <w:top w:val="nil"/>
              <w:left w:val="nil"/>
              <w:bottom w:val="nil"/>
              <w:right w:val="nil"/>
            </w:tcBorders>
          </w:tcPr>
          <w:p w14:paraId="02E2AD21" w14:textId="77777777" w:rsidR="005B7178" w:rsidRDefault="005B7178">
            <w:pPr>
              <w:spacing w:before="60" w:after="60"/>
              <w:ind w:right="-29"/>
              <w:jc w:val="center"/>
              <w:rPr>
                <w:noProof/>
                <w:sz w:val="18"/>
                <w:szCs w:val="18"/>
              </w:rPr>
            </w:pPr>
          </w:p>
        </w:tc>
        <w:tc>
          <w:tcPr>
            <w:tcW w:w="621" w:type="dxa"/>
            <w:tcBorders>
              <w:top w:val="nil"/>
              <w:left w:val="nil"/>
              <w:bottom w:val="nil"/>
              <w:right w:val="nil"/>
            </w:tcBorders>
          </w:tcPr>
          <w:p w14:paraId="4D1888CE" w14:textId="77777777" w:rsidR="005B7178" w:rsidRDefault="005B7178">
            <w:pPr>
              <w:spacing w:before="60" w:after="60"/>
              <w:ind w:right="-29"/>
              <w:jc w:val="center"/>
              <w:rPr>
                <w:noProof/>
                <w:sz w:val="18"/>
                <w:szCs w:val="18"/>
              </w:rPr>
            </w:pPr>
          </w:p>
        </w:tc>
        <w:tc>
          <w:tcPr>
            <w:tcW w:w="648" w:type="dxa"/>
            <w:tcBorders>
              <w:top w:val="nil"/>
              <w:left w:val="nil"/>
              <w:bottom w:val="nil"/>
              <w:right w:val="nil"/>
            </w:tcBorders>
          </w:tcPr>
          <w:p w14:paraId="41451B0F" w14:textId="77777777" w:rsidR="005B7178" w:rsidRDefault="005B7178">
            <w:pPr>
              <w:spacing w:before="60" w:after="60"/>
              <w:ind w:right="-29"/>
              <w:jc w:val="center"/>
              <w:rPr>
                <w:noProof/>
                <w:sz w:val="18"/>
                <w:szCs w:val="18"/>
              </w:rPr>
            </w:pPr>
          </w:p>
        </w:tc>
        <w:tc>
          <w:tcPr>
            <w:tcW w:w="432" w:type="dxa"/>
            <w:tcBorders>
              <w:top w:val="nil"/>
              <w:left w:val="nil"/>
              <w:bottom w:val="nil"/>
              <w:right w:val="nil"/>
            </w:tcBorders>
          </w:tcPr>
          <w:p w14:paraId="132BDF3A"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151F6035" w14:textId="77777777" w:rsidR="005B7178" w:rsidRDefault="005B7178">
            <w:pPr>
              <w:spacing w:before="60" w:after="60"/>
              <w:ind w:right="-29"/>
              <w:jc w:val="center"/>
              <w:rPr>
                <w:noProof/>
                <w:sz w:val="18"/>
                <w:szCs w:val="18"/>
              </w:rPr>
            </w:pPr>
          </w:p>
        </w:tc>
        <w:tc>
          <w:tcPr>
            <w:tcW w:w="540" w:type="dxa"/>
            <w:tcBorders>
              <w:top w:val="nil"/>
              <w:left w:val="nil"/>
              <w:bottom w:val="nil"/>
              <w:right w:val="nil"/>
            </w:tcBorders>
          </w:tcPr>
          <w:p w14:paraId="6FBA8434"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616EAC82" w14:textId="77777777" w:rsidR="005B7178" w:rsidRDefault="005B7178">
            <w:pPr>
              <w:spacing w:before="60" w:after="60"/>
              <w:ind w:right="-29"/>
              <w:jc w:val="center"/>
              <w:rPr>
                <w:noProof/>
                <w:sz w:val="18"/>
                <w:szCs w:val="18"/>
              </w:rPr>
            </w:pPr>
          </w:p>
        </w:tc>
        <w:tc>
          <w:tcPr>
            <w:tcW w:w="720" w:type="dxa"/>
            <w:tcBorders>
              <w:top w:val="nil"/>
              <w:left w:val="nil"/>
              <w:bottom w:val="nil"/>
              <w:right w:val="nil"/>
            </w:tcBorders>
          </w:tcPr>
          <w:p w14:paraId="6DDCED89" w14:textId="77777777" w:rsidR="005B7178" w:rsidRDefault="005B7178">
            <w:pPr>
              <w:spacing w:before="60" w:after="60"/>
              <w:ind w:right="-29"/>
              <w:jc w:val="center"/>
              <w:rPr>
                <w:noProof/>
                <w:sz w:val="18"/>
                <w:szCs w:val="18"/>
              </w:rPr>
            </w:pPr>
          </w:p>
        </w:tc>
        <w:tc>
          <w:tcPr>
            <w:tcW w:w="900" w:type="dxa"/>
            <w:tcBorders>
              <w:top w:val="nil"/>
              <w:left w:val="nil"/>
              <w:bottom w:val="nil"/>
              <w:right w:val="nil"/>
            </w:tcBorders>
          </w:tcPr>
          <w:p w14:paraId="4F9199B4" w14:textId="77777777" w:rsidR="005B7178" w:rsidRDefault="005B7178">
            <w:pPr>
              <w:spacing w:before="60" w:after="60"/>
              <w:ind w:right="-29"/>
              <w:jc w:val="center"/>
              <w:rPr>
                <w:noProof/>
                <w:sz w:val="18"/>
                <w:szCs w:val="18"/>
              </w:rPr>
            </w:pPr>
          </w:p>
        </w:tc>
      </w:tr>
      <w:tr w:rsidR="00F67E4F" w14:paraId="10976A3B" w14:textId="77777777">
        <w:trPr>
          <w:trHeight w:hRule="exact" w:val="369"/>
          <w:jc w:val="center"/>
        </w:trPr>
        <w:tc>
          <w:tcPr>
            <w:tcW w:w="1423" w:type="dxa"/>
          </w:tcPr>
          <w:p w14:paraId="012265BB" w14:textId="77777777" w:rsidR="005B7178" w:rsidRDefault="005B7178">
            <w:pPr>
              <w:ind w:right="-29"/>
              <w:jc w:val="center"/>
              <w:rPr>
                <w:noProof/>
                <w:sz w:val="18"/>
                <w:szCs w:val="18"/>
              </w:rPr>
            </w:pPr>
            <w:r>
              <w:rPr>
                <w:noProof/>
                <w:sz w:val="18"/>
              </w:rPr>
              <w:t>- Output</w:t>
            </w:r>
          </w:p>
        </w:tc>
        <w:tc>
          <w:tcPr>
            <w:tcW w:w="720" w:type="dxa"/>
          </w:tcPr>
          <w:p w14:paraId="1FA55894" w14:textId="77777777" w:rsidR="005B7178" w:rsidRDefault="005B7178">
            <w:pPr>
              <w:ind w:right="-29"/>
              <w:jc w:val="center"/>
              <w:rPr>
                <w:noProof/>
                <w:sz w:val="18"/>
                <w:szCs w:val="18"/>
              </w:rPr>
            </w:pPr>
          </w:p>
        </w:tc>
        <w:tc>
          <w:tcPr>
            <w:tcW w:w="701" w:type="dxa"/>
          </w:tcPr>
          <w:p w14:paraId="2543EE99" w14:textId="77777777" w:rsidR="005B7178" w:rsidRDefault="005B7178">
            <w:pPr>
              <w:ind w:right="-29"/>
              <w:jc w:val="center"/>
              <w:rPr>
                <w:noProof/>
                <w:sz w:val="18"/>
                <w:szCs w:val="18"/>
              </w:rPr>
            </w:pPr>
          </w:p>
        </w:tc>
        <w:tc>
          <w:tcPr>
            <w:tcW w:w="504" w:type="dxa"/>
          </w:tcPr>
          <w:p w14:paraId="3A2537D7" w14:textId="77777777" w:rsidR="005B7178" w:rsidRDefault="005B7178">
            <w:pPr>
              <w:ind w:right="-29"/>
              <w:jc w:val="center"/>
              <w:rPr>
                <w:noProof/>
                <w:sz w:val="18"/>
                <w:szCs w:val="18"/>
              </w:rPr>
            </w:pPr>
          </w:p>
        </w:tc>
        <w:tc>
          <w:tcPr>
            <w:tcW w:w="720" w:type="dxa"/>
          </w:tcPr>
          <w:p w14:paraId="40DC038B" w14:textId="77777777" w:rsidR="005B7178" w:rsidRDefault="005B7178">
            <w:pPr>
              <w:ind w:right="-29"/>
              <w:jc w:val="center"/>
              <w:rPr>
                <w:noProof/>
                <w:sz w:val="18"/>
                <w:szCs w:val="18"/>
              </w:rPr>
            </w:pPr>
          </w:p>
        </w:tc>
        <w:tc>
          <w:tcPr>
            <w:tcW w:w="540" w:type="dxa"/>
          </w:tcPr>
          <w:p w14:paraId="5380B1C7" w14:textId="77777777" w:rsidR="005B7178" w:rsidRDefault="005B7178">
            <w:pPr>
              <w:ind w:right="-29"/>
              <w:jc w:val="center"/>
              <w:rPr>
                <w:noProof/>
                <w:sz w:val="18"/>
                <w:szCs w:val="18"/>
              </w:rPr>
            </w:pPr>
          </w:p>
        </w:tc>
        <w:tc>
          <w:tcPr>
            <w:tcW w:w="720" w:type="dxa"/>
          </w:tcPr>
          <w:p w14:paraId="0B3107AC" w14:textId="77777777" w:rsidR="005B7178" w:rsidRDefault="005B7178">
            <w:pPr>
              <w:ind w:right="-29"/>
              <w:jc w:val="center"/>
              <w:rPr>
                <w:noProof/>
                <w:sz w:val="18"/>
                <w:szCs w:val="18"/>
              </w:rPr>
            </w:pPr>
          </w:p>
        </w:tc>
        <w:tc>
          <w:tcPr>
            <w:tcW w:w="720" w:type="dxa"/>
          </w:tcPr>
          <w:p w14:paraId="730005EE" w14:textId="77777777" w:rsidR="005B7178" w:rsidRDefault="005B7178">
            <w:pPr>
              <w:ind w:right="-29"/>
              <w:jc w:val="center"/>
              <w:rPr>
                <w:noProof/>
                <w:sz w:val="18"/>
                <w:szCs w:val="18"/>
              </w:rPr>
            </w:pPr>
          </w:p>
        </w:tc>
        <w:tc>
          <w:tcPr>
            <w:tcW w:w="720" w:type="dxa"/>
          </w:tcPr>
          <w:p w14:paraId="62F0815B" w14:textId="77777777" w:rsidR="005B7178" w:rsidRDefault="005B7178">
            <w:pPr>
              <w:ind w:right="-29"/>
              <w:jc w:val="center"/>
              <w:rPr>
                <w:noProof/>
                <w:sz w:val="18"/>
                <w:szCs w:val="18"/>
              </w:rPr>
            </w:pPr>
          </w:p>
        </w:tc>
        <w:tc>
          <w:tcPr>
            <w:tcW w:w="900" w:type="dxa"/>
          </w:tcPr>
          <w:p w14:paraId="3F9F70AD" w14:textId="77777777" w:rsidR="005B7178" w:rsidRDefault="005B7178">
            <w:pPr>
              <w:ind w:right="-29"/>
              <w:jc w:val="center"/>
              <w:rPr>
                <w:noProof/>
                <w:sz w:val="18"/>
                <w:szCs w:val="18"/>
              </w:rPr>
            </w:pPr>
          </w:p>
        </w:tc>
        <w:tc>
          <w:tcPr>
            <w:tcW w:w="639" w:type="dxa"/>
            <w:gridSpan w:val="2"/>
          </w:tcPr>
          <w:p w14:paraId="62B276E9" w14:textId="77777777" w:rsidR="005B7178" w:rsidRDefault="005B7178">
            <w:pPr>
              <w:ind w:right="-29"/>
              <w:jc w:val="center"/>
              <w:rPr>
                <w:noProof/>
                <w:sz w:val="18"/>
                <w:szCs w:val="18"/>
              </w:rPr>
            </w:pPr>
          </w:p>
        </w:tc>
        <w:tc>
          <w:tcPr>
            <w:tcW w:w="621" w:type="dxa"/>
          </w:tcPr>
          <w:p w14:paraId="7388AF38" w14:textId="77777777" w:rsidR="005B7178" w:rsidRDefault="005B7178">
            <w:pPr>
              <w:ind w:right="-29"/>
              <w:jc w:val="center"/>
              <w:rPr>
                <w:noProof/>
                <w:sz w:val="18"/>
                <w:szCs w:val="18"/>
              </w:rPr>
            </w:pPr>
          </w:p>
        </w:tc>
        <w:tc>
          <w:tcPr>
            <w:tcW w:w="648" w:type="dxa"/>
          </w:tcPr>
          <w:p w14:paraId="5DB6EABB" w14:textId="77777777" w:rsidR="005B7178" w:rsidRDefault="005B7178">
            <w:pPr>
              <w:ind w:right="-29"/>
              <w:jc w:val="center"/>
              <w:rPr>
                <w:noProof/>
                <w:sz w:val="18"/>
                <w:szCs w:val="18"/>
              </w:rPr>
            </w:pPr>
          </w:p>
        </w:tc>
        <w:tc>
          <w:tcPr>
            <w:tcW w:w="432" w:type="dxa"/>
          </w:tcPr>
          <w:p w14:paraId="4D57FDA5" w14:textId="77777777" w:rsidR="005B7178" w:rsidRDefault="005B7178">
            <w:pPr>
              <w:ind w:right="-29"/>
              <w:jc w:val="center"/>
              <w:rPr>
                <w:noProof/>
                <w:sz w:val="18"/>
                <w:szCs w:val="18"/>
              </w:rPr>
            </w:pPr>
          </w:p>
        </w:tc>
        <w:tc>
          <w:tcPr>
            <w:tcW w:w="720" w:type="dxa"/>
          </w:tcPr>
          <w:p w14:paraId="43AA8A7E" w14:textId="77777777" w:rsidR="005B7178" w:rsidRDefault="005B7178">
            <w:pPr>
              <w:ind w:right="-29"/>
              <w:jc w:val="center"/>
              <w:rPr>
                <w:noProof/>
                <w:sz w:val="18"/>
                <w:szCs w:val="18"/>
              </w:rPr>
            </w:pPr>
          </w:p>
        </w:tc>
        <w:tc>
          <w:tcPr>
            <w:tcW w:w="540" w:type="dxa"/>
          </w:tcPr>
          <w:p w14:paraId="008FDEAA" w14:textId="77777777" w:rsidR="005B7178" w:rsidRDefault="005B7178">
            <w:pPr>
              <w:ind w:right="-29"/>
              <w:jc w:val="center"/>
              <w:rPr>
                <w:noProof/>
                <w:sz w:val="18"/>
                <w:szCs w:val="18"/>
              </w:rPr>
            </w:pPr>
          </w:p>
        </w:tc>
        <w:tc>
          <w:tcPr>
            <w:tcW w:w="720" w:type="dxa"/>
          </w:tcPr>
          <w:p w14:paraId="2A5DDFE6" w14:textId="77777777" w:rsidR="005B7178" w:rsidRDefault="005B7178">
            <w:pPr>
              <w:ind w:right="-29"/>
              <w:jc w:val="center"/>
              <w:rPr>
                <w:noProof/>
                <w:sz w:val="18"/>
                <w:szCs w:val="18"/>
              </w:rPr>
            </w:pPr>
          </w:p>
        </w:tc>
        <w:tc>
          <w:tcPr>
            <w:tcW w:w="720" w:type="dxa"/>
          </w:tcPr>
          <w:p w14:paraId="6E63409C" w14:textId="77777777" w:rsidR="005B7178" w:rsidRDefault="005B7178">
            <w:pPr>
              <w:ind w:right="-29"/>
              <w:jc w:val="center"/>
              <w:rPr>
                <w:noProof/>
                <w:sz w:val="18"/>
                <w:szCs w:val="18"/>
              </w:rPr>
            </w:pPr>
          </w:p>
        </w:tc>
        <w:tc>
          <w:tcPr>
            <w:tcW w:w="900" w:type="dxa"/>
          </w:tcPr>
          <w:p w14:paraId="70B2A601" w14:textId="77777777" w:rsidR="005B7178" w:rsidRDefault="005B7178">
            <w:pPr>
              <w:ind w:right="-29"/>
              <w:jc w:val="center"/>
              <w:rPr>
                <w:noProof/>
                <w:sz w:val="18"/>
                <w:szCs w:val="18"/>
              </w:rPr>
            </w:pPr>
          </w:p>
        </w:tc>
      </w:tr>
      <w:tr w:rsidR="00F67E4F" w:rsidRPr="003A769F" w14:paraId="6FD286E9" w14:textId="77777777">
        <w:trPr>
          <w:jc w:val="center"/>
        </w:trPr>
        <w:tc>
          <w:tcPr>
            <w:tcW w:w="2844" w:type="dxa"/>
            <w:gridSpan w:val="3"/>
            <w:tcBorders>
              <w:bottom w:val="single" w:sz="12" w:space="0" w:color="auto"/>
            </w:tcBorders>
            <w:vAlign w:val="center"/>
          </w:tcPr>
          <w:p w14:paraId="1BD30246" w14:textId="77777777" w:rsidR="005B7178" w:rsidRPr="003A769F" w:rsidRDefault="005B7178">
            <w:pPr>
              <w:jc w:val="center"/>
              <w:rPr>
                <w:noProof/>
                <w:sz w:val="18"/>
                <w:szCs w:val="18"/>
                <w:lang w:val="en-IE"/>
              </w:rPr>
            </w:pPr>
            <w:r w:rsidRPr="003A769F">
              <w:rPr>
                <w:noProof/>
                <w:sz w:val="18"/>
                <w:lang w:val="en-IE"/>
              </w:rPr>
              <w:t>Subtotal for specific objective No 2</w:t>
            </w:r>
          </w:p>
        </w:tc>
        <w:tc>
          <w:tcPr>
            <w:tcW w:w="504" w:type="dxa"/>
            <w:tcBorders>
              <w:bottom w:val="single" w:sz="12" w:space="0" w:color="auto"/>
            </w:tcBorders>
          </w:tcPr>
          <w:p w14:paraId="090AEAAF"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02D9F858" w14:textId="77777777" w:rsidR="005B7178" w:rsidRPr="003A769F" w:rsidRDefault="005B7178">
            <w:pPr>
              <w:ind w:right="-29"/>
              <w:jc w:val="center"/>
              <w:rPr>
                <w:noProof/>
                <w:sz w:val="18"/>
                <w:szCs w:val="18"/>
                <w:lang w:val="en-IE"/>
              </w:rPr>
            </w:pPr>
          </w:p>
        </w:tc>
        <w:tc>
          <w:tcPr>
            <w:tcW w:w="540" w:type="dxa"/>
            <w:tcBorders>
              <w:bottom w:val="single" w:sz="12" w:space="0" w:color="auto"/>
            </w:tcBorders>
          </w:tcPr>
          <w:p w14:paraId="7F19075B"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7E3C2186"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63DEFF00"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7CE97D6F" w14:textId="77777777" w:rsidR="005B7178" w:rsidRPr="003A769F" w:rsidRDefault="005B7178">
            <w:pPr>
              <w:ind w:right="-29"/>
              <w:jc w:val="center"/>
              <w:rPr>
                <w:noProof/>
                <w:sz w:val="18"/>
                <w:szCs w:val="18"/>
                <w:lang w:val="en-IE"/>
              </w:rPr>
            </w:pPr>
          </w:p>
        </w:tc>
        <w:tc>
          <w:tcPr>
            <w:tcW w:w="951" w:type="dxa"/>
            <w:gridSpan w:val="2"/>
            <w:tcBorders>
              <w:bottom w:val="single" w:sz="12" w:space="0" w:color="auto"/>
            </w:tcBorders>
          </w:tcPr>
          <w:p w14:paraId="247E14BF" w14:textId="77777777" w:rsidR="005B7178" w:rsidRPr="003A769F" w:rsidRDefault="005B7178">
            <w:pPr>
              <w:ind w:right="-29"/>
              <w:jc w:val="center"/>
              <w:rPr>
                <w:noProof/>
                <w:sz w:val="18"/>
                <w:szCs w:val="18"/>
                <w:lang w:val="en-IE"/>
              </w:rPr>
            </w:pPr>
          </w:p>
        </w:tc>
        <w:tc>
          <w:tcPr>
            <w:tcW w:w="588" w:type="dxa"/>
            <w:tcBorders>
              <w:bottom w:val="single" w:sz="12" w:space="0" w:color="auto"/>
            </w:tcBorders>
          </w:tcPr>
          <w:p w14:paraId="13EE9BF6" w14:textId="77777777" w:rsidR="005B7178" w:rsidRPr="003A769F" w:rsidRDefault="005B7178">
            <w:pPr>
              <w:ind w:right="-29"/>
              <w:jc w:val="center"/>
              <w:rPr>
                <w:noProof/>
                <w:sz w:val="18"/>
                <w:szCs w:val="18"/>
                <w:lang w:val="en-IE"/>
              </w:rPr>
            </w:pPr>
          </w:p>
        </w:tc>
        <w:tc>
          <w:tcPr>
            <w:tcW w:w="621" w:type="dxa"/>
            <w:tcBorders>
              <w:bottom w:val="single" w:sz="12" w:space="0" w:color="auto"/>
            </w:tcBorders>
          </w:tcPr>
          <w:p w14:paraId="43E1E52A" w14:textId="77777777" w:rsidR="005B7178" w:rsidRPr="003A769F" w:rsidRDefault="005B7178">
            <w:pPr>
              <w:ind w:right="-29"/>
              <w:jc w:val="center"/>
              <w:rPr>
                <w:noProof/>
                <w:sz w:val="18"/>
                <w:szCs w:val="18"/>
                <w:lang w:val="en-IE"/>
              </w:rPr>
            </w:pPr>
          </w:p>
        </w:tc>
        <w:tc>
          <w:tcPr>
            <w:tcW w:w="648" w:type="dxa"/>
            <w:tcBorders>
              <w:bottom w:val="single" w:sz="12" w:space="0" w:color="auto"/>
            </w:tcBorders>
          </w:tcPr>
          <w:p w14:paraId="4C2149F5" w14:textId="77777777" w:rsidR="005B7178" w:rsidRPr="003A769F" w:rsidRDefault="005B7178">
            <w:pPr>
              <w:ind w:right="-29"/>
              <w:jc w:val="center"/>
              <w:rPr>
                <w:noProof/>
                <w:sz w:val="18"/>
                <w:szCs w:val="18"/>
                <w:lang w:val="en-IE"/>
              </w:rPr>
            </w:pPr>
          </w:p>
        </w:tc>
        <w:tc>
          <w:tcPr>
            <w:tcW w:w="432" w:type="dxa"/>
            <w:tcBorders>
              <w:bottom w:val="single" w:sz="12" w:space="0" w:color="auto"/>
            </w:tcBorders>
          </w:tcPr>
          <w:p w14:paraId="341F23B5"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29A99938" w14:textId="77777777" w:rsidR="005B7178" w:rsidRPr="003A769F" w:rsidRDefault="005B7178">
            <w:pPr>
              <w:ind w:right="-29"/>
              <w:jc w:val="center"/>
              <w:rPr>
                <w:noProof/>
                <w:sz w:val="18"/>
                <w:szCs w:val="18"/>
                <w:lang w:val="en-IE"/>
              </w:rPr>
            </w:pPr>
          </w:p>
        </w:tc>
        <w:tc>
          <w:tcPr>
            <w:tcW w:w="540" w:type="dxa"/>
            <w:tcBorders>
              <w:bottom w:val="single" w:sz="12" w:space="0" w:color="auto"/>
            </w:tcBorders>
          </w:tcPr>
          <w:p w14:paraId="6A67B13D"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27075E55" w14:textId="77777777" w:rsidR="005B7178" w:rsidRPr="003A769F" w:rsidRDefault="005B7178">
            <w:pPr>
              <w:ind w:right="-29"/>
              <w:jc w:val="center"/>
              <w:rPr>
                <w:noProof/>
                <w:sz w:val="18"/>
                <w:szCs w:val="18"/>
                <w:lang w:val="en-IE"/>
              </w:rPr>
            </w:pPr>
          </w:p>
        </w:tc>
        <w:tc>
          <w:tcPr>
            <w:tcW w:w="720" w:type="dxa"/>
            <w:tcBorders>
              <w:bottom w:val="single" w:sz="12" w:space="0" w:color="auto"/>
            </w:tcBorders>
          </w:tcPr>
          <w:p w14:paraId="60BAAF4E" w14:textId="77777777" w:rsidR="005B7178" w:rsidRPr="003A769F" w:rsidRDefault="005B7178">
            <w:pPr>
              <w:ind w:right="-29"/>
              <w:jc w:val="center"/>
              <w:rPr>
                <w:noProof/>
                <w:sz w:val="18"/>
                <w:szCs w:val="18"/>
                <w:lang w:val="en-IE"/>
              </w:rPr>
            </w:pPr>
          </w:p>
        </w:tc>
        <w:tc>
          <w:tcPr>
            <w:tcW w:w="900" w:type="dxa"/>
            <w:tcBorders>
              <w:bottom w:val="single" w:sz="12" w:space="0" w:color="auto"/>
            </w:tcBorders>
          </w:tcPr>
          <w:p w14:paraId="74E427A9" w14:textId="77777777" w:rsidR="005B7178" w:rsidRPr="003A769F" w:rsidRDefault="005B7178">
            <w:pPr>
              <w:ind w:right="-29"/>
              <w:jc w:val="center"/>
              <w:rPr>
                <w:noProof/>
                <w:sz w:val="18"/>
                <w:szCs w:val="18"/>
                <w:lang w:val="en-IE"/>
              </w:rPr>
            </w:pPr>
          </w:p>
        </w:tc>
      </w:tr>
      <w:tr w:rsidR="00F67E4F" w14:paraId="18EBBE34" w14:textId="77777777">
        <w:trPr>
          <w:jc w:val="center"/>
        </w:trPr>
        <w:tc>
          <w:tcPr>
            <w:tcW w:w="2844" w:type="dxa"/>
            <w:gridSpan w:val="3"/>
            <w:tcBorders>
              <w:top w:val="single" w:sz="12" w:space="0" w:color="auto"/>
              <w:left w:val="single" w:sz="12" w:space="0" w:color="auto"/>
              <w:bottom w:val="single" w:sz="12" w:space="0" w:color="auto"/>
            </w:tcBorders>
            <w:vAlign w:val="center"/>
          </w:tcPr>
          <w:p w14:paraId="7A8E970C" w14:textId="77777777" w:rsidR="005B7178" w:rsidRDefault="005B7178">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14:paraId="4B4591AF" w14:textId="77777777" w:rsidR="005B7178" w:rsidRDefault="005B7178">
            <w:pPr>
              <w:spacing w:before="180" w:after="180"/>
              <w:ind w:right="-29"/>
              <w:jc w:val="center"/>
              <w:rPr>
                <w:noProof/>
                <w:sz w:val="18"/>
                <w:szCs w:val="18"/>
              </w:rPr>
            </w:pPr>
          </w:p>
        </w:tc>
        <w:tc>
          <w:tcPr>
            <w:tcW w:w="720" w:type="dxa"/>
            <w:tcBorders>
              <w:top w:val="single" w:sz="12" w:space="0" w:color="auto"/>
              <w:bottom w:val="single" w:sz="12" w:space="0" w:color="auto"/>
            </w:tcBorders>
          </w:tcPr>
          <w:p w14:paraId="46F2B6D3" w14:textId="77777777" w:rsidR="005B7178" w:rsidRDefault="005B7178">
            <w:pPr>
              <w:spacing w:before="180" w:after="180"/>
              <w:ind w:right="-29"/>
              <w:jc w:val="center"/>
              <w:rPr>
                <w:noProof/>
                <w:sz w:val="18"/>
                <w:szCs w:val="18"/>
              </w:rPr>
            </w:pPr>
          </w:p>
        </w:tc>
        <w:tc>
          <w:tcPr>
            <w:tcW w:w="540" w:type="dxa"/>
            <w:tcBorders>
              <w:top w:val="single" w:sz="12" w:space="0" w:color="auto"/>
              <w:bottom w:val="single" w:sz="12" w:space="0" w:color="auto"/>
            </w:tcBorders>
          </w:tcPr>
          <w:p w14:paraId="685C84BB" w14:textId="77777777" w:rsidR="005B7178" w:rsidRDefault="005B7178">
            <w:pPr>
              <w:spacing w:before="180" w:after="180"/>
              <w:ind w:right="-29"/>
              <w:jc w:val="center"/>
              <w:rPr>
                <w:noProof/>
                <w:sz w:val="18"/>
                <w:szCs w:val="18"/>
              </w:rPr>
            </w:pPr>
          </w:p>
        </w:tc>
        <w:tc>
          <w:tcPr>
            <w:tcW w:w="720" w:type="dxa"/>
            <w:tcBorders>
              <w:top w:val="single" w:sz="12" w:space="0" w:color="auto"/>
              <w:bottom w:val="single" w:sz="12" w:space="0" w:color="auto"/>
            </w:tcBorders>
          </w:tcPr>
          <w:p w14:paraId="405CF019" w14:textId="77777777" w:rsidR="005B7178" w:rsidRDefault="005B7178">
            <w:pPr>
              <w:spacing w:before="180" w:after="180"/>
              <w:ind w:right="-29"/>
              <w:jc w:val="center"/>
              <w:rPr>
                <w:noProof/>
                <w:sz w:val="18"/>
                <w:szCs w:val="18"/>
              </w:rPr>
            </w:pPr>
          </w:p>
        </w:tc>
        <w:tc>
          <w:tcPr>
            <w:tcW w:w="720" w:type="dxa"/>
            <w:tcBorders>
              <w:top w:val="single" w:sz="12" w:space="0" w:color="auto"/>
              <w:bottom w:val="single" w:sz="12" w:space="0" w:color="auto"/>
            </w:tcBorders>
          </w:tcPr>
          <w:p w14:paraId="4873B3B7" w14:textId="77777777" w:rsidR="005B7178" w:rsidRDefault="005B7178">
            <w:pPr>
              <w:spacing w:before="180" w:after="180"/>
              <w:ind w:right="-29"/>
              <w:jc w:val="center"/>
              <w:rPr>
                <w:noProof/>
                <w:sz w:val="18"/>
                <w:szCs w:val="18"/>
              </w:rPr>
            </w:pPr>
          </w:p>
        </w:tc>
        <w:tc>
          <w:tcPr>
            <w:tcW w:w="720" w:type="dxa"/>
            <w:tcBorders>
              <w:top w:val="single" w:sz="12" w:space="0" w:color="auto"/>
              <w:bottom w:val="single" w:sz="12" w:space="0" w:color="auto"/>
            </w:tcBorders>
          </w:tcPr>
          <w:p w14:paraId="19C25C02" w14:textId="77777777" w:rsidR="005B7178" w:rsidRDefault="005B7178">
            <w:pPr>
              <w:spacing w:before="180" w:after="180"/>
              <w:ind w:right="-29"/>
              <w:jc w:val="center"/>
              <w:rPr>
                <w:noProof/>
                <w:sz w:val="18"/>
                <w:szCs w:val="18"/>
              </w:rPr>
            </w:pPr>
          </w:p>
        </w:tc>
        <w:tc>
          <w:tcPr>
            <w:tcW w:w="900" w:type="dxa"/>
            <w:tcBorders>
              <w:top w:val="single" w:sz="12" w:space="0" w:color="auto"/>
              <w:bottom w:val="single" w:sz="12" w:space="0" w:color="auto"/>
            </w:tcBorders>
          </w:tcPr>
          <w:p w14:paraId="50507B1D" w14:textId="77777777" w:rsidR="005B7178" w:rsidRDefault="005B7178">
            <w:pPr>
              <w:spacing w:before="180" w:after="180"/>
              <w:ind w:right="-29"/>
              <w:jc w:val="center"/>
              <w:rPr>
                <w:noProof/>
                <w:sz w:val="18"/>
                <w:szCs w:val="18"/>
              </w:rPr>
            </w:pPr>
          </w:p>
        </w:tc>
        <w:tc>
          <w:tcPr>
            <w:tcW w:w="639" w:type="dxa"/>
            <w:gridSpan w:val="2"/>
            <w:tcBorders>
              <w:top w:val="single" w:sz="12" w:space="0" w:color="auto"/>
              <w:bottom w:val="single" w:sz="12" w:space="0" w:color="auto"/>
            </w:tcBorders>
          </w:tcPr>
          <w:p w14:paraId="3A8FDED4" w14:textId="77777777" w:rsidR="005B7178" w:rsidRDefault="005B7178">
            <w:pPr>
              <w:spacing w:before="180" w:after="180"/>
              <w:ind w:right="-29"/>
              <w:jc w:val="center"/>
              <w:rPr>
                <w:noProof/>
                <w:sz w:val="18"/>
                <w:szCs w:val="18"/>
              </w:rPr>
            </w:pPr>
          </w:p>
        </w:tc>
        <w:tc>
          <w:tcPr>
            <w:tcW w:w="621" w:type="dxa"/>
            <w:tcBorders>
              <w:top w:val="single" w:sz="12" w:space="0" w:color="auto"/>
              <w:bottom w:val="single" w:sz="12" w:space="0" w:color="auto"/>
            </w:tcBorders>
          </w:tcPr>
          <w:p w14:paraId="3C6435F2" w14:textId="77777777" w:rsidR="005B7178" w:rsidRDefault="005B7178">
            <w:pPr>
              <w:spacing w:before="180" w:after="180"/>
              <w:ind w:right="-29"/>
              <w:jc w:val="center"/>
              <w:rPr>
                <w:noProof/>
                <w:sz w:val="18"/>
                <w:szCs w:val="18"/>
              </w:rPr>
            </w:pPr>
          </w:p>
        </w:tc>
        <w:tc>
          <w:tcPr>
            <w:tcW w:w="648" w:type="dxa"/>
            <w:tcBorders>
              <w:top w:val="single" w:sz="12" w:space="0" w:color="auto"/>
              <w:bottom w:val="single" w:sz="12" w:space="0" w:color="auto"/>
            </w:tcBorders>
          </w:tcPr>
          <w:p w14:paraId="6B7650F7" w14:textId="77777777" w:rsidR="005B7178" w:rsidRDefault="005B7178">
            <w:pPr>
              <w:spacing w:before="180" w:after="180"/>
              <w:ind w:right="-29"/>
              <w:jc w:val="center"/>
              <w:rPr>
                <w:noProof/>
                <w:sz w:val="18"/>
                <w:szCs w:val="18"/>
              </w:rPr>
            </w:pPr>
          </w:p>
        </w:tc>
        <w:tc>
          <w:tcPr>
            <w:tcW w:w="432" w:type="dxa"/>
            <w:tcBorders>
              <w:top w:val="single" w:sz="12" w:space="0" w:color="auto"/>
              <w:bottom w:val="single" w:sz="12" w:space="0" w:color="auto"/>
            </w:tcBorders>
          </w:tcPr>
          <w:p w14:paraId="350CFB95" w14:textId="77777777" w:rsidR="005B7178" w:rsidRDefault="005B7178">
            <w:pPr>
              <w:spacing w:before="180" w:after="180"/>
              <w:ind w:right="-29"/>
              <w:jc w:val="center"/>
              <w:rPr>
                <w:noProof/>
                <w:sz w:val="18"/>
                <w:szCs w:val="18"/>
              </w:rPr>
            </w:pPr>
          </w:p>
        </w:tc>
        <w:tc>
          <w:tcPr>
            <w:tcW w:w="720" w:type="dxa"/>
            <w:tcBorders>
              <w:top w:val="single" w:sz="12" w:space="0" w:color="auto"/>
              <w:bottom w:val="single" w:sz="12" w:space="0" w:color="auto"/>
            </w:tcBorders>
          </w:tcPr>
          <w:p w14:paraId="4E1C53AD" w14:textId="77777777" w:rsidR="005B7178" w:rsidRDefault="005B7178">
            <w:pPr>
              <w:spacing w:before="180" w:after="180"/>
              <w:ind w:right="-29"/>
              <w:jc w:val="center"/>
              <w:rPr>
                <w:noProof/>
                <w:sz w:val="18"/>
                <w:szCs w:val="18"/>
              </w:rPr>
            </w:pPr>
          </w:p>
        </w:tc>
        <w:tc>
          <w:tcPr>
            <w:tcW w:w="540" w:type="dxa"/>
            <w:tcBorders>
              <w:top w:val="single" w:sz="12" w:space="0" w:color="auto"/>
              <w:bottom w:val="single" w:sz="12" w:space="0" w:color="auto"/>
            </w:tcBorders>
          </w:tcPr>
          <w:p w14:paraId="2FC2F7CE" w14:textId="77777777" w:rsidR="005B7178" w:rsidRDefault="005B7178">
            <w:pPr>
              <w:spacing w:before="180" w:after="180"/>
              <w:ind w:right="-29"/>
              <w:jc w:val="center"/>
              <w:rPr>
                <w:noProof/>
                <w:sz w:val="18"/>
                <w:szCs w:val="18"/>
              </w:rPr>
            </w:pPr>
          </w:p>
        </w:tc>
        <w:tc>
          <w:tcPr>
            <w:tcW w:w="720" w:type="dxa"/>
            <w:tcBorders>
              <w:top w:val="single" w:sz="12" w:space="0" w:color="auto"/>
              <w:bottom w:val="single" w:sz="12" w:space="0" w:color="auto"/>
            </w:tcBorders>
          </w:tcPr>
          <w:p w14:paraId="65A95926" w14:textId="77777777" w:rsidR="005B7178" w:rsidRDefault="005B7178">
            <w:pPr>
              <w:spacing w:before="180" w:after="180"/>
              <w:ind w:right="-29"/>
              <w:jc w:val="center"/>
              <w:rPr>
                <w:noProof/>
                <w:sz w:val="18"/>
                <w:szCs w:val="18"/>
              </w:rPr>
            </w:pPr>
          </w:p>
        </w:tc>
        <w:tc>
          <w:tcPr>
            <w:tcW w:w="720" w:type="dxa"/>
            <w:tcBorders>
              <w:top w:val="single" w:sz="12" w:space="0" w:color="auto"/>
              <w:bottom w:val="single" w:sz="12" w:space="0" w:color="auto"/>
            </w:tcBorders>
          </w:tcPr>
          <w:p w14:paraId="2CCDF34D" w14:textId="77777777" w:rsidR="005B7178" w:rsidRDefault="005B7178">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73FBAB69" w14:textId="77777777" w:rsidR="005B7178" w:rsidRDefault="005B7178">
            <w:pPr>
              <w:spacing w:before="180" w:after="180"/>
              <w:ind w:right="-29"/>
              <w:jc w:val="center"/>
              <w:rPr>
                <w:noProof/>
                <w:sz w:val="18"/>
                <w:szCs w:val="18"/>
              </w:rPr>
            </w:pPr>
          </w:p>
        </w:tc>
      </w:tr>
    </w:tbl>
    <w:p w14:paraId="26EC8977" w14:textId="77777777" w:rsidR="005B7178" w:rsidRDefault="005B7178" w:rsidP="00F67E4F">
      <w:pPr>
        <w:rPr>
          <w:noProof/>
        </w:rPr>
        <w:sectPr w:rsidR="00F67E4F" w:rsidSect="00AC3668">
          <w:headerReference w:type="even" r:id="rId60"/>
          <w:headerReference w:type="default" r:id="rId61"/>
          <w:footerReference w:type="even" r:id="rId62"/>
          <w:footerReference w:type="default" r:id="rId63"/>
          <w:headerReference w:type="first" r:id="rId64"/>
          <w:footerReference w:type="first" r:id="rId65"/>
          <w:pgSz w:w="16840" w:h="11907" w:orient="landscape" w:code="1"/>
          <w:pgMar w:top="1418" w:right="1134" w:bottom="1418" w:left="1134" w:header="709" w:footer="709" w:gutter="0"/>
          <w:cols w:space="708"/>
          <w:docGrid w:linePitch="360"/>
        </w:sectPr>
      </w:pPr>
    </w:p>
    <w:p w14:paraId="5B625306" w14:textId="77777777" w:rsidR="005B7178" w:rsidRPr="00910A6B" w:rsidRDefault="005B7178" w:rsidP="00F67E4F">
      <w:pPr>
        <w:pStyle w:val="ManualHeading3"/>
        <w:rPr>
          <w:bCs/>
          <w:noProof/>
          <w:szCs w:val="24"/>
        </w:rPr>
      </w:pPr>
      <w:r w:rsidRPr="0021790A">
        <w:rPr>
          <w:noProof/>
        </w:rPr>
        <w:lastRenderedPageBreak/>
        <w:t>3.2.3.</w:t>
      </w:r>
      <w:r w:rsidRPr="0021790A">
        <w:rPr>
          <w:noProof/>
        </w:rPr>
        <w:tab/>
      </w:r>
      <w:r>
        <w:rPr>
          <w:noProof/>
        </w:rPr>
        <w:t xml:space="preserve">Summary of estimated impact on administrative appropriations </w:t>
      </w:r>
    </w:p>
    <w:p w14:paraId="6618013E" w14:textId="77777777" w:rsidR="005B7178" w:rsidRDefault="005B7178" w:rsidP="00F67E4F">
      <w:pPr>
        <w:pStyle w:val="ListDash1"/>
        <w:rPr>
          <w:noProof/>
        </w:rPr>
      </w:pPr>
      <w:r>
        <w:rPr>
          <w:rFonts w:ascii="Wingdings" w:eastAsia="Wingdings" w:hAnsi="Wingdings" w:cs="Wingdings"/>
          <w:noProof/>
        </w:rPr>
        <w:t></w:t>
      </w:r>
      <w:r>
        <w:rPr>
          <w:noProof/>
        </w:rPr>
        <w:tab/>
      </w:r>
      <w:r>
        <w:rPr>
          <w:noProof/>
        </w:rPr>
        <w:t xml:space="preserve">The proposal/initiative does not require the use of appropriations of an administrative nature </w:t>
      </w:r>
    </w:p>
    <w:p w14:paraId="41F48F39" w14:textId="77777777" w:rsidR="005B7178" w:rsidRDefault="005B7178" w:rsidP="00F67E4F">
      <w:pPr>
        <w:pStyle w:val="ListDash1"/>
        <w:rPr>
          <w:noProof/>
        </w:rPr>
      </w:pPr>
      <w:r w:rsidRPr="00D6510D">
        <w:rPr>
          <w:rFonts w:ascii="Wingdings" w:eastAsia="Wingdings" w:hAnsi="Wingdings" w:cs="Wingdings"/>
          <w:noProof/>
        </w:rPr>
        <w:t></w:t>
      </w:r>
      <w:r>
        <w:rPr>
          <w:noProof/>
        </w:rPr>
        <w:tab/>
        <w:t>The proposal/initiative requires the use of appropriations of an administrative nature, as explained below</w:t>
      </w:r>
    </w:p>
    <w:p w14:paraId="5E276688" w14:textId="77777777" w:rsidR="005B7178" w:rsidRDefault="005B7178" w:rsidP="00F67E4F">
      <w:pPr>
        <w:pStyle w:val="ManualHeading3"/>
        <w:rPr>
          <w:noProof/>
        </w:rPr>
      </w:pPr>
      <w:r w:rsidRPr="003268F2">
        <w:rPr>
          <w:noProof/>
        </w:rPr>
        <w:t>3.2.3.1</w:t>
      </w:r>
      <w:r>
        <w:rPr>
          <w:noProof/>
        </w:rPr>
        <w:t>.</w:t>
      </w:r>
      <w:r w:rsidRPr="003268F2">
        <w:rPr>
          <w:noProof/>
        </w:rPr>
        <w:t xml:space="preserve"> </w:t>
      </w:r>
      <w:r w:rsidRPr="003A7A3D">
        <w:rPr>
          <w:noProof/>
        </w:rPr>
        <w:t>Appropriations</w:t>
      </w:r>
      <w:r>
        <w:rPr>
          <w:noProof/>
        </w:rPr>
        <w:t xml:space="preserve"> </w:t>
      </w:r>
      <w:r>
        <w:rPr>
          <w:rFonts w:eastAsia="Calibri"/>
          <w:noProof/>
        </w:rPr>
        <w:t>from</w:t>
      </w:r>
      <w:r>
        <w:rPr>
          <w:noProof/>
        </w:rPr>
        <w:t xml:space="preserve"> voted budget</w:t>
      </w:r>
    </w:p>
    <w:tbl>
      <w:tblPr>
        <w:tblW w:w="5000" w:type="pct"/>
        <w:tblLook w:val="04A0" w:firstRow="1" w:lastRow="0" w:firstColumn="1" w:lastColumn="0" w:noHBand="0" w:noVBand="1"/>
      </w:tblPr>
      <w:tblGrid>
        <w:gridCol w:w="4524"/>
        <w:gridCol w:w="1202"/>
        <w:gridCol w:w="1115"/>
        <w:gridCol w:w="1123"/>
        <w:gridCol w:w="1240"/>
        <w:gridCol w:w="1251"/>
        <w:gridCol w:w="1254"/>
        <w:gridCol w:w="1254"/>
        <w:gridCol w:w="1589"/>
      </w:tblGrid>
      <w:tr w:rsidR="00E24D37" w:rsidRPr="00290112" w14:paraId="54BFDCC3" w14:textId="77777777">
        <w:trPr>
          <w:trHeight w:val="300"/>
        </w:trPr>
        <w:tc>
          <w:tcPr>
            <w:tcW w:w="1554" w:type="pct"/>
            <w:vMerge w:val="restart"/>
            <w:tcBorders>
              <w:top w:val="single" w:sz="8" w:space="0" w:color="auto"/>
              <w:left w:val="single" w:sz="8" w:space="0" w:color="auto"/>
              <w:bottom w:val="single" w:sz="8" w:space="0" w:color="auto"/>
              <w:right w:val="single" w:sz="8" w:space="0" w:color="auto"/>
            </w:tcBorders>
            <w:vAlign w:val="center"/>
            <w:hideMark/>
          </w:tcPr>
          <w:p w14:paraId="28954DAB" w14:textId="77777777" w:rsidR="005B7178" w:rsidRPr="00290112" w:rsidRDefault="005B7178">
            <w:pPr>
              <w:spacing w:before="0" w:after="0"/>
              <w:jc w:val="center"/>
              <w:rPr>
                <w:b/>
                <w:bCs/>
                <w:noProof/>
                <w:color w:val="000000"/>
                <w:sz w:val="18"/>
                <w:szCs w:val="18"/>
                <w:lang w:val="en-IE" w:eastAsia="en-IE"/>
              </w:rPr>
            </w:pPr>
            <w:r w:rsidRPr="00290112">
              <w:rPr>
                <w:b/>
                <w:bCs/>
                <w:noProof/>
                <w:color w:val="000000"/>
                <w:sz w:val="18"/>
                <w:szCs w:val="18"/>
                <w:lang w:val="en-IE" w:eastAsia="en-IE"/>
              </w:rPr>
              <w:t>VOTED APPROPRIATIONS</w:t>
            </w:r>
          </w:p>
        </w:tc>
        <w:tc>
          <w:tcPr>
            <w:tcW w:w="413" w:type="pct"/>
            <w:tcBorders>
              <w:top w:val="single" w:sz="8" w:space="0" w:color="auto"/>
              <w:left w:val="nil"/>
              <w:bottom w:val="single" w:sz="8" w:space="0" w:color="auto"/>
              <w:right w:val="single" w:sz="8" w:space="0" w:color="auto"/>
            </w:tcBorders>
            <w:vAlign w:val="center"/>
            <w:hideMark/>
          </w:tcPr>
          <w:p w14:paraId="02D15FEF" w14:textId="77777777" w:rsidR="005B7178" w:rsidRPr="00290112" w:rsidRDefault="005B7178">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383" w:type="pct"/>
            <w:tcBorders>
              <w:top w:val="single" w:sz="8" w:space="0" w:color="auto"/>
              <w:left w:val="nil"/>
              <w:bottom w:val="single" w:sz="8" w:space="0" w:color="auto"/>
              <w:right w:val="single" w:sz="8" w:space="0" w:color="auto"/>
            </w:tcBorders>
            <w:vAlign w:val="center"/>
            <w:hideMark/>
          </w:tcPr>
          <w:p w14:paraId="3559F9E4" w14:textId="77777777" w:rsidR="005B7178" w:rsidRPr="00290112" w:rsidRDefault="005B7178">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386" w:type="pct"/>
            <w:tcBorders>
              <w:top w:val="single" w:sz="8" w:space="0" w:color="auto"/>
              <w:left w:val="nil"/>
              <w:bottom w:val="single" w:sz="8" w:space="0" w:color="auto"/>
              <w:right w:val="single" w:sz="8" w:space="0" w:color="auto"/>
            </w:tcBorders>
            <w:vAlign w:val="center"/>
            <w:hideMark/>
          </w:tcPr>
          <w:p w14:paraId="57D45DCC" w14:textId="77777777" w:rsidR="005B7178" w:rsidRPr="00290112" w:rsidRDefault="005B7178">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426" w:type="pct"/>
            <w:tcBorders>
              <w:top w:val="single" w:sz="8" w:space="0" w:color="auto"/>
              <w:left w:val="nil"/>
              <w:bottom w:val="single" w:sz="8" w:space="0" w:color="auto"/>
              <w:right w:val="single" w:sz="8" w:space="0" w:color="auto"/>
            </w:tcBorders>
            <w:vAlign w:val="center"/>
            <w:hideMark/>
          </w:tcPr>
          <w:p w14:paraId="091F2DE9" w14:textId="77777777" w:rsidR="005B7178" w:rsidRPr="00290112" w:rsidRDefault="005B7178">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430" w:type="pct"/>
            <w:tcBorders>
              <w:top w:val="single" w:sz="8" w:space="0" w:color="auto"/>
              <w:left w:val="single" w:sz="8" w:space="0" w:color="auto"/>
              <w:bottom w:val="single" w:sz="8" w:space="0" w:color="auto"/>
              <w:right w:val="single" w:sz="8" w:space="0" w:color="auto"/>
            </w:tcBorders>
            <w:vAlign w:val="center"/>
          </w:tcPr>
          <w:p w14:paraId="0C30EC1C" w14:textId="77777777" w:rsidR="005B7178" w:rsidRPr="00696BC2" w:rsidRDefault="005B7178">
            <w:pPr>
              <w:spacing w:before="0" w:after="0"/>
              <w:jc w:val="center"/>
              <w:rPr>
                <w:noProof/>
                <w:color w:val="000000"/>
                <w:sz w:val="18"/>
                <w:szCs w:val="18"/>
                <w:lang w:val="en-IE" w:eastAsia="en-IE"/>
              </w:rPr>
            </w:pPr>
            <w:r w:rsidRPr="00696BC2">
              <w:rPr>
                <w:noProof/>
                <w:color w:val="000000"/>
                <w:sz w:val="18"/>
                <w:szCs w:val="18"/>
                <w:lang w:val="en-IE" w:eastAsia="en-IE"/>
              </w:rPr>
              <w:t>Year</w:t>
            </w:r>
          </w:p>
        </w:tc>
        <w:tc>
          <w:tcPr>
            <w:tcW w:w="431" w:type="pct"/>
            <w:tcBorders>
              <w:top w:val="single" w:sz="8" w:space="0" w:color="auto"/>
              <w:left w:val="single" w:sz="8" w:space="0" w:color="auto"/>
              <w:bottom w:val="single" w:sz="8" w:space="0" w:color="auto"/>
              <w:right w:val="single" w:sz="8" w:space="0" w:color="auto"/>
            </w:tcBorders>
            <w:vAlign w:val="center"/>
          </w:tcPr>
          <w:p w14:paraId="4BDEA4F2" w14:textId="77777777" w:rsidR="005B7178" w:rsidRPr="00696BC2" w:rsidRDefault="005B7178">
            <w:pPr>
              <w:spacing w:before="0" w:after="0"/>
              <w:jc w:val="center"/>
              <w:rPr>
                <w:noProof/>
                <w:color w:val="000000"/>
                <w:sz w:val="18"/>
                <w:szCs w:val="18"/>
                <w:lang w:val="en-IE" w:eastAsia="en-IE"/>
              </w:rPr>
            </w:pPr>
            <w:r w:rsidRPr="00696BC2">
              <w:rPr>
                <w:noProof/>
                <w:color w:val="000000"/>
                <w:sz w:val="18"/>
                <w:szCs w:val="18"/>
                <w:lang w:val="en-IE" w:eastAsia="en-IE"/>
              </w:rPr>
              <w:t>Year</w:t>
            </w:r>
          </w:p>
        </w:tc>
        <w:tc>
          <w:tcPr>
            <w:tcW w:w="431" w:type="pct"/>
            <w:tcBorders>
              <w:top w:val="single" w:sz="8" w:space="0" w:color="auto"/>
              <w:left w:val="single" w:sz="8" w:space="0" w:color="auto"/>
              <w:bottom w:val="single" w:sz="8" w:space="0" w:color="auto"/>
              <w:right w:val="single" w:sz="8" w:space="0" w:color="auto"/>
            </w:tcBorders>
            <w:vAlign w:val="center"/>
          </w:tcPr>
          <w:p w14:paraId="376AA949" w14:textId="77777777" w:rsidR="005B7178" w:rsidRPr="00696BC2" w:rsidRDefault="005B7178">
            <w:pPr>
              <w:spacing w:before="0" w:after="0"/>
              <w:jc w:val="center"/>
              <w:rPr>
                <w:noProof/>
                <w:color w:val="000000"/>
                <w:sz w:val="18"/>
                <w:szCs w:val="18"/>
                <w:lang w:val="en-IE" w:eastAsia="en-IE"/>
              </w:rPr>
            </w:pPr>
            <w:r w:rsidRPr="00696BC2">
              <w:rPr>
                <w:noProof/>
                <w:color w:val="000000"/>
                <w:sz w:val="18"/>
                <w:szCs w:val="18"/>
                <w:lang w:val="en-IE" w:eastAsia="en-IE"/>
              </w:rPr>
              <w:t>Year</w:t>
            </w:r>
          </w:p>
        </w:tc>
        <w:tc>
          <w:tcPr>
            <w:tcW w:w="546" w:type="pct"/>
            <w:vMerge w:val="restart"/>
            <w:tcBorders>
              <w:top w:val="single" w:sz="8" w:space="0" w:color="auto"/>
              <w:left w:val="single" w:sz="8" w:space="0" w:color="auto"/>
              <w:bottom w:val="single" w:sz="8" w:space="0" w:color="auto"/>
              <w:right w:val="single" w:sz="8" w:space="0" w:color="auto"/>
            </w:tcBorders>
            <w:vAlign w:val="center"/>
            <w:hideMark/>
          </w:tcPr>
          <w:p w14:paraId="11ED3967" w14:textId="77777777" w:rsidR="005B7178" w:rsidRPr="00290112" w:rsidRDefault="005B7178">
            <w:pPr>
              <w:spacing w:before="0" w:after="0"/>
              <w:jc w:val="center"/>
              <w:rPr>
                <w:b/>
                <w:bCs/>
                <w:noProof/>
                <w:color w:val="000000"/>
                <w:sz w:val="18"/>
                <w:szCs w:val="18"/>
                <w:lang w:val="en-IE" w:eastAsia="en-IE"/>
              </w:rPr>
            </w:pPr>
            <w:r w:rsidRPr="00290112">
              <w:rPr>
                <w:b/>
                <w:bCs/>
                <w:noProof/>
                <w:color w:val="000000"/>
                <w:sz w:val="18"/>
                <w:szCs w:val="18"/>
                <w:lang w:val="en-IE" w:eastAsia="en-IE"/>
              </w:rPr>
              <w:t>TOTAL</w:t>
            </w:r>
            <w:r>
              <w:rPr>
                <w:b/>
                <w:bCs/>
                <w:noProof/>
                <w:color w:val="000000"/>
                <w:sz w:val="18"/>
                <w:szCs w:val="18"/>
                <w:lang w:val="en-IE" w:eastAsia="en-IE"/>
              </w:rPr>
              <w:t xml:space="preserve"> </w:t>
            </w:r>
            <w:r w:rsidRPr="00290112">
              <w:rPr>
                <w:b/>
                <w:bCs/>
                <w:noProof/>
                <w:color w:val="000000"/>
                <w:sz w:val="18"/>
                <w:szCs w:val="18"/>
                <w:lang w:val="en-IE" w:eastAsia="en-IE"/>
              </w:rPr>
              <w:t>202</w:t>
            </w:r>
            <w:r>
              <w:rPr>
                <w:b/>
                <w:bCs/>
                <w:noProof/>
                <w:color w:val="000000"/>
                <w:sz w:val="18"/>
                <w:szCs w:val="18"/>
                <w:lang w:val="en-IE" w:eastAsia="en-IE"/>
              </w:rPr>
              <w:t>8</w:t>
            </w:r>
            <w:r w:rsidRPr="00290112">
              <w:rPr>
                <w:b/>
                <w:bCs/>
                <w:noProof/>
                <w:color w:val="000000"/>
                <w:sz w:val="18"/>
                <w:szCs w:val="18"/>
                <w:lang w:val="en-IE" w:eastAsia="en-IE"/>
              </w:rPr>
              <w:t xml:space="preserve"> - 20</w:t>
            </w:r>
            <w:r>
              <w:rPr>
                <w:b/>
                <w:bCs/>
                <w:noProof/>
                <w:color w:val="000000"/>
                <w:sz w:val="18"/>
                <w:szCs w:val="18"/>
                <w:lang w:val="en-IE" w:eastAsia="en-IE"/>
              </w:rPr>
              <w:t>34</w:t>
            </w:r>
          </w:p>
        </w:tc>
      </w:tr>
      <w:tr w:rsidR="00E24D37" w:rsidRPr="00290112" w14:paraId="16DB7092" w14:textId="77777777">
        <w:trPr>
          <w:trHeight w:val="300"/>
        </w:trPr>
        <w:tc>
          <w:tcPr>
            <w:tcW w:w="1554" w:type="pct"/>
            <w:vMerge/>
            <w:vAlign w:val="center"/>
            <w:hideMark/>
          </w:tcPr>
          <w:p w14:paraId="5F851575" w14:textId="77777777" w:rsidR="005B7178" w:rsidRPr="00290112" w:rsidRDefault="005B7178">
            <w:pPr>
              <w:spacing w:before="0" w:after="0"/>
              <w:jc w:val="left"/>
              <w:rPr>
                <w:b/>
                <w:bCs/>
                <w:noProof/>
                <w:color w:val="000000"/>
                <w:sz w:val="18"/>
                <w:szCs w:val="18"/>
                <w:lang w:val="en-IE" w:eastAsia="en-IE"/>
              </w:rPr>
            </w:pPr>
          </w:p>
        </w:tc>
        <w:tc>
          <w:tcPr>
            <w:tcW w:w="413" w:type="pct"/>
            <w:tcBorders>
              <w:top w:val="nil"/>
              <w:left w:val="nil"/>
              <w:bottom w:val="single" w:sz="8" w:space="0" w:color="auto"/>
              <w:right w:val="single" w:sz="8" w:space="0" w:color="auto"/>
            </w:tcBorders>
            <w:vAlign w:val="center"/>
            <w:hideMark/>
          </w:tcPr>
          <w:p w14:paraId="0F950392" w14:textId="77777777" w:rsidR="005B7178" w:rsidRPr="00290112" w:rsidRDefault="005B7178">
            <w:pPr>
              <w:spacing w:before="0" w:after="0"/>
              <w:jc w:val="center"/>
              <w:rPr>
                <w:b/>
                <w:bCs/>
                <w:noProof/>
                <w:color w:val="000000"/>
                <w:sz w:val="18"/>
                <w:szCs w:val="18"/>
                <w:lang w:val="en-IE" w:eastAsia="en-IE"/>
              </w:rPr>
            </w:pPr>
            <w:r w:rsidRPr="00290112">
              <w:rPr>
                <w:b/>
                <w:bCs/>
                <w:noProof/>
                <w:color w:val="000000"/>
                <w:sz w:val="18"/>
                <w:szCs w:val="18"/>
                <w:lang w:val="en-IE" w:eastAsia="en-IE"/>
              </w:rPr>
              <w:t>202</w:t>
            </w:r>
            <w:r>
              <w:rPr>
                <w:b/>
                <w:bCs/>
                <w:noProof/>
                <w:color w:val="000000"/>
                <w:sz w:val="18"/>
                <w:szCs w:val="18"/>
                <w:lang w:val="en-IE" w:eastAsia="en-IE"/>
              </w:rPr>
              <w:t>8</w:t>
            </w:r>
          </w:p>
        </w:tc>
        <w:tc>
          <w:tcPr>
            <w:tcW w:w="383" w:type="pct"/>
            <w:tcBorders>
              <w:top w:val="nil"/>
              <w:left w:val="nil"/>
              <w:bottom w:val="single" w:sz="8" w:space="0" w:color="auto"/>
              <w:right w:val="single" w:sz="8" w:space="0" w:color="auto"/>
            </w:tcBorders>
            <w:vAlign w:val="center"/>
            <w:hideMark/>
          </w:tcPr>
          <w:p w14:paraId="62B6B840" w14:textId="77777777" w:rsidR="005B7178" w:rsidRPr="00290112" w:rsidRDefault="005B7178">
            <w:pPr>
              <w:spacing w:before="0" w:after="0"/>
              <w:jc w:val="center"/>
              <w:rPr>
                <w:b/>
                <w:bCs/>
                <w:noProof/>
                <w:color w:val="000000"/>
                <w:sz w:val="18"/>
                <w:szCs w:val="18"/>
                <w:lang w:val="en-IE" w:eastAsia="en-IE"/>
              </w:rPr>
            </w:pPr>
            <w:r w:rsidRPr="00290112">
              <w:rPr>
                <w:b/>
                <w:bCs/>
                <w:noProof/>
                <w:color w:val="000000"/>
                <w:sz w:val="18"/>
                <w:szCs w:val="18"/>
                <w:lang w:val="en-IE" w:eastAsia="en-IE"/>
              </w:rPr>
              <w:t>202</w:t>
            </w:r>
            <w:r>
              <w:rPr>
                <w:b/>
                <w:bCs/>
                <w:noProof/>
                <w:color w:val="000000"/>
                <w:sz w:val="18"/>
                <w:szCs w:val="18"/>
                <w:lang w:val="en-IE" w:eastAsia="en-IE"/>
              </w:rPr>
              <w:t>9</w:t>
            </w:r>
          </w:p>
        </w:tc>
        <w:tc>
          <w:tcPr>
            <w:tcW w:w="386" w:type="pct"/>
            <w:tcBorders>
              <w:top w:val="nil"/>
              <w:left w:val="nil"/>
              <w:bottom w:val="single" w:sz="8" w:space="0" w:color="auto"/>
              <w:right w:val="single" w:sz="8" w:space="0" w:color="auto"/>
            </w:tcBorders>
            <w:vAlign w:val="center"/>
            <w:hideMark/>
          </w:tcPr>
          <w:p w14:paraId="16C762A4" w14:textId="77777777" w:rsidR="005B7178" w:rsidRPr="00290112" w:rsidRDefault="005B7178">
            <w:pPr>
              <w:spacing w:before="0" w:after="0"/>
              <w:jc w:val="center"/>
              <w:rPr>
                <w:b/>
                <w:bCs/>
                <w:noProof/>
                <w:color w:val="000000"/>
                <w:sz w:val="18"/>
                <w:szCs w:val="18"/>
                <w:lang w:val="en-IE" w:eastAsia="en-IE"/>
              </w:rPr>
            </w:pPr>
            <w:r w:rsidRPr="00290112">
              <w:rPr>
                <w:b/>
                <w:bCs/>
                <w:noProof/>
                <w:color w:val="000000"/>
                <w:sz w:val="18"/>
                <w:szCs w:val="18"/>
                <w:lang w:val="en-IE" w:eastAsia="en-IE"/>
              </w:rPr>
              <w:t>20</w:t>
            </w:r>
            <w:r>
              <w:rPr>
                <w:b/>
                <w:bCs/>
                <w:noProof/>
                <w:color w:val="000000"/>
                <w:sz w:val="18"/>
                <w:szCs w:val="18"/>
                <w:lang w:val="en-IE" w:eastAsia="en-IE"/>
              </w:rPr>
              <w:t>30</w:t>
            </w:r>
          </w:p>
        </w:tc>
        <w:tc>
          <w:tcPr>
            <w:tcW w:w="426" w:type="pct"/>
            <w:tcBorders>
              <w:top w:val="nil"/>
              <w:left w:val="nil"/>
              <w:bottom w:val="single" w:sz="8" w:space="0" w:color="auto"/>
              <w:right w:val="single" w:sz="8" w:space="0" w:color="auto"/>
            </w:tcBorders>
            <w:vAlign w:val="center"/>
            <w:hideMark/>
          </w:tcPr>
          <w:p w14:paraId="7A1FFCED" w14:textId="77777777" w:rsidR="005B7178" w:rsidRPr="00290112" w:rsidRDefault="005B7178">
            <w:pPr>
              <w:spacing w:before="0" w:after="0"/>
              <w:jc w:val="center"/>
              <w:rPr>
                <w:b/>
                <w:bCs/>
                <w:noProof/>
                <w:color w:val="000000"/>
                <w:sz w:val="18"/>
                <w:szCs w:val="18"/>
                <w:lang w:val="en-IE" w:eastAsia="en-IE"/>
              </w:rPr>
            </w:pPr>
            <w:r w:rsidRPr="00290112">
              <w:rPr>
                <w:b/>
                <w:bCs/>
                <w:noProof/>
                <w:color w:val="000000"/>
                <w:sz w:val="18"/>
                <w:szCs w:val="18"/>
                <w:lang w:val="en-IE" w:eastAsia="en-IE"/>
              </w:rPr>
              <w:t>20</w:t>
            </w:r>
            <w:r>
              <w:rPr>
                <w:b/>
                <w:bCs/>
                <w:noProof/>
                <w:color w:val="000000"/>
                <w:sz w:val="18"/>
                <w:szCs w:val="18"/>
                <w:lang w:val="en-IE" w:eastAsia="en-IE"/>
              </w:rPr>
              <w:t>31</w:t>
            </w:r>
          </w:p>
        </w:tc>
        <w:tc>
          <w:tcPr>
            <w:tcW w:w="430" w:type="pct"/>
            <w:tcBorders>
              <w:top w:val="single" w:sz="8" w:space="0" w:color="auto"/>
              <w:left w:val="single" w:sz="8" w:space="0" w:color="auto"/>
              <w:bottom w:val="single" w:sz="8" w:space="0" w:color="auto"/>
              <w:right w:val="single" w:sz="8" w:space="0" w:color="auto"/>
            </w:tcBorders>
            <w:vAlign w:val="center"/>
          </w:tcPr>
          <w:p w14:paraId="3836F7A6" w14:textId="77777777" w:rsidR="005B7178" w:rsidRPr="00290112" w:rsidRDefault="005B7178">
            <w:pPr>
              <w:spacing w:before="0" w:after="0"/>
              <w:jc w:val="center"/>
              <w:rPr>
                <w:b/>
                <w:bCs/>
                <w:noProof/>
                <w:color w:val="000000"/>
                <w:sz w:val="18"/>
                <w:szCs w:val="18"/>
                <w:lang w:val="en-IE" w:eastAsia="en-IE"/>
              </w:rPr>
            </w:pPr>
            <w:r>
              <w:rPr>
                <w:b/>
                <w:bCs/>
                <w:noProof/>
                <w:color w:val="000000"/>
                <w:sz w:val="18"/>
                <w:szCs w:val="18"/>
                <w:lang w:val="en-IE" w:eastAsia="en-IE"/>
              </w:rPr>
              <w:t>2032</w:t>
            </w:r>
          </w:p>
        </w:tc>
        <w:tc>
          <w:tcPr>
            <w:tcW w:w="431" w:type="pct"/>
            <w:tcBorders>
              <w:top w:val="single" w:sz="8" w:space="0" w:color="auto"/>
              <w:left w:val="single" w:sz="8" w:space="0" w:color="auto"/>
              <w:bottom w:val="single" w:sz="8" w:space="0" w:color="auto"/>
              <w:right w:val="single" w:sz="8" w:space="0" w:color="auto"/>
            </w:tcBorders>
            <w:vAlign w:val="center"/>
          </w:tcPr>
          <w:p w14:paraId="2FC77658" w14:textId="77777777" w:rsidR="005B7178" w:rsidRPr="00290112" w:rsidRDefault="005B7178">
            <w:pPr>
              <w:spacing w:before="0" w:after="0"/>
              <w:jc w:val="center"/>
              <w:rPr>
                <w:b/>
                <w:bCs/>
                <w:noProof/>
                <w:color w:val="000000"/>
                <w:sz w:val="18"/>
                <w:szCs w:val="18"/>
                <w:lang w:val="en-IE" w:eastAsia="en-IE"/>
              </w:rPr>
            </w:pPr>
            <w:r>
              <w:rPr>
                <w:b/>
                <w:bCs/>
                <w:noProof/>
                <w:color w:val="000000"/>
                <w:sz w:val="18"/>
                <w:szCs w:val="18"/>
                <w:lang w:val="en-IE" w:eastAsia="en-IE"/>
              </w:rPr>
              <w:t>2033</w:t>
            </w:r>
          </w:p>
        </w:tc>
        <w:tc>
          <w:tcPr>
            <w:tcW w:w="431" w:type="pct"/>
            <w:tcBorders>
              <w:top w:val="single" w:sz="8" w:space="0" w:color="auto"/>
              <w:left w:val="single" w:sz="8" w:space="0" w:color="auto"/>
              <w:bottom w:val="single" w:sz="8" w:space="0" w:color="auto"/>
              <w:right w:val="single" w:sz="8" w:space="0" w:color="auto"/>
            </w:tcBorders>
            <w:vAlign w:val="center"/>
          </w:tcPr>
          <w:p w14:paraId="1213DC0C" w14:textId="77777777" w:rsidR="005B7178" w:rsidRPr="00290112" w:rsidRDefault="005B7178">
            <w:pPr>
              <w:spacing w:before="0" w:after="0"/>
              <w:jc w:val="center"/>
              <w:rPr>
                <w:b/>
                <w:bCs/>
                <w:noProof/>
                <w:color w:val="000000"/>
                <w:sz w:val="18"/>
                <w:szCs w:val="18"/>
                <w:lang w:val="en-IE" w:eastAsia="en-IE"/>
              </w:rPr>
            </w:pPr>
            <w:r>
              <w:rPr>
                <w:b/>
                <w:bCs/>
                <w:noProof/>
                <w:color w:val="000000"/>
                <w:sz w:val="18"/>
                <w:szCs w:val="18"/>
                <w:lang w:val="en-IE" w:eastAsia="en-IE"/>
              </w:rPr>
              <w:t>2034</w:t>
            </w:r>
          </w:p>
        </w:tc>
        <w:tc>
          <w:tcPr>
            <w:tcW w:w="546" w:type="pct"/>
            <w:vMerge/>
            <w:vAlign w:val="center"/>
            <w:hideMark/>
          </w:tcPr>
          <w:p w14:paraId="1EED762D" w14:textId="77777777" w:rsidR="005B7178" w:rsidRPr="00290112" w:rsidRDefault="005B7178">
            <w:pPr>
              <w:spacing w:before="0" w:after="0"/>
              <w:jc w:val="left"/>
              <w:rPr>
                <w:b/>
                <w:bCs/>
                <w:noProof/>
                <w:color w:val="000000"/>
                <w:sz w:val="18"/>
                <w:szCs w:val="18"/>
                <w:lang w:val="en-IE" w:eastAsia="en-IE"/>
              </w:rPr>
            </w:pPr>
          </w:p>
        </w:tc>
      </w:tr>
      <w:tr w:rsidR="00E24D37" w:rsidRPr="00290112" w14:paraId="1D94C2C4" w14:textId="77777777">
        <w:trPr>
          <w:trHeight w:val="300"/>
        </w:trPr>
        <w:tc>
          <w:tcPr>
            <w:tcW w:w="5000" w:type="pct"/>
            <w:gridSpan w:val="9"/>
            <w:tcBorders>
              <w:top w:val="single" w:sz="8" w:space="0" w:color="auto"/>
              <w:left w:val="single" w:sz="8" w:space="0" w:color="auto"/>
              <w:bottom w:val="single" w:sz="8" w:space="0" w:color="auto"/>
              <w:right w:val="single" w:sz="4" w:space="0" w:color="auto"/>
            </w:tcBorders>
            <w:vAlign w:val="center"/>
          </w:tcPr>
          <w:p w14:paraId="7B7A4ACE" w14:textId="77777777" w:rsidR="005B7178" w:rsidRPr="00290112" w:rsidRDefault="005B7178">
            <w:pPr>
              <w:spacing w:before="0" w:after="0"/>
              <w:jc w:val="center"/>
              <w:rPr>
                <w:b/>
                <w:bCs/>
                <w:noProof/>
                <w:sz w:val="16"/>
                <w:szCs w:val="16"/>
                <w:lang w:val="en-IE" w:eastAsia="en-IE"/>
              </w:rPr>
            </w:pPr>
            <w:r w:rsidRPr="00290112">
              <w:rPr>
                <w:b/>
                <w:bCs/>
                <w:noProof/>
                <w:sz w:val="16"/>
                <w:szCs w:val="16"/>
                <w:lang w:val="en-IE" w:eastAsia="en-IE"/>
              </w:rPr>
              <w:t xml:space="preserve">HEADING </w:t>
            </w:r>
            <w:r w:rsidRPr="3469EE18">
              <w:rPr>
                <w:b/>
                <w:bCs/>
                <w:noProof/>
                <w:sz w:val="16"/>
                <w:szCs w:val="16"/>
                <w:lang w:val="en-IE" w:eastAsia="en-IE"/>
              </w:rPr>
              <w:t>4</w:t>
            </w:r>
          </w:p>
        </w:tc>
      </w:tr>
      <w:tr w:rsidR="00E24D37" w:rsidRPr="00290112" w14:paraId="2BE92428" w14:textId="77777777">
        <w:trPr>
          <w:trHeight w:val="300"/>
        </w:trPr>
        <w:tc>
          <w:tcPr>
            <w:tcW w:w="1554" w:type="pct"/>
            <w:tcBorders>
              <w:top w:val="nil"/>
              <w:left w:val="single" w:sz="8" w:space="0" w:color="auto"/>
              <w:bottom w:val="single" w:sz="8" w:space="0" w:color="auto"/>
              <w:right w:val="single" w:sz="8" w:space="0" w:color="auto"/>
            </w:tcBorders>
            <w:vAlign w:val="center"/>
            <w:hideMark/>
          </w:tcPr>
          <w:p w14:paraId="6F008B7A" w14:textId="77777777" w:rsidR="005B7178" w:rsidRPr="00290112" w:rsidRDefault="005B7178">
            <w:pPr>
              <w:spacing w:before="0" w:after="0"/>
              <w:jc w:val="left"/>
              <w:rPr>
                <w:noProof/>
                <w:color w:val="000000"/>
                <w:sz w:val="16"/>
                <w:szCs w:val="16"/>
                <w:lang w:val="en-IE" w:eastAsia="en-IE"/>
              </w:rPr>
            </w:pPr>
            <w:r w:rsidRPr="00290112">
              <w:rPr>
                <w:noProof/>
                <w:color w:val="000000"/>
                <w:sz w:val="16"/>
                <w:szCs w:val="16"/>
                <w:lang w:val="en-IE" w:eastAsia="en-IE"/>
              </w:rPr>
              <w:t xml:space="preserve">Human resources </w:t>
            </w:r>
          </w:p>
        </w:tc>
        <w:tc>
          <w:tcPr>
            <w:tcW w:w="413" w:type="pct"/>
            <w:tcBorders>
              <w:top w:val="nil"/>
              <w:left w:val="nil"/>
              <w:bottom w:val="single" w:sz="8" w:space="0" w:color="auto"/>
              <w:right w:val="single" w:sz="8" w:space="0" w:color="auto"/>
            </w:tcBorders>
            <w:shd w:val="clear" w:color="auto" w:fill="D9D9D9" w:themeFill="background1" w:themeFillShade="D9"/>
            <w:vAlign w:val="center"/>
            <w:hideMark/>
          </w:tcPr>
          <w:p w14:paraId="02F3C2F5"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37.070</w:t>
            </w:r>
          </w:p>
        </w:tc>
        <w:tc>
          <w:tcPr>
            <w:tcW w:w="383" w:type="pct"/>
            <w:tcBorders>
              <w:top w:val="nil"/>
              <w:left w:val="nil"/>
              <w:bottom w:val="single" w:sz="8" w:space="0" w:color="auto"/>
              <w:right w:val="single" w:sz="8" w:space="0" w:color="auto"/>
            </w:tcBorders>
            <w:shd w:val="clear" w:color="auto" w:fill="D9D9D9" w:themeFill="background1" w:themeFillShade="D9"/>
            <w:vAlign w:val="center"/>
            <w:hideMark/>
          </w:tcPr>
          <w:p w14:paraId="5C8AD964"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37,070</w:t>
            </w:r>
          </w:p>
        </w:tc>
        <w:tc>
          <w:tcPr>
            <w:tcW w:w="386" w:type="pct"/>
            <w:tcBorders>
              <w:top w:val="nil"/>
              <w:left w:val="nil"/>
              <w:bottom w:val="single" w:sz="8" w:space="0" w:color="auto"/>
              <w:right w:val="single" w:sz="8" w:space="0" w:color="auto"/>
            </w:tcBorders>
            <w:shd w:val="clear" w:color="auto" w:fill="D9D9D9" w:themeFill="background1" w:themeFillShade="D9"/>
            <w:vAlign w:val="center"/>
            <w:hideMark/>
          </w:tcPr>
          <w:p w14:paraId="55C2A77F"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37,070</w:t>
            </w:r>
          </w:p>
        </w:tc>
        <w:tc>
          <w:tcPr>
            <w:tcW w:w="426" w:type="pct"/>
            <w:tcBorders>
              <w:top w:val="nil"/>
              <w:left w:val="nil"/>
              <w:bottom w:val="single" w:sz="8" w:space="0" w:color="auto"/>
              <w:right w:val="single" w:sz="8" w:space="0" w:color="auto"/>
            </w:tcBorders>
            <w:shd w:val="clear" w:color="auto" w:fill="D9D9D9" w:themeFill="background1" w:themeFillShade="D9"/>
            <w:vAlign w:val="center"/>
            <w:hideMark/>
          </w:tcPr>
          <w:p w14:paraId="27A09FA2"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37,070</w:t>
            </w:r>
          </w:p>
        </w:tc>
        <w:tc>
          <w:tcPr>
            <w:tcW w:w="430" w:type="pct"/>
            <w:tcBorders>
              <w:top w:val="nil"/>
              <w:left w:val="nil"/>
              <w:bottom w:val="single" w:sz="8" w:space="0" w:color="auto"/>
              <w:right w:val="single" w:sz="4" w:space="0" w:color="auto"/>
            </w:tcBorders>
            <w:shd w:val="clear" w:color="auto" w:fill="D9D9D9" w:themeFill="background1" w:themeFillShade="D9"/>
            <w:vAlign w:val="center"/>
          </w:tcPr>
          <w:p w14:paraId="5818E44A" w14:textId="77777777" w:rsidR="005B7178" w:rsidRPr="00290112" w:rsidRDefault="005B7178">
            <w:pPr>
              <w:spacing w:before="0" w:after="0"/>
              <w:jc w:val="center"/>
              <w:rPr>
                <w:noProof/>
                <w:color w:val="000000"/>
                <w:sz w:val="16"/>
                <w:szCs w:val="16"/>
                <w:lang w:val="en-IE" w:eastAsia="en-IE"/>
              </w:rPr>
            </w:pPr>
            <w:r w:rsidRPr="4CB40031">
              <w:rPr>
                <w:noProof/>
                <w:color w:val="000000" w:themeColor="text1"/>
                <w:sz w:val="16"/>
                <w:szCs w:val="16"/>
                <w:lang w:val="en-IE" w:eastAsia="en-IE"/>
              </w:rPr>
              <w:t>37,070</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4DFACDF0" w14:textId="77777777" w:rsidR="005B7178" w:rsidRPr="00290112" w:rsidRDefault="005B7178">
            <w:pPr>
              <w:spacing w:before="0" w:after="0"/>
              <w:jc w:val="center"/>
              <w:rPr>
                <w:noProof/>
                <w:color w:val="000000"/>
                <w:sz w:val="16"/>
                <w:szCs w:val="16"/>
                <w:lang w:val="en-IE" w:eastAsia="en-IE"/>
              </w:rPr>
            </w:pPr>
            <w:r w:rsidRPr="4CB40031">
              <w:rPr>
                <w:noProof/>
                <w:color w:val="000000" w:themeColor="text1"/>
                <w:sz w:val="16"/>
                <w:szCs w:val="16"/>
                <w:lang w:val="en-IE" w:eastAsia="en-IE"/>
              </w:rPr>
              <w:t>37,070</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29BB4EF9" w14:textId="77777777" w:rsidR="005B7178" w:rsidRPr="00290112" w:rsidRDefault="005B7178">
            <w:pPr>
              <w:spacing w:before="0" w:after="0"/>
              <w:jc w:val="center"/>
              <w:rPr>
                <w:noProof/>
                <w:color w:val="000000"/>
                <w:sz w:val="16"/>
                <w:szCs w:val="16"/>
                <w:lang w:val="en-IE" w:eastAsia="en-IE"/>
              </w:rPr>
            </w:pPr>
            <w:r w:rsidRPr="4CB40031">
              <w:rPr>
                <w:noProof/>
                <w:color w:val="000000" w:themeColor="text1"/>
                <w:sz w:val="16"/>
                <w:szCs w:val="16"/>
                <w:lang w:val="en-IE" w:eastAsia="en-IE"/>
              </w:rPr>
              <w:t>37,070</w:t>
            </w:r>
          </w:p>
        </w:tc>
        <w:tc>
          <w:tcPr>
            <w:tcW w:w="546"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1D177AF"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259,4900.000</w:t>
            </w:r>
          </w:p>
        </w:tc>
      </w:tr>
      <w:tr w:rsidR="00E24D37" w:rsidRPr="00290112" w14:paraId="4C92FAD9" w14:textId="77777777">
        <w:trPr>
          <w:trHeight w:val="300"/>
        </w:trPr>
        <w:tc>
          <w:tcPr>
            <w:tcW w:w="1554" w:type="pct"/>
            <w:tcBorders>
              <w:top w:val="nil"/>
              <w:left w:val="single" w:sz="8" w:space="0" w:color="auto"/>
              <w:bottom w:val="single" w:sz="8" w:space="0" w:color="auto"/>
              <w:right w:val="single" w:sz="8" w:space="0" w:color="auto"/>
            </w:tcBorders>
            <w:vAlign w:val="center"/>
            <w:hideMark/>
          </w:tcPr>
          <w:p w14:paraId="2A1CD31F" w14:textId="77777777" w:rsidR="005B7178" w:rsidRPr="00290112" w:rsidRDefault="005B7178">
            <w:pPr>
              <w:spacing w:before="0" w:after="0"/>
              <w:jc w:val="left"/>
              <w:rPr>
                <w:noProof/>
                <w:color w:val="000000"/>
                <w:sz w:val="16"/>
                <w:szCs w:val="16"/>
                <w:lang w:val="en-IE" w:eastAsia="en-IE"/>
              </w:rPr>
            </w:pPr>
            <w:r w:rsidRPr="00290112">
              <w:rPr>
                <w:noProof/>
                <w:color w:val="000000"/>
                <w:sz w:val="16"/>
                <w:szCs w:val="16"/>
                <w:lang w:val="en-IE" w:eastAsia="en-IE"/>
              </w:rPr>
              <w:t xml:space="preserve">Other administrative expenditure </w:t>
            </w:r>
          </w:p>
        </w:tc>
        <w:tc>
          <w:tcPr>
            <w:tcW w:w="413" w:type="pct"/>
            <w:tcBorders>
              <w:top w:val="nil"/>
              <w:left w:val="nil"/>
              <w:bottom w:val="single" w:sz="8" w:space="0" w:color="auto"/>
              <w:right w:val="single" w:sz="8" w:space="0" w:color="auto"/>
            </w:tcBorders>
            <w:shd w:val="clear" w:color="auto" w:fill="D9D9D9" w:themeFill="background1" w:themeFillShade="D9"/>
            <w:vAlign w:val="center"/>
            <w:hideMark/>
          </w:tcPr>
          <w:p w14:paraId="2EDC15C5"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1,523</w:t>
            </w:r>
          </w:p>
        </w:tc>
        <w:tc>
          <w:tcPr>
            <w:tcW w:w="383" w:type="pct"/>
            <w:tcBorders>
              <w:top w:val="nil"/>
              <w:left w:val="nil"/>
              <w:bottom w:val="single" w:sz="8" w:space="0" w:color="auto"/>
              <w:right w:val="single" w:sz="8" w:space="0" w:color="auto"/>
            </w:tcBorders>
            <w:shd w:val="clear" w:color="auto" w:fill="D9D9D9" w:themeFill="background1" w:themeFillShade="D9"/>
            <w:vAlign w:val="center"/>
            <w:hideMark/>
          </w:tcPr>
          <w:p w14:paraId="4C3BE14F" w14:textId="77777777" w:rsidR="005B7178" w:rsidRPr="00290112" w:rsidRDefault="005B7178">
            <w:pPr>
              <w:spacing w:before="0" w:after="0"/>
              <w:jc w:val="right"/>
              <w:rPr>
                <w:noProof/>
                <w:color w:val="000000" w:themeColor="text1"/>
                <w:sz w:val="16"/>
                <w:szCs w:val="16"/>
                <w:lang w:val="en-IE" w:eastAsia="en-IE"/>
              </w:rPr>
            </w:pPr>
            <w:r w:rsidRPr="4CB40031">
              <w:rPr>
                <w:noProof/>
                <w:color w:val="000000" w:themeColor="text1"/>
                <w:sz w:val="16"/>
                <w:szCs w:val="16"/>
                <w:lang w:val="en-IE" w:eastAsia="en-IE"/>
              </w:rPr>
              <w:t>1,538</w:t>
            </w:r>
          </w:p>
        </w:tc>
        <w:tc>
          <w:tcPr>
            <w:tcW w:w="386" w:type="pct"/>
            <w:tcBorders>
              <w:top w:val="nil"/>
              <w:left w:val="nil"/>
              <w:bottom w:val="single" w:sz="8" w:space="0" w:color="auto"/>
              <w:right w:val="single" w:sz="8" w:space="0" w:color="auto"/>
            </w:tcBorders>
            <w:shd w:val="clear" w:color="auto" w:fill="D9D9D9" w:themeFill="background1" w:themeFillShade="D9"/>
            <w:vAlign w:val="center"/>
            <w:hideMark/>
          </w:tcPr>
          <w:p w14:paraId="303F7D20"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1,553</w:t>
            </w:r>
          </w:p>
        </w:tc>
        <w:tc>
          <w:tcPr>
            <w:tcW w:w="426" w:type="pct"/>
            <w:tcBorders>
              <w:top w:val="nil"/>
              <w:left w:val="nil"/>
              <w:bottom w:val="single" w:sz="8" w:space="0" w:color="auto"/>
              <w:right w:val="single" w:sz="8" w:space="0" w:color="auto"/>
            </w:tcBorders>
            <w:shd w:val="clear" w:color="auto" w:fill="D9D9D9" w:themeFill="background1" w:themeFillShade="D9"/>
            <w:vAlign w:val="center"/>
            <w:hideMark/>
          </w:tcPr>
          <w:p w14:paraId="0EAFFDE9"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1,569</w:t>
            </w:r>
          </w:p>
        </w:tc>
        <w:tc>
          <w:tcPr>
            <w:tcW w:w="430" w:type="pct"/>
            <w:tcBorders>
              <w:top w:val="nil"/>
              <w:left w:val="nil"/>
              <w:bottom w:val="single" w:sz="8" w:space="0" w:color="auto"/>
              <w:right w:val="single" w:sz="4" w:space="0" w:color="auto"/>
            </w:tcBorders>
            <w:shd w:val="clear" w:color="auto" w:fill="D9D9D9" w:themeFill="background1" w:themeFillShade="D9"/>
            <w:vAlign w:val="center"/>
          </w:tcPr>
          <w:p w14:paraId="10AC797D" w14:textId="77777777" w:rsidR="005B7178" w:rsidRPr="00290112" w:rsidRDefault="005B7178">
            <w:pPr>
              <w:spacing w:before="0" w:after="0"/>
              <w:jc w:val="center"/>
              <w:rPr>
                <w:noProof/>
                <w:color w:val="000000"/>
                <w:sz w:val="16"/>
                <w:szCs w:val="16"/>
                <w:lang w:val="en-IE" w:eastAsia="en-IE"/>
              </w:rPr>
            </w:pPr>
            <w:r w:rsidRPr="4CB40031">
              <w:rPr>
                <w:noProof/>
                <w:color w:val="000000" w:themeColor="text1"/>
                <w:sz w:val="16"/>
                <w:szCs w:val="16"/>
                <w:lang w:val="en-IE" w:eastAsia="en-IE"/>
              </w:rPr>
              <w:t>1,585</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43BD5979" w14:textId="77777777" w:rsidR="005B7178" w:rsidRPr="00290112" w:rsidRDefault="005B7178">
            <w:pPr>
              <w:spacing w:before="0" w:after="0"/>
              <w:jc w:val="center"/>
              <w:rPr>
                <w:noProof/>
                <w:color w:val="000000"/>
                <w:sz w:val="16"/>
                <w:szCs w:val="16"/>
                <w:lang w:val="en-IE" w:eastAsia="en-IE"/>
              </w:rPr>
            </w:pPr>
            <w:r w:rsidRPr="4CB40031">
              <w:rPr>
                <w:noProof/>
                <w:color w:val="000000" w:themeColor="text1"/>
                <w:sz w:val="16"/>
                <w:szCs w:val="16"/>
                <w:lang w:val="en-IE" w:eastAsia="en-IE"/>
              </w:rPr>
              <w:t>1,602</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521E3F1D" w14:textId="77777777" w:rsidR="005B7178" w:rsidRPr="00290112" w:rsidRDefault="005B7178">
            <w:pPr>
              <w:spacing w:before="0" w:after="0"/>
              <w:jc w:val="center"/>
              <w:rPr>
                <w:b/>
                <w:bCs/>
                <w:noProof/>
                <w:color w:val="000000"/>
                <w:sz w:val="16"/>
                <w:szCs w:val="16"/>
                <w:lang w:val="en-IE" w:eastAsia="en-IE"/>
              </w:rPr>
            </w:pPr>
            <w:r w:rsidRPr="4CB40031">
              <w:rPr>
                <w:noProof/>
                <w:color w:val="000000" w:themeColor="text1"/>
                <w:sz w:val="16"/>
                <w:szCs w:val="16"/>
                <w:lang w:val="en-IE" w:eastAsia="en-IE"/>
              </w:rPr>
              <w:t>1,619</w:t>
            </w:r>
          </w:p>
        </w:tc>
        <w:tc>
          <w:tcPr>
            <w:tcW w:w="546"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6D68124D"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10,988</w:t>
            </w:r>
          </w:p>
        </w:tc>
      </w:tr>
      <w:tr w:rsidR="00E24D37" w:rsidRPr="00290112" w14:paraId="68E590B1" w14:textId="77777777">
        <w:trPr>
          <w:trHeight w:val="300"/>
        </w:trPr>
        <w:tc>
          <w:tcPr>
            <w:tcW w:w="1554" w:type="pct"/>
            <w:tcBorders>
              <w:top w:val="nil"/>
              <w:left w:val="single" w:sz="8" w:space="0" w:color="auto"/>
              <w:bottom w:val="single" w:sz="8" w:space="0" w:color="auto"/>
              <w:right w:val="single" w:sz="8" w:space="0" w:color="auto"/>
            </w:tcBorders>
            <w:shd w:val="clear" w:color="auto" w:fill="CCCCCC"/>
            <w:vAlign w:val="center"/>
            <w:hideMark/>
          </w:tcPr>
          <w:p w14:paraId="3DAE3FCF" w14:textId="77777777" w:rsidR="005B7178" w:rsidRPr="00290112" w:rsidRDefault="005B7178">
            <w:pPr>
              <w:spacing w:before="0" w:after="0"/>
              <w:jc w:val="center"/>
              <w:rPr>
                <w:b/>
                <w:bCs/>
                <w:noProof/>
                <w:color w:val="000000"/>
                <w:sz w:val="16"/>
                <w:szCs w:val="16"/>
                <w:lang w:val="en-IE" w:eastAsia="en-IE"/>
              </w:rPr>
            </w:pPr>
            <w:r w:rsidRPr="1062AEA3">
              <w:rPr>
                <w:b/>
                <w:bCs/>
                <w:noProof/>
                <w:color w:val="000000" w:themeColor="text1"/>
                <w:sz w:val="16"/>
                <w:szCs w:val="16"/>
                <w:lang w:val="en-IE" w:eastAsia="en-IE"/>
              </w:rPr>
              <w:t>Subtotal HEADING 4</w:t>
            </w:r>
          </w:p>
        </w:tc>
        <w:tc>
          <w:tcPr>
            <w:tcW w:w="413" w:type="pct"/>
            <w:tcBorders>
              <w:top w:val="nil"/>
              <w:left w:val="nil"/>
              <w:bottom w:val="single" w:sz="8" w:space="0" w:color="auto"/>
              <w:right w:val="single" w:sz="8" w:space="0" w:color="auto"/>
            </w:tcBorders>
            <w:shd w:val="clear" w:color="auto" w:fill="D9D9D9" w:themeFill="background1" w:themeFillShade="D9"/>
            <w:vAlign w:val="center"/>
            <w:hideMark/>
          </w:tcPr>
          <w:p w14:paraId="60D2AE08"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38,593</w:t>
            </w:r>
          </w:p>
        </w:tc>
        <w:tc>
          <w:tcPr>
            <w:tcW w:w="383" w:type="pct"/>
            <w:tcBorders>
              <w:top w:val="nil"/>
              <w:left w:val="nil"/>
              <w:bottom w:val="single" w:sz="8" w:space="0" w:color="auto"/>
              <w:right w:val="single" w:sz="8" w:space="0" w:color="auto"/>
            </w:tcBorders>
            <w:shd w:val="clear" w:color="auto" w:fill="D9D9D9" w:themeFill="background1" w:themeFillShade="D9"/>
            <w:vAlign w:val="center"/>
            <w:hideMark/>
          </w:tcPr>
          <w:p w14:paraId="0D6B4DD7"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38,608</w:t>
            </w:r>
          </w:p>
        </w:tc>
        <w:tc>
          <w:tcPr>
            <w:tcW w:w="386" w:type="pct"/>
            <w:tcBorders>
              <w:top w:val="nil"/>
              <w:left w:val="nil"/>
              <w:bottom w:val="single" w:sz="8" w:space="0" w:color="auto"/>
              <w:right w:val="single" w:sz="8" w:space="0" w:color="auto"/>
            </w:tcBorders>
            <w:shd w:val="clear" w:color="auto" w:fill="D9D9D9" w:themeFill="background1" w:themeFillShade="D9"/>
            <w:vAlign w:val="center"/>
            <w:hideMark/>
          </w:tcPr>
          <w:p w14:paraId="6895D7EB"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38,623</w:t>
            </w:r>
          </w:p>
        </w:tc>
        <w:tc>
          <w:tcPr>
            <w:tcW w:w="426" w:type="pct"/>
            <w:tcBorders>
              <w:top w:val="nil"/>
              <w:left w:val="nil"/>
              <w:bottom w:val="single" w:sz="8" w:space="0" w:color="auto"/>
              <w:right w:val="single" w:sz="8" w:space="0" w:color="auto"/>
            </w:tcBorders>
            <w:shd w:val="clear" w:color="auto" w:fill="D9D9D9" w:themeFill="background1" w:themeFillShade="D9"/>
            <w:vAlign w:val="center"/>
            <w:hideMark/>
          </w:tcPr>
          <w:p w14:paraId="57892FA8"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38,639</w:t>
            </w:r>
          </w:p>
        </w:tc>
        <w:tc>
          <w:tcPr>
            <w:tcW w:w="430" w:type="pct"/>
            <w:tcBorders>
              <w:top w:val="nil"/>
              <w:left w:val="nil"/>
              <w:bottom w:val="single" w:sz="8" w:space="0" w:color="auto"/>
              <w:right w:val="single" w:sz="4" w:space="0" w:color="auto"/>
            </w:tcBorders>
            <w:shd w:val="clear" w:color="auto" w:fill="D9D9D9" w:themeFill="background1" w:themeFillShade="D9"/>
            <w:vAlign w:val="center"/>
          </w:tcPr>
          <w:p w14:paraId="44F61F57" w14:textId="77777777" w:rsidR="005B7178" w:rsidRPr="00290112" w:rsidRDefault="005B7178">
            <w:pPr>
              <w:spacing w:before="0" w:after="0"/>
              <w:jc w:val="center"/>
              <w:rPr>
                <w:b/>
                <w:bCs/>
                <w:noProof/>
                <w:color w:val="000000"/>
                <w:sz w:val="16"/>
                <w:szCs w:val="16"/>
                <w:lang w:val="en-IE" w:eastAsia="en-IE"/>
              </w:rPr>
            </w:pPr>
            <w:r w:rsidRPr="4CB40031">
              <w:rPr>
                <w:b/>
                <w:bCs/>
                <w:noProof/>
                <w:color w:val="000000" w:themeColor="text1"/>
                <w:sz w:val="16"/>
                <w:szCs w:val="16"/>
                <w:lang w:val="en-IE" w:eastAsia="en-IE"/>
              </w:rPr>
              <w:t>38,655</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311D283E" w14:textId="77777777" w:rsidR="005B7178" w:rsidRPr="00290112" w:rsidRDefault="005B7178">
            <w:pPr>
              <w:spacing w:before="0" w:after="0"/>
              <w:jc w:val="center"/>
              <w:rPr>
                <w:b/>
                <w:bCs/>
                <w:noProof/>
                <w:color w:val="000000"/>
                <w:sz w:val="16"/>
                <w:szCs w:val="16"/>
                <w:lang w:val="en-IE" w:eastAsia="en-IE"/>
              </w:rPr>
            </w:pPr>
            <w:r w:rsidRPr="4CB40031">
              <w:rPr>
                <w:b/>
                <w:bCs/>
                <w:noProof/>
                <w:color w:val="000000" w:themeColor="text1"/>
                <w:sz w:val="16"/>
                <w:szCs w:val="16"/>
                <w:lang w:val="en-IE" w:eastAsia="en-IE"/>
              </w:rPr>
              <w:t>38,672</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469DB1FB" w14:textId="77777777" w:rsidR="005B7178" w:rsidRPr="00290112" w:rsidRDefault="005B7178">
            <w:pPr>
              <w:spacing w:before="0" w:after="0"/>
              <w:jc w:val="center"/>
              <w:rPr>
                <w:b/>
                <w:bCs/>
                <w:noProof/>
                <w:color w:val="000000"/>
                <w:sz w:val="16"/>
                <w:szCs w:val="16"/>
                <w:lang w:val="en-IE" w:eastAsia="en-IE"/>
              </w:rPr>
            </w:pPr>
            <w:r w:rsidRPr="4CB40031">
              <w:rPr>
                <w:b/>
                <w:bCs/>
                <w:noProof/>
                <w:color w:val="000000" w:themeColor="text1"/>
                <w:sz w:val="16"/>
                <w:szCs w:val="16"/>
                <w:lang w:val="en-IE" w:eastAsia="en-IE"/>
              </w:rPr>
              <w:t>38,689</w:t>
            </w:r>
          </w:p>
        </w:tc>
        <w:tc>
          <w:tcPr>
            <w:tcW w:w="546"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2AC1D3C2"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270,4780.000</w:t>
            </w:r>
          </w:p>
        </w:tc>
      </w:tr>
      <w:tr w:rsidR="00E24D37" w:rsidRPr="00290112" w14:paraId="1AA68A4D" w14:textId="77777777">
        <w:trPr>
          <w:trHeight w:val="300"/>
        </w:trPr>
        <w:tc>
          <w:tcPr>
            <w:tcW w:w="5000" w:type="pct"/>
            <w:gridSpan w:val="9"/>
            <w:tcBorders>
              <w:top w:val="single" w:sz="8" w:space="0" w:color="auto"/>
              <w:left w:val="single" w:sz="8" w:space="0" w:color="auto"/>
              <w:bottom w:val="single" w:sz="8" w:space="0" w:color="auto"/>
              <w:right w:val="single" w:sz="4" w:space="0" w:color="auto"/>
            </w:tcBorders>
            <w:vAlign w:val="center"/>
          </w:tcPr>
          <w:p w14:paraId="49ECC0A0" w14:textId="77777777" w:rsidR="005B7178" w:rsidRPr="00290112" w:rsidRDefault="005B7178">
            <w:pPr>
              <w:spacing w:before="0" w:after="0"/>
              <w:jc w:val="center"/>
              <w:rPr>
                <w:b/>
                <w:bCs/>
                <w:noProof/>
                <w:sz w:val="16"/>
                <w:szCs w:val="16"/>
                <w:lang w:val="en-IE" w:eastAsia="en-IE"/>
              </w:rPr>
            </w:pPr>
            <w:r w:rsidRPr="00290112">
              <w:rPr>
                <w:b/>
                <w:bCs/>
                <w:noProof/>
                <w:sz w:val="16"/>
                <w:szCs w:val="16"/>
                <w:lang w:val="en-IE" w:eastAsia="en-IE"/>
              </w:rPr>
              <w:t xml:space="preserve">Outside HEADING </w:t>
            </w:r>
            <w:r w:rsidRPr="3469EE18">
              <w:rPr>
                <w:b/>
                <w:bCs/>
                <w:noProof/>
                <w:sz w:val="16"/>
                <w:szCs w:val="16"/>
                <w:lang w:val="en-IE" w:eastAsia="en-IE"/>
              </w:rPr>
              <w:t>4</w:t>
            </w:r>
          </w:p>
        </w:tc>
      </w:tr>
      <w:tr w:rsidR="00E24D37" w:rsidRPr="00290112" w14:paraId="766DDBA5" w14:textId="77777777">
        <w:trPr>
          <w:trHeight w:val="300"/>
        </w:trPr>
        <w:tc>
          <w:tcPr>
            <w:tcW w:w="1554" w:type="pct"/>
            <w:tcBorders>
              <w:top w:val="nil"/>
              <w:left w:val="single" w:sz="8" w:space="0" w:color="auto"/>
              <w:bottom w:val="single" w:sz="8" w:space="0" w:color="auto"/>
              <w:right w:val="single" w:sz="8" w:space="0" w:color="auto"/>
            </w:tcBorders>
            <w:vAlign w:val="center"/>
            <w:hideMark/>
          </w:tcPr>
          <w:p w14:paraId="02146D17" w14:textId="77777777" w:rsidR="005B7178" w:rsidRPr="00290112" w:rsidRDefault="005B7178">
            <w:pPr>
              <w:spacing w:before="0" w:after="0"/>
              <w:jc w:val="left"/>
              <w:rPr>
                <w:noProof/>
                <w:color w:val="000000"/>
                <w:sz w:val="16"/>
                <w:szCs w:val="16"/>
                <w:lang w:val="en-IE" w:eastAsia="en-IE"/>
              </w:rPr>
            </w:pPr>
            <w:r w:rsidRPr="00290112">
              <w:rPr>
                <w:noProof/>
                <w:color w:val="000000"/>
                <w:sz w:val="16"/>
                <w:szCs w:val="16"/>
                <w:lang w:val="en-IE" w:eastAsia="en-IE"/>
              </w:rPr>
              <w:t xml:space="preserve">Human resources </w:t>
            </w:r>
          </w:p>
        </w:tc>
        <w:tc>
          <w:tcPr>
            <w:tcW w:w="413" w:type="pct"/>
            <w:tcBorders>
              <w:top w:val="nil"/>
              <w:left w:val="nil"/>
              <w:bottom w:val="single" w:sz="8" w:space="0" w:color="auto"/>
              <w:right w:val="single" w:sz="8" w:space="0" w:color="auto"/>
            </w:tcBorders>
            <w:shd w:val="clear" w:color="auto" w:fill="D9D9D9" w:themeFill="background1" w:themeFillShade="D9"/>
            <w:vAlign w:val="center"/>
            <w:hideMark/>
          </w:tcPr>
          <w:p w14:paraId="64A9B8E9" w14:textId="77777777" w:rsidR="005B7178" w:rsidRPr="00290112" w:rsidRDefault="005B7178">
            <w:pPr>
              <w:spacing w:before="0" w:after="0"/>
              <w:jc w:val="right"/>
              <w:rPr>
                <w:noProof/>
                <w:color w:val="000000"/>
                <w:sz w:val="16"/>
                <w:szCs w:val="16"/>
                <w:lang w:val="en-IE" w:eastAsia="en-IE"/>
              </w:rPr>
            </w:pPr>
            <w:r>
              <w:rPr>
                <w:noProof/>
                <w:color w:val="000000" w:themeColor="text1"/>
                <w:sz w:val="16"/>
                <w:szCs w:val="16"/>
                <w:lang w:val="en-IE" w:eastAsia="en-IE"/>
              </w:rPr>
              <w:t>p.m.</w:t>
            </w:r>
            <w:r w:rsidRPr="4CB40031">
              <w:rPr>
                <w:noProof/>
                <w:color w:val="000000" w:themeColor="text1"/>
                <w:sz w:val="16"/>
                <w:szCs w:val="16"/>
                <w:lang w:val="en-IE" w:eastAsia="en-IE"/>
              </w:rPr>
              <w:t>.</w:t>
            </w:r>
          </w:p>
        </w:tc>
        <w:tc>
          <w:tcPr>
            <w:tcW w:w="383" w:type="pct"/>
            <w:tcBorders>
              <w:top w:val="nil"/>
              <w:left w:val="nil"/>
              <w:bottom w:val="single" w:sz="8" w:space="0" w:color="auto"/>
              <w:right w:val="single" w:sz="8" w:space="0" w:color="auto"/>
            </w:tcBorders>
            <w:shd w:val="clear" w:color="auto" w:fill="D9D9D9" w:themeFill="background1" w:themeFillShade="D9"/>
            <w:vAlign w:val="center"/>
            <w:hideMark/>
          </w:tcPr>
          <w:p w14:paraId="5E27AD45" w14:textId="77777777" w:rsidR="005B7178" w:rsidRPr="00290112" w:rsidRDefault="005B7178">
            <w:pPr>
              <w:spacing w:before="0" w:after="0"/>
              <w:jc w:val="right"/>
              <w:rPr>
                <w:noProof/>
                <w:color w:val="000000" w:themeColor="text1"/>
                <w:sz w:val="16"/>
                <w:szCs w:val="16"/>
                <w:lang w:val="en-IE" w:eastAsia="en-IE"/>
              </w:rPr>
            </w:pPr>
            <w:r w:rsidRPr="4CB40031">
              <w:rPr>
                <w:noProof/>
                <w:color w:val="000000" w:themeColor="text1"/>
                <w:sz w:val="16"/>
                <w:szCs w:val="16"/>
                <w:lang w:val="en-IE" w:eastAsia="en-IE"/>
              </w:rPr>
              <w:t>p.m.</w:t>
            </w:r>
          </w:p>
          <w:p w14:paraId="332F0CC1" w14:textId="77777777" w:rsidR="005B7178" w:rsidRPr="00290112" w:rsidRDefault="005B7178">
            <w:pPr>
              <w:spacing w:before="0" w:after="0"/>
              <w:jc w:val="right"/>
              <w:rPr>
                <w:noProof/>
                <w:color w:val="000000"/>
                <w:sz w:val="16"/>
                <w:szCs w:val="16"/>
                <w:lang w:val="en-IE" w:eastAsia="en-IE"/>
              </w:rPr>
            </w:pPr>
          </w:p>
        </w:tc>
        <w:tc>
          <w:tcPr>
            <w:tcW w:w="386" w:type="pct"/>
            <w:tcBorders>
              <w:top w:val="nil"/>
              <w:left w:val="nil"/>
              <w:bottom w:val="single" w:sz="8" w:space="0" w:color="auto"/>
              <w:right w:val="single" w:sz="8" w:space="0" w:color="auto"/>
            </w:tcBorders>
            <w:shd w:val="clear" w:color="auto" w:fill="D9D9D9" w:themeFill="background1" w:themeFillShade="D9"/>
            <w:vAlign w:val="center"/>
            <w:hideMark/>
          </w:tcPr>
          <w:p w14:paraId="2F09160A" w14:textId="77777777" w:rsidR="005B7178" w:rsidRPr="00290112" w:rsidRDefault="005B7178">
            <w:pPr>
              <w:spacing w:before="0" w:after="0"/>
              <w:jc w:val="right"/>
              <w:rPr>
                <w:noProof/>
                <w:color w:val="000000" w:themeColor="text1"/>
                <w:sz w:val="16"/>
                <w:szCs w:val="16"/>
                <w:lang w:val="en-IE" w:eastAsia="en-IE"/>
              </w:rPr>
            </w:pPr>
            <w:r w:rsidRPr="4CB40031">
              <w:rPr>
                <w:noProof/>
                <w:color w:val="000000" w:themeColor="text1"/>
                <w:sz w:val="16"/>
                <w:szCs w:val="16"/>
                <w:lang w:val="en-IE" w:eastAsia="en-IE"/>
              </w:rPr>
              <w:t xml:space="preserve"> p.m.</w:t>
            </w:r>
          </w:p>
          <w:p w14:paraId="0A9F53E1" w14:textId="77777777" w:rsidR="005B7178" w:rsidRPr="00290112" w:rsidRDefault="005B7178">
            <w:pPr>
              <w:spacing w:before="0" w:after="0"/>
              <w:jc w:val="right"/>
              <w:rPr>
                <w:noProof/>
                <w:color w:val="000000"/>
                <w:sz w:val="16"/>
                <w:szCs w:val="16"/>
                <w:lang w:val="en-IE" w:eastAsia="en-IE"/>
              </w:rPr>
            </w:pPr>
          </w:p>
        </w:tc>
        <w:tc>
          <w:tcPr>
            <w:tcW w:w="426" w:type="pct"/>
            <w:tcBorders>
              <w:top w:val="nil"/>
              <w:left w:val="nil"/>
              <w:bottom w:val="single" w:sz="8" w:space="0" w:color="auto"/>
              <w:right w:val="single" w:sz="8" w:space="0" w:color="auto"/>
            </w:tcBorders>
            <w:shd w:val="clear" w:color="auto" w:fill="D9D9D9" w:themeFill="background1" w:themeFillShade="D9"/>
            <w:vAlign w:val="center"/>
            <w:hideMark/>
          </w:tcPr>
          <w:p w14:paraId="1D6194D7" w14:textId="77777777" w:rsidR="005B7178" w:rsidRPr="00290112" w:rsidRDefault="005B7178">
            <w:pPr>
              <w:spacing w:before="0" w:after="0"/>
              <w:jc w:val="right"/>
              <w:rPr>
                <w:noProof/>
                <w:color w:val="000000"/>
                <w:sz w:val="16"/>
                <w:szCs w:val="16"/>
                <w:lang w:val="en-IE" w:eastAsia="en-IE"/>
              </w:rPr>
            </w:pPr>
            <w:r w:rsidRPr="4CB40031">
              <w:rPr>
                <w:noProof/>
                <w:color w:val="000000" w:themeColor="text1"/>
                <w:sz w:val="16"/>
                <w:szCs w:val="16"/>
                <w:lang w:val="en-IE" w:eastAsia="en-IE"/>
              </w:rPr>
              <w:t>p.m..</w:t>
            </w:r>
          </w:p>
        </w:tc>
        <w:tc>
          <w:tcPr>
            <w:tcW w:w="430" w:type="pct"/>
            <w:tcBorders>
              <w:top w:val="nil"/>
              <w:left w:val="nil"/>
              <w:bottom w:val="single" w:sz="8" w:space="0" w:color="auto"/>
              <w:right w:val="single" w:sz="4" w:space="0" w:color="auto"/>
            </w:tcBorders>
            <w:shd w:val="clear" w:color="auto" w:fill="D9D9D9" w:themeFill="background1" w:themeFillShade="D9"/>
            <w:vAlign w:val="center"/>
          </w:tcPr>
          <w:p w14:paraId="4397B520" w14:textId="77777777" w:rsidR="005B7178" w:rsidRPr="00290112" w:rsidRDefault="005B7178">
            <w:pPr>
              <w:spacing w:before="0" w:after="0"/>
              <w:jc w:val="center"/>
              <w:rPr>
                <w:b/>
                <w:bCs/>
                <w:noProof/>
                <w:color w:val="000000" w:themeColor="text1"/>
                <w:sz w:val="16"/>
                <w:szCs w:val="16"/>
                <w:lang w:val="en-IE" w:eastAsia="en-IE"/>
              </w:rPr>
            </w:pPr>
            <w:r>
              <w:rPr>
                <w:noProof/>
                <w:color w:val="000000" w:themeColor="text1"/>
                <w:sz w:val="16"/>
                <w:szCs w:val="16"/>
                <w:lang w:val="en-IE" w:eastAsia="en-IE"/>
              </w:rPr>
              <w:t xml:space="preserve"> </w:t>
            </w:r>
            <w:r>
              <w:rPr>
                <w:noProof/>
                <w:color w:val="000000" w:themeColor="text1"/>
                <w:sz w:val="16"/>
                <w:szCs w:val="16"/>
                <w:lang w:val="en-IE" w:eastAsia="en-IE"/>
              </w:rPr>
              <w:t>p.m.</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2E0C6F3B" w14:textId="77777777" w:rsidR="005B7178" w:rsidRPr="00290112" w:rsidRDefault="005B7178">
            <w:pPr>
              <w:spacing w:before="0" w:after="0"/>
              <w:jc w:val="center"/>
              <w:rPr>
                <w:b/>
                <w:bCs/>
                <w:noProof/>
                <w:color w:val="000000"/>
                <w:sz w:val="16"/>
                <w:szCs w:val="16"/>
                <w:lang w:val="en-IE" w:eastAsia="en-IE"/>
              </w:rPr>
            </w:pPr>
            <w:r>
              <w:rPr>
                <w:noProof/>
                <w:color w:val="000000" w:themeColor="text1"/>
                <w:sz w:val="16"/>
                <w:szCs w:val="16"/>
                <w:lang w:val="en-IE" w:eastAsia="en-IE"/>
              </w:rPr>
              <w:t xml:space="preserve"> </w:t>
            </w:r>
            <w:r>
              <w:rPr>
                <w:noProof/>
                <w:color w:val="000000" w:themeColor="text1"/>
                <w:sz w:val="16"/>
                <w:szCs w:val="16"/>
                <w:lang w:val="en-IE" w:eastAsia="en-IE"/>
              </w:rPr>
              <w:t>p.</w:t>
            </w:r>
            <w:r w:rsidRPr="4CB40031">
              <w:rPr>
                <w:noProof/>
                <w:color w:val="000000" w:themeColor="text1"/>
                <w:sz w:val="16"/>
                <w:szCs w:val="16"/>
                <w:lang w:val="en-IE" w:eastAsia="en-IE"/>
              </w:rPr>
              <w:t>m.</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2E1405C6" w14:textId="77777777" w:rsidR="005B7178" w:rsidRPr="00290112" w:rsidRDefault="005B7178">
            <w:pPr>
              <w:spacing w:before="0" w:after="0"/>
              <w:jc w:val="center"/>
              <w:rPr>
                <w:b/>
                <w:bCs/>
                <w:noProof/>
                <w:color w:val="000000"/>
                <w:sz w:val="16"/>
                <w:szCs w:val="16"/>
                <w:lang w:val="en-IE" w:eastAsia="en-IE"/>
              </w:rPr>
            </w:pPr>
            <w:r>
              <w:rPr>
                <w:noProof/>
                <w:color w:val="000000" w:themeColor="text1"/>
                <w:sz w:val="16"/>
                <w:szCs w:val="16"/>
                <w:lang w:val="en-IE" w:eastAsia="en-IE"/>
              </w:rPr>
              <w:t xml:space="preserve"> </w:t>
            </w:r>
            <w:r>
              <w:rPr>
                <w:noProof/>
                <w:color w:val="000000" w:themeColor="text1"/>
                <w:sz w:val="16"/>
                <w:szCs w:val="16"/>
                <w:lang w:val="en-IE" w:eastAsia="en-IE"/>
              </w:rPr>
              <w:t>p.m.</w:t>
            </w:r>
          </w:p>
        </w:tc>
        <w:tc>
          <w:tcPr>
            <w:tcW w:w="546"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512E4084" w14:textId="77777777" w:rsidR="005B7178" w:rsidRPr="00290112" w:rsidRDefault="005B7178">
            <w:pPr>
              <w:spacing w:before="0" w:after="0"/>
              <w:jc w:val="right"/>
              <w:rPr>
                <w:b/>
                <w:bCs/>
                <w:noProof/>
                <w:color w:val="000000"/>
                <w:sz w:val="16"/>
                <w:szCs w:val="16"/>
                <w:lang w:val="en-IE" w:eastAsia="en-IE"/>
              </w:rPr>
            </w:pPr>
            <w:r>
              <w:rPr>
                <w:b/>
                <w:bCs/>
                <w:noProof/>
                <w:color w:val="000000" w:themeColor="text1"/>
                <w:sz w:val="16"/>
                <w:szCs w:val="16"/>
                <w:lang w:val="en-IE" w:eastAsia="en-IE"/>
              </w:rPr>
              <w:t>p.m.</w:t>
            </w:r>
          </w:p>
        </w:tc>
      </w:tr>
      <w:tr w:rsidR="00E24D37" w:rsidRPr="00290112" w14:paraId="1A2C68BA" w14:textId="77777777">
        <w:trPr>
          <w:trHeight w:val="300"/>
        </w:trPr>
        <w:tc>
          <w:tcPr>
            <w:tcW w:w="1554" w:type="pct"/>
            <w:tcBorders>
              <w:top w:val="nil"/>
              <w:left w:val="single" w:sz="8" w:space="0" w:color="auto"/>
              <w:bottom w:val="single" w:sz="8" w:space="0" w:color="auto"/>
              <w:right w:val="single" w:sz="8" w:space="0" w:color="auto"/>
            </w:tcBorders>
            <w:vAlign w:val="center"/>
            <w:hideMark/>
          </w:tcPr>
          <w:p w14:paraId="6F904505" w14:textId="77777777" w:rsidR="005B7178" w:rsidRPr="00290112" w:rsidRDefault="005B7178">
            <w:pPr>
              <w:spacing w:before="0" w:after="0"/>
              <w:jc w:val="left"/>
              <w:rPr>
                <w:noProof/>
                <w:color w:val="000000"/>
                <w:sz w:val="16"/>
                <w:szCs w:val="16"/>
                <w:lang w:val="en-IE" w:eastAsia="en-IE"/>
              </w:rPr>
            </w:pPr>
            <w:r w:rsidRPr="00290112">
              <w:rPr>
                <w:noProof/>
                <w:color w:val="000000"/>
                <w:sz w:val="16"/>
                <w:szCs w:val="16"/>
                <w:lang w:val="en-IE" w:eastAsia="en-IE"/>
              </w:rPr>
              <w:t>Other expenditure of an administrative nature</w:t>
            </w:r>
          </w:p>
        </w:tc>
        <w:tc>
          <w:tcPr>
            <w:tcW w:w="413" w:type="pct"/>
            <w:tcBorders>
              <w:top w:val="nil"/>
              <w:left w:val="nil"/>
              <w:bottom w:val="single" w:sz="8" w:space="0" w:color="auto"/>
              <w:right w:val="single" w:sz="8" w:space="0" w:color="auto"/>
            </w:tcBorders>
            <w:shd w:val="clear" w:color="auto" w:fill="D9D9D9" w:themeFill="background1" w:themeFillShade="D9"/>
            <w:vAlign w:val="center"/>
            <w:hideMark/>
          </w:tcPr>
          <w:p w14:paraId="0CB4C93B" w14:textId="77777777" w:rsidR="005B7178" w:rsidRPr="00290112" w:rsidRDefault="005B7178">
            <w:pPr>
              <w:spacing w:before="0" w:after="0"/>
              <w:jc w:val="right"/>
              <w:rPr>
                <w:noProof/>
                <w:color w:val="000000" w:themeColor="text1"/>
                <w:sz w:val="16"/>
                <w:szCs w:val="16"/>
                <w:lang w:val="en-IE" w:eastAsia="en-IE"/>
              </w:rPr>
            </w:pPr>
            <w:r w:rsidRPr="4CB40031">
              <w:rPr>
                <w:noProof/>
                <w:color w:val="000000" w:themeColor="text1"/>
                <w:sz w:val="16"/>
                <w:szCs w:val="16"/>
                <w:lang w:val="en-IE" w:eastAsia="en-IE"/>
              </w:rPr>
              <w:t xml:space="preserve"> </w:t>
            </w:r>
            <w:r>
              <w:rPr>
                <w:noProof/>
                <w:color w:val="000000" w:themeColor="text1"/>
                <w:sz w:val="16"/>
                <w:szCs w:val="16"/>
                <w:lang w:val="en-IE" w:eastAsia="en-IE"/>
              </w:rPr>
              <w:t>p.m.</w:t>
            </w:r>
          </w:p>
          <w:p w14:paraId="0E988C04" w14:textId="77777777" w:rsidR="005B7178" w:rsidRPr="00290112" w:rsidRDefault="005B7178">
            <w:pPr>
              <w:spacing w:before="0" w:after="0"/>
              <w:jc w:val="right"/>
              <w:rPr>
                <w:noProof/>
                <w:color w:val="000000"/>
                <w:sz w:val="16"/>
                <w:szCs w:val="16"/>
                <w:lang w:val="en-IE" w:eastAsia="en-IE"/>
              </w:rPr>
            </w:pPr>
          </w:p>
        </w:tc>
        <w:tc>
          <w:tcPr>
            <w:tcW w:w="383" w:type="pct"/>
            <w:tcBorders>
              <w:top w:val="nil"/>
              <w:left w:val="nil"/>
              <w:bottom w:val="single" w:sz="8" w:space="0" w:color="auto"/>
              <w:right w:val="single" w:sz="8" w:space="0" w:color="auto"/>
            </w:tcBorders>
            <w:shd w:val="clear" w:color="auto" w:fill="D9D9D9" w:themeFill="background1" w:themeFillShade="D9"/>
            <w:vAlign w:val="center"/>
            <w:hideMark/>
          </w:tcPr>
          <w:p w14:paraId="0D40360B" w14:textId="77777777" w:rsidR="005B7178" w:rsidRPr="00290112" w:rsidRDefault="005B7178">
            <w:pPr>
              <w:spacing w:before="0" w:after="0"/>
              <w:jc w:val="right"/>
              <w:rPr>
                <w:noProof/>
                <w:color w:val="000000" w:themeColor="text1"/>
                <w:sz w:val="16"/>
                <w:szCs w:val="16"/>
                <w:lang w:val="en-IE" w:eastAsia="en-IE"/>
              </w:rPr>
            </w:pPr>
            <w:r w:rsidRPr="4CB40031">
              <w:rPr>
                <w:noProof/>
                <w:color w:val="000000" w:themeColor="text1"/>
                <w:sz w:val="16"/>
                <w:szCs w:val="16"/>
                <w:lang w:val="en-IE" w:eastAsia="en-IE"/>
              </w:rPr>
              <w:t xml:space="preserve"> </w:t>
            </w:r>
            <w:r>
              <w:rPr>
                <w:noProof/>
                <w:color w:val="000000" w:themeColor="text1"/>
                <w:sz w:val="16"/>
                <w:szCs w:val="16"/>
                <w:lang w:val="en-IE" w:eastAsia="en-IE"/>
              </w:rPr>
              <w:t>p.m.</w:t>
            </w:r>
          </w:p>
          <w:p w14:paraId="73660D7F" w14:textId="77777777" w:rsidR="005B7178" w:rsidRPr="00290112" w:rsidRDefault="005B7178">
            <w:pPr>
              <w:spacing w:before="0" w:after="0"/>
              <w:jc w:val="right"/>
              <w:rPr>
                <w:noProof/>
                <w:color w:val="000000"/>
                <w:sz w:val="16"/>
                <w:szCs w:val="16"/>
                <w:lang w:val="en-IE" w:eastAsia="en-IE"/>
              </w:rPr>
            </w:pPr>
          </w:p>
        </w:tc>
        <w:tc>
          <w:tcPr>
            <w:tcW w:w="386" w:type="pct"/>
            <w:tcBorders>
              <w:top w:val="nil"/>
              <w:left w:val="nil"/>
              <w:bottom w:val="single" w:sz="8" w:space="0" w:color="auto"/>
              <w:right w:val="single" w:sz="8" w:space="0" w:color="auto"/>
            </w:tcBorders>
            <w:shd w:val="clear" w:color="auto" w:fill="D9D9D9" w:themeFill="background1" w:themeFillShade="D9"/>
            <w:vAlign w:val="center"/>
            <w:hideMark/>
          </w:tcPr>
          <w:p w14:paraId="2D20C89C" w14:textId="77777777" w:rsidR="005B7178" w:rsidRPr="00290112" w:rsidRDefault="005B7178">
            <w:pPr>
              <w:spacing w:before="0" w:after="0"/>
              <w:jc w:val="right"/>
              <w:rPr>
                <w:noProof/>
                <w:color w:val="000000"/>
                <w:sz w:val="16"/>
                <w:szCs w:val="16"/>
                <w:lang w:val="en-IE" w:eastAsia="en-IE"/>
              </w:rPr>
            </w:pPr>
            <w:r>
              <w:rPr>
                <w:noProof/>
                <w:color w:val="000000" w:themeColor="text1"/>
                <w:sz w:val="16"/>
                <w:szCs w:val="16"/>
                <w:lang w:val="en-IE" w:eastAsia="en-IE"/>
              </w:rPr>
              <w:t>p.m.</w:t>
            </w:r>
          </w:p>
        </w:tc>
        <w:tc>
          <w:tcPr>
            <w:tcW w:w="426" w:type="pct"/>
            <w:tcBorders>
              <w:top w:val="nil"/>
              <w:left w:val="nil"/>
              <w:bottom w:val="single" w:sz="8" w:space="0" w:color="auto"/>
              <w:right w:val="single" w:sz="8" w:space="0" w:color="auto"/>
            </w:tcBorders>
            <w:shd w:val="clear" w:color="auto" w:fill="D9D9D9" w:themeFill="background1" w:themeFillShade="D9"/>
            <w:vAlign w:val="center"/>
            <w:hideMark/>
          </w:tcPr>
          <w:p w14:paraId="5DBCCBBB" w14:textId="77777777" w:rsidR="005B7178" w:rsidRPr="00290112" w:rsidRDefault="005B7178">
            <w:pPr>
              <w:spacing w:before="0" w:after="0"/>
              <w:jc w:val="right"/>
              <w:rPr>
                <w:noProof/>
                <w:color w:val="000000"/>
                <w:sz w:val="16"/>
                <w:szCs w:val="16"/>
                <w:lang w:val="en-IE" w:eastAsia="en-IE"/>
              </w:rPr>
            </w:pPr>
            <w:r>
              <w:rPr>
                <w:noProof/>
                <w:color w:val="000000" w:themeColor="text1"/>
                <w:sz w:val="16"/>
                <w:szCs w:val="16"/>
                <w:lang w:val="en-IE" w:eastAsia="en-IE"/>
              </w:rPr>
              <w:t>p.m.</w:t>
            </w:r>
          </w:p>
        </w:tc>
        <w:tc>
          <w:tcPr>
            <w:tcW w:w="430" w:type="pct"/>
            <w:tcBorders>
              <w:top w:val="nil"/>
              <w:left w:val="nil"/>
              <w:bottom w:val="single" w:sz="8" w:space="0" w:color="auto"/>
              <w:right w:val="single" w:sz="4" w:space="0" w:color="auto"/>
            </w:tcBorders>
            <w:shd w:val="clear" w:color="auto" w:fill="D9D9D9" w:themeFill="background1" w:themeFillShade="D9"/>
            <w:vAlign w:val="center"/>
          </w:tcPr>
          <w:p w14:paraId="2EE0B494" w14:textId="77777777" w:rsidR="005B7178" w:rsidRPr="00290112" w:rsidRDefault="005B7178">
            <w:pPr>
              <w:spacing w:before="0" w:after="0"/>
              <w:jc w:val="center"/>
              <w:rPr>
                <w:b/>
                <w:bCs/>
                <w:noProof/>
                <w:color w:val="000000"/>
                <w:sz w:val="16"/>
                <w:szCs w:val="16"/>
                <w:lang w:val="en-IE" w:eastAsia="en-IE"/>
              </w:rPr>
            </w:pPr>
            <w:r>
              <w:rPr>
                <w:noProof/>
                <w:color w:val="000000" w:themeColor="text1"/>
                <w:sz w:val="16"/>
                <w:szCs w:val="16"/>
                <w:lang w:val="en-IE" w:eastAsia="en-IE"/>
              </w:rPr>
              <w:t>p.m.</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7D7C5DF7" w14:textId="77777777" w:rsidR="005B7178" w:rsidRPr="00290112" w:rsidRDefault="005B7178">
            <w:pPr>
              <w:spacing w:before="0" w:after="0"/>
              <w:jc w:val="center"/>
              <w:rPr>
                <w:b/>
                <w:bCs/>
                <w:noProof/>
                <w:color w:val="000000"/>
                <w:sz w:val="16"/>
                <w:szCs w:val="16"/>
                <w:lang w:val="en-IE" w:eastAsia="en-IE"/>
              </w:rPr>
            </w:pPr>
            <w:r>
              <w:rPr>
                <w:noProof/>
                <w:color w:val="000000" w:themeColor="text1"/>
                <w:sz w:val="16"/>
                <w:szCs w:val="16"/>
                <w:lang w:val="en-IE" w:eastAsia="en-IE"/>
              </w:rPr>
              <w:t>p.m.</w:t>
            </w: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272DC285" w14:textId="77777777" w:rsidR="005B7178" w:rsidRPr="00290112" w:rsidRDefault="005B7178">
            <w:pPr>
              <w:spacing w:before="0" w:after="0"/>
              <w:jc w:val="center"/>
              <w:rPr>
                <w:b/>
                <w:bCs/>
                <w:noProof/>
                <w:color w:val="000000"/>
                <w:sz w:val="16"/>
                <w:szCs w:val="16"/>
                <w:lang w:val="en-IE" w:eastAsia="en-IE"/>
              </w:rPr>
            </w:pPr>
            <w:r>
              <w:rPr>
                <w:noProof/>
                <w:color w:val="000000" w:themeColor="text1"/>
                <w:sz w:val="16"/>
                <w:szCs w:val="16"/>
                <w:lang w:val="en-IE" w:eastAsia="en-IE"/>
              </w:rPr>
              <w:t>p.m.</w:t>
            </w:r>
          </w:p>
        </w:tc>
        <w:tc>
          <w:tcPr>
            <w:tcW w:w="546"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218C3079" w14:textId="77777777" w:rsidR="005B7178" w:rsidRPr="00290112" w:rsidRDefault="005B7178">
            <w:pPr>
              <w:spacing w:before="0" w:after="0"/>
              <w:jc w:val="right"/>
              <w:rPr>
                <w:b/>
                <w:bCs/>
                <w:noProof/>
                <w:color w:val="000000"/>
                <w:sz w:val="16"/>
                <w:szCs w:val="16"/>
                <w:lang w:val="en-IE" w:eastAsia="en-IE"/>
              </w:rPr>
            </w:pPr>
            <w:r w:rsidRPr="4CB40031">
              <w:rPr>
                <w:b/>
                <w:bCs/>
                <w:noProof/>
                <w:color w:val="000000" w:themeColor="text1"/>
                <w:sz w:val="16"/>
                <w:szCs w:val="16"/>
                <w:lang w:val="en-IE" w:eastAsia="en-IE"/>
              </w:rPr>
              <w:t>p.m.</w:t>
            </w:r>
          </w:p>
        </w:tc>
      </w:tr>
      <w:tr w:rsidR="00E24D37" w:rsidRPr="00290112" w14:paraId="148FE752" w14:textId="77777777">
        <w:trPr>
          <w:trHeight w:val="300"/>
        </w:trPr>
        <w:tc>
          <w:tcPr>
            <w:tcW w:w="1554" w:type="pct"/>
            <w:tcBorders>
              <w:top w:val="nil"/>
              <w:left w:val="single" w:sz="8" w:space="0" w:color="auto"/>
              <w:bottom w:val="single" w:sz="8" w:space="0" w:color="auto"/>
              <w:right w:val="single" w:sz="8" w:space="0" w:color="auto"/>
            </w:tcBorders>
            <w:shd w:val="clear" w:color="auto" w:fill="CCCCCC"/>
            <w:vAlign w:val="center"/>
            <w:hideMark/>
          </w:tcPr>
          <w:p w14:paraId="34BA6816" w14:textId="77777777" w:rsidR="005B7178" w:rsidRPr="00290112" w:rsidRDefault="005B7178">
            <w:pPr>
              <w:spacing w:before="0" w:after="0"/>
              <w:jc w:val="center"/>
              <w:rPr>
                <w:b/>
                <w:bCs/>
                <w:noProof/>
                <w:color w:val="000000"/>
                <w:sz w:val="16"/>
                <w:szCs w:val="16"/>
                <w:lang w:val="en-IE" w:eastAsia="en-IE"/>
              </w:rPr>
            </w:pPr>
            <w:r w:rsidRPr="1062AEA3">
              <w:rPr>
                <w:b/>
                <w:bCs/>
                <w:noProof/>
                <w:color w:val="000000" w:themeColor="text1"/>
                <w:sz w:val="16"/>
                <w:szCs w:val="16"/>
                <w:lang w:val="en-IE" w:eastAsia="en-IE"/>
              </w:rPr>
              <w:t>Subtotal outside HEADING 4</w:t>
            </w:r>
          </w:p>
        </w:tc>
        <w:tc>
          <w:tcPr>
            <w:tcW w:w="413" w:type="pct"/>
            <w:tcBorders>
              <w:top w:val="nil"/>
              <w:left w:val="nil"/>
              <w:bottom w:val="single" w:sz="8" w:space="0" w:color="auto"/>
              <w:right w:val="single" w:sz="8" w:space="0" w:color="auto"/>
            </w:tcBorders>
            <w:shd w:val="clear" w:color="auto" w:fill="D9D9D9" w:themeFill="background1" w:themeFillShade="D9"/>
            <w:vAlign w:val="center"/>
            <w:hideMark/>
          </w:tcPr>
          <w:p w14:paraId="6E37D687" w14:textId="77777777" w:rsidR="005B7178" w:rsidRPr="00290112" w:rsidRDefault="005B7178">
            <w:pPr>
              <w:spacing w:before="0" w:after="0"/>
              <w:jc w:val="right"/>
              <w:rPr>
                <w:b/>
                <w:bCs/>
                <w:noProof/>
                <w:color w:val="000000"/>
                <w:sz w:val="16"/>
                <w:szCs w:val="16"/>
                <w:lang w:val="en-IE" w:eastAsia="en-IE"/>
              </w:rPr>
            </w:pPr>
          </w:p>
        </w:tc>
        <w:tc>
          <w:tcPr>
            <w:tcW w:w="383" w:type="pct"/>
            <w:tcBorders>
              <w:top w:val="nil"/>
              <w:left w:val="nil"/>
              <w:bottom w:val="single" w:sz="8" w:space="0" w:color="auto"/>
              <w:right w:val="single" w:sz="8" w:space="0" w:color="auto"/>
            </w:tcBorders>
            <w:shd w:val="clear" w:color="auto" w:fill="D9D9D9" w:themeFill="background1" w:themeFillShade="D9"/>
            <w:vAlign w:val="center"/>
            <w:hideMark/>
          </w:tcPr>
          <w:p w14:paraId="6F2DDE45" w14:textId="77777777" w:rsidR="005B7178" w:rsidRPr="00290112" w:rsidRDefault="005B7178">
            <w:pPr>
              <w:spacing w:before="0" w:after="0"/>
              <w:jc w:val="right"/>
              <w:rPr>
                <w:b/>
                <w:bCs/>
                <w:noProof/>
                <w:color w:val="000000"/>
                <w:sz w:val="16"/>
                <w:szCs w:val="16"/>
                <w:lang w:val="en-IE" w:eastAsia="en-IE"/>
              </w:rPr>
            </w:pPr>
          </w:p>
        </w:tc>
        <w:tc>
          <w:tcPr>
            <w:tcW w:w="386" w:type="pct"/>
            <w:tcBorders>
              <w:top w:val="nil"/>
              <w:left w:val="nil"/>
              <w:bottom w:val="single" w:sz="8" w:space="0" w:color="auto"/>
              <w:right w:val="single" w:sz="8" w:space="0" w:color="auto"/>
            </w:tcBorders>
            <w:shd w:val="clear" w:color="auto" w:fill="D9D9D9" w:themeFill="background1" w:themeFillShade="D9"/>
            <w:vAlign w:val="center"/>
            <w:hideMark/>
          </w:tcPr>
          <w:p w14:paraId="4DB4E631" w14:textId="77777777" w:rsidR="005B7178" w:rsidRPr="00290112" w:rsidRDefault="005B7178">
            <w:pPr>
              <w:spacing w:before="0" w:after="0"/>
              <w:jc w:val="right"/>
              <w:rPr>
                <w:b/>
                <w:bCs/>
                <w:noProof/>
                <w:color w:val="000000"/>
                <w:sz w:val="16"/>
                <w:szCs w:val="16"/>
                <w:lang w:val="en-IE" w:eastAsia="en-IE"/>
              </w:rPr>
            </w:pPr>
          </w:p>
        </w:tc>
        <w:tc>
          <w:tcPr>
            <w:tcW w:w="426" w:type="pct"/>
            <w:tcBorders>
              <w:top w:val="nil"/>
              <w:left w:val="nil"/>
              <w:bottom w:val="single" w:sz="8" w:space="0" w:color="auto"/>
              <w:right w:val="single" w:sz="8" w:space="0" w:color="auto"/>
            </w:tcBorders>
            <w:shd w:val="clear" w:color="auto" w:fill="D9D9D9" w:themeFill="background1" w:themeFillShade="D9"/>
            <w:vAlign w:val="center"/>
            <w:hideMark/>
          </w:tcPr>
          <w:p w14:paraId="2FEFB9A6" w14:textId="77777777" w:rsidR="005B7178" w:rsidRPr="00290112" w:rsidRDefault="005B7178">
            <w:pPr>
              <w:spacing w:before="0" w:after="0"/>
              <w:jc w:val="right"/>
              <w:rPr>
                <w:b/>
                <w:bCs/>
                <w:noProof/>
                <w:color w:val="000000"/>
                <w:sz w:val="16"/>
                <w:szCs w:val="16"/>
                <w:lang w:val="en-IE" w:eastAsia="en-IE"/>
              </w:rPr>
            </w:pPr>
          </w:p>
        </w:tc>
        <w:tc>
          <w:tcPr>
            <w:tcW w:w="430" w:type="pct"/>
            <w:tcBorders>
              <w:top w:val="nil"/>
              <w:left w:val="nil"/>
              <w:bottom w:val="single" w:sz="8" w:space="0" w:color="auto"/>
              <w:right w:val="single" w:sz="4" w:space="0" w:color="auto"/>
            </w:tcBorders>
            <w:shd w:val="clear" w:color="auto" w:fill="D9D9D9" w:themeFill="background1" w:themeFillShade="D9"/>
            <w:vAlign w:val="center"/>
          </w:tcPr>
          <w:p w14:paraId="1AB1D299" w14:textId="77777777" w:rsidR="005B7178" w:rsidRPr="00290112" w:rsidRDefault="005B7178">
            <w:pPr>
              <w:spacing w:before="0" w:after="0"/>
              <w:jc w:val="center"/>
              <w:rPr>
                <w:b/>
                <w:bCs/>
                <w:noProof/>
                <w:color w:val="000000"/>
                <w:sz w:val="16"/>
                <w:szCs w:val="16"/>
                <w:lang w:val="en-IE" w:eastAsia="en-IE"/>
              </w:rPr>
            </w:pP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32E90163" w14:textId="77777777" w:rsidR="005B7178" w:rsidRPr="00290112" w:rsidRDefault="005B7178">
            <w:pPr>
              <w:spacing w:before="0" w:after="0"/>
              <w:jc w:val="center"/>
              <w:rPr>
                <w:b/>
                <w:bCs/>
                <w:noProof/>
                <w:color w:val="000000"/>
                <w:sz w:val="16"/>
                <w:szCs w:val="16"/>
                <w:lang w:val="en-IE" w:eastAsia="en-IE"/>
              </w:rPr>
            </w:pPr>
          </w:p>
        </w:tc>
        <w:tc>
          <w:tcPr>
            <w:tcW w:w="431" w:type="pct"/>
            <w:tcBorders>
              <w:top w:val="nil"/>
              <w:left w:val="single" w:sz="4" w:space="0" w:color="auto"/>
              <w:bottom w:val="single" w:sz="8" w:space="0" w:color="auto"/>
              <w:right w:val="single" w:sz="4" w:space="0" w:color="auto"/>
            </w:tcBorders>
            <w:shd w:val="clear" w:color="auto" w:fill="D9D9D9" w:themeFill="background1" w:themeFillShade="D9"/>
            <w:vAlign w:val="center"/>
          </w:tcPr>
          <w:p w14:paraId="2FE70995" w14:textId="77777777" w:rsidR="005B7178" w:rsidRPr="00290112" w:rsidRDefault="005B7178">
            <w:pPr>
              <w:spacing w:before="0" w:after="0"/>
              <w:jc w:val="center"/>
              <w:rPr>
                <w:b/>
                <w:bCs/>
                <w:noProof/>
                <w:color w:val="000000"/>
                <w:sz w:val="16"/>
                <w:szCs w:val="16"/>
                <w:lang w:val="en-IE" w:eastAsia="en-IE"/>
              </w:rPr>
            </w:pPr>
          </w:p>
        </w:tc>
        <w:tc>
          <w:tcPr>
            <w:tcW w:w="546"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4D677211" w14:textId="77777777" w:rsidR="005B7178" w:rsidRPr="00290112" w:rsidRDefault="005B7178">
            <w:pPr>
              <w:spacing w:before="0" w:after="0"/>
              <w:jc w:val="right"/>
              <w:rPr>
                <w:b/>
                <w:bCs/>
                <w:noProof/>
                <w:color w:val="000000"/>
                <w:sz w:val="16"/>
                <w:szCs w:val="16"/>
                <w:lang w:val="en-IE" w:eastAsia="en-IE"/>
              </w:rPr>
            </w:pPr>
          </w:p>
        </w:tc>
      </w:tr>
      <w:tr w:rsidR="00E24D37" w:rsidRPr="00290112" w14:paraId="65D87802" w14:textId="77777777">
        <w:trPr>
          <w:trHeight w:val="300"/>
        </w:trPr>
        <w:tc>
          <w:tcPr>
            <w:tcW w:w="5000" w:type="pct"/>
            <w:gridSpan w:val="9"/>
            <w:tcBorders>
              <w:top w:val="single" w:sz="8" w:space="0" w:color="auto"/>
              <w:left w:val="single" w:sz="8" w:space="0" w:color="auto"/>
              <w:bottom w:val="single" w:sz="8" w:space="0" w:color="auto"/>
              <w:right w:val="single" w:sz="4" w:space="0" w:color="auto"/>
            </w:tcBorders>
          </w:tcPr>
          <w:p w14:paraId="6FA9F2E7" w14:textId="77777777" w:rsidR="005B7178" w:rsidRPr="00290112" w:rsidRDefault="005B7178">
            <w:pPr>
              <w:spacing w:before="0" w:after="0"/>
              <w:jc w:val="center"/>
              <w:rPr>
                <w:noProof/>
                <w:color w:val="000000"/>
                <w:sz w:val="16"/>
                <w:szCs w:val="16"/>
                <w:lang w:val="en-IE" w:eastAsia="en-IE"/>
              </w:rPr>
            </w:pPr>
          </w:p>
        </w:tc>
      </w:tr>
      <w:tr w:rsidR="00E24D37" w:rsidRPr="00290112" w14:paraId="3AF0E33C" w14:textId="77777777">
        <w:trPr>
          <w:trHeight w:val="300"/>
        </w:trPr>
        <w:tc>
          <w:tcPr>
            <w:tcW w:w="1554" w:type="pct"/>
            <w:tcBorders>
              <w:top w:val="nil"/>
              <w:left w:val="single" w:sz="8" w:space="0" w:color="auto"/>
              <w:bottom w:val="single" w:sz="8" w:space="0" w:color="auto"/>
              <w:right w:val="single" w:sz="8" w:space="0" w:color="auto"/>
            </w:tcBorders>
            <w:vAlign w:val="center"/>
            <w:hideMark/>
          </w:tcPr>
          <w:p w14:paraId="3C80DABD" w14:textId="77777777" w:rsidR="005B7178" w:rsidRPr="00290112" w:rsidRDefault="005B7178">
            <w:pPr>
              <w:spacing w:before="0" w:after="0"/>
              <w:jc w:val="center"/>
              <w:rPr>
                <w:b/>
                <w:bCs/>
                <w:noProof/>
                <w:color w:val="000000"/>
                <w:sz w:val="16"/>
                <w:szCs w:val="16"/>
                <w:lang w:val="en-IE" w:eastAsia="en-IE"/>
              </w:rPr>
            </w:pPr>
            <w:r w:rsidRPr="00290112">
              <w:rPr>
                <w:b/>
                <w:bCs/>
                <w:noProof/>
                <w:color w:val="000000"/>
                <w:sz w:val="16"/>
                <w:szCs w:val="16"/>
                <w:lang w:val="en-IE" w:eastAsia="en-IE"/>
              </w:rPr>
              <w:t>TOTAL</w:t>
            </w:r>
          </w:p>
        </w:tc>
        <w:tc>
          <w:tcPr>
            <w:tcW w:w="413"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65461B9" w14:textId="77777777" w:rsidR="005B7178" w:rsidRPr="00290112" w:rsidRDefault="005B7178">
            <w:pPr>
              <w:spacing w:before="0" w:after="0"/>
              <w:jc w:val="right"/>
              <w:rPr>
                <w:b/>
                <w:bCs/>
                <w:noProof/>
                <w:color w:val="000000"/>
                <w:sz w:val="16"/>
                <w:szCs w:val="16"/>
                <w:lang w:val="en-IE" w:eastAsia="en-IE"/>
              </w:rPr>
            </w:pPr>
          </w:p>
        </w:tc>
        <w:tc>
          <w:tcPr>
            <w:tcW w:w="383" w:type="pct"/>
            <w:tcBorders>
              <w:top w:val="single" w:sz="8" w:space="0" w:color="auto"/>
              <w:left w:val="nil"/>
              <w:bottom w:val="single" w:sz="8" w:space="0" w:color="auto"/>
              <w:right w:val="single" w:sz="8" w:space="0" w:color="auto"/>
            </w:tcBorders>
            <w:shd w:val="clear" w:color="000000" w:fill="D9D9D9"/>
            <w:vAlign w:val="center"/>
            <w:hideMark/>
          </w:tcPr>
          <w:p w14:paraId="5E35C09C" w14:textId="77777777" w:rsidR="005B7178" w:rsidRPr="00E71B39" w:rsidRDefault="005B7178">
            <w:pPr>
              <w:spacing w:before="0" w:after="0"/>
              <w:jc w:val="right"/>
              <w:rPr>
                <w:b/>
                <w:bCs/>
                <w:noProof/>
                <w:color w:val="000000" w:themeColor="text1"/>
                <w:sz w:val="16"/>
                <w:szCs w:val="16"/>
                <w:lang w:val="en-IE" w:eastAsia="en-IE"/>
              </w:rPr>
            </w:pPr>
          </w:p>
        </w:tc>
        <w:tc>
          <w:tcPr>
            <w:tcW w:w="386" w:type="pct"/>
            <w:tcBorders>
              <w:top w:val="single" w:sz="8" w:space="0" w:color="auto"/>
              <w:left w:val="nil"/>
              <w:bottom w:val="single" w:sz="8" w:space="0" w:color="auto"/>
              <w:right w:val="single" w:sz="8" w:space="0" w:color="auto"/>
            </w:tcBorders>
            <w:shd w:val="clear" w:color="000000" w:fill="D9D9D9"/>
            <w:vAlign w:val="center"/>
            <w:hideMark/>
          </w:tcPr>
          <w:p w14:paraId="4F2B08AC" w14:textId="77777777" w:rsidR="005B7178" w:rsidRPr="00E71B39" w:rsidRDefault="005B7178">
            <w:pPr>
              <w:spacing w:before="0" w:after="0"/>
              <w:jc w:val="right"/>
              <w:rPr>
                <w:b/>
                <w:bCs/>
                <w:noProof/>
                <w:color w:val="000000" w:themeColor="text1"/>
                <w:sz w:val="16"/>
                <w:szCs w:val="16"/>
                <w:lang w:val="en-IE" w:eastAsia="en-IE"/>
              </w:rPr>
            </w:pPr>
          </w:p>
        </w:tc>
        <w:tc>
          <w:tcPr>
            <w:tcW w:w="426" w:type="pct"/>
            <w:tcBorders>
              <w:top w:val="single" w:sz="8" w:space="0" w:color="auto"/>
              <w:left w:val="nil"/>
              <w:bottom w:val="single" w:sz="8" w:space="0" w:color="auto"/>
              <w:right w:val="single" w:sz="8" w:space="0" w:color="auto"/>
            </w:tcBorders>
            <w:shd w:val="clear" w:color="000000" w:fill="D9D9D9"/>
            <w:vAlign w:val="center"/>
            <w:hideMark/>
          </w:tcPr>
          <w:p w14:paraId="40F88CD2" w14:textId="77777777" w:rsidR="005B7178" w:rsidRPr="00E71B39" w:rsidRDefault="005B7178">
            <w:pPr>
              <w:spacing w:before="0" w:after="0"/>
              <w:jc w:val="right"/>
              <w:rPr>
                <w:b/>
                <w:bCs/>
                <w:noProof/>
                <w:color w:val="000000" w:themeColor="text1"/>
                <w:sz w:val="16"/>
                <w:szCs w:val="16"/>
                <w:lang w:val="en-IE" w:eastAsia="en-IE"/>
              </w:rPr>
            </w:pPr>
          </w:p>
        </w:tc>
        <w:tc>
          <w:tcPr>
            <w:tcW w:w="430" w:type="pct"/>
            <w:tcBorders>
              <w:top w:val="single" w:sz="8" w:space="0" w:color="auto"/>
              <w:left w:val="nil"/>
              <w:bottom w:val="single" w:sz="8" w:space="0" w:color="auto"/>
              <w:right w:val="single" w:sz="8" w:space="0" w:color="auto"/>
            </w:tcBorders>
            <w:shd w:val="clear" w:color="000000" w:fill="D9D9D9"/>
            <w:vAlign w:val="center"/>
          </w:tcPr>
          <w:p w14:paraId="1A3F2211" w14:textId="77777777" w:rsidR="005B7178" w:rsidRPr="00E71B39" w:rsidRDefault="005B7178">
            <w:pPr>
              <w:spacing w:before="0" w:after="0"/>
              <w:jc w:val="center"/>
              <w:rPr>
                <w:b/>
                <w:bCs/>
                <w:noProof/>
                <w:color w:val="000000" w:themeColor="text1"/>
                <w:sz w:val="16"/>
                <w:szCs w:val="16"/>
                <w:lang w:val="en-IE" w:eastAsia="en-IE"/>
              </w:rPr>
            </w:pPr>
          </w:p>
        </w:tc>
        <w:tc>
          <w:tcPr>
            <w:tcW w:w="431" w:type="pct"/>
            <w:tcBorders>
              <w:top w:val="single" w:sz="8" w:space="0" w:color="auto"/>
              <w:left w:val="nil"/>
              <w:bottom w:val="single" w:sz="8" w:space="0" w:color="auto"/>
              <w:right w:val="single" w:sz="8" w:space="0" w:color="auto"/>
            </w:tcBorders>
            <w:shd w:val="clear" w:color="000000" w:fill="D9D9D9"/>
            <w:vAlign w:val="center"/>
          </w:tcPr>
          <w:p w14:paraId="030AAE7C" w14:textId="77777777" w:rsidR="005B7178" w:rsidRPr="00E71B39" w:rsidRDefault="005B7178">
            <w:pPr>
              <w:spacing w:before="0" w:after="0"/>
              <w:jc w:val="center"/>
              <w:rPr>
                <w:b/>
                <w:bCs/>
                <w:noProof/>
                <w:color w:val="000000" w:themeColor="text1"/>
                <w:sz w:val="16"/>
                <w:szCs w:val="16"/>
                <w:lang w:val="en-IE" w:eastAsia="en-IE"/>
              </w:rPr>
            </w:pPr>
          </w:p>
        </w:tc>
        <w:tc>
          <w:tcPr>
            <w:tcW w:w="431" w:type="pct"/>
            <w:tcBorders>
              <w:top w:val="single" w:sz="8" w:space="0" w:color="auto"/>
              <w:left w:val="nil"/>
              <w:bottom w:val="single" w:sz="8" w:space="0" w:color="auto"/>
              <w:right w:val="single" w:sz="8" w:space="0" w:color="auto"/>
            </w:tcBorders>
            <w:shd w:val="clear" w:color="000000" w:fill="D9D9D9"/>
            <w:vAlign w:val="center"/>
          </w:tcPr>
          <w:p w14:paraId="4BD48963" w14:textId="77777777" w:rsidR="005B7178" w:rsidRPr="00E71B39" w:rsidRDefault="005B7178">
            <w:pPr>
              <w:spacing w:before="0" w:after="0"/>
              <w:jc w:val="center"/>
              <w:rPr>
                <w:b/>
                <w:bCs/>
                <w:noProof/>
                <w:color w:val="000000" w:themeColor="text1"/>
                <w:sz w:val="16"/>
                <w:szCs w:val="16"/>
                <w:lang w:val="en-IE" w:eastAsia="en-IE"/>
              </w:rPr>
            </w:pPr>
          </w:p>
        </w:tc>
        <w:tc>
          <w:tcPr>
            <w:tcW w:w="546" w:type="pct"/>
            <w:tcBorders>
              <w:top w:val="single" w:sz="8" w:space="0" w:color="auto"/>
              <w:left w:val="nil"/>
              <w:bottom w:val="single" w:sz="8" w:space="0" w:color="auto"/>
              <w:right w:val="single" w:sz="8" w:space="0" w:color="auto"/>
            </w:tcBorders>
            <w:shd w:val="clear" w:color="000000" w:fill="D9D9D9"/>
            <w:vAlign w:val="center"/>
            <w:hideMark/>
          </w:tcPr>
          <w:p w14:paraId="33A7799A" w14:textId="77777777" w:rsidR="005B7178" w:rsidRPr="00E71B39" w:rsidRDefault="005B7178">
            <w:pPr>
              <w:spacing w:before="0" w:after="0"/>
              <w:jc w:val="right"/>
              <w:rPr>
                <w:b/>
                <w:bCs/>
                <w:noProof/>
                <w:color w:val="000000" w:themeColor="text1"/>
                <w:sz w:val="16"/>
                <w:szCs w:val="16"/>
                <w:lang w:val="en-IE" w:eastAsia="en-IE"/>
              </w:rPr>
            </w:pPr>
          </w:p>
        </w:tc>
      </w:tr>
    </w:tbl>
    <w:p w14:paraId="464A49EA" w14:textId="77777777" w:rsidR="005B7178" w:rsidRPr="00E24D37" w:rsidRDefault="005B7178" w:rsidP="002F152A">
      <w:pPr>
        <w:pStyle w:val="Text1"/>
        <w:rPr>
          <w:noProof/>
        </w:rPr>
      </w:pPr>
    </w:p>
    <w:p w14:paraId="2B027D09" w14:textId="77777777" w:rsidR="005B7178" w:rsidRDefault="005B7178" w:rsidP="00F67E4F">
      <w:pPr>
        <w:pStyle w:val="ManualHeading3"/>
        <w:rPr>
          <w:bCs/>
          <w:noProof/>
          <w:szCs w:val="24"/>
        </w:rPr>
      </w:pPr>
      <w:r w:rsidRPr="0021790A">
        <w:rPr>
          <w:noProof/>
        </w:rPr>
        <w:t>3.2.</w:t>
      </w:r>
      <w:r>
        <w:rPr>
          <w:noProof/>
        </w:rPr>
        <w:t>4</w:t>
      </w:r>
      <w:r w:rsidRPr="0021790A">
        <w:rPr>
          <w:noProof/>
        </w:rPr>
        <w:t>.</w:t>
      </w:r>
      <w:r w:rsidRPr="0021790A">
        <w:rPr>
          <w:noProof/>
        </w:rPr>
        <w:tab/>
      </w:r>
      <w:r w:rsidRPr="00A238FB">
        <w:rPr>
          <w:noProof/>
        </w:rPr>
        <w:t>Estimated requirements of human resources</w:t>
      </w:r>
      <w:r>
        <w:rPr>
          <w:noProof/>
        </w:rPr>
        <w:t xml:space="preserve"> </w:t>
      </w:r>
    </w:p>
    <w:p w14:paraId="198392BF" w14:textId="77777777" w:rsidR="005B7178" w:rsidRDefault="005B7178" w:rsidP="00F67E4F">
      <w:pPr>
        <w:pStyle w:val="ListDash1"/>
        <w:rPr>
          <w:noProof/>
        </w:rPr>
      </w:pPr>
      <w:r>
        <w:rPr>
          <w:rFonts w:ascii="Wingdings" w:eastAsia="Wingdings" w:hAnsi="Wingdings" w:cs="Wingdings"/>
          <w:noProof/>
        </w:rPr>
        <w:t></w:t>
      </w:r>
      <w:r>
        <w:rPr>
          <w:noProof/>
        </w:rPr>
        <w:tab/>
      </w:r>
      <w:r>
        <w:rPr>
          <w:noProof/>
        </w:rPr>
        <w:t xml:space="preserve">The proposal/initiative does not require the use of human resources </w:t>
      </w:r>
    </w:p>
    <w:p w14:paraId="67A16002" w14:textId="77777777" w:rsidR="005B7178" w:rsidRDefault="005B7178" w:rsidP="00F67E4F">
      <w:pPr>
        <w:pStyle w:val="ListDash1"/>
        <w:rPr>
          <w:noProof/>
        </w:rPr>
      </w:pPr>
      <w:r w:rsidRPr="00D6510D">
        <w:rPr>
          <w:rFonts w:ascii="Wingdings" w:eastAsia="Wingdings" w:hAnsi="Wingdings" w:cs="Wingdings"/>
          <w:noProof/>
        </w:rPr>
        <w:t></w:t>
      </w:r>
      <w:r>
        <w:rPr>
          <w:noProof/>
        </w:rPr>
        <w:tab/>
        <w:t>The proposal/initiative requires the use of human resources, as explained below</w:t>
      </w:r>
    </w:p>
    <w:p w14:paraId="34ED1687" w14:textId="77777777" w:rsidR="005B7178" w:rsidRDefault="005B7178" w:rsidP="00F67E4F">
      <w:pPr>
        <w:pStyle w:val="ManualHeading3"/>
        <w:rPr>
          <w:noProof/>
        </w:rPr>
      </w:pPr>
      <w:r w:rsidRPr="003268F2">
        <w:rPr>
          <w:noProof/>
        </w:rPr>
        <w:t>3.2.</w:t>
      </w:r>
      <w:r>
        <w:rPr>
          <w:noProof/>
        </w:rPr>
        <w:t>4</w:t>
      </w:r>
      <w:r w:rsidRPr="003268F2">
        <w:rPr>
          <w:noProof/>
        </w:rPr>
        <w:t>.1</w:t>
      </w:r>
      <w:r>
        <w:rPr>
          <w:noProof/>
        </w:rPr>
        <w:t>.</w:t>
      </w:r>
      <w:r>
        <w:rPr>
          <w:noProof/>
        </w:rPr>
        <w:tab/>
        <w:t>Financed from voted budget</w:t>
      </w:r>
    </w:p>
    <w:p w14:paraId="0685FECE" w14:textId="77777777" w:rsidR="005B7178" w:rsidRDefault="005B7178" w:rsidP="00F67E4F">
      <w:pPr>
        <w:spacing w:after="60"/>
        <w:jc w:val="right"/>
        <w:rPr>
          <w:i/>
          <w:noProof/>
          <w:sz w:val="20"/>
          <w:lang w:val="en-IE"/>
        </w:rPr>
      </w:pPr>
      <w:r w:rsidRPr="6F19C14C">
        <w:rPr>
          <w:i/>
          <w:noProof/>
          <w:sz w:val="20"/>
          <w:szCs w:val="20"/>
          <w:lang w:val="en-IE"/>
        </w:rPr>
        <w:t>Estimate to be expressed in full-time equivalent units (FTEs)</w:t>
      </w:r>
    </w:p>
    <w:p w14:paraId="5D8CDC6E" w14:textId="77777777" w:rsidR="005B7178" w:rsidRDefault="005B7178" w:rsidP="00F67E4F">
      <w:pPr>
        <w:spacing w:after="60"/>
        <w:jc w:val="left"/>
        <w:rPr>
          <w:i/>
          <w:noProof/>
          <w:sz w:val="20"/>
          <w:lang w:val="en-IE"/>
        </w:rPr>
      </w:pPr>
    </w:p>
    <w:p w14:paraId="7FF15F9E" w14:textId="77777777" w:rsidR="005B7178" w:rsidRPr="003E626F" w:rsidRDefault="005B7178" w:rsidP="00F67E4F">
      <w:pPr>
        <w:spacing w:after="60"/>
        <w:jc w:val="left"/>
        <w:rPr>
          <w:i/>
          <w:noProof/>
          <w:sz w:val="20"/>
        </w:rPr>
      </w:pPr>
    </w:p>
    <w:p w14:paraId="69EE33AC" w14:textId="77777777" w:rsidR="005B7178" w:rsidRDefault="005B7178" w:rsidP="00F67E4F">
      <w:pPr>
        <w:pStyle w:val="Text1"/>
        <w:spacing w:before="60" w:after="60"/>
        <w:ind w:left="-426" w:right="-427"/>
        <w:rPr>
          <w:b/>
          <w:noProof/>
          <w:sz w:val="18"/>
          <w:szCs w:val="18"/>
          <w:lang w:val="en-IE"/>
        </w:rPr>
      </w:pPr>
      <w:bookmarkStart w:id="11" w:name="_Hlk156979231"/>
    </w:p>
    <w:tbl>
      <w:tblPr>
        <w:tblW w:w="5000" w:type="pct"/>
        <w:tblLook w:val="04A0" w:firstRow="1" w:lastRow="0" w:firstColumn="1" w:lastColumn="0" w:noHBand="0" w:noVBand="1"/>
      </w:tblPr>
      <w:tblGrid>
        <w:gridCol w:w="2187"/>
        <w:gridCol w:w="1803"/>
        <w:gridCol w:w="1510"/>
        <w:gridCol w:w="1510"/>
        <w:gridCol w:w="1510"/>
        <w:gridCol w:w="1510"/>
        <w:gridCol w:w="1510"/>
        <w:gridCol w:w="1510"/>
        <w:gridCol w:w="1502"/>
      </w:tblGrid>
      <w:tr w:rsidR="00F67E4F" w:rsidRPr="00186919" w14:paraId="5CC2BFAC" w14:textId="77777777" w:rsidTr="00C933F8">
        <w:trPr>
          <w:trHeight w:val="290"/>
        </w:trPr>
        <w:tc>
          <w:tcPr>
            <w:tcW w:w="137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72413050"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sz w:val="18"/>
                <w:szCs w:val="18"/>
                <w:lang w:val="en-IE" w:eastAsia="en-IE"/>
              </w:rPr>
              <w:t>VOTED APPROPRIATIONS</w:t>
            </w:r>
          </w:p>
        </w:tc>
        <w:tc>
          <w:tcPr>
            <w:tcW w:w="519" w:type="pct"/>
            <w:tcBorders>
              <w:top w:val="single" w:sz="8" w:space="0" w:color="auto"/>
              <w:left w:val="nil"/>
              <w:bottom w:val="nil"/>
              <w:right w:val="single" w:sz="8" w:space="0" w:color="auto"/>
            </w:tcBorders>
            <w:vAlign w:val="center"/>
            <w:hideMark/>
          </w:tcPr>
          <w:p w14:paraId="49E75D4E"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szCs w:val="20"/>
                <w:lang w:val="en-IE" w:eastAsia="en-IE"/>
              </w:rPr>
              <w:t>Year</w:t>
            </w:r>
          </w:p>
        </w:tc>
        <w:tc>
          <w:tcPr>
            <w:tcW w:w="519" w:type="pct"/>
            <w:tcBorders>
              <w:top w:val="single" w:sz="8" w:space="0" w:color="auto"/>
              <w:left w:val="nil"/>
              <w:bottom w:val="nil"/>
              <w:right w:val="single" w:sz="8" w:space="0" w:color="auto"/>
            </w:tcBorders>
            <w:vAlign w:val="center"/>
            <w:hideMark/>
          </w:tcPr>
          <w:p w14:paraId="4BF35712"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szCs w:val="20"/>
                <w:lang w:val="en-IE" w:eastAsia="en-IE"/>
              </w:rPr>
              <w:t>Year</w:t>
            </w:r>
          </w:p>
        </w:tc>
        <w:tc>
          <w:tcPr>
            <w:tcW w:w="519" w:type="pct"/>
            <w:tcBorders>
              <w:top w:val="single" w:sz="8" w:space="0" w:color="auto"/>
              <w:left w:val="nil"/>
              <w:bottom w:val="nil"/>
              <w:right w:val="single" w:sz="8" w:space="0" w:color="auto"/>
            </w:tcBorders>
            <w:vAlign w:val="center"/>
            <w:hideMark/>
          </w:tcPr>
          <w:p w14:paraId="5160304B"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szCs w:val="20"/>
                <w:lang w:val="en-IE" w:eastAsia="en-IE"/>
              </w:rPr>
              <w:t>Year</w:t>
            </w:r>
          </w:p>
        </w:tc>
        <w:tc>
          <w:tcPr>
            <w:tcW w:w="519" w:type="pct"/>
            <w:tcBorders>
              <w:top w:val="single" w:sz="8" w:space="0" w:color="auto"/>
              <w:left w:val="nil"/>
              <w:bottom w:val="nil"/>
              <w:right w:val="single" w:sz="8" w:space="0" w:color="auto"/>
            </w:tcBorders>
            <w:vAlign w:val="center"/>
            <w:hideMark/>
          </w:tcPr>
          <w:p w14:paraId="72299685"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szCs w:val="20"/>
                <w:lang w:val="en-IE" w:eastAsia="en-IE"/>
              </w:rPr>
              <w:t>Year</w:t>
            </w:r>
          </w:p>
        </w:tc>
        <w:tc>
          <w:tcPr>
            <w:tcW w:w="519" w:type="pct"/>
            <w:tcBorders>
              <w:top w:val="single" w:sz="8" w:space="0" w:color="auto"/>
              <w:left w:val="nil"/>
              <w:bottom w:val="nil"/>
              <w:right w:val="single" w:sz="8" w:space="0" w:color="auto"/>
            </w:tcBorders>
            <w:vAlign w:val="center"/>
            <w:hideMark/>
          </w:tcPr>
          <w:p w14:paraId="40804E06"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szCs w:val="20"/>
                <w:lang w:val="en-IE" w:eastAsia="en-IE"/>
              </w:rPr>
              <w:t>Year</w:t>
            </w:r>
          </w:p>
        </w:tc>
        <w:tc>
          <w:tcPr>
            <w:tcW w:w="519" w:type="pct"/>
            <w:tcBorders>
              <w:top w:val="single" w:sz="8" w:space="0" w:color="auto"/>
              <w:left w:val="nil"/>
              <w:bottom w:val="nil"/>
              <w:right w:val="single" w:sz="8" w:space="0" w:color="auto"/>
            </w:tcBorders>
            <w:vAlign w:val="center"/>
            <w:hideMark/>
          </w:tcPr>
          <w:p w14:paraId="153E10A0"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szCs w:val="20"/>
                <w:lang w:val="en-IE" w:eastAsia="en-IE"/>
              </w:rPr>
              <w:t>Year</w:t>
            </w:r>
          </w:p>
        </w:tc>
        <w:tc>
          <w:tcPr>
            <w:tcW w:w="516" w:type="pct"/>
            <w:tcBorders>
              <w:top w:val="single" w:sz="8" w:space="0" w:color="auto"/>
              <w:left w:val="nil"/>
              <w:bottom w:val="nil"/>
              <w:right w:val="single" w:sz="8" w:space="0" w:color="auto"/>
            </w:tcBorders>
            <w:vAlign w:val="center"/>
            <w:hideMark/>
          </w:tcPr>
          <w:p w14:paraId="091098CE"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szCs w:val="20"/>
                <w:lang w:val="en-IE" w:eastAsia="en-IE"/>
              </w:rPr>
              <w:t>Year</w:t>
            </w:r>
          </w:p>
        </w:tc>
      </w:tr>
      <w:tr w:rsidR="00F67E4F" w:rsidRPr="00186919" w14:paraId="7312C3B1" w14:textId="77777777" w:rsidTr="00C933F8">
        <w:trPr>
          <w:trHeight w:val="300"/>
        </w:trPr>
        <w:tc>
          <w:tcPr>
            <w:tcW w:w="1370" w:type="pct"/>
            <w:gridSpan w:val="2"/>
            <w:vMerge/>
            <w:tcBorders>
              <w:top w:val="single" w:sz="8" w:space="0" w:color="auto"/>
              <w:left w:val="single" w:sz="8" w:space="0" w:color="auto"/>
              <w:bottom w:val="single" w:sz="8" w:space="0" w:color="000000"/>
              <w:right w:val="single" w:sz="8" w:space="0" w:color="000000"/>
            </w:tcBorders>
            <w:vAlign w:val="center"/>
            <w:hideMark/>
          </w:tcPr>
          <w:p w14:paraId="36400319" w14:textId="77777777" w:rsidR="005B7178" w:rsidRPr="00186919" w:rsidRDefault="005B7178">
            <w:pPr>
              <w:spacing w:before="0" w:after="0"/>
              <w:jc w:val="left"/>
              <w:rPr>
                <w:rFonts w:eastAsia="Times New Roman"/>
                <w:b/>
                <w:bCs/>
                <w:noProof/>
                <w:color w:val="000000"/>
                <w:sz w:val="18"/>
                <w:szCs w:val="18"/>
                <w:lang w:val="en-IE" w:eastAsia="en-IE"/>
              </w:rPr>
            </w:pPr>
          </w:p>
        </w:tc>
        <w:tc>
          <w:tcPr>
            <w:tcW w:w="519" w:type="pct"/>
            <w:tcBorders>
              <w:top w:val="nil"/>
              <w:left w:val="nil"/>
              <w:bottom w:val="single" w:sz="8" w:space="0" w:color="auto"/>
              <w:right w:val="single" w:sz="8" w:space="0" w:color="auto"/>
            </w:tcBorders>
            <w:vAlign w:val="center"/>
            <w:hideMark/>
          </w:tcPr>
          <w:p w14:paraId="50C3B936"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szCs w:val="20"/>
                <w:lang w:val="en-IE" w:eastAsia="en-IE"/>
              </w:rPr>
              <w:t>2028</w:t>
            </w:r>
          </w:p>
        </w:tc>
        <w:tc>
          <w:tcPr>
            <w:tcW w:w="519" w:type="pct"/>
            <w:tcBorders>
              <w:top w:val="nil"/>
              <w:left w:val="nil"/>
              <w:bottom w:val="single" w:sz="8" w:space="0" w:color="auto"/>
              <w:right w:val="single" w:sz="8" w:space="0" w:color="auto"/>
            </w:tcBorders>
            <w:vAlign w:val="center"/>
            <w:hideMark/>
          </w:tcPr>
          <w:p w14:paraId="7FA5325E"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szCs w:val="20"/>
                <w:lang w:val="en-IE" w:eastAsia="en-IE"/>
              </w:rPr>
              <w:t>2029</w:t>
            </w:r>
          </w:p>
        </w:tc>
        <w:tc>
          <w:tcPr>
            <w:tcW w:w="519" w:type="pct"/>
            <w:tcBorders>
              <w:top w:val="nil"/>
              <w:left w:val="nil"/>
              <w:bottom w:val="single" w:sz="8" w:space="0" w:color="auto"/>
              <w:right w:val="single" w:sz="8" w:space="0" w:color="auto"/>
            </w:tcBorders>
            <w:vAlign w:val="center"/>
            <w:hideMark/>
          </w:tcPr>
          <w:p w14:paraId="7F8A339C"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szCs w:val="20"/>
                <w:lang w:val="en-IE" w:eastAsia="en-IE"/>
              </w:rPr>
              <w:t>2030</w:t>
            </w:r>
          </w:p>
        </w:tc>
        <w:tc>
          <w:tcPr>
            <w:tcW w:w="519" w:type="pct"/>
            <w:tcBorders>
              <w:top w:val="nil"/>
              <w:left w:val="nil"/>
              <w:bottom w:val="single" w:sz="8" w:space="0" w:color="auto"/>
              <w:right w:val="single" w:sz="8" w:space="0" w:color="auto"/>
            </w:tcBorders>
            <w:vAlign w:val="center"/>
            <w:hideMark/>
          </w:tcPr>
          <w:p w14:paraId="73EAE46D"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szCs w:val="20"/>
                <w:lang w:val="en-IE" w:eastAsia="en-IE"/>
              </w:rPr>
              <w:t>2031</w:t>
            </w:r>
          </w:p>
        </w:tc>
        <w:tc>
          <w:tcPr>
            <w:tcW w:w="519" w:type="pct"/>
            <w:tcBorders>
              <w:top w:val="nil"/>
              <w:left w:val="nil"/>
              <w:bottom w:val="single" w:sz="8" w:space="0" w:color="auto"/>
              <w:right w:val="single" w:sz="8" w:space="0" w:color="auto"/>
            </w:tcBorders>
            <w:vAlign w:val="center"/>
            <w:hideMark/>
          </w:tcPr>
          <w:p w14:paraId="154A1413"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szCs w:val="20"/>
                <w:lang w:val="en-IE" w:eastAsia="en-IE"/>
              </w:rPr>
              <w:t>2032</w:t>
            </w:r>
          </w:p>
        </w:tc>
        <w:tc>
          <w:tcPr>
            <w:tcW w:w="519" w:type="pct"/>
            <w:tcBorders>
              <w:top w:val="nil"/>
              <w:left w:val="nil"/>
              <w:bottom w:val="single" w:sz="8" w:space="0" w:color="auto"/>
              <w:right w:val="single" w:sz="8" w:space="0" w:color="auto"/>
            </w:tcBorders>
            <w:vAlign w:val="center"/>
            <w:hideMark/>
          </w:tcPr>
          <w:p w14:paraId="55F0D4B9"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szCs w:val="20"/>
                <w:lang w:val="en-IE" w:eastAsia="en-IE"/>
              </w:rPr>
              <w:t>2033</w:t>
            </w:r>
          </w:p>
        </w:tc>
        <w:tc>
          <w:tcPr>
            <w:tcW w:w="516" w:type="pct"/>
            <w:tcBorders>
              <w:top w:val="nil"/>
              <w:left w:val="nil"/>
              <w:bottom w:val="single" w:sz="8" w:space="0" w:color="auto"/>
              <w:right w:val="single" w:sz="8" w:space="0" w:color="auto"/>
            </w:tcBorders>
            <w:vAlign w:val="center"/>
            <w:hideMark/>
          </w:tcPr>
          <w:p w14:paraId="131DA36A"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szCs w:val="20"/>
                <w:lang w:val="en-IE" w:eastAsia="en-IE"/>
              </w:rPr>
              <w:t>2034</w:t>
            </w:r>
          </w:p>
        </w:tc>
      </w:tr>
      <w:tr w:rsidR="00F67E4F" w:rsidRPr="00186919" w14:paraId="02D64072" w14:textId="77777777" w:rsidTr="00C933F8">
        <w:trPr>
          <w:trHeight w:val="300"/>
        </w:trPr>
        <w:tc>
          <w:tcPr>
            <w:tcW w:w="5000" w:type="pct"/>
            <w:gridSpan w:val="9"/>
            <w:tcBorders>
              <w:top w:val="single" w:sz="8" w:space="0" w:color="auto"/>
              <w:left w:val="single" w:sz="8" w:space="0" w:color="auto"/>
              <w:bottom w:val="nil"/>
              <w:right w:val="nil"/>
            </w:tcBorders>
            <w:vAlign w:val="center"/>
            <w:hideMark/>
          </w:tcPr>
          <w:p w14:paraId="31EA4142" w14:textId="77777777" w:rsidR="005B7178" w:rsidRPr="00186919" w:rsidRDefault="005B7178">
            <w:pPr>
              <w:spacing w:before="0" w:after="0"/>
              <w:jc w:val="center"/>
              <w:rPr>
                <w:rFonts w:ascii="Wingdings" w:eastAsia="Times New Roman" w:hAnsi="Wingdings"/>
                <w:b/>
                <w:bCs/>
                <w:noProof/>
                <w:color w:val="000000"/>
                <w:sz w:val="16"/>
                <w:szCs w:val="16"/>
                <w:lang w:val="en-IE" w:eastAsia="en-IE"/>
              </w:rPr>
            </w:pPr>
            <w:r w:rsidRPr="00186919">
              <w:rPr>
                <w:rFonts w:ascii="Wingdings" w:eastAsia="Times New Roman" w:hAnsi="Wingdings"/>
                <w:b/>
                <w:bCs/>
                <w:noProof/>
                <w:color w:val="000000"/>
                <w:sz w:val="16"/>
                <w:szCs w:val="16"/>
                <w:lang w:val="en-IE" w:eastAsia="en-IE"/>
              </w:rPr>
              <w:t></w:t>
            </w:r>
            <w:r w:rsidRPr="00186919">
              <w:rPr>
                <w:rFonts w:eastAsia="Times New Roman"/>
                <w:b/>
                <w:bCs/>
                <w:noProof/>
                <w:color w:val="000000"/>
                <w:sz w:val="16"/>
                <w:szCs w:val="16"/>
                <w:lang w:val="en-IE" w:eastAsia="en-IE"/>
              </w:rPr>
              <w:t xml:space="preserve"> Establishment plan posts (officials and temporary staff)</w:t>
            </w:r>
          </w:p>
        </w:tc>
      </w:tr>
      <w:tr w:rsidR="00F67E4F" w:rsidRPr="00186919" w14:paraId="3FA70BBE" w14:textId="77777777" w:rsidTr="00C933F8">
        <w:trPr>
          <w:trHeight w:val="55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7073031E"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20 01 02 01</w:t>
            </w:r>
            <w:r w:rsidRPr="00186919">
              <w:rPr>
                <w:rFonts w:ascii="Arial Narrow" w:eastAsia="Times New Roman" w:hAnsi="Arial Narrow"/>
                <w:noProof/>
                <w:color w:val="000000"/>
                <w:sz w:val="20"/>
                <w:szCs w:val="20"/>
                <w:lang w:val="en-IE" w:eastAsia="en-IE"/>
              </w:rPr>
              <w:t xml:space="preserve"> </w:t>
            </w:r>
            <w:r w:rsidRPr="00186919">
              <w:rPr>
                <w:rFonts w:eastAsia="Times New Roman"/>
                <w:noProof/>
                <w:color w:val="000000"/>
                <w:sz w:val="16"/>
                <w:szCs w:val="16"/>
                <w:lang w:val="en-IE" w:eastAsia="en-IE"/>
              </w:rPr>
              <w:t>(Headquarters and Commission’s Representation Offices)</w:t>
            </w:r>
          </w:p>
        </w:tc>
        <w:tc>
          <w:tcPr>
            <w:tcW w:w="519" w:type="pct"/>
            <w:tcBorders>
              <w:top w:val="nil"/>
              <w:left w:val="nil"/>
              <w:bottom w:val="single" w:sz="8" w:space="0" w:color="auto"/>
              <w:right w:val="single" w:sz="8" w:space="0" w:color="auto"/>
            </w:tcBorders>
            <w:shd w:val="clear" w:color="000000" w:fill="D9D9D9"/>
            <w:vAlign w:val="center"/>
            <w:hideMark/>
          </w:tcPr>
          <w:p w14:paraId="074B8E77"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182</w:t>
            </w:r>
          </w:p>
        </w:tc>
        <w:tc>
          <w:tcPr>
            <w:tcW w:w="519" w:type="pct"/>
            <w:tcBorders>
              <w:top w:val="nil"/>
              <w:left w:val="nil"/>
              <w:bottom w:val="single" w:sz="8" w:space="0" w:color="auto"/>
              <w:right w:val="single" w:sz="8" w:space="0" w:color="auto"/>
            </w:tcBorders>
            <w:shd w:val="clear" w:color="000000" w:fill="D9D9D9"/>
            <w:vAlign w:val="center"/>
            <w:hideMark/>
          </w:tcPr>
          <w:p w14:paraId="78A5194F"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182</w:t>
            </w:r>
          </w:p>
        </w:tc>
        <w:tc>
          <w:tcPr>
            <w:tcW w:w="519" w:type="pct"/>
            <w:tcBorders>
              <w:top w:val="nil"/>
              <w:left w:val="nil"/>
              <w:bottom w:val="single" w:sz="8" w:space="0" w:color="auto"/>
              <w:right w:val="single" w:sz="8" w:space="0" w:color="auto"/>
            </w:tcBorders>
            <w:shd w:val="clear" w:color="000000" w:fill="D9D9D9"/>
            <w:vAlign w:val="center"/>
            <w:hideMark/>
          </w:tcPr>
          <w:p w14:paraId="70C8E0BC"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182</w:t>
            </w:r>
          </w:p>
        </w:tc>
        <w:tc>
          <w:tcPr>
            <w:tcW w:w="519" w:type="pct"/>
            <w:tcBorders>
              <w:top w:val="nil"/>
              <w:left w:val="nil"/>
              <w:bottom w:val="single" w:sz="8" w:space="0" w:color="auto"/>
              <w:right w:val="single" w:sz="8" w:space="0" w:color="auto"/>
            </w:tcBorders>
            <w:shd w:val="clear" w:color="000000" w:fill="D9D9D9"/>
            <w:vAlign w:val="center"/>
            <w:hideMark/>
          </w:tcPr>
          <w:p w14:paraId="65628202"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182</w:t>
            </w:r>
          </w:p>
        </w:tc>
        <w:tc>
          <w:tcPr>
            <w:tcW w:w="519" w:type="pct"/>
            <w:tcBorders>
              <w:top w:val="nil"/>
              <w:left w:val="nil"/>
              <w:bottom w:val="single" w:sz="8" w:space="0" w:color="auto"/>
              <w:right w:val="single" w:sz="8" w:space="0" w:color="auto"/>
            </w:tcBorders>
            <w:shd w:val="clear" w:color="000000" w:fill="D9D9D9"/>
            <w:vAlign w:val="center"/>
            <w:hideMark/>
          </w:tcPr>
          <w:p w14:paraId="0F226E5B"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182</w:t>
            </w:r>
          </w:p>
        </w:tc>
        <w:tc>
          <w:tcPr>
            <w:tcW w:w="519" w:type="pct"/>
            <w:tcBorders>
              <w:top w:val="nil"/>
              <w:left w:val="nil"/>
              <w:bottom w:val="single" w:sz="8" w:space="0" w:color="auto"/>
              <w:right w:val="single" w:sz="8" w:space="0" w:color="auto"/>
            </w:tcBorders>
            <w:shd w:val="clear" w:color="000000" w:fill="D9D9D9"/>
            <w:vAlign w:val="center"/>
            <w:hideMark/>
          </w:tcPr>
          <w:p w14:paraId="36F0548D"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182</w:t>
            </w:r>
          </w:p>
        </w:tc>
        <w:tc>
          <w:tcPr>
            <w:tcW w:w="516" w:type="pct"/>
            <w:tcBorders>
              <w:top w:val="nil"/>
              <w:left w:val="nil"/>
              <w:bottom w:val="single" w:sz="8" w:space="0" w:color="auto"/>
              <w:right w:val="single" w:sz="8" w:space="0" w:color="auto"/>
            </w:tcBorders>
            <w:shd w:val="clear" w:color="000000" w:fill="D9D9D9"/>
            <w:vAlign w:val="center"/>
            <w:hideMark/>
          </w:tcPr>
          <w:p w14:paraId="3CE8879B"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182</w:t>
            </w:r>
          </w:p>
        </w:tc>
      </w:tr>
      <w:tr w:rsidR="00F67E4F" w:rsidRPr="00186919" w14:paraId="5EF93B19" w14:textId="77777777" w:rsidTr="00C933F8">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67A47FA"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20 </w:t>
            </w:r>
            <w:r w:rsidRPr="00186919">
              <w:rPr>
                <w:rFonts w:eastAsia="Times New Roman"/>
                <w:noProof/>
                <w:color w:val="000000"/>
                <w:sz w:val="16"/>
                <w:szCs w:val="16"/>
                <w:lang w:val="en-IE" w:eastAsia="en-IE"/>
              </w:rPr>
              <w:t>01 02 03 (EU Delegations)</w:t>
            </w:r>
          </w:p>
        </w:tc>
        <w:tc>
          <w:tcPr>
            <w:tcW w:w="519" w:type="pct"/>
            <w:tcBorders>
              <w:top w:val="nil"/>
              <w:left w:val="nil"/>
              <w:bottom w:val="single" w:sz="8" w:space="0" w:color="auto"/>
              <w:right w:val="single" w:sz="8" w:space="0" w:color="auto"/>
            </w:tcBorders>
            <w:shd w:val="clear" w:color="000000" w:fill="D9D9D9"/>
            <w:vAlign w:val="center"/>
            <w:hideMark/>
          </w:tcPr>
          <w:p w14:paraId="1C27EE08"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2E362D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853222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852026B"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D338AF4"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D66827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40A6EDAF"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45C0DFD5" w14:textId="77777777" w:rsidTr="00C933F8">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1A5D16D6" w14:textId="77777777" w:rsidR="005B7178" w:rsidRPr="00186919" w:rsidRDefault="005B7178">
            <w:pPr>
              <w:spacing w:before="0" w:after="0"/>
              <w:ind w:firstLineChars="100" w:firstLine="200"/>
              <w:jc w:val="left"/>
              <w:rPr>
                <w:rFonts w:eastAsia="Times New Roman"/>
                <w:noProof/>
                <w:color w:val="000000"/>
                <w:sz w:val="16"/>
                <w:szCs w:val="16"/>
                <w:lang w:val="en-IE" w:eastAsia="en-IE"/>
              </w:rPr>
            </w:pPr>
            <w:r w:rsidRPr="00186919">
              <w:rPr>
                <w:rFonts w:ascii="Arial Narrow" w:eastAsia="Times New Roman" w:hAnsi="Arial Narrow"/>
                <w:noProof/>
                <w:color w:val="000000"/>
                <w:sz w:val="20"/>
                <w:szCs w:val="20"/>
                <w:lang w:val="en-IE" w:eastAsia="en-IE"/>
              </w:rPr>
              <w:t xml:space="preserve"> </w:t>
            </w:r>
            <w:r w:rsidRPr="00186919">
              <w:rPr>
                <w:rFonts w:eastAsia="Times New Roman"/>
                <w:noProof/>
                <w:color w:val="000000"/>
                <w:sz w:val="16"/>
                <w:szCs w:val="16"/>
                <w:lang w:val="en-IE" w:eastAsia="en-IE"/>
              </w:rPr>
              <w:t>(Indirect research)</w:t>
            </w:r>
          </w:p>
        </w:tc>
        <w:tc>
          <w:tcPr>
            <w:tcW w:w="519" w:type="pct"/>
            <w:tcBorders>
              <w:top w:val="nil"/>
              <w:left w:val="nil"/>
              <w:bottom w:val="single" w:sz="8" w:space="0" w:color="auto"/>
              <w:right w:val="single" w:sz="8" w:space="0" w:color="auto"/>
            </w:tcBorders>
            <w:shd w:val="clear" w:color="000000" w:fill="D9D9D9"/>
            <w:vAlign w:val="center"/>
            <w:hideMark/>
          </w:tcPr>
          <w:p w14:paraId="0041C0A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5895169"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0051B9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EFF334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F5E63EA"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32BC1E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50BB8A99"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6CEC9B72" w14:textId="77777777" w:rsidTr="00C933F8">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1357B677"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 (Direct research)</w:t>
            </w:r>
          </w:p>
        </w:tc>
        <w:tc>
          <w:tcPr>
            <w:tcW w:w="519" w:type="pct"/>
            <w:tcBorders>
              <w:top w:val="nil"/>
              <w:left w:val="nil"/>
              <w:bottom w:val="single" w:sz="8" w:space="0" w:color="auto"/>
              <w:right w:val="single" w:sz="8" w:space="0" w:color="auto"/>
            </w:tcBorders>
            <w:shd w:val="clear" w:color="000000" w:fill="D9D9D9"/>
            <w:vAlign w:val="center"/>
            <w:hideMark/>
          </w:tcPr>
          <w:p w14:paraId="26FF9CAB"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72A10C2"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63D1A4A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CA5E9F6"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40D800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4F5313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1D6CAB19"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2AE8181A" w14:textId="77777777" w:rsidTr="00C933F8">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4C145B8D"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Other budget lines (specify)</w:t>
            </w:r>
          </w:p>
        </w:tc>
        <w:tc>
          <w:tcPr>
            <w:tcW w:w="519" w:type="pct"/>
            <w:tcBorders>
              <w:top w:val="nil"/>
              <w:left w:val="nil"/>
              <w:bottom w:val="single" w:sz="8" w:space="0" w:color="auto"/>
              <w:right w:val="single" w:sz="8" w:space="0" w:color="auto"/>
            </w:tcBorders>
            <w:shd w:val="clear" w:color="000000" w:fill="D9D9D9"/>
            <w:vAlign w:val="center"/>
            <w:hideMark/>
          </w:tcPr>
          <w:p w14:paraId="440902D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8BFE5E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64E38DE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8C8DA7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C71325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DA4EEC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7B69F4FA"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5CC510D9" w14:textId="77777777" w:rsidTr="00C933F8">
        <w:trPr>
          <w:trHeight w:val="300"/>
        </w:trPr>
        <w:tc>
          <w:tcPr>
            <w:tcW w:w="5000" w:type="pct"/>
            <w:gridSpan w:val="9"/>
            <w:tcBorders>
              <w:top w:val="single" w:sz="8" w:space="0" w:color="auto"/>
              <w:left w:val="single" w:sz="8" w:space="0" w:color="auto"/>
              <w:bottom w:val="nil"/>
              <w:right w:val="nil"/>
            </w:tcBorders>
            <w:vAlign w:val="center"/>
            <w:hideMark/>
          </w:tcPr>
          <w:p w14:paraId="24F16BE6" w14:textId="77777777" w:rsidR="005B7178" w:rsidRPr="00186919" w:rsidRDefault="005B7178">
            <w:pPr>
              <w:spacing w:before="0" w:after="0"/>
              <w:jc w:val="center"/>
              <w:rPr>
                <w:rFonts w:ascii="Calibri" w:eastAsia="Times New Roman" w:hAnsi="Calibri" w:cs="Calibri"/>
                <w:b/>
                <w:bCs/>
                <w:noProof/>
                <w:color w:val="000000"/>
                <w:sz w:val="16"/>
                <w:szCs w:val="16"/>
                <w:lang w:val="en-IE" w:eastAsia="en-IE"/>
              </w:rPr>
            </w:pPr>
            <w:r w:rsidRPr="00186919">
              <w:rPr>
                <w:rFonts w:ascii="Calibri" w:eastAsia="Times New Roman" w:hAnsi="Calibri" w:cs="Calibri"/>
                <w:b/>
                <w:bCs/>
                <w:noProof/>
                <w:color w:val="000000"/>
                <w:sz w:val="16"/>
                <w:szCs w:val="16"/>
                <w:lang w:val="en-IE" w:eastAsia="en-IE"/>
              </w:rPr>
              <w:t>•</w:t>
            </w:r>
            <w:r w:rsidRPr="00186919">
              <w:rPr>
                <w:rFonts w:eastAsia="Times New Roman"/>
                <w:b/>
                <w:bCs/>
                <w:noProof/>
                <w:color w:val="000000"/>
                <w:sz w:val="16"/>
                <w:szCs w:val="16"/>
                <w:lang w:val="en-IE" w:eastAsia="en-IE"/>
              </w:rPr>
              <w:t xml:space="preserve"> External staff (inFTEs)</w:t>
            </w:r>
          </w:p>
        </w:tc>
      </w:tr>
      <w:tr w:rsidR="00F67E4F" w:rsidRPr="00186919" w14:paraId="3C28ECC0" w14:textId="77777777" w:rsidTr="00C933F8">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F243AD0"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20 02 01</w:t>
            </w:r>
            <w:r w:rsidRPr="00186919">
              <w:rPr>
                <w:rFonts w:ascii="Arial Narrow" w:eastAsia="Times New Roman" w:hAnsi="Arial Narrow"/>
                <w:noProof/>
                <w:color w:val="000000"/>
                <w:sz w:val="20"/>
                <w:szCs w:val="20"/>
                <w:lang w:val="en-IE" w:eastAsia="en-IE"/>
              </w:rPr>
              <w:t xml:space="preserve"> </w:t>
            </w:r>
            <w:r w:rsidRPr="00186919">
              <w:rPr>
                <w:rFonts w:eastAsia="Times New Roman"/>
                <w:noProof/>
                <w:color w:val="000000"/>
                <w:sz w:val="16"/>
                <w:szCs w:val="16"/>
                <w:lang w:val="en-IE" w:eastAsia="en-IE"/>
              </w:rPr>
              <w:t>(AC, END from the ‘global envelope’)</w:t>
            </w:r>
          </w:p>
        </w:tc>
        <w:tc>
          <w:tcPr>
            <w:tcW w:w="519" w:type="pct"/>
            <w:tcBorders>
              <w:top w:val="nil"/>
              <w:left w:val="nil"/>
              <w:bottom w:val="single" w:sz="8" w:space="0" w:color="auto"/>
              <w:right w:val="single" w:sz="8" w:space="0" w:color="auto"/>
            </w:tcBorders>
            <w:shd w:val="clear" w:color="000000" w:fill="D9D9D9"/>
            <w:vAlign w:val="center"/>
            <w:hideMark/>
          </w:tcPr>
          <w:p w14:paraId="7BF0F934"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28</w:t>
            </w:r>
          </w:p>
        </w:tc>
        <w:tc>
          <w:tcPr>
            <w:tcW w:w="519" w:type="pct"/>
            <w:tcBorders>
              <w:top w:val="nil"/>
              <w:left w:val="nil"/>
              <w:bottom w:val="single" w:sz="8" w:space="0" w:color="auto"/>
              <w:right w:val="single" w:sz="8" w:space="0" w:color="auto"/>
            </w:tcBorders>
            <w:shd w:val="clear" w:color="000000" w:fill="D9D9D9"/>
            <w:vAlign w:val="center"/>
            <w:hideMark/>
          </w:tcPr>
          <w:p w14:paraId="66953035"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28</w:t>
            </w:r>
          </w:p>
        </w:tc>
        <w:tc>
          <w:tcPr>
            <w:tcW w:w="519" w:type="pct"/>
            <w:tcBorders>
              <w:top w:val="nil"/>
              <w:left w:val="nil"/>
              <w:bottom w:val="single" w:sz="8" w:space="0" w:color="auto"/>
              <w:right w:val="single" w:sz="8" w:space="0" w:color="auto"/>
            </w:tcBorders>
            <w:shd w:val="clear" w:color="000000" w:fill="D9D9D9"/>
            <w:vAlign w:val="center"/>
            <w:hideMark/>
          </w:tcPr>
          <w:p w14:paraId="046745E3"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28</w:t>
            </w:r>
          </w:p>
        </w:tc>
        <w:tc>
          <w:tcPr>
            <w:tcW w:w="519" w:type="pct"/>
            <w:tcBorders>
              <w:top w:val="nil"/>
              <w:left w:val="nil"/>
              <w:bottom w:val="single" w:sz="8" w:space="0" w:color="auto"/>
              <w:right w:val="single" w:sz="8" w:space="0" w:color="auto"/>
            </w:tcBorders>
            <w:shd w:val="clear" w:color="000000" w:fill="D9D9D9"/>
            <w:vAlign w:val="center"/>
            <w:hideMark/>
          </w:tcPr>
          <w:p w14:paraId="08F0C6C5"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28</w:t>
            </w:r>
          </w:p>
        </w:tc>
        <w:tc>
          <w:tcPr>
            <w:tcW w:w="519" w:type="pct"/>
            <w:tcBorders>
              <w:top w:val="nil"/>
              <w:left w:val="nil"/>
              <w:bottom w:val="single" w:sz="8" w:space="0" w:color="auto"/>
              <w:right w:val="single" w:sz="8" w:space="0" w:color="auto"/>
            </w:tcBorders>
            <w:shd w:val="clear" w:color="000000" w:fill="D9D9D9"/>
            <w:vAlign w:val="center"/>
            <w:hideMark/>
          </w:tcPr>
          <w:p w14:paraId="18063AFA"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28</w:t>
            </w:r>
          </w:p>
        </w:tc>
        <w:tc>
          <w:tcPr>
            <w:tcW w:w="519" w:type="pct"/>
            <w:tcBorders>
              <w:top w:val="nil"/>
              <w:left w:val="nil"/>
              <w:bottom w:val="single" w:sz="8" w:space="0" w:color="auto"/>
              <w:right w:val="single" w:sz="8" w:space="0" w:color="auto"/>
            </w:tcBorders>
            <w:shd w:val="clear" w:color="000000" w:fill="D9D9D9"/>
            <w:vAlign w:val="center"/>
            <w:hideMark/>
          </w:tcPr>
          <w:p w14:paraId="42114044"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28</w:t>
            </w:r>
          </w:p>
        </w:tc>
        <w:tc>
          <w:tcPr>
            <w:tcW w:w="516" w:type="pct"/>
            <w:tcBorders>
              <w:top w:val="nil"/>
              <w:left w:val="nil"/>
              <w:bottom w:val="single" w:sz="8" w:space="0" w:color="auto"/>
              <w:right w:val="single" w:sz="8" w:space="0" w:color="auto"/>
            </w:tcBorders>
            <w:shd w:val="clear" w:color="000000" w:fill="D9D9D9"/>
            <w:vAlign w:val="center"/>
            <w:hideMark/>
          </w:tcPr>
          <w:p w14:paraId="2ADB5A6E"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28</w:t>
            </w:r>
          </w:p>
        </w:tc>
      </w:tr>
      <w:tr w:rsidR="00F67E4F" w:rsidRPr="00186919" w14:paraId="2D38ECFC" w14:textId="77777777" w:rsidTr="00C933F8">
        <w:trPr>
          <w:trHeight w:val="52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90F63D6"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20 </w:t>
            </w:r>
            <w:r w:rsidRPr="00186919">
              <w:rPr>
                <w:rFonts w:eastAsia="Times New Roman"/>
                <w:noProof/>
                <w:color w:val="000000"/>
                <w:sz w:val="16"/>
                <w:szCs w:val="16"/>
                <w:lang w:val="en-IE" w:eastAsia="en-IE"/>
              </w:rPr>
              <w:t>02 03 (AC, AL, END and JPD in the EU Delegations)</w:t>
            </w:r>
          </w:p>
        </w:tc>
        <w:tc>
          <w:tcPr>
            <w:tcW w:w="519" w:type="pct"/>
            <w:tcBorders>
              <w:top w:val="nil"/>
              <w:left w:val="nil"/>
              <w:bottom w:val="single" w:sz="8" w:space="0" w:color="auto"/>
              <w:right w:val="single" w:sz="8" w:space="0" w:color="auto"/>
            </w:tcBorders>
            <w:shd w:val="clear" w:color="000000" w:fill="D9D9D9"/>
            <w:vAlign w:val="center"/>
            <w:hideMark/>
          </w:tcPr>
          <w:p w14:paraId="2E75B34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46C716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F4773DA"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33460B6"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B6F235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1AAEEB6"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05948181"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30D81412" w14:textId="77777777" w:rsidTr="00C933F8">
        <w:trPr>
          <w:trHeight w:val="640"/>
        </w:trPr>
        <w:tc>
          <w:tcPr>
            <w:tcW w:w="751" w:type="pct"/>
            <w:tcBorders>
              <w:top w:val="nil"/>
              <w:left w:val="single" w:sz="8" w:space="0" w:color="auto"/>
              <w:bottom w:val="nil"/>
              <w:right w:val="single" w:sz="8" w:space="0" w:color="auto"/>
            </w:tcBorders>
            <w:vAlign w:val="center"/>
            <w:hideMark/>
          </w:tcPr>
          <w:p w14:paraId="7BE83F15"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Admin. Support line</w:t>
            </w:r>
          </w:p>
        </w:tc>
        <w:tc>
          <w:tcPr>
            <w:tcW w:w="619" w:type="pct"/>
            <w:tcBorders>
              <w:top w:val="nil"/>
              <w:left w:val="nil"/>
              <w:bottom w:val="single" w:sz="8" w:space="0" w:color="auto"/>
              <w:right w:val="single" w:sz="8" w:space="0" w:color="auto"/>
            </w:tcBorders>
            <w:vAlign w:val="center"/>
            <w:hideMark/>
          </w:tcPr>
          <w:p w14:paraId="17C90A08"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at Headquarters</w:t>
            </w:r>
          </w:p>
        </w:tc>
        <w:tc>
          <w:tcPr>
            <w:tcW w:w="519" w:type="pct"/>
            <w:tcBorders>
              <w:top w:val="nil"/>
              <w:left w:val="nil"/>
              <w:bottom w:val="single" w:sz="8" w:space="0" w:color="auto"/>
              <w:right w:val="single" w:sz="8" w:space="0" w:color="auto"/>
            </w:tcBorders>
            <w:shd w:val="clear" w:color="000000" w:fill="D9D9D9"/>
            <w:vAlign w:val="center"/>
            <w:hideMark/>
          </w:tcPr>
          <w:p w14:paraId="1692A30F"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2863B3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29B3CE5"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87BFDB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7C09412"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1FD3A6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0AB730C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69841598" w14:textId="77777777" w:rsidTr="00C933F8">
        <w:trPr>
          <w:trHeight w:val="430"/>
        </w:trPr>
        <w:tc>
          <w:tcPr>
            <w:tcW w:w="751" w:type="pct"/>
            <w:tcBorders>
              <w:top w:val="nil"/>
              <w:left w:val="single" w:sz="8" w:space="0" w:color="auto"/>
              <w:bottom w:val="single" w:sz="8" w:space="0" w:color="auto"/>
              <w:right w:val="single" w:sz="8" w:space="0" w:color="auto"/>
            </w:tcBorders>
            <w:vAlign w:val="center"/>
            <w:hideMark/>
          </w:tcPr>
          <w:p w14:paraId="6C86CA15"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[XX.01.YY.YY]</w:t>
            </w:r>
          </w:p>
        </w:tc>
        <w:tc>
          <w:tcPr>
            <w:tcW w:w="619" w:type="pct"/>
            <w:tcBorders>
              <w:top w:val="nil"/>
              <w:left w:val="nil"/>
              <w:bottom w:val="single" w:sz="8" w:space="0" w:color="auto"/>
              <w:right w:val="single" w:sz="8" w:space="0" w:color="auto"/>
            </w:tcBorders>
            <w:vAlign w:val="center"/>
            <w:hideMark/>
          </w:tcPr>
          <w:p w14:paraId="0A0375C7"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 in EU Delegations </w:t>
            </w:r>
          </w:p>
        </w:tc>
        <w:tc>
          <w:tcPr>
            <w:tcW w:w="519" w:type="pct"/>
            <w:tcBorders>
              <w:top w:val="nil"/>
              <w:left w:val="nil"/>
              <w:bottom w:val="single" w:sz="8" w:space="0" w:color="auto"/>
              <w:right w:val="single" w:sz="8" w:space="0" w:color="auto"/>
            </w:tcBorders>
            <w:shd w:val="clear" w:color="000000" w:fill="D9D9D9"/>
            <w:vAlign w:val="center"/>
            <w:hideMark/>
          </w:tcPr>
          <w:p w14:paraId="41CA075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E89843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CA19DAC"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F2AC725"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726B36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2BE4665"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089F7CD1"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38528DF6" w14:textId="77777777" w:rsidTr="00C933F8">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B3D66DA" w14:textId="77777777" w:rsidR="005B7178" w:rsidRPr="00186919" w:rsidRDefault="005B7178">
            <w:pPr>
              <w:spacing w:before="0" w:after="0"/>
              <w:ind w:firstLineChars="100" w:firstLine="200"/>
              <w:jc w:val="left"/>
              <w:rPr>
                <w:rFonts w:eastAsia="Times New Roman"/>
                <w:noProof/>
                <w:color w:val="000000"/>
                <w:sz w:val="16"/>
                <w:szCs w:val="16"/>
                <w:lang w:val="en-IE" w:eastAsia="en-IE"/>
              </w:rPr>
            </w:pPr>
            <w:r w:rsidRPr="00186919">
              <w:rPr>
                <w:rFonts w:ascii="Arial Narrow" w:eastAsia="Times New Roman" w:hAnsi="Arial Narrow"/>
                <w:noProof/>
                <w:color w:val="000000"/>
                <w:sz w:val="20"/>
                <w:szCs w:val="20"/>
                <w:lang w:val="en-IE" w:eastAsia="en-IE"/>
              </w:rPr>
              <w:t xml:space="preserve"> </w:t>
            </w:r>
            <w:r w:rsidRPr="00186919">
              <w:rPr>
                <w:rFonts w:eastAsia="Times New Roman"/>
                <w:noProof/>
                <w:color w:val="000000"/>
                <w:sz w:val="16"/>
                <w:szCs w:val="16"/>
                <w:lang w:val="en-IE" w:eastAsia="en-IE"/>
              </w:rPr>
              <w:t>(AC, END - Indirect research)</w:t>
            </w:r>
          </w:p>
        </w:tc>
        <w:tc>
          <w:tcPr>
            <w:tcW w:w="519" w:type="pct"/>
            <w:tcBorders>
              <w:top w:val="nil"/>
              <w:left w:val="nil"/>
              <w:bottom w:val="single" w:sz="8" w:space="0" w:color="auto"/>
              <w:right w:val="single" w:sz="8" w:space="0" w:color="auto"/>
            </w:tcBorders>
            <w:shd w:val="clear" w:color="000000" w:fill="D9D9D9"/>
            <w:vAlign w:val="center"/>
            <w:hideMark/>
          </w:tcPr>
          <w:p w14:paraId="4D9F6B9F"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7F095F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63B6117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AC85832"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2EC53D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F58A17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16363316"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09451CD0" w14:textId="77777777" w:rsidTr="00C933F8">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521CEE55"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 (AC, END - Direct research)</w:t>
            </w:r>
          </w:p>
        </w:tc>
        <w:tc>
          <w:tcPr>
            <w:tcW w:w="519" w:type="pct"/>
            <w:tcBorders>
              <w:top w:val="nil"/>
              <w:left w:val="nil"/>
              <w:bottom w:val="single" w:sz="8" w:space="0" w:color="auto"/>
              <w:right w:val="single" w:sz="8" w:space="0" w:color="auto"/>
            </w:tcBorders>
            <w:shd w:val="clear" w:color="000000" w:fill="D9D9D9"/>
            <w:vAlign w:val="center"/>
            <w:hideMark/>
          </w:tcPr>
          <w:p w14:paraId="3AF01629"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78EF039"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1A27F91"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204B4B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996B969"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653C99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476859A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7BBE54BE" w14:textId="77777777" w:rsidTr="00C933F8">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3B6F1EAC"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Other budget lines (specify) - Heading </w:t>
            </w:r>
            <w:r>
              <w:rPr>
                <w:rFonts w:eastAsia="Times New Roman"/>
                <w:noProof/>
                <w:color w:val="000000"/>
                <w:sz w:val="16"/>
                <w:szCs w:val="16"/>
                <w:lang w:val="en-IE" w:eastAsia="en-IE"/>
              </w:rPr>
              <w:t>4</w:t>
            </w:r>
          </w:p>
        </w:tc>
        <w:tc>
          <w:tcPr>
            <w:tcW w:w="519" w:type="pct"/>
            <w:tcBorders>
              <w:top w:val="nil"/>
              <w:left w:val="nil"/>
              <w:bottom w:val="single" w:sz="8" w:space="0" w:color="auto"/>
              <w:right w:val="single" w:sz="8" w:space="0" w:color="auto"/>
            </w:tcBorders>
            <w:shd w:val="clear" w:color="000000" w:fill="D9D9D9"/>
            <w:vAlign w:val="center"/>
            <w:hideMark/>
          </w:tcPr>
          <w:p w14:paraId="30F86E6C"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5B0F914"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15057EC"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249C289"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2B8FEC1"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E11E4B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6F7F2514"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23C98A18" w14:textId="77777777" w:rsidTr="00C933F8">
        <w:trPr>
          <w:trHeight w:val="52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4FC5ED31"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Other budget lines (specify) - Outside Heading </w:t>
            </w:r>
            <w:r>
              <w:rPr>
                <w:rFonts w:eastAsia="Times New Roman"/>
                <w:noProof/>
                <w:color w:val="000000"/>
                <w:sz w:val="16"/>
                <w:szCs w:val="16"/>
                <w:lang w:val="en-IE" w:eastAsia="en-IE"/>
              </w:rPr>
              <w:t>4</w:t>
            </w:r>
          </w:p>
        </w:tc>
        <w:tc>
          <w:tcPr>
            <w:tcW w:w="519" w:type="pct"/>
            <w:tcBorders>
              <w:top w:val="nil"/>
              <w:left w:val="nil"/>
              <w:bottom w:val="single" w:sz="8" w:space="0" w:color="auto"/>
              <w:right w:val="single" w:sz="8" w:space="0" w:color="auto"/>
            </w:tcBorders>
            <w:shd w:val="clear" w:color="000000" w:fill="D9D9D9"/>
            <w:vAlign w:val="center"/>
            <w:hideMark/>
          </w:tcPr>
          <w:p w14:paraId="7729477D"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10</w:t>
            </w:r>
          </w:p>
        </w:tc>
        <w:tc>
          <w:tcPr>
            <w:tcW w:w="519" w:type="pct"/>
            <w:tcBorders>
              <w:top w:val="nil"/>
              <w:left w:val="nil"/>
              <w:bottom w:val="single" w:sz="8" w:space="0" w:color="auto"/>
              <w:right w:val="single" w:sz="8" w:space="0" w:color="auto"/>
            </w:tcBorders>
            <w:shd w:val="clear" w:color="000000" w:fill="D9D9D9"/>
            <w:vAlign w:val="center"/>
            <w:hideMark/>
          </w:tcPr>
          <w:p w14:paraId="05A88CAF"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10</w:t>
            </w:r>
          </w:p>
        </w:tc>
        <w:tc>
          <w:tcPr>
            <w:tcW w:w="519" w:type="pct"/>
            <w:tcBorders>
              <w:top w:val="nil"/>
              <w:left w:val="nil"/>
              <w:bottom w:val="single" w:sz="8" w:space="0" w:color="auto"/>
              <w:right w:val="single" w:sz="8" w:space="0" w:color="auto"/>
            </w:tcBorders>
            <w:shd w:val="clear" w:color="000000" w:fill="D9D9D9"/>
            <w:vAlign w:val="center"/>
            <w:hideMark/>
          </w:tcPr>
          <w:p w14:paraId="2E29DC3C"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w:t>
            </w: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6F2A84A"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w:t>
            </w: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62EE516"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w:t>
            </w: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01784C4"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w:t>
            </w: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214D0BC7" w14:textId="77777777" w:rsidR="005B7178" w:rsidRPr="00186919" w:rsidRDefault="005B7178">
            <w:pPr>
              <w:spacing w:before="0" w:after="0"/>
              <w:jc w:val="center"/>
              <w:rPr>
                <w:rFonts w:eastAsia="Times New Roman"/>
                <w:noProof/>
                <w:color w:val="000000"/>
                <w:sz w:val="16"/>
                <w:szCs w:val="16"/>
                <w:lang w:val="en-IE" w:eastAsia="en-IE"/>
              </w:rPr>
            </w:pPr>
            <w:r>
              <w:rPr>
                <w:rFonts w:eastAsia="Times New Roman"/>
                <w:noProof/>
                <w:color w:val="000000"/>
                <w:sz w:val="16"/>
                <w:szCs w:val="16"/>
                <w:lang w:val="en-IE" w:eastAsia="en-IE"/>
              </w:rPr>
              <w:t>1</w:t>
            </w:r>
            <w:r w:rsidRPr="00186919">
              <w:rPr>
                <w:rFonts w:eastAsia="Times New Roman"/>
                <w:noProof/>
                <w:color w:val="000000"/>
                <w:sz w:val="16"/>
                <w:szCs w:val="16"/>
                <w:lang w:val="en-IE" w:eastAsia="en-IE"/>
              </w:rPr>
              <w:t>0</w:t>
            </w:r>
          </w:p>
        </w:tc>
      </w:tr>
      <w:tr w:rsidR="00F67E4F" w:rsidRPr="00186919" w14:paraId="379415B3" w14:textId="77777777" w:rsidTr="00C933F8">
        <w:trPr>
          <w:trHeight w:val="30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5C36FB2" w14:textId="77777777" w:rsidR="005B7178" w:rsidRPr="00186919" w:rsidRDefault="005B7178">
            <w:pPr>
              <w:spacing w:before="0" w:after="0"/>
              <w:ind w:firstLineChars="100" w:firstLine="161"/>
              <w:jc w:val="left"/>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TOTAL</w:t>
            </w:r>
          </w:p>
        </w:tc>
        <w:tc>
          <w:tcPr>
            <w:tcW w:w="519" w:type="pct"/>
            <w:tcBorders>
              <w:top w:val="nil"/>
              <w:left w:val="nil"/>
              <w:bottom w:val="single" w:sz="8" w:space="0" w:color="auto"/>
              <w:right w:val="single" w:sz="8" w:space="0" w:color="auto"/>
            </w:tcBorders>
            <w:shd w:val="clear" w:color="000000" w:fill="D9D9D9"/>
            <w:vAlign w:val="center"/>
            <w:hideMark/>
          </w:tcPr>
          <w:p w14:paraId="35A0C340"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36F41F1"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E41B6A3"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A0836E7"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82EEB6B"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B0A6E38"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1A33280C"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0</w:t>
            </w:r>
          </w:p>
        </w:tc>
      </w:tr>
      <w:tr w:rsidR="00F67E4F" w:rsidRPr="00186919" w14:paraId="22E4D51D" w14:textId="77777777" w:rsidTr="00C933F8">
        <w:trPr>
          <w:trHeight w:val="430"/>
        </w:trPr>
        <w:tc>
          <w:tcPr>
            <w:tcW w:w="751" w:type="pct"/>
            <w:tcBorders>
              <w:top w:val="nil"/>
              <w:left w:val="single" w:sz="8" w:space="0" w:color="auto"/>
              <w:bottom w:val="single" w:sz="8" w:space="0" w:color="auto"/>
              <w:right w:val="single" w:sz="8" w:space="0" w:color="auto"/>
            </w:tcBorders>
            <w:vAlign w:val="center"/>
            <w:hideMark/>
          </w:tcPr>
          <w:p w14:paraId="4711367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 [XX.01.YY.YY]</w:t>
            </w:r>
          </w:p>
        </w:tc>
        <w:tc>
          <w:tcPr>
            <w:tcW w:w="619" w:type="pct"/>
            <w:tcBorders>
              <w:top w:val="nil"/>
              <w:left w:val="nil"/>
              <w:bottom w:val="single" w:sz="8" w:space="0" w:color="auto"/>
              <w:right w:val="single" w:sz="8" w:space="0" w:color="auto"/>
            </w:tcBorders>
            <w:vAlign w:val="center"/>
            <w:hideMark/>
          </w:tcPr>
          <w:p w14:paraId="7A6437AB"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 in EU Delegations </w:t>
            </w:r>
          </w:p>
        </w:tc>
        <w:tc>
          <w:tcPr>
            <w:tcW w:w="519" w:type="pct"/>
            <w:tcBorders>
              <w:top w:val="nil"/>
              <w:left w:val="nil"/>
              <w:bottom w:val="single" w:sz="8" w:space="0" w:color="auto"/>
              <w:right w:val="single" w:sz="8" w:space="0" w:color="auto"/>
            </w:tcBorders>
            <w:shd w:val="clear" w:color="000000" w:fill="D9D9D9"/>
            <w:vAlign w:val="center"/>
            <w:hideMark/>
          </w:tcPr>
          <w:p w14:paraId="71B8884A"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F5171BF"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28597C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A1BD27B"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8668CD4"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135913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4F0F8EC4"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0C0AA78F" w14:textId="77777777" w:rsidTr="00C933F8">
        <w:trPr>
          <w:trHeight w:val="41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3FD08031" w14:textId="77777777" w:rsidR="005B7178" w:rsidRPr="00186919" w:rsidRDefault="005B7178">
            <w:pPr>
              <w:spacing w:before="0" w:after="0"/>
              <w:ind w:firstLineChars="100" w:firstLine="200"/>
              <w:jc w:val="left"/>
              <w:rPr>
                <w:rFonts w:eastAsia="Times New Roman"/>
                <w:noProof/>
                <w:color w:val="000000"/>
                <w:sz w:val="16"/>
                <w:szCs w:val="16"/>
                <w:lang w:val="en-IE" w:eastAsia="en-IE"/>
              </w:rPr>
            </w:pPr>
            <w:r w:rsidRPr="00186919">
              <w:rPr>
                <w:rFonts w:ascii="Arial Narrow" w:eastAsia="Times New Roman" w:hAnsi="Arial Narrow"/>
                <w:noProof/>
                <w:color w:val="000000"/>
                <w:sz w:val="20"/>
                <w:szCs w:val="20"/>
                <w:lang w:val="en-IE" w:eastAsia="en-IE"/>
              </w:rPr>
              <w:t xml:space="preserve"> </w:t>
            </w:r>
            <w:r w:rsidRPr="00186919">
              <w:rPr>
                <w:rFonts w:eastAsia="Times New Roman"/>
                <w:noProof/>
                <w:color w:val="000000"/>
                <w:sz w:val="16"/>
                <w:szCs w:val="16"/>
                <w:lang w:val="en-IE" w:eastAsia="en-IE"/>
              </w:rPr>
              <w:t xml:space="preserve">(AC, END - </w:t>
            </w:r>
            <w:r w:rsidRPr="00186919">
              <w:rPr>
                <w:rFonts w:eastAsia="Times New Roman"/>
                <w:noProof/>
                <w:color w:val="000000"/>
                <w:sz w:val="16"/>
                <w:szCs w:val="16"/>
                <w:lang w:val="en-IE" w:eastAsia="en-IE"/>
              </w:rPr>
              <w:t>Indirect research)</w:t>
            </w:r>
          </w:p>
        </w:tc>
        <w:tc>
          <w:tcPr>
            <w:tcW w:w="519" w:type="pct"/>
            <w:tcBorders>
              <w:top w:val="nil"/>
              <w:left w:val="nil"/>
              <w:bottom w:val="single" w:sz="8" w:space="0" w:color="auto"/>
              <w:right w:val="single" w:sz="8" w:space="0" w:color="auto"/>
            </w:tcBorders>
            <w:shd w:val="clear" w:color="000000" w:fill="D9D9D9"/>
            <w:vAlign w:val="center"/>
            <w:hideMark/>
          </w:tcPr>
          <w:p w14:paraId="3CD2BCA8"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B9C3F3C"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432E891"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010E19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2ABFCD5"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B0F4514"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73D9F7F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460F9353" w14:textId="77777777" w:rsidTr="00C933F8">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0FCAD0ED"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lastRenderedPageBreak/>
              <w:t xml:space="preserve"> (AC, END - Direct research)</w:t>
            </w:r>
          </w:p>
        </w:tc>
        <w:tc>
          <w:tcPr>
            <w:tcW w:w="519" w:type="pct"/>
            <w:tcBorders>
              <w:top w:val="nil"/>
              <w:left w:val="nil"/>
              <w:bottom w:val="single" w:sz="8" w:space="0" w:color="auto"/>
              <w:right w:val="single" w:sz="8" w:space="0" w:color="auto"/>
            </w:tcBorders>
            <w:shd w:val="clear" w:color="000000" w:fill="D9D9D9"/>
            <w:vAlign w:val="center"/>
            <w:hideMark/>
          </w:tcPr>
          <w:p w14:paraId="72BDBB82"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3CF58E5"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4922DF8"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6FA68C6"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6F923A2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7CD321F"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7608AE31"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1684A463" w14:textId="77777777" w:rsidTr="00C933F8">
        <w:trPr>
          <w:trHeight w:val="38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5E93A500"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Other budget lines (specify) - Heading </w:t>
            </w:r>
            <w:r>
              <w:rPr>
                <w:rFonts w:eastAsia="Times New Roman"/>
                <w:noProof/>
                <w:color w:val="000000"/>
                <w:sz w:val="16"/>
                <w:szCs w:val="16"/>
                <w:lang w:val="en-IE" w:eastAsia="en-IE"/>
              </w:rPr>
              <w:t>4</w:t>
            </w:r>
          </w:p>
        </w:tc>
        <w:tc>
          <w:tcPr>
            <w:tcW w:w="519" w:type="pct"/>
            <w:tcBorders>
              <w:top w:val="nil"/>
              <w:left w:val="nil"/>
              <w:bottom w:val="single" w:sz="8" w:space="0" w:color="auto"/>
              <w:right w:val="single" w:sz="8" w:space="0" w:color="auto"/>
            </w:tcBorders>
            <w:shd w:val="clear" w:color="000000" w:fill="D9D9D9"/>
            <w:vAlign w:val="center"/>
            <w:hideMark/>
          </w:tcPr>
          <w:p w14:paraId="612DE6A3"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8F5DBCC"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4AFE001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D57650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6CCB871F"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70B9856"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72E0009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22A9AA94" w14:textId="77777777" w:rsidTr="00C933F8">
        <w:trPr>
          <w:trHeight w:val="52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79A32E85" w14:textId="77777777" w:rsidR="005B7178" w:rsidRPr="00186919" w:rsidRDefault="005B7178">
            <w:pPr>
              <w:spacing w:before="0" w:after="0"/>
              <w:ind w:firstLineChars="100" w:firstLine="160"/>
              <w:jc w:val="left"/>
              <w:rPr>
                <w:rFonts w:eastAsia="Times New Roman"/>
                <w:noProof/>
                <w:color w:val="000000"/>
                <w:sz w:val="16"/>
                <w:szCs w:val="16"/>
                <w:lang w:val="en-IE" w:eastAsia="en-IE"/>
              </w:rPr>
            </w:pPr>
            <w:r w:rsidRPr="00186919">
              <w:rPr>
                <w:rFonts w:eastAsia="Times New Roman"/>
                <w:noProof/>
                <w:color w:val="000000"/>
                <w:sz w:val="16"/>
                <w:szCs w:val="16"/>
                <w:lang w:val="en-IE" w:eastAsia="en-IE"/>
              </w:rPr>
              <w:t xml:space="preserve">Other budget lines (specify) - Outside Heading </w:t>
            </w:r>
            <w:r>
              <w:rPr>
                <w:rFonts w:eastAsia="Times New Roman"/>
                <w:noProof/>
                <w:color w:val="000000"/>
                <w:sz w:val="16"/>
                <w:szCs w:val="16"/>
                <w:lang w:val="en-IE" w:eastAsia="en-IE"/>
              </w:rPr>
              <w:t>4</w:t>
            </w:r>
          </w:p>
        </w:tc>
        <w:tc>
          <w:tcPr>
            <w:tcW w:w="519" w:type="pct"/>
            <w:tcBorders>
              <w:top w:val="nil"/>
              <w:left w:val="nil"/>
              <w:bottom w:val="single" w:sz="8" w:space="0" w:color="auto"/>
              <w:right w:val="single" w:sz="8" w:space="0" w:color="auto"/>
            </w:tcBorders>
            <w:shd w:val="clear" w:color="000000" w:fill="D9D9D9"/>
            <w:vAlign w:val="center"/>
            <w:hideMark/>
          </w:tcPr>
          <w:p w14:paraId="043CAC3E"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6A866D2"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57D44C8"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51C472D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87769B0"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181E8A3D"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66A9FF07"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sz w:val="16"/>
                <w:szCs w:val="16"/>
                <w:lang w:val="en-IE" w:eastAsia="en-IE"/>
              </w:rPr>
              <w:t>0</w:t>
            </w:r>
          </w:p>
        </w:tc>
      </w:tr>
      <w:tr w:rsidR="00F67E4F" w:rsidRPr="00186919" w14:paraId="6549C685" w14:textId="77777777" w:rsidTr="00C933F8">
        <w:trPr>
          <w:trHeight w:val="300"/>
        </w:trPr>
        <w:tc>
          <w:tcPr>
            <w:tcW w:w="1370" w:type="pct"/>
            <w:gridSpan w:val="2"/>
            <w:tcBorders>
              <w:top w:val="single" w:sz="8" w:space="0" w:color="auto"/>
              <w:left w:val="single" w:sz="8" w:space="0" w:color="auto"/>
              <w:bottom w:val="single" w:sz="8" w:space="0" w:color="auto"/>
              <w:right w:val="single" w:sz="8" w:space="0" w:color="000000"/>
            </w:tcBorders>
            <w:vAlign w:val="center"/>
            <w:hideMark/>
          </w:tcPr>
          <w:p w14:paraId="6201ACFB" w14:textId="77777777" w:rsidR="005B7178" w:rsidRPr="00186919" w:rsidRDefault="005B7178">
            <w:pPr>
              <w:spacing w:before="0" w:after="0"/>
              <w:ind w:firstLineChars="100" w:firstLine="161"/>
              <w:jc w:val="left"/>
              <w:rPr>
                <w:rFonts w:eastAsia="Times New Roman"/>
                <w:b/>
                <w:bCs/>
                <w:noProof/>
                <w:color w:val="000000"/>
                <w:sz w:val="16"/>
                <w:szCs w:val="16"/>
                <w:lang w:val="en-IE" w:eastAsia="en-IE"/>
              </w:rPr>
            </w:pPr>
            <w:r w:rsidRPr="00186919">
              <w:rPr>
                <w:rFonts w:eastAsia="Times New Roman"/>
                <w:b/>
                <w:bCs/>
                <w:noProof/>
                <w:color w:val="000000"/>
                <w:sz w:val="16"/>
                <w:szCs w:val="16"/>
                <w:lang w:val="en-IE" w:eastAsia="en-IE"/>
              </w:rPr>
              <w:t>TOTAL</w:t>
            </w:r>
          </w:p>
        </w:tc>
        <w:tc>
          <w:tcPr>
            <w:tcW w:w="519" w:type="pct"/>
            <w:tcBorders>
              <w:top w:val="nil"/>
              <w:left w:val="nil"/>
              <w:bottom w:val="single" w:sz="8" w:space="0" w:color="auto"/>
              <w:right w:val="single" w:sz="8" w:space="0" w:color="auto"/>
            </w:tcBorders>
            <w:shd w:val="clear" w:color="000000" w:fill="D9D9D9"/>
            <w:vAlign w:val="center"/>
            <w:hideMark/>
          </w:tcPr>
          <w:p w14:paraId="75560261" w14:textId="77777777" w:rsidR="005B7178" w:rsidRPr="00186919" w:rsidRDefault="005B7178">
            <w:pPr>
              <w:spacing w:before="0" w:after="0"/>
              <w:jc w:val="center"/>
              <w:rPr>
                <w:rFonts w:eastAsia="Times New Roman"/>
                <w:b/>
                <w:bCs/>
                <w:noProof/>
                <w:color w:val="000000"/>
                <w:sz w:val="16"/>
                <w:szCs w:val="16"/>
                <w:lang w:val="en-IE" w:eastAsia="en-IE"/>
              </w:rPr>
            </w:pPr>
            <w:r>
              <w:rPr>
                <w:rFonts w:eastAsia="Times New Roman"/>
                <w:b/>
                <w:bCs/>
                <w:noProof/>
                <w:color w:val="000000"/>
                <w:sz w:val="16"/>
                <w:szCs w:val="16"/>
                <w:lang w:val="en-IE" w:eastAsia="en-IE"/>
              </w:rPr>
              <w:t>22</w:t>
            </w: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7FA64456" w14:textId="77777777" w:rsidR="005B7178" w:rsidRPr="00186919" w:rsidRDefault="005B7178">
            <w:pPr>
              <w:spacing w:before="0" w:after="0"/>
              <w:jc w:val="center"/>
              <w:rPr>
                <w:rFonts w:eastAsia="Times New Roman"/>
                <w:b/>
                <w:bCs/>
                <w:noProof/>
                <w:color w:val="000000"/>
                <w:sz w:val="16"/>
                <w:szCs w:val="16"/>
                <w:lang w:val="en-IE" w:eastAsia="en-IE"/>
              </w:rPr>
            </w:pPr>
            <w:r>
              <w:rPr>
                <w:rFonts w:eastAsia="Times New Roman"/>
                <w:b/>
                <w:bCs/>
                <w:noProof/>
                <w:color w:val="000000"/>
                <w:sz w:val="16"/>
                <w:szCs w:val="16"/>
                <w:lang w:val="en-IE" w:eastAsia="en-IE"/>
              </w:rPr>
              <w:t>22</w:t>
            </w: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2898963F" w14:textId="77777777" w:rsidR="005B7178" w:rsidRPr="00186919" w:rsidRDefault="005B7178">
            <w:pPr>
              <w:spacing w:before="0" w:after="0"/>
              <w:jc w:val="center"/>
              <w:rPr>
                <w:rFonts w:eastAsia="Times New Roman"/>
                <w:b/>
                <w:bCs/>
                <w:noProof/>
                <w:color w:val="000000"/>
                <w:sz w:val="16"/>
                <w:szCs w:val="16"/>
                <w:lang w:val="en-IE" w:eastAsia="en-IE"/>
              </w:rPr>
            </w:pPr>
            <w:r>
              <w:rPr>
                <w:rFonts w:eastAsia="Times New Roman"/>
                <w:b/>
                <w:bCs/>
                <w:noProof/>
                <w:color w:val="000000"/>
                <w:sz w:val="16"/>
                <w:szCs w:val="16"/>
                <w:lang w:val="en-IE" w:eastAsia="en-IE"/>
              </w:rPr>
              <w:t>22</w:t>
            </w: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00C8C43C" w14:textId="77777777" w:rsidR="005B7178" w:rsidRPr="00186919" w:rsidRDefault="005B7178">
            <w:pPr>
              <w:spacing w:before="0" w:after="0"/>
              <w:jc w:val="center"/>
              <w:rPr>
                <w:rFonts w:eastAsia="Times New Roman"/>
                <w:b/>
                <w:bCs/>
                <w:noProof/>
                <w:color w:val="000000"/>
                <w:sz w:val="16"/>
                <w:szCs w:val="16"/>
                <w:lang w:val="en-IE" w:eastAsia="en-IE"/>
              </w:rPr>
            </w:pPr>
            <w:r>
              <w:rPr>
                <w:rFonts w:eastAsia="Times New Roman"/>
                <w:b/>
                <w:bCs/>
                <w:noProof/>
                <w:color w:val="000000"/>
                <w:sz w:val="16"/>
                <w:szCs w:val="16"/>
                <w:lang w:val="en-IE" w:eastAsia="en-IE"/>
              </w:rPr>
              <w:t>22</w:t>
            </w: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11CE101" w14:textId="77777777" w:rsidR="005B7178" w:rsidRPr="00186919" w:rsidRDefault="005B7178">
            <w:pPr>
              <w:spacing w:before="0" w:after="0"/>
              <w:jc w:val="center"/>
              <w:rPr>
                <w:rFonts w:eastAsia="Times New Roman"/>
                <w:b/>
                <w:bCs/>
                <w:noProof/>
                <w:color w:val="000000"/>
                <w:sz w:val="16"/>
                <w:szCs w:val="16"/>
                <w:lang w:val="en-IE" w:eastAsia="en-IE"/>
              </w:rPr>
            </w:pPr>
            <w:r>
              <w:rPr>
                <w:rFonts w:eastAsia="Times New Roman"/>
                <w:b/>
                <w:bCs/>
                <w:noProof/>
                <w:color w:val="000000"/>
                <w:sz w:val="16"/>
                <w:szCs w:val="16"/>
                <w:lang w:val="en-IE" w:eastAsia="en-IE"/>
              </w:rPr>
              <w:t>22</w:t>
            </w:r>
            <w:r w:rsidRPr="00186919">
              <w:rPr>
                <w:rFonts w:eastAsia="Times New Roman"/>
                <w:b/>
                <w:bCs/>
                <w:noProof/>
                <w:color w:val="000000"/>
                <w:sz w:val="16"/>
                <w:szCs w:val="16"/>
                <w:lang w:val="en-IE" w:eastAsia="en-IE"/>
              </w:rPr>
              <w:t>0</w:t>
            </w:r>
          </w:p>
        </w:tc>
        <w:tc>
          <w:tcPr>
            <w:tcW w:w="519" w:type="pct"/>
            <w:tcBorders>
              <w:top w:val="nil"/>
              <w:left w:val="nil"/>
              <w:bottom w:val="single" w:sz="8" w:space="0" w:color="auto"/>
              <w:right w:val="single" w:sz="8" w:space="0" w:color="auto"/>
            </w:tcBorders>
            <w:shd w:val="clear" w:color="000000" w:fill="D9D9D9"/>
            <w:vAlign w:val="center"/>
            <w:hideMark/>
          </w:tcPr>
          <w:p w14:paraId="3BF0A77A" w14:textId="77777777" w:rsidR="005B7178" w:rsidRPr="00186919" w:rsidRDefault="005B7178">
            <w:pPr>
              <w:spacing w:before="0" w:after="0"/>
              <w:jc w:val="center"/>
              <w:rPr>
                <w:rFonts w:eastAsia="Times New Roman"/>
                <w:b/>
                <w:bCs/>
                <w:noProof/>
                <w:color w:val="000000"/>
                <w:sz w:val="16"/>
                <w:szCs w:val="16"/>
                <w:lang w:val="en-IE" w:eastAsia="en-IE"/>
              </w:rPr>
            </w:pPr>
            <w:r>
              <w:rPr>
                <w:rFonts w:eastAsia="Times New Roman"/>
                <w:b/>
                <w:bCs/>
                <w:noProof/>
                <w:color w:val="000000"/>
                <w:sz w:val="16"/>
                <w:szCs w:val="16"/>
                <w:lang w:val="en-IE" w:eastAsia="en-IE"/>
              </w:rPr>
              <w:t>22</w:t>
            </w:r>
            <w:r w:rsidRPr="00186919">
              <w:rPr>
                <w:rFonts w:eastAsia="Times New Roman"/>
                <w:b/>
                <w:bCs/>
                <w:noProof/>
                <w:color w:val="000000"/>
                <w:sz w:val="16"/>
                <w:szCs w:val="16"/>
                <w:lang w:val="en-IE" w:eastAsia="en-IE"/>
              </w:rPr>
              <w:t>0</w:t>
            </w:r>
          </w:p>
        </w:tc>
        <w:tc>
          <w:tcPr>
            <w:tcW w:w="516" w:type="pct"/>
            <w:tcBorders>
              <w:top w:val="nil"/>
              <w:left w:val="nil"/>
              <w:bottom w:val="single" w:sz="8" w:space="0" w:color="auto"/>
              <w:right w:val="single" w:sz="8" w:space="0" w:color="auto"/>
            </w:tcBorders>
            <w:shd w:val="clear" w:color="000000" w:fill="D9D9D9"/>
            <w:vAlign w:val="center"/>
            <w:hideMark/>
          </w:tcPr>
          <w:p w14:paraId="1A55B692" w14:textId="77777777" w:rsidR="005B7178" w:rsidRPr="00186919" w:rsidRDefault="005B7178">
            <w:pPr>
              <w:spacing w:before="0" w:after="0"/>
              <w:jc w:val="center"/>
              <w:rPr>
                <w:rFonts w:eastAsia="Times New Roman"/>
                <w:b/>
                <w:bCs/>
                <w:noProof/>
                <w:color w:val="000000"/>
                <w:sz w:val="16"/>
                <w:szCs w:val="16"/>
                <w:lang w:val="en-IE" w:eastAsia="en-IE"/>
              </w:rPr>
            </w:pPr>
            <w:r>
              <w:rPr>
                <w:rFonts w:eastAsia="Times New Roman"/>
                <w:b/>
                <w:bCs/>
                <w:noProof/>
                <w:color w:val="000000"/>
                <w:sz w:val="16"/>
                <w:szCs w:val="16"/>
                <w:lang w:val="en-IE" w:eastAsia="en-IE"/>
              </w:rPr>
              <w:t>22</w:t>
            </w:r>
            <w:r w:rsidRPr="00186919">
              <w:rPr>
                <w:rFonts w:eastAsia="Times New Roman"/>
                <w:b/>
                <w:bCs/>
                <w:noProof/>
                <w:color w:val="000000"/>
                <w:sz w:val="16"/>
                <w:szCs w:val="16"/>
                <w:lang w:val="en-IE" w:eastAsia="en-IE"/>
              </w:rPr>
              <w:t>0</w:t>
            </w:r>
          </w:p>
        </w:tc>
      </w:tr>
    </w:tbl>
    <w:p w14:paraId="5A51C118" w14:textId="77777777" w:rsidR="005B7178" w:rsidRDefault="005B7178" w:rsidP="00F67E4F">
      <w:pPr>
        <w:pStyle w:val="Text1"/>
        <w:ind w:left="-426"/>
        <w:rPr>
          <w:noProof/>
          <w:color w:val="000000" w:themeColor="text1"/>
        </w:rPr>
      </w:pPr>
      <w:bookmarkStart w:id="12" w:name="_Hlk167692843"/>
      <w:bookmarkEnd w:id="11"/>
      <w:r w:rsidRPr="00EB596E">
        <w:rPr>
          <w:noProof/>
          <w:color w:val="000000" w:themeColor="text1"/>
        </w:rPr>
        <w:t xml:space="preserve">The staff </w:t>
      </w:r>
      <w:r w:rsidRPr="00EB596E">
        <w:rPr>
          <w:noProof/>
          <w:color w:val="000000" w:themeColor="text1"/>
        </w:rPr>
        <w:t>required to implement the proposal</w:t>
      </w:r>
      <w:r>
        <w:rPr>
          <w:noProof/>
          <w:color w:val="000000" w:themeColor="text1"/>
        </w:rPr>
        <w:t xml:space="preserve"> (in FTEs): </w:t>
      </w:r>
    </w:p>
    <w:tbl>
      <w:tblPr>
        <w:tblStyle w:val="Kontuurtabel"/>
        <w:tblW w:w="13628" w:type="dxa"/>
        <w:tblInd w:w="936" w:type="dxa"/>
        <w:tblLook w:val="04A0" w:firstRow="1" w:lastRow="0" w:firstColumn="1" w:lastColumn="0" w:noHBand="0" w:noVBand="1"/>
      </w:tblPr>
      <w:tblGrid>
        <w:gridCol w:w="2650"/>
        <w:gridCol w:w="2917"/>
        <w:gridCol w:w="2765"/>
        <w:gridCol w:w="2784"/>
        <w:gridCol w:w="2512"/>
      </w:tblGrid>
      <w:tr w:rsidR="00F67E4F" w14:paraId="1E0EF13B" w14:textId="77777777">
        <w:trPr>
          <w:trHeight w:val="274"/>
        </w:trPr>
        <w:tc>
          <w:tcPr>
            <w:tcW w:w="2650" w:type="dxa"/>
          </w:tcPr>
          <w:p w14:paraId="0D699B53" w14:textId="77777777" w:rsidR="005B7178" w:rsidRPr="00310A4B" w:rsidRDefault="005B7178">
            <w:pPr>
              <w:pStyle w:val="Text1"/>
              <w:ind w:left="0"/>
              <w:jc w:val="center"/>
              <w:rPr>
                <w:b/>
                <w:bCs/>
                <w:noProof/>
                <w:sz w:val="22"/>
                <w:szCs w:val="28"/>
              </w:rPr>
            </w:pPr>
          </w:p>
        </w:tc>
        <w:tc>
          <w:tcPr>
            <w:tcW w:w="2917" w:type="dxa"/>
          </w:tcPr>
          <w:p w14:paraId="27787E52" w14:textId="77777777" w:rsidR="005B7178" w:rsidRPr="00310A4B" w:rsidRDefault="005B7178">
            <w:pPr>
              <w:pStyle w:val="Text1"/>
              <w:ind w:left="0"/>
              <w:jc w:val="center"/>
              <w:rPr>
                <w:b/>
                <w:bCs/>
                <w:noProof/>
                <w:sz w:val="22"/>
              </w:rPr>
            </w:pPr>
            <w:r w:rsidRPr="7814D1E9">
              <w:rPr>
                <w:b/>
                <w:bCs/>
                <w:noProof/>
                <w:sz w:val="22"/>
              </w:rPr>
              <w:t xml:space="preserve">To be covered by current staff available in the Commission services </w:t>
            </w:r>
          </w:p>
        </w:tc>
        <w:tc>
          <w:tcPr>
            <w:tcW w:w="8061" w:type="dxa"/>
            <w:gridSpan w:val="3"/>
          </w:tcPr>
          <w:p w14:paraId="5492C7FC" w14:textId="77777777" w:rsidR="005B7178" w:rsidRPr="00310A4B" w:rsidRDefault="005B7178">
            <w:pPr>
              <w:pStyle w:val="Text1"/>
              <w:ind w:left="0"/>
              <w:jc w:val="center"/>
              <w:rPr>
                <w:b/>
                <w:bCs/>
                <w:noProof/>
                <w:sz w:val="22"/>
              </w:rPr>
            </w:pPr>
            <w:r w:rsidRPr="6C5FD46B">
              <w:rPr>
                <w:b/>
                <w:bCs/>
                <w:noProof/>
                <w:sz w:val="22"/>
              </w:rPr>
              <w:t>Exceptional additional staff*</w:t>
            </w:r>
          </w:p>
        </w:tc>
      </w:tr>
      <w:tr w:rsidR="00F67E4F" w14:paraId="1317BC24" w14:textId="77777777">
        <w:trPr>
          <w:trHeight w:val="274"/>
        </w:trPr>
        <w:tc>
          <w:tcPr>
            <w:tcW w:w="2650" w:type="dxa"/>
          </w:tcPr>
          <w:p w14:paraId="3E492060" w14:textId="77777777" w:rsidR="005B7178" w:rsidRPr="00310A4B" w:rsidRDefault="005B7178">
            <w:pPr>
              <w:pStyle w:val="Text1"/>
              <w:ind w:left="0"/>
              <w:jc w:val="center"/>
              <w:rPr>
                <w:b/>
                <w:bCs/>
                <w:noProof/>
                <w:sz w:val="22"/>
                <w:szCs w:val="28"/>
              </w:rPr>
            </w:pPr>
          </w:p>
        </w:tc>
        <w:tc>
          <w:tcPr>
            <w:tcW w:w="2917" w:type="dxa"/>
          </w:tcPr>
          <w:p w14:paraId="166BE8B5" w14:textId="77777777" w:rsidR="005B7178" w:rsidRPr="00310A4B" w:rsidRDefault="005B7178">
            <w:pPr>
              <w:pStyle w:val="Text1"/>
              <w:ind w:left="0"/>
              <w:jc w:val="center"/>
              <w:rPr>
                <w:b/>
                <w:bCs/>
                <w:noProof/>
                <w:sz w:val="22"/>
                <w:szCs w:val="28"/>
              </w:rPr>
            </w:pPr>
          </w:p>
        </w:tc>
        <w:tc>
          <w:tcPr>
            <w:tcW w:w="2765" w:type="dxa"/>
          </w:tcPr>
          <w:p w14:paraId="44CB1576" w14:textId="77777777" w:rsidR="005B7178" w:rsidRPr="00310A4B" w:rsidRDefault="005B7178">
            <w:pPr>
              <w:pStyle w:val="Text1"/>
              <w:ind w:left="0"/>
              <w:jc w:val="center"/>
              <w:rPr>
                <w:b/>
                <w:bCs/>
                <w:noProof/>
                <w:sz w:val="22"/>
              </w:rPr>
            </w:pPr>
            <w:r w:rsidRPr="73D5EDD6">
              <w:rPr>
                <w:b/>
                <w:bCs/>
                <w:noProof/>
                <w:sz w:val="22"/>
              </w:rPr>
              <w:t xml:space="preserve">To be financed under Heading </w:t>
            </w:r>
            <w:r>
              <w:rPr>
                <w:b/>
                <w:bCs/>
                <w:noProof/>
                <w:sz w:val="22"/>
              </w:rPr>
              <w:t>4</w:t>
            </w:r>
            <w:r>
              <w:rPr>
                <w:b/>
                <w:bCs/>
                <w:noProof/>
                <w:sz w:val="22"/>
              </w:rPr>
              <w:t xml:space="preserve"> </w:t>
            </w:r>
            <w:r w:rsidRPr="00BD048A">
              <w:rPr>
                <w:b/>
                <w:bCs/>
                <w:noProof/>
                <w:sz w:val="22"/>
              </w:rPr>
              <w:t>or</w:t>
            </w:r>
            <w:r w:rsidRPr="73D5EDD6">
              <w:rPr>
                <w:b/>
                <w:bCs/>
                <w:noProof/>
                <w:sz w:val="22"/>
              </w:rPr>
              <w:t xml:space="preserve"> Research</w:t>
            </w:r>
          </w:p>
        </w:tc>
        <w:tc>
          <w:tcPr>
            <w:tcW w:w="2784" w:type="dxa"/>
          </w:tcPr>
          <w:p w14:paraId="3E032210" w14:textId="77777777" w:rsidR="005B7178" w:rsidRPr="00310A4B" w:rsidRDefault="005B7178">
            <w:pPr>
              <w:pStyle w:val="Text1"/>
              <w:ind w:left="0"/>
              <w:jc w:val="center"/>
              <w:rPr>
                <w:b/>
                <w:bCs/>
                <w:noProof/>
                <w:sz w:val="22"/>
                <w:szCs w:val="28"/>
              </w:rPr>
            </w:pPr>
            <w:r w:rsidRPr="00310A4B">
              <w:rPr>
                <w:b/>
                <w:bCs/>
                <w:noProof/>
                <w:sz w:val="22"/>
                <w:szCs w:val="28"/>
              </w:rPr>
              <w:t>To be financed from BA line</w:t>
            </w:r>
          </w:p>
        </w:tc>
        <w:tc>
          <w:tcPr>
            <w:tcW w:w="2512" w:type="dxa"/>
          </w:tcPr>
          <w:p w14:paraId="193EA39F" w14:textId="77777777" w:rsidR="005B7178" w:rsidRPr="00310A4B" w:rsidRDefault="005B7178">
            <w:pPr>
              <w:pStyle w:val="Text1"/>
              <w:ind w:left="0"/>
              <w:jc w:val="center"/>
              <w:rPr>
                <w:b/>
                <w:bCs/>
                <w:noProof/>
                <w:sz w:val="22"/>
                <w:szCs w:val="28"/>
              </w:rPr>
            </w:pPr>
            <w:r w:rsidRPr="00310A4B">
              <w:rPr>
                <w:b/>
                <w:bCs/>
                <w:noProof/>
                <w:sz w:val="22"/>
                <w:szCs w:val="28"/>
              </w:rPr>
              <w:t>To be financed from fees</w:t>
            </w:r>
          </w:p>
        </w:tc>
      </w:tr>
      <w:tr w:rsidR="00F67E4F" w14:paraId="4F2227E1" w14:textId="77777777">
        <w:trPr>
          <w:trHeight w:val="274"/>
        </w:trPr>
        <w:tc>
          <w:tcPr>
            <w:tcW w:w="2650" w:type="dxa"/>
          </w:tcPr>
          <w:p w14:paraId="10997F75" w14:textId="77777777" w:rsidR="005B7178" w:rsidRDefault="005B7178">
            <w:pPr>
              <w:pStyle w:val="Text1"/>
              <w:ind w:left="0"/>
              <w:rPr>
                <w:noProof/>
                <w:sz w:val="22"/>
                <w:szCs w:val="28"/>
              </w:rPr>
            </w:pPr>
            <w:r>
              <w:rPr>
                <w:noProof/>
                <w:sz w:val="22"/>
                <w:szCs w:val="28"/>
              </w:rPr>
              <w:t>Establishment plan posts</w:t>
            </w:r>
          </w:p>
        </w:tc>
        <w:tc>
          <w:tcPr>
            <w:tcW w:w="2917" w:type="dxa"/>
          </w:tcPr>
          <w:p w14:paraId="6BBB5ED4" w14:textId="77777777" w:rsidR="005B7178" w:rsidRDefault="005B7178">
            <w:pPr>
              <w:pStyle w:val="Text1"/>
              <w:ind w:left="0"/>
              <w:rPr>
                <w:noProof/>
                <w:sz w:val="22"/>
                <w:szCs w:val="28"/>
              </w:rPr>
            </w:pPr>
            <w:r>
              <w:rPr>
                <w:noProof/>
                <w:sz w:val="22"/>
                <w:szCs w:val="28"/>
              </w:rPr>
              <w:t>139</w:t>
            </w:r>
          </w:p>
        </w:tc>
        <w:tc>
          <w:tcPr>
            <w:tcW w:w="2765" w:type="dxa"/>
          </w:tcPr>
          <w:p w14:paraId="0E31D51E" w14:textId="77777777" w:rsidR="005B7178" w:rsidRDefault="005B7178">
            <w:pPr>
              <w:pStyle w:val="Text1"/>
              <w:ind w:left="0"/>
              <w:rPr>
                <w:noProof/>
                <w:sz w:val="22"/>
                <w:szCs w:val="28"/>
              </w:rPr>
            </w:pPr>
            <w:r>
              <w:rPr>
                <w:noProof/>
                <w:sz w:val="22"/>
                <w:szCs w:val="28"/>
              </w:rPr>
              <w:t>43</w:t>
            </w:r>
          </w:p>
        </w:tc>
        <w:tc>
          <w:tcPr>
            <w:tcW w:w="2784" w:type="dxa"/>
          </w:tcPr>
          <w:p w14:paraId="28C99B2B" w14:textId="77777777" w:rsidR="005B7178" w:rsidRDefault="005B7178">
            <w:pPr>
              <w:pStyle w:val="Text1"/>
              <w:ind w:left="0"/>
              <w:rPr>
                <w:noProof/>
                <w:sz w:val="22"/>
                <w:szCs w:val="28"/>
              </w:rPr>
            </w:pPr>
            <w:r>
              <w:rPr>
                <w:noProof/>
                <w:sz w:val="22"/>
                <w:szCs w:val="28"/>
              </w:rPr>
              <w:t>N/A</w:t>
            </w:r>
          </w:p>
        </w:tc>
        <w:tc>
          <w:tcPr>
            <w:tcW w:w="2512" w:type="dxa"/>
          </w:tcPr>
          <w:p w14:paraId="59528E19" w14:textId="77777777" w:rsidR="005B7178" w:rsidRDefault="005B7178">
            <w:pPr>
              <w:pStyle w:val="Text1"/>
              <w:ind w:left="0"/>
              <w:rPr>
                <w:noProof/>
                <w:sz w:val="22"/>
                <w:szCs w:val="28"/>
              </w:rPr>
            </w:pPr>
          </w:p>
        </w:tc>
      </w:tr>
      <w:tr w:rsidR="00F67E4F" w14:paraId="6E931EFA" w14:textId="77777777">
        <w:trPr>
          <w:trHeight w:val="274"/>
        </w:trPr>
        <w:tc>
          <w:tcPr>
            <w:tcW w:w="2650" w:type="dxa"/>
          </w:tcPr>
          <w:p w14:paraId="6C60B18F" w14:textId="77777777" w:rsidR="005B7178" w:rsidRDefault="005B7178">
            <w:pPr>
              <w:pStyle w:val="Text1"/>
              <w:ind w:left="0"/>
              <w:rPr>
                <w:noProof/>
                <w:sz w:val="22"/>
                <w:szCs w:val="28"/>
              </w:rPr>
            </w:pPr>
            <w:r>
              <w:rPr>
                <w:noProof/>
                <w:sz w:val="22"/>
                <w:szCs w:val="28"/>
              </w:rPr>
              <w:t>External staff (CA, SNEs, INT)</w:t>
            </w:r>
          </w:p>
        </w:tc>
        <w:tc>
          <w:tcPr>
            <w:tcW w:w="2917" w:type="dxa"/>
          </w:tcPr>
          <w:p w14:paraId="5488BE73" w14:textId="77777777" w:rsidR="005B7178" w:rsidRDefault="005B7178">
            <w:pPr>
              <w:pStyle w:val="Text1"/>
              <w:ind w:left="0"/>
              <w:rPr>
                <w:noProof/>
                <w:sz w:val="22"/>
                <w:szCs w:val="28"/>
              </w:rPr>
            </w:pPr>
            <w:r>
              <w:rPr>
                <w:noProof/>
                <w:sz w:val="22"/>
                <w:szCs w:val="28"/>
              </w:rPr>
              <w:t>25</w:t>
            </w:r>
          </w:p>
        </w:tc>
        <w:tc>
          <w:tcPr>
            <w:tcW w:w="2765" w:type="dxa"/>
          </w:tcPr>
          <w:p w14:paraId="1CFF133A" w14:textId="77777777" w:rsidR="005B7178" w:rsidRDefault="005B7178">
            <w:pPr>
              <w:pStyle w:val="Text1"/>
              <w:ind w:left="0"/>
              <w:rPr>
                <w:noProof/>
                <w:sz w:val="22"/>
                <w:szCs w:val="28"/>
              </w:rPr>
            </w:pPr>
            <w:r>
              <w:rPr>
                <w:noProof/>
                <w:sz w:val="22"/>
                <w:szCs w:val="28"/>
              </w:rPr>
              <w:t>3</w:t>
            </w:r>
          </w:p>
        </w:tc>
        <w:tc>
          <w:tcPr>
            <w:tcW w:w="2784" w:type="dxa"/>
          </w:tcPr>
          <w:p w14:paraId="00915C8F" w14:textId="77777777" w:rsidR="005B7178" w:rsidRDefault="005B7178">
            <w:pPr>
              <w:pStyle w:val="Text1"/>
              <w:ind w:left="0"/>
              <w:rPr>
                <w:noProof/>
                <w:sz w:val="22"/>
                <w:szCs w:val="28"/>
              </w:rPr>
            </w:pPr>
            <w:r>
              <w:rPr>
                <w:noProof/>
                <w:sz w:val="22"/>
                <w:szCs w:val="28"/>
              </w:rPr>
              <w:t>10</w:t>
            </w:r>
          </w:p>
        </w:tc>
        <w:tc>
          <w:tcPr>
            <w:tcW w:w="2512" w:type="dxa"/>
          </w:tcPr>
          <w:p w14:paraId="63988E2C" w14:textId="77777777" w:rsidR="005B7178" w:rsidRDefault="005B7178">
            <w:pPr>
              <w:pStyle w:val="Text1"/>
              <w:ind w:left="0"/>
              <w:rPr>
                <w:noProof/>
                <w:sz w:val="22"/>
                <w:szCs w:val="28"/>
              </w:rPr>
            </w:pPr>
          </w:p>
        </w:tc>
      </w:tr>
    </w:tbl>
    <w:p w14:paraId="1D183ED4" w14:textId="77777777" w:rsidR="005B7178" w:rsidRDefault="005B7178" w:rsidP="00F67E4F">
      <w:pPr>
        <w:pStyle w:val="Text1"/>
        <w:ind w:left="-426" w:right="-427"/>
        <w:rPr>
          <w:noProof/>
          <w:lang w:val="en-IE"/>
        </w:rPr>
      </w:pPr>
      <w:r w:rsidRPr="73D5EDD6">
        <w:rPr>
          <w:noProof/>
          <w:lang w:val="en-IE"/>
        </w:rPr>
        <w:t>Description of tasks to be carried out by:</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774D9" w14:paraId="33237B01" w14:textId="77777777">
        <w:tc>
          <w:tcPr>
            <w:tcW w:w="3240" w:type="dxa"/>
          </w:tcPr>
          <w:p w14:paraId="462F14F8" w14:textId="77777777" w:rsidR="005B7178" w:rsidRDefault="005B7178">
            <w:pPr>
              <w:rPr>
                <w:noProof/>
                <w:sz w:val="20"/>
              </w:rPr>
            </w:pPr>
            <w:r>
              <w:rPr>
                <w:noProof/>
                <w:sz w:val="20"/>
              </w:rPr>
              <w:t>Officials and temporary staff</w:t>
            </w:r>
          </w:p>
        </w:tc>
        <w:tc>
          <w:tcPr>
            <w:tcW w:w="7200" w:type="dxa"/>
          </w:tcPr>
          <w:p w14:paraId="174452A6" w14:textId="77777777" w:rsidR="005B7178" w:rsidRDefault="005B7178">
            <w:pPr>
              <w:rPr>
                <w:noProof/>
                <w:sz w:val="20"/>
              </w:rPr>
            </w:pPr>
          </w:p>
        </w:tc>
      </w:tr>
      <w:tr w:rsidR="001774D9" w14:paraId="293C7FA9" w14:textId="77777777">
        <w:tc>
          <w:tcPr>
            <w:tcW w:w="3240" w:type="dxa"/>
          </w:tcPr>
          <w:p w14:paraId="7332A0E3" w14:textId="77777777" w:rsidR="005B7178" w:rsidRDefault="005B7178">
            <w:pPr>
              <w:spacing w:before="60" w:after="60"/>
              <w:rPr>
                <w:noProof/>
                <w:sz w:val="20"/>
              </w:rPr>
            </w:pPr>
            <w:r>
              <w:rPr>
                <w:noProof/>
                <w:sz w:val="20"/>
              </w:rPr>
              <w:t>External staff</w:t>
            </w:r>
          </w:p>
        </w:tc>
        <w:tc>
          <w:tcPr>
            <w:tcW w:w="7200" w:type="dxa"/>
          </w:tcPr>
          <w:p w14:paraId="78532843" w14:textId="77777777" w:rsidR="005B7178" w:rsidRDefault="005B7178">
            <w:pPr>
              <w:rPr>
                <w:noProof/>
                <w:sz w:val="20"/>
              </w:rPr>
            </w:pPr>
          </w:p>
        </w:tc>
      </w:tr>
    </w:tbl>
    <w:p w14:paraId="10FA50D6" w14:textId="77777777" w:rsidR="005B7178" w:rsidRDefault="005B7178" w:rsidP="00F67E4F">
      <w:pPr>
        <w:pStyle w:val="ManualHeading3"/>
        <w:rPr>
          <w:noProof/>
        </w:rPr>
      </w:pPr>
      <w:r>
        <w:rPr>
          <w:noProof/>
        </w:rPr>
        <w:t>3.2.5.</w:t>
      </w:r>
      <w:r>
        <w:rPr>
          <w:noProof/>
        </w:rPr>
        <w:tab/>
      </w:r>
      <w:r w:rsidRPr="000C2E25">
        <w:rPr>
          <w:noProof/>
        </w:rPr>
        <w:t xml:space="preserve">Overview of estimated impact on </w:t>
      </w:r>
      <w:r>
        <w:rPr>
          <w:noProof/>
        </w:rPr>
        <w:t>d</w:t>
      </w:r>
      <w:r w:rsidRPr="000C2E25">
        <w:rPr>
          <w:noProof/>
        </w:rPr>
        <w:t>igital</w:t>
      </w:r>
      <w:r>
        <w:rPr>
          <w:noProof/>
        </w:rPr>
        <w:t xml:space="preserve"> technology-</w:t>
      </w:r>
      <w:r w:rsidRPr="000C2E25">
        <w:rPr>
          <w:noProof/>
        </w:rPr>
        <w:t xml:space="preserve">related </w:t>
      </w:r>
      <w:r>
        <w:rPr>
          <w:noProof/>
        </w:rPr>
        <w:t>investments</w:t>
      </w:r>
    </w:p>
    <w:p w14:paraId="6DFBDE6E" w14:textId="77777777" w:rsidR="005B7178" w:rsidRDefault="005B7178" w:rsidP="00F67E4F">
      <w:pPr>
        <w:pStyle w:val="Text1"/>
        <w:spacing w:line="259" w:lineRule="auto"/>
        <w:rPr>
          <w:noProof/>
        </w:rPr>
      </w:pPr>
    </w:p>
    <w:tbl>
      <w:tblPr>
        <w:tblW w:w="5000" w:type="pct"/>
        <w:tblLook w:val="04A0" w:firstRow="1" w:lastRow="0" w:firstColumn="1" w:lastColumn="0" w:noHBand="0" w:noVBand="1"/>
      </w:tblPr>
      <w:tblGrid>
        <w:gridCol w:w="2305"/>
        <w:gridCol w:w="1525"/>
        <w:gridCol w:w="1525"/>
        <w:gridCol w:w="1522"/>
        <w:gridCol w:w="1525"/>
        <w:gridCol w:w="1525"/>
        <w:gridCol w:w="1525"/>
        <w:gridCol w:w="1525"/>
        <w:gridCol w:w="1575"/>
      </w:tblGrid>
      <w:tr w:rsidR="00F8020B" w:rsidRPr="00186919" w14:paraId="6542DDC3" w14:textId="77777777">
        <w:trPr>
          <w:trHeight w:val="650"/>
        </w:trPr>
        <w:tc>
          <w:tcPr>
            <w:tcW w:w="792" w:type="pct"/>
            <w:vMerge w:val="restart"/>
            <w:tcBorders>
              <w:top w:val="single" w:sz="8" w:space="0" w:color="auto"/>
              <w:left w:val="single" w:sz="8" w:space="0" w:color="auto"/>
              <w:bottom w:val="nil"/>
              <w:right w:val="single" w:sz="8" w:space="0" w:color="auto"/>
            </w:tcBorders>
            <w:vAlign w:val="center"/>
            <w:hideMark/>
          </w:tcPr>
          <w:p w14:paraId="7291271B"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TOTAL Digital and IT appropriations</w:t>
            </w:r>
          </w:p>
        </w:tc>
        <w:tc>
          <w:tcPr>
            <w:tcW w:w="524" w:type="pct"/>
            <w:tcBorders>
              <w:top w:val="single" w:sz="8" w:space="0" w:color="auto"/>
              <w:left w:val="nil"/>
              <w:bottom w:val="nil"/>
              <w:right w:val="single" w:sz="8" w:space="0" w:color="auto"/>
            </w:tcBorders>
            <w:vAlign w:val="center"/>
            <w:hideMark/>
          </w:tcPr>
          <w:p w14:paraId="45962E78" w14:textId="77777777" w:rsidR="005B7178" w:rsidRPr="00186919" w:rsidRDefault="005B7178">
            <w:pPr>
              <w:spacing w:before="0" w:after="0"/>
              <w:jc w:val="center"/>
              <w:rPr>
                <w:rFonts w:eastAsia="Times New Roman"/>
                <w:noProof/>
                <w:color w:val="000000"/>
                <w:sz w:val="18"/>
                <w:szCs w:val="18"/>
                <w:lang w:val="en-IE" w:eastAsia="en-IE"/>
              </w:rPr>
            </w:pPr>
            <w:r w:rsidRPr="00186919">
              <w:rPr>
                <w:rFonts w:eastAsia="Times New Roman"/>
                <w:noProof/>
                <w:color w:val="000000" w:themeColor="text1"/>
                <w:sz w:val="18"/>
                <w:szCs w:val="18"/>
                <w:lang w:eastAsia="en-IE"/>
              </w:rPr>
              <w:t>Year</w:t>
            </w:r>
          </w:p>
        </w:tc>
        <w:tc>
          <w:tcPr>
            <w:tcW w:w="524" w:type="pct"/>
            <w:tcBorders>
              <w:top w:val="single" w:sz="8" w:space="0" w:color="auto"/>
              <w:left w:val="nil"/>
              <w:bottom w:val="nil"/>
              <w:right w:val="single" w:sz="8" w:space="0" w:color="auto"/>
            </w:tcBorders>
            <w:vAlign w:val="center"/>
            <w:hideMark/>
          </w:tcPr>
          <w:p w14:paraId="2D818E95" w14:textId="77777777" w:rsidR="005B7178" w:rsidRPr="00186919" w:rsidRDefault="005B7178">
            <w:pPr>
              <w:spacing w:before="0" w:after="0"/>
              <w:jc w:val="center"/>
              <w:rPr>
                <w:rFonts w:eastAsia="Times New Roman"/>
                <w:noProof/>
                <w:color w:val="000000"/>
                <w:sz w:val="18"/>
                <w:szCs w:val="18"/>
                <w:lang w:val="en-IE" w:eastAsia="en-IE"/>
              </w:rPr>
            </w:pPr>
            <w:r w:rsidRPr="00186919">
              <w:rPr>
                <w:rFonts w:eastAsia="Times New Roman"/>
                <w:noProof/>
                <w:color w:val="000000" w:themeColor="text1"/>
                <w:sz w:val="18"/>
                <w:szCs w:val="18"/>
                <w:lang w:eastAsia="en-IE"/>
              </w:rPr>
              <w:t>Year</w:t>
            </w:r>
          </w:p>
        </w:tc>
        <w:tc>
          <w:tcPr>
            <w:tcW w:w="523" w:type="pct"/>
            <w:tcBorders>
              <w:top w:val="single" w:sz="8" w:space="0" w:color="auto"/>
              <w:left w:val="nil"/>
              <w:bottom w:val="nil"/>
              <w:right w:val="single" w:sz="8" w:space="0" w:color="auto"/>
            </w:tcBorders>
            <w:vAlign w:val="center"/>
            <w:hideMark/>
          </w:tcPr>
          <w:p w14:paraId="5E47AD90" w14:textId="77777777" w:rsidR="005B7178" w:rsidRPr="00186919" w:rsidRDefault="005B7178">
            <w:pPr>
              <w:spacing w:before="0" w:after="0"/>
              <w:jc w:val="center"/>
              <w:rPr>
                <w:rFonts w:eastAsia="Times New Roman"/>
                <w:noProof/>
                <w:color w:val="000000"/>
                <w:sz w:val="18"/>
                <w:szCs w:val="18"/>
                <w:lang w:val="en-IE" w:eastAsia="en-IE"/>
              </w:rPr>
            </w:pPr>
            <w:r w:rsidRPr="00186919">
              <w:rPr>
                <w:rFonts w:eastAsia="Times New Roman"/>
                <w:noProof/>
                <w:color w:val="000000" w:themeColor="text1"/>
                <w:sz w:val="18"/>
                <w:szCs w:val="18"/>
                <w:lang w:eastAsia="en-IE"/>
              </w:rPr>
              <w:t>Year</w:t>
            </w:r>
          </w:p>
        </w:tc>
        <w:tc>
          <w:tcPr>
            <w:tcW w:w="524" w:type="pct"/>
            <w:tcBorders>
              <w:top w:val="single" w:sz="8" w:space="0" w:color="auto"/>
              <w:left w:val="nil"/>
              <w:bottom w:val="nil"/>
              <w:right w:val="single" w:sz="8" w:space="0" w:color="auto"/>
            </w:tcBorders>
            <w:vAlign w:val="center"/>
            <w:hideMark/>
          </w:tcPr>
          <w:p w14:paraId="7EDA596E" w14:textId="77777777" w:rsidR="005B7178" w:rsidRPr="00186919" w:rsidRDefault="005B7178">
            <w:pPr>
              <w:spacing w:before="0" w:after="0"/>
              <w:jc w:val="center"/>
              <w:rPr>
                <w:rFonts w:eastAsia="Times New Roman"/>
                <w:noProof/>
                <w:color w:val="000000"/>
                <w:sz w:val="18"/>
                <w:szCs w:val="18"/>
                <w:lang w:val="en-IE" w:eastAsia="en-IE"/>
              </w:rPr>
            </w:pPr>
            <w:r w:rsidRPr="00186919">
              <w:rPr>
                <w:rFonts w:eastAsia="Times New Roman"/>
                <w:noProof/>
                <w:color w:val="000000" w:themeColor="text1"/>
                <w:sz w:val="18"/>
                <w:szCs w:val="18"/>
                <w:lang w:eastAsia="en-IE"/>
              </w:rPr>
              <w:t>Year</w:t>
            </w:r>
          </w:p>
        </w:tc>
        <w:tc>
          <w:tcPr>
            <w:tcW w:w="524" w:type="pct"/>
            <w:tcBorders>
              <w:top w:val="single" w:sz="8" w:space="0" w:color="auto"/>
              <w:left w:val="nil"/>
              <w:bottom w:val="nil"/>
              <w:right w:val="single" w:sz="8" w:space="0" w:color="auto"/>
            </w:tcBorders>
            <w:vAlign w:val="center"/>
            <w:hideMark/>
          </w:tcPr>
          <w:p w14:paraId="19A5D549" w14:textId="77777777" w:rsidR="005B7178" w:rsidRPr="00186919" w:rsidRDefault="005B7178">
            <w:pPr>
              <w:spacing w:before="0" w:after="0"/>
              <w:jc w:val="center"/>
              <w:rPr>
                <w:rFonts w:eastAsia="Times New Roman"/>
                <w:noProof/>
                <w:color w:val="000000"/>
                <w:sz w:val="18"/>
                <w:szCs w:val="18"/>
                <w:lang w:val="en-IE" w:eastAsia="en-IE"/>
              </w:rPr>
            </w:pPr>
            <w:r w:rsidRPr="00186919">
              <w:rPr>
                <w:rFonts w:eastAsia="Times New Roman"/>
                <w:noProof/>
                <w:color w:val="000000" w:themeColor="text1"/>
                <w:sz w:val="18"/>
                <w:szCs w:val="18"/>
                <w:lang w:eastAsia="en-IE"/>
              </w:rPr>
              <w:t>Year</w:t>
            </w:r>
          </w:p>
        </w:tc>
        <w:tc>
          <w:tcPr>
            <w:tcW w:w="524" w:type="pct"/>
            <w:tcBorders>
              <w:top w:val="single" w:sz="8" w:space="0" w:color="auto"/>
              <w:left w:val="nil"/>
              <w:bottom w:val="nil"/>
              <w:right w:val="single" w:sz="8" w:space="0" w:color="auto"/>
            </w:tcBorders>
            <w:vAlign w:val="center"/>
            <w:hideMark/>
          </w:tcPr>
          <w:p w14:paraId="09F422F8" w14:textId="77777777" w:rsidR="005B7178" w:rsidRPr="00186919" w:rsidRDefault="005B7178">
            <w:pPr>
              <w:spacing w:before="0" w:after="0"/>
              <w:jc w:val="center"/>
              <w:rPr>
                <w:rFonts w:eastAsia="Times New Roman"/>
                <w:noProof/>
                <w:color w:val="000000"/>
                <w:sz w:val="18"/>
                <w:szCs w:val="18"/>
                <w:lang w:val="en-IE" w:eastAsia="en-IE"/>
              </w:rPr>
            </w:pPr>
            <w:r w:rsidRPr="00186919">
              <w:rPr>
                <w:rFonts w:eastAsia="Times New Roman"/>
                <w:noProof/>
                <w:color w:val="000000" w:themeColor="text1"/>
                <w:sz w:val="18"/>
                <w:szCs w:val="18"/>
                <w:lang w:eastAsia="en-IE"/>
              </w:rPr>
              <w:t>Year</w:t>
            </w:r>
          </w:p>
        </w:tc>
        <w:tc>
          <w:tcPr>
            <w:tcW w:w="524" w:type="pct"/>
            <w:tcBorders>
              <w:top w:val="single" w:sz="8" w:space="0" w:color="auto"/>
              <w:left w:val="nil"/>
              <w:bottom w:val="nil"/>
              <w:right w:val="single" w:sz="8" w:space="0" w:color="auto"/>
            </w:tcBorders>
            <w:vAlign w:val="center"/>
            <w:hideMark/>
          </w:tcPr>
          <w:p w14:paraId="75EE4893" w14:textId="77777777" w:rsidR="005B7178" w:rsidRPr="00186919" w:rsidRDefault="005B7178">
            <w:pPr>
              <w:spacing w:before="0" w:after="0"/>
              <w:jc w:val="center"/>
              <w:rPr>
                <w:rFonts w:eastAsia="Times New Roman"/>
                <w:noProof/>
                <w:color w:val="000000"/>
                <w:sz w:val="18"/>
                <w:szCs w:val="18"/>
                <w:lang w:val="en-IE" w:eastAsia="en-IE"/>
              </w:rPr>
            </w:pPr>
            <w:r w:rsidRPr="00186919">
              <w:rPr>
                <w:rFonts w:eastAsia="Times New Roman"/>
                <w:noProof/>
                <w:color w:val="000000" w:themeColor="text1"/>
                <w:sz w:val="18"/>
                <w:szCs w:val="18"/>
                <w:lang w:eastAsia="en-IE"/>
              </w:rPr>
              <w:t>Year</w:t>
            </w:r>
          </w:p>
        </w:tc>
        <w:tc>
          <w:tcPr>
            <w:tcW w:w="543" w:type="pct"/>
            <w:vMerge w:val="restart"/>
            <w:tcBorders>
              <w:top w:val="single" w:sz="8" w:space="0" w:color="auto"/>
              <w:left w:val="single" w:sz="8" w:space="0" w:color="auto"/>
              <w:bottom w:val="single" w:sz="8" w:space="0" w:color="000000" w:themeColor="text1"/>
              <w:right w:val="single" w:sz="8" w:space="0" w:color="auto"/>
            </w:tcBorders>
            <w:vAlign w:val="center"/>
            <w:hideMark/>
          </w:tcPr>
          <w:p w14:paraId="5163305A"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TOTAL MFF 2028 - 2034</w:t>
            </w:r>
          </w:p>
        </w:tc>
      </w:tr>
      <w:tr w:rsidR="00F8020B" w:rsidRPr="00186919" w14:paraId="062A0C3F" w14:textId="77777777">
        <w:trPr>
          <w:trHeight w:val="300"/>
        </w:trPr>
        <w:tc>
          <w:tcPr>
            <w:tcW w:w="792" w:type="pct"/>
            <w:vMerge/>
            <w:vAlign w:val="center"/>
            <w:hideMark/>
          </w:tcPr>
          <w:p w14:paraId="51425F5A" w14:textId="77777777" w:rsidR="005B7178" w:rsidRPr="00186919" w:rsidRDefault="005B7178">
            <w:pPr>
              <w:spacing w:before="0" w:after="0"/>
              <w:jc w:val="left"/>
              <w:rPr>
                <w:rFonts w:eastAsia="Times New Roman"/>
                <w:b/>
                <w:bCs/>
                <w:noProof/>
                <w:color w:val="000000"/>
                <w:sz w:val="18"/>
                <w:szCs w:val="18"/>
                <w:lang w:val="en-IE" w:eastAsia="en-IE"/>
              </w:rPr>
            </w:pPr>
          </w:p>
        </w:tc>
        <w:tc>
          <w:tcPr>
            <w:tcW w:w="524" w:type="pct"/>
            <w:tcBorders>
              <w:top w:val="nil"/>
              <w:left w:val="nil"/>
              <w:bottom w:val="single" w:sz="8" w:space="0" w:color="auto"/>
              <w:right w:val="single" w:sz="8" w:space="0" w:color="auto"/>
            </w:tcBorders>
            <w:vAlign w:val="center"/>
            <w:hideMark/>
          </w:tcPr>
          <w:p w14:paraId="7A50CD8B"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2028</w:t>
            </w:r>
          </w:p>
        </w:tc>
        <w:tc>
          <w:tcPr>
            <w:tcW w:w="524" w:type="pct"/>
            <w:tcBorders>
              <w:top w:val="nil"/>
              <w:left w:val="nil"/>
              <w:bottom w:val="single" w:sz="8" w:space="0" w:color="auto"/>
              <w:right w:val="single" w:sz="8" w:space="0" w:color="auto"/>
            </w:tcBorders>
            <w:vAlign w:val="center"/>
            <w:hideMark/>
          </w:tcPr>
          <w:p w14:paraId="08EA4323"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2029</w:t>
            </w:r>
          </w:p>
        </w:tc>
        <w:tc>
          <w:tcPr>
            <w:tcW w:w="523" w:type="pct"/>
            <w:tcBorders>
              <w:top w:val="nil"/>
              <w:left w:val="nil"/>
              <w:bottom w:val="single" w:sz="8" w:space="0" w:color="auto"/>
              <w:right w:val="single" w:sz="8" w:space="0" w:color="auto"/>
            </w:tcBorders>
            <w:vAlign w:val="center"/>
            <w:hideMark/>
          </w:tcPr>
          <w:p w14:paraId="1E1E5016"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2030</w:t>
            </w:r>
          </w:p>
        </w:tc>
        <w:tc>
          <w:tcPr>
            <w:tcW w:w="524" w:type="pct"/>
            <w:tcBorders>
              <w:top w:val="nil"/>
              <w:left w:val="nil"/>
              <w:bottom w:val="single" w:sz="8" w:space="0" w:color="auto"/>
              <w:right w:val="single" w:sz="8" w:space="0" w:color="auto"/>
            </w:tcBorders>
            <w:vAlign w:val="center"/>
            <w:hideMark/>
          </w:tcPr>
          <w:p w14:paraId="0BF32294"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2031</w:t>
            </w:r>
          </w:p>
        </w:tc>
        <w:tc>
          <w:tcPr>
            <w:tcW w:w="524" w:type="pct"/>
            <w:tcBorders>
              <w:top w:val="nil"/>
              <w:left w:val="nil"/>
              <w:bottom w:val="single" w:sz="8" w:space="0" w:color="auto"/>
              <w:right w:val="single" w:sz="8" w:space="0" w:color="auto"/>
            </w:tcBorders>
            <w:vAlign w:val="center"/>
            <w:hideMark/>
          </w:tcPr>
          <w:p w14:paraId="09823F4B"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2032</w:t>
            </w:r>
          </w:p>
        </w:tc>
        <w:tc>
          <w:tcPr>
            <w:tcW w:w="524" w:type="pct"/>
            <w:tcBorders>
              <w:top w:val="nil"/>
              <w:left w:val="nil"/>
              <w:bottom w:val="single" w:sz="8" w:space="0" w:color="auto"/>
              <w:right w:val="single" w:sz="8" w:space="0" w:color="auto"/>
            </w:tcBorders>
            <w:vAlign w:val="center"/>
            <w:hideMark/>
          </w:tcPr>
          <w:p w14:paraId="64C2C436"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2033</w:t>
            </w:r>
          </w:p>
        </w:tc>
        <w:tc>
          <w:tcPr>
            <w:tcW w:w="524" w:type="pct"/>
            <w:tcBorders>
              <w:top w:val="nil"/>
              <w:left w:val="nil"/>
              <w:bottom w:val="single" w:sz="8" w:space="0" w:color="auto"/>
              <w:right w:val="single" w:sz="8" w:space="0" w:color="auto"/>
            </w:tcBorders>
            <w:vAlign w:val="center"/>
            <w:hideMark/>
          </w:tcPr>
          <w:p w14:paraId="1EEE2CA7" w14:textId="77777777" w:rsidR="005B7178" w:rsidRPr="00186919" w:rsidRDefault="005B7178">
            <w:pPr>
              <w:spacing w:before="0" w:after="0"/>
              <w:jc w:val="center"/>
              <w:rPr>
                <w:rFonts w:eastAsia="Times New Roman"/>
                <w:b/>
                <w:bCs/>
                <w:noProof/>
                <w:color w:val="000000"/>
                <w:sz w:val="18"/>
                <w:szCs w:val="18"/>
                <w:lang w:val="en-IE" w:eastAsia="en-IE"/>
              </w:rPr>
            </w:pPr>
            <w:r w:rsidRPr="00186919">
              <w:rPr>
                <w:rFonts w:eastAsia="Times New Roman"/>
                <w:b/>
                <w:bCs/>
                <w:noProof/>
                <w:color w:val="000000" w:themeColor="text1"/>
                <w:sz w:val="18"/>
                <w:szCs w:val="18"/>
                <w:lang w:eastAsia="en-IE"/>
              </w:rPr>
              <w:t>2034</w:t>
            </w:r>
          </w:p>
        </w:tc>
        <w:tc>
          <w:tcPr>
            <w:tcW w:w="543" w:type="pct"/>
            <w:vMerge/>
            <w:vAlign w:val="center"/>
            <w:hideMark/>
          </w:tcPr>
          <w:p w14:paraId="3233BEC3" w14:textId="77777777" w:rsidR="005B7178" w:rsidRPr="00186919" w:rsidRDefault="005B7178">
            <w:pPr>
              <w:spacing w:before="0" w:after="0"/>
              <w:jc w:val="left"/>
              <w:rPr>
                <w:rFonts w:eastAsia="Times New Roman"/>
                <w:b/>
                <w:bCs/>
                <w:noProof/>
                <w:color w:val="000000"/>
                <w:sz w:val="18"/>
                <w:szCs w:val="18"/>
                <w:lang w:val="en-IE" w:eastAsia="en-IE"/>
              </w:rPr>
            </w:pPr>
          </w:p>
        </w:tc>
      </w:tr>
      <w:tr w:rsidR="00F8020B" w:rsidRPr="00186919" w14:paraId="0F43B9A5" w14:textId="77777777">
        <w:trPr>
          <w:trHeight w:val="300"/>
        </w:trPr>
        <w:tc>
          <w:tcPr>
            <w:tcW w:w="5000" w:type="pct"/>
            <w:gridSpan w:val="9"/>
            <w:tcBorders>
              <w:top w:val="nil"/>
              <w:left w:val="single" w:sz="8" w:space="0" w:color="auto"/>
              <w:bottom w:val="single" w:sz="8" w:space="0" w:color="auto"/>
              <w:right w:val="single" w:sz="8" w:space="0" w:color="000000" w:themeColor="text1"/>
            </w:tcBorders>
            <w:vAlign w:val="center"/>
            <w:hideMark/>
          </w:tcPr>
          <w:p w14:paraId="1624725B" w14:textId="77777777" w:rsidR="005B7178" w:rsidRPr="00186919" w:rsidRDefault="005B7178">
            <w:pPr>
              <w:spacing w:before="0" w:after="0"/>
              <w:jc w:val="left"/>
              <w:rPr>
                <w:rFonts w:eastAsia="Times New Roman"/>
                <w:b/>
                <w:bCs/>
                <w:noProof/>
                <w:color w:val="000000"/>
                <w:sz w:val="16"/>
                <w:szCs w:val="16"/>
                <w:lang w:val="en-IE" w:eastAsia="en-IE"/>
              </w:rPr>
            </w:pPr>
            <w:r w:rsidRPr="1062AEA3">
              <w:rPr>
                <w:rFonts w:eastAsia="Times New Roman"/>
                <w:b/>
                <w:bCs/>
                <w:noProof/>
                <w:color w:val="000000" w:themeColor="text1"/>
                <w:sz w:val="16"/>
                <w:szCs w:val="16"/>
                <w:lang w:eastAsia="en-IE"/>
              </w:rPr>
              <w:lastRenderedPageBreak/>
              <w:t>HEADING 4</w:t>
            </w:r>
          </w:p>
        </w:tc>
      </w:tr>
      <w:tr w:rsidR="00F8020B" w:rsidRPr="00186919" w14:paraId="61799471" w14:textId="77777777">
        <w:trPr>
          <w:trHeight w:val="790"/>
        </w:trPr>
        <w:tc>
          <w:tcPr>
            <w:tcW w:w="792" w:type="pct"/>
            <w:tcBorders>
              <w:top w:val="nil"/>
              <w:left w:val="single" w:sz="8" w:space="0" w:color="auto"/>
              <w:bottom w:val="single" w:sz="8" w:space="0" w:color="auto"/>
              <w:right w:val="single" w:sz="8" w:space="0" w:color="auto"/>
            </w:tcBorders>
            <w:vAlign w:val="center"/>
            <w:hideMark/>
          </w:tcPr>
          <w:p w14:paraId="3435A557" w14:textId="77777777" w:rsidR="005B7178" w:rsidRPr="00186919" w:rsidRDefault="005B7178">
            <w:pPr>
              <w:spacing w:before="0" w:after="0"/>
              <w:jc w:val="left"/>
              <w:rPr>
                <w:rFonts w:ascii="Arial Narrow" w:eastAsia="Times New Roman" w:hAnsi="Arial Narrow"/>
                <w:noProof/>
                <w:color w:val="000000"/>
                <w:sz w:val="20"/>
                <w:szCs w:val="20"/>
                <w:lang w:val="en-IE" w:eastAsia="en-IE"/>
              </w:rPr>
            </w:pPr>
            <w:r w:rsidRPr="00186919">
              <w:rPr>
                <w:rFonts w:ascii="Arial Narrow" w:eastAsia="Times New Roman" w:hAnsi="Arial Narrow"/>
                <w:noProof/>
                <w:color w:val="000000"/>
                <w:sz w:val="20"/>
                <w:szCs w:val="20"/>
                <w:lang w:eastAsia="en-IE"/>
              </w:rPr>
              <w:t>IT expenditure (corporate)</w:t>
            </w:r>
            <w:r w:rsidRPr="00186919">
              <w:rPr>
                <w:rFonts w:eastAsia="Times New Roman"/>
                <w:noProof/>
                <w:color w:val="000000"/>
                <w:sz w:val="16"/>
                <w:szCs w:val="16"/>
                <w:lang w:eastAsia="en-IE"/>
              </w:rPr>
              <w:t xml:space="preserve"> </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0914CF81" w14:textId="77777777" w:rsidR="005B7178" w:rsidRPr="00186919" w:rsidRDefault="005B7178">
            <w:pPr>
              <w:spacing w:before="0" w:after="0"/>
              <w:jc w:val="right"/>
              <w:rPr>
                <w:rFonts w:eastAsia="Times New Roman"/>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7E69339E" w14:textId="77777777" w:rsidR="005B7178" w:rsidRPr="00186919" w:rsidRDefault="005B7178">
            <w:pPr>
              <w:spacing w:before="0" w:after="0"/>
              <w:jc w:val="right"/>
              <w:rPr>
                <w:rFonts w:eastAsia="Times New Roman"/>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3" w:type="pct"/>
            <w:tcBorders>
              <w:top w:val="nil"/>
              <w:left w:val="nil"/>
              <w:bottom w:val="single" w:sz="8" w:space="0" w:color="auto"/>
              <w:right w:val="single" w:sz="8" w:space="0" w:color="auto"/>
            </w:tcBorders>
            <w:shd w:val="clear" w:color="auto" w:fill="D9D9D9" w:themeFill="background1" w:themeFillShade="D9"/>
            <w:vAlign w:val="center"/>
            <w:hideMark/>
          </w:tcPr>
          <w:p w14:paraId="24EE379A" w14:textId="77777777" w:rsidR="005B7178" w:rsidRPr="00186919" w:rsidRDefault="005B7178">
            <w:pPr>
              <w:spacing w:before="0" w:after="0"/>
              <w:jc w:val="right"/>
              <w:rPr>
                <w:rFonts w:eastAsia="Times New Roman"/>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61D7C484" w14:textId="77777777" w:rsidR="005B7178" w:rsidRPr="00186919" w:rsidRDefault="005B7178">
            <w:pPr>
              <w:spacing w:before="0" w:after="0"/>
              <w:jc w:val="right"/>
              <w:rPr>
                <w:rFonts w:eastAsia="Times New Roman"/>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2D9AF749" w14:textId="77777777" w:rsidR="005B7178" w:rsidRPr="00186919" w:rsidRDefault="005B7178">
            <w:pPr>
              <w:spacing w:before="0" w:after="0"/>
              <w:jc w:val="right"/>
              <w:rPr>
                <w:rFonts w:eastAsia="Times New Roman"/>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2D0D849C" w14:textId="77777777" w:rsidR="005B7178" w:rsidRPr="00186919" w:rsidRDefault="005B7178">
            <w:pPr>
              <w:spacing w:before="0" w:after="0"/>
              <w:jc w:val="right"/>
              <w:rPr>
                <w:rFonts w:eastAsia="Times New Roman"/>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7AA52D62" w14:textId="77777777" w:rsidR="005B7178" w:rsidRPr="00186919" w:rsidRDefault="005B7178">
            <w:pPr>
              <w:spacing w:before="0" w:after="0"/>
              <w:jc w:val="right"/>
              <w:rPr>
                <w:rFonts w:eastAsia="Times New Roman"/>
                <w:noProof/>
                <w:color w:val="000000"/>
                <w:sz w:val="16"/>
                <w:szCs w:val="16"/>
                <w:lang w:val="en-IE" w:eastAsia="en-IE"/>
              </w:rPr>
            </w:pPr>
            <w:r w:rsidRPr="4CB40031">
              <w:rPr>
                <w:rFonts w:eastAsia="Times New Roman"/>
                <w:noProof/>
                <w:color w:val="000000" w:themeColor="text1"/>
                <w:sz w:val="16"/>
                <w:szCs w:val="16"/>
                <w:lang w:eastAsia="en-IE"/>
              </w:rPr>
              <w:t>1,804</w:t>
            </w:r>
          </w:p>
        </w:tc>
        <w:tc>
          <w:tcPr>
            <w:tcW w:w="543" w:type="pct"/>
            <w:tcBorders>
              <w:top w:val="nil"/>
              <w:left w:val="nil"/>
              <w:bottom w:val="single" w:sz="8" w:space="0" w:color="auto"/>
              <w:right w:val="single" w:sz="8" w:space="0" w:color="auto"/>
            </w:tcBorders>
            <w:shd w:val="clear" w:color="auto" w:fill="D9D9D9" w:themeFill="background1" w:themeFillShade="D9"/>
            <w:vAlign w:val="center"/>
            <w:hideMark/>
          </w:tcPr>
          <w:p w14:paraId="2DCB0B34"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b/>
                <w:bCs/>
                <w:noProof/>
                <w:color w:val="000000" w:themeColor="text1"/>
                <w:sz w:val="16"/>
                <w:szCs w:val="16"/>
                <w:lang w:eastAsia="en-IE"/>
              </w:rPr>
              <w:t>12,628</w:t>
            </w:r>
          </w:p>
        </w:tc>
      </w:tr>
      <w:tr w:rsidR="00F8020B" w:rsidRPr="00186919" w14:paraId="25B62188" w14:textId="77777777">
        <w:trPr>
          <w:trHeight w:val="430"/>
        </w:trPr>
        <w:tc>
          <w:tcPr>
            <w:tcW w:w="792" w:type="pct"/>
            <w:tcBorders>
              <w:top w:val="nil"/>
              <w:left w:val="single" w:sz="8" w:space="0" w:color="auto"/>
              <w:bottom w:val="single" w:sz="8" w:space="0" w:color="auto"/>
              <w:right w:val="single" w:sz="8" w:space="0" w:color="auto"/>
            </w:tcBorders>
            <w:shd w:val="clear" w:color="auto" w:fill="CCCCCC"/>
            <w:vAlign w:val="center"/>
            <w:hideMark/>
          </w:tcPr>
          <w:p w14:paraId="1040A8FE" w14:textId="77777777" w:rsidR="005B7178" w:rsidRPr="00186919" w:rsidRDefault="005B7178">
            <w:pPr>
              <w:spacing w:before="0" w:after="0"/>
              <w:jc w:val="center"/>
              <w:rPr>
                <w:rFonts w:eastAsia="Times New Roman"/>
                <w:b/>
                <w:bCs/>
                <w:noProof/>
                <w:color w:val="000000"/>
                <w:sz w:val="16"/>
                <w:szCs w:val="16"/>
                <w:lang w:val="en-IE" w:eastAsia="en-IE"/>
              </w:rPr>
            </w:pPr>
            <w:r w:rsidRPr="1062AEA3">
              <w:rPr>
                <w:rFonts w:eastAsia="Times New Roman"/>
                <w:b/>
                <w:bCs/>
                <w:noProof/>
                <w:color w:val="000000" w:themeColor="text1"/>
                <w:sz w:val="16"/>
                <w:szCs w:val="16"/>
                <w:lang w:eastAsia="en-IE"/>
              </w:rPr>
              <w:t xml:space="preserve">Subtotal </w:t>
            </w:r>
            <w:r w:rsidRPr="1062AEA3">
              <w:rPr>
                <w:rFonts w:eastAsia="Times New Roman"/>
                <w:b/>
                <w:bCs/>
                <w:noProof/>
                <w:color w:val="000000" w:themeColor="text1"/>
                <w:sz w:val="16"/>
                <w:szCs w:val="16"/>
                <w:lang w:eastAsia="en-IE"/>
              </w:rPr>
              <w:t>HEADING 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1B9FC801"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5BC89CE3"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3" w:type="pct"/>
            <w:tcBorders>
              <w:top w:val="nil"/>
              <w:left w:val="nil"/>
              <w:bottom w:val="single" w:sz="8" w:space="0" w:color="auto"/>
              <w:right w:val="single" w:sz="8" w:space="0" w:color="auto"/>
            </w:tcBorders>
            <w:shd w:val="clear" w:color="auto" w:fill="D9D9D9" w:themeFill="background1" w:themeFillShade="D9"/>
            <w:vAlign w:val="center"/>
            <w:hideMark/>
          </w:tcPr>
          <w:p w14:paraId="3A379817"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01D28C37"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0559D600"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6273846F"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noProof/>
                <w:color w:val="000000" w:themeColor="text1"/>
                <w:sz w:val="16"/>
                <w:szCs w:val="16"/>
                <w:lang w:eastAsia="en-IE"/>
              </w:rPr>
              <w:t>1,804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04AC7D45"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noProof/>
                <w:color w:val="000000" w:themeColor="text1"/>
                <w:sz w:val="16"/>
                <w:szCs w:val="16"/>
                <w:lang w:eastAsia="en-IE"/>
              </w:rPr>
              <w:t>1,804</w:t>
            </w:r>
          </w:p>
        </w:tc>
        <w:tc>
          <w:tcPr>
            <w:tcW w:w="543" w:type="pct"/>
            <w:tcBorders>
              <w:top w:val="nil"/>
              <w:left w:val="nil"/>
              <w:bottom w:val="single" w:sz="8" w:space="0" w:color="auto"/>
              <w:right w:val="single" w:sz="8" w:space="0" w:color="auto"/>
            </w:tcBorders>
            <w:shd w:val="clear" w:color="auto" w:fill="D9D9D9" w:themeFill="background1" w:themeFillShade="D9"/>
            <w:vAlign w:val="center"/>
            <w:hideMark/>
          </w:tcPr>
          <w:p w14:paraId="684E7A49" w14:textId="77777777" w:rsidR="005B7178" w:rsidRPr="00186919" w:rsidRDefault="005B7178">
            <w:pPr>
              <w:spacing w:before="0" w:after="0"/>
              <w:jc w:val="right"/>
              <w:rPr>
                <w:rFonts w:eastAsia="Times New Roman"/>
                <w:b/>
                <w:bCs/>
                <w:noProof/>
                <w:color w:val="000000"/>
                <w:sz w:val="16"/>
                <w:szCs w:val="16"/>
                <w:lang w:val="en-IE" w:eastAsia="en-IE"/>
              </w:rPr>
            </w:pPr>
            <w:r w:rsidRPr="4CB40031">
              <w:rPr>
                <w:rFonts w:eastAsia="Times New Roman"/>
                <w:b/>
                <w:bCs/>
                <w:noProof/>
                <w:color w:val="000000" w:themeColor="text1"/>
                <w:sz w:val="16"/>
                <w:szCs w:val="16"/>
                <w:lang w:eastAsia="en-IE"/>
              </w:rPr>
              <w:t>12,62</w:t>
            </w:r>
            <w:r>
              <w:rPr>
                <w:rFonts w:eastAsia="Times New Roman"/>
                <w:b/>
                <w:bCs/>
                <w:noProof/>
                <w:color w:val="000000" w:themeColor="text1"/>
                <w:sz w:val="16"/>
                <w:szCs w:val="16"/>
                <w:lang w:eastAsia="en-IE"/>
              </w:rPr>
              <w:t>8</w:t>
            </w:r>
          </w:p>
        </w:tc>
      </w:tr>
      <w:tr w:rsidR="00F8020B" w:rsidRPr="00186919" w14:paraId="125F4791" w14:textId="77777777">
        <w:trPr>
          <w:trHeight w:val="300"/>
        </w:trPr>
        <w:tc>
          <w:tcPr>
            <w:tcW w:w="5000" w:type="pct"/>
            <w:gridSpan w:val="9"/>
            <w:tcBorders>
              <w:top w:val="single" w:sz="8" w:space="0" w:color="auto"/>
              <w:left w:val="single" w:sz="8" w:space="0" w:color="auto"/>
              <w:bottom w:val="single" w:sz="8" w:space="0" w:color="auto"/>
              <w:right w:val="single" w:sz="8" w:space="0" w:color="000000" w:themeColor="text1"/>
            </w:tcBorders>
            <w:vAlign w:val="center"/>
            <w:hideMark/>
          </w:tcPr>
          <w:p w14:paraId="57311E2B" w14:textId="77777777" w:rsidR="005B7178" w:rsidRPr="00186919" w:rsidRDefault="005B7178">
            <w:pPr>
              <w:spacing w:before="0" w:after="0"/>
              <w:jc w:val="left"/>
              <w:rPr>
                <w:rFonts w:eastAsia="Times New Roman"/>
                <w:b/>
                <w:bCs/>
                <w:noProof/>
                <w:color w:val="000000"/>
                <w:sz w:val="16"/>
                <w:szCs w:val="16"/>
                <w:lang w:val="en-IE" w:eastAsia="en-IE"/>
              </w:rPr>
            </w:pPr>
            <w:r w:rsidRPr="1062AEA3">
              <w:rPr>
                <w:rFonts w:eastAsia="Times New Roman"/>
                <w:b/>
                <w:bCs/>
                <w:noProof/>
                <w:color w:val="000000" w:themeColor="text1"/>
                <w:sz w:val="16"/>
                <w:szCs w:val="16"/>
                <w:lang w:eastAsia="en-IE"/>
              </w:rPr>
              <w:t>Outside HEADING 4</w:t>
            </w:r>
          </w:p>
        </w:tc>
      </w:tr>
      <w:tr w:rsidR="00F8020B" w:rsidRPr="00186919" w14:paraId="25DD270C" w14:textId="77777777">
        <w:trPr>
          <w:trHeight w:val="882"/>
        </w:trPr>
        <w:tc>
          <w:tcPr>
            <w:tcW w:w="792" w:type="pct"/>
            <w:tcBorders>
              <w:top w:val="nil"/>
              <w:left w:val="single" w:sz="8" w:space="0" w:color="auto"/>
              <w:bottom w:val="single" w:sz="8" w:space="0" w:color="auto"/>
              <w:right w:val="single" w:sz="8" w:space="0" w:color="auto"/>
            </w:tcBorders>
            <w:vAlign w:val="center"/>
            <w:hideMark/>
          </w:tcPr>
          <w:p w14:paraId="6C494763" w14:textId="77777777" w:rsidR="005B7178" w:rsidRPr="00186919" w:rsidRDefault="005B7178">
            <w:pPr>
              <w:spacing w:before="0" w:after="0"/>
              <w:jc w:val="left"/>
              <w:rPr>
                <w:rFonts w:ascii="Arial Narrow" w:eastAsia="Times New Roman" w:hAnsi="Arial Narrow"/>
                <w:noProof/>
                <w:color w:val="000000"/>
                <w:sz w:val="20"/>
                <w:szCs w:val="20"/>
                <w:lang w:val="en-IE" w:eastAsia="en-IE"/>
              </w:rPr>
            </w:pPr>
            <w:r w:rsidRPr="00186919">
              <w:rPr>
                <w:rFonts w:ascii="Arial Narrow" w:eastAsia="Times New Roman" w:hAnsi="Arial Narrow"/>
                <w:noProof/>
                <w:color w:val="000000"/>
                <w:sz w:val="20"/>
                <w:szCs w:val="20"/>
                <w:lang w:eastAsia="en-IE"/>
              </w:rPr>
              <w:t>Policy IT expenditure on operational programmes</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52448644" w14:textId="77777777" w:rsidR="005B7178" w:rsidRPr="00186919" w:rsidRDefault="005B7178">
            <w:pPr>
              <w:spacing w:before="0" w:after="0"/>
              <w:jc w:val="right"/>
              <w:rPr>
                <w:rFonts w:eastAsia="Times New Roman"/>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29DFCEB9" w14:textId="77777777" w:rsidR="005B7178" w:rsidRPr="00186919" w:rsidRDefault="005B7178">
            <w:pPr>
              <w:spacing w:before="0" w:after="0"/>
              <w:jc w:val="right"/>
              <w:rPr>
                <w:rFonts w:eastAsia="Times New Roman"/>
                <w:noProof/>
                <w:color w:val="000000"/>
                <w:sz w:val="16"/>
                <w:szCs w:val="16"/>
                <w:lang w:val="en-IE" w:eastAsia="en-IE"/>
              </w:rPr>
            </w:pPr>
            <w:r>
              <w:rPr>
                <w:rFonts w:eastAsia="Times New Roman"/>
                <w:noProof/>
                <w:color w:val="000000" w:themeColor="text1"/>
                <w:sz w:val="16"/>
                <w:szCs w:val="16"/>
                <w:lang w:eastAsia="en-IE"/>
              </w:rPr>
              <w:t>8,5</w:t>
            </w:r>
            <w:r w:rsidRPr="4CB40031">
              <w:rPr>
                <w:rFonts w:eastAsia="Times New Roman"/>
                <w:noProof/>
                <w:color w:val="000000" w:themeColor="text1"/>
                <w:sz w:val="16"/>
                <w:szCs w:val="16"/>
                <w:lang w:eastAsia="en-IE"/>
              </w:rPr>
              <w:t>00</w:t>
            </w:r>
          </w:p>
        </w:tc>
        <w:tc>
          <w:tcPr>
            <w:tcW w:w="523" w:type="pct"/>
            <w:tcBorders>
              <w:top w:val="nil"/>
              <w:left w:val="nil"/>
              <w:bottom w:val="single" w:sz="8" w:space="0" w:color="auto"/>
              <w:right w:val="single" w:sz="8" w:space="0" w:color="auto"/>
            </w:tcBorders>
            <w:shd w:val="clear" w:color="auto" w:fill="D9D9D9" w:themeFill="background1" w:themeFillShade="D9"/>
            <w:vAlign w:val="center"/>
            <w:hideMark/>
          </w:tcPr>
          <w:p w14:paraId="0A0A57E4" w14:textId="77777777" w:rsidR="005B7178" w:rsidRPr="00186919" w:rsidRDefault="005B7178">
            <w:pPr>
              <w:spacing w:before="0" w:after="0"/>
              <w:jc w:val="right"/>
              <w:rPr>
                <w:rFonts w:eastAsia="Times New Roman"/>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49DA80A6" w14:textId="77777777" w:rsidR="005B7178" w:rsidRPr="00186919" w:rsidRDefault="005B7178">
            <w:pPr>
              <w:spacing w:before="0" w:after="0"/>
              <w:jc w:val="right"/>
              <w:rPr>
                <w:rFonts w:eastAsia="Times New Roman"/>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5E862A55" w14:textId="77777777" w:rsidR="005B7178" w:rsidRPr="00186919" w:rsidRDefault="005B7178">
            <w:pPr>
              <w:spacing w:before="0" w:after="0"/>
              <w:jc w:val="right"/>
              <w:rPr>
                <w:rFonts w:eastAsia="Times New Roman"/>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5C12EA66" w14:textId="77777777" w:rsidR="005B7178" w:rsidRPr="00186919" w:rsidRDefault="005B7178">
            <w:pPr>
              <w:spacing w:before="0" w:after="0"/>
              <w:jc w:val="right"/>
              <w:rPr>
                <w:rFonts w:eastAsia="Times New Roman"/>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5CB73DFE" w14:textId="77777777" w:rsidR="005B7178" w:rsidRPr="00186919" w:rsidRDefault="005B7178">
            <w:pPr>
              <w:spacing w:before="0" w:after="0"/>
              <w:jc w:val="right"/>
              <w:rPr>
                <w:rFonts w:eastAsia="Times New Roman"/>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43" w:type="pct"/>
            <w:tcBorders>
              <w:top w:val="nil"/>
              <w:left w:val="nil"/>
              <w:bottom w:val="single" w:sz="8" w:space="0" w:color="auto"/>
              <w:right w:val="single" w:sz="8" w:space="0" w:color="auto"/>
            </w:tcBorders>
            <w:shd w:val="clear" w:color="auto" w:fill="D9D9D9" w:themeFill="background1" w:themeFillShade="D9"/>
            <w:vAlign w:val="center"/>
            <w:hideMark/>
          </w:tcPr>
          <w:p w14:paraId="7CD22B89"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59</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5</w:t>
            </w:r>
            <w:r w:rsidRPr="4CB40031">
              <w:rPr>
                <w:rFonts w:eastAsia="Times New Roman"/>
                <w:b/>
                <w:bCs/>
                <w:noProof/>
                <w:color w:val="000000" w:themeColor="text1"/>
                <w:sz w:val="16"/>
                <w:szCs w:val="16"/>
                <w:lang w:eastAsia="en-IE"/>
              </w:rPr>
              <w:t>00</w:t>
            </w:r>
          </w:p>
        </w:tc>
      </w:tr>
      <w:tr w:rsidR="00F8020B" w:rsidRPr="00186919" w14:paraId="1A61FAF9" w14:textId="77777777">
        <w:trPr>
          <w:trHeight w:val="640"/>
        </w:trPr>
        <w:tc>
          <w:tcPr>
            <w:tcW w:w="792" w:type="pct"/>
            <w:tcBorders>
              <w:top w:val="nil"/>
              <w:left w:val="single" w:sz="8" w:space="0" w:color="auto"/>
              <w:bottom w:val="single" w:sz="8" w:space="0" w:color="auto"/>
              <w:right w:val="single" w:sz="8" w:space="0" w:color="auto"/>
            </w:tcBorders>
            <w:shd w:val="clear" w:color="auto" w:fill="CCCCCC"/>
            <w:vAlign w:val="center"/>
            <w:hideMark/>
          </w:tcPr>
          <w:p w14:paraId="302FD000" w14:textId="77777777" w:rsidR="005B7178" w:rsidRPr="00186919" w:rsidRDefault="005B7178">
            <w:pPr>
              <w:spacing w:before="0" w:after="0"/>
              <w:jc w:val="center"/>
              <w:rPr>
                <w:rFonts w:eastAsia="Times New Roman"/>
                <w:b/>
                <w:bCs/>
                <w:noProof/>
                <w:color w:val="000000"/>
                <w:sz w:val="16"/>
                <w:szCs w:val="16"/>
                <w:lang w:val="en-IE" w:eastAsia="en-IE"/>
              </w:rPr>
            </w:pPr>
            <w:r w:rsidRPr="1062AEA3">
              <w:rPr>
                <w:rFonts w:eastAsia="Times New Roman"/>
                <w:b/>
                <w:bCs/>
                <w:noProof/>
                <w:color w:val="000000" w:themeColor="text1"/>
                <w:sz w:val="16"/>
                <w:szCs w:val="16"/>
                <w:lang w:eastAsia="en-IE"/>
              </w:rPr>
              <w:t>Subtotal outside HEADING 4</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354B6545"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2878D6AB"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3" w:type="pct"/>
            <w:tcBorders>
              <w:top w:val="nil"/>
              <w:left w:val="nil"/>
              <w:bottom w:val="single" w:sz="8" w:space="0" w:color="auto"/>
              <w:right w:val="single" w:sz="8" w:space="0" w:color="auto"/>
            </w:tcBorders>
            <w:shd w:val="clear" w:color="auto" w:fill="D9D9D9" w:themeFill="background1" w:themeFillShade="D9"/>
            <w:vAlign w:val="center"/>
            <w:hideMark/>
          </w:tcPr>
          <w:p w14:paraId="3ED0265A"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525C286E"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3487E6B8"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5CAAE3C1"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24" w:type="pct"/>
            <w:tcBorders>
              <w:top w:val="nil"/>
              <w:left w:val="nil"/>
              <w:bottom w:val="single" w:sz="8" w:space="0" w:color="auto"/>
              <w:right w:val="single" w:sz="8" w:space="0" w:color="auto"/>
            </w:tcBorders>
            <w:shd w:val="clear" w:color="auto" w:fill="D9D9D9" w:themeFill="background1" w:themeFillShade="D9"/>
            <w:vAlign w:val="center"/>
            <w:hideMark/>
          </w:tcPr>
          <w:p w14:paraId="22F044D2"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noProof/>
                <w:color w:val="000000" w:themeColor="text1"/>
                <w:sz w:val="16"/>
                <w:szCs w:val="16"/>
                <w:lang w:eastAsia="en-IE"/>
              </w:rPr>
              <w:t>8</w:t>
            </w:r>
            <w:r w:rsidRPr="4CB40031">
              <w:rPr>
                <w:rFonts w:eastAsia="Times New Roman"/>
                <w:noProof/>
                <w:color w:val="000000" w:themeColor="text1"/>
                <w:sz w:val="16"/>
                <w:szCs w:val="16"/>
                <w:lang w:eastAsia="en-IE"/>
              </w:rPr>
              <w:t>,</w:t>
            </w:r>
            <w:r>
              <w:rPr>
                <w:rFonts w:eastAsia="Times New Roman"/>
                <w:noProof/>
                <w:color w:val="000000" w:themeColor="text1"/>
                <w:sz w:val="16"/>
                <w:szCs w:val="16"/>
                <w:lang w:eastAsia="en-IE"/>
              </w:rPr>
              <w:t>5</w:t>
            </w:r>
            <w:r w:rsidRPr="4CB40031">
              <w:rPr>
                <w:rFonts w:eastAsia="Times New Roman"/>
                <w:noProof/>
                <w:color w:val="000000" w:themeColor="text1"/>
                <w:sz w:val="16"/>
                <w:szCs w:val="16"/>
                <w:lang w:eastAsia="en-IE"/>
              </w:rPr>
              <w:t>00</w:t>
            </w:r>
          </w:p>
        </w:tc>
        <w:tc>
          <w:tcPr>
            <w:tcW w:w="543" w:type="pct"/>
            <w:tcBorders>
              <w:top w:val="nil"/>
              <w:left w:val="nil"/>
              <w:bottom w:val="single" w:sz="8" w:space="0" w:color="auto"/>
              <w:right w:val="single" w:sz="8" w:space="0" w:color="auto"/>
            </w:tcBorders>
            <w:shd w:val="clear" w:color="auto" w:fill="D9D9D9" w:themeFill="background1" w:themeFillShade="D9"/>
            <w:vAlign w:val="center"/>
            <w:hideMark/>
          </w:tcPr>
          <w:p w14:paraId="768D00BB"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59</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5</w:t>
            </w:r>
            <w:r w:rsidRPr="4CB40031">
              <w:rPr>
                <w:rFonts w:eastAsia="Times New Roman"/>
                <w:b/>
                <w:bCs/>
                <w:noProof/>
                <w:color w:val="000000" w:themeColor="text1"/>
                <w:sz w:val="16"/>
                <w:szCs w:val="16"/>
                <w:lang w:eastAsia="en-IE"/>
              </w:rPr>
              <w:t>00</w:t>
            </w:r>
          </w:p>
        </w:tc>
      </w:tr>
      <w:tr w:rsidR="00F8020B" w:rsidRPr="00186919" w14:paraId="7F7A5362" w14:textId="77777777">
        <w:trPr>
          <w:trHeight w:val="300"/>
        </w:trPr>
        <w:tc>
          <w:tcPr>
            <w:tcW w:w="5000" w:type="pct"/>
            <w:gridSpan w:val="9"/>
            <w:tcBorders>
              <w:top w:val="single" w:sz="8" w:space="0" w:color="auto"/>
              <w:left w:val="single" w:sz="8" w:space="0" w:color="auto"/>
              <w:bottom w:val="single" w:sz="8" w:space="0" w:color="auto"/>
              <w:right w:val="single" w:sz="8" w:space="0" w:color="000000" w:themeColor="text1"/>
            </w:tcBorders>
            <w:vAlign w:val="center"/>
            <w:hideMark/>
          </w:tcPr>
          <w:p w14:paraId="3BE5F1CF" w14:textId="77777777" w:rsidR="005B7178" w:rsidRPr="00186919" w:rsidRDefault="005B7178">
            <w:pPr>
              <w:spacing w:before="0" w:after="0"/>
              <w:jc w:val="center"/>
              <w:rPr>
                <w:rFonts w:eastAsia="Times New Roman"/>
                <w:noProof/>
                <w:color w:val="000000"/>
                <w:sz w:val="16"/>
                <w:szCs w:val="16"/>
                <w:lang w:val="en-IE" w:eastAsia="en-IE"/>
              </w:rPr>
            </w:pPr>
            <w:r w:rsidRPr="00186919">
              <w:rPr>
                <w:rFonts w:eastAsia="Times New Roman"/>
                <w:noProof/>
                <w:color w:val="000000" w:themeColor="text1"/>
                <w:sz w:val="16"/>
                <w:szCs w:val="16"/>
                <w:lang w:eastAsia="en-IE"/>
              </w:rPr>
              <w:t xml:space="preserve"> </w:t>
            </w:r>
          </w:p>
        </w:tc>
      </w:tr>
      <w:tr w:rsidR="00F8020B" w:rsidRPr="00186919" w14:paraId="5DB69BB7" w14:textId="77777777">
        <w:trPr>
          <w:trHeight w:val="300"/>
        </w:trPr>
        <w:tc>
          <w:tcPr>
            <w:tcW w:w="792" w:type="pct"/>
            <w:tcBorders>
              <w:top w:val="nil"/>
              <w:left w:val="single" w:sz="12" w:space="0" w:color="auto"/>
              <w:bottom w:val="single" w:sz="12" w:space="0" w:color="auto"/>
              <w:right w:val="single" w:sz="8" w:space="0" w:color="auto"/>
            </w:tcBorders>
            <w:vAlign w:val="center"/>
            <w:hideMark/>
          </w:tcPr>
          <w:p w14:paraId="12DDD7DB" w14:textId="77777777" w:rsidR="005B7178" w:rsidRPr="00186919" w:rsidRDefault="005B7178">
            <w:pPr>
              <w:spacing w:before="0" w:after="0"/>
              <w:jc w:val="center"/>
              <w:rPr>
                <w:rFonts w:eastAsia="Times New Roman"/>
                <w:b/>
                <w:bCs/>
                <w:noProof/>
                <w:color w:val="000000"/>
                <w:sz w:val="16"/>
                <w:szCs w:val="16"/>
                <w:lang w:val="en-IE" w:eastAsia="en-IE"/>
              </w:rPr>
            </w:pPr>
            <w:r w:rsidRPr="00186919">
              <w:rPr>
                <w:rFonts w:eastAsia="Times New Roman"/>
                <w:b/>
                <w:bCs/>
                <w:noProof/>
                <w:color w:val="000000" w:themeColor="text1"/>
                <w:sz w:val="16"/>
                <w:szCs w:val="16"/>
                <w:lang w:eastAsia="en-IE"/>
              </w:rPr>
              <w:t>TOTAL</w:t>
            </w:r>
          </w:p>
        </w:tc>
        <w:tc>
          <w:tcPr>
            <w:tcW w:w="524" w:type="pct"/>
            <w:tcBorders>
              <w:top w:val="nil"/>
              <w:left w:val="nil"/>
              <w:bottom w:val="single" w:sz="12" w:space="0" w:color="auto"/>
              <w:right w:val="single" w:sz="8" w:space="0" w:color="auto"/>
            </w:tcBorders>
            <w:shd w:val="clear" w:color="auto" w:fill="D9D9D9" w:themeFill="background1" w:themeFillShade="D9"/>
            <w:vAlign w:val="center"/>
            <w:hideMark/>
          </w:tcPr>
          <w:p w14:paraId="63AEACC5"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10</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3</w:t>
            </w:r>
            <w:r w:rsidRPr="4CB40031">
              <w:rPr>
                <w:rFonts w:eastAsia="Times New Roman"/>
                <w:b/>
                <w:bCs/>
                <w:noProof/>
                <w:color w:val="000000" w:themeColor="text1"/>
                <w:sz w:val="16"/>
                <w:szCs w:val="16"/>
                <w:lang w:eastAsia="en-IE"/>
              </w:rPr>
              <w:t>04</w:t>
            </w:r>
          </w:p>
        </w:tc>
        <w:tc>
          <w:tcPr>
            <w:tcW w:w="524" w:type="pct"/>
            <w:tcBorders>
              <w:top w:val="nil"/>
              <w:left w:val="nil"/>
              <w:bottom w:val="single" w:sz="12" w:space="0" w:color="auto"/>
              <w:right w:val="single" w:sz="8" w:space="0" w:color="auto"/>
            </w:tcBorders>
            <w:shd w:val="clear" w:color="auto" w:fill="D9D9D9" w:themeFill="background1" w:themeFillShade="D9"/>
            <w:vAlign w:val="center"/>
            <w:hideMark/>
          </w:tcPr>
          <w:p w14:paraId="3F26F4F5"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10</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3</w:t>
            </w:r>
            <w:r w:rsidRPr="4CB40031">
              <w:rPr>
                <w:rFonts w:eastAsia="Times New Roman"/>
                <w:b/>
                <w:bCs/>
                <w:noProof/>
                <w:color w:val="000000" w:themeColor="text1"/>
                <w:sz w:val="16"/>
                <w:szCs w:val="16"/>
                <w:lang w:eastAsia="en-IE"/>
              </w:rPr>
              <w:t>04</w:t>
            </w:r>
          </w:p>
        </w:tc>
        <w:tc>
          <w:tcPr>
            <w:tcW w:w="523" w:type="pct"/>
            <w:tcBorders>
              <w:top w:val="nil"/>
              <w:left w:val="nil"/>
              <w:bottom w:val="single" w:sz="12" w:space="0" w:color="auto"/>
              <w:right w:val="single" w:sz="8" w:space="0" w:color="auto"/>
            </w:tcBorders>
            <w:shd w:val="clear" w:color="auto" w:fill="D9D9D9" w:themeFill="background1" w:themeFillShade="D9"/>
            <w:vAlign w:val="center"/>
            <w:hideMark/>
          </w:tcPr>
          <w:p w14:paraId="54902A5A"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10</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3</w:t>
            </w:r>
            <w:r w:rsidRPr="4CB40031">
              <w:rPr>
                <w:rFonts w:eastAsia="Times New Roman"/>
                <w:b/>
                <w:bCs/>
                <w:noProof/>
                <w:color w:val="000000" w:themeColor="text1"/>
                <w:sz w:val="16"/>
                <w:szCs w:val="16"/>
                <w:lang w:eastAsia="en-IE"/>
              </w:rPr>
              <w:t>04</w:t>
            </w:r>
          </w:p>
        </w:tc>
        <w:tc>
          <w:tcPr>
            <w:tcW w:w="524" w:type="pct"/>
            <w:tcBorders>
              <w:top w:val="nil"/>
              <w:left w:val="nil"/>
              <w:bottom w:val="single" w:sz="12" w:space="0" w:color="auto"/>
              <w:right w:val="single" w:sz="8" w:space="0" w:color="auto"/>
            </w:tcBorders>
            <w:shd w:val="clear" w:color="auto" w:fill="D9D9D9" w:themeFill="background1" w:themeFillShade="D9"/>
            <w:vAlign w:val="center"/>
            <w:hideMark/>
          </w:tcPr>
          <w:p w14:paraId="39B5A63F"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10</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3</w:t>
            </w:r>
            <w:r w:rsidRPr="4CB40031">
              <w:rPr>
                <w:rFonts w:eastAsia="Times New Roman"/>
                <w:b/>
                <w:bCs/>
                <w:noProof/>
                <w:color w:val="000000" w:themeColor="text1"/>
                <w:sz w:val="16"/>
                <w:szCs w:val="16"/>
                <w:lang w:eastAsia="en-IE"/>
              </w:rPr>
              <w:t>04</w:t>
            </w:r>
          </w:p>
        </w:tc>
        <w:tc>
          <w:tcPr>
            <w:tcW w:w="524" w:type="pct"/>
            <w:tcBorders>
              <w:top w:val="nil"/>
              <w:left w:val="nil"/>
              <w:bottom w:val="single" w:sz="12" w:space="0" w:color="auto"/>
              <w:right w:val="single" w:sz="8" w:space="0" w:color="auto"/>
            </w:tcBorders>
            <w:shd w:val="clear" w:color="auto" w:fill="D9D9D9" w:themeFill="background1" w:themeFillShade="D9"/>
            <w:vAlign w:val="center"/>
            <w:hideMark/>
          </w:tcPr>
          <w:p w14:paraId="08B799C7"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10</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3</w:t>
            </w:r>
            <w:r w:rsidRPr="4CB40031">
              <w:rPr>
                <w:rFonts w:eastAsia="Times New Roman"/>
                <w:b/>
                <w:bCs/>
                <w:noProof/>
                <w:color w:val="000000" w:themeColor="text1"/>
                <w:sz w:val="16"/>
                <w:szCs w:val="16"/>
                <w:lang w:eastAsia="en-IE"/>
              </w:rPr>
              <w:t>04</w:t>
            </w:r>
          </w:p>
        </w:tc>
        <w:tc>
          <w:tcPr>
            <w:tcW w:w="524" w:type="pct"/>
            <w:tcBorders>
              <w:top w:val="nil"/>
              <w:left w:val="nil"/>
              <w:bottom w:val="single" w:sz="12" w:space="0" w:color="auto"/>
              <w:right w:val="single" w:sz="8" w:space="0" w:color="auto"/>
            </w:tcBorders>
            <w:shd w:val="clear" w:color="auto" w:fill="D9D9D9" w:themeFill="background1" w:themeFillShade="D9"/>
            <w:vAlign w:val="center"/>
            <w:hideMark/>
          </w:tcPr>
          <w:p w14:paraId="0693276F"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10</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3</w:t>
            </w:r>
            <w:r w:rsidRPr="4CB40031">
              <w:rPr>
                <w:rFonts w:eastAsia="Times New Roman"/>
                <w:b/>
                <w:bCs/>
                <w:noProof/>
                <w:color w:val="000000" w:themeColor="text1"/>
                <w:sz w:val="16"/>
                <w:szCs w:val="16"/>
                <w:lang w:eastAsia="en-IE"/>
              </w:rPr>
              <w:t>04</w:t>
            </w:r>
          </w:p>
        </w:tc>
        <w:tc>
          <w:tcPr>
            <w:tcW w:w="524" w:type="pct"/>
            <w:tcBorders>
              <w:top w:val="nil"/>
              <w:left w:val="nil"/>
              <w:bottom w:val="single" w:sz="12" w:space="0" w:color="auto"/>
              <w:right w:val="single" w:sz="8" w:space="0" w:color="auto"/>
            </w:tcBorders>
            <w:shd w:val="clear" w:color="auto" w:fill="D9D9D9" w:themeFill="background1" w:themeFillShade="D9"/>
            <w:vAlign w:val="center"/>
            <w:hideMark/>
          </w:tcPr>
          <w:p w14:paraId="565C9362"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10</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3</w:t>
            </w:r>
            <w:r w:rsidRPr="4CB40031">
              <w:rPr>
                <w:rFonts w:eastAsia="Times New Roman"/>
                <w:b/>
                <w:bCs/>
                <w:noProof/>
                <w:color w:val="000000" w:themeColor="text1"/>
                <w:sz w:val="16"/>
                <w:szCs w:val="16"/>
                <w:lang w:eastAsia="en-IE"/>
              </w:rPr>
              <w:t>04</w:t>
            </w:r>
          </w:p>
        </w:tc>
        <w:tc>
          <w:tcPr>
            <w:tcW w:w="543" w:type="pct"/>
            <w:tcBorders>
              <w:top w:val="nil"/>
              <w:left w:val="nil"/>
              <w:bottom w:val="single" w:sz="12" w:space="0" w:color="auto"/>
              <w:right w:val="single" w:sz="8" w:space="0" w:color="auto"/>
            </w:tcBorders>
            <w:shd w:val="clear" w:color="auto" w:fill="D9D9D9" w:themeFill="background1" w:themeFillShade="D9"/>
            <w:vAlign w:val="center"/>
            <w:hideMark/>
          </w:tcPr>
          <w:p w14:paraId="388EEA13" w14:textId="77777777" w:rsidR="005B7178" w:rsidRPr="00186919" w:rsidRDefault="005B7178">
            <w:pPr>
              <w:spacing w:before="0" w:after="0"/>
              <w:jc w:val="right"/>
              <w:rPr>
                <w:rFonts w:eastAsia="Times New Roman"/>
                <w:b/>
                <w:bCs/>
                <w:noProof/>
                <w:color w:val="000000"/>
                <w:sz w:val="16"/>
                <w:szCs w:val="16"/>
                <w:lang w:val="en-IE" w:eastAsia="en-IE"/>
              </w:rPr>
            </w:pPr>
            <w:r>
              <w:rPr>
                <w:rFonts w:eastAsia="Times New Roman"/>
                <w:b/>
                <w:bCs/>
                <w:noProof/>
                <w:color w:val="000000" w:themeColor="text1"/>
                <w:sz w:val="16"/>
                <w:szCs w:val="16"/>
                <w:lang w:eastAsia="en-IE"/>
              </w:rPr>
              <w:t>72</w:t>
            </w:r>
            <w:r w:rsidRPr="4CB40031">
              <w:rPr>
                <w:rFonts w:eastAsia="Times New Roman"/>
                <w:b/>
                <w:bCs/>
                <w:noProof/>
                <w:color w:val="000000" w:themeColor="text1"/>
                <w:sz w:val="16"/>
                <w:szCs w:val="16"/>
                <w:lang w:eastAsia="en-IE"/>
              </w:rPr>
              <w:t>,</w:t>
            </w:r>
            <w:r>
              <w:rPr>
                <w:rFonts w:eastAsia="Times New Roman"/>
                <w:b/>
                <w:bCs/>
                <w:noProof/>
                <w:color w:val="000000" w:themeColor="text1"/>
                <w:sz w:val="16"/>
                <w:szCs w:val="16"/>
                <w:lang w:eastAsia="en-IE"/>
              </w:rPr>
              <w:t>128</w:t>
            </w:r>
          </w:p>
        </w:tc>
      </w:tr>
    </w:tbl>
    <w:p w14:paraId="418099E4" w14:textId="77777777" w:rsidR="005B7178" w:rsidRDefault="005B7178" w:rsidP="00F67E4F">
      <w:pPr>
        <w:pStyle w:val="Text1"/>
        <w:spacing w:line="259" w:lineRule="auto"/>
        <w:rPr>
          <w:noProof/>
        </w:rPr>
      </w:pPr>
    </w:p>
    <w:bookmarkEnd w:id="12"/>
    <w:p w14:paraId="7D9C9492" w14:textId="77777777" w:rsidR="005B7178" w:rsidRDefault="005B7178" w:rsidP="00F67E4F">
      <w:pPr>
        <w:pStyle w:val="ManualHeading3"/>
        <w:rPr>
          <w:noProof/>
        </w:rPr>
      </w:pPr>
      <w:r w:rsidRPr="0021790A">
        <w:rPr>
          <w:noProof/>
        </w:rPr>
        <w:t>3.2.</w:t>
      </w:r>
      <w:r>
        <w:rPr>
          <w:noProof/>
        </w:rPr>
        <w:t>6</w:t>
      </w:r>
      <w:r w:rsidRPr="0021790A">
        <w:rPr>
          <w:noProof/>
        </w:rPr>
        <w:t>.</w:t>
      </w:r>
      <w:r w:rsidRPr="0021790A">
        <w:rPr>
          <w:noProof/>
        </w:rPr>
        <w:tab/>
      </w:r>
      <w:r>
        <w:rPr>
          <w:noProof/>
        </w:rPr>
        <w:t xml:space="preserve">Compatibility with the current multiannual financial framework </w:t>
      </w:r>
    </w:p>
    <w:p w14:paraId="7AFC8F95" w14:textId="77777777" w:rsidR="005B7178" w:rsidRDefault="005B7178" w:rsidP="00C72F8F">
      <w:pPr>
        <w:pStyle w:val="Text1"/>
        <w:rPr>
          <w:noProof/>
        </w:rPr>
      </w:pPr>
      <w:r w:rsidRPr="43393771">
        <w:rPr>
          <w:noProof/>
        </w:rPr>
        <w:t>The initiative is consistent with the proposal for the MFF 2028-2034.</w:t>
      </w:r>
    </w:p>
    <w:p w14:paraId="461D52B8" w14:textId="77777777" w:rsidR="005B7178" w:rsidRDefault="005B7178" w:rsidP="00F67E4F">
      <w:pPr>
        <w:pStyle w:val="Text1"/>
        <w:rPr>
          <w:noProof/>
        </w:rPr>
      </w:pPr>
    </w:p>
    <w:p w14:paraId="6DFB45F7" w14:textId="77777777" w:rsidR="005B7178" w:rsidRDefault="005B7178" w:rsidP="00F67E4F">
      <w:pPr>
        <w:pStyle w:val="ManualHeading3"/>
        <w:rPr>
          <w:noProof/>
        </w:rPr>
      </w:pPr>
      <w:r w:rsidRPr="0021790A">
        <w:rPr>
          <w:noProof/>
        </w:rPr>
        <w:t>3.2.</w:t>
      </w:r>
      <w:r>
        <w:rPr>
          <w:noProof/>
        </w:rPr>
        <w:t>7</w:t>
      </w:r>
      <w:r w:rsidRPr="0021790A">
        <w:rPr>
          <w:noProof/>
        </w:rPr>
        <w:t>.</w:t>
      </w:r>
      <w:r w:rsidRPr="0021790A">
        <w:rPr>
          <w:noProof/>
        </w:rPr>
        <w:tab/>
      </w:r>
      <w:r>
        <w:rPr>
          <w:noProof/>
        </w:rPr>
        <w:t xml:space="preserve">Third-party contributions </w:t>
      </w:r>
    </w:p>
    <w:p w14:paraId="5BB80EDD" w14:textId="77777777" w:rsidR="005B7178" w:rsidRPr="00386FF5" w:rsidRDefault="005B7178" w:rsidP="00F67E4F">
      <w:pPr>
        <w:pStyle w:val="Text1"/>
        <w:rPr>
          <w:noProof/>
        </w:rPr>
      </w:pPr>
      <w:r w:rsidRPr="007974DD">
        <w:rPr>
          <w:noProof/>
        </w:rPr>
        <w:t xml:space="preserve">The </w:t>
      </w:r>
      <w:r w:rsidRPr="007974DD">
        <w:rPr>
          <w:noProof/>
        </w:rPr>
        <w:t>proposal/initiative:</w:t>
      </w:r>
    </w:p>
    <w:p w14:paraId="3F1F111F" w14:textId="77777777" w:rsidR="005B7178" w:rsidRDefault="005B7178" w:rsidP="00F67E4F">
      <w:pPr>
        <w:pStyle w:val="ListDash1"/>
        <w:rPr>
          <w:noProof/>
        </w:rPr>
      </w:pPr>
      <w:r>
        <w:rPr>
          <w:rFonts w:ascii="Wingdings" w:eastAsia="Wingdings" w:hAnsi="Wingdings" w:cs="Wingdings"/>
          <w:noProof/>
        </w:rPr>
        <w:t></w:t>
      </w:r>
      <w:r>
        <w:rPr>
          <w:noProof/>
        </w:rPr>
        <w:tab/>
        <w:t>does not provide for co-financing by third parties</w:t>
      </w:r>
    </w:p>
    <w:p w14:paraId="25E0AE20" w14:textId="77777777" w:rsidR="005B7178" w:rsidRDefault="005B7178" w:rsidP="00F67E4F">
      <w:pPr>
        <w:pStyle w:val="ListDash1"/>
        <w:rPr>
          <w:noProof/>
        </w:rPr>
      </w:pPr>
      <w:r>
        <w:rPr>
          <w:rFonts w:ascii="Wingdings" w:eastAsia="Wingdings" w:hAnsi="Wingdings" w:cs="Wingdings"/>
          <w:noProof/>
        </w:rPr>
        <w:t></w:t>
      </w:r>
      <w:r>
        <w:rPr>
          <w:noProof/>
        </w:rPr>
        <w:tab/>
        <w:t>provides for the co-financing by third parties estimated below:</w:t>
      </w:r>
    </w:p>
    <w:p w14:paraId="3784CFA0" w14:textId="77777777" w:rsidR="005B7178" w:rsidRPr="003A769F" w:rsidRDefault="005B7178" w:rsidP="00F67E4F">
      <w:pPr>
        <w:jc w:val="right"/>
        <w:rPr>
          <w:noProof/>
          <w:sz w:val="20"/>
          <w:lang w:val="en-IE"/>
        </w:rPr>
      </w:pPr>
      <w:r w:rsidRPr="003A769F">
        <w:rPr>
          <w:noProof/>
          <w:sz w:val="20"/>
          <w:lang w:val="en-IE"/>
        </w:rPr>
        <w:t>Appropriations in EUR million (to three decimal places)</w:t>
      </w:r>
    </w:p>
    <w:tbl>
      <w:tblPr>
        <w:tblW w:w="5000" w:type="pct"/>
        <w:tblLook w:val="04A0" w:firstRow="1" w:lastRow="0" w:firstColumn="1" w:lastColumn="0" w:noHBand="0" w:noVBand="1"/>
      </w:tblPr>
      <w:tblGrid>
        <w:gridCol w:w="2310"/>
        <w:gridCol w:w="1528"/>
        <w:gridCol w:w="1528"/>
        <w:gridCol w:w="1528"/>
        <w:gridCol w:w="1531"/>
        <w:gridCol w:w="1531"/>
        <w:gridCol w:w="1531"/>
        <w:gridCol w:w="1531"/>
        <w:gridCol w:w="1534"/>
      </w:tblGrid>
      <w:tr w:rsidR="00F67E4F" w:rsidRPr="00186919" w14:paraId="25C06B7E" w14:textId="77777777" w:rsidTr="00C933F8">
        <w:trPr>
          <w:cantSplit/>
          <w:trHeight w:val="290"/>
        </w:trPr>
        <w:tc>
          <w:tcPr>
            <w:tcW w:w="794" w:type="pct"/>
            <w:vMerge w:val="restart"/>
            <w:tcBorders>
              <w:top w:val="single" w:sz="8" w:space="0" w:color="auto"/>
              <w:left w:val="single" w:sz="8" w:space="0" w:color="auto"/>
              <w:bottom w:val="single" w:sz="8" w:space="0" w:color="000000"/>
              <w:right w:val="single" w:sz="8" w:space="0" w:color="auto"/>
            </w:tcBorders>
            <w:vAlign w:val="center"/>
            <w:hideMark/>
          </w:tcPr>
          <w:p w14:paraId="7D1E0A55" w14:textId="77777777" w:rsidR="005B7178" w:rsidRPr="00186919" w:rsidRDefault="005B7178">
            <w:pPr>
              <w:spacing w:before="0" w:after="0"/>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5" w:type="pct"/>
            <w:tcBorders>
              <w:top w:val="single" w:sz="8" w:space="0" w:color="auto"/>
              <w:left w:val="nil"/>
              <w:bottom w:val="nil"/>
              <w:right w:val="single" w:sz="8" w:space="0" w:color="auto"/>
            </w:tcBorders>
            <w:vAlign w:val="center"/>
            <w:hideMark/>
          </w:tcPr>
          <w:p w14:paraId="047F5D96"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xml:space="preserve">Year </w:t>
            </w:r>
          </w:p>
        </w:tc>
        <w:tc>
          <w:tcPr>
            <w:tcW w:w="525" w:type="pct"/>
            <w:tcBorders>
              <w:top w:val="single" w:sz="8" w:space="0" w:color="auto"/>
              <w:left w:val="nil"/>
              <w:bottom w:val="nil"/>
              <w:right w:val="single" w:sz="8" w:space="0" w:color="auto"/>
            </w:tcBorders>
            <w:vAlign w:val="center"/>
            <w:hideMark/>
          </w:tcPr>
          <w:p w14:paraId="2535FCF7"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xml:space="preserve">Year </w:t>
            </w:r>
          </w:p>
        </w:tc>
        <w:tc>
          <w:tcPr>
            <w:tcW w:w="525" w:type="pct"/>
            <w:tcBorders>
              <w:top w:val="single" w:sz="8" w:space="0" w:color="auto"/>
              <w:left w:val="nil"/>
              <w:bottom w:val="nil"/>
              <w:right w:val="single" w:sz="8" w:space="0" w:color="auto"/>
            </w:tcBorders>
            <w:vAlign w:val="center"/>
            <w:hideMark/>
          </w:tcPr>
          <w:p w14:paraId="23364F6C"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xml:space="preserve">Year </w:t>
            </w:r>
          </w:p>
        </w:tc>
        <w:tc>
          <w:tcPr>
            <w:tcW w:w="526" w:type="pct"/>
            <w:tcBorders>
              <w:top w:val="single" w:sz="8" w:space="0" w:color="auto"/>
              <w:left w:val="nil"/>
              <w:bottom w:val="nil"/>
              <w:right w:val="single" w:sz="8" w:space="0" w:color="auto"/>
            </w:tcBorders>
            <w:vAlign w:val="center"/>
            <w:hideMark/>
          </w:tcPr>
          <w:p w14:paraId="7591A4D8"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xml:space="preserve">Year </w:t>
            </w:r>
          </w:p>
        </w:tc>
        <w:tc>
          <w:tcPr>
            <w:tcW w:w="526" w:type="pct"/>
            <w:tcBorders>
              <w:top w:val="single" w:sz="8" w:space="0" w:color="auto"/>
              <w:left w:val="nil"/>
              <w:bottom w:val="nil"/>
              <w:right w:val="single" w:sz="8" w:space="0" w:color="auto"/>
            </w:tcBorders>
            <w:vAlign w:val="center"/>
            <w:hideMark/>
          </w:tcPr>
          <w:p w14:paraId="6F6DDEAA"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xml:space="preserve">Year </w:t>
            </w:r>
          </w:p>
        </w:tc>
        <w:tc>
          <w:tcPr>
            <w:tcW w:w="526" w:type="pct"/>
            <w:tcBorders>
              <w:top w:val="single" w:sz="8" w:space="0" w:color="auto"/>
              <w:left w:val="nil"/>
              <w:bottom w:val="nil"/>
              <w:right w:val="single" w:sz="8" w:space="0" w:color="auto"/>
            </w:tcBorders>
            <w:vAlign w:val="center"/>
            <w:hideMark/>
          </w:tcPr>
          <w:p w14:paraId="650404AF"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xml:space="preserve">Year </w:t>
            </w:r>
          </w:p>
        </w:tc>
        <w:tc>
          <w:tcPr>
            <w:tcW w:w="526" w:type="pct"/>
            <w:tcBorders>
              <w:top w:val="single" w:sz="8" w:space="0" w:color="auto"/>
              <w:left w:val="nil"/>
              <w:bottom w:val="nil"/>
              <w:right w:val="single" w:sz="8" w:space="0" w:color="auto"/>
            </w:tcBorders>
            <w:vAlign w:val="center"/>
            <w:hideMark/>
          </w:tcPr>
          <w:p w14:paraId="6634A130"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xml:space="preserve">Year </w:t>
            </w:r>
          </w:p>
        </w:tc>
        <w:tc>
          <w:tcPr>
            <w:tcW w:w="527" w:type="pct"/>
            <w:vMerge w:val="restart"/>
            <w:tcBorders>
              <w:top w:val="single" w:sz="8" w:space="0" w:color="auto"/>
              <w:left w:val="single" w:sz="8" w:space="0" w:color="auto"/>
              <w:bottom w:val="single" w:sz="8" w:space="0" w:color="000000"/>
              <w:right w:val="single" w:sz="8" w:space="0" w:color="auto"/>
            </w:tcBorders>
            <w:vAlign w:val="center"/>
            <w:hideMark/>
          </w:tcPr>
          <w:p w14:paraId="0C1892B2"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Total</w:t>
            </w:r>
          </w:p>
        </w:tc>
      </w:tr>
      <w:tr w:rsidR="00F67E4F" w:rsidRPr="00186919" w14:paraId="039D51BC" w14:textId="77777777" w:rsidTr="00C933F8">
        <w:trPr>
          <w:trHeight w:val="300"/>
        </w:trPr>
        <w:tc>
          <w:tcPr>
            <w:tcW w:w="794" w:type="pct"/>
            <w:vMerge/>
            <w:tcBorders>
              <w:top w:val="single" w:sz="8" w:space="0" w:color="auto"/>
              <w:left w:val="single" w:sz="8" w:space="0" w:color="auto"/>
              <w:bottom w:val="single" w:sz="8" w:space="0" w:color="000000"/>
              <w:right w:val="single" w:sz="8" w:space="0" w:color="auto"/>
            </w:tcBorders>
            <w:vAlign w:val="center"/>
            <w:hideMark/>
          </w:tcPr>
          <w:p w14:paraId="61E8766C" w14:textId="77777777" w:rsidR="005B7178" w:rsidRPr="00186919" w:rsidRDefault="005B7178">
            <w:pPr>
              <w:spacing w:before="0" w:after="0"/>
              <w:jc w:val="left"/>
              <w:rPr>
                <w:rFonts w:eastAsia="Times New Roman"/>
                <w:noProof/>
                <w:color w:val="000000"/>
                <w:sz w:val="20"/>
                <w:szCs w:val="20"/>
                <w:lang w:val="en-IE" w:eastAsia="en-IE"/>
              </w:rPr>
            </w:pPr>
          </w:p>
        </w:tc>
        <w:tc>
          <w:tcPr>
            <w:tcW w:w="525" w:type="pct"/>
            <w:tcBorders>
              <w:top w:val="nil"/>
              <w:left w:val="nil"/>
              <w:bottom w:val="single" w:sz="8" w:space="0" w:color="auto"/>
              <w:right w:val="single" w:sz="8" w:space="0" w:color="auto"/>
            </w:tcBorders>
            <w:vAlign w:val="center"/>
            <w:hideMark/>
          </w:tcPr>
          <w:p w14:paraId="2E13E92C"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lang w:eastAsia="en-IE"/>
              </w:rPr>
              <w:t>2028</w:t>
            </w:r>
          </w:p>
        </w:tc>
        <w:tc>
          <w:tcPr>
            <w:tcW w:w="525" w:type="pct"/>
            <w:tcBorders>
              <w:top w:val="nil"/>
              <w:left w:val="nil"/>
              <w:bottom w:val="single" w:sz="8" w:space="0" w:color="auto"/>
              <w:right w:val="single" w:sz="8" w:space="0" w:color="auto"/>
            </w:tcBorders>
            <w:vAlign w:val="center"/>
            <w:hideMark/>
          </w:tcPr>
          <w:p w14:paraId="4CE511F4"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lang w:eastAsia="en-IE"/>
              </w:rPr>
              <w:t>2029</w:t>
            </w:r>
          </w:p>
        </w:tc>
        <w:tc>
          <w:tcPr>
            <w:tcW w:w="525" w:type="pct"/>
            <w:tcBorders>
              <w:top w:val="nil"/>
              <w:left w:val="nil"/>
              <w:bottom w:val="single" w:sz="8" w:space="0" w:color="auto"/>
              <w:right w:val="single" w:sz="8" w:space="0" w:color="auto"/>
            </w:tcBorders>
            <w:vAlign w:val="center"/>
            <w:hideMark/>
          </w:tcPr>
          <w:p w14:paraId="0AEE96BC"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lang w:eastAsia="en-IE"/>
              </w:rPr>
              <w:t>2030</w:t>
            </w:r>
          </w:p>
        </w:tc>
        <w:tc>
          <w:tcPr>
            <w:tcW w:w="526" w:type="pct"/>
            <w:tcBorders>
              <w:top w:val="nil"/>
              <w:left w:val="nil"/>
              <w:bottom w:val="single" w:sz="8" w:space="0" w:color="auto"/>
              <w:right w:val="single" w:sz="8" w:space="0" w:color="auto"/>
            </w:tcBorders>
            <w:vAlign w:val="center"/>
            <w:hideMark/>
          </w:tcPr>
          <w:p w14:paraId="7E195CA5"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lang w:eastAsia="en-IE"/>
              </w:rPr>
              <w:t>2031</w:t>
            </w:r>
          </w:p>
        </w:tc>
        <w:tc>
          <w:tcPr>
            <w:tcW w:w="526" w:type="pct"/>
            <w:tcBorders>
              <w:top w:val="nil"/>
              <w:left w:val="nil"/>
              <w:bottom w:val="single" w:sz="8" w:space="0" w:color="auto"/>
              <w:right w:val="single" w:sz="8" w:space="0" w:color="auto"/>
            </w:tcBorders>
            <w:vAlign w:val="center"/>
            <w:hideMark/>
          </w:tcPr>
          <w:p w14:paraId="2E04288B"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lang w:eastAsia="en-IE"/>
              </w:rPr>
              <w:t>2032</w:t>
            </w:r>
          </w:p>
        </w:tc>
        <w:tc>
          <w:tcPr>
            <w:tcW w:w="526" w:type="pct"/>
            <w:tcBorders>
              <w:top w:val="nil"/>
              <w:left w:val="nil"/>
              <w:bottom w:val="single" w:sz="8" w:space="0" w:color="auto"/>
              <w:right w:val="single" w:sz="8" w:space="0" w:color="auto"/>
            </w:tcBorders>
            <w:vAlign w:val="center"/>
            <w:hideMark/>
          </w:tcPr>
          <w:p w14:paraId="7094270C"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lang w:eastAsia="en-IE"/>
              </w:rPr>
              <w:t>2033</w:t>
            </w:r>
          </w:p>
        </w:tc>
        <w:tc>
          <w:tcPr>
            <w:tcW w:w="526" w:type="pct"/>
            <w:tcBorders>
              <w:top w:val="nil"/>
              <w:left w:val="nil"/>
              <w:bottom w:val="single" w:sz="8" w:space="0" w:color="auto"/>
              <w:right w:val="single" w:sz="8" w:space="0" w:color="auto"/>
            </w:tcBorders>
            <w:vAlign w:val="center"/>
            <w:hideMark/>
          </w:tcPr>
          <w:p w14:paraId="7EAAED4B" w14:textId="77777777" w:rsidR="005B7178" w:rsidRPr="00186919" w:rsidRDefault="005B7178">
            <w:pPr>
              <w:spacing w:before="0" w:after="0"/>
              <w:jc w:val="center"/>
              <w:rPr>
                <w:rFonts w:eastAsia="Times New Roman"/>
                <w:b/>
                <w:bCs/>
                <w:noProof/>
                <w:color w:val="000000"/>
                <w:sz w:val="20"/>
                <w:szCs w:val="20"/>
                <w:lang w:val="en-IE" w:eastAsia="en-IE"/>
              </w:rPr>
            </w:pPr>
            <w:r w:rsidRPr="00186919">
              <w:rPr>
                <w:rFonts w:eastAsia="Times New Roman"/>
                <w:b/>
                <w:bCs/>
                <w:noProof/>
                <w:color w:val="000000"/>
                <w:sz w:val="20"/>
                <w:lang w:eastAsia="en-IE"/>
              </w:rPr>
              <w:t>2034</w:t>
            </w:r>
          </w:p>
        </w:tc>
        <w:tc>
          <w:tcPr>
            <w:tcW w:w="527" w:type="pct"/>
            <w:vMerge/>
            <w:tcBorders>
              <w:top w:val="single" w:sz="8" w:space="0" w:color="auto"/>
              <w:left w:val="single" w:sz="8" w:space="0" w:color="auto"/>
              <w:bottom w:val="single" w:sz="8" w:space="0" w:color="000000"/>
              <w:right w:val="single" w:sz="8" w:space="0" w:color="auto"/>
            </w:tcBorders>
            <w:vAlign w:val="center"/>
            <w:hideMark/>
          </w:tcPr>
          <w:p w14:paraId="7E5E52D9" w14:textId="77777777" w:rsidR="005B7178" w:rsidRPr="00186919" w:rsidRDefault="005B7178">
            <w:pPr>
              <w:spacing w:before="0" w:after="0"/>
              <w:jc w:val="left"/>
              <w:rPr>
                <w:rFonts w:eastAsia="Times New Roman"/>
                <w:noProof/>
                <w:color w:val="000000"/>
                <w:sz w:val="20"/>
                <w:szCs w:val="20"/>
                <w:lang w:val="en-IE" w:eastAsia="en-IE"/>
              </w:rPr>
            </w:pPr>
          </w:p>
        </w:tc>
      </w:tr>
      <w:tr w:rsidR="00F67E4F" w:rsidRPr="00186919" w14:paraId="2BFBA195" w14:textId="77777777" w:rsidTr="00C933F8">
        <w:trPr>
          <w:cantSplit/>
          <w:trHeight w:val="1050"/>
        </w:trPr>
        <w:tc>
          <w:tcPr>
            <w:tcW w:w="794" w:type="pct"/>
            <w:tcBorders>
              <w:top w:val="nil"/>
              <w:left w:val="single" w:sz="8" w:space="0" w:color="auto"/>
              <w:bottom w:val="single" w:sz="8" w:space="0" w:color="auto"/>
              <w:right w:val="single" w:sz="8" w:space="0" w:color="auto"/>
            </w:tcBorders>
            <w:vAlign w:val="center"/>
            <w:hideMark/>
          </w:tcPr>
          <w:p w14:paraId="4555595C" w14:textId="77777777" w:rsidR="005B7178" w:rsidRPr="00186919" w:rsidRDefault="005B7178">
            <w:pPr>
              <w:spacing w:before="0" w:after="0"/>
              <w:rPr>
                <w:rFonts w:eastAsia="Times New Roman"/>
                <w:noProof/>
                <w:color w:val="000000"/>
                <w:sz w:val="20"/>
                <w:szCs w:val="20"/>
                <w:lang w:val="en-IE" w:eastAsia="en-IE"/>
              </w:rPr>
            </w:pPr>
            <w:r w:rsidRPr="00186919">
              <w:rPr>
                <w:rFonts w:eastAsia="Times New Roman"/>
                <w:noProof/>
                <w:color w:val="000000"/>
                <w:sz w:val="20"/>
                <w:lang w:val="en-IE" w:eastAsia="en-IE"/>
              </w:rPr>
              <w:lastRenderedPageBreak/>
              <w:t>Specify the co-financing body</w:t>
            </w:r>
            <w:r w:rsidRPr="00186919">
              <w:rPr>
                <w:rFonts w:eastAsia="Times New Roman"/>
                <w:i/>
                <w:iCs/>
                <w:noProof/>
                <w:color w:val="000000"/>
                <w:sz w:val="20"/>
                <w:szCs w:val="20"/>
                <w:lang w:val="en-IE" w:eastAsia="en-IE"/>
              </w:rPr>
              <w:t xml:space="preserve"> </w:t>
            </w:r>
          </w:p>
        </w:tc>
        <w:tc>
          <w:tcPr>
            <w:tcW w:w="525" w:type="pct"/>
            <w:tcBorders>
              <w:top w:val="nil"/>
              <w:left w:val="nil"/>
              <w:bottom w:val="single" w:sz="8" w:space="0" w:color="auto"/>
              <w:right w:val="single" w:sz="8" w:space="0" w:color="auto"/>
            </w:tcBorders>
            <w:vAlign w:val="center"/>
            <w:hideMark/>
          </w:tcPr>
          <w:p w14:paraId="765203DF"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5" w:type="pct"/>
            <w:tcBorders>
              <w:top w:val="nil"/>
              <w:left w:val="nil"/>
              <w:bottom w:val="single" w:sz="8" w:space="0" w:color="auto"/>
              <w:right w:val="single" w:sz="8" w:space="0" w:color="auto"/>
            </w:tcBorders>
            <w:vAlign w:val="center"/>
            <w:hideMark/>
          </w:tcPr>
          <w:p w14:paraId="436B7FF7"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5" w:type="pct"/>
            <w:tcBorders>
              <w:top w:val="nil"/>
              <w:left w:val="nil"/>
              <w:bottom w:val="single" w:sz="8" w:space="0" w:color="auto"/>
              <w:right w:val="single" w:sz="8" w:space="0" w:color="auto"/>
            </w:tcBorders>
            <w:vAlign w:val="center"/>
            <w:hideMark/>
          </w:tcPr>
          <w:p w14:paraId="0E190D9C"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6" w:type="pct"/>
            <w:tcBorders>
              <w:top w:val="nil"/>
              <w:left w:val="nil"/>
              <w:bottom w:val="single" w:sz="8" w:space="0" w:color="auto"/>
              <w:right w:val="single" w:sz="8" w:space="0" w:color="auto"/>
            </w:tcBorders>
            <w:vAlign w:val="center"/>
            <w:hideMark/>
          </w:tcPr>
          <w:p w14:paraId="722BDC35"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6" w:type="pct"/>
            <w:tcBorders>
              <w:top w:val="nil"/>
              <w:left w:val="nil"/>
              <w:bottom w:val="single" w:sz="8" w:space="0" w:color="auto"/>
              <w:right w:val="single" w:sz="8" w:space="0" w:color="auto"/>
            </w:tcBorders>
            <w:vAlign w:val="center"/>
            <w:hideMark/>
          </w:tcPr>
          <w:p w14:paraId="17ABC27C"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6" w:type="pct"/>
            <w:tcBorders>
              <w:top w:val="nil"/>
              <w:left w:val="nil"/>
              <w:bottom w:val="single" w:sz="8" w:space="0" w:color="auto"/>
              <w:right w:val="single" w:sz="8" w:space="0" w:color="auto"/>
            </w:tcBorders>
            <w:vAlign w:val="center"/>
            <w:hideMark/>
          </w:tcPr>
          <w:p w14:paraId="3350D1CF"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6" w:type="pct"/>
            <w:tcBorders>
              <w:top w:val="nil"/>
              <w:left w:val="nil"/>
              <w:bottom w:val="single" w:sz="8" w:space="0" w:color="auto"/>
              <w:right w:val="single" w:sz="8" w:space="0" w:color="auto"/>
            </w:tcBorders>
            <w:vAlign w:val="center"/>
            <w:hideMark/>
          </w:tcPr>
          <w:p w14:paraId="3E8DC5F8"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c>
          <w:tcPr>
            <w:tcW w:w="527" w:type="pct"/>
            <w:tcBorders>
              <w:top w:val="nil"/>
              <w:left w:val="nil"/>
              <w:bottom w:val="single" w:sz="8" w:space="0" w:color="auto"/>
              <w:right w:val="single" w:sz="8" w:space="0" w:color="auto"/>
            </w:tcBorders>
            <w:vAlign w:val="center"/>
            <w:hideMark/>
          </w:tcPr>
          <w:p w14:paraId="5FF097C7"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val="en-IE" w:eastAsia="en-IE"/>
              </w:rPr>
              <w:t> </w:t>
            </w:r>
          </w:p>
        </w:tc>
      </w:tr>
      <w:tr w:rsidR="00F67E4F" w:rsidRPr="00186919" w14:paraId="563012CC" w14:textId="77777777" w:rsidTr="00C933F8">
        <w:trPr>
          <w:cantSplit/>
          <w:trHeight w:val="1050"/>
        </w:trPr>
        <w:tc>
          <w:tcPr>
            <w:tcW w:w="794" w:type="pct"/>
            <w:tcBorders>
              <w:top w:val="nil"/>
              <w:left w:val="single" w:sz="8" w:space="0" w:color="auto"/>
              <w:bottom w:val="single" w:sz="8" w:space="0" w:color="auto"/>
              <w:right w:val="single" w:sz="8" w:space="0" w:color="auto"/>
            </w:tcBorders>
            <w:vAlign w:val="center"/>
            <w:hideMark/>
          </w:tcPr>
          <w:p w14:paraId="6F72A75E" w14:textId="77777777" w:rsidR="005B7178" w:rsidRPr="00186919" w:rsidRDefault="005B7178">
            <w:pPr>
              <w:spacing w:before="0" w:after="0"/>
              <w:jc w:val="left"/>
              <w:rPr>
                <w:rFonts w:eastAsia="Times New Roman"/>
                <w:noProof/>
                <w:color w:val="000000"/>
                <w:sz w:val="20"/>
                <w:szCs w:val="20"/>
                <w:lang w:val="en-IE" w:eastAsia="en-IE"/>
              </w:rPr>
            </w:pPr>
            <w:r w:rsidRPr="00186919">
              <w:rPr>
                <w:rFonts w:eastAsia="Times New Roman"/>
                <w:noProof/>
                <w:color w:val="000000"/>
                <w:sz w:val="20"/>
                <w:lang w:eastAsia="en-IE"/>
              </w:rPr>
              <w:t xml:space="preserve">TOTAL appropriations co-financed </w:t>
            </w:r>
          </w:p>
        </w:tc>
        <w:tc>
          <w:tcPr>
            <w:tcW w:w="525" w:type="pct"/>
            <w:tcBorders>
              <w:top w:val="nil"/>
              <w:left w:val="nil"/>
              <w:bottom w:val="single" w:sz="8" w:space="0" w:color="auto"/>
              <w:right w:val="single" w:sz="8" w:space="0" w:color="auto"/>
            </w:tcBorders>
            <w:vAlign w:val="center"/>
            <w:hideMark/>
          </w:tcPr>
          <w:p w14:paraId="1C8BC3FA"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c>
          <w:tcPr>
            <w:tcW w:w="525" w:type="pct"/>
            <w:tcBorders>
              <w:top w:val="nil"/>
              <w:left w:val="nil"/>
              <w:bottom w:val="single" w:sz="8" w:space="0" w:color="auto"/>
              <w:right w:val="single" w:sz="8" w:space="0" w:color="auto"/>
            </w:tcBorders>
            <w:vAlign w:val="center"/>
            <w:hideMark/>
          </w:tcPr>
          <w:p w14:paraId="38EA06FE"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c>
          <w:tcPr>
            <w:tcW w:w="525" w:type="pct"/>
            <w:tcBorders>
              <w:top w:val="nil"/>
              <w:left w:val="nil"/>
              <w:bottom w:val="single" w:sz="8" w:space="0" w:color="auto"/>
              <w:right w:val="single" w:sz="8" w:space="0" w:color="auto"/>
            </w:tcBorders>
            <w:vAlign w:val="center"/>
            <w:hideMark/>
          </w:tcPr>
          <w:p w14:paraId="051B0875"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c>
          <w:tcPr>
            <w:tcW w:w="526" w:type="pct"/>
            <w:tcBorders>
              <w:top w:val="nil"/>
              <w:left w:val="nil"/>
              <w:bottom w:val="single" w:sz="8" w:space="0" w:color="auto"/>
              <w:right w:val="single" w:sz="8" w:space="0" w:color="auto"/>
            </w:tcBorders>
            <w:vAlign w:val="center"/>
            <w:hideMark/>
          </w:tcPr>
          <w:p w14:paraId="79201D3C"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c>
          <w:tcPr>
            <w:tcW w:w="526" w:type="pct"/>
            <w:tcBorders>
              <w:top w:val="nil"/>
              <w:left w:val="nil"/>
              <w:bottom w:val="single" w:sz="8" w:space="0" w:color="auto"/>
              <w:right w:val="single" w:sz="8" w:space="0" w:color="auto"/>
            </w:tcBorders>
            <w:vAlign w:val="center"/>
            <w:hideMark/>
          </w:tcPr>
          <w:p w14:paraId="600E717E"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c>
          <w:tcPr>
            <w:tcW w:w="526" w:type="pct"/>
            <w:tcBorders>
              <w:top w:val="nil"/>
              <w:left w:val="nil"/>
              <w:bottom w:val="single" w:sz="8" w:space="0" w:color="auto"/>
              <w:right w:val="single" w:sz="8" w:space="0" w:color="auto"/>
            </w:tcBorders>
            <w:vAlign w:val="center"/>
            <w:hideMark/>
          </w:tcPr>
          <w:p w14:paraId="2524E1CA"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c>
          <w:tcPr>
            <w:tcW w:w="526" w:type="pct"/>
            <w:tcBorders>
              <w:top w:val="nil"/>
              <w:left w:val="nil"/>
              <w:bottom w:val="single" w:sz="8" w:space="0" w:color="auto"/>
              <w:right w:val="single" w:sz="8" w:space="0" w:color="auto"/>
            </w:tcBorders>
            <w:vAlign w:val="center"/>
            <w:hideMark/>
          </w:tcPr>
          <w:p w14:paraId="12F6D542"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c>
          <w:tcPr>
            <w:tcW w:w="527" w:type="pct"/>
            <w:tcBorders>
              <w:top w:val="nil"/>
              <w:left w:val="nil"/>
              <w:bottom w:val="single" w:sz="8" w:space="0" w:color="auto"/>
              <w:right w:val="single" w:sz="8" w:space="0" w:color="auto"/>
            </w:tcBorders>
            <w:vAlign w:val="center"/>
            <w:hideMark/>
          </w:tcPr>
          <w:p w14:paraId="225FF469" w14:textId="77777777" w:rsidR="005B7178" w:rsidRPr="00186919" w:rsidRDefault="005B7178">
            <w:pPr>
              <w:spacing w:before="0" w:after="0"/>
              <w:jc w:val="center"/>
              <w:rPr>
                <w:rFonts w:eastAsia="Times New Roman"/>
                <w:noProof/>
                <w:color w:val="000000"/>
                <w:sz w:val="20"/>
                <w:szCs w:val="20"/>
                <w:lang w:val="en-IE" w:eastAsia="en-IE"/>
              </w:rPr>
            </w:pPr>
            <w:r w:rsidRPr="00186919">
              <w:rPr>
                <w:rFonts w:eastAsia="Times New Roman"/>
                <w:noProof/>
                <w:color w:val="000000"/>
                <w:sz w:val="20"/>
                <w:lang w:eastAsia="en-IE"/>
              </w:rPr>
              <w:t> </w:t>
            </w:r>
          </w:p>
        </w:tc>
      </w:tr>
    </w:tbl>
    <w:p w14:paraId="0D4DEDDC" w14:textId="77777777" w:rsidR="005B7178" w:rsidRPr="005723F4" w:rsidRDefault="005B7178" w:rsidP="00F67E4F">
      <w:pPr>
        <w:outlineLvl w:val="1"/>
        <w:rPr>
          <w:noProof/>
          <w:szCs w:val="24"/>
        </w:rPr>
      </w:pPr>
      <w:r w:rsidRPr="005723F4">
        <w:rPr>
          <w:noProof/>
        </w:rPr>
        <w:br/>
      </w:r>
      <w:bookmarkStart w:id="13" w:name="_Hlk166860179"/>
      <w:r w:rsidRPr="005723F4">
        <w:rPr>
          <w:noProof/>
        </w:rPr>
        <w:t>3.3.</w:t>
      </w:r>
      <w:r w:rsidRPr="005723F4">
        <w:rPr>
          <w:noProof/>
        </w:rPr>
        <w:tab/>
        <w:t xml:space="preserve">Estimated impact on revenue </w:t>
      </w:r>
    </w:p>
    <w:bookmarkEnd w:id="13"/>
    <w:p w14:paraId="01AACAEC" w14:textId="77777777" w:rsidR="005B7178" w:rsidRDefault="005B7178" w:rsidP="00F67E4F">
      <w:pPr>
        <w:pStyle w:val="ListDash1"/>
        <w:rPr>
          <w:noProof/>
        </w:rPr>
      </w:pPr>
      <w:r>
        <w:rPr>
          <w:rFonts w:ascii="Wingdings" w:eastAsia="Wingdings" w:hAnsi="Wingdings" w:cs="Wingdings"/>
          <w:noProof/>
        </w:rPr>
        <w:t></w:t>
      </w:r>
      <w:r>
        <w:rPr>
          <w:noProof/>
        </w:rPr>
        <w:tab/>
        <w:t>The proposal/initiative has no financial impact on revenue.</w:t>
      </w:r>
    </w:p>
    <w:p w14:paraId="1037637A" w14:textId="77777777" w:rsidR="005B7178" w:rsidRDefault="005B7178" w:rsidP="00F67E4F">
      <w:pPr>
        <w:pStyle w:val="ListDash1"/>
        <w:rPr>
          <w:noProof/>
        </w:rPr>
      </w:pPr>
      <w:r>
        <w:rPr>
          <w:rFonts w:ascii="Wingdings" w:eastAsia="Wingdings" w:hAnsi="Wingdings" w:cs="Wingdings"/>
          <w:noProof/>
        </w:rPr>
        <w:t></w:t>
      </w:r>
      <w:r>
        <w:rPr>
          <w:noProof/>
        </w:rPr>
        <w:tab/>
        <w:t xml:space="preserve">The </w:t>
      </w:r>
      <w:r>
        <w:rPr>
          <w:noProof/>
        </w:rPr>
        <w:t>proposal/initiative has the following financial impact:</w:t>
      </w:r>
    </w:p>
    <w:p w14:paraId="37F00B73" w14:textId="77777777" w:rsidR="005B7178" w:rsidRDefault="005B7178" w:rsidP="00F67E4F">
      <w:pPr>
        <w:pStyle w:val="ListNumberLevel3"/>
        <w:tabs>
          <w:tab w:val="clear" w:pos="2126"/>
          <w:tab w:val="num" w:pos="1843"/>
        </w:tabs>
        <w:rPr>
          <w:noProof/>
        </w:rPr>
      </w:pPr>
      <w:r>
        <w:rPr>
          <w:rFonts w:ascii="Wingdings" w:eastAsia="Wingdings" w:hAnsi="Wingdings" w:cs="Wingdings"/>
          <w:noProof/>
        </w:rPr>
        <w:t></w:t>
      </w:r>
      <w:r>
        <w:rPr>
          <w:noProof/>
        </w:rPr>
        <w:tab/>
        <w:t xml:space="preserve">on own resources </w:t>
      </w:r>
    </w:p>
    <w:p w14:paraId="0EF41A3D" w14:textId="77777777" w:rsidR="005B7178" w:rsidRDefault="005B7178" w:rsidP="00F67E4F">
      <w:pPr>
        <w:pStyle w:val="ListNumberLevel3"/>
        <w:tabs>
          <w:tab w:val="clear" w:pos="2126"/>
          <w:tab w:val="num" w:pos="1843"/>
        </w:tabs>
        <w:rPr>
          <w:noProof/>
        </w:rPr>
      </w:pPr>
      <w:r>
        <w:rPr>
          <w:rFonts w:ascii="Wingdings" w:eastAsia="Wingdings" w:hAnsi="Wingdings" w:cs="Wingdings"/>
          <w:noProof/>
        </w:rPr>
        <w:t></w:t>
      </w:r>
      <w:r>
        <w:rPr>
          <w:noProof/>
        </w:rPr>
        <w:tab/>
        <w:t>on other revenue</w:t>
      </w:r>
    </w:p>
    <w:p w14:paraId="459F595F" w14:textId="77777777" w:rsidR="005B7178" w:rsidRPr="003E2B9D" w:rsidRDefault="005B7178" w:rsidP="00F67E4F">
      <w:pPr>
        <w:pStyle w:val="ListNumberLevel3"/>
        <w:tabs>
          <w:tab w:val="clear" w:pos="2126"/>
          <w:tab w:val="num" w:pos="1843"/>
        </w:tabs>
        <w:rPr>
          <w:noProof/>
        </w:rPr>
      </w:pPr>
      <w:r w:rsidRPr="003E2B9D">
        <w:rPr>
          <w:rFonts w:ascii="Wingdings" w:eastAsia="Wingdings" w:hAnsi="Wingdings" w:cs="Wingdings"/>
          <w:noProof/>
        </w:rPr>
        <w:t></w:t>
      </w:r>
      <w:r w:rsidRPr="003E2B9D">
        <w:rPr>
          <w:rFonts w:ascii="Wingdings" w:eastAsia="Wingdings" w:hAnsi="Wingdings" w:cs="Wingdings"/>
          <w:noProof/>
        </w:rPr>
        <w:tab/>
      </w:r>
      <w:r w:rsidRPr="003E2B9D">
        <w:rPr>
          <w:noProof/>
        </w:rPr>
        <w:t>please</w:t>
      </w:r>
      <w:r w:rsidRPr="009B753E">
        <w:rPr>
          <w:noProof/>
        </w:rPr>
        <w:t xml:space="preserve"> indicate, if the revenue is assigned to expenditure lines</w:t>
      </w:r>
    </w:p>
    <w:p w14:paraId="0D3468BB" w14:textId="77777777" w:rsidR="005B7178" w:rsidRPr="00656209" w:rsidRDefault="005B7178" w:rsidP="00F67E4F">
      <w:pPr>
        <w:jc w:val="right"/>
        <w:rPr>
          <w:noProof/>
          <w:sz w:val="20"/>
          <w:lang w:val="en-IE"/>
        </w:rPr>
      </w:pPr>
      <w:r w:rsidRPr="00656209">
        <w:rPr>
          <w:noProof/>
          <w:sz w:val="20"/>
          <w:lang w:val="en-IE"/>
        </w:rPr>
        <w:t xml:space="preserve">     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2047"/>
        <w:gridCol w:w="1427"/>
        <w:gridCol w:w="1337"/>
        <w:gridCol w:w="1346"/>
        <w:gridCol w:w="1375"/>
        <w:gridCol w:w="1372"/>
        <w:gridCol w:w="1372"/>
        <w:gridCol w:w="1372"/>
      </w:tblGrid>
      <w:tr w:rsidR="00F67E4F" w:rsidRPr="003A769F" w14:paraId="1F93B743" w14:textId="77777777">
        <w:trPr>
          <w:trHeight w:val="388"/>
        </w:trPr>
        <w:tc>
          <w:tcPr>
            <w:tcW w:w="1001" w:type="pct"/>
            <w:vMerge w:val="restart"/>
            <w:vAlign w:val="center"/>
          </w:tcPr>
          <w:p w14:paraId="2EA291E5" w14:textId="77777777" w:rsidR="005B7178" w:rsidRDefault="005B7178">
            <w:pPr>
              <w:spacing w:before="40" w:after="40"/>
              <w:rPr>
                <w:noProof/>
                <w:sz w:val="18"/>
              </w:rPr>
            </w:pPr>
            <w:r>
              <w:rPr>
                <w:noProof/>
                <w:sz w:val="18"/>
              </w:rPr>
              <w:t>Budget revenue line:</w:t>
            </w:r>
          </w:p>
        </w:tc>
        <w:tc>
          <w:tcPr>
            <w:tcW w:w="703" w:type="pct"/>
            <w:vMerge w:val="restart"/>
            <w:vAlign w:val="center"/>
          </w:tcPr>
          <w:p w14:paraId="2DC3CE5E" w14:textId="77777777" w:rsidR="005B7178" w:rsidRPr="003A769F" w:rsidRDefault="005B7178">
            <w:pPr>
              <w:jc w:val="center"/>
              <w:rPr>
                <w:noProof/>
                <w:sz w:val="18"/>
                <w:lang w:val="en-IE"/>
              </w:rPr>
            </w:pPr>
            <w:r w:rsidRPr="003A769F">
              <w:rPr>
                <w:noProof/>
                <w:sz w:val="18"/>
                <w:lang w:val="en-IE"/>
              </w:rPr>
              <w:t>Appropriations available for the current financial year</w:t>
            </w:r>
          </w:p>
        </w:tc>
        <w:tc>
          <w:tcPr>
            <w:tcW w:w="3296" w:type="pct"/>
            <w:gridSpan w:val="7"/>
            <w:vAlign w:val="center"/>
          </w:tcPr>
          <w:p w14:paraId="4BD0AD43" w14:textId="77777777" w:rsidR="005B7178" w:rsidRPr="73D5EDD6" w:rsidRDefault="005B7178">
            <w:pPr>
              <w:jc w:val="center"/>
              <w:rPr>
                <w:noProof/>
                <w:sz w:val="18"/>
                <w:szCs w:val="18"/>
                <w:lang w:val="en-IE"/>
              </w:rPr>
            </w:pPr>
            <w:r w:rsidRPr="73D5EDD6">
              <w:rPr>
                <w:noProof/>
                <w:sz w:val="18"/>
                <w:szCs w:val="18"/>
                <w:lang w:val="en-IE"/>
              </w:rPr>
              <w:t>Impact of the proposal/initiative</w:t>
            </w:r>
            <w:r w:rsidRPr="73D5EDD6">
              <w:rPr>
                <w:rStyle w:val="Allmrkuseviide"/>
                <w:noProof/>
                <w:sz w:val="18"/>
                <w:szCs w:val="18"/>
              </w:rPr>
              <w:footnoteReference w:id="45"/>
            </w:r>
          </w:p>
        </w:tc>
      </w:tr>
      <w:tr w:rsidR="00F67E4F" w:rsidRPr="003A769F" w14:paraId="01132FC3" w14:textId="77777777">
        <w:trPr>
          <w:trHeight w:val="388"/>
        </w:trPr>
        <w:tc>
          <w:tcPr>
            <w:tcW w:w="1001" w:type="pct"/>
            <w:vMerge/>
          </w:tcPr>
          <w:p w14:paraId="00EA499B" w14:textId="77777777" w:rsidR="005B7178" w:rsidRPr="003A769F" w:rsidRDefault="005B7178">
            <w:pPr>
              <w:spacing w:before="40" w:after="40"/>
              <w:rPr>
                <w:noProof/>
                <w:sz w:val="18"/>
                <w:lang w:val="en-IE"/>
              </w:rPr>
            </w:pPr>
          </w:p>
        </w:tc>
        <w:tc>
          <w:tcPr>
            <w:tcW w:w="703" w:type="pct"/>
            <w:vMerge/>
          </w:tcPr>
          <w:p w14:paraId="37165EA1" w14:textId="77777777" w:rsidR="005B7178" w:rsidRPr="003A769F" w:rsidRDefault="005B7178">
            <w:pPr>
              <w:spacing w:beforeLines="40" w:before="96" w:afterLines="40" w:after="96"/>
              <w:rPr>
                <w:i/>
                <w:noProof/>
                <w:sz w:val="18"/>
                <w:lang w:val="en-IE"/>
              </w:rPr>
            </w:pPr>
          </w:p>
        </w:tc>
        <w:tc>
          <w:tcPr>
            <w:tcW w:w="490" w:type="pct"/>
            <w:vAlign w:val="center"/>
          </w:tcPr>
          <w:p w14:paraId="70391D7B" w14:textId="77777777" w:rsidR="005B7178" w:rsidRDefault="005B7178">
            <w:pPr>
              <w:jc w:val="center"/>
              <w:rPr>
                <w:noProof/>
                <w:sz w:val="18"/>
              </w:rPr>
            </w:pPr>
            <w:r>
              <w:rPr>
                <w:noProof/>
                <w:sz w:val="18"/>
              </w:rPr>
              <w:t xml:space="preserve">Year </w:t>
            </w:r>
            <w:r>
              <w:rPr>
                <w:b/>
                <w:noProof/>
                <w:sz w:val="18"/>
              </w:rPr>
              <w:t>2028</w:t>
            </w:r>
          </w:p>
        </w:tc>
        <w:tc>
          <w:tcPr>
            <w:tcW w:w="459" w:type="pct"/>
            <w:vAlign w:val="center"/>
          </w:tcPr>
          <w:p w14:paraId="5A2CD891" w14:textId="77777777" w:rsidR="005B7178" w:rsidRDefault="005B7178">
            <w:pPr>
              <w:jc w:val="center"/>
              <w:rPr>
                <w:noProof/>
                <w:sz w:val="18"/>
              </w:rPr>
            </w:pPr>
            <w:r>
              <w:rPr>
                <w:noProof/>
                <w:sz w:val="18"/>
              </w:rPr>
              <w:t xml:space="preserve">Year </w:t>
            </w:r>
            <w:r>
              <w:rPr>
                <w:b/>
                <w:noProof/>
                <w:sz w:val="18"/>
              </w:rPr>
              <w:t>2029</w:t>
            </w:r>
          </w:p>
        </w:tc>
        <w:tc>
          <w:tcPr>
            <w:tcW w:w="462" w:type="pct"/>
            <w:vAlign w:val="center"/>
          </w:tcPr>
          <w:p w14:paraId="057D0746" w14:textId="77777777" w:rsidR="005B7178" w:rsidRDefault="005B7178">
            <w:pPr>
              <w:jc w:val="center"/>
              <w:rPr>
                <w:noProof/>
                <w:sz w:val="18"/>
              </w:rPr>
            </w:pPr>
            <w:r>
              <w:rPr>
                <w:noProof/>
                <w:sz w:val="18"/>
              </w:rPr>
              <w:t xml:space="preserve">Year </w:t>
            </w:r>
            <w:r>
              <w:rPr>
                <w:b/>
                <w:noProof/>
                <w:sz w:val="18"/>
              </w:rPr>
              <w:t>2030</w:t>
            </w:r>
          </w:p>
        </w:tc>
        <w:tc>
          <w:tcPr>
            <w:tcW w:w="472" w:type="pct"/>
            <w:vAlign w:val="center"/>
          </w:tcPr>
          <w:p w14:paraId="288CBEAE" w14:textId="77777777" w:rsidR="005B7178" w:rsidRDefault="005B7178">
            <w:pPr>
              <w:jc w:val="center"/>
              <w:rPr>
                <w:noProof/>
                <w:sz w:val="18"/>
              </w:rPr>
            </w:pPr>
            <w:r>
              <w:rPr>
                <w:noProof/>
                <w:sz w:val="18"/>
              </w:rPr>
              <w:t xml:space="preserve">Year </w:t>
            </w:r>
            <w:r>
              <w:rPr>
                <w:b/>
                <w:noProof/>
                <w:sz w:val="18"/>
              </w:rPr>
              <w:t>2031</w:t>
            </w:r>
          </w:p>
        </w:tc>
        <w:tc>
          <w:tcPr>
            <w:tcW w:w="471" w:type="pct"/>
          </w:tcPr>
          <w:p w14:paraId="3A7BE02B" w14:textId="77777777" w:rsidR="005B7178" w:rsidRDefault="005B7178">
            <w:pPr>
              <w:jc w:val="center"/>
              <w:rPr>
                <w:noProof/>
                <w:sz w:val="18"/>
              </w:rPr>
            </w:pPr>
            <w:r>
              <w:rPr>
                <w:noProof/>
                <w:sz w:val="18"/>
              </w:rPr>
              <w:t xml:space="preserve">Year </w:t>
            </w:r>
            <w:r w:rsidRPr="008F2493">
              <w:rPr>
                <w:b/>
                <w:bCs/>
                <w:noProof/>
                <w:sz w:val="18"/>
              </w:rPr>
              <w:t>2032</w:t>
            </w:r>
          </w:p>
        </w:tc>
        <w:tc>
          <w:tcPr>
            <w:tcW w:w="471" w:type="pct"/>
          </w:tcPr>
          <w:p w14:paraId="3D53ABFC" w14:textId="77777777" w:rsidR="005B7178" w:rsidRDefault="005B7178">
            <w:pPr>
              <w:jc w:val="center"/>
              <w:rPr>
                <w:noProof/>
                <w:sz w:val="18"/>
              </w:rPr>
            </w:pPr>
            <w:r>
              <w:rPr>
                <w:noProof/>
                <w:sz w:val="18"/>
              </w:rPr>
              <w:t xml:space="preserve">Year </w:t>
            </w:r>
            <w:r w:rsidRPr="008F2493">
              <w:rPr>
                <w:b/>
                <w:bCs/>
                <w:noProof/>
                <w:sz w:val="18"/>
              </w:rPr>
              <w:t>2033</w:t>
            </w:r>
          </w:p>
        </w:tc>
        <w:tc>
          <w:tcPr>
            <w:tcW w:w="471" w:type="pct"/>
          </w:tcPr>
          <w:p w14:paraId="4DF9BEA2" w14:textId="77777777" w:rsidR="005B7178" w:rsidRDefault="005B7178">
            <w:pPr>
              <w:jc w:val="center"/>
              <w:rPr>
                <w:noProof/>
                <w:sz w:val="18"/>
              </w:rPr>
            </w:pPr>
            <w:r>
              <w:rPr>
                <w:noProof/>
                <w:sz w:val="18"/>
              </w:rPr>
              <w:t xml:space="preserve">Year </w:t>
            </w:r>
            <w:r w:rsidRPr="008F2493">
              <w:rPr>
                <w:b/>
                <w:bCs/>
                <w:noProof/>
                <w:sz w:val="18"/>
              </w:rPr>
              <w:t>2034</w:t>
            </w:r>
          </w:p>
        </w:tc>
      </w:tr>
      <w:tr w:rsidR="00F67E4F" w14:paraId="5EF6775B" w14:textId="77777777">
        <w:trPr>
          <w:trHeight w:val="388"/>
        </w:trPr>
        <w:tc>
          <w:tcPr>
            <w:tcW w:w="1001" w:type="pct"/>
            <w:vAlign w:val="center"/>
          </w:tcPr>
          <w:p w14:paraId="581BF653" w14:textId="77777777" w:rsidR="005B7178" w:rsidRDefault="005B7178">
            <w:pPr>
              <w:spacing w:before="40" w:after="40"/>
              <w:rPr>
                <w:noProof/>
                <w:sz w:val="18"/>
              </w:rPr>
            </w:pPr>
            <w:r>
              <w:rPr>
                <w:noProof/>
                <w:sz w:val="18"/>
              </w:rPr>
              <w:t>Article ………….</w:t>
            </w:r>
          </w:p>
        </w:tc>
        <w:tc>
          <w:tcPr>
            <w:tcW w:w="703" w:type="pct"/>
          </w:tcPr>
          <w:p w14:paraId="43C5A79E" w14:textId="77777777" w:rsidR="005B7178" w:rsidRDefault="005B7178">
            <w:pPr>
              <w:spacing w:beforeLines="40" w:before="96" w:afterLines="40" w:after="96"/>
              <w:jc w:val="center"/>
              <w:rPr>
                <w:i/>
                <w:noProof/>
                <w:sz w:val="18"/>
              </w:rPr>
            </w:pPr>
          </w:p>
        </w:tc>
        <w:tc>
          <w:tcPr>
            <w:tcW w:w="490" w:type="pct"/>
          </w:tcPr>
          <w:p w14:paraId="10BC390F" w14:textId="77777777" w:rsidR="005B7178" w:rsidRDefault="005B7178">
            <w:pPr>
              <w:spacing w:beforeLines="40" w:before="96" w:afterLines="40" w:after="96"/>
              <w:jc w:val="center"/>
              <w:rPr>
                <w:noProof/>
                <w:sz w:val="18"/>
              </w:rPr>
            </w:pPr>
          </w:p>
        </w:tc>
        <w:tc>
          <w:tcPr>
            <w:tcW w:w="459" w:type="pct"/>
          </w:tcPr>
          <w:p w14:paraId="1FE5B411" w14:textId="77777777" w:rsidR="005B7178" w:rsidRDefault="005B7178">
            <w:pPr>
              <w:spacing w:beforeLines="40" w:before="96" w:afterLines="40" w:after="96"/>
              <w:jc w:val="center"/>
              <w:rPr>
                <w:noProof/>
                <w:sz w:val="18"/>
              </w:rPr>
            </w:pPr>
          </w:p>
        </w:tc>
        <w:tc>
          <w:tcPr>
            <w:tcW w:w="462" w:type="pct"/>
          </w:tcPr>
          <w:p w14:paraId="4A39ABD2" w14:textId="77777777" w:rsidR="005B7178" w:rsidRDefault="005B7178">
            <w:pPr>
              <w:spacing w:beforeLines="40" w:before="96" w:afterLines="40" w:after="96"/>
              <w:jc w:val="center"/>
              <w:rPr>
                <w:noProof/>
                <w:sz w:val="18"/>
              </w:rPr>
            </w:pPr>
          </w:p>
        </w:tc>
        <w:tc>
          <w:tcPr>
            <w:tcW w:w="472" w:type="pct"/>
          </w:tcPr>
          <w:p w14:paraId="2181613F" w14:textId="77777777" w:rsidR="005B7178" w:rsidRDefault="005B7178">
            <w:pPr>
              <w:spacing w:beforeLines="40" w:before="96" w:afterLines="40" w:after="96"/>
              <w:jc w:val="center"/>
              <w:rPr>
                <w:noProof/>
                <w:sz w:val="18"/>
              </w:rPr>
            </w:pPr>
          </w:p>
        </w:tc>
        <w:tc>
          <w:tcPr>
            <w:tcW w:w="471" w:type="pct"/>
          </w:tcPr>
          <w:p w14:paraId="7B7C6C13" w14:textId="77777777" w:rsidR="005B7178" w:rsidRDefault="005B7178">
            <w:pPr>
              <w:spacing w:beforeLines="40" w:before="96" w:afterLines="40" w:after="96"/>
              <w:jc w:val="center"/>
              <w:rPr>
                <w:noProof/>
                <w:sz w:val="18"/>
              </w:rPr>
            </w:pPr>
          </w:p>
        </w:tc>
        <w:tc>
          <w:tcPr>
            <w:tcW w:w="471" w:type="pct"/>
          </w:tcPr>
          <w:p w14:paraId="6F4B0BF6" w14:textId="77777777" w:rsidR="005B7178" w:rsidRDefault="005B7178">
            <w:pPr>
              <w:spacing w:beforeLines="40" w:before="96" w:afterLines="40" w:after="96"/>
              <w:jc w:val="center"/>
              <w:rPr>
                <w:noProof/>
                <w:sz w:val="18"/>
              </w:rPr>
            </w:pPr>
          </w:p>
        </w:tc>
        <w:tc>
          <w:tcPr>
            <w:tcW w:w="471" w:type="pct"/>
          </w:tcPr>
          <w:p w14:paraId="2D16CE56" w14:textId="77777777" w:rsidR="005B7178" w:rsidRDefault="005B7178">
            <w:pPr>
              <w:spacing w:beforeLines="40" w:before="96" w:afterLines="40" w:after="96"/>
              <w:jc w:val="center"/>
              <w:rPr>
                <w:noProof/>
                <w:sz w:val="18"/>
              </w:rPr>
            </w:pPr>
          </w:p>
        </w:tc>
      </w:tr>
    </w:tbl>
    <w:p w14:paraId="304DCE27" w14:textId="77777777" w:rsidR="005B7178" w:rsidRPr="00B33C43" w:rsidRDefault="005B7178" w:rsidP="00F67E4F">
      <w:pPr>
        <w:pStyle w:val="Text1"/>
        <w:rPr>
          <w:noProof/>
          <w:szCs w:val="24"/>
        </w:rPr>
      </w:pPr>
      <w:r w:rsidRPr="00B33C43">
        <w:rPr>
          <w:noProof/>
          <w:szCs w:val="24"/>
        </w:rPr>
        <w:t>For assigned revenue, specify the budget expenditure line(s) affected.</w:t>
      </w:r>
    </w:p>
    <w:p w14:paraId="33EA7DD1" w14:textId="77777777" w:rsidR="005B7178" w:rsidRDefault="005B7178" w:rsidP="00F67E4F">
      <w:pPr>
        <w:pStyle w:val="Text1"/>
        <w:pBdr>
          <w:top w:val="single" w:sz="4" w:space="1" w:color="auto"/>
          <w:left w:val="single" w:sz="4" w:space="4" w:color="auto"/>
          <w:bottom w:val="single" w:sz="4" w:space="1" w:color="auto"/>
          <w:right w:val="single" w:sz="4" w:space="4" w:color="auto"/>
        </w:pBdr>
        <w:rPr>
          <w:noProof/>
        </w:rPr>
      </w:pPr>
    </w:p>
    <w:p w14:paraId="45E997FD" w14:textId="77777777" w:rsidR="005B7178" w:rsidRPr="00B33C43" w:rsidRDefault="005B7178" w:rsidP="00F67E4F">
      <w:pPr>
        <w:pStyle w:val="Text1"/>
        <w:rPr>
          <w:noProof/>
          <w:szCs w:val="24"/>
        </w:rPr>
      </w:pPr>
      <w:r w:rsidRPr="00B33C43">
        <w:rPr>
          <w:noProof/>
          <w:szCs w:val="24"/>
        </w:rPr>
        <w:t xml:space="preserve">Other remarks (e.g. </w:t>
      </w:r>
      <w:r w:rsidRPr="00B33C43">
        <w:rPr>
          <w:noProof/>
          <w:szCs w:val="24"/>
        </w:rPr>
        <w:t>method/formula used for calculating the impact on revenue or any other information).</w:t>
      </w:r>
    </w:p>
    <w:p w14:paraId="2D788F51" w14:textId="77777777" w:rsidR="005B7178" w:rsidRDefault="005B7178" w:rsidP="00F67E4F">
      <w:pPr>
        <w:pStyle w:val="Text1"/>
        <w:pBdr>
          <w:top w:val="single" w:sz="4" w:space="1" w:color="auto"/>
          <w:left w:val="single" w:sz="4" w:space="4" w:color="auto"/>
          <w:bottom w:val="single" w:sz="4" w:space="1" w:color="auto"/>
          <w:right w:val="single" w:sz="4" w:space="4" w:color="auto"/>
        </w:pBdr>
        <w:ind w:left="0"/>
        <w:rPr>
          <w:noProof/>
        </w:rPr>
        <w:sectPr w:rsidR="00F67E4F" w:rsidSect="00AC3668">
          <w:headerReference w:type="even" r:id="rId66"/>
          <w:headerReference w:type="default" r:id="rId67"/>
          <w:footerReference w:type="even" r:id="rId68"/>
          <w:footerReference w:type="default" r:id="rId69"/>
          <w:headerReference w:type="first" r:id="rId70"/>
          <w:footerReference w:type="first" r:id="rId71"/>
          <w:pgSz w:w="16840" w:h="11907" w:orient="landscape" w:code="1"/>
          <w:pgMar w:top="1418" w:right="1134" w:bottom="1418" w:left="1134" w:header="709" w:footer="709" w:gutter="0"/>
          <w:cols w:space="720"/>
          <w:docGrid w:linePitch="360"/>
        </w:sectPr>
      </w:pPr>
    </w:p>
    <w:p w14:paraId="051ED811" w14:textId="77777777" w:rsidR="005B7178" w:rsidRPr="00532763" w:rsidRDefault="005B7178" w:rsidP="00F67E4F">
      <w:pPr>
        <w:pStyle w:val="ManualHeading1"/>
        <w:ind w:left="0" w:firstLine="0"/>
        <w:rPr>
          <w:caps/>
          <w:noProof/>
        </w:rPr>
      </w:pPr>
      <w:r>
        <w:rPr>
          <w:noProof/>
        </w:rPr>
        <w:lastRenderedPageBreak/>
        <w:t>4.</w:t>
      </w:r>
      <w:r>
        <w:rPr>
          <w:noProof/>
        </w:rPr>
        <w:tab/>
      </w:r>
      <w:bookmarkStart w:id="14" w:name="_Hlk167692977"/>
      <w:r w:rsidRPr="7D67B65D">
        <w:rPr>
          <w:caps/>
          <w:noProof/>
        </w:rPr>
        <w:t>Digital dimension</w:t>
      </w:r>
      <w:r>
        <w:rPr>
          <w:caps/>
          <w:noProof/>
        </w:rPr>
        <w:t>s</w:t>
      </w:r>
    </w:p>
    <w:p w14:paraId="0B53BC27" w14:textId="77777777" w:rsidR="005B7178" w:rsidRPr="008774EA" w:rsidRDefault="005B7178" w:rsidP="00F67E4F">
      <w:pPr>
        <w:pStyle w:val="ManualHeading2"/>
        <w:rPr>
          <w:noProof/>
        </w:rPr>
      </w:pPr>
      <w:r>
        <w:rPr>
          <w:noProof/>
        </w:rPr>
        <w:t>4.1.</w:t>
      </w:r>
      <w:r>
        <w:rPr>
          <w:noProof/>
        </w:rPr>
        <w:tab/>
        <w:t>Requirements of digital relevance</w:t>
      </w:r>
    </w:p>
    <w:p w14:paraId="2665CB95" w14:textId="77777777" w:rsidR="005B7178" w:rsidRDefault="005B7178" w:rsidP="00F67E4F">
      <w:pPr>
        <w:pStyle w:val="Text1"/>
        <w:rPr>
          <w:noProof/>
        </w:rPr>
      </w:pPr>
    </w:p>
    <w:tbl>
      <w:tblPr>
        <w:tblStyle w:val="Kontuurtabel"/>
        <w:tblW w:w="14170" w:type="dxa"/>
        <w:tblLook w:val="04A0" w:firstRow="1" w:lastRow="0" w:firstColumn="1" w:lastColumn="0" w:noHBand="0" w:noVBand="1"/>
      </w:tblPr>
      <w:tblGrid>
        <w:gridCol w:w="2972"/>
        <w:gridCol w:w="4224"/>
        <w:gridCol w:w="2693"/>
        <w:gridCol w:w="2097"/>
        <w:gridCol w:w="2184"/>
      </w:tblGrid>
      <w:tr w:rsidR="00F67E4F" w14:paraId="35EDB862" w14:textId="77777777">
        <w:trPr>
          <w:trHeight w:val="300"/>
        </w:trPr>
        <w:tc>
          <w:tcPr>
            <w:tcW w:w="2972" w:type="dxa"/>
            <w:vAlign w:val="center"/>
          </w:tcPr>
          <w:p w14:paraId="2A3FDB70" w14:textId="77777777" w:rsidR="005B7178" w:rsidRPr="00373F91" w:rsidRDefault="005B7178">
            <w:pPr>
              <w:jc w:val="left"/>
              <w:rPr>
                <w:b/>
                <w:noProof/>
              </w:rPr>
            </w:pPr>
            <w:r w:rsidRPr="40253774">
              <w:rPr>
                <w:rFonts w:eastAsia="Calibri"/>
                <w:b/>
                <w:noProof/>
              </w:rPr>
              <w:t xml:space="preserve">Reference to the </w:t>
            </w:r>
            <w:r w:rsidRPr="40253774">
              <w:rPr>
                <w:rFonts w:eastAsia="Calibri"/>
                <w:b/>
                <w:noProof/>
              </w:rPr>
              <w:t>requirement</w:t>
            </w:r>
          </w:p>
        </w:tc>
        <w:tc>
          <w:tcPr>
            <w:tcW w:w="4224" w:type="dxa"/>
            <w:vAlign w:val="center"/>
          </w:tcPr>
          <w:p w14:paraId="6ED21606" w14:textId="77777777" w:rsidR="005B7178" w:rsidRPr="00373F91" w:rsidRDefault="005B7178">
            <w:pPr>
              <w:jc w:val="left"/>
              <w:rPr>
                <w:b/>
                <w:noProof/>
              </w:rPr>
            </w:pPr>
            <w:r w:rsidRPr="00373F91">
              <w:rPr>
                <w:rFonts w:eastAsia="Calibri"/>
                <w:b/>
                <w:noProof/>
              </w:rPr>
              <w:t>Requirement description</w:t>
            </w:r>
          </w:p>
        </w:tc>
        <w:tc>
          <w:tcPr>
            <w:tcW w:w="2693" w:type="dxa"/>
            <w:vAlign w:val="center"/>
          </w:tcPr>
          <w:p w14:paraId="0CA3E92E" w14:textId="77777777" w:rsidR="005B7178" w:rsidRPr="00373F91" w:rsidRDefault="005B7178">
            <w:pPr>
              <w:jc w:val="left"/>
              <w:rPr>
                <w:b/>
                <w:noProof/>
              </w:rPr>
            </w:pPr>
            <w:r w:rsidRPr="40253774">
              <w:rPr>
                <w:rFonts w:eastAsia="Calibri"/>
                <w:b/>
                <w:noProof/>
              </w:rPr>
              <w:t>Actor</w:t>
            </w:r>
            <w:r>
              <w:rPr>
                <w:rFonts w:eastAsia="Calibri"/>
                <w:b/>
                <w:noProof/>
              </w:rPr>
              <w:t>s</w:t>
            </w:r>
            <w:r w:rsidRPr="40253774">
              <w:rPr>
                <w:rFonts w:eastAsia="Calibri"/>
                <w:b/>
                <w:noProof/>
              </w:rPr>
              <w:t xml:space="preserve"> affected or concerned by the requirement</w:t>
            </w:r>
          </w:p>
        </w:tc>
        <w:tc>
          <w:tcPr>
            <w:tcW w:w="2097" w:type="dxa"/>
            <w:vAlign w:val="center"/>
          </w:tcPr>
          <w:p w14:paraId="07354D13" w14:textId="77777777" w:rsidR="005B7178" w:rsidRPr="00373F91" w:rsidRDefault="005B7178">
            <w:pPr>
              <w:jc w:val="left"/>
              <w:rPr>
                <w:b/>
                <w:noProof/>
              </w:rPr>
            </w:pPr>
            <w:r w:rsidRPr="00373F91">
              <w:rPr>
                <w:rFonts w:eastAsia="Calibri"/>
                <w:b/>
                <w:noProof/>
              </w:rPr>
              <w:t>High-level Processes</w:t>
            </w:r>
          </w:p>
        </w:tc>
        <w:tc>
          <w:tcPr>
            <w:tcW w:w="2184" w:type="dxa"/>
            <w:vAlign w:val="center"/>
          </w:tcPr>
          <w:p w14:paraId="22DA90B2" w14:textId="77777777" w:rsidR="005B7178" w:rsidRPr="00373F91" w:rsidRDefault="005B7178">
            <w:pPr>
              <w:jc w:val="left"/>
              <w:rPr>
                <w:b/>
                <w:noProof/>
              </w:rPr>
            </w:pPr>
            <w:r w:rsidRPr="00373F91">
              <w:rPr>
                <w:rFonts w:eastAsia="Calibri"/>
                <w:b/>
                <w:noProof/>
              </w:rPr>
              <w:t>Categor</w:t>
            </w:r>
            <w:r>
              <w:rPr>
                <w:rFonts w:eastAsia="Calibri"/>
                <w:b/>
                <w:noProof/>
              </w:rPr>
              <w:t>ies</w:t>
            </w:r>
          </w:p>
        </w:tc>
      </w:tr>
      <w:tr w:rsidR="00F67E4F" w:rsidRPr="00D35975" w14:paraId="28115CF5" w14:textId="77777777">
        <w:trPr>
          <w:trHeight w:val="300"/>
        </w:trPr>
        <w:tc>
          <w:tcPr>
            <w:tcW w:w="2972" w:type="dxa"/>
            <w:vAlign w:val="center"/>
          </w:tcPr>
          <w:p w14:paraId="7BC75885" w14:textId="77777777" w:rsidR="005B7178" w:rsidRDefault="005B7178">
            <w:pPr>
              <w:rPr>
                <w:noProof/>
              </w:rPr>
            </w:pPr>
            <w:r>
              <w:rPr>
                <w:noProof/>
              </w:rPr>
              <w:t>Chapter VI – Article 11</w:t>
            </w:r>
          </w:p>
        </w:tc>
        <w:tc>
          <w:tcPr>
            <w:tcW w:w="4224" w:type="dxa"/>
            <w:vAlign w:val="center"/>
          </w:tcPr>
          <w:p w14:paraId="299BED1D" w14:textId="77777777" w:rsidR="005B7178" w:rsidRPr="006946F2" w:rsidRDefault="005B7178">
            <w:pPr>
              <w:rPr>
                <w:rFonts w:eastAsia="Calibri"/>
                <w:noProof/>
                <w:lang w:val="en-US"/>
              </w:rPr>
            </w:pPr>
            <w:r>
              <w:rPr>
                <w:noProof/>
              </w:rPr>
              <w:t>[…] Technical and administrative assistance for the implementation of the Programme</w:t>
            </w:r>
          </w:p>
        </w:tc>
        <w:tc>
          <w:tcPr>
            <w:tcW w:w="2693" w:type="dxa"/>
            <w:vAlign w:val="center"/>
          </w:tcPr>
          <w:p w14:paraId="5DE442AE" w14:textId="77777777" w:rsidR="005B7178" w:rsidRDefault="005B7178">
            <w:pPr>
              <w:rPr>
                <w:noProof/>
              </w:rPr>
            </w:pPr>
            <w:r>
              <w:rPr>
                <w:noProof/>
              </w:rPr>
              <w:t xml:space="preserve">European Commission; </w:t>
            </w:r>
            <w:r>
              <w:rPr>
                <w:noProof/>
              </w:rPr>
              <w:t>Beneficiaries</w:t>
            </w:r>
          </w:p>
        </w:tc>
        <w:tc>
          <w:tcPr>
            <w:tcW w:w="2097" w:type="dxa"/>
            <w:vAlign w:val="center"/>
          </w:tcPr>
          <w:p w14:paraId="18DF028D" w14:textId="77777777" w:rsidR="005B7178" w:rsidRPr="00236737" w:rsidRDefault="005B7178">
            <w:pPr>
              <w:rPr>
                <w:noProof/>
                <w:lang w:val="en-IE"/>
              </w:rPr>
            </w:pPr>
            <w:r>
              <w:rPr>
                <w:noProof/>
                <w:lang w:val="en-IE"/>
              </w:rPr>
              <w:t xml:space="preserve">Programme implementation through Direct Grant Management </w:t>
            </w:r>
          </w:p>
        </w:tc>
        <w:tc>
          <w:tcPr>
            <w:tcW w:w="2184" w:type="dxa"/>
            <w:vAlign w:val="center"/>
          </w:tcPr>
          <w:p w14:paraId="3E719FEF" w14:textId="77777777" w:rsidR="005B7178" w:rsidRPr="00236737" w:rsidRDefault="005B7178">
            <w:pPr>
              <w:rPr>
                <w:noProof/>
                <w:lang w:val="en-IE"/>
              </w:rPr>
            </w:pPr>
            <w:r w:rsidRPr="003A6FE8">
              <w:rPr>
                <w:noProof/>
              </w:rPr>
              <w:t>Digital solutions</w:t>
            </w:r>
          </w:p>
        </w:tc>
      </w:tr>
      <w:tr w:rsidR="00F67E4F" w14:paraId="78DF7B66" w14:textId="77777777">
        <w:trPr>
          <w:trHeight w:val="300"/>
        </w:trPr>
        <w:tc>
          <w:tcPr>
            <w:tcW w:w="2972" w:type="dxa"/>
            <w:vAlign w:val="center"/>
          </w:tcPr>
          <w:p w14:paraId="3D27E145" w14:textId="77777777" w:rsidR="005B7178" w:rsidRPr="00CF173C" w:rsidRDefault="005B7178">
            <w:pPr>
              <w:rPr>
                <w:noProof/>
              </w:rPr>
            </w:pPr>
            <w:r w:rsidRPr="00CF173C">
              <w:rPr>
                <w:noProof/>
              </w:rPr>
              <w:t>Chapter V – Article 10</w:t>
            </w:r>
          </w:p>
        </w:tc>
        <w:tc>
          <w:tcPr>
            <w:tcW w:w="4224" w:type="dxa"/>
            <w:vAlign w:val="center"/>
          </w:tcPr>
          <w:p w14:paraId="3DF9EBBC" w14:textId="77777777" w:rsidR="005B7178" w:rsidRPr="00CF173C" w:rsidRDefault="005B7178">
            <w:pPr>
              <w:rPr>
                <w:rFonts w:eastAsia="Calibri"/>
                <w:noProof/>
                <w:lang w:val="en-US"/>
              </w:rPr>
            </w:pPr>
            <w:r w:rsidRPr="00CF173C">
              <w:rPr>
                <w:noProof/>
                <w:szCs w:val="24"/>
              </w:rPr>
              <w:t xml:space="preserve">[…] </w:t>
            </w:r>
            <w:r>
              <w:rPr>
                <w:noProof/>
                <w:szCs w:val="24"/>
              </w:rPr>
              <w:t>including through</w:t>
            </w:r>
            <w:r w:rsidRPr="00CF173C">
              <w:rPr>
                <w:noProof/>
                <w:szCs w:val="24"/>
              </w:rPr>
              <w:t xml:space="preserve"> Programme Desks</w:t>
            </w:r>
            <w:r>
              <w:rPr>
                <w:noProof/>
                <w:szCs w:val="24"/>
              </w:rPr>
              <w:t>, thereby enhancing outreach, visibility and</w:t>
            </w:r>
            <w:r w:rsidRPr="00CF173C">
              <w:rPr>
                <w:noProof/>
                <w:szCs w:val="24"/>
              </w:rPr>
              <w:t xml:space="preserve"> dissemination of the Programme’s results. </w:t>
            </w:r>
          </w:p>
        </w:tc>
        <w:tc>
          <w:tcPr>
            <w:tcW w:w="2693" w:type="dxa"/>
            <w:vAlign w:val="center"/>
          </w:tcPr>
          <w:p w14:paraId="37D552B4" w14:textId="77777777" w:rsidR="005B7178" w:rsidRPr="00CF173C" w:rsidRDefault="005B7178">
            <w:pPr>
              <w:rPr>
                <w:noProof/>
              </w:rPr>
            </w:pPr>
            <w:r w:rsidRPr="00CF173C">
              <w:rPr>
                <w:noProof/>
              </w:rPr>
              <w:t>European Commission, National Authorities; Beneficiaries</w:t>
            </w:r>
          </w:p>
        </w:tc>
        <w:tc>
          <w:tcPr>
            <w:tcW w:w="2097" w:type="dxa"/>
            <w:vAlign w:val="center"/>
          </w:tcPr>
          <w:p w14:paraId="0DD2A134" w14:textId="77777777" w:rsidR="005B7178" w:rsidRPr="00CF173C" w:rsidRDefault="005B7178">
            <w:pPr>
              <w:rPr>
                <w:noProof/>
              </w:rPr>
            </w:pPr>
            <w:r w:rsidRPr="00CF173C">
              <w:rPr>
                <w:noProof/>
                <w:lang w:val="fr-BE"/>
              </w:rPr>
              <w:t>Dissemination</w:t>
            </w:r>
          </w:p>
        </w:tc>
        <w:tc>
          <w:tcPr>
            <w:tcW w:w="2184" w:type="dxa"/>
            <w:vAlign w:val="center"/>
          </w:tcPr>
          <w:p w14:paraId="647F0B40" w14:textId="77777777" w:rsidR="005B7178" w:rsidRPr="00CF173C" w:rsidRDefault="005B7178">
            <w:pPr>
              <w:rPr>
                <w:noProof/>
              </w:rPr>
            </w:pPr>
            <w:r w:rsidRPr="00CF173C">
              <w:rPr>
                <w:noProof/>
              </w:rPr>
              <w:t>Digital solutions</w:t>
            </w:r>
          </w:p>
        </w:tc>
      </w:tr>
      <w:tr w:rsidR="00F67E4F" w14:paraId="3488D92F" w14:textId="77777777">
        <w:trPr>
          <w:trHeight w:val="300"/>
        </w:trPr>
        <w:tc>
          <w:tcPr>
            <w:tcW w:w="2972" w:type="dxa"/>
            <w:vAlign w:val="center"/>
          </w:tcPr>
          <w:p w14:paraId="308E0080" w14:textId="77777777" w:rsidR="005B7178" w:rsidRPr="00A82734" w:rsidRDefault="005B7178">
            <w:pPr>
              <w:rPr>
                <w:noProof/>
              </w:rPr>
            </w:pPr>
            <w:r w:rsidRPr="00A82734">
              <w:rPr>
                <w:noProof/>
              </w:rPr>
              <w:t>Chapter II – Article 4(e</w:t>
            </w:r>
            <w:r>
              <w:rPr>
                <w:noProof/>
              </w:rPr>
              <w:t>)</w:t>
            </w:r>
          </w:p>
        </w:tc>
        <w:tc>
          <w:tcPr>
            <w:tcW w:w="4224" w:type="dxa"/>
            <w:vAlign w:val="center"/>
          </w:tcPr>
          <w:p w14:paraId="52B5FF7F" w14:textId="77777777" w:rsidR="005B7178" w:rsidRPr="00A82734" w:rsidRDefault="005B7178">
            <w:pPr>
              <w:rPr>
                <w:noProof/>
                <w:szCs w:val="24"/>
              </w:rPr>
            </w:pPr>
            <w:r w:rsidRPr="00A82734">
              <w:rPr>
                <w:noProof/>
                <w:szCs w:val="24"/>
              </w:rPr>
              <w:t>[…] improving evidence base through enhanced data collection, analysis[…]</w:t>
            </w:r>
          </w:p>
        </w:tc>
        <w:tc>
          <w:tcPr>
            <w:tcW w:w="2693" w:type="dxa"/>
            <w:vAlign w:val="center"/>
          </w:tcPr>
          <w:p w14:paraId="2B17928A" w14:textId="77777777" w:rsidR="005B7178" w:rsidRPr="00A82734" w:rsidRDefault="005B7178">
            <w:pPr>
              <w:rPr>
                <w:noProof/>
              </w:rPr>
            </w:pPr>
            <w:r w:rsidRPr="00A82734">
              <w:rPr>
                <w:noProof/>
                <w:lang w:val="en-IE"/>
              </w:rPr>
              <w:t>European Commission, Executive Agencies, Beneficiaries</w:t>
            </w:r>
          </w:p>
        </w:tc>
        <w:tc>
          <w:tcPr>
            <w:tcW w:w="2097" w:type="dxa"/>
            <w:vAlign w:val="center"/>
          </w:tcPr>
          <w:p w14:paraId="425D8516" w14:textId="77777777" w:rsidR="005B7178" w:rsidRPr="00074185" w:rsidRDefault="005B7178">
            <w:pPr>
              <w:rPr>
                <w:i/>
                <w:iCs/>
                <w:noProof/>
                <w:lang w:val="en-IE"/>
              </w:rPr>
            </w:pPr>
            <w:r w:rsidRPr="00074185">
              <w:rPr>
                <w:noProof/>
              </w:rPr>
              <w:t xml:space="preserve">Evidence-based </w:t>
            </w:r>
            <w:r w:rsidRPr="00074185">
              <w:rPr>
                <w:noProof/>
              </w:rPr>
              <w:t>policy-making, programme implementation and monitoring; evaluation</w:t>
            </w:r>
          </w:p>
        </w:tc>
        <w:tc>
          <w:tcPr>
            <w:tcW w:w="2184" w:type="dxa"/>
            <w:vAlign w:val="center"/>
          </w:tcPr>
          <w:p w14:paraId="18C76560" w14:textId="77777777" w:rsidR="005B7178" w:rsidRPr="00074185" w:rsidRDefault="005B7178">
            <w:pPr>
              <w:rPr>
                <w:i/>
                <w:iCs/>
                <w:noProof/>
              </w:rPr>
            </w:pPr>
            <w:r w:rsidRPr="00074185">
              <w:rPr>
                <w:noProof/>
              </w:rPr>
              <w:t>Digital solutions, data</w:t>
            </w:r>
          </w:p>
        </w:tc>
      </w:tr>
      <w:tr w:rsidR="00F67E4F" w14:paraId="456E32F3" w14:textId="77777777">
        <w:trPr>
          <w:trHeight w:val="300"/>
        </w:trPr>
        <w:tc>
          <w:tcPr>
            <w:tcW w:w="2972" w:type="dxa"/>
          </w:tcPr>
          <w:p w14:paraId="0100BA97" w14:textId="77777777" w:rsidR="005B7178" w:rsidRPr="00236737" w:rsidRDefault="005B7178">
            <w:pPr>
              <w:rPr>
                <w:noProof/>
                <w:lang w:val="fr-FR"/>
              </w:rPr>
            </w:pPr>
            <w:r w:rsidRPr="00236737">
              <w:rPr>
                <w:noProof/>
                <w:lang w:val="fr-FR"/>
              </w:rPr>
              <w:t>Chapter I</w:t>
            </w:r>
            <w:r>
              <w:rPr>
                <w:noProof/>
                <w:lang w:val="fr-FR"/>
              </w:rPr>
              <w:t>I</w:t>
            </w:r>
            <w:r w:rsidRPr="00236737">
              <w:rPr>
                <w:noProof/>
                <w:lang w:val="fr-FR"/>
              </w:rPr>
              <w:t>I – Article 5</w:t>
            </w:r>
            <w:r>
              <w:rPr>
                <w:noProof/>
                <w:lang w:val="fr-FR"/>
              </w:rPr>
              <w:t>(f</w:t>
            </w:r>
            <w:r>
              <w:rPr>
                <w:noProof/>
                <w:lang w:val="fr-FR"/>
              </w:rPr>
              <w:t>)</w:t>
            </w:r>
          </w:p>
        </w:tc>
        <w:tc>
          <w:tcPr>
            <w:tcW w:w="4224" w:type="dxa"/>
          </w:tcPr>
          <w:p w14:paraId="1402F685" w14:textId="77777777" w:rsidR="005B7178" w:rsidRPr="00236737" w:rsidRDefault="005B7178">
            <w:pPr>
              <w:rPr>
                <w:noProof/>
                <w:lang w:val="en-US"/>
              </w:rPr>
            </w:pPr>
            <w:r>
              <w:rPr>
                <w:noProof/>
                <w:lang w:val="en-US"/>
              </w:rPr>
              <w:t>Fostering […]</w:t>
            </w:r>
            <w:r w:rsidRPr="00236737">
              <w:rPr>
                <w:noProof/>
                <w:lang w:val="en-US"/>
              </w:rPr>
              <w:t>data collection and analysis […]</w:t>
            </w:r>
          </w:p>
        </w:tc>
        <w:tc>
          <w:tcPr>
            <w:tcW w:w="2693" w:type="dxa"/>
          </w:tcPr>
          <w:p w14:paraId="50B8009E" w14:textId="77777777" w:rsidR="005B7178" w:rsidRPr="00236737" w:rsidRDefault="005B7178">
            <w:pPr>
              <w:rPr>
                <w:noProof/>
                <w:lang w:val="en-IE"/>
              </w:rPr>
            </w:pPr>
            <w:r w:rsidRPr="00236737">
              <w:rPr>
                <w:noProof/>
                <w:lang w:val="en-IE"/>
              </w:rPr>
              <w:t>European Commission, Executive Agencies, Beneficiaries</w:t>
            </w:r>
          </w:p>
        </w:tc>
        <w:tc>
          <w:tcPr>
            <w:tcW w:w="2097" w:type="dxa"/>
          </w:tcPr>
          <w:p w14:paraId="3DFC8A7F" w14:textId="77777777" w:rsidR="005B7178" w:rsidRPr="00236737" w:rsidRDefault="005B7178">
            <w:pPr>
              <w:rPr>
                <w:noProof/>
                <w:highlight w:val="yellow"/>
              </w:rPr>
            </w:pPr>
            <w:r>
              <w:rPr>
                <w:noProof/>
              </w:rPr>
              <w:t xml:space="preserve">Evidence-based policy-making, programme implementation and monitoring; </w:t>
            </w:r>
            <w:r>
              <w:rPr>
                <w:noProof/>
              </w:rPr>
              <w:lastRenderedPageBreak/>
              <w:t xml:space="preserve">evaluation </w:t>
            </w:r>
          </w:p>
        </w:tc>
        <w:tc>
          <w:tcPr>
            <w:tcW w:w="2184" w:type="dxa"/>
          </w:tcPr>
          <w:p w14:paraId="1C5A0B3F" w14:textId="77777777" w:rsidR="005B7178" w:rsidRDefault="005B7178">
            <w:pPr>
              <w:rPr>
                <w:noProof/>
              </w:rPr>
            </w:pPr>
            <w:r>
              <w:rPr>
                <w:noProof/>
              </w:rPr>
              <w:lastRenderedPageBreak/>
              <w:t>Digital solutions, data</w:t>
            </w:r>
          </w:p>
        </w:tc>
      </w:tr>
      <w:tr w:rsidR="00F67E4F" w14:paraId="0765B116" w14:textId="77777777">
        <w:trPr>
          <w:trHeight w:val="300"/>
        </w:trPr>
        <w:tc>
          <w:tcPr>
            <w:tcW w:w="2972" w:type="dxa"/>
          </w:tcPr>
          <w:p w14:paraId="2FA55D8F" w14:textId="77777777" w:rsidR="005B7178" w:rsidRPr="005736D4" w:rsidRDefault="005B7178">
            <w:pPr>
              <w:rPr>
                <w:noProof/>
              </w:rPr>
            </w:pPr>
            <w:r w:rsidRPr="000E149E">
              <w:rPr>
                <w:noProof/>
                <w:lang w:val="fr-FR"/>
              </w:rPr>
              <w:t>Chapter II</w:t>
            </w:r>
            <w:r>
              <w:rPr>
                <w:noProof/>
                <w:lang w:val="fr-FR"/>
              </w:rPr>
              <w:t>I</w:t>
            </w:r>
            <w:r w:rsidRPr="000E149E">
              <w:rPr>
                <w:noProof/>
                <w:lang w:val="fr-FR"/>
              </w:rPr>
              <w:t xml:space="preserve"> – Article </w:t>
            </w:r>
            <w:r>
              <w:rPr>
                <w:noProof/>
                <w:lang w:val="fr-FR"/>
              </w:rPr>
              <w:t>6(f</w:t>
            </w:r>
            <w:r>
              <w:rPr>
                <w:noProof/>
                <w:lang w:val="fr-FR"/>
              </w:rPr>
              <w:t>)</w:t>
            </w:r>
          </w:p>
        </w:tc>
        <w:tc>
          <w:tcPr>
            <w:tcW w:w="4224" w:type="dxa"/>
          </w:tcPr>
          <w:p w14:paraId="76030326" w14:textId="77777777" w:rsidR="005B7178" w:rsidRPr="009726BE" w:rsidRDefault="005B7178">
            <w:pPr>
              <w:spacing w:before="360" w:after="160" w:line="279" w:lineRule="auto"/>
              <w:contextualSpacing/>
              <w:rPr>
                <w:noProof/>
                <w:szCs w:val="24"/>
                <w:lang w:val="en-IE" w:eastAsia="ja-JP"/>
              </w:rPr>
            </w:pPr>
            <w:r>
              <w:rPr>
                <w:noProof/>
                <w:lang w:val="en-IE" w:eastAsia="ja-JP"/>
              </w:rPr>
              <w:t>Focus on […]</w:t>
            </w:r>
            <w:r w:rsidRPr="4C442EA8">
              <w:rPr>
                <w:noProof/>
                <w:lang w:val="en-IE" w:eastAsia="ja-JP"/>
              </w:rPr>
              <w:t xml:space="preserve">  data collection and analysis, and development of common standards </w:t>
            </w:r>
            <w:r>
              <w:rPr>
                <w:noProof/>
                <w:lang w:val="en-IE" w:eastAsia="ja-JP"/>
              </w:rPr>
              <w:t>[…]</w:t>
            </w:r>
          </w:p>
          <w:p w14:paraId="6C9CBE97" w14:textId="77777777" w:rsidR="005B7178" w:rsidRPr="005736D4" w:rsidRDefault="005B7178">
            <w:pPr>
              <w:rPr>
                <w:noProof/>
              </w:rPr>
            </w:pPr>
          </w:p>
        </w:tc>
        <w:tc>
          <w:tcPr>
            <w:tcW w:w="2693" w:type="dxa"/>
          </w:tcPr>
          <w:p w14:paraId="54489560" w14:textId="77777777" w:rsidR="005B7178" w:rsidRPr="005736D4" w:rsidRDefault="005B7178">
            <w:pPr>
              <w:rPr>
                <w:noProof/>
              </w:rPr>
            </w:pPr>
            <w:r w:rsidRPr="00236737">
              <w:rPr>
                <w:noProof/>
                <w:lang w:val="en-US"/>
              </w:rPr>
              <w:t>European Commission, Executive Agencies, Beneficiaries</w:t>
            </w:r>
          </w:p>
        </w:tc>
        <w:tc>
          <w:tcPr>
            <w:tcW w:w="2097" w:type="dxa"/>
          </w:tcPr>
          <w:p w14:paraId="7F975AB7" w14:textId="77777777" w:rsidR="005B7178" w:rsidRPr="005736D4" w:rsidRDefault="005B7178">
            <w:pPr>
              <w:rPr>
                <w:noProof/>
              </w:rPr>
            </w:pPr>
            <w:r>
              <w:rPr>
                <w:noProof/>
              </w:rPr>
              <w:t xml:space="preserve">Evidence-based policy-making, programme implementation and monitoring; evaluation </w:t>
            </w:r>
          </w:p>
        </w:tc>
        <w:tc>
          <w:tcPr>
            <w:tcW w:w="2184" w:type="dxa"/>
          </w:tcPr>
          <w:p w14:paraId="6C800C53" w14:textId="77777777" w:rsidR="005B7178" w:rsidRPr="005736D4" w:rsidRDefault="005B7178">
            <w:pPr>
              <w:rPr>
                <w:noProof/>
              </w:rPr>
            </w:pPr>
            <w:r>
              <w:rPr>
                <w:noProof/>
              </w:rPr>
              <w:t>Digital solutions, data</w:t>
            </w:r>
          </w:p>
        </w:tc>
      </w:tr>
    </w:tbl>
    <w:p w14:paraId="63473FE1" w14:textId="77777777" w:rsidR="005B7178" w:rsidRPr="00902D52" w:rsidRDefault="005B7178" w:rsidP="00F67E4F">
      <w:pPr>
        <w:pStyle w:val="ManualHeading2"/>
        <w:rPr>
          <w:noProof/>
        </w:rPr>
      </w:pPr>
      <w:r>
        <w:rPr>
          <w:noProof/>
        </w:rPr>
        <w:t>4.2.</w:t>
      </w:r>
      <w:r>
        <w:rPr>
          <w:noProof/>
        </w:rPr>
        <w:tab/>
        <w:t>Data</w:t>
      </w:r>
    </w:p>
    <w:p w14:paraId="3F6A7EFE" w14:textId="77777777" w:rsidR="005B7178" w:rsidRPr="00236737" w:rsidRDefault="005B7178" w:rsidP="00F67E4F">
      <w:pPr>
        <w:rPr>
          <w:rFonts w:eastAsia="Calibri"/>
          <w:i/>
          <w:noProof/>
          <w:color w:val="000000" w:themeColor="text1"/>
          <w:szCs w:val="24"/>
          <w:lang w:val="en-US"/>
        </w:rPr>
      </w:pPr>
      <w:r w:rsidRPr="00236737">
        <w:rPr>
          <w:rFonts w:eastAsia="Calibri"/>
          <w:i/>
          <w:noProof/>
          <w:color w:val="000000" w:themeColor="text1"/>
          <w:szCs w:val="24"/>
          <w:lang w:val="en-US"/>
        </w:rPr>
        <w:t>High-level description of the data in scope and any related standards/specifications</w:t>
      </w:r>
    </w:p>
    <w:tbl>
      <w:tblPr>
        <w:tblStyle w:val="Kontuurtabel"/>
        <w:tblW w:w="0" w:type="auto"/>
        <w:tblLayout w:type="fixed"/>
        <w:tblLook w:val="04A0" w:firstRow="1" w:lastRow="0" w:firstColumn="1" w:lastColumn="0" w:noHBand="0" w:noVBand="1"/>
      </w:tblPr>
      <w:tblGrid>
        <w:gridCol w:w="4077"/>
        <w:gridCol w:w="3261"/>
        <w:gridCol w:w="6378"/>
      </w:tblGrid>
      <w:tr w:rsidR="00F67E4F" w14:paraId="10F9F7E5" w14:textId="77777777">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7396B175" w14:textId="77777777" w:rsidR="005B7178" w:rsidRPr="00236737" w:rsidRDefault="005B7178">
            <w:pPr>
              <w:jc w:val="left"/>
              <w:rPr>
                <w:rFonts w:eastAsia="Calibri"/>
                <w:b/>
                <w:noProof/>
                <w:szCs w:val="24"/>
              </w:rPr>
            </w:pPr>
            <w:r w:rsidRPr="00236737">
              <w:rPr>
                <w:rFonts w:eastAsia="Calibri"/>
                <w:b/>
                <w:noProof/>
                <w:szCs w:val="24"/>
              </w:rPr>
              <w:t>Type of data</w:t>
            </w:r>
          </w:p>
        </w:tc>
        <w:tc>
          <w:tcPr>
            <w:tcW w:w="3261" w:type="dxa"/>
            <w:tcBorders>
              <w:top w:val="single" w:sz="8" w:space="0" w:color="auto"/>
              <w:left w:val="single" w:sz="8" w:space="0" w:color="auto"/>
              <w:bottom w:val="single" w:sz="8" w:space="0" w:color="auto"/>
              <w:right w:val="single" w:sz="8" w:space="0" w:color="auto"/>
            </w:tcBorders>
            <w:tcMar>
              <w:left w:w="108" w:type="dxa"/>
              <w:right w:w="108" w:type="dxa"/>
            </w:tcMar>
          </w:tcPr>
          <w:p w14:paraId="7722D7E0" w14:textId="77777777" w:rsidR="005B7178" w:rsidRPr="00236737" w:rsidRDefault="005B7178">
            <w:pPr>
              <w:jc w:val="left"/>
              <w:rPr>
                <w:rFonts w:eastAsia="Calibri"/>
                <w:b/>
                <w:noProof/>
                <w:szCs w:val="24"/>
              </w:rPr>
            </w:pPr>
            <w:r w:rsidRPr="00236737">
              <w:rPr>
                <w:rFonts w:eastAsia="Calibri"/>
                <w:b/>
                <w:noProof/>
                <w:szCs w:val="24"/>
              </w:rPr>
              <w:t>Reference(s) to the requirement</w:t>
            </w: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0EC0AEAE" w14:textId="77777777" w:rsidR="005B7178" w:rsidRPr="00236737" w:rsidRDefault="005B7178">
            <w:pPr>
              <w:jc w:val="left"/>
              <w:rPr>
                <w:rFonts w:eastAsia="Calibri"/>
                <w:b/>
                <w:noProof/>
                <w:szCs w:val="24"/>
              </w:rPr>
            </w:pPr>
            <w:r w:rsidRPr="00236737">
              <w:rPr>
                <w:rFonts w:eastAsia="Calibri"/>
                <w:b/>
                <w:noProof/>
                <w:szCs w:val="24"/>
              </w:rPr>
              <w:t>Standard and/or specification (if applicable)</w:t>
            </w:r>
          </w:p>
        </w:tc>
      </w:tr>
      <w:tr w:rsidR="00F67E4F" w14:paraId="008D5457" w14:textId="77777777">
        <w:trPr>
          <w:trHeight w:val="300"/>
        </w:trPr>
        <w:tc>
          <w:tcPr>
            <w:tcW w:w="4077" w:type="dxa"/>
            <w:tcBorders>
              <w:top w:val="single" w:sz="8" w:space="0" w:color="auto"/>
              <w:left w:val="single" w:sz="8" w:space="0" w:color="auto"/>
              <w:bottom w:val="single" w:sz="8" w:space="0" w:color="auto"/>
              <w:right w:val="single" w:sz="8" w:space="0" w:color="auto"/>
            </w:tcBorders>
            <w:tcMar>
              <w:left w:w="108" w:type="dxa"/>
              <w:right w:w="108" w:type="dxa"/>
            </w:tcMar>
          </w:tcPr>
          <w:p w14:paraId="60A7C5E2" w14:textId="77777777" w:rsidR="005B7178" w:rsidRPr="00236737" w:rsidRDefault="005B7178">
            <w:pPr>
              <w:jc w:val="left"/>
              <w:rPr>
                <w:rFonts w:eastAsia="Calibri"/>
                <w:noProof/>
                <w:szCs w:val="24"/>
              </w:rPr>
            </w:pPr>
            <w:r w:rsidRPr="00236737">
              <w:rPr>
                <w:rFonts w:eastAsia="Calibri"/>
                <w:noProof/>
                <w:szCs w:val="24"/>
              </w:rPr>
              <w:t>Countries, organisations, budget, participants and priorities per project</w:t>
            </w:r>
          </w:p>
        </w:tc>
        <w:tc>
          <w:tcPr>
            <w:tcW w:w="3261" w:type="dxa"/>
            <w:tcBorders>
              <w:top w:val="single" w:sz="8" w:space="0" w:color="auto"/>
              <w:left w:val="single" w:sz="8" w:space="0" w:color="auto"/>
              <w:bottom w:val="single" w:sz="8" w:space="0" w:color="auto"/>
              <w:right w:val="single" w:sz="8" w:space="0" w:color="auto"/>
            </w:tcBorders>
            <w:tcMar>
              <w:left w:w="108" w:type="dxa"/>
              <w:right w:w="108" w:type="dxa"/>
            </w:tcMar>
          </w:tcPr>
          <w:p w14:paraId="1F5F6A10" w14:textId="77777777" w:rsidR="005B7178" w:rsidRPr="005C7C11" w:rsidRDefault="005B7178">
            <w:pPr>
              <w:jc w:val="left"/>
              <w:rPr>
                <w:noProof/>
                <w:szCs w:val="24"/>
                <w:lang w:val="fr-BE"/>
              </w:rPr>
            </w:pPr>
            <w:r w:rsidRPr="005C7C11">
              <w:rPr>
                <w:noProof/>
                <w:szCs w:val="24"/>
                <w:lang w:val="fr-BE"/>
              </w:rPr>
              <w:t xml:space="preserve">Chapter VI, </w:t>
            </w:r>
            <w:r w:rsidRPr="005C7C11">
              <w:rPr>
                <w:noProof/>
                <w:szCs w:val="24"/>
                <w:lang w:val="fr-BE"/>
              </w:rPr>
              <w:t>Article 11</w:t>
            </w:r>
          </w:p>
          <w:p w14:paraId="2A749E10" w14:textId="77777777" w:rsidR="005B7178" w:rsidRPr="00CF173C" w:rsidRDefault="005B7178">
            <w:pPr>
              <w:jc w:val="left"/>
              <w:rPr>
                <w:noProof/>
                <w:szCs w:val="24"/>
                <w:lang w:val="fr-BE"/>
              </w:rPr>
            </w:pPr>
            <w:r w:rsidRPr="00CF173C">
              <w:rPr>
                <w:noProof/>
                <w:szCs w:val="24"/>
                <w:lang w:val="fr-BE"/>
              </w:rPr>
              <w:t>Chapter V, Article 10</w:t>
            </w:r>
          </w:p>
          <w:p w14:paraId="56E092C5" w14:textId="77777777" w:rsidR="005B7178" w:rsidRPr="00BD048A" w:rsidRDefault="005B7178">
            <w:pPr>
              <w:jc w:val="left"/>
              <w:rPr>
                <w:noProof/>
                <w:lang w:val="fr-BE"/>
              </w:rPr>
            </w:pPr>
            <w:r w:rsidRPr="00BD048A">
              <w:rPr>
                <w:noProof/>
                <w:lang w:val="fr-BE"/>
              </w:rPr>
              <w:t>Chapter II – Article 4(e</w:t>
            </w:r>
            <w:r w:rsidRPr="00BD048A">
              <w:rPr>
                <w:noProof/>
                <w:lang w:val="fr-BE"/>
              </w:rPr>
              <w:t>)</w:t>
            </w:r>
          </w:p>
          <w:p w14:paraId="006B69EF" w14:textId="77777777" w:rsidR="005B7178" w:rsidRPr="00BD048A" w:rsidRDefault="005B7178">
            <w:pPr>
              <w:jc w:val="left"/>
              <w:rPr>
                <w:rFonts w:eastAsia="Calibri"/>
                <w:noProof/>
                <w:szCs w:val="24"/>
                <w:lang w:val="fr-BE"/>
              </w:rPr>
            </w:pPr>
            <w:r w:rsidRPr="00BD048A">
              <w:rPr>
                <w:rFonts w:eastAsia="Calibri"/>
                <w:noProof/>
                <w:szCs w:val="24"/>
                <w:lang w:val="fr-BE"/>
              </w:rPr>
              <w:t>Chapter III, Article 5(f</w:t>
            </w:r>
            <w:r w:rsidRPr="00BD048A">
              <w:rPr>
                <w:rFonts w:eastAsia="Calibri"/>
                <w:noProof/>
                <w:szCs w:val="24"/>
                <w:lang w:val="fr-BE"/>
              </w:rPr>
              <w:t>)</w:t>
            </w:r>
            <w:r w:rsidRPr="00BD048A">
              <w:rPr>
                <w:rFonts w:eastAsia="Calibri"/>
                <w:noProof/>
                <w:szCs w:val="24"/>
                <w:lang w:val="fr-BE"/>
              </w:rPr>
              <w:t xml:space="preserve"> and Article 6(f</w:t>
            </w:r>
            <w:r w:rsidRPr="00BD048A">
              <w:rPr>
                <w:rFonts w:eastAsia="Calibri"/>
                <w:noProof/>
                <w:szCs w:val="24"/>
                <w:lang w:val="fr-BE"/>
              </w:rPr>
              <w:t>)</w:t>
            </w:r>
          </w:p>
          <w:p w14:paraId="33CBAB8D" w14:textId="77777777" w:rsidR="005B7178" w:rsidRPr="00236737" w:rsidRDefault="005B7178" w:rsidP="00AF2EE7">
            <w:pPr>
              <w:jc w:val="left"/>
              <w:rPr>
                <w:rFonts w:eastAsia="Calibri"/>
                <w:noProof/>
                <w:szCs w:val="24"/>
              </w:rPr>
            </w:pPr>
            <w:r>
              <w:rPr>
                <w:rFonts w:eastAsia="Calibri"/>
                <w:noProof/>
                <w:szCs w:val="24"/>
              </w:rPr>
              <w:t xml:space="preserve">Regulation </w:t>
            </w:r>
            <w:r>
              <w:rPr>
                <w:rFonts w:eastAsia="Calibri"/>
                <w:noProof/>
                <w:szCs w:val="24"/>
              </w:rPr>
              <w:t>(EU, Euratom)</w:t>
            </w:r>
            <w:r>
              <w:rPr>
                <w:rFonts w:eastAsia="Calibri"/>
                <w:noProof/>
                <w:szCs w:val="24"/>
              </w:rPr>
              <w:t xml:space="preserve"> (202X-XXXX Performance</w:t>
            </w:r>
            <w:r w:rsidRPr="00236737">
              <w:rPr>
                <w:rFonts w:eastAsia="Calibri"/>
                <w:noProof/>
                <w:szCs w:val="24"/>
              </w:rPr>
              <w:t xml:space="preserve"> regulation</w:t>
            </w:r>
            <w:r>
              <w:rPr>
                <w:rFonts w:eastAsia="Calibri"/>
                <w:noProof/>
                <w:szCs w:val="24"/>
              </w:rPr>
              <w:t>)</w:t>
            </w:r>
          </w:p>
          <w:p w14:paraId="2780FCC5" w14:textId="77777777" w:rsidR="005B7178" w:rsidRDefault="005B7178">
            <w:pPr>
              <w:jc w:val="left"/>
              <w:rPr>
                <w:noProof/>
                <w:szCs w:val="24"/>
              </w:rPr>
            </w:pPr>
          </w:p>
        </w:tc>
        <w:tc>
          <w:tcPr>
            <w:tcW w:w="6378" w:type="dxa"/>
            <w:tcBorders>
              <w:top w:val="single" w:sz="8" w:space="0" w:color="auto"/>
              <w:left w:val="single" w:sz="8" w:space="0" w:color="auto"/>
              <w:bottom w:val="single" w:sz="8" w:space="0" w:color="auto"/>
              <w:right w:val="single" w:sz="8" w:space="0" w:color="auto"/>
            </w:tcBorders>
            <w:tcMar>
              <w:left w:w="108" w:type="dxa"/>
              <w:right w:w="108" w:type="dxa"/>
            </w:tcMar>
          </w:tcPr>
          <w:p w14:paraId="1A6DC78E" w14:textId="77777777" w:rsidR="005B7178" w:rsidRPr="00236737" w:rsidRDefault="005B7178">
            <w:pPr>
              <w:jc w:val="left"/>
              <w:rPr>
                <w:rFonts w:eastAsia="Calibri"/>
                <w:noProof/>
                <w:szCs w:val="24"/>
              </w:rPr>
            </w:pPr>
            <w:r w:rsidRPr="00236737">
              <w:rPr>
                <w:rFonts w:eastAsia="Calibri"/>
                <w:noProof/>
                <w:szCs w:val="24"/>
              </w:rPr>
              <w:t xml:space="preserve">eGrants and databases of any implementing body in the frame of the programme </w:t>
            </w:r>
          </w:p>
        </w:tc>
      </w:tr>
    </w:tbl>
    <w:p w14:paraId="48E93CD9" w14:textId="77777777" w:rsidR="005B7178" w:rsidRPr="00236737" w:rsidRDefault="005B7178" w:rsidP="00F67E4F">
      <w:pPr>
        <w:rPr>
          <w:rFonts w:eastAsia="Calibri"/>
          <w:b/>
          <w:i/>
          <w:noProof/>
          <w:color w:val="000000" w:themeColor="text1"/>
          <w:sz w:val="22"/>
          <w:lang w:val="en-US"/>
        </w:rPr>
      </w:pPr>
      <w:r w:rsidRPr="00236737">
        <w:rPr>
          <w:rFonts w:eastAsia="Calibri"/>
          <w:b/>
          <w:i/>
          <w:noProof/>
          <w:color w:val="000000" w:themeColor="text1"/>
          <w:sz w:val="22"/>
          <w:lang w:val="en-US"/>
        </w:rPr>
        <w:t xml:space="preserve">  </w:t>
      </w:r>
    </w:p>
    <w:p w14:paraId="36D02B9C" w14:textId="77777777" w:rsidR="005B7178" w:rsidRPr="00236737" w:rsidRDefault="005B7178" w:rsidP="00F67E4F">
      <w:pPr>
        <w:rPr>
          <w:rFonts w:eastAsia="Calibri"/>
          <w:b/>
          <w:i/>
          <w:noProof/>
          <w:color w:val="000000" w:themeColor="text1"/>
          <w:szCs w:val="24"/>
          <w:lang w:val="en-US"/>
        </w:rPr>
      </w:pPr>
      <w:r w:rsidRPr="00236737">
        <w:rPr>
          <w:rFonts w:eastAsia="Calibri"/>
          <w:b/>
          <w:i/>
          <w:noProof/>
          <w:color w:val="000000" w:themeColor="text1"/>
          <w:szCs w:val="24"/>
          <w:lang w:val="en-US"/>
        </w:rPr>
        <w:t>Alignment with the European Data Strategy</w:t>
      </w:r>
    </w:p>
    <w:p w14:paraId="6B25D40A" w14:textId="77777777" w:rsidR="005B7178" w:rsidRPr="00236737" w:rsidRDefault="005B7178" w:rsidP="00F67E4F">
      <w:pPr>
        <w:rPr>
          <w:rFonts w:eastAsia="Calibri"/>
          <w:i/>
          <w:noProof/>
          <w:color w:val="000000" w:themeColor="text1"/>
          <w:szCs w:val="24"/>
          <w:lang w:val="en-US"/>
        </w:rPr>
      </w:pPr>
      <w:r w:rsidRPr="00236737">
        <w:rPr>
          <w:rFonts w:eastAsia="Calibri"/>
          <w:i/>
          <w:noProof/>
          <w:color w:val="000000" w:themeColor="text1"/>
          <w:szCs w:val="24"/>
          <w:lang w:val="en-US"/>
        </w:rPr>
        <w:t>Explain how the requirement(s) are aligned with the European Data Strategy</w:t>
      </w:r>
    </w:p>
    <w:tbl>
      <w:tblPr>
        <w:tblStyle w:val="Kontuurtabel"/>
        <w:tblW w:w="0" w:type="auto"/>
        <w:tblLayout w:type="fixed"/>
        <w:tblLook w:val="06A0" w:firstRow="1" w:lastRow="0" w:firstColumn="1" w:lastColumn="0" w:noHBand="1" w:noVBand="1"/>
      </w:tblPr>
      <w:tblGrid>
        <w:gridCol w:w="13716"/>
      </w:tblGrid>
      <w:tr w:rsidR="00F67E4F" w14:paraId="4DCAD9C9" w14:textId="77777777">
        <w:trPr>
          <w:trHeight w:val="300"/>
        </w:trPr>
        <w:tc>
          <w:tcPr>
            <w:tcW w:w="13716" w:type="dxa"/>
            <w:tcBorders>
              <w:top w:val="single" w:sz="8" w:space="0" w:color="auto"/>
              <w:left w:val="single" w:sz="8" w:space="0" w:color="auto"/>
              <w:bottom w:val="single" w:sz="8" w:space="0" w:color="auto"/>
              <w:right w:val="single" w:sz="8" w:space="0" w:color="auto"/>
            </w:tcBorders>
            <w:tcMar>
              <w:left w:w="108" w:type="dxa"/>
              <w:right w:w="108" w:type="dxa"/>
            </w:tcMar>
          </w:tcPr>
          <w:p w14:paraId="254471B4" w14:textId="77777777" w:rsidR="005B7178" w:rsidRPr="00236737" w:rsidRDefault="005B7178">
            <w:pPr>
              <w:rPr>
                <w:rFonts w:eastAsia="Calibri"/>
                <w:noProof/>
                <w:color w:val="000000" w:themeColor="text1"/>
                <w:szCs w:val="24"/>
              </w:rPr>
            </w:pPr>
            <w:r w:rsidRPr="00240B44">
              <w:rPr>
                <w:rFonts w:eastAsia="Calibri"/>
                <w:noProof/>
                <w:color w:val="000000" w:themeColor="text1"/>
                <w:szCs w:val="24"/>
              </w:rPr>
              <w:lastRenderedPageBreak/>
              <w:t xml:space="preserve">The provisions under the proposal support </w:t>
            </w:r>
            <w:r w:rsidRPr="00240B44">
              <w:rPr>
                <w:rFonts w:eastAsia="Calibri"/>
                <w:noProof/>
                <w:color w:val="000000" w:themeColor="text1"/>
                <w:szCs w:val="24"/>
              </w:rPr>
              <w:t>interoperability, reusability, and secure data sharing, in line with the European Data Strategy. Where personal data is processed (e.g., participants), it aligns with the General Data Protection Regulation (GDPR). The architecture is also consistent with the Open Data Directive, as relevant aggregated, non-personal data may be made available for reuse by researchers or public bodies.</w:t>
            </w:r>
          </w:p>
        </w:tc>
      </w:tr>
    </w:tbl>
    <w:p w14:paraId="7A11D439" w14:textId="77777777" w:rsidR="005B7178" w:rsidRPr="00236737" w:rsidRDefault="005B7178" w:rsidP="00F67E4F">
      <w:pPr>
        <w:rPr>
          <w:rFonts w:eastAsia="Calibri"/>
          <w:b/>
          <w:noProof/>
          <w:color w:val="000000" w:themeColor="text1"/>
          <w:szCs w:val="24"/>
          <w:lang w:val="en-US"/>
        </w:rPr>
      </w:pPr>
      <w:r w:rsidRPr="00236737">
        <w:rPr>
          <w:rFonts w:eastAsia="Calibri"/>
          <w:b/>
          <w:noProof/>
          <w:color w:val="000000" w:themeColor="text1"/>
          <w:szCs w:val="24"/>
          <w:lang w:val="en-US"/>
        </w:rPr>
        <w:t>Alignment with the once-only principle</w:t>
      </w:r>
    </w:p>
    <w:p w14:paraId="1907979B" w14:textId="77777777" w:rsidR="005B7178" w:rsidRPr="00236737" w:rsidRDefault="005B7178" w:rsidP="00F67E4F">
      <w:pPr>
        <w:rPr>
          <w:rFonts w:eastAsia="Calibri"/>
          <w:i/>
          <w:noProof/>
          <w:color w:val="000000" w:themeColor="text1"/>
          <w:szCs w:val="24"/>
          <w:lang w:val="en-US"/>
        </w:rPr>
      </w:pPr>
      <w:r w:rsidRPr="00236737">
        <w:rPr>
          <w:rFonts w:eastAsia="Calibri"/>
          <w:i/>
          <w:noProof/>
          <w:color w:val="000000" w:themeColor="text1"/>
          <w:szCs w:val="24"/>
          <w:lang w:val="en-US"/>
        </w:rPr>
        <w:t xml:space="preserve">Explain how the once-only principle has been considered how the </w:t>
      </w:r>
      <w:r w:rsidRPr="00236737">
        <w:rPr>
          <w:rFonts w:eastAsia="Calibri"/>
          <w:i/>
          <w:noProof/>
          <w:color w:val="000000" w:themeColor="text1"/>
          <w:szCs w:val="24"/>
          <w:lang w:val="en-US"/>
        </w:rPr>
        <w:t>possibility to reuse existing data explored</w:t>
      </w:r>
    </w:p>
    <w:tbl>
      <w:tblPr>
        <w:tblStyle w:val="Kontuurtabel"/>
        <w:tblW w:w="0" w:type="auto"/>
        <w:tblLayout w:type="fixed"/>
        <w:tblLook w:val="06A0" w:firstRow="1" w:lastRow="0" w:firstColumn="1" w:lastColumn="0" w:noHBand="1" w:noVBand="1"/>
      </w:tblPr>
      <w:tblGrid>
        <w:gridCol w:w="13716"/>
      </w:tblGrid>
      <w:tr w:rsidR="00F67E4F" w14:paraId="3607A201" w14:textId="77777777">
        <w:trPr>
          <w:trHeight w:val="300"/>
        </w:trPr>
        <w:tc>
          <w:tcPr>
            <w:tcW w:w="13716" w:type="dxa"/>
            <w:tcBorders>
              <w:top w:val="single" w:sz="8" w:space="0" w:color="auto"/>
              <w:left w:val="single" w:sz="8" w:space="0" w:color="auto"/>
              <w:bottom w:val="single" w:sz="8" w:space="0" w:color="auto"/>
              <w:right w:val="single" w:sz="8" w:space="0" w:color="auto"/>
            </w:tcBorders>
            <w:tcMar>
              <w:left w:w="108" w:type="dxa"/>
              <w:right w:w="108" w:type="dxa"/>
            </w:tcMar>
          </w:tcPr>
          <w:p w14:paraId="534FC363" w14:textId="77777777" w:rsidR="005B7178" w:rsidRPr="00236737" w:rsidRDefault="005B7178">
            <w:pPr>
              <w:rPr>
                <w:rFonts w:eastAsia="Calibri"/>
                <w:noProof/>
                <w:color w:val="000000" w:themeColor="text1"/>
                <w:szCs w:val="24"/>
              </w:rPr>
            </w:pPr>
            <w:r w:rsidRPr="00236737">
              <w:rPr>
                <w:rFonts w:eastAsia="Calibri"/>
                <w:noProof/>
                <w:color w:val="000000" w:themeColor="text1"/>
                <w:szCs w:val="24"/>
              </w:rPr>
              <w:t xml:space="preserve">Dashboards established are the source of traceability and re-usability of the data available from the programme implementation. Data comes from application forms, and final reports as well as </w:t>
            </w:r>
            <w:r>
              <w:rPr>
                <w:rFonts w:eastAsia="Calibri"/>
                <w:noProof/>
                <w:color w:val="000000" w:themeColor="text1"/>
                <w:szCs w:val="24"/>
              </w:rPr>
              <w:t xml:space="preserve">possibly </w:t>
            </w:r>
            <w:r w:rsidRPr="00236737">
              <w:rPr>
                <w:rFonts w:eastAsia="Calibri"/>
                <w:noProof/>
                <w:color w:val="000000" w:themeColor="text1"/>
                <w:szCs w:val="24"/>
              </w:rPr>
              <w:t>Programme desks.</w:t>
            </w:r>
          </w:p>
        </w:tc>
      </w:tr>
    </w:tbl>
    <w:p w14:paraId="5DDECF90" w14:textId="77777777" w:rsidR="005B7178" w:rsidRPr="00236737" w:rsidRDefault="005B7178" w:rsidP="00F67E4F">
      <w:pPr>
        <w:rPr>
          <w:rFonts w:eastAsia="Calibri"/>
          <w:i/>
          <w:noProof/>
          <w:color w:val="000000" w:themeColor="text1"/>
          <w:szCs w:val="24"/>
          <w:lang w:val="en-US"/>
        </w:rPr>
      </w:pPr>
      <w:r w:rsidRPr="00236737">
        <w:rPr>
          <w:rFonts w:eastAsia="Calibri"/>
          <w:i/>
          <w:noProof/>
          <w:color w:val="000000" w:themeColor="text1"/>
          <w:szCs w:val="24"/>
          <w:lang w:val="en-US"/>
        </w:rPr>
        <w:t>Explain how newly created data is findable, accessible, interoperable and reusable, and meets high-quality standards</w:t>
      </w:r>
    </w:p>
    <w:tbl>
      <w:tblPr>
        <w:tblStyle w:val="Kontuurtabel"/>
        <w:tblW w:w="0" w:type="auto"/>
        <w:tblLayout w:type="fixed"/>
        <w:tblLook w:val="06A0" w:firstRow="1" w:lastRow="0" w:firstColumn="1" w:lastColumn="0" w:noHBand="1" w:noVBand="1"/>
      </w:tblPr>
      <w:tblGrid>
        <w:gridCol w:w="13716"/>
      </w:tblGrid>
      <w:tr w:rsidR="00F67E4F" w14:paraId="36A3873B" w14:textId="77777777">
        <w:trPr>
          <w:trHeight w:val="300"/>
        </w:trPr>
        <w:tc>
          <w:tcPr>
            <w:tcW w:w="13716" w:type="dxa"/>
            <w:tcBorders>
              <w:top w:val="single" w:sz="8" w:space="0" w:color="auto"/>
              <w:left w:val="single" w:sz="8" w:space="0" w:color="auto"/>
              <w:bottom w:val="single" w:sz="8" w:space="0" w:color="auto"/>
              <w:right w:val="single" w:sz="8" w:space="0" w:color="auto"/>
            </w:tcBorders>
            <w:tcMar>
              <w:left w:w="108" w:type="dxa"/>
              <w:right w:w="108" w:type="dxa"/>
            </w:tcMar>
          </w:tcPr>
          <w:p w14:paraId="47CDA0ED" w14:textId="77777777" w:rsidR="005B7178" w:rsidRPr="00236737" w:rsidRDefault="005B7178" w:rsidP="00B66E94">
            <w:pPr>
              <w:pStyle w:val="ManualConsidrant"/>
              <w:rPr>
                <w:rFonts w:eastAsia="Calibri"/>
                <w:noProof/>
              </w:rPr>
            </w:pPr>
            <w:r w:rsidRPr="00B66E94">
              <w:rPr>
                <w:rFonts w:eastAsia="Calibri"/>
                <w:noProof/>
              </w:rPr>
              <w:t>(43)</w:t>
            </w:r>
            <w:r w:rsidRPr="00B66E94">
              <w:rPr>
                <w:rFonts w:eastAsia="Calibri"/>
                <w:noProof/>
              </w:rPr>
              <w:tab/>
            </w:r>
            <w:r>
              <w:rPr>
                <w:rFonts w:eastAsia="Calibri"/>
                <w:noProof/>
              </w:rPr>
              <w:t xml:space="preserve">For specific strands of the Programme, </w:t>
            </w:r>
            <w:r w:rsidRPr="00236737">
              <w:rPr>
                <w:rFonts w:eastAsia="Calibri"/>
                <w:noProof/>
              </w:rPr>
              <w:t>traceability and re-usability of the data available from the programme implementation</w:t>
            </w:r>
            <w:r>
              <w:rPr>
                <w:rFonts w:eastAsia="Calibri"/>
                <w:noProof/>
              </w:rPr>
              <w:t xml:space="preserve"> will be </w:t>
            </w:r>
            <w:r>
              <w:rPr>
                <w:rFonts w:eastAsia="Calibri"/>
                <w:noProof/>
              </w:rPr>
              <w:t>ensured</w:t>
            </w:r>
            <w:r w:rsidRPr="00236737">
              <w:rPr>
                <w:rFonts w:eastAsia="Calibri"/>
                <w:noProof/>
              </w:rPr>
              <w:t>. The data will be recorded via the project lifecycle documents and made accessible</w:t>
            </w:r>
            <w:r>
              <w:rPr>
                <w:rFonts w:eastAsia="Calibri"/>
                <w:noProof/>
              </w:rPr>
              <w:t xml:space="preserve">, in line with the provisions of the </w:t>
            </w:r>
            <w:r w:rsidRPr="00B5333C">
              <w:rPr>
                <w:noProof/>
              </w:rPr>
              <w:t>Regulation (EU) [XXX]* of the European Parliament and of the Council [performance]</w:t>
            </w:r>
            <w:r>
              <w:rPr>
                <w:noProof/>
              </w:rPr>
              <w:t xml:space="preserve"> </w:t>
            </w:r>
            <w:r>
              <w:rPr>
                <w:rFonts w:eastAsia="Calibri"/>
                <w:noProof/>
              </w:rPr>
              <w:t xml:space="preserve">regarding transparency of </w:t>
            </w:r>
            <w:r>
              <w:rPr>
                <w:rFonts w:eastAsia="Calibri"/>
                <w:noProof/>
              </w:rPr>
              <w:t>information on programmes performance and achievements through the Single Gateway portal.</w:t>
            </w:r>
            <w:r w:rsidRPr="00236737">
              <w:rPr>
                <w:rFonts w:eastAsia="Calibri"/>
                <w:noProof/>
              </w:rPr>
              <w:t xml:space="preserve"> </w:t>
            </w:r>
          </w:p>
        </w:tc>
      </w:tr>
    </w:tbl>
    <w:p w14:paraId="3A87A1D3" w14:textId="77777777" w:rsidR="005B7178" w:rsidRPr="00236737" w:rsidRDefault="005B7178" w:rsidP="00F67E4F">
      <w:pPr>
        <w:rPr>
          <w:rFonts w:eastAsia="Calibri"/>
          <w:b/>
          <w:noProof/>
          <w:color w:val="000000" w:themeColor="text1"/>
          <w:szCs w:val="24"/>
        </w:rPr>
      </w:pPr>
      <w:r w:rsidRPr="00236737">
        <w:rPr>
          <w:rFonts w:eastAsia="Calibri"/>
          <w:b/>
          <w:noProof/>
          <w:color w:val="000000" w:themeColor="text1"/>
          <w:szCs w:val="24"/>
        </w:rPr>
        <w:t>Data flows</w:t>
      </w:r>
    </w:p>
    <w:tbl>
      <w:tblPr>
        <w:tblStyle w:val="Kontuurtabel"/>
        <w:tblW w:w="0" w:type="auto"/>
        <w:tblLayout w:type="fixed"/>
        <w:tblLook w:val="04A0" w:firstRow="1" w:lastRow="0" w:firstColumn="1" w:lastColumn="0" w:noHBand="0" w:noVBand="1"/>
      </w:tblPr>
      <w:tblGrid>
        <w:gridCol w:w="1951"/>
        <w:gridCol w:w="2693"/>
        <w:gridCol w:w="1560"/>
        <w:gridCol w:w="1984"/>
        <w:gridCol w:w="2693"/>
        <w:gridCol w:w="2835"/>
      </w:tblGrid>
      <w:tr w:rsidR="00F67E4F" w14:paraId="3857C201" w14:textId="77777777">
        <w:trPr>
          <w:trHeight w:val="300"/>
        </w:trPr>
        <w:tc>
          <w:tcPr>
            <w:tcW w:w="1951" w:type="dxa"/>
            <w:tcBorders>
              <w:top w:val="single" w:sz="8" w:space="0" w:color="auto"/>
              <w:left w:val="single" w:sz="8" w:space="0" w:color="auto"/>
              <w:bottom w:val="single" w:sz="8" w:space="0" w:color="auto"/>
              <w:right w:val="single" w:sz="8" w:space="0" w:color="auto"/>
            </w:tcBorders>
            <w:tcMar>
              <w:left w:w="108" w:type="dxa"/>
              <w:right w:w="108" w:type="dxa"/>
            </w:tcMar>
          </w:tcPr>
          <w:p w14:paraId="0057E8C2" w14:textId="77777777" w:rsidR="005B7178" w:rsidRPr="00236737" w:rsidRDefault="005B7178">
            <w:pPr>
              <w:jc w:val="left"/>
              <w:rPr>
                <w:rFonts w:eastAsia="Calibri"/>
                <w:b/>
                <w:noProof/>
                <w:color w:val="000000" w:themeColor="text1"/>
                <w:szCs w:val="24"/>
              </w:rPr>
            </w:pPr>
            <w:r w:rsidRPr="00236737">
              <w:rPr>
                <w:rFonts w:eastAsia="Calibri"/>
                <w:b/>
                <w:noProof/>
                <w:color w:val="000000" w:themeColor="text1"/>
                <w:szCs w:val="24"/>
              </w:rPr>
              <w:t>Type of data</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47890A6E" w14:textId="77777777" w:rsidR="005B7178" w:rsidRPr="00236737" w:rsidRDefault="005B7178">
            <w:pPr>
              <w:jc w:val="left"/>
              <w:rPr>
                <w:rFonts w:eastAsia="Calibri"/>
                <w:b/>
                <w:noProof/>
                <w:color w:val="000000" w:themeColor="text1"/>
                <w:szCs w:val="24"/>
              </w:rPr>
            </w:pPr>
            <w:r w:rsidRPr="00236737">
              <w:rPr>
                <w:rFonts w:eastAsia="Calibri"/>
                <w:b/>
                <w:noProof/>
                <w:color w:val="000000" w:themeColor="text1"/>
                <w:szCs w:val="24"/>
              </w:rPr>
              <w:t>Reference(s) to the requirement(s)</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F620164" w14:textId="77777777" w:rsidR="005B7178" w:rsidRPr="00236737" w:rsidRDefault="005B7178">
            <w:pPr>
              <w:jc w:val="left"/>
              <w:rPr>
                <w:rFonts w:eastAsia="Calibri"/>
                <w:b/>
                <w:noProof/>
                <w:color w:val="000000" w:themeColor="text1"/>
                <w:szCs w:val="24"/>
              </w:rPr>
            </w:pPr>
            <w:r w:rsidRPr="00236737">
              <w:rPr>
                <w:rFonts w:eastAsia="Calibri"/>
                <w:b/>
                <w:noProof/>
                <w:color w:val="000000" w:themeColor="text1"/>
                <w:szCs w:val="24"/>
              </w:rPr>
              <w:t>Actor who provides the data</w:t>
            </w:r>
          </w:p>
        </w:tc>
        <w:tc>
          <w:tcPr>
            <w:tcW w:w="1984" w:type="dxa"/>
            <w:tcBorders>
              <w:top w:val="single" w:sz="8" w:space="0" w:color="auto"/>
              <w:left w:val="single" w:sz="8" w:space="0" w:color="auto"/>
              <w:bottom w:val="single" w:sz="8" w:space="0" w:color="auto"/>
              <w:right w:val="single" w:sz="8" w:space="0" w:color="auto"/>
            </w:tcBorders>
            <w:tcMar>
              <w:left w:w="108" w:type="dxa"/>
              <w:right w:w="108" w:type="dxa"/>
            </w:tcMar>
          </w:tcPr>
          <w:p w14:paraId="1DDC42FB" w14:textId="77777777" w:rsidR="005B7178" w:rsidRPr="00236737" w:rsidRDefault="005B7178">
            <w:pPr>
              <w:jc w:val="left"/>
              <w:rPr>
                <w:rFonts w:eastAsia="Calibri"/>
                <w:b/>
                <w:noProof/>
                <w:color w:val="000000" w:themeColor="text1"/>
                <w:szCs w:val="24"/>
              </w:rPr>
            </w:pPr>
            <w:r w:rsidRPr="00236737">
              <w:rPr>
                <w:rFonts w:eastAsia="Calibri"/>
                <w:b/>
                <w:noProof/>
                <w:color w:val="000000" w:themeColor="text1"/>
                <w:szCs w:val="24"/>
              </w:rPr>
              <w:t>Actor who receives the data</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6024F28" w14:textId="77777777" w:rsidR="005B7178" w:rsidRPr="00236737" w:rsidRDefault="005B7178">
            <w:pPr>
              <w:jc w:val="left"/>
              <w:rPr>
                <w:rFonts w:eastAsia="Calibri"/>
                <w:b/>
                <w:noProof/>
                <w:color w:val="000000" w:themeColor="text1"/>
                <w:szCs w:val="24"/>
              </w:rPr>
            </w:pPr>
            <w:r w:rsidRPr="00236737">
              <w:rPr>
                <w:rFonts w:eastAsia="Calibri"/>
                <w:b/>
                <w:noProof/>
                <w:color w:val="000000" w:themeColor="text1"/>
                <w:szCs w:val="24"/>
              </w:rPr>
              <w:t>Trigger for the data exchange</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41A37F4F" w14:textId="77777777" w:rsidR="005B7178" w:rsidRPr="00236737" w:rsidRDefault="005B7178">
            <w:pPr>
              <w:jc w:val="left"/>
              <w:rPr>
                <w:rFonts w:eastAsia="Calibri"/>
                <w:b/>
                <w:noProof/>
                <w:color w:val="000000" w:themeColor="text1"/>
                <w:szCs w:val="24"/>
              </w:rPr>
            </w:pPr>
            <w:r w:rsidRPr="00236737">
              <w:rPr>
                <w:rFonts w:eastAsia="Calibri"/>
                <w:b/>
                <w:noProof/>
                <w:color w:val="000000" w:themeColor="text1"/>
                <w:szCs w:val="24"/>
              </w:rPr>
              <w:t>Frequency (if applicable)</w:t>
            </w:r>
          </w:p>
        </w:tc>
      </w:tr>
      <w:tr w:rsidR="00F67E4F" w14:paraId="1504D63E" w14:textId="77777777">
        <w:trPr>
          <w:trHeight w:val="300"/>
        </w:trPr>
        <w:tc>
          <w:tcPr>
            <w:tcW w:w="1951" w:type="dxa"/>
            <w:tcBorders>
              <w:top w:val="single" w:sz="8" w:space="0" w:color="auto"/>
              <w:left w:val="single" w:sz="8" w:space="0" w:color="auto"/>
              <w:bottom w:val="single" w:sz="8" w:space="0" w:color="auto"/>
              <w:right w:val="single" w:sz="8" w:space="0" w:color="auto"/>
            </w:tcBorders>
            <w:tcMar>
              <w:left w:w="108" w:type="dxa"/>
              <w:right w:w="108" w:type="dxa"/>
            </w:tcMar>
          </w:tcPr>
          <w:p w14:paraId="19BA8512" w14:textId="77777777" w:rsidR="005B7178" w:rsidRPr="00236737" w:rsidRDefault="005B7178">
            <w:pPr>
              <w:jc w:val="left"/>
              <w:rPr>
                <w:rFonts w:eastAsia="Calibri"/>
                <w:noProof/>
                <w:szCs w:val="24"/>
              </w:rPr>
            </w:pPr>
            <w:r w:rsidRPr="00236737">
              <w:rPr>
                <w:rFonts w:eastAsia="Calibri"/>
                <w:noProof/>
                <w:szCs w:val="24"/>
              </w:rPr>
              <w:t>Countries, organisations, budget, participants and priorities per project</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38FBBD0" w14:textId="77777777" w:rsidR="005B7178" w:rsidRPr="006662B7" w:rsidRDefault="005B7178">
            <w:pPr>
              <w:jc w:val="left"/>
              <w:rPr>
                <w:rFonts w:eastAsia="Calibri"/>
                <w:noProof/>
                <w:szCs w:val="24"/>
                <w:lang w:val="fr"/>
              </w:rPr>
            </w:pPr>
            <w:r w:rsidRPr="006662B7">
              <w:rPr>
                <w:rFonts w:eastAsia="Calibri"/>
                <w:noProof/>
                <w:szCs w:val="24"/>
                <w:lang w:val="fr-BE"/>
              </w:rPr>
              <w:t>Chapter VI – Article 11</w:t>
            </w:r>
            <w:r w:rsidRPr="006662B7">
              <w:rPr>
                <w:rFonts w:eastAsia="Calibri"/>
                <w:noProof/>
                <w:szCs w:val="24"/>
                <w:lang w:val="fr"/>
              </w:rPr>
              <w:t xml:space="preserve"> </w:t>
            </w:r>
          </w:p>
          <w:p w14:paraId="5C24DDD9" w14:textId="77777777" w:rsidR="005B7178" w:rsidRPr="00CF173C" w:rsidRDefault="005B7178">
            <w:pPr>
              <w:jc w:val="left"/>
              <w:rPr>
                <w:rFonts w:eastAsia="Calibri"/>
                <w:noProof/>
                <w:lang w:val="fr-BE"/>
              </w:rPr>
            </w:pPr>
            <w:r w:rsidRPr="00CF173C">
              <w:rPr>
                <w:rFonts w:eastAsia="Calibri"/>
                <w:noProof/>
                <w:lang w:val="fr-BE"/>
              </w:rPr>
              <w:t>Chapter V – Article 10</w:t>
            </w:r>
          </w:p>
          <w:p w14:paraId="0D5FAC05" w14:textId="77777777" w:rsidR="005B7178" w:rsidRPr="00BD048A" w:rsidRDefault="005B7178">
            <w:pPr>
              <w:jc w:val="left"/>
              <w:rPr>
                <w:rFonts w:eastAsia="Calibri"/>
                <w:noProof/>
                <w:lang w:val="fr-BE"/>
              </w:rPr>
            </w:pPr>
            <w:r w:rsidRPr="006662B7">
              <w:rPr>
                <w:rFonts w:eastAsia="Calibri"/>
                <w:noProof/>
                <w:lang w:val="fr-BE"/>
              </w:rPr>
              <w:t xml:space="preserve"> </w:t>
            </w:r>
          </w:p>
          <w:p w14:paraId="2A56FBA8" w14:textId="77777777" w:rsidR="005B7178" w:rsidRPr="006662B7" w:rsidRDefault="005B7178">
            <w:pPr>
              <w:jc w:val="left"/>
              <w:rPr>
                <w:noProof/>
                <w:lang w:val="fr-FR"/>
              </w:rPr>
            </w:pPr>
            <w:r w:rsidRPr="006662B7">
              <w:rPr>
                <w:noProof/>
                <w:lang w:val="fr-FR"/>
              </w:rPr>
              <w:t>Chapter II – Article 4(e</w:t>
            </w:r>
            <w:r>
              <w:rPr>
                <w:noProof/>
                <w:lang w:val="fr-FR"/>
              </w:rPr>
              <w:t>)</w:t>
            </w:r>
          </w:p>
          <w:p w14:paraId="66012C94" w14:textId="77777777" w:rsidR="005B7178" w:rsidRDefault="005B7178">
            <w:pPr>
              <w:jc w:val="left"/>
              <w:rPr>
                <w:rFonts w:eastAsia="Calibri"/>
                <w:noProof/>
                <w:szCs w:val="24"/>
                <w:lang w:val="fr-FR"/>
              </w:rPr>
            </w:pPr>
            <w:r w:rsidRPr="006662B7">
              <w:rPr>
                <w:rFonts w:eastAsia="Calibri"/>
                <w:noProof/>
                <w:szCs w:val="24"/>
                <w:lang w:val="fr-FR"/>
              </w:rPr>
              <w:t>Chapter III, Article 5(f</w:t>
            </w:r>
            <w:r>
              <w:rPr>
                <w:rFonts w:eastAsia="Calibri"/>
                <w:noProof/>
                <w:szCs w:val="24"/>
                <w:lang w:val="fr-FR"/>
              </w:rPr>
              <w:t>)</w:t>
            </w:r>
            <w:r w:rsidRPr="006662B7">
              <w:rPr>
                <w:rFonts w:eastAsia="Calibri"/>
                <w:noProof/>
                <w:szCs w:val="24"/>
                <w:lang w:val="fr-FR"/>
              </w:rPr>
              <w:t xml:space="preserve"> </w:t>
            </w:r>
            <w:r w:rsidRPr="006662B7">
              <w:rPr>
                <w:rFonts w:eastAsia="Calibri"/>
                <w:noProof/>
                <w:szCs w:val="24"/>
                <w:lang w:val="fr-FR"/>
              </w:rPr>
              <w:lastRenderedPageBreak/>
              <w:t>and Article 6(f</w:t>
            </w:r>
            <w:r>
              <w:rPr>
                <w:rFonts w:eastAsia="Calibri"/>
                <w:noProof/>
                <w:szCs w:val="24"/>
                <w:lang w:val="fr-FR"/>
              </w:rPr>
              <w:t>)</w:t>
            </w:r>
          </w:p>
          <w:p w14:paraId="56180DB8" w14:textId="77777777" w:rsidR="005B7178" w:rsidRPr="00BD048A" w:rsidRDefault="005B7178">
            <w:pPr>
              <w:jc w:val="left"/>
              <w:rPr>
                <w:rFonts w:eastAsia="Calibri"/>
                <w:noProof/>
                <w:szCs w:val="24"/>
                <w:lang w:val="en-US"/>
              </w:rPr>
            </w:pPr>
            <w:r>
              <w:rPr>
                <w:rFonts w:eastAsia="Calibri"/>
                <w:noProof/>
              </w:rPr>
              <w:t xml:space="preserve">Regulation </w:t>
            </w:r>
            <w:r>
              <w:rPr>
                <w:rFonts w:eastAsia="Calibri"/>
                <w:noProof/>
              </w:rPr>
              <w:t>(EU, Euratom)</w:t>
            </w:r>
            <w:r>
              <w:rPr>
                <w:rFonts w:eastAsia="Calibri"/>
                <w:noProof/>
              </w:rPr>
              <w:t xml:space="preserve"> [202X-XXXX </w:t>
            </w:r>
            <w:r w:rsidRPr="006662B7">
              <w:rPr>
                <w:rFonts w:eastAsia="Calibri"/>
                <w:noProof/>
              </w:rPr>
              <w:t>Performance Regulation</w:t>
            </w:r>
            <w:r>
              <w:rPr>
                <w:rFonts w:eastAsia="Calibri"/>
                <w:noProof/>
              </w:rPr>
              <w:t>]</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3D33185" w14:textId="77777777" w:rsidR="005B7178" w:rsidRPr="006662B7" w:rsidRDefault="005B7178">
            <w:pPr>
              <w:jc w:val="left"/>
              <w:rPr>
                <w:rFonts w:eastAsia="Calibri"/>
                <w:noProof/>
                <w:szCs w:val="24"/>
              </w:rPr>
            </w:pPr>
            <w:r w:rsidRPr="006662B7">
              <w:rPr>
                <w:rFonts w:eastAsia="Calibri"/>
                <w:noProof/>
                <w:szCs w:val="24"/>
              </w:rPr>
              <w:lastRenderedPageBreak/>
              <w:t xml:space="preserve">Beneficiaries, </w:t>
            </w:r>
            <w:r w:rsidRPr="00AA2B61">
              <w:rPr>
                <w:rFonts w:eastAsia="Calibri"/>
                <w:noProof/>
                <w:szCs w:val="24"/>
              </w:rPr>
              <w:t>Programme Desks</w:t>
            </w:r>
          </w:p>
        </w:tc>
        <w:tc>
          <w:tcPr>
            <w:tcW w:w="1984" w:type="dxa"/>
            <w:tcBorders>
              <w:top w:val="single" w:sz="8" w:space="0" w:color="auto"/>
              <w:left w:val="single" w:sz="8" w:space="0" w:color="auto"/>
              <w:bottom w:val="single" w:sz="8" w:space="0" w:color="auto"/>
              <w:right w:val="single" w:sz="8" w:space="0" w:color="auto"/>
            </w:tcBorders>
            <w:tcMar>
              <w:left w:w="108" w:type="dxa"/>
              <w:right w:w="108" w:type="dxa"/>
            </w:tcMar>
          </w:tcPr>
          <w:p w14:paraId="081FA7D1" w14:textId="77777777" w:rsidR="005B7178" w:rsidRPr="00236737" w:rsidRDefault="005B7178">
            <w:pPr>
              <w:jc w:val="left"/>
              <w:rPr>
                <w:rFonts w:eastAsia="Calibri"/>
                <w:noProof/>
                <w:szCs w:val="24"/>
              </w:rPr>
            </w:pPr>
            <w:r w:rsidRPr="00236737">
              <w:rPr>
                <w:rFonts w:eastAsia="Calibri"/>
                <w:noProof/>
                <w:szCs w:val="24"/>
              </w:rPr>
              <w:t>General public</w:t>
            </w:r>
          </w:p>
          <w:p w14:paraId="4175B100" w14:textId="77777777" w:rsidR="005B7178" w:rsidRPr="00236737" w:rsidRDefault="005B7178">
            <w:pPr>
              <w:jc w:val="left"/>
              <w:rPr>
                <w:rFonts w:eastAsia="Calibri"/>
                <w:noProof/>
                <w:szCs w:val="24"/>
              </w:rPr>
            </w:pPr>
            <w:r w:rsidRPr="00236737">
              <w:rPr>
                <w:rFonts w:eastAsia="Calibri"/>
                <w:noProof/>
                <w:szCs w:val="24"/>
              </w:rPr>
              <w:t>Commission</w:t>
            </w:r>
          </w:p>
          <w:p w14:paraId="5B14300E" w14:textId="77777777" w:rsidR="005B7178" w:rsidRPr="00236737" w:rsidRDefault="005B7178">
            <w:pPr>
              <w:jc w:val="left"/>
              <w:rPr>
                <w:rFonts w:eastAsia="Calibri"/>
                <w:noProof/>
                <w:szCs w:val="24"/>
              </w:rPr>
            </w:pPr>
            <w:r w:rsidRPr="00236737">
              <w:rPr>
                <w:rFonts w:eastAsia="Calibri"/>
                <w:noProof/>
                <w:szCs w:val="24"/>
              </w:rPr>
              <w:t>European Parliament</w:t>
            </w:r>
          </w:p>
          <w:p w14:paraId="308467DF" w14:textId="77777777" w:rsidR="005B7178" w:rsidRPr="00236737" w:rsidRDefault="005B7178">
            <w:pPr>
              <w:jc w:val="left"/>
              <w:rPr>
                <w:rFonts w:eastAsia="Calibri"/>
                <w:noProof/>
                <w:szCs w:val="24"/>
              </w:rPr>
            </w:pPr>
            <w:r w:rsidRPr="00236737">
              <w:rPr>
                <w:rFonts w:eastAsia="Calibri"/>
                <w:noProof/>
                <w:szCs w:val="24"/>
              </w:rPr>
              <w:t xml:space="preserve">Council of the </w:t>
            </w:r>
            <w:r w:rsidRPr="00236737">
              <w:rPr>
                <w:rFonts w:eastAsia="Calibri"/>
                <w:noProof/>
                <w:szCs w:val="24"/>
              </w:rPr>
              <w:lastRenderedPageBreak/>
              <w:t>European Union</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291A73B" w14:textId="77777777" w:rsidR="005B7178" w:rsidRPr="00236737" w:rsidRDefault="005B7178">
            <w:pPr>
              <w:jc w:val="left"/>
              <w:rPr>
                <w:rFonts w:eastAsia="Calibri"/>
                <w:noProof/>
                <w:szCs w:val="24"/>
              </w:rPr>
            </w:pPr>
            <w:r>
              <w:rPr>
                <w:rFonts w:eastAsia="Calibri"/>
                <w:noProof/>
              </w:rPr>
              <w:lastRenderedPageBreak/>
              <w:t>Regulation</w:t>
            </w:r>
            <w:r>
              <w:rPr>
                <w:rFonts w:eastAsia="Calibri"/>
                <w:noProof/>
              </w:rPr>
              <w:t xml:space="preserve"> (EU, Euratom)</w:t>
            </w:r>
            <w:r>
              <w:rPr>
                <w:rFonts w:eastAsia="Calibri"/>
                <w:noProof/>
              </w:rPr>
              <w:t xml:space="preserve"> [202X-XXXX </w:t>
            </w:r>
            <w:r w:rsidRPr="6A62965D">
              <w:rPr>
                <w:rFonts w:eastAsia="Calibri"/>
                <w:noProof/>
              </w:rPr>
              <w:t>Performance Regulation</w:t>
            </w:r>
            <w:r>
              <w:rPr>
                <w:rFonts w:eastAsia="Calibri"/>
                <w:noProof/>
              </w:rPr>
              <w:t>]</w:t>
            </w:r>
            <w:r w:rsidRPr="6A62965D">
              <w:rPr>
                <w:rFonts w:eastAsia="Calibri"/>
                <w:noProof/>
              </w:rPr>
              <w:t xml:space="preserve">: Article </w:t>
            </w:r>
            <w:r>
              <w:rPr>
                <w:rFonts w:eastAsia="Calibri"/>
                <w:noProof/>
              </w:rPr>
              <w:t>XX</w:t>
            </w:r>
            <w:r>
              <w:rPr>
                <w:rFonts w:eastAsia="Calibri"/>
                <w:noProof/>
              </w:rPr>
              <w:t>X</w:t>
            </w:r>
            <w:r w:rsidRPr="6A62965D">
              <w:rPr>
                <w:rFonts w:eastAsia="Calibri"/>
                <w:noProof/>
              </w:rPr>
              <w:t xml:space="preserve"> (monitoring) and </w:t>
            </w:r>
            <w:r>
              <w:rPr>
                <w:rFonts w:eastAsia="Calibri"/>
                <w:noProof/>
              </w:rPr>
              <w:t>A</w:t>
            </w:r>
            <w:r w:rsidRPr="6A62965D">
              <w:rPr>
                <w:rFonts w:eastAsia="Calibri"/>
                <w:noProof/>
              </w:rPr>
              <w:t xml:space="preserve">rticle </w:t>
            </w:r>
            <w:r>
              <w:rPr>
                <w:rFonts w:eastAsia="Calibri"/>
                <w:noProof/>
              </w:rPr>
              <w:t>XX</w:t>
            </w:r>
            <w:r>
              <w:rPr>
                <w:rFonts w:eastAsia="Calibri"/>
                <w:noProof/>
              </w:rPr>
              <w:t>X</w:t>
            </w:r>
            <w:r>
              <w:rPr>
                <w:rFonts w:eastAsia="Calibri"/>
                <w:noProof/>
              </w:rPr>
              <w:t xml:space="preserve"> </w:t>
            </w:r>
            <w:r w:rsidRPr="6A62965D">
              <w:rPr>
                <w:rFonts w:eastAsia="Calibri"/>
                <w:noProof/>
              </w:rPr>
              <w:t>(</w:t>
            </w:r>
            <w:r>
              <w:rPr>
                <w:rFonts w:eastAsia="Calibri"/>
                <w:noProof/>
              </w:rPr>
              <w:t xml:space="preserve">implementation report </w:t>
            </w:r>
            <w:r>
              <w:rPr>
                <w:rFonts w:eastAsia="Calibri"/>
                <w:noProof/>
              </w:rPr>
              <w:lastRenderedPageBreak/>
              <w:t>and retrospective</w:t>
            </w:r>
            <w:r w:rsidRPr="6A62965D">
              <w:rPr>
                <w:rFonts w:eastAsia="Calibri"/>
                <w:noProof/>
              </w:rPr>
              <w:t xml:space="preserve"> evaluations).</w:t>
            </w:r>
          </w:p>
          <w:p w14:paraId="08C97EBE" w14:textId="77777777" w:rsidR="005B7178" w:rsidRPr="00236737" w:rsidRDefault="005B7178">
            <w:pPr>
              <w:jc w:val="left"/>
              <w:rPr>
                <w:rFonts w:eastAsia="Calibri"/>
                <w:noProof/>
                <w:szCs w:val="24"/>
              </w:rPr>
            </w:pPr>
            <w:r w:rsidRPr="00236737">
              <w:rPr>
                <w:rFonts w:eastAsia="Calibri"/>
                <w:noProof/>
                <w:szCs w:val="24"/>
              </w:rPr>
              <w:t>Regular programme reporting</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350FFF9D" w14:textId="77777777" w:rsidR="005B7178" w:rsidRPr="00236737" w:rsidRDefault="005B7178">
            <w:pPr>
              <w:jc w:val="left"/>
              <w:rPr>
                <w:rFonts w:eastAsia="Calibri"/>
                <w:noProof/>
                <w:szCs w:val="24"/>
              </w:rPr>
            </w:pPr>
            <w:r>
              <w:rPr>
                <w:rFonts w:eastAsia="Calibri"/>
                <w:noProof/>
                <w:szCs w:val="24"/>
              </w:rPr>
              <w:lastRenderedPageBreak/>
              <w:t xml:space="preserve">Regulation </w:t>
            </w:r>
            <w:r>
              <w:rPr>
                <w:rFonts w:eastAsia="Calibri"/>
                <w:noProof/>
                <w:szCs w:val="24"/>
              </w:rPr>
              <w:t>(EU, Euratom)</w:t>
            </w:r>
            <w:r>
              <w:rPr>
                <w:rFonts w:eastAsia="Calibri"/>
                <w:noProof/>
                <w:szCs w:val="24"/>
              </w:rPr>
              <w:t xml:space="preserve"> [202X-XXXX</w:t>
            </w:r>
            <w:r w:rsidRPr="00236737">
              <w:rPr>
                <w:rFonts w:eastAsia="Calibri"/>
                <w:noProof/>
                <w:szCs w:val="24"/>
              </w:rPr>
              <w:t xml:space="preserve"> Performance Regulation</w:t>
            </w:r>
            <w:r>
              <w:rPr>
                <w:rFonts w:eastAsia="Calibri"/>
                <w:noProof/>
                <w:szCs w:val="24"/>
              </w:rPr>
              <w:t>]</w:t>
            </w:r>
            <w:r w:rsidRPr="00236737">
              <w:rPr>
                <w:rFonts w:eastAsia="Calibri"/>
                <w:noProof/>
                <w:szCs w:val="24"/>
              </w:rPr>
              <w:t xml:space="preserve"> Article </w:t>
            </w:r>
            <w:r>
              <w:rPr>
                <w:rFonts w:eastAsia="Calibri"/>
                <w:noProof/>
                <w:szCs w:val="24"/>
              </w:rPr>
              <w:t>XX</w:t>
            </w:r>
            <w:r>
              <w:rPr>
                <w:rFonts w:eastAsia="Calibri"/>
                <w:noProof/>
                <w:szCs w:val="24"/>
              </w:rPr>
              <w:t>X</w:t>
            </w:r>
            <w:r w:rsidRPr="00236737">
              <w:rPr>
                <w:rFonts w:eastAsia="Calibri"/>
                <w:noProof/>
                <w:szCs w:val="24"/>
              </w:rPr>
              <w:t xml:space="preserve"> (monitoring) and </w:t>
            </w:r>
            <w:r>
              <w:rPr>
                <w:rFonts w:eastAsia="Calibri"/>
                <w:noProof/>
                <w:szCs w:val="24"/>
              </w:rPr>
              <w:t>A</w:t>
            </w:r>
            <w:r w:rsidRPr="00236737">
              <w:rPr>
                <w:rFonts w:eastAsia="Calibri"/>
                <w:noProof/>
                <w:szCs w:val="24"/>
              </w:rPr>
              <w:t xml:space="preserve">rticle </w:t>
            </w:r>
            <w:r>
              <w:rPr>
                <w:rFonts w:eastAsia="Calibri"/>
                <w:noProof/>
                <w:szCs w:val="24"/>
              </w:rPr>
              <w:t>XX</w:t>
            </w:r>
            <w:r>
              <w:rPr>
                <w:rFonts w:eastAsia="Calibri"/>
                <w:noProof/>
                <w:szCs w:val="24"/>
              </w:rPr>
              <w:t>X</w:t>
            </w:r>
            <w:r w:rsidRPr="00236737">
              <w:rPr>
                <w:rFonts w:eastAsia="Calibri"/>
                <w:noProof/>
                <w:szCs w:val="24"/>
              </w:rPr>
              <w:t xml:space="preserve"> (</w:t>
            </w:r>
            <w:r>
              <w:rPr>
                <w:rFonts w:eastAsia="Calibri"/>
                <w:noProof/>
                <w:szCs w:val="24"/>
              </w:rPr>
              <w:t xml:space="preserve">implementation report and retrospective </w:t>
            </w:r>
            <w:r>
              <w:rPr>
                <w:rFonts w:eastAsia="Calibri"/>
                <w:noProof/>
                <w:szCs w:val="24"/>
              </w:rPr>
              <w:lastRenderedPageBreak/>
              <w:t>evaluations</w:t>
            </w:r>
            <w:r w:rsidRPr="00236737">
              <w:rPr>
                <w:rFonts w:eastAsia="Calibri"/>
                <w:noProof/>
                <w:szCs w:val="24"/>
              </w:rPr>
              <w:t>).</w:t>
            </w:r>
          </w:p>
          <w:p w14:paraId="41CDF38A" w14:textId="77777777" w:rsidR="005B7178" w:rsidRPr="00236737" w:rsidRDefault="005B7178">
            <w:pPr>
              <w:jc w:val="left"/>
              <w:rPr>
                <w:rFonts w:eastAsia="Calibri"/>
                <w:noProof/>
                <w:szCs w:val="24"/>
              </w:rPr>
            </w:pPr>
            <w:r w:rsidRPr="00236737">
              <w:rPr>
                <w:rFonts w:eastAsia="Calibri"/>
                <w:noProof/>
                <w:szCs w:val="24"/>
              </w:rPr>
              <w:t xml:space="preserve"> </w:t>
            </w:r>
          </w:p>
        </w:tc>
      </w:tr>
    </w:tbl>
    <w:p w14:paraId="759BCB95" w14:textId="77777777" w:rsidR="005B7178" w:rsidRDefault="005B7178" w:rsidP="00F67E4F">
      <w:pPr>
        <w:rPr>
          <w:noProof/>
        </w:rPr>
      </w:pPr>
    </w:p>
    <w:p w14:paraId="74DE02C5" w14:textId="77777777" w:rsidR="005B7178" w:rsidRPr="009347D1" w:rsidRDefault="005B7178" w:rsidP="00F67E4F">
      <w:pPr>
        <w:pStyle w:val="ManualHeading2"/>
        <w:rPr>
          <w:noProof/>
        </w:rPr>
      </w:pPr>
      <w:r>
        <w:rPr>
          <w:noProof/>
        </w:rPr>
        <w:t>4.3.</w:t>
      </w:r>
      <w:r>
        <w:rPr>
          <w:noProof/>
        </w:rPr>
        <w:tab/>
      </w:r>
      <w:r>
        <w:rPr>
          <w:noProof/>
        </w:rPr>
        <w:t>Digital solutions</w:t>
      </w:r>
    </w:p>
    <w:p w14:paraId="041D3249" w14:textId="77777777" w:rsidR="005B7178" w:rsidRDefault="005B7178" w:rsidP="00F67E4F">
      <w:pPr>
        <w:pStyle w:val="Text1"/>
        <w:rPr>
          <w:noProof/>
        </w:rPr>
      </w:pPr>
    </w:p>
    <w:tbl>
      <w:tblPr>
        <w:tblStyle w:val="Kontuurtabel"/>
        <w:tblW w:w="13993" w:type="dxa"/>
        <w:tblLook w:val="04A0" w:firstRow="1" w:lastRow="0" w:firstColumn="1" w:lastColumn="0" w:noHBand="0" w:noVBand="1"/>
      </w:tblPr>
      <w:tblGrid>
        <w:gridCol w:w="1682"/>
        <w:gridCol w:w="1749"/>
        <w:gridCol w:w="2340"/>
        <w:gridCol w:w="1650"/>
        <w:gridCol w:w="2220"/>
        <w:gridCol w:w="1807"/>
        <w:gridCol w:w="2545"/>
      </w:tblGrid>
      <w:tr w:rsidR="00F67E4F" w:rsidRPr="00F41D6E" w14:paraId="618F0035" w14:textId="77777777">
        <w:trPr>
          <w:trHeight w:val="300"/>
        </w:trPr>
        <w:tc>
          <w:tcPr>
            <w:tcW w:w="1682" w:type="dxa"/>
            <w:vAlign w:val="center"/>
          </w:tcPr>
          <w:p w14:paraId="6F1ED197" w14:textId="77777777" w:rsidR="005B7178" w:rsidRPr="00083536" w:rsidRDefault="005B7178">
            <w:pPr>
              <w:spacing w:before="0" w:after="0"/>
              <w:jc w:val="center"/>
              <w:rPr>
                <w:b/>
                <w:bCs/>
                <w:noProof/>
                <w:color w:val="000000"/>
                <w:szCs w:val="24"/>
                <w:lang w:val="fr-BE" w:eastAsia="fr-BE"/>
              </w:rPr>
            </w:pPr>
            <w:r w:rsidRPr="00083536">
              <w:rPr>
                <w:b/>
                <w:bCs/>
                <w:noProof/>
                <w:color w:val="000000"/>
                <w:szCs w:val="24"/>
              </w:rPr>
              <w:t>Digital solution</w:t>
            </w:r>
          </w:p>
        </w:tc>
        <w:tc>
          <w:tcPr>
            <w:tcW w:w="1749" w:type="dxa"/>
            <w:vAlign w:val="center"/>
          </w:tcPr>
          <w:p w14:paraId="0C5B7B1B" w14:textId="77777777" w:rsidR="005B7178" w:rsidRPr="00083536" w:rsidRDefault="005B7178">
            <w:pPr>
              <w:jc w:val="center"/>
              <w:rPr>
                <w:b/>
                <w:bCs/>
                <w:noProof/>
                <w:szCs w:val="24"/>
              </w:rPr>
            </w:pPr>
            <w:r w:rsidRPr="00083536">
              <w:rPr>
                <w:b/>
                <w:bCs/>
                <w:noProof/>
                <w:szCs w:val="24"/>
              </w:rPr>
              <w:t>Reference(s) to the requirement(s)</w:t>
            </w:r>
          </w:p>
        </w:tc>
        <w:tc>
          <w:tcPr>
            <w:tcW w:w="2340" w:type="dxa"/>
            <w:vAlign w:val="center"/>
          </w:tcPr>
          <w:p w14:paraId="2C8E67FE" w14:textId="77777777" w:rsidR="005B7178" w:rsidRPr="00083536" w:rsidRDefault="005B7178">
            <w:pPr>
              <w:spacing w:before="0" w:after="0"/>
              <w:jc w:val="center"/>
              <w:rPr>
                <w:b/>
                <w:bCs/>
                <w:noProof/>
                <w:color w:val="000000"/>
                <w:szCs w:val="24"/>
                <w:lang w:val="fr-BE" w:eastAsia="fr-BE"/>
              </w:rPr>
            </w:pPr>
            <w:r w:rsidRPr="00083536">
              <w:rPr>
                <w:b/>
                <w:bCs/>
                <w:noProof/>
                <w:color w:val="000000"/>
                <w:szCs w:val="24"/>
              </w:rPr>
              <w:t>Main mandated functionalities</w:t>
            </w:r>
          </w:p>
        </w:tc>
        <w:tc>
          <w:tcPr>
            <w:tcW w:w="1650" w:type="dxa"/>
            <w:vAlign w:val="center"/>
          </w:tcPr>
          <w:p w14:paraId="6E38430D" w14:textId="77777777" w:rsidR="005B7178" w:rsidRPr="00083536" w:rsidRDefault="005B7178">
            <w:pPr>
              <w:jc w:val="center"/>
              <w:rPr>
                <w:b/>
                <w:bCs/>
                <w:noProof/>
                <w:color w:val="000000" w:themeColor="text1"/>
                <w:szCs w:val="24"/>
              </w:rPr>
            </w:pPr>
            <w:r w:rsidRPr="00083536">
              <w:rPr>
                <w:b/>
                <w:bCs/>
                <w:noProof/>
                <w:color w:val="000000" w:themeColor="text1"/>
                <w:szCs w:val="24"/>
              </w:rPr>
              <w:t>Responsible body</w:t>
            </w:r>
          </w:p>
        </w:tc>
        <w:tc>
          <w:tcPr>
            <w:tcW w:w="2220" w:type="dxa"/>
            <w:vAlign w:val="center"/>
          </w:tcPr>
          <w:p w14:paraId="7F714A5F" w14:textId="77777777" w:rsidR="005B7178" w:rsidRPr="00083536" w:rsidRDefault="005B7178">
            <w:pPr>
              <w:spacing w:before="0" w:after="0"/>
              <w:jc w:val="center"/>
              <w:rPr>
                <w:b/>
                <w:bCs/>
                <w:noProof/>
                <w:color w:val="000000"/>
                <w:szCs w:val="24"/>
              </w:rPr>
            </w:pPr>
            <w:r w:rsidRPr="00083536">
              <w:rPr>
                <w:b/>
                <w:bCs/>
                <w:noProof/>
                <w:color w:val="000000"/>
                <w:szCs w:val="24"/>
              </w:rPr>
              <w:t>How is accessibility catered for?</w:t>
            </w:r>
          </w:p>
        </w:tc>
        <w:tc>
          <w:tcPr>
            <w:tcW w:w="1807" w:type="dxa"/>
            <w:vAlign w:val="center"/>
          </w:tcPr>
          <w:p w14:paraId="383F1A12" w14:textId="77777777" w:rsidR="005B7178" w:rsidRPr="00083536" w:rsidRDefault="005B7178">
            <w:pPr>
              <w:spacing w:before="0" w:after="0"/>
              <w:jc w:val="center"/>
              <w:rPr>
                <w:b/>
                <w:bCs/>
                <w:noProof/>
                <w:color w:val="000000"/>
                <w:szCs w:val="24"/>
              </w:rPr>
            </w:pPr>
            <w:r w:rsidRPr="00083536">
              <w:rPr>
                <w:b/>
                <w:bCs/>
                <w:noProof/>
                <w:color w:val="000000"/>
                <w:szCs w:val="24"/>
              </w:rPr>
              <w:t>How is reusability considered?</w:t>
            </w:r>
          </w:p>
        </w:tc>
        <w:tc>
          <w:tcPr>
            <w:tcW w:w="2545" w:type="dxa"/>
            <w:vAlign w:val="center"/>
          </w:tcPr>
          <w:p w14:paraId="67D7EC3E" w14:textId="77777777" w:rsidR="005B7178" w:rsidRPr="00083536" w:rsidRDefault="005B7178">
            <w:pPr>
              <w:spacing w:before="0" w:after="0"/>
              <w:jc w:val="center"/>
              <w:rPr>
                <w:b/>
                <w:bCs/>
                <w:noProof/>
                <w:color w:val="000000"/>
                <w:szCs w:val="24"/>
              </w:rPr>
            </w:pPr>
            <w:r w:rsidRPr="00083536">
              <w:rPr>
                <w:b/>
                <w:bCs/>
                <w:noProof/>
                <w:color w:val="000000"/>
                <w:szCs w:val="24"/>
              </w:rPr>
              <w:t>Use of AI technologies (if applicable)</w:t>
            </w:r>
          </w:p>
        </w:tc>
      </w:tr>
      <w:tr w:rsidR="00F67E4F" w:rsidRPr="00A942BE" w14:paraId="0BC2D6FE" w14:textId="77777777">
        <w:trPr>
          <w:trHeight w:val="300"/>
        </w:trPr>
        <w:tc>
          <w:tcPr>
            <w:tcW w:w="1682" w:type="dxa"/>
          </w:tcPr>
          <w:p w14:paraId="4607CA7E" w14:textId="77777777" w:rsidR="005B7178" w:rsidRPr="0098149D" w:rsidRDefault="005B7178">
            <w:pPr>
              <w:jc w:val="left"/>
              <w:rPr>
                <w:rFonts w:eastAsia="Calibri"/>
                <w:noProof/>
                <w:lang w:val="fr-BE"/>
              </w:rPr>
            </w:pPr>
            <w:r w:rsidRPr="0098149D">
              <w:rPr>
                <w:rFonts w:eastAsia="Calibri"/>
                <w:noProof/>
                <w:lang w:val="fr-BE"/>
              </w:rPr>
              <w:t>Digital solution #</w:t>
            </w:r>
            <w:r>
              <w:rPr>
                <w:rFonts w:eastAsia="Calibri"/>
                <w:noProof/>
                <w:lang w:val="fr-BE"/>
              </w:rPr>
              <w:t>1</w:t>
            </w:r>
            <w:r w:rsidRPr="0098149D">
              <w:rPr>
                <w:rFonts w:eastAsia="Calibri"/>
                <w:noProof/>
                <w:lang w:val="fr-BE"/>
              </w:rPr>
              <w:t xml:space="preserve"> </w:t>
            </w:r>
            <w:r>
              <w:rPr>
                <w:rFonts w:eastAsia="Calibri"/>
                <w:noProof/>
                <w:lang w:val="fr-BE"/>
              </w:rPr>
              <w:t>–</w:t>
            </w:r>
            <w:r w:rsidRPr="0098149D">
              <w:rPr>
                <w:rFonts w:eastAsia="Calibri"/>
                <w:noProof/>
                <w:lang w:val="fr-BE"/>
              </w:rPr>
              <w:t xml:space="preserve"> </w:t>
            </w:r>
            <w:r>
              <w:rPr>
                <w:rFonts w:eastAsia="Calibri"/>
                <w:noProof/>
                <w:lang w:val="fr-BE"/>
              </w:rPr>
              <w:t>Direct Grant Management platform</w:t>
            </w:r>
            <w:r>
              <w:rPr>
                <w:noProof/>
                <w:lang w:val="fr-BE"/>
              </w:rPr>
              <w:t xml:space="preserve"> </w:t>
            </w:r>
          </w:p>
        </w:tc>
        <w:tc>
          <w:tcPr>
            <w:tcW w:w="1749" w:type="dxa"/>
          </w:tcPr>
          <w:p w14:paraId="33F02A6D" w14:textId="77777777" w:rsidR="005B7178" w:rsidRPr="006662B7" w:rsidRDefault="005B7178">
            <w:pPr>
              <w:jc w:val="left"/>
              <w:rPr>
                <w:noProof/>
              </w:rPr>
            </w:pPr>
            <w:r w:rsidRPr="006662B7">
              <w:rPr>
                <w:noProof/>
              </w:rPr>
              <w:t>Chapter VI – Article 11</w:t>
            </w:r>
          </w:p>
        </w:tc>
        <w:tc>
          <w:tcPr>
            <w:tcW w:w="2340" w:type="dxa"/>
          </w:tcPr>
          <w:p w14:paraId="1F986B98" w14:textId="77777777" w:rsidR="005B7178" w:rsidRPr="006662B7" w:rsidRDefault="005B7178">
            <w:pPr>
              <w:jc w:val="left"/>
              <w:rPr>
                <w:noProof/>
                <w:szCs w:val="24"/>
              </w:rPr>
            </w:pPr>
            <w:r w:rsidRPr="006662B7">
              <w:rPr>
                <w:noProof/>
                <w:szCs w:val="24"/>
              </w:rPr>
              <w:t>Direct Grant Management</w:t>
            </w:r>
          </w:p>
        </w:tc>
        <w:tc>
          <w:tcPr>
            <w:tcW w:w="1650" w:type="dxa"/>
          </w:tcPr>
          <w:p w14:paraId="35647173" w14:textId="77777777" w:rsidR="005B7178" w:rsidRPr="006662B7" w:rsidRDefault="005B7178">
            <w:pPr>
              <w:jc w:val="left"/>
              <w:rPr>
                <w:noProof/>
                <w:lang w:val="fr-BE"/>
              </w:rPr>
            </w:pPr>
            <w:r w:rsidRPr="006662B7">
              <w:rPr>
                <w:noProof/>
                <w:lang w:val="fr-BE"/>
              </w:rPr>
              <w:t>European Commmission</w:t>
            </w:r>
          </w:p>
        </w:tc>
        <w:tc>
          <w:tcPr>
            <w:tcW w:w="2220" w:type="dxa"/>
          </w:tcPr>
          <w:p w14:paraId="69610A56" w14:textId="77777777" w:rsidR="005B7178" w:rsidRPr="006662B7" w:rsidRDefault="005B7178">
            <w:pPr>
              <w:jc w:val="left"/>
              <w:rPr>
                <w:noProof/>
                <w:lang w:val="en-IE"/>
              </w:rPr>
            </w:pPr>
            <w:r w:rsidRPr="006662B7">
              <w:rPr>
                <w:noProof/>
                <w:lang w:val="en-IE"/>
              </w:rPr>
              <w:t xml:space="preserve">In accordance with Commission Standard </w:t>
            </w:r>
          </w:p>
        </w:tc>
        <w:tc>
          <w:tcPr>
            <w:tcW w:w="1807" w:type="dxa"/>
          </w:tcPr>
          <w:p w14:paraId="4AD682F9" w14:textId="77777777" w:rsidR="005B7178" w:rsidRDefault="005B7178">
            <w:pPr>
              <w:jc w:val="left"/>
              <w:rPr>
                <w:noProof/>
                <w:lang w:val="en-IE"/>
              </w:rPr>
            </w:pPr>
            <w:r>
              <w:rPr>
                <w:noProof/>
                <w:lang w:val="en-IE"/>
              </w:rPr>
              <w:t>//</w:t>
            </w:r>
          </w:p>
        </w:tc>
        <w:tc>
          <w:tcPr>
            <w:tcW w:w="2545" w:type="dxa"/>
          </w:tcPr>
          <w:p w14:paraId="226B5C5B" w14:textId="77777777" w:rsidR="005B7178" w:rsidRDefault="005B7178">
            <w:pPr>
              <w:jc w:val="left"/>
              <w:rPr>
                <w:noProof/>
              </w:rPr>
            </w:pPr>
            <w:r>
              <w:rPr>
                <w:noProof/>
              </w:rPr>
              <w:t xml:space="preserve">The platform </w:t>
            </w:r>
            <w:r w:rsidRPr="00522D11">
              <w:rPr>
                <w:noProof/>
              </w:rPr>
              <w:t>shall leverage the use artificial intelligence where relevant</w:t>
            </w:r>
            <w:r>
              <w:rPr>
                <w:noProof/>
              </w:rPr>
              <w:t xml:space="preserve"> and adhering with the precautionary principle</w:t>
            </w:r>
            <w:r w:rsidRPr="00522D11">
              <w:rPr>
                <w:noProof/>
              </w:rPr>
              <w:t>.</w:t>
            </w:r>
          </w:p>
        </w:tc>
      </w:tr>
      <w:tr w:rsidR="00F67E4F" w:rsidRPr="00A942BE" w14:paraId="749E2BC3" w14:textId="77777777">
        <w:trPr>
          <w:trHeight w:val="300"/>
        </w:trPr>
        <w:tc>
          <w:tcPr>
            <w:tcW w:w="1682" w:type="dxa"/>
          </w:tcPr>
          <w:p w14:paraId="4CBE9023" w14:textId="77777777" w:rsidR="005B7178" w:rsidRPr="006956F5" w:rsidRDefault="005B7178">
            <w:pPr>
              <w:jc w:val="left"/>
              <w:rPr>
                <w:noProof/>
                <w:lang w:val="fr-BE"/>
              </w:rPr>
            </w:pPr>
            <w:r w:rsidRPr="0098149D">
              <w:rPr>
                <w:rFonts w:eastAsia="Calibri"/>
                <w:noProof/>
                <w:lang w:val="fr-BE"/>
              </w:rPr>
              <w:t>Digital solution #</w:t>
            </w:r>
            <w:r>
              <w:rPr>
                <w:rFonts w:eastAsia="Calibri"/>
                <w:noProof/>
                <w:lang w:val="fr-BE"/>
              </w:rPr>
              <w:t>2</w:t>
            </w:r>
            <w:r w:rsidRPr="0098149D">
              <w:rPr>
                <w:rFonts w:eastAsia="Calibri"/>
                <w:noProof/>
                <w:lang w:val="fr-BE"/>
              </w:rPr>
              <w:t xml:space="preserve"> </w:t>
            </w:r>
            <w:r>
              <w:rPr>
                <w:rFonts w:eastAsia="Calibri"/>
                <w:noProof/>
                <w:lang w:val="fr-BE"/>
              </w:rPr>
              <w:t>–</w:t>
            </w:r>
            <w:r w:rsidRPr="0098149D">
              <w:rPr>
                <w:rFonts w:eastAsia="Calibri"/>
                <w:noProof/>
                <w:lang w:val="fr-BE"/>
              </w:rPr>
              <w:t xml:space="preserve"> </w:t>
            </w:r>
            <w:r>
              <w:rPr>
                <w:rFonts w:eastAsia="Calibri"/>
                <w:noProof/>
                <w:lang w:val="fr-BE"/>
              </w:rPr>
              <w:t>Dissemination platform(s)</w:t>
            </w:r>
            <w:r>
              <w:rPr>
                <w:noProof/>
                <w:lang w:val="fr-BE"/>
              </w:rPr>
              <w:t xml:space="preserve"> </w:t>
            </w:r>
          </w:p>
        </w:tc>
        <w:tc>
          <w:tcPr>
            <w:tcW w:w="1749" w:type="dxa"/>
          </w:tcPr>
          <w:p w14:paraId="45AC5B97" w14:textId="77777777" w:rsidR="005B7178" w:rsidRPr="00CF173C" w:rsidRDefault="005B7178">
            <w:pPr>
              <w:jc w:val="left"/>
              <w:rPr>
                <w:noProof/>
                <w:lang w:val="fr-BE"/>
              </w:rPr>
            </w:pPr>
            <w:r w:rsidRPr="00CF173C">
              <w:rPr>
                <w:noProof/>
              </w:rPr>
              <w:t>Chapter V – Article 10</w:t>
            </w:r>
          </w:p>
        </w:tc>
        <w:tc>
          <w:tcPr>
            <w:tcW w:w="2340" w:type="dxa"/>
          </w:tcPr>
          <w:p w14:paraId="004297A3" w14:textId="77777777" w:rsidR="005B7178" w:rsidRPr="006662B7" w:rsidRDefault="005B7178">
            <w:pPr>
              <w:jc w:val="left"/>
              <w:rPr>
                <w:noProof/>
                <w:lang w:val="en-IE"/>
              </w:rPr>
            </w:pPr>
            <w:r w:rsidRPr="006662B7">
              <w:rPr>
                <w:noProof/>
                <w:szCs w:val="24"/>
              </w:rPr>
              <w:t>Disseminate Programme’s results</w:t>
            </w:r>
          </w:p>
        </w:tc>
        <w:tc>
          <w:tcPr>
            <w:tcW w:w="1650" w:type="dxa"/>
          </w:tcPr>
          <w:p w14:paraId="15BFEB49" w14:textId="77777777" w:rsidR="005B7178" w:rsidRPr="006662B7" w:rsidRDefault="005B7178">
            <w:pPr>
              <w:jc w:val="left"/>
              <w:rPr>
                <w:noProof/>
                <w:lang w:val="fr-BE"/>
              </w:rPr>
            </w:pPr>
            <w:r w:rsidRPr="006662B7">
              <w:rPr>
                <w:noProof/>
                <w:lang w:val="fr-BE"/>
              </w:rPr>
              <w:t>European Commmission</w:t>
            </w:r>
          </w:p>
        </w:tc>
        <w:tc>
          <w:tcPr>
            <w:tcW w:w="2220" w:type="dxa"/>
          </w:tcPr>
          <w:p w14:paraId="7EB2034B" w14:textId="77777777" w:rsidR="005B7178" w:rsidRPr="006662B7" w:rsidRDefault="005B7178">
            <w:pPr>
              <w:jc w:val="left"/>
              <w:rPr>
                <w:noProof/>
                <w:lang w:val="en-IE"/>
              </w:rPr>
            </w:pPr>
            <w:r w:rsidRPr="006662B7">
              <w:rPr>
                <w:noProof/>
                <w:lang w:val="en-IE"/>
              </w:rPr>
              <w:t xml:space="preserve">In accordance with Commission Standard </w:t>
            </w:r>
          </w:p>
        </w:tc>
        <w:tc>
          <w:tcPr>
            <w:tcW w:w="1807" w:type="dxa"/>
          </w:tcPr>
          <w:p w14:paraId="0E35502A" w14:textId="77777777" w:rsidR="005B7178" w:rsidRPr="00A942BE" w:rsidRDefault="005B7178">
            <w:pPr>
              <w:jc w:val="left"/>
              <w:rPr>
                <w:noProof/>
                <w:lang w:val="en-IE"/>
              </w:rPr>
            </w:pPr>
            <w:r>
              <w:rPr>
                <w:noProof/>
                <w:lang w:val="en-IE"/>
              </w:rPr>
              <w:t>//</w:t>
            </w:r>
          </w:p>
        </w:tc>
        <w:tc>
          <w:tcPr>
            <w:tcW w:w="2545" w:type="dxa"/>
          </w:tcPr>
          <w:p w14:paraId="2E5100F3" w14:textId="77777777" w:rsidR="005B7178" w:rsidRPr="00A942BE" w:rsidRDefault="005B7178">
            <w:pPr>
              <w:jc w:val="left"/>
              <w:rPr>
                <w:noProof/>
                <w:lang w:val="en-IE"/>
              </w:rPr>
            </w:pPr>
            <w:r>
              <w:rPr>
                <w:noProof/>
              </w:rPr>
              <w:t xml:space="preserve">The platform </w:t>
            </w:r>
            <w:r w:rsidRPr="00522D11">
              <w:rPr>
                <w:noProof/>
              </w:rPr>
              <w:t xml:space="preserve">shall leverage the use </w:t>
            </w:r>
            <w:r w:rsidRPr="00522D11">
              <w:rPr>
                <w:noProof/>
              </w:rPr>
              <w:t>artificial intelligence where relevant</w:t>
            </w:r>
            <w:r>
              <w:rPr>
                <w:noProof/>
              </w:rPr>
              <w:t xml:space="preserve"> and adhering with the precautionary principle</w:t>
            </w:r>
            <w:r w:rsidRPr="00522D11">
              <w:rPr>
                <w:noProof/>
              </w:rPr>
              <w:t>.</w:t>
            </w:r>
          </w:p>
        </w:tc>
      </w:tr>
    </w:tbl>
    <w:p w14:paraId="7301CE99" w14:textId="77777777" w:rsidR="005B7178" w:rsidRDefault="005B7178" w:rsidP="00F67E4F">
      <w:pPr>
        <w:pStyle w:val="Text1"/>
        <w:rPr>
          <w:noProof/>
        </w:rPr>
      </w:pPr>
    </w:p>
    <w:p w14:paraId="275FC00A" w14:textId="77777777" w:rsidR="005B7178" w:rsidRPr="0098149D" w:rsidRDefault="005B7178" w:rsidP="00F67E4F">
      <w:pPr>
        <w:rPr>
          <w:b/>
          <w:noProof/>
          <w:u w:val="single"/>
          <w:lang w:val="fr-BE"/>
        </w:rPr>
      </w:pPr>
      <w:r w:rsidRPr="0098149D">
        <w:rPr>
          <w:b/>
          <w:noProof/>
          <w:u w:val="single"/>
          <w:lang w:val="fr-BE"/>
        </w:rPr>
        <w:t>Digital solution #</w:t>
      </w:r>
      <w:r>
        <w:rPr>
          <w:b/>
          <w:noProof/>
          <w:u w:val="single"/>
          <w:lang w:val="fr-BE"/>
        </w:rPr>
        <w:t>1</w:t>
      </w:r>
      <w:r w:rsidRPr="0098149D">
        <w:rPr>
          <w:b/>
          <w:noProof/>
          <w:u w:val="single"/>
          <w:lang w:val="fr-BE"/>
        </w:rPr>
        <w:t xml:space="preserve"> - </w:t>
      </w:r>
      <w:r w:rsidRPr="00236737">
        <w:rPr>
          <w:b/>
          <w:noProof/>
          <w:u w:val="single"/>
          <w:lang w:val="fr-BE"/>
        </w:rPr>
        <w:t>Direct Grant Management platform</w:t>
      </w:r>
    </w:p>
    <w:tbl>
      <w:tblPr>
        <w:tblStyle w:val="Kontuurtabel"/>
        <w:tblW w:w="14077" w:type="dxa"/>
        <w:tblLook w:val="04A0" w:firstRow="1" w:lastRow="0" w:firstColumn="1" w:lastColumn="0" w:noHBand="0" w:noVBand="1"/>
      </w:tblPr>
      <w:tblGrid>
        <w:gridCol w:w="5788"/>
        <w:gridCol w:w="8289"/>
      </w:tblGrid>
      <w:tr w:rsidR="00F67E4F" w:rsidRPr="00C40D00" w14:paraId="000AD648" w14:textId="77777777">
        <w:tc>
          <w:tcPr>
            <w:tcW w:w="1560" w:type="dxa"/>
          </w:tcPr>
          <w:p w14:paraId="1F570E3C" w14:textId="77777777" w:rsidR="005B7178" w:rsidRPr="00C40D00" w:rsidRDefault="005B7178">
            <w:pPr>
              <w:jc w:val="left"/>
              <w:rPr>
                <w:b/>
                <w:noProof/>
              </w:rPr>
            </w:pPr>
            <w:r w:rsidRPr="6EED4E03">
              <w:rPr>
                <w:b/>
                <w:noProof/>
              </w:rPr>
              <w:lastRenderedPageBreak/>
              <w:t xml:space="preserve">Digital </w:t>
            </w:r>
            <w:r>
              <w:rPr>
                <w:b/>
                <w:noProof/>
              </w:rPr>
              <w:t xml:space="preserve">and/or sectorial </w:t>
            </w:r>
            <w:r w:rsidRPr="6EED4E03">
              <w:rPr>
                <w:b/>
                <w:noProof/>
              </w:rPr>
              <w:t xml:space="preserve">policy </w:t>
            </w:r>
            <w:r>
              <w:rPr>
                <w:b/>
                <w:noProof/>
              </w:rPr>
              <w:t>(when these are applicable)</w:t>
            </w:r>
          </w:p>
        </w:tc>
        <w:tc>
          <w:tcPr>
            <w:tcW w:w="2257" w:type="dxa"/>
          </w:tcPr>
          <w:p w14:paraId="69C9DC07" w14:textId="77777777" w:rsidR="005B7178" w:rsidRPr="00C40D00" w:rsidRDefault="005B7178">
            <w:pPr>
              <w:jc w:val="left"/>
              <w:rPr>
                <w:b/>
                <w:noProof/>
              </w:rPr>
            </w:pPr>
            <w:r w:rsidRPr="6EED4E03">
              <w:rPr>
                <w:b/>
                <w:noProof/>
              </w:rPr>
              <w:t>Explanation o</w:t>
            </w:r>
            <w:r>
              <w:rPr>
                <w:b/>
                <w:noProof/>
              </w:rPr>
              <w:t>n</w:t>
            </w:r>
            <w:r w:rsidRPr="6EED4E03">
              <w:rPr>
                <w:b/>
                <w:noProof/>
              </w:rPr>
              <w:t xml:space="preserve"> how it aligns</w:t>
            </w:r>
          </w:p>
        </w:tc>
      </w:tr>
      <w:tr w:rsidR="00F67E4F" w:rsidRPr="00FF0413" w14:paraId="75063FB1" w14:textId="77777777">
        <w:tc>
          <w:tcPr>
            <w:tcW w:w="1560" w:type="dxa"/>
          </w:tcPr>
          <w:p w14:paraId="3ACB448D" w14:textId="77777777" w:rsidR="005B7178" w:rsidRPr="000D37B0" w:rsidRDefault="005B7178">
            <w:pPr>
              <w:jc w:val="left"/>
              <w:rPr>
                <w:b/>
                <w:i/>
                <w:noProof/>
              </w:rPr>
            </w:pPr>
            <w:r w:rsidRPr="000D37B0">
              <w:rPr>
                <w:b/>
                <w:i/>
                <w:noProof/>
                <w:lang w:val="en-US"/>
              </w:rPr>
              <w:t>AI Act</w:t>
            </w:r>
          </w:p>
        </w:tc>
        <w:tc>
          <w:tcPr>
            <w:tcW w:w="2257" w:type="dxa"/>
          </w:tcPr>
          <w:p w14:paraId="23119823" w14:textId="77777777" w:rsidR="005B7178" w:rsidRPr="00FF0413" w:rsidRDefault="005B7178">
            <w:pPr>
              <w:jc w:val="left"/>
              <w:rPr>
                <w:noProof/>
              </w:rPr>
            </w:pPr>
            <w:r>
              <w:rPr>
                <w:noProof/>
              </w:rPr>
              <w:t xml:space="preserve">When </w:t>
            </w:r>
            <w:r>
              <w:rPr>
                <w:noProof/>
              </w:rPr>
              <w:t>leveraging AI, the European Commission will ensure the compliance with the AI Act.</w:t>
            </w:r>
          </w:p>
        </w:tc>
      </w:tr>
      <w:tr w:rsidR="00F67E4F" w:rsidRPr="00F41D6E" w14:paraId="3536209F" w14:textId="77777777">
        <w:tc>
          <w:tcPr>
            <w:tcW w:w="1560" w:type="dxa"/>
          </w:tcPr>
          <w:p w14:paraId="0BC6665C" w14:textId="77777777" w:rsidR="005B7178" w:rsidRPr="000D37B0" w:rsidRDefault="005B7178">
            <w:pPr>
              <w:jc w:val="left"/>
              <w:rPr>
                <w:b/>
                <w:i/>
                <w:noProof/>
                <w:lang w:val="en-US"/>
              </w:rPr>
            </w:pPr>
            <w:r w:rsidRPr="000D37B0">
              <w:rPr>
                <w:b/>
                <w:i/>
                <w:noProof/>
                <w:lang w:val="en-US"/>
              </w:rPr>
              <w:t>EU Cybersecurity framework</w:t>
            </w:r>
          </w:p>
        </w:tc>
        <w:tc>
          <w:tcPr>
            <w:tcW w:w="2257" w:type="dxa"/>
          </w:tcPr>
          <w:p w14:paraId="5551910A" w14:textId="77777777" w:rsidR="005B7178" w:rsidRPr="00F41D6E" w:rsidRDefault="005B7178">
            <w:pPr>
              <w:jc w:val="left"/>
              <w:rPr>
                <w:noProof/>
              </w:rPr>
            </w:pPr>
            <w:r w:rsidRPr="00190106">
              <w:rPr>
                <w:rFonts w:eastAsia="Calibri"/>
                <w:noProof/>
                <w:lang w:val="en-IE"/>
              </w:rPr>
              <w:t xml:space="preserve">Without prejudice to Regulation (EU) 2016/679, the </w:t>
            </w:r>
            <w:r>
              <w:rPr>
                <w:rFonts w:eastAsia="Calibri"/>
                <w:noProof/>
                <w:lang w:val="en-IE"/>
              </w:rPr>
              <w:t>European Commission</w:t>
            </w:r>
            <w:r w:rsidRPr="00190106">
              <w:rPr>
                <w:rFonts w:eastAsia="Calibri"/>
                <w:noProof/>
                <w:lang w:val="en-IE"/>
              </w:rPr>
              <w:t xml:space="preserve"> shall ensure the security, integrity, authenticity and confidentiality of the data collected and stored for the purpose of this </w:t>
            </w:r>
            <w:r>
              <w:rPr>
                <w:rFonts w:eastAsia="Calibri"/>
                <w:noProof/>
                <w:lang w:val="en-IE"/>
              </w:rPr>
              <w:t>regulation</w:t>
            </w:r>
            <w:r w:rsidRPr="00190106">
              <w:rPr>
                <w:rFonts w:eastAsia="Calibri"/>
                <w:noProof/>
                <w:lang w:val="en-IE"/>
              </w:rPr>
              <w:t>.</w:t>
            </w:r>
          </w:p>
        </w:tc>
      </w:tr>
      <w:tr w:rsidR="00F67E4F" w14:paraId="160E3AE2" w14:textId="77777777">
        <w:tc>
          <w:tcPr>
            <w:tcW w:w="1560" w:type="dxa"/>
          </w:tcPr>
          <w:p w14:paraId="788E547E" w14:textId="77777777" w:rsidR="005B7178" w:rsidRPr="000D37B0" w:rsidRDefault="005B7178">
            <w:pPr>
              <w:jc w:val="left"/>
              <w:rPr>
                <w:b/>
                <w:i/>
                <w:noProof/>
              </w:rPr>
            </w:pPr>
            <w:r w:rsidRPr="000D37B0">
              <w:rPr>
                <w:b/>
                <w:i/>
                <w:noProof/>
              </w:rPr>
              <w:t>eIDAS</w:t>
            </w:r>
          </w:p>
        </w:tc>
        <w:tc>
          <w:tcPr>
            <w:tcW w:w="2257" w:type="dxa"/>
          </w:tcPr>
          <w:p w14:paraId="074C52B9" w14:textId="77777777" w:rsidR="005B7178" w:rsidRDefault="005B7178">
            <w:pPr>
              <w:jc w:val="left"/>
              <w:rPr>
                <w:noProof/>
              </w:rPr>
            </w:pPr>
            <w:r>
              <w:rPr>
                <w:noProof/>
              </w:rPr>
              <w:t>Not Applicable</w:t>
            </w:r>
          </w:p>
        </w:tc>
      </w:tr>
      <w:tr w:rsidR="00F67E4F" w:rsidRPr="00F41D6E" w14:paraId="5E1B905F" w14:textId="77777777">
        <w:tc>
          <w:tcPr>
            <w:tcW w:w="1560" w:type="dxa"/>
          </w:tcPr>
          <w:p w14:paraId="3AF5A201" w14:textId="77777777" w:rsidR="005B7178" w:rsidRPr="000D37B0" w:rsidRDefault="005B7178">
            <w:pPr>
              <w:jc w:val="left"/>
              <w:rPr>
                <w:b/>
                <w:i/>
                <w:noProof/>
                <w:lang w:val="en-US"/>
              </w:rPr>
            </w:pPr>
            <w:r w:rsidRPr="000D37B0">
              <w:rPr>
                <w:b/>
                <w:i/>
                <w:noProof/>
                <w:lang w:val="en-US"/>
              </w:rPr>
              <w:t>Single Digital Gateway and IMI</w:t>
            </w:r>
          </w:p>
        </w:tc>
        <w:tc>
          <w:tcPr>
            <w:tcW w:w="2257" w:type="dxa"/>
          </w:tcPr>
          <w:p w14:paraId="7C54D926" w14:textId="77777777" w:rsidR="005B7178" w:rsidRPr="00F41D6E" w:rsidRDefault="005B7178">
            <w:pPr>
              <w:jc w:val="left"/>
              <w:rPr>
                <w:noProof/>
              </w:rPr>
            </w:pPr>
            <w:r>
              <w:rPr>
                <w:noProof/>
              </w:rPr>
              <w:t>Not Applicable</w:t>
            </w:r>
          </w:p>
        </w:tc>
      </w:tr>
      <w:tr w:rsidR="00F67E4F" w:rsidRPr="00F41D6E" w14:paraId="291997FD" w14:textId="77777777">
        <w:tc>
          <w:tcPr>
            <w:tcW w:w="1560" w:type="dxa"/>
          </w:tcPr>
          <w:p w14:paraId="627E793B" w14:textId="77777777" w:rsidR="005B7178" w:rsidRPr="000D37B0" w:rsidRDefault="005B7178">
            <w:pPr>
              <w:jc w:val="left"/>
              <w:rPr>
                <w:b/>
                <w:i/>
                <w:noProof/>
              </w:rPr>
            </w:pPr>
            <w:r w:rsidRPr="000D37B0">
              <w:rPr>
                <w:b/>
                <w:i/>
                <w:noProof/>
              </w:rPr>
              <w:t>Others</w:t>
            </w:r>
          </w:p>
        </w:tc>
        <w:tc>
          <w:tcPr>
            <w:tcW w:w="2257" w:type="dxa"/>
          </w:tcPr>
          <w:p w14:paraId="28FDBBC7" w14:textId="77777777" w:rsidR="005B7178" w:rsidRPr="00F41D6E" w:rsidRDefault="005B7178">
            <w:pPr>
              <w:jc w:val="left"/>
              <w:rPr>
                <w:rFonts w:eastAsia="Calibri"/>
                <w:noProof/>
              </w:rPr>
            </w:pPr>
            <w:r>
              <w:rPr>
                <w:rFonts w:eastAsia="Calibri"/>
                <w:noProof/>
              </w:rPr>
              <w:t>//</w:t>
            </w:r>
          </w:p>
        </w:tc>
      </w:tr>
    </w:tbl>
    <w:p w14:paraId="55E87E74" w14:textId="77777777" w:rsidR="005B7178" w:rsidRDefault="005B7178" w:rsidP="00F67E4F">
      <w:pPr>
        <w:rPr>
          <w:b/>
          <w:noProof/>
          <w:u w:val="single"/>
          <w:lang w:val="fr-BE"/>
        </w:rPr>
      </w:pPr>
    </w:p>
    <w:p w14:paraId="53481529" w14:textId="77777777" w:rsidR="005B7178" w:rsidRPr="0098149D" w:rsidRDefault="005B7178" w:rsidP="00F67E4F">
      <w:pPr>
        <w:rPr>
          <w:b/>
          <w:noProof/>
          <w:u w:val="single"/>
          <w:lang w:val="fr-BE"/>
        </w:rPr>
      </w:pPr>
      <w:r w:rsidRPr="00CF173C">
        <w:rPr>
          <w:b/>
          <w:noProof/>
          <w:u w:val="single"/>
          <w:lang w:val="fr-BE"/>
        </w:rPr>
        <w:t xml:space="preserve">Digital solution #2 - </w:t>
      </w:r>
      <w:r w:rsidRPr="00CF173C">
        <w:rPr>
          <w:rFonts w:eastAsia="Times New Roman"/>
          <w:b/>
          <w:noProof/>
          <w:u w:val="single"/>
          <w:lang w:val="fr-BE"/>
        </w:rPr>
        <w:t>Dissemination platform(s)</w:t>
      </w:r>
    </w:p>
    <w:tbl>
      <w:tblPr>
        <w:tblStyle w:val="Kontuurtabel"/>
        <w:tblW w:w="14077" w:type="dxa"/>
        <w:tblLook w:val="04A0" w:firstRow="1" w:lastRow="0" w:firstColumn="1" w:lastColumn="0" w:noHBand="0" w:noVBand="1"/>
      </w:tblPr>
      <w:tblGrid>
        <w:gridCol w:w="5788"/>
        <w:gridCol w:w="8289"/>
      </w:tblGrid>
      <w:tr w:rsidR="00F67E4F" w:rsidRPr="00C40D00" w14:paraId="6A529169" w14:textId="77777777">
        <w:tc>
          <w:tcPr>
            <w:tcW w:w="1560" w:type="dxa"/>
          </w:tcPr>
          <w:p w14:paraId="0F60AAC0" w14:textId="77777777" w:rsidR="005B7178" w:rsidRPr="00C40D00" w:rsidRDefault="005B7178">
            <w:pPr>
              <w:jc w:val="left"/>
              <w:rPr>
                <w:b/>
                <w:noProof/>
              </w:rPr>
            </w:pPr>
            <w:r w:rsidRPr="6EED4E03">
              <w:rPr>
                <w:b/>
                <w:noProof/>
              </w:rPr>
              <w:t xml:space="preserve">Digital </w:t>
            </w:r>
            <w:r>
              <w:rPr>
                <w:b/>
                <w:noProof/>
              </w:rPr>
              <w:t xml:space="preserve">and/or sectorial </w:t>
            </w:r>
            <w:r w:rsidRPr="6EED4E03">
              <w:rPr>
                <w:b/>
                <w:noProof/>
              </w:rPr>
              <w:t xml:space="preserve">policy </w:t>
            </w:r>
            <w:r>
              <w:rPr>
                <w:b/>
                <w:noProof/>
              </w:rPr>
              <w:t xml:space="preserve">(when these are </w:t>
            </w:r>
            <w:r>
              <w:rPr>
                <w:b/>
                <w:noProof/>
              </w:rPr>
              <w:t>applicable)</w:t>
            </w:r>
          </w:p>
        </w:tc>
        <w:tc>
          <w:tcPr>
            <w:tcW w:w="2257" w:type="dxa"/>
          </w:tcPr>
          <w:p w14:paraId="0A834DF6" w14:textId="77777777" w:rsidR="005B7178" w:rsidRPr="00C40D00" w:rsidRDefault="005B7178">
            <w:pPr>
              <w:jc w:val="left"/>
              <w:rPr>
                <w:b/>
                <w:noProof/>
              </w:rPr>
            </w:pPr>
            <w:r w:rsidRPr="6EED4E03">
              <w:rPr>
                <w:b/>
                <w:noProof/>
              </w:rPr>
              <w:t>Explanation o</w:t>
            </w:r>
            <w:r>
              <w:rPr>
                <w:b/>
                <w:noProof/>
              </w:rPr>
              <w:t>n</w:t>
            </w:r>
            <w:r w:rsidRPr="6EED4E03">
              <w:rPr>
                <w:b/>
                <w:noProof/>
              </w:rPr>
              <w:t xml:space="preserve"> how it aligns</w:t>
            </w:r>
          </w:p>
        </w:tc>
      </w:tr>
      <w:tr w:rsidR="00F67E4F" w:rsidRPr="00FF0413" w14:paraId="6F9E5172" w14:textId="77777777">
        <w:tc>
          <w:tcPr>
            <w:tcW w:w="1560" w:type="dxa"/>
          </w:tcPr>
          <w:p w14:paraId="7CA14813" w14:textId="77777777" w:rsidR="005B7178" w:rsidRPr="000D37B0" w:rsidRDefault="005B7178">
            <w:pPr>
              <w:jc w:val="left"/>
              <w:rPr>
                <w:b/>
                <w:i/>
                <w:noProof/>
              </w:rPr>
            </w:pPr>
            <w:r w:rsidRPr="000D37B0">
              <w:rPr>
                <w:b/>
                <w:i/>
                <w:noProof/>
                <w:lang w:val="en-US"/>
              </w:rPr>
              <w:t>AI Act</w:t>
            </w:r>
          </w:p>
        </w:tc>
        <w:tc>
          <w:tcPr>
            <w:tcW w:w="2257" w:type="dxa"/>
          </w:tcPr>
          <w:p w14:paraId="5257066C" w14:textId="77777777" w:rsidR="005B7178" w:rsidRPr="00FF0413" w:rsidRDefault="005B7178">
            <w:pPr>
              <w:jc w:val="left"/>
              <w:rPr>
                <w:noProof/>
              </w:rPr>
            </w:pPr>
            <w:r>
              <w:rPr>
                <w:noProof/>
              </w:rPr>
              <w:t>When leveraging AI, the European Commission will ensure the compliance with the AI Act.</w:t>
            </w:r>
          </w:p>
        </w:tc>
      </w:tr>
      <w:tr w:rsidR="00F67E4F" w:rsidRPr="00F41D6E" w14:paraId="70E82E15" w14:textId="77777777">
        <w:tc>
          <w:tcPr>
            <w:tcW w:w="1560" w:type="dxa"/>
          </w:tcPr>
          <w:p w14:paraId="27A7780E" w14:textId="77777777" w:rsidR="005B7178" w:rsidRPr="000D37B0" w:rsidRDefault="005B7178">
            <w:pPr>
              <w:jc w:val="left"/>
              <w:rPr>
                <w:b/>
                <w:i/>
                <w:noProof/>
                <w:lang w:val="en-US"/>
              </w:rPr>
            </w:pPr>
            <w:r w:rsidRPr="000D37B0">
              <w:rPr>
                <w:b/>
                <w:i/>
                <w:noProof/>
                <w:lang w:val="en-US"/>
              </w:rPr>
              <w:t>EU Cybersecurity framework</w:t>
            </w:r>
          </w:p>
        </w:tc>
        <w:tc>
          <w:tcPr>
            <w:tcW w:w="2257" w:type="dxa"/>
          </w:tcPr>
          <w:p w14:paraId="5EB56B74" w14:textId="77777777" w:rsidR="005B7178" w:rsidRPr="00F41D6E" w:rsidRDefault="005B7178">
            <w:pPr>
              <w:jc w:val="left"/>
              <w:rPr>
                <w:noProof/>
              </w:rPr>
            </w:pPr>
            <w:r w:rsidRPr="00190106">
              <w:rPr>
                <w:rFonts w:eastAsia="Calibri"/>
                <w:noProof/>
                <w:lang w:val="en-IE"/>
              </w:rPr>
              <w:t xml:space="preserve">Without prejudice to Regulation (EU) 2016/679, the </w:t>
            </w:r>
            <w:r>
              <w:rPr>
                <w:rFonts w:eastAsia="Calibri"/>
                <w:noProof/>
                <w:lang w:val="en-IE"/>
              </w:rPr>
              <w:t>European Commission</w:t>
            </w:r>
            <w:r w:rsidRPr="00190106">
              <w:rPr>
                <w:rFonts w:eastAsia="Calibri"/>
                <w:noProof/>
                <w:lang w:val="en-IE"/>
              </w:rPr>
              <w:t xml:space="preserve"> shall ensure the security, integrity, authenticity and confidentiality of the data collected and stored for the purpose of this </w:t>
            </w:r>
            <w:r>
              <w:rPr>
                <w:rFonts w:eastAsia="Calibri"/>
                <w:noProof/>
                <w:lang w:val="en-IE"/>
              </w:rPr>
              <w:t>regulation</w:t>
            </w:r>
            <w:r w:rsidRPr="00190106">
              <w:rPr>
                <w:rFonts w:eastAsia="Calibri"/>
                <w:noProof/>
                <w:lang w:val="en-IE"/>
              </w:rPr>
              <w:t>.</w:t>
            </w:r>
          </w:p>
        </w:tc>
      </w:tr>
      <w:tr w:rsidR="00F67E4F" w14:paraId="29B19E15" w14:textId="77777777">
        <w:tc>
          <w:tcPr>
            <w:tcW w:w="1560" w:type="dxa"/>
          </w:tcPr>
          <w:p w14:paraId="163CDFE1" w14:textId="77777777" w:rsidR="005B7178" w:rsidRPr="000D37B0" w:rsidRDefault="005B7178">
            <w:pPr>
              <w:jc w:val="left"/>
              <w:rPr>
                <w:b/>
                <w:i/>
                <w:noProof/>
              </w:rPr>
            </w:pPr>
            <w:r w:rsidRPr="000D37B0">
              <w:rPr>
                <w:b/>
                <w:i/>
                <w:noProof/>
              </w:rPr>
              <w:t>eIDAS</w:t>
            </w:r>
          </w:p>
        </w:tc>
        <w:tc>
          <w:tcPr>
            <w:tcW w:w="2257" w:type="dxa"/>
          </w:tcPr>
          <w:p w14:paraId="38658525" w14:textId="77777777" w:rsidR="005B7178" w:rsidRDefault="005B7178">
            <w:pPr>
              <w:jc w:val="left"/>
              <w:rPr>
                <w:noProof/>
              </w:rPr>
            </w:pPr>
            <w:r>
              <w:rPr>
                <w:noProof/>
              </w:rPr>
              <w:t>Not Applicable</w:t>
            </w:r>
          </w:p>
        </w:tc>
      </w:tr>
      <w:tr w:rsidR="00F67E4F" w:rsidRPr="00F41D6E" w14:paraId="711CD983" w14:textId="77777777">
        <w:tc>
          <w:tcPr>
            <w:tcW w:w="1560" w:type="dxa"/>
          </w:tcPr>
          <w:p w14:paraId="1E0A439A" w14:textId="77777777" w:rsidR="005B7178" w:rsidRPr="000D37B0" w:rsidRDefault="005B7178">
            <w:pPr>
              <w:jc w:val="left"/>
              <w:rPr>
                <w:b/>
                <w:i/>
                <w:noProof/>
                <w:lang w:val="en-US"/>
              </w:rPr>
            </w:pPr>
            <w:r w:rsidRPr="000D37B0">
              <w:rPr>
                <w:b/>
                <w:i/>
                <w:noProof/>
                <w:lang w:val="en-US"/>
              </w:rPr>
              <w:lastRenderedPageBreak/>
              <w:t>Single Digital Gateway and IMI</w:t>
            </w:r>
          </w:p>
        </w:tc>
        <w:tc>
          <w:tcPr>
            <w:tcW w:w="2257" w:type="dxa"/>
          </w:tcPr>
          <w:p w14:paraId="0AD038B9" w14:textId="77777777" w:rsidR="005B7178" w:rsidRPr="00F41D6E" w:rsidRDefault="005B7178">
            <w:pPr>
              <w:jc w:val="left"/>
              <w:rPr>
                <w:noProof/>
              </w:rPr>
            </w:pPr>
            <w:r>
              <w:rPr>
                <w:noProof/>
              </w:rPr>
              <w:t>Not Applicable</w:t>
            </w:r>
          </w:p>
        </w:tc>
      </w:tr>
      <w:tr w:rsidR="00F67E4F" w:rsidRPr="00F41D6E" w14:paraId="6A81E376" w14:textId="77777777">
        <w:tc>
          <w:tcPr>
            <w:tcW w:w="1560" w:type="dxa"/>
          </w:tcPr>
          <w:p w14:paraId="7AD15B4A" w14:textId="77777777" w:rsidR="005B7178" w:rsidRPr="000D37B0" w:rsidRDefault="005B7178">
            <w:pPr>
              <w:jc w:val="left"/>
              <w:rPr>
                <w:b/>
                <w:i/>
                <w:noProof/>
              </w:rPr>
            </w:pPr>
            <w:r w:rsidRPr="000D37B0">
              <w:rPr>
                <w:b/>
                <w:i/>
                <w:noProof/>
              </w:rPr>
              <w:t>Others</w:t>
            </w:r>
          </w:p>
        </w:tc>
        <w:tc>
          <w:tcPr>
            <w:tcW w:w="2257" w:type="dxa"/>
          </w:tcPr>
          <w:p w14:paraId="4CA82AE1" w14:textId="77777777" w:rsidR="005B7178" w:rsidRPr="00F41D6E" w:rsidRDefault="005B7178">
            <w:pPr>
              <w:jc w:val="left"/>
              <w:rPr>
                <w:rFonts w:eastAsia="Calibri"/>
                <w:noProof/>
              </w:rPr>
            </w:pPr>
            <w:r>
              <w:rPr>
                <w:rFonts w:eastAsia="Calibri"/>
                <w:noProof/>
              </w:rPr>
              <w:t>//</w:t>
            </w:r>
          </w:p>
        </w:tc>
      </w:tr>
    </w:tbl>
    <w:p w14:paraId="14000B06" w14:textId="77777777" w:rsidR="005B7178" w:rsidRDefault="005B7178" w:rsidP="00F67E4F">
      <w:pPr>
        <w:pStyle w:val="ManualHeading2"/>
        <w:rPr>
          <w:noProof/>
        </w:rPr>
      </w:pPr>
      <w:r>
        <w:rPr>
          <w:rStyle w:val="Rhutus"/>
          <w:bCs/>
          <w:noProof/>
        </w:rPr>
        <w:t>4.4.</w:t>
      </w:r>
      <w:r>
        <w:rPr>
          <w:noProof/>
        </w:rPr>
        <w:tab/>
      </w:r>
      <w:r w:rsidRPr="00B27729">
        <w:rPr>
          <w:rStyle w:val="Rhutus"/>
          <w:bCs/>
          <w:noProof/>
        </w:rPr>
        <w:t>Interoperability assessment</w:t>
      </w:r>
    </w:p>
    <w:p w14:paraId="60B3A0E5" w14:textId="77777777" w:rsidR="005B7178" w:rsidRDefault="005B7178" w:rsidP="00F67E4F">
      <w:pPr>
        <w:pStyle w:val="Text1"/>
        <w:rPr>
          <w:noProof/>
        </w:rPr>
      </w:pPr>
      <w:r>
        <w:rPr>
          <w:noProof/>
        </w:rPr>
        <w:t>Not applicable</w:t>
      </w:r>
    </w:p>
    <w:p w14:paraId="6630687A" w14:textId="77777777" w:rsidR="005B7178" w:rsidRDefault="005B7178" w:rsidP="00F67E4F">
      <w:pPr>
        <w:pStyle w:val="ManualHeading2"/>
        <w:rPr>
          <w:noProof/>
        </w:rPr>
      </w:pPr>
      <w:r>
        <w:rPr>
          <w:noProof/>
        </w:rPr>
        <w:t>4.5.</w:t>
      </w:r>
      <w:r>
        <w:rPr>
          <w:noProof/>
        </w:rPr>
        <w:tab/>
        <w:t>Measures to support digital</w:t>
      </w:r>
      <w:r w:rsidRPr="001B7467">
        <w:rPr>
          <w:noProof/>
        </w:rPr>
        <w:t xml:space="preserve"> </w:t>
      </w:r>
      <w:r>
        <w:rPr>
          <w:noProof/>
        </w:rPr>
        <w:t>i</w:t>
      </w:r>
      <w:r w:rsidRPr="001B7467">
        <w:rPr>
          <w:noProof/>
        </w:rPr>
        <w:t>mplementation</w:t>
      </w:r>
    </w:p>
    <w:tbl>
      <w:tblPr>
        <w:tblStyle w:val="Kontuurtabel"/>
        <w:tblW w:w="14000" w:type="dxa"/>
        <w:tblLook w:val="04A0" w:firstRow="1" w:lastRow="0" w:firstColumn="1" w:lastColumn="0" w:noHBand="0" w:noVBand="1"/>
      </w:tblPr>
      <w:tblGrid>
        <w:gridCol w:w="4248"/>
        <w:gridCol w:w="2268"/>
        <w:gridCol w:w="3373"/>
        <w:gridCol w:w="1843"/>
        <w:gridCol w:w="2268"/>
      </w:tblGrid>
      <w:tr w:rsidR="00F67E4F" w:rsidRPr="00F41D6E" w14:paraId="14049E6C" w14:textId="77777777">
        <w:trPr>
          <w:trHeight w:val="300"/>
        </w:trPr>
        <w:tc>
          <w:tcPr>
            <w:tcW w:w="4248" w:type="dxa"/>
          </w:tcPr>
          <w:p w14:paraId="6A24F0C0" w14:textId="77777777" w:rsidR="005B7178" w:rsidRPr="00083536" w:rsidRDefault="005B7178">
            <w:pPr>
              <w:jc w:val="left"/>
              <w:rPr>
                <w:b/>
                <w:bCs/>
                <w:noProof/>
                <w:color w:val="000000"/>
                <w:szCs w:val="24"/>
                <w:lang w:val="en-US" w:eastAsia="fr-BE"/>
              </w:rPr>
            </w:pPr>
            <w:r w:rsidRPr="009F6FC3">
              <w:rPr>
                <w:b/>
                <w:bCs/>
                <w:noProof/>
                <w:szCs w:val="24"/>
              </w:rPr>
              <w:t>Description</w:t>
            </w:r>
            <w:r w:rsidRPr="00083536">
              <w:rPr>
                <w:b/>
                <w:bCs/>
                <w:noProof/>
                <w:color w:val="000000"/>
                <w:szCs w:val="24"/>
              </w:rPr>
              <w:t xml:space="preserve"> of the measure</w:t>
            </w:r>
          </w:p>
        </w:tc>
        <w:tc>
          <w:tcPr>
            <w:tcW w:w="2268" w:type="dxa"/>
          </w:tcPr>
          <w:p w14:paraId="2634ED30" w14:textId="77777777" w:rsidR="005B7178" w:rsidRPr="00083536" w:rsidRDefault="005B7178">
            <w:pPr>
              <w:jc w:val="left"/>
              <w:rPr>
                <w:b/>
                <w:bCs/>
                <w:noProof/>
                <w:szCs w:val="24"/>
              </w:rPr>
            </w:pPr>
            <w:r w:rsidRPr="00083536">
              <w:rPr>
                <w:b/>
                <w:bCs/>
                <w:noProof/>
                <w:szCs w:val="24"/>
              </w:rPr>
              <w:t>Reference(s) to the requirement(s)</w:t>
            </w:r>
            <w:r>
              <w:rPr>
                <w:b/>
                <w:bCs/>
                <w:noProof/>
                <w:szCs w:val="24"/>
              </w:rPr>
              <w:t xml:space="preserve"> </w:t>
            </w:r>
          </w:p>
        </w:tc>
        <w:tc>
          <w:tcPr>
            <w:tcW w:w="3373" w:type="dxa"/>
          </w:tcPr>
          <w:p w14:paraId="577C1271" w14:textId="77777777" w:rsidR="005B7178" w:rsidRPr="00083536" w:rsidRDefault="005B7178">
            <w:pPr>
              <w:jc w:val="left"/>
              <w:rPr>
                <w:b/>
                <w:bCs/>
                <w:noProof/>
                <w:szCs w:val="24"/>
              </w:rPr>
            </w:pPr>
            <w:r w:rsidRPr="00083536">
              <w:rPr>
                <w:b/>
                <w:bCs/>
                <w:noProof/>
                <w:szCs w:val="24"/>
              </w:rPr>
              <w:t xml:space="preserve">Commission role </w:t>
            </w:r>
          </w:p>
          <w:p w14:paraId="4DDC683E" w14:textId="77777777" w:rsidR="005B7178" w:rsidRPr="00083536" w:rsidRDefault="005B7178">
            <w:pPr>
              <w:jc w:val="left"/>
              <w:rPr>
                <w:b/>
                <w:bCs/>
                <w:noProof/>
                <w:szCs w:val="24"/>
              </w:rPr>
            </w:pPr>
            <w:r w:rsidRPr="00083536">
              <w:rPr>
                <w:noProof/>
                <w:szCs w:val="24"/>
              </w:rPr>
              <w:t>(if applicable)</w:t>
            </w:r>
          </w:p>
        </w:tc>
        <w:tc>
          <w:tcPr>
            <w:tcW w:w="1843" w:type="dxa"/>
          </w:tcPr>
          <w:p w14:paraId="1B9801A5" w14:textId="77777777" w:rsidR="005B7178" w:rsidRPr="00083536" w:rsidRDefault="005B7178">
            <w:pPr>
              <w:jc w:val="left"/>
              <w:rPr>
                <w:b/>
                <w:bCs/>
                <w:noProof/>
                <w:szCs w:val="24"/>
              </w:rPr>
            </w:pPr>
            <w:r w:rsidRPr="00083536">
              <w:rPr>
                <w:b/>
                <w:bCs/>
                <w:noProof/>
                <w:szCs w:val="24"/>
              </w:rPr>
              <w:t xml:space="preserve">Actors to be </w:t>
            </w:r>
            <w:r w:rsidRPr="00083536">
              <w:rPr>
                <w:b/>
                <w:bCs/>
                <w:noProof/>
                <w:szCs w:val="24"/>
              </w:rPr>
              <w:t>involved</w:t>
            </w:r>
          </w:p>
          <w:p w14:paraId="3183D8BB" w14:textId="77777777" w:rsidR="005B7178" w:rsidRPr="00083536" w:rsidRDefault="005B7178">
            <w:pPr>
              <w:jc w:val="left"/>
              <w:rPr>
                <w:noProof/>
                <w:szCs w:val="24"/>
              </w:rPr>
            </w:pPr>
            <w:r w:rsidRPr="00083536">
              <w:rPr>
                <w:noProof/>
                <w:szCs w:val="24"/>
              </w:rPr>
              <w:t>(if applicable)</w:t>
            </w:r>
          </w:p>
        </w:tc>
        <w:tc>
          <w:tcPr>
            <w:tcW w:w="2268" w:type="dxa"/>
          </w:tcPr>
          <w:p w14:paraId="2A1E43D8" w14:textId="77777777" w:rsidR="005B7178" w:rsidRPr="00083536" w:rsidRDefault="005B7178">
            <w:pPr>
              <w:jc w:val="left"/>
              <w:rPr>
                <w:b/>
                <w:bCs/>
                <w:noProof/>
                <w:szCs w:val="24"/>
              </w:rPr>
            </w:pPr>
            <w:r w:rsidRPr="00083536">
              <w:rPr>
                <w:b/>
                <w:bCs/>
                <w:noProof/>
                <w:szCs w:val="24"/>
              </w:rPr>
              <w:t>Expected timeline</w:t>
            </w:r>
          </w:p>
          <w:p w14:paraId="661D7B00" w14:textId="77777777" w:rsidR="005B7178" w:rsidRPr="00083536" w:rsidRDefault="005B7178">
            <w:pPr>
              <w:jc w:val="left"/>
              <w:rPr>
                <w:noProof/>
                <w:szCs w:val="24"/>
              </w:rPr>
            </w:pPr>
            <w:r w:rsidRPr="00083536">
              <w:rPr>
                <w:noProof/>
                <w:szCs w:val="24"/>
              </w:rPr>
              <w:t>(if applicable)</w:t>
            </w:r>
          </w:p>
        </w:tc>
      </w:tr>
      <w:tr w:rsidR="00F67E4F" w:rsidRPr="00F41D6E" w14:paraId="327E41E0" w14:textId="77777777">
        <w:trPr>
          <w:trHeight w:val="300"/>
        </w:trPr>
        <w:tc>
          <w:tcPr>
            <w:tcW w:w="4248" w:type="dxa"/>
          </w:tcPr>
          <w:p w14:paraId="103E4C89" w14:textId="77777777" w:rsidR="005B7178" w:rsidRDefault="005B7178">
            <w:pPr>
              <w:jc w:val="left"/>
              <w:rPr>
                <w:noProof/>
              </w:rPr>
            </w:pPr>
          </w:p>
        </w:tc>
        <w:tc>
          <w:tcPr>
            <w:tcW w:w="2268" w:type="dxa"/>
          </w:tcPr>
          <w:p w14:paraId="410AD932" w14:textId="77777777" w:rsidR="005B7178" w:rsidRPr="00F41D6E" w:rsidRDefault="005B7178">
            <w:pPr>
              <w:jc w:val="left"/>
              <w:rPr>
                <w:noProof/>
              </w:rPr>
            </w:pPr>
          </w:p>
        </w:tc>
        <w:tc>
          <w:tcPr>
            <w:tcW w:w="3373" w:type="dxa"/>
          </w:tcPr>
          <w:p w14:paraId="583B1A32" w14:textId="77777777" w:rsidR="005B7178" w:rsidRPr="00F41D6E" w:rsidRDefault="005B7178">
            <w:pPr>
              <w:jc w:val="left"/>
              <w:rPr>
                <w:noProof/>
              </w:rPr>
            </w:pPr>
          </w:p>
        </w:tc>
        <w:tc>
          <w:tcPr>
            <w:tcW w:w="1843" w:type="dxa"/>
          </w:tcPr>
          <w:p w14:paraId="6E68D17E" w14:textId="77777777" w:rsidR="005B7178" w:rsidRDefault="005B7178">
            <w:pPr>
              <w:jc w:val="left"/>
              <w:rPr>
                <w:noProof/>
              </w:rPr>
            </w:pPr>
          </w:p>
        </w:tc>
        <w:tc>
          <w:tcPr>
            <w:tcW w:w="2268" w:type="dxa"/>
          </w:tcPr>
          <w:p w14:paraId="4639CD1A" w14:textId="77777777" w:rsidR="005B7178" w:rsidRDefault="005B7178">
            <w:pPr>
              <w:jc w:val="left"/>
              <w:rPr>
                <w:noProof/>
              </w:rPr>
            </w:pPr>
          </w:p>
        </w:tc>
      </w:tr>
      <w:bookmarkEnd w:id="14"/>
    </w:tbl>
    <w:p w14:paraId="30B209A4" w14:textId="77777777" w:rsidR="005B7178" w:rsidRPr="00334B30" w:rsidRDefault="005B7178" w:rsidP="00F67E4F">
      <w:pPr>
        <w:rPr>
          <w:noProof/>
        </w:rPr>
      </w:pPr>
    </w:p>
    <w:p w14:paraId="39289532" w14:textId="77777777" w:rsidR="005B7178" w:rsidRPr="00334B30" w:rsidRDefault="005B7178" w:rsidP="00F67E4F">
      <w:pPr>
        <w:pStyle w:val="ManualHeading2"/>
        <w:ind w:left="0" w:firstLine="0"/>
        <w:rPr>
          <w:noProof/>
          <w:color w:val="008000"/>
        </w:rPr>
      </w:pPr>
    </w:p>
    <w:sectPr w:rsidR="00D438C2" w:rsidRPr="00334B30" w:rsidSect="00AC3668">
      <w:headerReference w:type="even" r:id="rId72"/>
      <w:headerReference w:type="default" r:id="rId73"/>
      <w:footerReference w:type="even" r:id="rId74"/>
      <w:footerReference w:type="default" r:id="rId75"/>
      <w:headerReference w:type="first" r:id="rId76"/>
      <w:footerReference w:type="first" r:id="rId77"/>
      <w:pgSz w:w="16840" w:h="11907" w:orient="landscape" w:code="1"/>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D601" w14:textId="77777777" w:rsidR="00144FF1" w:rsidRDefault="00144FF1" w:rsidP="00A43C50">
      <w:r>
        <w:separator/>
      </w:r>
    </w:p>
  </w:endnote>
  <w:endnote w:type="continuationSeparator" w:id="0">
    <w:p w14:paraId="02372307" w14:textId="77777777" w:rsidR="00144FF1" w:rsidRDefault="00144FF1" w:rsidP="00A4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ew Roman">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7638" w14:textId="77777777" w:rsidR="00A43C50" w:rsidRDefault="00A43C50">
    <w:pPr>
      <w:pStyle w:val="Jalu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BDDE" w14:textId="77777777" w:rsidR="005B7178" w:rsidRDefault="005B7178">
    <w:pPr>
      <w:pStyle w:val="Jalu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3AAC"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AC3668">
      <w:tab/>
    </w:r>
    <w:r w:rsidRPr="00AC3668">
      <w:rPr>
        <w:rFonts w:ascii="Arial" w:hAnsi="Arial" w:cs="Arial"/>
        <w:b/>
        <w:sz w:val="48"/>
      </w:rPr>
      <w:t>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BDB6" w14:textId="77777777" w:rsidR="005B7178" w:rsidRDefault="005B7178" w:rsidP="00AC3668">
    <w:pPr>
      <w:pStyle w:val="FooterLandscap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51D7" w14:textId="77777777" w:rsidR="005B7178" w:rsidRDefault="005B7178">
    <w:pPr>
      <w:pStyle w:val="Jalu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7B24"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AC3668">
      <w:tab/>
    </w:r>
    <w:r w:rsidRPr="00AC3668">
      <w:rPr>
        <w:rFonts w:ascii="Arial" w:hAnsi="Arial" w:cs="Arial"/>
        <w:b/>
        <w:sz w:val="48"/>
      </w:rPr>
      <w:t>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6DF2" w14:textId="77777777" w:rsidR="005B7178" w:rsidRDefault="005B7178" w:rsidP="00AC3668">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4113" w14:textId="77777777" w:rsidR="005B7178" w:rsidRDefault="005B7178">
    <w:pPr>
      <w:pStyle w:val="Jalu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3BC6"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AC3668">
      <w:tab/>
    </w:r>
    <w:r w:rsidRPr="00AC3668">
      <w:rPr>
        <w:rFonts w:ascii="Arial" w:hAnsi="Arial" w:cs="Arial"/>
        <w:b/>
        <w:sz w:val="48"/>
      </w:rPr>
      <w:t>EN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DCCF" w14:textId="77777777" w:rsidR="005B7178" w:rsidRDefault="005B7178" w:rsidP="00AC3668">
    <w:pPr>
      <w:pStyle w:val="FooterLandscap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F2E5" w14:textId="77777777" w:rsidR="005B7178" w:rsidRDefault="005B717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F54B2" w:rsidRPr="00D94637" w14:paraId="33F5D50B" w14:textId="77777777" w:rsidTr="00D94637">
      <w:trPr>
        <w:jc w:val="center"/>
      </w:trPr>
      <w:tc>
        <w:tcPr>
          <w:tcW w:w="5000" w:type="pct"/>
          <w:gridSpan w:val="7"/>
          <w:shd w:val="clear" w:color="auto" w:fill="auto"/>
          <w:tcMar>
            <w:top w:w="57" w:type="dxa"/>
          </w:tcMar>
        </w:tcPr>
        <w:p w14:paraId="3321D504" w14:textId="77777777" w:rsidR="005B7178" w:rsidRPr="00D94637" w:rsidRDefault="005B7178" w:rsidP="00D94637">
          <w:pPr>
            <w:pStyle w:val="FooterText"/>
            <w:pBdr>
              <w:top w:val="single" w:sz="4" w:space="1" w:color="auto"/>
            </w:pBdr>
            <w:spacing w:before="200"/>
            <w:rPr>
              <w:sz w:val="2"/>
              <w:szCs w:val="2"/>
            </w:rPr>
          </w:pPr>
        </w:p>
      </w:tc>
    </w:tr>
    <w:tr w:rsidR="004F54B2" w:rsidRPr="00B310DC" w14:paraId="18179965" w14:textId="77777777" w:rsidTr="00842D7E">
      <w:trPr>
        <w:jc w:val="center"/>
      </w:trPr>
      <w:tc>
        <w:tcPr>
          <w:tcW w:w="2500" w:type="pct"/>
          <w:gridSpan w:val="2"/>
          <w:shd w:val="clear" w:color="auto" w:fill="auto"/>
          <w:tcMar>
            <w:top w:w="0" w:type="dxa"/>
          </w:tcMar>
        </w:tcPr>
        <w:p w14:paraId="78FAD19F" w14:textId="77777777" w:rsidR="005B7178" w:rsidRPr="00AD7BF2" w:rsidRDefault="005B7178" w:rsidP="004F54B2">
          <w:pPr>
            <w:pStyle w:val="FooterText"/>
          </w:pPr>
          <w:r>
            <w:t>11771</w:t>
          </w:r>
          <w:r>
            <w:t>/</w:t>
          </w:r>
          <w:r>
            <w:t>25</w:t>
          </w:r>
          <w:r w:rsidRPr="002511D8">
            <w:t xml:space="preserve"> </w:t>
          </w:r>
        </w:p>
      </w:tc>
      <w:tc>
        <w:tcPr>
          <w:tcW w:w="625" w:type="pct"/>
          <w:shd w:val="clear" w:color="auto" w:fill="auto"/>
          <w:tcMar>
            <w:top w:w="0" w:type="dxa"/>
          </w:tcMar>
        </w:tcPr>
        <w:p w14:paraId="4948BDAB" w14:textId="77777777" w:rsidR="005B7178" w:rsidRPr="00AD7BF2" w:rsidRDefault="005B7178" w:rsidP="00D94637">
          <w:pPr>
            <w:pStyle w:val="FooterText"/>
            <w:jc w:val="center"/>
          </w:pPr>
        </w:p>
      </w:tc>
      <w:tc>
        <w:tcPr>
          <w:tcW w:w="1286" w:type="pct"/>
          <w:gridSpan w:val="3"/>
          <w:shd w:val="clear" w:color="auto" w:fill="auto"/>
          <w:tcMar>
            <w:top w:w="0" w:type="dxa"/>
          </w:tcMar>
        </w:tcPr>
        <w:p w14:paraId="06A11B2C" w14:textId="77777777" w:rsidR="005B7178" w:rsidRPr="002511D8" w:rsidRDefault="005B7178" w:rsidP="00D94637">
          <w:pPr>
            <w:pStyle w:val="FooterText"/>
            <w:jc w:val="center"/>
          </w:pPr>
        </w:p>
      </w:tc>
      <w:tc>
        <w:tcPr>
          <w:tcW w:w="589" w:type="pct"/>
          <w:shd w:val="clear" w:color="auto" w:fill="auto"/>
          <w:tcMar>
            <w:top w:w="0" w:type="dxa"/>
          </w:tcMar>
        </w:tcPr>
        <w:p w14:paraId="6D9C167D" w14:textId="77777777" w:rsidR="005B7178" w:rsidRPr="00B310DC" w:rsidRDefault="005B717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4F54B2" w:rsidRPr="00D94637" w14:paraId="08348CF5" w14:textId="77777777" w:rsidTr="00430704">
      <w:trPr>
        <w:jc w:val="center"/>
      </w:trPr>
      <w:tc>
        <w:tcPr>
          <w:tcW w:w="1774" w:type="pct"/>
          <w:shd w:val="clear" w:color="auto" w:fill="auto"/>
        </w:tcPr>
        <w:p w14:paraId="5C648564" w14:textId="77777777" w:rsidR="005B7178" w:rsidRPr="00AD7BF2" w:rsidRDefault="005B7178" w:rsidP="00D94637">
          <w:pPr>
            <w:pStyle w:val="FooterText"/>
            <w:spacing w:before="40"/>
          </w:pPr>
        </w:p>
      </w:tc>
      <w:tc>
        <w:tcPr>
          <w:tcW w:w="1455" w:type="pct"/>
          <w:gridSpan w:val="3"/>
          <w:shd w:val="clear" w:color="auto" w:fill="auto"/>
        </w:tcPr>
        <w:p w14:paraId="175E3508" w14:textId="77777777" w:rsidR="005B7178" w:rsidRPr="00AD7BF2" w:rsidRDefault="005B7178" w:rsidP="00D204D6">
          <w:pPr>
            <w:pStyle w:val="FooterText"/>
            <w:spacing w:before="40"/>
            <w:jc w:val="center"/>
          </w:pPr>
          <w:r>
            <w:t>TREE.1.B</w:t>
          </w:r>
        </w:p>
      </w:tc>
      <w:tc>
        <w:tcPr>
          <w:tcW w:w="742" w:type="pct"/>
          <w:shd w:val="clear" w:color="auto" w:fill="auto"/>
        </w:tcPr>
        <w:p w14:paraId="1425365F" w14:textId="77777777" w:rsidR="005B7178" w:rsidRPr="00D94637" w:rsidRDefault="005B7178" w:rsidP="002F0099">
          <w:pPr>
            <w:pStyle w:val="FooterText"/>
            <w:jc w:val="center"/>
            <w:rPr>
              <w:b/>
              <w:position w:val="-4"/>
              <w:sz w:val="36"/>
            </w:rPr>
          </w:pPr>
        </w:p>
      </w:tc>
      <w:tc>
        <w:tcPr>
          <w:tcW w:w="1029" w:type="pct"/>
          <w:gridSpan w:val="2"/>
          <w:shd w:val="clear" w:color="auto" w:fill="auto"/>
        </w:tcPr>
        <w:p w14:paraId="72A39268" w14:textId="77777777" w:rsidR="005B7178" w:rsidRPr="00695BAF" w:rsidRDefault="005B7178" w:rsidP="00D94637">
          <w:pPr>
            <w:pStyle w:val="FooterText"/>
            <w:jc w:val="right"/>
            <w:rPr>
              <w:caps/>
              <w:spacing w:val="-20"/>
              <w:sz w:val="16"/>
            </w:rPr>
          </w:pPr>
          <w:r>
            <w:rPr>
              <w:b/>
              <w:caps/>
              <w:spacing w:val="-20"/>
              <w:position w:val="-4"/>
              <w:sz w:val="36"/>
            </w:rPr>
            <w:t>EN</w:t>
          </w:r>
        </w:p>
      </w:tc>
    </w:tr>
  </w:tbl>
  <w:p w14:paraId="63103924" w14:textId="77777777" w:rsidR="00AD5BB2" w:rsidRDefault="00AD5BB2">
    <w:pPr>
      <w:pStyle w:val="FooterCouncil"/>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B401"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AC3668">
      <w:tab/>
    </w:r>
    <w:r w:rsidRPr="00AC3668">
      <w:rPr>
        <w:rFonts w:ascii="Arial" w:hAnsi="Arial" w:cs="Arial"/>
        <w:b/>
        <w:sz w:val="48"/>
      </w:rPr>
      <w:t>EN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79FF" w14:textId="77777777" w:rsidR="005B7178" w:rsidRDefault="005B7178" w:rsidP="00AC3668">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A4FB" w14:textId="77777777" w:rsidR="005B7178" w:rsidRDefault="005B7178">
    <w:pPr>
      <w:pStyle w:val="Jalu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27CB"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AC3668">
      <w:tab/>
    </w:r>
    <w:r w:rsidRPr="00AC3668">
      <w:rPr>
        <w:rFonts w:ascii="Arial" w:hAnsi="Arial" w:cs="Arial"/>
        <w:b/>
        <w:sz w:val="48"/>
      </w:rPr>
      <w:t>EN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54D1" w14:textId="77777777" w:rsidR="005B7178" w:rsidRDefault="005B7178" w:rsidP="00AC3668">
    <w:pPr>
      <w:pStyle w:val="FooterLandscap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1D17" w14:textId="77777777" w:rsidR="005B7178" w:rsidRDefault="005B7178">
    <w:pPr>
      <w:pStyle w:val="Jalus"/>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BA25" w14:textId="77777777" w:rsidR="005B7178" w:rsidRPr="00AC3668" w:rsidRDefault="005B7178" w:rsidP="00AC3668">
    <w:pPr>
      <w:pStyle w:val="FooterLandscape"/>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C3668">
      <w:tab/>
    </w:r>
    <w:r w:rsidRPr="00AC3668">
      <w:rPr>
        <w:rFonts w:ascii="Arial" w:hAnsi="Arial" w:cs="Arial"/>
        <w:b/>
        <w:sz w:val="48"/>
      </w:rPr>
      <w:t>EN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A4EC" w14:textId="77777777" w:rsidR="005B7178" w:rsidRDefault="005B7178" w:rsidP="00AC3668">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8370" w14:textId="77777777" w:rsidR="005B7178" w:rsidRDefault="005B7178">
    <w:pPr>
      <w:pStyle w:val="Jalus"/>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7614" w14:textId="77777777" w:rsidR="005B7178" w:rsidRPr="00AC3668" w:rsidRDefault="005B7178" w:rsidP="00AC3668">
    <w:pPr>
      <w:pStyle w:val="FooterLandscape"/>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C3668">
      <w:tab/>
    </w:r>
    <w:r w:rsidRPr="00AC366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F54B2" w:rsidRPr="00D94637" w14:paraId="5469AF9D" w14:textId="77777777" w:rsidTr="00D94637">
      <w:trPr>
        <w:jc w:val="center"/>
      </w:trPr>
      <w:tc>
        <w:tcPr>
          <w:tcW w:w="5000" w:type="pct"/>
          <w:gridSpan w:val="7"/>
          <w:shd w:val="clear" w:color="auto" w:fill="auto"/>
          <w:tcMar>
            <w:top w:w="57" w:type="dxa"/>
          </w:tcMar>
        </w:tcPr>
        <w:p w14:paraId="0603A1FA" w14:textId="77777777" w:rsidR="005B7178" w:rsidRPr="00D94637" w:rsidRDefault="005B7178" w:rsidP="00D94637">
          <w:pPr>
            <w:pStyle w:val="FooterText"/>
            <w:pBdr>
              <w:top w:val="single" w:sz="4" w:space="1" w:color="auto"/>
            </w:pBdr>
            <w:spacing w:before="200"/>
            <w:rPr>
              <w:sz w:val="2"/>
              <w:szCs w:val="2"/>
            </w:rPr>
          </w:pPr>
          <w:bookmarkStart w:id="1" w:name="FOOTER_STANDARD"/>
        </w:p>
      </w:tc>
    </w:tr>
    <w:tr w:rsidR="004F54B2" w:rsidRPr="00B310DC" w14:paraId="0006A8FC" w14:textId="77777777" w:rsidTr="00842D7E">
      <w:trPr>
        <w:jc w:val="center"/>
      </w:trPr>
      <w:tc>
        <w:tcPr>
          <w:tcW w:w="2500" w:type="pct"/>
          <w:gridSpan w:val="2"/>
          <w:shd w:val="clear" w:color="auto" w:fill="auto"/>
          <w:tcMar>
            <w:top w:w="0" w:type="dxa"/>
          </w:tcMar>
        </w:tcPr>
        <w:p w14:paraId="7582F1EC" w14:textId="77777777" w:rsidR="005B7178" w:rsidRPr="00AD7BF2" w:rsidRDefault="005B7178" w:rsidP="004F54B2">
          <w:pPr>
            <w:pStyle w:val="FooterText"/>
          </w:pPr>
          <w:r>
            <w:t>11771</w:t>
          </w:r>
          <w:r>
            <w:t>/</w:t>
          </w:r>
          <w:r>
            <w:t>25</w:t>
          </w:r>
          <w:r w:rsidRPr="002511D8">
            <w:t xml:space="preserve"> </w:t>
          </w:r>
        </w:p>
      </w:tc>
      <w:tc>
        <w:tcPr>
          <w:tcW w:w="625" w:type="pct"/>
          <w:shd w:val="clear" w:color="auto" w:fill="auto"/>
          <w:tcMar>
            <w:top w:w="0" w:type="dxa"/>
          </w:tcMar>
        </w:tcPr>
        <w:p w14:paraId="3B87ED69" w14:textId="77777777" w:rsidR="005B7178" w:rsidRPr="00AD7BF2" w:rsidRDefault="005B7178" w:rsidP="00D94637">
          <w:pPr>
            <w:pStyle w:val="FooterText"/>
            <w:jc w:val="center"/>
          </w:pPr>
        </w:p>
      </w:tc>
      <w:tc>
        <w:tcPr>
          <w:tcW w:w="1286" w:type="pct"/>
          <w:gridSpan w:val="3"/>
          <w:shd w:val="clear" w:color="auto" w:fill="auto"/>
          <w:tcMar>
            <w:top w:w="0" w:type="dxa"/>
          </w:tcMar>
        </w:tcPr>
        <w:p w14:paraId="68ABA697" w14:textId="77777777" w:rsidR="005B7178" w:rsidRPr="002511D8" w:rsidRDefault="005B7178" w:rsidP="00D94637">
          <w:pPr>
            <w:pStyle w:val="FooterText"/>
            <w:jc w:val="center"/>
          </w:pPr>
        </w:p>
      </w:tc>
      <w:tc>
        <w:tcPr>
          <w:tcW w:w="589" w:type="pct"/>
          <w:shd w:val="clear" w:color="auto" w:fill="auto"/>
          <w:tcMar>
            <w:top w:w="0" w:type="dxa"/>
          </w:tcMar>
        </w:tcPr>
        <w:p w14:paraId="1C22D9B5" w14:textId="77777777" w:rsidR="005B7178" w:rsidRPr="00B310DC" w:rsidRDefault="005B7178" w:rsidP="00D94637">
          <w:pPr>
            <w:pStyle w:val="FooterText"/>
            <w:jc w:val="right"/>
          </w:pPr>
        </w:p>
      </w:tc>
    </w:tr>
    <w:tr w:rsidR="004F54B2" w:rsidRPr="00D94637" w14:paraId="6FC9CF4B" w14:textId="77777777" w:rsidTr="00430704">
      <w:trPr>
        <w:jc w:val="center"/>
      </w:trPr>
      <w:tc>
        <w:tcPr>
          <w:tcW w:w="1774" w:type="pct"/>
          <w:shd w:val="clear" w:color="auto" w:fill="auto"/>
        </w:tcPr>
        <w:p w14:paraId="1A8D6FD1" w14:textId="77777777" w:rsidR="005B7178" w:rsidRPr="00AD7BF2" w:rsidRDefault="005B7178" w:rsidP="00D94637">
          <w:pPr>
            <w:pStyle w:val="FooterText"/>
            <w:spacing w:before="40"/>
          </w:pPr>
        </w:p>
      </w:tc>
      <w:tc>
        <w:tcPr>
          <w:tcW w:w="1455" w:type="pct"/>
          <w:gridSpan w:val="3"/>
          <w:shd w:val="clear" w:color="auto" w:fill="auto"/>
        </w:tcPr>
        <w:p w14:paraId="3F07551B" w14:textId="77777777" w:rsidR="005B7178" w:rsidRPr="00AD7BF2" w:rsidRDefault="005B7178" w:rsidP="00D204D6">
          <w:pPr>
            <w:pStyle w:val="FooterText"/>
            <w:spacing w:before="40"/>
            <w:jc w:val="center"/>
          </w:pPr>
          <w:r>
            <w:t>TREE.1.B</w:t>
          </w:r>
        </w:p>
      </w:tc>
      <w:tc>
        <w:tcPr>
          <w:tcW w:w="742" w:type="pct"/>
          <w:shd w:val="clear" w:color="auto" w:fill="auto"/>
        </w:tcPr>
        <w:p w14:paraId="1758CC70" w14:textId="77777777" w:rsidR="005B7178" w:rsidRPr="00D94637" w:rsidRDefault="005B7178" w:rsidP="002F0099">
          <w:pPr>
            <w:pStyle w:val="FooterText"/>
            <w:jc w:val="center"/>
            <w:rPr>
              <w:b/>
              <w:position w:val="-4"/>
              <w:sz w:val="36"/>
            </w:rPr>
          </w:pPr>
        </w:p>
      </w:tc>
      <w:tc>
        <w:tcPr>
          <w:tcW w:w="1029" w:type="pct"/>
          <w:gridSpan w:val="2"/>
          <w:shd w:val="clear" w:color="auto" w:fill="auto"/>
        </w:tcPr>
        <w:p w14:paraId="44A7ADF8" w14:textId="77777777" w:rsidR="005B7178" w:rsidRPr="00695BAF" w:rsidRDefault="005B7178" w:rsidP="00D94637">
          <w:pPr>
            <w:pStyle w:val="FooterText"/>
            <w:jc w:val="right"/>
            <w:rPr>
              <w:caps/>
              <w:spacing w:val="-20"/>
              <w:sz w:val="16"/>
            </w:rPr>
          </w:pPr>
          <w:r>
            <w:rPr>
              <w:b/>
              <w:caps/>
              <w:spacing w:val="-20"/>
              <w:position w:val="-4"/>
              <w:sz w:val="36"/>
            </w:rPr>
            <w:t>EN</w:t>
          </w:r>
        </w:p>
      </w:tc>
    </w:tr>
    <w:bookmarkEnd w:id="1"/>
  </w:tbl>
  <w:p w14:paraId="2C226609" w14:textId="77777777" w:rsidR="00AD5BB2" w:rsidRDefault="00AD5BB2">
    <w:pPr>
      <w:pStyle w:val="FooterCouncil"/>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E090" w14:textId="77777777" w:rsidR="005B7178" w:rsidRDefault="005B7178" w:rsidP="00AC3668">
    <w:pPr>
      <w:pStyle w:val="FooterLandscap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7A91" w14:textId="77777777" w:rsidR="005B7178" w:rsidRDefault="005B7178">
    <w:pPr>
      <w:pStyle w:val="Jalus"/>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7FBC" w14:textId="77777777" w:rsidR="005B7178" w:rsidRPr="00AC3668" w:rsidRDefault="005B7178" w:rsidP="00AC3668">
    <w:pPr>
      <w:pStyle w:val="FooterLandscape"/>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C3668">
      <w:tab/>
    </w:r>
    <w:r w:rsidRPr="00AC3668">
      <w:rPr>
        <w:rFonts w:ascii="Arial" w:hAnsi="Arial" w:cs="Arial"/>
        <w:b/>
        <w:sz w:val="48"/>
      </w:rPr>
      <w:t>EN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3E80" w14:textId="77777777" w:rsidR="005B7178" w:rsidRDefault="005B7178" w:rsidP="00AC3668">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1E15"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rsidRPr="00AC3668">
      <w:rPr>
        <w:rFonts w:ascii="Arial" w:hAnsi="Arial" w:cs="Arial"/>
        <w:b/>
        <w:sz w:val="48"/>
      </w:rPr>
      <w:tab/>
    </w:r>
    <w:r w:rsidRPr="00AC3668">
      <w:tab/>
    </w:r>
    <w:r w:rsidRPr="00AC366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28BD"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rsidRPr="00AC3668">
      <w:rPr>
        <w:rFonts w:ascii="Arial" w:hAnsi="Arial" w:cs="Arial"/>
        <w:b/>
        <w:sz w:val="48"/>
      </w:rPr>
      <w:tab/>
    </w:r>
    <w:r w:rsidRPr="00AC3668">
      <w:tab/>
    </w:r>
    <w:r w:rsidRPr="00AC3668">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F3A4"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rsidRPr="00AC3668">
      <w:rPr>
        <w:rFonts w:ascii="Arial" w:hAnsi="Arial" w:cs="Arial"/>
        <w:b/>
        <w:sz w:val="48"/>
      </w:rPr>
      <w:tab/>
    </w:r>
    <w:r w:rsidRPr="00AC3668">
      <w:tab/>
    </w:r>
    <w:r w:rsidRPr="00AC3668">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CA44" w14:textId="77777777" w:rsidR="005B7178" w:rsidRDefault="005B7178">
    <w:pPr>
      <w:pStyle w:val="Jalu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EB8A" w14:textId="77777777" w:rsidR="005B7178" w:rsidRPr="00AC3668" w:rsidRDefault="005B7178" w:rsidP="00AC3668">
    <w:pPr>
      <w:pStyle w:val="Jalus"/>
      <w:rPr>
        <w:rFonts w:ascii="Arial" w:hAnsi="Arial" w:cs="Arial"/>
        <w:b/>
        <w:sz w:val="48"/>
      </w:rPr>
    </w:pPr>
    <w:r w:rsidRPr="00AC3668">
      <w:rPr>
        <w:rFonts w:ascii="Arial" w:hAnsi="Arial" w:cs="Arial"/>
        <w:b/>
        <w:sz w:val="48"/>
      </w:rPr>
      <w:t>EN</w:t>
    </w:r>
    <w:r w:rsidRPr="00AC3668">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AC3668">
      <w:tab/>
    </w:r>
    <w:r w:rsidRPr="00AC3668">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4250" w14:textId="77777777" w:rsidR="005B7178" w:rsidRDefault="005B7178" w:rsidP="00AC3668">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5884B" w14:textId="77777777" w:rsidR="005B7178" w:rsidRDefault="005B7178" w:rsidP="00D438C2">
      <w:pPr>
        <w:spacing w:before="0" w:after="0"/>
      </w:pPr>
      <w:r>
        <w:separator/>
      </w:r>
    </w:p>
  </w:footnote>
  <w:footnote w:type="continuationSeparator" w:id="0">
    <w:p w14:paraId="1E8D0595" w14:textId="77777777" w:rsidR="005B7178" w:rsidRDefault="005B7178" w:rsidP="00D438C2">
      <w:pPr>
        <w:spacing w:before="0" w:after="0"/>
      </w:pPr>
      <w:r>
        <w:continuationSeparator/>
      </w:r>
    </w:p>
  </w:footnote>
  <w:footnote w:type="continuationNotice" w:id="1">
    <w:p w14:paraId="7EB8FF52" w14:textId="77777777" w:rsidR="005B7178" w:rsidRDefault="005B7178">
      <w:pPr>
        <w:spacing w:before="0" w:after="0"/>
      </w:pPr>
    </w:p>
  </w:footnote>
  <w:footnote w:id="2">
    <w:p w14:paraId="0D9BDF1C" w14:textId="77777777" w:rsidR="005B7178" w:rsidRPr="007F4EF9" w:rsidRDefault="005B7178" w:rsidP="00C54774">
      <w:pPr>
        <w:pStyle w:val="Allmrkusetekst"/>
        <w:rPr>
          <w:lang w:val="en-US"/>
        </w:rPr>
      </w:pPr>
      <w:r w:rsidRPr="00281F41">
        <w:rPr>
          <w:rStyle w:val="Allmrkuseviide"/>
        </w:rPr>
        <w:footnoteRef/>
      </w:r>
      <w:r>
        <w:tab/>
      </w:r>
      <w:r w:rsidRPr="007F4EF9">
        <w:t>OJ L 130, 17.5.2019, p. 55–81</w:t>
      </w:r>
    </w:p>
  </w:footnote>
  <w:footnote w:id="3">
    <w:p w14:paraId="2FCAFC21" w14:textId="77777777" w:rsidR="005B7178" w:rsidRPr="00243344" w:rsidRDefault="005B7178" w:rsidP="00243344">
      <w:pPr>
        <w:pStyle w:val="Allmrkusetekst"/>
        <w:ind w:left="0" w:firstLine="0"/>
        <w:rPr>
          <w:lang w:val="en-IE"/>
        </w:rPr>
      </w:pPr>
      <w:r w:rsidRPr="00FC3010">
        <w:rPr>
          <w:rStyle w:val="Allmrkuseviide"/>
        </w:rPr>
        <w:footnoteRef/>
      </w:r>
      <w:r>
        <w:tab/>
      </w:r>
      <w:r w:rsidRPr="00243344">
        <w:rPr>
          <w:lang w:val="en-IE"/>
        </w:rPr>
        <w:t xml:space="preserve">Including </w:t>
      </w:r>
      <w:r w:rsidRPr="00243344">
        <w:rPr>
          <w:lang w:val="en-IE"/>
        </w:rPr>
        <w:t xml:space="preserve">the EP 2021/2103(INI) </w:t>
      </w:r>
      <w:r>
        <w:rPr>
          <w:lang w:val="en-IE"/>
        </w:rPr>
        <w:t>on “</w:t>
      </w:r>
      <w:r w:rsidRPr="00243344">
        <w:rPr>
          <w:lang w:val="en-IE"/>
        </w:rPr>
        <w:t>The shrinking space of civil society in Europe</w:t>
      </w:r>
      <w:r>
        <w:rPr>
          <w:lang w:val="en-IE"/>
        </w:rPr>
        <w:t xml:space="preserve">”; </w:t>
      </w:r>
      <w:r>
        <w:rPr>
          <w:lang w:val="en-IE"/>
        </w:rPr>
        <w:t xml:space="preserve">the FRA </w:t>
      </w:r>
      <w:r>
        <w:rPr>
          <w:lang w:val="en-IE"/>
        </w:rPr>
        <w:t>Report on “Protecting civil society – update 2023”</w:t>
      </w:r>
      <w:r>
        <w:rPr>
          <w:lang w:val="en-IE"/>
        </w:rPr>
        <w:t xml:space="preserve">; the EIGE </w:t>
      </w:r>
      <w:r w:rsidRPr="00243344">
        <w:rPr>
          <w:lang w:val="en-IE"/>
        </w:rPr>
        <w:t>Gender Equality Index 2024: Tackling violence against women, tackling gender inequalities</w:t>
      </w:r>
      <w:r>
        <w:rPr>
          <w:lang w:val="en-IE"/>
        </w:rPr>
        <w:t>.</w:t>
      </w:r>
    </w:p>
  </w:footnote>
  <w:footnote w:id="4">
    <w:p w14:paraId="1937585B" w14:textId="77777777" w:rsidR="005B7178" w:rsidRPr="008138BE" w:rsidRDefault="005B7178" w:rsidP="00685C79">
      <w:pPr>
        <w:pStyle w:val="Allmrkusetekst"/>
        <w:ind w:left="0" w:firstLine="0"/>
        <w:rPr>
          <w:lang w:val="en-IE"/>
        </w:rPr>
      </w:pPr>
      <w:r w:rsidRPr="00FC3010">
        <w:rPr>
          <w:rStyle w:val="Allmrkuseviide"/>
        </w:rPr>
        <w:footnoteRef/>
      </w:r>
      <w:r>
        <w:tab/>
      </w:r>
      <w:r>
        <w:t>The second edition</w:t>
      </w:r>
      <w:r w:rsidRPr="70D8B7A7" w:rsidDel="001F03A3">
        <w:rPr>
          <w:rFonts w:eastAsia="Times New Roman"/>
          <w:lang w:val="en-US" w:eastAsia="ja-JP"/>
        </w:rPr>
        <w:t xml:space="preserve"> </w:t>
      </w:r>
      <w:r>
        <w:rPr>
          <w:rFonts w:eastAsia="Times New Roman"/>
          <w:lang w:val="en-US" w:eastAsia="ja-JP"/>
        </w:rPr>
        <w:t xml:space="preserve">of the Media Industry Outlook </w:t>
      </w:r>
      <w:r w:rsidRPr="70D8B7A7">
        <w:rPr>
          <w:rFonts w:eastAsia="Times New Roman"/>
          <w:lang w:val="en-US" w:eastAsia="ja-JP"/>
        </w:rPr>
        <w:t xml:space="preserve">will be published </w:t>
      </w:r>
      <w:r>
        <w:rPr>
          <w:rFonts w:eastAsia="Times New Roman"/>
          <w:lang w:val="en-US" w:eastAsia="ja-JP"/>
        </w:rPr>
        <w:t xml:space="preserve">in July </w:t>
      </w:r>
      <w:r w:rsidRPr="70D8B7A7">
        <w:rPr>
          <w:rFonts w:eastAsia="Times New Roman"/>
          <w:lang w:val="en-US" w:eastAsia="ja-JP"/>
        </w:rPr>
        <w:t>2025</w:t>
      </w:r>
      <w:r>
        <w:rPr>
          <w:rFonts w:eastAsia="Times New Roman"/>
          <w:lang w:val="en-US" w:eastAsia="ja-JP"/>
        </w:rPr>
        <w:t>.</w:t>
      </w:r>
    </w:p>
  </w:footnote>
  <w:footnote w:id="5">
    <w:p w14:paraId="7B4550C7" w14:textId="77777777" w:rsidR="005B7178" w:rsidRPr="00CD026A" w:rsidRDefault="005B7178" w:rsidP="00CD026A">
      <w:pPr>
        <w:pStyle w:val="Allmrkusetekst"/>
        <w:ind w:left="0" w:firstLine="0"/>
        <w:rPr>
          <w:rFonts w:eastAsia="Aptos"/>
        </w:rPr>
      </w:pPr>
      <w:r w:rsidRPr="00FC3010">
        <w:rPr>
          <w:rStyle w:val="Allmrkuseviide"/>
        </w:rPr>
        <w:footnoteRef/>
      </w:r>
      <w:r>
        <w:tab/>
      </w:r>
      <w:r>
        <w:t>I</w:t>
      </w:r>
      <w:r w:rsidRPr="289F31E4">
        <w:rPr>
          <w:rFonts w:eastAsia="Times New Roman"/>
        </w:rPr>
        <w:t xml:space="preserve">n </w:t>
      </w:r>
      <w:r w:rsidRPr="289F31E4">
        <w:rPr>
          <w:rFonts w:eastAsia="Times New Roman"/>
        </w:rPr>
        <w:t>particular, Council conclusion of May 2025 on supporting young artists and cultural and creative professionals in starting their careers, Council Conclusions of November 2024 on improving and fostering access to culture, Council conclusions of May 2024 on empowering the cultural and creative sectors through data-driven audience development and Council Conclusions of May 2023 on at-risk and displaced artists</w:t>
      </w:r>
      <w:r>
        <w:rPr>
          <w:rFonts w:eastAsia="Times New Roman"/>
        </w:rPr>
        <w:t>.</w:t>
      </w:r>
    </w:p>
  </w:footnote>
  <w:footnote w:id="6">
    <w:p w14:paraId="2D38EB90" w14:textId="77777777" w:rsidR="005B7178" w:rsidRDefault="005B7178" w:rsidP="00CD026A">
      <w:pPr>
        <w:pStyle w:val="Allmrkusetekst"/>
        <w:spacing w:line="257" w:lineRule="auto"/>
        <w:ind w:left="0" w:firstLine="0"/>
      </w:pPr>
      <w:r w:rsidRPr="00FC3010">
        <w:rPr>
          <w:rStyle w:val="Allmrkuseviide"/>
        </w:rPr>
        <w:footnoteRef/>
      </w:r>
      <w:r>
        <w:tab/>
      </w:r>
      <w:r w:rsidRPr="00243344">
        <w:rPr>
          <w:rFonts w:eastAsia="Times New Roman"/>
        </w:rPr>
        <w:t>European Parliament resolution of 17 January 2024 on cultural diversity and the conditions for authors in the European music streaming market (</w:t>
      </w:r>
      <w:hyperlink r:id="rId1" w:history="1">
        <w:r w:rsidRPr="00CD026A">
          <w:rPr>
            <w:rStyle w:val="Hperlink"/>
            <w:rFonts w:eastAsia="Calibri"/>
            <w:color w:val="0563C1"/>
            <w:lang w:val="en-IE"/>
          </w:rPr>
          <w:t>2023/2054(INI)</w:t>
        </w:r>
      </w:hyperlink>
      <w:r w:rsidRPr="00243344">
        <w:rPr>
          <w:rFonts w:eastAsia="Times New Roman"/>
        </w:rPr>
        <w:t xml:space="preserve">), European Parliament resolution of 16 </w:t>
      </w:r>
      <w:r w:rsidRPr="00243344">
        <w:rPr>
          <w:rFonts w:eastAsia="Times New Roman"/>
        </w:rPr>
        <w:t>January 2024 on the implementation of the Creative Europe Programme 2021-2027 (</w:t>
      </w:r>
      <w:hyperlink r:id="rId2" w:history="1">
        <w:r w:rsidRPr="00CD026A">
          <w:rPr>
            <w:rStyle w:val="Hperlink"/>
            <w:rFonts w:eastAsia="Calibri"/>
            <w:color w:val="0563C1"/>
            <w:lang w:val="en-IE"/>
          </w:rPr>
          <w:t>2023/2003(INI)</w:t>
        </w:r>
      </w:hyperlink>
      <w:r w:rsidRPr="00243344">
        <w:rPr>
          <w:rFonts w:eastAsia="Times New Roman"/>
        </w:rPr>
        <w:t>), European Parliament resolution of 21 November 2023 with recommendations to the Commission on an EU framework for the social and professional situation of artists and workers in the cultural and creative sectors (</w:t>
      </w:r>
      <w:hyperlink r:id="rId3" w:history="1">
        <w:r w:rsidRPr="00CD026A">
          <w:rPr>
            <w:rStyle w:val="Hperlink"/>
            <w:rFonts w:eastAsia="Calibri"/>
            <w:color w:val="0563C1"/>
            <w:lang w:val="en-IE"/>
          </w:rPr>
          <w:t>2023/2051(INI)</w:t>
        </w:r>
      </w:hyperlink>
      <w:r w:rsidRPr="00243344">
        <w:rPr>
          <w:rFonts w:eastAsia="Times New Roman"/>
        </w:rPr>
        <w:t>), European Parliament resolution of 14 September 2023 on the future of the European book sector (</w:t>
      </w:r>
      <w:hyperlink r:id="rId4" w:history="1">
        <w:r w:rsidRPr="00CD026A">
          <w:rPr>
            <w:rStyle w:val="Hperlink"/>
            <w:rFonts w:eastAsia="Calibri"/>
            <w:color w:val="0563C1"/>
            <w:lang w:val="en-IE"/>
          </w:rPr>
          <w:t>2023/2053(INI)</w:t>
        </w:r>
      </w:hyperlink>
      <w:r w:rsidRPr="00243344">
        <w:rPr>
          <w:rFonts w:eastAsia="Times New Roman"/>
        </w:rPr>
        <w:t>), European Parliament resolution of 14 December 2022 on the implementation of the New European Agenda for Culture and the EU Strategy for International Cultural Relations (</w:t>
      </w:r>
      <w:hyperlink r:id="rId5" w:history="1">
        <w:r w:rsidRPr="00CD026A">
          <w:rPr>
            <w:rStyle w:val="Hperlink"/>
            <w:rFonts w:eastAsia="Calibri"/>
            <w:color w:val="0563C1"/>
            <w:lang w:val="en-IE"/>
          </w:rPr>
          <w:t>2022/2047(INI)</w:t>
        </w:r>
      </w:hyperlink>
      <w:r w:rsidRPr="00243344">
        <w:rPr>
          <w:rFonts w:eastAsia="Times New Roman"/>
        </w:rPr>
        <w:t>), European Parliament resolution of 20 October 2021 on the situation of artists and the cultural recovery in the EU</w:t>
      </w:r>
      <w:r w:rsidRPr="4A63A812">
        <w:rPr>
          <w:rFonts w:eastAsia="Times New Roman"/>
        </w:rPr>
        <w:t xml:space="preserve"> </w:t>
      </w:r>
      <w:r w:rsidRPr="00243344">
        <w:rPr>
          <w:rFonts w:eastAsia="Times New Roman"/>
        </w:rPr>
        <w:t>(</w:t>
      </w:r>
      <w:hyperlink r:id="rId6" w:history="1">
        <w:r w:rsidRPr="00CD026A">
          <w:rPr>
            <w:rStyle w:val="Hperlink"/>
            <w:rFonts w:eastAsia="Calibri"/>
            <w:color w:val="0563C1"/>
            <w:lang w:val="en-IE"/>
          </w:rPr>
          <w:t>2020/2261(INI)</w:t>
        </w:r>
      </w:hyperlink>
    </w:p>
  </w:footnote>
  <w:footnote w:id="7">
    <w:p w14:paraId="7BB1C428" w14:textId="77777777" w:rsidR="005B7178" w:rsidRDefault="005B7178" w:rsidP="00CD026A">
      <w:pPr>
        <w:pStyle w:val="Allmrkusetekst"/>
        <w:ind w:left="0" w:firstLine="0"/>
      </w:pPr>
      <w:r w:rsidRPr="00FC3010">
        <w:rPr>
          <w:rStyle w:val="Allmrkuseviide"/>
        </w:rPr>
        <w:footnoteRef/>
      </w:r>
      <w:r>
        <w:tab/>
      </w:r>
      <w:r>
        <w:t>Evaluation of the European Heritage Label (EHL) action for the period 2018-2024,, conducted by PPMI for the European Commission (July 2025).</w:t>
      </w:r>
    </w:p>
  </w:footnote>
  <w:footnote w:id="8">
    <w:p w14:paraId="6DBF325B" w14:textId="77777777" w:rsidR="005B7178" w:rsidRDefault="005B7178" w:rsidP="00CD026A">
      <w:pPr>
        <w:pStyle w:val="Allmrkusetekst"/>
        <w:ind w:left="0" w:firstLine="0"/>
      </w:pPr>
      <w:r w:rsidRPr="00FC3010">
        <w:rPr>
          <w:rStyle w:val="Allmrkuseviide"/>
        </w:rPr>
        <w:footnoteRef/>
      </w:r>
      <w:r>
        <w:tab/>
      </w:r>
      <w:r>
        <w:t>First Interim Evaluation of the European Capital of Culture Action 2020–2033, conducted by Ecorys and KEA European Affairs for the European Commission (July 2025).</w:t>
      </w:r>
    </w:p>
  </w:footnote>
  <w:footnote w:id="9">
    <w:p w14:paraId="5AFBC8C4" w14:textId="77777777" w:rsidR="005B7178" w:rsidRPr="00243344" w:rsidRDefault="005B7178" w:rsidP="00CD026A">
      <w:pPr>
        <w:pStyle w:val="Allmrkusetekst"/>
        <w:spacing w:line="257" w:lineRule="auto"/>
        <w:ind w:left="0" w:firstLine="0"/>
        <w:rPr>
          <w:b/>
        </w:rPr>
      </w:pPr>
      <w:r w:rsidRPr="00FC3010">
        <w:rPr>
          <w:rStyle w:val="Allmrkuseviide"/>
        </w:rPr>
        <w:footnoteRef/>
      </w:r>
      <w:r>
        <w:tab/>
      </w:r>
      <w:r w:rsidRPr="00243344">
        <w:rPr>
          <w:rFonts w:eastAsia="Times New Roman"/>
        </w:rPr>
        <w:t>In particular, OMC Working Group of Member States’ experts of June 2023 ‘The status and working conditions of artists and cultural and creative professionals’</w:t>
      </w:r>
      <w:r w:rsidRPr="00243344">
        <w:rPr>
          <w:rFonts w:eastAsia="Times New Roman"/>
        </w:rPr>
        <w:t xml:space="preserve"> </w:t>
      </w:r>
      <w:r w:rsidRPr="00243344">
        <w:rPr>
          <w:rFonts w:eastAsia="Times New Roman"/>
        </w:rPr>
        <w:t xml:space="preserve">and OMC Working Group of Member States’ Experts of 4 June 2021 </w:t>
      </w:r>
      <w:r w:rsidRPr="00243344">
        <w:rPr>
          <w:rFonts w:eastAsia="Times New Roman"/>
        </w:rPr>
        <w:t>entitled ‘Towards gender equality in the cultural and creative sectors’</w:t>
      </w:r>
      <w:r>
        <w:rPr>
          <w:rFonts w:eastAsia="Times New Roman"/>
        </w:rPr>
        <w:t>.</w:t>
      </w:r>
    </w:p>
  </w:footnote>
  <w:footnote w:id="10">
    <w:p w14:paraId="0851DCDA" w14:textId="77777777" w:rsidR="005B7178" w:rsidRPr="00C222A9" w:rsidRDefault="005B7178" w:rsidP="00565F08">
      <w:pPr>
        <w:pStyle w:val="Allmrkusetekst"/>
        <w:ind w:left="0" w:firstLine="0"/>
        <w:rPr>
          <w:lang w:val="en-IE"/>
        </w:rPr>
      </w:pPr>
      <w:r w:rsidRPr="00B74D3E">
        <w:rPr>
          <w:rStyle w:val="Allmrkuseviide"/>
        </w:rPr>
        <w:footnoteRef/>
      </w:r>
      <w:r>
        <w:tab/>
      </w:r>
      <w:r w:rsidRPr="00C222A9">
        <w:rPr>
          <w:lang w:val="lv-LV"/>
        </w:rPr>
        <w:t>OJ C</w:t>
      </w:r>
      <w:r w:rsidRPr="00C222A9">
        <w:t xml:space="preserve"> , , </w:t>
      </w:r>
      <w:r w:rsidRPr="00C222A9">
        <w:rPr>
          <w:lang w:val="lv-LV"/>
        </w:rPr>
        <w:t>p.</w:t>
      </w:r>
      <w:r w:rsidRPr="00C222A9">
        <w:t xml:space="preserve"> . </w:t>
      </w:r>
    </w:p>
  </w:footnote>
  <w:footnote w:id="11">
    <w:p w14:paraId="47923BE9" w14:textId="77777777" w:rsidR="005B7178" w:rsidRPr="00C222A9" w:rsidRDefault="005B7178" w:rsidP="00565F08">
      <w:pPr>
        <w:pStyle w:val="Allmrkusetekst"/>
        <w:ind w:left="0" w:firstLine="0"/>
        <w:rPr>
          <w:lang w:val="en-US"/>
        </w:rPr>
      </w:pPr>
      <w:r w:rsidRPr="00B74D3E">
        <w:rPr>
          <w:rStyle w:val="Allmrkuseviide"/>
        </w:rPr>
        <w:footnoteRef/>
      </w:r>
      <w:r>
        <w:tab/>
      </w:r>
      <w:r w:rsidRPr="00C222A9">
        <w:rPr>
          <w:lang w:val="lv-LV"/>
        </w:rPr>
        <w:t>OJ C</w:t>
      </w:r>
      <w:r w:rsidRPr="00C222A9">
        <w:t xml:space="preserve"> , , p. .</w:t>
      </w:r>
    </w:p>
  </w:footnote>
  <w:footnote w:id="12">
    <w:p w14:paraId="501133A2" w14:textId="77777777" w:rsidR="005B7178" w:rsidRPr="00B25715" w:rsidRDefault="005B7178" w:rsidP="00565F08">
      <w:pPr>
        <w:pStyle w:val="Allmrkusetekst"/>
        <w:ind w:left="0" w:firstLine="0"/>
        <w:rPr>
          <w:lang w:val="en-IE"/>
        </w:rPr>
      </w:pPr>
      <w:r w:rsidRPr="00FC3010">
        <w:rPr>
          <w:rStyle w:val="Allmrkuseviide"/>
        </w:rPr>
        <w:footnoteRef/>
      </w:r>
      <w:r>
        <w:tab/>
      </w:r>
      <w:r>
        <w:t xml:space="preserve">Regulation (EU) 2021/818 of the European Parliament and of the Council of 20 May 2021 establishing the Creative Europe Programme (2021 to 2027) </w:t>
      </w:r>
      <w:r>
        <w:t>and repealing Regulation (EU) No 1295/2013 (</w:t>
      </w:r>
      <w:r w:rsidRPr="001D241A">
        <w:rPr>
          <w:lang w:val="en-IE"/>
        </w:rPr>
        <w:t>OJ L 189, 28.5.2021, p. 34</w:t>
      </w:r>
      <w:r>
        <w:rPr>
          <w:lang w:val="en-IE"/>
        </w:rPr>
        <w:t xml:space="preserve">, </w:t>
      </w:r>
      <w:r>
        <w:t>ELI: http://data.europa.eu/eli/reg/2021/818/oj).</w:t>
      </w:r>
    </w:p>
  </w:footnote>
  <w:footnote w:id="13">
    <w:p w14:paraId="3EF6AD76" w14:textId="77777777" w:rsidR="005B7178" w:rsidRPr="007E0204" w:rsidRDefault="005B7178" w:rsidP="00565F08">
      <w:pPr>
        <w:pStyle w:val="Allmrkusetekst"/>
        <w:ind w:left="0" w:firstLine="0"/>
      </w:pPr>
      <w:r w:rsidRPr="00FC3010">
        <w:rPr>
          <w:rStyle w:val="Allmrkuseviide"/>
        </w:rPr>
        <w:footnoteRef/>
      </w:r>
      <w:r>
        <w:tab/>
      </w:r>
      <w:r>
        <w:t>Regulation (EU) 2021/692 of the European Parliament and of the Council of 28 April 2021 establishing the Citizens, Equality, Rights and Values Programme and repealing Regulation (EU) No 1381/2013 of the European Parliament and of the Council and Council Regulation (EU) No 390/2014 (</w:t>
      </w:r>
      <w:r w:rsidRPr="007E0204">
        <w:rPr>
          <w:lang w:val="en-IE"/>
        </w:rPr>
        <w:t>OJ L 156, 5.5.2021, p. 1</w:t>
      </w:r>
      <w:r>
        <w:rPr>
          <w:lang w:val="en-IE"/>
        </w:rPr>
        <w:t xml:space="preserve">, </w:t>
      </w:r>
      <w:r>
        <w:t>ELI: http://data.europa.eu/eli/reg/2021/692/oj).</w:t>
      </w:r>
    </w:p>
  </w:footnote>
  <w:footnote w:id="14">
    <w:p w14:paraId="18695904" w14:textId="77777777" w:rsidR="005B7178" w:rsidRPr="00362D80" w:rsidRDefault="005B7178" w:rsidP="00BD048A">
      <w:pPr>
        <w:pStyle w:val="Allmrkusetekst"/>
        <w:ind w:left="0" w:hanging="11"/>
        <w:rPr>
          <w:lang w:val="en-US"/>
        </w:rPr>
      </w:pPr>
      <w:r w:rsidRPr="00281F41">
        <w:rPr>
          <w:rStyle w:val="Allmrkuseviide"/>
        </w:rPr>
        <w:footnoteRef/>
      </w:r>
      <w:r>
        <w:tab/>
      </w:r>
      <w:r>
        <w:t>Where relevant, t</w:t>
      </w:r>
      <w:r w:rsidRPr="001451C9">
        <w:t xml:space="preserve">he </w:t>
      </w:r>
      <w:r w:rsidRPr="001451C9">
        <w:t>support provided by the Programme shall accelerate or boost investments by addressing market failures or sub-optimal investment situations, in a proportionate manner, avoiding duplication or crowding out, and by incentivising private funding, and shall have Union added-value.</w:t>
      </w:r>
    </w:p>
  </w:footnote>
  <w:footnote w:id="15">
    <w:p w14:paraId="1C88BD6E" w14:textId="77777777" w:rsidR="005B7178" w:rsidRPr="00513670" w:rsidRDefault="005B7178" w:rsidP="00513670">
      <w:pPr>
        <w:pStyle w:val="Allmrkusetekst"/>
        <w:ind w:left="0" w:firstLine="0"/>
        <w:rPr>
          <w:lang w:val="es-ES"/>
        </w:rPr>
      </w:pPr>
      <w:r w:rsidRPr="00FC3010">
        <w:rPr>
          <w:rStyle w:val="Allmrkuseviide"/>
        </w:rPr>
        <w:footnoteRef/>
      </w:r>
      <w:r>
        <w:rPr>
          <w:lang w:val="es-ES"/>
        </w:rPr>
        <w:tab/>
      </w:r>
      <w:r w:rsidRPr="00513670">
        <w:rPr>
          <w:lang w:val="es-ES"/>
        </w:rPr>
        <w:t>OJ L 23</w:t>
      </w:r>
      <w:r w:rsidRPr="00513670">
        <w:rPr>
          <w:lang w:val="es-ES"/>
        </w:rPr>
        <w:t>, 27.01.</w:t>
      </w:r>
      <w:r w:rsidRPr="00513670">
        <w:rPr>
          <w:lang w:val="es-ES"/>
        </w:rPr>
        <w:t xml:space="preserve">2010, </w:t>
      </w:r>
      <w:r w:rsidRPr="00513670">
        <w:rPr>
          <w:lang w:val="es-ES"/>
        </w:rPr>
        <w:t>p. 35-36</w:t>
      </w:r>
    </w:p>
  </w:footnote>
  <w:footnote w:id="16">
    <w:p w14:paraId="44D7E9AC" w14:textId="77777777" w:rsidR="005B7178" w:rsidRPr="0041362B" w:rsidRDefault="005B7178" w:rsidP="00513670">
      <w:pPr>
        <w:pStyle w:val="Allmrkusetekst"/>
        <w:ind w:left="0" w:firstLine="0"/>
        <w:rPr>
          <w:lang w:val="pt-PT"/>
        </w:rPr>
      </w:pPr>
      <w:r w:rsidRPr="00FC3010">
        <w:rPr>
          <w:rStyle w:val="Allmrkuseviide"/>
        </w:rPr>
        <w:footnoteRef/>
      </w:r>
      <w:r>
        <w:rPr>
          <w:lang w:val="pt-PT"/>
        </w:rPr>
        <w:tab/>
      </w:r>
      <w:r w:rsidRPr="3EAC9A75">
        <w:rPr>
          <w:lang w:val="pt-PT"/>
        </w:rPr>
        <w:t>OJ L 119, 4.5.2016, p. 1-88.</w:t>
      </w:r>
    </w:p>
  </w:footnote>
  <w:footnote w:id="17">
    <w:p w14:paraId="2A2C349E" w14:textId="77777777" w:rsidR="005B7178" w:rsidRPr="00F353FF" w:rsidRDefault="005B7178" w:rsidP="00513670">
      <w:pPr>
        <w:pStyle w:val="Allmrkusetekst"/>
        <w:ind w:left="0" w:firstLine="0"/>
        <w:rPr>
          <w:lang w:val="es-ES"/>
        </w:rPr>
      </w:pPr>
      <w:r w:rsidRPr="00FC3010">
        <w:rPr>
          <w:rStyle w:val="Allmrkuseviide"/>
        </w:rPr>
        <w:footnoteRef/>
      </w:r>
      <w:r>
        <w:rPr>
          <w:lang w:val="es-ES"/>
        </w:rPr>
        <w:tab/>
      </w:r>
      <w:r w:rsidRPr="00F353FF">
        <w:rPr>
          <w:lang w:val="es-ES"/>
        </w:rPr>
        <w:t>OJ L 119, 4.5.2016, p. 89-131.</w:t>
      </w:r>
    </w:p>
  </w:footnote>
  <w:footnote w:id="18">
    <w:p w14:paraId="7CEB4FA9" w14:textId="77777777" w:rsidR="005B7178" w:rsidRDefault="005B7178" w:rsidP="007C3E13">
      <w:pPr>
        <w:pStyle w:val="Loendilik"/>
        <w:spacing w:before="0" w:after="0"/>
        <w:ind w:left="0"/>
        <w:rPr>
          <w:sz w:val="20"/>
          <w:szCs w:val="20"/>
        </w:rPr>
      </w:pPr>
      <w:r w:rsidRPr="00FC3010">
        <w:rPr>
          <w:rStyle w:val="Allmrkuseviide"/>
          <w:rFonts w:eastAsia="Calibri"/>
        </w:rPr>
        <w:footnoteRef/>
      </w:r>
      <w:r>
        <w:rPr>
          <w:sz w:val="20"/>
          <w:szCs w:val="20"/>
        </w:rPr>
        <w:tab/>
      </w:r>
      <w:r w:rsidRPr="64649597">
        <w:rPr>
          <w:sz w:val="20"/>
          <w:szCs w:val="20"/>
        </w:rPr>
        <w:t>Three consecutive generations of the Daphne programme</w:t>
      </w:r>
      <w:r>
        <w:rPr>
          <w:sz w:val="20"/>
          <w:szCs w:val="20"/>
        </w:rPr>
        <w:t xml:space="preserve"> </w:t>
      </w:r>
      <w:r w:rsidRPr="00D067BC">
        <w:rPr>
          <w:sz w:val="20"/>
          <w:szCs w:val="20"/>
        </w:rPr>
        <w:t>(</w:t>
      </w:r>
      <w:r w:rsidRPr="001811C4">
        <w:rPr>
          <w:sz w:val="20"/>
          <w:szCs w:val="20"/>
        </w:rPr>
        <w:t> </w:t>
      </w:r>
      <w:hyperlink r:id="rId7" w:history="1">
        <w:r w:rsidRPr="001811C4">
          <w:rPr>
            <w:rStyle w:val="Hperlink"/>
            <w:sz w:val="20"/>
            <w:szCs w:val="20"/>
          </w:rPr>
          <w:t>OJ L 34, 9.2.2000, p. 1</w:t>
        </w:r>
      </w:hyperlink>
      <w:r>
        <w:rPr>
          <w:sz w:val="20"/>
          <w:szCs w:val="20"/>
        </w:rPr>
        <w:t>;</w:t>
      </w:r>
      <w:r w:rsidRPr="008A1727">
        <w:rPr>
          <w:sz w:val="20"/>
          <w:szCs w:val="20"/>
        </w:rPr>
        <w:t> </w:t>
      </w:r>
      <w:hyperlink r:id="rId8" w:history="1">
        <w:r w:rsidRPr="008A1727">
          <w:rPr>
            <w:rStyle w:val="Hperlink"/>
            <w:sz w:val="20"/>
            <w:szCs w:val="20"/>
          </w:rPr>
          <w:t>OJ L 143, 30.4.2004, p. 1</w:t>
        </w:r>
      </w:hyperlink>
      <w:r>
        <w:rPr>
          <w:sz w:val="20"/>
          <w:szCs w:val="20"/>
        </w:rPr>
        <w:t xml:space="preserve">; </w:t>
      </w:r>
      <w:r w:rsidRPr="00DD5842">
        <w:rPr>
          <w:sz w:val="20"/>
          <w:szCs w:val="20"/>
        </w:rPr>
        <w:t>OJ L 173, 3.7.2007, p. 19–26)</w:t>
      </w:r>
      <w:r w:rsidRPr="64649597">
        <w:rPr>
          <w:sz w:val="20"/>
          <w:szCs w:val="20"/>
        </w:rPr>
        <w:t xml:space="preserve">, and the results of the Daphne strands of the Rights, Equality and Citizenship Programme </w:t>
      </w:r>
      <w:r w:rsidRPr="00CE4A13">
        <w:rPr>
          <w:sz w:val="20"/>
          <w:szCs w:val="20"/>
        </w:rPr>
        <w:t>(</w:t>
      </w:r>
      <w:r w:rsidRPr="00DD5842">
        <w:rPr>
          <w:sz w:val="20"/>
          <w:szCs w:val="20"/>
        </w:rPr>
        <w:t>OJ L 354, 28.12.2013, p. 62–72 )</w:t>
      </w:r>
      <w:r w:rsidRPr="64649597">
        <w:rPr>
          <w:sz w:val="20"/>
          <w:szCs w:val="20"/>
        </w:rPr>
        <w:t xml:space="preserve"> and the CERV Programme</w:t>
      </w:r>
      <w:r>
        <w:rPr>
          <w:sz w:val="20"/>
          <w:szCs w:val="20"/>
        </w:rPr>
        <w:t xml:space="preserve"> </w:t>
      </w:r>
      <w:r w:rsidRPr="00FD61B6">
        <w:rPr>
          <w:sz w:val="20"/>
          <w:szCs w:val="20"/>
        </w:rPr>
        <w:t>(</w:t>
      </w:r>
      <w:r w:rsidRPr="00DD5842">
        <w:rPr>
          <w:sz w:val="20"/>
          <w:szCs w:val="20"/>
        </w:rPr>
        <w:t>OJ L 156, 5.5.2021, p. 1–20</w:t>
      </w:r>
      <w:r w:rsidRPr="00DD5842">
        <w:rPr>
          <w:sz w:val="20"/>
          <w:szCs w:val="20"/>
        </w:rPr>
        <w:t>)</w:t>
      </w:r>
      <w:r w:rsidRPr="64649597">
        <w:rPr>
          <w:sz w:val="20"/>
          <w:szCs w:val="20"/>
        </w:rPr>
        <w:t>.</w:t>
      </w:r>
    </w:p>
  </w:footnote>
  <w:footnote w:id="19">
    <w:p w14:paraId="6A5C046C" w14:textId="77777777" w:rsidR="005B7178" w:rsidRPr="00F80BAB" w:rsidRDefault="005B7178" w:rsidP="00565F08">
      <w:pPr>
        <w:pStyle w:val="Allmrkusetekst"/>
        <w:ind w:left="0" w:firstLine="0"/>
        <w:rPr>
          <w:lang w:val="es-ES"/>
        </w:rPr>
      </w:pPr>
      <w:r w:rsidRPr="00FC3010">
        <w:rPr>
          <w:rStyle w:val="Allmrkuseviide"/>
        </w:rPr>
        <w:footnoteRef/>
      </w:r>
      <w:r>
        <w:rPr>
          <w:lang w:val="es-ES"/>
        </w:rPr>
        <w:tab/>
      </w:r>
      <w:r w:rsidRPr="00F80BAB">
        <w:rPr>
          <w:rFonts w:eastAsia="Calibri"/>
          <w:lang w:val="es-ES"/>
        </w:rPr>
        <w:t>C(2024) 2680 final (OJ L, 2024/1238, 14.5.2024, ELI: </w:t>
      </w:r>
      <w:hyperlink r:id="rId9" w:tgtFrame="_blank" w:tooltip="Gives access to this document through its ELI URI." w:history="1">
        <w:r w:rsidRPr="00FD53AB">
          <w:rPr>
            <w:rStyle w:val="Hperlink"/>
            <w:rFonts w:eastAsia="Calibri"/>
            <w:lang w:val="es-ES"/>
          </w:rPr>
          <w:t>http://data.europa.eu/eli/reco/2024/1238/oj</w:t>
        </w:r>
      </w:hyperlink>
      <w:r w:rsidRPr="00F80BAB">
        <w:rPr>
          <w:rFonts w:eastAsia="Calibri"/>
          <w:lang w:val="es-ES"/>
        </w:rPr>
        <w:t>).</w:t>
      </w:r>
    </w:p>
  </w:footnote>
  <w:footnote w:id="20">
    <w:p w14:paraId="67229127" w14:textId="77777777" w:rsidR="005B7178" w:rsidRPr="007C3E13" w:rsidRDefault="005B7178" w:rsidP="00F2190A">
      <w:pPr>
        <w:spacing w:before="0" w:after="0"/>
        <w:rPr>
          <w:rFonts w:eastAsia="Times New Roman"/>
          <w:sz w:val="20"/>
          <w:szCs w:val="20"/>
        </w:rPr>
      </w:pPr>
      <w:r w:rsidRPr="00FC3010">
        <w:rPr>
          <w:rStyle w:val="Allmrkuseviide"/>
        </w:rPr>
        <w:footnoteRef/>
      </w:r>
      <w:r>
        <w:rPr>
          <w:rFonts w:eastAsia="Times New Roman"/>
          <w:sz w:val="20"/>
          <w:szCs w:val="20"/>
        </w:rPr>
        <w:tab/>
      </w:r>
      <w:r w:rsidRPr="007C3E13">
        <w:rPr>
          <w:rFonts w:eastAsia="Times New Roman"/>
          <w:sz w:val="20"/>
          <w:szCs w:val="20"/>
        </w:rPr>
        <w:t>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(OJ L, 20</w:t>
      </w:r>
      <w:r w:rsidRPr="007C3E13">
        <w:rPr>
          <w:rFonts w:eastAsia="Times New Roman"/>
          <w:sz w:val="20"/>
          <w:szCs w:val="20"/>
        </w:rPr>
        <w:t xml:space="preserve">24/1499, 29.5.2024, ELI: </w:t>
      </w:r>
      <w:hyperlink r:id="rId10" w:history="1">
        <w:r w:rsidRPr="007C3E13">
          <w:rPr>
            <w:rStyle w:val="Hperlink"/>
            <w:rFonts w:eastAsia="Calibri"/>
            <w:sz w:val="20"/>
            <w:szCs w:val="20"/>
          </w:rPr>
          <w:t>http://data.europa.eu/eli/dir/2024/1499/oj</w:t>
        </w:r>
      </w:hyperlink>
      <w:r w:rsidRPr="007C3E13">
        <w:rPr>
          <w:rFonts w:eastAsia="Times New Roman"/>
          <w:sz w:val="20"/>
          <w:szCs w:val="20"/>
        </w:rPr>
        <w:t>).</w:t>
      </w:r>
    </w:p>
  </w:footnote>
  <w:footnote w:id="21">
    <w:p w14:paraId="342770EA" w14:textId="77777777" w:rsidR="005B7178" w:rsidRPr="00CF4751" w:rsidRDefault="005B7178" w:rsidP="007C3E13">
      <w:pPr>
        <w:spacing w:before="0" w:after="0"/>
        <w:rPr>
          <w:sz w:val="20"/>
          <w:szCs w:val="20"/>
          <w:lang w:val="hu-HU"/>
        </w:rPr>
      </w:pPr>
      <w:r w:rsidRPr="00FC3010">
        <w:rPr>
          <w:rStyle w:val="Allmrkuseviide"/>
        </w:rPr>
        <w:footnoteRef/>
      </w:r>
      <w:r>
        <w:rPr>
          <w:sz w:val="20"/>
          <w:szCs w:val="20"/>
          <w:lang w:val="hu-HU"/>
        </w:rPr>
        <w:tab/>
      </w:r>
      <w:r w:rsidRPr="007C3E13">
        <w:rPr>
          <w:rFonts w:eastAsia="Times New Roman"/>
          <w:sz w:val="20"/>
          <w:szCs w:val="20"/>
        </w:rPr>
        <w:t>Directive (EU) 2024/1500 of the European Parliament and of the Council of 14 May 2024 on standards for equality bodies in the field of equal treatment and equal opportunities between women and men in matters of employment and occupation, and amending Directives 2006/54/EC and 2010/41/EU (OJ L, 2024/1500, 29.5.2024, ELI: </w:t>
      </w:r>
      <w:hyperlink r:id="rId11" w:history="1">
        <w:r w:rsidRPr="007C3E13">
          <w:rPr>
            <w:rStyle w:val="Hperlink"/>
            <w:rFonts w:eastAsia="Calibri"/>
            <w:sz w:val="20"/>
            <w:szCs w:val="20"/>
          </w:rPr>
          <w:t>http://data.europa.eu/eli/dir/2024/1500/oj</w:t>
        </w:r>
      </w:hyperlink>
      <w:r w:rsidRPr="007C3E13">
        <w:rPr>
          <w:rFonts w:eastAsia="Times New Roman"/>
          <w:sz w:val="20"/>
          <w:szCs w:val="20"/>
        </w:rPr>
        <w:t>).</w:t>
      </w:r>
    </w:p>
  </w:footnote>
  <w:footnote w:id="22">
    <w:p w14:paraId="6823A27D" w14:textId="77777777" w:rsidR="005B7178" w:rsidRPr="007C3E13" w:rsidRDefault="005B7178" w:rsidP="00565F08">
      <w:pPr>
        <w:pStyle w:val="Allmrkusetekst"/>
        <w:ind w:left="0" w:firstLine="0"/>
        <w:rPr>
          <w:lang w:val="fr-BE"/>
        </w:rPr>
      </w:pPr>
      <w:r w:rsidRPr="00FC3010">
        <w:rPr>
          <w:rStyle w:val="Allmrkuseviide"/>
        </w:rPr>
        <w:footnoteRef/>
      </w:r>
      <w:r>
        <w:rPr>
          <w:lang w:val="fr-BE"/>
        </w:rPr>
        <w:tab/>
      </w:r>
      <w:r w:rsidRPr="007C3E13">
        <w:rPr>
          <w:lang w:val="fr-BE"/>
        </w:rPr>
        <w:t xml:space="preserve">2018/2619(RSP) (OJ C 390, 18.11.2019, p. 117–119, </w:t>
      </w:r>
      <w:hyperlink r:id="rId12" w:history="1">
        <w:r w:rsidRPr="007C3E13">
          <w:rPr>
            <w:rStyle w:val="Hperlink"/>
            <w:lang w:val="fr-BE"/>
          </w:rPr>
          <w:t>https://eur-lex.europa.eu/legal content/EN/TXT/?uri=oj:JOC_2019_390_R_0017</w:t>
        </w:r>
      </w:hyperlink>
      <w:r w:rsidRPr="007C3E13">
        <w:rPr>
          <w:lang w:val="fr-BE"/>
        </w:rPr>
        <w:t xml:space="preserve">) </w:t>
      </w:r>
    </w:p>
  </w:footnote>
  <w:footnote w:id="23">
    <w:p w14:paraId="3A1D7B50" w14:textId="77777777" w:rsidR="005B7178" w:rsidRPr="007C3E13" w:rsidRDefault="005B7178" w:rsidP="00565F08">
      <w:pPr>
        <w:pStyle w:val="Allmrkusetekst"/>
        <w:ind w:left="0" w:firstLine="0"/>
      </w:pPr>
      <w:r w:rsidRPr="00FC3010">
        <w:rPr>
          <w:rStyle w:val="Allmrkuseviide"/>
        </w:rPr>
        <w:footnoteRef/>
      </w:r>
      <w:r>
        <w:tab/>
      </w:r>
      <w:r w:rsidRPr="007C3E13">
        <w:t>ST-7388/23, Council Conclusions on the application of the EU Charter of Fundamental Rights; The role of the civic space in protecting and promoting fundamental rights in the EU</w:t>
      </w:r>
    </w:p>
  </w:footnote>
  <w:footnote w:id="24">
    <w:p w14:paraId="1810871A" w14:textId="77777777" w:rsidR="005B7178" w:rsidRPr="007C3E13" w:rsidRDefault="005B7178" w:rsidP="00565F08">
      <w:pPr>
        <w:pStyle w:val="Allmrkusetekst"/>
        <w:ind w:left="0" w:firstLine="0"/>
      </w:pPr>
      <w:r w:rsidRPr="00FC3010">
        <w:rPr>
          <w:rStyle w:val="Allmrkuseviide"/>
        </w:rPr>
        <w:footnoteRef/>
      </w:r>
      <w:r>
        <w:tab/>
      </w:r>
      <w:r w:rsidRPr="007C3E13">
        <w:t>ST-6878/25, Council Conclusions on the application of the EU Charter of Fundamental Rights: funding to promote, protect and enforce fundamental rights</w:t>
      </w:r>
    </w:p>
  </w:footnote>
  <w:footnote w:id="25">
    <w:p w14:paraId="4D1BBE85" w14:textId="77777777" w:rsidR="005B7178" w:rsidRPr="007C3E13" w:rsidRDefault="005B7178" w:rsidP="00565F08">
      <w:pPr>
        <w:pStyle w:val="Allmrkusetekst"/>
        <w:ind w:left="0" w:firstLine="0"/>
        <w:rPr>
          <w:lang w:val="en-US"/>
        </w:rPr>
      </w:pPr>
      <w:r w:rsidRPr="00FC3010">
        <w:rPr>
          <w:rStyle w:val="Allmrkuseviide"/>
        </w:rPr>
        <w:footnoteRef/>
      </w:r>
      <w:r>
        <w:tab/>
      </w:r>
      <w:r w:rsidRPr="007C3E13">
        <w:t>Directive (EU) 2019/1937 of the European Parliament and of the Council of 23 October 2019 on the protection of persons who report breaches of Union law (OJ L 305, 26.11.2019, p. 17, ELI: </w:t>
      </w:r>
      <w:hyperlink r:id="rId13" w:tooltip="Gives access to this document through its ELI URI." w:history="1">
        <w:r w:rsidRPr="007C3E13">
          <w:rPr>
            <w:rStyle w:val="Hperlink"/>
          </w:rPr>
          <w:t>http://data.europa.eu/eli/dir/2019/1937/oj</w:t>
        </w:r>
      </w:hyperlink>
      <w:r w:rsidRPr="007C3E13">
        <w:t>).</w:t>
      </w:r>
    </w:p>
  </w:footnote>
  <w:footnote w:id="26">
    <w:p w14:paraId="3C68D87F" w14:textId="77777777" w:rsidR="005B7178" w:rsidRPr="00DD5842" w:rsidRDefault="005B7178" w:rsidP="007C3E13">
      <w:pPr>
        <w:pStyle w:val="Allmrkusetekst"/>
        <w:ind w:left="0" w:firstLine="0"/>
        <w:rPr>
          <w:lang w:val="en-IE"/>
        </w:rPr>
      </w:pPr>
      <w:r w:rsidRPr="00FC3010">
        <w:rPr>
          <w:rStyle w:val="Allmrkuseviide"/>
        </w:rPr>
        <w:footnoteRef/>
      </w:r>
      <w:r>
        <w:tab/>
      </w:r>
      <w:r w:rsidRPr="00DD5842">
        <w:rPr>
          <w:sz w:val="18"/>
          <w:szCs w:val="18"/>
          <w:lang w:val="en-IE"/>
        </w:rPr>
        <w:t>This stems directly from Opinion 2/13</w:t>
      </w:r>
      <w:r w:rsidRPr="00DD5842">
        <w:rPr>
          <w:sz w:val="18"/>
          <w:szCs w:val="18"/>
          <w:lang w:val="en-IE"/>
        </w:rPr>
        <w:t>,</w:t>
      </w:r>
      <w:r w:rsidRPr="00DD5842">
        <w:rPr>
          <w:sz w:val="18"/>
          <w:szCs w:val="18"/>
        </w:rPr>
        <w:t xml:space="preserve"> </w:t>
      </w:r>
      <w:r w:rsidRPr="00DD5842">
        <w:rPr>
          <w:sz w:val="18"/>
          <w:szCs w:val="18"/>
          <w:lang w:val="en-IE"/>
        </w:rPr>
        <w:t>EU:C:2014:2454, paragraph 168.</w:t>
      </w:r>
    </w:p>
  </w:footnote>
  <w:footnote w:id="27">
    <w:p w14:paraId="1D46545C" w14:textId="77777777" w:rsidR="005B7178" w:rsidRPr="00550344" w:rsidRDefault="005B7178" w:rsidP="00DF45F1">
      <w:pPr>
        <w:pStyle w:val="Allmrkusetekst"/>
        <w:ind w:left="0" w:firstLine="0"/>
        <w:rPr>
          <w:lang w:val="en-US"/>
        </w:rPr>
      </w:pPr>
      <w:r w:rsidRPr="00FC3010">
        <w:rPr>
          <w:rStyle w:val="Allmrkuseviide"/>
        </w:rPr>
        <w:footnoteRef/>
      </w:r>
      <w:r>
        <w:tab/>
      </w:r>
      <w:r w:rsidRPr="00030D53">
        <w:t xml:space="preserve">Regulation (EU) 2019/788 of the </w:t>
      </w:r>
      <w:r w:rsidRPr="00030D53">
        <w:t>European Parliament and of the Council of 17 April 2019 on the European citizens' initiative</w:t>
      </w:r>
      <w:r>
        <w:t xml:space="preserve"> (</w:t>
      </w:r>
      <w:r w:rsidRPr="00641BD7">
        <w:t>OJ L 130, 17.5.2019, p. 55</w:t>
      </w:r>
      <w:r>
        <w:t xml:space="preserve">, </w:t>
      </w:r>
      <w:r w:rsidRPr="009C34E2">
        <w:t>ELI: </w:t>
      </w:r>
      <w:hyperlink r:id="rId14" w:tooltip="Gives access to this document through its ELI URI." w:history="1">
        <w:r w:rsidRPr="00FD53AB">
          <w:rPr>
            <w:rStyle w:val="Hperlink"/>
          </w:rPr>
          <w:t>http://data.europa.eu/eli/reg/2019/788/oj</w:t>
        </w:r>
      </w:hyperlink>
      <w:r>
        <w:t>).</w:t>
      </w:r>
    </w:p>
  </w:footnote>
  <w:footnote w:id="28">
    <w:p w14:paraId="2E1F0731" w14:textId="77777777" w:rsidR="005B7178" w:rsidRPr="00430CA0" w:rsidRDefault="005B7178" w:rsidP="00565F08">
      <w:pPr>
        <w:pStyle w:val="Allmrkusetekst"/>
        <w:ind w:left="0" w:firstLine="0"/>
      </w:pPr>
      <w:r w:rsidRPr="00FC3010">
        <w:rPr>
          <w:rStyle w:val="Allmrkuseviide"/>
        </w:rPr>
        <w:footnoteRef/>
      </w:r>
      <w:r>
        <w:tab/>
      </w:r>
      <w:r w:rsidRPr="00430CA0">
        <w:t xml:space="preserve">Regulation (EU, Euratom) 2024/2509 of the European Parliament and of the Council of 23 September 2024 on the financial rules applicable to the general budget of the Union (OJ L, 2024/2509, 26.9.2024, ELI: http://data.europa.eu/eli/reg/2024/2509/oj). </w:t>
      </w:r>
    </w:p>
  </w:footnote>
  <w:footnote w:id="29">
    <w:p w14:paraId="7763BE5C" w14:textId="77777777" w:rsidR="005B7178" w:rsidRPr="00EF3D98" w:rsidRDefault="005B7178" w:rsidP="00565F08">
      <w:pPr>
        <w:pStyle w:val="Allmrkusetekst"/>
        <w:ind w:left="0" w:firstLine="0"/>
      </w:pPr>
      <w:r w:rsidRPr="00FC3010">
        <w:rPr>
          <w:rStyle w:val="Allmrkuseviide"/>
        </w:rPr>
        <w:footnoteRef/>
      </w:r>
      <w:r>
        <w:tab/>
      </w:r>
      <w:r w:rsidRPr="00E314CE">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w:t>
      </w:r>
      <w:r>
        <w:t xml:space="preserve"> </w:t>
      </w:r>
      <w:r w:rsidRPr="00E314CE">
        <w:t>(OJ L248, 18.9.2013, p. 1</w:t>
      </w:r>
      <w:r>
        <w:t xml:space="preserve">, </w:t>
      </w:r>
      <w:r w:rsidRPr="004F5103">
        <w:t>ELI: </w:t>
      </w:r>
      <w:hyperlink r:id="rId15" w:tooltip="Gives access to this document through its ELI URI." w:history="1">
        <w:r w:rsidRPr="00FD53AB">
          <w:rPr>
            <w:rStyle w:val="Hperlink"/>
          </w:rPr>
          <w:t>http://data.europa.eu/eli/reg/2013/883/oj</w:t>
        </w:r>
      </w:hyperlink>
      <w:r>
        <w:t>).</w:t>
      </w:r>
    </w:p>
  </w:footnote>
  <w:footnote w:id="30">
    <w:p w14:paraId="488ACE46" w14:textId="77777777" w:rsidR="005B7178" w:rsidRPr="002F29D2" w:rsidRDefault="005B7178" w:rsidP="00565F08">
      <w:pPr>
        <w:pStyle w:val="Allmrkusetekst"/>
        <w:ind w:left="0" w:firstLine="0"/>
      </w:pPr>
      <w:r w:rsidRPr="00FC3010">
        <w:rPr>
          <w:rStyle w:val="Allmrkuseviide"/>
        </w:rPr>
        <w:footnoteRef/>
      </w:r>
      <w:r>
        <w:tab/>
      </w:r>
      <w:r w:rsidRPr="00E71932">
        <w:t>Council Regulation (EC, Euratom) No 2988/95 of 18 December 1995 on the protection of the European Communities financial interests (OJ L 312, 23.12.95, p. 1, ELI: </w:t>
      </w:r>
      <w:hyperlink r:id="rId16" w:tooltip="Gives access to this document through its ELI URI." w:history="1">
        <w:r w:rsidRPr="00FD53AB">
          <w:rPr>
            <w:rStyle w:val="Hperlink"/>
          </w:rPr>
          <w:t>http://data.europa.eu/eli/reg/1995/2988/oj</w:t>
        </w:r>
      </w:hyperlink>
      <w:r w:rsidRPr="00E71932">
        <w:t>).</w:t>
      </w:r>
    </w:p>
  </w:footnote>
  <w:footnote w:id="31">
    <w:p w14:paraId="10184134" w14:textId="77777777" w:rsidR="005B7178" w:rsidRPr="00C94F98" w:rsidRDefault="005B7178" w:rsidP="00565F08">
      <w:pPr>
        <w:pStyle w:val="Allmrkusetekst"/>
        <w:ind w:left="0" w:firstLine="0"/>
      </w:pPr>
      <w:r w:rsidRPr="00FC3010">
        <w:rPr>
          <w:rStyle w:val="Allmrkuseviide"/>
        </w:rPr>
        <w:footnoteRef/>
      </w:r>
      <w:r>
        <w:rPr>
          <w:lang w:val="lv-LV"/>
        </w:rPr>
        <w:tab/>
      </w:r>
      <w:r w:rsidRPr="008A3B76">
        <w:rPr>
          <w:lang w:val="lv-LV"/>
        </w:rPr>
        <w:t xml:space="preserve">Council Regulation (Euratom, EC) No 2185/96 of 11 November 1996 concerning on-the-spot checks and inspections carried out by </w:t>
      </w:r>
      <w:r w:rsidRPr="008A3B76">
        <w:rPr>
          <w:lang w:val="lv-LV"/>
        </w:rPr>
        <w:t>the Commission in order to protect the European Communities' financial interests against fraud and other irregularities (</w:t>
      </w:r>
      <w:r w:rsidRPr="008A3B76">
        <w:t>OJ L 292, 15.11.1996, p. 2, ELI: </w:t>
      </w:r>
      <w:hyperlink r:id="rId17" w:tooltip="Gives access to this document through its ELI URI." w:history="1">
        <w:r w:rsidRPr="00FD53AB">
          <w:rPr>
            <w:rStyle w:val="Hperlink"/>
          </w:rPr>
          <w:t>http://data.europa.eu/eli/reg/1996/2185/oj</w:t>
        </w:r>
      </w:hyperlink>
      <w:r w:rsidRPr="008A3B76">
        <w:t>).</w:t>
      </w:r>
    </w:p>
  </w:footnote>
  <w:footnote w:id="32">
    <w:p w14:paraId="0D8A1F57" w14:textId="77777777" w:rsidR="005B7178" w:rsidRPr="008471F9" w:rsidRDefault="005B7178" w:rsidP="00565F08">
      <w:pPr>
        <w:pStyle w:val="Allmrkusetekst"/>
        <w:ind w:left="0" w:firstLine="0"/>
      </w:pPr>
      <w:r w:rsidRPr="00FC3010">
        <w:rPr>
          <w:rStyle w:val="Allmrkuseviide"/>
        </w:rPr>
        <w:footnoteRef/>
      </w:r>
      <w:r>
        <w:tab/>
      </w:r>
      <w:r w:rsidRPr="00D60321">
        <w:t>Council Regulation (EU) 2017/1939 of 12 October 2017 implementing enhanced cooperation on the establishment of the European Public Prosecutor’s Office (‘the EPPO’) (OJ L 283, 31.10.2017, p. 1, ELI: http://data.europa.eu/eli/reg/2017/1939/oj).</w:t>
      </w:r>
    </w:p>
  </w:footnote>
  <w:footnote w:id="33">
    <w:p w14:paraId="06E10FF8" w14:textId="77777777" w:rsidR="005B7178" w:rsidRPr="00FF7A03" w:rsidRDefault="005B7178" w:rsidP="00565F08">
      <w:pPr>
        <w:pStyle w:val="Allmrkusetekst"/>
        <w:ind w:left="0" w:firstLine="0"/>
      </w:pPr>
      <w:r w:rsidRPr="00FC3010">
        <w:rPr>
          <w:rStyle w:val="Allmrkuseviide"/>
        </w:rPr>
        <w:footnoteRef/>
      </w:r>
      <w:r>
        <w:tab/>
      </w:r>
      <w:r w:rsidRPr="004412DC">
        <w:t>Directive (EU) 2017/1371 of the European Parliament and of the Council of 5 July 2017 on the fight against fraud to the Union's financial interests by means of criminal law (OJ L 198, 28.7.2017, p. 29, ELI: </w:t>
      </w:r>
      <w:hyperlink r:id="rId18" w:tooltip="Gives access to this document through its ELI URI." w:history="1">
        <w:r w:rsidRPr="00FD53AB">
          <w:rPr>
            <w:rStyle w:val="Hperlink"/>
          </w:rPr>
          <w:t>http://data.europa.eu/eli/dir/2017/1371/oj</w:t>
        </w:r>
      </w:hyperlink>
      <w:r w:rsidRPr="004412DC">
        <w:t>).</w:t>
      </w:r>
    </w:p>
  </w:footnote>
  <w:footnote w:id="34">
    <w:p w14:paraId="032E5BE3" w14:textId="77777777" w:rsidR="005B7178" w:rsidRPr="007F4EF9" w:rsidRDefault="005B7178" w:rsidP="00C10C42">
      <w:pPr>
        <w:pStyle w:val="Allmrkusetekst"/>
        <w:ind w:left="0" w:firstLine="0"/>
        <w:rPr>
          <w:lang w:val="en-US"/>
        </w:rPr>
      </w:pPr>
      <w:r w:rsidRPr="00FC3010">
        <w:rPr>
          <w:rStyle w:val="Allmrkuseviide"/>
        </w:rPr>
        <w:footnoteRef/>
      </w:r>
      <w:r>
        <w:tab/>
      </w:r>
      <w:r>
        <w:rPr>
          <w:lang w:val="en-IE"/>
        </w:rPr>
        <w:t xml:space="preserve">In order to promote the Programme at national level, provide relevant information on the various types of financial support available under Union policy, and assist operators to apply for support under the Programme, the Programme shall support the establishment of Desks in participating countries. The Desks shall implement their activities aiming to enhance outreach, visibility and dissemination of the Programme results in accordance with Regulation (EU, Euratom) 202X/XXXX which establishes the rules for </w:t>
      </w:r>
      <w:r>
        <w:rPr>
          <w:lang w:val="en-IE"/>
        </w:rPr>
        <w:t>the expenditure tracking and the performance framework for the budget, including the rules applicable to all Union programmes regarding information, communication and visibility obligations, including in particular obligations for beneficiaries and implementing partners</w:t>
      </w:r>
    </w:p>
  </w:footnote>
  <w:footnote w:id="35">
    <w:p w14:paraId="2487CF2F" w14:textId="77777777" w:rsidR="005B7178" w:rsidRDefault="005B7178" w:rsidP="00565F08">
      <w:pPr>
        <w:pStyle w:val="Allmrkusetekst"/>
        <w:ind w:left="0" w:firstLine="0"/>
        <w:rPr>
          <w:lang w:val="en-IE"/>
        </w:rPr>
      </w:pPr>
      <w:r w:rsidRPr="00FC3010">
        <w:rPr>
          <w:rStyle w:val="Allmrkuseviide"/>
        </w:rPr>
        <w:footnoteRef/>
      </w:r>
      <w:r>
        <w:rPr>
          <w:lang w:val="en-IE"/>
        </w:rPr>
        <w:tab/>
      </w:r>
      <w:r w:rsidRPr="48E4EBE7">
        <w:rPr>
          <w:lang w:val="en-IE"/>
        </w:rPr>
        <w:t xml:space="preserve">Council Decision (EU) 2021/1764 of 5 October 2021 on the association of the Overseas Countries and Territories with the European Union including relations between the European Union on the one hand, and Greenland and the Kingdom of Denmark on the other (Decision on the Overseas Association, including Greenland) (OJ L 355, 7.10.2021, p. 6, </w:t>
      </w:r>
      <w:r w:rsidRPr="00C10C42">
        <w:t xml:space="preserve"> </w:t>
      </w:r>
      <w:r>
        <w:t>ELI: </w:t>
      </w:r>
      <w:hyperlink r:id="rId19">
        <w:r w:rsidRPr="00FD53AB">
          <w:rPr>
            <w:rStyle w:val="Hperlink"/>
          </w:rPr>
          <w:t>http://data.europa.eu/eli/dec/2021/1764/oj</w:t>
        </w:r>
      </w:hyperlink>
      <w:r w:rsidRPr="48E4EBE7">
        <w:rPr>
          <w:lang w:val="en-IE"/>
        </w:rPr>
        <w:t>).</w:t>
      </w:r>
      <w:r>
        <w:tab/>
      </w:r>
    </w:p>
  </w:footnote>
  <w:footnote w:id="36">
    <w:p w14:paraId="09240F01" w14:textId="77777777" w:rsidR="005B7178" w:rsidRPr="00706209" w:rsidRDefault="005B7178" w:rsidP="00EB7642">
      <w:pPr>
        <w:pStyle w:val="Allmrkusetekst"/>
        <w:ind w:left="0" w:firstLine="0"/>
        <w:rPr>
          <w:lang w:val="en"/>
        </w:rPr>
      </w:pPr>
      <w:r w:rsidRPr="00B74D3E">
        <w:rPr>
          <w:rStyle w:val="Allmrkuseviide"/>
        </w:rPr>
        <w:footnoteRef/>
      </w:r>
      <w:r>
        <w:tab/>
      </w:r>
      <w:r w:rsidRPr="007F6511">
        <w:t>Decision No 445/2014/EU of the European Parliament and of the Council of 16 April 2014 establishing a Union action for the European Capitals of Culture for the years 2020 to 2033 and repealing Decision No 1622/2006/EC</w:t>
      </w:r>
      <w:r>
        <w:t xml:space="preserve"> (</w:t>
      </w:r>
      <w:r w:rsidRPr="00753943">
        <w:t>OJ L 132, 3.5.2014, p. 1</w:t>
      </w:r>
      <w:r>
        <w:t xml:space="preserve">, </w:t>
      </w:r>
      <w:r w:rsidRPr="006B2F53">
        <w:rPr>
          <w:lang w:val="en"/>
        </w:rPr>
        <w:t>ELI: </w:t>
      </w:r>
      <w:hyperlink r:id="rId20" w:tooltip="Gives access to this document through its ELI URI." w:history="1">
        <w:r w:rsidRPr="006B2F53">
          <w:rPr>
            <w:rStyle w:val="Hperlink"/>
            <w:lang w:val="en"/>
          </w:rPr>
          <w:t>http://data.europa.eu/eli/dec/2014/445(1)/oj</w:t>
        </w:r>
      </w:hyperlink>
      <w:r>
        <w:rPr>
          <w:lang w:val="en"/>
        </w:rPr>
        <w:t xml:space="preserve">). </w:t>
      </w:r>
      <w:r>
        <w:t>.</w:t>
      </w:r>
    </w:p>
  </w:footnote>
  <w:footnote w:id="37">
    <w:p w14:paraId="47604413" w14:textId="77777777" w:rsidR="005B7178" w:rsidRDefault="005B7178" w:rsidP="00EB7642">
      <w:pPr>
        <w:pStyle w:val="Allmrkusetekst"/>
        <w:ind w:left="0" w:firstLine="0"/>
      </w:pPr>
      <w:r w:rsidRPr="00B74D3E">
        <w:rPr>
          <w:rStyle w:val="Allmrkuseviide"/>
        </w:rPr>
        <w:footnoteRef/>
      </w:r>
      <w:r>
        <w:tab/>
        <w:t xml:space="preserve">Decision No 1194/2011/EU of the European Parliament and of the Council of 16 November 2011 establishing a European Union action for the European Heritage Label (OJ L 303, 22.11.2011, p. 1, </w:t>
      </w:r>
      <w:r w:rsidRPr="00C94ABB">
        <w:t>ELI: </w:t>
      </w:r>
      <w:hyperlink r:id="rId21" w:tooltip="Gives access to this document through its ELI URI." w:history="1">
        <w:r w:rsidRPr="00C94ABB">
          <w:rPr>
            <w:rStyle w:val="Hperlink"/>
          </w:rPr>
          <w:t>http://data.europa.eu/eli/dec/2011/1194/oj</w:t>
        </w:r>
      </w:hyperlink>
      <w:r>
        <w:t>). .</w:t>
      </w:r>
    </w:p>
  </w:footnote>
  <w:footnote w:id="38">
    <w:p w14:paraId="532054E8" w14:textId="77777777" w:rsidR="005B7178" w:rsidRPr="00D7638B" w:rsidRDefault="005B7178" w:rsidP="004E5F46">
      <w:pPr>
        <w:pStyle w:val="Allmrkusetekst"/>
        <w:ind w:left="0" w:firstLine="0"/>
        <w:rPr>
          <w:lang w:val="hu-HU"/>
        </w:rPr>
      </w:pPr>
      <w:r w:rsidRPr="00B74D3E">
        <w:rPr>
          <w:rStyle w:val="Allmrkuseviide"/>
        </w:rPr>
        <w:footnoteRef/>
      </w:r>
      <w:r>
        <w:tab/>
      </w:r>
      <w:r w:rsidRPr="00D7638B">
        <w:t xml:space="preserve">Directive 2010/13/EU of the European Parliament and of the Council of 10 March 2010 on the coordination of certain provisions laid down by law, regulation or administrative action in Member States concerning the provision of audiovisual media services (OJ L 95, 15.4.2010, p. 1, ELI: </w:t>
      </w:r>
      <w:hyperlink r:id="rId22" w:tgtFrame="_blank" w:history="1">
        <w:r w:rsidRPr="00FD53AB">
          <w:rPr>
            <w:rStyle w:val="Hperlink"/>
          </w:rPr>
          <w:t>http://data.europa.eu/eli/dir/2010/13/oj</w:t>
        </w:r>
      </w:hyperlink>
      <w:r w:rsidRPr="00D7638B">
        <w:t>)</w:t>
      </w:r>
      <w:r>
        <w:t>.</w:t>
      </w:r>
    </w:p>
  </w:footnote>
  <w:footnote w:id="39">
    <w:p w14:paraId="1A66377A" w14:textId="77777777" w:rsidR="005B7178" w:rsidRDefault="005B7178" w:rsidP="00CD026A">
      <w:pPr>
        <w:pStyle w:val="Allmrkusetekst"/>
        <w:ind w:left="0" w:firstLine="0"/>
      </w:pPr>
      <w:r w:rsidRPr="00760368">
        <w:rPr>
          <w:rStyle w:val="Allmrkuseviide"/>
        </w:rPr>
        <w:footnoteRef/>
      </w:r>
      <w:r>
        <w:tab/>
        <w:t>As referred to in Article 58(2), point (a) or (b) of the Financial Regulation.</w:t>
      </w:r>
    </w:p>
  </w:footnote>
  <w:footnote w:id="40">
    <w:p w14:paraId="5E6B0C13" w14:textId="77777777" w:rsidR="005B7178" w:rsidRPr="00F353FF" w:rsidRDefault="005B7178" w:rsidP="00CD026A">
      <w:pPr>
        <w:pStyle w:val="Allmrkusetekst"/>
        <w:ind w:left="0" w:firstLine="0"/>
        <w:rPr>
          <w:lang w:val="en-US"/>
        </w:rPr>
      </w:pPr>
      <w:r w:rsidRPr="00FC3010">
        <w:rPr>
          <w:rStyle w:val="Allmrkuseviide"/>
        </w:rPr>
        <w:footnoteRef/>
      </w:r>
      <w:r>
        <w:rPr>
          <w:lang w:val="en-US"/>
        </w:rPr>
        <w:tab/>
      </w:r>
    </w:p>
  </w:footnote>
  <w:footnote w:id="41">
    <w:p w14:paraId="4BBB1D0D" w14:textId="77777777" w:rsidR="005B7178" w:rsidRPr="001A37C8" w:rsidRDefault="005B7178" w:rsidP="00CD026A">
      <w:pPr>
        <w:pStyle w:val="Allmrkusetekst"/>
        <w:ind w:left="0" w:firstLine="0"/>
        <w:rPr>
          <w:lang w:val="en-IE"/>
        </w:rPr>
      </w:pPr>
      <w:r w:rsidRPr="00BA609C">
        <w:rPr>
          <w:rStyle w:val="Allmrkuseviide"/>
        </w:rPr>
        <w:footnoteRef/>
      </w:r>
      <w:r>
        <w:tab/>
      </w:r>
      <w:r w:rsidRPr="00CD026A">
        <w:rPr>
          <w:rFonts w:eastAsia="Times New Roman"/>
          <w:color w:val="000000"/>
          <w:lang w:eastAsia="en-IE"/>
        </w:rPr>
        <w:t>Technical and/or administrative assistance and expenditure in support of the implementation of EU programmes and/or actions (former ‘BA’ lines), indirect research, direct research.</w:t>
      </w:r>
    </w:p>
  </w:footnote>
  <w:footnote w:id="42">
    <w:p w14:paraId="645667FE" w14:textId="77777777" w:rsidR="005B7178" w:rsidRPr="001004A6" w:rsidRDefault="005B7178" w:rsidP="00CD026A">
      <w:pPr>
        <w:pStyle w:val="Allmrkusetekst"/>
        <w:ind w:left="0" w:firstLine="0"/>
      </w:pPr>
      <w:r w:rsidRPr="00760368">
        <w:rPr>
          <w:rStyle w:val="Allmrkuseviide"/>
        </w:rPr>
        <w:footnoteRef/>
      </w:r>
      <w:r>
        <w:tab/>
      </w:r>
      <w:r w:rsidRPr="00CD026A">
        <w:rPr>
          <w:color w:val="374151"/>
        </w:rPr>
        <w:t>The necessary appropriations should be determined using the annual average cost figures available on the appropriate BUDGpedia webpage.</w:t>
      </w:r>
    </w:p>
  </w:footnote>
  <w:footnote w:id="43">
    <w:p w14:paraId="61E0672B" w14:textId="77777777" w:rsidR="005B7178" w:rsidRPr="00CF4751" w:rsidRDefault="005B7178" w:rsidP="00CD026A">
      <w:pPr>
        <w:pStyle w:val="Allmrkusetekst"/>
        <w:ind w:left="0" w:firstLine="0"/>
      </w:pPr>
      <w:r>
        <w:rPr>
          <w:rStyle w:val="Allmrkuseviide"/>
        </w:rPr>
        <w:footnoteRef/>
      </w:r>
      <w:r>
        <w:tab/>
        <w:t>Outputs are products and services to be supplied (e.g. number of student exchanges financed, number of km of roads built, etc.).</w:t>
      </w:r>
    </w:p>
  </w:footnote>
  <w:footnote w:id="44">
    <w:p w14:paraId="78E2CC09" w14:textId="77777777" w:rsidR="005B7178" w:rsidRPr="00CF4751" w:rsidRDefault="005B7178" w:rsidP="00CD026A">
      <w:pPr>
        <w:pStyle w:val="Allmrkusetekst"/>
        <w:ind w:left="0" w:firstLine="0"/>
      </w:pPr>
      <w:r>
        <w:rPr>
          <w:rStyle w:val="Allmrkuseviide"/>
        </w:rPr>
        <w:footnoteRef/>
      </w:r>
      <w:r>
        <w:tab/>
        <w:t xml:space="preserve">As described in Section 1.3.2. ‘Specific objective(s)’ </w:t>
      </w:r>
    </w:p>
  </w:footnote>
  <w:footnote w:id="45">
    <w:p w14:paraId="2FBA794B" w14:textId="77777777" w:rsidR="005B7178" w:rsidRPr="00CF4751" w:rsidRDefault="005B7178" w:rsidP="00CD026A">
      <w:pPr>
        <w:pStyle w:val="Allmrkusetekst"/>
        <w:ind w:left="0" w:firstLine="0"/>
      </w:pPr>
      <w:r>
        <w:rPr>
          <w:rStyle w:val="Allmrkuseviide"/>
        </w:rPr>
        <w:footnoteRef/>
      </w:r>
      <w:r>
        <w:tab/>
        <w:t xml:space="preserve">As regards traditional own resources (customs duties, sugar levies), the amounts indicated must be net amounts, i.e. gross amounts after deduction of </w:t>
      </w:r>
      <w:r w:rsidRPr="009B753E">
        <w:t>20</w:t>
      </w:r>
      <w:r>
        <w:t>%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EFBA" w14:textId="77777777" w:rsidR="00A43C50" w:rsidRDefault="00A43C50">
    <w:pPr>
      <w:pStyle w:val="Pi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0F39" w14:textId="77777777" w:rsidR="005B7178" w:rsidRDefault="005B7178">
    <w:pPr>
      <w:pStyle w:val="Pi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F3F3" w14:textId="77777777" w:rsidR="00AD5BB2" w:rsidRDefault="00AD5BB2">
    <w:pPr>
      <w:pStyle w:val="Pi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A129" w14:textId="77777777" w:rsidR="005B7178" w:rsidRDefault="005B7178" w:rsidP="00AC3668">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9A61" w14:textId="77777777" w:rsidR="005B7178" w:rsidRDefault="005B7178">
    <w:pPr>
      <w:pStyle w:val="Pi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112D" w14:textId="77777777" w:rsidR="00AD5BB2" w:rsidRDefault="00AD5BB2">
    <w:pPr>
      <w:pStyle w:val="Pi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54D9" w14:textId="77777777" w:rsidR="005B7178" w:rsidRDefault="005B7178" w:rsidP="00AC3668">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DDE9" w14:textId="77777777" w:rsidR="005B7178" w:rsidRDefault="005B7178">
    <w:pPr>
      <w:pStyle w:val="Pi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F436" w14:textId="77777777" w:rsidR="00AD5BB2" w:rsidRDefault="00AD5BB2">
    <w:pPr>
      <w:pStyle w:val="Pi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D8FD" w14:textId="77777777" w:rsidR="005B7178" w:rsidRDefault="005B7178" w:rsidP="00AC3668">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1EF9" w14:textId="77777777" w:rsidR="005B7178" w:rsidRDefault="005B717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19ED" w14:textId="77777777" w:rsidR="00AD5BB2" w:rsidRDefault="005B7178">
    <w:pPr>
      <w:pStyle w:val="HeaderCouncilLarge"/>
    </w:pPr>
    <w:r>
      <w:t>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1A24" w14:textId="77777777" w:rsidR="00AD5BB2" w:rsidRDefault="00AD5BB2">
    <w:pPr>
      <w:pStyle w:val="Pi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6BF6" w14:textId="77777777" w:rsidR="005B7178" w:rsidRDefault="005B7178" w:rsidP="00AC3668">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DFAC" w14:textId="77777777" w:rsidR="005B7178" w:rsidRDefault="005B7178">
    <w:pPr>
      <w:pStyle w:val="Pi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9AE9" w14:textId="77777777" w:rsidR="00AD5BB2" w:rsidRDefault="00AD5BB2">
    <w:pPr>
      <w:pStyle w:val="Pi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1827" w14:textId="77777777" w:rsidR="005B7178" w:rsidRDefault="005B7178" w:rsidP="00AC3668">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71F8" w14:textId="77777777" w:rsidR="005B7178" w:rsidRDefault="005B7178">
    <w:pPr>
      <w:pStyle w:val="Pis"/>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BB54" w14:textId="77777777" w:rsidR="005B7178" w:rsidRPr="00AC3668" w:rsidRDefault="005B7178" w:rsidP="00AC3668">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E70D" w14:textId="77777777" w:rsidR="005B7178" w:rsidRDefault="005B7178" w:rsidP="00AC3668">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2D49" w14:textId="77777777" w:rsidR="005B7178" w:rsidRDefault="005B7178">
    <w:pPr>
      <w:pStyle w:val="Pis"/>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AC38" w14:textId="77777777" w:rsidR="005B7178" w:rsidRPr="00AC3668" w:rsidRDefault="005B7178" w:rsidP="00AC3668">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11E8" w14:textId="77777777" w:rsidR="00AD5BB2" w:rsidRDefault="005B7178">
    <w:pPr>
      <w:pStyle w:val="HeaderCouncil"/>
    </w:pPr>
    <w:r>
      <w:t>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057D" w14:textId="77777777" w:rsidR="005B7178" w:rsidRDefault="005B7178" w:rsidP="00AC3668">
    <w:pPr>
      <w:pStyle w:val="HeaderLandscap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59A1" w14:textId="77777777" w:rsidR="005B7178" w:rsidRDefault="005B7178">
    <w:pPr>
      <w:pStyle w:val="Pis"/>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E06C" w14:textId="77777777" w:rsidR="005B7178" w:rsidRPr="00AC3668" w:rsidRDefault="005B7178" w:rsidP="00AC3668">
    <w:pPr>
      <w:pStyle w:val="HeaderLandscap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F88C" w14:textId="77777777" w:rsidR="005B7178" w:rsidRDefault="005B7178" w:rsidP="00AC3668">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3F5E" w14:textId="77777777" w:rsidR="00AD5BB2" w:rsidRDefault="00AD5BB2">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714A" w14:textId="77777777" w:rsidR="00AD5BB2" w:rsidRDefault="00AD5BB2">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F677" w14:textId="77777777" w:rsidR="00AD5BB2" w:rsidRDefault="00AD5BB2">
    <w:pPr>
      <w:pStyle w:val="Pi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BBF5" w14:textId="77777777" w:rsidR="005B7178" w:rsidRDefault="005B7178">
    <w:pPr>
      <w:pStyle w:val="Pi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9DBE" w14:textId="77777777" w:rsidR="00AD5BB2" w:rsidRDefault="00AD5BB2">
    <w:pPr>
      <w:pStyle w:val="Pi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C5CC" w14:textId="77777777" w:rsidR="005B7178" w:rsidRDefault="005B7178" w:rsidP="00AC3668">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5CC7365"/>
    <w:multiLevelType w:val="hybridMultilevel"/>
    <w:tmpl w:val="F9DACCA8"/>
    <w:lvl w:ilvl="0" w:tplc="C3E6F4A0">
      <w:start w:val="1"/>
      <w:numFmt w:val="decimal"/>
      <w:pStyle w:val="Paragraph"/>
      <w:lvlText w:val="%1."/>
      <w:lvlJc w:val="left"/>
      <w:pPr>
        <w:ind w:left="360" w:hanging="360"/>
      </w:pPr>
      <w:rPr>
        <w:lang w:val="en-GB"/>
      </w:rPr>
    </w:lvl>
    <w:lvl w:ilvl="1" w:tplc="C44AD742">
      <w:start w:val="1"/>
      <w:numFmt w:val="lowerLetter"/>
      <w:pStyle w:val="Subparagraph"/>
      <w:lvlText w:val="(%2)"/>
      <w:lvlJc w:val="left"/>
      <w:pPr>
        <w:ind w:left="1080" w:hanging="360"/>
      </w:pPr>
    </w:lvl>
    <w:lvl w:ilvl="2" w:tplc="6A0CD930">
      <w:start w:val="1"/>
      <w:numFmt w:val="lowerRoman"/>
      <w:pStyle w:val="Subsubparagraph"/>
      <w:lvlText w:val="(%3)"/>
      <w:lvlJc w:val="right"/>
      <w:pPr>
        <w:ind w:left="1800" w:hanging="180"/>
      </w:pPr>
    </w:lvl>
    <w:lvl w:ilvl="3" w:tplc="1809000F">
      <w:start w:val="1"/>
      <w:numFmt w:val="decimal"/>
      <w:lvlText w:val="%4."/>
      <w:lvlJc w:val="left"/>
      <w:pPr>
        <w:ind w:left="2520" w:hanging="360"/>
      </w:pPr>
    </w:lvl>
    <w:lvl w:ilvl="4" w:tplc="FDD0A584">
      <w:start w:val="1"/>
      <w:numFmt w:val="bullet"/>
      <w:lvlText w:val="-"/>
      <w:lvlJc w:val="left"/>
      <w:pPr>
        <w:ind w:left="3240" w:hanging="360"/>
      </w:pPr>
      <w:rPr>
        <w:rFonts w:ascii="Times New Roman" w:eastAsia="Times New Roman" w:hAnsi="Times New Roman" w:cs="Times New Roman" w:hint="default"/>
      </w:r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oendi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oendi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oendi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oenditpp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oenditpp"/>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Pealkiri1"/>
      <w:lvlText w:val="%1."/>
      <w:lvlJc w:val="left"/>
      <w:pPr>
        <w:tabs>
          <w:tab w:val="num" w:pos="850"/>
        </w:tabs>
        <w:ind w:left="850" w:hanging="850"/>
      </w:pPr>
    </w:lvl>
    <w:lvl w:ilvl="1">
      <w:start w:val="1"/>
      <w:numFmt w:val="decimal"/>
      <w:pStyle w:val="Pealkiri2"/>
      <w:lvlText w:val="%1.%2."/>
      <w:lvlJc w:val="left"/>
      <w:pPr>
        <w:tabs>
          <w:tab w:val="num" w:pos="850"/>
        </w:tabs>
        <w:ind w:left="850" w:hanging="850"/>
      </w:pPr>
    </w:lvl>
    <w:lvl w:ilvl="2">
      <w:start w:val="1"/>
      <w:numFmt w:val="decimal"/>
      <w:pStyle w:val="Pealkiri3"/>
      <w:lvlText w:val="%1.%2.%3."/>
      <w:lvlJc w:val="left"/>
      <w:pPr>
        <w:tabs>
          <w:tab w:val="num" w:pos="850"/>
        </w:tabs>
        <w:ind w:left="850" w:hanging="850"/>
      </w:pPr>
    </w:lvl>
    <w:lvl w:ilvl="3">
      <w:start w:val="1"/>
      <w:numFmt w:val="decimal"/>
      <w:pStyle w:val="Pealkiri4"/>
      <w:lvlText w:val="%1.%2.%3.%4."/>
      <w:lvlJc w:val="left"/>
      <w:pPr>
        <w:tabs>
          <w:tab w:val="num" w:pos="850"/>
        </w:tabs>
        <w:ind w:left="850" w:hanging="850"/>
      </w:pPr>
    </w:lvl>
    <w:lvl w:ilvl="4">
      <w:start w:val="1"/>
      <w:numFmt w:val="decimal"/>
      <w:pStyle w:val="Pealkiri5"/>
      <w:lvlText w:val="%1.%2.%3.%4.%5."/>
      <w:lvlJc w:val="left"/>
      <w:pPr>
        <w:tabs>
          <w:tab w:val="num" w:pos="1417"/>
        </w:tabs>
        <w:ind w:left="1417" w:hanging="1417"/>
      </w:pPr>
    </w:lvl>
    <w:lvl w:ilvl="5">
      <w:start w:val="1"/>
      <w:numFmt w:val="decimal"/>
      <w:pStyle w:val="Pealkiri6"/>
      <w:lvlText w:val="%1.%2.%3.%4.%5.%6."/>
      <w:lvlJc w:val="left"/>
      <w:pPr>
        <w:tabs>
          <w:tab w:val="num" w:pos="1417"/>
        </w:tabs>
        <w:ind w:left="1417" w:hanging="1417"/>
      </w:pPr>
    </w:lvl>
    <w:lvl w:ilvl="6">
      <w:start w:val="1"/>
      <w:numFmt w:val="decimal"/>
      <w:pStyle w:val="Pealkiri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oenditpp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oenditpp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87443897">
    <w:abstractNumId w:val="26"/>
  </w:num>
  <w:num w:numId="2" w16cid:durableId="1888029540">
    <w:abstractNumId w:val="21"/>
  </w:num>
  <w:num w:numId="3" w16cid:durableId="2009209933">
    <w:abstractNumId w:val="28"/>
  </w:num>
  <w:num w:numId="4" w16cid:durableId="720058690">
    <w:abstractNumId w:val="0"/>
  </w:num>
  <w:num w:numId="5" w16cid:durableId="1425374046">
    <w:abstractNumId w:val="9"/>
  </w:num>
  <w:num w:numId="6" w16cid:durableId="1742949652">
    <w:abstractNumId w:val="18"/>
  </w:num>
  <w:num w:numId="7" w16cid:durableId="1480532164">
    <w:abstractNumId w:val="17"/>
  </w:num>
  <w:num w:numId="8" w16cid:durableId="1364552779">
    <w:abstractNumId w:val="25"/>
  </w:num>
  <w:num w:numId="9" w16cid:durableId="3362341">
    <w:abstractNumId w:val="29"/>
  </w:num>
  <w:num w:numId="10" w16cid:durableId="1313752434">
    <w:abstractNumId w:val="30"/>
  </w:num>
  <w:num w:numId="11" w16cid:durableId="1410229446">
    <w:abstractNumId w:val="12"/>
  </w:num>
  <w:num w:numId="12" w16cid:durableId="77143364">
    <w:abstractNumId w:val="10"/>
  </w:num>
  <w:num w:numId="13" w16cid:durableId="1749157093">
    <w:abstractNumId w:val="19"/>
  </w:num>
  <w:num w:numId="14" w16cid:durableId="1924609766">
    <w:abstractNumId w:val="1"/>
  </w:num>
  <w:num w:numId="15" w16cid:durableId="392892710">
    <w:abstractNumId w:val="11"/>
  </w:num>
  <w:num w:numId="16" w16cid:durableId="1123035856">
    <w:abstractNumId w:val="2"/>
  </w:num>
  <w:num w:numId="17" w16cid:durableId="1456942985">
    <w:abstractNumId w:val="8"/>
  </w:num>
  <w:num w:numId="18" w16cid:durableId="2107578108">
    <w:abstractNumId w:val="3"/>
  </w:num>
  <w:num w:numId="19" w16cid:durableId="36320500">
    <w:abstractNumId w:val="24"/>
  </w:num>
  <w:num w:numId="20" w16cid:durableId="1652557871">
    <w:abstractNumId w:val="13"/>
  </w:num>
  <w:num w:numId="21" w16cid:durableId="1371958903">
    <w:abstractNumId w:val="27"/>
  </w:num>
  <w:num w:numId="22" w16cid:durableId="1975527178">
    <w:abstractNumId w:val="7"/>
  </w:num>
  <w:num w:numId="23" w16cid:durableId="454568725">
    <w:abstractNumId w:val="14"/>
  </w:num>
  <w:num w:numId="24" w16cid:durableId="197357706">
    <w:abstractNumId w:val="15"/>
  </w:num>
  <w:num w:numId="25" w16cid:durableId="467746081">
    <w:abstractNumId w:val="5"/>
  </w:num>
  <w:num w:numId="26" w16cid:durableId="1841771794">
    <w:abstractNumId w:val="4"/>
  </w:num>
  <w:num w:numId="27" w16cid:durableId="1396273870">
    <w:abstractNumId w:val="16"/>
  </w:num>
  <w:num w:numId="28" w16cid:durableId="1838960957">
    <w:abstractNumId w:val="22"/>
  </w:num>
  <w:num w:numId="29" w16cid:durableId="954749418">
    <w:abstractNumId w:val="23"/>
  </w:num>
  <w:num w:numId="30" w16cid:durableId="141581683">
    <w:abstractNumId w:val="6"/>
  </w:num>
  <w:num w:numId="31" w16cid:durableId="1816725231">
    <w:abstractNumId w:val="20"/>
  </w:num>
  <w:num w:numId="32" w16cid:durableId="1667317951">
    <w:abstractNumId w:val="31"/>
  </w:num>
  <w:num w:numId="33" w16cid:durableId="577133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18535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CoverPageOnWordDoc" w:val="false"/>
    <w:docVar w:name="CR_RefLast" w:val="0"/>
    <w:docVar w:name="DocuWriteMetaData" w:val="&lt;metadataset docuwriteversion=&quot;4.12.1&quot; technicalblockguid=&quot;556869298607310243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CustomFootnote&quot;&gt;_x000d__x000a_    &lt;text&gt;&lt;/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 /&gt;_x000d__x000a_  &lt;metadata key=&quot;md_ContributingServic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5-07-17&lt;/text&gt;_x000d__x000a_  &lt;/metadata&gt;_x000d__x000a_  &lt;metadata key=&quot;md_Prefix&quot;&gt;_x000d__x000a_    &lt;text&gt;&lt;/text&gt;_x000d__x000a_  &lt;/metadata&gt;_x000d__x000a_  &lt;metadata key=&quot;md_DocumentNumber&quot;&gt;_x000d__x000a_    &lt;text&gt;11771&lt;/text&gt;_x000d__x000a_  &lt;/metadata&gt;_x000d__x000a_  &lt;metadata key=&quot;md_YearDocumentNumber&quot;&gt;_x000d__x000a_    &lt;text&gt;202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ULT 87&lt;/text&gt;_x000d__x000a_      &lt;text&gt;AUDIO 67&lt;/text&gt;_x000d__x000a_      &lt;text&gt;FREMP 211&lt;/text&gt;_x000d__x000a_      &lt;text&gt;CODEC 1050&lt;/text&gt;_x000d__x000a_      &lt;text&gt;CADREFIN 113&lt;/text&gt;_x000d__x000a_      &lt;text&gt;FIN 901&lt;/text&gt;_x000d__x000a_      &lt;text&gt;IA 93&lt;/text&gt;_x000d__x000a_      &lt;text&gt;JEUN 202&lt;/text&gt;_x000d__x000a_      &lt;text&gt;EDUC 331&lt;/text&gt;_x000d__x000a_      &lt;text&gt;CULT HERIT 9&lt;/text&gt;_x000d__x000a_      &lt;text&gt;SOC 535&lt;/text&gt;_x000d__x000a_      &lt;text&gt;GENDER 165&lt;/text&gt;_x000d__x000a_      &lt;text&gt;DIGIT 149&lt;/text&gt;_x000d__x000a_      &lt;text&gt;DATAPROTECT 162&lt;/text&gt;_x000d__x000a_      &lt;text&gt;ANTIDISCRIM 75&lt;/text&gt;_x000d__x000a_      &lt;text&gt;SAN 473&lt;/text&gt;_x000d__x000a_      &lt;text&gt;IND 286&lt;/text&gt;_x000d__x000a_      &lt;text&gt;COMPET 761&lt;/text&gt;_x000d__x000a_      &lt;text&gt;PROCIV 103&lt;/text&gt;_x000d__x000a_      &lt;text&gt;HYBRID 97&lt;/text&gt;_x000d__x000a_      &lt;text&gt;DISINFO 67&lt;/text&gt;_x000d__x000a_      &lt;text&gt;JAI 1102&lt;/text&gt;_x000d__x000a_      &lt;text&gt;SERVICES 33&lt;/text&gt;_x000d__x000a_      &lt;text&gt;POLGEN 96&lt;/text&gt;_x000d__x000a_      &lt;text&gt;MI 559&lt;/text&gt;_x000d__x000a_      &lt;text&gt;RELEX 1031&lt;/text&gt;_x000d__x000a_      &lt;text&gt;INF 118&lt;/text&gt;_x000d__x000a_      &lt;text&gt;COPEN 225&lt;/text&gt;_x000d__x000a_      &lt;text&gt;JUSTCIV 136&lt;/text&gt;_x000d__x000a_      &lt;text&gt;DROIPEN 89&lt;/text&gt;_x000d__x000a_    &lt;/textlist&gt;_x000d__x000a_  &lt;/metadata&gt;_x000d__x000a_  &lt;metadata key=&quot;md_ThirdPartyDistributionMarkers&quot;&gt;_x000d__x000a_    &lt;textlist /&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gt;_x000d__x000a_    &lt;text&gt;&lt;/text&gt;_x000d__x000a_  &lt;/metadata&gt;_x000d__x000a_  &lt;metadata key=&quot;md_CouncilConfiguration&quot; /&gt;_x000d__x000a_  &lt;metadata key=&quot;md_CouncilIssue&quot; /&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5/0550 (COD)&lt;/text&gt;_x000d__x000a_    &lt;/textlist&gt;_x000d__x000a_  &lt;/metadata&gt;_x000d__x000a_  &lt;metadata key=&quot;md_AdditionalReferences&quot;&gt;_x000d__x000a_    &lt;textlist&gt;_x000d__x000a_      &lt;text&gt;&lt;/text&gt;_x000d__x000a_    &lt;/textlist&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5-07-1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5) 55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DateFormatOr&quot;&gt;_x000d__x000a_    &lt;text&gt;&lt;/text&gt;_x000d__x000a_  &lt;/metadata&gt;_x000d__x000a_  &lt;metadata key=&quot;md_MeetingInformation&quot; /&gt;_x000d__x000a_  &lt;metadata key=&quot;md_Item&quot; /&gt;_x000d__x000a_  &lt;metadata key=&quot;md_SubjectPrefix&quot; /&gt;_x000d__x000a_  &lt;metadata key=&quot;md_Subject&quot;&gt;_x000d__x000a_    &lt;xaml text=&quot;Proposal for a REGULATION OF THE EUROPEAN PARLIAMENT AND OF THE COUNCIL establishing the 'AgoraEU' programme for the period 2028-2034, and repealing Regulations (EU) 2021/692 and (EU) 2021/818&quot;&gt;&amp;lt;FlowDocument xmlns=&quot;http://schemas.microsoft.com/winfx/2006/xaml/presentation&quot;&amp;gt;&amp;lt;Paragraph&amp;gt;Proposal for a REGULATION OF THE EUROPEAN PARLIAMENT AND OF THE COUNCIL establishing the 'AgoraEU' programme for the period 2028-2034, and repealing Regulations (EU) 2021/692 and (EU) 2021/818&amp;lt;/Paragraph&amp;gt;&amp;lt;/FlowDocument&amp;gt;&lt;/xaml&gt;_x000d__x000a_  &lt;/metadata&gt;_x000d__x000a_  &lt;metadata key=&quot;md_SubjectFootnote&quot;&gt;_x000d__x000a_    &lt;text&gt;&lt;/text&gt;_x000d__x000a_  &lt;/metadata&gt;_x000d__x000a_  &lt;metadata key=&quot;md_DG&quot;&gt;_x000d__x000a_    &lt;text&gt;TREE.1.B&lt;/text&gt;_x000d__x000a_  &lt;/metadata&gt;_x000d__x000a_  &lt;metadata key=&quot;md_Initials&quot;&gt;_x000d__x000a_    &lt;text&gt;&lt;/text&gt;_x000d__x000a_  &lt;/metadata&gt;_x000d__x000a_  &lt;metadata key=&quot;md_SensitivityLabel&quot;&gt;_x000d__x000a_    &lt;basicdatatype&gt;_x000d__x000a_      &lt;sensitivity_label key=&quot;senslabel_01&quot; text=&quot;PUBLIC&quot; labelid=&quot;af60b174-6478-47f9-866e-33f097bb6603&quot; siteid=&quot;03ad1c97-0a4d-4e82-8f93-27291a6a0767&quot; isdefault=&quot;false&quot; /&gt;_x000d__x000a_    &lt;/basicdatatype&gt;_x000d__x000a_  &lt;/metadata&gt;_x000d__x000a_  &lt;metadata key=&quot;md_RectifProcedureType&quot; /&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gt;_x000d__x000a_  &lt;metadata key=&quot;md_Rectif_Source1_DocumentType&quot; /&gt;_x000d__x000a_  &lt;metadata key=&quot;md_Rectif_Source1_DocumentNumber&quot; /&gt;_x000d__x000a_  &lt;metadata key=&quot;md_Rectif_Source1_YearDocumentNumber&quot; /&gt;_x000d__x000a_  &lt;metadata key=&quot;md_Rectif_Source1_Suffixes&quot; /&gt;_x000d__x000a_  &lt;metadata key=&quot;md_Rectif_Source2_UniqueHeading&quot; /&gt;_x000d__x000a_  &lt;metadata key=&quot;md_Rectif_Source2_DocumentType&quot; /&gt;_x000d__x000a_  &lt;metadata key=&quot;md_Rectif_Source2_DocumentNumber&quot; /&gt;_x000d__x000a_  &lt;metadata key=&quot;md_Rectif_Source2_YearDocumentNumber&quot; /&gt;_x000d__x000a_  &lt;metadata key=&quot;md_Rectif_Source2_Suffixes&quot; /&gt;_x000d__x000a_  &lt;metadata key=&quot;md_CoverPageDocWithCouncilFooter&quot;&gt;_x000d__x000a_    &lt;text&gt;false&lt;/text&gt;_x000d__x000a_  &lt;/metadata&gt;_x000d__x000a_  &lt;metadata key=&quot;md_SourceDocLanguage&quot; /&gt;_x000d__x000a_  &lt;metadata key=&quot;md_SourceDocType&quot; /&gt;_x000d__x000a_  &lt;metadata key=&quot;md_SourceDocTitle&quot; /&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xmlns=&quot;http://schemas.microsoft.com/winfx/2006/xaml/presentation&quot;&amp;gt;&amp;lt;Paragraph&amp;gt;&amp;lt;/Paragraph&amp;gt;&amp;lt;/FlowDocument&amp;gt;&lt;/xaml&gt;_x000d__x000a_  &lt;/metadata&gt;_x000d__x000a_  &lt;metadata key=&quot;md_WorkflowLinkStatus&quot; /&gt;_x000d__x000a_  &lt;metadata key=&quot;md_eAgendaLinkStatus&quot; /&gt;_x000d__x000a_  &lt;metadata key=&quot;md_Caveat&quot; /&gt;_x000d__x000a_  &lt;metadata key=&quot;md_TechnicalKey&quot; /&gt;_x000d__x000a_&lt;/metadataset&gt;"/>
    <w:docVar w:name="DQCDateTime" w:val="2025-07-14 10:41: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13DCFF4E-B805-4C89-BC56-3FA390CCA115"/>
    <w:docVar w:name="LW_COVERPAGE_TYPE" w:val="1"/>
    <w:docVar w:name="LW_CreatedUtc" w:val="2025-06-26T13:00:51.1892515Z"/>
    <w:docVar w:name="LW_CROSSREFERENCE" w:val="{SEC(2025) 547 final} - {SWD(2025) 550 final} - {SWD(2025) 551 final}"/>
    <w:docVar w:name="LW_DocType" w:val="COM"/>
    <w:docVar w:name="LW_EMISSION" w:val="16.7.2025"/>
    <w:docVar w:name="LW_EMISSION_ISODATE" w:val="2025-07-1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550"/>
    <w:docVar w:name="LW_REF.II.NEW.CP_YEAR" w:val="2025"/>
    <w:docVar w:name="LW_REF.INST.NEW" w:val="COM"/>
    <w:docVar w:name="LW_REF.INST.NEW_ADOPTED" w:val="final"/>
    <w:docVar w:name="LW_REF.INST.NEW_TEXT" w:val="(2025)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AgoraEU' programme for the period 2028-2034, and repealing Regulations (EU) 2021/692 and (EU) 2021/818"/>
    <w:docVar w:name="LW_TYPE.DOC.CP" w:val="REGULATION OF THE EUROPEAN PARLIAMENT AND OF THE COUNCIL"/>
    <w:docVar w:name="LwApiVersions" w:val="LW4CoDe 1.24.5.0; LW 9.0, Build 20240221"/>
  </w:docVars>
  <w:rsids>
    <w:rsidRoot w:val="00A86151"/>
    <w:rsid w:val="00052D7C"/>
    <w:rsid w:val="00144FF1"/>
    <w:rsid w:val="001C16E9"/>
    <w:rsid w:val="003558E4"/>
    <w:rsid w:val="003B3627"/>
    <w:rsid w:val="003C184A"/>
    <w:rsid w:val="00443A64"/>
    <w:rsid w:val="0054146C"/>
    <w:rsid w:val="00546796"/>
    <w:rsid w:val="005B7178"/>
    <w:rsid w:val="007F499B"/>
    <w:rsid w:val="00854E58"/>
    <w:rsid w:val="00894139"/>
    <w:rsid w:val="008E6553"/>
    <w:rsid w:val="00A43C50"/>
    <w:rsid w:val="00A86151"/>
    <w:rsid w:val="00AD5BB2"/>
    <w:rsid w:val="00D3039B"/>
    <w:rsid w:val="00D93D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13DD15"/>
  <w15:chartTrackingRefBased/>
  <w15:docId w15:val="{06B075C0-6990-4042-BE74-F3D5390D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before="120" w:after="120" w:line="240" w:lineRule="auto"/>
      <w:jc w:val="both"/>
    </w:pPr>
    <w:rPr>
      <w:rFonts w:ascii="Times New Roman" w:hAnsi="Times New Roman" w:cs="Times New Roman"/>
      <w:sz w:val="24"/>
      <w:lang w:val="en-GB"/>
    </w:rPr>
  </w:style>
  <w:style w:type="paragraph" w:styleId="Pealkiri1">
    <w:name w:val="heading 1"/>
    <w:basedOn w:val="Normaallaad"/>
    <w:next w:val="Text1"/>
    <w:link w:val="Pealkiri1Mrk"/>
    <w:uiPriority w:val="9"/>
    <w:qFormat/>
    <w:pPr>
      <w:keepNext/>
      <w:numPr>
        <w:numId w:val="1"/>
      </w:numPr>
      <w:spacing w:before="360"/>
      <w:outlineLvl w:val="0"/>
    </w:pPr>
    <w:rPr>
      <w:rFonts w:eastAsiaTheme="majorEastAsia"/>
      <w:b/>
      <w:bCs/>
      <w:smallCaps/>
      <w:szCs w:val="28"/>
    </w:rPr>
  </w:style>
  <w:style w:type="paragraph" w:styleId="Pealkiri2">
    <w:name w:val="heading 2"/>
    <w:basedOn w:val="Normaallaad"/>
    <w:next w:val="Text1"/>
    <w:link w:val="Pealkiri2Mrk"/>
    <w:uiPriority w:val="9"/>
    <w:semiHidden/>
    <w:unhideWhenUsed/>
    <w:qFormat/>
    <w:pPr>
      <w:keepNext/>
      <w:numPr>
        <w:ilvl w:val="1"/>
        <w:numId w:val="1"/>
      </w:numPr>
      <w:outlineLvl w:val="1"/>
    </w:pPr>
    <w:rPr>
      <w:rFonts w:eastAsiaTheme="majorEastAsia"/>
      <w:b/>
      <w:bCs/>
      <w:szCs w:val="26"/>
    </w:rPr>
  </w:style>
  <w:style w:type="paragraph" w:styleId="Pealkiri3">
    <w:name w:val="heading 3"/>
    <w:basedOn w:val="Normaallaad"/>
    <w:next w:val="Text1"/>
    <w:link w:val="Pealkiri3Mrk"/>
    <w:uiPriority w:val="9"/>
    <w:semiHidden/>
    <w:unhideWhenUsed/>
    <w:qFormat/>
    <w:pPr>
      <w:keepNext/>
      <w:numPr>
        <w:ilvl w:val="2"/>
        <w:numId w:val="1"/>
      </w:numPr>
      <w:outlineLvl w:val="2"/>
    </w:pPr>
    <w:rPr>
      <w:rFonts w:eastAsiaTheme="majorEastAsia"/>
      <w:bCs/>
      <w:i/>
    </w:rPr>
  </w:style>
  <w:style w:type="paragraph" w:styleId="Pealkiri4">
    <w:name w:val="heading 4"/>
    <w:basedOn w:val="Normaallaad"/>
    <w:next w:val="Text1"/>
    <w:link w:val="Pealkiri4Mrk"/>
    <w:uiPriority w:val="9"/>
    <w:semiHidden/>
    <w:unhideWhenUsed/>
    <w:qFormat/>
    <w:pPr>
      <w:keepNext/>
      <w:numPr>
        <w:ilvl w:val="3"/>
        <w:numId w:val="1"/>
      </w:numPr>
      <w:outlineLvl w:val="3"/>
    </w:pPr>
    <w:rPr>
      <w:rFonts w:eastAsiaTheme="majorEastAsia"/>
      <w:bCs/>
      <w:iCs/>
    </w:rPr>
  </w:style>
  <w:style w:type="paragraph" w:styleId="Pealkiri5">
    <w:name w:val="heading 5"/>
    <w:basedOn w:val="Normaallaad"/>
    <w:next w:val="Text2"/>
    <w:link w:val="Pealkiri5Mrk"/>
    <w:uiPriority w:val="9"/>
    <w:semiHidden/>
    <w:unhideWhenUsed/>
    <w:qFormat/>
    <w:pPr>
      <w:keepNext/>
      <w:numPr>
        <w:ilvl w:val="4"/>
        <w:numId w:val="1"/>
      </w:numPr>
      <w:outlineLvl w:val="4"/>
    </w:pPr>
    <w:rPr>
      <w:rFonts w:eastAsiaTheme="majorEastAsia"/>
    </w:rPr>
  </w:style>
  <w:style w:type="paragraph" w:styleId="Pealkiri6">
    <w:name w:val="heading 6"/>
    <w:basedOn w:val="Normaallaad"/>
    <w:next w:val="Text2"/>
    <w:link w:val="Pealkiri6Mrk"/>
    <w:uiPriority w:val="9"/>
    <w:semiHidden/>
    <w:unhideWhenUsed/>
    <w:qFormat/>
    <w:pPr>
      <w:keepNext/>
      <w:numPr>
        <w:ilvl w:val="5"/>
        <w:numId w:val="1"/>
      </w:numPr>
      <w:outlineLvl w:val="5"/>
    </w:pPr>
    <w:rPr>
      <w:rFonts w:eastAsiaTheme="majorEastAsia"/>
      <w:iCs/>
    </w:rPr>
  </w:style>
  <w:style w:type="paragraph" w:styleId="Pealkiri7">
    <w:name w:val="heading 7"/>
    <w:basedOn w:val="Normaallaad"/>
    <w:next w:val="Text2"/>
    <w:link w:val="Pealkiri7Mrk"/>
    <w:uiPriority w:val="9"/>
    <w:semiHidden/>
    <w:unhideWhenUsed/>
    <w:qFormat/>
    <w:pPr>
      <w:keepNext/>
      <w:numPr>
        <w:ilvl w:val="6"/>
        <w:numId w:val="1"/>
      </w:numPr>
      <w:outlineLvl w:val="6"/>
    </w:pPr>
    <w:rPr>
      <w:rFonts w:eastAsiaTheme="majorEastAsia"/>
      <w:iCs/>
    </w:rPr>
  </w:style>
  <w:style w:type="paragraph" w:styleId="Pealkiri8">
    <w:name w:val="heading 8"/>
    <w:basedOn w:val="Normaallaad"/>
    <w:next w:val="Normaallaad"/>
    <w:link w:val="Pealkiri8Mrk"/>
    <w:uiPriority w:val="9"/>
    <w:semiHidden/>
    <w:unhideWhenUsed/>
    <w:qFormat/>
    <w:rsid w:val="00A86151"/>
    <w:pPr>
      <w:keepNext/>
      <w:keepLines/>
      <w:spacing w:line="259" w:lineRule="auto"/>
      <w:outlineLvl w:val="7"/>
    </w:pPr>
    <w:rPr>
      <w:rFonts w:asciiTheme="minorHAnsi" w:eastAsiaTheme="majorEastAsia" w:hAnsiTheme="minorHAnsi" w:cstheme="majorBidi"/>
      <w:i/>
      <w:iCs/>
      <w:color w:val="272727" w:themeColor="text1" w:themeTint="D8"/>
      <w:kern w:val="2"/>
      <w:sz w:val="22"/>
      <w:lang/>
    </w:rPr>
  </w:style>
  <w:style w:type="paragraph" w:styleId="Pealkiri9">
    <w:name w:val="heading 9"/>
    <w:basedOn w:val="Normaallaad"/>
    <w:next w:val="Normaallaad"/>
    <w:link w:val="Pealkiri9Mrk"/>
    <w:uiPriority w:val="9"/>
    <w:semiHidden/>
    <w:unhideWhenUsed/>
    <w:qFormat/>
    <w:rsid w:val="00A86151"/>
    <w:pPr>
      <w:keepNext/>
      <w:keepLines/>
      <w:spacing w:line="259" w:lineRule="auto"/>
      <w:outlineLvl w:val="8"/>
    </w:pPr>
    <w:rPr>
      <w:rFonts w:asciiTheme="minorHAnsi" w:eastAsiaTheme="majorEastAsia" w:hAnsiTheme="minorHAnsi" w:cstheme="majorBidi"/>
      <w:color w:val="272727" w:themeColor="text1" w:themeTint="D8"/>
      <w:kern w:val="2"/>
      <w:sz w:val="22"/>
      <w:lang/>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8Mrk">
    <w:name w:val="Pealkiri 8 Märk"/>
    <w:basedOn w:val="Liguvaikefont"/>
    <w:link w:val="Pealkiri8"/>
    <w:uiPriority w:val="9"/>
    <w:semiHidden/>
    <w:rsid w:val="00A8615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8615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86151"/>
    <w:pPr>
      <w:spacing w:after="80"/>
      <w:contextualSpacing/>
    </w:pPr>
    <w:rPr>
      <w:rFonts w:asciiTheme="majorHAnsi" w:eastAsiaTheme="majorEastAsia" w:hAnsiTheme="majorHAnsi" w:cstheme="majorBidi"/>
      <w:spacing w:val="-10"/>
      <w:kern w:val="28"/>
      <w:sz w:val="56"/>
      <w:szCs w:val="56"/>
      <w:lang/>
    </w:rPr>
  </w:style>
  <w:style w:type="character" w:customStyle="1" w:styleId="PealkiriMrk">
    <w:name w:val="Pealkiri Märk"/>
    <w:basedOn w:val="Liguvaikefont"/>
    <w:link w:val="Pealkiri"/>
    <w:uiPriority w:val="10"/>
    <w:rsid w:val="00A8615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861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rPr>
  </w:style>
  <w:style w:type="character" w:customStyle="1" w:styleId="AlapealkiriMrk">
    <w:name w:val="Alapealkiri Märk"/>
    <w:basedOn w:val="Liguvaikefont"/>
    <w:link w:val="Alapealkiri"/>
    <w:uiPriority w:val="11"/>
    <w:rsid w:val="00A8615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86151"/>
    <w:pPr>
      <w:spacing w:before="160" w:after="160" w:line="259" w:lineRule="auto"/>
      <w:jc w:val="center"/>
    </w:pPr>
    <w:rPr>
      <w:rFonts w:asciiTheme="minorHAnsi" w:hAnsiTheme="minorHAnsi" w:cstheme="minorBidi"/>
      <w:i/>
      <w:iCs/>
      <w:color w:val="404040" w:themeColor="text1" w:themeTint="BF"/>
      <w:kern w:val="2"/>
      <w:sz w:val="22"/>
      <w:lang/>
    </w:rPr>
  </w:style>
  <w:style w:type="character" w:customStyle="1" w:styleId="TsitaatMrk">
    <w:name w:val="Tsitaat Märk"/>
    <w:basedOn w:val="Liguvaikefont"/>
    <w:link w:val="Tsitaat"/>
    <w:uiPriority w:val="29"/>
    <w:rsid w:val="00A86151"/>
    <w:rPr>
      <w:i/>
      <w:iCs/>
      <w:color w:val="404040" w:themeColor="text1" w:themeTint="BF"/>
    </w:rPr>
  </w:style>
  <w:style w:type="character" w:styleId="Selgeltmrgatavrhutus">
    <w:name w:val="Intense Emphasis"/>
    <w:basedOn w:val="Liguvaikefont"/>
    <w:uiPriority w:val="21"/>
    <w:qFormat/>
    <w:rsid w:val="00A86151"/>
    <w:rPr>
      <w:i/>
      <w:iCs/>
      <w:color w:val="365F91" w:themeColor="accent1" w:themeShade="BF"/>
    </w:rPr>
  </w:style>
  <w:style w:type="paragraph" w:styleId="Selgeltmrgatavtsitaat">
    <w:name w:val="Intense Quote"/>
    <w:basedOn w:val="Normaallaad"/>
    <w:next w:val="Normaallaad"/>
    <w:link w:val="SelgeltmrgatavtsitaatMrk"/>
    <w:uiPriority w:val="30"/>
    <w:qFormat/>
    <w:rsid w:val="00A8615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lang/>
    </w:rPr>
  </w:style>
  <w:style w:type="character" w:customStyle="1" w:styleId="SelgeltmrgatavtsitaatMrk">
    <w:name w:val="Selgelt märgatav tsitaat Märk"/>
    <w:basedOn w:val="Liguvaikefont"/>
    <w:link w:val="Selgeltmrgatavtsitaat"/>
    <w:uiPriority w:val="30"/>
    <w:rsid w:val="00A86151"/>
    <w:rPr>
      <w:i/>
      <w:iCs/>
      <w:color w:val="365F91" w:themeColor="accent1" w:themeShade="BF"/>
    </w:rPr>
  </w:style>
  <w:style w:type="character" w:styleId="Selgeltmrgatavviide">
    <w:name w:val="Intense Reference"/>
    <w:basedOn w:val="Liguvaikefont"/>
    <w:uiPriority w:val="32"/>
    <w:qFormat/>
    <w:rsid w:val="00A86151"/>
    <w:rPr>
      <w:b/>
      <w:bCs/>
      <w:smallCaps/>
      <w:color w:val="365F91" w:themeColor="accent1" w:themeShade="BF"/>
      <w:spacing w:val="5"/>
    </w:rPr>
  </w:style>
  <w:style w:type="paragraph" w:customStyle="1" w:styleId="TechnicalBlockBase">
    <w:name w:val="TechnicalBlockBase"/>
    <w:link w:val="TechnicalBlockBaseChar"/>
    <w:rsid w:val="00894139"/>
    <w:pPr>
      <w:widowControl w:val="0"/>
      <w:spacing w:before="140" w:after="140" w:line="185" w:lineRule="auto"/>
      <w:ind w:left="260" w:right="260"/>
    </w:pPr>
    <w:rPr>
      <w:rFonts w:ascii="Arial New Roman" w:eastAsia="Times New Roman" w:hAnsi="Arial New Roman" w:cs="Arial"/>
      <w:b/>
      <w:i/>
      <w:dstrike/>
      <w:color w:val="606060"/>
      <w:w w:val="98"/>
      <w:sz w:val="10"/>
      <w:szCs w:val="20"/>
      <w:u w:val="words" w:color="606060"/>
      <w:lang w:val="en-GB" w:eastAsia="fr-BE"/>
    </w:rPr>
  </w:style>
  <w:style w:type="character" w:customStyle="1" w:styleId="TechnicalBlockBaseChar">
    <w:name w:val="TechnicalBlockBase Char"/>
    <w:basedOn w:val="EntInstitChar"/>
    <w:link w:val="TechnicalBlockBase"/>
    <w:rsid w:val="00894139"/>
    <w:rPr>
      <w:rFonts w:ascii="Arial New Roman" w:eastAsia="Times New Roman" w:hAnsi="Arial New Roman" w:cs="Arial"/>
      <w:b/>
      <w:i/>
      <w:dstrike/>
      <w:color w:val="606060"/>
      <w:w w:val="98"/>
      <w:kern w:val="0"/>
      <w:sz w:val="10"/>
      <w:szCs w:val="20"/>
      <w:u w:val="words" w:color="606060"/>
      <w:lang w:val="en-GB" w:eastAsia="fr-BE"/>
    </w:rPr>
  </w:style>
  <w:style w:type="paragraph" w:customStyle="1" w:styleId="TBEntRefer">
    <w:name w:val="TBEntRefer"/>
    <w:basedOn w:val="TechnicalBlockBase"/>
    <w:link w:val="EntReferChar"/>
    <w:rsid w:val="00894139"/>
    <w:pPr>
      <w:spacing w:before="0" w:after="0" w:line="240" w:lineRule="auto"/>
      <w:ind w:left="0" w:right="0"/>
    </w:pPr>
    <w:rPr>
      <w:rFonts w:ascii="Arial" w:hAnsi="Arial"/>
      <w:i w:val="0"/>
      <w:dstrike w:val="0"/>
      <w:color w:val="auto"/>
      <w:w w:val="100"/>
      <w:sz w:val="23"/>
      <w:u w:val="none"/>
    </w:rPr>
  </w:style>
  <w:style w:type="character" w:customStyle="1" w:styleId="EntReferChar">
    <w:name w:val="EntRefer Char"/>
    <w:basedOn w:val="Liguvaikefont"/>
    <w:link w:val="TBEntRefer"/>
    <w:rsid w:val="00A43C50"/>
    <w:rPr>
      <w:rFonts w:ascii="Arial" w:eastAsia="Times New Roman" w:hAnsi="Arial" w:cs="Arial"/>
      <w:b/>
      <w:kern w:val="0"/>
      <w:sz w:val="23"/>
      <w:szCs w:val="20"/>
      <w:u w:color="606060"/>
      <w:lang w:val="en-GB" w:eastAsia="fr-BE"/>
    </w:rPr>
  </w:style>
  <w:style w:type="paragraph" w:customStyle="1" w:styleId="TBDistrbMarkers">
    <w:name w:val="TBDistrbMarkers"/>
    <w:basedOn w:val="TBEntRefer"/>
    <w:qFormat/>
    <w:rsid w:val="00894139"/>
    <w:pPr>
      <w:tabs>
        <w:tab w:val="left" w:pos="2262"/>
      </w:tabs>
    </w:pPr>
    <w:rPr>
      <w:i/>
      <w:iCs/>
      <w:szCs w:val="23"/>
    </w:rPr>
  </w:style>
  <w:style w:type="paragraph" w:customStyle="1" w:styleId="TBEntACP">
    <w:name w:val="TBEntACP"/>
    <w:basedOn w:val="TechnicalBlockBase"/>
    <w:rsid w:val="00A43C50"/>
    <w:pPr>
      <w:widowControl/>
      <w:spacing w:before="0" w:after="0" w:line="360" w:lineRule="auto"/>
      <w:ind w:left="0" w:right="0"/>
      <w:jc w:val="center"/>
    </w:pPr>
    <w:rPr>
      <w:rFonts w:ascii="Arial" w:hAnsi="Arial"/>
      <w:bCs/>
      <w:i w:val="0"/>
      <w:dstrike w:val="0"/>
      <w:color w:val="auto"/>
      <w:spacing w:val="40"/>
      <w:w w:val="100"/>
      <w:sz w:val="28"/>
      <w:szCs w:val="28"/>
      <w:u w:val="none"/>
    </w:rPr>
  </w:style>
  <w:style w:type="paragraph" w:customStyle="1" w:styleId="TBEntInstitACP">
    <w:name w:val="TBEntInstitACP"/>
    <w:basedOn w:val="TechnicalBlockBase"/>
    <w:rsid w:val="00A43C50"/>
    <w:pPr>
      <w:widowControl/>
      <w:spacing w:before="0" w:after="0" w:line="240" w:lineRule="auto"/>
      <w:ind w:left="0" w:right="0"/>
      <w:jc w:val="center"/>
    </w:pPr>
    <w:rPr>
      <w:rFonts w:ascii="Arial" w:hAnsi="Arial"/>
      <w:bCs/>
      <w:i w:val="0"/>
      <w:dstrike w:val="0"/>
      <w:color w:val="auto"/>
      <w:w w:val="100"/>
      <w:sz w:val="23"/>
      <w:szCs w:val="23"/>
      <w:u w:val="none"/>
    </w:rPr>
  </w:style>
  <w:style w:type="paragraph" w:customStyle="1" w:styleId="TBSousEmbargo">
    <w:name w:val="TBSousEmbargo"/>
    <w:basedOn w:val="TechnicalBlockBase"/>
    <w:qFormat/>
    <w:rsid w:val="00894139"/>
    <w:pPr>
      <w:spacing w:before="360" w:after="360" w:line="240" w:lineRule="auto"/>
      <w:ind w:left="0" w:right="0"/>
      <w:jc w:val="center"/>
    </w:pPr>
    <w:rPr>
      <w:rFonts w:ascii="Arial" w:hAnsi="Arial"/>
      <w:i w:val="0"/>
      <w:dstrike w:val="0"/>
      <w:color w:val="auto"/>
      <w:w w:val="100"/>
      <w:sz w:val="23"/>
      <w:szCs w:val="23"/>
      <w:u w:val="double"/>
    </w:rPr>
  </w:style>
  <w:style w:type="paragraph" w:customStyle="1" w:styleId="TBEntInstit">
    <w:name w:val="TBEntInstit"/>
    <w:basedOn w:val="TechnicalBlockBase"/>
    <w:link w:val="EntInstitChar"/>
    <w:rsid w:val="00894139"/>
    <w:pPr>
      <w:spacing w:before="0" w:after="60" w:line="240" w:lineRule="auto"/>
      <w:ind w:left="0" w:right="0"/>
      <w:jc w:val="right"/>
    </w:pPr>
    <w:rPr>
      <w:rFonts w:ascii="Arial" w:hAnsi="Arial"/>
      <w:i w:val="0"/>
      <w:dstrike w:val="0"/>
      <w:color w:val="auto"/>
      <w:w w:val="100"/>
      <w:sz w:val="23"/>
      <w:u w:val="none"/>
    </w:rPr>
  </w:style>
  <w:style w:type="paragraph" w:customStyle="1" w:styleId="TBEntReferNew">
    <w:name w:val="TBEntReferNew"/>
    <w:basedOn w:val="TechnicalBlockBase"/>
    <w:rsid w:val="00894139"/>
    <w:pPr>
      <w:widowControl/>
      <w:spacing w:before="0" w:after="0" w:line="240" w:lineRule="auto"/>
      <w:ind w:left="0" w:right="0"/>
      <w:jc w:val="center"/>
    </w:pPr>
    <w:rPr>
      <w:rFonts w:ascii="Arial" w:hAnsi="Arial"/>
      <w:bCs/>
      <w:i w:val="0"/>
      <w:dstrike w:val="0"/>
      <w:color w:val="auto"/>
      <w:w w:val="100"/>
      <w:sz w:val="24"/>
      <w:szCs w:val="24"/>
      <w:u w:val="none"/>
      <w:lang w:eastAsia="en-US"/>
    </w:rPr>
  </w:style>
  <w:style w:type="paragraph" w:customStyle="1" w:styleId="TBInstitution">
    <w:name w:val="TBInstitution"/>
    <w:basedOn w:val="TechnicalBlockBase"/>
    <w:rsid w:val="00894139"/>
    <w:pPr>
      <w:spacing w:before="0" w:after="28" w:line="204" w:lineRule="auto"/>
      <w:ind w:left="0" w:right="0"/>
    </w:pPr>
    <w:rPr>
      <w:rFonts w:ascii="Arial" w:hAnsi="Arial"/>
      <w:i w:val="0"/>
      <w:dstrike w:val="0"/>
      <w:color w:val="626262"/>
      <w:spacing w:val="4"/>
      <w:w w:val="100"/>
      <w:sz w:val="24"/>
      <w:szCs w:val="23"/>
      <w:u w:val="none"/>
    </w:rPr>
  </w:style>
  <w:style w:type="paragraph" w:customStyle="1" w:styleId="TBNormalTechnicalBlock">
    <w:name w:val="TBNormalTechnicalBlock"/>
    <w:basedOn w:val="TechnicalBlockBase"/>
    <w:rsid w:val="00894139"/>
    <w:pPr>
      <w:spacing w:before="0" w:after="0" w:line="216" w:lineRule="auto"/>
      <w:ind w:left="0" w:right="0"/>
      <w:contextualSpacing/>
    </w:pPr>
    <w:rPr>
      <w:rFonts w:ascii="Arial" w:hAnsi="Arial"/>
      <w:i w:val="0"/>
      <w:dstrike w:val="0"/>
      <w:color w:val="auto"/>
      <w:w w:val="100"/>
      <w:sz w:val="23"/>
      <w:szCs w:val="23"/>
      <w:u w:val="none"/>
    </w:rPr>
  </w:style>
  <w:style w:type="paragraph" w:customStyle="1" w:styleId="TBInstitutionSubwordmark">
    <w:name w:val="TBInstitutionSubwordmark"/>
    <w:basedOn w:val="TechnicalBlockBase"/>
    <w:rsid w:val="00894139"/>
    <w:pPr>
      <w:spacing w:before="0" w:after="0" w:line="204" w:lineRule="auto"/>
      <w:ind w:left="0" w:right="0"/>
    </w:pPr>
    <w:rPr>
      <w:rFonts w:ascii="Arial" w:hAnsi="Arial"/>
      <w:b w:val="0"/>
      <w:i w:val="0"/>
      <w:dstrike w:val="0"/>
      <w:color w:val="626262"/>
      <w:spacing w:val="4"/>
      <w:w w:val="100"/>
      <w:sz w:val="24"/>
      <w:u w:val="none"/>
    </w:rPr>
  </w:style>
  <w:style w:type="character" w:customStyle="1" w:styleId="EntInstitChar">
    <w:name w:val="EntInstit Char"/>
    <w:basedOn w:val="Liguvaikefont"/>
    <w:link w:val="TBEntInstit"/>
    <w:rsid w:val="00894139"/>
    <w:rPr>
      <w:rFonts w:ascii="Arial" w:eastAsia="Times New Roman" w:hAnsi="Arial" w:cs="Arial"/>
      <w:b/>
      <w:kern w:val="0"/>
      <w:sz w:val="23"/>
      <w:szCs w:val="20"/>
      <w:u w:color="606060"/>
      <w:lang w:val="en-GB" w:eastAsia="fr-BE"/>
    </w:rPr>
  </w:style>
  <w:style w:type="paragraph" w:customStyle="1" w:styleId="TBSubjectTable">
    <w:name w:val="TBSubjectTable"/>
    <w:basedOn w:val="TechnicalBlockBase"/>
    <w:rsid w:val="002D3C08"/>
    <w:pPr>
      <w:widowControl/>
      <w:spacing w:before="40" w:after="40" w:line="240" w:lineRule="auto"/>
      <w:ind w:left="0" w:right="0"/>
    </w:pPr>
    <w:rPr>
      <w:rFonts w:ascii="Arial" w:hAnsi="Arial"/>
      <w:b w:val="0"/>
      <w:i w:val="0"/>
      <w:dstrike w:val="0"/>
      <w:color w:val="auto"/>
      <w:w w:val="100"/>
      <w:sz w:val="23"/>
      <w:u w:val="none"/>
    </w:rPr>
  </w:style>
  <w:style w:type="paragraph" w:customStyle="1" w:styleId="TBDocumentGroup">
    <w:name w:val="TBDocumentGroup"/>
    <w:basedOn w:val="TechnicalBlockBase"/>
    <w:rsid w:val="002D3C08"/>
    <w:pPr>
      <w:widowControl/>
      <w:spacing w:before="560" w:after="480" w:line="240" w:lineRule="auto"/>
      <w:ind w:left="0" w:right="0"/>
      <w:jc w:val="center"/>
    </w:pPr>
    <w:rPr>
      <w:rFonts w:ascii="Arial" w:hAnsi="Arial"/>
      <w:i w:val="0"/>
      <w:caps/>
      <w:dstrike w:val="0"/>
      <w:color w:val="auto"/>
      <w:w w:val="100"/>
      <w:sz w:val="23"/>
      <w:u w:val="single"/>
    </w:rPr>
  </w:style>
  <w:style w:type="paragraph" w:customStyle="1" w:styleId="TBHeadingTable">
    <w:name w:val="TBHeadingTable"/>
    <w:basedOn w:val="TechnicalBlockBase"/>
    <w:rsid w:val="002D3C08"/>
    <w:pPr>
      <w:widowControl/>
      <w:spacing w:before="240" w:after="40" w:line="240" w:lineRule="auto"/>
      <w:ind w:left="0" w:right="0"/>
    </w:pPr>
    <w:rPr>
      <w:rFonts w:ascii="Arial" w:hAnsi="Arial"/>
      <w:i w:val="0"/>
      <w:dstrike w:val="0"/>
      <w:color w:val="auto"/>
      <w:w w:val="100"/>
      <w:sz w:val="23"/>
      <w:u w:val="none"/>
    </w:rPr>
  </w:style>
  <w:style w:type="paragraph" w:customStyle="1" w:styleId="TBSubjectBold">
    <w:name w:val="TBSubjectBold"/>
    <w:basedOn w:val="TechnicalBlockBase"/>
    <w:rsid w:val="002D3C08"/>
    <w:pPr>
      <w:widowControl/>
      <w:spacing w:before="160" w:after="0" w:line="360" w:lineRule="auto"/>
      <w:ind w:left="0" w:right="0"/>
      <w:jc w:val="center"/>
    </w:pPr>
    <w:rPr>
      <w:rFonts w:ascii="Arial" w:hAnsi="Arial"/>
      <w:i w:val="0"/>
      <w:dstrike w:val="0"/>
      <w:color w:val="auto"/>
      <w:w w:val="100"/>
      <w:sz w:val="23"/>
      <w:u w:val="none"/>
    </w:rPr>
  </w:style>
  <w:style w:type="paragraph" w:customStyle="1" w:styleId="TBSubjectText">
    <w:name w:val="TBSubjectText"/>
    <w:basedOn w:val="TechnicalBlockBase"/>
    <w:qFormat/>
    <w:rsid w:val="002D3C08"/>
    <w:pPr>
      <w:widowControl/>
      <w:spacing w:before="40" w:after="40" w:line="240" w:lineRule="auto"/>
      <w:ind w:left="0" w:right="0"/>
    </w:pPr>
    <w:rPr>
      <w:rFonts w:ascii="Arial" w:hAnsi="Arial"/>
      <w:b w:val="0"/>
      <w:i w:val="0"/>
      <w:dstrike w:val="0"/>
      <w:color w:val="auto"/>
      <w:w w:val="100"/>
      <w:sz w:val="23"/>
      <w:u w:val="none"/>
    </w:rPr>
  </w:style>
  <w:style w:type="paragraph" w:customStyle="1" w:styleId="EntText">
    <w:name w:val="EntText"/>
    <w:basedOn w:val="Normaallaad"/>
    <w:uiPriority w:val="99"/>
    <w:unhideWhenUsed/>
    <w:pPr>
      <w:spacing w:line="360" w:lineRule="auto"/>
    </w:pPr>
  </w:style>
  <w:style w:type="paragraph" w:customStyle="1" w:styleId="Lignefinal">
    <w:name w:val="Ligne final"/>
    <w:basedOn w:val="Normaallaad"/>
    <w:uiPriority w:val="99"/>
    <w:unhideWhenUsed/>
    <w:pPr>
      <w:pBdr>
        <w:bottom w:val="single" w:sz="4" w:space="0" w:color="000000"/>
      </w:pBdr>
      <w:spacing w:before="360"/>
      <w:ind w:left="3400" w:right="3400"/>
      <w:jc w:val="center"/>
    </w:pPr>
  </w:style>
  <w:style w:type="paragraph" w:customStyle="1" w:styleId="pj">
    <w:name w:val="p.j."/>
    <w:basedOn w:val="Normaallaad"/>
    <w:uiPriority w:val="99"/>
    <w:unhideWhenUsed/>
    <w:pPr>
      <w:spacing w:before="1200"/>
      <w:ind w:left="1440" w:hanging="1440"/>
      <w:jc w:val="left"/>
    </w:pPr>
  </w:style>
  <w:style w:type="paragraph" w:customStyle="1" w:styleId="HeaderCouncil">
    <w:name w:val="Header Council"/>
    <w:basedOn w:val="Normaallaad"/>
    <w:uiPriority w:val="99"/>
    <w:unhideWhenUsed/>
    <w:pPr>
      <w:spacing w:before="0" w:after="0"/>
    </w:pPr>
    <w:rPr>
      <w:sz w:val="2"/>
    </w:rPr>
  </w:style>
  <w:style w:type="paragraph" w:customStyle="1" w:styleId="HeaderCouncilLarge">
    <w:name w:val="Header Council Large"/>
    <w:basedOn w:val="Normaallaad"/>
    <w:uiPriority w:val="99"/>
    <w:unhideWhenUsed/>
    <w:pPr>
      <w:spacing w:before="0" w:after="440"/>
    </w:pPr>
    <w:rPr>
      <w:sz w:val="2"/>
    </w:rPr>
  </w:style>
  <w:style w:type="paragraph" w:customStyle="1" w:styleId="FooterCouncil">
    <w:name w:val="Footer Council"/>
    <w:basedOn w:val="Normaallaad"/>
    <w:uiPriority w:val="99"/>
    <w:unhideWhenUsed/>
    <w:pPr>
      <w:spacing w:before="0" w:after="0"/>
    </w:pPr>
    <w:rPr>
      <w:sz w:val="2"/>
    </w:rPr>
  </w:style>
  <w:style w:type="paragraph" w:customStyle="1" w:styleId="FooterText">
    <w:name w:val="Footer Text"/>
    <w:basedOn w:val="Normaallaad"/>
    <w:uiPriority w:val="99"/>
    <w:unhideWhenUsed/>
    <w:pPr>
      <w:spacing w:before="0" w:after="0"/>
    </w:pPr>
  </w:style>
  <w:style w:type="paragraph" w:styleId="Loenditpp4">
    <w:name w:val="List Bullet 4"/>
    <w:basedOn w:val="Normaallaad"/>
    <w:rsid w:val="00D438C2"/>
    <w:pPr>
      <w:numPr>
        <w:numId w:val="2"/>
      </w:numPr>
      <w:tabs>
        <w:tab w:val="num" w:pos="360"/>
      </w:tabs>
      <w:ind w:left="0" w:firstLine="0"/>
    </w:pPr>
    <w:rPr>
      <w:rFonts w:eastAsia="Times New Roman"/>
      <w:lang w:eastAsia="de-DE"/>
    </w:rPr>
  </w:style>
  <w:style w:type="paragraph" w:styleId="Loendinumber">
    <w:name w:val="List Number"/>
    <w:basedOn w:val="Normaallaad"/>
    <w:rsid w:val="00D438C2"/>
    <w:pPr>
      <w:numPr>
        <w:numId w:val="3"/>
      </w:numPr>
    </w:pPr>
    <w:rPr>
      <w:rFonts w:eastAsia="Times New Roman"/>
      <w:lang w:eastAsia="de-DE"/>
    </w:rPr>
  </w:style>
  <w:style w:type="paragraph" w:customStyle="1" w:styleId="ListBullet1">
    <w:name w:val="List Bullet 1"/>
    <w:basedOn w:val="Normaallaad"/>
    <w:rsid w:val="00D438C2"/>
    <w:pPr>
      <w:numPr>
        <w:numId w:val="4"/>
      </w:numPr>
    </w:pPr>
    <w:rPr>
      <w:rFonts w:eastAsia="Times New Roman"/>
      <w:lang w:eastAsia="de-DE"/>
    </w:rPr>
  </w:style>
  <w:style w:type="paragraph" w:customStyle="1" w:styleId="ListDash">
    <w:name w:val="List Dash"/>
    <w:basedOn w:val="Normaallaad"/>
    <w:rsid w:val="00D438C2"/>
    <w:pPr>
      <w:numPr>
        <w:numId w:val="5"/>
      </w:numPr>
    </w:pPr>
    <w:rPr>
      <w:rFonts w:eastAsia="Times New Roman"/>
      <w:lang w:eastAsia="de-DE"/>
    </w:rPr>
  </w:style>
  <w:style w:type="paragraph" w:customStyle="1" w:styleId="ListDash1">
    <w:name w:val="List Dash 1"/>
    <w:basedOn w:val="Normaallaad"/>
    <w:rsid w:val="00D438C2"/>
    <w:pPr>
      <w:numPr>
        <w:numId w:val="6"/>
      </w:numPr>
    </w:pPr>
    <w:rPr>
      <w:rFonts w:eastAsia="Times New Roman"/>
      <w:lang w:eastAsia="de-DE"/>
    </w:rPr>
  </w:style>
  <w:style w:type="paragraph" w:customStyle="1" w:styleId="ListDash2">
    <w:name w:val="List Dash 2"/>
    <w:basedOn w:val="Normaallaad"/>
    <w:rsid w:val="00D438C2"/>
    <w:pPr>
      <w:numPr>
        <w:numId w:val="7"/>
      </w:numPr>
    </w:pPr>
    <w:rPr>
      <w:rFonts w:eastAsia="Times New Roman"/>
      <w:lang w:eastAsia="de-DE"/>
    </w:rPr>
  </w:style>
  <w:style w:type="paragraph" w:customStyle="1" w:styleId="ListNumberLevel2">
    <w:name w:val="List Number (Level 2)"/>
    <w:basedOn w:val="Normaallaad"/>
    <w:rsid w:val="00D438C2"/>
    <w:pPr>
      <w:numPr>
        <w:ilvl w:val="1"/>
        <w:numId w:val="3"/>
      </w:numPr>
    </w:pPr>
    <w:rPr>
      <w:rFonts w:eastAsia="Times New Roman"/>
      <w:lang w:eastAsia="de-DE"/>
    </w:rPr>
  </w:style>
  <w:style w:type="paragraph" w:customStyle="1" w:styleId="ListNumberLevel3">
    <w:name w:val="List Number (Level 3)"/>
    <w:basedOn w:val="Normaallaad"/>
    <w:rsid w:val="00D438C2"/>
    <w:pPr>
      <w:numPr>
        <w:ilvl w:val="2"/>
        <w:numId w:val="3"/>
      </w:numPr>
    </w:pPr>
    <w:rPr>
      <w:rFonts w:eastAsia="Times New Roman"/>
      <w:lang w:eastAsia="de-DE"/>
    </w:rPr>
  </w:style>
  <w:style w:type="paragraph" w:customStyle="1" w:styleId="ListNumberLevel4">
    <w:name w:val="List Number (Level 4)"/>
    <w:basedOn w:val="Normaallaad"/>
    <w:rsid w:val="00D438C2"/>
    <w:pPr>
      <w:numPr>
        <w:ilvl w:val="3"/>
        <w:numId w:val="3"/>
      </w:numPr>
    </w:pPr>
    <w:rPr>
      <w:rFonts w:eastAsia="Times New Roman"/>
      <w:lang w:eastAsia="de-DE"/>
    </w:rPr>
  </w:style>
  <w:style w:type="table" w:styleId="Kontuurtabel">
    <w:name w:val="Table Grid"/>
    <w:basedOn w:val="Normaaltabel"/>
    <w:uiPriority w:val="39"/>
    <w:rsid w:val="00D438C2"/>
    <w:pPr>
      <w:spacing w:before="120" w:after="120" w:line="240" w:lineRule="auto"/>
      <w:jc w:val="both"/>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rsid w:val="00D438C2"/>
    <w:rPr>
      <w:color w:val="0000FF"/>
      <w:u w:val="single"/>
    </w:rPr>
  </w:style>
  <w:style w:type="paragraph" w:styleId="Loenditpp">
    <w:name w:val="List Bullet"/>
    <w:basedOn w:val="Normaallaad"/>
    <w:rsid w:val="00D438C2"/>
    <w:pPr>
      <w:numPr>
        <w:numId w:val="8"/>
      </w:numPr>
    </w:pPr>
    <w:rPr>
      <w:rFonts w:eastAsia="Times New Roman"/>
      <w:lang w:val="fr-FR" w:eastAsia="en-GB"/>
    </w:rPr>
  </w:style>
  <w:style w:type="paragraph" w:styleId="Loenditpp2">
    <w:name w:val="List Bullet 2"/>
    <w:basedOn w:val="Normaallaad"/>
    <w:rsid w:val="00D438C2"/>
    <w:pPr>
      <w:numPr>
        <w:numId w:val="9"/>
      </w:numPr>
    </w:pPr>
    <w:rPr>
      <w:rFonts w:eastAsia="Times New Roman"/>
      <w:lang w:val="fr-FR" w:eastAsia="en-GB"/>
    </w:rPr>
  </w:style>
  <w:style w:type="paragraph" w:styleId="Loenditpp3">
    <w:name w:val="List Bullet 3"/>
    <w:basedOn w:val="Normaallaad"/>
    <w:rsid w:val="00D438C2"/>
    <w:pPr>
      <w:numPr>
        <w:numId w:val="10"/>
      </w:numPr>
    </w:pPr>
    <w:rPr>
      <w:rFonts w:eastAsia="Times New Roman"/>
      <w:lang w:val="fr-FR" w:eastAsia="en-GB"/>
    </w:rPr>
  </w:style>
  <w:style w:type="paragraph" w:styleId="Loendinumber2">
    <w:name w:val="List Number 2"/>
    <w:basedOn w:val="Normaallaad"/>
    <w:rsid w:val="00D438C2"/>
    <w:pPr>
      <w:numPr>
        <w:numId w:val="11"/>
      </w:numPr>
    </w:pPr>
    <w:rPr>
      <w:rFonts w:eastAsia="Times New Roman"/>
      <w:lang w:val="fr-FR" w:eastAsia="en-GB"/>
    </w:rPr>
  </w:style>
  <w:style w:type="paragraph" w:styleId="Loendinumber3">
    <w:name w:val="List Number 3"/>
    <w:basedOn w:val="Normaallaad"/>
    <w:rsid w:val="00D438C2"/>
    <w:pPr>
      <w:numPr>
        <w:numId w:val="12"/>
      </w:numPr>
    </w:pPr>
    <w:rPr>
      <w:rFonts w:eastAsia="Times New Roman"/>
      <w:lang w:val="fr-FR" w:eastAsia="en-GB"/>
    </w:rPr>
  </w:style>
  <w:style w:type="paragraph" w:styleId="Loendinumber4">
    <w:name w:val="List Number 4"/>
    <w:basedOn w:val="Normaallaad"/>
    <w:rsid w:val="00D438C2"/>
    <w:pPr>
      <w:numPr>
        <w:numId w:val="13"/>
      </w:numPr>
    </w:pPr>
    <w:rPr>
      <w:rFonts w:eastAsia="Times New Roman"/>
      <w:lang w:val="fr-FR" w:eastAsia="en-GB"/>
    </w:rPr>
  </w:style>
  <w:style w:type="paragraph" w:customStyle="1" w:styleId="ListDash3">
    <w:name w:val="List Dash 3"/>
    <w:basedOn w:val="Normaallaad"/>
    <w:rsid w:val="00D438C2"/>
    <w:pPr>
      <w:numPr>
        <w:numId w:val="14"/>
      </w:numPr>
    </w:pPr>
    <w:rPr>
      <w:rFonts w:eastAsia="Times New Roman"/>
      <w:lang w:val="fr-FR" w:eastAsia="en-GB"/>
    </w:rPr>
  </w:style>
  <w:style w:type="paragraph" w:customStyle="1" w:styleId="ListDash4">
    <w:name w:val="List Dash 4"/>
    <w:basedOn w:val="Normaallaad"/>
    <w:rsid w:val="00D438C2"/>
    <w:pPr>
      <w:numPr>
        <w:numId w:val="15"/>
      </w:numPr>
    </w:pPr>
    <w:rPr>
      <w:rFonts w:eastAsia="Times New Roman"/>
      <w:lang w:val="fr-FR" w:eastAsia="en-GB"/>
    </w:rPr>
  </w:style>
  <w:style w:type="paragraph" w:customStyle="1" w:styleId="ListNumber1">
    <w:name w:val="List Number 1"/>
    <w:basedOn w:val="Text1"/>
    <w:rsid w:val="00D438C2"/>
    <w:pPr>
      <w:numPr>
        <w:numId w:val="16"/>
      </w:numPr>
    </w:pPr>
    <w:rPr>
      <w:rFonts w:eastAsia="Times New Roman"/>
      <w:lang w:val="fr-FR" w:eastAsia="en-GB"/>
    </w:rPr>
  </w:style>
  <w:style w:type="paragraph" w:customStyle="1" w:styleId="ListNumber1Level2">
    <w:name w:val="List Number 1 (Level 2)"/>
    <w:basedOn w:val="Text1"/>
    <w:rsid w:val="00D438C2"/>
    <w:pPr>
      <w:numPr>
        <w:ilvl w:val="1"/>
        <w:numId w:val="16"/>
      </w:numPr>
    </w:pPr>
    <w:rPr>
      <w:rFonts w:eastAsia="Times New Roman"/>
      <w:lang w:val="fr-FR" w:eastAsia="en-GB"/>
    </w:rPr>
  </w:style>
  <w:style w:type="paragraph" w:customStyle="1" w:styleId="ListNumber2Level2">
    <w:name w:val="List Number 2 (Level 2)"/>
    <w:basedOn w:val="Text2"/>
    <w:rsid w:val="00D438C2"/>
    <w:pPr>
      <w:numPr>
        <w:ilvl w:val="1"/>
        <w:numId w:val="11"/>
      </w:numPr>
    </w:pPr>
    <w:rPr>
      <w:rFonts w:eastAsia="Times New Roman"/>
      <w:lang w:val="fr-FR" w:eastAsia="en-GB"/>
    </w:rPr>
  </w:style>
  <w:style w:type="paragraph" w:customStyle="1" w:styleId="ListNumber3Level2">
    <w:name w:val="List Number 3 (Level 2)"/>
    <w:basedOn w:val="Text3"/>
    <w:rsid w:val="00D438C2"/>
    <w:pPr>
      <w:numPr>
        <w:ilvl w:val="1"/>
        <w:numId w:val="12"/>
      </w:numPr>
    </w:pPr>
    <w:rPr>
      <w:rFonts w:eastAsia="Times New Roman"/>
      <w:lang w:val="fr-FR" w:eastAsia="en-GB"/>
    </w:rPr>
  </w:style>
  <w:style w:type="paragraph" w:customStyle="1" w:styleId="ListNumber4Level2">
    <w:name w:val="List Number 4 (Level 2)"/>
    <w:basedOn w:val="Text4"/>
    <w:rsid w:val="00D438C2"/>
    <w:pPr>
      <w:numPr>
        <w:ilvl w:val="1"/>
        <w:numId w:val="13"/>
      </w:numPr>
    </w:pPr>
    <w:rPr>
      <w:rFonts w:eastAsia="Times New Roman"/>
      <w:lang w:val="fr-FR" w:eastAsia="en-GB"/>
    </w:rPr>
  </w:style>
  <w:style w:type="paragraph" w:customStyle="1" w:styleId="ListNumber1Level3">
    <w:name w:val="List Number 1 (Level 3)"/>
    <w:basedOn w:val="Text1"/>
    <w:rsid w:val="00D438C2"/>
    <w:pPr>
      <w:numPr>
        <w:ilvl w:val="2"/>
        <w:numId w:val="16"/>
      </w:numPr>
    </w:pPr>
    <w:rPr>
      <w:rFonts w:eastAsia="Times New Roman"/>
      <w:lang w:val="fr-FR" w:eastAsia="en-GB"/>
    </w:rPr>
  </w:style>
  <w:style w:type="paragraph" w:customStyle="1" w:styleId="ListNumber2Level3">
    <w:name w:val="List Number 2 (Level 3)"/>
    <w:basedOn w:val="Text2"/>
    <w:rsid w:val="00D438C2"/>
    <w:pPr>
      <w:numPr>
        <w:ilvl w:val="2"/>
        <w:numId w:val="11"/>
      </w:numPr>
    </w:pPr>
    <w:rPr>
      <w:rFonts w:eastAsia="Times New Roman"/>
      <w:lang w:val="fr-FR" w:eastAsia="en-GB"/>
    </w:rPr>
  </w:style>
  <w:style w:type="paragraph" w:customStyle="1" w:styleId="ListNumber3Level3">
    <w:name w:val="List Number 3 (Level 3)"/>
    <w:basedOn w:val="Text3"/>
    <w:rsid w:val="00D438C2"/>
    <w:pPr>
      <w:numPr>
        <w:ilvl w:val="2"/>
        <w:numId w:val="12"/>
      </w:numPr>
    </w:pPr>
    <w:rPr>
      <w:rFonts w:eastAsia="Times New Roman"/>
      <w:lang w:val="fr-FR" w:eastAsia="en-GB"/>
    </w:rPr>
  </w:style>
  <w:style w:type="paragraph" w:customStyle="1" w:styleId="ListNumber4Level3">
    <w:name w:val="List Number 4 (Level 3)"/>
    <w:basedOn w:val="Text4"/>
    <w:rsid w:val="00D438C2"/>
    <w:pPr>
      <w:numPr>
        <w:ilvl w:val="2"/>
        <w:numId w:val="13"/>
      </w:numPr>
    </w:pPr>
    <w:rPr>
      <w:rFonts w:eastAsia="Times New Roman"/>
      <w:lang w:val="fr-FR" w:eastAsia="en-GB"/>
    </w:rPr>
  </w:style>
  <w:style w:type="paragraph" w:customStyle="1" w:styleId="ListNumber1Level4">
    <w:name w:val="List Number 1 (Level 4)"/>
    <w:basedOn w:val="Text1"/>
    <w:rsid w:val="00D438C2"/>
    <w:pPr>
      <w:numPr>
        <w:ilvl w:val="3"/>
        <w:numId w:val="16"/>
      </w:numPr>
    </w:pPr>
    <w:rPr>
      <w:rFonts w:eastAsia="Times New Roman"/>
      <w:lang w:val="fr-FR" w:eastAsia="en-GB"/>
    </w:rPr>
  </w:style>
  <w:style w:type="paragraph" w:customStyle="1" w:styleId="ListNumber2Level4">
    <w:name w:val="List Number 2 (Level 4)"/>
    <w:basedOn w:val="Text2"/>
    <w:rsid w:val="00D438C2"/>
    <w:pPr>
      <w:numPr>
        <w:ilvl w:val="3"/>
        <w:numId w:val="11"/>
      </w:numPr>
    </w:pPr>
    <w:rPr>
      <w:rFonts w:eastAsia="Times New Roman"/>
      <w:lang w:val="fr-FR" w:eastAsia="en-GB"/>
    </w:rPr>
  </w:style>
  <w:style w:type="paragraph" w:customStyle="1" w:styleId="ListNumber3Level4">
    <w:name w:val="List Number 3 (Level 4)"/>
    <w:basedOn w:val="Text3"/>
    <w:rsid w:val="00D438C2"/>
    <w:pPr>
      <w:numPr>
        <w:ilvl w:val="3"/>
        <w:numId w:val="12"/>
      </w:numPr>
    </w:pPr>
    <w:rPr>
      <w:rFonts w:eastAsia="Times New Roman"/>
      <w:lang w:val="fr-FR" w:eastAsia="en-GB"/>
    </w:rPr>
  </w:style>
  <w:style w:type="paragraph" w:customStyle="1" w:styleId="ListNumber4Level4">
    <w:name w:val="List Number 4 (Level 4)"/>
    <w:basedOn w:val="Text4"/>
    <w:rsid w:val="00D438C2"/>
    <w:pPr>
      <w:numPr>
        <w:ilvl w:val="3"/>
        <w:numId w:val="13"/>
      </w:numPr>
    </w:pPr>
    <w:rPr>
      <w:rFonts w:eastAsia="Times New Roman"/>
      <w:lang w:val="fr-FR" w:eastAsia="en-GB"/>
    </w:rPr>
  </w:style>
  <w:style w:type="paragraph" w:customStyle="1" w:styleId="Annexetitreacte">
    <w:name w:val="Annexe titre (acte)"/>
    <w:basedOn w:val="Normaallaad"/>
    <w:next w:val="Normaallaad"/>
    <w:rsid w:val="00D438C2"/>
    <w:pPr>
      <w:jc w:val="center"/>
    </w:pPr>
    <w:rPr>
      <w:rFonts w:eastAsia="Times New Roman"/>
      <w:b/>
      <w:u w:val="single"/>
      <w:lang w:val="fr-FR" w:eastAsia="en-GB"/>
    </w:rPr>
  </w:style>
  <w:style w:type="paragraph" w:customStyle="1" w:styleId="Annexetitreexposglobal">
    <w:name w:val="Annexe titre (exposé global)"/>
    <w:basedOn w:val="Normaallaad"/>
    <w:next w:val="Normaallaad"/>
    <w:rsid w:val="00D438C2"/>
    <w:pPr>
      <w:jc w:val="center"/>
    </w:pPr>
    <w:rPr>
      <w:rFonts w:eastAsia="Times New Roman"/>
      <w:b/>
      <w:u w:val="single"/>
      <w:lang w:val="fr-FR" w:eastAsia="en-GB"/>
    </w:rPr>
  </w:style>
  <w:style w:type="paragraph" w:customStyle="1" w:styleId="Annexetitrefichefinacte">
    <w:name w:val="Annexe titre (fiche fin. acte)"/>
    <w:basedOn w:val="Normaallaad"/>
    <w:next w:val="Normaallaad"/>
    <w:rsid w:val="00D438C2"/>
    <w:pPr>
      <w:jc w:val="center"/>
    </w:pPr>
    <w:rPr>
      <w:rFonts w:eastAsia="Times New Roman"/>
      <w:b/>
      <w:u w:val="single"/>
      <w:lang w:val="fr-FR" w:eastAsia="en-GB"/>
    </w:rPr>
  </w:style>
  <w:style w:type="paragraph" w:customStyle="1" w:styleId="Annexetitrefichefinglobale">
    <w:name w:val="Annexe titre (fiche fin. globale)"/>
    <w:basedOn w:val="Normaallaad"/>
    <w:next w:val="Normaallaad"/>
    <w:rsid w:val="00D438C2"/>
    <w:pPr>
      <w:jc w:val="center"/>
    </w:pPr>
    <w:rPr>
      <w:rFonts w:eastAsia="Times New Roman"/>
      <w:b/>
      <w:u w:val="single"/>
      <w:lang w:val="fr-FR" w:eastAsia="en-GB"/>
    </w:rPr>
  </w:style>
  <w:style w:type="paragraph" w:customStyle="1" w:styleId="Annexetitreglobale">
    <w:name w:val="Annexe titre (globale)"/>
    <w:basedOn w:val="Normaallaad"/>
    <w:next w:val="Normaallaad"/>
    <w:rsid w:val="00D438C2"/>
    <w:pPr>
      <w:jc w:val="center"/>
    </w:pPr>
    <w:rPr>
      <w:rFonts w:eastAsia="Times New Roman"/>
      <w:b/>
      <w:u w:val="single"/>
      <w:lang w:val="fr-FR" w:eastAsia="en-GB"/>
    </w:rPr>
  </w:style>
  <w:style w:type="paragraph" w:customStyle="1" w:styleId="Exposdesmotifstitreglobal">
    <w:name w:val="Exposé des motifs titre (global)"/>
    <w:basedOn w:val="Normaallaad"/>
    <w:next w:val="Normaallaad"/>
    <w:rsid w:val="00D438C2"/>
    <w:pPr>
      <w:jc w:val="center"/>
    </w:pPr>
    <w:rPr>
      <w:rFonts w:eastAsia="Times New Roman"/>
      <w:b/>
      <w:u w:val="single"/>
      <w:lang w:val="fr-FR" w:eastAsia="en-GB"/>
    </w:rPr>
  </w:style>
  <w:style w:type="paragraph" w:customStyle="1" w:styleId="Langueoriginale">
    <w:name w:val="Langue originale"/>
    <w:basedOn w:val="Normaallaad"/>
    <w:rsid w:val="00D438C2"/>
    <w:pPr>
      <w:spacing w:before="360"/>
      <w:jc w:val="center"/>
    </w:pPr>
    <w:rPr>
      <w:rFonts w:eastAsia="Times New Roman"/>
      <w:caps/>
      <w:lang w:val="fr-FR" w:eastAsia="en-GB"/>
    </w:rPr>
  </w:style>
  <w:style w:type="paragraph" w:customStyle="1" w:styleId="Phrasefinale">
    <w:name w:val="Phrase finale"/>
    <w:basedOn w:val="Normaallaad"/>
    <w:next w:val="Normaallaad"/>
    <w:rsid w:val="00D438C2"/>
    <w:pPr>
      <w:spacing w:before="360" w:after="0"/>
      <w:jc w:val="center"/>
    </w:pPr>
    <w:rPr>
      <w:rFonts w:eastAsia="Times New Roman"/>
      <w:lang w:val="fr-FR" w:eastAsia="en-GB"/>
    </w:rPr>
  </w:style>
  <w:style w:type="paragraph" w:customStyle="1" w:styleId="Prliminairetitre">
    <w:name w:val="Préliminaire titre"/>
    <w:basedOn w:val="Normaallaad"/>
    <w:next w:val="Normaallaad"/>
    <w:rsid w:val="00D438C2"/>
    <w:pPr>
      <w:spacing w:before="360" w:after="360"/>
      <w:jc w:val="center"/>
    </w:pPr>
    <w:rPr>
      <w:rFonts w:eastAsia="Times New Roman"/>
      <w:b/>
      <w:lang w:val="fr-FR" w:eastAsia="en-GB"/>
    </w:rPr>
  </w:style>
  <w:style w:type="paragraph" w:customStyle="1" w:styleId="Prliminairetype">
    <w:name w:val="Préliminaire type"/>
    <w:basedOn w:val="Normaallaad"/>
    <w:next w:val="Normaallaad"/>
    <w:rsid w:val="00D438C2"/>
    <w:pPr>
      <w:spacing w:before="360" w:after="0"/>
      <w:jc w:val="center"/>
    </w:pPr>
    <w:rPr>
      <w:rFonts w:eastAsia="Times New Roman"/>
      <w:b/>
      <w:lang w:val="fr-FR" w:eastAsia="en-GB"/>
    </w:rPr>
  </w:style>
  <w:style w:type="paragraph" w:customStyle="1" w:styleId="Rfrenceinstitutionelle">
    <w:name w:val="Référence institutionelle"/>
    <w:basedOn w:val="Normaallaad"/>
    <w:next w:val="Statut"/>
    <w:rsid w:val="00D438C2"/>
    <w:pPr>
      <w:spacing w:before="0" w:after="240"/>
      <w:ind w:left="5103"/>
      <w:jc w:val="left"/>
    </w:pPr>
    <w:rPr>
      <w:rFonts w:eastAsia="Times New Roman"/>
      <w:lang w:val="fr-FR" w:eastAsia="en-GB"/>
    </w:rPr>
  </w:style>
  <w:style w:type="paragraph" w:customStyle="1" w:styleId="Rfrenceinterinstitutionelle">
    <w:name w:val="Référence interinstitutionelle"/>
    <w:basedOn w:val="Normaallaad"/>
    <w:next w:val="Statut"/>
    <w:rsid w:val="00D438C2"/>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allaad"/>
    <w:next w:val="Normaallaad"/>
    <w:rsid w:val="00D438C2"/>
    <w:pPr>
      <w:spacing w:before="0" w:after="0"/>
      <w:ind w:left="5103"/>
      <w:jc w:val="left"/>
    </w:pPr>
    <w:rPr>
      <w:rFonts w:eastAsia="Times New Roman"/>
      <w:lang w:val="fr-FR" w:eastAsia="en-GB"/>
    </w:rPr>
  </w:style>
  <w:style w:type="paragraph" w:customStyle="1" w:styleId="Sous-titreobjetprliminaire">
    <w:name w:val="Sous-titre objet (préliminaire)"/>
    <w:basedOn w:val="Normaallaad"/>
    <w:rsid w:val="00D438C2"/>
    <w:pPr>
      <w:spacing w:before="0" w:after="0"/>
      <w:jc w:val="center"/>
    </w:pPr>
    <w:rPr>
      <w:rFonts w:eastAsia="Times New Roman"/>
      <w:b/>
      <w:lang w:val="fr-FR" w:eastAsia="en-GB"/>
    </w:rPr>
  </w:style>
  <w:style w:type="paragraph" w:customStyle="1" w:styleId="Statutprliminaire">
    <w:name w:val="Statut (préliminaire)"/>
    <w:basedOn w:val="Normaallaad"/>
    <w:next w:val="Normaallaad"/>
    <w:rsid w:val="00D438C2"/>
    <w:pPr>
      <w:spacing w:before="360" w:after="0"/>
      <w:jc w:val="center"/>
    </w:pPr>
    <w:rPr>
      <w:rFonts w:eastAsia="Times New Roman"/>
      <w:lang w:val="fr-FR" w:eastAsia="en-GB"/>
    </w:rPr>
  </w:style>
  <w:style w:type="paragraph" w:customStyle="1" w:styleId="Titreobjetprliminaire">
    <w:name w:val="Titre objet (préliminaire)"/>
    <w:basedOn w:val="Normaallaad"/>
    <w:next w:val="Normaallaad"/>
    <w:rsid w:val="00D438C2"/>
    <w:pPr>
      <w:spacing w:before="360" w:after="360"/>
      <w:jc w:val="center"/>
    </w:pPr>
    <w:rPr>
      <w:rFonts w:eastAsia="Times New Roman"/>
      <w:b/>
      <w:lang w:val="fr-FR" w:eastAsia="en-GB"/>
    </w:rPr>
  </w:style>
  <w:style w:type="paragraph" w:customStyle="1" w:styleId="Typedudocumentprliminaire">
    <w:name w:val="Type du document (préliminaire)"/>
    <w:basedOn w:val="Normaallaad"/>
    <w:next w:val="Normaallaad"/>
    <w:rsid w:val="00D438C2"/>
    <w:pPr>
      <w:spacing w:before="360" w:after="0"/>
      <w:jc w:val="center"/>
    </w:pPr>
    <w:rPr>
      <w:rFonts w:eastAsia="Times New Roman"/>
      <w:b/>
      <w:lang w:val="fr-FR" w:eastAsia="en-GB"/>
    </w:rPr>
  </w:style>
  <w:style w:type="paragraph" w:customStyle="1" w:styleId="Fichefinancirestandardtitre">
    <w:name w:val="Fiche financière (standard) titre"/>
    <w:basedOn w:val="Normaallaad"/>
    <w:next w:val="Normaallaad"/>
    <w:rsid w:val="00D438C2"/>
    <w:pPr>
      <w:jc w:val="center"/>
    </w:pPr>
    <w:rPr>
      <w:rFonts w:eastAsia="Times New Roman"/>
      <w:b/>
      <w:u w:val="single"/>
      <w:lang w:val="fr-FR" w:eastAsia="en-GB"/>
    </w:rPr>
  </w:style>
  <w:style w:type="paragraph" w:customStyle="1" w:styleId="Fichefinancirestandardtitreacte">
    <w:name w:val="Fiche financière (standard) titre (acte)"/>
    <w:basedOn w:val="Normaallaad"/>
    <w:next w:val="Normaallaad"/>
    <w:rsid w:val="00D438C2"/>
    <w:pPr>
      <w:jc w:val="center"/>
    </w:pPr>
    <w:rPr>
      <w:rFonts w:eastAsia="Times New Roman"/>
      <w:b/>
      <w:u w:val="single"/>
      <w:lang w:val="fr-FR" w:eastAsia="en-GB"/>
    </w:rPr>
  </w:style>
  <w:style w:type="paragraph" w:customStyle="1" w:styleId="Fichefinanciretravailtitre">
    <w:name w:val="Fiche financière (travail) titre"/>
    <w:basedOn w:val="Normaallaad"/>
    <w:next w:val="Normaallaad"/>
    <w:rsid w:val="00D438C2"/>
    <w:pPr>
      <w:jc w:val="center"/>
    </w:pPr>
    <w:rPr>
      <w:rFonts w:eastAsia="Times New Roman"/>
      <w:b/>
      <w:u w:val="single"/>
      <w:lang w:val="fr-FR" w:eastAsia="en-GB"/>
    </w:rPr>
  </w:style>
  <w:style w:type="paragraph" w:customStyle="1" w:styleId="Fichefinanciretravailtitreacte">
    <w:name w:val="Fiche financière (travail) titre (acte)"/>
    <w:basedOn w:val="Normaallaad"/>
    <w:next w:val="Normaallaad"/>
    <w:rsid w:val="00D438C2"/>
    <w:pPr>
      <w:jc w:val="center"/>
    </w:pPr>
    <w:rPr>
      <w:rFonts w:eastAsia="Times New Roman"/>
      <w:b/>
      <w:u w:val="single"/>
      <w:lang w:val="fr-FR" w:eastAsia="en-GB"/>
    </w:rPr>
  </w:style>
  <w:style w:type="paragraph" w:customStyle="1" w:styleId="Fichefinancireattributiontitre">
    <w:name w:val="Fiche financière (attribution) titre"/>
    <w:basedOn w:val="Normaallaad"/>
    <w:next w:val="Normaallaad"/>
    <w:rsid w:val="00D438C2"/>
    <w:pPr>
      <w:jc w:val="center"/>
    </w:pPr>
    <w:rPr>
      <w:rFonts w:eastAsia="Times New Roman"/>
      <w:b/>
      <w:u w:val="single"/>
      <w:lang w:val="fr-FR" w:eastAsia="en-GB"/>
    </w:rPr>
  </w:style>
  <w:style w:type="paragraph" w:customStyle="1" w:styleId="Fichefinancireattributiontitreacte">
    <w:name w:val="Fiche financière (attribution) titre (acte)"/>
    <w:basedOn w:val="Normaallaad"/>
    <w:next w:val="Normaallaad"/>
    <w:rsid w:val="00D438C2"/>
    <w:pPr>
      <w:jc w:val="center"/>
    </w:pPr>
    <w:rPr>
      <w:rFonts w:eastAsia="Times New Roman"/>
      <w:b/>
      <w:u w:val="single"/>
      <w:lang w:val="fr-FR" w:eastAsia="en-GB"/>
    </w:rPr>
  </w:style>
  <w:style w:type="character" w:styleId="Kommentaariviide">
    <w:name w:val="annotation reference"/>
    <w:rsid w:val="00D438C2"/>
    <w:rPr>
      <w:rFonts w:cs="Times New Roman"/>
      <w:sz w:val="16"/>
      <w:szCs w:val="16"/>
    </w:rPr>
  </w:style>
  <w:style w:type="paragraph" w:styleId="Kommentaaritekst">
    <w:name w:val="annotation text"/>
    <w:basedOn w:val="Normaallaad"/>
    <w:link w:val="KommentaaritekstMrk"/>
    <w:rsid w:val="00D438C2"/>
    <w:rPr>
      <w:rFonts w:eastAsia="Times New Roman"/>
      <w:sz w:val="20"/>
      <w:szCs w:val="20"/>
      <w:lang w:val="fr-FR" w:eastAsia="en-GB"/>
    </w:rPr>
  </w:style>
  <w:style w:type="character" w:customStyle="1" w:styleId="KommentaaritekstMrk">
    <w:name w:val="Kommentaari tekst Märk"/>
    <w:basedOn w:val="Liguvaikefont"/>
    <w:link w:val="Kommentaaritekst"/>
    <w:rsid w:val="00D438C2"/>
    <w:rPr>
      <w:rFonts w:ascii="Times New Roman" w:eastAsia="Times New Roman" w:hAnsi="Times New Roman" w:cs="Times New Roman"/>
      <w:sz w:val="20"/>
      <w:szCs w:val="20"/>
      <w:lang w:val="fr-FR" w:eastAsia="en-GB"/>
    </w:rPr>
  </w:style>
  <w:style w:type="paragraph" w:styleId="Kommentaariteema">
    <w:name w:val="annotation subject"/>
    <w:basedOn w:val="Kommentaaritekst"/>
    <w:next w:val="Kommentaaritekst"/>
    <w:link w:val="KommentaariteemaMrk"/>
    <w:rsid w:val="00D438C2"/>
    <w:rPr>
      <w:b/>
      <w:bCs/>
    </w:rPr>
  </w:style>
  <w:style w:type="character" w:customStyle="1" w:styleId="KommentaariteemaMrk">
    <w:name w:val="Kommentaari teema Märk"/>
    <w:basedOn w:val="KommentaaritekstMrk"/>
    <w:link w:val="Kommentaariteema"/>
    <w:rsid w:val="00D438C2"/>
    <w:rPr>
      <w:rFonts w:ascii="Times New Roman" w:eastAsia="Times New Roman" w:hAnsi="Times New Roman" w:cs="Times New Roman"/>
      <w:b/>
      <w:bCs/>
      <w:sz w:val="20"/>
      <w:szCs w:val="20"/>
      <w:lang w:val="fr-FR" w:eastAsia="en-GB"/>
    </w:rPr>
  </w:style>
  <w:style w:type="paragraph" w:styleId="Jutumullitekst">
    <w:name w:val="Balloon Text"/>
    <w:basedOn w:val="Normaallaad"/>
    <w:link w:val="JutumullitekstMrk"/>
    <w:rsid w:val="00D438C2"/>
    <w:rPr>
      <w:rFonts w:ascii="Tahoma" w:eastAsia="Times New Roman" w:hAnsi="Tahoma" w:cs="Tahoma"/>
      <w:sz w:val="16"/>
      <w:szCs w:val="16"/>
      <w:lang w:val="fr-FR" w:eastAsia="en-GB"/>
    </w:rPr>
  </w:style>
  <w:style w:type="character" w:customStyle="1" w:styleId="JutumullitekstMrk">
    <w:name w:val="Jutumullitekst Märk"/>
    <w:basedOn w:val="Liguvaikefont"/>
    <w:link w:val="Jutumullitekst"/>
    <w:rsid w:val="00D438C2"/>
    <w:rPr>
      <w:rFonts w:ascii="Tahoma" w:eastAsia="Times New Roman" w:hAnsi="Tahoma" w:cs="Tahoma"/>
      <w:sz w:val="16"/>
      <w:szCs w:val="16"/>
      <w:lang w:val="fr-FR" w:eastAsia="en-GB"/>
    </w:rPr>
  </w:style>
  <w:style w:type="paragraph" w:styleId="Pealdis">
    <w:name w:val="caption"/>
    <w:basedOn w:val="Normaallaad"/>
    <w:next w:val="Normaallaad"/>
    <w:qFormat/>
    <w:rsid w:val="00D438C2"/>
    <w:rPr>
      <w:rFonts w:eastAsia="Times New Roman"/>
      <w:b/>
      <w:bCs/>
      <w:sz w:val="20"/>
      <w:szCs w:val="20"/>
      <w:lang w:val="fr-FR" w:eastAsia="en-GB"/>
    </w:rPr>
  </w:style>
  <w:style w:type="paragraph" w:styleId="Illustratsiooniloend">
    <w:name w:val="table of figures"/>
    <w:basedOn w:val="Normaallaad"/>
    <w:next w:val="Normaallaad"/>
    <w:rsid w:val="00D438C2"/>
    <w:rPr>
      <w:rFonts w:eastAsia="Times New Roman"/>
      <w:lang w:val="fr-FR" w:eastAsia="en-GB"/>
    </w:rPr>
  </w:style>
  <w:style w:type="character" w:styleId="Lehekljenumber">
    <w:name w:val="page number"/>
    <w:rsid w:val="00D438C2"/>
  </w:style>
  <w:style w:type="character" w:customStyle="1" w:styleId="tw4winMark">
    <w:name w:val="tw4winMark"/>
    <w:rsid w:val="00D438C2"/>
    <w:rPr>
      <w:vanish/>
      <w:color w:val="800080"/>
      <w:vertAlign w:val="subscript"/>
    </w:rPr>
  </w:style>
  <w:style w:type="character" w:styleId="Klastatudhperlink">
    <w:name w:val="FollowedHyperlink"/>
    <w:rsid w:val="00D438C2"/>
    <w:rPr>
      <w:color w:val="800080"/>
      <w:u w:val="single"/>
    </w:rPr>
  </w:style>
  <w:style w:type="paragraph" w:customStyle="1" w:styleId="Sous-titreobjet">
    <w:name w:val="Sous-titre objet"/>
    <w:basedOn w:val="Normaallaad"/>
    <w:rsid w:val="00D438C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438C2"/>
  </w:style>
  <w:style w:type="paragraph" w:styleId="Redaktsioon">
    <w:name w:val="Revision"/>
    <w:hidden/>
    <w:uiPriority w:val="99"/>
    <w:semiHidden/>
    <w:rsid w:val="00D438C2"/>
    <w:rPr>
      <w:rFonts w:ascii="Calibri" w:eastAsia="Calibri" w:hAnsi="Calibri" w:cs="Times New Roman"/>
      <w:sz w:val="24"/>
      <w:lang w:val="en-GB" w:eastAsia="en-GB"/>
    </w:rPr>
  </w:style>
  <w:style w:type="paragraph" w:customStyle="1" w:styleId="FooterCoverPage">
    <w:name w:val="Footer Cover Page"/>
    <w:basedOn w:val="Normaallaad"/>
    <w:link w:val="FooterCoverPageChar"/>
    <w:rsid w:val="00D438C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438C2"/>
    <w:rPr>
      <w:rFonts w:ascii="Times New Roman" w:hAnsi="Times New Roman" w:cs="Times New Roman"/>
      <w:b/>
      <w:sz w:val="28"/>
      <w:lang w:val="en-GB"/>
    </w:rPr>
  </w:style>
  <w:style w:type="character" w:customStyle="1" w:styleId="FooterCoverPageChar">
    <w:name w:val="Footer Cover Page Char"/>
    <w:link w:val="FooterCoverPage"/>
    <w:rsid w:val="00D438C2"/>
    <w:rPr>
      <w:rFonts w:ascii="Times New Roman" w:eastAsia="Calibri" w:hAnsi="Times New Roman" w:cs="Times New Roman"/>
      <w:sz w:val="24"/>
      <w:lang w:val="en-GB" w:eastAsia="en-GB"/>
    </w:rPr>
  </w:style>
  <w:style w:type="paragraph" w:customStyle="1" w:styleId="HeaderCoverPage">
    <w:name w:val="Header Cover Page"/>
    <w:basedOn w:val="Normaallaad"/>
    <w:link w:val="HeaderCoverPageChar"/>
    <w:rsid w:val="00D438C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438C2"/>
    <w:rPr>
      <w:rFonts w:ascii="Times New Roman" w:eastAsia="Calibri" w:hAnsi="Times New Roman" w:cs="Times New Roman"/>
      <w:sz w:val="24"/>
      <w:lang w:val="en-GB" w:eastAsia="en-GB"/>
    </w:rPr>
  </w:style>
  <w:style w:type="character" w:customStyle="1" w:styleId="FooterSensitivityChar">
    <w:name w:val="Footer Sensitivity Char"/>
    <w:rsid w:val="00D438C2"/>
    <w:rPr>
      <w:rFonts w:ascii="Times New Roman" w:hAnsi="Times New Roman" w:cs="Times New Roman"/>
      <w:b/>
      <w:sz w:val="32"/>
      <w:lang w:val="en-GB"/>
    </w:rPr>
  </w:style>
  <w:style w:type="character" w:customStyle="1" w:styleId="HeaderSensitivityChar">
    <w:name w:val="Header Sensitivity Char"/>
    <w:rsid w:val="00D438C2"/>
    <w:rPr>
      <w:rFonts w:ascii="Times New Roman" w:hAnsi="Times New Roman" w:cs="Times New Roman"/>
      <w:b/>
      <w:sz w:val="32"/>
      <w:lang w:val="en-GB"/>
    </w:rPr>
  </w:style>
  <w:style w:type="character" w:customStyle="1" w:styleId="HeaderSensitivityRightChar">
    <w:name w:val="Header Sensitivity Right Char"/>
    <w:rsid w:val="00D438C2"/>
    <w:rPr>
      <w:rFonts w:ascii="Times New Roman" w:hAnsi="Times New Roman" w:cs="Times New Roman"/>
      <w:sz w:val="28"/>
      <w:lang w:val="en-GB"/>
    </w:rPr>
  </w:style>
  <w:style w:type="paragraph" w:customStyle="1" w:styleId="LegalNumPar">
    <w:name w:val="LegalNumPar"/>
    <w:basedOn w:val="Normaallaad"/>
    <w:rsid w:val="00D438C2"/>
    <w:pPr>
      <w:numPr>
        <w:numId w:val="17"/>
      </w:numPr>
      <w:spacing w:line="360" w:lineRule="auto"/>
    </w:pPr>
    <w:rPr>
      <w:rFonts w:eastAsia="Times New Roman"/>
      <w:lang w:eastAsia="en-GB"/>
    </w:rPr>
  </w:style>
  <w:style w:type="paragraph" w:customStyle="1" w:styleId="LegalNumPar2">
    <w:name w:val="LegalNumPar2"/>
    <w:basedOn w:val="Normaallaad"/>
    <w:rsid w:val="00D438C2"/>
    <w:pPr>
      <w:numPr>
        <w:ilvl w:val="1"/>
        <w:numId w:val="17"/>
      </w:numPr>
      <w:spacing w:line="360" w:lineRule="auto"/>
    </w:pPr>
    <w:rPr>
      <w:rFonts w:eastAsia="Times New Roman"/>
      <w:lang w:eastAsia="en-GB"/>
    </w:rPr>
  </w:style>
  <w:style w:type="paragraph" w:customStyle="1" w:styleId="LegalNumPar3">
    <w:name w:val="LegalNumPar3"/>
    <w:basedOn w:val="Normaallaad"/>
    <w:rsid w:val="00D438C2"/>
    <w:pPr>
      <w:numPr>
        <w:ilvl w:val="2"/>
        <w:numId w:val="17"/>
      </w:numPr>
      <w:spacing w:line="360" w:lineRule="auto"/>
    </w:pPr>
    <w:rPr>
      <w:rFonts w:eastAsia="Times New Roman"/>
      <w:lang w:eastAsia="en-GB"/>
    </w:rPr>
  </w:style>
  <w:style w:type="paragraph" w:styleId="Loendilik">
    <w:name w:val="List Paragraph"/>
    <w:basedOn w:val="Normaallaad"/>
    <w:uiPriority w:val="34"/>
    <w:qFormat/>
    <w:rsid w:val="00D438C2"/>
    <w:pPr>
      <w:ind w:left="720"/>
      <w:contextualSpacing/>
    </w:pPr>
    <w:rPr>
      <w:rFonts w:eastAsia="Times New Roman"/>
      <w:lang w:eastAsia="en-GB"/>
    </w:rPr>
  </w:style>
  <w:style w:type="character" w:customStyle="1" w:styleId="UnresolvedMention1">
    <w:name w:val="Unresolved Mention1"/>
    <w:basedOn w:val="Liguvaikefont"/>
    <w:uiPriority w:val="99"/>
    <w:semiHidden/>
    <w:unhideWhenUsed/>
    <w:rsid w:val="00D438C2"/>
    <w:rPr>
      <w:color w:val="605E5C"/>
      <w:shd w:val="clear" w:color="auto" w:fill="E1DFDD"/>
    </w:rPr>
  </w:style>
  <w:style w:type="character" w:styleId="Tugev">
    <w:name w:val="Strong"/>
    <w:basedOn w:val="Liguvaikefont"/>
    <w:qFormat/>
    <w:rsid w:val="00D438C2"/>
    <w:rPr>
      <w:b/>
      <w:bCs/>
    </w:rPr>
  </w:style>
  <w:style w:type="character" w:styleId="Rhutus">
    <w:name w:val="Emphasis"/>
    <w:basedOn w:val="Liguvaikefont"/>
    <w:qFormat/>
    <w:rsid w:val="00D438C2"/>
    <w:rPr>
      <w:i/>
      <w:iCs/>
    </w:rPr>
  </w:style>
  <w:style w:type="character" w:customStyle="1" w:styleId="Mention1">
    <w:name w:val="Mention1"/>
    <w:basedOn w:val="Liguvaikefont"/>
    <w:uiPriority w:val="99"/>
    <w:unhideWhenUsed/>
    <w:rsid w:val="00D438C2"/>
    <w:rPr>
      <w:color w:val="2B579A"/>
      <w:shd w:val="clear" w:color="auto" w:fill="E1DFDD"/>
    </w:rPr>
  </w:style>
  <w:style w:type="character" w:customStyle="1" w:styleId="normaltextrun">
    <w:name w:val="normaltextrun"/>
    <w:basedOn w:val="Liguvaikefont"/>
    <w:rsid w:val="00D438C2"/>
  </w:style>
  <w:style w:type="character" w:customStyle="1" w:styleId="eop">
    <w:name w:val="eop"/>
    <w:basedOn w:val="Liguvaikefont"/>
    <w:rsid w:val="00D438C2"/>
  </w:style>
  <w:style w:type="paragraph" w:customStyle="1" w:styleId="paragraph0">
    <w:name w:val="paragraph"/>
    <w:basedOn w:val="Normaallaad"/>
    <w:rsid w:val="00685C79"/>
    <w:pPr>
      <w:spacing w:before="100" w:beforeAutospacing="1" w:after="100" w:afterAutospacing="1"/>
      <w:jc w:val="left"/>
    </w:pPr>
    <w:rPr>
      <w:rFonts w:eastAsia="Times New Roman"/>
      <w:szCs w:val="24"/>
      <w:lang w:val="en-IE" w:eastAsia="en-IE"/>
    </w:rPr>
  </w:style>
  <w:style w:type="paragraph" w:customStyle="1" w:styleId="Paragraph">
    <w:name w:val="Paragraph"/>
    <w:basedOn w:val="Normaallaad"/>
    <w:link w:val="ParagraphChar"/>
    <w:qFormat/>
    <w:rsid w:val="007A0760"/>
    <w:pPr>
      <w:numPr>
        <w:numId w:val="18"/>
      </w:numPr>
      <w:spacing w:before="100" w:beforeAutospacing="1"/>
      <w:jc w:val="left"/>
    </w:pPr>
    <w:rPr>
      <w:rFonts w:asciiTheme="majorHAnsi" w:eastAsia="Times New Roman" w:hAnsiTheme="majorHAnsi" w:cstheme="majorHAnsi"/>
      <w:color w:val="000000" w:themeColor="text1"/>
      <w:sz w:val="20"/>
      <w:szCs w:val="20"/>
      <w:lang w:val="en-IE" w:eastAsia="en-IE"/>
    </w:rPr>
  </w:style>
  <w:style w:type="paragraph" w:customStyle="1" w:styleId="Subparagraph">
    <w:name w:val="Subparagraph"/>
    <w:basedOn w:val="Paragraph"/>
    <w:qFormat/>
    <w:rsid w:val="007A0760"/>
    <w:pPr>
      <w:numPr>
        <w:ilvl w:val="1"/>
      </w:numPr>
      <w:tabs>
        <w:tab w:val="num" w:pos="283"/>
      </w:tabs>
      <w:ind w:left="283" w:hanging="283"/>
    </w:pPr>
  </w:style>
  <w:style w:type="paragraph" w:customStyle="1" w:styleId="Subsubparagraph">
    <w:name w:val="Subsubparagraph"/>
    <w:basedOn w:val="Subparagraph"/>
    <w:qFormat/>
    <w:rsid w:val="007A0760"/>
    <w:pPr>
      <w:numPr>
        <w:ilvl w:val="2"/>
      </w:numPr>
      <w:tabs>
        <w:tab w:val="num" w:pos="283"/>
        <w:tab w:val="num" w:pos="360"/>
      </w:tabs>
      <w:ind w:left="283" w:hanging="283"/>
    </w:pPr>
  </w:style>
  <w:style w:type="character" w:customStyle="1" w:styleId="ParagraphChar">
    <w:name w:val="Paragraph Char"/>
    <w:basedOn w:val="Liguvaikefont"/>
    <w:link w:val="Paragraph"/>
    <w:locked/>
    <w:rsid w:val="007A0760"/>
    <w:rPr>
      <w:rFonts w:asciiTheme="majorHAnsi" w:eastAsia="Times New Roman" w:hAnsiTheme="majorHAnsi" w:cstheme="majorHAnsi"/>
      <w:color w:val="000000" w:themeColor="text1"/>
      <w:sz w:val="20"/>
      <w:szCs w:val="20"/>
      <w:lang w:val="en-IE" w:eastAsia="en-IE"/>
    </w:rPr>
  </w:style>
  <w:style w:type="paragraph" w:customStyle="1" w:styleId="Article">
    <w:name w:val="Article"/>
    <w:basedOn w:val="Normaallaad"/>
    <w:rsid w:val="004E5F46"/>
    <w:pPr>
      <w:spacing w:before="360" w:line="279" w:lineRule="auto"/>
    </w:pPr>
    <w:rPr>
      <w:lang w:eastAsia="ja-JP"/>
    </w:rPr>
  </w:style>
  <w:style w:type="character" w:customStyle="1" w:styleId="Instructions">
    <w:name w:val="Instructions"/>
    <w:basedOn w:val="Vaevumrgatavrhutus"/>
    <w:uiPriority w:val="1"/>
    <w:qFormat/>
    <w:rsid w:val="002E7782"/>
    <w:rPr>
      <w:rFonts w:ascii="Times New Roman" w:eastAsia="Times New Roman" w:hAnsi="Times New Roman" w:cstheme="majorHAnsi" w:hint="default"/>
      <w:i/>
      <w:iCs/>
      <w:color w:val="008000"/>
      <w:kern w:val="0"/>
      <w:sz w:val="24"/>
      <w:szCs w:val="20"/>
      <w:lang w:val="en-IE" w:eastAsia="en-IE"/>
    </w:rPr>
  </w:style>
  <w:style w:type="character" w:styleId="Vaevumrgatavrhutus">
    <w:name w:val="Subtle Emphasis"/>
    <w:basedOn w:val="Liguvaikefont"/>
    <w:uiPriority w:val="19"/>
    <w:qFormat/>
    <w:rsid w:val="002E7782"/>
    <w:rPr>
      <w:i/>
      <w:iCs/>
      <w:color w:val="404040" w:themeColor="text1" w:themeTint="BF"/>
    </w:rPr>
  </w:style>
  <w:style w:type="character" w:customStyle="1" w:styleId="cf01">
    <w:name w:val="cf01"/>
    <w:basedOn w:val="Liguvaikefont"/>
    <w:rsid w:val="00E670EE"/>
    <w:rPr>
      <w:rFonts w:ascii="Segoe UI" w:hAnsi="Segoe UI" w:cs="Segoe UI" w:hint="default"/>
      <w:sz w:val="18"/>
      <w:szCs w:val="18"/>
    </w:rPr>
  </w:style>
  <w:style w:type="character" w:customStyle="1" w:styleId="cf11">
    <w:name w:val="cf11"/>
    <w:basedOn w:val="Liguvaikefont"/>
    <w:rsid w:val="00E670EE"/>
    <w:rPr>
      <w:rFonts w:ascii="Segoe UI" w:hAnsi="Segoe UI" w:cs="Segoe UI" w:hint="default"/>
      <w:color w:val="0000EE"/>
      <w:sz w:val="18"/>
      <w:szCs w:val="18"/>
      <w:u w:val="single"/>
    </w:rPr>
  </w:style>
  <w:style w:type="character" w:customStyle="1" w:styleId="PisMrk">
    <w:name w:val="Päis Märk"/>
    <w:basedOn w:val="Liguvaikefont"/>
    <w:link w:val="Pis"/>
    <w:uiPriority w:val="99"/>
    <w:rsid w:val="00AC3668"/>
    <w:rPr>
      <w:rFonts w:ascii="Times New Roman" w:hAnsi="Times New Roman" w:cs="Times New Roman"/>
      <w:sz w:val="24"/>
      <w:lang w:val="en-GB"/>
    </w:rPr>
  </w:style>
  <w:style w:type="character" w:customStyle="1" w:styleId="JalusMrk">
    <w:name w:val="Jalus Märk"/>
    <w:basedOn w:val="Liguvaikefont"/>
    <w:link w:val="Jalus"/>
    <w:uiPriority w:val="99"/>
    <w:rsid w:val="00AC3668"/>
    <w:rPr>
      <w:rFonts w:ascii="Times New Roman" w:hAnsi="Times New Roman" w:cs="Times New Roman"/>
      <w:sz w:val="24"/>
      <w:lang w:val="en-GB"/>
    </w:rPr>
  </w:style>
  <w:style w:type="paragraph" w:styleId="Allmrkusetekst">
    <w:name w:val="footnote text"/>
    <w:basedOn w:val="Normaallaad"/>
    <w:link w:val="AllmrkusetekstMrk"/>
    <w:uiPriority w:val="99"/>
    <w:semiHidden/>
    <w:unhideWhenUsed/>
    <w:pPr>
      <w:spacing w:before="0" w:after="0"/>
      <w:ind w:left="720" w:hanging="720"/>
    </w:pPr>
    <w:rPr>
      <w:sz w:val="20"/>
      <w:szCs w:val="20"/>
    </w:rPr>
  </w:style>
  <w:style w:type="character" w:customStyle="1" w:styleId="AllmrkusetekstMrk">
    <w:name w:val="Allmärkuse tekst Märk"/>
    <w:basedOn w:val="Liguvaikefont"/>
    <w:link w:val="Allmrkusetekst"/>
    <w:uiPriority w:val="99"/>
    <w:semiHidden/>
    <w:rPr>
      <w:rFonts w:ascii="Times New Roman" w:hAnsi="Times New Roman" w:cs="Times New Roman"/>
      <w:sz w:val="20"/>
      <w:szCs w:val="20"/>
      <w:shd w:val="clear" w:color="auto" w:fill="auto"/>
      <w:lang w:val="en-GB"/>
    </w:rPr>
  </w:style>
  <w:style w:type="character" w:customStyle="1" w:styleId="Pealkiri1Mrk">
    <w:name w:val="Pealkiri 1 Märk"/>
    <w:basedOn w:val="Liguvaikefont"/>
    <w:link w:val="Pealkiri1"/>
    <w:uiPriority w:val="9"/>
    <w:rPr>
      <w:rFonts w:ascii="Times New Roman" w:eastAsiaTheme="majorEastAsia" w:hAnsi="Times New Roman" w:cs="Times New Roman"/>
      <w:b/>
      <w:bCs/>
      <w:smallCaps/>
      <w:sz w:val="24"/>
      <w:szCs w:val="28"/>
      <w:lang w:val="en-GB"/>
    </w:rPr>
  </w:style>
  <w:style w:type="character" w:customStyle="1" w:styleId="Pealkiri2Mrk">
    <w:name w:val="Pealkiri 2 Märk"/>
    <w:basedOn w:val="Liguvaikefont"/>
    <w:link w:val="Pealkiri2"/>
    <w:uiPriority w:val="9"/>
    <w:semiHidden/>
    <w:rPr>
      <w:rFonts w:ascii="Times New Roman" w:eastAsiaTheme="majorEastAsia" w:hAnsi="Times New Roman" w:cs="Times New Roman"/>
      <w:b/>
      <w:bCs/>
      <w:sz w:val="24"/>
      <w:szCs w:val="26"/>
      <w:lang w:val="en-GB"/>
    </w:rPr>
  </w:style>
  <w:style w:type="character" w:customStyle="1" w:styleId="Pealkiri3Mrk">
    <w:name w:val="Pealkiri 3 Märk"/>
    <w:basedOn w:val="Liguvaikefont"/>
    <w:link w:val="Pealkiri3"/>
    <w:uiPriority w:val="9"/>
    <w:semiHidden/>
    <w:rPr>
      <w:rFonts w:ascii="Times New Roman" w:eastAsiaTheme="majorEastAsia" w:hAnsi="Times New Roman" w:cs="Times New Roman"/>
      <w:bCs/>
      <w:i/>
      <w:sz w:val="24"/>
      <w:lang w:val="en-GB"/>
    </w:rPr>
  </w:style>
  <w:style w:type="character" w:customStyle="1" w:styleId="Pealkiri4Mrk">
    <w:name w:val="Pealkiri 4 Märk"/>
    <w:basedOn w:val="Liguvaikefont"/>
    <w:link w:val="Pealkiri4"/>
    <w:uiPriority w:val="9"/>
    <w:semiHidden/>
    <w:rPr>
      <w:rFonts w:ascii="Times New Roman" w:eastAsiaTheme="majorEastAsia" w:hAnsi="Times New Roman" w:cs="Times New Roman"/>
      <w:bCs/>
      <w:iCs/>
      <w:sz w:val="24"/>
      <w:lang w:val="en-GB"/>
    </w:rPr>
  </w:style>
  <w:style w:type="character" w:customStyle="1" w:styleId="Pealkiri5Mrk">
    <w:name w:val="Pealkiri 5 Märk"/>
    <w:basedOn w:val="Liguvaikefont"/>
    <w:link w:val="Pealkiri5"/>
    <w:uiPriority w:val="9"/>
    <w:semiHidden/>
    <w:rPr>
      <w:rFonts w:ascii="Times New Roman" w:eastAsiaTheme="majorEastAsia" w:hAnsi="Times New Roman" w:cs="Times New Roman"/>
      <w:sz w:val="24"/>
      <w:lang w:val="en-GB"/>
    </w:rPr>
  </w:style>
  <w:style w:type="character" w:customStyle="1" w:styleId="Pealkiri6Mrk">
    <w:name w:val="Pealkiri 6 Märk"/>
    <w:basedOn w:val="Liguvaikefont"/>
    <w:link w:val="Pealkiri6"/>
    <w:uiPriority w:val="9"/>
    <w:semiHidden/>
    <w:rPr>
      <w:rFonts w:ascii="Times New Roman" w:eastAsiaTheme="majorEastAsia" w:hAnsi="Times New Roman" w:cs="Times New Roman"/>
      <w:iCs/>
      <w:sz w:val="24"/>
      <w:lang w:val="en-GB"/>
    </w:rPr>
  </w:style>
  <w:style w:type="character" w:customStyle="1" w:styleId="Pealkiri7Mrk">
    <w:name w:val="Pealkiri 7 Märk"/>
    <w:basedOn w:val="Liguvaikefont"/>
    <w:link w:val="Pealkiri7"/>
    <w:uiPriority w:val="9"/>
    <w:semiHidden/>
    <w:rPr>
      <w:rFonts w:ascii="Times New Roman" w:eastAsiaTheme="majorEastAsia" w:hAnsi="Times New Roman" w:cs="Times New Roman"/>
      <w:iCs/>
      <w:sz w:val="24"/>
      <w:lang w:val="en-GB"/>
    </w:rPr>
  </w:style>
  <w:style w:type="paragraph" w:styleId="Sisukorrapealkiri">
    <w:name w:val="TOC Heading"/>
    <w:basedOn w:val="Normaallaad"/>
    <w:next w:val="Normaallaad"/>
    <w:uiPriority w:val="39"/>
    <w:semiHidden/>
    <w:unhideWhenUsed/>
    <w:qFormat/>
    <w:pPr>
      <w:spacing w:after="240"/>
      <w:jc w:val="center"/>
    </w:pPr>
    <w:rPr>
      <w:b/>
      <w:sz w:val="28"/>
    </w:rPr>
  </w:style>
  <w:style w:type="paragraph" w:styleId="SK1">
    <w:name w:val="toc 1"/>
    <w:basedOn w:val="Normaallaad"/>
    <w:next w:val="Normaallaad"/>
    <w:uiPriority w:val="39"/>
    <w:semiHidden/>
    <w:unhideWhenUsed/>
    <w:pPr>
      <w:tabs>
        <w:tab w:val="right" w:leader="dot" w:pos="9071"/>
      </w:tabs>
      <w:spacing w:before="60"/>
      <w:ind w:left="850" w:hanging="850"/>
      <w:jc w:val="left"/>
    </w:pPr>
  </w:style>
  <w:style w:type="paragraph" w:styleId="SK2">
    <w:name w:val="toc 2"/>
    <w:basedOn w:val="Normaallaad"/>
    <w:next w:val="Normaallaad"/>
    <w:uiPriority w:val="39"/>
    <w:semiHidden/>
    <w:unhideWhenUsed/>
    <w:pPr>
      <w:tabs>
        <w:tab w:val="right" w:leader="dot" w:pos="9071"/>
      </w:tabs>
      <w:spacing w:before="60"/>
      <w:ind w:left="850" w:hanging="850"/>
      <w:jc w:val="left"/>
    </w:pPr>
  </w:style>
  <w:style w:type="paragraph" w:styleId="SK3">
    <w:name w:val="toc 3"/>
    <w:basedOn w:val="Normaallaad"/>
    <w:next w:val="Normaallaad"/>
    <w:uiPriority w:val="39"/>
    <w:semiHidden/>
    <w:unhideWhenUsed/>
    <w:pPr>
      <w:tabs>
        <w:tab w:val="right" w:leader="dot" w:pos="9071"/>
      </w:tabs>
      <w:spacing w:before="60"/>
      <w:ind w:left="850" w:hanging="850"/>
      <w:jc w:val="left"/>
    </w:pPr>
  </w:style>
  <w:style w:type="paragraph" w:styleId="SK4">
    <w:name w:val="toc 4"/>
    <w:basedOn w:val="Normaallaad"/>
    <w:next w:val="Normaallaad"/>
    <w:uiPriority w:val="39"/>
    <w:semiHidden/>
    <w:unhideWhenUsed/>
    <w:pPr>
      <w:tabs>
        <w:tab w:val="right" w:leader="dot" w:pos="9071"/>
      </w:tabs>
      <w:spacing w:before="60"/>
      <w:ind w:left="850" w:hanging="850"/>
      <w:jc w:val="left"/>
    </w:pPr>
  </w:style>
  <w:style w:type="paragraph" w:styleId="SK5">
    <w:name w:val="toc 5"/>
    <w:basedOn w:val="Normaallaad"/>
    <w:next w:val="Normaallaad"/>
    <w:uiPriority w:val="39"/>
    <w:semiHidden/>
    <w:unhideWhenUsed/>
    <w:pPr>
      <w:tabs>
        <w:tab w:val="right" w:leader="dot" w:pos="9071"/>
      </w:tabs>
      <w:spacing w:before="300"/>
      <w:jc w:val="left"/>
    </w:pPr>
  </w:style>
  <w:style w:type="paragraph" w:styleId="SK6">
    <w:name w:val="toc 6"/>
    <w:basedOn w:val="Normaallaad"/>
    <w:next w:val="Normaallaad"/>
    <w:uiPriority w:val="39"/>
    <w:semiHidden/>
    <w:unhideWhenUsed/>
    <w:pPr>
      <w:tabs>
        <w:tab w:val="right" w:leader="dot" w:pos="9071"/>
      </w:tabs>
      <w:spacing w:before="240"/>
      <w:jc w:val="left"/>
    </w:pPr>
  </w:style>
  <w:style w:type="paragraph" w:styleId="SK7">
    <w:name w:val="toc 7"/>
    <w:basedOn w:val="Normaallaad"/>
    <w:next w:val="Normaallaad"/>
    <w:uiPriority w:val="39"/>
    <w:semiHidden/>
    <w:unhideWhenUsed/>
    <w:pPr>
      <w:tabs>
        <w:tab w:val="right" w:leader="dot" w:pos="9071"/>
      </w:tabs>
      <w:spacing w:before="180"/>
      <w:jc w:val="left"/>
    </w:pPr>
  </w:style>
  <w:style w:type="paragraph" w:styleId="SK8">
    <w:name w:val="toc 8"/>
    <w:basedOn w:val="Normaallaad"/>
    <w:next w:val="Normaallaad"/>
    <w:uiPriority w:val="39"/>
    <w:semiHidden/>
    <w:unhideWhenUsed/>
    <w:pPr>
      <w:tabs>
        <w:tab w:val="right" w:leader="dot" w:pos="9071"/>
      </w:tabs>
      <w:jc w:val="left"/>
    </w:pPr>
  </w:style>
  <w:style w:type="paragraph" w:styleId="SK9">
    <w:name w:val="toc 9"/>
    <w:basedOn w:val="Normaallaad"/>
    <w:next w:val="Normaallaad"/>
    <w:uiPriority w:val="39"/>
    <w:semiHidden/>
    <w:unhideWhenUsed/>
    <w:pPr>
      <w:tabs>
        <w:tab w:val="right" w:leader="dot" w:pos="9071"/>
      </w:tabs>
      <w:ind w:left="1417" w:hanging="1417"/>
      <w:jc w:val="left"/>
    </w:pPr>
  </w:style>
  <w:style w:type="character" w:styleId="Allmrkuseviide">
    <w:name w:val="footnote reference"/>
    <w:basedOn w:val="Liguvaikefont"/>
    <w:uiPriority w:val="99"/>
    <w:semiHidden/>
    <w:unhideWhenUsed/>
    <w:rPr>
      <w:shd w:val="clear" w:color="auto" w:fill="auto"/>
      <w:vertAlign w:val="superscript"/>
    </w:rPr>
  </w:style>
  <w:style w:type="paragraph" w:customStyle="1" w:styleId="HeaderSensitivity">
    <w:name w:val="Header Sensitivity"/>
    <w:basedOn w:val="Normaallaad"/>
    <w:rsid w:val="00AC366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allaad"/>
    <w:rsid w:val="00AC3668"/>
    <w:pPr>
      <w:spacing w:before="0"/>
      <w:jc w:val="right"/>
    </w:pPr>
    <w:rPr>
      <w:sz w:val="28"/>
    </w:rPr>
  </w:style>
  <w:style w:type="paragraph" w:customStyle="1" w:styleId="FooterSensitivity">
    <w:name w:val="Footer Sensitivity"/>
    <w:basedOn w:val="Normaallaad"/>
    <w:rsid w:val="00AC366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allaad"/>
    <w:pPr>
      <w:ind w:left="850"/>
    </w:pPr>
  </w:style>
  <w:style w:type="paragraph" w:customStyle="1" w:styleId="Text2">
    <w:name w:val="Text 2"/>
    <w:basedOn w:val="Normaallaad"/>
    <w:pPr>
      <w:ind w:left="1417"/>
    </w:pPr>
  </w:style>
  <w:style w:type="paragraph" w:customStyle="1" w:styleId="Text3">
    <w:name w:val="Text 3"/>
    <w:basedOn w:val="Normaallaad"/>
    <w:pPr>
      <w:ind w:left="1984"/>
    </w:pPr>
  </w:style>
  <w:style w:type="paragraph" w:customStyle="1" w:styleId="Text4">
    <w:name w:val="Text 4"/>
    <w:basedOn w:val="Normaallaad"/>
    <w:pPr>
      <w:ind w:left="2551"/>
    </w:pPr>
  </w:style>
  <w:style w:type="paragraph" w:customStyle="1" w:styleId="Text5">
    <w:name w:val="Text 5"/>
    <w:basedOn w:val="Normaallaad"/>
    <w:pPr>
      <w:ind w:left="3118"/>
    </w:pPr>
  </w:style>
  <w:style w:type="paragraph" w:customStyle="1" w:styleId="Text6">
    <w:name w:val="Text 6"/>
    <w:basedOn w:val="Normaallaad"/>
    <w:pPr>
      <w:ind w:left="3685"/>
    </w:pPr>
  </w:style>
  <w:style w:type="paragraph" w:customStyle="1" w:styleId="NormalCentered">
    <w:name w:val="Normal Centered"/>
    <w:basedOn w:val="Normaallaad"/>
    <w:pPr>
      <w:jc w:val="center"/>
    </w:pPr>
  </w:style>
  <w:style w:type="paragraph" w:customStyle="1" w:styleId="NormalLeft">
    <w:name w:val="Normal Left"/>
    <w:basedOn w:val="Normaallaad"/>
    <w:pPr>
      <w:jc w:val="left"/>
    </w:pPr>
  </w:style>
  <w:style w:type="paragraph" w:customStyle="1" w:styleId="NormalRight">
    <w:name w:val="Normal Right"/>
    <w:basedOn w:val="Normaallaad"/>
    <w:pPr>
      <w:jc w:val="right"/>
    </w:pPr>
  </w:style>
  <w:style w:type="paragraph" w:customStyle="1" w:styleId="QuotedText">
    <w:name w:val="Quoted Text"/>
    <w:basedOn w:val="Normaallaad"/>
    <w:pPr>
      <w:ind w:left="1417"/>
    </w:pPr>
  </w:style>
  <w:style w:type="paragraph" w:customStyle="1" w:styleId="Point0">
    <w:name w:val="Point 0"/>
    <w:basedOn w:val="Normaallaad"/>
    <w:pPr>
      <w:ind w:left="850" w:hanging="850"/>
    </w:pPr>
  </w:style>
  <w:style w:type="paragraph" w:customStyle="1" w:styleId="Point1">
    <w:name w:val="Point 1"/>
    <w:basedOn w:val="Normaallaad"/>
    <w:pPr>
      <w:ind w:left="1417" w:hanging="567"/>
    </w:pPr>
  </w:style>
  <w:style w:type="paragraph" w:customStyle="1" w:styleId="Point2">
    <w:name w:val="Point 2"/>
    <w:basedOn w:val="Normaallaad"/>
    <w:pPr>
      <w:ind w:left="1984" w:hanging="567"/>
    </w:pPr>
  </w:style>
  <w:style w:type="paragraph" w:customStyle="1" w:styleId="Point3">
    <w:name w:val="Point 3"/>
    <w:basedOn w:val="Normaallaad"/>
    <w:pPr>
      <w:ind w:left="2551" w:hanging="567"/>
    </w:pPr>
  </w:style>
  <w:style w:type="paragraph" w:customStyle="1" w:styleId="Point4">
    <w:name w:val="Point 4"/>
    <w:basedOn w:val="Normaallaad"/>
    <w:pPr>
      <w:ind w:left="3118" w:hanging="567"/>
    </w:pPr>
  </w:style>
  <w:style w:type="paragraph" w:customStyle="1" w:styleId="Point5">
    <w:name w:val="Point 5"/>
    <w:basedOn w:val="Normaallaad"/>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allaad"/>
    <w:pPr>
      <w:tabs>
        <w:tab w:val="left" w:pos="850"/>
      </w:tabs>
      <w:ind w:left="1417" w:hanging="1417"/>
    </w:pPr>
  </w:style>
  <w:style w:type="paragraph" w:customStyle="1" w:styleId="PointDouble1">
    <w:name w:val="PointDouble 1"/>
    <w:basedOn w:val="Normaallaad"/>
    <w:pPr>
      <w:tabs>
        <w:tab w:val="left" w:pos="1417"/>
      </w:tabs>
      <w:ind w:left="1984" w:hanging="1134"/>
    </w:pPr>
  </w:style>
  <w:style w:type="paragraph" w:customStyle="1" w:styleId="PointDouble2">
    <w:name w:val="PointDouble 2"/>
    <w:basedOn w:val="Normaallaad"/>
    <w:pPr>
      <w:tabs>
        <w:tab w:val="left" w:pos="1984"/>
      </w:tabs>
      <w:ind w:left="2551" w:hanging="1134"/>
    </w:pPr>
  </w:style>
  <w:style w:type="paragraph" w:customStyle="1" w:styleId="PointDouble3">
    <w:name w:val="PointDouble 3"/>
    <w:basedOn w:val="Normaallaad"/>
    <w:pPr>
      <w:tabs>
        <w:tab w:val="left" w:pos="2551"/>
      </w:tabs>
      <w:ind w:left="3118" w:hanging="1134"/>
    </w:pPr>
  </w:style>
  <w:style w:type="paragraph" w:customStyle="1" w:styleId="PointDouble4">
    <w:name w:val="PointDouble 4"/>
    <w:basedOn w:val="Normaallaad"/>
    <w:pPr>
      <w:tabs>
        <w:tab w:val="left" w:pos="3118"/>
      </w:tabs>
      <w:ind w:left="3685" w:hanging="1134"/>
    </w:pPr>
  </w:style>
  <w:style w:type="paragraph" w:customStyle="1" w:styleId="PointTriple0">
    <w:name w:val="PointTriple 0"/>
    <w:basedOn w:val="Normaallaad"/>
    <w:pPr>
      <w:tabs>
        <w:tab w:val="left" w:pos="850"/>
        <w:tab w:val="left" w:pos="1417"/>
      </w:tabs>
      <w:ind w:left="1984" w:hanging="1984"/>
    </w:pPr>
  </w:style>
  <w:style w:type="paragraph" w:customStyle="1" w:styleId="PointTriple1">
    <w:name w:val="PointTriple 1"/>
    <w:basedOn w:val="Normaallaad"/>
    <w:pPr>
      <w:tabs>
        <w:tab w:val="left" w:pos="1417"/>
        <w:tab w:val="left" w:pos="1984"/>
      </w:tabs>
      <w:ind w:left="2551" w:hanging="1701"/>
    </w:pPr>
  </w:style>
  <w:style w:type="paragraph" w:customStyle="1" w:styleId="PointTriple2">
    <w:name w:val="PointTriple 2"/>
    <w:basedOn w:val="Normaallaad"/>
    <w:pPr>
      <w:tabs>
        <w:tab w:val="left" w:pos="1984"/>
        <w:tab w:val="left" w:pos="2551"/>
      </w:tabs>
      <w:ind w:left="3118" w:hanging="1701"/>
    </w:pPr>
  </w:style>
  <w:style w:type="paragraph" w:customStyle="1" w:styleId="PointTriple3">
    <w:name w:val="PointTriple 3"/>
    <w:basedOn w:val="Normaallaad"/>
    <w:pPr>
      <w:tabs>
        <w:tab w:val="left" w:pos="2551"/>
        <w:tab w:val="left" w:pos="3118"/>
      </w:tabs>
      <w:ind w:left="3685" w:hanging="1701"/>
    </w:pPr>
  </w:style>
  <w:style w:type="paragraph" w:customStyle="1" w:styleId="PointTriple4">
    <w:name w:val="PointTriple 4"/>
    <w:basedOn w:val="Normaallaad"/>
    <w:pPr>
      <w:tabs>
        <w:tab w:val="left" w:pos="3118"/>
        <w:tab w:val="left" w:pos="3685"/>
      </w:tabs>
      <w:ind w:left="4252" w:hanging="1701"/>
    </w:pPr>
  </w:style>
  <w:style w:type="paragraph" w:customStyle="1" w:styleId="NumPar1">
    <w:name w:val="NumPar 1"/>
    <w:basedOn w:val="Normaallaad"/>
    <w:next w:val="Text1"/>
    <w:pPr>
      <w:numPr>
        <w:numId w:val="25"/>
      </w:numPr>
    </w:pPr>
  </w:style>
  <w:style w:type="paragraph" w:customStyle="1" w:styleId="NumPar2">
    <w:name w:val="NumPar 2"/>
    <w:basedOn w:val="Normaallaad"/>
    <w:next w:val="Text1"/>
    <w:pPr>
      <w:numPr>
        <w:ilvl w:val="1"/>
        <w:numId w:val="25"/>
      </w:numPr>
    </w:pPr>
  </w:style>
  <w:style w:type="paragraph" w:customStyle="1" w:styleId="NumPar3">
    <w:name w:val="NumPar 3"/>
    <w:basedOn w:val="Normaallaad"/>
    <w:next w:val="Text1"/>
    <w:pPr>
      <w:numPr>
        <w:ilvl w:val="2"/>
        <w:numId w:val="25"/>
      </w:numPr>
    </w:pPr>
  </w:style>
  <w:style w:type="paragraph" w:customStyle="1" w:styleId="NumPar4">
    <w:name w:val="NumPar 4"/>
    <w:basedOn w:val="Normaallaad"/>
    <w:next w:val="Text1"/>
    <w:pPr>
      <w:numPr>
        <w:ilvl w:val="3"/>
        <w:numId w:val="25"/>
      </w:numPr>
    </w:pPr>
  </w:style>
  <w:style w:type="paragraph" w:customStyle="1" w:styleId="NumPar5">
    <w:name w:val="NumPar 5"/>
    <w:basedOn w:val="Normaallaad"/>
    <w:next w:val="Text2"/>
    <w:pPr>
      <w:numPr>
        <w:ilvl w:val="4"/>
        <w:numId w:val="25"/>
      </w:numPr>
    </w:pPr>
  </w:style>
  <w:style w:type="paragraph" w:customStyle="1" w:styleId="NumPar6">
    <w:name w:val="NumPar 6"/>
    <w:basedOn w:val="Normaallaad"/>
    <w:next w:val="Text2"/>
    <w:pPr>
      <w:numPr>
        <w:ilvl w:val="5"/>
        <w:numId w:val="25"/>
      </w:numPr>
    </w:pPr>
  </w:style>
  <w:style w:type="paragraph" w:customStyle="1" w:styleId="NumPar7">
    <w:name w:val="NumPar 7"/>
    <w:basedOn w:val="Normaallaad"/>
    <w:next w:val="Text2"/>
    <w:pPr>
      <w:numPr>
        <w:ilvl w:val="6"/>
        <w:numId w:val="25"/>
      </w:numPr>
    </w:pPr>
  </w:style>
  <w:style w:type="paragraph" w:customStyle="1" w:styleId="ManualNumPar1">
    <w:name w:val="Manual NumPar 1"/>
    <w:basedOn w:val="Normaallaad"/>
    <w:next w:val="Text1"/>
    <w:pPr>
      <w:ind w:left="850" w:hanging="850"/>
    </w:pPr>
  </w:style>
  <w:style w:type="paragraph" w:customStyle="1" w:styleId="ManualNumPar2">
    <w:name w:val="Manual NumPar 2"/>
    <w:basedOn w:val="Normaallaad"/>
    <w:next w:val="Text1"/>
    <w:pPr>
      <w:ind w:left="850" w:hanging="850"/>
    </w:pPr>
  </w:style>
  <w:style w:type="paragraph" w:customStyle="1" w:styleId="ManualNumPar3">
    <w:name w:val="Manual NumPar 3"/>
    <w:basedOn w:val="Normaallaad"/>
    <w:next w:val="Text1"/>
    <w:pPr>
      <w:ind w:left="850" w:hanging="850"/>
    </w:pPr>
  </w:style>
  <w:style w:type="paragraph" w:customStyle="1" w:styleId="ManualNumPar4">
    <w:name w:val="Manual NumPar 4"/>
    <w:basedOn w:val="Normaallaad"/>
    <w:next w:val="Text1"/>
    <w:pPr>
      <w:ind w:left="850" w:hanging="850"/>
    </w:pPr>
  </w:style>
  <w:style w:type="paragraph" w:customStyle="1" w:styleId="ManualNumPar5">
    <w:name w:val="Manual NumPar 5"/>
    <w:basedOn w:val="Normaallaad"/>
    <w:next w:val="Text2"/>
    <w:pPr>
      <w:ind w:left="1417" w:hanging="1417"/>
    </w:pPr>
  </w:style>
  <w:style w:type="paragraph" w:customStyle="1" w:styleId="ManualNumPar6">
    <w:name w:val="Manual NumPar 6"/>
    <w:basedOn w:val="Normaallaad"/>
    <w:next w:val="Text2"/>
    <w:pPr>
      <w:ind w:left="1417" w:hanging="1417"/>
    </w:pPr>
  </w:style>
  <w:style w:type="paragraph" w:customStyle="1" w:styleId="ManualNumPar7">
    <w:name w:val="Manual NumPar 7"/>
    <w:basedOn w:val="Normaallaad"/>
    <w:next w:val="Text2"/>
    <w:pPr>
      <w:ind w:left="1417" w:hanging="1417"/>
    </w:pPr>
  </w:style>
  <w:style w:type="paragraph" w:customStyle="1" w:styleId="QuotedNumPar">
    <w:name w:val="Quoted NumPar"/>
    <w:basedOn w:val="Normaallaad"/>
    <w:pPr>
      <w:ind w:left="1417" w:hanging="567"/>
    </w:pPr>
  </w:style>
  <w:style w:type="paragraph" w:customStyle="1" w:styleId="ManualHeading1">
    <w:name w:val="Manual Heading 1"/>
    <w:basedOn w:val="Normaallaad"/>
    <w:next w:val="Text1"/>
    <w:pPr>
      <w:keepNext/>
      <w:tabs>
        <w:tab w:val="left" w:pos="850"/>
      </w:tabs>
      <w:spacing w:before="360"/>
      <w:ind w:left="850" w:hanging="850"/>
      <w:outlineLvl w:val="0"/>
    </w:pPr>
    <w:rPr>
      <w:b/>
      <w:smallCaps/>
    </w:rPr>
  </w:style>
  <w:style w:type="paragraph" w:customStyle="1" w:styleId="ManualHeading2">
    <w:name w:val="Manual Heading 2"/>
    <w:basedOn w:val="Normaallaad"/>
    <w:next w:val="Text1"/>
    <w:pPr>
      <w:keepNext/>
      <w:tabs>
        <w:tab w:val="left" w:pos="850"/>
      </w:tabs>
      <w:ind w:left="850" w:hanging="850"/>
      <w:outlineLvl w:val="1"/>
    </w:pPr>
    <w:rPr>
      <w:b/>
    </w:rPr>
  </w:style>
  <w:style w:type="paragraph" w:customStyle="1" w:styleId="ManualHeading3">
    <w:name w:val="Manual Heading 3"/>
    <w:basedOn w:val="Normaallaad"/>
    <w:next w:val="Text1"/>
    <w:pPr>
      <w:keepNext/>
      <w:tabs>
        <w:tab w:val="left" w:pos="850"/>
      </w:tabs>
      <w:ind w:left="850" w:hanging="850"/>
      <w:outlineLvl w:val="2"/>
    </w:pPr>
    <w:rPr>
      <w:i/>
    </w:rPr>
  </w:style>
  <w:style w:type="paragraph" w:customStyle="1" w:styleId="ManualHeading4">
    <w:name w:val="Manual Heading 4"/>
    <w:basedOn w:val="Normaallaad"/>
    <w:next w:val="Text1"/>
    <w:pPr>
      <w:keepNext/>
      <w:tabs>
        <w:tab w:val="left" w:pos="850"/>
      </w:tabs>
      <w:ind w:left="850" w:hanging="850"/>
      <w:outlineLvl w:val="3"/>
    </w:pPr>
  </w:style>
  <w:style w:type="paragraph" w:customStyle="1" w:styleId="ManualHeading5">
    <w:name w:val="Manual Heading 5"/>
    <w:basedOn w:val="Normaallaad"/>
    <w:next w:val="Text2"/>
    <w:pPr>
      <w:keepNext/>
      <w:tabs>
        <w:tab w:val="left" w:pos="1417"/>
      </w:tabs>
      <w:ind w:left="1417" w:hanging="1417"/>
      <w:outlineLvl w:val="4"/>
    </w:pPr>
  </w:style>
  <w:style w:type="paragraph" w:customStyle="1" w:styleId="ManualHeading6">
    <w:name w:val="Manual Heading 6"/>
    <w:basedOn w:val="Normaallaad"/>
    <w:next w:val="Text2"/>
    <w:pPr>
      <w:keepNext/>
      <w:tabs>
        <w:tab w:val="left" w:pos="1417"/>
      </w:tabs>
      <w:ind w:left="1417" w:hanging="1417"/>
      <w:outlineLvl w:val="5"/>
    </w:pPr>
  </w:style>
  <w:style w:type="paragraph" w:customStyle="1" w:styleId="ManualHeading7">
    <w:name w:val="Manual Heading 7"/>
    <w:basedOn w:val="Normaallaad"/>
    <w:next w:val="Text2"/>
    <w:pPr>
      <w:keepNext/>
      <w:tabs>
        <w:tab w:val="left" w:pos="1417"/>
      </w:tabs>
      <w:ind w:left="1417" w:hanging="1417"/>
      <w:outlineLvl w:val="6"/>
    </w:pPr>
  </w:style>
  <w:style w:type="paragraph" w:customStyle="1" w:styleId="ChapterTitle">
    <w:name w:val="ChapterTitle"/>
    <w:basedOn w:val="Normaallaad"/>
    <w:next w:val="Normaallaad"/>
    <w:pPr>
      <w:keepNext/>
      <w:spacing w:after="360"/>
      <w:jc w:val="center"/>
    </w:pPr>
    <w:rPr>
      <w:b/>
      <w:sz w:val="32"/>
    </w:rPr>
  </w:style>
  <w:style w:type="paragraph" w:customStyle="1" w:styleId="PartTitle">
    <w:name w:val="PartTitle"/>
    <w:basedOn w:val="Normaallaad"/>
    <w:next w:val="ChapterTitle"/>
    <w:pPr>
      <w:keepNext/>
      <w:pageBreakBefore/>
      <w:spacing w:after="360"/>
      <w:jc w:val="center"/>
    </w:pPr>
    <w:rPr>
      <w:b/>
      <w:sz w:val="36"/>
    </w:rPr>
  </w:style>
  <w:style w:type="paragraph" w:customStyle="1" w:styleId="SectionTitle">
    <w:name w:val="SectionTitle"/>
    <w:basedOn w:val="Normaallaad"/>
    <w:next w:val="Pealkiri1"/>
    <w:pPr>
      <w:keepNext/>
      <w:spacing w:after="360"/>
      <w:jc w:val="center"/>
    </w:pPr>
    <w:rPr>
      <w:b/>
      <w:smallCaps/>
      <w:sz w:val="28"/>
    </w:rPr>
  </w:style>
  <w:style w:type="paragraph" w:customStyle="1" w:styleId="TableTitle">
    <w:name w:val="Table Title"/>
    <w:basedOn w:val="Normaallaad"/>
    <w:next w:val="Normaallaad"/>
    <w:pPr>
      <w:jc w:val="center"/>
    </w:pPr>
    <w:rPr>
      <w:b/>
    </w:rPr>
  </w:style>
  <w:style w:type="character" w:customStyle="1" w:styleId="Marker">
    <w:name w:val="Marker"/>
    <w:basedOn w:val="Liguvaikefont"/>
    <w:rPr>
      <w:color w:val="0000FF"/>
      <w:shd w:val="clear" w:color="auto" w:fill="auto"/>
    </w:rPr>
  </w:style>
  <w:style w:type="character" w:customStyle="1" w:styleId="Marker1">
    <w:name w:val="Marker1"/>
    <w:basedOn w:val="Liguvaikefont"/>
    <w:rPr>
      <w:color w:val="008000"/>
      <w:shd w:val="clear" w:color="auto" w:fill="auto"/>
    </w:rPr>
  </w:style>
  <w:style w:type="character" w:customStyle="1" w:styleId="Marker2">
    <w:name w:val="Marker2"/>
    <w:basedOn w:val="Liguvaikefont"/>
    <w:rPr>
      <w:color w:val="FF0000"/>
      <w:shd w:val="clear" w:color="auto" w:fill="auto"/>
    </w:rPr>
  </w:style>
  <w:style w:type="paragraph" w:customStyle="1" w:styleId="Point0number">
    <w:name w:val="Point 0 (number)"/>
    <w:basedOn w:val="Normaallaad"/>
    <w:pPr>
      <w:numPr>
        <w:numId w:val="26"/>
      </w:numPr>
    </w:pPr>
  </w:style>
  <w:style w:type="paragraph" w:customStyle="1" w:styleId="Point1number">
    <w:name w:val="Point 1 (number)"/>
    <w:basedOn w:val="Normaallaad"/>
    <w:pPr>
      <w:numPr>
        <w:ilvl w:val="2"/>
        <w:numId w:val="26"/>
      </w:numPr>
    </w:pPr>
  </w:style>
  <w:style w:type="paragraph" w:customStyle="1" w:styleId="Point2number">
    <w:name w:val="Point 2 (number)"/>
    <w:basedOn w:val="Normaallaad"/>
    <w:pPr>
      <w:numPr>
        <w:ilvl w:val="4"/>
        <w:numId w:val="26"/>
      </w:numPr>
    </w:pPr>
  </w:style>
  <w:style w:type="paragraph" w:customStyle="1" w:styleId="Point3number">
    <w:name w:val="Point 3 (number)"/>
    <w:basedOn w:val="Normaallaad"/>
    <w:pPr>
      <w:numPr>
        <w:ilvl w:val="6"/>
        <w:numId w:val="26"/>
      </w:numPr>
    </w:pPr>
  </w:style>
  <w:style w:type="paragraph" w:customStyle="1" w:styleId="Point0letter">
    <w:name w:val="Point 0 (letter)"/>
    <w:basedOn w:val="Normaallaad"/>
    <w:pPr>
      <w:numPr>
        <w:ilvl w:val="1"/>
        <w:numId w:val="26"/>
      </w:numPr>
    </w:pPr>
  </w:style>
  <w:style w:type="paragraph" w:customStyle="1" w:styleId="Point1letter">
    <w:name w:val="Point 1 (letter)"/>
    <w:basedOn w:val="Normaallaad"/>
    <w:pPr>
      <w:numPr>
        <w:ilvl w:val="3"/>
        <w:numId w:val="26"/>
      </w:numPr>
    </w:pPr>
  </w:style>
  <w:style w:type="paragraph" w:customStyle="1" w:styleId="Point2letter">
    <w:name w:val="Point 2 (letter)"/>
    <w:basedOn w:val="Normaallaad"/>
    <w:pPr>
      <w:numPr>
        <w:ilvl w:val="5"/>
        <w:numId w:val="26"/>
      </w:numPr>
    </w:pPr>
  </w:style>
  <w:style w:type="paragraph" w:customStyle="1" w:styleId="Point3letter">
    <w:name w:val="Point 3 (letter)"/>
    <w:basedOn w:val="Normaallaad"/>
    <w:pPr>
      <w:numPr>
        <w:ilvl w:val="7"/>
        <w:numId w:val="26"/>
      </w:numPr>
    </w:pPr>
  </w:style>
  <w:style w:type="paragraph" w:customStyle="1" w:styleId="Point4letter">
    <w:name w:val="Point 4 (letter)"/>
    <w:basedOn w:val="Normaallaad"/>
    <w:pPr>
      <w:numPr>
        <w:ilvl w:val="8"/>
        <w:numId w:val="26"/>
      </w:numPr>
    </w:pPr>
  </w:style>
  <w:style w:type="paragraph" w:customStyle="1" w:styleId="Bullet0">
    <w:name w:val="Bullet 0"/>
    <w:basedOn w:val="Normaallaad"/>
    <w:pPr>
      <w:numPr>
        <w:numId w:val="27"/>
      </w:numPr>
    </w:pPr>
  </w:style>
  <w:style w:type="paragraph" w:customStyle="1" w:styleId="Bullet1">
    <w:name w:val="Bullet 1"/>
    <w:basedOn w:val="Normaallaad"/>
    <w:pPr>
      <w:numPr>
        <w:numId w:val="28"/>
      </w:numPr>
    </w:pPr>
  </w:style>
  <w:style w:type="paragraph" w:customStyle="1" w:styleId="Bullet2">
    <w:name w:val="Bullet 2"/>
    <w:basedOn w:val="Normaallaad"/>
    <w:pPr>
      <w:numPr>
        <w:numId w:val="29"/>
      </w:numPr>
    </w:pPr>
  </w:style>
  <w:style w:type="paragraph" w:customStyle="1" w:styleId="Bullet3">
    <w:name w:val="Bullet 3"/>
    <w:basedOn w:val="Normaallaad"/>
    <w:pPr>
      <w:numPr>
        <w:numId w:val="30"/>
      </w:numPr>
    </w:pPr>
  </w:style>
  <w:style w:type="paragraph" w:customStyle="1" w:styleId="Bullet4">
    <w:name w:val="Bullet 4"/>
    <w:basedOn w:val="Normaallaad"/>
    <w:pPr>
      <w:numPr>
        <w:numId w:val="31"/>
      </w:numPr>
    </w:pPr>
  </w:style>
  <w:style w:type="paragraph" w:customStyle="1" w:styleId="Langue">
    <w:name w:val="Langue"/>
    <w:basedOn w:val="Normaallaad"/>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allaad"/>
    <w:next w:val="Emission"/>
    <w:pPr>
      <w:spacing w:before="0" w:after="0"/>
      <w:jc w:val="left"/>
    </w:pPr>
    <w:rPr>
      <w:rFonts w:ascii="Arial" w:hAnsi="Arial" w:cs="Arial"/>
    </w:rPr>
  </w:style>
  <w:style w:type="paragraph" w:customStyle="1" w:styleId="Emission">
    <w:name w:val="Emission"/>
    <w:basedOn w:val="Normaallaad"/>
    <w:next w:val="Rfrenceinstitutionnelle"/>
    <w:pPr>
      <w:spacing w:before="0" w:after="0"/>
      <w:ind w:left="5103"/>
      <w:jc w:val="left"/>
    </w:pPr>
  </w:style>
  <w:style w:type="paragraph" w:customStyle="1" w:styleId="Rfrenceinstitutionnelle">
    <w:name w:val="Référence institutionnelle"/>
    <w:basedOn w:val="Normaallaad"/>
    <w:next w:val="Confidentialit"/>
    <w:pPr>
      <w:spacing w:before="0" w:after="240"/>
      <w:ind w:left="5103"/>
      <w:jc w:val="left"/>
    </w:pPr>
  </w:style>
  <w:style w:type="paragraph" w:customStyle="1" w:styleId="Pagedecouverture">
    <w:name w:val="Page de couverture"/>
    <w:basedOn w:val="Normaallaad"/>
    <w:next w:val="Normaallaad"/>
    <w:pPr>
      <w:spacing w:before="0" w:after="0"/>
    </w:pPr>
  </w:style>
  <w:style w:type="paragraph" w:customStyle="1" w:styleId="Declassification">
    <w:name w:val="Declassification"/>
    <w:basedOn w:val="Normaallaad"/>
    <w:next w:val="Normaallaad"/>
    <w:pPr>
      <w:spacing w:before="0" w:after="0"/>
    </w:pPr>
  </w:style>
  <w:style w:type="paragraph" w:customStyle="1" w:styleId="Disclaimer">
    <w:name w:val="Disclaimer"/>
    <w:basedOn w:val="Normaallaa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allaad"/>
    <w:pPr>
      <w:spacing w:before="0" w:after="0" w:line="276" w:lineRule="auto"/>
      <w:ind w:left="5103"/>
      <w:jc w:val="left"/>
    </w:pPr>
    <w:rPr>
      <w:sz w:val="28"/>
    </w:rPr>
  </w:style>
  <w:style w:type="paragraph" w:customStyle="1" w:styleId="DateMarking">
    <w:name w:val="DateMarking"/>
    <w:basedOn w:val="Normaallaad"/>
    <w:pPr>
      <w:spacing w:before="0" w:after="0" w:line="276" w:lineRule="auto"/>
      <w:ind w:left="5103"/>
      <w:jc w:val="left"/>
    </w:pPr>
    <w:rPr>
      <w:i/>
      <w:sz w:val="28"/>
    </w:rPr>
  </w:style>
  <w:style w:type="paragraph" w:customStyle="1" w:styleId="ReleasableTo">
    <w:name w:val="ReleasableTo"/>
    <w:basedOn w:val="Normaallaad"/>
    <w:pPr>
      <w:spacing w:before="0" w:after="0" w:line="276" w:lineRule="auto"/>
      <w:ind w:left="5103"/>
      <w:jc w:val="left"/>
    </w:pPr>
    <w:rPr>
      <w:i/>
      <w:sz w:val="28"/>
    </w:rPr>
  </w:style>
  <w:style w:type="paragraph" w:customStyle="1" w:styleId="Annexetitreexpos">
    <w:name w:val="Annexe titre (exposé)"/>
    <w:basedOn w:val="Normaallaad"/>
    <w:next w:val="Normaallaad"/>
    <w:pPr>
      <w:jc w:val="center"/>
    </w:pPr>
    <w:rPr>
      <w:b/>
      <w:u w:val="single"/>
    </w:rPr>
  </w:style>
  <w:style w:type="paragraph" w:customStyle="1" w:styleId="Annexetitre">
    <w:name w:val="Annexe titre"/>
    <w:basedOn w:val="Normaallaad"/>
    <w:next w:val="Normaallaad"/>
    <w:pPr>
      <w:jc w:val="center"/>
    </w:pPr>
    <w:rPr>
      <w:b/>
      <w:u w:val="single"/>
    </w:rPr>
  </w:style>
  <w:style w:type="paragraph" w:customStyle="1" w:styleId="Annexetitrefichefinancire">
    <w:name w:val="Annexe titre (fiche financière)"/>
    <w:basedOn w:val="Normaallaad"/>
    <w:next w:val="Normaallaad"/>
    <w:pPr>
      <w:jc w:val="center"/>
    </w:pPr>
    <w:rPr>
      <w:b/>
      <w:u w:val="single"/>
    </w:rPr>
  </w:style>
  <w:style w:type="paragraph" w:customStyle="1" w:styleId="Applicationdirecte">
    <w:name w:val="Application directe"/>
    <w:basedOn w:val="Normaallaad"/>
    <w:next w:val="Fait"/>
    <w:pPr>
      <w:spacing w:before="480"/>
    </w:pPr>
  </w:style>
  <w:style w:type="paragraph" w:customStyle="1" w:styleId="Avertissementtitre">
    <w:name w:val="Avertissement titre"/>
    <w:basedOn w:val="Normaallaad"/>
    <w:next w:val="Normaallaad"/>
    <w:pPr>
      <w:keepNext/>
      <w:spacing w:before="480"/>
    </w:pPr>
    <w:rPr>
      <w:u w:val="single"/>
    </w:rPr>
  </w:style>
  <w:style w:type="paragraph" w:customStyle="1" w:styleId="Confidence">
    <w:name w:val="Confidence"/>
    <w:basedOn w:val="Normaallaad"/>
    <w:next w:val="Normaallaad"/>
    <w:pPr>
      <w:spacing w:before="360"/>
      <w:jc w:val="center"/>
    </w:pPr>
  </w:style>
  <w:style w:type="paragraph" w:customStyle="1" w:styleId="Confidentialit">
    <w:name w:val="Confidentialité"/>
    <w:basedOn w:val="Normaallaad"/>
    <w:next w:val="TypedudocumentPagedecouverture"/>
    <w:pPr>
      <w:spacing w:before="240" w:after="240"/>
      <w:ind w:left="5103"/>
      <w:jc w:val="left"/>
    </w:pPr>
    <w:rPr>
      <w:i/>
      <w:sz w:val="32"/>
    </w:rPr>
  </w:style>
  <w:style w:type="paragraph" w:customStyle="1" w:styleId="Considrant">
    <w:name w:val="Considérant"/>
    <w:basedOn w:val="Normaallaad"/>
    <w:pPr>
      <w:numPr>
        <w:numId w:val="32"/>
      </w:numPr>
    </w:pPr>
  </w:style>
  <w:style w:type="paragraph" w:customStyle="1" w:styleId="Corrigendum">
    <w:name w:val="Corrigendum"/>
    <w:basedOn w:val="Normaallaad"/>
    <w:next w:val="Normaallaad"/>
    <w:pPr>
      <w:spacing w:before="0" w:after="240"/>
      <w:jc w:val="left"/>
    </w:pPr>
  </w:style>
  <w:style w:type="paragraph" w:customStyle="1" w:styleId="Datedadoption">
    <w:name w:val="Date d'adoption"/>
    <w:basedOn w:val="Normaallaad"/>
    <w:next w:val="Titreobjet"/>
    <w:pPr>
      <w:spacing w:before="360" w:after="0"/>
      <w:jc w:val="center"/>
    </w:pPr>
    <w:rPr>
      <w:b/>
    </w:rPr>
  </w:style>
  <w:style w:type="paragraph" w:customStyle="1" w:styleId="Exposdesmotifstitre">
    <w:name w:val="Exposé des motifs titre"/>
    <w:basedOn w:val="Normaallaad"/>
    <w:next w:val="Normaallaad"/>
    <w:pPr>
      <w:jc w:val="center"/>
    </w:pPr>
    <w:rPr>
      <w:b/>
      <w:u w:val="single"/>
    </w:rPr>
  </w:style>
  <w:style w:type="paragraph" w:customStyle="1" w:styleId="Fait">
    <w:name w:val="Fait à"/>
    <w:basedOn w:val="Normaallaad"/>
    <w:next w:val="Institutionquisigne"/>
    <w:pPr>
      <w:keepNext/>
      <w:spacing w:after="0"/>
    </w:pPr>
  </w:style>
  <w:style w:type="paragraph" w:customStyle="1" w:styleId="Formuledadoption">
    <w:name w:val="Formule d'adoption"/>
    <w:basedOn w:val="Normaallaad"/>
    <w:next w:val="Titrearticle"/>
    <w:pPr>
      <w:keepNext/>
    </w:pPr>
  </w:style>
  <w:style w:type="paragraph" w:customStyle="1" w:styleId="Institutionquiagit">
    <w:name w:val="Institution qui agit"/>
    <w:basedOn w:val="Normaallaad"/>
    <w:next w:val="Normaallaad"/>
    <w:pPr>
      <w:keepNext/>
      <w:spacing w:before="600"/>
    </w:pPr>
  </w:style>
  <w:style w:type="paragraph" w:customStyle="1" w:styleId="Institutionquisigne">
    <w:name w:val="Institution qui signe"/>
    <w:basedOn w:val="Normaallaad"/>
    <w:next w:val="Personnequisigne"/>
    <w:pPr>
      <w:keepNext/>
      <w:tabs>
        <w:tab w:val="left" w:pos="4252"/>
      </w:tabs>
      <w:spacing w:before="720" w:after="0"/>
    </w:pPr>
    <w:rPr>
      <w:i/>
    </w:rPr>
  </w:style>
  <w:style w:type="paragraph" w:customStyle="1" w:styleId="ManualConsidrant">
    <w:name w:val="Manual Considérant"/>
    <w:basedOn w:val="Normaallaad"/>
    <w:pPr>
      <w:ind w:left="709" w:hanging="709"/>
    </w:pPr>
  </w:style>
  <w:style w:type="paragraph" w:customStyle="1" w:styleId="Personnequisigne">
    <w:name w:val="Personne qui signe"/>
    <w:basedOn w:val="Normaallaad"/>
    <w:next w:val="Institutionquisigne"/>
    <w:pPr>
      <w:tabs>
        <w:tab w:val="left" w:pos="4252"/>
      </w:tabs>
      <w:spacing w:before="0" w:after="0"/>
      <w:jc w:val="left"/>
    </w:pPr>
    <w:rPr>
      <w:i/>
    </w:rPr>
  </w:style>
  <w:style w:type="paragraph" w:customStyle="1" w:styleId="Rfrenceinterinstitutionnelle">
    <w:name w:val="Référence interinstitutionnelle"/>
    <w:basedOn w:val="Normaallaad"/>
    <w:next w:val="Statut"/>
    <w:pPr>
      <w:spacing w:before="0" w:after="0"/>
      <w:ind w:left="5103"/>
      <w:jc w:val="left"/>
    </w:pPr>
  </w:style>
  <w:style w:type="paragraph" w:customStyle="1" w:styleId="Rfrenceinterne">
    <w:name w:val="Référence interne"/>
    <w:basedOn w:val="Normaallaad"/>
    <w:next w:val="Rfrenceinterinstitutionnelle"/>
    <w:pPr>
      <w:spacing w:before="0" w:after="0"/>
      <w:ind w:left="5103"/>
      <w:jc w:val="left"/>
    </w:pPr>
  </w:style>
  <w:style w:type="paragraph" w:customStyle="1" w:styleId="Statut">
    <w:name w:val="Statut"/>
    <w:basedOn w:val="Normaallaad"/>
    <w:next w:val="Typedudocument"/>
    <w:pPr>
      <w:spacing w:before="360" w:after="0"/>
      <w:jc w:val="center"/>
    </w:pPr>
  </w:style>
  <w:style w:type="paragraph" w:customStyle="1" w:styleId="Titrearticle">
    <w:name w:val="Titre article"/>
    <w:basedOn w:val="Normaallaad"/>
    <w:next w:val="Normaallaad"/>
    <w:pPr>
      <w:keepNext/>
      <w:spacing w:before="360"/>
      <w:jc w:val="center"/>
    </w:pPr>
    <w:rPr>
      <w:i/>
    </w:rPr>
  </w:style>
  <w:style w:type="paragraph" w:customStyle="1" w:styleId="Titreobjet">
    <w:name w:val="Titre objet"/>
    <w:basedOn w:val="Normaallaad"/>
    <w:next w:val="IntrtEEE"/>
    <w:pPr>
      <w:spacing w:before="360" w:after="360"/>
      <w:jc w:val="center"/>
    </w:pPr>
    <w:rPr>
      <w:b/>
    </w:rPr>
  </w:style>
  <w:style w:type="paragraph" w:customStyle="1" w:styleId="Typedudocument">
    <w:name w:val="Type du document"/>
    <w:basedOn w:val="Normaallaad"/>
    <w:next w:val="Titreobjet"/>
    <w:pPr>
      <w:spacing w:before="360" w:after="0"/>
      <w:jc w:val="center"/>
    </w:pPr>
    <w:rPr>
      <w:b/>
    </w:rPr>
  </w:style>
  <w:style w:type="character" w:customStyle="1" w:styleId="Added">
    <w:name w:val="Added"/>
    <w:basedOn w:val="Liguvaikefont"/>
    <w:rPr>
      <w:b/>
      <w:u w:val="single"/>
      <w:shd w:val="clear" w:color="auto" w:fill="auto"/>
    </w:rPr>
  </w:style>
  <w:style w:type="character" w:customStyle="1" w:styleId="Deleted">
    <w:name w:val="Deleted"/>
    <w:basedOn w:val="Liguvaikefont"/>
    <w:rPr>
      <w:strike/>
      <w:dstrike w:val="0"/>
      <w:shd w:val="clear" w:color="auto" w:fill="auto"/>
    </w:rPr>
  </w:style>
  <w:style w:type="paragraph" w:customStyle="1" w:styleId="Address">
    <w:name w:val="Address"/>
    <w:basedOn w:val="Normaallaad"/>
    <w:next w:val="Normaallaad"/>
    <w:pPr>
      <w:keepLines/>
      <w:spacing w:line="360" w:lineRule="auto"/>
      <w:ind w:left="3402"/>
      <w:jc w:val="left"/>
    </w:pPr>
  </w:style>
  <w:style w:type="paragraph" w:customStyle="1" w:styleId="Objetexterne">
    <w:name w:val="Objet externe"/>
    <w:basedOn w:val="Normaallaad"/>
    <w:next w:val="Normaallaad"/>
    <w:rPr>
      <w:i/>
      <w:caps/>
    </w:rPr>
  </w:style>
  <w:style w:type="paragraph" w:customStyle="1" w:styleId="Supertitre">
    <w:name w:val="Supertitre"/>
    <w:basedOn w:val="Normaallaad"/>
    <w:next w:val="Normaallaad"/>
    <w:pPr>
      <w:spacing w:before="0" w:after="600"/>
      <w:jc w:val="center"/>
    </w:pPr>
    <w:rPr>
      <w:b/>
    </w:rPr>
  </w:style>
  <w:style w:type="paragraph" w:customStyle="1" w:styleId="Languesfaisantfoi">
    <w:name w:val="Langues faisant foi"/>
    <w:basedOn w:val="Normaallaad"/>
    <w:next w:val="Normaallaad"/>
    <w:pPr>
      <w:spacing w:before="360" w:after="0"/>
      <w:jc w:val="center"/>
    </w:pPr>
  </w:style>
  <w:style w:type="paragraph" w:customStyle="1" w:styleId="Rfrencecroise">
    <w:name w:val="Référence croisée"/>
    <w:basedOn w:val="Normaallaad"/>
    <w:pPr>
      <w:spacing w:before="0" w:after="0"/>
      <w:jc w:val="center"/>
    </w:pPr>
  </w:style>
  <w:style w:type="paragraph" w:customStyle="1" w:styleId="Fichefinanciretitre">
    <w:name w:val="Fiche financière titre"/>
    <w:basedOn w:val="Normaallaad"/>
    <w:next w:val="Normaallaa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allaad"/>
    <w:next w:val="Confidentialit"/>
    <w:pPr>
      <w:spacing w:before="0" w:after="240"/>
      <w:ind w:left="5103"/>
      <w:jc w:val="left"/>
    </w:pPr>
  </w:style>
  <w:style w:type="paragraph" w:customStyle="1" w:styleId="IntrtEEE">
    <w:name w:val="Intérêt EEE"/>
    <w:basedOn w:val="Languesfaisantfoi"/>
    <w:next w:val="Normaallaad"/>
    <w:pPr>
      <w:spacing w:after="240"/>
    </w:pPr>
  </w:style>
  <w:style w:type="paragraph" w:customStyle="1" w:styleId="Accompagnant">
    <w:name w:val="Accompagnant"/>
    <w:basedOn w:val="Normaallaad"/>
    <w:next w:val="Typeacteprincipal"/>
    <w:pPr>
      <w:spacing w:before="0" w:after="240"/>
      <w:jc w:val="center"/>
    </w:pPr>
    <w:rPr>
      <w:b/>
      <w:i/>
    </w:rPr>
  </w:style>
  <w:style w:type="paragraph" w:customStyle="1" w:styleId="Typeacteprincipal">
    <w:name w:val="Type acte principal"/>
    <w:basedOn w:val="Normaallaad"/>
    <w:next w:val="Objetacteprincipal"/>
    <w:pPr>
      <w:spacing w:before="0" w:after="240"/>
      <w:jc w:val="center"/>
    </w:pPr>
    <w:rPr>
      <w:b/>
    </w:rPr>
  </w:style>
  <w:style w:type="paragraph" w:customStyle="1" w:styleId="Objetacteprincipal">
    <w:name w:val="Objet acte principal"/>
    <w:basedOn w:val="Normaallaa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allaad"/>
    <w:next w:val="Normaallaad"/>
    <w:pPr>
      <w:spacing w:before="360" w:after="0"/>
      <w:jc w:val="center"/>
    </w:pPr>
  </w:style>
  <w:style w:type="paragraph" w:styleId="Pis">
    <w:name w:val="header"/>
    <w:basedOn w:val="Normaallaad"/>
    <w:link w:val="PisMrk"/>
    <w:uiPriority w:val="99"/>
    <w:unhideWhenUsed/>
    <w:rsid w:val="00AC3668"/>
    <w:pPr>
      <w:tabs>
        <w:tab w:val="center" w:pos="4535"/>
        <w:tab w:val="right" w:pos="9071"/>
      </w:tabs>
      <w:spacing w:before="0"/>
    </w:pPr>
  </w:style>
  <w:style w:type="paragraph" w:customStyle="1" w:styleId="HeaderLandscape">
    <w:name w:val="HeaderLandscape"/>
    <w:basedOn w:val="Normaallaad"/>
    <w:rsid w:val="00AC3668"/>
    <w:pPr>
      <w:tabs>
        <w:tab w:val="center" w:pos="7285"/>
        <w:tab w:val="right" w:pos="14003"/>
      </w:tabs>
      <w:spacing w:before="0"/>
    </w:pPr>
  </w:style>
  <w:style w:type="paragraph" w:styleId="Jalus">
    <w:name w:val="footer"/>
    <w:basedOn w:val="Normaallaad"/>
    <w:link w:val="JalusMrk"/>
    <w:uiPriority w:val="99"/>
    <w:unhideWhenUsed/>
    <w:rsid w:val="00AC3668"/>
    <w:pPr>
      <w:tabs>
        <w:tab w:val="center" w:pos="4535"/>
        <w:tab w:val="right" w:pos="9071"/>
        <w:tab w:val="right" w:pos="9921"/>
      </w:tabs>
      <w:spacing w:before="360" w:after="0"/>
      <w:ind w:left="-850" w:right="-850"/>
      <w:jc w:val="left"/>
    </w:pPr>
  </w:style>
  <w:style w:type="paragraph" w:customStyle="1" w:styleId="FooterLandscape">
    <w:name w:val="FooterLandscape"/>
    <w:basedOn w:val="Normaallaad"/>
    <w:rsid w:val="00AC366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footer" Target="footer28.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eader" Target="header26.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footnotes" Target="footnotes.xml"/><Relationship Id="rId51" Type="http://schemas.openxmlformats.org/officeDocument/2006/relationships/footer" Target="footer20.xml"/><Relationship Id="rId72"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image" Target="media/image1.bin"/><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14.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7" Type="http://schemas.openxmlformats.org/officeDocument/2006/relationships/webSettings" Target="webSettings.xml"/><Relationship Id="rId71" Type="http://schemas.openxmlformats.org/officeDocument/2006/relationships/footer" Target="footer30.xml"/><Relationship Id="rId2" Type="http://schemas.openxmlformats.org/officeDocument/2006/relationships/customXml" Target="../customXml/item2.xml"/><Relationship Id="rId29"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UTO/?uri=OJ:L:2004:143:TOC" TargetMode="External"/><Relationship Id="rId13" Type="http://schemas.openxmlformats.org/officeDocument/2006/relationships/hyperlink" Target="http://data.europa.eu/eli/dir/2019/1937/oj" TargetMode="External"/><Relationship Id="rId18" Type="http://schemas.openxmlformats.org/officeDocument/2006/relationships/hyperlink" Target="http://data.europa.eu/eli/dir/2017/1371/oj" TargetMode="External"/><Relationship Id="rId3" Type="http://schemas.openxmlformats.org/officeDocument/2006/relationships/hyperlink" Target="https://oeil.secure.europarl.europa.eu/oeil/popups/ficheprocedure.do?lang=en&amp;reference=2023/2051(INL)" TargetMode="External"/><Relationship Id="rId21" Type="http://schemas.openxmlformats.org/officeDocument/2006/relationships/hyperlink" Target="http://data.europa.eu/eli/dec/2011/1194/oj" TargetMode="External"/><Relationship Id="rId7" Type="http://schemas.openxmlformats.org/officeDocument/2006/relationships/hyperlink" Target="https://eur-lex.europa.eu/legal-content/EN/AUTO/?uri=OJ:L:2000:034:TOC" TargetMode="External"/><Relationship Id="rId12" Type="http://schemas.openxmlformats.org/officeDocument/2006/relationships/hyperlink" Target="https://eur-lex.europa.eu/legal%20content/EN/TXT/?uri=oj:JOC_2019_390_R_0017" TargetMode="External"/><Relationship Id="rId17" Type="http://schemas.openxmlformats.org/officeDocument/2006/relationships/hyperlink" Target="http://data.europa.eu/eli/reg/1996/2185/oj" TargetMode="External"/><Relationship Id="rId2" Type="http://schemas.openxmlformats.org/officeDocument/2006/relationships/hyperlink" Target="https://oeil.secure.europarl.europa.eu/oeil/popups/ficheprocedure.do?lang=en&amp;reference=2023/2003(INI)" TargetMode="External"/><Relationship Id="rId16" Type="http://schemas.openxmlformats.org/officeDocument/2006/relationships/hyperlink" Target="http://data.europa.eu/eli/reg/1995/2988/oj" TargetMode="External"/><Relationship Id="rId20" Type="http://schemas.openxmlformats.org/officeDocument/2006/relationships/hyperlink" Target="http://data.europa.eu/eli/dec/2014/445(1)/oj" TargetMode="External"/><Relationship Id="rId1" Type="http://schemas.openxmlformats.org/officeDocument/2006/relationships/hyperlink" Target="https://oeil.secure.europarl.europa.eu/oeil/popups/ficheprocedure.do?lang=en&amp;reference=2023/2054(INI)" TargetMode="External"/><Relationship Id="rId6" Type="http://schemas.openxmlformats.org/officeDocument/2006/relationships/hyperlink" Target="https://oeil.secure.europarl.europa.eu/oeil/popups/ficheprocedure.do?lang=en&amp;reference=2020/2261(INI)" TargetMode="External"/><Relationship Id="rId11" Type="http://schemas.openxmlformats.org/officeDocument/2006/relationships/hyperlink" Target="http://data.europa.eu/eli/dir/2024/1500/oj" TargetMode="External"/><Relationship Id="rId5" Type="http://schemas.openxmlformats.org/officeDocument/2006/relationships/hyperlink" Target="https://oeil.secure.europarl.europa.eu/oeil/popups/ficheprocedure.do?lang=en&amp;reference=2022/2047(INI)" TargetMode="External"/><Relationship Id="rId15" Type="http://schemas.openxmlformats.org/officeDocument/2006/relationships/hyperlink" Target="http://data.europa.eu/eli/reg/2013/883/oj" TargetMode="External"/><Relationship Id="rId10" Type="http://schemas.openxmlformats.org/officeDocument/2006/relationships/hyperlink" Target="http://data.europa.eu/eli/dir/2024/1499/oj" TargetMode="External"/><Relationship Id="rId19" Type="http://schemas.openxmlformats.org/officeDocument/2006/relationships/hyperlink" Target="http://data.europa.eu/eli/dec/2021/1764/oj" TargetMode="External"/><Relationship Id="rId4" Type="http://schemas.openxmlformats.org/officeDocument/2006/relationships/hyperlink" Target="https://oeil.secure.europarl.europa.eu/oeil/popups/ficheprocedure.do?lang=en&amp;reference=2023/2053(INI)" TargetMode="External"/><Relationship Id="rId9" Type="http://schemas.openxmlformats.org/officeDocument/2006/relationships/hyperlink" Target="http://data.europa.eu/eli/reco/2024/1238/oj" TargetMode="External"/><Relationship Id="rId14" Type="http://schemas.openxmlformats.org/officeDocument/2006/relationships/hyperlink" Target="http://data.europa.eu/eli/reg/2019/788/oj" TargetMode="External"/><Relationship Id="rId22" Type="http://schemas.openxmlformats.org/officeDocument/2006/relationships/hyperlink" Target="http://data.europa.eu/eli/dir/2010/1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2F228AFA198A44976C8F36F479FC26" ma:contentTypeVersion="0" ma:contentTypeDescription="Create a new document." ma:contentTypeScope="" ma:versionID="33bb23dd211d3680c518c76d07c044b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2D966-212F-4AB9-98DD-4671965BB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F4E094-CC34-4DAF-840E-8BF2DDCAB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6BFB0-F37D-45E9-8E85-0F54A0161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64</Pages>
  <Words>21610</Words>
  <Characters>125338</Characters>
  <Application>Microsoft Office Word</Application>
  <DocSecurity>0</DocSecurity>
  <Lines>1044</Lines>
  <Paragraphs>293</Paragraphs>
  <ScaleCrop>false</ScaleCrop>
  <Company/>
  <LinksUpToDate>false</LinksUpToDate>
  <CharactersWithSpaces>146655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Monika%20KAJDY</dc:creator>
  <cp:keywords/>
  <dc:description/>
  <cp:lastModifiedBy>Kadri Jauram</cp:lastModifiedBy>
  <cp:revision>2</cp:revision>
  <dcterms:created xsi:type="dcterms:W3CDTF">2025-08-12T11:50:00Z</dcterms:created>
  <dcterms:modified xsi:type="dcterms:W3CDTF">2025-08-12T11:50:00Z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60b174-6478-47f9-866e-33f097bb6603_Enabled">
    <vt:lpwstr>true</vt:lpwstr>
  </property>
  <property fmtid="{D5CDD505-2E9C-101B-9397-08002B2CF9AE}" pid="3" name="MSIP_Label_af60b174-6478-47f9-866e-33f097bb6603_SetDate">
    <vt:lpwstr>2025-07-17T17:34:09Z</vt:lpwstr>
  </property>
  <property fmtid="{D5CDD505-2E9C-101B-9397-08002B2CF9AE}" pid="4" name="MSIP_Label_af60b174-6478-47f9-866e-33f097bb6603_Method">
    <vt:lpwstr>Privileged</vt:lpwstr>
  </property>
  <property fmtid="{D5CDD505-2E9C-101B-9397-08002B2CF9AE}" pid="5" name="MSIP_Label_af60b174-6478-47f9-866e-33f097bb6603_Name">
    <vt:lpwstr>GSCEU - PUBLIC Label</vt:lpwstr>
  </property>
  <property fmtid="{D5CDD505-2E9C-101B-9397-08002B2CF9AE}" pid="6" name="MSIP_Label_af60b174-6478-47f9-866e-33f097bb6603_SiteId">
    <vt:lpwstr>03ad1c97-0a4d-4e82-8f93-27291a6a0767</vt:lpwstr>
  </property>
  <property fmtid="{D5CDD505-2E9C-101B-9397-08002B2CF9AE}" pid="7" name="MSIP_Label_af60b174-6478-47f9-866e-33f097bb6603_ActionId">
    <vt:lpwstr>084F11E1-6C8D-4405-B782-C0714F842605</vt:lpwstr>
  </property>
  <property fmtid="{D5CDD505-2E9C-101B-9397-08002B2CF9AE}" pid="8" name="MSIP_Label_af60b174-6478-47f9-866e-33f097bb6603_ContentBits">
    <vt:lpwstr>0</vt:lpwstr>
  </property>
  <property fmtid="{D5CDD505-2E9C-101B-9397-08002B2CF9AE}" pid="9" name="Last edited using">
    <vt:lpwstr>DocuWrite Toolbox 1.27.0 (CoverpageUpdate)</vt:lpwstr>
  </property>
  <property fmtid="{D5CDD505-2E9C-101B-9397-08002B2CF9AE}" pid="10" name="ContentTypeId">
    <vt:lpwstr>0x010100412F228AFA198A44976C8F36F479FC26</vt:lpwstr>
  </property>
</Properties>
</file>