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FF0D9" w14:textId="77777777" w:rsidR="00991D1E" w:rsidRDefault="00991D1E" w:rsidP="00B95105">
      <w:pPr>
        <w:jc w:val="both"/>
      </w:pPr>
    </w:p>
    <w:p w14:paraId="7357B675" w14:textId="77777777" w:rsidR="00B95105" w:rsidRDefault="00B95105" w:rsidP="00B95105">
      <w:pPr>
        <w:jc w:val="both"/>
        <w:rPr>
          <w:b/>
          <w:bCs/>
        </w:rPr>
      </w:pPr>
      <w:r>
        <w:rPr>
          <w:b/>
          <w:bCs/>
        </w:rPr>
        <w:t>Kaitseminister Hanno Pevkur</w:t>
      </w:r>
    </w:p>
    <w:p w14:paraId="06FF89A3" w14:textId="77777777" w:rsidR="00B95105" w:rsidRDefault="00B95105" w:rsidP="00B95105">
      <w:pPr>
        <w:jc w:val="both"/>
        <w:rPr>
          <w:b/>
          <w:bCs/>
        </w:rPr>
      </w:pPr>
      <w:r>
        <w:rPr>
          <w:b/>
          <w:bCs/>
        </w:rPr>
        <w:t>Kaitseministeerium</w:t>
      </w:r>
    </w:p>
    <w:p w14:paraId="144FF1AF" w14:textId="77777777" w:rsidR="00B95105" w:rsidRPr="00B95105" w:rsidRDefault="00B95105" w:rsidP="000C454C">
      <w:r w:rsidRPr="00B95105">
        <w:t xml:space="preserve">Sakala </w:t>
      </w:r>
      <w:r w:rsidR="000C454C">
        <w:t>1</w:t>
      </w:r>
      <w:r w:rsidRPr="00B95105">
        <w:br/>
        <w:t>15094 Tallinn</w:t>
      </w:r>
    </w:p>
    <w:p w14:paraId="59F77447" w14:textId="77777777" w:rsidR="00B95105" w:rsidRDefault="00B95105" w:rsidP="00B95105">
      <w:pPr>
        <w:jc w:val="both"/>
      </w:pPr>
    </w:p>
    <w:p w14:paraId="0534C05B" w14:textId="77777777" w:rsidR="0003630C" w:rsidRDefault="0003630C" w:rsidP="00B95105">
      <w:pPr>
        <w:jc w:val="both"/>
      </w:pPr>
    </w:p>
    <w:p w14:paraId="53C42080" w14:textId="77777777" w:rsidR="00B95105" w:rsidRPr="00576711" w:rsidRDefault="00B95105" w:rsidP="00B95105">
      <w:pPr>
        <w:jc w:val="both"/>
        <w:rPr>
          <w:b/>
          <w:bCs/>
          <w:sz w:val="22"/>
          <w:szCs w:val="18"/>
        </w:rPr>
      </w:pPr>
      <w:r w:rsidRPr="00576711">
        <w:rPr>
          <w:b/>
          <w:bCs/>
        </w:rPr>
        <w:t>CC:</w:t>
      </w:r>
      <w:r w:rsidRPr="00576711">
        <w:rPr>
          <w:b/>
          <w:bCs/>
        </w:rPr>
        <w:tab/>
      </w:r>
      <w:r w:rsidR="0004456E" w:rsidRPr="00576711">
        <w:rPr>
          <w:b/>
          <w:bCs/>
        </w:rPr>
        <w:t xml:space="preserve">Seireoperaator </w:t>
      </w:r>
      <w:r w:rsidR="00AC1419">
        <w:rPr>
          <w:b/>
          <w:bCs/>
        </w:rPr>
        <w:t>Alfred Aleksander Lõhmus</w:t>
      </w:r>
    </w:p>
    <w:p w14:paraId="261FA63E" w14:textId="77777777" w:rsidR="0004456E" w:rsidRDefault="0004456E" w:rsidP="00B95105">
      <w:pPr>
        <w:jc w:val="both"/>
      </w:pPr>
      <w:r>
        <w:tab/>
        <w:t>Mereseiregrupp</w:t>
      </w:r>
    </w:p>
    <w:p w14:paraId="273966E6" w14:textId="77777777" w:rsidR="00B95105" w:rsidRDefault="00B95105" w:rsidP="00B95105">
      <w:pPr>
        <w:jc w:val="both"/>
      </w:pPr>
    </w:p>
    <w:p w14:paraId="602D5F3E" w14:textId="77777777" w:rsidR="008D72F0" w:rsidRDefault="008D72F0" w:rsidP="00B95105">
      <w:pPr>
        <w:jc w:val="both"/>
      </w:pPr>
    </w:p>
    <w:p w14:paraId="47ABB79F" w14:textId="22FF6880" w:rsidR="008329AA" w:rsidRDefault="00D878EF" w:rsidP="008329AA">
      <w:pPr>
        <w:ind w:left="5040" w:firstLine="720"/>
        <w:jc w:val="both"/>
      </w:pPr>
      <w:r>
        <w:t>2</w:t>
      </w:r>
      <w:r w:rsidR="00EC106C">
        <w:t>2</w:t>
      </w:r>
      <w:r w:rsidR="00AB72D2">
        <w:t>. jaanuari 2025</w:t>
      </w:r>
      <w:r w:rsidR="00B95105">
        <w:t>. a</w:t>
      </w:r>
      <w:r w:rsidR="00EC023E">
        <w:t>asta</w:t>
      </w:r>
      <w:r w:rsidR="00B95105">
        <w:t xml:space="preserve"> e-kirjaga </w:t>
      </w:r>
    </w:p>
    <w:p w14:paraId="21B03065" w14:textId="77777777" w:rsidR="00B95105" w:rsidRDefault="008329AA" w:rsidP="008329AA">
      <w:pPr>
        <w:ind w:left="5040" w:firstLine="720"/>
        <w:jc w:val="both"/>
      </w:pPr>
      <w:hyperlink r:id="rId7" w:history="1">
        <w:r w:rsidRPr="00276A6A">
          <w:rPr>
            <w:rStyle w:val="Hyperlink"/>
          </w:rPr>
          <w:t>info@kaitseministeerium.ee</w:t>
        </w:r>
      </w:hyperlink>
      <w:r w:rsidR="0004456E">
        <w:t xml:space="preserve">; </w:t>
      </w:r>
    </w:p>
    <w:p w14:paraId="7F3D602A" w14:textId="77777777" w:rsidR="0004456E" w:rsidRDefault="008329AA" w:rsidP="008329AA">
      <w:pPr>
        <w:ind w:left="5760"/>
        <w:jc w:val="both"/>
      </w:pPr>
      <w:hyperlink r:id="rId8" w:history="1">
        <w:r w:rsidRPr="00276A6A">
          <w:rPr>
            <w:rStyle w:val="Hyperlink"/>
          </w:rPr>
          <w:t>kv.s.mevl.mereseire@mil.ee</w:t>
        </w:r>
      </w:hyperlink>
      <w:r w:rsidR="0004456E">
        <w:t xml:space="preserve"> </w:t>
      </w:r>
    </w:p>
    <w:p w14:paraId="709F246A" w14:textId="77777777" w:rsidR="0004456E" w:rsidRDefault="0004456E" w:rsidP="0004456E">
      <w:pPr>
        <w:ind w:left="5760" w:firstLine="720"/>
        <w:jc w:val="both"/>
      </w:pPr>
    </w:p>
    <w:p w14:paraId="2444EBC6" w14:textId="77777777" w:rsidR="0004456E" w:rsidRDefault="0004456E" w:rsidP="0004456E"/>
    <w:p w14:paraId="0315C8C0" w14:textId="77777777" w:rsidR="0004456E" w:rsidRDefault="00C26088" w:rsidP="0004456E">
      <w:pPr>
        <w:rPr>
          <w:b/>
          <w:bCs/>
        </w:rPr>
      </w:pPr>
      <w:r>
        <w:rPr>
          <w:b/>
          <w:bCs/>
        </w:rPr>
        <w:t>Teabenõue</w:t>
      </w:r>
    </w:p>
    <w:p w14:paraId="75C31B9A" w14:textId="77777777" w:rsidR="0004456E" w:rsidRDefault="0004456E" w:rsidP="0004456E">
      <w:pPr>
        <w:rPr>
          <w:b/>
          <w:bCs/>
        </w:rPr>
      </w:pPr>
    </w:p>
    <w:p w14:paraId="5906E971" w14:textId="77777777" w:rsidR="0004456E" w:rsidRDefault="0004456E" w:rsidP="0004456E">
      <w:pPr>
        <w:rPr>
          <w:b/>
          <w:bCs/>
        </w:rPr>
      </w:pPr>
    </w:p>
    <w:p w14:paraId="7936869D" w14:textId="2D613045" w:rsidR="0004456E" w:rsidRDefault="0004456E" w:rsidP="0004456E">
      <w:r w:rsidRPr="0004456E">
        <w:t>Lugupeetud h</w:t>
      </w:r>
      <w:r w:rsidR="00D47592">
        <w:t>ärra P</w:t>
      </w:r>
      <w:r w:rsidRPr="0004456E">
        <w:t>evkur,</w:t>
      </w:r>
    </w:p>
    <w:p w14:paraId="3BD72AD3" w14:textId="77777777" w:rsidR="0004456E" w:rsidRDefault="0004456E" w:rsidP="0004456E"/>
    <w:p w14:paraId="4892A8CF" w14:textId="77777777" w:rsidR="0004456E" w:rsidRDefault="0004456E" w:rsidP="0004456E"/>
    <w:p w14:paraId="3D62E3F7" w14:textId="77777777" w:rsidR="00AC1419" w:rsidRPr="00FC4ABC" w:rsidRDefault="006E4847" w:rsidP="003D2B08">
      <w:pPr>
        <w:jc w:val="both"/>
      </w:pPr>
      <w:r>
        <w:t xml:space="preserve">Advokaadibüroo </w:t>
      </w:r>
      <w:r>
        <w:rPr>
          <w:i/>
          <w:iCs/>
        </w:rPr>
        <w:t xml:space="preserve">Pohla &amp; Hallmägi </w:t>
      </w:r>
      <w:r>
        <w:t>esindab äriühingut</w:t>
      </w:r>
      <w:r w:rsidR="00AC1419">
        <w:t xml:space="preserve"> Vaggen AS, </w:t>
      </w:r>
      <w:r w:rsidR="00951B86">
        <w:t>mille omandis on kaks praami lasti jäätmete peale võtmiseks (M</w:t>
      </w:r>
      <w:r w:rsidR="00B91FF2">
        <w:t>T</w:t>
      </w:r>
      <w:r w:rsidR="00951B86">
        <w:t xml:space="preserve"> NAFTA, IMO number </w:t>
      </w:r>
      <w:r w:rsidR="00951B86" w:rsidRPr="00951B86">
        <w:t>8853946</w:t>
      </w:r>
      <w:r w:rsidR="00951B86">
        <w:t xml:space="preserve"> ja </w:t>
      </w:r>
      <w:r w:rsidR="00B91FF2">
        <w:t xml:space="preserve">MT </w:t>
      </w:r>
      <w:r w:rsidR="00951B86">
        <w:t xml:space="preserve">LOTOS, IMO number </w:t>
      </w:r>
      <w:r w:rsidR="00B91FF2" w:rsidRPr="00B91FF2">
        <w:t>8846711</w:t>
      </w:r>
      <w:r w:rsidR="00B91FF2">
        <w:t>). 03. jaanuaril 2025. a</w:t>
      </w:r>
      <w:r w:rsidR="00DF08FE">
        <w:t>astal</w:t>
      </w:r>
      <w:r w:rsidR="00B91FF2">
        <w:t xml:space="preserve"> pöördus Vaggen AS-i poole Marshalli Saarte lipu all sõit</w:t>
      </w:r>
      <w:r w:rsidR="00FC4ABC">
        <w:t xml:space="preserve">va laeva </w:t>
      </w:r>
      <w:r w:rsidR="00B91FF2">
        <w:t>MT ETERNAL SUNSHINE</w:t>
      </w:r>
      <w:r w:rsidR="00FC4ABC">
        <w:t xml:space="preserve">, IMO number </w:t>
      </w:r>
      <w:r w:rsidR="00FC4ABC" w:rsidRPr="00FC4ABC">
        <w:t>9273351</w:t>
      </w:r>
      <w:r w:rsidR="00FC4ABC">
        <w:t xml:space="preserve"> (edaspidi </w:t>
      </w:r>
      <w:r w:rsidR="00FC4ABC" w:rsidRPr="00FC4ABC">
        <w:rPr>
          <w:b/>
          <w:bCs/>
        </w:rPr>
        <w:t>Laev</w:t>
      </w:r>
      <w:r w:rsidR="00FC4ABC">
        <w:t>) operaator, et anda ära Tallinna reidil 107 m</w:t>
      </w:r>
      <w:r w:rsidR="00FC4ABC">
        <w:rPr>
          <w:vertAlign w:val="superscript"/>
        </w:rPr>
        <w:t>3</w:t>
      </w:r>
      <w:r w:rsidR="00FC4ABC">
        <w:t xml:space="preserve"> ulatuses pilsivett (naftaseguseid jäätmeid).</w:t>
      </w:r>
    </w:p>
    <w:p w14:paraId="15D0619C" w14:textId="77777777" w:rsidR="0017548E" w:rsidRDefault="0017548E" w:rsidP="0004456E"/>
    <w:p w14:paraId="763D6035" w14:textId="77777777" w:rsidR="00FC4ABC" w:rsidRDefault="00FC4ABC" w:rsidP="005C2983">
      <w:pPr>
        <w:jc w:val="both"/>
      </w:pPr>
      <w:r>
        <w:t xml:space="preserve">Vaggen AS pöördus </w:t>
      </w:r>
      <w:r w:rsidR="00674618">
        <w:t xml:space="preserve">seejärel </w:t>
      </w:r>
      <w:r>
        <w:t xml:space="preserve">esitatud taotlusega </w:t>
      </w:r>
      <w:bookmarkStart w:id="0" w:name="_Hlk188423882"/>
      <w:r>
        <w:t xml:space="preserve">Mereväe Mereseiregrupi </w:t>
      </w:r>
      <w:bookmarkEnd w:id="0"/>
      <w:r>
        <w:t>poole, kes avaldas</w:t>
      </w:r>
      <w:r w:rsidR="005C2983">
        <w:t xml:space="preserve"> 06. jaanuaril 2025. a</w:t>
      </w:r>
      <w:r w:rsidR="00DF459C">
        <w:t>astal</w:t>
      </w:r>
      <w:r>
        <w:t xml:space="preserve">, et </w:t>
      </w:r>
      <w:r w:rsidR="005C2983">
        <w:t>Laevale on keelatud osutada</w:t>
      </w:r>
      <w:r w:rsidR="0097625C">
        <w:t xml:space="preserve"> reidil</w:t>
      </w:r>
      <w:r w:rsidR="005C2983">
        <w:t xml:space="preserve"> teenust, sest väidetavalt on Laev rikkunud </w:t>
      </w:r>
      <w:r w:rsidR="00E9651D">
        <w:t>„</w:t>
      </w:r>
      <w:r w:rsidR="005C2983">
        <w:t>embargot</w:t>
      </w:r>
      <w:r w:rsidR="00E9651D">
        <w:t>“. Kuna mistahes täpsustusi ei lisatud, ei saa selline üldsõnaline ja põhjendamata seisukoht olla aluseks teenuse osutamise keelamiseks</w:t>
      </w:r>
      <w:r w:rsidR="005C2983">
        <w:t>. 07. jaanuaril 2025. a</w:t>
      </w:r>
      <w:r w:rsidR="00DF459C">
        <w:t>astal</w:t>
      </w:r>
      <w:r w:rsidR="005C2983">
        <w:t xml:space="preserve"> leidis Mereväe Mereseiregrupp täiendavalt, et vastavalt </w:t>
      </w:r>
      <w:r w:rsidR="00F67F06">
        <w:t>R</w:t>
      </w:r>
      <w:r w:rsidR="005C2983">
        <w:t>iigipiiri seaduse § 14 ei ole jäätmete äraandmine reidil piisav põhjus, et lubada alust</w:t>
      </w:r>
      <w:r w:rsidR="007A201E">
        <w:t xml:space="preserve"> Eesti</w:t>
      </w:r>
      <w:r w:rsidR="005C2983">
        <w:t xml:space="preserve"> sisemerre.</w:t>
      </w:r>
      <w:r w:rsidR="00957E3C">
        <w:t xml:space="preserve"> Selgitan käesolevaga </w:t>
      </w:r>
      <w:r w:rsidR="00E9651D">
        <w:t xml:space="preserve">sellise </w:t>
      </w:r>
      <w:r w:rsidR="00957E3C">
        <w:t>seisukoh</w:t>
      </w:r>
      <w:r w:rsidR="00E9651D">
        <w:t>a eba</w:t>
      </w:r>
      <w:r w:rsidR="00957E3C">
        <w:t>õig</w:t>
      </w:r>
      <w:r w:rsidR="00E9651D">
        <w:t>sust</w:t>
      </w:r>
      <w:r w:rsidR="00957E3C">
        <w:t>.</w:t>
      </w:r>
    </w:p>
    <w:p w14:paraId="2BA0B67C" w14:textId="77777777" w:rsidR="005C2983" w:rsidRDefault="005C2983" w:rsidP="00F1651C">
      <w:pPr>
        <w:jc w:val="both"/>
      </w:pPr>
    </w:p>
    <w:p w14:paraId="4F8575CF" w14:textId="77777777" w:rsidR="0075733A" w:rsidRPr="0075733A" w:rsidRDefault="0075733A" w:rsidP="0075733A">
      <w:pPr>
        <w:jc w:val="both"/>
      </w:pPr>
      <w:r w:rsidRPr="0075733A">
        <w:t>1978. aasta protokolliga muudetud 1973. aasta rahvusvaheline laevade põhjustatava merereostuse vältimise konventsioon [</w:t>
      </w:r>
      <w:r w:rsidRPr="0075733A">
        <w:rPr>
          <w:i/>
          <w:iCs/>
        </w:rPr>
        <w:t>International Convention for the Prevention of Pollution from Ships 1973, as modified by the Protocol of 1978 relating thereto (MARPOL 73/78)</w:t>
      </w:r>
      <w:r w:rsidRPr="0075733A">
        <w:t xml:space="preserve"> – RT II 2009, 19, 48], millega Eesti Vabariik on ühinenud Vabariigi Valitsuse 19. novembri 1991. aasta istungi protokollilise otsuse nr 61 alusel, jõustus Eesti Vabariigi suhtes 16. märtsil 1992. aastal. MARPOL 73/78 on üks olulisemaid rahvusvahelisi merekeskkonna kaitse konventsioone, mille </w:t>
      </w:r>
      <w:r w:rsidRPr="0075733A">
        <w:rPr>
          <w:u w:val="single"/>
        </w:rPr>
        <w:t>eesmärgiks on säilitada merekeskkonda, lõpetades täielikult naftajäätmete ning teiste heitmete merrelaskmine ning viia selliste heitmetega seotud õnnetuste arv miinimumini</w:t>
      </w:r>
      <w:r w:rsidRPr="0075733A">
        <w:t xml:space="preserve">. MARPOL 73/78 liitunud riikide laevad moodustavad 98% kogu maailma laevastikust. </w:t>
      </w:r>
    </w:p>
    <w:p w14:paraId="4E0559F8" w14:textId="77777777" w:rsidR="0075733A" w:rsidRPr="0075733A" w:rsidRDefault="0075733A" w:rsidP="0075733A">
      <w:pPr>
        <w:jc w:val="both"/>
      </w:pPr>
    </w:p>
    <w:p w14:paraId="3E595BC8" w14:textId="77777777" w:rsidR="0075733A" w:rsidRPr="0075733A" w:rsidRDefault="0075733A" w:rsidP="0075733A">
      <w:pPr>
        <w:jc w:val="both"/>
      </w:pPr>
      <w:r w:rsidRPr="0075733A">
        <w:t xml:space="preserve">Riigikogu on ühtlasi võtnud 09. aprillil 1992. aastal vastu Läänemere piirkonna merekeskkonna </w:t>
      </w:r>
      <w:r w:rsidRPr="0075733A">
        <w:lastRenderedPageBreak/>
        <w:t xml:space="preserve">kaitse </w:t>
      </w:r>
      <w:r w:rsidRPr="00D47592">
        <w:t>konventsiooni</w:t>
      </w:r>
      <w:r w:rsidR="00313C39" w:rsidRPr="00D47592">
        <w:t xml:space="preserve"> </w:t>
      </w:r>
      <w:hyperlink r:id="rId9" w:history="1">
        <w:r w:rsidR="00313C39" w:rsidRPr="00D47592">
          <w:rPr>
            <w:rStyle w:val="Hyperlink"/>
            <w:shd w:val="clear" w:color="auto" w:fill="FFFFFF"/>
            <w:lang w:eastAsia="en-GB"/>
          </w:rPr>
          <w:t>https://helcom.fi/about-us/</w:t>
        </w:r>
      </w:hyperlink>
      <w:r w:rsidRPr="00D47592">
        <w:t>, mille</w:t>
      </w:r>
      <w:r w:rsidRPr="0075733A">
        <w:t xml:space="preserve"> artikli 3 (1) kohaselt võtavad konventsiooni osapooled igaüks eraldi või ühiselt tarvitusele kõik seadusandlikud, administratiivsed või </w:t>
      </w:r>
      <w:r w:rsidRPr="0075733A">
        <w:rPr>
          <w:u w:val="single"/>
        </w:rPr>
        <w:t>muud reostuse ennetamiseks ja vältimiseks vajalikud meetmed, et saavutada Läänemere ökoloogilist taastumist ja selle ökoloogilise tasakaalu säilimist</w:t>
      </w:r>
      <w:r w:rsidRPr="0075733A">
        <w:t>.</w:t>
      </w:r>
    </w:p>
    <w:p w14:paraId="0522D596" w14:textId="77777777" w:rsidR="0075733A" w:rsidRPr="0075733A" w:rsidRDefault="0075733A" w:rsidP="0075733A">
      <w:pPr>
        <w:jc w:val="both"/>
      </w:pPr>
    </w:p>
    <w:p w14:paraId="24688B60" w14:textId="77777777" w:rsidR="0075733A" w:rsidRPr="0075733A" w:rsidRDefault="0075733A" w:rsidP="0075733A">
      <w:pPr>
        <w:jc w:val="both"/>
      </w:pPr>
      <w:r w:rsidRPr="0075733A">
        <w:t xml:space="preserve">Seoses Ukraina sõjaga ja sellega seoses vastu võetud sanktsioonidega on tõusetunud küsimus sellest, kas </w:t>
      </w:r>
      <w:r>
        <w:t>äriühingud, mh Vaggen AS</w:t>
      </w:r>
      <w:r w:rsidR="008329AA">
        <w:t>,</w:t>
      </w:r>
      <w:r>
        <w:t xml:space="preserve"> saab </w:t>
      </w:r>
      <w:r w:rsidRPr="0075733A">
        <w:t xml:space="preserve">jätkata õliseguste jäätmete (masinaruumi pilsivesi, õlised setted ja pumbatavad lastijäätmed) (edaspidi: </w:t>
      </w:r>
      <w:r w:rsidRPr="0075733A">
        <w:rPr>
          <w:b/>
        </w:rPr>
        <w:t>Laevajäätmed</w:t>
      </w:r>
      <w:r w:rsidRPr="0075733A">
        <w:t xml:space="preserve">) vastuvõtmist laevadelt, mis on suundumas Läänemere sadamatesse ning millega veetavatele kaupadele võivad olla kehtestatud Euroopa Liidu sanktsioonid. </w:t>
      </w:r>
      <w:r w:rsidRPr="0075733A">
        <w:rPr>
          <w:u w:val="single"/>
        </w:rPr>
        <w:t xml:space="preserve"> </w:t>
      </w:r>
    </w:p>
    <w:p w14:paraId="59B797F9" w14:textId="77777777" w:rsidR="0075733A" w:rsidRPr="0075733A" w:rsidRDefault="0075733A" w:rsidP="0075733A">
      <w:pPr>
        <w:jc w:val="both"/>
      </w:pPr>
    </w:p>
    <w:p w14:paraId="734E0AD7" w14:textId="77777777" w:rsidR="0075733A" w:rsidRPr="0075733A" w:rsidRDefault="0075733A" w:rsidP="0075733A">
      <w:pPr>
        <w:jc w:val="both"/>
      </w:pPr>
      <w:r w:rsidRPr="0075733A">
        <w:rPr>
          <w:b/>
          <w:u w:val="single"/>
        </w:rPr>
        <w:t>Esiteks</w:t>
      </w:r>
      <w:r w:rsidRPr="0075733A">
        <w:t>, Euroopa Nõukogu 31. juuli 2014. a</w:t>
      </w:r>
      <w:r w:rsidR="00B81051">
        <w:t>asta</w:t>
      </w:r>
      <w:r w:rsidRPr="0075733A">
        <w:t xml:space="preserve"> määruse  nr 833/2014, mis käsitleb piiravaid meetmeid seoses Venemaa tegevusega, mis destabiliseerib olukorda Ukrainas (edaspidi: </w:t>
      </w:r>
      <w:r w:rsidRPr="0075733A">
        <w:rPr>
          <w:b/>
        </w:rPr>
        <w:t>Määrus</w:t>
      </w:r>
      <w:r w:rsidRPr="0075733A">
        <w:t xml:space="preserve">) artiklitega 2, 2a, 2aa, 3, 3a, 3b, 3c, 3f, 3g, 3h, 3i, 3k, 3m </w:t>
      </w:r>
      <w:r w:rsidR="004945C2">
        <w:t xml:space="preserve">3n, </w:t>
      </w:r>
      <w:r w:rsidRPr="0075733A">
        <w:t>3o</w:t>
      </w:r>
      <w:r w:rsidR="004945C2">
        <w:t>, 3r, 3t, 3u</w:t>
      </w:r>
      <w:r w:rsidR="000A6632">
        <w:t xml:space="preserve"> ja 3v </w:t>
      </w:r>
      <w:r w:rsidRPr="0075733A">
        <w:t xml:space="preserve">on käeoleval ajal kindlaks määratud sellised kaubad, mida on keelatud otse või kaudselt Euroopa Liitu osta, importida või üle anda, kui need pärinevad Venemaalt või kui neid eksporditakse Venemaalt.  Muuhulgas </w:t>
      </w:r>
      <w:r w:rsidRPr="0075733A">
        <w:rPr>
          <w:u w:val="single"/>
        </w:rPr>
        <w:t>on keelatud anda konkreetstete kaupade osas otse või kaudselt tehnilist abi või osutada vahendus- või muid teenuseid, mis on seotud selliste kaupade ja tehnoloogiaga ning nende kaupade ja tehnoloogiaga varustamise, nende tootmise, hoolduse ja kasutamisega</w:t>
      </w:r>
      <w:r w:rsidRPr="0075733A">
        <w:t xml:space="preserve">. </w:t>
      </w:r>
      <w:r w:rsidR="00C541CA" w:rsidRPr="00B31D96">
        <w:t>Laevajäätmed ei ole Määruses nimetatud kaubaks.</w:t>
      </w:r>
      <w:r w:rsidRPr="0075733A">
        <w:t xml:space="preserve"> </w:t>
      </w:r>
      <w:r w:rsidR="00D379B9">
        <w:t xml:space="preserve">Laevajäätmete vastuvõtmine ei ole seotud sanktsioneeritud </w:t>
      </w:r>
      <w:r w:rsidR="006F2910">
        <w:t xml:space="preserve">kaupadega ega tehnoloogiaega ega </w:t>
      </w:r>
      <w:r w:rsidR="00D379B9">
        <w:t>kaupade varustamise, tootmisega, hooldusega ega kasutamisega.</w:t>
      </w:r>
    </w:p>
    <w:p w14:paraId="1402BCB7" w14:textId="77777777" w:rsidR="0075733A" w:rsidRPr="0075733A" w:rsidRDefault="0075733A" w:rsidP="0075733A">
      <w:pPr>
        <w:jc w:val="both"/>
      </w:pPr>
    </w:p>
    <w:p w14:paraId="480E6D74" w14:textId="77777777" w:rsidR="0075733A" w:rsidRPr="0075733A" w:rsidRDefault="0075733A" w:rsidP="0075733A">
      <w:pPr>
        <w:jc w:val="both"/>
        <w:rPr>
          <w:u w:val="single"/>
        </w:rPr>
      </w:pPr>
      <w:r w:rsidRPr="0075733A">
        <w:rPr>
          <w:b/>
          <w:u w:val="single"/>
        </w:rPr>
        <w:t>Teiseks</w:t>
      </w:r>
      <w:r w:rsidRPr="0075733A">
        <w:t xml:space="preserve">, Määruse artikliga 3n </w:t>
      </w:r>
      <w:r w:rsidRPr="0075733A">
        <w:rPr>
          <w:u w:val="single"/>
        </w:rPr>
        <w:t>on keelatud pakkuda otse või kaudselt tehnilist abi, vahendusteenuseid, rahastamist või rahalist abi Venemaalt pärit või Venemaalt eksporditud ning XXV lisas loetletud toornafta ja naftatoodetega kauplemiseks, nende vahendamiseks või transportimiseks kolmandatesse riikidesse, sealhulgas laevalt laevale pumpamise kaudu.</w:t>
      </w:r>
    </w:p>
    <w:p w14:paraId="6C89E516" w14:textId="77777777" w:rsidR="0075733A" w:rsidRPr="0075733A" w:rsidRDefault="0075733A" w:rsidP="0075733A">
      <w:pPr>
        <w:jc w:val="both"/>
      </w:pPr>
    </w:p>
    <w:p w14:paraId="0126770E" w14:textId="77777777" w:rsidR="0075733A" w:rsidRPr="0075733A" w:rsidRDefault="00E9651D" w:rsidP="0075733A">
      <w:pPr>
        <w:jc w:val="both"/>
      </w:pPr>
      <w:r>
        <w:t xml:space="preserve">Lähtudes põhjendatud seisukohast, et </w:t>
      </w:r>
      <w:r w:rsidR="0075733A" w:rsidRPr="0075733A">
        <w:t>kuna jäätmed, sh Laevajäätmed, ei ole kaup ning  Määruse artiklite</w:t>
      </w:r>
      <w:r w:rsidR="00F77B4A">
        <w:t>s</w:t>
      </w:r>
      <w:r w:rsidR="0075733A" w:rsidRPr="0075733A">
        <w:t xml:space="preserve"> </w:t>
      </w:r>
      <w:r w:rsidR="007D2494" w:rsidRPr="0075733A">
        <w:t xml:space="preserve">2, 2a, 2aa, 3, 3a, 3b, 3c, 3f, 3g, 3h, 3i, 3k, 3m </w:t>
      </w:r>
      <w:r w:rsidR="007D2494">
        <w:t xml:space="preserve">3n, </w:t>
      </w:r>
      <w:r w:rsidR="007D2494" w:rsidRPr="0075733A">
        <w:t>3o</w:t>
      </w:r>
      <w:r w:rsidR="007D2494">
        <w:t xml:space="preserve">, 3r, 3t, 3u ja </w:t>
      </w:r>
      <w:r w:rsidR="007D2494" w:rsidRPr="00F77B4A">
        <w:t>3v</w:t>
      </w:r>
      <w:r w:rsidR="0075733A" w:rsidRPr="00F77B4A">
        <w:t xml:space="preserve"> </w:t>
      </w:r>
      <w:r w:rsidR="00F77B4A" w:rsidRPr="00F77B4A">
        <w:t>toodud</w:t>
      </w:r>
      <w:r w:rsidR="00F77B4A">
        <w:rPr>
          <w:i/>
          <w:iCs/>
        </w:rPr>
        <w:t xml:space="preserve"> </w:t>
      </w:r>
      <w:r w:rsidR="0075733A" w:rsidRPr="0075733A">
        <w:t>regulatsiooniga ei ole vastuolus ka Euroopa Liidu sanktsioonidega hõlmatud kaupu vedavatelt laevadelt Laevajäätmete vastuvõtmine, siis tule</w:t>
      </w:r>
      <w:r w:rsidR="00F77B4A">
        <w:t>b</w:t>
      </w:r>
      <w:r w:rsidR="0075733A" w:rsidRPr="0075733A">
        <w:t xml:space="preserve"> lubada Laevajäätmeid vastu võtta piirangutevabalt. Laevajäätmete vastuvõtmine Läänemerel mistahes laevadelt, kellel on see vajadus, tagab Eesti Vabariigi kohustuste täitmise, mis tulenevad nii MARPOL 73/78 konventsioonist kui ka Läänemere piirkonna merekeskkonna kaitse konventsioonist ning on oluliseks merereostuste ennetamise meetmeks Läänemerel.</w:t>
      </w:r>
      <w:r w:rsidR="00966FFE">
        <w:t xml:space="preserve"> Seega </w:t>
      </w:r>
      <w:r w:rsidR="00F77B4A">
        <w:t xml:space="preserve">ka </w:t>
      </w:r>
      <w:r w:rsidR="00966FFE">
        <w:t>pelgalt kahtlus, et Laev võib olla rikkunud EL kehtestatud hinnalage STS operatsioonidega, ei saa olla aluseks keelata Laevalt Laevajäätmete vastuvõtmist.</w:t>
      </w:r>
    </w:p>
    <w:p w14:paraId="3BB20384" w14:textId="77777777" w:rsidR="0075733A" w:rsidRDefault="0075733A" w:rsidP="0075733A">
      <w:pPr>
        <w:jc w:val="both"/>
      </w:pPr>
    </w:p>
    <w:p w14:paraId="373DB7F8" w14:textId="77777777" w:rsidR="001F1A7D" w:rsidRDefault="00A0033B" w:rsidP="0075733A">
      <w:pPr>
        <w:jc w:val="both"/>
      </w:pPr>
      <w:r w:rsidRPr="00A0033B">
        <w:rPr>
          <w:b/>
          <w:bCs/>
        </w:rPr>
        <w:t>Kolmandaks</w:t>
      </w:r>
      <w:r>
        <w:t xml:space="preserve">, </w:t>
      </w:r>
      <w:r w:rsidR="00F77B4A" w:rsidRPr="00F77B4A">
        <w:t>Mereväe Mereseiregrup</w:t>
      </w:r>
      <w:r w:rsidR="00F77B4A">
        <w:t>i</w:t>
      </w:r>
      <w:r>
        <w:t xml:space="preserve"> </w:t>
      </w:r>
      <w:r w:rsidR="00966FFE">
        <w:t xml:space="preserve">07. jaanuari 2025. a. e-kirjas </w:t>
      </w:r>
      <w:r w:rsidR="00F77B4A">
        <w:t xml:space="preserve">viidatakse </w:t>
      </w:r>
      <w:r>
        <w:t>õigesti sellele, et riigipiiri seaduse § 14 sätestab alused, millal on lubatud laeva sisenemine sisemerre. Siiski o</w:t>
      </w:r>
      <w:r w:rsidR="00F77B4A">
        <w:t xml:space="preserve">n kirjas </w:t>
      </w:r>
      <w:r>
        <w:t>jä</w:t>
      </w:r>
      <w:r w:rsidR="00F77B4A">
        <w:t xml:space="preserve">etud </w:t>
      </w:r>
      <w:r>
        <w:t xml:space="preserve">tähelepanuta, et üheks selliseks aluseks on </w:t>
      </w:r>
      <w:r w:rsidRPr="00480854">
        <w:rPr>
          <w:u w:val="single"/>
        </w:rPr>
        <w:t>õnnetusjuhtumi ärahoidmine ja sellest tuleneva kahju vähendamine (riigipiiriseaduse § 14 lg 1 p 2</w:t>
      </w:r>
      <w:r>
        <w:t>).</w:t>
      </w:r>
      <w:r w:rsidR="00C479C4">
        <w:t xml:space="preserve"> Kahtlemata hoiab </w:t>
      </w:r>
      <w:r w:rsidR="001F1A7D">
        <w:t>Laeva</w:t>
      </w:r>
      <w:r w:rsidR="00C479C4">
        <w:t>jäätmete vastuvõtmine ära kahju, mis võiks tekkida, kui neid jäätmeid lastakse Läänemerre</w:t>
      </w:r>
      <w:r w:rsidR="005941F6">
        <w:t xml:space="preserve"> (näiteks seetõttu, et Eesti keelab nende vastuvõtmise</w:t>
      </w:r>
      <w:r w:rsidR="00F77B4A">
        <w:t xml:space="preserve"> ja nende suuremas mahus hoidmiseks laeval puuduvad tehnilised võimalused</w:t>
      </w:r>
      <w:r w:rsidR="005941F6">
        <w:t>).</w:t>
      </w:r>
    </w:p>
    <w:p w14:paraId="55C7824E" w14:textId="77777777" w:rsidR="002B7D19" w:rsidRDefault="002B7D19" w:rsidP="0075733A">
      <w:pPr>
        <w:jc w:val="both"/>
      </w:pPr>
    </w:p>
    <w:p w14:paraId="45A48764" w14:textId="4B6211C0" w:rsidR="00A0033B" w:rsidRDefault="001F1A7D" w:rsidP="0075733A">
      <w:pPr>
        <w:jc w:val="both"/>
      </w:pPr>
      <w:r>
        <w:t xml:space="preserve">Meile teadaolevalt </w:t>
      </w:r>
      <w:r w:rsidR="000959CB">
        <w:t>lubavad Läti (Riia sadama reidil), Leedu (Klaipeda sadama reidil)</w:t>
      </w:r>
      <w:r w:rsidR="00EA71BF">
        <w:t xml:space="preserve">, </w:t>
      </w:r>
      <w:r w:rsidR="000959CB">
        <w:t>Poola (Gdanski sadama reidil)</w:t>
      </w:r>
      <w:r w:rsidR="00EA71BF">
        <w:t xml:space="preserve"> ja teised </w:t>
      </w:r>
      <w:r w:rsidR="00EA71BF" w:rsidRPr="00EA71BF">
        <w:t xml:space="preserve">riigid </w:t>
      </w:r>
      <w:r w:rsidR="00FB5E7A" w:rsidRPr="00EA71BF">
        <w:t>Rostocki reidil, Skageni reidil</w:t>
      </w:r>
      <w:r w:rsidR="00970BDA" w:rsidRPr="00EA71BF">
        <w:t>,</w:t>
      </w:r>
      <w:r w:rsidR="00FB5E7A" w:rsidRPr="00EA71BF">
        <w:t xml:space="preserve"> Amsterdami reidil</w:t>
      </w:r>
      <w:r w:rsidR="00480854">
        <w:t xml:space="preserve"> ja </w:t>
      </w:r>
      <w:r w:rsidR="00FB5E7A" w:rsidRPr="00EA71BF">
        <w:t xml:space="preserve"> Rotterdami reidil</w:t>
      </w:r>
      <w:r w:rsidR="000959CB" w:rsidRPr="00EA71BF">
        <w:t xml:space="preserve"> teenindada laevasid,</w:t>
      </w:r>
      <w:r w:rsidR="000959CB">
        <w:t xml:space="preserve"> sh koguda Laeva</w:t>
      </w:r>
      <w:r w:rsidR="00D361F8">
        <w:t xml:space="preserve">jäätmeid, </w:t>
      </w:r>
      <w:r w:rsidR="000959CB">
        <w:t xml:space="preserve">et ennetada </w:t>
      </w:r>
      <w:r w:rsidR="00D361F8">
        <w:t xml:space="preserve">nendest lähtuvat </w:t>
      </w:r>
      <w:r w:rsidR="000959CB">
        <w:lastRenderedPageBreak/>
        <w:t>keskkonnaohtu</w:t>
      </w:r>
      <w:r w:rsidR="002A4414">
        <w:t>, sõltumata Laevade lipuriigist või veetavast kaubast</w:t>
      </w:r>
      <w:r w:rsidR="00D361F8">
        <w:t xml:space="preserve">. Tuleb rõhutada, et </w:t>
      </w:r>
      <w:r w:rsidR="00F77B4A">
        <w:t xml:space="preserve">kui teoreetiliselt </w:t>
      </w:r>
      <w:r w:rsidR="00480854">
        <w:t xml:space="preserve">ka </w:t>
      </w:r>
      <w:r w:rsidR="00F77B4A">
        <w:t>eeldada mõne</w:t>
      </w:r>
      <w:r w:rsidR="00D878EF">
        <w:t xml:space="preserve"> Laevajäätmeid ära anda sooviva</w:t>
      </w:r>
      <w:r w:rsidR="00F77B4A">
        <w:t xml:space="preserve"> laeva seotust </w:t>
      </w:r>
      <w:r w:rsidR="00F77B4A" w:rsidRPr="00F77B4A">
        <w:t>Vene Föderatsiooni</w:t>
      </w:r>
      <w:r w:rsidR="00D878EF">
        <w:t>ga, siis</w:t>
      </w:r>
      <w:r w:rsidR="00F77B4A">
        <w:t xml:space="preserve"> </w:t>
      </w:r>
      <w:r w:rsidR="00D361F8">
        <w:t xml:space="preserve">Laevajäätmete äraandmine </w:t>
      </w:r>
      <w:r w:rsidR="00AB13F3">
        <w:t xml:space="preserve">ei saa tuua </w:t>
      </w:r>
      <w:bookmarkStart w:id="1" w:name="_Hlk188343483"/>
      <w:r w:rsidR="00D361F8">
        <w:t xml:space="preserve">Vene Föderatsioonile </w:t>
      </w:r>
      <w:bookmarkEnd w:id="1"/>
      <w:r w:rsidR="00D878EF">
        <w:t xml:space="preserve">või </w:t>
      </w:r>
      <w:r w:rsidR="00AB13F3">
        <w:t xml:space="preserve"> tema </w:t>
      </w:r>
      <w:r w:rsidR="00D878EF">
        <w:t>„</w:t>
      </w:r>
      <w:r w:rsidR="00AB13F3">
        <w:t>varilaevastikule</w:t>
      </w:r>
      <w:r w:rsidR="00D878EF">
        <w:t>“</w:t>
      </w:r>
      <w:r w:rsidR="00AB13F3">
        <w:t xml:space="preserve"> </w:t>
      </w:r>
      <w:r w:rsidR="00D361F8">
        <w:t>mistahes tulu, mida võidakse kasutada m</w:t>
      </w:r>
      <w:r w:rsidR="00D878EF">
        <w:t>uu</w:t>
      </w:r>
      <w:r w:rsidR="00D361F8">
        <w:t>h</w:t>
      </w:r>
      <w:r w:rsidR="00D878EF">
        <w:t>ulgas</w:t>
      </w:r>
      <w:r w:rsidR="00D361F8">
        <w:t xml:space="preserve"> sõjas Ukrainaga, vaid tegemist on kuluga, mille </w:t>
      </w:r>
      <w:r w:rsidR="0059296F">
        <w:t xml:space="preserve">kandmise </w:t>
      </w:r>
      <w:r w:rsidR="00D361F8">
        <w:t xml:space="preserve">võrra Vene Föderatsiooni ressursid </w:t>
      </w:r>
      <w:r w:rsidR="0059296F">
        <w:t xml:space="preserve">sõjapidamiseks </w:t>
      </w:r>
      <w:r w:rsidR="00D361F8">
        <w:t xml:space="preserve">vähenevad, kuid samas tagatakse </w:t>
      </w:r>
      <w:r w:rsidR="003E776E">
        <w:t xml:space="preserve">Läänemere </w:t>
      </w:r>
      <w:r w:rsidR="00D361F8">
        <w:t>keskkonnakaitse</w:t>
      </w:r>
      <w:r w:rsidR="00D64184">
        <w:t xml:space="preserve"> nõuete täitmine</w:t>
      </w:r>
      <w:r w:rsidR="00D361F8">
        <w:t>.</w:t>
      </w:r>
    </w:p>
    <w:p w14:paraId="1B6F8B44" w14:textId="77777777" w:rsidR="00EA71BF" w:rsidRPr="00D64184" w:rsidRDefault="00EA71BF" w:rsidP="002B7D19">
      <w:pPr>
        <w:jc w:val="both"/>
      </w:pPr>
    </w:p>
    <w:p w14:paraId="53EAF46C" w14:textId="12348196" w:rsidR="002B7D19" w:rsidRPr="00D64184" w:rsidRDefault="00EA71BF" w:rsidP="002B7D19">
      <w:pPr>
        <w:jc w:val="both"/>
      </w:pPr>
      <w:r w:rsidRPr="00D64184">
        <w:t xml:space="preserve">Nii näiteks kui </w:t>
      </w:r>
      <w:r w:rsidR="002B7D19" w:rsidRPr="00D64184">
        <w:t xml:space="preserve">03. jaanuaril 2025. </w:t>
      </w:r>
      <w:r w:rsidRPr="00D64184">
        <w:t>a</w:t>
      </w:r>
      <w:r w:rsidR="002B7D19" w:rsidRPr="00D64184">
        <w:t xml:space="preserve">astal </w:t>
      </w:r>
      <w:r w:rsidRPr="00D64184">
        <w:t>ei luba</w:t>
      </w:r>
      <w:r w:rsidR="00D64184" w:rsidRPr="00D64184">
        <w:t>n</w:t>
      </w:r>
      <w:r w:rsidRPr="00D64184">
        <w:t xml:space="preserve">ud </w:t>
      </w:r>
      <w:bookmarkStart w:id="2" w:name="_Hlk188424020"/>
      <w:r w:rsidR="00D64184" w:rsidRPr="00D64184">
        <w:t>Mereväe Mereseiregrup</w:t>
      </w:r>
      <w:r w:rsidR="00D64184" w:rsidRPr="00D64184">
        <w:t xml:space="preserve">p </w:t>
      </w:r>
      <w:r w:rsidR="002B7D19" w:rsidRPr="00D64184">
        <w:t>Vaggen AS-</w:t>
      </w:r>
      <w:r w:rsidRPr="00D64184">
        <w:t xml:space="preserve">le </w:t>
      </w:r>
      <w:bookmarkEnd w:id="2"/>
      <w:r w:rsidRPr="00D64184">
        <w:t>L</w:t>
      </w:r>
      <w:r w:rsidR="002B7D19" w:rsidRPr="00D64184">
        <w:t>aev</w:t>
      </w:r>
      <w:r w:rsidRPr="00D64184">
        <w:t>a poolt</w:t>
      </w:r>
      <w:r w:rsidR="002B7D19" w:rsidRPr="00D64184">
        <w:t xml:space="preserve"> anda ära Tallinna reidil 600 m</w:t>
      </w:r>
      <w:r w:rsidR="002B7D19" w:rsidRPr="00D64184">
        <w:rPr>
          <w:vertAlign w:val="superscript"/>
        </w:rPr>
        <w:t>3</w:t>
      </w:r>
      <w:r w:rsidR="002B7D19" w:rsidRPr="00D64184">
        <w:t xml:space="preserve"> ulatuses pilsivett (naftaseguseid jäätmeid)</w:t>
      </w:r>
      <w:r w:rsidR="00D64184" w:rsidRPr="00D64184">
        <w:t xml:space="preserve">, siis </w:t>
      </w:r>
      <w:r w:rsidR="00D64184">
        <w:t>L</w:t>
      </w:r>
      <w:r w:rsidR="002B7D19" w:rsidRPr="00D64184">
        <w:t xml:space="preserve">aev </w:t>
      </w:r>
      <w:r w:rsidR="00D64184">
        <w:t xml:space="preserve">sõitis </w:t>
      </w:r>
      <w:r w:rsidR="002B7D19" w:rsidRPr="00D64184">
        <w:t>Gdanski reidile, kus see oli lubatud.</w:t>
      </w:r>
    </w:p>
    <w:p w14:paraId="7E0F12E6" w14:textId="77777777" w:rsidR="00D64184" w:rsidRDefault="00D64184" w:rsidP="002B7D19">
      <w:pPr>
        <w:jc w:val="both"/>
      </w:pPr>
    </w:p>
    <w:p w14:paraId="77AFBF0E" w14:textId="5A5AAAD9" w:rsidR="002B7D19" w:rsidRPr="00313C39" w:rsidRDefault="00D64184" w:rsidP="002B7D19">
      <w:pPr>
        <w:jc w:val="both"/>
      </w:pPr>
      <w:r>
        <w:t xml:space="preserve">Soovin märkida, et alates 2024 aasta oktoobrist kuni 31. detsembrini 2024 aastal </w:t>
      </w:r>
      <w:r w:rsidR="002B7D19" w:rsidRPr="00D64184">
        <w:t>keel</w:t>
      </w:r>
      <w:r>
        <w:t xml:space="preserve">dus </w:t>
      </w:r>
      <w:r w:rsidRPr="00D64184">
        <w:t>Mereväe Mereseiregrupp Vaggen AS-le anda ära Tallinna reidil pilsivett (naftaseguseid jäätmeid)</w:t>
      </w:r>
      <w:r>
        <w:t xml:space="preserve"> </w:t>
      </w:r>
      <w:r w:rsidRPr="00D64184">
        <w:rPr>
          <w:u w:val="single"/>
        </w:rPr>
        <w:t xml:space="preserve">rohkem </w:t>
      </w:r>
      <w:r w:rsidR="002B7D19" w:rsidRPr="00D64184">
        <w:rPr>
          <w:u w:val="single"/>
        </w:rPr>
        <w:t>kui 15 laeva</w:t>
      </w:r>
      <w:r w:rsidRPr="00D64184">
        <w:rPr>
          <w:u w:val="single"/>
        </w:rPr>
        <w:t>le</w:t>
      </w:r>
      <w:r>
        <w:t>.</w:t>
      </w:r>
      <w:r w:rsidR="002B7D19">
        <w:t xml:space="preserve">  </w:t>
      </w:r>
    </w:p>
    <w:p w14:paraId="2C41648A" w14:textId="77777777" w:rsidR="002B7D19" w:rsidRDefault="002B7D19" w:rsidP="0075733A">
      <w:pPr>
        <w:jc w:val="both"/>
      </w:pPr>
    </w:p>
    <w:p w14:paraId="0E0C6561" w14:textId="77777777" w:rsidR="0075733A" w:rsidRPr="0075733A" w:rsidRDefault="0075733A" w:rsidP="0075733A">
      <w:pPr>
        <w:jc w:val="both"/>
      </w:pPr>
      <w:r w:rsidRPr="0075733A">
        <w:t xml:space="preserve">Seetõttu palume Teid vastuseks käesolevale teabenõudele kinnitada, et </w:t>
      </w:r>
      <w:r w:rsidR="007D2494">
        <w:t>Vaggen AS</w:t>
      </w:r>
      <w:r w:rsidRPr="0075733A">
        <w:t xml:space="preserve"> poolt ei ole Määrusega (sealhulgas selle artiklitega </w:t>
      </w:r>
      <w:r w:rsidR="007D2494" w:rsidRPr="007D2494">
        <w:t>2, 2a, 2aa, 3, 3a, 3b, 3c, 3f, 3g, 3h, 3i, 3k, 3m 3n, 3o, 3r, 3t, 3u ja 3v</w:t>
      </w:r>
      <w:r w:rsidRPr="0075733A">
        <w:t xml:space="preserve">) </w:t>
      </w:r>
      <w:r w:rsidR="00D878EF">
        <w:t xml:space="preserve">ega riigipiiri seadusega </w:t>
      </w:r>
      <w:r w:rsidRPr="0075733A">
        <w:t xml:space="preserve">keelatud Laevajäätmete vastuvõtmine laevadelt, millega </w:t>
      </w:r>
      <w:r w:rsidR="00D878EF">
        <w:t xml:space="preserve">võidakse </w:t>
      </w:r>
      <w:r w:rsidRPr="0075733A">
        <w:t>ve</w:t>
      </w:r>
      <w:r w:rsidR="00D878EF">
        <w:t xml:space="preserve">dada muuhulgas </w:t>
      </w:r>
      <w:r w:rsidRPr="0075733A">
        <w:t>Määruse eelpoolnimetatud artiklites nimetatud sanktsioneeritud kaupu.</w:t>
      </w:r>
    </w:p>
    <w:p w14:paraId="0C99FC8E" w14:textId="77777777" w:rsidR="0075733A" w:rsidRPr="0075733A" w:rsidRDefault="0075733A" w:rsidP="0075733A">
      <w:pPr>
        <w:jc w:val="both"/>
        <w:rPr>
          <w:i/>
          <w:iCs/>
        </w:rPr>
      </w:pPr>
    </w:p>
    <w:p w14:paraId="0A7A7D8D" w14:textId="77777777" w:rsidR="0075733A" w:rsidRDefault="0075733A" w:rsidP="00F1651C">
      <w:pPr>
        <w:jc w:val="both"/>
      </w:pPr>
      <w:r w:rsidRPr="0075733A">
        <w:t xml:space="preserve">Eelmärgitust tulenevalt ja juhindudes viidatud õigusaktidest ja AvTS § 3, 4, 17 ja 18 palun </w:t>
      </w:r>
      <w:r w:rsidR="002B5FFB">
        <w:t xml:space="preserve">Teil </w:t>
      </w:r>
      <w:r w:rsidRPr="0075733A">
        <w:t xml:space="preserve">kinnitada viie tööpäeva jooksul vastuseks e-postile </w:t>
      </w:r>
      <w:hyperlink r:id="rId10" w:history="1">
        <w:r w:rsidRPr="0075733A">
          <w:rPr>
            <w:rStyle w:val="Hyperlink"/>
          </w:rPr>
          <w:t>a.pohla@phlaw.ee</w:t>
        </w:r>
      </w:hyperlink>
      <w:r w:rsidRPr="0075733A">
        <w:t>, et Teie nõustute meie seisukohaga</w:t>
      </w:r>
      <w:r w:rsidR="002B5FFB">
        <w:t>.</w:t>
      </w:r>
    </w:p>
    <w:p w14:paraId="182F32E9" w14:textId="77777777" w:rsidR="0075733A" w:rsidRDefault="0075733A" w:rsidP="00F1651C">
      <w:pPr>
        <w:jc w:val="both"/>
      </w:pPr>
    </w:p>
    <w:p w14:paraId="65C0E052" w14:textId="77777777" w:rsidR="00A0560C" w:rsidRDefault="00A0560C" w:rsidP="00F1651C">
      <w:pPr>
        <w:jc w:val="both"/>
      </w:pPr>
    </w:p>
    <w:p w14:paraId="336A952A" w14:textId="77777777" w:rsidR="006C1C26" w:rsidRDefault="006C1C26" w:rsidP="00F1651C">
      <w:pPr>
        <w:jc w:val="both"/>
      </w:pPr>
      <w:r>
        <w:t>Lugupidamisega,</w:t>
      </w:r>
    </w:p>
    <w:p w14:paraId="1AE92AE7" w14:textId="77777777" w:rsidR="006C1C26" w:rsidRDefault="006C1C26" w:rsidP="00F1651C">
      <w:pPr>
        <w:jc w:val="both"/>
      </w:pPr>
    </w:p>
    <w:p w14:paraId="7E1F8DB2" w14:textId="77777777" w:rsidR="006C1C26" w:rsidRDefault="006C1C26" w:rsidP="00F1651C">
      <w:pPr>
        <w:jc w:val="both"/>
      </w:pPr>
      <w:r>
        <w:t>/allkirjastatud digitaalselt/</w:t>
      </w:r>
    </w:p>
    <w:p w14:paraId="1B8BE532" w14:textId="77777777" w:rsidR="006C1C26" w:rsidRDefault="006C1C26" w:rsidP="00F1651C">
      <w:pPr>
        <w:jc w:val="both"/>
      </w:pPr>
    </w:p>
    <w:p w14:paraId="60E468A2" w14:textId="77777777" w:rsidR="006C1C26" w:rsidRDefault="006C1C26" w:rsidP="00F1651C">
      <w:pPr>
        <w:jc w:val="both"/>
      </w:pPr>
      <w:r>
        <w:t>Asko Pohla</w:t>
      </w:r>
    </w:p>
    <w:p w14:paraId="358EF4E8" w14:textId="77777777" w:rsidR="006C1C26" w:rsidRDefault="006C1C26" w:rsidP="00F1651C">
      <w:pPr>
        <w:jc w:val="both"/>
      </w:pPr>
      <w:r>
        <w:t>vandeadvokaat</w:t>
      </w:r>
    </w:p>
    <w:p w14:paraId="48562AE4" w14:textId="77777777" w:rsidR="006C1C26" w:rsidRDefault="006C1C26" w:rsidP="00F1651C">
      <w:pPr>
        <w:jc w:val="both"/>
      </w:pPr>
      <w:r>
        <w:t>Vaggen AS lepinguline esindaja</w:t>
      </w:r>
    </w:p>
    <w:p w14:paraId="2CB85907" w14:textId="77777777" w:rsidR="001C106F" w:rsidRDefault="001C106F" w:rsidP="00F1651C">
      <w:pPr>
        <w:jc w:val="both"/>
      </w:pPr>
    </w:p>
    <w:p w14:paraId="373C201C" w14:textId="77777777" w:rsidR="001C106F" w:rsidRPr="00FB5E7A" w:rsidRDefault="001C106F" w:rsidP="00F1651C">
      <w:pPr>
        <w:jc w:val="both"/>
      </w:pPr>
    </w:p>
    <w:sectPr w:rsidR="001C106F" w:rsidRPr="00FB5E7A" w:rsidSect="00E46C5F">
      <w:headerReference w:type="default" r:id="rId11"/>
      <w:footerReference w:type="default" r:id="rId12"/>
      <w:headerReference w:type="first" r:id="rId13"/>
      <w:footerReference w:type="first" r:id="rId14"/>
      <w:endnotePr>
        <w:numFmt w:val="decimal"/>
      </w:endnotePr>
      <w:pgSz w:w="11907" w:h="16840" w:code="9"/>
      <w:pgMar w:top="1440" w:right="1440" w:bottom="1440" w:left="1440" w:header="851"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AECC0" w14:textId="77777777" w:rsidR="00DE4287" w:rsidRDefault="00DE4287">
      <w:r>
        <w:separator/>
      </w:r>
    </w:p>
  </w:endnote>
  <w:endnote w:type="continuationSeparator" w:id="0">
    <w:p w14:paraId="4E41DEC1" w14:textId="77777777" w:rsidR="00DE4287" w:rsidRDefault="00DE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0CA2B" w14:textId="77777777" w:rsidR="00AC0F06" w:rsidRDefault="003A1046">
    <w:pPr>
      <w:pStyle w:val="Footer"/>
      <w:jc w:val="right"/>
    </w:pPr>
    <w:r>
      <w:fldChar w:fldCharType="begin"/>
    </w:r>
    <w:r w:rsidR="00AC0F06">
      <w:instrText>PAGE   \* MERGEFORMAT</w:instrText>
    </w:r>
    <w:r>
      <w:fldChar w:fldCharType="separate"/>
    </w:r>
    <w:r w:rsidR="00970BDA">
      <w:rPr>
        <w:noProof/>
      </w:rPr>
      <w:t>3</w:t>
    </w:r>
    <w:r>
      <w:fldChar w:fldCharType="end"/>
    </w:r>
  </w:p>
  <w:p w14:paraId="24489962" w14:textId="77777777" w:rsidR="00AC0F06" w:rsidRDefault="00AC0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4CAB1" w14:textId="6CCB7533" w:rsidR="00800846" w:rsidRPr="009104EB" w:rsidRDefault="00EC106C">
    <w:pPr>
      <w:pStyle w:val="BodyText"/>
      <w:tabs>
        <w:tab w:val="clear" w:pos="3686"/>
        <w:tab w:val="clear" w:pos="9639"/>
        <w:tab w:val="left" w:pos="4395"/>
        <w:tab w:val="right" w:pos="5812"/>
        <w:tab w:val="left" w:pos="7655"/>
        <w:tab w:val="right" w:pos="9497"/>
      </w:tabs>
      <w:rPr>
        <w:rFonts w:ascii="Calibri" w:hAnsi="Calibri"/>
        <w:sz w:val="16"/>
        <w:lang w:val="en-GB"/>
      </w:rPr>
    </w:pPr>
    <w:r>
      <w:rPr>
        <w:rFonts w:ascii="Calibri" w:hAnsi="Calibri"/>
        <w:noProof/>
        <w:snapToGrid/>
        <w:sz w:val="16"/>
        <w:lang w:val="en-GB"/>
      </w:rPr>
      <mc:AlternateContent>
        <mc:Choice Requires="wps">
          <w:drawing>
            <wp:anchor distT="0" distB="0" distL="114300" distR="114300" simplePos="0" relativeHeight="251658240" behindDoc="0" locked="1" layoutInCell="0" allowOverlap="1" wp14:anchorId="3AB4B6C5" wp14:editId="540C093E">
              <wp:simplePos x="0" y="0"/>
              <wp:positionH relativeFrom="margin">
                <wp:posOffset>-7620</wp:posOffset>
              </wp:positionH>
              <wp:positionV relativeFrom="page">
                <wp:posOffset>9933940</wp:posOffset>
              </wp:positionV>
              <wp:extent cx="5676900" cy="3175"/>
              <wp:effectExtent l="0" t="0" r="0" b="15875"/>
              <wp:wrapNone/>
              <wp:docPr id="51642740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76900" cy="3175"/>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328F82"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6pt,782.2pt" to="446.4pt,7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" o:allowincell="f" strokeweight=".5pt">
              <w10:wrap anchorx="margin" anchory="page"/>
              <w10:anchorlock/>
            </v:line>
          </w:pict>
        </mc:Fallback>
      </mc:AlternateContent>
    </w:r>
    <w:r w:rsidR="00800846" w:rsidRPr="009104EB">
      <w:rPr>
        <w:rFonts w:ascii="Calibri" w:hAnsi="Calibri"/>
        <w:sz w:val="16"/>
        <w:lang w:val="en-GB"/>
      </w:rPr>
      <w:t xml:space="preserve">OÜ Advokaadibüroo Pohla &amp; </w:t>
    </w:r>
    <w:proofErr w:type="spellStart"/>
    <w:r w:rsidR="00800846" w:rsidRPr="009104EB">
      <w:rPr>
        <w:rFonts w:ascii="Calibri" w:hAnsi="Calibri"/>
        <w:sz w:val="16"/>
        <w:lang w:val="en-GB"/>
      </w:rPr>
      <w:t>Hallmägi</w:t>
    </w:r>
    <w:proofErr w:type="spellEnd"/>
    <w:r w:rsidR="00800846" w:rsidRPr="009104EB">
      <w:rPr>
        <w:rFonts w:ascii="Calibri" w:hAnsi="Calibri"/>
        <w:sz w:val="16"/>
        <w:lang w:val="en-GB"/>
      </w:rPr>
      <w:tab/>
    </w:r>
    <w:r w:rsidR="00FB51F2">
      <w:rPr>
        <w:rFonts w:ascii="Calibri" w:hAnsi="Calibri"/>
        <w:sz w:val="16"/>
        <w:lang w:val="en-GB"/>
      </w:rPr>
      <w:tab/>
    </w:r>
    <w:r w:rsidR="00800846" w:rsidRPr="009104EB">
      <w:rPr>
        <w:rFonts w:ascii="Calibri" w:hAnsi="Calibri"/>
        <w:sz w:val="16"/>
        <w:lang w:val="en-GB"/>
      </w:rPr>
      <w:t xml:space="preserve">phone </w:t>
    </w:r>
    <w:r w:rsidR="00800846" w:rsidRPr="009104EB">
      <w:rPr>
        <w:rFonts w:ascii="Calibri" w:hAnsi="Calibri"/>
        <w:sz w:val="16"/>
        <w:lang w:val="en-GB"/>
      </w:rPr>
      <w:tab/>
      <w:t xml:space="preserve">+ 372 600 9920 </w:t>
    </w:r>
  </w:p>
  <w:p w14:paraId="28E0D9D2" w14:textId="77777777" w:rsidR="00800846" w:rsidRPr="009104EB" w:rsidRDefault="009104EB">
    <w:pPr>
      <w:pStyle w:val="BodyText"/>
      <w:tabs>
        <w:tab w:val="clear" w:pos="3686"/>
        <w:tab w:val="clear" w:pos="9639"/>
        <w:tab w:val="left" w:pos="4395"/>
        <w:tab w:val="right" w:pos="5812"/>
        <w:tab w:val="left" w:pos="7655"/>
        <w:tab w:val="right" w:pos="9497"/>
      </w:tabs>
      <w:rPr>
        <w:rFonts w:ascii="Calibri" w:hAnsi="Calibri"/>
        <w:sz w:val="16"/>
        <w:lang w:val="en-GB"/>
      </w:rPr>
    </w:pPr>
    <w:proofErr w:type="spellStart"/>
    <w:r w:rsidRPr="009104EB">
      <w:rPr>
        <w:rFonts w:ascii="Calibri" w:hAnsi="Calibri"/>
        <w:sz w:val="16"/>
        <w:lang w:val="en-GB"/>
      </w:rPr>
      <w:t>Kentmanni</w:t>
    </w:r>
    <w:proofErr w:type="spellEnd"/>
    <w:r w:rsidRPr="009104EB">
      <w:rPr>
        <w:rFonts w:ascii="Calibri" w:hAnsi="Calibri"/>
        <w:sz w:val="16"/>
        <w:lang w:val="en-GB"/>
      </w:rPr>
      <w:t xml:space="preserve"> 4, 10116 </w:t>
    </w:r>
    <w:r w:rsidR="00800846" w:rsidRPr="009104EB">
      <w:rPr>
        <w:rFonts w:ascii="Calibri" w:hAnsi="Calibri"/>
        <w:sz w:val="16"/>
        <w:lang w:val="en-GB"/>
      </w:rPr>
      <w:t>Tallinn</w:t>
    </w:r>
    <w:r w:rsidRPr="009104EB">
      <w:rPr>
        <w:rFonts w:ascii="Calibri" w:hAnsi="Calibri"/>
        <w:sz w:val="16"/>
        <w:lang w:val="en-GB"/>
      </w:rPr>
      <w:t>,</w:t>
    </w:r>
    <w:r w:rsidR="00800846" w:rsidRPr="009104EB">
      <w:rPr>
        <w:rFonts w:ascii="Calibri" w:hAnsi="Calibri"/>
        <w:sz w:val="16"/>
        <w:lang w:val="en-GB"/>
      </w:rPr>
      <w:t xml:space="preserve"> Estonia</w:t>
    </w:r>
    <w:r w:rsidR="00800846" w:rsidRPr="009104EB">
      <w:rPr>
        <w:rFonts w:ascii="Calibri" w:hAnsi="Calibri"/>
        <w:sz w:val="16"/>
        <w:lang w:val="en-GB"/>
      </w:rPr>
      <w:tab/>
    </w:r>
    <w:r w:rsidR="00FB51F2">
      <w:rPr>
        <w:rFonts w:ascii="Calibri" w:hAnsi="Calibri"/>
        <w:sz w:val="16"/>
        <w:lang w:val="en-GB"/>
      </w:rPr>
      <w:tab/>
    </w:r>
    <w:r w:rsidR="00800846" w:rsidRPr="009104EB">
      <w:rPr>
        <w:rFonts w:ascii="Calibri" w:hAnsi="Calibri"/>
        <w:sz w:val="16"/>
        <w:lang w:val="en-GB"/>
      </w:rPr>
      <w:t xml:space="preserve">e-mail </w:t>
    </w:r>
    <w:r w:rsidR="00800846" w:rsidRPr="009104EB">
      <w:rPr>
        <w:rFonts w:ascii="Calibri" w:hAnsi="Calibri"/>
        <w:sz w:val="16"/>
        <w:lang w:val="en-GB"/>
      </w:rPr>
      <w:tab/>
      <w:t>phlaw@phlaw.ee</w:t>
    </w:r>
  </w:p>
  <w:p w14:paraId="551107E2" w14:textId="77777777" w:rsidR="00800846" w:rsidRPr="009104EB" w:rsidRDefault="009104EB">
    <w:pPr>
      <w:pStyle w:val="BodyText"/>
      <w:tabs>
        <w:tab w:val="clear" w:pos="3686"/>
        <w:tab w:val="clear" w:pos="9639"/>
        <w:tab w:val="left" w:pos="3828"/>
        <w:tab w:val="left" w:pos="3969"/>
        <w:tab w:val="left" w:pos="4253"/>
        <w:tab w:val="left" w:pos="5670"/>
        <w:tab w:val="decimal" w:pos="5783"/>
        <w:tab w:val="left" w:pos="5812"/>
        <w:tab w:val="right" w:pos="6521"/>
        <w:tab w:val="left" w:pos="7230"/>
        <w:tab w:val="right" w:pos="9498"/>
      </w:tabs>
      <w:rPr>
        <w:rFonts w:ascii="Calibri" w:hAnsi="Calibri"/>
        <w:sz w:val="16"/>
        <w:lang w:val="en-GB"/>
      </w:rPr>
    </w:pPr>
    <w:r w:rsidRPr="009104EB">
      <w:rPr>
        <w:rFonts w:ascii="Calibri" w:hAnsi="Calibri"/>
        <w:sz w:val="16"/>
        <w:lang w:val="en-GB"/>
      </w:rPr>
      <w:t xml:space="preserve">Registration code </w:t>
    </w:r>
    <w:r w:rsidR="00800846" w:rsidRPr="009104EB">
      <w:rPr>
        <w:rFonts w:ascii="Calibri" w:hAnsi="Calibri"/>
        <w:sz w:val="16"/>
        <w:lang w:val="en-GB"/>
      </w:rPr>
      <w:t>10139182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B1B16" w14:textId="77777777" w:rsidR="00DE4287" w:rsidRDefault="00DE4287">
      <w:r>
        <w:separator/>
      </w:r>
    </w:p>
  </w:footnote>
  <w:footnote w:type="continuationSeparator" w:id="0">
    <w:p w14:paraId="40599515" w14:textId="77777777" w:rsidR="00DE4287" w:rsidRDefault="00DE4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31DCC" w14:textId="77777777" w:rsidR="00AC0F06" w:rsidRPr="00AC0F06" w:rsidRDefault="00AC0F06" w:rsidP="00AC0F06">
    <w:pPr>
      <w:tabs>
        <w:tab w:val="center" w:pos="4725"/>
      </w:tabs>
      <w:jc w:val="right"/>
      <w:rPr>
        <w:rFonts w:ascii="Calibri" w:hAnsi="Calibri"/>
        <w:sz w:val="22"/>
      </w:rPr>
    </w:pPr>
    <w:r w:rsidRPr="00AC0F06">
      <w:rPr>
        <w:rFonts w:ascii="Calibri" w:hAnsi="Calibri"/>
        <w:sz w:val="22"/>
      </w:rPr>
      <w:t>Pohla &amp; Hallmägi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801D3" w14:textId="77777777" w:rsidR="00800846" w:rsidRPr="009104EB" w:rsidRDefault="00800846">
    <w:pPr>
      <w:tabs>
        <w:tab w:val="center" w:pos="4725"/>
      </w:tabs>
      <w:jc w:val="center"/>
      <w:rPr>
        <w:rFonts w:ascii="Calibri" w:hAnsi="Calibri"/>
      </w:rPr>
    </w:pPr>
    <w:r w:rsidRPr="009104EB">
      <w:rPr>
        <w:rFonts w:ascii="Calibri" w:hAnsi="Calibri"/>
      </w:rPr>
      <w:t>Advokaadibüroo</w:t>
    </w:r>
  </w:p>
  <w:p w14:paraId="5F7AD890" w14:textId="77777777" w:rsidR="00800846" w:rsidRPr="009104EB" w:rsidRDefault="00800846">
    <w:pPr>
      <w:tabs>
        <w:tab w:val="center" w:pos="4725"/>
      </w:tabs>
      <w:jc w:val="center"/>
      <w:rPr>
        <w:rFonts w:ascii="Calibri" w:hAnsi="Calibri"/>
        <w:sz w:val="32"/>
      </w:rPr>
    </w:pPr>
    <w:r w:rsidRPr="009104EB">
      <w:rPr>
        <w:rFonts w:ascii="Calibri" w:hAnsi="Calibri"/>
        <w:sz w:val="32"/>
      </w:rPr>
      <w:t>Pohla &amp; Hallmägi</w:t>
    </w:r>
  </w:p>
  <w:p w14:paraId="06D2EF26" w14:textId="77777777" w:rsidR="00800846" w:rsidRPr="009104EB" w:rsidRDefault="00800846">
    <w:pPr>
      <w:tabs>
        <w:tab w:val="center" w:pos="4725"/>
      </w:tabs>
      <w:jc w:val="center"/>
      <w:rPr>
        <w:rFonts w:ascii="Calibri" w:hAnsi="Calibri"/>
        <w:szCs w:val="24"/>
      </w:rPr>
    </w:pPr>
    <w:r w:rsidRPr="009104EB">
      <w:rPr>
        <w:rFonts w:ascii="Calibri" w:hAnsi="Calibri"/>
        <w:szCs w:val="24"/>
      </w:rPr>
      <w:t>Law Firm</w:t>
    </w:r>
  </w:p>
  <w:p w14:paraId="652D2852" w14:textId="6065D70F" w:rsidR="00800846" w:rsidRDefault="00EC106C">
    <w:pPr>
      <w:pStyle w:val="Header"/>
    </w:pPr>
    <w:r>
      <w:rPr>
        <w:noProof/>
        <w:snapToGrid/>
      </w:rPr>
      <mc:AlternateContent>
        <mc:Choice Requires="wps">
          <w:drawing>
            <wp:anchor distT="0" distB="0" distL="114300" distR="114300" simplePos="0" relativeHeight="251657216" behindDoc="0" locked="0" layoutInCell="0" allowOverlap="1" wp14:anchorId="52F922B1" wp14:editId="732EAB12">
              <wp:simplePos x="0" y="0"/>
              <wp:positionH relativeFrom="margin">
                <wp:posOffset>0</wp:posOffset>
              </wp:positionH>
              <wp:positionV relativeFrom="paragraph">
                <wp:posOffset>113665</wp:posOffset>
              </wp:positionV>
              <wp:extent cx="6068695" cy="5080"/>
              <wp:effectExtent l="0" t="0" r="8255" b="13970"/>
              <wp:wrapNone/>
              <wp:docPr id="32819674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8695" cy="508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BDB745"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95pt" to="477.8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" o:allowincell="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AF427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879C6"/>
    <w:multiLevelType w:val="multilevel"/>
    <w:tmpl w:val="490E34B2"/>
    <w:lvl w:ilvl="0">
      <w:start w:val="1"/>
      <w:numFmt w:val="decimal"/>
      <w:pStyle w:val="Heading1"/>
      <w:lvlText w:val="%1."/>
      <w:lvlJc w:val="left"/>
      <w:pPr>
        <w:tabs>
          <w:tab w:val="num" w:pos="360"/>
        </w:tabs>
        <w:ind w:left="0" w:firstLine="0"/>
      </w:pPr>
      <w:rPr>
        <w:b/>
        <w:i w:val="0"/>
      </w:rPr>
    </w:lvl>
    <w:lvl w:ilvl="1">
      <w:start w:val="1"/>
      <w:numFmt w:val="decimal"/>
      <w:pStyle w:val="Heading2"/>
      <w:isLgl/>
      <w:lvlText w:val="%1.%2."/>
      <w:lvlJc w:val="left"/>
      <w:pPr>
        <w:tabs>
          <w:tab w:val="num" w:pos="510"/>
        </w:tabs>
        <w:ind w:left="510" w:hanging="510"/>
      </w:pPr>
      <w:rPr>
        <w:b/>
        <w:i w:val="0"/>
      </w:rPr>
    </w:lvl>
    <w:lvl w:ilvl="2">
      <w:start w:val="1"/>
      <w:numFmt w:val="decimal"/>
      <w:isLgl/>
      <w:lvlText w:val="%1.%2.%3."/>
      <w:lvlJc w:val="left"/>
      <w:pPr>
        <w:tabs>
          <w:tab w:val="num" w:pos="720"/>
        </w:tabs>
        <w:ind w:left="0" w:firstLine="0"/>
      </w:pPr>
      <w:rPr>
        <w:b/>
        <w:i w:val="0"/>
      </w:rPr>
    </w:lvl>
    <w:lvl w:ilvl="3">
      <w:start w:val="1"/>
      <w:numFmt w:val="decimal"/>
      <w:lvlText w:val="(%4)"/>
      <w:lvlJc w:val="left"/>
      <w:pPr>
        <w:tabs>
          <w:tab w:val="num" w:pos="1247"/>
        </w:tabs>
        <w:ind w:left="1247" w:hanging="793"/>
      </w:pPr>
      <w:rPr>
        <w:b/>
        <w:i w:val="0"/>
      </w:rPr>
    </w:lvl>
    <w:lvl w:ilvl="4">
      <w:start w:val="1"/>
      <w:numFmt w:val="decimal"/>
      <w:lvlText w:val="%5)"/>
      <w:lvlJc w:val="left"/>
      <w:pPr>
        <w:tabs>
          <w:tab w:val="num" w:pos="0"/>
        </w:tabs>
        <w:ind w:left="1644" w:hanging="397"/>
      </w:pPr>
      <w:rPr>
        <w:b/>
        <w:i w:val="0"/>
      </w:rPr>
    </w:lvl>
    <w:lvl w:ilvl="5">
      <w:start w:val="1"/>
      <w:numFmt w:val="lowerLetter"/>
      <w:lvlText w:val="(%6)"/>
      <w:lvlJc w:val="left"/>
      <w:pPr>
        <w:tabs>
          <w:tab w:val="num" w:pos="0"/>
        </w:tabs>
        <w:ind w:left="1984" w:hanging="340"/>
      </w:pPr>
      <w:rPr>
        <w:b/>
        <w:i w:val="0"/>
      </w:rPr>
    </w:lvl>
    <w:lvl w:ilvl="6">
      <w:start w:val="1"/>
      <w:numFmt w:val="lowerLetter"/>
      <w:lvlText w:val="%7)"/>
      <w:lvlJc w:val="left"/>
      <w:pPr>
        <w:tabs>
          <w:tab w:val="num" w:pos="0"/>
        </w:tabs>
        <w:ind w:left="2098" w:hanging="397"/>
      </w:pPr>
      <w:rPr>
        <w:b/>
        <w:i w:val="0"/>
      </w:rPr>
    </w:lvl>
    <w:lvl w:ilvl="7">
      <w:start w:val="1"/>
      <w:numFmt w:val="lowerLetter"/>
      <w:lvlText w:val="%8."/>
      <w:lvlJc w:val="left"/>
      <w:pPr>
        <w:tabs>
          <w:tab w:val="num" w:pos="0"/>
        </w:tabs>
        <w:ind w:left="2721" w:hanging="340"/>
      </w:pPr>
      <w:rPr>
        <w:b/>
        <w:i w:val="0"/>
      </w:rPr>
    </w:lvl>
    <w:lvl w:ilvl="8">
      <w:start w:val="1"/>
      <w:numFmt w:val="none"/>
      <w:lvlText w:val=""/>
      <w:lvlJc w:val="left"/>
      <w:pPr>
        <w:tabs>
          <w:tab w:val="num" w:pos="0"/>
        </w:tabs>
        <w:ind w:left="3005" w:hanging="284"/>
      </w:pPr>
      <w:rPr>
        <w:rFonts w:ascii="Symbol" w:hAnsi="Symbol" w:hint="default"/>
        <w:b/>
        <w:i w:val="0"/>
      </w:rPr>
    </w:lvl>
  </w:abstractNum>
  <w:abstractNum w:abstractNumId="2" w15:restartNumberingAfterBreak="0">
    <w:nsid w:val="23D264BB"/>
    <w:multiLevelType w:val="hybridMultilevel"/>
    <w:tmpl w:val="55786BF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BBB3583"/>
    <w:multiLevelType w:val="hybridMultilevel"/>
    <w:tmpl w:val="E8CC9A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33565921">
    <w:abstractNumId w:val="1"/>
  </w:num>
  <w:num w:numId="2" w16cid:durableId="3479168">
    <w:abstractNumId w:val="1"/>
  </w:num>
  <w:num w:numId="3" w16cid:durableId="1860460297">
    <w:abstractNumId w:val="1"/>
  </w:num>
  <w:num w:numId="4" w16cid:durableId="1672636523">
    <w:abstractNumId w:val="3"/>
  </w:num>
  <w:num w:numId="5" w16cid:durableId="624314499">
    <w:abstractNumId w:val="2"/>
  </w:num>
  <w:num w:numId="6" w16cid:durableId="937493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75"/>
    <w:rsid w:val="00013481"/>
    <w:rsid w:val="0003053A"/>
    <w:rsid w:val="0003630C"/>
    <w:rsid w:val="0004456E"/>
    <w:rsid w:val="0004700B"/>
    <w:rsid w:val="00050593"/>
    <w:rsid w:val="00072DB7"/>
    <w:rsid w:val="000745ED"/>
    <w:rsid w:val="00081B09"/>
    <w:rsid w:val="000833E4"/>
    <w:rsid w:val="000959CB"/>
    <w:rsid w:val="000A6632"/>
    <w:rsid w:val="000C454C"/>
    <w:rsid w:val="000F51B1"/>
    <w:rsid w:val="001203F1"/>
    <w:rsid w:val="00136D1F"/>
    <w:rsid w:val="001668CC"/>
    <w:rsid w:val="00166DD8"/>
    <w:rsid w:val="0017548E"/>
    <w:rsid w:val="0019135A"/>
    <w:rsid w:val="001931A4"/>
    <w:rsid w:val="001C106F"/>
    <w:rsid w:val="001C5AD4"/>
    <w:rsid w:val="001F1A7D"/>
    <w:rsid w:val="0022748E"/>
    <w:rsid w:val="00247725"/>
    <w:rsid w:val="0025361F"/>
    <w:rsid w:val="00275ECE"/>
    <w:rsid w:val="00282DEE"/>
    <w:rsid w:val="002A4414"/>
    <w:rsid w:val="002A5F4E"/>
    <w:rsid w:val="002B5FFB"/>
    <w:rsid w:val="002B7D19"/>
    <w:rsid w:val="002D13CC"/>
    <w:rsid w:val="002D4CA2"/>
    <w:rsid w:val="00313C39"/>
    <w:rsid w:val="00326CD3"/>
    <w:rsid w:val="003272CF"/>
    <w:rsid w:val="00367079"/>
    <w:rsid w:val="00384B18"/>
    <w:rsid w:val="0039409D"/>
    <w:rsid w:val="003A0A37"/>
    <w:rsid w:val="003A1046"/>
    <w:rsid w:val="003B0EEC"/>
    <w:rsid w:val="003C3045"/>
    <w:rsid w:val="003D2B08"/>
    <w:rsid w:val="003D4953"/>
    <w:rsid w:val="003E1A56"/>
    <w:rsid w:val="003E6CB3"/>
    <w:rsid w:val="003E776E"/>
    <w:rsid w:val="00421E57"/>
    <w:rsid w:val="00455E30"/>
    <w:rsid w:val="00480854"/>
    <w:rsid w:val="004945C2"/>
    <w:rsid w:val="004D2B4A"/>
    <w:rsid w:val="004F26BE"/>
    <w:rsid w:val="004F2E48"/>
    <w:rsid w:val="00500F82"/>
    <w:rsid w:val="00502275"/>
    <w:rsid w:val="0052541F"/>
    <w:rsid w:val="0054790F"/>
    <w:rsid w:val="00547F50"/>
    <w:rsid w:val="0056641D"/>
    <w:rsid w:val="00576711"/>
    <w:rsid w:val="0059296F"/>
    <w:rsid w:val="00592BDE"/>
    <w:rsid w:val="005941F6"/>
    <w:rsid w:val="00596DF4"/>
    <w:rsid w:val="005B2DA2"/>
    <w:rsid w:val="005C25F7"/>
    <w:rsid w:val="005C2983"/>
    <w:rsid w:val="005D2741"/>
    <w:rsid w:val="005E4EC9"/>
    <w:rsid w:val="00611904"/>
    <w:rsid w:val="00613F07"/>
    <w:rsid w:val="00620D9F"/>
    <w:rsid w:val="0062395D"/>
    <w:rsid w:val="00631B52"/>
    <w:rsid w:val="00642816"/>
    <w:rsid w:val="00645C9B"/>
    <w:rsid w:val="00647DA7"/>
    <w:rsid w:val="00653707"/>
    <w:rsid w:val="00667E13"/>
    <w:rsid w:val="00674618"/>
    <w:rsid w:val="00683F05"/>
    <w:rsid w:val="006A2DCB"/>
    <w:rsid w:val="006B2B68"/>
    <w:rsid w:val="006C1C26"/>
    <w:rsid w:val="006C7842"/>
    <w:rsid w:val="006D0D77"/>
    <w:rsid w:val="006D28B4"/>
    <w:rsid w:val="006E4847"/>
    <w:rsid w:val="006F2910"/>
    <w:rsid w:val="007142CE"/>
    <w:rsid w:val="00744206"/>
    <w:rsid w:val="0075733A"/>
    <w:rsid w:val="007628FA"/>
    <w:rsid w:val="007661F1"/>
    <w:rsid w:val="00795A54"/>
    <w:rsid w:val="007A201E"/>
    <w:rsid w:val="007B0E5D"/>
    <w:rsid w:val="007B4966"/>
    <w:rsid w:val="007D2494"/>
    <w:rsid w:val="00800846"/>
    <w:rsid w:val="00805A5B"/>
    <w:rsid w:val="00816A7C"/>
    <w:rsid w:val="008329AA"/>
    <w:rsid w:val="00870ED5"/>
    <w:rsid w:val="008753AE"/>
    <w:rsid w:val="00876E56"/>
    <w:rsid w:val="00877715"/>
    <w:rsid w:val="00883176"/>
    <w:rsid w:val="008850CC"/>
    <w:rsid w:val="00896541"/>
    <w:rsid w:val="008C62DC"/>
    <w:rsid w:val="008D72F0"/>
    <w:rsid w:val="009104EB"/>
    <w:rsid w:val="00946E2A"/>
    <w:rsid w:val="00951B86"/>
    <w:rsid w:val="00957E3C"/>
    <w:rsid w:val="00966FFE"/>
    <w:rsid w:val="00970BDA"/>
    <w:rsid w:val="0097625C"/>
    <w:rsid w:val="00991D1E"/>
    <w:rsid w:val="009A12C1"/>
    <w:rsid w:val="009A2E53"/>
    <w:rsid w:val="009F60C6"/>
    <w:rsid w:val="00A0033B"/>
    <w:rsid w:val="00A0560C"/>
    <w:rsid w:val="00A13BD1"/>
    <w:rsid w:val="00A53A16"/>
    <w:rsid w:val="00A65FE9"/>
    <w:rsid w:val="00A67CE5"/>
    <w:rsid w:val="00A732A2"/>
    <w:rsid w:val="00A735AC"/>
    <w:rsid w:val="00A813A3"/>
    <w:rsid w:val="00A94E69"/>
    <w:rsid w:val="00AB13F3"/>
    <w:rsid w:val="00AB72D2"/>
    <w:rsid w:val="00AC01D6"/>
    <w:rsid w:val="00AC0F06"/>
    <w:rsid w:val="00AC1419"/>
    <w:rsid w:val="00AC2DDC"/>
    <w:rsid w:val="00AC4783"/>
    <w:rsid w:val="00AC7B70"/>
    <w:rsid w:val="00B003DB"/>
    <w:rsid w:val="00B174A3"/>
    <w:rsid w:val="00B21A9B"/>
    <w:rsid w:val="00B31D96"/>
    <w:rsid w:val="00B81051"/>
    <w:rsid w:val="00B91FF2"/>
    <w:rsid w:val="00B95105"/>
    <w:rsid w:val="00BB10E0"/>
    <w:rsid w:val="00BB3CCA"/>
    <w:rsid w:val="00BC2AFF"/>
    <w:rsid w:val="00C02769"/>
    <w:rsid w:val="00C03188"/>
    <w:rsid w:val="00C13BE2"/>
    <w:rsid w:val="00C15F28"/>
    <w:rsid w:val="00C16199"/>
    <w:rsid w:val="00C26088"/>
    <w:rsid w:val="00C34821"/>
    <w:rsid w:val="00C414EC"/>
    <w:rsid w:val="00C479C4"/>
    <w:rsid w:val="00C541CA"/>
    <w:rsid w:val="00C5672E"/>
    <w:rsid w:val="00C745A0"/>
    <w:rsid w:val="00CD3BCA"/>
    <w:rsid w:val="00D13718"/>
    <w:rsid w:val="00D14CAF"/>
    <w:rsid w:val="00D15532"/>
    <w:rsid w:val="00D22BDD"/>
    <w:rsid w:val="00D22CF0"/>
    <w:rsid w:val="00D361F8"/>
    <w:rsid w:val="00D379B9"/>
    <w:rsid w:val="00D47592"/>
    <w:rsid w:val="00D61F74"/>
    <w:rsid w:val="00D64184"/>
    <w:rsid w:val="00D878EF"/>
    <w:rsid w:val="00D94B55"/>
    <w:rsid w:val="00DC6D47"/>
    <w:rsid w:val="00DE4287"/>
    <w:rsid w:val="00DE5DAA"/>
    <w:rsid w:val="00DF08FE"/>
    <w:rsid w:val="00DF1BF3"/>
    <w:rsid w:val="00DF459C"/>
    <w:rsid w:val="00E234F7"/>
    <w:rsid w:val="00E41B6A"/>
    <w:rsid w:val="00E46C5F"/>
    <w:rsid w:val="00E61DE2"/>
    <w:rsid w:val="00E85096"/>
    <w:rsid w:val="00E9651D"/>
    <w:rsid w:val="00EA71BF"/>
    <w:rsid w:val="00EB29D0"/>
    <w:rsid w:val="00EC023E"/>
    <w:rsid w:val="00EC106C"/>
    <w:rsid w:val="00EC64E6"/>
    <w:rsid w:val="00F02317"/>
    <w:rsid w:val="00F1651C"/>
    <w:rsid w:val="00F67F06"/>
    <w:rsid w:val="00F77B4A"/>
    <w:rsid w:val="00F96E65"/>
    <w:rsid w:val="00F97E03"/>
    <w:rsid w:val="00FB51F2"/>
    <w:rsid w:val="00FB5E7A"/>
    <w:rsid w:val="00FC4ABC"/>
    <w:rsid w:val="00FD55DC"/>
    <w:rsid w:val="00FF2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A913B"/>
  <w15:docId w15:val="{C53C75A3-4BC7-4603-8466-D7B6F129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6A7C"/>
    <w:pPr>
      <w:widowControl w:val="0"/>
    </w:pPr>
    <w:rPr>
      <w:snapToGrid w:val="0"/>
      <w:sz w:val="24"/>
      <w:lang w:eastAsia="en-US"/>
    </w:rPr>
  </w:style>
  <w:style w:type="paragraph" w:styleId="Heading1">
    <w:name w:val="heading 1"/>
    <w:basedOn w:val="Normal"/>
    <w:next w:val="Normal"/>
    <w:qFormat/>
    <w:rsid w:val="00816A7C"/>
    <w:pPr>
      <w:keepNext/>
      <w:numPr>
        <w:numId w:val="3"/>
      </w:numPr>
      <w:tabs>
        <w:tab w:val="left" w:pos="3686"/>
        <w:tab w:val="right" w:pos="9866"/>
      </w:tabs>
      <w:spacing w:before="240" w:after="120"/>
      <w:outlineLvl w:val="0"/>
    </w:pPr>
    <w:rPr>
      <w:b/>
    </w:rPr>
  </w:style>
  <w:style w:type="paragraph" w:styleId="Heading2">
    <w:name w:val="heading 2"/>
    <w:basedOn w:val="Normal"/>
    <w:next w:val="Normal"/>
    <w:qFormat/>
    <w:rsid w:val="00816A7C"/>
    <w:pPr>
      <w:widowControl/>
      <w:numPr>
        <w:ilvl w:val="1"/>
        <w:numId w:val="3"/>
      </w:numPr>
      <w:spacing w:before="80" w:after="40"/>
      <w:outlineLvl w:val="1"/>
    </w:pPr>
    <w:rPr>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16A7C"/>
  </w:style>
  <w:style w:type="paragraph" w:styleId="Header">
    <w:name w:val="header"/>
    <w:basedOn w:val="Normal"/>
    <w:rsid w:val="00816A7C"/>
    <w:pPr>
      <w:tabs>
        <w:tab w:val="center" w:pos="4153"/>
        <w:tab w:val="right" w:pos="8306"/>
      </w:tabs>
    </w:pPr>
  </w:style>
  <w:style w:type="paragraph" w:styleId="Footer">
    <w:name w:val="footer"/>
    <w:basedOn w:val="Normal"/>
    <w:link w:val="FooterChar"/>
    <w:uiPriority w:val="99"/>
    <w:rsid w:val="00816A7C"/>
    <w:pPr>
      <w:tabs>
        <w:tab w:val="center" w:pos="4153"/>
        <w:tab w:val="right" w:pos="8306"/>
      </w:tabs>
    </w:pPr>
  </w:style>
  <w:style w:type="paragraph" w:styleId="BodyText">
    <w:name w:val="Body Text"/>
    <w:basedOn w:val="Normal"/>
    <w:rsid w:val="00816A7C"/>
    <w:pPr>
      <w:tabs>
        <w:tab w:val="left" w:pos="3686"/>
        <w:tab w:val="left" w:pos="9639"/>
      </w:tabs>
      <w:jc w:val="both"/>
    </w:pPr>
    <w:rPr>
      <w:rFonts w:ascii="Univers" w:hAnsi="Univers"/>
      <w:sz w:val="20"/>
    </w:rPr>
  </w:style>
  <w:style w:type="character" w:styleId="Hyperlink">
    <w:name w:val="Hyperlink"/>
    <w:rsid w:val="00816A7C"/>
    <w:rPr>
      <w:color w:val="0000FF"/>
      <w:u w:val="single"/>
    </w:rPr>
  </w:style>
  <w:style w:type="character" w:styleId="FollowedHyperlink">
    <w:name w:val="FollowedHyperlink"/>
    <w:rsid w:val="00816A7C"/>
    <w:rPr>
      <w:color w:val="800080"/>
      <w:u w:val="single"/>
    </w:rPr>
  </w:style>
  <w:style w:type="paragraph" w:customStyle="1" w:styleId="FIDICCoverText">
    <w:name w:val="FIDIC__CoverText"/>
    <w:basedOn w:val="Normal"/>
    <w:rsid w:val="0039409D"/>
    <w:pPr>
      <w:widowControl/>
      <w:autoSpaceDE w:val="0"/>
      <w:autoSpaceDN w:val="0"/>
      <w:adjustRightInd w:val="0"/>
      <w:spacing w:after="240"/>
    </w:pPr>
    <w:rPr>
      <w:rFonts w:ascii="Arial" w:eastAsia="SimSun" w:hAnsi="Arial" w:cs="Arial"/>
      <w:snapToGrid/>
      <w:color w:val="0000CC"/>
      <w:spacing w:val="-5"/>
      <w:szCs w:val="24"/>
      <w:lang w:val="en-US" w:eastAsia="zh-CN"/>
    </w:rPr>
  </w:style>
  <w:style w:type="paragraph" w:styleId="ListParagraph">
    <w:name w:val="List Paragraph"/>
    <w:basedOn w:val="Normal"/>
    <w:uiPriority w:val="34"/>
    <w:qFormat/>
    <w:rsid w:val="00C34821"/>
    <w:pPr>
      <w:ind w:left="720"/>
    </w:pPr>
  </w:style>
  <w:style w:type="paragraph" w:styleId="ListBullet">
    <w:name w:val="List Bullet"/>
    <w:basedOn w:val="Normal"/>
    <w:rsid w:val="00667E13"/>
    <w:pPr>
      <w:numPr>
        <w:numId w:val="6"/>
      </w:numPr>
      <w:contextualSpacing/>
    </w:pPr>
  </w:style>
  <w:style w:type="character" w:customStyle="1" w:styleId="FooterChar">
    <w:name w:val="Footer Char"/>
    <w:link w:val="Footer"/>
    <w:uiPriority w:val="99"/>
    <w:rsid w:val="00AC0F06"/>
    <w:rPr>
      <w:snapToGrid w:val="0"/>
      <w:sz w:val="24"/>
      <w:lang w:val="et-EE"/>
    </w:rPr>
  </w:style>
  <w:style w:type="paragraph" w:styleId="Revision">
    <w:name w:val="Revision"/>
    <w:hidden/>
    <w:uiPriority w:val="99"/>
    <w:semiHidden/>
    <w:rsid w:val="00991D1E"/>
    <w:rPr>
      <w:snapToGrid w:val="0"/>
      <w:sz w:val="24"/>
      <w:lang w:eastAsia="en-US"/>
    </w:rPr>
  </w:style>
  <w:style w:type="character" w:customStyle="1" w:styleId="UnresolvedMention1">
    <w:name w:val="Unresolved Mention1"/>
    <w:uiPriority w:val="99"/>
    <w:semiHidden/>
    <w:unhideWhenUsed/>
    <w:rsid w:val="0004456E"/>
    <w:rPr>
      <w:color w:val="605E5C"/>
      <w:shd w:val="clear" w:color="auto" w:fill="E1DFDD"/>
    </w:rPr>
  </w:style>
  <w:style w:type="paragraph" w:styleId="FootnoteText">
    <w:name w:val="footnote text"/>
    <w:basedOn w:val="Normal"/>
    <w:link w:val="FootnoteTextChar"/>
    <w:rsid w:val="00AC2DDC"/>
    <w:rPr>
      <w:sz w:val="20"/>
    </w:rPr>
  </w:style>
  <w:style w:type="character" w:customStyle="1" w:styleId="FootnoteTextChar">
    <w:name w:val="Footnote Text Char"/>
    <w:link w:val="FootnoteText"/>
    <w:rsid w:val="00AC2DDC"/>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779066">
      <w:bodyDiv w:val="1"/>
      <w:marLeft w:val="0"/>
      <w:marRight w:val="0"/>
      <w:marTop w:val="0"/>
      <w:marBottom w:val="0"/>
      <w:divBdr>
        <w:top w:val="none" w:sz="0" w:space="0" w:color="auto"/>
        <w:left w:val="none" w:sz="0" w:space="0" w:color="auto"/>
        <w:bottom w:val="none" w:sz="0" w:space="0" w:color="auto"/>
        <w:right w:val="none" w:sz="0" w:space="0" w:color="auto"/>
      </w:divBdr>
    </w:div>
    <w:div w:id="912392533">
      <w:bodyDiv w:val="1"/>
      <w:marLeft w:val="0"/>
      <w:marRight w:val="0"/>
      <w:marTop w:val="0"/>
      <w:marBottom w:val="0"/>
      <w:divBdr>
        <w:top w:val="none" w:sz="0" w:space="0" w:color="auto"/>
        <w:left w:val="none" w:sz="0" w:space="0" w:color="auto"/>
        <w:bottom w:val="none" w:sz="0" w:space="0" w:color="auto"/>
        <w:right w:val="none" w:sz="0" w:space="0" w:color="auto"/>
      </w:divBdr>
    </w:div>
    <w:div w:id="1162963747">
      <w:bodyDiv w:val="1"/>
      <w:marLeft w:val="0"/>
      <w:marRight w:val="0"/>
      <w:marTop w:val="0"/>
      <w:marBottom w:val="0"/>
      <w:divBdr>
        <w:top w:val="none" w:sz="0" w:space="0" w:color="auto"/>
        <w:left w:val="none" w:sz="0" w:space="0" w:color="auto"/>
        <w:bottom w:val="none" w:sz="0" w:space="0" w:color="auto"/>
        <w:right w:val="none" w:sz="0" w:space="0" w:color="auto"/>
      </w:divBdr>
    </w:div>
    <w:div w:id="1405225881">
      <w:bodyDiv w:val="1"/>
      <w:marLeft w:val="0"/>
      <w:marRight w:val="0"/>
      <w:marTop w:val="0"/>
      <w:marBottom w:val="0"/>
      <w:divBdr>
        <w:top w:val="none" w:sz="0" w:space="0" w:color="auto"/>
        <w:left w:val="none" w:sz="0" w:space="0" w:color="auto"/>
        <w:bottom w:val="none" w:sz="0" w:space="0" w:color="auto"/>
        <w:right w:val="none" w:sz="0" w:space="0" w:color="auto"/>
      </w:divBdr>
      <w:divsChild>
        <w:div w:id="667564628">
          <w:marLeft w:val="0"/>
          <w:marRight w:val="0"/>
          <w:marTop w:val="0"/>
          <w:marBottom w:val="0"/>
          <w:divBdr>
            <w:top w:val="none" w:sz="0" w:space="0" w:color="auto"/>
            <w:left w:val="none" w:sz="0" w:space="0" w:color="auto"/>
            <w:bottom w:val="none" w:sz="0" w:space="0" w:color="auto"/>
            <w:right w:val="none" w:sz="0" w:space="0" w:color="auto"/>
          </w:divBdr>
          <w:divsChild>
            <w:div w:id="1238053457">
              <w:marLeft w:val="0"/>
              <w:marRight w:val="0"/>
              <w:marTop w:val="120"/>
              <w:marBottom w:val="0"/>
              <w:divBdr>
                <w:top w:val="none" w:sz="0" w:space="0" w:color="auto"/>
                <w:left w:val="none" w:sz="0" w:space="0" w:color="auto"/>
                <w:bottom w:val="none" w:sz="0" w:space="0" w:color="auto"/>
                <w:right w:val="none" w:sz="0" w:space="0" w:color="auto"/>
              </w:divBdr>
            </w:div>
            <w:div w:id="19291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83119">
      <w:bodyDiv w:val="1"/>
      <w:marLeft w:val="0"/>
      <w:marRight w:val="0"/>
      <w:marTop w:val="0"/>
      <w:marBottom w:val="0"/>
      <w:divBdr>
        <w:top w:val="none" w:sz="0" w:space="0" w:color="auto"/>
        <w:left w:val="none" w:sz="0" w:space="0" w:color="auto"/>
        <w:bottom w:val="none" w:sz="0" w:space="0" w:color="auto"/>
        <w:right w:val="none" w:sz="0" w:space="0" w:color="auto"/>
      </w:divBdr>
    </w:div>
    <w:div w:id="1784113891">
      <w:bodyDiv w:val="1"/>
      <w:marLeft w:val="0"/>
      <w:marRight w:val="0"/>
      <w:marTop w:val="0"/>
      <w:marBottom w:val="0"/>
      <w:divBdr>
        <w:top w:val="none" w:sz="0" w:space="0" w:color="auto"/>
        <w:left w:val="none" w:sz="0" w:space="0" w:color="auto"/>
        <w:bottom w:val="none" w:sz="0" w:space="0" w:color="auto"/>
        <w:right w:val="none" w:sz="0" w:space="0" w:color="auto"/>
      </w:divBdr>
    </w:div>
    <w:div w:id="1958371394">
      <w:bodyDiv w:val="1"/>
      <w:marLeft w:val="0"/>
      <w:marRight w:val="0"/>
      <w:marTop w:val="0"/>
      <w:marBottom w:val="0"/>
      <w:divBdr>
        <w:top w:val="none" w:sz="0" w:space="0" w:color="auto"/>
        <w:left w:val="none" w:sz="0" w:space="0" w:color="auto"/>
        <w:bottom w:val="none" w:sz="0" w:space="0" w:color="auto"/>
        <w:right w:val="none" w:sz="0" w:space="0" w:color="auto"/>
      </w:divBdr>
      <w:divsChild>
        <w:div w:id="285434780">
          <w:marLeft w:val="0"/>
          <w:marRight w:val="0"/>
          <w:marTop w:val="0"/>
          <w:marBottom w:val="0"/>
          <w:divBdr>
            <w:top w:val="none" w:sz="0" w:space="0" w:color="auto"/>
            <w:left w:val="none" w:sz="0" w:space="0" w:color="auto"/>
            <w:bottom w:val="none" w:sz="0" w:space="0" w:color="auto"/>
            <w:right w:val="none" w:sz="0" w:space="0" w:color="auto"/>
          </w:divBdr>
          <w:divsChild>
            <w:div w:id="490485067">
              <w:marLeft w:val="0"/>
              <w:marRight w:val="0"/>
              <w:marTop w:val="120"/>
              <w:marBottom w:val="0"/>
              <w:divBdr>
                <w:top w:val="none" w:sz="0" w:space="0" w:color="auto"/>
                <w:left w:val="none" w:sz="0" w:space="0" w:color="auto"/>
                <w:bottom w:val="none" w:sz="0" w:space="0" w:color="auto"/>
                <w:right w:val="none" w:sz="0" w:space="0" w:color="auto"/>
              </w:divBdr>
            </w:div>
            <w:div w:id="55064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29348">
      <w:bodyDiv w:val="1"/>
      <w:marLeft w:val="0"/>
      <w:marRight w:val="0"/>
      <w:marTop w:val="0"/>
      <w:marBottom w:val="0"/>
      <w:divBdr>
        <w:top w:val="none" w:sz="0" w:space="0" w:color="auto"/>
        <w:left w:val="none" w:sz="0" w:space="0" w:color="auto"/>
        <w:bottom w:val="none" w:sz="0" w:space="0" w:color="auto"/>
        <w:right w:val="none" w:sz="0" w:space="0" w:color="auto"/>
      </w:divBdr>
    </w:div>
    <w:div w:id="207396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v.s.mevl.mereseire@mil.e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info@kaitseministeerium.e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pohla@phlaw.ee" TargetMode="External"/><Relationship Id="rId4" Type="http://schemas.openxmlformats.org/officeDocument/2006/relationships/webSettings" Target="webSettings.xml"/><Relationship Id="rId9" Type="http://schemas.openxmlformats.org/officeDocument/2006/relationships/hyperlink" Target="https://helcom.fi/about-u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252;roo\eesti%20p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eesti plank</Template>
  <TotalTime>18</TotalTime>
  <Pages>3</Pages>
  <Words>1143</Words>
  <Characters>6636</Characters>
  <Application>Microsoft Office Word</Application>
  <DocSecurity>0</DocSecurity>
  <Lines>55</Lines>
  <Paragraphs>15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11</vt:lpstr>
      <vt:lpstr>11</vt:lpstr>
      <vt:lpstr>11</vt:lpstr>
    </vt:vector>
  </TitlesOfParts>
  <Company>AB Pohla &amp; Hallmägi</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creator>Asko Pohla</dc:creator>
  <cp:lastModifiedBy>Asko Pohla</cp:lastModifiedBy>
  <cp:revision>3</cp:revision>
  <cp:lastPrinted>2024-11-06T08:24:00Z</cp:lastPrinted>
  <dcterms:created xsi:type="dcterms:W3CDTF">2025-01-22T05:30:00Z</dcterms:created>
  <dcterms:modified xsi:type="dcterms:W3CDTF">2025-01-22T05:44:00Z</dcterms:modified>
</cp:coreProperties>
</file>