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D8200" w14:textId="5BF76955" w:rsidR="000F28DA" w:rsidRDefault="001F70F0" w:rsidP="0049267B">
      <w:pPr>
        <w:spacing w:after="0" w:line="240" w:lineRule="auto"/>
        <w:jc w:val="center"/>
        <w:rPr>
          <w:rFonts w:ascii="Georgia" w:hAnsi="Georgia"/>
          <w:b/>
        </w:rPr>
      </w:pPr>
      <w:r w:rsidRPr="00DE3B56">
        <w:rPr>
          <w:rFonts w:ascii="Georgia" w:hAnsi="Georgia"/>
          <w:b/>
        </w:rPr>
        <w:t>LISATEAVE</w:t>
      </w:r>
    </w:p>
    <w:p w14:paraId="2106D436" w14:textId="65ECDC79" w:rsidR="00945C97" w:rsidRDefault="00945C97" w:rsidP="009222DA">
      <w:pPr>
        <w:spacing w:after="0" w:line="240" w:lineRule="auto"/>
        <w:jc w:val="both"/>
        <w:rPr>
          <w:rFonts w:ascii="Georgia" w:hAnsi="Georgia"/>
          <w:b/>
        </w:rPr>
      </w:pPr>
    </w:p>
    <w:p w14:paraId="4AD2F50F" w14:textId="23FE3CB2" w:rsidR="003B7696" w:rsidRDefault="003B7696" w:rsidP="009222DA">
      <w:pPr>
        <w:spacing w:after="0" w:line="240" w:lineRule="auto"/>
        <w:jc w:val="both"/>
        <w:rPr>
          <w:rFonts w:ascii="Georgia" w:hAnsi="Georgia"/>
          <w:b/>
        </w:rPr>
      </w:pPr>
    </w:p>
    <w:p w14:paraId="24CBD3B2" w14:textId="52F722E2" w:rsidR="007C78AC" w:rsidRPr="00AD6AF7" w:rsidRDefault="007C78AC" w:rsidP="007C78AC">
      <w:pPr>
        <w:pStyle w:val="FootnoteText"/>
        <w:rPr>
          <w:rFonts w:ascii="Georgia" w:hAnsi="Georgia"/>
          <w:sz w:val="22"/>
          <w:szCs w:val="22"/>
        </w:rPr>
      </w:pPr>
      <w:r w:rsidRPr="00AD6AF7">
        <w:rPr>
          <w:rFonts w:ascii="Georgia" w:hAnsi="Georgia"/>
          <w:sz w:val="22"/>
          <w:szCs w:val="22"/>
        </w:rPr>
        <w:t xml:space="preserve">Riigi Tugiteenuste Keskus korraldab </w:t>
      </w:r>
      <w:proofErr w:type="spellStart"/>
      <w:r>
        <w:rPr>
          <w:rFonts w:ascii="Georgia" w:hAnsi="Georgia"/>
          <w:sz w:val="22"/>
          <w:szCs w:val="22"/>
        </w:rPr>
        <w:t>ühis</w:t>
      </w:r>
      <w:r w:rsidRPr="00AD6AF7">
        <w:rPr>
          <w:rFonts w:ascii="Georgia" w:hAnsi="Georgia"/>
          <w:sz w:val="22"/>
          <w:szCs w:val="22"/>
        </w:rPr>
        <w:t>hankega</w:t>
      </w:r>
      <w:proofErr w:type="spellEnd"/>
      <w:r w:rsidRPr="00AD6AF7">
        <w:rPr>
          <w:rFonts w:ascii="Georgia" w:hAnsi="Georgia"/>
          <w:sz w:val="22"/>
          <w:szCs w:val="22"/>
        </w:rPr>
        <w:t xml:space="preserve"> liitunud asutuste nimel koopiapaberi ostmise riigihanke. Riigihanke tulemusena sõlmitava raamlepingu sõlmib Riigi Tugiteenuste Keskus.</w:t>
      </w:r>
    </w:p>
    <w:p w14:paraId="6B6B4C48" w14:textId="24427165" w:rsidR="007C78AC" w:rsidRDefault="007C78AC" w:rsidP="009222DA">
      <w:pPr>
        <w:spacing w:after="0" w:line="240" w:lineRule="auto"/>
        <w:jc w:val="both"/>
        <w:rPr>
          <w:rFonts w:ascii="Georgia" w:hAnsi="Georgia"/>
          <w:b/>
        </w:rPr>
      </w:pPr>
    </w:p>
    <w:p w14:paraId="2404F35B" w14:textId="77777777" w:rsidR="007C78AC" w:rsidRPr="00DE3B56" w:rsidRDefault="007C78AC" w:rsidP="009222DA">
      <w:pPr>
        <w:spacing w:after="0" w:line="240" w:lineRule="auto"/>
        <w:jc w:val="both"/>
        <w:rPr>
          <w:rFonts w:ascii="Georgia" w:hAnsi="Georgia"/>
          <w:b/>
        </w:rPr>
      </w:pPr>
    </w:p>
    <w:p w14:paraId="01E3CA3E" w14:textId="3C3039FD" w:rsidR="00CC2382" w:rsidRPr="007C78AC" w:rsidRDefault="00BD4FF3" w:rsidP="009222DA">
      <w:pPr>
        <w:pStyle w:val="ListParagraph"/>
        <w:numPr>
          <w:ilvl w:val="0"/>
          <w:numId w:val="3"/>
        </w:numPr>
        <w:spacing w:after="0" w:line="240" w:lineRule="auto"/>
        <w:ind w:left="284" w:hanging="284"/>
        <w:jc w:val="both"/>
        <w:rPr>
          <w:rFonts w:ascii="Georgia" w:hAnsi="Georgia"/>
          <w:b/>
        </w:rPr>
      </w:pPr>
      <w:r w:rsidRPr="007C78AC">
        <w:rPr>
          <w:rFonts w:ascii="Georgia" w:hAnsi="Georgia"/>
          <w:b/>
        </w:rPr>
        <w:t>Riigihanke osadeks jaotamine</w:t>
      </w:r>
    </w:p>
    <w:p w14:paraId="34D8AB63" w14:textId="2F5FC101" w:rsidR="003B46F9" w:rsidRPr="003C7EAC" w:rsidRDefault="007C78AC" w:rsidP="003C7EAC">
      <w:pPr>
        <w:pStyle w:val="ListParagraph"/>
        <w:numPr>
          <w:ilvl w:val="1"/>
          <w:numId w:val="10"/>
        </w:numPr>
        <w:autoSpaceDE w:val="0"/>
        <w:autoSpaceDN w:val="0"/>
        <w:adjustRightInd w:val="0"/>
        <w:spacing w:after="0" w:line="240" w:lineRule="auto"/>
        <w:jc w:val="both"/>
        <w:rPr>
          <w:rFonts w:ascii="Georgia" w:hAnsi="Georgia" w:cs="Georgia"/>
        </w:rPr>
      </w:pPr>
      <w:r w:rsidRPr="003C7EAC">
        <w:rPr>
          <w:rFonts w:ascii="Georgia" w:hAnsi="Georgia" w:cs="Georgia"/>
        </w:rPr>
        <w:t>Hankija ei jaga riigihanget osadeks ja sõlmib asjade ostmiseks raamlepingu ühe pakkujaga. Asjade ostmine ühelt pakkujalt tagab hankija rahaliste vahendite otstarbeka ja säästliku kasutamise. Samuti võimaldab see rahaliste vahendite kokkuhoidu tugiteenuste arvelt ja tagab koopiapaberiga varustamise stabiilsema tarnekindluse.</w:t>
      </w:r>
    </w:p>
    <w:p w14:paraId="0CBC5043" w14:textId="77777777" w:rsidR="003C7EAC" w:rsidRPr="003C7EAC" w:rsidRDefault="003C7EAC" w:rsidP="003C7EAC">
      <w:pPr>
        <w:pStyle w:val="ListParagraph"/>
        <w:autoSpaceDE w:val="0"/>
        <w:autoSpaceDN w:val="0"/>
        <w:adjustRightInd w:val="0"/>
        <w:spacing w:after="0" w:line="240" w:lineRule="auto"/>
        <w:ind w:left="1146"/>
        <w:jc w:val="both"/>
        <w:rPr>
          <w:rFonts w:ascii="Georgia" w:hAnsi="Georgia" w:cs="Georgia"/>
        </w:rPr>
      </w:pPr>
    </w:p>
    <w:p w14:paraId="1A4C5E1B" w14:textId="244472E3" w:rsidR="003B46F9" w:rsidRPr="00575C6A" w:rsidRDefault="003B46F9" w:rsidP="00D74F67">
      <w:pPr>
        <w:pStyle w:val="ListParagraph"/>
        <w:numPr>
          <w:ilvl w:val="0"/>
          <w:numId w:val="3"/>
        </w:numPr>
        <w:spacing w:after="0"/>
        <w:ind w:left="284" w:hanging="284"/>
        <w:jc w:val="both"/>
        <w:rPr>
          <w:rFonts w:ascii="Georgia" w:hAnsi="Georgia"/>
          <w:b/>
          <w:highlight w:val="green"/>
        </w:rPr>
      </w:pPr>
      <w:r w:rsidRPr="003B46F9">
        <w:rPr>
          <w:rFonts w:ascii="Georgia" w:hAnsi="Georgia"/>
          <w:b/>
          <w:color w:val="000000" w:themeColor="text1"/>
        </w:rPr>
        <w:t>Ühispakkumuse esitamine</w:t>
      </w:r>
      <w:r w:rsidR="00E62DE1">
        <w:rPr>
          <w:rFonts w:ascii="Georgia" w:hAnsi="Georgia"/>
          <w:b/>
          <w:color w:val="000000" w:themeColor="text1"/>
        </w:rPr>
        <w:t xml:space="preserve">, välismaa äriühingu </w:t>
      </w:r>
      <w:r w:rsidR="00BF20EA">
        <w:rPr>
          <w:rFonts w:ascii="Georgia" w:hAnsi="Georgia"/>
          <w:b/>
          <w:color w:val="000000" w:themeColor="text1"/>
        </w:rPr>
        <w:t xml:space="preserve">filiaali </w:t>
      </w:r>
      <w:r w:rsidR="00E62DE1">
        <w:rPr>
          <w:rFonts w:ascii="Georgia" w:hAnsi="Georgia"/>
          <w:b/>
          <w:color w:val="000000" w:themeColor="text1"/>
        </w:rPr>
        <w:t>osalemine hankemenetluses</w:t>
      </w:r>
      <w:r w:rsidRPr="003B46F9">
        <w:rPr>
          <w:rFonts w:ascii="Georgia" w:hAnsi="Georgia"/>
          <w:b/>
          <w:color w:val="000000" w:themeColor="text1"/>
        </w:rPr>
        <w:t xml:space="preserve"> </w:t>
      </w:r>
      <w:r w:rsidRPr="00575C6A">
        <w:rPr>
          <w:rFonts w:ascii="Georgia" w:hAnsi="Georgia"/>
          <w:b/>
          <w:color w:val="000000" w:themeColor="text1"/>
          <w:highlight w:val="green"/>
        </w:rPr>
        <w:t>ja teise ettevõtja vahenditele tuginemine</w:t>
      </w:r>
    </w:p>
    <w:p w14:paraId="67FDD897" w14:textId="0EE9F22A" w:rsidR="00892E06" w:rsidRPr="00E62DE1" w:rsidRDefault="00892E06" w:rsidP="00D74F67">
      <w:pPr>
        <w:pStyle w:val="ListParagraph"/>
        <w:numPr>
          <w:ilvl w:val="1"/>
          <w:numId w:val="6"/>
        </w:numPr>
        <w:spacing w:after="0"/>
        <w:ind w:hanging="436"/>
        <w:jc w:val="both"/>
        <w:rPr>
          <w:rFonts w:ascii="Georgia" w:hAnsi="Georgia" w:cs="Arial"/>
          <w:color w:val="000000" w:themeColor="text1"/>
          <w:shd w:val="clear" w:color="auto" w:fill="FFFFFF"/>
        </w:rPr>
      </w:pPr>
      <w:r w:rsidRPr="00E62DE1">
        <w:rPr>
          <w:rFonts w:ascii="Georgia" w:hAnsi="Georgia" w:cs="Arial"/>
          <w:color w:val="000000" w:themeColor="text1"/>
          <w:shd w:val="clear" w:color="auto" w:fill="FFFFFF"/>
        </w:rPr>
        <w:t>Ühispakkumuse esitamisel nimetavad ühispakkujad riigihankega ning lepingu sõlmimise ja täitmisega seotud toimingute tegemiseks endi seast volitatud esindaja.</w:t>
      </w:r>
    </w:p>
    <w:p w14:paraId="77300B85" w14:textId="32C20794" w:rsidR="00E62DE1" w:rsidRPr="00E62DE1" w:rsidRDefault="00E62DE1" w:rsidP="00D74F67">
      <w:pPr>
        <w:pStyle w:val="ListParagraph"/>
        <w:numPr>
          <w:ilvl w:val="1"/>
          <w:numId w:val="6"/>
        </w:numPr>
        <w:spacing w:after="0" w:line="240" w:lineRule="auto"/>
        <w:ind w:hanging="436"/>
        <w:jc w:val="both"/>
        <w:rPr>
          <w:rFonts w:ascii="Georgia" w:hAnsi="Georgia" w:cs="Times New Roman"/>
        </w:rPr>
      </w:pPr>
      <w:r w:rsidRPr="00512518">
        <w:rPr>
          <w:rFonts w:ascii="Georgia" w:hAnsi="Georgia" w:cs="Times New Roman"/>
        </w:rPr>
        <w:t>Kui pakkumuse esitab välismaa äriühingu filiaal, siis tuleb hankepass esitada välismaa äriühingu kohta</w:t>
      </w:r>
      <w:r w:rsidR="00512518">
        <w:rPr>
          <w:rFonts w:ascii="Georgia" w:hAnsi="Georgia" w:cs="Times New Roman"/>
        </w:rPr>
        <w:t xml:space="preserve"> ja hankija</w:t>
      </w:r>
      <w:r w:rsidRPr="00E62DE1">
        <w:rPr>
          <w:rFonts w:ascii="Georgia" w:hAnsi="Georgia" w:cs="Times New Roman"/>
        </w:rPr>
        <w:t xml:space="preserve"> kontrollib kõrvaldamise aluseid välismaa äriühingu suhtes.</w:t>
      </w:r>
    </w:p>
    <w:p w14:paraId="1353A22E" w14:textId="1F70F528" w:rsidR="00892E06" w:rsidRPr="00E62DE1" w:rsidRDefault="00892E06" w:rsidP="00D74F67">
      <w:pPr>
        <w:pStyle w:val="ListParagraph"/>
        <w:numPr>
          <w:ilvl w:val="1"/>
          <w:numId w:val="6"/>
        </w:numPr>
        <w:spacing w:after="0"/>
        <w:ind w:hanging="436"/>
        <w:jc w:val="both"/>
        <w:rPr>
          <w:rFonts w:ascii="Georgia" w:hAnsi="Georgia"/>
          <w:b/>
          <w:highlight w:val="green"/>
        </w:rPr>
      </w:pPr>
      <w:r w:rsidRPr="00E62DE1">
        <w:rPr>
          <w:rFonts w:ascii="Georgia" w:hAnsi="Georgia" w:cs="Arial"/>
          <w:highlight w:val="green"/>
          <w:shd w:val="clear" w:color="auto" w:fill="FFFFFF"/>
        </w:rPr>
        <w:t>Tuginemisel teise isiku vahenditele peab esitama hankepassi ka isiku osas, kelle vahenditele tuginetakse.</w:t>
      </w:r>
    </w:p>
    <w:p w14:paraId="6E157B3E" w14:textId="77777777" w:rsidR="00BD4FF3" w:rsidRPr="00DE3B56" w:rsidRDefault="00BD4FF3" w:rsidP="00484C7A">
      <w:pPr>
        <w:autoSpaceDE w:val="0"/>
        <w:autoSpaceDN w:val="0"/>
        <w:adjustRightInd w:val="0"/>
        <w:spacing w:after="0" w:line="240" w:lineRule="auto"/>
        <w:jc w:val="both"/>
        <w:rPr>
          <w:rFonts w:ascii="Georgia" w:hAnsi="Georgia" w:cs="Arial"/>
          <w:shd w:val="clear" w:color="auto" w:fill="FFFFFF"/>
        </w:rPr>
      </w:pPr>
    </w:p>
    <w:p w14:paraId="4925DB01" w14:textId="77777777" w:rsidR="00BD4FF3" w:rsidRPr="00DE3B56" w:rsidRDefault="00BD4FF3" w:rsidP="009222DA">
      <w:pPr>
        <w:pStyle w:val="ListParagraph"/>
        <w:numPr>
          <w:ilvl w:val="0"/>
          <w:numId w:val="3"/>
        </w:numPr>
        <w:spacing w:after="0" w:line="240" w:lineRule="auto"/>
        <w:ind w:left="284" w:hanging="284"/>
        <w:jc w:val="both"/>
        <w:rPr>
          <w:rFonts w:ascii="Georgia" w:hAnsi="Georgia"/>
          <w:b/>
        </w:rPr>
      </w:pPr>
      <w:r w:rsidRPr="00DE3B56">
        <w:rPr>
          <w:rFonts w:ascii="Georgia" w:hAnsi="Georgia"/>
          <w:b/>
        </w:rPr>
        <w:t>Pakkumus</w:t>
      </w:r>
    </w:p>
    <w:p w14:paraId="417283CC" w14:textId="15432E58" w:rsidR="000C0C81" w:rsidRPr="007C78AC" w:rsidRDefault="000C0C81" w:rsidP="009222DA">
      <w:pPr>
        <w:pStyle w:val="ListParagraph"/>
        <w:numPr>
          <w:ilvl w:val="1"/>
          <w:numId w:val="3"/>
        </w:numPr>
        <w:spacing w:after="0" w:line="240" w:lineRule="auto"/>
        <w:ind w:left="709" w:hanging="425"/>
        <w:jc w:val="both"/>
        <w:rPr>
          <w:rFonts w:ascii="Georgia" w:hAnsi="Georgia"/>
          <w:b/>
        </w:rPr>
      </w:pPr>
      <w:r w:rsidRPr="000C0C81">
        <w:rPr>
          <w:rFonts w:ascii="Georgia" w:hAnsi="Georgia" w:cs="Times New Roman"/>
        </w:rPr>
        <w:t>Pakkumus on konfidentsiaalne kuni pakkumuse edukaks tunnistamise otsuse tegemiseni. Pakkumuses sisalduvat teavet võib avalikustada üksnes riigihangete seaduses sätestatud juhtudel ja ulatuses. Pakkuja märgib pakkumuses, milline teave on pakkuja ärisaladus, ja põhjendab teabe ärisaladuseks määramist. Teabe ärisaladuseks määramisel lähtutakse ebaausa konkurentsi takistamise ja ärisaladuse kaitse seaduse § 5 lõikes 2 sätestatust. Pakkuja ei või ärisaladusena märkida RHS § 46</w:t>
      </w:r>
      <w:r w:rsidRPr="000C0C81">
        <w:rPr>
          <w:rFonts w:ascii="Georgia" w:hAnsi="Georgia" w:cs="Times New Roman"/>
          <w:vertAlign w:val="superscript"/>
        </w:rPr>
        <w:t>1</w:t>
      </w:r>
      <w:r w:rsidRPr="000C0C81">
        <w:rPr>
          <w:rFonts w:ascii="Georgia" w:hAnsi="Georgia" w:cs="Times New Roman"/>
        </w:rPr>
        <w:t xml:space="preserve"> lõikes 1 </w:t>
      </w:r>
      <w:r w:rsidRPr="007C78AC">
        <w:rPr>
          <w:rFonts w:ascii="Georgia" w:hAnsi="Georgia" w:cs="Times New Roman"/>
        </w:rPr>
        <w:t xml:space="preserve">sätestatud teavet. </w:t>
      </w:r>
      <w:r w:rsidRPr="007C78AC">
        <w:rPr>
          <w:rFonts w:ascii="Georgia" w:hAnsi="Georgia" w:cs="Times New Roman"/>
          <w:shd w:val="clear" w:color="auto" w:fill="FFFFFF"/>
        </w:rPr>
        <w:t>Hankija ei avalikusta pakkumuste sisu ärisaladusega kaetud osas.</w:t>
      </w:r>
      <w:r w:rsidR="00386643" w:rsidRPr="007C78AC">
        <w:rPr>
          <w:rFonts w:ascii="Georgia" w:hAnsi="Georgia" w:cs="Times New Roman"/>
          <w:shd w:val="clear" w:color="auto" w:fill="FFFFFF"/>
        </w:rPr>
        <w:t xml:space="preserve"> </w:t>
      </w:r>
      <w:r w:rsidR="00386643" w:rsidRPr="007C78AC">
        <w:rPr>
          <w:rFonts w:ascii="Georgia" w:hAnsi="Georgia" w:cs="Times New Roman"/>
          <w:szCs w:val="24"/>
          <w:shd w:val="clear" w:color="auto" w:fill="FFFFFF"/>
        </w:rPr>
        <w:t>Hankija ei vastuta ärisaladuse avaldamise eest osas, milles pakkuja ei ole seda ärisaladuseks märkinud.</w:t>
      </w:r>
    </w:p>
    <w:p w14:paraId="4D747F9C" w14:textId="77777777" w:rsidR="00945C97" w:rsidRPr="007C78AC" w:rsidRDefault="00945C97" w:rsidP="009222DA">
      <w:pPr>
        <w:pStyle w:val="ListParagraph"/>
        <w:numPr>
          <w:ilvl w:val="1"/>
          <w:numId w:val="3"/>
        </w:numPr>
        <w:spacing w:after="0" w:line="240" w:lineRule="auto"/>
        <w:ind w:left="709" w:hanging="425"/>
        <w:jc w:val="both"/>
        <w:rPr>
          <w:rFonts w:ascii="Georgia" w:hAnsi="Georgia"/>
          <w:b/>
        </w:rPr>
      </w:pPr>
      <w:r w:rsidRPr="007C78AC">
        <w:rPr>
          <w:rFonts w:ascii="Georgia" w:hAnsi="Georgia" w:cs="Arial"/>
          <w:shd w:val="clear" w:color="auto" w:fill="FFFFFF"/>
        </w:rPr>
        <w:t xml:space="preserve">Pakkumus peab vastama riigihanke alusdokumentides sätestatud tingimustele, sisaldama nõutud dokumente ning olema vormistatud nõuetekohaselt. Pakkumuses esitatud andmed peavad olema esitatud viisil, mis võimaldavad hankijal kontrollida nende vastavust riigihanke alusdokumentides toodud tingimustele. </w:t>
      </w:r>
    </w:p>
    <w:p w14:paraId="095067C8" w14:textId="77777777" w:rsidR="00945C97" w:rsidRPr="00DE3B56" w:rsidRDefault="00945C97" w:rsidP="009222DA">
      <w:pPr>
        <w:pStyle w:val="ListParagraph"/>
        <w:spacing w:after="0" w:line="240" w:lineRule="auto"/>
        <w:ind w:left="709"/>
        <w:jc w:val="both"/>
        <w:rPr>
          <w:rFonts w:ascii="Georgia" w:hAnsi="Georgia"/>
          <w:b/>
        </w:rPr>
      </w:pPr>
    </w:p>
    <w:p w14:paraId="4A3C0EFD" w14:textId="77777777" w:rsidR="00BD4FF3" w:rsidRPr="00DE3B56" w:rsidRDefault="00BD4FF3" w:rsidP="009222DA">
      <w:pPr>
        <w:pStyle w:val="ListParagraph"/>
        <w:numPr>
          <w:ilvl w:val="0"/>
          <w:numId w:val="3"/>
        </w:numPr>
        <w:spacing w:after="0" w:line="240" w:lineRule="auto"/>
        <w:ind w:left="284" w:hanging="284"/>
        <w:jc w:val="both"/>
        <w:rPr>
          <w:rFonts w:ascii="Georgia" w:hAnsi="Georgia"/>
          <w:b/>
        </w:rPr>
      </w:pPr>
      <w:r w:rsidRPr="00DE3B56">
        <w:rPr>
          <w:rFonts w:ascii="Georgia" w:hAnsi="Georgia"/>
          <w:b/>
        </w:rPr>
        <w:t>Kõikide pakkumuste tagasilükkamise alused</w:t>
      </w:r>
    </w:p>
    <w:p w14:paraId="196F0D28" w14:textId="0AF57B8E" w:rsidR="002453CF" w:rsidRDefault="00714E41" w:rsidP="002453CF">
      <w:pPr>
        <w:pStyle w:val="ListParagraph"/>
        <w:numPr>
          <w:ilvl w:val="1"/>
          <w:numId w:val="3"/>
        </w:numPr>
        <w:spacing w:after="0" w:line="240" w:lineRule="auto"/>
        <w:ind w:left="709" w:hanging="425"/>
        <w:jc w:val="both"/>
        <w:rPr>
          <w:rFonts w:ascii="Georgia" w:hAnsi="Georgia"/>
        </w:rPr>
      </w:pPr>
      <w:r w:rsidRPr="007B3A2E">
        <w:rPr>
          <w:rFonts w:ascii="Georgia" w:hAnsi="Georgia"/>
        </w:rPr>
        <w:t xml:space="preserve">Hankijal on õigus kõik esitatud või vastavaks tunnistatud </w:t>
      </w:r>
      <w:r w:rsidRPr="000B3E16">
        <w:rPr>
          <w:rFonts w:ascii="Georgia" w:hAnsi="Georgia"/>
          <w:color w:val="000000" w:themeColor="text1"/>
        </w:rPr>
        <w:t xml:space="preserve">pakkumused tagasi lükata </w:t>
      </w:r>
      <w:r w:rsidRPr="007C78AC">
        <w:rPr>
          <w:rFonts w:ascii="Georgia" w:hAnsi="Georgia"/>
          <w:color w:val="000000" w:themeColor="text1"/>
        </w:rPr>
        <w:t xml:space="preserve">igal ajal enne </w:t>
      </w:r>
      <w:r w:rsidRPr="007C78AC">
        <w:rPr>
          <w:rFonts w:ascii="Georgia" w:hAnsi="Georgia" w:cs="Arial"/>
          <w:color w:val="000000" w:themeColor="text1"/>
          <w:shd w:val="clear" w:color="auto" w:fill="FFFFFF"/>
        </w:rPr>
        <w:t xml:space="preserve">lepingu </w:t>
      </w:r>
      <w:r w:rsidRPr="007C78AC">
        <w:rPr>
          <w:rFonts w:ascii="Georgia" w:hAnsi="Georgia"/>
          <w:color w:val="000000" w:themeColor="text1"/>
        </w:rPr>
        <w:t>sõlmimist vastavalt RHS § 116 lõikes 1</w:t>
      </w:r>
      <w:r w:rsidR="00EB4B5C" w:rsidRPr="007C78AC">
        <w:rPr>
          <w:rFonts w:ascii="Georgia" w:hAnsi="Georgia" w:cs="Times New Roman"/>
          <w:szCs w:val="24"/>
        </w:rPr>
        <w:t xml:space="preserve"> </w:t>
      </w:r>
      <w:r w:rsidR="00EB4B5C" w:rsidRPr="007C78AC">
        <w:rPr>
          <w:rFonts w:ascii="Times New Roman" w:hAnsi="Times New Roman" w:cs="Times New Roman"/>
          <w:szCs w:val="24"/>
        </w:rPr>
        <w:t xml:space="preserve"> </w:t>
      </w:r>
      <w:r w:rsidRPr="007C78AC">
        <w:rPr>
          <w:rFonts w:ascii="Georgia" w:hAnsi="Georgia"/>
          <w:color w:val="000000" w:themeColor="text1"/>
        </w:rPr>
        <w:t xml:space="preserve">sätestatule või </w:t>
      </w:r>
      <w:r w:rsidRPr="007C78AC">
        <w:rPr>
          <w:rFonts w:ascii="Georgia" w:hAnsi="Georgia" w:cs="Arial"/>
          <w:color w:val="000000" w:themeColor="text1"/>
          <w:shd w:val="clear" w:color="auto" w:fill="FFFFFF"/>
        </w:rPr>
        <w:t xml:space="preserve">kui </w:t>
      </w:r>
      <w:r w:rsidR="00511840" w:rsidRPr="007C78AC">
        <w:rPr>
          <w:rFonts w:ascii="Georgia" w:hAnsi="Georgia" w:cs="Arial"/>
          <w:color w:val="000000" w:themeColor="text1"/>
          <w:shd w:val="clear" w:color="auto" w:fill="FFFFFF"/>
        </w:rPr>
        <w:t>eduka</w:t>
      </w:r>
      <w:r w:rsidR="00511840" w:rsidRPr="000B3E16">
        <w:rPr>
          <w:rFonts w:ascii="Georgia" w:hAnsi="Georgia" w:cs="Arial"/>
          <w:color w:val="000000" w:themeColor="text1"/>
          <w:shd w:val="clear" w:color="auto" w:fill="FFFFFF"/>
        </w:rPr>
        <w:t xml:space="preserve"> </w:t>
      </w:r>
      <w:r w:rsidRPr="000B3E16">
        <w:rPr>
          <w:rFonts w:ascii="Georgia" w:hAnsi="Georgia" w:cs="Arial"/>
          <w:color w:val="000000" w:themeColor="text1"/>
          <w:shd w:val="clear" w:color="auto" w:fill="FFFFFF"/>
        </w:rPr>
        <w:t xml:space="preserve">pakkumuse maksumus või kulu ületab riigihanke </w:t>
      </w:r>
      <w:r w:rsidR="00511840" w:rsidRPr="000B3E16">
        <w:rPr>
          <w:rFonts w:ascii="Georgia" w:hAnsi="Georgia" w:cs="Arial"/>
          <w:color w:val="000000" w:themeColor="text1"/>
          <w:shd w:val="clear" w:color="auto" w:fill="FFFFFF"/>
        </w:rPr>
        <w:t xml:space="preserve">eeldatavat maksumust või </w:t>
      </w:r>
      <w:r w:rsidRPr="000B3E16">
        <w:rPr>
          <w:rFonts w:ascii="Georgia" w:hAnsi="Georgia" w:cs="Arial"/>
          <w:color w:val="000000" w:themeColor="text1"/>
          <w:shd w:val="clear" w:color="auto" w:fill="FFFFFF"/>
        </w:rPr>
        <w:t>alusdokumentides kindlaks määratud lepingu hinda või kulu.</w:t>
      </w:r>
      <w:r w:rsidRPr="000B3E16">
        <w:rPr>
          <w:rFonts w:ascii="Georgia" w:hAnsi="Georgia"/>
          <w:color w:val="000000" w:themeColor="text1"/>
        </w:rPr>
        <w:t xml:space="preserve"> Kõigi pakkumuste tagasilükkamisel teeb hankija sellekohase põhjendatud </w:t>
      </w:r>
      <w:r w:rsidRPr="007B3A2E">
        <w:rPr>
          <w:rFonts w:ascii="Georgia" w:hAnsi="Georgia"/>
        </w:rPr>
        <w:t>otsuse.</w:t>
      </w:r>
    </w:p>
    <w:p w14:paraId="32BEFA41" w14:textId="118A8D5E" w:rsidR="00945C97" w:rsidRPr="00714E41" w:rsidRDefault="00945C97" w:rsidP="00714E41">
      <w:pPr>
        <w:pStyle w:val="ListParagraph"/>
        <w:numPr>
          <w:ilvl w:val="1"/>
          <w:numId w:val="3"/>
        </w:numPr>
        <w:spacing w:after="0" w:line="240" w:lineRule="auto"/>
        <w:ind w:left="709" w:hanging="425"/>
        <w:jc w:val="both"/>
        <w:rPr>
          <w:rFonts w:ascii="Georgia" w:hAnsi="Georgia"/>
        </w:rPr>
      </w:pPr>
      <w:r w:rsidRPr="00714E41">
        <w:rPr>
          <w:rFonts w:ascii="Georgia" w:hAnsi="Georgia"/>
        </w:rPr>
        <w:t>Hankija võib põhjendatud vajaduse korral omal algatusel hankemenetluse kehtetuks tunnistada. Põhjendatud vajaduseks võib olla eelkõige, kuid mitte ainult:</w:t>
      </w:r>
    </w:p>
    <w:p w14:paraId="63937058" w14:textId="40348918" w:rsidR="00945C97" w:rsidRPr="00DE3B56" w:rsidRDefault="00945C97" w:rsidP="009222DA">
      <w:pPr>
        <w:pStyle w:val="ListParagraph"/>
        <w:numPr>
          <w:ilvl w:val="2"/>
          <w:numId w:val="3"/>
        </w:numPr>
        <w:spacing w:after="0" w:line="240" w:lineRule="auto"/>
        <w:jc w:val="both"/>
        <w:rPr>
          <w:rFonts w:ascii="Georgia" w:hAnsi="Georgia"/>
        </w:rPr>
      </w:pPr>
      <w:r w:rsidRPr="00DE3B56">
        <w:rPr>
          <w:rFonts w:ascii="Georgia" w:hAnsi="Georgia"/>
        </w:rPr>
        <w:t xml:space="preserve">kui tekib vajadus </w:t>
      </w:r>
      <w:r w:rsidRPr="00DE3B56">
        <w:rPr>
          <w:rFonts w:ascii="Georgia" w:hAnsi="Georgia" w:cs="Arial"/>
          <w:shd w:val="clear" w:color="auto" w:fill="FFFFFF"/>
        </w:rPr>
        <w:t xml:space="preserve">lepingu </w:t>
      </w:r>
      <w:r w:rsidRPr="00DE3B56">
        <w:rPr>
          <w:rFonts w:ascii="Georgia" w:hAnsi="Georgia"/>
        </w:rPr>
        <w:t>eset olulisel määral muuta;</w:t>
      </w:r>
    </w:p>
    <w:p w14:paraId="2A49CCEB" w14:textId="06F6B494" w:rsidR="00945C97" w:rsidRPr="00DE3B56" w:rsidRDefault="00945C97" w:rsidP="009222DA">
      <w:pPr>
        <w:pStyle w:val="ListParagraph"/>
        <w:numPr>
          <w:ilvl w:val="2"/>
          <w:numId w:val="3"/>
        </w:numPr>
        <w:spacing w:after="0" w:line="240" w:lineRule="auto"/>
        <w:jc w:val="both"/>
        <w:rPr>
          <w:rFonts w:ascii="Georgia" w:hAnsi="Georgia"/>
        </w:rPr>
      </w:pPr>
      <w:r w:rsidRPr="00DE3B56">
        <w:rPr>
          <w:rFonts w:ascii="Georgia" w:hAnsi="Georgia"/>
        </w:rPr>
        <w:t xml:space="preserve">kui riigihanke läbiviimise aluseks olevad tingimused on oluliselt muutunud ja seetõttu osutub </w:t>
      </w:r>
      <w:r w:rsidRPr="00DE3B56">
        <w:rPr>
          <w:rFonts w:ascii="Georgia" w:hAnsi="Georgia" w:cs="Arial"/>
          <w:shd w:val="clear" w:color="auto" w:fill="FFFFFF"/>
        </w:rPr>
        <w:t xml:space="preserve">lepingu </w:t>
      </w:r>
      <w:r w:rsidRPr="00DE3B56">
        <w:rPr>
          <w:rFonts w:ascii="Georgia" w:hAnsi="Georgia"/>
        </w:rPr>
        <w:t>sõlmimine mittevajalikuks või võimatuks;</w:t>
      </w:r>
    </w:p>
    <w:p w14:paraId="7C79BD84" w14:textId="2A1A6696" w:rsidR="00945C97" w:rsidRDefault="00945C97" w:rsidP="0049267B">
      <w:pPr>
        <w:pStyle w:val="ListParagraph"/>
        <w:numPr>
          <w:ilvl w:val="2"/>
          <w:numId w:val="3"/>
        </w:numPr>
        <w:spacing w:after="0" w:line="240" w:lineRule="auto"/>
        <w:jc w:val="both"/>
        <w:rPr>
          <w:rFonts w:ascii="Georgia" w:hAnsi="Georgia"/>
        </w:rPr>
      </w:pPr>
      <w:r w:rsidRPr="00867CDD">
        <w:rPr>
          <w:rFonts w:ascii="Georgia" w:hAnsi="Georgia"/>
        </w:rPr>
        <w:t>kui hankemenetluses ilmnenud ebakõlasid ei ole võimalik kõrvaldada ega hankemenetlust seetõttu ka õiguspäraselt lõpule viia.</w:t>
      </w:r>
    </w:p>
    <w:p w14:paraId="51DE48C8" w14:textId="77777777" w:rsidR="003565A4" w:rsidRPr="003565A4" w:rsidRDefault="003565A4" w:rsidP="003565A4">
      <w:pPr>
        <w:spacing w:after="0" w:line="240" w:lineRule="auto"/>
        <w:jc w:val="both"/>
        <w:rPr>
          <w:rFonts w:ascii="Georgia" w:hAnsi="Georgia"/>
        </w:rPr>
      </w:pPr>
    </w:p>
    <w:p w14:paraId="125C4E4D" w14:textId="77777777" w:rsidR="00CC2382" w:rsidRPr="00416C07" w:rsidRDefault="00CC2382" w:rsidP="009222DA">
      <w:pPr>
        <w:pStyle w:val="ListParagraph"/>
        <w:numPr>
          <w:ilvl w:val="0"/>
          <w:numId w:val="3"/>
        </w:numPr>
        <w:spacing w:after="0" w:line="240" w:lineRule="auto"/>
        <w:ind w:left="284" w:hanging="284"/>
        <w:jc w:val="both"/>
        <w:rPr>
          <w:rFonts w:ascii="Georgia" w:hAnsi="Georgia"/>
          <w:b/>
        </w:rPr>
      </w:pPr>
      <w:r w:rsidRPr="00416C07">
        <w:rPr>
          <w:rFonts w:ascii="Georgia" w:hAnsi="Georgia"/>
          <w:b/>
        </w:rPr>
        <w:t>P</w:t>
      </w:r>
      <w:r w:rsidR="0041388E" w:rsidRPr="00416C07">
        <w:rPr>
          <w:rFonts w:ascii="Georgia" w:hAnsi="Georgia"/>
          <w:b/>
        </w:rPr>
        <w:t>akkumuse edukaks tunnistamine</w:t>
      </w:r>
    </w:p>
    <w:p w14:paraId="6A22BD48" w14:textId="1ADAB8B5" w:rsidR="00C175B9" w:rsidRPr="00061779" w:rsidRDefault="00C175B9" w:rsidP="009222DA">
      <w:pPr>
        <w:pStyle w:val="ListParagraph"/>
        <w:numPr>
          <w:ilvl w:val="1"/>
          <w:numId w:val="3"/>
        </w:numPr>
        <w:spacing w:after="0" w:line="240" w:lineRule="auto"/>
        <w:ind w:left="709" w:hanging="425"/>
        <w:jc w:val="both"/>
        <w:rPr>
          <w:rFonts w:ascii="Georgia" w:eastAsia="Calibri" w:hAnsi="Georgia" w:cs="Times New Roman"/>
        </w:rPr>
      </w:pPr>
      <w:r w:rsidRPr="00061779">
        <w:rPr>
          <w:rFonts w:ascii="Georgia" w:eastAsia="Calibri" w:hAnsi="Georgia" w:cs="Times New Roman"/>
        </w:rPr>
        <w:lastRenderedPageBreak/>
        <w:t>Vastavaks tunnistatud pakkumusi hindab hankija 100-väärtuspunkti süsteemis. Edukaks tunnistatakse</w:t>
      </w:r>
      <w:r w:rsidR="00EF6A5F" w:rsidRPr="00061779">
        <w:rPr>
          <w:rFonts w:ascii="Georgia" w:eastAsia="Calibri" w:hAnsi="Georgia" w:cs="Times New Roman"/>
        </w:rPr>
        <w:t xml:space="preserve"> </w:t>
      </w:r>
      <w:r w:rsidRPr="00061779">
        <w:rPr>
          <w:rFonts w:ascii="Georgia" w:eastAsia="Calibri" w:hAnsi="Georgia" w:cs="Times New Roman"/>
        </w:rPr>
        <w:t>majanduslikult soodsaim pakkumus riigihanke alusdokumentides toodud hindamiskriteeriumide alusel</w:t>
      </w:r>
      <w:r w:rsidR="00061779" w:rsidRPr="00061779">
        <w:rPr>
          <w:rFonts w:ascii="Georgia" w:eastAsia="Calibri" w:hAnsi="Georgia" w:cs="Times New Roman"/>
        </w:rPr>
        <w:t xml:space="preserve"> </w:t>
      </w:r>
      <w:r w:rsidR="00061779" w:rsidRPr="00061779">
        <w:rPr>
          <w:rFonts w:ascii="Georgia" w:hAnsi="Georgia" w:cs="Times New Roman"/>
          <w:szCs w:val="24"/>
        </w:rPr>
        <w:t>vastavalt hindamismetoodikas kirjeldatule</w:t>
      </w:r>
      <w:r w:rsidRPr="00061779">
        <w:rPr>
          <w:rFonts w:ascii="Georgia" w:eastAsia="Calibri" w:hAnsi="Georgia" w:cs="Times New Roman"/>
        </w:rPr>
        <w:t>.</w:t>
      </w:r>
    </w:p>
    <w:p w14:paraId="74A1E74F" w14:textId="77777777" w:rsidR="007C78AC" w:rsidRPr="007C78AC" w:rsidRDefault="007C78AC" w:rsidP="007C78AC">
      <w:pPr>
        <w:pStyle w:val="NoSpacing"/>
        <w:numPr>
          <w:ilvl w:val="1"/>
          <w:numId w:val="3"/>
        </w:numPr>
        <w:tabs>
          <w:tab w:val="left" w:pos="2835"/>
        </w:tabs>
        <w:ind w:left="709" w:hanging="425"/>
        <w:jc w:val="both"/>
        <w:rPr>
          <w:rFonts w:ascii="Georgia" w:hAnsi="Georgia"/>
        </w:rPr>
      </w:pPr>
      <w:r w:rsidRPr="007C78AC">
        <w:rPr>
          <w:rFonts w:ascii="Georgia" w:hAnsi="Georgia"/>
        </w:rPr>
        <w:t>Hankija tunnistab edukaks enim väärtuspunkte saanud pakkumuse. Võrdsete väärtuspunktidega pakkumuste korral tunnistatakse edukaks pakkumus, millele on omistatud hindamiskriteeriumi „Koopiapaberi A4 maksumus“ eest suurim arv väärtuspunkte. Juhul, kui ka sellisel juhul on väärtuspunktid võrdsed, korraldab  hankija eduka pakkumuse väljaselgitamiseks liisuheitmise, võimaldades võrdse maksumusega pakkumuse esitanud pakkujatel liisuheitmise juures viibida.</w:t>
      </w:r>
    </w:p>
    <w:p w14:paraId="4DBAB1E3" w14:textId="6FF9E3EA" w:rsidR="008E407E" w:rsidRPr="001817EA" w:rsidRDefault="008E407E" w:rsidP="008E407E">
      <w:pPr>
        <w:pStyle w:val="NoSpacing"/>
        <w:numPr>
          <w:ilvl w:val="1"/>
          <w:numId w:val="3"/>
        </w:numPr>
        <w:tabs>
          <w:tab w:val="left" w:pos="2835"/>
        </w:tabs>
        <w:ind w:left="709" w:hanging="425"/>
        <w:jc w:val="both"/>
        <w:rPr>
          <w:rFonts w:ascii="Georgia" w:hAnsi="Georgia"/>
          <w:i/>
        </w:rPr>
      </w:pPr>
      <w:r w:rsidRPr="001817EA">
        <w:rPr>
          <w:rFonts w:ascii="Georgia" w:hAnsi="Georgia"/>
        </w:rPr>
        <w:t xml:space="preserve">Pakkumuse maksumus peab olema lõplik ja sisaldama kõiki kulusid vastavalt riigihanke alusdokumentidele ning seal nimetamata kulusid, mis on vajalikud lepingu nõuetekohaseks täitmiseks. Negatiivse väärtusega maksumusi ei ole lubatud kasutada ja sellised pakkumused on hankijal õigus lugeda mittevastavaks ning tagasi lükata. Hankija ei hüvita </w:t>
      </w:r>
      <w:r w:rsidR="003565A4">
        <w:rPr>
          <w:rFonts w:ascii="Georgia" w:hAnsi="Georgia"/>
        </w:rPr>
        <w:t>raam</w:t>
      </w:r>
      <w:r w:rsidRPr="001817EA">
        <w:rPr>
          <w:rFonts w:ascii="Georgia" w:hAnsi="Georgia"/>
        </w:rPr>
        <w:t>lepingu täitmisel pakkujale mingeid täiendavaid kulusid ega tee täiendavaid makseid</w:t>
      </w:r>
      <w:r w:rsidR="00F40102">
        <w:rPr>
          <w:rFonts w:ascii="Georgia" w:hAnsi="Georgia"/>
        </w:rPr>
        <w:t>, välja arvatud lepingus sätestatud juhul</w:t>
      </w:r>
      <w:r w:rsidRPr="001817EA">
        <w:rPr>
          <w:rFonts w:ascii="Georgia" w:hAnsi="Georgia"/>
        </w:rPr>
        <w:t>.</w:t>
      </w:r>
    </w:p>
    <w:p w14:paraId="2B529A5A" w14:textId="77777777" w:rsidR="00B86164" w:rsidRPr="00416C07" w:rsidRDefault="00B86164" w:rsidP="009222DA">
      <w:pPr>
        <w:pStyle w:val="ListParagraph"/>
        <w:spacing w:after="0" w:line="240" w:lineRule="auto"/>
        <w:ind w:left="709"/>
        <w:jc w:val="both"/>
        <w:rPr>
          <w:rFonts w:ascii="Georgia" w:hAnsi="Georgia"/>
        </w:rPr>
      </w:pPr>
    </w:p>
    <w:p w14:paraId="6DAFEF9D" w14:textId="77777777" w:rsidR="00087179" w:rsidRPr="00DE3B56" w:rsidRDefault="00087179" w:rsidP="009222DA">
      <w:pPr>
        <w:pStyle w:val="NoSpacing"/>
        <w:numPr>
          <w:ilvl w:val="0"/>
          <w:numId w:val="3"/>
        </w:numPr>
        <w:ind w:left="284" w:hanging="284"/>
        <w:jc w:val="both"/>
        <w:rPr>
          <w:rFonts w:ascii="Georgia" w:hAnsi="Georgia"/>
          <w:b/>
        </w:rPr>
      </w:pPr>
      <w:r w:rsidRPr="00DE3B56">
        <w:rPr>
          <w:rFonts w:ascii="Georgia" w:hAnsi="Georgia"/>
          <w:b/>
        </w:rPr>
        <w:t>Muud sätted</w:t>
      </w:r>
    </w:p>
    <w:p w14:paraId="1188463C" w14:textId="38F5C772" w:rsidR="00087179" w:rsidRPr="00DE3B56" w:rsidRDefault="00087179" w:rsidP="009222DA">
      <w:pPr>
        <w:pStyle w:val="NoSpacing"/>
        <w:numPr>
          <w:ilvl w:val="1"/>
          <w:numId w:val="3"/>
        </w:numPr>
        <w:ind w:left="709" w:hanging="425"/>
        <w:jc w:val="both"/>
        <w:rPr>
          <w:rFonts w:ascii="Georgia" w:hAnsi="Georgia"/>
          <w:b/>
        </w:rPr>
      </w:pPr>
      <w:commentRangeStart w:id="0"/>
      <w:r w:rsidRPr="00DE3B56">
        <w:rPr>
          <w:rFonts w:ascii="Georgia" w:hAnsi="Georgia"/>
        </w:rPr>
        <w:t>Iga viidet, mille hankija teeb riigihanke alusdokumentides mõnele RHS-i § 88 lõikes 2 nimetatud alusele (standardile, tehnilisele tunnustusele, tehnilisele kontrollisüsteemile vms)</w:t>
      </w:r>
      <w:r w:rsidR="006E2E0A">
        <w:rPr>
          <w:rFonts w:ascii="Georgia" w:hAnsi="Georgia"/>
        </w:rPr>
        <w:t xml:space="preserve"> või märgisele</w:t>
      </w:r>
      <w:r w:rsidRPr="00DE3B56">
        <w:rPr>
          <w:rFonts w:ascii="Georgia" w:hAnsi="Georgia"/>
        </w:rPr>
        <w:t>, tuleb lugeda selliselt, et see on täiendatud märkega „või sellega samaväärne“. Iga viidet, mille hankija teeb riigihanke alusdokumentides ostuallikale, protsessile, kaubamärgile, patendile, tüübile, päritolule või tootmisviisile, tuleb lugeda selliselt, et see on täiendatud märkega „või sellega samaväärne“.</w:t>
      </w:r>
    </w:p>
    <w:p w14:paraId="33FB2A5D" w14:textId="500F9FD4" w:rsidR="00087179" w:rsidRPr="00714E41" w:rsidRDefault="00CF4702" w:rsidP="00CF4702">
      <w:pPr>
        <w:pStyle w:val="NoSpacing"/>
        <w:numPr>
          <w:ilvl w:val="2"/>
          <w:numId w:val="9"/>
        </w:numPr>
        <w:ind w:left="1418"/>
        <w:jc w:val="both"/>
        <w:rPr>
          <w:rFonts w:ascii="Georgia" w:hAnsi="Georgia"/>
          <w:b/>
        </w:rPr>
      </w:pPr>
      <w:r>
        <w:rPr>
          <w:rFonts w:ascii="Georgia" w:hAnsi="Georgia"/>
        </w:rPr>
        <w:t>K</w:t>
      </w:r>
      <w:r w:rsidR="00087179" w:rsidRPr="00DE3B56">
        <w:rPr>
          <w:rFonts w:ascii="Georgia" w:hAnsi="Georgia"/>
        </w:rPr>
        <w:t>ui pakkuja pak</w:t>
      </w:r>
      <w:r>
        <w:rPr>
          <w:rFonts w:ascii="Georgia" w:hAnsi="Georgia"/>
        </w:rPr>
        <w:t>ub</w:t>
      </w:r>
      <w:r w:rsidR="00087179" w:rsidRPr="00DE3B56">
        <w:rPr>
          <w:rFonts w:ascii="Georgia" w:hAnsi="Georgia"/>
        </w:rPr>
        <w:t xml:space="preserve"> tehnilises kirjelduses nimetatule samaväärset lepingu eset, tuleb teha sellekohane märge pakkumuses ning esitada koos pakkumusega samaväärsust tõendavad andmed, dokumendid jms.</w:t>
      </w:r>
      <w:commentRangeEnd w:id="0"/>
      <w:r w:rsidR="003525E9">
        <w:rPr>
          <w:rStyle w:val="CommentReference"/>
          <w:rFonts w:asciiTheme="minorHAnsi" w:eastAsiaTheme="minorHAnsi" w:hAnsiTheme="minorHAnsi" w:cstheme="minorBidi"/>
        </w:rPr>
        <w:commentReference w:id="0"/>
      </w:r>
    </w:p>
    <w:p w14:paraId="063F8368" w14:textId="28E682F6" w:rsidR="00714E41" w:rsidRPr="00714E41" w:rsidRDefault="00714E41" w:rsidP="00E1154B">
      <w:pPr>
        <w:pStyle w:val="NoSpacing"/>
        <w:ind w:left="709"/>
        <w:jc w:val="both"/>
        <w:rPr>
          <w:rFonts w:ascii="Georgia" w:hAnsi="Georgia"/>
          <w:b/>
        </w:rPr>
      </w:pPr>
    </w:p>
    <w:p w14:paraId="67BA6810" w14:textId="71A41902" w:rsidR="00963601" w:rsidRPr="00963601" w:rsidRDefault="007C78AC" w:rsidP="00963601">
      <w:pPr>
        <w:pStyle w:val="NoSpacing"/>
        <w:numPr>
          <w:ilvl w:val="1"/>
          <w:numId w:val="3"/>
        </w:numPr>
        <w:ind w:left="709" w:hanging="425"/>
        <w:jc w:val="both"/>
        <w:rPr>
          <w:rFonts w:ascii="Georgia" w:hAnsi="Georgia"/>
          <w:b/>
        </w:rPr>
      </w:pPr>
      <w:r>
        <w:rPr>
          <w:rFonts w:ascii="Georgia" w:hAnsi="Georgia"/>
        </w:rPr>
        <w:t>Riigi Tugiteenuste Keskus</w:t>
      </w:r>
      <w:r w:rsidR="00087179" w:rsidRPr="00DE3B56">
        <w:rPr>
          <w:rFonts w:ascii="Georgia" w:hAnsi="Georgia"/>
        </w:rPr>
        <w:t xml:space="preserve"> sõlmib eduka pakkujaga </w:t>
      </w:r>
      <w:r>
        <w:rPr>
          <w:rFonts w:ascii="Georgia" w:hAnsi="Georgia"/>
        </w:rPr>
        <w:t>raam</w:t>
      </w:r>
      <w:r w:rsidR="00087179" w:rsidRPr="00DE3B56">
        <w:rPr>
          <w:rFonts w:ascii="Georgia" w:hAnsi="Georgia"/>
        </w:rPr>
        <w:t>lepingu</w:t>
      </w:r>
      <w:r w:rsidR="00087179" w:rsidRPr="006273FF">
        <w:rPr>
          <w:rFonts w:ascii="Georgia" w:hAnsi="Georgia"/>
        </w:rPr>
        <w:t xml:space="preserve">. </w:t>
      </w:r>
      <w:r>
        <w:rPr>
          <w:rFonts w:ascii="Georgia" w:hAnsi="Georgia"/>
        </w:rPr>
        <w:t>Raaml</w:t>
      </w:r>
      <w:r w:rsidR="00087179" w:rsidRPr="00DE3B56">
        <w:rPr>
          <w:rFonts w:ascii="Georgia" w:hAnsi="Georgia"/>
        </w:rPr>
        <w:t>epingu projekt on toodud hanke alusdokumentides</w:t>
      </w:r>
      <w:r w:rsidR="00087179" w:rsidRPr="000F69B7">
        <w:rPr>
          <w:rFonts w:ascii="Georgia" w:hAnsi="Georgia"/>
        </w:rPr>
        <w:t xml:space="preserve">. </w:t>
      </w:r>
    </w:p>
    <w:p w14:paraId="5FA8DFC8" w14:textId="7C94B145" w:rsidR="00E42B82" w:rsidRPr="00E42B82" w:rsidRDefault="00E42B82" w:rsidP="00153F23">
      <w:pPr>
        <w:pStyle w:val="NoSpacing"/>
        <w:numPr>
          <w:ilvl w:val="1"/>
          <w:numId w:val="3"/>
        </w:numPr>
        <w:ind w:left="709" w:hanging="425"/>
        <w:jc w:val="both"/>
        <w:rPr>
          <w:rFonts w:ascii="Georgia" w:hAnsi="Georgia"/>
          <w:b/>
        </w:rPr>
      </w:pPr>
      <w:r w:rsidRPr="00E42B82">
        <w:rPr>
          <w:rFonts w:ascii="Georgia" w:hAnsi="Georgia" w:cs="Arial"/>
          <w:color w:val="202020"/>
          <w:shd w:val="clear" w:color="auto" w:fill="FFFFFF"/>
        </w:rPr>
        <w:t>Pakkuja, kellel esineb vähemalt üks RHS § 95 lõike 1 punktides 1–3 ja RHS § 95 lõike 4 punktides 2–11 nimetatud kõrvaldamise alustest, võib riigihankes esitada tõendid selle kohta, et ta on võtnud meetmeid oma usaldusväärsuse taastamiseks. Sellisteks meetmeteks võivad olla näiteks süüteoga põhjustatud kahju hüvitamine või vastava kohustuse võtmine, uurimisasutustega aktiivse koostöö tegemine ja teo asjaolude põhjalik selgitamine või tehnilised ning organisatsiooni ja töötajatega seotud meetmed, mis võimaldavad edasisi süütegusid ära hoida. Hankija hindab esitatud tõendeid ja kui ta leiab, et nimetatud tõendid on piisavad pakkuja usaldusväärsuse tõendamiseks, ei kõrvalda hankija pakkujat sellekohase põhjendatud kirjaliku otsusega hankemenetlusest ja võib sõlmida lepingu pakkujaga, vaatamata kõrvaldamise aluse olemasolule.</w:t>
      </w:r>
      <w:r w:rsidRPr="00E42B82">
        <w:rPr>
          <w:rFonts w:ascii="Georgia" w:hAnsi="Georgia"/>
        </w:rPr>
        <w:t xml:space="preserve"> Hankija kohaldab heastamise korral RHS §-</w:t>
      </w:r>
      <w:proofErr w:type="spellStart"/>
      <w:r w:rsidRPr="00E42B82">
        <w:rPr>
          <w:rFonts w:ascii="Georgia" w:hAnsi="Georgia"/>
        </w:rPr>
        <w:t>is</w:t>
      </w:r>
      <w:proofErr w:type="spellEnd"/>
      <w:r w:rsidRPr="00E42B82">
        <w:rPr>
          <w:rFonts w:ascii="Georgia" w:hAnsi="Georgia"/>
        </w:rPr>
        <w:t xml:space="preserve"> 97 sätestatut.</w:t>
      </w:r>
    </w:p>
    <w:sectPr w:rsidR="00E42B82" w:rsidRPr="00E42B8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iinu Eismel" w:date="2024-03-13T11:02:00Z" w:initials="TE">
    <w:p w14:paraId="637C7AA8" w14:textId="14672E2C" w:rsidR="003525E9" w:rsidRDefault="003525E9">
      <w:pPr>
        <w:pStyle w:val="CommentText"/>
      </w:pPr>
      <w:r>
        <w:rPr>
          <w:rStyle w:val="CommentReference"/>
        </w:rPr>
        <w:annotationRef/>
      </w:r>
      <w:r>
        <w:t>Kas võiks teha ettepaneku kasutada registris eelsõnastatud samaväärsuse näidistingimust</w:t>
      </w:r>
      <w:r w:rsidR="003C56CD">
        <w:t xml:space="preserve"> selle punkti asemel siin</w:t>
      </w:r>
      <w:r>
        <w:t xml:space="preserve">? Kuna märgiseid tuleb esitada, siis registri tingimuse sõnastus on laiem veel ka ja küsib kinnitust, kas vajadusel on tõendid samaväärsuse kohta lisatud. </w:t>
      </w:r>
    </w:p>
    <w:p w14:paraId="74DC31EE" w14:textId="77777777" w:rsidR="003525E9" w:rsidRDefault="003525E9">
      <w:pPr>
        <w:pStyle w:val="CommentText"/>
      </w:pPr>
    </w:p>
    <w:p w14:paraId="623DD9EC" w14:textId="320A7653" w:rsidR="003525E9" w:rsidRDefault="003525E9">
      <w:pPr>
        <w:pStyle w:val="CommentText"/>
      </w:pPr>
      <w:r>
        <w:t>Lause 6.1.1 lisaks registri tingimusele juurde.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3DD9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C064B" w16cex:dateUtc="2024-03-13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3DD9EC" w16cid:durableId="299C0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30E17" w14:textId="77777777" w:rsidR="009C4720" w:rsidRDefault="009C4720" w:rsidP="009C4720">
      <w:pPr>
        <w:spacing w:after="0" w:line="240" w:lineRule="auto"/>
      </w:pPr>
      <w:r>
        <w:separator/>
      </w:r>
    </w:p>
  </w:endnote>
  <w:endnote w:type="continuationSeparator" w:id="0">
    <w:p w14:paraId="55151D87" w14:textId="77777777" w:rsidR="009C4720" w:rsidRDefault="009C4720" w:rsidP="009C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5CEF" w14:textId="77777777" w:rsidR="009C4720" w:rsidRDefault="009C4720" w:rsidP="009C4720">
      <w:pPr>
        <w:spacing w:after="0" w:line="240" w:lineRule="auto"/>
      </w:pPr>
      <w:r>
        <w:separator/>
      </w:r>
    </w:p>
  </w:footnote>
  <w:footnote w:type="continuationSeparator" w:id="0">
    <w:p w14:paraId="68043A73" w14:textId="77777777" w:rsidR="009C4720" w:rsidRDefault="009C4720" w:rsidP="009C4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C71C3"/>
    <w:multiLevelType w:val="multilevel"/>
    <w:tmpl w:val="0C0A3546"/>
    <w:lvl w:ilvl="0">
      <w:start w:val="1"/>
      <w:numFmt w:val="decimal"/>
      <w:lvlText w:val="%1."/>
      <w:lvlJc w:val="left"/>
      <w:pPr>
        <w:ind w:left="720" w:hanging="360"/>
      </w:pPr>
      <w:rPr>
        <w:b/>
      </w:rPr>
    </w:lvl>
    <w:lvl w:ilvl="1">
      <w:start w:val="1"/>
      <w:numFmt w:val="decimal"/>
      <w:isLgl/>
      <w:lvlText w:val="%1.%2"/>
      <w:lvlJc w:val="left"/>
      <w:pPr>
        <w:ind w:left="360" w:hanging="360"/>
      </w:pPr>
      <w:rPr>
        <w:rFonts w:ascii="Georgia" w:hAnsi="Georgia" w:cs="Times New Roman" w:hint="default"/>
        <w:b w:val="0"/>
        <w:sz w:val="22"/>
        <w:szCs w:val="20"/>
      </w:rPr>
    </w:lvl>
    <w:lvl w:ilvl="2">
      <w:start w:val="1"/>
      <w:numFmt w:val="decimal"/>
      <w:isLgl/>
      <w:lvlText w:val="%1.%2.%3"/>
      <w:lvlJc w:val="left"/>
      <w:pPr>
        <w:ind w:left="1800" w:hanging="720"/>
      </w:pPr>
      <w:rPr>
        <w:rFonts w:ascii="Georgia" w:hAnsi="Georgia" w:cs="Times New Roman" w:hint="default"/>
        <w:i w:val="0"/>
        <w:sz w:val="22"/>
        <w:szCs w:val="2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 w15:restartNumberingAfterBreak="0">
    <w:nsid w:val="20353CE1"/>
    <w:multiLevelType w:val="multilevel"/>
    <w:tmpl w:val="5CCEA56C"/>
    <w:lvl w:ilvl="0">
      <w:start w:val="1"/>
      <w:numFmt w:val="decimal"/>
      <w:lvlText w:val="%1."/>
      <w:lvlJc w:val="left"/>
      <w:pPr>
        <w:ind w:left="720" w:hanging="360"/>
      </w:pPr>
      <w:rPr>
        <w:rFonts w:ascii="Georgia" w:eastAsia="Times New Roman" w:hAnsi="Georgia" w:cs="Times New Roman"/>
        <w:b/>
      </w:rPr>
    </w:lvl>
    <w:lvl w:ilvl="1">
      <w:start w:val="1"/>
      <w:numFmt w:val="decimal"/>
      <w:isLgl/>
      <w:lvlText w:val="%1.%2"/>
      <w:lvlJc w:val="left"/>
      <w:pPr>
        <w:ind w:left="1068" w:hanging="360"/>
      </w:pPr>
      <w:rPr>
        <w:rFonts w:hint="default"/>
        <w:b w:val="0"/>
        <w:i w:val="0"/>
        <w:iCs/>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4BD452C7"/>
    <w:multiLevelType w:val="multilevel"/>
    <w:tmpl w:val="B292297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4BEF65B4"/>
    <w:multiLevelType w:val="hybridMultilevel"/>
    <w:tmpl w:val="E1D8D0D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52FC435F"/>
    <w:multiLevelType w:val="multilevel"/>
    <w:tmpl w:val="7FDCB97E"/>
    <w:lvl w:ilvl="0">
      <w:start w:val="2"/>
      <w:numFmt w:val="decimal"/>
      <w:lvlText w:val="%1."/>
      <w:lvlJc w:val="left"/>
      <w:pPr>
        <w:ind w:left="360" w:hanging="360"/>
      </w:pPr>
      <w:rPr>
        <w:rFonts w:cs="Arial" w:hint="default"/>
        <w:b w:val="0"/>
      </w:rPr>
    </w:lvl>
    <w:lvl w:ilvl="1">
      <w:start w:val="1"/>
      <w:numFmt w:val="decimal"/>
      <w:lvlText w:val="%1.%2."/>
      <w:lvlJc w:val="left"/>
      <w:pPr>
        <w:ind w:left="720" w:hanging="72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1080" w:hanging="1080"/>
      </w:pPr>
      <w:rPr>
        <w:rFonts w:cs="Arial" w:hint="default"/>
        <w:b w:val="0"/>
      </w:rPr>
    </w:lvl>
    <w:lvl w:ilvl="4">
      <w:start w:val="1"/>
      <w:numFmt w:val="decimal"/>
      <w:lvlText w:val="%1.%2.%3.%4.%5."/>
      <w:lvlJc w:val="left"/>
      <w:pPr>
        <w:ind w:left="1440" w:hanging="1440"/>
      </w:pPr>
      <w:rPr>
        <w:rFonts w:cs="Arial" w:hint="default"/>
        <w:b w:val="0"/>
      </w:rPr>
    </w:lvl>
    <w:lvl w:ilvl="5">
      <w:start w:val="1"/>
      <w:numFmt w:val="decimal"/>
      <w:lvlText w:val="%1.%2.%3.%4.%5.%6."/>
      <w:lvlJc w:val="left"/>
      <w:pPr>
        <w:ind w:left="1440" w:hanging="1440"/>
      </w:pPr>
      <w:rPr>
        <w:rFonts w:cs="Arial" w:hint="default"/>
        <w:b w:val="0"/>
      </w:rPr>
    </w:lvl>
    <w:lvl w:ilvl="6">
      <w:start w:val="1"/>
      <w:numFmt w:val="decimal"/>
      <w:lvlText w:val="%1.%2.%3.%4.%5.%6.%7."/>
      <w:lvlJc w:val="left"/>
      <w:pPr>
        <w:ind w:left="1800" w:hanging="1800"/>
      </w:pPr>
      <w:rPr>
        <w:rFonts w:cs="Arial" w:hint="default"/>
        <w:b w:val="0"/>
      </w:rPr>
    </w:lvl>
    <w:lvl w:ilvl="7">
      <w:start w:val="1"/>
      <w:numFmt w:val="decimal"/>
      <w:lvlText w:val="%1.%2.%3.%4.%5.%6.%7.%8."/>
      <w:lvlJc w:val="left"/>
      <w:pPr>
        <w:ind w:left="2160" w:hanging="2160"/>
      </w:pPr>
      <w:rPr>
        <w:rFonts w:cs="Arial" w:hint="default"/>
        <w:b w:val="0"/>
      </w:rPr>
    </w:lvl>
    <w:lvl w:ilvl="8">
      <w:start w:val="1"/>
      <w:numFmt w:val="decimal"/>
      <w:lvlText w:val="%1.%2.%3.%4.%5.%6.%7.%8.%9."/>
      <w:lvlJc w:val="left"/>
      <w:pPr>
        <w:ind w:left="2160" w:hanging="2160"/>
      </w:pPr>
      <w:rPr>
        <w:rFonts w:cs="Arial" w:hint="default"/>
        <w:b w:val="0"/>
      </w:rPr>
    </w:lvl>
  </w:abstractNum>
  <w:abstractNum w:abstractNumId="5" w15:restartNumberingAfterBreak="0">
    <w:nsid w:val="570B1A70"/>
    <w:multiLevelType w:val="multilevel"/>
    <w:tmpl w:val="C298EA0C"/>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15:restartNumberingAfterBreak="0">
    <w:nsid w:val="579408E6"/>
    <w:multiLevelType w:val="multilevel"/>
    <w:tmpl w:val="11ECD506"/>
    <w:lvl w:ilvl="0">
      <w:start w:val="6"/>
      <w:numFmt w:val="decimal"/>
      <w:lvlText w:val="%1."/>
      <w:lvlJc w:val="left"/>
      <w:pPr>
        <w:ind w:left="495" w:hanging="495"/>
      </w:pPr>
      <w:rPr>
        <w:rFonts w:hint="default"/>
        <w:b w:val="0"/>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856" w:hanging="144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638" w:hanging="2160"/>
      </w:pPr>
      <w:rPr>
        <w:rFonts w:hint="default"/>
        <w:b w:val="0"/>
      </w:rPr>
    </w:lvl>
    <w:lvl w:ilvl="8">
      <w:start w:val="1"/>
      <w:numFmt w:val="decimal"/>
      <w:lvlText w:val="%1.%2.%3.%4.%5.%6.%7.%8.%9."/>
      <w:lvlJc w:val="left"/>
      <w:pPr>
        <w:ind w:left="4992" w:hanging="2160"/>
      </w:pPr>
      <w:rPr>
        <w:rFonts w:hint="default"/>
        <w:b w:val="0"/>
      </w:rPr>
    </w:lvl>
  </w:abstractNum>
  <w:abstractNum w:abstractNumId="7" w15:restartNumberingAfterBreak="0">
    <w:nsid w:val="5F365825"/>
    <w:multiLevelType w:val="multilevel"/>
    <w:tmpl w:val="042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BB1F27"/>
    <w:multiLevelType w:val="multilevel"/>
    <w:tmpl w:val="8376E3F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7BB40AB1"/>
    <w:multiLevelType w:val="multilevel"/>
    <w:tmpl w:val="C32E3C70"/>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16cid:durableId="1526792508">
    <w:abstractNumId w:val="0"/>
  </w:num>
  <w:num w:numId="2" w16cid:durableId="1486897349">
    <w:abstractNumId w:val="3"/>
  </w:num>
  <w:num w:numId="3" w16cid:durableId="325595095">
    <w:abstractNumId w:val="1"/>
  </w:num>
  <w:num w:numId="4" w16cid:durableId="635334335">
    <w:abstractNumId w:val="8"/>
  </w:num>
  <w:num w:numId="5" w16cid:durableId="1818257898">
    <w:abstractNumId w:val="2"/>
  </w:num>
  <w:num w:numId="6" w16cid:durableId="2113276895">
    <w:abstractNumId w:val="4"/>
  </w:num>
  <w:num w:numId="7" w16cid:durableId="573198055">
    <w:abstractNumId w:val="5"/>
  </w:num>
  <w:num w:numId="8" w16cid:durableId="1793740316">
    <w:abstractNumId w:val="7"/>
  </w:num>
  <w:num w:numId="9" w16cid:durableId="1855848678">
    <w:abstractNumId w:val="6"/>
  </w:num>
  <w:num w:numId="10" w16cid:durableId="19997900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iinu Eismel">
    <w15:presenceInfo w15:providerId="AD" w15:userId="S::triinu.eismel@rtk.ee::719a8af3-bf1b-496f-9955-e64bf6c104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F3"/>
    <w:rsid w:val="00004050"/>
    <w:rsid w:val="000336CA"/>
    <w:rsid w:val="00061779"/>
    <w:rsid w:val="00062F33"/>
    <w:rsid w:val="00063AE1"/>
    <w:rsid w:val="0007319A"/>
    <w:rsid w:val="000824AA"/>
    <w:rsid w:val="0008348C"/>
    <w:rsid w:val="00087179"/>
    <w:rsid w:val="000B3E16"/>
    <w:rsid w:val="000C0C81"/>
    <w:rsid w:val="000D5816"/>
    <w:rsid w:val="000E4684"/>
    <w:rsid w:val="000F28DA"/>
    <w:rsid w:val="000F60B9"/>
    <w:rsid w:val="000F69B7"/>
    <w:rsid w:val="001122B4"/>
    <w:rsid w:val="001243DA"/>
    <w:rsid w:val="001262BC"/>
    <w:rsid w:val="00144759"/>
    <w:rsid w:val="00151D17"/>
    <w:rsid w:val="00190345"/>
    <w:rsid w:val="001F6584"/>
    <w:rsid w:val="001F70F0"/>
    <w:rsid w:val="002453CF"/>
    <w:rsid w:val="002750E9"/>
    <w:rsid w:val="00282542"/>
    <w:rsid w:val="00284C79"/>
    <w:rsid w:val="002B4B6B"/>
    <w:rsid w:val="002D1935"/>
    <w:rsid w:val="00316AE2"/>
    <w:rsid w:val="0033120E"/>
    <w:rsid w:val="003341D6"/>
    <w:rsid w:val="00344B3E"/>
    <w:rsid w:val="003464C3"/>
    <w:rsid w:val="00347CFA"/>
    <w:rsid w:val="003525E9"/>
    <w:rsid w:val="003565A4"/>
    <w:rsid w:val="00386643"/>
    <w:rsid w:val="0039405C"/>
    <w:rsid w:val="00396151"/>
    <w:rsid w:val="003A4934"/>
    <w:rsid w:val="003B46F9"/>
    <w:rsid w:val="003B7696"/>
    <w:rsid w:val="003C56CD"/>
    <w:rsid w:val="003C7EAC"/>
    <w:rsid w:val="003F1ACC"/>
    <w:rsid w:val="003F22E2"/>
    <w:rsid w:val="0040413E"/>
    <w:rsid w:val="0041388E"/>
    <w:rsid w:val="00416C07"/>
    <w:rsid w:val="00433180"/>
    <w:rsid w:val="004558B8"/>
    <w:rsid w:val="00456B34"/>
    <w:rsid w:val="00465AA7"/>
    <w:rsid w:val="00471F50"/>
    <w:rsid w:val="00476985"/>
    <w:rsid w:val="004816C8"/>
    <w:rsid w:val="0048296C"/>
    <w:rsid w:val="00484C7A"/>
    <w:rsid w:val="004852E6"/>
    <w:rsid w:val="004862EF"/>
    <w:rsid w:val="0049267B"/>
    <w:rsid w:val="004A1628"/>
    <w:rsid w:val="004C3169"/>
    <w:rsid w:val="004D4356"/>
    <w:rsid w:val="004D5C3A"/>
    <w:rsid w:val="00511840"/>
    <w:rsid w:val="00512518"/>
    <w:rsid w:val="005339DC"/>
    <w:rsid w:val="00540AE8"/>
    <w:rsid w:val="00546F6B"/>
    <w:rsid w:val="0055525B"/>
    <w:rsid w:val="005647E7"/>
    <w:rsid w:val="00567CE4"/>
    <w:rsid w:val="00575C6A"/>
    <w:rsid w:val="00590C73"/>
    <w:rsid w:val="00592DEE"/>
    <w:rsid w:val="005E2968"/>
    <w:rsid w:val="005F72F8"/>
    <w:rsid w:val="00600F7E"/>
    <w:rsid w:val="00606968"/>
    <w:rsid w:val="00611769"/>
    <w:rsid w:val="006273FF"/>
    <w:rsid w:val="006543B8"/>
    <w:rsid w:val="006610C3"/>
    <w:rsid w:val="00674ABD"/>
    <w:rsid w:val="006A28BF"/>
    <w:rsid w:val="006A6638"/>
    <w:rsid w:val="006A776C"/>
    <w:rsid w:val="006D592D"/>
    <w:rsid w:val="006E2E0A"/>
    <w:rsid w:val="00706848"/>
    <w:rsid w:val="00714E41"/>
    <w:rsid w:val="0076094E"/>
    <w:rsid w:val="00765E3D"/>
    <w:rsid w:val="00765EE7"/>
    <w:rsid w:val="00774AAF"/>
    <w:rsid w:val="0079126D"/>
    <w:rsid w:val="00794F80"/>
    <w:rsid w:val="007C78AC"/>
    <w:rsid w:val="007F1CE2"/>
    <w:rsid w:val="007F734A"/>
    <w:rsid w:val="007F7CFB"/>
    <w:rsid w:val="008163F0"/>
    <w:rsid w:val="00864928"/>
    <w:rsid w:val="00867CDD"/>
    <w:rsid w:val="00877F46"/>
    <w:rsid w:val="00892E06"/>
    <w:rsid w:val="008A36DE"/>
    <w:rsid w:val="008B2CE2"/>
    <w:rsid w:val="008E407E"/>
    <w:rsid w:val="008E7C17"/>
    <w:rsid w:val="009207DD"/>
    <w:rsid w:val="009222DA"/>
    <w:rsid w:val="00945C97"/>
    <w:rsid w:val="00963601"/>
    <w:rsid w:val="009B72C3"/>
    <w:rsid w:val="009C4720"/>
    <w:rsid w:val="009E3164"/>
    <w:rsid w:val="009E590D"/>
    <w:rsid w:val="00A12F95"/>
    <w:rsid w:val="00A17A49"/>
    <w:rsid w:val="00A219AD"/>
    <w:rsid w:val="00A36C94"/>
    <w:rsid w:val="00A412A4"/>
    <w:rsid w:val="00A454A9"/>
    <w:rsid w:val="00A46116"/>
    <w:rsid w:val="00A546E6"/>
    <w:rsid w:val="00A57923"/>
    <w:rsid w:val="00AC6214"/>
    <w:rsid w:val="00AC6BFD"/>
    <w:rsid w:val="00AE7882"/>
    <w:rsid w:val="00B06EE0"/>
    <w:rsid w:val="00B544AC"/>
    <w:rsid w:val="00B556DB"/>
    <w:rsid w:val="00B64FF4"/>
    <w:rsid w:val="00B70AB5"/>
    <w:rsid w:val="00B806A4"/>
    <w:rsid w:val="00B86164"/>
    <w:rsid w:val="00B96792"/>
    <w:rsid w:val="00BD4FF3"/>
    <w:rsid w:val="00BE4198"/>
    <w:rsid w:val="00BE51F5"/>
    <w:rsid w:val="00BF20EA"/>
    <w:rsid w:val="00C175B9"/>
    <w:rsid w:val="00C340ED"/>
    <w:rsid w:val="00C634F5"/>
    <w:rsid w:val="00C72F2A"/>
    <w:rsid w:val="00C93889"/>
    <w:rsid w:val="00C94BC9"/>
    <w:rsid w:val="00CA2B28"/>
    <w:rsid w:val="00CC2382"/>
    <w:rsid w:val="00CD0105"/>
    <w:rsid w:val="00CF3C3E"/>
    <w:rsid w:val="00CF4702"/>
    <w:rsid w:val="00D1314F"/>
    <w:rsid w:val="00D15C94"/>
    <w:rsid w:val="00D260D7"/>
    <w:rsid w:val="00D3796F"/>
    <w:rsid w:val="00D74F67"/>
    <w:rsid w:val="00D85CA7"/>
    <w:rsid w:val="00D91972"/>
    <w:rsid w:val="00DA61B6"/>
    <w:rsid w:val="00DB1EB6"/>
    <w:rsid w:val="00DB5926"/>
    <w:rsid w:val="00DD21A2"/>
    <w:rsid w:val="00DE3B56"/>
    <w:rsid w:val="00E0687A"/>
    <w:rsid w:val="00E1154B"/>
    <w:rsid w:val="00E119C1"/>
    <w:rsid w:val="00E25239"/>
    <w:rsid w:val="00E33D29"/>
    <w:rsid w:val="00E42B82"/>
    <w:rsid w:val="00E62DE1"/>
    <w:rsid w:val="00E91324"/>
    <w:rsid w:val="00EA04F0"/>
    <w:rsid w:val="00EB2CCB"/>
    <w:rsid w:val="00EB4B5C"/>
    <w:rsid w:val="00EB7E73"/>
    <w:rsid w:val="00ED7DEF"/>
    <w:rsid w:val="00EF6A5F"/>
    <w:rsid w:val="00F122F9"/>
    <w:rsid w:val="00F24396"/>
    <w:rsid w:val="00F35470"/>
    <w:rsid w:val="00F40102"/>
    <w:rsid w:val="00F54ED5"/>
    <w:rsid w:val="00F663D6"/>
    <w:rsid w:val="00F77FCC"/>
    <w:rsid w:val="00FB2F81"/>
    <w:rsid w:val="00FF5E1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DD71"/>
  <w15:chartTrackingRefBased/>
  <w15:docId w15:val="{6D8510FA-F947-4E04-913A-036EC521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24396"/>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4FF3"/>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BD4FF3"/>
    <w:rPr>
      <w:rFonts w:ascii="Calibri" w:eastAsia="Calibri" w:hAnsi="Calibri" w:cs="Times New Roman"/>
    </w:rPr>
  </w:style>
  <w:style w:type="paragraph" w:styleId="ListParagraph">
    <w:name w:val="List Paragraph"/>
    <w:aliases w:val="Mummuga loetelu"/>
    <w:basedOn w:val="Normal"/>
    <w:link w:val="ListParagraphChar"/>
    <w:uiPriority w:val="34"/>
    <w:qFormat/>
    <w:rsid w:val="00BD4FF3"/>
    <w:pPr>
      <w:ind w:left="720"/>
      <w:contextualSpacing/>
    </w:pPr>
  </w:style>
  <w:style w:type="character" w:styleId="CommentReference">
    <w:name w:val="annotation reference"/>
    <w:basedOn w:val="DefaultParagraphFont"/>
    <w:uiPriority w:val="99"/>
    <w:unhideWhenUsed/>
    <w:rsid w:val="00CA2B28"/>
    <w:rPr>
      <w:sz w:val="16"/>
      <w:szCs w:val="16"/>
    </w:rPr>
  </w:style>
  <w:style w:type="paragraph" w:styleId="CommentText">
    <w:name w:val="annotation text"/>
    <w:basedOn w:val="Normal"/>
    <w:link w:val="CommentTextChar"/>
    <w:uiPriority w:val="99"/>
    <w:unhideWhenUsed/>
    <w:rsid w:val="00CA2B28"/>
    <w:pPr>
      <w:spacing w:line="240" w:lineRule="auto"/>
    </w:pPr>
    <w:rPr>
      <w:sz w:val="20"/>
      <w:szCs w:val="20"/>
    </w:rPr>
  </w:style>
  <w:style w:type="character" w:customStyle="1" w:styleId="CommentTextChar">
    <w:name w:val="Comment Text Char"/>
    <w:basedOn w:val="DefaultParagraphFont"/>
    <w:link w:val="CommentText"/>
    <w:uiPriority w:val="99"/>
    <w:rsid w:val="00CA2B28"/>
    <w:rPr>
      <w:sz w:val="20"/>
      <w:szCs w:val="20"/>
    </w:rPr>
  </w:style>
  <w:style w:type="paragraph" w:styleId="CommentSubject">
    <w:name w:val="annotation subject"/>
    <w:basedOn w:val="CommentText"/>
    <w:next w:val="CommentText"/>
    <w:link w:val="CommentSubjectChar"/>
    <w:uiPriority w:val="99"/>
    <w:semiHidden/>
    <w:unhideWhenUsed/>
    <w:rsid w:val="00CA2B28"/>
    <w:rPr>
      <w:b/>
      <w:bCs/>
    </w:rPr>
  </w:style>
  <w:style w:type="character" w:customStyle="1" w:styleId="CommentSubjectChar">
    <w:name w:val="Comment Subject Char"/>
    <w:basedOn w:val="CommentTextChar"/>
    <w:link w:val="CommentSubject"/>
    <w:uiPriority w:val="99"/>
    <w:semiHidden/>
    <w:rsid w:val="00CA2B28"/>
    <w:rPr>
      <w:b/>
      <w:bCs/>
      <w:sz w:val="20"/>
      <w:szCs w:val="20"/>
    </w:rPr>
  </w:style>
  <w:style w:type="paragraph" w:styleId="BalloonText">
    <w:name w:val="Balloon Text"/>
    <w:basedOn w:val="Normal"/>
    <w:link w:val="BalloonTextChar"/>
    <w:uiPriority w:val="99"/>
    <w:semiHidden/>
    <w:unhideWhenUsed/>
    <w:rsid w:val="00CA2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B28"/>
    <w:rPr>
      <w:rFonts w:ascii="Segoe UI" w:hAnsi="Segoe UI" w:cs="Segoe UI"/>
      <w:sz w:val="18"/>
      <w:szCs w:val="18"/>
    </w:rPr>
  </w:style>
  <w:style w:type="paragraph" w:customStyle="1" w:styleId="Default">
    <w:name w:val="Default"/>
    <w:rsid w:val="00C634F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rsid w:val="00945C97"/>
    <w:pPr>
      <w:spacing w:before="80" w:after="120" w:line="240" w:lineRule="auto"/>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semiHidden/>
    <w:rsid w:val="00945C97"/>
    <w:rPr>
      <w:rFonts w:ascii="Times New Roman" w:eastAsia="Times New Roman" w:hAnsi="Times New Roman" w:cs="Times New Roman"/>
      <w:sz w:val="24"/>
      <w:szCs w:val="20"/>
    </w:rPr>
  </w:style>
  <w:style w:type="character" w:customStyle="1" w:styleId="ListParagraphChar">
    <w:name w:val="List Paragraph Char"/>
    <w:aliases w:val="Mummuga loetelu Char"/>
    <w:basedOn w:val="DefaultParagraphFont"/>
    <w:link w:val="ListParagraph"/>
    <w:uiPriority w:val="34"/>
    <w:locked/>
    <w:rsid w:val="00945C97"/>
  </w:style>
  <w:style w:type="paragraph" w:styleId="Header">
    <w:name w:val="header"/>
    <w:basedOn w:val="Normal"/>
    <w:link w:val="HeaderChar"/>
    <w:uiPriority w:val="99"/>
    <w:unhideWhenUsed/>
    <w:rsid w:val="009C47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4720"/>
  </w:style>
  <w:style w:type="paragraph" w:styleId="Footer">
    <w:name w:val="footer"/>
    <w:basedOn w:val="Normal"/>
    <w:link w:val="FooterChar"/>
    <w:uiPriority w:val="99"/>
    <w:unhideWhenUsed/>
    <w:rsid w:val="009C47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4720"/>
  </w:style>
  <w:style w:type="character" w:customStyle="1" w:styleId="Heading3Char">
    <w:name w:val="Heading 3 Char"/>
    <w:basedOn w:val="DefaultParagraphFont"/>
    <w:link w:val="Heading3"/>
    <w:uiPriority w:val="9"/>
    <w:rsid w:val="00F24396"/>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F24396"/>
    <w:rPr>
      <w:b/>
      <w:bCs/>
    </w:rPr>
  </w:style>
  <w:style w:type="paragraph" w:styleId="Revision">
    <w:name w:val="Revision"/>
    <w:hidden/>
    <w:uiPriority w:val="99"/>
    <w:semiHidden/>
    <w:rsid w:val="00A412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4147">
      <w:bodyDiv w:val="1"/>
      <w:marLeft w:val="0"/>
      <w:marRight w:val="0"/>
      <w:marTop w:val="0"/>
      <w:marBottom w:val="0"/>
      <w:divBdr>
        <w:top w:val="none" w:sz="0" w:space="0" w:color="auto"/>
        <w:left w:val="none" w:sz="0" w:space="0" w:color="auto"/>
        <w:bottom w:val="none" w:sz="0" w:space="0" w:color="auto"/>
        <w:right w:val="none" w:sz="0" w:space="0" w:color="auto"/>
      </w:divBdr>
    </w:div>
    <w:div w:id="90337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25872-C072-414D-BBBD-DF93A4D1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5049</Characters>
  <Application>Microsoft Office Word</Application>
  <DocSecurity>0</DocSecurity>
  <Lines>42</Lines>
  <Paragraphs>11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Betti-liisa Joakit</dc:creator>
  <cp:keywords/>
  <dc:description/>
  <cp:lastModifiedBy>Katre Illak</cp:lastModifiedBy>
  <cp:revision>3</cp:revision>
  <dcterms:created xsi:type="dcterms:W3CDTF">2024-03-14T07:03:00Z</dcterms:created>
  <dcterms:modified xsi:type="dcterms:W3CDTF">2024-03-14T07:59:00Z</dcterms:modified>
</cp:coreProperties>
</file>