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B803E" w14:textId="77777777" w:rsidR="009A734F" w:rsidRPr="007B28C5" w:rsidRDefault="009A734F" w:rsidP="009A734F">
      <w:pPr>
        <w:spacing w:after="0" w:line="276" w:lineRule="auto"/>
        <w:rPr>
          <w:rFonts w:ascii="Arial" w:eastAsia="Calibri" w:hAnsi="Arial" w:cs="Arial"/>
          <w:b/>
          <w:bCs/>
          <w:sz w:val="20"/>
          <w:szCs w:val="20"/>
        </w:rPr>
      </w:pPr>
      <w:r w:rsidRPr="007B28C5">
        <w:rPr>
          <w:rFonts w:ascii="Arial" w:eastAsia="Calibri" w:hAnsi="Arial" w:cs="Arial"/>
          <w:b/>
          <w:bCs/>
          <w:sz w:val="20"/>
          <w:szCs w:val="20"/>
        </w:rPr>
        <w:t>Terviseamet</w:t>
      </w:r>
    </w:p>
    <w:p w14:paraId="15E3CF86" w14:textId="77777777" w:rsidR="009A734F" w:rsidRPr="007B28C5" w:rsidRDefault="009A734F" w:rsidP="009A734F">
      <w:pPr>
        <w:spacing w:after="0" w:line="276" w:lineRule="auto"/>
        <w:rPr>
          <w:rFonts w:ascii="Arial" w:eastAsia="Calibri" w:hAnsi="Arial" w:cs="Arial"/>
          <w:sz w:val="20"/>
          <w:szCs w:val="20"/>
        </w:rPr>
      </w:pPr>
      <w:r w:rsidRPr="007B28C5">
        <w:rPr>
          <w:rFonts w:ascii="Arial" w:eastAsia="Calibri" w:hAnsi="Arial" w:cs="Arial"/>
          <w:sz w:val="20"/>
          <w:szCs w:val="20"/>
        </w:rPr>
        <w:t xml:space="preserve">Birgit Lao </w:t>
      </w:r>
    </w:p>
    <w:p w14:paraId="5F9D0B0A" w14:textId="71C685E5" w:rsidR="009A734F" w:rsidRDefault="00000000" w:rsidP="009A734F">
      <w:pPr>
        <w:spacing w:after="0" w:line="276" w:lineRule="auto"/>
        <w:rPr>
          <w:rFonts w:ascii="Arial" w:eastAsia="Calibri" w:hAnsi="Arial" w:cs="Arial"/>
          <w:sz w:val="20"/>
          <w:szCs w:val="20"/>
        </w:rPr>
      </w:pPr>
      <w:hyperlink r:id="rId8" w:history="1">
        <w:r w:rsidR="009A734F" w:rsidRPr="007B28C5">
          <w:rPr>
            <w:rFonts w:ascii="Arial" w:eastAsia="Calibri" w:hAnsi="Arial" w:cs="Arial"/>
            <w:color w:val="0000FF" w:themeColor="hyperlink"/>
            <w:sz w:val="20"/>
            <w:szCs w:val="20"/>
            <w:u w:val="single"/>
          </w:rPr>
          <w:t>birgit.lao@terviseamet.ee</w:t>
        </w:r>
      </w:hyperlink>
      <w:r w:rsidR="009A734F" w:rsidRPr="007B28C5">
        <w:rPr>
          <w:rFonts w:ascii="Arial" w:eastAsia="Calibri" w:hAnsi="Arial" w:cs="Arial"/>
          <w:sz w:val="20"/>
          <w:szCs w:val="20"/>
        </w:rPr>
        <w:t xml:space="preserve"> </w:t>
      </w:r>
    </w:p>
    <w:p w14:paraId="680B877E" w14:textId="1D59DCCB" w:rsidR="009A734F" w:rsidRDefault="009A734F" w:rsidP="009A734F">
      <w:pPr>
        <w:spacing w:after="0" w:line="276" w:lineRule="auto"/>
        <w:rPr>
          <w:rFonts w:ascii="Arial" w:eastAsia="Calibri" w:hAnsi="Arial" w:cs="Arial"/>
          <w:sz w:val="20"/>
          <w:szCs w:val="20"/>
        </w:rPr>
      </w:pPr>
    </w:p>
    <w:p w14:paraId="1B78206E" w14:textId="57F83F0C" w:rsidR="009A734F" w:rsidRDefault="009A734F" w:rsidP="009A734F">
      <w:pPr>
        <w:spacing w:after="0" w:line="276" w:lineRule="auto"/>
        <w:rPr>
          <w:rFonts w:ascii="Arial" w:eastAsia="Calibri" w:hAnsi="Arial" w:cs="Arial"/>
          <w:sz w:val="20"/>
          <w:szCs w:val="20"/>
        </w:rPr>
      </w:pPr>
      <w:proofErr w:type="spellStart"/>
      <w:r>
        <w:rPr>
          <w:rFonts w:ascii="Arial" w:eastAsia="Calibri" w:hAnsi="Arial" w:cs="Arial"/>
          <w:sz w:val="20"/>
          <w:szCs w:val="20"/>
        </w:rPr>
        <w:t>Ragnar</w:t>
      </w:r>
      <w:proofErr w:type="spellEnd"/>
      <w:r>
        <w:rPr>
          <w:rFonts w:ascii="Arial" w:eastAsia="Calibri" w:hAnsi="Arial" w:cs="Arial"/>
          <w:sz w:val="20"/>
          <w:szCs w:val="20"/>
        </w:rPr>
        <w:t xml:space="preserve"> Vaiknemets</w:t>
      </w:r>
    </w:p>
    <w:p w14:paraId="1F515BA4" w14:textId="77777777" w:rsidR="009A734F" w:rsidRDefault="00000000" w:rsidP="009A734F">
      <w:pPr>
        <w:spacing w:after="0" w:line="276" w:lineRule="auto"/>
        <w:rPr>
          <w:rFonts w:ascii="Arial" w:eastAsia="Calibri" w:hAnsi="Arial" w:cs="Arial"/>
          <w:sz w:val="20"/>
          <w:szCs w:val="20"/>
        </w:rPr>
      </w:pPr>
      <w:hyperlink r:id="rId9" w:history="1">
        <w:r w:rsidR="009A734F" w:rsidRPr="006D28B9">
          <w:rPr>
            <w:rStyle w:val="Hyperlink"/>
            <w:rFonts w:ascii="Arial" w:eastAsia="Calibri" w:hAnsi="Arial" w:cs="Arial"/>
            <w:sz w:val="20"/>
            <w:szCs w:val="20"/>
          </w:rPr>
          <w:t>Ragnar.vaiknemets@terviseamet.ee</w:t>
        </w:r>
      </w:hyperlink>
    </w:p>
    <w:p w14:paraId="26BD63CA" w14:textId="3D632363" w:rsidR="009A734F" w:rsidRPr="007B28C5" w:rsidRDefault="00000000" w:rsidP="009A734F">
      <w:pPr>
        <w:spacing w:after="0" w:line="276" w:lineRule="auto"/>
        <w:rPr>
          <w:rFonts w:ascii="Arial" w:eastAsia="Calibri" w:hAnsi="Arial" w:cs="Arial"/>
          <w:sz w:val="20"/>
          <w:szCs w:val="20"/>
        </w:rPr>
      </w:pPr>
      <w:hyperlink r:id="rId10" w:history="1">
        <w:r w:rsidR="009A734F" w:rsidRPr="006D28B9">
          <w:rPr>
            <w:rStyle w:val="Hyperlink"/>
            <w:rFonts w:ascii="Arial" w:eastAsia="Calibri" w:hAnsi="Arial" w:cs="Arial"/>
            <w:sz w:val="20"/>
            <w:szCs w:val="20"/>
          </w:rPr>
          <w:t>info@terviseamet.ee</w:t>
        </w:r>
      </w:hyperlink>
      <w:r w:rsidR="009A734F" w:rsidRPr="007B28C5">
        <w:rPr>
          <w:rFonts w:ascii="Arial" w:eastAsia="Calibri" w:hAnsi="Arial" w:cs="Arial"/>
          <w:sz w:val="20"/>
          <w:szCs w:val="20"/>
        </w:rPr>
        <w:t xml:space="preserve"> </w:t>
      </w:r>
    </w:p>
    <w:p w14:paraId="4AA9F81A" w14:textId="77777777" w:rsidR="009A734F" w:rsidRPr="007B28C5" w:rsidRDefault="009A734F" w:rsidP="009A734F">
      <w:pPr>
        <w:spacing w:after="0" w:line="276" w:lineRule="auto"/>
        <w:jc w:val="both"/>
        <w:rPr>
          <w:rFonts w:ascii="Arial" w:hAnsi="Arial" w:cs="Arial"/>
          <w:b/>
          <w:bCs/>
          <w:sz w:val="20"/>
          <w:szCs w:val="20"/>
          <w14:ligatures w14:val="standardContextual"/>
        </w:rPr>
      </w:pPr>
    </w:p>
    <w:p w14:paraId="759FCE5D" w14:textId="77777777" w:rsidR="009A734F" w:rsidRPr="007B28C5" w:rsidRDefault="009A734F" w:rsidP="009A734F">
      <w:pPr>
        <w:spacing w:after="0" w:line="276" w:lineRule="auto"/>
        <w:jc w:val="both"/>
        <w:rPr>
          <w:rFonts w:ascii="Arial" w:hAnsi="Arial" w:cs="Arial"/>
          <w:b/>
          <w:bCs/>
          <w:sz w:val="20"/>
          <w:szCs w:val="20"/>
          <w14:ligatures w14:val="standardContextual"/>
        </w:rPr>
      </w:pPr>
    </w:p>
    <w:p w14:paraId="7C014146" w14:textId="0F3571C8" w:rsidR="009A734F" w:rsidRPr="009A734F" w:rsidRDefault="009A734F" w:rsidP="009A734F">
      <w:pPr>
        <w:spacing w:after="0" w:line="276" w:lineRule="auto"/>
        <w:jc w:val="both"/>
        <w:rPr>
          <w:rFonts w:ascii="Arial" w:hAnsi="Arial" w:cs="Arial"/>
          <w:sz w:val="20"/>
          <w:szCs w:val="20"/>
          <w14:ligatures w14:val="standardContextual"/>
        </w:rPr>
      </w:pPr>
      <w:r w:rsidRPr="007B28C5">
        <w:rPr>
          <w:rFonts w:ascii="Arial" w:hAnsi="Arial" w:cs="Arial"/>
          <w:sz w:val="20"/>
          <w:szCs w:val="20"/>
          <w14:ligatures w14:val="standardContextual"/>
        </w:rPr>
        <w:t xml:space="preserve">Koopia: </w:t>
      </w:r>
    </w:p>
    <w:p w14:paraId="57320FC4" w14:textId="77777777" w:rsidR="009A734F" w:rsidRPr="007B28C5" w:rsidRDefault="009A734F" w:rsidP="009A734F">
      <w:pPr>
        <w:spacing w:after="0" w:line="276" w:lineRule="auto"/>
        <w:jc w:val="both"/>
        <w:rPr>
          <w:rFonts w:ascii="Arial" w:hAnsi="Arial" w:cs="Arial"/>
          <w:b/>
          <w:bCs/>
          <w:sz w:val="20"/>
          <w:szCs w:val="20"/>
          <w14:ligatures w14:val="standardContextual"/>
        </w:rPr>
      </w:pPr>
      <w:r w:rsidRPr="007B28C5">
        <w:rPr>
          <w:rFonts w:ascii="Arial" w:hAnsi="Arial" w:cs="Arial"/>
          <w:b/>
          <w:bCs/>
          <w:sz w:val="20"/>
          <w:szCs w:val="20"/>
          <w14:ligatures w14:val="standardContextual"/>
        </w:rPr>
        <w:t xml:space="preserve">Sotsiaalministeerium </w:t>
      </w:r>
    </w:p>
    <w:p w14:paraId="3693BD6D" w14:textId="77777777" w:rsidR="009A734F" w:rsidRPr="007B28C5" w:rsidRDefault="009A734F" w:rsidP="009A734F">
      <w:pPr>
        <w:spacing w:after="0" w:line="276" w:lineRule="auto"/>
        <w:jc w:val="both"/>
        <w:rPr>
          <w:rFonts w:ascii="Arial" w:hAnsi="Arial" w:cs="Arial"/>
          <w:sz w:val="20"/>
          <w:szCs w:val="20"/>
          <w14:ligatures w14:val="standardContextual"/>
        </w:rPr>
      </w:pPr>
      <w:r w:rsidRPr="007B28C5">
        <w:rPr>
          <w:rFonts w:ascii="Arial" w:hAnsi="Arial" w:cs="Arial"/>
          <w:sz w:val="20"/>
          <w:szCs w:val="20"/>
          <w14:ligatures w14:val="standardContextual"/>
        </w:rPr>
        <w:t xml:space="preserve">Heli </w:t>
      </w:r>
      <w:proofErr w:type="spellStart"/>
      <w:r w:rsidRPr="007B28C5">
        <w:rPr>
          <w:rFonts w:ascii="Arial" w:hAnsi="Arial" w:cs="Arial"/>
          <w:sz w:val="20"/>
          <w:szCs w:val="20"/>
          <w14:ligatures w14:val="standardContextual"/>
        </w:rPr>
        <w:t>Paluste</w:t>
      </w:r>
      <w:proofErr w:type="spellEnd"/>
    </w:p>
    <w:p w14:paraId="5CD6D5AA" w14:textId="09B75B7B" w:rsidR="009A734F" w:rsidRPr="007B28C5" w:rsidRDefault="00000000" w:rsidP="009A734F">
      <w:pPr>
        <w:spacing w:after="0" w:line="276" w:lineRule="auto"/>
        <w:jc w:val="both"/>
        <w:rPr>
          <w:rFonts w:ascii="Arial" w:hAnsi="Arial" w:cs="Arial"/>
          <w:sz w:val="20"/>
          <w:szCs w:val="20"/>
          <w14:ligatures w14:val="standardContextual"/>
        </w:rPr>
      </w:pPr>
      <w:hyperlink r:id="rId11" w:history="1">
        <w:r w:rsidR="009A734F" w:rsidRPr="006D28B9">
          <w:rPr>
            <w:rStyle w:val="Hyperlink"/>
            <w:rFonts w:ascii="Arial" w:hAnsi="Arial" w:cs="Arial"/>
            <w:sz w:val="20"/>
            <w:szCs w:val="20"/>
            <w14:ligatures w14:val="standardContextual"/>
          </w:rPr>
          <w:t>info@sm.ee</w:t>
        </w:r>
      </w:hyperlink>
      <w:r w:rsidR="009A734F">
        <w:rPr>
          <w:rFonts w:ascii="Arial" w:hAnsi="Arial" w:cs="Arial"/>
          <w:sz w:val="20"/>
          <w:szCs w:val="20"/>
          <w14:ligatures w14:val="standardContextual"/>
        </w:rPr>
        <w:t xml:space="preserve"> </w:t>
      </w:r>
    </w:p>
    <w:p w14:paraId="38CFB725" w14:textId="77777777" w:rsidR="009A734F" w:rsidRPr="007B28C5" w:rsidRDefault="00000000" w:rsidP="009A734F">
      <w:pPr>
        <w:spacing w:after="0" w:line="276" w:lineRule="auto"/>
        <w:jc w:val="both"/>
        <w:rPr>
          <w:rFonts w:ascii="Arial" w:hAnsi="Arial" w:cs="Arial"/>
          <w:sz w:val="20"/>
          <w:szCs w:val="20"/>
          <w14:ligatures w14:val="standardContextual"/>
        </w:rPr>
      </w:pPr>
      <w:hyperlink r:id="rId12" w:history="1">
        <w:r w:rsidR="009A734F" w:rsidRPr="007B28C5">
          <w:rPr>
            <w:rFonts w:ascii="Arial" w:hAnsi="Arial" w:cs="Arial"/>
            <w:color w:val="0563C1"/>
            <w:sz w:val="20"/>
            <w:szCs w:val="20"/>
            <w:u w:val="single"/>
            <w14:ligatures w14:val="standardContextual"/>
          </w:rPr>
          <w:t>Heli.Paluste@sm.ee</w:t>
        </w:r>
      </w:hyperlink>
      <w:r w:rsidR="009A734F" w:rsidRPr="007B28C5">
        <w:rPr>
          <w:rFonts w:ascii="Arial" w:hAnsi="Arial" w:cs="Arial"/>
          <w:sz w:val="20"/>
          <w:szCs w:val="20"/>
          <w14:ligatures w14:val="standardContextual"/>
        </w:rPr>
        <w:t xml:space="preserve"> </w:t>
      </w:r>
    </w:p>
    <w:p w14:paraId="13B1DEDC" w14:textId="77777777" w:rsidR="009A734F" w:rsidRDefault="009A734F" w:rsidP="009A734F">
      <w:pPr>
        <w:spacing w:after="0" w:line="276" w:lineRule="auto"/>
        <w:jc w:val="both"/>
        <w:rPr>
          <w:rFonts w:ascii="Arial" w:hAnsi="Arial" w:cs="Arial"/>
          <w:b/>
          <w:bCs/>
          <w:sz w:val="20"/>
          <w:szCs w:val="20"/>
          <w14:ligatures w14:val="standardContextual"/>
        </w:rPr>
      </w:pPr>
    </w:p>
    <w:p w14:paraId="29BF5E49" w14:textId="77777777" w:rsidR="009A734F" w:rsidRPr="007B28C5" w:rsidRDefault="009A734F" w:rsidP="009A734F">
      <w:pPr>
        <w:spacing w:after="0" w:line="276" w:lineRule="auto"/>
        <w:jc w:val="both"/>
        <w:rPr>
          <w:rFonts w:ascii="Arial" w:hAnsi="Arial" w:cs="Arial"/>
          <w:b/>
          <w:bCs/>
          <w:sz w:val="20"/>
          <w:szCs w:val="20"/>
          <w14:ligatures w14:val="standardContextual"/>
        </w:rPr>
      </w:pPr>
      <w:r w:rsidRPr="007B28C5">
        <w:rPr>
          <w:rFonts w:ascii="Arial" w:hAnsi="Arial" w:cs="Arial"/>
          <w:b/>
          <w:bCs/>
          <w:sz w:val="20"/>
          <w:szCs w:val="20"/>
          <w14:ligatures w14:val="standardContextual"/>
        </w:rPr>
        <w:t>Tervisekassa</w:t>
      </w:r>
    </w:p>
    <w:p w14:paraId="2D90F17C" w14:textId="77777777" w:rsidR="009A734F" w:rsidRPr="007B28C5" w:rsidRDefault="009A734F" w:rsidP="009A734F">
      <w:pPr>
        <w:spacing w:after="0" w:line="276" w:lineRule="auto"/>
        <w:jc w:val="both"/>
        <w:rPr>
          <w:rFonts w:ascii="Arial" w:hAnsi="Arial" w:cs="Arial"/>
          <w:sz w:val="20"/>
          <w:szCs w:val="20"/>
          <w14:ligatures w14:val="standardContextual"/>
        </w:rPr>
      </w:pPr>
      <w:r w:rsidRPr="007B28C5">
        <w:rPr>
          <w:rFonts w:ascii="Arial" w:hAnsi="Arial" w:cs="Arial"/>
          <w:sz w:val="20"/>
          <w:szCs w:val="20"/>
          <w14:ligatures w14:val="standardContextual"/>
        </w:rPr>
        <w:t xml:space="preserve">Tiia </w:t>
      </w:r>
      <w:proofErr w:type="spellStart"/>
      <w:r w:rsidRPr="007B28C5">
        <w:rPr>
          <w:rFonts w:ascii="Arial" w:hAnsi="Arial" w:cs="Arial"/>
          <w:sz w:val="20"/>
          <w:szCs w:val="20"/>
          <w14:ligatures w14:val="standardContextual"/>
        </w:rPr>
        <w:t>Zeigo</w:t>
      </w:r>
      <w:proofErr w:type="spellEnd"/>
    </w:p>
    <w:p w14:paraId="2C8CE928" w14:textId="77777777" w:rsidR="009A734F" w:rsidRPr="007B28C5" w:rsidRDefault="00000000" w:rsidP="009A734F">
      <w:pPr>
        <w:spacing w:after="0" w:line="276" w:lineRule="auto"/>
        <w:jc w:val="both"/>
        <w:rPr>
          <w:rFonts w:ascii="Arial" w:hAnsi="Arial" w:cs="Arial"/>
          <w:sz w:val="20"/>
          <w:szCs w:val="20"/>
          <w14:ligatures w14:val="standardContextual"/>
        </w:rPr>
      </w:pPr>
      <w:hyperlink r:id="rId13" w:history="1">
        <w:r w:rsidR="009A734F" w:rsidRPr="007B28C5">
          <w:rPr>
            <w:rFonts w:ascii="Arial" w:hAnsi="Arial" w:cs="Arial"/>
            <w:color w:val="0563C1"/>
            <w:sz w:val="20"/>
            <w:szCs w:val="20"/>
            <w:u w:val="single"/>
            <w14:ligatures w14:val="standardContextual"/>
          </w:rPr>
          <w:t>tiia.zeigo@tervisekassa.ee</w:t>
        </w:r>
      </w:hyperlink>
    </w:p>
    <w:p w14:paraId="34D96578" w14:textId="77777777" w:rsidR="009A734F" w:rsidRDefault="00000000" w:rsidP="009A734F">
      <w:pPr>
        <w:spacing w:after="0" w:line="276" w:lineRule="auto"/>
        <w:jc w:val="both"/>
        <w:rPr>
          <w:rFonts w:ascii="Arial" w:hAnsi="Arial" w:cs="Arial"/>
          <w:sz w:val="20"/>
          <w:szCs w:val="20"/>
          <w14:ligatures w14:val="standardContextual"/>
        </w:rPr>
      </w:pPr>
      <w:hyperlink r:id="rId14" w:history="1">
        <w:r w:rsidR="009A734F" w:rsidRPr="006D28B9">
          <w:rPr>
            <w:rStyle w:val="Hyperlink"/>
            <w:rFonts w:ascii="Arial" w:hAnsi="Arial" w:cs="Arial"/>
            <w:sz w:val="20"/>
            <w:szCs w:val="20"/>
            <w14:ligatures w14:val="standardContextual"/>
          </w:rPr>
          <w:t>hambaravi@tervisekassa.ee</w:t>
        </w:r>
      </w:hyperlink>
    </w:p>
    <w:p w14:paraId="13168071" w14:textId="77777777" w:rsidR="009A734F" w:rsidRDefault="009A734F" w:rsidP="009A734F">
      <w:pPr>
        <w:spacing w:after="0" w:line="276" w:lineRule="auto"/>
        <w:jc w:val="both"/>
        <w:rPr>
          <w:rFonts w:ascii="Arial" w:hAnsi="Arial" w:cs="Arial"/>
          <w:sz w:val="20"/>
          <w:szCs w:val="20"/>
          <w14:ligatures w14:val="standardContextual"/>
        </w:rPr>
      </w:pPr>
    </w:p>
    <w:p w14:paraId="614A2C57" w14:textId="77777777" w:rsidR="009A734F" w:rsidRPr="007B28C5" w:rsidRDefault="009A734F" w:rsidP="009A734F">
      <w:pPr>
        <w:spacing w:after="0" w:line="276" w:lineRule="auto"/>
        <w:jc w:val="both"/>
        <w:rPr>
          <w:rFonts w:ascii="Arial" w:hAnsi="Arial" w:cs="Arial"/>
          <w:b/>
          <w:bCs/>
          <w:sz w:val="20"/>
          <w:szCs w:val="20"/>
          <w14:ligatures w14:val="standardContextual"/>
        </w:rPr>
      </w:pPr>
      <w:r w:rsidRPr="007B28C5">
        <w:rPr>
          <w:rFonts w:ascii="Arial" w:hAnsi="Arial" w:cs="Arial"/>
          <w:b/>
          <w:bCs/>
          <w:sz w:val="20"/>
          <w:szCs w:val="20"/>
          <w14:ligatures w14:val="standardContextual"/>
        </w:rPr>
        <w:t xml:space="preserve">Riigikogu sotsiaalkomisjon </w:t>
      </w:r>
    </w:p>
    <w:p w14:paraId="7593F5C5" w14:textId="77777777" w:rsidR="009A734F" w:rsidRPr="00D53EB4" w:rsidRDefault="009A734F" w:rsidP="009A734F">
      <w:pPr>
        <w:spacing w:after="0" w:line="276" w:lineRule="auto"/>
        <w:jc w:val="both"/>
        <w:rPr>
          <w:rFonts w:ascii="Arial" w:hAnsi="Arial" w:cs="Arial"/>
          <w:sz w:val="20"/>
          <w:szCs w:val="20"/>
          <w14:ligatures w14:val="standardContextual"/>
        </w:rPr>
      </w:pPr>
      <w:r w:rsidRPr="00D53EB4">
        <w:rPr>
          <w:rFonts w:ascii="Arial" w:hAnsi="Arial" w:cs="Arial"/>
          <w:sz w:val="20"/>
          <w:szCs w:val="20"/>
          <w14:ligatures w14:val="standardContextual"/>
        </w:rPr>
        <w:t xml:space="preserve">Õnne </w:t>
      </w:r>
      <w:proofErr w:type="spellStart"/>
      <w:r w:rsidRPr="00D53EB4">
        <w:rPr>
          <w:rFonts w:ascii="Arial" w:hAnsi="Arial" w:cs="Arial"/>
          <w:sz w:val="20"/>
          <w:szCs w:val="20"/>
          <w14:ligatures w14:val="standardContextual"/>
        </w:rPr>
        <w:t>Pillak</w:t>
      </w:r>
      <w:proofErr w:type="spellEnd"/>
    </w:p>
    <w:p w14:paraId="4848838C" w14:textId="77777777" w:rsidR="009A734F" w:rsidRPr="00D53EB4" w:rsidRDefault="00000000" w:rsidP="009A734F">
      <w:pPr>
        <w:spacing w:after="0" w:line="276" w:lineRule="auto"/>
        <w:jc w:val="both"/>
        <w:rPr>
          <w:rFonts w:ascii="Arial" w:hAnsi="Arial" w:cs="Arial"/>
          <w:sz w:val="20"/>
          <w:szCs w:val="20"/>
          <w14:ligatures w14:val="standardContextual"/>
        </w:rPr>
      </w:pPr>
      <w:hyperlink r:id="rId15" w:history="1">
        <w:r w:rsidR="009A734F" w:rsidRPr="00D53EB4">
          <w:rPr>
            <w:rStyle w:val="Hyperlink"/>
            <w:rFonts w:ascii="Arial" w:hAnsi="Arial" w:cs="Arial"/>
            <w:sz w:val="20"/>
            <w:szCs w:val="20"/>
            <w14:ligatures w14:val="standardContextual"/>
          </w:rPr>
          <w:t>sotsiaalkomisjon@riigikogu.ee</w:t>
        </w:r>
      </w:hyperlink>
      <w:r w:rsidR="009A734F" w:rsidRPr="00D53EB4">
        <w:rPr>
          <w:rFonts w:ascii="Arial" w:hAnsi="Arial" w:cs="Arial"/>
          <w:sz w:val="20"/>
          <w:szCs w:val="20"/>
          <w14:ligatures w14:val="standardContextual"/>
        </w:rPr>
        <w:t xml:space="preserve"> </w:t>
      </w:r>
    </w:p>
    <w:p w14:paraId="20EB6ACD" w14:textId="77777777" w:rsidR="009A734F" w:rsidRPr="007B28C5" w:rsidRDefault="009A734F" w:rsidP="009A734F">
      <w:pPr>
        <w:spacing w:after="0" w:line="276" w:lineRule="auto"/>
        <w:jc w:val="both"/>
        <w:rPr>
          <w:rFonts w:ascii="Arial" w:hAnsi="Arial" w:cs="Arial"/>
          <w:sz w:val="20"/>
          <w:szCs w:val="20"/>
          <w14:ligatures w14:val="standardContextual"/>
        </w:rPr>
      </w:pPr>
    </w:p>
    <w:p w14:paraId="026D0541" w14:textId="77777777" w:rsidR="009A734F" w:rsidRPr="007B28C5" w:rsidRDefault="009A734F" w:rsidP="009A734F">
      <w:pPr>
        <w:spacing w:after="0" w:line="276" w:lineRule="auto"/>
        <w:jc w:val="both"/>
        <w:rPr>
          <w:rFonts w:ascii="Arial" w:hAnsi="Arial" w:cs="Arial"/>
          <w:sz w:val="20"/>
          <w:szCs w:val="20"/>
          <w14:ligatures w14:val="standardContextual"/>
        </w:rPr>
      </w:pPr>
    </w:p>
    <w:p w14:paraId="767A3BBF" w14:textId="77777777" w:rsidR="009A734F" w:rsidRDefault="009A734F" w:rsidP="009A734F">
      <w:pPr>
        <w:spacing w:line="276" w:lineRule="auto"/>
        <w:jc w:val="right"/>
        <w:rPr>
          <w:rFonts w:ascii="Arial" w:eastAsia="Calibri" w:hAnsi="Arial" w:cs="Arial"/>
          <w:b/>
          <w:bCs/>
          <w:sz w:val="20"/>
          <w:szCs w:val="20"/>
        </w:rPr>
      </w:pPr>
    </w:p>
    <w:p w14:paraId="2B6F4CBB" w14:textId="5FB3E43C" w:rsidR="009A734F" w:rsidRPr="007B28C5" w:rsidRDefault="009A734F" w:rsidP="009A734F">
      <w:pPr>
        <w:spacing w:line="276" w:lineRule="auto"/>
        <w:jc w:val="right"/>
        <w:rPr>
          <w:rFonts w:ascii="Arial" w:eastAsia="Calibri" w:hAnsi="Arial" w:cs="Arial"/>
          <w:b/>
          <w:bCs/>
          <w:sz w:val="20"/>
          <w:szCs w:val="20"/>
        </w:rPr>
      </w:pPr>
      <w:r>
        <w:rPr>
          <w:rFonts w:ascii="Arial" w:eastAsia="Calibri" w:hAnsi="Arial" w:cs="Arial"/>
          <w:b/>
          <w:bCs/>
          <w:sz w:val="20"/>
          <w:szCs w:val="20"/>
        </w:rPr>
        <w:t>Nr. 5-04-10, 10</w:t>
      </w:r>
      <w:r w:rsidRPr="007B28C5">
        <w:rPr>
          <w:rFonts w:ascii="Arial" w:eastAsia="Calibri" w:hAnsi="Arial" w:cs="Arial"/>
          <w:b/>
          <w:bCs/>
          <w:sz w:val="20"/>
          <w:szCs w:val="20"/>
        </w:rPr>
        <w:t>. aprill 2024</w:t>
      </w:r>
    </w:p>
    <w:p w14:paraId="01323F6A" w14:textId="77777777" w:rsidR="009A734F" w:rsidRPr="007B28C5" w:rsidRDefault="009A734F" w:rsidP="009A734F">
      <w:pPr>
        <w:spacing w:line="276" w:lineRule="auto"/>
        <w:rPr>
          <w:rFonts w:ascii="Arial" w:eastAsia="Calibri" w:hAnsi="Arial" w:cs="Arial"/>
          <w:b/>
          <w:bCs/>
          <w:sz w:val="20"/>
          <w:szCs w:val="20"/>
        </w:rPr>
      </w:pPr>
      <w:r>
        <w:rPr>
          <w:rFonts w:ascii="Arial" w:eastAsia="Calibri" w:hAnsi="Arial" w:cs="Arial"/>
          <w:b/>
          <w:bCs/>
          <w:sz w:val="20"/>
          <w:szCs w:val="20"/>
        </w:rPr>
        <w:t>SELGITUSTAOTLUS</w:t>
      </w:r>
    </w:p>
    <w:p w14:paraId="4384305D" w14:textId="77777777" w:rsidR="009A734F" w:rsidRDefault="009A734F" w:rsidP="009A734F">
      <w:pPr>
        <w:spacing w:after="0" w:line="276" w:lineRule="auto"/>
        <w:jc w:val="both"/>
        <w:rPr>
          <w:rFonts w:ascii="Arial" w:eastAsia="Calibri" w:hAnsi="Arial" w:cs="Arial"/>
          <w:sz w:val="20"/>
          <w:szCs w:val="20"/>
        </w:rPr>
      </w:pPr>
    </w:p>
    <w:p w14:paraId="7FB77323" w14:textId="1347C604" w:rsidR="009A734F" w:rsidRDefault="009A734F" w:rsidP="009A734F">
      <w:pPr>
        <w:spacing w:after="0" w:line="276" w:lineRule="auto"/>
        <w:jc w:val="both"/>
        <w:rPr>
          <w:rFonts w:ascii="Arial" w:eastAsia="Calibri" w:hAnsi="Arial" w:cs="Arial"/>
          <w:sz w:val="20"/>
          <w:szCs w:val="20"/>
        </w:rPr>
      </w:pPr>
      <w:r w:rsidRPr="00B60259">
        <w:rPr>
          <w:rFonts w:ascii="Arial" w:eastAsia="Calibri" w:hAnsi="Arial" w:cs="Arial"/>
          <w:sz w:val="20"/>
          <w:szCs w:val="20"/>
        </w:rPr>
        <w:t xml:space="preserve">Pöördume Terviseameti poole </w:t>
      </w:r>
      <w:r>
        <w:rPr>
          <w:rFonts w:ascii="Arial" w:eastAsia="Calibri" w:hAnsi="Arial" w:cs="Arial"/>
          <w:sz w:val="20"/>
          <w:szCs w:val="20"/>
        </w:rPr>
        <w:t xml:space="preserve">seoses läheneva tervishoiuteenuse osutaja kohustusliku vastutuskindlustuse seaduse jõustumisega. </w:t>
      </w:r>
      <w:r w:rsidRPr="007B28C5">
        <w:rPr>
          <w:rFonts w:ascii="Arial" w:eastAsia="Calibri" w:hAnsi="Arial" w:cs="Arial"/>
          <w:sz w:val="20"/>
          <w:szCs w:val="20"/>
        </w:rPr>
        <w:t xml:space="preserve">1. juulil 2024 jõustuv tervisehoiuteenuse osutaja kohustusliku vastutuskindlustuse seadus (TOKVS) seab hüvitamiskohustuse sõltuvusse eriala piiridest. Vastavalt TOKVS § 20 </w:t>
      </w:r>
      <w:proofErr w:type="spellStart"/>
      <w:r w:rsidRPr="007B28C5">
        <w:rPr>
          <w:rFonts w:ascii="Arial" w:eastAsia="Calibri" w:hAnsi="Arial" w:cs="Arial"/>
          <w:sz w:val="20"/>
          <w:szCs w:val="20"/>
        </w:rPr>
        <w:t>lg-le</w:t>
      </w:r>
      <w:proofErr w:type="spellEnd"/>
      <w:r w:rsidRPr="007B28C5">
        <w:rPr>
          <w:rFonts w:ascii="Arial" w:eastAsia="Calibri" w:hAnsi="Arial" w:cs="Arial"/>
          <w:sz w:val="20"/>
          <w:szCs w:val="20"/>
        </w:rPr>
        <w:t xml:space="preserve"> 15 ei hüvita kindlustusandja patsiendile kahju, mis tuleneb tervishoiuteenuse osutamisest, mida tervishoiutöötaja osutas väljaspool omandatud eriala piire. </w:t>
      </w:r>
    </w:p>
    <w:p w14:paraId="3BC8F74F" w14:textId="77777777" w:rsidR="009A734F" w:rsidRDefault="009A734F" w:rsidP="009A734F">
      <w:pPr>
        <w:spacing w:after="0" w:line="276" w:lineRule="auto"/>
        <w:jc w:val="both"/>
        <w:rPr>
          <w:rFonts w:ascii="Arial" w:eastAsia="Calibri" w:hAnsi="Arial" w:cs="Arial"/>
          <w:sz w:val="20"/>
          <w:szCs w:val="20"/>
        </w:rPr>
      </w:pPr>
    </w:p>
    <w:p w14:paraId="27C45ECD" w14:textId="77777777" w:rsidR="009A734F" w:rsidRDefault="009A734F" w:rsidP="009A734F">
      <w:pPr>
        <w:spacing w:after="0" w:line="276" w:lineRule="auto"/>
        <w:jc w:val="both"/>
        <w:rPr>
          <w:rFonts w:ascii="Arial" w:eastAsia="Calibri" w:hAnsi="Arial" w:cs="Arial"/>
          <w:b/>
          <w:bCs/>
          <w:sz w:val="20"/>
          <w:szCs w:val="20"/>
        </w:rPr>
      </w:pPr>
      <w:r>
        <w:rPr>
          <w:rFonts w:ascii="Arial" w:eastAsia="Calibri" w:hAnsi="Arial" w:cs="Arial"/>
          <w:sz w:val="20"/>
          <w:szCs w:val="20"/>
        </w:rPr>
        <w:t xml:space="preserve">Hambaravi valdkonnas on aga endiselt ebaselge </w:t>
      </w:r>
      <w:proofErr w:type="spellStart"/>
      <w:r>
        <w:rPr>
          <w:rFonts w:ascii="Arial" w:eastAsia="Calibri" w:hAnsi="Arial" w:cs="Arial"/>
          <w:sz w:val="20"/>
          <w:szCs w:val="20"/>
        </w:rPr>
        <w:t>üldhambaarsti</w:t>
      </w:r>
      <w:proofErr w:type="spellEnd"/>
      <w:r>
        <w:rPr>
          <w:rFonts w:ascii="Arial" w:eastAsia="Calibri" w:hAnsi="Arial" w:cs="Arial"/>
          <w:sz w:val="20"/>
          <w:szCs w:val="20"/>
        </w:rPr>
        <w:t xml:space="preserve"> õigus osutada lihtsamaid </w:t>
      </w:r>
      <w:proofErr w:type="spellStart"/>
      <w:r>
        <w:rPr>
          <w:rFonts w:ascii="Arial" w:eastAsia="Calibri" w:hAnsi="Arial" w:cs="Arial"/>
          <w:sz w:val="20"/>
          <w:szCs w:val="20"/>
        </w:rPr>
        <w:t>ortodontilisi</w:t>
      </w:r>
      <w:proofErr w:type="spellEnd"/>
      <w:r>
        <w:rPr>
          <w:rFonts w:ascii="Arial" w:eastAsia="Calibri" w:hAnsi="Arial" w:cs="Arial"/>
          <w:sz w:val="20"/>
          <w:szCs w:val="20"/>
        </w:rPr>
        <w:t xml:space="preserve"> teenuseid vastavalt oma pädevusele ja kogemusele. Eesti Hambaarstide Liidule (EHL) teadaolevalt on Terviseamet teinud sellega seoses mitmetele kliinikutele ka ettekirjutusi. Terviseametil on järelevalve teostamise pädevus ja EHL ei soovi sekkuda konkreetsetesse järelevalvemenetlustesse. Siiski leiame, et </w:t>
      </w:r>
      <w:r w:rsidRPr="0016542A">
        <w:rPr>
          <w:rFonts w:ascii="Arial" w:eastAsia="Calibri" w:hAnsi="Arial" w:cs="Arial"/>
          <w:b/>
          <w:bCs/>
          <w:sz w:val="20"/>
          <w:szCs w:val="20"/>
        </w:rPr>
        <w:t>riigi ja</w:t>
      </w:r>
      <w:r>
        <w:rPr>
          <w:rFonts w:ascii="Arial" w:eastAsia="Calibri" w:hAnsi="Arial" w:cs="Arial"/>
          <w:sz w:val="20"/>
          <w:szCs w:val="20"/>
        </w:rPr>
        <w:t xml:space="preserve"> </w:t>
      </w:r>
      <w:r w:rsidRPr="00010F10">
        <w:rPr>
          <w:rFonts w:ascii="Arial" w:eastAsia="Calibri" w:hAnsi="Arial" w:cs="Arial"/>
          <w:b/>
          <w:bCs/>
          <w:sz w:val="20"/>
          <w:szCs w:val="20"/>
        </w:rPr>
        <w:t>Terviseameti üheks ülesandeks järelevalveasutusena on</w:t>
      </w:r>
      <w:r>
        <w:rPr>
          <w:rFonts w:ascii="Arial" w:eastAsia="Calibri" w:hAnsi="Arial" w:cs="Arial"/>
          <w:sz w:val="20"/>
          <w:szCs w:val="20"/>
        </w:rPr>
        <w:t xml:space="preserve"> </w:t>
      </w:r>
      <w:r w:rsidRPr="00FE5261">
        <w:rPr>
          <w:rFonts w:ascii="Arial" w:eastAsia="Calibri" w:hAnsi="Arial" w:cs="Arial"/>
          <w:b/>
          <w:bCs/>
          <w:sz w:val="20"/>
          <w:szCs w:val="20"/>
        </w:rPr>
        <w:t>tagada</w:t>
      </w:r>
      <w:r w:rsidRPr="00B60259">
        <w:rPr>
          <w:rFonts w:ascii="Arial" w:eastAsia="Calibri" w:hAnsi="Arial" w:cs="Arial"/>
          <w:b/>
          <w:bCs/>
          <w:sz w:val="20"/>
          <w:szCs w:val="20"/>
        </w:rPr>
        <w:t xml:space="preserve">, et nii patsientidele kui ka tervishoiuteenuse osutajatele ja tervishoiutöötajatele oleks üheselt selge, kust lähevad ühe või teise eriala piirid ja milline on selliste piiride õiguslik alus. </w:t>
      </w:r>
    </w:p>
    <w:p w14:paraId="3375B4CB" w14:textId="77777777" w:rsidR="009A734F" w:rsidRDefault="009A734F" w:rsidP="009A734F">
      <w:pPr>
        <w:spacing w:after="0" w:line="276" w:lineRule="auto"/>
        <w:jc w:val="both"/>
        <w:rPr>
          <w:rFonts w:ascii="Arial" w:eastAsia="Calibri" w:hAnsi="Arial" w:cs="Arial"/>
          <w:b/>
          <w:bCs/>
          <w:sz w:val="20"/>
          <w:szCs w:val="20"/>
        </w:rPr>
      </w:pPr>
    </w:p>
    <w:p w14:paraId="45A58CD0" w14:textId="77777777" w:rsidR="009A734F" w:rsidRDefault="009A734F" w:rsidP="009A734F">
      <w:pPr>
        <w:spacing w:after="0" w:line="276" w:lineRule="auto"/>
        <w:jc w:val="both"/>
        <w:rPr>
          <w:rFonts w:ascii="Arial" w:eastAsia="Calibri" w:hAnsi="Arial" w:cs="Arial"/>
          <w:b/>
          <w:bCs/>
          <w:sz w:val="20"/>
          <w:szCs w:val="20"/>
        </w:rPr>
      </w:pPr>
      <w:r>
        <w:rPr>
          <w:rFonts w:ascii="Arial" w:eastAsia="Calibri" w:hAnsi="Arial" w:cs="Arial"/>
          <w:b/>
          <w:bCs/>
          <w:sz w:val="20"/>
          <w:szCs w:val="20"/>
        </w:rPr>
        <w:t xml:space="preserve">Selleks, et EHL saaks seadusemuudatuseks ette valmistuda ja teavitada aegsasti oma liikmeid, palume vastata ametliku kirjaga järgmistele küsimustele:  </w:t>
      </w:r>
    </w:p>
    <w:p w14:paraId="7B17E2D2" w14:textId="77777777" w:rsidR="009A734F" w:rsidRDefault="009A734F" w:rsidP="009A734F">
      <w:pPr>
        <w:spacing w:after="0" w:line="276" w:lineRule="auto"/>
        <w:jc w:val="both"/>
        <w:rPr>
          <w:rFonts w:ascii="Arial" w:eastAsia="Calibri" w:hAnsi="Arial" w:cs="Arial"/>
          <w:b/>
          <w:bCs/>
          <w:sz w:val="20"/>
          <w:szCs w:val="20"/>
        </w:rPr>
      </w:pPr>
    </w:p>
    <w:p w14:paraId="5E659BA2" w14:textId="77777777" w:rsidR="009A734F" w:rsidRPr="0016542A" w:rsidRDefault="009A734F" w:rsidP="009A734F">
      <w:pPr>
        <w:pStyle w:val="ListParagraph"/>
        <w:numPr>
          <w:ilvl w:val="0"/>
          <w:numId w:val="7"/>
        </w:numPr>
        <w:spacing w:after="0" w:line="276" w:lineRule="auto"/>
        <w:jc w:val="both"/>
        <w:rPr>
          <w:rFonts w:ascii="Arial" w:eastAsia="Calibri" w:hAnsi="Arial" w:cs="Arial"/>
          <w:b/>
          <w:bCs/>
          <w:sz w:val="20"/>
        </w:rPr>
      </w:pPr>
      <w:r w:rsidRPr="0016542A">
        <w:rPr>
          <w:rFonts w:ascii="Arial" w:eastAsia="Calibri" w:hAnsi="Arial" w:cs="Arial"/>
          <w:b/>
          <w:bCs/>
          <w:sz w:val="20"/>
        </w:rPr>
        <w:t xml:space="preserve">Milliseid teenuseid loeb Terviseamet ortodontia teenusteks, mida Terviseameti seisukoha kohaselt võib osutada üksnes ortodontia eriarst ja mida hambaarst ei või osutada koos viitega õigusaktile või allikale, millest nähtub teenuste loetelu või erialade vahel jagunemise kriteeriumid? Palume esitada konkreetne loetelu teenustest. </w:t>
      </w:r>
    </w:p>
    <w:p w14:paraId="7B106DBD" w14:textId="77777777" w:rsidR="009A734F" w:rsidRDefault="009A734F" w:rsidP="009A734F">
      <w:pPr>
        <w:pStyle w:val="ListParagraph"/>
        <w:spacing w:after="0" w:line="276" w:lineRule="auto"/>
        <w:jc w:val="both"/>
        <w:rPr>
          <w:rFonts w:ascii="Arial" w:eastAsia="Calibri" w:hAnsi="Arial" w:cs="Arial"/>
          <w:sz w:val="20"/>
        </w:rPr>
      </w:pPr>
    </w:p>
    <w:p w14:paraId="404EEE56" w14:textId="77777777" w:rsidR="009A734F" w:rsidRPr="00143F02" w:rsidRDefault="009A734F" w:rsidP="009A734F">
      <w:pPr>
        <w:pStyle w:val="ListParagraph"/>
        <w:spacing w:after="0" w:line="276" w:lineRule="auto"/>
        <w:jc w:val="both"/>
        <w:rPr>
          <w:rFonts w:ascii="Arial" w:eastAsia="Calibri" w:hAnsi="Arial" w:cs="Arial"/>
          <w:b/>
          <w:bCs/>
          <w:sz w:val="20"/>
        </w:rPr>
      </w:pPr>
      <w:r>
        <w:rPr>
          <w:rFonts w:ascii="Arial" w:eastAsia="Calibri" w:hAnsi="Arial" w:cs="Arial"/>
          <w:sz w:val="20"/>
        </w:rPr>
        <w:t xml:space="preserve">Märkus: </w:t>
      </w:r>
      <w:proofErr w:type="spellStart"/>
      <w:r>
        <w:rPr>
          <w:rFonts w:ascii="Arial" w:eastAsia="Calibri" w:hAnsi="Arial" w:cs="Arial"/>
          <w:sz w:val="20"/>
        </w:rPr>
        <w:t>EHL-ile</w:t>
      </w:r>
      <w:proofErr w:type="spellEnd"/>
      <w:r>
        <w:rPr>
          <w:rFonts w:ascii="Arial" w:eastAsia="Calibri" w:hAnsi="Arial" w:cs="Arial"/>
          <w:sz w:val="20"/>
        </w:rPr>
        <w:t xml:space="preserve"> teadaolevalt on Terviseamet tuginenud TTKS § 3 </w:t>
      </w:r>
      <w:proofErr w:type="spellStart"/>
      <w:r>
        <w:rPr>
          <w:rFonts w:ascii="Arial" w:eastAsia="Calibri" w:hAnsi="Arial" w:cs="Arial"/>
          <w:sz w:val="20"/>
        </w:rPr>
        <w:t>lg-le</w:t>
      </w:r>
      <w:proofErr w:type="spellEnd"/>
      <w:r>
        <w:rPr>
          <w:rFonts w:ascii="Arial" w:eastAsia="Calibri" w:hAnsi="Arial" w:cs="Arial"/>
          <w:sz w:val="20"/>
        </w:rPr>
        <w:t xml:space="preserve"> 2 ja sotsiaalministri määrusele nr 110, kuid nimetatud õigusaktides ei ole </w:t>
      </w:r>
      <w:r w:rsidRPr="00CD529E">
        <w:rPr>
          <w:rFonts w:ascii="Arial" w:eastAsia="Calibri" w:hAnsi="Arial" w:cs="Arial"/>
          <w:sz w:val="20"/>
        </w:rPr>
        <w:t xml:space="preserve">defineeritud </w:t>
      </w:r>
      <w:proofErr w:type="spellStart"/>
      <w:r w:rsidRPr="00CD529E">
        <w:rPr>
          <w:rFonts w:ascii="Arial" w:eastAsia="Calibri" w:hAnsi="Arial" w:cs="Arial"/>
          <w:sz w:val="20"/>
        </w:rPr>
        <w:t>ortodontilise</w:t>
      </w:r>
      <w:proofErr w:type="spellEnd"/>
      <w:r w:rsidRPr="00CD529E">
        <w:rPr>
          <w:rFonts w:ascii="Arial" w:eastAsia="Calibri" w:hAnsi="Arial" w:cs="Arial"/>
          <w:sz w:val="20"/>
        </w:rPr>
        <w:t xml:space="preserve"> teenuse mõistet ega esitatud teenuste loetelu, mis kuuluvad selliste </w:t>
      </w:r>
      <w:proofErr w:type="spellStart"/>
      <w:r w:rsidRPr="00CD529E">
        <w:rPr>
          <w:rFonts w:ascii="Arial" w:eastAsia="Calibri" w:hAnsi="Arial" w:cs="Arial"/>
          <w:sz w:val="20"/>
        </w:rPr>
        <w:t>ortodontiliste</w:t>
      </w:r>
      <w:proofErr w:type="spellEnd"/>
      <w:r w:rsidRPr="00CD529E">
        <w:rPr>
          <w:rFonts w:ascii="Arial" w:eastAsia="Calibri" w:hAnsi="Arial" w:cs="Arial"/>
          <w:sz w:val="20"/>
        </w:rPr>
        <w:t xml:space="preserve"> teenuste alla, mida võivad osutada ainult ortodondid (st erihambaarstid).</w:t>
      </w:r>
      <w:r>
        <w:rPr>
          <w:rFonts w:ascii="Arial" w:eastAsia="Calibri" w:hAnsi="Arial" w:cs="Arial"/>
          <w:sz w:val="20"/>
        </w:rPr>
        <w:t xml:space="preserve"> EHL ei nõustu seisukohaga, et </w:t>
      </w:r>
      <w:r w:rsidRPr="00143F02">
        <w:rPr>
          <w:rFonts w:ascii="Arial" w:eastAsia="Calibri" w:hAnsi="Arial" w:cs="Arial"/>
          <w:sz w:val="20"/>
        </w:rPr>
        <w:t xml:space="preserve">igasugune hammaste asendi ja/või hambumuse muutmine kuulub ainult </w:t>
      </w:r>
      <w:proofErr w:type="spellStart"/>
      <w:r w:rsidRPr="00143F02">
        <w:rPr>
          <w:rFonts w:ascii="Arial" w:eastAsia="Calibri" w:hAnsi="Arial" w:cs="Arial"/>
          <w:sz w:val="20"/>
        </w:rPr>
        <w:t>ortodondi</w:t>
      </w:r>
      <w:proofErr w:type="spellEnd"/>
      <w:r w:rsidRPr="00143F02">
        <w:rPr>
          <w:rFonts w:ascii="Arial" w:eastAsia="Calibri" w:hAnsi="Arial" w:cs="Arial"/>
          <w:sz w:val="20"/>
        </w:rPr>
        <w:t xml:space="preserve"> pädevusse. Hambumust muudetakse hambaarsti igapäevapraktikas sageli palju kiiremini ja radikaalsemalt, näiteks ulatusliku (kogu suud hõlmava) hammaste proteesimisega, kulunud hammaskonna täidistega taastamisega, hambutu patsiendi rehabilitatsiooni või </w:t>
      </w:r>
      <w:proofErr w:type="spellStart"/>
      <w:r w:rsidRPr="00143F02">
        <w:rPr>
          <w:rFonts w:ascii="Arial" w:eastAsia="Calibri" w:hAnsi="Arial" w:cs="Arial"/>
          <w:sz w:val="20"/>
        </w:rPr>
        <w:t>Dahli</w:t>
      </w:r>
      <w:proofErr w:type="spellEnd"/>
      <w:r w:rsidRPr="00143F02">
        <w:rPr>
          <w:rFonts w:ascii="Arial" w:eastAsia="Calibri" w:hAnsi="Arial" w:cs="Arial"/>
          <w:sz w:val="20"/>
        </w:rPr>
        <w:t xml:space="preserve"> printsiipi kasutades. Piimahammaste ekstraktsioon, lihvimine ja kohahoidja paigaldamine on ravitööd, mille eesmärk on suunata jäävhammaste lõikumist ning seeläbi muuta ka hambumust. Samas ühtegi eelnimetatutest </w:t>
      </w:r>
      <w:proofErr w:type="spellStart"/>
      <w:r w:rsidRPr="00143F02">
        <w:rPr>
          <w:rFonts w:ascii="Arial" w:eastAsia="Calibri" w:hAnsi="Arial" w:cs="Arial"/>
          <w:sz w:val="20"/>
        </w:rPr>
        <w:t>ortodontiliseks</w:t>
      </w:r>
      <w:proofErr w:type="spellEnd"/>
      <w:r w:rsidRPr="00143F02">
        <w:rPr>
          <w:rFonts w:ascii="Arial" w:eastAsia="Calibri" w:hAnsi="Arial" w:cs="Arial"/>
          <w:sz w:val="20"/>
        </w:rPr>
        <w:t xml:space="preserve"> teenuseks ei loeta.</w:t>
      </w:r>
    </w:p>
    <w:p w14:paraId="2F1A2AB1" w14:textId="77777777" w:rsidR="009A734F" w:rsidRPr="00143F02" w:rsidRDefault="009A734F" w:rsidP="009A734F">
      <w:pPr>
        <w:spacing w:line="276" w:lineRule="auto"/>
        <w:rPr>
          <w:rFonts w:ascii="Arial" w:eastAsia="Calibri" w:hAnsi="Arial" w:cs="Arial"/>
          <w:b/>
          <w:bCs/>
          <w:sz w:val="20"/>
        </w:rPr>
      </w:pPr>
    </w:p>
    <w:p w14:paraId="19E48CCA" w14:textId="77777777" w:rsidR="009A734F" w:rsidRDefault="009A734F" w:rsidP="009A734F">
      <w:pPr>
        <w:pStyle w:val="ListParagraph"/>
        <w:numPr>
          <w:ilvl w:val="0"/>
          <w:numId w:val="7"/>
        </w:numPr>
        <w:spacing w:after="0" w:line="276" w:lineRule="auto"/>
        <w:jc w:val="both"/>
        <w:rPr>
          <w:rFonts w:ascii="Arial" w:eastAsia="Calibri" w:hAnsi="Arial" w:cs="Arial"/>
          <w:b/>
          <w:bCs/>
          <w:sz w:val="20"/>
        </w:rPr>
      </w:pPr>
      <w:r w:rsidRPr="0016542A">
        <w:rPr>
          <w:rFonts w:ascii="Arial" w:eastAsia="Calibri" w:hAnsi="Arial" w:cs="Arial"/>
          <w:b/>
          <w:bCs/>
          <w:sz w:val="20"/>
        </w:rPr>
        <w:t xml:space="preserve">Kas Terviseameti seisukoha kohaselt reguleerib </w:t>
      </w:r>
      <w:r w:rsidRPr="00CD529E">
        <w:rPr>
          <w:rFonts w:ascii="Arial" w:eastAsia="Calibri" w:hAnsi="Arial" w:cs="Arial"/>
          <w:b/>
          <w:bCs/>
          <w:sz w:val="20"/>
        </w:rPr>
        <w:t>TTKS § 4</w:t>
      </w:r>
      <w:r w:rsidRPr="00CD529E">
        <w:rPr>
          <w:rFonts w:ascii="Arial" w:eastAsia="Calibri" w:hAnsi="Arial" w:cs="Arial"/>
          <w:b/>
          <w:bCs/>
          <w:sz w:val="20"/>
          <w:vertAlign w:val="superscript"/>
        </w:rPr>
        <w:t>3</w:t>
      </w:r>
      <w:r w:rsidRPr="0016542A">
        <w:rPr>
          <w:rFonts w:ascii="Arial" w:eastAsia="Calibri" w:hAnsi="Arial" w:cs="Arial"/>
          <w:b/>
          <w:bCs/>
          <w:sz w:val="20"/>
        </w:rPr>
        <w:t xml:space="preserve"> ka hambaravi teenuste osutamisel osalemist? </w:t>
      </w:r>
    </w:p>
    <w:p w14:paraId="6FF9D59B" w14:textId="77777777" w:rsidR="009A734F" w:rsidRPr="00612D32" w:rsidRDefault="009A734F" w:rsidP="009A734F">
      <w:pPr>
        <w:pStyle w:val="ListParagraph"/>
        <w:spacing w:line="276" w:lineRule="auto"/>
        <w:rPr>
          <w:rFonts w:ascii="Arial" w:eastAsia="Calibri" w:hAnsi="Arial" w:cs="Arial"/>
          <w:b/>
          <w:bCs/>
          <w:sz w:val="20"/>
        </w:rPr>
      </w:pPr>
    </w:p>
    <w:p w14:paraId="5E848C4D" w14:textId="77777777" w:rsidR="009A734F" w:rsidRPr="0016542A" w:rsidRDefault="009A734F" w:rsidP="009A734F">
      <w:pPr>
        <w:pStyle w:val="ListParagraph"/>
        <w:numPr>
          <w:ilvl w:val="0"/>
          <w:numId w:val="7"/>
        </w:numPr>
        <w:spacing w:after="0" w:line="276" w:lineRule="auto"/>
        <w:jc w:val="both"/>
        <w:rPr>
          <w:rFonts w:ascii="Arial" w:eastAsia="Calibri" w:hAnsi="Arial" w:cs="Arial"/>
          <w:b/>
          <w:bCs/>
          <w:sz w:val="20"/>
        </w:rPr>
      </w:pPr>
      <w:r w:rsidRPr="0016542A">
        <w:rPr>
          <w:rFonts w:ascii="Arial" w:eastAsia="Calibri" w:hAnsi="Arial" w:cs="Arial"/>
          <w:b/>
          <w:bCs/>
          <w:sz w:val="20"/>
        </w:rPr>
        <w:t xml:space="preserve">Kas TTKS § </w:t>
      </w:r>
      <w:r w:rsidRPr="007B28C5">
        <w:rPr>
          <w:rFonts w:ascii="Arial" w:eastAsia="Calibri" w:hAnsi="Arial" w:cs="Arial"/>
          <w:b/>
          <w:bCs/>
          <w:sz w:val="20"/>
        </w:rPr>
        <w:t>4</w:t>
      </w:r>
      <w:r w:rsidRPr="007B28C5">
        <w:rPr>
          <w:rFonts w:ascii="Arial" w:eastAsia="Calibri" w:hAnsi="Arial" w:cs="Arial"/>
          <w:b/>
          <w:bCs/>
          <w:sz w:val="20"/>
          <w:vertAlign w:val="superscript"/>
        </w:rPr>
        <w:t>3</w:t>
      </w:r>
      <w:r w:rsidRPr="007B28C5">
        <w:rPr>
          <w:rFonts w:ascii="Arial" w:eastAsia="Calibri" w:hAnsi="Arial" w:cs="Arial"/>
          <w:b/>
          <w:bCs/>
          <w:sz w:val="20"/>
        </w:rPr>
        <w:t xml:space="preserve"> lg 2</w:t>
      </w:r>
      <w:r w:rsidRPr="0016542A">
        <w:rPr>
          <w:rFonts w:ascii="Arial" w:eastAsia="Calibri" w:hAnsi="Arial" w:cs="Arial"/>
          <w:b/>
          <w:bCs/>
          <w:sz w:val="20"/>
        </w:rPr>
        <w:t xml:space="preserve"> lause 2 on kohaldatav ka hambaarsti suhtes ja kui vastus on eitav, siis millisel õiguslikul alusel on välistatud selle lause kohaldumine hambaarsti suhtes?</w:t>
      </w:r>
    </w:p>
    <w:p w14:paraId="1E073C84" w14:textId="77777777" w:rsidR="009A734F" w:rsidRDefault="009A734F" w:rsidP="009A734F">
      <w:pPr>
        <w:pStyle w:val="ListParagraph"/>
        <w:spacing w:after="0" w:line="276" w:lineRule="auto"/>
        <w:jc w:val="both"/>
        <w:rPr>
          <w:rFonts w:ascii="Arial" w:eastAsia="Calibri" w:hAnsi="Arial" w:cs="Arial"/>
          <w:sz w:val="20"/>
        </w:rPr>
      </w:pPr>
    </w:p>
    <w:p w14:paraId="16A965ED" w14:textId="723993B3" w:rsidR="009A734F" w:rsidRPr="00042343" w:rsidRDefault="009A734F" w:rsidP="00042343">
      <w:pPr>
        <w:spacing w:line="276" w:lineRule="auto"/>
        <w:ind w:left="708"/>
        <w:jc w:val="both"/>
        <w:rPr>
          <w:rFonts w:ascii="Arial" w:eastAsia="Calibri" w:hAnsi="Arial" w:cs="Arial"/>
          <w:sz w:val="20"/>
        </w:rPr>
      </w:pPr>
      <w:r>
        <w:rPr>
          <w:rFonts w:ascii="Arial" w:eastAsia="Calibri" w:hAnsi="Arial" w:cs="Arial"/>
          <w:sz w:val="20"/>
        </w:rPr>
        <w:t xml:space="preserve">Märkus: iseenesest on </w:t>
      </w:r>
      <w:r w:rsidRPr="00347FD7">
        <w:rPr>
          <w:rFonts w:ascii="Arial" w:eastAsia="Calibri" w:hAnsi="Arial" w:cs="Arial"/>
          <w:sz w:val="20"/>
        </w:rPr>
        <w:t xml:space="preserve">arst ja hambaarst </w:t>
      </w:r>
      <w:r>
        <w:rPr>
          <w:rFonts w:ascii="Arial" w:eastAsia="Calibri" w:hAnsi="Arial" w:cs="Arial"/>
          <w:sz w:val="20"/>
        </w:rPr>
        <w:t xml:space="preserve">küll </w:t>
      </w:r>
      <w:r w:rsidRPr="00347FD7">
        <w:rPr>
          <w:rFonts w:ascii="Arial" w:eastAsia="Calibri" w:hAnsi="Arial" w:cs="Arial"/>
          <w:sz w:val="20"/>
        </w:rPr>
        <w:t>erinevad kutsed, kuid TTKS § 4</w:t>
      </w:r>
      <w:r w:rsidRPr="00347FD7">
        <w:rPr>
          <w:rFonts w:ascii="Arial" w:eastAsia="Calibri" w:hAnsi="Arial" w:cs="Arial"/>
          <w:sz w:val="20"/>
          <w:vertAlign w:val="superscript"/>
        </w:rPr>
        <w:t>3</w:t>
      </w:r>
      <w:r w:rsidRPr="00347FD7">
        <w:rPr>
          <w:rFonts w:ascii="Arial" w:eastAsia="Calibri" w:hAnsi="Arial" w:cs="Arial"/>
          <w:sz w:val="20"/>
        </w:rPr>
        <w:t xml:space="preserve"> tervikuna reguleerib mistahes tervishoiuteenuste osutamisel osalemist, sh ka </w:t>
      </w:r>
      <w:proofErr w:type="spellStart"/>
      <w:r w:rsidRPr="00347FD7">
        <w:rPr>
          <w:rFonts w:ascii="Arial" w:eastAsia="Calibri" w:hAnsi="Arial" w:cs="Arial"/>
          <w:sz w:val="20"/>
        </w:rPr>
        <w:t>ortodontiliste</w:t>
      </w:r>
      <w:proofErr w:type="spellEnd"/>
      <w:r w:rsidRPr="00347FD7">
        <w:rPr>
          <w:rFonts w:ascii="Arial" w:eastAsia="Calibri" w:hAnsi="Arial" w:cs="Arial"/>
          <w:sz w:val="20"/>
        </w:rPr>
        <w:t xml:space="preserve"> hambaraviteenuste osutamisel osalemist. TTKS § 4</w:t>
      </w:r>
      <w:r w:rsidRPr="00347FD7">
        <w:rPr>
          <w:rFonts w:ascii="Arial" w:eastAsia="Calibri" w:hAnsi="Arial" w:cs="Arial"/>
          <w:sz w:val="20"/>
          <w:vertAlign w:val="superscript"/>
        </w:rPr>
        <w:t>3</w:t>
      </w:r>
      <w:r w:rsidRPr="00347FD7">
        <w:rPr>
          <w:rFonts w:ascii="Arial" w:eastAsia="Calibri" w:hAnsi="Arial" w:cs="Arial"/>
          <w:sz w:val="20"/>
        </w:rPr>
        <w:t xml:space="preserve"> lg 1 ja lg 5, samuti TTKS § 20 lg 2 ja määrus nr 110 reguleerib ka hambaravi – kasutatud on mõistet </w:t>
      </w:r>
      <w:r>
        <w:rPr>
          <w:rFonts w:ascii="Arial" w:eastAsia="Calibri" w:hAnsi="Arial" w:cs="Arial"/>
          <w:sz w:val="20"/>
        </w:rPr>
        <w:t>„</w:t>
      </w:r>
      <w:r w:rsidRPr="00347FD7">
        <w:rPr>
          <w:rFonts w:ascii="Arial" w:eastAsia="Calibri" w:hAnsi="Arial" w:cs="Arial"/>
          <w:sz w:val="20"/>
        </w:rPr>
        <w:t>eriarstiabi</w:t>
      </w:r>
      <w:r>
        <w:rPr>
          <w:rFonts w:ascii="Arial" w:eastAsia="Calibri" w:hAnsi="Arial" w:cs="Arial"/>
          <w:sz w:val="20"/>
        </w:rPr>
        <w:t>“</w:t>
      </w:r>
      <w:r w:rsidRPr="00347FD7">
        <w:rPr>
          <w:rFonts w:ascii="Arial" w:eastAsia="Calibri" w:hAnsi="Arial" w:cs="Arial"/>
          <w:sz w:val="20"/>
        </w:rPr>
        <w:t xml:space="preserve">, pole kasutusel eraldi mõistet </w:t>
      </w:r>
      <w:r>
        <w:rPr>
          <w:rFonts w:ascii="Arial" w:eastAsia="Calibri" w:hAnsi="Arial" w:cs="Arial"/>
          <w:sz w:val="20"/>
        </w:rPr>
        <w:t>„</w:t>
      </w:r>
      <w:r w:rsidRPr="00347FD7">
        <w:rPr>
          <w:rFonts w:ascii="Arial" w:eastAsia="Calibri" w:hAnsi="Arial" w:cs="Arial"/>
          <w:sz w:val="20"/>
        </w:rPr>
        <w:t>erihambaarstiabi</w:t>
      </w:r>
      <w:r>
        <w:rPr>
          <w:rFonts w:ascii="Arial" w:eastAsia="Calibri" w:hAnsi="Arial" w:cs="Arial"/>
          <w:sz w:val="20"/>
        </w:rPr>
        <w:t>“</w:t>
      </w:r>
      <w:r w:rsidRPr="00347FD7">
        <w:rPr>
          <w:rFonts w:ascii="Arial" w:eastAsia="Calibri" w:hAnsi="Arial" w:cs="Arial"/>
          <w:sz w:val="20"/>
        </w:rPr>
        <w:t xml:space="preserve">. Vastasel juhul võiks asuda seisukohale, et mitte ükski TTKS-i säte, </w:t>
      </w:r>
      <w:r>
        <w:rPr>
          <w:rFonts w:ascii="Arial" w:eastAsia="Calibri" w:hAnsi="Arial" w:cs="Arial"/>
          <w:sz w:val="20"/>
        </w:rPr>
        <w:t xml:space="preserve">kus räägitakse eriarstiabist ja </w:t>
      </w:r>
      <w:r w:rsidRPr="00347FD7">
        <w:rPr>
          <w:rFonts w:ascii="Arial" w:eastAsia="Calibri" w:hAnsi="Arial" w:cs="Arial"/>
          <w:sz w:val="20"/>
        </w:rPr>
        <w:t>kus ei ole eraldi nimetatud hambaarsti või hambaravi, ei reguleeri hambaravi osutamist. Asjaolu, et TTKS §-i 4</w:t>
      </w:r>
      <w:r w:rsidRPr="00347FD7">
        <w:rPr>
          <w:rFonts w:ascii="Arial" w:eastAsia="Calibri" w:hAnsi="Arial" w:cs="Arial"/>
          <w:sz w:val="20"/>
          <w:vertAlign w:val="superscript"/>
        </w:rPr>
        <w:t>3</w:t>
      </w:r>
      <w:r w:rsidRPr="00347FD7">
        <w:rPr>
          <w:rFonts w:ascii="Arial" w:eastAsia="Calibri" w:hAnsi="Arial" w:cs="Arial"/>
          <w:sz w:val="20"/>
        </w:rPr>
        <w:t xml:space="preserve"> erinevates sätetes kasutatud mõiste „arst“ hõlmab ka hambaarsti ja hambaarstiõppe üliõpilast, kinnitab TTKS § 4</w:t>
      </w:r>
      <w:r w:rsidRPr="00347FD7">
        <w:rPr>
          <w:rFonts w:ascii="Arial" w:eastAsia="Calibri" w:hAnsi="Arial" w:cs="Arial"/>
          <w:sz w:val="20"/>
          <w:vertAlign w:val="superscript"/>
        </w:rPr>
        <w:t>3</w:t>
      </w:r>
      <w:r w:rsidRPr="00347FD7">
        <w:rPr>
          <w:rFonts w:ascii="Arial" w:eastAsia="Calibri" w:hAnsi="Arial" w:cs="Arial"/>
          <w:sz w:val="20"/>
        </w:rPr>
        <w:t xml:space="preserve"> lg 5 (mille alusel on ministri määrusega täpsustatud lõigetes 1-4 sätestatud regulatsiooni ka hambaravi teenuse osutamisel osalemise osas).</w:t>
      </w:r>
      <w:r w:rsidR="00042343">
        <w:rPr>
          <w:rFonts w:ascii="Arial" w:eastAsia="Calibri" w:hAnsi="Arial" w:cs="Arial"/>
          <w:sz w:val="20"/>
        </w:rPr>
        <w:t xml:space="preserve"> </w:t>
      </w:r>
      <w:r w:rsidRPr="00347FD7">
        <w:rPr>
          <w:rFonts w:ascii="Arial" w:eastAsia="Calibri" w:hAnsi="Arial" w:cs="Arial"/>
          <w:sz w:val="20"/>
        </w:rPr>
        <w:t xml:space="preserve">Leiame, et see säte on ka hambaarstide osas kohaldatav ning võimaldab </w:t>
      </w:r>
      <w:proofErr w:type="spellStart"/>
      <w:r w:rsidRPr="00347FD7">
        <w:rPr>
          <w:rFonts w:ascii="Arial" w:eastAsia="Calibri" w:hAnsi="Arial" w:cs="Arial"/>
          <w:sz w:val="20"/>
        </w:rPr>
        <w:t>ortodontilisi</w:t>
      </w:r>
      <w:proofErr w:type="spellEnd"/>
      <w:r w:rsidRPr="00347FD7">
        <w:rPr>
          <w:rFonts w:ascii="Arial" w:eastAsia="Calibri" w:hAnsi="Arial" w:cs="Arial"/>
          <w:sz w:val="20"/>
        </w:rPr>
        <w:t xml:space="preserve"> teenuseid täiendõppe alusel osutada sarnastel alustel nagu toimub näiteks üldarsti kaasamine erakorralise meditsiini teenuste osutamisse.</w:t>
      </w:r>
      <w:r w:rsidRPr="00473053">
        <w:rPr>
          <w:rFonts w:ascii="Arial" w:hAnsi="Arial" w:cs="Arial"/>
          <w:sz w:val="20"/>
          <w:szCs w:val="20"/>
          <w14:ligatures w14:val="standardContextual"/>
        </w:rPr>
        <w:t xml:space="preserve"> Puudub igasugune mõistlik põhjendus, miks peaks regulatsioon võimaldama eriala residentuuri mitteläbinud arsti osalemist mistahes eriarstiabi tervishoiuteenuse osutamisel</w:t>
      </w:r>
      <w:r>
        <w:rPr>
          <w:rFonts w:ascii="Arial" w:hAnsi="Arial" w:cs="Arial"/>
          <w:sz w:val="20"/>
          <w:szCs w:val="20"/>
          <w14:ligatures w14:val="standardContextual"/>
        </w:rPr>
        <w:t xml:space="preserve"> </w:t>
      </w:r>
      <w:r w:rsidRPr="00473053">
        <w:rPr>
          <w:rFonts w:ascii="Arial" w:hAnsi="Arial" w:cs="Arial"/>
          <w:sz w:val="20"/>
          <w:szCs w:val="20"/>
          <w14:ligatures w14:val="standardContextual"/>
        </w:rPr>
        <w:t xml:space="preserve">vastavalt tema pädevusele ja kogemusele, kuid mitte hambaravi valdkonnas. </w:t>
      </w:r>
    </w:p>
    <w:p w14:paraId="7BB803FE" w14:textId="77777777" w:rsidR="009A734F" w:rsidRPr="0016542A" w:rsidRDefault="009A734F" w:rsidP="009A734F">
      <w:pPr>
        <w:pStyle w:val="ListParagraph"/>
        <w:numPr>
          <w:ilvl w:val="0"/>
          <w:numId w:val="7"/>
        </w:numPr>
        <w:spacing w:line="276" w:lineRule="auto"/>
        <w:jc w:val="both"/>
        <w:rPr>
          <w:rFonts w:ascii="Arial" w:hAnsi="Arial" w:cs="Arial"/>
          <w:b/>
          <w:bCs/>
          <w:sz w:val="20"/>
          <w:szCs w:val="20"/>
          <w14:ligatures w14:val="standardContextual"/>
        </w:rPr>
      </w:pPr>
      <w:r w:rsidRPr="0016542A">
        <w:rPr>
          <w:rFonts w:ascii="Arial" w:hAnsi="Arial" w:cs="Arial"/>
          <w:b/>
          <w:bCs/>
          <w:sz w:val="20"/>
          <w:szCs w:val="20"/>
          <w14:ligatures w14:val="standardContextual"/>
        </w:rPr>
        <w:lastRenderedPageBreak/>
        <w:t>Isegi juhul, kui asuda seisukohale, et TTKS § 4</w:t>
      </w:r>
      <w:r w:rsidRPr="0016542A">
        <w:rPr>
          <w:rFonts w:ascii="Arial" w:hAnsi="Arial" w:cs="Arial"/>
          <w:b/>
          <w:bCs/>
          <w:sz w:val="20"/>
          <w:szCs w:val="20"/>
          <w:vertAlign w:val="superscript"/>
          <w14:ligatures w14:val="standardContextual"/>
        </w:rPr>
        <w:t>3</w:t>
      </w:r>
      <w:r w:rsidRPr="0016542A">
        <w:rPr>
          <w:rFonts w:ascii="Arial" w:hAnsi="Arial" w:cs="Arial"/>
          <w:b/>
          <w:bCs/>
          <w:sz w:val="20"/>
          <w:szCs w:val="20"/>
          <w14:ligatures w14:val="standardContextual"/>
        </w:rPr>
        <w:t xml:space="preserve"> lg 2 lause 2 ei reguleeri hambaarsti osalemist erihambaravi teenuste osutamisel, siis millisel põhjusel ei ole säte Terviseameti arvates kohaldatav hambaarstile analoogia korras?</w:t>
      </w:r>
    </w:p>
    <w:p w14:paraId="5D7E31BD" w14:textId="4066D213" w:rsidR="009A734F" w:rsidRPr="00622E10" w:rsidRDefault="009A734F" w:rsidP="009A734F">
      <w:pPr>
        <w:spacing w:line="276" w:lineRule="auto"/>
        <w:ind w:left="708"/>
        <w:jc w:val="both"/>
        <w:rPr>
          <w:rFonts w:ascii="Arial" w:hAnsi="Arial" w:cs="Arial"/>
          <w:sz w:val="20"/>
          <w:szCs w:val="20"/>
          <w14:ligatures w14:val="standardContextual"/>
        </w:rPr>
      </w:pPr>
      <w:r>
        <w:rPr>
          <w:rFonts w:ascii="Arial" w:hAnsi="Arial" w:cs="Arial"/>
          <w:sz w:val="20"/>
          <w:szCs w:val="20"/>
          <w14:ligatures w14:val="standardContextual"/>
        </w:rPr>
        <w:t xml:space="preserve">Märkus: </w:t>
      </w:r>
      <w:r w:rsidR="00042343">
        <w:rPr>
          <w:rFonts w:ascii="Arial" w:hAnsi="Arial" w:cs="Arial"/>
          <w:sz w:val="20"/>
          <w:szCs w:val="20"/>
          <w14:ligatures w14:val="standardContextual"/>
        </w:rPr>
        <w:t>k</w:t>
      </w:r>
      <w:r>
        <w:rPr>
          <w:rFonts w:ascii="Arial" w:hAnsi="Arial" w:cs="Arial"/>
          <w:sz w:val="20"/>
          <w:szCs w:val="20"/>
          <w14:ligatures w14:val="standardContextual"/>
        </w:rPr>
        <w:t xml:space="preserve">äesoleval hetkel ei ole näiteks ka õigusakti, mis reguleeriks hambaravi teenuse osutamist vastavas erisõidukis (näiteks hambaravi buss). Tervisehoiuteenuse osutamist hoones asuvates ruumides reguleerib hetkel </w:t>
      </w:r>
      <w:r w:rsidRPr="00622E10">
        <w:rPr>
          <w:rFonts w:ascii="Arial" w:hAnsi="Arial" w:cs="Arial"/>
          <w:sz w:val="20"/>
          <w:szCs w:val="20"/>
          <w14:ligatures w14:val="standardContextual"/>
        </w:rPr>
        <w:t>sotsiaalministri 25.01.2002 määrus nr 25 „Nõuded haiglavälise eriarstiabi osutamiseks vajalikele ruumidele, sisseseadele ja aparatuurile“ (edaspidi määrus nr 25)</w:t>
      </w:r>
      <w:r>
        <w:rPr>
          <w:rFonts w:ascii="Arial" w:hAnsi="Arial" w:cs="Arial"/>
          <w:sz w:val="20"/>
          <w:szCs w:val="20"/>
          <w14:ligatures w14:val="standardContextual"/>
        </w:rPr>
        <w:t xml:space="preserve">. Ometi on Terviseamet </w:t>
      </w:r>
      <w:proofErr w:type="spellStart"/>
      <w:r>
        <w:rPr>
          <w:rFonts w:ascii="Arial" w:hAnsi="Arial" w:cs="Arial"/>
          <w:sz w:val="20"/>
          <w:szCs w:val="20"/>
          <w14:ligatures w14:val="standardContextual"/>
        </w:rPr>
        <w:t>EHL-i</w:t>
      </w:r>
      <w:proofErr w:type="spellEnd"/>
      <w:r>
        <w:rPr>
          <w:rFonts w:ascii="Arial" w:hAnsi="Arial" w:cs="Arial"/>
          <w:sz w:val="20"/>
          <w:szCs w:val="20"/>
          <w14:ligatures w14:val="standardContextual"/>
        </w:rPr>
        <w:t xml:space="preserve"> andmetel määruse nr 25 nõudeid kohaldanud analoogia alusel ja jätnud tegevusloa välja andmata, kui sõidukis ei ole täidetud hoones asuvate ruumide osas kehtestatud nõuded.  Millistel põhjustel ei ole sarnaselt TTKS § 4</w:t>
      </w:r>
      <w:r>
        <w:rPr>
          <w:rFonts w:ascii="Arial" w:hAnsi="Arial" w:cs="Arial"/>
          <w:sz w:val="20"/>
          <w:szCs w:val="20"/>
          <w:vertAlign w:val="superscript"/>
          <w14:ligatures w14:val="standardContextual"/>
        </w:rPr>
        <w:t>3</w:t>
      </w:r>
      <w:r>
        <w:rPr>
          <w:rFonts w:ascii="Arial" w:hAnsi="Arial" w:cs="Arial"/>
          <w:sz w:val="20"/>
          <w:szCs w:val="20"/>
          <w14:ligatures w14:val="standardContextual"/>
        </w:rPr>
        <w:t xml:space="preserve"> analoogia alusel kohaldatav hambaarstide suhtes? </w:t>
      </w:r>
    </w:p>
    <w:p w14:paraId="4D471346" w14:textId="77777777" w:rsidR="009A734F" w:rsidRPr="00347FD7" w:rsidRDefault="009A734F" w:rsidP="009A734F">
      <w:pPr>
        <w:pStyle w:val="ListParagraph"/>
        <w:spacing w:after="0" w:line="276" w:lineRule="auto"/>
        <w:jc w:val="both"/>
        <w:rPr>
          <w:rFonts w:ascii="Arial" w:eastAsia="Calibri" w:hAnsi="Arial" w:cs="Arial"/>
          <w:sz w:val="20"/>
        </w:rPr>
      </w:pPr>
    </w:p>
    <w:p w14:paraId="3ABB48AF" w14:textId="77777777" w:rsidR="009A734F" w:rsidRPr="007B28C5" w:rsidRDefault="009A734F" w:rsidP="009A734F">
      <w:pPr>
        <w:spacing w:after="0" w:line="276" w:lineRule="auto"/>
        <w:jc w:val="both"/>
        <w:rPr>
          <w:rFonts w:ascii="Arial" w:hAnsi="Arial" w:cs="Arial"/>
          <w:sz w:val="20"/>
          <w:szCs w:val="20"/>
        </w:rPr>
      </w:pPr>
      <w:r>
        <w:rPr>
          <w:rFonts w:ascii="Arial" w:hAnsi="Arial" w:cs="Arial"/>
          <w:sz w:val="20"/>
          <w:szCs w:val="20"/>
        </w:rPr>
        <w:t>Palume vastuse koostamisel arvestada, et Terviseameti vastus edastatakse tõenäoliselt ka Euroopa Komisjonile.</w:t>
      </w:r>
    </w:p>
    <w:p w14:paraId="3DE03CC3" w14:textId="77777777" w:rsidR="009A734F" w:rsidRPr="007B28C5" w:rsidRDefault="009A734F" w:rsidP="009A734F">
      <w:pPr>
        <w:spacing w:after="0" w:line="276" w:lineRule="auto"/>
        <w:jc w:val="both"/>
        <w:rPr>
          <w:rFonts w:ascii="Arial" w:hAnsi="Arial" w:cs="Arial"/>
          <w:sz w:val="20"/>
          <w:szCs w:val="20"/>
        </w:rPr>
      </w:pPr>
    </w:p>
    <w:p w14:paraId="5E87E0DA" w14:textId="77777777" w:rsidR="009A734F" w:rsidRDefault="009A734F" w:rsidP="009A734F">
      <w:pPr>
        <w:spacing w:line="276" w:lineRule="auto"/>
        <w:jc w:val="both"/>
        <w:rPr>
          <w:rFonts w:ascii="Arial" w:eastAsia="Calibri" w:hAnsi="Arial" w:cs="Arial"/>
          <w:sz w:val="20"/>
          <w:szCs w:val="20"/>
        </w:rPr>
      </w:pPr>
    </w:p>
    <w:p w14:paraId="1DC9E722" w14:textId="77777777" w:rsidR="009A734F" w:rsidRDefault="009A734F" w:rsidP="009A734F">
      <w:pPr>
        <w:spacing w:after="0" w:line="276" w:lineRule="auto"/>
        <w:jc w:val="both"/>
        <w:rPr>
          <w:rFonts w:ascii="Arial" w:eastAsia="Calibri" w:hAnsi="Arial" w:cs="Arial"/>
          <w:sz w:val="20"/>
          <w:szCs w:val="20"/>
        </w:rPr>
      </w:pPr>
      <w:r w:rsidRPr="007B28C5">
        <w:rPr>
          <w:rFonts w:ascii="Arial" w:eastAsia="Calibri" w:hAnsi="Arial" w:cs="Arial"/>
          <w:sz w:val="20"/>
          <w:szCs w:val="20"/>
        </w:rPr>
        <w:t xml:space="preserve">Lugupidamisega </w:t>
      </w:r>
    </w:p>
    <w:p w14:paraId="65B4D851" w14:textId="77777777" w:rsidR="009A734F" w:rsidRDefault="009A734F" w:rsidP="009A734F">
      <w:pPr>
        <w:spacing w:after="0" w:line="276" w:lineRule="auto"/>
        <w:jc w:val="both"/>
        <w:rPr>
          <w:rFonts w:ascii="Arial" w:eastAsia="Calibri" w:hAnsi="Arial" w:cs="Arial"/>
          <w:sz w:val="20"/>
          <w:szCs w:val="20"/>
        </w:rPr>
      </w:pPr>
    </w:p>
    <w:p w14:paraId="65DB9AE0" w14:textId="77777777" w:rsidR="009A734F" w:rsidRPr="00456E96" w:rsidRDefault="009A734F" w:rsidP="009A734F">
      <w:pPr>
        <w:spacing w:after="0" w:line="276" w:lineRule="auto"/>
        <w:jc w:val="both"/>
        <w:rPr>
          <w:rFonts w:ascii="Arial" w:eastAsia="Calibri" w:hAnsi="Arial" w:cs="Arial"/>
          <w:i/>
          <w:iCs/>
          <w:sz w:val="20"/>
          <w:szCs w:val="20"/>
          <w:u w:val="single"/>
        </w:rPr>
      </w:pPr>
      <w:r w:rsidRPr="00456E96">
        <w:rPr>
          <w:rFonts w:ascii="Arial" w:eastAsia="Calibri" w:hAnsi="Arial" w:cs="Arial"/>
          <w:i/>
          <w:iCs/>
          <w:sz w:val="20"/>
          <w:szCs w:val="20"/>
          <w:u w:val="single"/>
        </w:rPr>
        <w:t>/</w:t>
      </w:r>
      <w:proofErr w:type="spellStart"/>
      <w:r w:rsidRPr="00456E96">
        <w:rPr>
          <w:rFonts w:ascii="Arial" w:eastAsia="Calibri" w:hAnsi="Arial" w:cs="Arial"/>
          <w:i/>
          <w:iCs/>
          <w:sz w:val="20"/>
          <w:szCs w:val="20"/>
          <w:u w:val="single"/>
        </w:rPr>
        <w:t>Allkirjaststud</w:t>
      </w:r>
      <w:proofErr w:type="spellEnd"/>
      <w:r w:rsidRPr="00456E96">
        <w:rPr>
          <w:rFonts w:ascii="Arial" w:eastAsia="Calibri" w:hAnsi="Arial" w:cs="Arial"/>
          <w:i/>
          <w:iCs/>
          <w:sz w:val="20"/>
          <w:szCs w:val="20"/>
          <w:u w:val="single"/>
        </w:rPr>
        <w:t xml:space="preserve"> digitaalselt/</w:t>
      </w:r>
    </w:p>
    <w:p w14:paraId="34D18274" w14:textId="77777777" w:rsidR="009A734F" w:rsidRDefault="009A734F" w:rsidP="009A734F">
      <w:pPr>
        <w:spacing w:after="0" w:line="276" w:lineRule="auto"/>
        <w:jc w:val="both"/>
        <w:rPr>
          <w:rFonts w:ascii="Arial" w:eastAsia="Calibri" w:hAnsi="Arial" w:cs="Arial"/>
          <w:sz w:val="20"/>
          <w:szCs w:val="20"/>
        </w:rPr>
      </w:pPr>
      <w:r>
        <w:rPr>
          <w:rFonts w:ascii="Arial" w:eastAsia="Calibri" w:hAnsi="Arial" w:cs="Arial"/>
          <w:sz w:val="20"/>
          <w:szCs w:val="20"/>
        </w:rPr>
        <w:t xml:space="preserve">Katrin </w:t>
      </w:r>
      <w:proofErr w:type="spellStart"/>
      <w:r>
        <w:rPr>
          <w:rFonts w:ascii="Arial" w:eastAsia="Calibri" w:hAnsi="Arial" w:cs="Arial"/>
          <w:sz w:val="20"/>
          <w:szCs w:val="20"/>
        </w:rPr>
        <w:t>Metstak</w:t>
      </w:r>
      <w:proofErr w:type="spellEnd"/>
    </w:p>
    <w:p w14:paraId="64867860" w14:textId="77777777" w:rsidR="009A734F" w:rsidRDefault="009A734F" w:rsidP="009A734F">
      <w:pPr>
        <w:spacing w:after="0" w:line="276" w:lineRule="auto"/>
        <w:jc w:val="both"/>
        <w:rPr>
          <w:rFonts w:ascii="Arial" w:eastAsia="Calibri" w:hAnsi="Arial" w:cs="Arial"/>
          <w:sz w:val="20"/>
          <w:szCs w:val="20"/>
        </w:rPr>
      </w:pPr>
      <w:r>
        <w:rPr>
          <w:rFonts w:ascii="Arial" w:eastAsia="Calibri" w:hAnsi="Arial" w:cs="Arial"/>
          <w:sz w:val="20"/>
          <w:szCs w:val="20"/>
        </w:rPr>
        <w:t>President</w:t>
      </w:r>
    </w:p>
    <w:p w14:paraId="35BD234B" w14:textId="087453FB" w:rsidR="00857C9E" w:rsidRPr="009A734F" w:rsidRDefault="009A734F" w:rsidP="009A734F">
      <w:pPr>
        <w:spacing w:after="0" w:line="276" w:lineRule="auto"/>
        <w:jc w:val="both"/>
        <w:rPr>
          <w:rFonts w:ascii="Arial" w:eastAsia="Calibri" w:hAnsi="Arial" w:cs="Arial"/>
          <w:sz w:val="20"/>
          <w:szCs w:val="20"/>
        </w:rPr>
      </w:pPr>
      <w:r w:rsidRPr="007B28C5">
        <w:rPr>
          <w:rFonts w:ascii="Arial" w:eastAsia="Calibri" w:hAnsi="Arial" w:cs="Arial"/>
          <w:sz w:val="20"/>
          <w:szCs w:val="20"/>
        </w:rPr>
        <w:t>Eesti Hambaarstide Liit</w:t>
      </w:r>
    </w:p>
    <w:sectPr w:rsidR="00857C9E" w:rsidRPr="009A734F" w:rsidSect="004F7B7D">
      <w:headerReference w:type="even" r:id="rId16"/>
      <w:headerReference w:type="default" r:id="rId17"/>
      <w:footerReference w:type="default" r:id="rId18"/>
      <w:headerReference w:type="first" r:id="rId19"/>
      <w:pgSz w:w="11900" w:h="16840"/>
      <w:pgMar w:top="2268" w:right="1800" w:bottom="2268" w:left="1800"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09DAB" w14:textId="77777777" w:rsidR="000A3B2C" w:rsidRDefault="000A3B2C" w:rsidP="006F323F">
      <w:r>
        <w:separator/>
      </w:r>
    </w:p>
  </w:endnote>
  <w:endnote w:type="continuationSeparator" w:id="0">
    <w:p w14:paraId="0DA84E6F" w14:textId="77777777" w:rsidR="000A3B2C" w:rsidRDefault="000A3B2C" w:rsidP="006F3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84064" w14:textId="643C2394" w:rsidR="00A446AD" w:rsidRPr="004F7B7D" w:rsidRDefault="00A446AD" w:rsidP="00CC5C56">
    <w:pPr>
      <w:pStyle w:val="Footer"/>
      <w:spacing w:after="0" w:line="240" w:lineRule="auto"/>
      <w:rPr>
        <w:rFonts w:asciiTheme="majorHAnsi" w:hAnsiTheme="majorHAnsi"/>
        <w:color w:val="808080" w:themeColor="background1" w:themeShade="80"/>
      </w:rPr>
    </w:pPr>
    <w:r>
      <w:rPr>
        <w:rFonts w:asciiTheme="majorHAnsi" w:hAnsiTheme="majorHAnsi"/>
        <w:color w:val="808080" w:themeColor="background1" w:themeShade="80"/>
      </w:rPr>
      <w:t>MTÜ Eesti Hambaarstide Liit</w:t>
    </w:r>
    <w:r>
      <w:rPr>
        <w:rFonts w:asciiTheme="majorHAnsi" w:hAnsiTheme="majorHAnsi"/>
        <w:color w:val="808080" w:themeColor="background1" w:themeShade="80"/>
      </w:rPr>
      <w:tab/>
    </w:r>
    <w:r>
      <w:rPr>
        <w:rFonts w:asciiTheme="majorHAnsi" w:hAnsiTheme="majorHAnsi"/>
        <w:color w:val="808080" w:themeColor="background1" w:themeShade="80"/>
      </w:rPr>
      <w:tab/>
      <w:t>Eesti Hambaarstide Liit</w:t>
    </w:r>
  </w:p>
  <w:p w14:paraId="11A6D7B5" w14:textId="0CB73400" w:rsidR="00A446AD" w:rsidRPr="004F7B7D" w:rsidRDefault="00A446AD" w:rsidP="00CC5C56">
    <w:pPr>
      <w:pStyle w:val="Footer"/>
      <w:spacing w:after="0" w:line="240" w:lineRule="auto"/>
      <w:rPr>
        <w:rFonts w:asciiTheme="majorHAnsi" w:hAnsiTheme="majorHAnsi"/>
        <w:color w:val="808080" w:themeColor="background1" w:themeShade="80"/>
      </w:rPr>
    </w:pPr>
    <w:r w:rsidRPr="004F7B7D">
      <w:rPr>
        <w:rFonts w:asciiTheme="majorHAnsi" w:hAnsiTheme="majorHAnsi"/>
        <w:color w:val="808080" w:themeColor="background1" w:themeShade="80"/>
      </w:rPr>
      <w:t>Narva mnt 5-76, Tallinn 10117</w:t>
    </w:r>
    <w:r>
      <w:rPr>
        <w:rFonts w:asciiTheme="majorHAnsi" w:hAnsiTheme="majorHAnsi"/>
        <w:color w:val="808080" w:themeColor="background1" w:themeShade="80"/>
      </w:rPr>
      <w:tab/>
    </w:r>
    <w:r>
      <w:rPr>
        <w:rFonts w:asciiTheme="majorHAnsi" w:hAnsiTheme="majorHAnsi"/>
        <w:color w:val="808080" w:themeColor="background1" w:themeShade="80"/>
      </w:rPr>
      <w:tab/>
      <w:t>reg. nr. 80253809</w:t>
    </w:r>
  </w:p>
  <w:p w14:paraId="13D8C037" w14:textId="1DD0C55E" w:rsidR="00A446AD" w:rsidRDefault="00A446AD" w:rsidP="00CC5C56">
    <w:pPr>
      <w:pStyle w:val="Footer"/>
      <w:spacing w:after="0" w:line="240" w:lineRule="auto"/>
      <w:rPr>
        <w:rFonts w:asciiTheme="majorHAnsi" w:hAnsiTheme="majorHAnsi"/>
        <w:color w:val="808080" w:themeColor="background1" w:themeShade="80"/>
      </w:rPr>
    </w:pPr>
    <w:r w:rsidRPr="004F7B7D">
      <w:rPr>
        <w:rFonts w:asciiTheme="majorHAnsi" w:hAnsiTheme="majorHAnsi"/>
        <w:color w:val="808080" w:themeColor="background1" w:themeShade="80"/>
      </w:rPr>
      <w:t xml:space="preserve">Tel. 645 9001 | </w:t>
    </w:r>
    <w:hyperlink r:id="rId1" w:history="1">
      <w:r w:rsidRPr="006259F3">
        <w:rPr>
          <w:rStyle w:val="Hyperlink"/>
          <w:rFonts w:asciiTheme="majorHAnsi" w:hAnsiTheme="majorHAnsi"/>
          <w:color w:val="000080" w:themeColor="hyperlink" w:themeShade="80"/>
        </w:rPr>
        <w:t>tallinn@ehl.ee</w:t>
      </w:r>
    </w:hyperlink>
    <w:r>
      <w:rPr>
        <w:rFonts w:asciiTheme="majorHAnsi" w:hAnsiTheme="majorHAnsi"/>
        <w:color w:val="808080" w:themeColor="background1" w:themeShade="80"/>
      </w:rPr>
      <w:tab/>
    </w:r>
    <w:r>
      <w:rPr>
        <w:rFonts w:asciiTheme="majorHAnsi" w:hAnsiTheme="majorHAnsi"/>
        <w:color w:val="808080" w:themeColor="background1" w:themeShade="80"/>
      </w:rPr>
      <w:tab/>
      <w:t>SEB EE141010152007519005</w:t>
    </w:r>
  </w:p>
  <w:p w14:paraId="6D307A9E" w14:textId="49579D73" w:rsidR="00A446AD" w:rsidRPr="004F7B7D" w:rsidRDefault="00000000" w:rsidP="00CC5C56">
    <w:pPr>
      <w:pStyle w:val="Footer"/>
      <w:spacing w:after="0" w:line="240" w:lineRule="auto"/>
      <w:rPr>
        <w:rFonts w:asciiTheme="majorHAnsi" w:hAnsiTheme="majorHAnsi"/>
        <w:color w:val="808080" w:themeColor="background1" w:themeShade="80"/>
      </w:rPr>
    </w:pPr>
    <w:hyperlink r:id="rId2" w:history="1">
      <w:r w:rsidR="00A446AD" w:rsidRPr="006259F3">
        <w:rPr>
          <w:rStyle w:val="Hyperlink"/>
          <w:rFonts w:asciiTheme="majorHAnsi" w:hAnsiTheme="majorHAnsi"/>
          <w:color w:val="000080" w:themeColor="hyperlink" w:themeShade="80"/>
        </w:rPr>
        <w:t>www.ehl.ee</w:t>
      </w:r>
    </w:hyperlink>
    <w:r w:rsidR="00A446AD">
      <w:rPr>
        <w:rFonts w:asciiTheme="majorHAnsi" w:hAnsiTheme="majorHAnsi"/>
        <w:color w:val="808080" w:themeColor="background1" w:themeShade="80"/>
      </w:rPr>
      <w:t xml:space="preserve"> </w:t>
    </w:r>
    <w:r w:rsidR="00A446AD">
      <w:rPr>
        <w:rFonts w:asciiTheme="majorHAnsi" w:hAnsiTheme="majorHAnsi"/>
        <w:color w:val="808080" w:themeColor="background1" w:themeShade="80"/>
      </w:rPr>
      <w:tab/>
    </w:r>
    <w:r w:rsidR="00A446AD">
      <w:rPr>
        <w:rFonts w:asciiTheme="majorHAnsi" w:hAnsiTheme="majorHAnsi"/>
        <w:color w:val="808080" w:themeColor="background1" w:themeShade="80"/>
      </w:rPr>
      <w:tab/>
      <w:t>Swedbank EE302200221001164481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A78D2" w14:textId="77777777" w:rsidR="000A3B2C" w:rsidRDefault="000A3B2C" w:rsidP="006F323F">
      <w:r>
        <w:separator/>
      </w:r>
    </w:p>
  </w:footnote>
  <w:footnote w:type="continuationSeparator" w:id="0">
    <w:p w14:paraId="5C6A66B0" w14:textId="77777777" w:rsidR="000A3B2C" w:rsidRDefault="000A3B2C" w:rsidP="006F3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ABBAE" w14:textId="76EA96F3" w:rsidR="00A446AD" w:rsidRDefault="000A3B2C">
    <w:pPr>
      <w:pStyle w:val="Header"/>
    </w:pPr>
    <w:r>
      <w:rPr>
        <w:noProof/>
      </w:rPr>
      <w:pict w14:anchorId="20ADDA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414.95pt;height:409.05pt;z-index:-251653120;mso-wrap-edited:f;mso-width-percent:0;mso-height-percent:0;mso-position-horizontal:center;mso-position-horizontal-relative:margin;mso-position-vertical:center;mso-position-vertical-relative:margin;mso-width-percent:0;mso-height-percent:0" wrapcoords="-39 0 -39 21520 21600 21520 21600 0 -39 0" o:allowincell="f">
          <v:imagedata r:id="rId1" o:title="ehl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64EEA" w14:textId="00223E69" w:rsidR="00A446AD" w:rsidRDefault="000A3B2C" w:rsidP="004F7B7D">
    <w:pPr>
      <w:pStyle w:val="Header"/>
      <w:ind w:left="-993"/>
    </w:pPr>
    <w:r>
      <w:rPr>
        <w:noProof/>
      </w:rPr>
      <w:pict w14:anchorId="3CC0F4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left:0;text-align:left;margin-left:0;margin-top:0;width:414.95pt;height:409.05pt;z-index:-251650048;mso-wrap-edited:f;mso-width-percent:0;mso-height-percent:0;mso-position-horizontal:center;mso-position-horizontal-relative:margin;mso-position-vertical:center;mso-position-vertical-relative:margin;mso-width-percent:0;mso-height-percent:0" wrapcoords="-39 0 -39 21520 21600 21520 21600 0 -39 0" o:allowincell="f">
          <v:imagedata r:id="rId1" o:title="ehl logo" gain="19661f" blacklevel="22938f"/>
          <w10:wrap anchorx="margin" anchory="margin"/>
        </v:shape>
      </w:pict>
    </w:r>
    <w:r w:rsidR="00A446AD">
      <w:rPr>
        <w:noProof/>
        <w:lang w:val="en-US"/>
      </w:rPr>
      <w:drawing>
        <wp:inline distT="0" distB="0" distL="0" distR="0" wp14:anchorId="50D64EB8" wp14:editId="48A67573">
          <wp:extent cx="3124200" cy="749300"/>
          <wp:effectExtent l="0" t="0" r="0" b="0"/>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2"/>
                  <a:stretch>
                    <a:fillRect/>
                  </a:stretch>
                </pic:blipFill>
                <pic:spPr>
                  <a:xfrm>
                    <a:off x="0" y="0"/>
                    <a:ext cx="3124200" cy="7493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1D424" w14:textId="237AFFE2" w:rsidR="00A446AD" w:rsidRDefault="000A3B2C">
    <w:pPr>
      <w:pStyle w:val="Header"/>
    </w:pPr>
    <w:r>
      <w:rPr>
        <w:noProof/>
      </w:rPr>
      <w:pict w14:anchorId="40B74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414.95pt;height:409.05pt;z-index:-251656192;mso-wrap-edited:f;mso-width-percent:0;mso-height-percent:0;mso-position-horizontal:center;mso-position-horizontal-relative:margin;mso-position-vertical:center;mso-position-vertical-relative:margin;mso-width-percent:0;mso-height-percent:0" wrapcoords="-39 0 -39 21520 21600 21520 21600 0 -39 0" o:allowincell="f">
          <v:imagedata r:id="rId1" o:title="ehl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17C5"/>
    <w:multiLevelType w:val="hybridMultilevel"/>
    <w:tmpl w:val="2F120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047F8"/>
    <w:multiLevelType w:val="multilevel"/>
    <w:tmpl w:val="60343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621162"/>
    <w:multiLevelType w:val="hybridMultilevel"/>
    <w:tmpl w:val="B42467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FFC18DC"/>
    <w:multiLevelType w:val="hybridMultilevel"/>
    <w:tmpl w:val="23B8A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5878F7"/>
    <w:multiLevelType w:val="hybridMultilevel"/>
    <w:tmpl w:val="ED8CA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995EC6"/>
    <w:multiLevelType w:val="hybridMultilevel"/>
    <w:tmpl w:val="0DA4BCE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AA965E8"/>
    <w:multiLevelType w:val="hybridMultilevel"/>
    <w:tmpl w:val="A36E3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5366939">
    <w:abstractNumId w:val="3"/>
  </w:num>
  <w:num w:numId="2" w16cid:durableId="235363857">
    <w:abstractNumId w:val="2"/>
  </w:num>
  <w:num w:numId="3" w16cid:durableId="1184325619">
    <w:abstractNumId w:val="4"/>
  </w:num>
  <w:num w:numId="4" w16cid:durableId="1161386930">
    <w:abstractNumId w:val="6"/>
  </w:num>
  <w:num w:numId="5" w16cid:durableId="1140343546">
    <w:abstractNumId w:val="0"/>
  </w:num>
  <w:num w:numId="6" w16cid:durableId="2013363814">
    <w:abstractNumId w:val="1"/>
  </w:num>
  <w:num w:numId="7" w16cid:durableId="1788544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23F"/>
    <w:rsid w:val="00025841"/>
    <w:rsid w:val="000375B1"/>
    <w:rsid w:val="00042343"/>
    <w:rsid w:val="00051093"/>
    <w:rsid w:val="00081278"/>
    <w:rsid w:val="000A3B2C"/>
    <w:rsid w:val="000F05CE"/>
    <w:rsid w:val="00103241"/>
    <w:rsid w:val="001169A1"/>
    <w:rsid w:val="00140D80"/>
    <w:rsid w:val="00143F02"/>
    <w:rsid w:val="0016138C"/>
    <w:rsid w:val="00170EF9"/>
    <w:rsid w:val="0017583C"/>
    <w:rsid w:val="001A7444"/>
    <w:rsid w:val="001C14C5"/>
    <w:rsid w:val="001E0014"/>
    <w:rsid w:val="001E63EE"/>
    <w:rsid w:val="0020446F"/>
    <w:rsid w:val="00264F06"/>
    <w:rsid w:val="00291B5C"/>
    <w:rsid w:val="002D1C2A"/>
    <w:rsid w:val="00306644"/>
    <w:rsid w:val="00317B16"/>
    <w:rsid w:val="00337DAF"/>
    <w:rsid w:val="00360A36"/>
    <w:rsid w:val="00361521"/>
    <w:rsid w:val="00362001"/>
    <w:rsid w:val="003C34B9"/>
    <w:rsid w:val="0043062F"/>
    <w:rsid w:val="004345FA"/>
    <w:rsid w:val="0045195A"/>
    <w:rsid w:val="00477B02"/>
    <w:rsid w:val="004821CD"/>
    <w:rsid w:val="00495897"/>
    <w:rsid w:val="004F7B7D"/>
    <w:rsid w:val="0050263E"/>
    <w:rsid w:val="00503228"/>
    <w:rsid w:val="005328FE"/>
    <w:rsid w:val="005345A1"/>
    <w:rsid w:val="00553106"/>
    <w:rsid w:val="0056791A"/>
    <w:rsid w:val="00586A65"/>
    <w:rsid w:val="005A56B2"/>
    <w:rsid w:val="005A71DB"/>
    <w:rsid w:val="005C13AA"/>
    <w:rsid w:val="005D7DBF"/>
    <w:rsid w:val="005E3FD9"/>
    <w:rsid w:val="006107BE"/>
    <w:rsid w:val="006227C7"/>
    <w:rsid w:val="00624F20"/>
    <w:rsid w:val="00627632"/>
    <w:rsid w:val="00635DD0"/>
    <w:rsid w:val="006A0B5E"/>
    <w:rsid w:val="006A6A0B"/>
    <w:rsid w:val="006C70A2"/>
    <w:rsid w:val="006F323F"/>
    <w:rsid w:val="007068AF"/>
    <w:rsid w:val="00716D9F"/>
    <w:rsid w:val="0072745B"/>
    <w:rsid w:val="00757196"/>
    <w:rsid w:val="007643B8"/>
    <w:rsid w:val="007E5F35"/>
    <w:rsid w:val="007F4B0F"/>
    <w:rsid w:val="0081628D"/>
    <w:rsid w:val="00857C9E"/>
    <w:rsid w:val="00962905"/>
    <w:rsid w:val="00970200"/>
    <w:rsid w:val="00982733"/>
    <w:rsid w:val="009A734F"/>
    <w:rsid w:val="009B0428"/>
    <w:rsid w:val="009C513D"/>
    <w:rsid w:val="009D424A"/>
    <w:rsid w:val="009E058A"/>
    <w:rsid w:val="009F204C"/>
    <w:rsid w:val="009F56FC"/>
    <w:rsid w:val="00A446AD"/>
    <w:rsid w:val="00AA7AA9"/>
    <w:rsid w:val="00AE0866"/>
    <w:rsid w:val="00B104A1"/>
    <w:rsid w:val="00B31BE6"/>
    <w:rsid w:val="00BC05CE"/>
    <w:rsid w:val="00BE10B4"/>
    <w:rsid w:val="00BE1624"/>
    <w:rsid w:val="00BF7CD8"/>
    <w:rsid w:val="00C00C62"/>
    <w:rsid w:val="00C0532D"/>
    <w:rsid w:val="00C37E08"/>
    <w:rsid w:val="00C42431"/>
    <w:rsid w:val="00C45D81"/>
    <w:rsid w:val="00C50978"/>
    <w:rsid w:val="00C85489"/>
    <w:rsid w:val="00CC5C56"/>
    <w:rsid w:val="00CD16DE"/>
    <w:rsid w:val="00CD7AEA"/>
    <w:rsid w:val="00CE018E"/>
    <w:rsid w:val="00CE64B4"/>
    <w:rsid w:val="00DA5403"/>
    <w:rsid w:val="00DA64E6"/>
    <w:rsid w:val="00DD253A"/>
    <w:rsid w:val="00DD2D61"/>
    <w:rsid w:val="00E06922"/>
    <w:rsid w:val="00E3151C"/>
    <w:rsid w:val="00E72BD8"/>
    <w:rsid w:val="00EB43E6"/>
    <w:rsid w:val="00EC5793"/>
    <w:rsid w:val="00EC5D70"/>
    <w:rsid w:val="00EE3ACE"/>
    <w:rsid w:val="00EE7A6D"/>
    <w:rsid w:val="00EF2296"/>
    <w:rsid w:val="00F54B62"/>
    <w:rsid w:val="00F643FA"/>
    <w:rsid w:val="00F65685"/>
    <w:rsid w:val="00F67470"/>
    <w:rsid w:val="00F961DF"/>
    <w:rsid w:val="00FB4BE5"/>
    <w:rsid w:val="00FD53C3"/>
    <w:rsid w:val="00FF4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E7C314"/>
  <w14:defaultImageDpi w14:val="300"/>
  <w15:docId w15:val="{C7EAFF96-D951-AC43-B1A5-2707BD6D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4B4"/>
    <w:pPr>
      <w:spacing w:after="160" w:line="259" w:lineRule="auto"/>
    </w:pPr>
    <w:rPr>
      <w:rFonts w:eastAsiaTheme="minorHAnsi"/>
      <w:sz w:val="22"/>
      <w:szCs w:val="22"/>
      <w:lang w:val="et-EE"/>
    </w:rPr>
  </w:style>
  <w:style w:type="paragraph" w:styleId="Heading1">
    <w:name w:val="heading 1"/>
    <w:basedOn w:val="Normal"/>
    <w:next w:val="Normal"/>
    <w:link w:val="Heading1Char"/>
    <w:uiPriority w:val="9"/>
    <w:qFormat/>
    <w:rsid w:val="0045195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23F"/>
    <w:pPr>
      <w:tabs>
        <w:tab w:val="center" w:pos="4320"/>
        <w:tab w:val="right" w:pos="8640"/>
      </w:tabs>
    </w:pPr>
  </w:style>
  <w:style w:type="character" w:customStyle="1" w:styleId="HeaderChar">
    <w:name w:val="Header Char"/>
    <w:basedOn w:val="DefaultParagraphFont"/>
    <w:link w:val="Header"/>
    <w:uiPriority w:val="99"/>
    <w:rsid w:val="006F323F"/>
  </w:style>
  <w:style w:type="paragraph" w:styleId="Footer">
    <w:name w:val="footer"/>
    <w:basedOn w:val="Normal"/>
    <w:link w:val="FooterChar"/>
    <w:uiPriority w:val="99"/>
    <w:unhideWhenUsed/>
    <w:rsid w:val="006F323F"/>
    <w:pPr>
      <w:tabs>
        <w:tab w:val="center" w:pos="4320"/>
        <w:tab w:val="right" w:pos="8640"/>
      </w:tabs>
    </w:pPr>
  </w:style>
  <w:style w:type="character" w:customStyle="1" w:styleId="FooterChar">
    <w:name w:val="Footer Char"/>
    <w:basedOn w:val="DefaultParagraphFont"/>
    <w:link w:val="Footer"/>
    <w:uiPriority w:val="99"/>
    <w:rsid w:val="006F323F"/>
  </w:style>
  <w:style w:type="character" w:styleId="Hyperlink">
    <w:name w:val="Hyperlink"/>
    <w:basedOn w:val="DefaultParagraphFont"/>
    <w:uiPriority w:val="99"/>
    <w:unhideWhenUsed/>
    <w:rsid w:val="004F7B7D"/>
    <w:rPr>
      <w:color w:val="0000FF" w:themeColor="hyperlink"/>
      <w:u w:val="single"/>
    </w:rPr>
  </w:style>
  <w:style w:type="character" w:customStyle="1" w:styleId="UnresolvedMention1">
    <w:name w:val="Unresolved Mention1"/>
    <w:basedOn w:val="DefaultParagraphFont"/>
    <w:uiPriority w:val="99"/>
    <w:semiHidden/>
    <w:unhideWhenUsed/>
    <w:rsid w:val="004F7B7D"/>
    <w:rPr>
      <w:color w:val="605E5C"/>
      <w:shd w:val="clear" w:color="auto" w:fill="E1DFDD"/>
    </w:rPr>
  </w:style>
  <w:style w:type="paragraph" w:styleId="BalloonText">
    <w:name w:val="Balloon Text"/>
    <w:basedOn w:val="Normal"/>
    <w:link w:val="BalloonTextChar"/>
    <w:uiPriority w:val="99"/>
    <w:semiHidden/>
    <w:unhideWhenUsed/>
    <w:rsid w:val="00AE08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0866"/>
    <w:rPr>
      <w:rFonts w:ascii="Lucida Grande" w:hAnsi="Lucida Grande" w:cs="Lucida Grande"/>
      <w:sz w:val="18"/>
      <w:szCs w:val="18"/>
    </w:rPr>
  </w:style>
  <w:style w:type="paragraph" w:styleId="ListParagraph">
    <w:name w:val="List Paragraph"/>
    <w:basedOn w:val="Normal"/>
    <w:uiPriority w:val="34"/>
    <w:qFormat/>
    <w:rsid w:val="003C34B9"/>
    <w:pPr>
      <w:ind w:left="720"/>
      <w:contextualSpacing/>
    </w:pPr>
  </w:style>
  <w:style w:type="paragraph" w:customStyle="1" w:styleId="Default">
    <w:name w:val="Default"/>
    <w:rsid w:val="007068AF"/>
    <w:pPr>
      <w:widowControl w:val="0"/>
      <w:autoSpaceDE w:val="0"/>
      <w:autoSpaceDN w:val="0"/>
      <w:adjustRightInd w:val="0"/>
    </w:pPr>
    <w:rPr>
      <w:rFonts w:ascii="Arial" w:hAnsi="Arial" w:cs="Arial"/>
      <w:color w:val="000000"/>
    </w:rPr>
  </w:style>
  <w:style w:type="character" w:customStyle="1" w:styleId="Heading1Char">
    <w:name w:val="Heading 1 Char"/>
    <w:basedOn w:val="DefaultParagraphFont"/>
    <w:link w:val="Heading1"/>
    <w:uiPriority w:val="9"/>
    <w:rsid w:val="0045195A"/>
    <w:rPr>
      <w:rFonts w:asciiTheme="majorHAnsi" w:eastAsiaTheme="majorEastAsia" w:hAnsiTheme="majorHAnsi" w:cstheme="majorBidi"/>
      <w:b/>
      <w:bCs/>
      <w:color w:val="345A8A" w:themeColor="accent1" w:themeShade="B5"/>
      <w:sz w:val="32"/>
      <w:szCs w:val="32"/>
      <w:lang w:val="et-EE"/>
    </w:rPr>
  </w:style>
  <w:style w:type="paragraph" w:customStyle="1" w:styleId="Normal1">
    <w:name w:val="Normal1"/>
    <w:rsid w:val="005A56B2"/>
    <w:pPr>
      <w:spacing w:line="276" w:lineRule="auto"/>
    </w:pPr>
    <w:rPr>
      <w:rFonts w:ascii="Arial" w:eastAsia="Arial" w:hAnsi="Arial" w:cs="Arial"/>
      <w:sz w:val="22"/>
      <w:szCs w:val="22"/>
      <w:lang w:val="et-EE"/>
    </w:rPr>
  </w:style>
  <w:style w:type="paragraph" w:styleId="FootnoteText">
    <w:name w:val="footnote text"/>
    <w:basedOn w:val="Normal"/>
    <w:link w:val="FootnoteTextChar"/>
    <w:uiPriority w:val="99"/>
    <w:semiHidden/>
    <w:unhideWhenUsed/>
    <w:rsid w:val="00CC5C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5C56"/>
    <w:rPr>
      <w:rFonts w:eastAsiaTheme="minorHAnsi"/>
      <w:sz w:val="20"/>
      <w:szCs w:val="20"/>
      <w:lang w:val="et-EE"/>
    </w:rPr>
  </w:style>
  <w:style w:type="character" w:styleId="FootnoteReference">
    <w:name w:val="footnote reference"/>
    <w:basedOn w:val="DefaultParagraphFont"/>
    <w:uiPriority w:val="99"/>
    <w:semiHidden/>
    <w:unhideWhenUsed/>
    <w:rsid w:val="00CC5C56"/>
    <w:rPr>
      <w:vertAlign w:val="superscript"/>
    </w:rPr>
  </w:style>
  <w:style w:type="character" w:styleId="UnresolvedMention">
    <w:name w:val="Unresolved Mention"/>
    <w:basedOn w:val="DefaultParagraphFont"/>
    <w:uiPriority w:val="99"/>
    <w:semiHidden/>
    <w:unhideWhenUsed/>
    <w:rsid w:val="00CE0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26838">
      <w:bodyDiv w:val="1"/>
      <w:marLeft w:val="0"/>
      <w:marRight w:val="0"/>
      <w:marTop w:val="0"/>
      <w:marBottom w:val="0"/>
      <w:divBdr>
        <w:top w:val="none" w:sz="0" w:space="0" w:color="auto"/>
        <w:left w:val="none" w:sz="0" w:space="0" w:color="auto"/>
        <w:bottom w:val="none" w:sz="0" w:space="0" w:color="auto"/>
        <w:right w:val="none" w:sz="0" w:space="0" w:color="auto"/>
      </w:divBdr>
    </w:div>
    <w:div w:id="138890526">
      <w:bodyDiv w:val="1"/>
      <w:marLeft w:val="0"/>
      <w:marRight w:val="0"/>
      <w:marTop w:val="0"/>
      <w:marBottom w:val="0"/>
      <w:divBdr>
        <w:top w:val="none" w:sz="0" w:space="0" w:color="auto"/>
        <w:left w:val="none" w:sz="0" w:space="0" w:color="auto"/>
        <w:bottom w:val="none" w:sz="0" w:space="0" w:color="auto"/>
        <w:right w:val="none" w:sz="0" w:space="0" w:color="auto"/>
      </w:divBdr>
    </w:div>
    <w:div w:id="278727422">
      <w:bodyDiv w:val="1"/>
      <w:marLeft w:val="0"/>
      <w:marRight w:val="0"/>
      <w:marTop w:val="0"/>
      <w:marBottom w:val="0"/>
      <w:divBdr>
        <w:top w:val="none" w:sz="0" w:space="0" w:color="auto"/>
        <w:left w:val="none" w:sz="0" w:space="0" w:color="auto"/>
        <w:bottom w:val="none" w:sz="0" w:space="0" w:color="auto"/>
        <w:right w:val="none" w:sz="0" w:space="0" w:color="auto"/>
      </w:divBdr>
    </w:div>
    <w:div w:id="397631030">
      <w:bodyDiv w:val="1"/>
      <w:marLeft w:val="0"/>
      <w:marRight w:val="0"/>
      <w:marTop w:val="0"/>
      <w:marBottom w:val="0"/>
      <w:divBdr>
        <w:top w:val="none" w:sz="0" w:space="0" w:color="auto"/>
        <w:left w:val="none" w:sz="0" w:space="0" w:color="auto"/>
        <w:bottom w:val="none" w:sz="0" w:space="0" w:color="auto"/>
        <w:right w:val="none" w:sz="0" w:space="0" w:color="auto"/>
      </w:divBdr>
    </w:div>
    <w:div w:id="657274191">
      <w:bodyDiv w:val="1"/>
      <w:marLeft w:val="0"/>
      <w:marRight w:val="0"/>
      <w:marTop w:val="0"/>
      <w:marBottom w:val="0"/>
      <w:divBdr>
        <w:top w:val="none" w:sz="0" w:space="0" w:color="auto"/>
        <w:left w:val="none" w:sz="0" w:space="0" w:color="auto"/>
        <w:bottom w:val="none" w:sz="0" w:space="0" w:color="auto"/>
        <w:right w:val="none" w:sz="0" w:space="0" w:color="auto"/>
      </w:divBdr>
    </w:div>
    <w:div w:id="779645966">
      <w:bodyDiv w:val="1"/>
      <w:marLeft w:val="0"/>
      <w:marRight w:val="0"/>
      <w:marTop w:val="0"/>
      <w:marBottom w:val="0"/>
      <w:divBdr>
        <w:top w:val="none" w:sz="0" w:space="0" w:color="auto"/>
        <w:left w:val="none" w:sz="0" w:space="0" w:color="auto"/>
        <w:bottom w:val="none" w:sz="0" w:space="0" w:color="auto"/>
        <w:right w:val="none" w:sz="0" w:space="0" w:color="auto"/>
      </w:divBdr>
    </w:div>
    <w:div w:id="887499719">
      <w:bodyDiv w:val="1"/>
      <w:marLeft w:val="0"/>
      <w:marRight w:val="0"/>
      <w:marTop w:val="0"/>
      <w:marBottom w:val="0"/>
      <w:divBdr>
        <w:top w:val="none" w:sz="0" w:space="0" w:color="auto"/>
        <w:left w:val="none" w:sz="0" w:space="0" w:color="auto"/>
        <w:bottom w:val="none" w:sz="0" w:space="0" w:color="auto"/>
        <w:right w:val="none" w:sz="0" w:space="0" w:color="auto"/>
      </w:divBdr>
    </w:div>
    <w:div w:id="1068377381">
      <w:bodyDiv w:val="1"/>
      <w:marLeft w:val="0"/>
      <w:marRight w:val="0"/>
      <w:marTop w:val="0"/>
      <w:marBottom w:val="0"/>
      <w:divBdr>
        <w:top w:val="none" w:sz="0" w:space="0" w:color="auto"/>
        <w:left w:val="none" w:sz="0" w:space="0" w:color="auto"/>
        <w:bottom w:val="none" w:sz="0" w:space="0" w:color="auto"/>
        <w:right w:val="none" w:sz="0" w:space="0" w:color="auto"/>
      </w:divBdr>
    </w:div>
    <w:div w:id="1282805184">
      <w:bodyDiv w:val="1"/>
      <w:marLeft w:val="0"/>
      <w:marRight w:val="0"/>
      <w:marTop w:val="0"/>
      <w:marBottom w:val="0"/>
      <w:divBdr>
        <w:top w:val="none" w:sz="0" w:space="0" w:color="auto"/>
        <w:left w:val="none" w:sz="0" w:space="0" w:color="auto"/>
        <w:bottom w:val="none" w:sz="0" w:space="0" w:color="auto"/>
        <w:right w:val="none" w:sz="0" w:space="0" w:color="auto"/>
      </w:divBdr>
    </w:div>
    <w:div w:id="1394229460">
      <w:bodyDiv w:val="1"/>
      <w:marLeft w:val="0"/>
      <w:marRight w:val="0"/>
      <w:marTop w:val="0"/>
      <w:marBottom w:val="0"/>
      <w:divBdr>
        <w:top w:val="none" w:sz="0" w:space="0" w:color="auto"/>
        <w:left w:val="none" w:sz="0" w:space="0" w:color="auto"/>
        <w:bottom w:val="none" w:sz="0" w:space="0" w:color="auto"/>
        <w:right w:val="none" w:sz="0" w:space="0" w:color="auto"/>
      </w:divBdr>
    </w:div>
    <w:div w:id="1471441046">
      <w:bodyDiv w:val="1"/>
      <w:marLeft w:val="0"/>
      <w:marRight w:val="0"/>
      <w:marTop w:val="0"/>
      <w:marBottom w:val="0"/>
      <w:divBdr>
        <w:top w:val="none" w:sz="0" w:space="0" w:color="auto"/>
        <w:left w:val="none" w:sz="0" w:space="0" w:color="auto"/>
        <w:bottom w:val="none" w:sz="0" w:space="0" w:color="auto"/>
        <w:right w:val="none" w:sz="0" w:space="0" w:color="auto"/>
      </w:divBdr>
    </w:div>
    <w:div w:id="1622570573">
      <w:bodyDiv w:val="1"/>
      <w:marLeft w:val="0"/>
      <w:marRight w:val="0"/>
      <w:marTop w:val="0"/>
      <w:marBottom w:val="0"/>
      <w:divBdr>
        <w:top w:val="none" w:sz="0" w:space="0" w:color="auto"/>
        <w:left w:val="none" w:sz="0" w:space="0" w:color="auto"/>
        <w:bottom w:val="none" w:sz="0" w:space="0" w:color="auto"/>
        <w:right w:val="none" w:sz="0" w:space="0" w:color="auto"/>
      </w:divBdr>
    </w:div>
    <w:div w:id="2076270914">
      <w:bodyDiv w:val="1"/>
      <w:marLeft w:val="0"/>
      <w:marRight w:val="0"/>
      <w:marTop w:val="0"/>
      <w:marBottom w:val="0"/>
      <w:divBdr>
        <w:top w:val="none" w:sz="0" w:space="0" w:color="auto"/>
        <w:left w:val="none" w:sz="0" w:space="0" w:color="auto"/>
        <w:bottom w:val="none" w:sz="0" w:space="0" w:color="auto"/>
        <w:right w:val="none" w:sz="0" w:space="0" w:color="auto"/>
      </w:divBdr>
      <w:divsChild>
        <w:div w:id="1646666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758021">
              <w:marLeft w:val="0"/>
              <w:marRight w:val="0"/>
              <w:marTop w:val="0"/>
              <w:marBottom w:val="0"/>
              <w:divBdr>
                <w:top w:val="none" w:sz="0" w:space="0" w:color="auto"/>
                <w:left w:val="none" w:sz="0" w:space="0" w:color="auto"/>
                <w:bottom w:val="none" w:sz="0" w:space="0" w:color="auto"/>
                <w:right w:val="none" w:sz="0" w:space="0" w:color="auto"/>
              </w:divBdr>
              <w:divsChild>
                <w:div w:id="2135978508">
                  <w:marLeft w:val="0"/>
                  <w:marRight w:val="0"/>
                  <w:marTop w:val="0"/>
                  <w:marBottom w:val="0"/>
                  <w:divBdr>
                    <w:top w:val="none" w:sz="0" w:space="0" w:color="auto"/>
                    <w:left w:val="none" w:sz="0" w:space="0" w:color="auto"/>
                    <w:bottom w:val="none" w:sz="0" w:space="0" w:color="auto"/>
                    <w:right w:val="none" w:sz="0" w:space="0" w:color="auto"/>
                  </w:divBdr>
                  <w:divsChild>
                    <w:div w:id="491677901">
                      <w:marLeft w:val="0"/>
                      <w:marRight w:val="0"/>
                      <w:marTop w:val="0"/>
                      <w:marBottom w:val="0"/>
                      <w:divBdr>
                        <w:top w:val="none" w:sz="0" w:space="0" w:color="auto"/>
                        <w:left w:val="none" w:sz="0" w:space="0" w:color="auto"/>
                        <w:bottom w:val="none" w:sz="0" w:space="0" w:color="auto"/>
                        <w:right w:val="none" w:sz="0" w:space="0" w:color="auto"/>
                      </w:divBdr>
                    </w:div>
                    <w:div w:id="492650027">
                      <w:marLeft w:val="0"/>
                      <w:marRight w:val="0"/>
                      <w:marTop w:val="0"/>
                      <w:marBottom w:val="0"/>
                      <w:divBdr>
                        <w:top w:val="none" w:sz="0" w:space="0" w:color="auto"/>
                        <w:left w:val="none" w:sz="0" w:space="0" w:color="auto"/>
                        <w:bottom w:val="none" w:sz="0" w:space="0" w:color="auto"/>
                        <w:right w:val="none" w:sz="0" w:space="0" w:color="auto"/>
                      </w:divBdr>
                    </w:div>
                    <w:div w:id="857600">
                      <w:marLeft w:val="0"/>
                      <w:marRight w:val="0"/>
                      <w:marTop w:val="0"/>
                      <w:marBottom w:val="0"/>
                      <w:divBdr>
                        <w:top w:val="none" w:sz="0" w:space="0" w:color="auto"/>
                        <w:left w:val="none" w:sz="0" w:space="0" w:color="auto"/>
                        <w:bottom w:val="none" w:sz="0" w:space="0" w:color="auto"/>
                        <w:right w:val="none" w:sz="0" w:space="0" w:color="auto"/>
                      </w:divBdr>
                    </w:div>
                    <w:div w:id="138692796">
                      <w:marLeft w:val="0"/>
                      <w:marRight w:val="0"/>
                      <w:marTop w:val="0"/>
                      <w:marBottom w:val="0"/>
                      <w:divBdr>
                        <w:top w:val="none" w:sz="0" w:space="0" w:color="auto"/>
                        <w:left w:val="none" w:sz="0" w:space="0" w:color="auto"/>
                        <w:bottom w:val="none" w:sz="0" w:space="0" w:color="auto"/>
                        <w:right w:val="none" w:sz="0" w:space="0" w:color="auto"/>
                      </w:divBdr>
                    </w:div>
                    <w:div w:id="159404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2162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git.lao@terviseamet.ee" TargetMode="External"/><Relationship Id="rId13" Type="http://schemas.openxmlformats.org/officeDocument/2006/relationships/hyperlink" Target="mailto:tiia.zeigo@tervisekassa.e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eli.Paluste@sm.e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m.ee" TargetMode="External"/><Relationship Id="rId5" Type="http://schemas.openxmlformats.org/officeDocument/2006/relationships/webSettings" Target="webSettings.xml"/><Relationship Id="rId15" Type="http://schemas.openxmlformats.org/officeDocument/2006/relationships/hyperlink" Target="mailto:sotsiaalkomisjon@riigikogu.ee" TargetMode="External"/><Relationship Id="rId10" Type="http://schemas.openxmlformats.org/officeDocument/2006/relationships/hyperlink" Target="mailto:info@terviseamet.e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Ragnar.vaiknemets@terviseamet.ee" TargetMode="External"/><Relationship Id="rId14" Type="http://schemas.openxmlformats.org/officeDocument/2006/relationships/hyperlink" Target="mailto:hambaravi@tervisekassa.e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ehl.ee" TargetMode="External"/><Relationship Id="rId1" Type="http://schemas.openxmlformats.org/officeDocument/2006/relationships/hyperlink" Target="mailto:tallinn@ehl.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E7DBA-E7FF-2F42-A272-CCBDB9A1B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K</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L</dc:creator>
  <cp:keywords/>
  <dc:description/>
  <cp:lastModifiedBy>Helen Lang</cp:lastModifiedBy>
  <cp:revision>5</cp:revision>
  <cp:lastPrinted>2022-06-06T09:39:00Z</cp:lastPrinted>
  <dcterms:created xsi:type="dcterms:W3CDTF">2024-04-10T08:43:00Z</dcterms:created>
  <dcterms:modified xsi:type="dcterms:W3CDTF">2024-04-10T09:51:00Z</dcterms:modified>
</cp:coreProperties>
</file>