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5735" w14:textId="77777777" w:rsidR="00AD2E47" w:rsidRPr="00DC608A" w:rsidRDefault="00AD2E47" w:rsidP="00AD2E47">
      <w:pPr>
        <w:ind w:left="0" w:firstLine="0"/>
        <w:jc w:val="right"/>
        <w:rPr>
          <w:rFonts w:ascii="Arial" w:hAnsi="Arial" w:cs="Arial"/>
        </w:rPr>
      </w:pPr>
      <w:bookmarkStart w:id="0" w:name="_Hlk113370899"/>
    </w:p>
    <w:p w14:paraId="525588B6" w14:textId="1A31532E" w:rsidR="00AD2E47" w:rsidRPr="009A1ED3" w:rsidRDefault="00AD2E47" w:rsidP="00AD2E47">
      <w:pPr>
        <w:ind w:left="0" w:firstLine="0"/>
        <w:jc w:val="right"/>
        <w:rPr>
          <w:rFonts w:ascii="Arial" w:hAnsi="Arial" w:cs="Arial"/>
          <w:lang w:val="fr-FR"/>
        </w:rPr>
      </w:pPr>
      <w:r w:rsidRPr="009A1ED3">
        <w:rPr>
          <w:rFonts w:ascii="Arial" w:hAnsi="Arial" w:cs="Arial"/>
          <w:lang w:val="fr-FR"/>
        </w:rPr>
        <w:t>AIG(2025)10</w:t>
      </w:r>
    </w:p>
    <w:bookmarkEnd w:id="0"/>
    <w:p w14:paraId="366A7CA5" w14:textId="28D039D9" w:rsidR="00AD2E47" w:rsidRPr="009A1ED3" w:rsidRDefault="009A1ED3" w:rsidP="00AD2E47">
      <w:pPr>
        <w:ind w:left="0"/>
        <w:jc w:val="right"/>
        <w:rPr>
          <w:rFonts w:ascii="Arial" w:hAnsi="Arial" w:cs="Arial"/>
          <w:lang w:val="fr-FR"/>
        </w:rPr>
      </w:pPr>
      <w:r>
        <w:rPr>
          <w:rFonts w:ascii="Arial" w:hAnsi="Arial" w:cs="Arial"/>
          <w:lang w:val="fr-FR"/>
        </w:rPr>
        <w:t>7</w:t>
      </w:r>
      <w:r w:rsidR="00AD2E47" w:rsidRPr="009A1ED3">
        <w:rPr>
          <w:rFonts w:ascii="Arial" w:hAnsi="Arial" w:cs="Arial"/>
          <w:lang w:val="fr-FR"/>
        </w:rPr>
        <w:t xml:space="preserve"> </w:t>
      </w:r>
      <w:r>
        <w:rPr>
          <w:rFonts w:ascii="Arial" w:hAnsi="Arial" w:cs="Arial"/>
          <w:lang w:val="fr-FR"/>
        </w:rPr>
        <w:t>novembre</w:t>
      </w:r>
      <w:r w:rsidR="00AD2E47" w:rsidRPr="009A1ED3">
        <w:rPr>
          <w:rFonts w:ascii="Arial" w:hAnsi="Arial" w:cs="Arial"/>
          <w:lang w:val="fr-FR"/>
        </w:rPr>
        <w:t xml:space="preserve"> 2025</w:t>
      </w:r>
    </w:p>
    <w:p w14:paraId="2E3C8735" w14:textId="77777777" w:rsidR="00AD2E47" w:rsidRPr="009A1ED3" w:rsidRDefault="00AD2E47" w:rsidP="00AD2E47">
      <w:pPr>
        <w:ind w:left="0"/>
        <w:rPr>
          <w:rFonts w:ascii="Arial" w:hAnsi="Arial" w:cs="Arial"/>
          <w:b/>
          <w:bCs/>
          <w:sz w:val="32"/>
          <w:szCs w:val="32"/>
          <w:lang w:val="fr-FR"/>
        </w:rPr>
      </w:pPr>
    </w:p>
    <w:p w14:paraId="631BB7BF" w14:textId="77777777" w:rsidR="00AD2E47" w:rsidRPr="009A1ED3" w:rsidRDefault="00AD2E47" w:rsidP="00AD2E47">
      <w:pPr>
        <w:ind w:left="0"/>
        <w:rPr>
          <w:rFonts w:ascii="Arial" w:hAnsi="Arial" w:cs="Arial"/>
          <w:b/>
          <w:bCs/>
          <w:sz w:val="32"/>
          <w:szCs w:val="32"/>
          <w:lang w:val="fr-FR"/>
        </w:rPr>
      </w:pPr>
    </w:p>
    <w:p w14:paraId="3964FCC5" w14:textId="77777777" w:rsidR="00AD2E47" w:rsidRPr="009A1ED3" w:rsidRDefault="00AD2E47" w:rsidP="00AD2E47">
      <w:pPr>
        <w:ind w:left="0"/>
        <w:rPr>
          <w:rFonts w:ascii="Arial" w:hAnsi="Arial" w:cs="Arial"/>
          <w:b/>
          <w:bCs/>
          <w:sz w:val="32"/>
          <w:szCs w:val="32"/>
          <w:lang w:val="fr-FR"/>
        </w:rPr>
      </w:pPr>
    </w:p>
    <w:p w14:paraId="3C505D52" w14:textId="77777777" w:rsidR="009A1ED3" w:rsidRPr="00745C96" w:rsidRDefault="009A1ED3" w:rsidP="009A1ED3">
      <w:pPr>
        <w:ind w:left="0" w:firstLine="0"/>
        <w:jc w:val="center"/>
        <w:rPr>
          <w:rFonts w:ascii="Arial" w:hAnsi="Arial" w:cs="Arial"/>
          <w:b/>
          <w:bCs/>
          <w:sz w:val="28"/>
          <w:szCs w:val="28"/>
          <w:lang w:val="fr-FR"/>
        </w:rPr>
      </w:pPr>
      <w:r w:rsidRPr="00745C96">
        <w:rPr>
          <w:rFonts w:ascii="Arial" w:hAnsi="Arial" w:cs="Arial"/>
          <w:b/>
          <w:bCs/>
          <w:sz w:val="28"/>
          <w:szCs w:val="28"/>
          <w:lang w:val="fr-FR"/>
        </w:rPr>
        <w:t>Groupe Accès à l’</w:t>
      </w:r>
      <w:r>
        <w:rPr>
          <w:rFonts w:ascii="Arial" w:hAnsi="Arial" w:cs="Arial"/>
          <w:b/>
          <w:bCs/>
          <w:sz w:val="28"/>
          <w:szCs w:val="28"/>
          <w:lang w:val="fr-FR"/>
        </w:rPr>
        <w:t>i</w:t>
      </w:r>
      <w:r w:rsidRPr="00745C96">
        <w:rPr>
          <w:rFonts w:ascii="Arial" w:hAnsi="Arial" w:cs="Arial"/>
          <w:b/>
          <w:bCs/>
          <w:sz w:val="28"/>
          <w:szCs w:val="28"/>
          <w:lang w:val="fr-FR"/>
        </w:rPr>
        <w:t>nformation (AIG) du Conseil de l'Europe</w:t>
      </w:r>
    </w:p>
    <w:p w14:paraId="7218E07D" w14:textId="77777777" w:rsidR="009A1ED3" w:rsidRPr="00745C96" w:rsidRDefault="009A1ED3" w:rsidP="009A1ED3">
      <w:pPr>
        <w:pStyle w:val="Default"/>
        <w:ind w:left="0" w:firstLine="0"/>
        <w:jc w:val="center"/>
        <w:rPr>
          <w:color w:val="auto"/>
          <w:sz w:val="28"/>
          <w:szCs w:val="28"/>
        </w:rPr>
      </w:pPr>
      <w:r w:rsidRPr="00745C96">
        <w:rPr>
          <w:b/>
          <w:bCs/>
          <w:sz w:val="28"/>
          <w:szCs w:val="28"/>
        </w:rPr>
        <w:t xml:space="preserve">Convention du Conseil de l'Europe sur l'accès aux </w:t>
      </w:r>
      <w:r>
        <w:rPr>
          <w:b/>
          <w:bCs/>
          <w:sz w:val="28"/>
          <w:szCs w:val="28"/>
        </w:rPr>
        <w:br/>
      </w:r>
      <w:r w:rsidRPr="00745C96">
        <w:rPr>
          <w:b/>
          <w:bCs/>
          <w:sz w:val="28"/>
          <w:szCs w:val="28"/>
        </w:rPr>
        <w:t>documents publics (CETS n° 205)</w:t>
      </w:r>
    </w:p>
    <w:p w14:paraId="4FBD07EC" w14:textId="77777777" w:rsidR="00AD2E47" w:rsidRPr="009A1ED3" w:rsidRDefault="00AD2E47" w:rsidP="00AD2E47">
      <w:pPr>
        <w:pStyle w:val="Default"/>
        <w:ind w:left="0" w:firstLine="0"/>
        <w:rPr>
          <w:color w:val="auto"/>
          <w:sz w:val="28"/>
          <w:szCs w:val="28"/>
        </w:rPr>
      </w:pPr>
    </w:p>
    <w:p w14:paraId="21E5CFFD" w14:textId="77777777" w:rsidR="00AD2E47" w:rsidRPr="009A1ED3" w:rsidRDefault="00AD2E47" w:rsidP="00AD2E47">
      <w:pPr>
        <w:pStyle w:val="Default"/>
        <w:ind w:left="0" w:firstLine="0"/>
        <w:rPr>
          <w:color w:val="auto"/>
          <w:sz w:val="28"/>
          <w:szCs w:val="28"/>
        </w:rPr>
      </w:pPr>
    </w:p>
    <w:p w14:paraId="7D20787C" w14:textId="61BB2B39" w:rsidR="009A1ED3" w:rsidRDefault="009A1ED3" w:rsidP="00AD2E47">
      <w:pPr>
        <w:ind w:left="0" w:firstLine="0"/>
        <w:jc w:val="center"/>
        <w:rPr>
          <w:rFonts w:ascii="Arial" w:hAnsi="Arial" w:cs="Arial"/>
          <w:b/>
          <w:bCs/>
          <w:sz w:val="28"/>
          <w:szCs w:val="28"/>
          <w:lang w:val="fr-FR"/>
        </w:rPr>
      </w:pPr>
      <w:r>
        <w:rPr>
          <w:rFonts w:ascii="Arial" w:hAnsi="Arial" w:cs="Arial"/>
          <w:b/>
          <w:bCs/>
          <w:sz w:val="28"/>
          <w:szCs w:val="28"/>
          <w:lang w:val="fr-FR"/>
        </w:rPr>
        <w:t>T</w:t>
      </w:r>
      <w:r w:rsidRPr="00745C96">
        <w:rPr>
          <w:rFonts w:ascii="Arial" w:hAnsi="Arial" w:cs="Arial"/>
          <w:b/>
          <w:bCs/>
          <w:sz w:val="28"/>
          <w:szCs w:val="28"/>
          <w:lang w:val="fr-FR"/>
        </w:rPr>
        <w:t xml:space="preserve">hématiques de suivi sur la gestion et la conservation </w:t>
      </w:r>
      <w:r>
        <w:rPr>
          <w:rFonts w:ascii="Arial" w:hAnsi="Arial" w:cs="Arial"/>
          <w:b/>
          <w:bCs/>
          <w:sz w:val="28"/>
          <w:szCs w:val="28"/>
          <w:lang w:val="fr-FR"/>
        </w:rPr>
        <w:br/>
      </w:r>
      <w:r w:rsidRPr="00745C96">
        <w:rPr>
          <w:rFonts w:ascii="Arial" w:hAnsi="Arial" w:cs="Arial"/>
          <w:b/>
          <w:bCs/>
          <w:sz w:val="28"/>
          <w:szCs w:val="28"/>
          <w:lang w:val="fr-FR"/>
        </w:rPr>
        <w:t xml:space="preserve">des documents </w:t>
      </w:r>
    </w:p>
    <w:p w14:paraId="39C9E3B9" w14:textId="7ACEE101" w:rsidR="00AD2E47" w:rsidRPr="009A1ED3" w:rsidRDefault="00AD2E47" w:rsidP="00AD2E47">
      <w:pPr>
        <w:ind w:left="0" w:firstLine="0"/>
        <w:jc w:val="center"/>
        <w:rPr>
          <w:rFonts w:ascii="Arial" w:hAnsi="Arial" w:cs="Arial"/>
          <w:sz w:val="28"/>
          <w:szCs w:val="28"/>
          <w:lang w:val="fr-FR"/>
        </w:rPr>
      </w:pPr>
      <w:r w:rsidRPr="009A1ED3">
        <w:rPr>
          <w:rFonts w:ascii="Arial" w:hAnsi="Arial" w:cs="Arial"/>
          <w:b/>
          <w:bCs/>
          <w:sz w:val="28"/>
          <w:szCs w:val="28"/>
          <w:lang w:val="fr-FR"/>
        </w:rPr>
        <w:t xml:space="preserve">Questionnaire </w:t>
      </w:r>
      <w:r w:rsidR="009A1ED3" w:rsidRPr="009A1ED3">
        <w:rPr>
          <w:rFonts w:ascii="Arial" w:hAnsi="Arial" w:cs="Arial"/>
          <w:b/>
          <w:bCs/>
          <w:sz w:val="28"/>
          <w:szCs w:val="28"/>
          <w:lang w:val="fr-FR"/>
        </w:rPr>
        <w:t>aux Parties à la</w:t>
      </w:r>
      <w:r w:rsidRPr="009A1ED3">
        <w:rPr>
          <w:rFonts w:ascii="Arial" w:hAnsi="Arial" w:cs="Arial"/>
          <w:b/>
          <w:bCs/>
          <w:sz w:val="28"/>
          <w:szCs w:val="28"/>
          <w:lang w:val="fr-FR"/>
        </w:rPr>
        <w:t xml:space="preserve"> Convention</w:t>
      </w:r>
    </w:p>
    <w:p w14:paraId="1131F4C5" w14:textId="77777777" w:rsidR="00AD2E47" w:rsidRPr="009A1ED3" w:rsidRDefault="00AD2E47" w:rsidP="00AD2E47">
      <w:pPr>
        <w:ind w:left="0"/>
        <w:jc w:val="center"/>
        <w:rPr>
          <w:rFonts w:ascii="Arial" w:hAnsi="Arial" w:cs="Arial"/>
          <w:b/>
          <w:bCs/>
          <w:sz w:val="32"/>
          <w:szCs w:val="32"/>
          <w:lang w:val="fr-FR"/>
        </w:rPr>
      </w:pPr>
    </w:p>
    <w:p w14:paraId="4487E4C3" w14:textId="77777777" w:rsidR="00AD2E47" w:rsidRPr="009A1ED3" w:rsidRDefault="00AD2E47" w:rsidP="00AD2E47">
      <w:pPr>
        <w:ind w:left="0"/>
        <w:jc w:val="center"/>
        <w:rPr>
          <w:rFonts w:ascii="Arial" w:hAnsi="Arial" w:cs="Arial"/>
          <w:b/>
          <w:bCs/>
          <w:sz w:val="32"/>
          <w:szCs w:val="32"/>
          <w:lang w:val="fr-FR"/>
        </w:rPr>
      </w:pPr>
    </w:p>
    <w:p w14:paraId="2C5FD359" w14:textId="77777777" w:rsidR="00AD2E47" w:rsidRPr="009A1ED3" w:rsidRDefault="00AD2E47" w:rsidP="00AD2E47">
      <w:pPr>
        <w:ind w:left="0"/>
        <w:jc w:val="center"/>
        <w:rPr>
          <w:rFonts w:ascii="Arial" w:hAnsi="Arial" w:cs="Arial"/>
          <w:b/>
          <w:bCs/>
          <w:sz w:val="32"/>
          <w:szCs w:val="32"/>
          <w:lang w:val="fr-FR"/>
        </w:rPr>
      </w:pPr>
    </w:p>
    <w:p w14:paraId="733BD43F" w14:textId="77777777" w:rsidR="00AD2E47" w:rsidRPr="009A1ED3" w:rsidRDefault="00AD2E47" w:rsidP="00AD2E47">
      <w:pPr>
        <w:ind w:left="0"/>
        <w:jc w:val="center"/>
        <w:rPr>
          <w:rFonts w:ascii="Arial" w:hAnsi="Arial" w:cs="Arial"/>
          <w:b/>
          <w:bCs/>
          <w:sz w:val="32"/>
          <w:szCs w:val="32"/>
          <w:lang w:val="fr-FR"/>
        </w:rPr>
      </w:pPr>
    </w:p>
    <w:p w14:paraId="594A69B3" w14:textId="77777777" w:rsidR="00AD2E47" w:rsidRPr="009A1ED3" w:rsidRDefault="00AD2E47" w:rsidP="00AD2E47">
      <w:pPr>
        <w:ind w:left="0"/>
        <w:jc w:val="center"/>
        <w:rPr>
          <w:rFonts w:ascii="Arial" w:hAnsi="Arial" w:cs="Arial"/>
          <w:b/>
          <w:bCs/>
          <w:sz w:val="32"/>
          <w:szCs w:val="32"/>
          <w:lang w:val="fr-FR"/>
        </w:rPr>
      </w:pPr>
    </w:p>
    <w:p w14:paraId="16C5D8C3" w14:textId="77777777" w:rsidR="00AD2E47" w:rsidRPr="009A1ED3" w:rsidRDefault="00AD2E47" w:rsidP="00AD2E47">
      <w:pPr>
        <w:ind w:left="0"/>
        <w:jc w:val="center"/>
        <w:rPr>
          <w:rFonts w:ascii="Arial" w:hAnsi="Arial" w:cs="Arial"/>
          <w:b/>
          <w:bCs/>
          <w:sz w:val="32"/>
          <w:szCs w:val="32"/>
          <w:lang w:val="fr-FR"/>
        </w:rPr>
      </w:pPr>
    </w:p>
    <w:p w14:paraId="3F19776C" w14:textId="77777777" w:rsidR="00AD2E47" w:rsidRPr="009A1ED3" w:rsidRDefault="00AD2E47" w:rsidP="00AD2E47">
      <w:pPr>
        <w:ind w:left="0"/>
        <w:jc w:val="center"/>
        <w:rPr>
          <w:rFonts w:ascii="Arial" w:hAnsi="Arial" w:cs="Arial"/>
          <w:b/>
          <w:bCs/>
          <w:sz w:val="32"/>
          <w:szCs w:val="32"/>
          <w:lang w:val="fr-FR"/>
        </w:rPr>
      </w:pPr>
    </w:p>
    <w:p w14:paraId="4F07481E" w14:textId="77777777" w:rsidR="00AD2E47" w:rsidRPr="009A1ED3" w:rsidRDefault="00AD2E47" w:rsidP="00AD2E47">
      <w:pPr>
        <w:ind w:left="0"/>
        <w:jc w:val="center"/>
        <w:rPr>
          <w:rFonts w:ascii="Arial" w:hAnsi="Arial" w:cs="Arial"/>
          <w:b/>
          <w:bCs/>
          <w:sz w:val="32"/>
          <w:szCs w:val="32"/>
          <w:lang w:val="fr-FR"/>
        </w:rPr>
      </w:pPr>
    </w:p>
    <w:p w14:paraId="65669797" w14:textId="77777777" w:rsidR="00AD2E47" w:rsidRPr="009A1ED3" w:rsidRDefault="00AD2E47" w:rsidP="00AD2E47">
      <w:pPr>
        <w:ind w:left="0"/>
        <w:jc w:val="center"/>
        <w:rPr>
          <w:rFonts w:ascii="Arial" w:hAnsi="Arial" w:cs="Arial"/>
          <w:b/>
          <w:bCs/>
          <w:sz w:val="32"/>
          <w:szCs w:val="32"/>
          <w:lang w:val="fr-FR"/>
        </w:rPr>
      </w:pPr>
    </w:p>
    <w:p w14:paraId="2BD25CE4" w14:textId="77777777" w:rsidR="00AD2E47" w:rsidRPr="009A1ED3" w:rsidRDefault="00AD2E47" w:rsidP="00AD2E47">
      <w:pPr>
        <w:ind w:left="0"/>
        <w:jc w:val="center"/>
        <w:rPr>
          <w:rFonts w:ascii="Arial" w:hAnsi="Arial" w:cs="Arial"/>
          <w:b/>
          <w:bCs/>
          <w:sz w:val="32"/>
          <w:szCs w:val="32"/>
          <w:lang w:val="fr-FR"/>
        </w:rPr>
      </w:pPr>
    </w:p>
    <w:p w14:paraId="404252EC" w14:textId="77777777" w:rsidR="00AD2E47" w:rsidRPr="009A1ED3" w:rsidRDefault="00AD2E47" w:rsidP="00AD2E47">
      <w:pPr>
        <w:autoSpaceDE w:val="0"/>
        <w:autoSpaceDN w:val="0"/>
        <w:adjustRightInd w:val="0"/>
        <w:spacing w:before="0" w:line="240" w:lineRule="auto"/>
        <w:ind w:left="0" w:firstLine="0"/>
        <w:rPr>
          <w:rFonts w:ascii="Arial" w:eastAsiaTheme="minorHAnsi" w:hAnsi="Arial" w:cs="Arial"/>
          <w:color w:val="000000"/>
          <w:lang w:val="fr-FR"/>
          <w14:ligatures w14:val="standardContextual"/>
        </w:rPr>
      </w:pPr>
    </w:p>
    <w:p w14:paraId="3951084D" w14:textId="77777777" w:rsidR="00AD2E47" w:rsidRPr="009A1ED3" w:rsidRDefault="00AD2E47" w:rsidP="00AD2E47">
      <w:pPr>
        <w:spacing w:before="0" w:after="160"/>
        <w:ind w:left="0" w:firstLine="0"/>
        <w:rPr>
          <w:rFonts w:ascii="Arial" w:hAnsi="Arial" w:cs="Arial"/>
          <w:b/>
          <w:bCs/>
          <w:sz w:val="24"/>
          <w:szCs w:val="24"/>
          <w:lang w:val="fr-FR"/>
        </w:rPr>
      </w:pPr>
      <w:r w:rsidRPr="009A1ED3">
        <w:rPr>
          <w:rFonts w:ascii="Arial" w:hAnsi="Arial" w:cs="Arial"/>
          <w:b/>
          <w:bCs/>
          <w:sz w:val="24"/>
          <w:szCs w:val="24"/>
          <w:lang w:val="fr-FR"/>
        </w:rPr>
        <w:br w:type="page"/>
      </w:r>
    </w:p>
    <w:p w14:paraId="5F4E5BE8" w14:textId="77777777" w:rsidR="00DA317A" w:rsidRPr="00507193" w:rsidRDefault="00DA317A" w:rsidP="00DA317A">
      <w:pPr>
        <w:pStyle w:val="ListParagraph"/>
        <w:numPr>
          <w:ilvl w:val="0"/>
          <w:numId w:val="1"/>
        </w:numPr>
        <w:spacing w:before="0"/>
        <w:ind w:left="851" w:hanging="425"/>
        <w:outlineLvl w:val="1"/>
        <w:rPr>
          <w:rFonts w:ascii="Arial" w:hAnsi="Arial" w:cs="Arial"/>
          <w:b/>
          <w:bCs/>
        </w:rPr>
      </w:pPr>
      <w:bookmarkStart w:id="1" w:name="_Toc213232686"/>
      <w:r w:rsidRPr="00507193">
        <w:rPr>
          <w:rFonts w:ascii="Arial" w:hAnsi="Arial" w:cs="Arial"/>
          <w:b/>
          <w:bCs/>
        </w:rPr>
        <w:lastRenderedPageBreak/>
        <w:t>I</w:t>
      </w:r>
      <w:r>
        <w:rPr>
          <w:rFonts w:ascii="Arial" w:hAnsi="Arial" w:cs="Arial"/>
          <w:b/>
          <w:bCs/>
        </w:rPr>
        <w:t>ntroduction</w:t>
      </w:r>
      <w:bookmarkEnd w:id="1"/>
      <w:r w:rsidRPr="00507193">
        <w:rPr>
          <w:rFonts w:ascii="Arial" w:hAnsi="Arial" w:cs="Arial"/>
          <w:b/>
          <w:bCs/>
        </w:rPr>
        <w:t xml:space="preserve"> </w:t>
      </w:r>
    </w:p>
    <w:p w14:paraId="5C28C326" w14:textId="77777777" w:rsidR="00DA317A" w:rsidRPr="00DC608A" w:rsidRDefault="00DA317A" w:rsidP="00DA317A">
      <w:pPr>
        <w:pStyle w:val="ListParagraph"/>
        <w:ind w:left="0" w:firstLine="0"/>
      </w:pPr>
    </w:p>
    <w:p w14:paraId="2151C8AE" w14:textId="3FC23C89" w:rsidR="009A1ED3" w:rsidRPr="00745C96" w:rsidRDefault="009A1ED3" w:rsidP="009A1ED3">
      <w:pPr>
        <w:ind w:left="0" w:firstLine="0"/>
        <w:jc w:val="both"/>
        <w:rPr>
          <w:rFonts w:ascii="Arial" w:hAnsi="Arial" w:cs="Arial"/>
          <w:lang w:val="fr-FR"/>
        </w:rPr>
      </w:pPr>
      <w:r w:rsidRPr="00745C96">
        <w:rPr>
          <w:rFonts w:ascii="Arial" w:hAnsi="Arial" w:cs="Arial"/>
          <w:lang w:val="fr-FR"/>
        </w:rPr>
        <w:t xml:space="preserve">Le Groupe </w:t>
      </w:r>
      <w:r>
        <w:rPr>
          <w:rFonts w:ascii="Arial" w:hAnsi="Arial" w:cs="Arial"/>
          <w:lang w:val="fr-FR"/>
        </w:rPr>
        <w:t>Accès</w:t>
      </w:r>
      <w:r w:rsidRPr="00745C96">
        <w:rPr>
          <w:rFonts w:ascii="Arial" w:hAnsi="Arial" w:cs="Arial"/>
          <w:lang w:val="fr-FR"/>
        </w:rPr>
        <w:t xml:space="preserve"> à l'information du Conseil de l'Europe</w:t>
      </w:r>
      <w:r w:rsidR="00F3085A">
        <w:rPr>
          <w:rFonts w:ascii="Arial" w:hAnsi="Arial" w:cs="Arial"/>
          <w:lang w:val="fr-FR"/>
        </w:rPr>
        <w:t xml:space="preserve"> </w:t>
      </w:r>
      <w:r w:rsidR="00F3085A" w:rsidRPr="00745C96">
        <w:rPr>
          <w:rFonts w:ascii="Arial" w:hAnsi="Arial" w:cs="Arial"/>
          <w:lang w:val="fr-FR"/>
        </w:rPr>
        <w:t xml:space="preserve">(AIG) </w:t>
      </w:r>
      <w:r w:rsidRPr="00745C96">
        <w:rPr>
          <w:rFonts w:ascii="Arial" w:hAnsi="Arial" w:cs="Arial"/>
          <w:lang w:val="fr-FR"/>
        </w:rPr>
        <w:t xml:space="preserve">a achevé son évaluation de référence de la mise en œuvre de la Convention du Conseil de l'Europe sur l'accès aux documents </w:t>
      </w:r>
      <w:r>
        <w:rPr>
          <w:rFonts w:ascii="Arial" w:hAnsi="Arial" w:cs="Arial"/>
          <w:lang w:val="fr-FR"/>
        </w:rPr>
        <w:t>public</w:t>
      </w:r>
      <w:r w:rsidRPr="00745C96">
        <w:rPr>
          <w:rFonts w:ascii="Arial" w:hAnsi="Arial" w:cs="Arial"/>
          <w:lang w:val="fr-FR"/>
        </w:rPr>
        <w:t xml:space="preserve">s (STE n° 205, la Convention) par 15 Parties. Il a également publié son avis sur la définition des « documents </w:t>
      </w:r>
      <w:r>
        <w:rPr>
          <w:rFonts w:ascii="Arial" w:hAnsi="Arial" w:cs="Arial"/>
          <w:lang w:val="fr-FR"/>
        </w:rPr>
        <w:t>public</w:t>
      </w:r>
      <w:r w:rsidRPr="00745C96">
        <w:rPr>
          <w:rFonts w:ascii="Arial" w:hAnsi="Arial" w:cs="Arial"/>
          <w:lang w:val="fr-FR"/>
        </w:rPr>
        <w:t xml:space="preserve">s » au sens de l'article 1, paragraphe 2, alinéa b, de la Convention. L'AIG poursuit désormais son suivi de la mise en œuvre de la Convention sur la base de l'article 11, paragraphe 1, de la Convention. </w:t>
      </w:r>
      <w:r>
        <w:rPr>
          <w:rFonts w:ascii="Arial" w:hAnsi="Arial" w:cs="Arial"/>
          <w:lang w:val="fr-FR"/>
        </w:rPr>
        <w:t>Grâce à</w:t>
      </w:r>
      <w:r w:rsidRPr="00745C96">
        <w:rPr>
          <w:rFonts w:ascii="Arial" w:hAnsi="Arial" w:cs="Arial"/>
          <w:lang w:val="fr-FR"/>
        </w:rPr>
        <w:t xml:space="preserve"> ce questionnaire, l'AIG recueillera des informations </w:t>
      </w:r>
      <w:r>
        <w:rPr>
          <w:rFonts w:ascii="Arial" w:hAnsi="Arial" w:cs="Arial"/>
          <w:lang w:val="fr-FR"/>
        </w:rPr>
        <w:t xml:space="preserve">en vue </w:t>
      </w:r>
      <w:r w:rsidRPr="00745C96">
        <w:rPr>
          <w:rFonts w:ascii="Arial" w:hAnsi="Arial" w:cs="Arial"/>
          <w:lang w:val="fr-FR"/>
        </w:rPr>
        <w:t>d</w:t>
      </w:r>
      <w:r w:rsidR="000C649F">
        <w:rPr>
          <w:rFonts w:ascii="Arial" w:hAnsi="Arial" w:cs="Arial"/>
          <w:lang w:val="fr-FR"/>
        </w:rPr>
        <w:t>’examiner</w:t>
      </w:r>
      <w:r w:rsidRPr="00745C96">
        <w:rPr>
          <w:rFonts w:ascii="Arial" w:hAnsi="Arial" w:cs="Arial"/>
          <w:lang w:val="fr-FR"/>
        </w:rPr>
        <w:t xml:space="preserve"> la question de la gestion et de la conservation des documents. </w:t>
      </w:r>
    </w:p>
    <w:p w14:paraId="598C8A09" w14:textId="77777777" w:rsidR="009A1ED3" w:rsidRPr="00745C96" w:rsidRDefault="009A1ED3" w:rsidP="009A1ED3">
      <w:pPr>
        <w:ind w:left="0" w:firstLine="0"/>
        <w:jc w:val="both"/>
        <w:rPr>
          <w:rFonts w:ascii="Arial" w:hAnsi="Arial" w:cs="Arial"/>
          <w:lang w:val="fr-FR"/>
        </w:rPr>
      </w:pPr>
      <w:r w:rsidRPr="00745C96">
        <w:rPr>
          <w:rFonts w:ascii="Arial" w:hAnsi="Arial" w:cs="Arial"/>
          <w:lang w:val="fr-FR"/>
        </w:rPr>
        <w:t xml:space="preserve">La gestion efficace des documents détenus par les autorités publiques (voir la définition à l'article 1, paragraphe 2, alinéa a, de la Convention) et l'application de règles claires et établies pour leur conservation garantissent que les documents sont disponibles et facilement accessibles. </w:t>
      </w:r>
      <w:r>
        <w:rPr>
          <w:rFonts w:ascii="Arial" w:hAnsi="Arial" w:cs="Arial"/>
          <w:lang w:val="fr-FR"/>
        </w:rPr>
        <w:t>L’AIG</w:t>
      </w:r>
      <w:r w:rsidRPr="00745C96">
        <w:rPr>
          <w:rFonts w:ascii="Arial" w:hAnsi="Arial" w:cs="Arial"/>
          <w:lang w:val="fr-FR"/>
        </w:rPr>
        <w:t xml:space="preserve"> examinera donc, sur la base de l'article 9, paragraphes c et d, de la Convention, la question de la gestion et de la conservation des documents </w:t>
      </w:r>
      <w:r>
        <w:rPr>
          <w:rFonts w:ascii="Arial" w:hAnsi="Arial" w:cs="Arial"/>
          <w:lang w:val="fr-FR"/>
        </w:rPr>
        <w:t>publics</w:t>
      </w:r>
      <w:r w:rsidRPr="00745C96">
        <w:rPr>
          <w:rFonts w:ascii="Arial" w:hAnsi="Arial" w:cs="Arial"/>
          <w:lang w:val="fr-FR"/>
        </w:rPr>
        <w:t>.</w:t>
      </w:r>
    </w:p>
    <w:p w14:paraId="7F985867" w14:textId="77777777" w:rsidR="009A1ED3" w:rsidRPr="00745C96" w:rsidRDefault="009A1ED3" w:rsidP="009A1ED3">
      <w:pPr>
        <w:ind w:left="0" w:firstLine="0"/>
        <w:jc w:val="both"/>
        <w:rPr>
          <w:rFonts w:ascii="Arial" w:hAnsi="Arial" w:cs="Arial"/>
          <w:lang w:val="fr-FR"/>
        </w:rPr>
      </w:pPr>
      <w:r w:rsidRPr="00745C96">
        <w:rPr>
          <w:rFonts w:ascii="Arial" w:hAnsi="Arial" w:cs="Arial"/>
          <w:lang w:val="fr-FR"/>
        </w:rPr>
        <w:t xml:space="preserve">Conformément à l'article 11, paragraphe 2, de la Convention et à l'article 30.1 de </w:t>
      </w:r>
      <w:r>
        <w:rPr>
          <w:rFonts w:ascii="Arial" w:hAnsi="Arial" w:cs="Arial"/>
          <w:lang w:val="fr-FR"/>
        </w:rPr>
        <w:t>ses règles de procédure</w:t>
      </w:r>
      <w:r w:rsidRPr="00745C96">
        <w:rPr>
          <w:rFonts w:ascii="Arial" w:hAnsi="Arial" w:cs="Arial"/>
          <w:lang w:val="fr-FR"/>
        </w:rPr>
        <w:t xml:space="preserve">, </w:t>
      </w:r>
      <w:r>
        <w:rPr>
          <w:rFonts w:ascii="Arial" w:hAnsi="Arial" w:cs="Arial"/>
          <w:lang w:val="fr-FR"/>
        </w:rPr>
        <w:t>l’AIG</w:t>
      </w:r>
      <w:r w:rsidRPr="00745C96">
        <w:rPr>
          <w:rFonts w:ascii="Arial" w:hAnsi="Arial" w:cs="Arial"/>
          <w:lang w:val="fr-FR"/>
        </w:rPr>
        <w:t xml:space="preserve"> invitera également les organisations non gouvernementales à fournir des informations pertinentes.</w:t>
      </w:r>
    </w:p>
    <w:p w14:paraId="12845F28" w14:textId="6CBEABE7" w:rsidR="009A1ED3" w:rsidRPr="00745C96" w:rsidRDefault="009A1ED3" w:rsidP="009A1ED3">
      <w:pPr>
        <w:ind w:left="0" w:firstLine="0"/>
        <w:jc w:val="both"/>
        <w:rPr>
          <w:rFonts w:ascii="Arial" w:hAnsi="Arial" w:cs="Arial"/>
          <w:lang w:val="fr-FR"/>
        </w:rPr>
      </w:pPr>
      <w:r w:rsidRPr="00745C96">
        <w:rPr>
          <w:rFonts w:ascii="Arial" w:hAnsi="Arial" w:cs="Arial"/>
          <w:lang w:val="fr-FR"/>
        </w:rPr>
        <w:t xml:space="preserve">Les réponses à ce questionnaire, </w:t>
      </w:r>
      <w:bookmarkStart w:id="2" w:name="_Hlk213420237"/>
      <w:r w:rsidR="00F3085A">
        <w:rPr>
          <w:rFonts w:ascii="Arial" w:hAnsi="Arial" w:cs="Arial"/>
          <w:lang w:val="fr-FR"/>
        </w:rPr>
        <w:t>ainsi que toute documentation complémentaire</w:t>
      </w:r>
      <w:bookmarkEnd w:id="2"/>
      <w:r w:rsidRPr="00745C96">
        <w:rPr>
          <w:rFonts w:ascii="Arial" w:hAnsi="Arial" w:cs="Arial"/>
          <w:lang w:val="fr-FR"/>
        </w:rPr>
        <w:t>, doivent être soumises dans l'une des langues officielles du Conseil de l'Europe (anglais ou français).</w:t>
      </w:r>
    </w:p>
    <w:p w14:paraId="3DA9D533" w14:textId="77777777" w:rsidR="00DA317A" w:rsidRPr="009A1ED3" w:rsidRDefault="00DA317A" w:rsidP="00DA317A">
      <w:pPr>
        <w:pStyle w:val="ListParagraph"/>
        <w:ind w:left="426" w:firstLine="0"/>
        <w:jc w:val="both"/>
        <w:rPr>
          <w:rFonts w:ascii="Arial" w:hAnsi="Arial" w:cs="Arial"/>
          <w:lang w:val="fr-FR"/>
        </w:rPr>
      </w:pPr>
    </w:p>
    <w:p w14:paraId="3764CDAF" w14:textId="77777777" w:rsidR="00DA317A" w:rsidRPr="00DC608A" w:rsidRDefault="00DA317A" w:rsidP="00DA317A">
      <w:pPr>
        <w:pStyle w:val="ListParagraph"/>
        <w:numPr>
          <w:ilvl w:val="0"/>
          <w:numId w:val="1"/>
        </w:numPr>
        <w:spacing w:before="0"/>
        <w:ind w:left="851" w:hanging="425"/>
        <w:jc w:val="both"/>
        <w:outlineLvl w:val="1"/>
        <w:rPr>
          <w:rFonts w:ascii="Arial" w:hAnsi="Arial" w:cs="Arial"/>
          <w:b/>
          <w:bCs/>
        </w:rPr>
      </w:pPr>
      <w:bookmarkStart w:id="3" w:name="_Toc213232687"/>
      <w:r>
        <w:rPr>
          <w:rFonts w:ascii="Arial" w:hAnsi="Arial" w:cs="Arial"/>
          <w:b/>
          <w:bCs/>
        </w:rPr>
        <w:t>Questions</w:t>
      </w:r>
      <w:bookmarkEnd w:id="3"/>
    </w:p>
    <w:p w14:paraId="31338958" w14:textId="77777777" w:rsidR="00DA317A" w:rsidRDefault="00DA317A" w:rsidP="00DA317A">
      <w:pPr>
        <w:pStyle w:val="NoSpacing"/>
        <w:ind w:left="426"/>
        <w:jc w:val="both"/>
      </w:pPr>
    </w:p>
    <w:p w14:paraId="3518FCCA"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Comment la gestion, la conservation et l'archivage des documents par les autorités publiques sont-</w:t>
      </w:r>
      <w:r>
        <w:rPr>
          <w:rFonts w:ascii="Arial" w:hAnsi="Arial" w:cs="Arial"/>
          <w:lang w:val="fr-FR"/>
        </w:rPr>
        <w:t>elles</w:t>
      </w:r>
      <w:r w:rsidRPr="00745C96">
        <w:rPr>
          <w:rFonts w:ascii="Arial" w:hAnsi="Arial" w:cs="Arial"/>
          <w:lang w:val="fr-FR"/>
        </w:rPr>
        <w:t xml:space="preserve"> réglementé</w:t>
      </w:r>
      <w:r>
        <w:rPr>
          <w:rFonts w:ascii="Arial" w:hAnsi="Arial" w:cs="Arial"/>
          <w:lang w:val="fr-FR"/>
        </w:rPr>
        <w:t>e</w:t>
      </w:r>
      <w:r w:rsidRPr="00745C96">
        <w:rPr>
          <w:rFonts w:ascii="Arial" w:hAnsi="Arial" w:cs="Arial"/>
          <w:lang w:val="fr-FR"/>
        </w:rPr>
        <w:t xml:space="preserve">s ? Veuillez fournir une traduction officielle des réglementations pertinentes dans l'une des langues du Conseil de l'Europe (anglais ou français). </w:t>
      </w:r>
    </w:p>
    <w:p w14:paraId="1AA68F5A" w14:textId="77777777" w:rsidR="009A1ED3" w:rsidRPr="00745C96" w:rsidRDefault="009A1ED3" w:rsidP="009A1ED3">
      <w:pPr>
        <w:pStyle w:val="NoSpacing"/>
        <w:ind w:left="426"/>
        <w:jc w:val="both"/>
        <w:rPr>
          <w:lang w:val="fr-FR"/>
        </w:rPr>
      </w:pPr>
    </w:p>
    <w:p w14:paraId="02D62B7E" w14:textId="4C8EE99F"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Tous les documents détenus par une autorité publique sont-ils enregistrés ? </w:t>
      </w:r>
      <w:r>
        <w:rPr>
          <w:rFonts w:ascii="Arial" w:hAnsi="Arial" w:cs="Arial"/>
          <w:lang w:val="fr-FR"/>
        </w:rPr>
        <w:t>Dans l’affirmative</w:t>
      </w:r>
      <w:r w:rsidRPr="00745C96">
        <w:rPr>
          <w:rFonts w:ascii="Arial" w:hAnsi="Arial" w:cs="Arial"/>
          <w:lang w:val="fr-FR"/>
        </w:rPr>
        <w:t xml:space="preserve">, quelles informations concernant les documents sont inscrites au registre ? Qui est responsable de l'enregistrement ? À quel moment </w:t>
      </w:r>
      <w:r>
        <w:rPr>
          <w:rFonts w:ascii="Arial" w:hAnsi="Arial" w:cs="Arial"/>
          <w:lang w:val="fr-FR"/>
        </w:rPr>
        <w:t xml:space="preserve">se fait </w:t>
      </w:r>
      <w:r w:rsidR="00F3085A">
        <w:rPr>
          <w:rFonts w:ascii="Arial" w:hAnsi="Arial" w:cs="Arial"/>
          <w:lang w:val="fr-FR"/>
        </w:rPr>
        <w:t>l’</w:t>
      </w:r>
      <w:r w:rsidRPr="00745C96">
        <w:rPr>
          <w:rFonts w:ascii="Arial" w:hAnsi="Arial" w:cs="Arial"/>
          <w:lang w:val="fr-FR"/>
        </w:rPr>
        <w:t>enregistrement</w:t>
      </w:r>
      <w:r>
        <w:rPr>
          <w:rFonts w:ascii="Arial" w:hAnsi="Arial" w:cs="Arial"/>
          <w:lang w:val="fr-FR"/>
        </w:rPr>
        <w:t xml:space="preserve"> </w:t>
      </w:r>
      <w:r w:rsidRPr="00745C96">
        <w:rPr>
          <w:rFonts w:ascii="Arial" w:hAnsi="Arial" w:cs="Arial"/>
          <w:lang w:val="fr-FR"/>
        </w:rPr>
        <w:t xml:space="preserve">? </w:t>
      </w:r>
    </w:p>
    <w:p w14:paraId="6D4F324C" w14:textId="77777777" w:rsidR="009A1ED3" w:rsidRPr="00745C96" w:rsidRDefault="009A1ED3" w:rsidP="009A1ED3">
      <w:pPr>
        <w:pStyle w:val="ListParagraph"/>
        <w:rPr>
          <w:rFonts w:ascii="Arial" w:hAnsi="Arial" w:cs="Arial"/>
          <w:lang w:val="fr-FR"/>
        </w:rPr>
      </w:pPr>
    </w:p>
    <w:p w14:paraId="1249904A"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Existe-t-il des exceptions aux exigences d'enregistrement des documents en fonction de leur contenu ? </w:t>
      </w:r>
    </w:p>
    <w:p w14:paraId="2B31290C" w14:textId="77777777" w:rsidR="009A1ED3" w:rsidRPr="00745C96" w:rsidRDefault="009A1ED3" w:rsidP="009A1ED3">
      <w:pPr>
        <w:pStyle w:val="ListParagraph"/>
        <w:rPr>
          <w:rFonts w:ascii="Arial" w:hAnsi="Arial" w:cs="Arial"/>
          <w:lang w:val="fr-FR"/>
        </w:rPr>
      </w:pPr>
    </w:p>
    <w:p w14:paraId="180073C0"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Existe-t-il des instructions ou des politiques en vigueur concernant l'enregistrement de la correspondance envoyée directement à/par un fonctionnaire ? </w:t>
      </w:r>
    </w:p>
    <w:p w14:paraId="64653DAD" w14:textId="77777777" w:rsidR="009A1ED3" w:rsidRPr="00745C96" w:rsidRDefault="009A1ED3" w:rsidP="009A1ED3">
      <w:pPr>
        <w:pStyle w:val="ListParagraph"/>
        <w:rPr>
          <w:rFonts w:ascii="Arial" w:hAnsi="Arial" w:cs="Arial"/>
          <w:lang w:val="fr-FR"/>
        </w:rPr>
      </w:pPr>
    </w:p>
    <w:p w14:paraId="1AFC0724"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Les registres des documents </w:t>
      </w:r>
      <w:r>
        <w:rPr>
          <w:rFonts w:ascii="Arial" w:hAnsi="Arial" w:cs="Arial"/>
          <w:lang w:val="fr-FR"/>
        </w:rPr>
        <w:t>public</w:t>
      </w:r>
      <w:r w:rsidRPr="00745C96">
        <w:rPr>
          <w:rFonts w:ascii="Arial" w:hAnsi="Arial" w:cs="Arial"/>
          <w:lang w:val="fr-FR"/>
        </w:rPr>
        <w:t xml:space="preserve">s sont-ils publics ? </w:t>
      </w:r>
    </w:p>
    <w:p w14:paraId="51AABC21" w14:textId="77777777" w:rsidR="009A1ED3" w:rsidRPr="00745C96" w:rsidRDefault="009A1ED3" w:rsidP="009A1ED3">
      <w:pPr>
        <w:pStyle w:val="ListParagraph"/>
        <w:rPr>
          <w:rFonts w:ascii="Arial" w:hAnsi="Arial" w:cs="Arial"/>
          <w:lang w:val="fr-FR"/>
        </w:rPr>
      </w:pPr>
    </w:p>
    <w:p w14:paraId="1E0025D7"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Les messages électroniques (courriels, SMS, etc.) sont-ils traités de la même manière que les documents </w:t>
      </w:r>
      <w:r>
        <w:rPr>
          <w:rFonts w:ascii="Arial" w:hAnsi="Arial" w:cs="Arial"/>
          <w:lang w:val="fr-FR"/>
        </w:rPr>
        <w:t>papier</w:t>
      </w:r>
      <w:r w:rsidRPr="00745C96">
        <w:rPr>
          <w:rFonts w:ascii="Arial" w:hAnsi="Arial" w:cs="Arial"/>
          <w:lang w:val="fr-FR"/>
        </w:rPr>
        <w:t xml:space="preserve"> ? </w:t>
      </w:r>
    </w:p>
    <w:p w14:paraId="06B87982" w14:textId="77777777" w:rsidR="009A1ED3" w:rsidRPr="00745C96" w:rsidRDefault="009A1ED3" w:rsidP="009A1ED3">
      <w:pPr>
        <w:pStyle w:val="ListParagraph"/>
        <w:spacing w:before="0"/>
        <w:ind w:left="426" w:firstLine="0"/>
        <w:jc w:val="both"/>
        <w:rPr>
          <w:rFonts w:ascii="Arial" w:hAnsi="Arial" w:cs="Arial"/>
          <w:lang w:val="fr-FR"/>
        </w:rPr>
      </w:pPr>
    </w:p>
    <w:p w14:paraId="6E1A1FE1"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Les autorités publiques </w:t>
      </w:r>
      <w:r>
        <w:rPr>
          <w:rFonts w:ascii="Arial" w:hAnsi="Arial" w:cs="Arial"/>
          <w:lang w:val="fr-FR"/>
        </w:rPr>
        <w:t>disposent</w:t>
      </w:r>
      <w:r w:rsidRPr="00745C96">
        <w:rPr>
          <w:rFonts w:ascii="Arial" w:hAnsi="Arial" w:cs="Arial"/>
          <w:lang w:val="fr-FR"/>
        </w:rPr>
        <w:t xml:space="preserve">-elles </w:t>
      </w:r>
      <w:r>
        <w:rPr>
          <w:rFonts w:ascii="Arial" w:hAnsi="Arial" w:cs="Arial"/>
          <w:lang w:val="fr-FR"/>
        </w:rPr>
        <w:t>d’</w:t>
      </w:r>
      <w:r w:rsidRPr="00745C96">
        <w:rPr>
          <w:rFonts w:ascii="Arial" w:hAnsi="Arial" w:cs="Arial"/>
          <w:lang w:val="fr-FR"/>
        </w:rPr>
        <w:t xml:space="preserve">un système commun pour l'enregistrement </w:t>
      </w:r>
      <w:r>
        <w:rPr>
          <w:rFonts w:ascii="Arial" w:hAnsi="Arial" w:cs="Arial"/>
          <w:lang w:val="fr-FR"/>
        </w:rPr>
        <w:br/>
      </w:r>
      <w:r w:rsidRPr="00745C96">
        <w:rPr>
          <w:rFonts w:ascii="Arial" w:hAnsi="Arial" w:cs="Arial"/>
          <w:lang w:val="fr-FR"/>
        </w:rPr>
        <w:t xml:space="preserve">des documents ou chaque autorité publique utilise-t-elle son propre système d'enregistrement ? </w:t>
      </w:r>
    </w:p>
    <w:p w14:paraId="7B45E8A8" w14:textId="77777777" w:rsidR="009A1ED3" w:rsidRPr="00745C96" w:rsidRDefault="009A1ED3" w:rsidP="009A1ED3">
      <w:pPr>
        <w:pStyle w:val="ListParagraph"/>
        <w:rPr>
          <w:rFonts w:ascii="Arial" w:hAnsi="Arial" w:cs="Arial"/>
          <w:lang w:val="fr-FR"/>
        </w:rPr>
      </w:pPr>
    </w:p>
    <w:p w14:paraId="43FB60DA"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lastRenderedPageBreak/>
        <w:t xml:space="preserve">Quels critères les autorités publiques appliquent-elles pour </w:t>
      </w:r>
      <w:r>
        <w:rPr>
          <w:rFonts w:ascii="Arial" w:hAnsi="Arial" w:cs="Arial"/>
          <w:lang w:val="fr-FR"/>
        </w:rPr>
        <w:t>l’archivage</w:t>
      </w:r>
      <w:r w:rsidRPr="00745C96">
        <w:rPr>
          <w:rFonts w:ascii="Arial" w:hAnsi="Arial" w:cs="Arial"/>
          <w:lang w:val="fr-FR"/>
        </w:rPr>
        <w:t xml:space="preserve"> des documents </w:t>
      </w:r>
      <w:r>
        <w:rPr>
          <w:rFonts w:ascii="Arial" w:hAnsi="Arial" w:cs="Arial"/>
          <w:lang w:val="fr-FR"/>
        </w:rPr>
        <w:t>public</w:t>
      </w:r>
      <w:r w:rsidRPr="00745C96">
        <w:rPr>
          <w:rFonts w:ascii="Arial" w:hAnsi="Arial" w:cs="Arial"/>
          <w:lang w:val="fr-FR"/>
        </w:rPr>
        <w:t xml:space="preserve">s ? Par exemple, dans quel format et où les documents sont-ils </w:t>
      </w:r>
      <w:r>
        <w:rPr>
          <w:rFonts w:ascii="Arial" w:hAnsi="Arial" w:cs="Arial"/>
          <w:lang w:val="fr-FR"/>
        </w:rPr>
        <w:t>archivé</w:t>
      </w:r>
      <w:r w:rsidRPr="00745C96">
        <w:rPr>
          <w:rFonts w:ascii="Arial" w:hAnsi="Arial" w:cs="Arial"/>
          <w:lang w:val="fr-FR"/>
        </w:rPr>
        <w:t xml:space="preserve">s ? </w:t>
      </w:r>
    </w:p>
    <w:p w14:paraId="1DBF73B9" w14:textId="77777777" w:rsidR="009A1ED3" w:rsidRPr="00745C96" w:rsidRDefault="009A1ED3" w:rsidP="009A1ED3">
      <w:pPr>
        <w:pStyle w:val="ListParagraph"/>
        <w:rPr>
          <w:rFonts w:ascii="Arial" w:hAnsi="Arial" w:cs="Arial"/>
          <w:lang w:val="fr-FR"/>
        </w:rPr>
      </w:pPr>
    </w:p>
    <w:p w14:paraId="54C74298"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Quels critères les autorités publiques appliquent-elles pour la conservation des documents et quelles sont les durées de conservation appliquées ?  </w:t>
      </w:r>
    </w:p>
    <w:p w14:paraId="7B529882" w14:textId="77777777" w:rsidR="009A1ED3" w:rsidRPr="00745C96" w:rsidRDefault="009A1ED3" w:rsidP="009A1ED3">
      <w:pPr>
        <w:pStyle w:val="ListParagraph"/>
        <w:ind w:left="426"/>
        <w:jc w:val="both"/>
        <w:rPr>
          <w:rFonts w:ascii="Arial" w:hAnsi="Arial" w:cs="Arial"/>
          <w:lang w:val="fr-FR"/>
        </w:rPr>
      </w:pPr>
    </w:p>
    <w:p w14:paraId="2AB1A485"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 xml:space="preserve">Quels critères les autorités publiques appliquent-elles pour transférer les documents vers les archives ? </w:t>
      </w:r>
    </w:p>
    <w:p w14:paraId="7C014E5E" w14:textId="77777777" w:rsidR="009A1ED3" w:rsidRPr="00745C96" w:rsidRDefault="009A1ED3" w:rsidP="009A1ED3">
      <w:pPr>
        <w:pStyle w:val="ListParagraph"/>
        <w:spacing w:before="0"/>
        <w:ind w:left="426" w:firstLine="0"/>
        <w:jc w:val="both"/>
        <w:rPr>
          <w:rFonts w:ascii="Arial" w:hAnsi="Arial" w:cs="Arial"/>
          <w:lang w:val="fr-FR"/>
        </w:rPr>
      </w:pPr>
    </w:p>
    <w:p w14:paraId="592853FF"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Quels critères les autorités publiques appliquent-elles pour éliminer/détruire des documents ?</w:t>
      </w:r>
    </w:p>
    <w:p w14:paraId="7B2B548B" w14:textId="77777777" w:rsidR="009A1ED3" w:rsidRPr="00745C96" w:rsidRDefault="009A1ED3" w:rsidP="009A1ED3">
      <w:pPr>
        <w:pStyle w:val="ListParagraph"/>
        <w:rPr>
          <w:rFonts w:ascii="Arial" w:hAnsi="Arial" w:cs="Arial"/>
          <w:lang w:val="fr-FR"/>
        </w:rPr>
      </w:pPr>
    </w:p>
    <w:p w14:paraId="485762D0" w14:textId="77777777" w:rsidR="009A1ED3" w:rsidRPr="00745C96" w:rsidRDefault="009A1ED3" w:rsidP="009A1ED3">
      <w:pPr>
        <w:pStyle w:val="ListParagraph"/>
        <w:numPr>
          <w:ilvl w:val="0"/>
          <w:numId w:val="2"/>
        </w:numPr>
        <w:spacing w:before="0"/>
        <w:ind w:left="426"/>
        <w:jc w:val="both"/>
        <w:rPr>
          <w:rFonts w:ascii="Arial" w:hAnsi="Arial" w:cs="Arial"/>
          <w:lang w:val="fr-FR"/>
        </w:rPr>
      </w:pPr>
      <w:r w:rsidRPr="00745C96">
        <w:rPr>
          <w:rFonts w:ascii="Arial" w:hAnsi="Arial" w:cs="Arial"/>
          <w:lang w:val="fr-FR"/>
        </w:rPr>
        <w:t>Veuillez décrire la jurisprudence et/ou la pratique existante</w:t>
      </w:r>
      <w:r>
        <w:rPr>
          <w:rFonts w:ascii="Arial" w:hAnsi="Arial" w:cs="Arial"/>
          <w:lang w:val="fr-FR"/>
        </w:rPr>
        <w:t>(</w:t>
      </w:r>
      <w:r w:rsidRPr="00745C96">
        <w:rPr>
          <w:rFonts w:ascii="Arial" w:hAnsi="Arial" w:cs="Arial"/>
          <w:lang w:val="fr-FR"/>
        </w:rPr>
        <w:t>s</w:t>
      </w:r>
      <w:r>
        <w:rPr>
          <w:rFonts w:ascii="Arial" w:hAnsi="Arial" w:cs="Arial"/>
          <w:lang w:val="fr-FR"/>
        </w:rPr>
        <w:t>)</w:t>
      </w:r>
      <w:r w:rsidRPr="00745C96">
        <w:rPr>
          <w:rFonts w:ascii="Arial" w:hAnsi="Arial" w:cs="Arial"/>
          <w:lang w:val="fr-FR"/>
        </w:rPr>
        <w:t xml:space="preserve"> en matière de gestion et de conservation des documents (par les tribunaux, les </w:t>
      </w:r>
      <w:proofErr w:type="spellStart"/>
      <w:r>
        <w:rPr>
          <w:rFonts w:ascii="Arial" w:hAnsi="Arial" w:cs="Arial"/>
          <w:lang w:val="fr-FR"/>
        </w:rPr>
        <w:t>Ombudpersons</w:t>
      </w:r>
      <w:proofErr w:type="spellEnd"/>
      <w:r w:rsidRPr="00745C96">
        <w:rPr>
          <w:rFonts w:ascii="Arial" w:hAnsi="Arial" w:cs="Arial"/>
          <w:lang w:val="fr-FR"/>
        </w:rPr>
        <w:t xml:space="preserve">, les commissaires à l'information, etc.). </w:t>
      </w:r>
    </w:p>
    <w:p w14:paraId="5B76AB64" w14:textId="77777777" w:rsidR="009A1ED3" w:rsidRPr="00745C96" w:rsidRDefault="009A1ED3" w:rsidP="009A1ED3">
      <w:pPr>
        <w:pStyle w:val="ListParagraph"/>
        <w:spacing w:before="0"/>
        <w:ind w:left="426" w:firstLine="0"/>
        <w:jc w:val="both"/>
        <w:rPr>
          <w:rFonts w:ascii="Arial" w:hAnsi="Arial" w:cs="Arial"/>
          <w:lang w:val="fr-FR"/>
        </w:rPr>
      </w:pPr>
    </w:p>
    <w:p w14:paraId="27C32E8B" w14:textId="77777777" w:rsidR="00AD2E47" w:rsidRPr="009A1ED3" w:rsidRDefault="00AD2E47" w:rsidP="009A1ED3">
      <w:pPr>
        <w:pStyle w:val="ListParagraph"/>
        <w:spacing w:before="0"/>
        <w:ind w:left="426" w:firstLine="0"/>
        <w:jc w:val="both"/>
        <w:rPr>
          <w:rFonts w:ascii="Arial" w:hAnsi="Arial" w:cs="Arial"/>
          <w:lang w:val="fr-FR"/>
        </w:rPr>
      </w:pPr>
    </w:p>
    <w:sectPr w:rsidR="00AD2E47" w:rsidRPr="009A1ED3" w:rsidSect="00AD2E47">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545ED" w14:textId="77777777" w:rsidR="00AD2E47" w:rsidRDefault="00AD2E47" w:rsidP="00AD2E47">
      <w:pPr>
        <w:spacing w:before="0" w:line="240" w:lineRule="auto"/>
      </w:pPr>
      <w:r>
        <w:separator/>
      </w:r>
    </w:p>
  </w:endnote>
  <w:endnote w:type="continuationSeparator" w:id="0">
    <w:p w14:paraId="5978869E" w14:textId="77777777" w:rsidR="00AD2E47" w:rsidRDefault="00AD2E47" w:rsidP="00AD2E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92162"/>
      <w:docPartObj>
        <w:docPartGallery w:val="Page Numbers (Bottom of Page)"/>
        <w:docPartUnique/>
      </w:docPartObj>
    </w:sdtPr>
    <w:sdtEndPr>
      <w:rPr>
        <w:noProof/>
      </w:rPr>
    </w:sdtEndPr>
    <w:sdtContent>
      <w:p w14:paraId="42C4CC70" w14:textId="77777777" w:rsidR="00A9181C" w:rsidRDefault="00A9181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2E3C02E" w14:textId="77777777" w:rsidR="00A9181C" w:rsidRDefault="00A9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14F9" w14:textId="77777777" w:rsidR="00AD2E47" w:rsidRDefault="00AD2E47" w:rsidP="00AD2E47">
      <w:pPr>
        <w:spacing w:before="0" w:line="240" w:lineRule="auto"/>
      </w:pPr>
      <w:r>
        <w:separator/>
      </w:r>
    </w:p>
  </w:footnote>
  <w:footnote w:type="continuationSeparator" w:id="0">
    <w:p w14:paraId="0252B15B" w14:textId="77777777" w:rsidR="00AD2E47" w:rsidRDefault="00AD2E47" w:rsidP="00AD2E4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99D0" w14:textId="552C43A4" w:rsidR="00A9181C" w:rsidRPr="00D10E12" w:rsidRDefault="00A9181C" w:rsidP="002C573D">
    <w:pPr>
      <w:pStyle w:val="Header"/>
      <w:ind w:left="720"/>
      <w:jc w:val="right"/>
      <w:rPr>
        <w:rFonts w:ascii="Arial" w:hAnsi="Arial" w:cs="Arial"/>
      </w:rPr>
    </w:pPr>
    <w:r w:rsidRPr="00D10E12">
      <w:rPr>
        <w:rFonts w:ascii="Arial" w:hAnsi="Arial" w:cs="Arial"/>
      </w:rPr>
      <w:t>AIG(202</w:t>
    </w:r>
    <w:r>
      <w:rPr>
        <w:rFonts w:ascii="Arial" w:hAnsi="Arial" w:cs="Arial"/>
      </w:rPr>
      <w:t>5</w:t>
    </w:r>
    <w:r w:rsidRPr="00D10E12">
      <w:rPr>
        <w:rFonts w:ascii="Arial" w:hAnsi="Arial" w:cs="Arial"/>
      </w:rPr>
      <w:t>)</w:t>
    </w:r>
    <w:r w:rsidR="00AD2E47">
      <w:rPr>
        <w:rFonts w:ascii="Arial" w:hAnsi="Arial" w:cs="Arial"/>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978" w14:textId="77777777" w:rsidR="00A9181C" w:rsidRDefault="00A9181C" w:rsidP="006C0808">
    <w:pPr>
      <w:pStyle w:val="Header"/>
      <w:ind w:left="720"/>
      <w:jc w:val="right"/>
    </w:pPr>
    <w:r>
      <w:rPr>
        <w:noProof/>
      </w:rPr>
      <w:drawing>
        <wp:inline distT="0" distB="0" distL="0" distR="0" wp14:anchorId="7C1DAE07" wp14:editId="19AA3BEE">
          <wp:extent cx="2434590" cy="890905"/>
          <wp:effectExtent l="0" t="0" r="3810" b="4445"/>
          <wp:docPr id="1560158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58713"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90" cy="890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849"/>
    <w:multiLevelType w:val="hybridMultilevel"/>
    <w:tmpl w:val="D82A4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614C14"/>
    <w:multiLevelType w:val="hybridMultilevel"/>
    <w:tmpl w:val="D82A49A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0E65AC3"/>
    <w:multiLevelType w:val="hybridMultilevel"/>
    <w:tmpl w:val="690EB530"/>
    <w:lvl w:ilvl="0" w:tplc="5898516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535F2678"/>
    <w:multiLevelType w:val="hybridMultilevel"/>
    <w:tmpl w:val="C77C54B2"/>
    <w:lvl w:ilvl="0" w:tplc="591844F4">
      <w:start w:val="1"/>
      <w:numFmt w:val="upp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915705456">
    <w:abstractNumId w:val="3"/>
  </w:num>
  <w:num w:numId="2" w16cid:durableId="2003653427">
    <w:abstractNumId w:val="0"/>
  </w:num>
  <w:num w:numId="3" w16cid:durableId="178351892">
    <w:abstractNumId w:val="2"/>
  </w:num>
  <w:num w:numId="4" w16cid:durableId="595558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47"/>
    <w:rsid w:val="000C649F"/>
    <w:rsid w:val="00364D85"/>
    <w:rsid w:val="004B6825"/>
    <w:rsid w:val="0054799E"/>
    <w:rsid w:val="005F039E"/>
    <w:rsid w:val="006C431B"/>
    <w:rsid w:val="00726930"/>
    <w:rsid w:val="0076798E"/>
    <w:rsid w:val="007801B2"/>
    <w:rsid w:val="00785C72"/>
    <w:rsid w:val="00985445"/>
    <w:rsid w:val="009A1ED3"/>
    <w:rsid w:val="00A9181C"/>
    <w:rsid w:val="00AD2E47"/>
    <w:rsid w:val="00BA3D02"/>
    <w:rsid w:val="00BD344D"/>
    <w:rsid w:val="00BF4C33"/>
    <w:rsid w:val="00C14DA0"/>
    <w:rsid w:val="00CA40A7"/>
    <w:rsid w:val="00DA317A"/>
    <w:rsid w:val="00E73E4E"/>
    <w:rsid w:val="00EB29C4"/>
    <w:rsid w:val="00F308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A680"/>
  <w15:chartTrackingRefBased/>
  <w15:docId w15:val="{4D1BE4B9-AF8E-40F3-9C67-5A30C00B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47"/>
    <w:pPr>
      <w:spacing w:before="160" w:after="0"/>
      <w:ind w:left="357" w:hanging="357"/>
    </w:pPr>
    <w:rPr>
      <w:rFonts w:ascii="Garamond" w:eastAsia="Garamond" w:hAnsi="Garamond" w:cs="Garamond"/>
      <w:kern w:val="0"/>
      <w14:ligatures w14:val="none"/>
    </w:rPr>
  </w:style>
  <w:style w:type="paragraph" w:styleId="Heading1">
    <w:name w:val="heading 1"/>
    <w:basedOn w:val="Normal"/>
    <w:next w:val="Normal"/>
    <w:link w:val="Heading1Char"/>
    <w:uiPriority w:val="9"/>
    <w:qFormat/>
    <w:rsid w:val="00AD2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E47"/>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E47"/>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E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E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E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E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E47"/>
    <w:rPr>
      <w:rFonts w:eastAsiaTheme="majorEastAsia" w:cstheme="majorBidi"/>
      <w:color w:val="272727" w:themeColor="text1" w:themeTint="D8"/>
    </w:rPr>
  </w:style>
  <w:style w:type="paragraph" w:styleId="Title">
    <w:name w:val="Title"/>
    <w:basedOn w:val="Normal"/>
    <w:next w:val="Normal"/>
    <w:link w:val="TitleChar"/>
    <w:uiPriority w:val="10"/>
    <w:qFormat/>
    <w:rsid w:val="00AD2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47"/>
    <w:pPr>
      <w:numPr>
        <w:ilvl w:val="1"/>
      </w:numPr>
      <w:spacing w:after="160"/>
      <w:ind w:left="357" w:firstLine="45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E47"/>
    <w:pPr>
      <w:spacing w:after="160"/>
      <w:jc w:val="center"/>
    </w:pPr>
    <w:rPr>
      <w:i/>
      <w:iCs/>
      <w:color w:val="404040" w:themeColor="text1" w:themeTint="BF"/>
    </w:rPr>
  </w:style>
  <w:style w:type="character" w:customStyle="1" w:styleId="QuoteChar">
    <w:name w:val="Quote Char"/>
    <w:basedOn w:val="DefaultParagraphFont"/>
    <w:link w:val="Quote"/>
    <w:uiPriority w:val="29"/>
    <w:rsid w:val="00AD2E47"/>
    <w:rPr>
      <w:i/>
      <w:iCs/>
      <w:color w:val="404040" w:themeColor="text1" w:themeTint="BF"/>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AD2E47"/>
    <w:pPr>
      <w:ind w:left="720"/>
      <w:contextualSpacing/>
    </w:pPr>
  </w:style>
  <w:style w:type="character" w:styleId="IntenseEmphasis">
    <w:name w:val="Intense Emphasis"/>
    <w:basedOn w:val="DefaultParagraphFont"/>
    <w:uiPriority w:val="21"/>
    <w:qFormat/>
    <w:rsid w:val="00AD2E47"/>
    <w:rPr>
      <w:i/>
      <w:iCs/>
      <w:color w:val="0F4761" w:themeColor="accent1" w:themeShade="BF"/>
    </w:rPr>
  </w:style>
  <w:style w:type="paragraph" w:styleId="IntenseQuote">
    <w:name w:val="Intense Quote"/>
    <w:basedOn w:val="Normal"/>
    <w:next w:val="Normal"/>
    <w:link w:val="IntenseQuoteChar"/>
    <w:uiPriority w:val="30"/>
    <w:qFormat/>
    <w:rsid w:val="00AD2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E47"/>
    <w:rPr>
      <w:i/>
      <w:iCs/>
      <w:color w:val="0F4761" w:themeColor="accent1" w:themeShade="BF"/>
    </w:rPr>
  </w:style>
  <w:style w:type="character" w:styleId="IntenseReference">
    <w:name w:val="Intense Reference"/>
    <w:basedOn w:val="DefaultParagraphFont"/>
    <w:uiPriority w:val="32"/>
    <w:qFormat/>
    <w:rsid w:val="00AD2E47"/>
    <w:rPr>
      <w:b/>
      <w:bCs/>
      <w:smallCaps/>
      <w:color w:val="0F4761" w:themeColor="accent1" w:themeShade="BF"/>
      <w:spacing w:val="5"/>
    </w:rPr>
  </w:style>
  <w:style w:type="paragraph" w:customStyle="1" w:styleId="Default">
    <w:name w:val="Default"/>
    <w:rsid w:val="00AD2E47"/>
    <w:pPr>
      <w:autoSpaceDE w:val="0"/>
      <w:autoSpaceDN w:val="0"/>
      <w:adjustRightInd w:val="0"/>
      <w:spacing w:before="160" w:after="0" w:line="240" w:lineRule="auto"/>
      <w:ind w:left="567" w:hanging="142"/>
      <w:jc w:val="both"/>
    </w:pPr>
    <w:rPr>
      <w:rFonts w:ascii="Arial" w:hAnsi="Arial" w:cs="Arial"/>
      <w:color w:val="000000"/>
      <w:kern w:val="0"/>
      <w:sz w:val="24"/>
      <w:szCs w:val="24"/>
      <w:lang w:val="fr-FR"/>
      <w14:ligatures w14:val="none"/>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locked/>
    <w:rsid w:val="00AD2E47"/>
  </w:style>
  <w:style w:type="paragraph" w:styleId="TOCHeading">
    <w:name w:val="TOC Heading"/>
    <w:basedOn w:val="Heading1"/>
    <w:next w:val="Normal"/>
    <w:uiPriority w:val="39"/>
    <w:unhideWhenUsed/>
    <w:qFormat/>
    <w:rsid w:val="00AD2E47"/>
    <w:pPr>
      <w:spacing w:before="240" w:after="160"/>
      <w:ind w:firstLine="0"/>
      <w:outlineLvl w:val="9"/>
    </w:pPr>
    <w:rPr>
      <w:sz w:val="32"/>
      <w:szCs w:val="32"/>
      <w:lang w:val="en-US"/>
    </w:rPr>
  </w:style>
  <w:style w:type="paragraph" w:styleId="TOC1">
    <w:name w:val="toc 1"/>
    <w:basedOn w:val="Normal"/>
    <w:next w:val="Normal"/>
    <w:autoRedefine/>
    <w:uiPriority w:val="39"/>
    <w:unhideWhenUsed/>
    <w:rsid w:val="00AD2E47"/>
    <w:pPr>
      <w:tabs>
        <w:tab w:val="left" w:pos="440"/>
        <w:tab w:val="right" w:leader="dot" w:pos="9016"/>
      </w:tabs>
      <w:spacing w:after="100"/>
      <w:ind w:left="0" w:firstLine="0"/>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AD2E47"/>
    <w:rPr>
      <w:color w:val="467886" w:themeColor="hyperlink"/>
      <w:u w:val="single"/>
    </w:rPr>
  </w:style>
  <w:style w:type="paragraph" w:styleId="TOC2">
    <w:name w:val="toc 2"/>
    <w:basedOn w:val="Normal"/>
    <w:next w:val="Normal"/>
    <w:autoRedefine/>
    <w:uiPriority w:val="39"/>
    <w:unhideWhenUsed/>
    <w:rsid w:val="00AD2E47"/>
    <w:pPr>
      <w:spacing w:after="100"/>
      <w:ind w:left="220" w:firstLine="0"/>
    </w:pPr>
    <w:rPr>
      <w:rFonts w:asciiTheme="minorHAnsi" w:eastAsiaTheme="minorHAnsi" w:hAnsiTheme="minorHAnsi" w:cstheme="minorBidi"/>
      <w:kern w:val="2"/>
      <w14:ligatures w14:val="standardContextual"/>
    </w:rPr>
  </w:style>
  <w:style w:type="paragraph" w:styleId="Header">
    <w:name w:val="header"/>
    <w:basedOn w:val="Normal"/>
    <w:link w:val="HeaderChar"/>
    <w:uiPriority w:val="99"/>
    <w:unhideWhenUsed/>
    <w:rsid w:val="00AD2E47"/>
    <w:pPr>
      <w:tabs>
        <w:tab w:val="center" w:pos="4513"/>
        <w:tab w:val="right" w:pos="9026"/>
      </w:tabs>
      <w:ind w:left="0" w:firstLine="0"/>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AD2E47"/>
  </w:style>
  <w:style w:type="paragraph" w:styleId="Footer">
    <w:name w:val="footer"/>
    <w:basedOn w:val="Normal"/>
    <w:link w:val="FooterChar"/>
    <w:uiPriority w:val="99"/>
    <w:unhideWhenUsed/>
    <w:rsid w:val="00AD2E47"/>
    <w:pPr>
      <w:tabs>
        <w:tab w:val="center" w:pos="4513"/>
        <w:tab w:val="right" w:pos="9026"/>
      </w:tabs>
      <w:ind w:left="0" w:firstLine="0"/>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AD2E47"/>
  </w:style>
  <w:style w:type="paragraph" w:styleId="NoSpacing">
    <w:name w:val="No Spacing"/>
    <w:uiPriority w:val="1"/>
    <w:qFormat/>
    <w:rsid w:val="00AD2E47"/>
    <w:pPr>
      <w:spacing w:after="0" w:line="240" w:lineRule="auto"/>
      <w:ind w:left="357" w:hanging="357"/>
    </w:pPr>
    <w:rPr>
      <w:rFonts w:ascii="Garamond" w:eastAsia="Garamond" w:hAnsi="Garamond" w:cs="Garamond"/>
      <w:kern w:val="0"/>
      <w14:ligatures w14:val="none"/>
    </w:rPr>
  </w:style>
  <w:style w:type="table" w:styleId="TableGrid">
    <w:name w:val="Table Grid"/>
    <w:basedOn w:val="TableNormal"/>
    <w:uiPriority w:val="39"/>
    <w:rsid w:val="00AD2E4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THACI Elvana</dc:creator>
  <cp:keywords/>
  <dc:description/>
  <cp:lastModifiedBy>THACI Elvana</cp:lastModifiedBy>
  <cp:revision>6</cp:revision>
  <dcterms:created xsi:type="dcterms:W3CDTF">2025-11-06T16:16:00Z</dcterms:created>
  <dcterms:modified xsi:type="dcterms:W3CDTF">2025-11-07T14:14:00Z</dcterms:modified>
</cp:coreProperties>
</file>