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555C" w14:textId="77777777" w:rsidR="008D4928" w:rsidRDefault="00000000">
      <w:pPr>
        <w:pStyle w:val="Heading1"/>
      </w:pPr>
      <w:r>
        <w:t>Proposal for Negotiations on the Creation of a Carbon Credit Financial Instrument</w:t>
      </w:r>
    </w:p>
    <w:p w14:paraId="16B282B1" w14:textId="77777777" w:rsidR="008D4928" w:rsidRDefault="008D4928"/>
    <w:p w14:paraId="594C72BA" w14:textId="77777777" w:rsidR="008D4928" w:rsidRDefault="00000000">
      <w:r>
        <w:rPr>
          <w:b/>
        </w:rPr>
        <w:t xml:space="preserve">Submitted by: </w:t>
      </w:r>
      <w:r>
        <w:t>Project Spruce OÜ (Ecobase)</w:t>
      </w:r>
    </w:p>
    <w:p w14:paraId="64DA2CC6" w14:textId="77777777" w:rsidR="008D4928" w:rsidRDefault="00000000">
      <w:r>
        <w:rPr>
          <w:b/>
        </w:rPr>
        <w:t xml:space="preserve">Addressed to: </w:t>
      </w:r>
      <w:r>
        <w:t>State Forest Management Centre (RMK)</w:t>
      </w:r>
    </w:p>
    <w:p w14:paraId="20F494A7" w14:textId="77777777" w:rsidR="008D4928" w:rsidRDefault="00000000">
      <w:r>
        <w:rPr>
          <w:b/>
        </w:rPr>
        <w:t xml:space="preserve">Date: </w:t>
      </w:r>
      <w:r>
        <w:t>5 March 2026</w:t>
      </w:r>
    </w:p>
    <w:p w14:paraId="61F793A5" w14:textId="77777777" w:rsidR="008D4928" w:rsidRDefault="00000000">
      <w:r>
        <w:rPr>
          <w:b/>
        </w:rPr>
        <w:t xml:space="preserve">Reference: </w:t>
      </w:r>
      <w:r>
        <w:t>RMK Management Board decision No. 1-32/13, 17 February 2026</w:t>
      </w:r>
    </w:p>
    <w:p w14:paraId="71E81DFE" w14:textId="77777777" w:rsidR="008D4928" w:rsidRDefault="00000000">
      <w:pPr>
        <w:pStyle w:val="Heading2"/>
      </w:pPr>
      <w:r>
        <w:t>1. Company Information</w:t>
      </w:r>
    </w:p>
    <w:tbl>
      <w:tblPr>
        <w:tblStyle w:val="TableGrid"/>
        <w:tblW w:w="0" w:type="auto"/>
        <w:tblLook w:val="04A0" w:firstRow="1" w:lastRow="0" w:firstColumn="1" w:lastColumn="0" w:noHBand="0" w:noVBand="1"/>
      </w:tblPr>
      <w:tblGrid>
        <w:gridCol w:w="4703"/>
        <w:gridCol w:w="4703"/>
      </w:tblGrid>
      <w:tr w:rsidR="008D4928" w14:paraId="6C94A0E1" w14:textId="77777777">
        <w:tc>
          <w:tcPr>
            <w:tcW w:w="4703" w:type="dxa"/>
            <w:shd w:val="clear" w:color="auto" w:fill="1B3A4B"/>
          </w:tcPr>
          <w:p w14:paraId="70D39F8B" w14:textId="77777777" w:rsidR="008D4928" w:rsidRDefault="008D4928"/>
        </w:tc>
        <w:tc>
          <w:tcPr>
            <w:tcW w:w="4703" w:type="dxa"/>
            <w:shd w:val="clear" w:color="auto" w:fill="1B3A4B"/>
          </w:tcPr>
          <w:p w14:paraId="019C8485" w14:textId="77777777" w:rsidR="008D4928" w:rsidRDefault="008D4928"/>
        </w:tc>
      </w:tr>
      <w:tr w:rsidR="008D4928" w14:paraId="6E44CAA8" w14:textId="77777777">
        <w:tc>
          <w:tcPr>
            <w:tcW w:w="4703" w:type="dxa"/>
          </w:tcPr>
          <w:p w14:paraId="1CECCB48" w14:textId="77777777" w:rsidR="008D4928" w:rsidRDefault="00000000">
            <w:r>
              <w:rPr>
                <w:b/>
                <w:sz w:val="20"/>
              </w:rPr>
              <w:t>Company name</w:t>
            </w:r>
          </w:p>
        </w:tc>
        <w:tc>
          <w:tcPr>
            <w:tcW w:w="4703" w:type="dxa"/>
          </w:tcPr>
          <w:p w14:paraId="433F4B9E" w14:textId="77777777" w:rsidR="008D4928" w:rsidRDefault="00000000">
            <w:r>
              <w:rPr>
                <w:sz w:val="20"/>
              </w:rPr>
              <w:t>Project Spruce OÜ (brand name: Ecobase)</w:t>
            </w:r>
          </w:p>
        </w:tc>
      </w:tr>
      <w:tr w:rsidR="008D4928" w14:paraId="3B451EA0" w14:textId="77777777">
        <w:tc>
          <w:tcPr>
            <w:tcW w:w="4703" w:type="dxa"/>
            <w:shd w:val="clear" w:color="auto" w:fill="F2F7FA"/>
          </w:tcPr>
          <w:p w14:paraId="601F7C33" w14:textId="77777777" w:rsidR="008D4928" w:rsidRDefault="00000000">
            <w:r>
              <w:rPr>
                <w:b/>
                <w:sz w:val="20"/>
              </w:rPr>
              <w:t>Registry code</w:t>
            </w:r>
          </w:p>
        </w:tc>
        <w:tc>
          <w:tcPr>
            <w:tcW w:w="4703" w:type="dxa"/>
            <w:shd w:val="clear" w:color="auto" w:fill="F2F7FA"/>
          </w:tcPr>
          <w:p w14:paraId="32ECA365" w14:textId="77777777" w:rsidR="008D4928" w:rsidRDefault="00000000">
            <w:r>
              <w:rPr>
                <w:sz w:val="20"/>
              </w:rPr>
              <w:t>16237158</w:t>
            </w:r>
          </w:p>
        </w:tc>
      </w:tr>
      <w:tr w:rsidR="008D4928" w14:paraId="4FB614AF" w14:textId="77777777">
        <w:tc>
          <w:tcPr>
            <w:tcW w:w="4703" w:type="dxa"/>
          </w:tcPr>
          <w:p w14:paraId="65B4BE28" w14:textId="77777777" w:rsidR="008D4928" w:rsidRDefault="00000000">
            <w:r>
              <w:rPr>
                <w:b/>
                <w:sz w:val="20"/>
              </w:rPr>
              <w:t>Address</w:t>
            </w:r>
          </w:p>
        </w:tc>
        <w:tc>
          <w:tcPr>
            <w:tcW w:w="4703" w:type="dxa"/>
          </w:tcPr>
          <w:p w14:paraId="61F00329" w14:textId="77777777" w:rsidR="008D4928" w:rsidRDefault="00000000">
            <w:r>
              <w:rPr>
                <w:sz w:val="20"/>
              </w:rPr>
              <w:t>Laagri, Angerja küla, Kohila vald, Rapla maakond, 79741, Estonia</w:t>
            </w:r>
          </w:p>
        </w:tc>
      </w:tr>
      <w:tr w:rsidR="008D4928" w14:paraId="317E256F" w14:textId="77777777">
        <w:tc>
          <w:tcPr>
            <w:tcW w:w="4703" w:type="dxa"/>
            <w:shd w:val="clear" w:color="auto" w:fill="F2F7FA"/>
          </w:tcPr>
          <w:p w14:paraId="174460C8" w14:textId="77777777" w:rsidR="008D4928" w:rsidRDefault="00000000">
            <w:r>
              <w:rPr>
                <w:b/>
                <w:sz w:val="20"/>
              </w:rPr>
              <w:t>Website</w:t>
            </w:r>
          </w:p>
        </w:tc>
        <w:tc>
          <w:tcPr>
            <w:tcW w:w="4703" w:type="dxa"/>
            <w:shd w:val="clear" w:color="auto" w:fill="F2F7FA"/>
          </w:tcPr>
          <w:p w14:paraId="35419F04" w14:textId="77777777" w:rsidR="008D4928" w:rsidRDefault="00000000">
            <w:r>
              <w:rPr>
                <w:sz w:val="20"/>
              </w:rPr>
              <w:t>www.ecobase.earth</w:t>
            </w:r>
          </w:p>
        </w:tc>
      </w:tr>
      <w:tr w:rsidR="008D4928" w14:paraId="45CD6571" w14:textId="77777777">
        <w:tc>
          <w:tcPr>
            <w:tcW w:w="4703" w:type="dxa"/>
          </w:tcPr>
          <w:p w14:paraId="4F6EEA04" w14:textId="77777777" w:rsidR="008D4928" w:rsidRDefault="00000000">
            <w:r>
              <w:rPr>
                <w:b/>
                <w:sz w:val="20"/>
              </w:rPr>
              <w:t>Contact person</w:t>
            </w:r>
          </w:p>
        </w:tc>
        <w:tc>
          <w:tcPr>
            <w:tcW w:w="4703" w:type="dxa"/>
          </w:tcPr>
          <w:p w14:paraId="6D147B5C" w14:textId="77777777" w:rsidR="008D4928" w:rsidRDefault="00000000">
            <w:r>
              <w:rPr>
                <w:sz w:val="20"/>
              </w:rPr>
              <w:t>Jaan Sepping, CEO</w:t>
            </w:r>
          </w:p>
        </w:tc>
      </w:tr>
      <w:tr w:rsidR="008D4928" w14:paraId="4743CCB5" w14:textId="77777777">
        <w:tc>
          <w:tcPr>
            <w:tcW w:w="4703" w:type="dxa"/>
            <w:shd w:val="clear" w:color="auto" w:fill="F2F7FA"/>
          </w:tcPr>
          <w:p w14:paraId="73B984FA" w14:textId="77777777" w:rsidR="008D4928" w:rsidRDefault="00000000">
            <w:r>
              <w:rPr>
                <w:b/>
                <w:sz w:val="20"/>
              </w:rPr>
              <w:t>Phone</w:t>
            </w:r>
          </w:p>
        </w:tc>
        <w:tc>
          <w:tcPr>
            <w:tcW w:w="4703" w:type="dxa"/>
            <w:shd w:val="clear" w:color="auto" w:fill="F2F7FA"/>
          </w:tcPr>
          <w:p w14:paraId="2F2F5E5C" w14:textId="77777777" w:rsidR="008D4928" w:rsidRDefault="00000000">
            <w:r>
              <w:rPr>
                <w:sz w:val="20"/>
              </w:rPr>
              <w:t>+372 5826 7810</w:t>
            </w:r>
          </w:p>
        </w:tc>
      </w:tr>
      <w:tr w:rsidR="008D4928" w14:paraId="4DABEB3C" w14:textId="77777777">
        <w:tc>
          <w:tcPr>
            <w:tcW w:w="4703" w:type="dxa"/>
          </w:tcPr>
          <w:p w14:paraId="0F111B11" w14:textId="77777777" w:rsidR="008D4928" w:rsidRDefault="00000000">
            <w:r>
              <w:rPr>
                <w:b/>
                <w:sz w:val="20"/>
              </w:rPr>
              <w:t>Email</w:t>
            </w:r>
          </w:p>
        </w:tc>
        <w:tc>
          <w:tcPr>
            <w:tcW w:w="4703" w:type="dxa"/>
          </w:tcPr>
          <w:p w14:paraId="1E481074" w14:textId="77777777" w:rsidR="008D4928" w:rsidRDefault="00000000">
            <w:r>
              <w:rPr>
                <w:sz w:val="20"/>
              </w:rPr>
              <w:t>jaan@ecobase.earth</w:t>
            </w:r>
          </w:p>
        </w:tc>
      </w:tr>
    </w:tbl>
    <w:p w14:paraId="576C465F" w14:textId="77777777" w:rsidR="008D4928" w:rsidRDefault="00000000">
      <w:pPr>
        <w:pStyle w:val="Heading2"/>
      </w:pPr>
      <w:r>
        <w:t>2. Experience in Carbon Credit Project Development</w:t>
      </w:r>
    </w:p>
    <w:p w14:paraId="6FD481BA" w14:textId="77777777" w:rsidR="008D4928" w:rsidRDefault="00000000">
      <w:r>
        <w:t>Ecobase is Europe's largest forest carbon project developer. The company develops and manages two projects under the Verra Verified Carbon Standard (VCS) programme — an ICROA-accredited standard that meets the qualification requirement set out in Section 3.1.3.1 of the invitation.</w:t>
      </w:r>
    </w:p>
    <w:p w14:paraId="4681A6E5" w14:textId="77777777" w:rsidR="008D4928" w:rsidRDefault="00000000">
      <w:pPr>
        <w:pStyle w:val="Heading3"/>
      </w:pPr>
      <w:r>
        <w:t>2.1. VCS Project 5315 — European Improved Forest Management (IFM)</w:t>
      </w:r>
    </w:p>
    <w:p w14:paraId="76EC6F70" w14:textId="77777777" w:rsidR="008D4928" w:rsidRDefault="00000000">
      <w:pPr>
        <w:pStyle w:val="ListBullet"/>
      </w:pPr>
      <w:r>
        <w:rPr>
          <w:b/>
        </w:rPr>
        <w:t xml:space="preserve">Standard and methodology: </w:t>
      </w:r>
      <w:r>
        <w:t>Verra VCS, VM0003 v1.3 (Improved Forest Management Through Extension of Rotation Age)</w:t>
      </w:r>
    </w:p>
    <w:p w14:paraId="677C0A21" w14:textId="77777777" w:rsidR="008D4928" w:rsidRDefault="00000000">
      <w:pPr>
        <w:pStyle w:val="ListBullet"/>
      </w:pPr>
      <w:r>
        <w:rPr>
          <w:b/>
        </w:rPr>
        <w:t xml:space="preserve">Status: </w:t>
      </w:r>
      <w:r>
        <w:t>The independent auditor (AENOR) has finalized the validation work. Registration has been requested and the project is currently in Verra's technical review. Registration is expected in the coming months.</w:t>
      </w:r>
    </w:p>
    <w:p w14:paraId="1C9D8A27" w14:textId="77777777" w:rsidR="008D4928" w:rsidRDefault="00000000">
      <w:pPr>
        <w:pStyle w:val="ListBullet"/>
      </w:pPr>
      <w:r>
        <w:rPr>
          <w:b/>
        </w:rPr>
        <w:t xml:space="preserve">Countries: </w:t>
      </w:r>
      <w:r>
        <w:t>Sweden, Finland, Estonia, Latvia</w:t>
      </w:r>
    </w:p>
    <w:p w14:paraId="62C9BECD" w14:textId="77777777" w:rsidR="008D4928" w:rsidRDefault="00000000">
      <w:pPr>
        <w:pStyle w:val="ListBullet"/>
      </w:pPr>
      <w:r>
        <w:rPr>
          <w:b/>
        </w:rPr>
        <w:t xml:space="preserve">Scope: </w:t>
      </w:r>
      <w:r>
        <w:t>~590,000 hectares of creditable managed forest land across 4 countries (open scope — new landowners and lands are continuously added)</w:t>
      </w:r>
    </w:p>
    <w:p w14:paraId="70A9A6FF" w14:textId="77777777" w:rsidR="008D4928" w:rsidRDefault="00000000">
      <w:pPr>
        <w:pStyle w:val="ListBullet"/>
      </w:pPr>
      <w:r>
        <w:rPr>
          <w:b/>
        </w:rPr>
        <w:t xml:space="preserve">Expected credit volume: </w:t>
      </w:r>
      <w:r>
        <w:t>~150,000 VCUs per year</w:t>
      </w:r>
    </w:p>
    <w:p w14:paraId="37786D63" w14:textId="77777777" w:rsidR="008D4928" w:rsidRDefault="00000000">
      <w:pPr>
        <w:pStyle w:val="ListBullet"/>
      </w:pPr>
      <w:r>
        <w:rPr>
          <w:b/>
        </w:rPr>
        <w:t xml:space="preserve">Structure: </w:t>
      </w:r>
      <w:r>
        <w:t>Grouped project with open scope — new project activity instances (lands/landowners) are continuously added and included during verification events without additional validation</w:t>
      </w:r>
    </w:p>
    <w:p w14:paraId="22094642" w14:textId="543517F2" w:rsidR="008D4928" w:rsidRDefault="00000000">
      <w:pPr>
        <w:pStyle w:val="ListBullet"/>
      </w:pPr>
      <w:r>
        <w:rPr>
          <w:b/>
        </w:rPr>
        <w:lastRenderedPageBreak/>
        <w:t xml:space="preserve">Registry link: </w:t>
      </w:r>
      <w:hyperlink r:id="rId6" w:history="1">
        <w:r w:rsidRPr="002B3CB6">
          <w:rPr>
            <w:rStyle w:val="Hyperlink"/>
          </w:rPr>
          <w:t>https://registry.verra.org/app/projectDetail/VCS/5315</w:t>
        </w:r>
      </w:hyperlink>
    </w:p>
    <w:p w14:paraId="58D91CE7" w14:textId="77777777" w:rsidR="008D4928" w:rsidRDefault="00000000">
      <w:pPr>
        <w:pStyle w:val="Heading3"/>
      </w:pPr>
      <w:r>
        <w:t>2.2. VCS Project 3677 — European Afforestation/Reforestation (ARR)</w:t>
      </w:r>
    </w:p>
    <w:p w14:paraId="1C36BC56" w14:textId="77777777" w:rsidR="008D4928" w:rsidRDefault="00000000">
      <w:pPr>
        <w:pStyle w:val="ListBullet"/>
      </w:pPr>
      <w:r>
        <w:rPr>
          <w:b/>
        </w:rPr>
        <w:t xml:space="preserve">Standard and methodology: </w:t>
      </w:r>
      <w:r>
        <w:t>Verra VCS, AR-ACM0003</w:t>
      </w:r>
    </w:p>
    <w:p w14:paraId="7AE3F0BA" w14:textId="77777777" w:rsidR="008D4928" w:rsidRDefault="00000000">
      <w:pPr>
        <w:pStyle w:val="ListBullet"/>
      </w:pPr>
      <w:r>
        <w:rPr>
          <w:b/>
        </w:rPr>
        <w:t xml:space="preserve">Status: </w:t>
      </w:r>
      <w:r>
        <w:t>Registered. Carbon credits issued and sold on the voluntary market. Currently asking for the second issuance of credits (verification requested)</w:t>
      </w:r>
    </w:p>
    <w:p w14:paraId="15970656" w14:textId="77777777" w:rsidR="008D4928" w:rsidRDefault="00000000">
      <w:pPr>
        <w:pStyle w:val="ListBullet"/>
      </w:pPr>
      <w:r>
        <w:rPr>
          <w:b/>
        </w:rPr>
        <w:t xml:space="preserve">Countries: </w:t>
      </w:r>
      <w:r>
        <w:t>Estonia, Finland, Latvia, Spain, Portugal, Lithuania, Sweden, the UK (expanding to additional countries)</w:t>
      </w:r>
    </w:p>
    <w:p w14:paraId="5DDAC0F8" w14:textId="77777777" w:rsidR="008D4928" w:rsidRDefault="00000000">
      <w:pPr>
        <w:pStyle w:val="ListBullet"/>
      </w:pPr>
      <w:r>
        <w:rPr>
          <w:b/>
        </w:rPr>
        <w:t xml:space="preserve">Scope: </w:t>
      </w:r>
      <w:r>
        <w:t>9,114 hectares of planted areas (open scope — new landowners and lands are continuously added)</w:t>
      </w:r>
    </w:p>
    <w:p w14:paraId="2C29DEFC" w14:textId="77777777" w:rsidR="008D4928" w:rsidRDefault="00000000">
      <w:pPr>
        <w:pStyle w:val="ListBullet"/>
      </w:pPr>
      <w:r>
        <w:rPr>
          <w:b/>
        </w:rPr>
        <w:t xml:space="preserve">Ratings: </w:t>
      </w:r>
      <w:r>
        <w:t>MSCI A, Sylvera BB</w:t>
      </w:r>
    </w:p>
    <w:p w14:paraId="5D5C2ACF" w14:textId="66EA68A0" w:rsidR="008D4928" w:rsidRDefault="00000000">
      <w:pPr>
        <w:pStyle w:val="ListBullet"/>
      </w:pPr>
      <w:r>
        <w:rPr>
          <w:b/>
        </w:rPr>
        <w:t xml:space="preserve">Registry link: </w:t>
      </w:r>
      <w:hyperlink r:id="rId7" w:history="1">
        <w:r w:rsidRPr="002B3CB6">
          <w:rPr>
            <w:rStyle w:val="Hyperlink"/>
          </w:rPr>
          <w:t>https://registry.verra.org/app/projectDetail/VCS/3677</w:t>
        </w:r>
      </w:hyperlink>
    </w:p>
    <w:p w14:paraId="33E3290E" w14:textId="77777777" w:rsidR="008D4928" w:rsidRDefault="00000000">
      <w:pPr>
        <w:pStyle w:val="Heading3"/>
      </w:pPr>
      <w:r>
        <w:t>2.3. Experience Summary</w:t>
      </w:r>
    </w:p>
    <w:tbl>
      <w:tblPr>
        <w:tblStyle w:val="TableGrid"/>
        <w:tblW w:w="0" w:type="auto"/>
        <w:tblLook w:val="04A0" w:firstRow="1" w:lastRow="0" w:firstColumn="1" w:lastColumn="0" w:noHBand="0" w:noVBand="1"/>
      </w:tblPr>
      <w:tblGrid>
        <w:gridCol w:w="4703"/>
        <w:gridCol w:w="4703"/>
      </w:tblGrid>
      <w:tr w:rsidR="008D4928" w14:paraId="5F90367D" w14:textId="77777777">
        <w:tc>
          <w:tcPr>
            <w:tcW w:w="4703" w:type="dxa"/>
            <w:shd w:val="clear" w:color="auto" w:fill="1B3A4B"/>
          </w:tcPr>
          <w:p w14:paraId="2CAAE078" w14:textId="77777777" w:rsidR="008D4928" w:rsidRDefault="00000000">
            <w:r>
              <w:rPr>
                <w:b/>
                <w:color w:val="FFFFFF"/>
                <w:sz w:val="20"/>
              </w:rPr>
              <w:t>Metric</w:t>
            </w:r>
          </w:p>
        </w:tc>
        <w:tc>
          <w:tcPr>
            <w:tcW w:w="4703" w:type="dxa"/>
            <w:shd w:val="clear" w:color="auto" w:fill="1B3A4B"/>
          </w:tcPr>
          <w:p w14:paraId="32722207" w14:textId="77777777" w:rsidR="008D4928" w:rsidRDefault="00000000">
            <w:r>
              <w:rPr>
                <w:b/>
                <w:color w:val="FFFFFF"/>
                <w:sz w:val="20"/>
              </w:rPr>
              <w:t>Value</w:t>
            </w:r>
          </w:p>
        </w:tc>
      </w:tr>
      <w:tr w:rsidR="008D4928" w14:paraId="5BB7B2BF" w14:textId="77777777">
        <w:tc>
          <w:tcPr>
            <w:tcW w:w="4703" w:type="dxa"/>
          </w:tcPr>
          <w:p w14:paraId="3A875258" w14:textId="77777777" w:rsidR="008D4928" w:rsidRDefault="00000000">
            <w:r>
              <w:rPr>
                <w:b/>
                <w:sz w:val="20"/>
              </w:rPr>
              <w:t>Total creditable IFM area</w:t>
            </w:r>
          </w:p>
        </w:tc>
        <w:tc>
          <w:tcPr>
            <w:tcW w:w="4703" w:type="dxa"/>
          </w:tcPr>
          <w:p w14:paraId="746EDA40" w14:textId="77777777" w:rsidR="008D4928" w:rsidRDefault="00000000">
            <w:r>
              <w:rPr>
                <w:sz w:val="20"/>
              </w:rPr>
              <w:t>~590,000 hectares</w:t>
            </w:r>
          </w:p>
        </w:tc>
      </w:tr>
      <w:tr w:rsidR="008D4928" w14:paraId="496FDD6D" w14:textId="77777777">
        <w:tc>
          <w:tcPr>
            <w:tcW w:w="4703" w:type="dxa"/>
            <w:shd w:val="clear" w:color="auto" w:fill="F2F7FA"/>
          </w:tcPr>
          <w:p w14:paraId="31514000" w14:textId="77777777" w:rsidR="008D4928" w:rsidRDefault="00000000">
            <w:r>
              <w:rPr>
                <w:b/>
                <w:sz w:val="20"/>
              </w:rPr>
              <w:t>Total ARR planted area</w:t>
            </w:r>
          </w:p>
        </w:tc>
        <w:tc>
          <w:tcPr>
            <w:tcW w:w="4703" w:type="dxa"/>
            <w:shd w:val="clear" w:color="auto" w:fill="F2F7FA"/>
          </w:tcPr>
          <w:p w14:paraId="15110815" w14:textId="77777777" w:rsidR="008D4928" w:rsidRDefault="00000000">
            <w:r>
              <w:rPr>
                <w:sz w:val="20"/>
              </w:rPr>
              <w:t>9,114 hectares</w:t>
            </w:r>
          </w:p>
        </w:tc>
      </w:tr>
      <w:tr w:rsidR="008D4928" w14:paraId="602885C6" w14:textId="77777777">
        <w:tc>
          <w:tcPr>
            <w:tcW w:w="4703" w:type="dxa"/>
          </w:tcPr>
          <w:p w14:paraId="638E8998" w14:textId="77777777" w:rsidR="008D4928" w:rsidRDefault="00000000">
            <w:r>
              <w:rPr>
                <w:b/>
                <w:sz w:val="20"/>
              </w:rPr>
              <w:t>Landowners</w:t>
            </w:r>
          </w:p>
        </w:tc>
        <w:tc>
          <w:tcPr>
            <w:tcW w:w="4703" w:type="dxa"/>
          </w:tcPr>
          <w:p w14:paraId="6E4174BE" w14:textId="77777777" w:rsidR="008D4928" w:rsidRDefault="00000000">
            <w:r>
              <w:rPr>
                <w:sz w:val="20"/>
              </w:rPr>
              <w:t>150+</w:t>
            </w:r>
          </w:p>
        </w:tc>
      </w:tr>
      <w:tr w:rsidR="008D4928" w14:paraId="384D8E45" w14:textId="77777777">
        <w:tc>
          <w:tcPr>
            <w:tcW w:w="4703" w:type="dxa"/>
            <w:shd w:val="clear" w:color="auto" w:fill="F2F7FA"/>
          </w:tcPr>
          <w:p w14:paraId="0DA0D439" w14:textId="77777777" w:rsidR="008D4928" w:rsidRDefault="00000000">
            <w:r>
              <w:rPr>
                <w:b/>
                <w:sz w:val="20"/>
              </w:rPr>
              <w:t>Countries</w:t>
            </w:r>
          </w:p>
        </w:tc>
        <w:tc>
          <w:tcPr>
            <w:tcW w:w="4703" w:type="dxa"/>
            <w:shd w:val="clear" w:color="auto" w:fill="F2F7FA"/>
          </w:tcPr>
          <w:p w14:paraId="6DFA59A2" w14:textId="77777777" w:rsidR="008D4928" w:rsidRDefault="00000000">
            <w:r>
              <w:rPr>
                <w:sz w:val="20"/>
              </w:rPr>
              <w:t>4 (Sweden, Finland, Estonia, Latvia)</w:t>
            </w:r>
          </w:p>
        </w:tc>
      </w:tr>
      <w:tr w:rsidR="008D4928" w14:paraId="6892FC74" w14:textId="77777777">
        <w:tc>
          <w:tcPr>
            <w:tcW w:w="4703" w:type="dxa"/>
          </w:tcPr>
          <w:p w14:paraId="1257AEA2" w14:textId="77777777" w:rsidR="008D4928" w:rsidRDefault="00000000">
            <w:r>
              <w:rPr>
                <w:b/>
                <w:sz w:val="20"/>
              </w:rPr>
              <w:t>VCS projects</w:t>
            </w:r>
          </w:p>
        </w:tc>
        <w:tc>
          <w:tcPr>
            <w:tcW w:w="4703" w:type="dxa"/>
          </w:tcPr>
          <w:p w14:paraId="48D32DDB" w14:textId="77777777" w:rsidR="008D4928" w:rsidRDefault="00000000">
            <w:r>
              <w:rPr>
                <w:sz w:val="20"/>
              </w:rPr>
              <w:t>2 (IFM + ARR)</w:t>
            </w:r>
          </w:p>
        </w:tc>
      </w:tr>
      <w:tr w:rsidR="008D4928" w14:paraId="46F4CC19" w14:textId="77777777">
        <w:tc>
          <w:tcPr>
            <w:tcW w:w="4703" w:type="dxa"/>
            <w:shd w:val="clear" w:color="auto" w:fill="F2F7FA"/>
          </w:tcPr>
          <w:p w14:paraId="69EBDC6F" w14:textId="77777777" w:rsidR="008D4928" w:rsidRDefault="00000000">
            <w:r>
              <w:rPr>
                <w:b/>
                <w:sz w:val="20"/>
              </w:rPr>
              <w:t>Credits issued and sold</w:t>
            </w:r>
          </w:p>
        </w:tc>
        <w:tc>
          <w:tcPr>
            <w:tcW w:w="4703" w:type="dxa"/>
            <w:shd w:val="clear" w:color="auto" w:fill="F2F7FA"/>
          </w:tcPr>
          <w:p w14:paraId="1874768D" w14:textId="77777777" w:rsidR="008D4928" w:rsidRDefault="00000000">
            <w:r>
              <w:rPr>
                <w:sz w:val="20"/>
              </w:rPr>
              <w:t>Yes (VCS 3677)</w:t>
            </w:r>
          </w:p>
        </w:tc>
      </w:tr>
      <w:tr w:rsidR="008D4928" w14:paraId="7027C5D5" w14:textId="77777777">
        <w:tc>
          <w:tcPr>
            <w:tcW w:w="4703" w:type="dxa"/>
          </w:tcPr>
          <w:p w14:paraId="3846C2DC" w14:textId="77777777" w:rsidR="008D4928" w:rsidRDefault="00000000">
            <w:r>
              <w:rPr>
                <w:b/>
                <w:sz w:val="20"/>
              </w:rPr>
              <w:t>Methodologies</w:t>
            </w:r>
          </w:p>
        </w:tc>
        <w:tc>
          <w:tcPr>
            <w:tcW w:w="4703" w:type="dxa"/>
          </w:tcPr>
          <w:p w14:paraId="0DAE3B5B" w14:textId="77777777" w:rsidR="008D4928" w:rsidRDefault="00000000">
            <w:r>
              <w:rPr>
                <w:sz w:val="20"/>
              </w:rPr>
              <w:t>VM0003 (IFM), AR-ACM0003 (ARR)</w:t>
            </w:r>
          </w:p>
        </w:tc>
      </w:tr>
    </w:tbl>
    <w:p w14:paraId="40DD69ED" w14:textId="77777777" w:rsidR="008D4928" w:rsidRDefault="008D4928"/>
    <w:p w14:paraId="09357202" w14:textId="77777777" w:rsidR="008D4928" w:rsidRDefault="00000000">
      <w:r>
        <w:t>Ecobase confirms that it is capable of providing the service independently, professionally, and in the interests of RMK, in accordance with Section 3.1.3.2 of the invitation.</w:t>
      </w:r>
    </w:p>
    <w:p w14:paraId="62636016" w14:textId="77777777" w:rsidR="008D4928" w:rsidRDefault="00000000">
      <w:r>
        <w:t>Ecobase confirms that it has no tax arrears in Estonia or any other country of operation, nor any other significant outstanding liabilities that could jeopardise contract performance, in accordance with Section 3.1.1 of the invitation.</w:t>
      </w:r>
    </w:p>
    <w:p w14:paraId="196A1006" w14:textId="77777777" w:rsidR="008D4928" w:rsidRDefault="00000000">
      <w:pPr>
        <w:pStyle w:val="Heading2"/>
      </w:pPr>
      <w:r>
        <w:t>3. Proposed Standard and Methodology</w:t>
      </w:r>
    </w:p>
    <w:p w14:paraId="14F57C77" w14:textId="77777777" w:rsidR="008D4928" w:rsidRDefault="00000000">
      <w:pPr>
        <w:pStyle w:val="Heading3"/>
      </w:pPr>
      <w:r>
        <w:t>3.1. Standard</w:t>
      </w:r>
    </w:p>
    <w:p w14:paraId="28B4A33E" w14:textId="77777777" w:rsidR="008D4928" w:rsidRDefault="00000000">
      <w:r>
        <w:rPr>
          <w:b/>
        </w:rPr>
        <w:t>Verra Verified Carbon Standard (VCS)</w:t>
      </w:r>
      <w:r>
        <w:t xml:space="preserve"> — the world's largest voluntary carbon credit standard, accredited by ICROA.</w:t>
      </w:r>
    </w:p>
    <w:p w14:paraId="34E75C56" w14:textId="77777777" w:rsidR="008D4928" w:rsidRDefault="00000000">
      <w:pPr>
        <w:pStyle w:val="Heading3"/>
      </w:pPr>
      <w:r>
        <w:t>3.2. Proposed Methodologies</w:t>
      </w:r>
    </w:p>
    <w:p w14:paraId="2ACE2EC7" w14:textId="77777777" w:rsidR="008D4928" w:rsidRDefault="00000000">
      <w:r>
        <w:t xml:space="preserve">Ecobase proposes that RMK participates in </w:t>
      </w:r>
      <w:r>
        <w:rPr>
          <w:b/>
        </w:rPr>
        <w:t>both</w:t>
      </w:r>
      <w:r>
        <w:t xml:space="preserve"> existing Ecobase projects, applying two complementary methodologies:</w:t>
      </w:r>
    </w:p>
    <w:p w14:paraId="42E55279" w14:textId="77777777" w:rsidR="008D4928" w:rsidRDefault="00000000">
      <w:r>
        <w:rPr>
          <w:b/>
        </w:rPr>
        <w:t>A) VM0003 v1.3 — Improved Forest Management Through Extension of Rotation Age (IFM)</w:t>
      </w:r>
    </w:p>
    <w:p w14:paraId="7299BF0D" w14:textId="77777777" w:rsidR="008D4928" w:rsidRDefault="00000000">
      <w:r>
        <w:lastRenderedPageBreak/>
        <w:t>Applicable to RMK's existing managed forests. Generates carbon credits by optimising forest management practices to increase carbon sequestration relative to a baseline scenario.</w:t>
      </w:r>
    </w:p>
    <w:p w14:paraId="0F43406D" w14:textId="77777777" w:rsidR="008D4928" w:rsidRDefault="00000000">
      <w:r>
        <w:rPr>
          <w:b/>
        </w:rPr>
        <w:t>B) AR-ACM0003 — Afforestation and Reforestation of Lands Except Wetlands (ARR)</w:t>
      </w:r>
    </w:p>
    <w:p w14:paraId="220B3BE3" w14:textId="77777777" w:rsidR="008D4928" w:rsidRDefault="00000000">
      <w:r>
        <w:t>Applicable to areas RMK will afforest that were not classified as forestland. Generates carbon credits from the carbon sequestered by newly planted forests. Under the VCS programme, this falls within the Afforestation, Reforestation and Revegetation (ARR) project category.</w:t>
      </w:r>
    </w:p>
    <w:p w14:paraId="24054656" w14:textId="77777777" w:rsidR="008D4928" w:rsidRDefault="00000000">
      <w:pPr>
        <w:pStyle w:val="Heading3"/>
      </w:pPr>
      <w:r>
        <w:t>3.3. Justification</w:t>
      </w:r>
    </w:p>
    <w:p w14:paraId="79682708" w14:textId="77777777" w:rsidR="008D4928" w:rsidRDefault="00000000">
      <w:r>
        <w:rPr>
          <w:b/>
        </w:rPr>
        <w:t xml:space="preserve">1. Both methodologies already applied in Estonia. </w:t>
      </w:r>
      <w:r>
        <w:t>Ecobase has developed both an IFM (VCS 5315) and an ARR (VCS 3677) project that include Estonian forest lands. RMK lands can be added to these existing grouped projects as new project activity instances, eliminating the need for standalone project development and validation cycles.</w:t>
      </w:r>
    </w:p>
    <w:p w14:paraId="2BAE5D49" w14:textId="77777777" w:rsidR="008D4928" w:rsidRDefault="00000000">
      <w:r>
        <w:rPr>
          <w:b/>
        </w:rPr>
        <w:t xml:space="preserve">2. Grouped project advantage. </w:t>
      </w:r>
      <w:r>
        <w:t>The VCS grouped project structure allows new project activity instances to be added during verification events. This means RMK lands can be integrated significantly faster and at lower cost compared to developing new standalone projects.</w:t>
      </w:r>
    </w:p>
    <w:p w14:paraId="5B3D8B44" w14:textId="77777777" w:rsidR="008D4928" w:rsidRDefault="00000000">
      <w:r>
        <w:rPr>
          <w:b/>
        </w:rPr>
        <w:t xml:space="preserve">3. Complementary credit streams. </w:t>
      </w:r>
      <w:r>
        <w:t>By participating in both IFM and ARR projects, RMK maximises its credit generation from two distinct activity types — forest management optimisation and afforestation — creating diversified and resilient revenue streams.</w:t>
      </w:r>
    </w:p>
    <w:p w14:paraId="6314900F" w14:textId="77777777" w:rsidR="008D4928" w:rsidRDefault="00000000">
      <w:r>
        <w:rPr>
          <w:b/>
        </w:rPr>
        <w:t xml:space="preserve">4. EU CRCF readiness. </w:t>
      </w:r>
      <w:r>
        <w:t>Verra is actively working on alignment with the EU Carbon Removals and Carbon Farming Regulation (EU/2024/3012) and the landowner can request as per the agreement with Ecobase to request moving project areas under the EU CRCF standard from Verra. Both methodologies are positioned for a future transition to the EU CRCF standard.</w:t>
      </w:r>
    </w:p>
    <w:p w14:paraId="26E77FEB" w14:textId="77777777" w:rsidR="008D4928" w:rsidRDefault="00000000">
      <w:r>
        <w:rPr>
          <w:b/>
        </w:rPr>
        <w:t xml:space="preserve">5. Compatible with RMK's forest management. </w:t>
      </w:r>
      <w:r>
        <w:t>Neither methodology requires cessation of forest management.</w:t>
      </w:r>
    </w:p>
    <w:p w14:paraId="1A232680" w14:textId="77777777" w:rsidR="008D4928" w:rsidRDefault="00000000">
      <w:pPr>
        <w:pStyle w:val="Heading2"/>
      </w:pPr>
      <w:r>
        <w:t>4. Service Description by Stages</w:t>
      </w:r>
    </w:p>
    <w:p w14:paraId="5188C4F4" w14:textId="77777777" w:rsidR="008D4928" w:rsidRDefault="00000000">
      <w:pPr>
        <w:pStyle w:val="Heading3"/>
      </w:pPr>
      <w:r>
        <w:t>4.1. Overview</w:t>
      </w:r>
    </w:p>
    <w:p w14:paraId="06F8B749" w14:textId="77777777" w:rsidR="008D4928" w:rsidRDefault="00000000">
      <w:r>
        <w:t>As RMK's partner, Ecobase will provide a comprehensive carbon credit project development, management, and sales service across two project types:</w:t>
      </w:r>
    </w:p>
    <w:p w14:paraId="0E9C1B8D" w14:textId="77777777" w:rsidR="008D4928" w:rsidRDefault="00000000">
      <w:pPr>
        <w:pStyle w:val="ListBullet"/>
      </w:pPr>
      <w:r>
        <w:rPr>
          <w:b/>
        </w:rPr>
        <w:t xml:space="preserve">IFM: </w:t>
      </w:r>
      <w:r>
        <w:t>RMK's managed forests will be integrated into the existing VCS Project 5315, with inclusion in the project's first verification.</w:t>
      </w:r>
    </w:p>
    <w:p w14:paraId="15D9B443" w14:textId="77777777" w:rsidR="008D4928" w:rsidRDefault="00000000">
      <w:pPr>
        <w:pStyle w:val="ListBullet"/>
      </w:pPr>
      <w:r>
        <w:rPr>
          <w:b/>
        </w:rPr>
        <w:t xml:space="preserve">ARR: </w:t>
      </w:r>
      <w:r>
        <w:t>RMK's afforested areas will be integrated into the existing VCS Project 3677, with inclusion in the project's third verification submission.</w:t>
      </w:r>
    </w:p>
    <w:p w14:paraId="5BE51F1E" w14:textId="77777777" w:rsidR="008D4928" w:rsidRDefault="00000000">
      <w:pPr>
        <w:pStyle w:val="Heading3"/>
      </w:pPr>
      <w:r>
        <w:t>4.2. Extent of RMK State Land Covered</w:t>
      </w:r>
    </w:p>
    <w:p w14:paraId="7FE7A540" w14:textId="77777777" w:rsidR="008D4928" w:rsidRDefault="00000000">
      <w:r>
        <w:rPr>
          <w:b/>
        </w:rPr>
        <w:t>IFM — Improved Forest Management</w:t>
      </w:r>
    </w:p>
    <w:p w14:paraId="74BB82E8" w14:textId="77777777" w:rsidR="008D4928" w:rsidRDefault="00000000">
      <w:r>
        <w:t xml:space="preserve">Approximately 50% of RMK's total forest area is eligible for the IFM project. The eligible area comprises managed, non-peatland forests where clear-felling is a permitted silvicultural practice. The precise </w:t>
      </w:r>
      <w:r>
        <w:lastRenderedPageBreak/>
        <w:t>eligible area will be determined during the eligibility assessment (Stage 1) based on VM0003 criteria and RMK's forest management plan data.</w:t>
      </w:r>
    </w:p>
    <w:p w14:paraId="5899E575" w14:textId="77777777" w:rsidR="008D4928" w:rsidRDefault="00000000">
      <w:r>
        <w:rPr>
          <w:b/>
        </w:rPr>
        <w:t>ARR — Afforestation/Reforestation</w:t>
      </w:r>
    </w:p>
    <w:p w14:paraId="230497FE" w14:textId="77777777" w:rsidR="008D4928" w:rsidRDefault="00000000">
      <w:r>
        <w:t>All areas that RMK plans to afforest lands which (i) were not classified as forestland for at least the preceding 10 years and (ii) did not have a significant amount of above-ground biomass at the time of afforestation. The eligible area will be determined during the eligibility assessment based on AR-ACM0003 criteria.</w:t>
      </w:r>
    </w:p>
    <w:p w14:paraId="0247A0A0" w14:textId="77777777" w:rsidR="008D4928" w:rsidRDefault="00000000">
      <w:pPr>
        <w:pStyle w:val="Heading3"/>
      </w:pPr>
      <w:r>
        <w:t>4.3. Service Stages</w:t>
      </w:r>
    </w:p>
    <w:p w14:paraId="10E9DA31" w14:textId="77777777" w:rsidR="008D4928" w:rsidRDefault="00000000">
      <w:r>
        <w:rPr>
          <w:b/>
        </w:rPr>
        <w:t>Stage 1 — Data Analysis and Eligibility Assessment (months 1–2)</w:t>
      </w:r>
    </w:p>
    <w:p w14:paraId="766448E4" w14:textId="77777777" w:rsidR="008D4928" w:rsidRDefault="00000000">
      <w:r>
        <w:t>Scope of work:</w:t>
      </w:r>
    </w:p>
    <w:p w14:paraId="004D416D" w14:textId="77777777" w:rsidR="008D4928" w:rsidRDefault="00000000">
      <w:pPr>
        <w:pStyle w:val="ListBullet"/>
      </w:pPr>
      <w:r>
        <w:t>Collection and analysis of RMK forest resource data against VM0003 (IFM) and AR-ACM0003 (ARR) eligibility criteria</w:t>
      </w:r>
    </w:p>
    <w:p w14:paraId="2ED3A9F9" w14:textId="77777777" w:rsidR="008D4928" w:rsidRDefault="00000000">
      <w:pPr>
        <w:pStyle w:val="ListBullet"/>
      </w:pPr>
      <w:r>
        <w:t>For IFM: stratification design by species, yield class, and region; carbon stock modelling and credit potential forecasting</w:t>
      </w:r>
    </w:p>
    <w:p w14:paraId="092C71DB" w14:textId="77777777" w:rsidR="008D4928" w:rsidRDefault="00000000">
      <w:pPr>
        <w:pStyle w:val="ListBullet"/>
      </w:pPr>
      <w:r>
        <w:t>For ARR: land use history analysis, planting date verification, biomass assessment</w:t>
      </w:r>
    </w:p>
    <w:p w14:paraId="0918897F" w14:textId="77777777" w:rsidR="008D4928" w:rsidRDefault="00000000">
      <w:pPr>
        <w:pStyle w:val="ListBullet"/>
      </w:pPr>
      <w:r>
        <w:t>Preparation and confirmation of project area schedules (geospatial data files) for both project types</w:t>
      </w:r>
    </w:p>
    <w:p w14:paraId="0D5F83B0" w14:textId="77777777" w:rsidR="008D4928" w:rsidRDefault="00000000">
      <w:pPr>
        <w:pStyle w:val="ListBullet"/>
      </w:pPr>
      <w:r>
        <w:t>Presentation of results to RMK for review and confirmation</w:t>
      </w:r>
    </w:p>
    <w:p w14:paraId="244BB368" w14:textId="77777777" w:rsidR="008D4928" w:rsidRDefault="00000000">
      <w:r>
        <w:rPr>
          <w:b/>
        </w:rPr>
        <w:t>Stage 2 — Verification (months 3–9)</w:t>
      </w:r>
    </w:p>
    <w:p w14:paraId="072E66AA" w14:textId="77777777" w:rsidR="008D4928" w:rsidRDefault="00000000">
      <w:r>
        <w:t>Once the eligible project areas are confirmed, RMK lands are included in the verification process for the respective projects. The verification covers the entire project (all landowners), not only RMK lands. The verification process includes:</w:t>
      </w:r>
    </w:p>
    <w:p w14:paraId="1A253EFC" w14:textId="77777777" w:rsidR="008D4928" w:rsidRDefault="00000000">
      <w:pPr>
        <w:pStyle w:val="ListBullet"/>
      </w:pPr>
      <w:r>
        <w:t>Preparation of monitoring reports incorporating RMK lands (for both IFM and ARR)</w:t>
      </w:r>
    </w:p>
    <w:p w14:paraId="21EDF801" w14:textId="77777777" w:rsidR="008D4928" w:rsidRDefault="00000000">
      <w:pPr>
        <w:pStyle w:val="ListBullet"/>
      </w:pPr>
      <w:r>
        <w:t>Independent auditor (VVB — Validation/Verification Body) site visit to project areas</w:t>
      </w:r>
    </w:p>
    <w:p w14:paraId="41500984" w14:textId="77777777" w:rsidR="008D4928" w:rsidRDefault="00000000">
      <w:pPr>
        <w:pStyle w:val="ListBullet"/>
      </w:pPr>
      <w:r>
        <w:t>Provision of all required documentation to the auditor</w:t>
      </w:r>
    </w:p>
    <w:p w14:paraId="3689EDE9" w14:textId="77777777" w:rsidR="008D4928" w:rsidRDefault="00000000">
      <w:pPr>
        <w:pStyle w:val="ListBullet"/>
      </w:pPr>
      <w:r>
        <w:t>Responding to auditor queries and findings</w:t>
      </w:r>
    </w:p>
    <w:p w14:paraId="6478DF21" w14:textId="77777777" w:rsidR="008D4928" w:rsidRDefault="00000000">
      <w:pPr>
        <w:pStyle w:val="ListBullet"/>
      </w:pPr>
      <w:r>
        <w:t>Auditor prepares and finalises the verification report</w:t>
      </w:r>
    </w:p>
    <w:p w14:paraId="0C14ECE1" w14:textId="77777777" w:rsidR="008D4928" w:rsidRDefault="00000000">
      <w:r>
        <w:rPr>
          <w:b/>
        </w:rPr>
        <w:t xml:space="preserve">IFM: </w:t>
      </w:r>
      <w:r>
        <w:t>RMK lands are included in the first verification of VCS Project 5315.</w:t>
      </w:r>
    </w:p>
    <w:p w14:paraId="19D018D5" w14:textId="77777777" w:rsidR="008D4928" w:rsidRDefault="00000000">
      <w:r>
        <w:rPr>
          <w:b/>
        </w:rPr>
        <w:t xml:space="preserve">ARR: </w:t>
      </w:r>
      <w:r>
        <w:t>RMK lands are included in the third verification submission of VCS Project 3677.</w:t>
      </w:r>
    </w:p>
    <w:p w14:paraId="5F55537B" w14:textId="77777777" w:rsidR="008D4928" w:rsidRDefault="00000000">
      <w:r>
        <w:rPr>
          <w:b/>
        </w:rPr>
        <w:t>Stage 3 — Verra Technical Review and Credit Issuance (months 9–12)</w:t>
      </w:r>
    </w:p>
    <w:p w14:paraId="6770870C" w14:textId="77777777" w:rsidR="008D4928" w:rsidRDefault="00000000">
      <w:r>
        <w:t>Once the auditor's verification report is finalised, it is submitted to Verra together with the monitoring report:</w:t>
      </w:r>
    </w:p>
    <w:p w14:paraId="62F9D0BE" w14:textId="77777777" w:rsidR="008D4928" w:rsidRDefault="00000000">
      <w:pPr>
        <w:pStyle w:val="ListBullet"/>
      </w:pPr>
      <w:r>
        <w:t>Verra conducts a technical review of the submitted documentation</w:t>
      </w:r>
    </w:p>
    <w:p w14:paraId="24C9ECC1" w14:textId="77777777" w:rsidR="008D4928" w:rsidRDefault="00000000">
      <w:pPr>
        <w:pStyle w:val="ListBullet"/>
      </w:pPr>
      <w:r>
        <w:t>Upon successful review, Verra issues the verified carbon credits (VCUs) into the project's registry account</w:t>
      </w:r>
    </w:p>
    <w:p w14:paraId="718C78E2" w14:textId="77777777" w:rsidR="008D4928" w:rsidRDefault="00000000">
      <w:pPr>
        <w:pStyle w:val="ListBullet"/>
      </w:pPr>
      <w:r>
        <w:t>Credits are allocated between RMK (70%) and Ecobase (30%) as per the agreed terms</w:t>
      </w:r>
    </w:p>
    <w:p w14:paraId="35066EF6" w14:textId="77777777" w:rsidR="008D4928" w:rsidRDefault="00000000">
      <w:r>
        <w:t>Estimated timeline for first credits:</w:t>
      </w:r>
    </w:p>
    <w:p w14:paraId="52DBACC1" w14:textId="77777777" w:rsidR="008D4928" w:rsidRDefault="00000000">
      <w:pPr>
        <w:pStyle w:val="ListBullet"/>
      </w:pPr>
      <w:r>
        <w:rPr>
          <w:b/>
        </w:rPr>
        <w:lastRenderedPageBreak/>
        <w:t xml:space="preserve">IFM: </w:t>
      </w:r>
      <w:r>
        <w:t>Q4 2026 – Q2 2027</w:t>
      </w:r>
    </w:p>
    <w:p w14:paraId="507F5CB3" w14:textId="77777777" w:rsidR="008D4928" w:rsidRDefault="00000000">
      <w:pPr>
        <w:pStyle w:val="ListBullet"/>
      </w:pPr>
      <w:r>
        <w:rPr>
          <w:b/>
        </w:rPr>
        <w:t xml:space="preserve">ARR: </w:t>
      </w:r>
      <w:r>
        <w:t>Q4 2026 – Q1 2027</w:t>
      </w:r>
    </w:p>
    <w:p w14:paraId="41143125" w14:textId="77777777" w:rsidR="008D4928" w:rsidRDefault="00000000">
      <w:r>
        <w:rPr>
          <w:b/>
        </w:rPr>
        <w:t>Stage 4 — Credit Sales and Ensuring Marketability (from first issuance)</w:t>
      </w:r>
    </w:p>
    <w:p w14:paraId="3EAE246B" w14:textId="77777777" w:rsidR="008D4928" w:rsidRDefault="00000000">
      <w:r>
        <w:t>Scope of work:</w:t>
      </w:r>
    </w:p>
    <w:p w14:paraId="39B7FDC1" w14:textId="77777777" w:rsidR="008D4928" w:rsidRDefault="00000000">
      <w:pPr>
        <w:pStyle w:val="ListBullet"/>
      </w:pPr>
      <w:r>
        <w:t>Ensuring the marketability of issued credits through Ecobase's established buyer network across Europe and North America, independent credit ratings (MSCI A), and proven track record of successful credit sales on the voluntary market</w:t>
      </w:r>
    </w:p>
    <w:p w14:paraId="628EA9A1" w14:textId="77777777" w:rsidR="008D4928" w:rsidRDefault="00000000">
      <w:pPr>
        <w:pStyle w:val="ListBullet"/>
      </w:pPr>
      <w:r>
        <w:t>Market analysis and optimal sales strategy development</w:t>
      </w:r>
    </w:p>
    <w:p w14:paraId="160E817F" w14:textId="77777777" w:rsidR="008D4928" w:rsidRDefault="00000000">
      <w:pPr>
        <w:pStyle w:val="ListBullet"/>
      </w:pPr>
      <w:r>
        <w:t>Buyer engagement and negotiations</w:t>
      </w:r>
    </w:p>
    <w:p w14:paraId="458AB037" w14:textId="77777777" w:rsidR="008D4928" w:rsidRDefault="00000000">
      <w:pPr>
        <w:pStyle w:val="ListBullet"/>
      </w:pPr>
      <w:r>
        <w:t>Transaction management and settlement</w:t>
      </w:r>
    </w:p>
    <w:p w14:paraId="749707F7" w14:textId="77777777" w:rsidR="008D4928" w:rsidRDefault="00000000">
      <w:pPr>
        <w:pStyle w:val="ListBullet"/>
      </w:pPr>
      <w:r>
        <w:t>Reporting on sales transactions</w:t>
      </w:r>
    </w:p>
    <w:p w14:paraId="611994B3" w14:textId="77777777" w:rsidR="008D4928" w:rsidRDefault="00000000">
      <w:pPr>
        <w:pStyle w:val="ListBullet"/>
      </w:pPr>
      <w:r>
        <w:t>Pursuit of best achievable market price</w:t>
      </w:r>
    </w:p>
    <w:p w14:paraId="2D6A8E8A" w14:textId="77777777" w:rsidR="008D4928" w:rsidRDefault="00000000">
      <w:r>
        <w:t>Note: RMK retains the right to sell credits independently, as per the draft standard contract.</w:t>
      </w:r>
    </w:p>
    <w:p w14:paraId="6BEB131B" w14:textId="77777777" w:rsidR="008D4928" w:rsidRDefault="00000000">
      <w:r>
        <w:rPr>
          <w:b/>
        </w:rPr>
        <w:t>Stage 5 — Ongoing Annual Verification Cycles</w:t>
      </w:r>
    </w:p>
    <w:p w14:paraId="3448DDE2" w14:textId="77777777" w:rsidR="008D4928" w:rsidRDefault="00000000">
      <w:r>
        <w:t>Stages 2–4 repeat annually:</w:t>
      </w:r>
    </w:p>
    <w:p w14:paraId="6A74F04E" w14:textId="77777777" w:rsidR="008D4928" w:rsidRDefault="00000000">
      <w:pPr>
        <w:pStyle w:val="ListBullet"/>
      </w:pPr>
      <w:r>
        <w:t>Annual carbon monitoring across all RMK project areas (IFM and ARR)</w:t>
      </w:r>
    </w:p>
    <w:p w14:paraId="2333CBEF" w14:textId="77777777" w:rsidR="008D4928" w:rsidRDefault="00000000">
      <w:pPr>
        <w:pStyle w:val="ListBullet"/>
      </w:pPr>
      <w:r>
        <w:t>Preparation of annual monitoring reports</w:t>
      </w:r>
    </w:p>
    <w:p w14:paraId="1523635F" w14:textId="77777777" w:rsidR="008D4928" w:rsidRDefault="00000000">
      <w:pPr>
        <w:pStyle w:val="ListBullet"/>
      </w:pPr>
      <w:r>
        <w:t>Independent auditor verification</w:t>
      </w:r>
    </w:p>
    <w:p w14:paraId="09A7FB4C" w14:textId="77777777" w:rsidR="008D4928" w:rsidRDefault="00000000">
      <w:pPr>
        <w:pStyle w:val="ListBullet"/>
      </w:pPr>
      <w:r>
        <w:t>Verra technical review and credit issuance</w:t>
      </w:r>
    </w:p>
    <w:p w14:paraId="0C60468A" w14:textId="77777777" w:rsidR="008D4928" w:rsidRDefault="00000000">
      <w:pPr>
        <w:pStyle w:val="ListBullet"/>
      </w:pPr>
      <w:r>
        <w:t>Credit sales</w:t>
      </w:r>
    </w:p>
    <w:p w14:paraId="647ECAE3" w14:textId="77777777" w:rsidR="008D4928" w:rsidRDefault="00000000">
      <w:r>
        <w:t>Duration: Ongoing throughout the crediting period (IFM: rolling 10-year cycles; ARR: up to 60 years per the methodology).</w:t>
      </w:r>
    </w:p>
    <w:p w14:paraId="6F3A4D7D" w14:textId="77777777" w:rsidR="008D4928" w:rsidRDefault="00000000">
      <w:pPr>
        <w:pStyle w:val="Heading3"/>
      </w:pPr>
      <w:r>
        <w:t>4.4. Timeline Summary</w:t>
      </w:r>
    </w:p>
    <w:tbl>
      <w:tblPr>
        <w:tblStyle w:val="TableGrid"/>
        <w:tblW w:w="0" w:type="auto"/>
        <w:tblLook w:val="04A0" w:firstRow="1" w:lastRow="0" w:firstColumn="1" w:lastColumn="0" w:noHBand="0" w:noVBand="1"/>
      </w:tblPr>
      <w:tblGrid>
        <w:gridCol w:w="3135"/>
        <w:gridCol w:w="3135"/>
        <w:gridCol w:w="3135"/>
      </w:tblGrid>
      <w:tr w:rsidR="008D4928" w14:paraId="6E164151" w14:textId="77777777">
        <w:tc>
          <w:tcPr>
            <w:tcW w:w="3135" w:type="dxa"/>
            <w:shd w:val="clear" w:color="auto" w:fill="1B3A4B"/>
          </w:tcPr>
          <w:p w14:paraId="2ABBAB40" w14:textId="77777777" w:rsidR="008D4928" w:rsidRDefault="00000000">
            <w:r>
              <w:rPr>
                <w:b/>
                <w:color w:val="FFFFFF"/>
                <w:sz w:val="20"/>
              </w:rPr>
              <w:t>Stage</w:t>
            </w:r>
          </w:p>
        </w:tc>
        <w:tc>
          <w:tcPr>
            <w:tcW w:w="3135" w:type="dxa"/>
            <w:shd w:val="clear" w:color="auto" w:fill="1B3A4B"/>
          </w:tcPr>
          <w:p w14:paraId="7CA56CDF" w14:textId="77777777" w:rsidR="008D4928" w:rsidRDefault="00000000">
            <w:r>
              <w:rPr>
                <w:b/>
                <w:color w:val="FFFFFF"/>
                <w:sz w:val="20"/>
              </w:rPr>
              <w:t>Activity</w:t>
            </w:r>
          </w:p>
        </w:tc>
        <w:tc>
          <w:tcPr>
            <w:tcW w:w="3135" w:type="dxa"/>
            <w:shd w:val="clear" w:color="auto" w:fill="1B3A4B"/>
          </w:tcPr>
          <w:p w14:paraId="714E90CF" w14:textId="77777777" w:rsidR="008D4928" w:rsidRDefault="00000000">
            <w:r>
              <w:rPr>
                <w:b/>
                <w:color w:val="FFFFFF"/>
                <w:sz w:val="20"/>
              </w:rPr>
              <w:t>Timeline</w:t>
            </w:r>
          </w:p>
        </w:tc>
      </w:tr>
      <w:tr w:rsidR="008D4928" w14:paraId="067DBBFE" w14:textId="77777777">
        <w:tc>
          <w:tcPr>
            <w:tcW w:w="3135" w:type="dxa"/>
          </w:tcPr>
          <w:p w14:paraId="66D4C4D2" w14:textId="77777777" w:rsidR="008D4928" w:rsidRDefault="00000000">
            <w:r>
              <w:rPr>
                <w:sz w:val="20"/>
              </w:rPr>
              <w:t>1</w:t>
            </w:r>
          </w:p>
        </w:tc>
        <w:tc>
          <w:tcPr>
            <w:tcW w:w="3135" w:type="dxa"/>
          </w:tcPr>
          <w:p w14:paraId="0B8FAAFF" w14:textId="77777777" w:rsidR="008D4928" w:rsidRDefault="00000000">
            <w:r>
              <w:rPr>
                <w:sz w:val="20"/>
              </w:rPr>
              <w:t>Data analysis and eligibility assessment</w:t>
            </w:r>
          </w:p>
        </w:tc>
        <w:tc>
          <w:tcPr>
            <w:tcW w:w="3135" w:type="dxa"/>
          </w:tcPr>
          <w:p w14:paraId="219FB209" w14:textId="77777777" w:rsidR="008D4928" w:rsidRDefault="00000000">
            <w:r>
              <w:rPr>
                <w:sz w:val="20"/>
              </w:rPr>
              <w:t>Months 1–2</w:t>
            </w:r>
          </w:p>
        </w:tc>
      </w:tr>
      <w:tr w:rsidR="008D4928" w14:paraId="70D83D75" w14:textId="77777777">
        <w:tc>
          <w:tcPr>
            <w:tcW w:w="3135" w:type="dxa"/>
            <w:shd w:val="clear" w:color="auto" w:fill="F2F7FA"/>
          </w:tcPr>
          <w:p w14:paraId="20A1C602" w14:textId="77777777" w:rsidR="008D4928" w:rsidRDefault="00000000">
            <w:r>
              <w:rPr>
                <w:sz w:val="20"/>
              </w:rPr>
              <w:t>2</w:t>
            </w:r>
          </w:p>
        </w:tc>
        <w:tc>
          <w:tcPr>
            <w:tcW w:w="3135" w:type="dxa"/>
            <w:shd w:val="clear" w:color="auto" w:fill="F2F7FA"/>
          </w:tcPr>
          <w:p w14:paraId="7936002F" w14:textId="77777777" w:rsidR="008D4928" w:rsidRDefault="00000000">
            <w:r>
              <w:rPr>
                <w:sz w:val="20"/>
              </w:rPr>
              <w:t>Verification (auditor site visit, documentation, verification report)</w:t>
            </w:r>
          </w:p>
        </w:tc>
        <w:tc>
          <w:tcPr>
            <w:tcW w:w="3135" w:type="dxa"/>
            <w:shd w:val="clear" w:color="auto" w:fill="F2F7FA"/>
          </w:tcPr>
          <w:p w14:paraId="27B1F387" w14:textId="77777777" w:rsidR="008D4928" w:rsidRDefault="00000000">
            <w:r>
              <w:rPr>
                <w:sz w:val="20"/>
              </w:rPr>
              <w:t>Months 3–9</w:t>
            </w:r>
          </w:p>
        </w:tc>
      </w:tr>
      <w:tr w:rsidR="008D4928" w14:paraId="6819B064" w14:textId="77777777">
        <w:tc>
          <w:tcPr>
            <w:tcW w:w="3135" w:type="dxa"/>
          </w:tcPr>
          <w:p w14:paraId="32BAB348" w14:textId="77777777" w:rsidR="008D4928" w:rsidRDefault="00000000">
            <w:r>
              <w:rPr>
                <w:sz w:val="20"/>
              </w:rPr>
              <w:t>3</w:t>
            </w:r>
          </w:p>
        </w:tc>
        <w:tc>
          <w:tcPr>
            <w:tcW w:w="3135" w:type="dxa"/>
          </w:tcPr>
          <w:p w14:paraId="3F7C9BB6" w14:textId="77777777" w:rsidR="008D4928" w:rsidRDefault="00000000">
            <w:r>
              <w:rPr>
                <w:sz w:val="20"/>
              </w:rPr>
              <w:t>Verra technical review and credit issuance</w:t>
            </w:r>
          </w:p>
        </w:tc>
        <w:tc>
          <w:tcPr>
            <w:tcW w:w="3135" w:type="dxa"/>
          </w:tcPr>
          <w:p w14:paraId="2A6E64B1" w14:textId="77777777" w:rsidR="008D4928" w:rsidRDefault="00000000">
            <w:r>
              <w:rPr>
                <w:sz w:val="20"/>
              </w:rPr>
              <w:t>Months 9–12 (IFM: Q4 2026 – Q2 2027; ARR: Q4 2026 – Q1 2027)</w:t>
            </w:r>
          </w:p>
        </w:tc>
      </w:tr>
      <w:tr w:rsidR="008D4928" w14:paraId="1FE0CBA4" w14:textId="77777777">
        <w:tc>
          <w:tcPr>
            <w:tcW w:w="3135" w:type="dxa"/>
            <w:shd w:val="clear" w:color="auto" w:fill="F2F7FA"/>
          </w:tcPr>
          <w:p w14:paraId="3C90E137" w14:textId="77777777" w:rsidR="008D4928" w:rsidRDefault="00000000">
            <w:r>
              <w:rPr>
                <w:sz w:val="20"/>
              </w:rPr>
              <w:t>4</w:t>
            </w:r>
          </w:p>
        </w:tc>
        <w:tc>
          <w:tcPr>
            <w:tcW w:w="3135" w:type="dxa"/>
            <w:shd w:val="clear" w:color="auto" w:fill="F2F7FA"/>
          </w:tcPr>
          <w:p w14:paraId="1D1CE29C" w14:textId="77777777" w:rsidR="008D4928" w:rsidRDefault="00000000">
            <w:r>
              <w:rPr>
                <w:sz w:val="20"/>
              </w:rPr>
              <w:t>Credit sales and ensuring marketability</w:t>
            </w:r>
          </w:p>
        </w:tc>
        <w:tc>
          <w:tcPr>
            <w:tcW w:w="3135" w:type="dxa"/>
            <w:shd w:val="clear" w:color="auto" w:fill="F2F7FA"/>
          </w:tcPr>
          <w:p w14:paraId="782E3629" w14:textId="77777777" w:rsidR="008D4928" w:rsidRDefault="00000000">
            <w:r>
              <w:rPr>
                <w:sz w:val="20"/>
              </w:rPr>
              <w:t>From first issuance</w:t>
            </w:r>
          </w:p>
        </w:tc>
      </w:tr>
      <w:tr w:rsidR="008D4928" w14:paraId="53DEDD73" w14:textId="77777777">
        <w:tc>
          <w:tcPr>
            <w:tcW w:w="3135" w:type="dxa"/>
          </w:tcPr>
          <w:p w14:paraId="0DF11917" w14:textId="77777777" w:rsidR="008D4928" w:rsidRDefault="00000000">
            <w:r>
              <w:rPr>
                <w:sz w:val="20"/>
              </w:rPr>
              <w:t>5</w:t>
            </w:r>
          </w:p>
        </w:tc>
        <w:tc>
          <w:tcPr>
            <w:tcW w:w="3135" w:type="dxa"/>
          </w:tcPr>
          <w:p w14:paraId="755C37E8" w14:textId="77777777" w:rsidR="008D4928" w:rsidRDefault="00000000">
            <w:r>
              <w:rPr>
                <w:sz w:val="20"/>
              </w:rPr>
              <w:t>Ongoing annual verification cycles</w:t>
            </w:r>
          </w:p>
        </w:tc>
        <w:tc>
          <w:tcPr>
            <w:tcW w:w="3135" w:type="dxa"/>
          </w:tcPr>
          <w:p w14:paraId="6DD9B418" w14:textId="77777777" w:rsidR="008D4928" w:rsidRDefault="00000000">
            <w:r>
              <w:rPr>
                <w:sz w:val="20"/>
              </w:rPr>
              <w:t>Annual (IFM: 10+ years; ARR: up to 60 years)</w:t>
            </w:r>
          </w:p>
        </w:tc>
      </w:tr>
    </w:tbl>
    <w:p w14:paraId="27E271CD" w14:textId="77777777" w:rsidR="008D4928" w:rsidRDefault="00000000">
      <w:pPr>
        <w:pStyle w:val="Heading3"/>
      </w:pPr>
      <w:r>
        <w:lastRenderedPageBreak/>
        <w:t>4.5. Risks and Mitigation Measures</w:t>
      </w:r>
    </w:p>
    <w:tbl>
      <w:tblPr>
        <w:tblStyle w:val="TableGrid"/>
        <w:tblW w:w="0" w:type="auto"/>
        <w:tblLook w:val="04A0" w:firstRow="1" w:lastRow="0" w:firstColumn="1" w:lastColumn="0" w:noHBand="0" w:noVBand="1"/>
      </w:tblPr>
      <w:tblGrid>
        <w:gridCol w:w="3135"/>
        <w:gridCol w:w="3135"/>
        <w:gridCol w:w="3135"/>
      </w:tblGrid>
      <w:tr w:rsidR="008D4928" w14:paraId="57CC7E27" w14:textId="77777777">
        <w:tc>
          <w:tcPr>
            <w:tcW w:w="3135" w:type="dxa"/>
            <w:shd w:val="clear" w:color="auto" w:fill="1B3A4B"/>
          </w:tcPr>
          <w:p w14:paraId="353483F7" w14:textId="77777777" w:rsidR="008D4928" w:rsidRDefault="00000000">
            <w:r>
              <w:rPr>
                <w:b/>
                <w:color w:val="FFFFFF"/>
                <w:sz w:val="20"/>
              </w:rPr>
              <w:t>Risk</w:t>
            </w:r>
          </w:p>
        </w:tc>
        <w:tc>
          <w:tcPr>
            <w:tcW w:w="3135" w:type="dxa"/>
            <w:shd w:val="clear" w:color="auto" w:fill="1B3A4B"/>
          </w:tcPr>
          <w:p w14:paraId="3AB760F0" w14:textId="77777777" w:rsidR="008D4928" w:rsidRDefault="00000000">
            <w:r>
              <w:rPr>
                <w:b/>
                <w:color w:val="FFFFFF"/>
                <w:sz w:val="20"/>
              </w:rPr>
              <w:t>Likelihood</w:t>
            </w:r>
          </w:p>
        </w:tc>
        <w:tc>
          <w:tcPr>
            <w:tcW w:w="3135" w:type="dxa"/>
            <w:shd w:val="clear" w:color="auto" w:fill="1B3A4B"/>
          </w:tcPr>
          <w:p w14:paraId="280EB899" w14:textId="77777777" w:rsidR="008D4928" w:rsidRDefault="00000000">
            <w:r>
              <w:rPr>
                <w:b/>
                <w:color w:val="FFFFFF"/>
                <w:sz w:val="20"/>
              </w:rPr>
              <w:t>Mitigation</w:t>
            </w:r>
          </w:p>
        </w:tc>
      </w:tr>
      <w:tr w:rsidR="008D4928" w14:paraId="67116209" w14:textId="77777777">
        <w:tc>
          <w:tcPr>
            <w:tcW w:w="3135" w:type="dxa"/>
          </w:tcPr>
          <w:p w14:paraId="5B107D53" w14:textId="77777777" w:rsidR="008D4928" w:rsidRDefault="00000000">
            <w:r>
              <w:rPr>
                <w:sz w:val="20"/>
              </w:rPr>
              <w:t>Long project period</w:t>
            </w:r>
          </w:p>
        </w:tc>
        <w:tc>
          <w:tcPr>
            <w:tcW w:w="3135" w:type="dxa"/>
          </w:tcPr>
          <w:p w14:paraId="22A4CD38" w14:textId="77777777" w:rsidR="008D4928" w:rsidRDefault="00000000">
            <w:r>
              <w:rPr>
                <w:sz w:val="20"/>
              </w:rPr>
              <w:t>Low</w:t>
            </w:r>
          </w:p>
        </w:tc>
        <w:tc>
          <w:tcPr>
            <w:tcW w:w="3135" w:type="dxa"/>
          </w:tcPr>
          <w:p w14:paraId="27619EAF" w14:textId="77777777" w:rsidR="008D4928" w:rsidRDefault="00000000">
            <w:r>
              <w:rPr>
                <w:sz w:val="20"/>
              </w:rPr>
              <w:t>As per the proposed draft agreement, the landowner retains the right to terminate the project without financial penalties</w:t>
            </w:r>
          </w:p>
        </w:tc>
      </w:tr>
      <w:tr w:rsidR="008D4928" w14:paraId="0BAB991D" w14:textId="77777777">
        <w:tc>
          <w:tcPr>
            <w:tcW w:w="3135" w:type="dxa"/>
            <w:shd w:val="clear" w:color="auto" w:fill="F2F7FA"/>
          </w:tcPr>
          <w:p w14:paraId="20EAD188" w14:textId="77777777" w:rsidR="008D4928" w:rsidRDefault="00000000">
            <w:r>
              <w:rPr>
                <w:sz w:val="20"/>
              </w:rPr>
              <w:t>Market price fluctuations</w:t>
            </w:r>
          </w:p>
        </w:tc>
        <w:tc>
          <w:tcPr>
            <w:tcW w:w="3135" w:type="dxa"/>
            <w:shd w:val="clear" w:color="auto" w:fill="F2F7FA"/>
          </w:tcPr>
          <w:p w14:paraId="6B751536" w14:textId="77777777" w:rsidR="008D4928" w:rsidRDefault="00000000">
            <w:r>
              <w:rPr>
                <w:sz w:val="20"/>
              </w:rPr>
              <w:t>Medium</w:t>
            </w:r>
          </w:p>
        </w:tc>
        <w:tc>
          <w:tcPr>
            <w:tcW w:w="3135" w:type="dxa"/>
            <w:shd w:val="clear" w:color="auto" w:fill="F2F7FA"/>
          </w:tcPr>
          <w:p w14:paraId="05BBAB69" w14:textId="77777777" w:rsidR="008D4928" w:rsidRDefault="00000000">
            <w:r>
              <w:rPr>
                <w:sz w:val="20"/>
              </w:rPr>
              <w:t>Large network of buyers across the world and track record of successful credit issuance and sales</w:t>
            </w:r>
          </w:p>
        </w:tc>
      </w:tr>
      <w:tr w:rsidR="008D4928" w14:paraId="591B7F2A" w14:textId="77777777">
        <w:tc>
          <w:tcPr>
            <w:tcW w:w="3135" w:type="dxa"/>
          </w:tcPr>
          <w:p w14:paraId="511DA954" w14:textId="77777777" w:rsidR="008D4928" w:rsidRDefault="00000000">
            <w:r>
              <w:rPr>
                <w:sz w:val="20"/>
              </w:rPr>
              <w:t>Losing land value</w:t>
            </w:r>
          </w:p>
        </w:tc>
        <w:tc>
          <w:tcPr>
            <w:tcW w:w="3135" w:type="dxa"/>
          </w:tcPr>
          <w:p w14:paraId="79F5D367" w14:textId="77777777" w:rsidR="008D4928" w:rsidRDefault="00000000">
            <w:r>
              <w:rPr>
                <w:sz w:val="20"/>
              </w:rPr>
              <w:t>Low</w:t>
            </w:r>
          </w:p>
        </w:tc>
        <w:tc>
          <w:tcPr>
            <w:tcW w:w="3135" w:type="dxa"/>
          </w:tcPr>
          <w:p w14:paraId="66BC1917" w14:textId="77777777" w:rsidR="008D4928" w:rsidRDefault="00000000">
            <w:r>
              <w:rPr>
                <w:sz w:val="20"/>
              </w:rPr>
              <w:t>As per the proposed draft agreement, the landowner retains their freedom to manage their forest portfolio as they wish. If the management results in low carbon capture, the landowner will earn less income.</w:t>
            </w:r>
          </w:p>
        </w:tc>
      </w:tr>
      <w:tr w:rsidR="008D4928" w14:paraId="2E5A4A1E" w14:textId="77777777">
        <w:tc>
          <w:tcPr>
            <w:tcW w:w="3135" w:type="dxa"/>
            <w:shd w:val="clear" w:color="auto" w:fill="F2F7FA"/>
          </w:tcPr>
          <w:p w14:paraId="0EEA591C" w14:textId="77777777" w:rsidR="008D4928" w:rsidRDefault="00000000">
            <w:r>
              <w:rPr>
                <w:sz w:val="20"/>
              </w:rPr>
              <w:t>EU regulatory environment changes</w:t>
            </w:r>
          </w:p>
        </w:tc>
        <w:tc>
          <w:tcPr>
            <w:tcW w:w="3135" w:type="dxa"/>
            <w:shd w:val="clear" w:color="auto" w:fill="F2F7FA"/>
          </w:tcPr>
          <w:p w14:paraId="4F693B65" w14:textId="77777777" w:rsidR="008D4928" w:rsidRDefault="00000000">
            <w:r>
              <w:rPr>
                <w:sz w:val="20"/>
              </w:rPr>
              <w:t>Low</w:t>
            </w:r>
          </w:p>
        </w:tc>
        <w:tc>
          <w:tcPr>
            <w:tcW w:w="3135" w:type="dxa"/>
            <w:shd w:val="clear" w:color="auto" w:fill="F2F7FA"/>
          </w:tcPr>
          <w:p w14:paraId="131882B0" w14:textId="77777777" w:rsidR="008D4928" w:rsidRDefault="00000000">
            <w:r>
              <w:rPr>
                <w:sz w:val="20"/>
              </w:rPr>
              <w:t>EU CRCF creates an additional Standard alternative to Verra; The landowner has the right to propose moving the project over to the new EU CRCF standard</w:t>
            </w:r>
          </w:p>
        </w:tc>
      </w:tr>
      <w:tr w:rsidR="008D4928" w14:paraId="7BCE23FF" w14:textId="77777777">
        <w:tc>
          <w:tcPr>
            <w:tcW w:w="3135" w:type="dxa"/>
          </w:tcPr>
          <w:p w14:paraId="58DA32DE" w14:textId="77777777" w:rsidR="008D4928" w:rsidRDefault="00000000">
            <w:r>
              <w:rPr>
                <w:sz w:val="20"/>
              </w:rPr>
              <w:t>Audit findings or deviations</w:t>
            </w:r>
          </w:p>
        </w:tc>
        <w:tc>
          <w:tcPr>
            <w:tcW w:w="3135" w:type="dxa"/>
          </w:tcPr>
          <w:p w14:paraId="45DE63E9" w14:textId="77777777" w:rsidR="008D4928" w:rsidRDefault="00000000">
            <w:r>
              <w:rPr>
                <w:sz w:val="20"/>
              </w:rPr>
              <w:t>Low</w:t>
            </w:r>
          </w:p>
        </w:tc>
        <w:tc>
          <w:tcPr>
            <w:tcW w:w="3135" w:type="dxa"/>
          </w:tcPr>
          <w:p w14:paraId="7FABC5BF" w14:textId="77777777" w:rsidR="008D4928" w:rsidRDefault="00000000">
            <w:r>
              <w:rPr>
                <w:sz w:val="20"/>
              </w:rPr>
              <w:t>Ecobase's track record with successful VCS project processes ensures methodological rigour</w:t>
            </w:r>
          </w:p>
        </w:tc>
      </w:tr>
    </w:tbl>
    <w:p w14:paraId="2E47F855" w14:textId="77777777" w:rsidR="008D4928" w:rsidRDefault="00000000">
      <w:pPr>
        <w:pStyle w:val="Heading2"/>
      </w:pPr>
      <w:r>
        <w:t>5. Remuneration Model</w:t>
      </w:r>
    </w:p>
    <w:p w14:paraId="1A0E90C0" w14:textId="77777777" w:rsidR="008D4928" w:rsidRDefault="00000000">
      <w:pPr>
        <w:pStyle w:val="Heading3"/>
      </w:pPr>
      <w:r>
        <w:t>5.1. General Principle</w:t>
      </w:r>
    </w:p>
    <w:p w14:paraId="3BD3CE3F" w14:textId="77777777" w:rsidR="008D4928" w:rsidRDefault="00000000">
      <w:r>
        <w:t xml:space="preserve">Ecobase provides the service with </w:t>
      </w:r>
      <w:r>
        <w:rPr>
          <w:b/>
        </w:rPr>
        <w:t>zero upfront and ongoing cash costs</w:t>
      </w:r>
      <w:r>
        <w:t xml:space="preserve"> to RMK. All project development, validation, verification, registration, monitoring, and sales-related costs are borne by Ecobase. This applies to both IFM and ARR project activities.</w:t>
      </w:r>
    </w:p>
    <w:p w14:paraId="479C1F14" w14:textId="77777777" w:rsidR="008D4928" w:rsidRDefault="00000000">
      <w:pPr>
        <w:pStyle w:val="Heading3"/>
      </w:pPr>
      <w:r>
        <w:t>5.2. Fee Structure</w:t>
      </w:r>
    </w:p>
    <w:tbl>
      <w:tblPr>
        <w:tblStyle w:val="TableGrid"/>
        <w:tblW w:w="0" w:type="auto"/>
        <w:tblLook w:val="04A0" w:firstRow="1" w:lastRow="0" w:firstColumn="1" w:lastColumn="0" w:noHBand="0" w:noVBand="1"/>
      </w:tblPr>
      <w:tblGrid>
        <w:gridCol w:w="4703"/>
        <w:gridCol w:w="4703"/>
      </w:tblGrid>
      <w:tr w:rsidR="008D4928" w14:paraId="1E8A4AC6" w14:textId="77777777">
        <w:tc>
          <w:tcPr>
            <w:tcW w:w="4703" w:type="dxa"/>
            <w:shd w:val="clear" w:color="auto" w:fill="1B3A4B"/>
          </w:tcPr>
          <w:p w14:paraId="4B611416" w14:textId="77777777" w:rsidR="008D4928" w:rsidRDefault="00000000">
            <w:r>
              <w:rPr>
                <w:b/>
                <w:color w:val="FFFFFF"/>
                <w:sz w:val="20"/>
              </w:rPr>
              <w:t>Component</w:t>
            </w:r>
          </w:p>
        </w:tc>
        <w:tc>
          <w:tcPr>
            <w:tcW w:w="4703" w:type="dxa"/>
            <w:shd w:val="clear" w:color="auto" w:fill="1B3A4B"/>
          </w:tcPr>
          <w:p w14:paraId="664C7751" w14:textId="77777777" w:rsidR="008D4928" w:rsidRDefault="00000000">
            <w:r>
              <w:rPr>
                <w:b/>
                <w:color w:val="FFFFFF"/>
                <w:sz w:val="20"/>
              </w:rPr>
              <w:t>Fee</w:t>
            </w:r>
          </w:p>
        </w:tc>
      </w:tr>
      <w:tr w:rsidR="008D4928" w14:paraId="2982D703" w14:textId="77777777">
        <w:tc>
          <w:tcPr>
            <w:tcW w:w="4703" w:type="dxa"/>
          </w:tcPr>
          <w:p w14:paraId="3A635A6F" w14:textId="77777777" w:rsidR="008D4928" w:rsidRDefault="00000000">
            <w:r>
              <w:rPr>
                <w:b/>
                <w:sz w:val="20"/>
              </w:rPr>
              <w:t>Service fee for carbon credit creation and project management (Stages 1–4)</w:t>
            </w:r>
          </w:p>
        </w:tc>
        <w:tc>
          <w:tcPr>
            <w:tcW w:w="4703" w:type="dxa"/>
          </w:tcPr>
          <w:p w14:paraId="10911943" w14:textId="77777777" w:rsidR="008D4928" w:rsidRDefault="00000000">
            <w:r>
              <w:rPr>
                <w:sz w:val="20"/>
              </w:rPr>
              <w:t>30% of issued credits</w:t>
            </w:r>
          </w:p>
        </w:tc>
      </w:tr>
      <w:tr w:rsidR="008D4928" w14:paraId="21632D0A" w14:textId="77777777">
        <w:tc>
          <w:tcPr>
            <w:tcW w:w="4703" w:type="dxa"/>
            <w:shd w:val="clear" w:color="auto" w:fill="F2F7FA"/>
          </w:tcPr>
          <w:p w14:paraId="1B7F665C" w14:textId="77777777" w:rsidR="008D4928" w:rsidRDefault="00000000">
            <w:r>
              <w:rPr>
                <w:b/>
                <w:sz w:val="20"/>
              </w:rPr>
              <w:t>Fee for carbon credit sales services (Stage 5)</w:t>
            </w:r>
          </w:p>
        </w:tc>
        <w:tc>
          <w:tcPr>
            <w:tcW w:w="4703" w:type="dxa"/>
            <w:shd w:val="clear" w:color="auto" w:fill="F2F7FA"/>
          </w:tcPr>
          <w:p w14:paraId="018689DA" w14:textId="77777777" w:rsidR="008D4928" w:rsidRDefault="00000000">
            <w:r>
              <w:rPr>
                <w:sz w:val="20"/>
              </w:rPr>
              <w:t>Included — no separate sales fee</w:t>
            </w:r>
          </w:p>
        </w:tc>
      </w:tr>
      <w:tr w:rsidR="008D4928" w14:paraId="05BBB37F" w14:textId="77777777">
        <w:tc>
          <w:tcPr>
            <w:tcW w:w="4703" w:type="dxa"/>
          </w:tcPr>
          <w:p w14:paraId="74C39EFD" w14:textId="77777777" w:rsidR="008D4928" w:rsidRDefault="00000000">
            <w:r>
              <w:rPr>
                <w:b/>
                <w:sz w:val="20"/>
              </w:rPr>
              <w:t>Combined fee</w:t>
            </w:r>
          </w:p>
        </w:tc>
        <w:tc>
          <w:tcPr>
            <w:tcW w:w="4703" w:type="dxa"/>
          </w:tcPr>
          <w:p w14:paraId="0FB74AC2" w14:textId="77777777" w:rsidR="008D4928" w:rsidRDefault="00000000">
            <w:r>
              <w:rPr>
                <w:sz w:val="20"/>
              </w:rPr>
              <w:t>30% of all issued and registered credits</w:t>
            </w:r>
          </w:p>
        </w:tc>
      </w:tr>
    </w:tbl>
    <w:p w14:paraId="0CE1B966" w14:textId="77777777" w:rsidR="008D4928" w:rsidRDefault="00000000">
      <w:pPr>
        <w:pStyle w:val="Heading3"/>
      </w:pPr>
      <w:r>
        <w:t>5.3. Fee Model Details</w:t>
      </w:r>
    </w:p>
    <w:p w14:paraId="4A92429D" w14:textId="77777777" w:rsidR="008D4928" w:rsidRDefault="00000000">
      <w:pPr>
        <w:pStyle w:val="ListBullet"/>
      </w:pPr>
      <w:r>
        <w:rPr>
          <w:b/>
        </w:rPr>
        <w:t>RMK receives 70%</w:t>
      </w:r>
      <w:r>
        <w:t xml:space="preserve"> of all issued and registered carbon credits (both IFM and ARR)</w:t>
      </w:r>
    </w:p>
    <w:p w14:paraId="68126297" w14:textId="77777777" w:rsidR="008D4928" w:rsidRDefault="00000000">
      <w:pPr>
        <w:pStyle w:val="ListBullet"/>
      </w:pPr>
      <w:r>
        <w:rPr>
          <w:b/>
        </w:rPr>
        <w:lastRenderedPageBreak/>
        <w:t>Ecobase receives 30%</w:t>
      </w:r>
      <w:r>
        <w:t xml:space="preserve"> — this covers all project development, management, and sales costs, including validation, verification, carbon monitoring, registry fees, and sales commissions</w:t>
      </w:r>
    </w:p>
    <w:p w14:paraId="245D27BA" w14:textId="77777777" w:rsidR="008D4928" w:rsidRDefault="00000000">
      <w:pPr>
        <w:pStyle w:val="ListBullet"/>
      </w:pPr>
      <w:r>
        <w:rPr>
          <w:b/>
        </w:rPr>
        <w:t>Settlement:</w:t>
      </w:r>
      <w:r>
        <w:t xml:space="preserve"> In-kind (credits), not cash — the allocation takes place in the Verra Registry after each credit issuance event</w:t>
      </w:r>
    </w:p>
    <w:p w14:paraId="24C9E17D" w14:textId="77777777" w:rsidR="008D4928" w:rsidRDefault="00000000">
      <w:pPr>
        <w:pStyle w:val="ListBullet"/>
      </w:pPr>
      <w:r>
        <w:rPr>
          <w:b/>
        </w:rPr>
        <w:t>RMK bears no upfront payments, management fees, or other hidden costs</w:t>
      </w:r>
    </w:p>
    <w:p w14:paraId="6FDC46DC" w14:textId="77777777" w:rsidR="008D4928" w:rsidRDefault="00000000">
      <w:pPr>
        <w:pStyle w:val="ListBullet"/>
      </w:pPr>
      <w:r>
        <w:rPr>
          <w:b/>
        </w:rPr>
        <w:t>The same 30/70 split applies to both IFM and ARR credits</w:t>
      </w:r>
    </w:p>
    <w:p w14:paraId="70974694" w14:textId="77777777" w:rsidR="008D4928" w:rsidRDefault="00000000">
      <w:pPr>
        <w:pStyle w:val="Heading3"/>
      </w:pPr>
      <w:r>
        <w:t>5.4. Indicative Per-Hectare Economics</w:t>
      </w:r>
    </w:p>
    <w:p w14:paraId="767B81BD" w14:textId="77777777" w:rsidR="008D4928" w:rsidRDefault="00000000">
      <w:r>
        <w:t>The following estimates are provided for illustrative purposes, based on Ecobase's project experience and current voluntary carbon market pricing. Actual credit volumes depend on forest characteristics, management decisions, and market conditions at the time of sale.</w:t>
      </w:r>
    </w:p>
    <w:p w14:paraId="7B2D381A" w14:textId="77777777" w:rsidR="008D4928" w:rsidRDefault="00000000">
      <w:r>
        <w:rPr>
          <w:b/>
        </w:rPr>
        <w:t>ARR — Afforestation/Reforestation:</w:t>
      </w:r>
    </w:p>
    <w:tbl>
      <w:tblPr>
        <w:tblStyle w:val="TableGrid"/>
        <w:tblW w:w="0" w:type="auto"/>
        <w:tblLook w:val="04A0" w:firstRow="1" w:lastRow="0" w:firstColumn="1" w:lastColumn="0" w:noHBand="0" w:noVBand="1"/>
      </w:tblPr>
      <w:tblGrid>
        <w:gridCol w:w="4703"/>
        <w:gridCol w:w="4703"/>
      </w:tblGrid>
      <w:tr w:rsidR="008D4928" w14:paraId="33AE92FC" w14:textId="77777777">
        <w:tc>
          <w:tcPr>
            <w:tcW w:w="4703" w:type="dxa"/>
            <w:shd w:val="clear" w:color="auto" w:fill="1B3A4B"/>
          </w:tcPr>
          <w:p w14:paraId="10CE34CF" w14:textId="77777777" w:rsidR="008D4928" w:rsidRDefault="00000000">
            <w:r>
              <w:rPr>
                <w:b/>
                <w:color w:val="FFFFFF"/>
                <w:sz w:val="20"/>
              </w:rPr>
              <w:t>Parameter</w:t>
            </w:r>
          </w:p>
        </w:tc>
        <w:tc>
          <w:tcPr>
            <w:tcW w:w="4703" w:type="dxa"/>
            <w:shd w:val="clear" w:color="auto" w:fill="1B3A4B"/>
          </w:tcPr>
          <w:p w14:paraId="51CCAA50" w14:textId="77777777" w:rsidR="008D4928" w:rsidRDefault="00000000">
            <w:r>
              <w:rPr>
                <w:b/>
                <w:color w:val="FFFFFF"/>
                <w:sz w:val="20"/>
              </w:rPr>
              <w:t>Value</w:t>
            </w:r>
          </w:p>
        </w:tc>
      </w:tr>
      <w:tr w:rsidR="008D4928" w14:paraId="15E2F019" w14:textId="77777777">
        <w:tc>
          <w:tcPr>
            <w:tcW w:w="4703" w:type="dxa"/>
          </w:tcPr>
          <w:p w14:paraId="4B4991CE" w14:textId="77777777" w:rsidR="008D4928" w:rsidRDefault="00000000">
            <w:r>
              <w:rPr>
                <w:b/>
                <w:sz w:val="20"/>
              </w:rPr>
              <w:t>Estimated credits per hectare per year</w:t>
            </w:r>
          </w:p>
        </w:tc>
        <w:tc>
          <w:tcPr>
            <w:tcW w:w="4703" w:type="dxa"/>
          </w:tcPr>
          <w:p w14:paraId="606B77E2" w14:textId="77777777" w:rsidR="008D4928" w:rsidRDefault="00000000">
            <w:r>
              <w:rPr>
                <w:sz w:val="20"/>
              </w:rPr>
              <w:t>~8 VCUs</w:t>
            </w:r>
          </w:p>
        </w:tc>
      </w:tr>
      <w:tr w:rsidR="008D4928" w14:paraId="1CB75A9B" w14:textId="77777777">
        <w:tc>
          <w:tcPr>
            <w:tcW w:w="4703" w:type="dxa"/>
            <w:shd w:val="clear" w:color="auto" w:fill="F2F7FA"/>
          </w:tcPr>
          <w:p w14:paraId="3E219E23" w14:textId="77777777" w:rsidR="008D4928" w:rsidRDefault="00000000">
            <w:r>
              <w:rPr>
                <w:b/>
                <w:sz w:val="20"/>
              </w:rPr>
              <w:t>Credit income period</w:t>
            </w:r>
          </w:p>
        </w:tc>
        <w:tc>
          <w:tcPr>
            <w:tcW w:w="4703" w:type="dxa"/>
            <w:shd w:val="clear" w:color="auto" w:fill="F2F7FA"/>
          </w:tcPr>
          <w:p w14:paraId="2ABC8141" w14:textId="77777777" w:rsidR="008D4928" w:rsidRDefault="00000000">
            <w:r>
              <w:rPr>
                <w:sz w:val="20"/>
              </w:rPr>
              <w:t>~30 years</w:t>
            </w:r>
          </w:p>
        </w:tc>
      </w:tr>
      <w:tr w:rsidR="008D4928" w14:paraId="32810BEA" w14:textId="77777777">
        <w:tc>
          <w:tcPr>
            <w:tcW w:w="4703" w:type="dxa"/>
          </w:tcPr>
          <w:p w14:paraId="411BA46E" w14:textId="77777777" w:rsidR="008D4928" w:rsidRDefault="00000000">
            <w:r>
              <w:rPr>
                <w:b/>
                <w:sz w:val="20"/>
              </w:rPr>
              <w:t>Total credits per hectare (over crediting period)</w:t>
            </w:r>
          </w:p>
        </w:tc>
        <w:tc>
          <w:tcPr>
            <w:tcW w:w="4703" w:type="dxa"/>
          </w:tcPr>
          <w:p w14:paraId="5C7FEBAC" w14:textId="77777777" w:rsidR="008D4928" w:rsidRDefault="00000000">
            <w:r>
              <w:rPr>
                <w:sz w:val="20"/>
              </w:rPr>
              <w:t>~240 VCUs</w:t>
            </w:r>
          </w:p>
        </w:tc>
      </w:tr>
      <w:tr w:rsidR="008D4928" w14:paraId="19A8B24A" w14:textId="77777777">
        <w:tc>
          <w:tcPr>
            <w:tcW w:w="4703" w:type="dxa"/>
            <w:shd w:val="clear" w:color="auto" w:fill="F2F7FA"/>
          </w:tcPr>
          <w:p w14:paraId="1BB2CF1A" w14:textId="77777777" w:rsidR="008D4928" w:rsidRDefault="00000000">
            <w:r>
              <w:rPr>
                <w:b/>
                <w:sz w:val="20"/>
              </w:rPr>
              <w:t>Indicative market price range</w:t>
            </w:r>
          </w:p>
        </w:tc>
        <w:tc>
          <w:tcPr>
            <w:tcW w:w="4703" w:type="dxa"/>
            <w:shd w:val="clear" w:color="auto" w:fill="F2F7FA"/>
          </w:tcPr>
          <w:p w14:paraId="35BFC9AD" w14:textId="77777777" w:rsidR="008D4928" w:rsidRDefault="00000000">
            <w:r>
              <w:rPr>
                <w:sz w:val="20"/>
              </w:rPr>
              <w:t>€30–70 per credit</w:t>
            </w:r>
          </w:p>
        </w:tc>
      </w:tr>
      <w:tr w:rsidR="008D4928" w14:paraId="799C814C" w14:textId="77777777">
        <w:tc>
          <w:tcPr>
            <w:tcW w:w="4703" w:type="dxa"/>
          </w:tcPr>
          <w:p w14:paraId="77CC7C73" w14:textId="77777777" w:rsidR="008D4928" w:rsidRDefault="00000000">
            <w:r>
              <w:rPr>
                <w:b/>
                <w:sz w:val="20"/>
              </w:rPr>
              <w:t>Gross revenue per hectare (over 30 years)</w:t>
            </w:r>
          </w:p>
        </w:tc>
        <w:tc>
          <w:tcPr>
            <w:tcW w:w="4703" w:type="dxa"/>
          </w:tcPr>
          <w:p w14:paraId="7ACF3120" w14:textId="77777777" w:rsidR="008D4928" w:rsidRDefault="00000000">
            <w:r>
              <w:rPr>
                <w:sz w:val="20"/>
              </w:rPr>
              <w:t>€7,200–16,800</w:t>
            </w:r>
          </w:p>
        </w:tc>
      </w:tr>
      <w:tr w:rsidR="008D4928" w14:paraId="570CC1D5" w14:textId="77777777">
        <w:tc>
          <w:tcPr>
            <w:tcW w:w="4703" w:type="dxa"/>
            <w:shd w:val="clear" w:color="auto" w:fill="F2F7FA"/>
          </w:tcPr>
          <w:p w14:paraId="04193760" w14:textId="77777777" w:rsidR="008D4928" w:rsidRDefault="00000000">
            <w:r>
              <w:rPr>
                <w:b/>
                <w:sz w:val="20"/>
              </w:rPr>
              <w:t>RMK's share (70%) per hectare (over 30 years)</w:t>
            </w:r>
          </w:p>
        </w:tc>
        <w:tc>
          <w:tcPr>
            <w:tcW w:w="4703" w:type="dxa"/>
            <w:shd w:val="clear" w:color="auto" w:fill="F2F7FA"/>
          </w:tcPr>
          <w:p w14:paraId="566E0D9A" w14:textId="77777777" w:rsidR="008D4928" w:rsidRDefault="00000000">
            <w:r>
              <w:rPr>
                <w:sz w:val="20"/>
              </w:rPr>
              <w:t>€5,040–11,760</w:t>
            </w:r>
          </w:p>
        </w:tc>
      </w:tr>
    </w:tbl>
    <w:p w14:paraId="1F74F002" w14:textId="77777777" w:rsidR="008D4928" w:rsidRDefault="008D4928"/>
    <w:p w14:paraId="64283838" w14:textId="77777777" w:rsidR="008D4928" w:rsidRDefault="00000000">
      <w:r>
        <w:rPr>
          <w:b/>
        </w:rPr>
        <w:t>IFM — Improved Forest Management:</w:t>
      </w:r>
    </w:p>
    <w:tbl>
      <w:tblPr>
        <w:tblStyle w:val="TableGrid"/>
        <w:tblW w:w="0" w:type="auto"/>
        <w:tblLook w:val="04A0" w:firstRow="1" w:lastRow="0" w:firstColumn="1" w:lastColumn="0" w:noHBand="0" w:noVBand="1"/>
      </w:tblPr>
      <w:tblGrid>
        <w:gridCol w:w="4703"/>
        <w:gridCol w:w="4703"/>
      </w:tblGrid>
      <w:tr w:rsidR="008D4928" w14:paraId="3C605250" w14:textId="77777777">
        <w:tc>
          <w:tcPr>
            <w:tcW w:w="4703" w:type="dxa"/>
            <w:shd w:val="clear" w:color="auto" w:fill="1B3A4B"/>
          </w:tcPr>
          <w:p w14:paraId="76019EB9" w14:textId="77777777" w:rsidR="008D4928" w:rsidRDefault="00000000">
            <w:r>
              <w:rPr>
                <w:b/>
                <w:color w:val="FFFFFF"/>
                <w:sz w:val="20"/>
              </w:rPr>
              <w:t>Parameter</w:t>
            </w:r>
          </w:p>
        </w:tc>
        <w:tc>
          <w:tcPr>
            <w:tcW w:w="4703" w:type="dxa"/>
            <w:shd w:val="clear" w:color="auto" w:fill="1B3A4B"/>
          </w:tcPr>
          <w:p w14:paraId="37330C01" w14:textId="77777777" w:rsidR="008D4928" w:rsidRDefault="00000000">
            <w:r>
              <w:rPr>
                <w:b/>
                <w:color w:val="FFFFFF"/>
                <w:sz w:val="20"/>
              </w:rPr>
              <w:t>Value</w:t>
            </w:r>
          </w:p>
        </w:tc>
      </w:tr>
      <w:tr w:rsidR="008D4928" w14:paraId="079A4DDB" w14:textId="77777777">
        <w:tc>
          <w:tcPr>
            <w:tcW w:w="4703" w:type="dxa"/>
          </w:tcPr>
          <w:p w14:paraId="564299A2" w14:textId="77777777" w:rsidR="008D4928" w:rsidRDefault="00000000">
            <w:r>
              <w:rPr>
                <w:b/>
                <w:sz w:val="20"/>
              </w:rPr>
              <w:t>Estimated credits per hectare per year</w:t>
            </w:r>
          </w:p>
        </w:tc>
        <w:tc>
          <w:tcPr>
            <w:tcW w:w="4703" w:type="dxa"/>
          </w:tcPr>
          <w:p w14:paraId="540CBC22" w14:textId="77777777" w:rsidR="008D4928" w:rsidRDefault="00000000">
            <w:r>
              <w:rPr>
                <w:sz w:val="20"/>
              </w:rPr>
              <w:t>0.2–0.8 VCUs (depending on forest management decisions)</w:t>
            </w:r>
          </w:p>
        </w:tc>
      </w:tr>
      <w:tr w:rsidR="008D4928" w14:paraId="3C7734F0" w14:textId="77777777">
        <w:tc>
          <w:tcPr>
            <w:tcW w:w="4703" w:type="dxa"/>
            <w:shd w:val="clear" w:color="auto" w:fill="F2F7FA"/>
          </w:tcPr>
          <w:p w14:paraId="45A97472" w14:textId="77777777" w:rsidR="008D4928" w:rsidRDefault="00000000">
            <w:r>
              <w:rPr>
                <w:b/>
                <w:sz w:val="20"/>
              </w:rPr>
              <w:t>Indicative market price range</w:t>
            </w:r>
          </w:p>
        </w:tc>
        <w:tc>
          <w:tcPr>
            <w:tcW w:w="4703" w:type="dxa"/>
            <w:shd w:val="clear" w:color="auto" w:fill="F2F7FA"/>
          </w:tcPr>
          <w:p w14:paraId="10E50180" w14:textId="77777777" w:rsidR="008D4928" w:rsidRDefault="00000000">
            <w:r>
              <w:rPr>
                <w:sz w:val="20"/>
              </w:rPr>
              <w:t>€30–50 per credit</w:t>
            </w:r>
          </w:p>
        </w:tc>
      </w:tr>
      <w:tr w:rsidR="008D4928" w14:paraId="13D0CB51" w14:textId="77777777">
        <w:tc>
          <w:tcPr>
            <w:tcW w:w="4703" w:type="dxa"/>
          </w:tcPr>
          <w:p w14:paraId="44369FD2" w14:textId="77777777" w:rsidR="008D4928" w:rsidRDefault="00000000">
            <w:r>
              <w:rPr>
                <w:b/>
                <w:sz w:val="20"/>
              </w:rPr>
              <w:t>Gross revenue per hectare per year</w:t>
            </w:r>
          </w:p>
        </w:tc>
        <w:tc>
          <w:tcPr>
            <w:tcW w:w="4703" w:type="dxa"/>
          </w:tcPr>
          <w:p w14:paraId="7E9E23CF" w14:textId="77777777" w:rsidR="008D4928" w:rsidRDefault="00000000">
            <w:r>
              <w:rPr>
                <w:sz w:val="20"/>
              </w:rPr>
              <w:t>€6–40</w:t>
            </w:r>
          </w:p>
        </w:tc>
      </w:tr>
      <w:tr w:rsidR="008D4928" w14:paraId="79A8B9F6" w14:textId="77777777">
        <w:tc>
          <w:tcPr>
            <w:tcW w:w="4703" w:type="dxa"/>
            <w:shd w:val="clear" w:color="auto" w:fill="F2F7FA"/>
          </w:tcPr>
          <w:p w14:paraId="4C14935B" w14:textId="77777777" w:rsidR="008D4928" w:rsidRDefault="00000000">
            <w:r>
              <w:rPr>
                <w:b/>
                <w:sz w:val="20"/>
              </w:rPr>
              <w:t>RMK's share (70%) per hectare per year</w:t>
            </w:r>
          </w:p>
        </w:tc>
        <w:tc>
          <w:tcPr>
            <w:tcW w:w="4703" w:type="dxa"/>
            <w:shd w:val="clear" w:color="auto" w:fill="F2F7FA"/>
          </w:tcPr>
          <w:p w14:paraId="4C65D4FD" w14:textId="77777777" w:rsidR="008D4928" w:rsidRDefault="00000000">
            <w:r>
              <w:rPr>
                <w:sz w:val="20"/>
              </w:rPr>
              <w:t>€4.20–28</w:t>
            </w:r>
          </w:p>
        </w:tc>
      </w:tr>
    </w:tbl>
    <w:p w14:paraId="58F2FA37" w14:textId="77777777" w:rsidR="008D4928" w:rsidRDefault="008D4928"/>
    <w:p w14:paraId="7C7606BD" w14:textId="77777777" w:rsidR="008D4928" w:rsidRDefault="00000000">
      <w:r>
        <w:rPr>
          <w:i/>
        </w:rPr>
        <w:t>Note: IFM credit volumes are highly dependent on the difference between current and optimised management scenarios. The range reflects the variability across different forest types and management intensities.</w:t>
      </w:r>
    </w:p>
    <w:p w14:paraId="56ED7D0A" w14:textId="77777777" w:rsidR="008D4928" w:rsidRDefault="00000000">
      <w:r>
        <w:rPr>
          <w:b/>
        </w:rPr>
        <w:t>Indicative Total Annual Income for RMK</w:t>
      </w:r>
    </w:p>
    <w:p w14:paraId="6FE2D68D" w14:textId="77777777" w:rsidR="008D4928" w:rsidRDefault="00000000">
      <w:r>
        <w:t>The following projections assume approximately 500,000 hectares of eligible IFM forest and an assumed afforestation rate of approximately 1,000 hectares per year for the next 5 years for ARR.</w:t>
      </w:r>
    </w:p>
    <w:p w14:paraId="6C4DCAF8" w14:textId="77777777" w:rsidR="008D4928" w:rsidRDefault="00000000">
      <w:r>
        <w:rPr>
          <w:i/>
        </w:rPr>
        <w:t>IFM (500,000 ha):</w:t>
      </w:r>
    </w:p>
    <w:tbl>
      <w:tblPr>
        <w:tblStyle w:val="TableGrid"/>
        <w:tblW w:w="0" w:type="auto"/>
        <w:tblLook w:val="04A0" w:firstRow="1" w:lastRow="0" w:firstColumn="1" w:lastColumn="0" w:noHBand="0" w:noVBand="1"/>
      </w:tblPr>
      <w:tblGrid>
        <w:gridCol w:w="3135"/>
        <w:gridCol w:w="3135"/>
        <w:gridCol w:w="3135"/>
      </w:tblGrid>
      <w:tr w:rsidR="008D4928" w14:paraId="19B02FB7" w14:textId="77777777">
        <w:tc>
          <w:tcPr>
            <w:tcW w:w="3135" w:type="dxa"/>
            <w:shd w:val="clear" w:color="auto" w:fill="1B3A4B"/>
          </w:tcPr>
          <w:p w14:paraId="7F706D92" w14:textId="77777777" w:rsidR="008D4928" w:rsidRDefault="00000000">
            <w:r>
              <w:rPr>
                <w:b/>
                <w:color w:val="FFFFFF"/>
                <w:sz w:val="20"/>
              </w:rPr>
              <w:lastRenderedPageBreak/>
              <w:t>Parameter</w:t>
            </w:r>
          </w:p>
        </w:tc>
        <w:tc>
          <w:tcPr>
            <w:tcW w:w="3135" w:type="dxa"/>
            <w:shd w:val="clear" w:color="auto" w:fill="1B3A4B"/>
          </w:tcPr>
          <w:p w14:paraId="17288662" w14:textId="77777777" w:rsidR="008D4928" w:rsidRDefault="00000000">
            <w:r>
              <w:rPr>
                <w:b/>
                <w:color w:val="FFFFFF"/>
                <w:sz w:val="20"/>
              </w:rPr>
              <w:t>Low estimate</w:t>
            </w:r>
          </w:p>
        </w:tc>
        <w:tc>
          <w:tcPr>
            <w:tcW w:w="3135" w:type="dxa"/>
            <w:shd w:val="clear" w:color="auto" w:fill="1B3A4B"/>
          </w:tcPr>
          <w:p w14:paraId="08B81953" w14:textId="77777777" w:rsidR="008D4928" w:rsidRDefault="00000000">
            <w:r>
              <w:rPr>
                <w:b/>
                <w:color w:val="FFFFFF"/>
                <w:sz w:val="20"/>
              </w:rPr>
              <w:t>High estimate</w:t>
            </w:r>
          </w:p>
        </w:tc>
      </w:tr>
      <w:tr w:rsidR="008D4928" w14:paraId="67D7343A" w14:textId="77777777">
        <w:tc>
          <w:tcPr>
            <w:tcW w:w="3135" w:type="dxa"/>
          </w:tcPr>
          <w:p w14:paraId="1723398D" w14:textId="77777777" w:rsidR="008D4928" w:rsidRDefault="00000000">
            <w:r>
              <w:rPr>
                <w:b/>
                <w:sz w:val="20"/>
              </w:rPr>
              <w:t>Credits per year (0.2–0.8 VCUs/ha)</w:t>
            </w:r>
          </w:p>
        </w:tc>
        <w:tc>
          <w:tcPr>
            <w:tcW w:w="3135" w:type="dxa"/>
          </w:tcPr>
          <w:p w14:paraId="3D63A74C" w14:textId="77777777" w:rsidR="008D4928" w:rsidRDefault="00000000">
            <w:r>
              <w:rPr>
                <w:sz w:val="20"/>
              </w:rPr>
              <w:t>100,000</w:t>
            </w:r>
          </w:p>
        </w:tc>
        <w:tc>
          <w:tcPr>
            <w:tcW w:w="3135" w:type="dxa"/>
          </w:tcPr>
          <w:p w14:paraId="3315D69E" w14:textId="77777777" w:rsidR="008D4928" w:rsidRDefault="00000000">
            <w:r>
              <w:rPr>
                <w:sz w:val="20"/>
              </w:rPr>
              <w:t>400,000</w:t>
            </w:r>
          </w:p>
        </w:tc>
      </w:tr>
      <w:tr w:rsidR="008D4928" w14:paraId="217067BD" w14:textId="77777777">
        <w:tc>
          <w:tcPr>
            <w:tcW w:w="3135" w:type="dxa"/>
            <w:shd w:val="clear" w:color="auto" w:fill="F2F7FA"/>
          </w:tcPr>
          <w:p w14:paraId="45FB8430" w14:textId="77777777" w:rsidR="008D4928" w:rsidRDefault="00000000">
            <w:r>
              <w:rPr>
                <w:b/>
                <w:sz w:val="20"/>
              </w:rPr>
              <w:t>Gross annual revenue (€30–50/credit)</w:t>
            </w:r>
          </w:p>
        </w:tc>
        <w:tc>
          <w:tcPr>
            <w:tcW w:w="3135" w:type="dxa"/>
            <w:shd w:val="clear" w:color="auto" w:fill="F2F7FA"/>
          </w:tcPr>
          <w:p w14:paraId="5D0B0D96" w14:textId="77777777" w:rsidR="008D4928" w:rsidRDefault="00000000">
            <w:r>
              <w:rPr>
                <w:sz w:val="20"/>
              </w:rPr>
              <w:t>€3,000,000</w:t>
            </w:r>
          </w:p>
        </w:tc>
        <w:tc>
          <w:tcPr>
            <w:tcW w:w="3135" w:type="dxa"/>
            <w:shd w:val="clear" w:color="auto" w:fill="F2F7FA"/>
          </w:tcPr>
          <w:p w14:paraId="0C151FC4" w14:textId="77777777" w:rsidR="008D4928" w:rsidRDefault="00000000">
            <w:r>
              <w:rPr>
                <w:sz w:val="20"/>
              </w:rPr>
              <w:t>€20,000,000</w:t>
            </w:r>
          </w:p>
        </w:tc>
      </w:tr>
      <w:tr w:rsidR="008D4928" w14:paraId="39AE03AE" w14:textId="77777777">
        <w:tc>
          <w:tcPr>
            <w:tcW w:w="3135" w:type="dxa"/>
          </w:tcPr>
          <w:p w14:paraId="704886B6" w14:textId="77777777" w:rsidR="008D4928" w:rsidRDefault="00000000">
            <w:r>
              <w:rPr>
                <w:b/>
                <w:sz w:val="20"/>
              </w:rPr>
              <w:t>RMK's annual share (70%)</w:t>
            </w:r>
          </w:p>
        </w:tc>
        <w:tc>
          <w:tcPr>
            <w:tcW w:w="3135" w:type="dxa"/>
          </w:tcPr>
          <w:p w14:paraId="2964F824" w14:textId="77777777" w:rsidR="008D4928" w:rsidRDefault="00000000">
            <w:r>
              <w:rPr>
                <w:sz w:val="20"/>
              </w:rPr>
              <w:t>€2,100,000</w:t>
            </w:r>
          </w:p>
        </w:tc>
        <w:tc>
          <w:tcPr>
            <w:tcW w:w="3135" w:type="dxa"/>
          </w:tcPr>
          <w:p w14:paraId="219058DE" w14:textId="77777777" w:rsidR="008D4928" w:rsidRDefault="00000000">
            <w:r>
              <w:rPr>
                <w:sz w:val="20"/>
              </w:rPr>
              <w:t>€14,000,000</w:t>
            </w:r>
          </w:p>
        </w:tc>
      </w:tr>
    </w:tbl>
    <w:p w14:paraId="63D00B8A" w14:textId="77777777" w:rsidR="008D4928" w:rsidRDefault="008D4928"/>
    <w:p w14:paraId="3F57AB76" w14:textId="77777777" w:rsidR="008D4928" w:rsidRDefault="00000000">
      <w:r>
        <w:rPr>
          <w:i/>
        </w:rPr>
        <w:t>ARR (assuming ~1,000 ha afforested per year, cumulative):</w:t>
      </w:r>
    </w:p>
    <w:tbl>
      <w:tblPr>
        <w:tblStyle w:val="TableGrid"/>
        <w:tblW w:w="0" w:type="auto"/>
        <w:tblLook w:val="04A0" w:firstRow="1" w:lastRow="0" w:firstColumn="1" w:lastColumn="0" w:noHBand="0" w:noVBand="1"/>
      </w:tblPr>
      <w:tblGrid>
        <w:gridCol w:w="1881"/>
        <w:gridCol w:w="1881"/>
        <w:gridCol w:w="1881"/>
        <w:gridCol w:w="1881"/>
        <w:gridCol w:w="1881"/>
      </w:tblGrid>
      <w:tr w:rsidR="008D4928" w14:paraId="28E011C9" w14:textId="77777777">
        <w:tc>
          <w:tcPr>
            <w:tcW w:w="1881" w:type="dxa"/>
            <w:shd w:val="clear" w:color="auto" w:fill="1B3A4B"/>
          </w:tcPr>
          <w:p w14:paraId="2159B126" w14:textId="77777777" w:rsidR="008D4928" w:rsidRDefault="00000000">
            <w:r>
              <w:rPr>
                <w:b/>
                <w:color w:val="FFFFFF"/>
                <w:sz w:val="20"/>
              </w:rPr>
              <w:t>Year</w:t>
            </w:r>
          </w:p>
        </w:tc>
        <w:tc>
          <w:tcPr>
            <w:tcW w:w="1881" w:type="dxa"/>
            <w:shd w:val="clear" w:color="auto" w:fill="1B3A4B"/>
          </w:tcPr>
          <w:p w14:paraId="08EDCC22" w14:textId="77777777" w:rsidR="008D4928" w:rsidRDefault="00000000">
            <w:r>
              <w:rPr>
                <w:b/>
                <w:color w:val="FFFFFF"/>
                <w:sz w:val="20"/>
              </w:rPr>
              <w:t>Cumulative area</w:t>
            </w:r>
          </w:p>
        </w:tc>
        <w:tc>
          <w:tcPr>
            <w:tcW w:w="1881" w:type="dxa"/>
            <w:shd w:val="clear" w:color="auto" w:fill="1B3A4B"/>
          </w:tcPr>
          <w:p w14:paraId="25BCF936" w14:textId="77777777" w:rsidR="008D4928" w:rsidRDefault="00000000">
            <w:r>
              <w:rPr>
                <w:b/>
                <w:color w:val="FFFFFF"/>
                <w:sz w:val="20"/>
              </w:rPr>
              <w:t>Credits/year</w:t>
            </w:r>
          </w:p>
        </w:tc>
        <w:tc>
          <w:tcPr>
            <w:tcW w:w="1881" w:type="dxa"/>
            <w:shd w:val="clear" w:color="auto" w:fill="1B3A4B"/>
          </w:tcPr>
          <w:p w14:paraId="5DB163AF" w14:textId="77777777" w:rsidR="008D4928" w:rsidRDefault="00000000">
            <w:r>
              <w:rPr>
                <w:b/>
                <w:color w:val="FFFFFF"/>
                <w:sz w:val="20"/>
              </w:rPr>
              <w:t>Gross annual revenue (€30–70)</w:t>
            </w:r>
          </w:p>
        </w:tc>
        <w:tc>
          <w:tcPr>
            <w:tcW w:w="1881" w:type="dxa"/>
            <w:shd w:val="clear" w:color="auto" w:fill="1B3A4B"/>
          </w:tcPr>
          <w:p w14:paraId="794A0CF5" w14:textId="77777777" w:rsidR="008D4928" w:rsidRDefault="00000000">
            <w:r>
              <w:rPr>
                <w:b/>
                <w:color w:val="FFFFFF"/>
                <w:sz w:val="20"/>
              </w:rPr>
              <w:t>RMK's share (70%)</w:t>
            </w:r>
          </w:p>
        </w:tc>
      </w:tr>
      <w:tr w:rsidR="008D4928" w14:paraId="4D4EB57C" w14:textId="77777777">
        <w:tc>
          <w:tcPr>
            <w:tcW w:w="1881" w:type="dxa"/>
          </w:tcPr>
          <w:p w14:paraId="37170C62" w14:textId="77777777" w:rsidR="008D4928" w:rsidRDefault="00000000">
            <w:r>
              <w:rPr>
                <w:b/>
                <w:sz w:val="20"/>
              </w:rPr>
              <w:t>1</w:t>
            </w:r>
          </w:p>
        </w:tc>
        <w:tc>
          <w:tcPr>
            <w:tcW w:w="1881" w:type="dxa"/>
          </w:tcPr>
          <w:p w14:paraId="0A42E691" w14:textId="77777777" w:rsidR="008D4928" w:rsidRDefault="00000000">
            <w:r>
              <w:rPr>
                <w:sz w:val="20"/>
              </w:rPr>
              <w:t>1,000 ha</w:t>
            </w:r>
          </w:p>
        </w:tc>
        <w:tc>
          <w:tcPr>
            <w:tcW w:w="1881" w:type="dxa"/>
          </w:tcPr>
          <w:p w14:paraId="43940FC8" w14:textId="77777777" w:rsidR="008D4928" w:rsidRDefault="00000000">
            <w:r>
              <w:rPr>
                <w:sz w:val="20"/>
              </w:rPr>
              <w:t>8,000</w:t>
            </w:r>
          </w:p>
        </w:tc>
        <w:tc>
          <w:tcPr>
            <w:tcW w:w="1881" w:type="dxa"/>
          </w:tcPr>
          <w:p w14:paraId="222E53F5" w14:textId="77777777" w:rsidR="008D4928" w:rsidRDefault="00000000">
            <w:r>
              <w:rPr>
                <w:sz w:val="20"/>
              </w:rPr>
              <w:t>€240,000–560,000</w:t>
            </w:r>
          </w:p>
        </w:tc>
        <w:tc>
          <w:tcPr>
            <w:tcW w:w="1881" w:type="dxa"/>
          </w:tcPr>
          <w:p w14:paraId="6657B1D9" w14:textId="77777777" w:rsidR="008D4928" w:rsidRDefault="00000000">
            <w:r>
              <w:rPr>
                <w:sz w:val="20"/>
              </w:rPr>
              <w:t>€168,000–392,000</w:t>
            </w:r>
          </w:p>
        </w:tc>
      </w:tr>
      <w:tr w:rsidR="008D4928" w14:paraId="4E3E4A2B" w14:textId="77777777">
        <w:tc>
          <w:tcPr>
            <w:tcW w:w="1881" w:type="dxa"/>
            <w:shd w:val="clear" w:color="auto" w:fill="F2F7FA"/>
          </w:tcPr>
          <w:p w14:paraId="5F954637" w14:textId="77777777" w:rsidR="008D4928" w:rsidRDefault="00000000">
            <w:r>
              <w:rPr>
                <w:b/>
                <w:sz w:val="20"/>
              </w:rPr>
              <w:t>3</w:t>
            </w:r>
          </w:p>
        </w:tc>
        <w:tc>
          <w:tcPr>
            <w:tcW w:w="1881" w:type="dxa"/>
            <w:shd w:val="clear" w:color="auto" w:fill="F2F7FA"/>
          </w:tcPr>
          <w:p w14:paraId="7CB38298" w14:textId="77777777" w:rsidR="008D4928" w:rsidRDefault="00000000">
            <w:r>
              <w:rPr>
                <w:sz w:val="20"/>
              </w:rPr>
              <w:t>3,000 ha</w:t>
            </w:r>
          </w:p>
        </w:tc>
        <w:tc>
          <w:tcPr>
            <w:tcW w:w="1881" w:type="dxa"/>
            <w:shd w:val="clear" w:color="auto" w:fill="F2F7FA"/>
          </w:tcPr>
          <w:p w14:paraId="0DA60086" w14:textId="77777777" w:rsidR="008D4928" w:rsidRDefault="00000000">
            <w:r>
              <w:rPr>
                <w:sz w:val="20"/>
              </w:rPr>
              <w:t>24,000</w:t>
            </w:r>
          </w:p>
        </w:tc>
        <w:tc>
          <w:tcPr>
            <w:tcW w:w="1881" w:type="dxa"/>
            <w:shd w:val="clear" w:color="auto" w:fill="F2F7FA"/>
          </w:tcPr>
          <w:p w14:paraId="346EDF89" w14:textId="77777777" w:rsidR="008D4928" w:rsidRDefault="00000000">
            <w:r>
              <w:rPr>
                <w:sz w:val="20"/>
              </w:rPr>
              <w:t>€720,000–1,680,000</w:t>
            </w:r>
          </w:p>
        </w:tc>
        <w:tc>
          <w:tcPr>
            <w:tcW w:w="1881" w:type="dxa"/>
            <w:shd w:val="clear" w:color="auto" w:fill="F2F7FA"/>
          </w:tcPr>
          <w:p w14:paraId="1C824FDB" w14:textId="77777777" w:rsidR="008D4928" w:rsidRDefault="00000000">
            <w:r>
              <w:rPr>
                <w:sz w:val="20"/>
              </w:rPr>
              <w:t>€504,000–1,176,000</w:t>
            </w:r>
          </w:p>
        </w:tc>
      </w:tr>
      <w:tr w:rsidR="008D4928" w14:paraId="7FB87680" w14:textId="77777777">
        <w:tc>
          <w:tcPr>
            <w:tcW w:w="1881" w:type="dxa"/>
          </w:tcPr>
          <w:p w14:paraId="46B023A5" w14:textId="77777777" w:rsidR="008D4928" w:rsidRDefault="00000000">
            <w:r>
              <w:rPr>
                <w:b/>
                <w:sz w:val="20"/>
              </w:rPr>
              <w:t>5</w:t>
            </w:r>
          </w:p>
        </w:tc>
        <w:tc>
          <w:tcPr>
            <w:tcW w:w="1881" w:type="dxa"/>
          </w:tcPr>
          <w:p w14:paraId="6E544A7A" w14:textId="77777777" w:rsidR="008D4928" w:rsidRDefault="00000000">
            <w:r>
              <w:rPr>
                <w:sz w:val="20"/>
              </w:rPr>
              <w:t>5,000 ha</w:t>
            </w:r>
          </w:p>
        </w:tc>
        <w:tc>
          <w:tcPr>
            <w:tcW w:w="1881" w:type="dxa"/>
          </w:tcPr>
          <w:p w14:paraId="32BA2CD9" w14:textId="77777777" w:rsidR="008D4928" w:rsidRDefault="00000000">
            <w:r>
              <w:rPr>
                <w:sz w:val="20"/>
              </w:rPr>
              <w:t>40,000</w:t>
            </w:r>
          </w:p>
        </w:tc>
        <w:tc>
          <w:tcPr>
            <w:tcW w:w="1881" w:type="dxa"/>
          </w:tcPr>
          <w:p w14:paraId="2B574458" w14:textId="77777777" w:rsidR="008D4928" w:rsidRDefault="00000000">
            <w:r>
              <w:rPr>
                <w:sz w:val="20"/>
              </w:rPr>
              <w:t>€1,200,000–2,800,000</w:t>
            </w:r>
          </w:p>
        </w:tc>
        <w:tc>
          <w:tcPr>
            <w:tcW w:w="1881" w:type="dxa"/>
          </w:tcPr>
          <w:p w14:paraId="4DE5B0B2" w14:textId="77777777" w:rsidR="008D4928" w:rsidRDefault="00000000">
            <w:r>
              <w:rPr>
                <w:sz w:val="20"/>
              </w:rPr>
              <w:t>€840,000–1,960,000</w:t>
            </w:r>
          </w:p>
        </w:tc>
      </w:tr>
    </w:tbl>
    <w:p w14:paraId="62A70489" w14:textId="77777777" w:rsidR="008D4928" w:rsidRDefault="008D4928"/>
    <w:p w14:paraId="3C65D529" w14:textId="77777777" w:rsidR="008D4928" w:rsidRDefault="00000000">
      <w:r>
        <w:rPr>
          <w:i/>
        </w:rPr>
        <w:t>Combined annual income (from year 5 onwards):</w:t>
      </w:r>
    </w:p>
    <w:tbl>
      <w:tblPr>
        <w:tblStyle w:val="TableGrid"/>
        <w:tblW w:w="0" w:type="auto"/>
        <w:tblLook w:val="04A0" w:firstRow="1" w:lastRow="0" w:firstColumn="1" w:lastColumn="0" w:noHBand="0" w:noVBand="1"/>
      </w:tblPr>
      <w:tblGrid>
        <w:gridCol w:w="3135"/>
        <w:gridCol w:w="3135"/>
        <w:gridCol w:w="3135"/>
      </w:tblGrid>
      <w:tr w:rsidR="008D4928" w14:paraId="62246AD7" w14:textId="77777777">
        <w:tc>
          <w:tcPr>
            <w:tcW w:w="3135" w:type="dxa"/>
            <w:shd w:val="clear" w:color="auto" w:fill="1B3A4B"/>
          </w:tcPr>
          <w:p w14:paraId="29AF541F" w14:textId="77777777" w:rsidR="008D4928" w:rsidRDefault="008D4928"/>
        </w:tc>
        <w:tc>
          <w:tcPr>
            <w:tcW w:w="3135" w:type="dxa"/>
            <w:shd w:val="clear" w:color="auto" w:fill="1B3A4B"/>
          </w:tcPr>
          <w:p w14:paraId="463AF504" w14:textId="77777777" w:rsidR="008D4928" w:rsidRDefault="00000000">
            <w:r>
              <w:rPr>
                <w:b/>
                <w:color w:val="FFFFFF"/>
                <w:sz w:val="20"/>
              </w:rPr>
              <w:t>Low estimate</w:t>
            </w:r>
          </w:p>
        </w:tc>
        <w:tc>
          <w:tcPr>
            <w:tcW w:w="3135" w:type="dxa"/>
            <w:shd w:val="clear" w:color="auto" w:fill="1B3A4B"/>
          </w:tcPr>
          <w:p w14:paraId="5ED6666E" w14:textId="77777777" w:rsidR="008D4928" w:rsidRDefault="00000000">
            <w:r>
              <w:rPr>
                <w:b/>
                <w:color w:val="FFFFFF"/>
                <w:sz w:val="20"/>
              </w:rPr>
              <w:t>High estimate</w:t>
            </w:r>
          </w:p>
        </w:tc>
      </w:tr>
      <w:tr w:rsidR="008D4928" w14:paraId="6B6058BF" w14:textId="77777777">
        <w:tc>
          <w:tcPr>
            <w:tcW w:w="3135" w:type="dxa"/>
          </w:tcPr>
          <w:p w14:paraId="2A23B4FD" w14:textId="77777777" w:rsidR="008D4928" w:rsidRDefault="00000000">
            <w:r>
              <w:rPr>
                <w:b/>
                <w:sz w:val="20"/>
              </w:rPr>
              <w:t>Total credits per year</w:t>
            </w:r>
          </w:p>
        </w:tc>
        <w:tc>
          <w:tcPr>
            <w:tcW w:w="3135" w:type="dxa"/>
          </w:tcPr>
          <w:p w14:paraId="36E3238E" w14:textId="77777777" w:rsidR="008D4928" w:rsidRDefault="00000000">
            <w:r>
              <w:rPr>
                <w:sz w:val="20"/>
              </w:rPr>
              <w:t>140,000</w:t>
            </w:r>
          </w:p>
        </w:tc>
        <w:tc>
          <w:tcPr>
            <w:tcW w:w="3135" w:type="dxa"/>
          </w:tcPr>
          <w:p w14:paraId="42D7C9AA" w14:textId="77777777" w:rsidR="008D4928" w:rsidRDefault="00000000">
            <w:r>
              <w:rPr>
                <w:sz w:val="20"/>
              </w:rPr>
              <w:t>440,000</w:t>
            </w:r>
          </w:p>
        </w:tc>
      </w:tr>
      <w:tr w:rsidR="008D4928" w14:paraId="5283E158" w14:textId="77777777">
        <w:tc>
          <w:tcPr>
            <w:tcW w:w="3135" w:type="dxa"/>
            <w:shd w:val="clear" w:color="auto" w:fill="F2F7FA"/>
          </w:tcPr>
          <w:p w14:paraId="6A3976FE" w14:textId="77777777" w:rsidR="008D4928" w:rsidRDefault="00000000">
            <w:r>
              <w:rPr>
                <w:b/>
                <w:sz w:val="20"/>
              </w:rPr>
              <w:t>Gross annual revenue</w:t>
            </w:r>
          </w:p>
        </w:tc>
        <w:tc>
          <w:tcPr>
            <w:tcW w:w="3135" w:type="dxa"/>
            <w:shd w:val="clear" w:color="auto" w:fill="F2F7FA"/>
          </w:tcPr>
          <w:p w14:paraId="3996E5C9" w14:textId="77777777" w:rsidR="008D4928" w:rsidRDefault="00000000">
            <w:r>
              <w:rPr>
                <w:sz w:val="20"/>
              </w:rPr>
              <w:t>€4,200,000</w:t>
            </w:r>
          </w:p>
        </w:tc>
        <w:tc>
          <w:tcPr>
            <w:tcW w:w="3135" w:type="dxa"/>
            <w:shd w:val="clear" w:color="auto" w:fill="F2F7FA"/>
          </w:tcPr>
          <w:p w14:paraId="6CFA1EFE" w14:textId="77777777" w:rsidR="008D4928" w:rsidRDefault="00000000">
            <w:r>
              <w:rPr>
                <w:sz w:val="20"/>
              </w:rPr>
              <w:t>€22,800,000</w:t>
            </w:r>
          </w:p>
        </w:tc>
      </w:tr>
      <w:tr w:rsidR="008D4928" w14:paraId="489AB072" w14:textId="77777777">
        <w:tc>
          <w:tcPr>
            <w:tcW w:w="3135" w:type="dxa"/>
          </w:tcPr>
          <w:p w14:paraId="2868DC8A" w14:textId="77777777" w:rsidR="008D4928" w:rsidRDefault="00000000">
            <w:r>
              <w:rPr>
                <w:b/>
                <w:sz w:val="20"/>
              </w:rPr>
              <w:t>RMK's annual share (70%)</w:t>
            </w:r>
          </w:p>
        </w:tc>
        <w:tc>
          <w:tcPr>
            <w:tcW w:w="3135" w:type="dxa"/>
          </w:tcPr>
          <w:p w14:paraId="59E15F5E" w14:textId="77777777" w:rsidR="008D4928" w:rsidRDefault="00000000">
            <w:r>
              <w:rPr>
                <w:sz w:val="20"/>
              </w:rPr>
              <w:t>€2,940,000</w:t>
            </w:r>
          </w:p>
        </w:tc>
        <w:tc>
          <w:tcPr>
            <w:tcW w:w="3135" w:type="dxa"/>
          </w:tcPr>
          <w:p w14:paraId="36146CB2" w14:textId="77777777" w:rsidR="008D4928" w:rsidRDefault="00000000">
            <w:r>
              <w:rPr>
                <w:sz w:val="20"/>
              </w:rPr>
              <w:t>€15,960,000</w:t>
            </w:r>
          </w:p>
        </w:tc>
      </w:tr>
    </w:tbl>
    <w:p w14:paraId="716FDFB3" w14:textId="77777777" w:rsidR="008D4928" w:rsidRDefault="008D4928"/>
    <w:p w14:paraId="6BE5D182" w14:textId="77777777" w:rsidR="008D4928" w:rsidRDefault="00000000">
      <w:r>
        <w:rPr>
          <w:i/>
        </w:rPr>
        <w:t>These projections are indicative and subject to the eligibility assessment, verification outcomes, and prevailing market conditions. The ARR projections assume RMK afforests approximately 1,000 hectares of eligible land per year — actual volumes will depend on RMK's afforestation programme.</w:t>
      </w:r>
    </w:p>
    <w:p w14:paraId="6AA34F40" w14:textId="77777777" w:rsidR="008D4928" w:rsidRDefault="00000000">
      <w:pPr>
        <w:pStyle w:val="Heading3"/>
      </w:pPr>
      <w:r>
        <w:t>5.5. Credit Sales</w:t>
      </w:r>
    </w:p>
    <w:p w14:paraId="1624412A" w14:textId="77777777" w:rsidR="008D4928" w:rsidRDefault="00000000">
      <w:pPr>
        <w:pStyle w:val="ListBullet"/>
      </w:pPr>
      <w:r>
        <w:t>RMK may sell its credits (70% share) independently or instruct Ecobase to sell on its behalf</w:t>
      </w:r>
    </w:p>
    <w:p w14:paraId="07E4A5DA" w14:textId="77777777" w:rsidR="008D4928" w:rsidRDefault="00000000">
      <w:pPr>
        <w:pStyle w:val="ListBullet"/>
      </w:pPr>
      <w:r>
        <w:t>Ecobase will use commercially reasonable efforts to obtain the best possible market price</w:t>
      </w:r>
    </w:p>
    <w:p w14:paraId="69BB5B82" w14:textId="77777777" w:rsidR="008D4928" w:rsidRDefault="00000000">
      <w:pPr>
        <w:pStyle w:val="ListBullet"/>
      </w:pPr>
      <w:r>
        <w:t>Sales revenue is paid to RMK in accordance with the contractual terms</w:t>
      </w:r>
    </w:p>
    <w:p w14:paraId="53B276B9" w14:textId="77777777" w:rsidR="008D4928" w:rsidRDefault="00000000">
      <w:pPr>
        <w:pStyle w:val="Heading2"/>
      </w:pPr>
      <w:r>
        <w:t>6. Draft Standard Contract</w:t>
      </w:r>
    </w:p>
    <w:p w14:paraId="008171A6" w14:textId="77777777" w:rsidR="008D4928" w:rsidRDefault="00000000">
      <w:r>
        <w:t>The draft standard contract is attached to this proposal as an annex. It is based on the Ecobase Project Terms, adapted for RMK as a state asset manager, and governs the parties' rights and obligations regarding carbon credit creation, management, and sales.</w:t>
      </w:r>
    </w:p>
    <w:p w14:paraId="00F1AA00" w14:textId="77777777" w:rsidR="008D4928" w:rsidRDefault="00000000">
      <w:r>
        <w:rPr>
          <w:i/>
        </w:rPr>
        <w:t>[Annex: Ecobase Project Terms — attached as a separate document]</w:t>
      </w:r>
    </w:p>
    <w:p w14:paraId="52137A6C" w14:textId="77777777" w:rsidR="008D4928" w:rsidRDefault="00000000">
      <w:pPr>
        <w:pStyle w:val="Heading2"/>
      </w:pPr>
      <w:r>
        <w:lastRenderedPageBreak/>
        <w:t>7. Summary — Why Ecobase</w:t>
      </w:r>
    </w:p>
    <w:tbl>
      <w:tblPr>
        <w:tblStyle w:val="TableGrid"/>
        <w:tblW w:w="0" w:type="auto"/>
        <w:tblLook w:val="04A0" w:firstRow="1" w:lastRow="0" w:firstColumn="1" w:lastColumn="0" w:noHBand="0" w:noVBand="1"/>
      </w:tblPr>
      <w:tblGrid>
        <w:gridCol w:w="4703"/>
        <w:gridCol w:w="4703"/>
      </w:tblGrid>
      <w:tr w:rsidR="008D4928" w14:paraId="2557FA39" w14:textId="77777777">
        <w:tc>
          <w:tcPr>
            <w:tcW w:w="4703" w:type="dxa"/>
            <w:shd w:val="clear" w:color="auto" w:fill="1B3A4B"/>
          </w:tcPr>
          <w:p w14:paraId="504C5DF5" w14:textId="77777777" w:rsidR="008D4928" w:rsidRDefault="00000000">
            <w:r>
              <w:rPr>
                <w:b/>
                <w:color w:val="FFFFFF"/>
                <w:sz w:val="20"/>
              </w:rPr>
              <w:t>Criterion</w:t>
            </w:r>
          </w:p>
        </w:tc>
        <w:tc>
          <w:tcPr>
            <w:tcW w:w="4703" w:type="dxa"/>
            <w:shd w:val="clear" w:color="auto" w:fill="1B3A4B"/>
          </w:tcPr>
          <w:p w14:paraId="1CBD4DA2" w14:textId="77777777" w:rsidR="008D4928" w:rsidRDefault="00000000">
            <w:r>
              <w:rPr>
                <w:b/>
                <w:color w:val="FFFFFF"/>
                <w:sz w:val="20"/>
              </w:rPr>
              <w:t>Ecobase's Offering</w:t>
            </w:r>
          </w:p>
        </w:tc>
      </w:tr>
      <w:tr w:rsidR="008D4928" w14:paraId="74A76EE4" w14:textId="77777777">
        <w:tc>
          <w:tcPr>
            <w:tcW w:w="4703" w:type="dxa"/>
          </w:tcPr>
          <w:p w14:paraId="3B27234A" w14:textId="77777777" w:rsidR="008D4928" w:rsidRDefault="00000000">
            <w:r>
              <w:rPr>
                <w:b/>
                <w:sz w:val="20"/>
              </w:rPr>
              <w:t>Experience</w:t>
            </w:r>
          </w:p>
        </w:tc>
        <w:tc>
          <w:tcPr>
            <w:tcW w:w="4703" w:type="dxa"/>
          </w:tcPr>
          <w:p w14:paraId="6781ABC4" w14:textId="77777777" w:rsidR="008D4928" w:rsidRDefault="00000000">
            <w:r>
              <w:rPr>
                <w:sz w:val="20"/>
              </w:rPr>
              <w:t>The only company with both IFM and ARR projects covering Estonian forests (VCS 5315 + VCS 3677)</w:t>
            </w:r>
          </w:p>
        </w:tc>
      </w:tr>
      <w:tr w:rsidR="008D4928" w14:paraId="5D39F987" w14:textId="77777777">
        <w:tc>
          <w:tcPr>
            <w:tcW w:w="4703" w:type="dxa"/>
            <w:shd w:val="clear" w:color="auto" w:fill="F2F7FA"/>
          </w:tcPr>
          <w:p w14:paraId="56562839" w14:textId="77777777" w:rsidR="008D4928" w:rsidRDefault="00000000">
            <w:r>
              <w:rPr>
                <w:b/>
                <w:sz w:val="20"/>
              </w:rPr>
              <w:t>Speed</w:t>
            </w:r>
          </w:p>
        </w:tc>
        <w:tc>
          <w:tcPr>
            <w:tcW w:w="4703" w:type="dxa"/>
            <w:shd w:val="clear" w:color="auto" w:fill="F2F7FA"/>
          </w:tcPr>
          <w:p w14:paraId="4251F53D" w14:textId="77777777" w:rsidR="008D4928" w:rsidRDefault="00000000">
            <w:r>
              <w:rPr>
                <w:sz w:val="20"/>
              </w:rPr>
              <w:t>Integration into existing grouped projects — first credits expected Q4 2026 – Q1/Q2 2027</w:t>
            </w:r>
          </w:p>
        </w:tc>
      </w:tr>
      <w:tr w:rsidR="008D4928" w14:paraId="33C457CD" w14:textId="77777777">
        <w:tc>
          <w:tcPr>
            <w:tcW w:w="4703" w:type="dxa"/>
          </w:tcPr>
          <w:p w14:paraId="14269E1E" w14:textId="77777777" w:rsidR="008D4928" w:rsidRDefault="00000000">
            <w:r>
              <w:rPr>
                <w:b/>
                <w:sz w:val="20"/>
              </w:rPr>
              <w:t>Two project types</w:t>
            </w:r>
          </w:p>
        </w:tc>
        <w:tc>
          <w:tcPr>
            <w:tcW w:w="4703" w:type="dxa"/>
          </w:tcPr>
          <w:p w14:paraId="288C91DB" w14:textId="77777777" w:rsidR="008D4928" w:rsidRDefault="00000000">
            <w:r>
              <w:rPr>
                <w:sz w:val="20"/>
              </w:rPr>
              <w:t>IFM (managed forests) + ARR (afforestation) — maximises RMK's credit generation</w:t>
            </w:r>
          </w:p>
        </w:tc>
      </w:tr>
      <w:tr w:rsidR="008D4928" w14:paraId="47C223F8" w14:textId="77777777">
        <w:tc>
          <w:tcPr>
            <w:tcW w:w="4703" w:type="dxa"/>
            <w:shd w:val="clear" w:color="auto" w:fill="F2F7FA"/>
          </w:tcPr>
          <w:p w14:paraId="0E6913C4" w14:textId="77777777" w:rsidR="008D4928" w:rsidRDefault="00000000">
            <w:r>
              <w:rPr>
                <w:b/>
                <w:sz w:val="20"/>
              </w:rPr>
              <w:t>Cost to RMK</w:t>
            </w:r>
          </w:p>
        </w:tc>
        <w:tc>
          <w:tcPr>
            <w:tcW w:w="4703" w:type="dxa"/>
            <w:shd w:val="clear" w:color="auto" w:fill="F2F7FA"/>
          </w:tcPr>
          <w:p w14:paraId="7027F3D5" w14:textId="77777777" w:rsidR="008D4928" w:rsidRDefault="00000000">
            <w:r>
              <w:rPr>
                <w:sz w:val="20"/>
              </w:rPr>
              <w:t>Zero upfront — all costs borne by Ecobase</w:t>
            </w:r>
          </w:p>
        </w:tc>
      </w:tr>
      <w:tr w:rsidR="008D4928" w14:paraId="1E2A88F9" w14:textId="77777777">
        <w:tc>
          <w:tcPr>
            <w:tcW w:w="4703" w:type="dxa"/>
          </w:tcPr>
          <w:p w14:paraId="7DEAC904" w14:textId="77777777" w:rsidR="008D4928" w:rsidRDefault="00000000">
            <w:r>
              <w:rPr>
                <w:b/>
                <w:sz w:val="20"/>
              </w:rPr>
              <w:t>Fee</w:t>
            </w:r>
          </w:p>
        </w:tc>
        <w:tc>
          <w:tcPr>
            <w:tcW w:w="4703" w:type="dxa"/>
          </w:tcPr>
          <w:p w14:paraId="332E9C2F" w14:textId="77777777" w:rsidR="008D4928" w:rsidRDefault="00000000">
            <w:r>
              <w:rPr>
                <w:sz w:val="20"/>
              </w:rPr>
              <w:t>30% of credits (all costs included), same for both IFM and ARR</w:t>
            </w:r>
          </w:p>
        </w:tc>
      </w:tr>
      <w:tr w:rsidR="008D4928" w14:paraId="397DAAAE" w14:textId="77777777">
        <w:tc>
          <w:tcPr>
            <w:tcW w:w="4703" w:type="dxa"/>
            <w:shd w:val="clear" w:color="auto" w:fill="F2F7FA"/>
          </w:tcPr>
          <w:p w14:paraId="60D58063" w14:textId="77777777" w:rsidR="008D4928" w:rsidRDefault="00000000">
            <w:r>
              <w:rPr>
                <w:b/>
                <w:sz w:val="20"/>
              </w:rPr>
              <w:t>Methodology</w:t>
            </w:r>
          </w:p>
        </w:tc>
        <w:tc>
          <w:tcPr>
            <w:tcW w:w="4703" w:type="dxa"/>
            <w:shd w:val="clear" w:color="auto" w:fill="F2F7FA"/>
          </w:tcPr>
          <w:p w14:paraId="79AB3E30" w14:textId="77777777" w:rsidR="008D4928" w:rsidRDefault="00000000">
            <w:r>
              <w:rPr>
                <w:sz w:val="20"/>
              </w:rPr>
              <w:t>VM0003 + AR-ACM0003 — both already developed for Estonian forests</w:t>
            </w:r>
          </w:p>
        </w:tc>
      </w:tr>
      <w:tr w:rsidR="008D4928" w14:paraId="7EB3BEB9" w14:textId="77777777">
        <w:tc>
          <w:tcPr>
            <w:tcW w:w="4703" w:type="dxa"/>
          </w:tcPr>
          <w:p w14:paraId="250996A0" w14:textId="77777777" w:rsidR="008D4928" w:rsidRDefault="00000000">
            <w:r>
              <w:rPr>
                <w:b/>
                <w:sz w:val="20"/>
              </w:rPr>
              <w:t>Market network</w:t>
            </w:r>
          </w:p>
        </w:tc>
        <w:tc>
          <w:tcPr>
            <w:tcW w:w="4703" w:type="dxa"/>
          </w:tcPr>
          <w:p w14:paraId="7BE4418D" w14:textId="77777777" w:rsidR="008D4928" w:rsidRDefault="00000000">
            <w:r>
              <w:rPr>
                <w:sz w:val="20"/>
              </w:rPr>
              <w:t>Active buyer network across Europe and North America</w:t>
            </w:r>
          </w:p>
        </w:tc>
      </w:tr>
      <w:tr w:rsidR="008D4928" w14:paraId="47C6A64D" w14:textId="77777777">
        <w:tc>
          <w:tcPr>
            <w:tcW w:w="4703" w:type="dxa"/>
            <w:shd w:val="clear" w:color="auto" w:fill="F2F7FA"/>
          </w:tcPr>
          <w:p w14:paraId="50A8ACD4" w14:textId="77777777" w:rsidR="008D4928" w:rsidRDefault="00000000">
            <w:r>
              <w:rPr>
                <w:b/>
                <w:sz w:val="20"/>
              </w:rPr>
              <w:t>EU CRCF</w:t>
            </w:r>
          </w:p>
        </w:tc>
        <w:tc>
          <w:tcPr>
            <w:tcW w:w="4703" w:type="dxa"/>
            <w:shd w:val="clear" w:color="auto" w:fill="F2F7FA"/>
          </w:tcPr>
          <w:p w14:paraId="71FB10F6" w14:textId="77777777" w:rsidR="008D4928" w:rsidRDefault="00000000">
            <w:r>
              <w:rPr>
                <w:sz w:val="20"/>
              </w:rPr>
              <w:t>Readiness for transition to the EU regulatory market</w:t>
            </w:r>
          </w:p>
        </w:tc>
      </w:tr>
      <w:tr w:rsidR="008D4928" w14:paraId="1C144BC9" w14:textId="77777777">
        <w:tc>
          <w:tcPr>
            <w:tcW w:w="4703" w:type="dxa"/>
          </w:tcPr>
          <w:p w14:paraId="2AE6B842" w14:textId="77777777" w:rsidR="008D4928" w:rsidRDefault="00000000">
            <w:r>
              <w:rPr>
                <w:b/>
                <w:sz w:val="20"/>
              </w:rPr>
              <w:t>Ratings</w:t>
            </w:r>
          </w:p>
        </w:tc>
        <w:tc>
          <w:tcPr>
            <w:tcW w:w="4703" w:type="dxa"/>
          </w:tcPr>
          <w:p w14:paraId="70377F1C" w14:textId="77777777" w:rsidR="008D4928" w:rsidRDefault="00000000">
            <w:r>
              <w:rPr>
                <w:sz w:val="20"/>
              </w:rPr>
              <w:t>MSCI A rating (ARR project)</w:t>
            </w:r>
          </w:p>
        </w:tc>
      </w:tr>
      <w:tr w:rsidR="008D4928" w14:paraId="6B843669" w14:textId="77777777">
        <w:tc>
          <w:tcPr>
            <w:tcW w:w="4703" w:type="dxa"/>
            <w:shd w:val="clear" w:color="auto" w:fill="F2F7FA"/>
          </w:tcPr>
          <w:p w14:paraId="51AC262D" w14:textId="77777777" w:rsidR="008D4928" w:rsidRDefault="00000000">
            <w:r>
              <w:rPr>
                <w:b/>
                <w:sz w:val="20"/>
              </w:rPr>
              <w:t>Marketability</w:t>
            </w:r>
          </w:p>
        </w:tc>
        <w:tc>
          <w:tcPr>
            <w:tcW w:w="4703" w:type="dxa"/>
            <w:shd w:val="clear" w:color="auto" w:fill="F2F7FA"/>
          </w:tcPr>
          <w:p w14:paraId="5441631D" w14:textId="77777777" w:rsidR="008D4928" w:rsidRDefault="00000000">
            <w:r>
              <w:rPr>
                <w:sz w:val="20"/>
              </w:rPr>
              <w:t>Established buyer network, independent ratings (MSCI A), and proven sales track record ensure credit marketability</w:t>
            </w:r>
          </w:p>
        </w:tc>
      </w:tr>
      <w:tr w:rsidR="008D4928" w14:paraId="08138DC3" w14:textId="77777777">
        <w:tc>
          <w:tcPr>
            <w:tcW w:w="4703" w:type="dxa"/>
          </w:tcPr>
          <w:p w14:paraId="4A28430B" w14:textId="77777777" w:rsidR="008D4928" w:rsidRDefault="00000000">
            <w:r>
              <w:rPr>
                <w:b/>
                <w:sz w:val="20"/>
              </w:rPr>
              <w:t>End-to-end execution</w:t>
            </w:r>
          </w:p>
        </w:tc>
        <w:tc>
          <w:tcPr>
            <w:tcW w:w="4703" w:type="dxa"/>
          </w:tcPr>
          <w:p w14:paraId="05A0E23A" w14:textId="77777777" w:rsidR="008D4928" w:rsidRDefault="00000000">
            <w:r>
              <w:rPr>
                <w:sz w:val="20"/>
              </w:rPr>
              <w:t>Proven track record: credits issued and sold on the voluntary market (VCS 3677)</w:t>
            </w:r>
          </w:p>
        </w:tc>
      </w:tr>
    </w:tbl>
    <w:p w14:paraId="71321846" w14:textId="77777777" w:rsidR="008D4928" w:rsidRDefault="00000000">
      <w:pPr>
        <w:pStyle w:val="Heading2"/>
      </w:pPr>
      <w:r>
        <w:t>8. Confidentiality</w:t>
      </w:r>
    </w:p>
    <w:p w14:paraId="29DA3C9A" w14:textId="77777777" w:rsidR="008D4928" w:rsidRDefault="00000000">
      <w:r>
        <w:t>In accordance with Section 8.1 of the invitation, the submitter marks the following as business secrets:</w:t>
      </w:r>
    </w:p>
    <w:p w14:paraId="3453AD7F" w14:textId="77777777" w:rsidR="008D4928" w:rsidRDefault="00000000">
      <w:pPr>
        <w:pStyle w:val="ListBullet"/>
      </w:pPr>
      <w:r>
        <w:rPr>
          <w:b/>
        </w:rPr>
        <w:t>Section 4.5</w:t>
      </w:r>
      <w:r>
        <w:t xml:space="preserve"> (Risks and Mitigation Measures) — references key provisions of the draft standard contract</w:t>
      </w:r>
    </w:p>
    <w:p w14:paraId="0933BAE8" w14:textId="77777777" w:rsidR="008D4928" w:rsidRDefault="00000000">
      <w:pPr>
        <w:pStyle w:val="ListBullet"/>
      </w:pPr>
      <w:r>
        <w:rPr>
          <w:b/>
        </w:rPr>
        <w:t>Sections 5.2–5.3</w:t>
      </w:r>
      <w:r>
        <w:t xml:space="preserve"> (Fee Structure and Fee Model Details) — the proposed remuneration split and fee model</w:t>
      </w:r>
    </w:p>
    <w:p w14:paraId="2095FAA0" w14:textId="77777777" w:rsidR="008D4928" w:rsidRDefault="00000000">
      <w:pPr>
        <w:pStyle w:val="ListBullet"/>
      </w:pPr>
      <w:r>
        <w:rPr>
          <w:b/>
        </w:rPr>
        <w:t>Section 5.4</w:t>
      </w:r>
      <w:r>
        <w:t xml:space="preserve"> (Indicative Per-Hectare Economics) — credit yield estimates, market price ranges, and projected revenue figures</w:t>
      </w:r>
    </w:p>
    <w:p w14:paraId="34BC8346" w14:textId="77777777" w:rsidR="008D4928" w:rsidRDefault="00000000">
      <w:pPr>
        <w:pStyle w:val="ListBullet"/>
      </w:pPr>
      <w:r>
        <w:rPr>
          <w:b/>
        </w:rPr>
        <w:t>Section 6 / Annex</w:t>
      </w:r>
      <w:r>
        <w:t xml:space="preserve"> (Draft Standard Contract) — the proposed contractual terms in their entirety</w:t>
      </w:r>
    </w:p>
    <w:p w14:paraId="3F04E248" w14:textId="77777777" w:rsidR="008D4928" w:rsidRDefault="00000000">
      <w:r>
        <w:t>The above information constitutes commercially sensitive data and should not be disclosed to third parties without the prior written consent of Project Spruce OÜ.</w:t>
      </w:r>
    </w:p>
    <w:p w14:paraId="3969B36E" w14:textId="77777777" w:rsidR="008D4928" w:rsidRDefault="00000000">
      <w:r>
        <w:t>No personal data restrictions apply beyond the contact details provided in Section 1, which may be processed in accordance with applicable law.</w:t>
      </w:r>
    </w:p>
    <w:p w14:paraId="2715638C" w14:textId="77777777" w:rsidR="008D4928" w:rsidRDefault="008D4928"/>
    <w:p w14:paraId="7A98AA80" w14:textId="77777777" w:rsidR="008D4928" w:rsidRDefault="008D4928"/>
    <w:p w14:paraId="4DD1FCFD" w14:textId="77777777" w:rsidR="008D4928" w:rsidRDefault="00000000">
      <w:r>
        <w:rPr>
          <w:b/>
        </w:rPr>
        <w:t>Project Spruce OÜ (Ecobase)</w:t>
      </w:r>
    </w:p>
    <w:p w14:paraId="0BE365EE" w14:textId="77777777" w:rsidR="008D4928" w:rsidRDefault="008D4928"/>
    <w:p w14:paraId="2DCA2425" w14:textId="77777777" w:rsidR="008D4928" w:rsidRDefault="00000000">
      <w:r>
        <w:t>Jaan Sepping</w:t>
      </w:r>
    </w:p>
    <w:p w14:paraId="3ED95A43" w14:textId="77777777" w:rsidR="008D4928" w:rsidRDefault="00000000">
      <w:r>
        <w:t>CEO</w:t>
      </w:r>
    </w:p>
    <w:p w14:paraId="3368865F" w14:textId="77777777" w:rsidR="008D4928" w:rsidRDefault="00000000">
      <w:r>
        <w:t>jaan@ecobase.earth</w:t>
      </w:r>
    </w:p>
    <w:p w14:paraId="4BF7AFAC" w14:textId="77777777" w:rsidR="008D4928" w:rsidRDefault="00000000">
      <w:r>
        <w:t>+372 5826 7810</w:t>
      </w:r>
    </w:p>
    <w:sectPr w:rsidR="008D4928"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8134401">
    <w:abstractNumId w:val="8"/>
  </w:num>
  <w:num w:numId="2" w16cid:durableId="1148592083">
    <w:abstractNumId w:val="6"/>
  </w:num>
  <w:num w:numId="3" w16cid:durableId="193275334">
    <w:abstractNumId w:val="5"/>
  </w:num>
  <w:num w:numId="4" w16cid:durableId="123011515">
    <w:abstractNumId w:val="4"/>
  </w:num>
  <w:num w:numId="5" w16cid:durableId="1643922628">
    <w:abstractNumId w:val="7"/>
  </w:num>
  <w:num w:numId="6" w16cid:durableId="1636368620">
    <w:abstractNumId w:val="3"/>
  </w:num>
  <w:num w:numId="7" w16cid:durableId="571887195">
    <w:abstractNumId w:val="2"/>
  </w:num>
  <w:num w:numId="8" w16cid:durableId="1868253039">
    <w:abstractNumId w:val="1"/>
  </w:num>
  <w:num w:numId="9" w16cid:durableId="1157845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3CB6"/>
    <w:rsid w:val="00326F90"/>
    <w:rsid w:val="005517A8"/>
    <w:rsid w:val="008D492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768033"/>
  <w14:defaultImageDpi w14:val="300"/>
  <w15:docId w15:val="{5495FB5F-0AAD-1047-9952-25BBA427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B3A4B"/>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B3A4B"/>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B3A4B"/>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B3CB6"/>
    <w:rPr>
      <w:color w:val="0000FF" w:themeColor="hyperlink"/>
      <w:u w:val="single"/>
    </w:rPr>
  </w:style>
  <w:style w:type="character" w:styleId="UnresolvedMention">
    <w:name w:val="Unresolved Mention"/>
    <w:basedOn w:val="DefaultParagraphFont"/>
    <w:uiPriority w:val="99"/>
    <w:semiHidden/>
    <w:unhideWhenUsed/>
    <w:rsid w:val="002B3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gistry.verra.org/app/projectDetail/VCS/36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gistry.verra.org/app/projectDetail/VCS/53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1995</Words>
  <Characters>14951</Characters>
  <Application>Microsoft Office Word</Application>
  <DocSecurity>0</DocSecurity>
  <Lines>266</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Jaan Sepping</cp:lastModifiedBy>
  <cp:revision>2</cp:revision>
  <dcterms:created xsi:type="dcterms:W3CDTF">2013-12-23T23:15:00Z</dcterms:created>
  <dcterms:modified xsi:type="dcterms:W3CDTF">2026-03-05T12:12:00Z</dcterms:modified>
  <cp:category/>
</cp:coreProperties>
</file>