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dr="http://schemas.openxmlformats.org/drawingml/2006/chartDrawing" xmlns:c="http://schemas.openxmlformats.org/drawingml/2006/chart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Created by docx4j 6.1.2 (Apache licensed) using REFERENCE JAXB in Oracle Java 11.0.10 on Linux -->
    <w:p>
      <w:pPr>
        <w:spacing w:after="180"/>
        <w:ind w:left="120"/>
        <w:jc w:val="left"/>
      </w:pPr>
    </w:p>
    <w:p>
      <w:pPr>
        <w:pBdr>
          <w:top w:space="15"/>
        </w:pBdr>
        <w:spacing w:after="3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2"/>
        </w:rPr>
        <w:t>Üldandmed</w:t>
      </w:r>
    </w:p>
    <w:tbl>
      <w:tblPr>
        <w:tblW w:w="0" w:type="auto"/>
        <w:tblCellSpacing w:w="0" w:type="auto"/>
        <w:tblInd w:w="115" w:type="dxa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none"/>
          <w:insideV w:val="none"/>
        </w:tblBorders>
      </w:tblPr>
      <w:tblGrid>
        <w:gridCol w:w="5453"/>
        <w:gridCol w:w="8181"/>
      </w:tblGrid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Hindamisaruande grupi nr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2025/487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RKVR hindamise ID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5447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Tellimuse kuupäev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30.12.2025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Hindaja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Natalja Rüütel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Hindamisaruande kuupäev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28.01.2026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Väärtuse kuupäev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28.01.2026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Lähteülesande koostaja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Kärt Kivitar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Hindamise seisund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Kinnitatud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Menetluse nr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25-5672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Menetluse viis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Otsustuskorras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Menetluse liik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Vara võõrandamine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Menetluse alaliik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Harilikule väärtusele vastava tasu eest</w:t>
            </w:r>
          </w:p>
        </w:tc>
      </w:tr>
      <w:tr>
        <w:trPr>
          <w:trHeight w:val="112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Taotlemise eesmärk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Kinnisasja võõrandamine Elektrilevi OÜ-le riigivaraseaduse § 29 lõike 3 ja § 30 lõike 1 punkti 3 alusel eesmärgiga rajada kinnisasjale strateegiliste varude laoplats, mis aitaks tagada elektrivõrgu töökindluse ja varustuskindluse.</w:t>
            </w:r>
          </w:p>
        </w:tc>
      </w:tr>
    </w:tbl>
    <w:p>
      <w:pPr>
        <w:pBdr>
          <w:top w:space="15"/>
        </w:pBdr>
        <w:spacing w:after="3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2"/>
        </w:rPr>
        <w:t>Hinnatav vara</w:t>
      </w:r>
    </w:p>
    <w:tbl>
      <w:tblPr>
        <w:tblW w:w="0" w:type="auto"/>
        <w:tblCellSpacing w:w="0" w:type="auto"/>
        <w:tblInd w:w="115" w:type="dxa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none"/>
          <w:insideV w:val="none"/>
        </w:tblBorders>
      </w:tblPr>
      <w:tblGrid>
        <w:gridCol w:w="5453"/>
        <w:gridCol w:w="8181"/>
      </w:tblGrid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Riigivara valitseja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Majandus- ja Kommunikatsiooniministeerium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Riigivara volitatud asutus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Maa- ja Ruumiamet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Riigivara kood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KV30580M1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RKVRi objekti kood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KV30580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Maakond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Rapla maakond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Omavalitsus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Märjamaa vald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Asutusüksus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Ringuta küla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Lähiaadress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Metsaveere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Katastriüksuse tunnus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50402:001:0214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Kinnistu registriosa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3297037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Sihtotstarve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MAATULUNDUSMAA 100%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Pindala (m²)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37968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Haritav maa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22209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Looduslik rohumaa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2620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Metsamaa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7467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Muu maa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5672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Jääkmaksumus bilansis (€)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658,29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Maksustamishind (€)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9771</w:t>
            </w:r>
          </w:p>
        </w:tc>
      </w:tr>
    </w:tbl>
    <w:p>
      <w:pPr>
        <w:pBdr>
          <w:top w:space="15"/>
        </w:pBdr>
        <w:spacing w:after="3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2"/>
        </w:rPr>
        <w:t>Lisaandmed</w:t>
      </w:r>
    </w:p>
    <w:tbl>
      <w:tblPr>
        <w:tblW w:w="0" w:type="auto"/>
        <w:tblCellSpacing w:w="0" w:type="auto"/>
        <w:tblInd w:w="115" w:type="dxa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none"/>
          <w:insideV w:val="none"/>
        </w:tblBorders>
      </w:tblPr>
      <w:tblGrid>
        <w:gridCol w:w="5453"/>
        <w:gridCol w:w="8181"/>
      </w:tblGrid>
      <w:tr>
        <w:trPr>
          <w:trHeight w:val="112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Üldplaneeringu info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Metsaveere kinnisasi jääb Märjamaa valla üldplaneeringu (kehtestatud Märjamaa Vallavolikogu 20.06.2000 määrusega nr 11) maa-alale. Üldplaneeringu kohaselt ei ole kinnisasjale juhtotstarvet määratud.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Detailplaneeringu info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Detailplaneering puudub.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Planeeringute mõju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Parim kasutus äri- ja tootmismaa.</w:t>
            </w:r>
          </w:p>
        </w:tc>
      </w:tr>
      <w:tr>
        <w:trPr>
          <w:trHeight w:val="1410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Kitsendused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Uuringu ala/37967.52, Elektripaigaldise kaitsevöönd/15.12, Elektripaigaldise kaitsevöönd/95.89, Elektripaigaldise kaitsevöönd/143.96, Elektripaigaldise kaitsevöönd/408.0, Elektripaigaldise kaitsevöönd/1703.23, Avalikult kasutatava tee kaitsevöönd/3777.54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Kitsenduste mõju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Oluline mõju puudub.</w:t>
            </w:r>
          </w:p>
        </w:tc>
      </w:tr>
      <w:tr>
        <w:trPr>
          <w:trHeight w:val="139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Seotud lepingud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Kasutusvaldus, kehtib alates 05.11.2010, kehtib kuni 05.11.2025, tähtajaline, kasutaja JAANUS AASAMAA; isiklik kasutusõigus, kehtib alates 07.12.2020, tähtajatu, kasutaja Elektrilevi OÜ; reaalservituut, kehtib alates 14.10.2022, tähtajatu, kasutaja Weldplast OÜ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Seotud lepingute mõju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Mõju puudub.</w:t>
            </w:r>
          </w:p>
        </w:tc>
      </w:tr>
    </w:tbl>
    <w:p>
      <w:pPr>
        <w:pBdr>
          <w:top w:space="15"/>
        </w:pBdr>
        <w:spacing w:after="3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2"/>
        </w:rPr>
        <w:t>Turuandmed</w:t>
      </w:r>
    </w:p>
    <w:tbl>
      <w:tblPr>
        <w:tblW w:w="0" w:type="auto"/>
        <w:tblCellSpacing w:w="0" w:type="auto"/>
        <w:tblInd w:w="115" w:type="dxa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none"/>
          <w:insideV w:val="none"/>
        </w:tblBorders>
      </w:tblPr>
      <w:tblGrid>
        <w:gridCol w:w="5453"/>
        <w:gridCol w:w="8181"/>
      </w:tblGrid>
      <w:tr>
        <w:trPr>
          <w:trHeight w:val="85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Aktiivse turu olemasolu hinnang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Hoonestamata maade turg samas piirkonnas on keskmiselt aktiivne (tuginetud on tehingute ning pakkumiste arvule). Tehinguid on analüüsitud laiemalt, kui asustusüksuse tase.</w:t>
            </w:r>
          </w:p>
        </w:tc>
      </w:tr>
      <w:tr>
        <w:trPr>
          <w:trHeight w:val="490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Ülevaade sarnastest tehingutest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Rapla maakonnas on alates 01.01.2024 toimunud 36 hoonestamata tootmismaa tehingut ja 10 hoonestamata ärimaa tehingut, Märjamaa vallas on toimunud 4 hoonestamata tootmismaa tehingut ja 4 hoonestamata ärimaa tehingut. Kinnisvara tehingute statistika ja üldiste hinnatasemetega saab tutvuda Maa- ja Ruumiameti kinnisvara hinnastatistika päringukeskkonnas aadressil http://www.maaamet.ee/kinnisvara/htraru/Start.aspx. Analüüsis kasutatud tehinguid ei ole hindamisaruandes täpsemalt välja toodud, kuna vastavalt maakatastriseaduse § 6 lõikele 10 ja 11 võib tehingute andmebaasi andmetega tutvuda ja saada väljavõtteid ainult maa hindaja hindamise läbiviimiseks, samuti riikliku statistika tegija ning avalik-õiguslikust juriidilisest isikust teadus- ja arendusasutus seadusega pandud avalik-õigusliku ülesande täitmiseks, krediidiasutus tagatise hindamiseks ja ülejäänud isikud õigustatud huvi alusel. Hindamise käigus on tehinguid analüüsitud põhjalikumalt välistades tehingud, mis ei vasta vabaturu tingimustele (osapooled seotud, plokktehingud jne).</w:t>
            </w:r>
          </w:p>
        </w:tc>
      </w:tr>
      <w:tr>
        <w:trPr>
          <w:trHeight w:val="112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Sarnaste varade pakkumiste info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 xml:space="preserve">Kinnisvara pakkumiste portaali kv.ee andmetel on Rapla maakonnas pakkumisel 10 hoonestamata äri- ja tootmismaa kinnisasja ning Märjamaa vallas 5 hoonestamata äri- ja tootmismaa kinnisasja. </w:t>
            </w:r>
          </w:p>
        </w:tc>
      </w:tr>
    </w:tbl>
    <w:p>
      <w:pPr>
        <w:pBdr>
          <w:top w:space="15"/>
        </w:pBdr>
        <w:spacing w:after="3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2"/>
        </w:rPr>
        <w:t>Hindamiskäik</w:t>
      </w:r>
    </w:p>
    <w:tbl>
      <w:tblPr>
        <w:tblW w:w="0" w:type="auto"/>
        <w:tblCellSpacing w:w="0" w:type="auto"/>
        <w:tblInd w:w="115" w:type="dxa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none"/>
          <w:insideV w:val="none"/>
        </w:tblBorders>
      </w:tblPr>
      <w:tblGrid>
        <w:gridCol w:w="5453"/>
        <w:gridCol w:w="8181"/>
      </w:tblGrid>
      <w:tr>
        <w:trPr>
          <w:trHeight w:val="274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Hindamiskäigu selgitus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 xml:space="preserve">Hariliku väärtuse hindamise aluseks on Vabariigi Valitsuse 18.03.2023 jõustunud määrus nr 22 „Kinnisasja erakorralise hindamise kord“. Harilik väärtus on hinnatud müügitehingute analüüsil korra § 15 alusel. Kasutatud on võrdlusmeetodit, millega hinnatakse väärtus sarnaste kinnisasjadega toimunud tehingute analüüsimisel, selleks on Maa-ja Ruumiamet kasutanud maakatastri tehingute andmebaasis registreeritud ostu-müügitehingute andmeid. Hariliku väärtuse leidmisel on analüüsitud Rapla maakonnas toimunud hoonestamata äri- ja tootmismaa tehinguid alates 2024. aastast. </w:t>
            </w:r>
          </w:p>
        </w:tc>
      </w:tr>
    </w:tbl>
    <w:p>
      <w:pPr>
        <w:pBdr>
          <w:top w:space="15"/>
        </w:pBdr>
        <w:spacing w:after="3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2"/>
        </w:rPr>
        <w:t>Hindamise tulemus</w:t>
      </w:r>
    </w:p>
    <w:tbl>
      <w:tblPr>
        <w:tblW w:w="0" w:type="auto"/>
        <w:tblCellSpacing w:w="0" w:type="auto"/>
        <w:tblInd w:w="115" w:type="dxa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none"/>
          <w:insideV w:val="none"/>
        </w:tblBorders>
      </w:tblPr>
      <w:tblGrid>
        <w:gridCol w:w="5453"/>
        <w:gridCol w:w="8181"/>
      </w:tblGrid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Väärtuse pindalaühik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m2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Harilik väärtus (€/pindalaühiku kohta)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0,8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Harilik väärtus (€)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30370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Hindamise märkused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Hindamistulemus ei sisalda käibemaksu.</w:t>
            </w:r>
          </w:p>
        </w:tc>
      </w:tr>
    </w:tbl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dr="http://schemas.openxmlformats.org/drawingml/2006/chartDrawing" xmlns:c="http://schemas.openxmlformats.org/drawingml/2006/chart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true">
      <w:start w:val="1"/>
      <w:numFmt w:val="lowerLetter"/>
      <w:lvlText w:val="%2."/>
      <w:lvlJc w:val="left"/>
      <w:pPr>
        <w:ind w:left="1440" w:hanging="360"/>
      </w:pPr>
    </w:lvl>
    <w:lvl w:ilvl="2" w:tplc="0C09001B" w:tentative="true">
      <w:start w:val="1"/>
      <w:numFmt w:val="lowerRoman"/>
      <w:lvlText w:val="%3."/>
      <w:lvlJc w:val="right"/>
      <w:pPr>
        <w:ind w:left="2160" w:hanging="180"/>
      </w:pPr>
    </w:lvl>
    <w:lvl w:ilvl="3" w:tplc="0C09000F" w:tentative="true">
      <w:start w:val="1"/>
      <w:numFmt w:val="decimal"/>
      <w:lvlText w:val="%4."/>
      <w:lvlJc w:val="left"/>
      <w:pPr>
        <w:ind w:left="2880" w:hanging="360"/>
      </w:pPr>
    </w:lvl>
    <w:lvl w:ilvl="4" w:tplc="0C090019" w:tentative="true">
      <w:start w:val="1"/>
      <w:numFmt w:val="lowerLetter"/>
      <w:lvlText w:val="%5."/>
      <w:lvlJc w:val="left"/>
      <w:pPr>
        <w:ind w:left="3600" w:hanging="360"/>
      </w:pPr>
    </w:lvl>
    <w:lvl w:ilvl="5" w:tplc="0C09001B" w:tentative="true">
      <w:start w:val="1"/>
      <w:numFmt w:val="lowerRoman"/>
      <w:lvlText w:val="%6."/>
      <w:lvlJc w:val="right"/>
      <w:pPr>
        <w:ind w:left="4320" w:hanging="180"/>
      </w:pPr>
    </w:lvl>
    <w:lvl w:ilvl="6" w:tplc="0C09000F" w:tentative="true">
      <w:start w:val="1"/>
      <w:numFmt w:val="decimal"/>
      <w:lvlText w:val="%7."/>
      <w:lvlJc w:val="left"/>
      <w:pPr>
        <w:ind w:left="5040" w:hanging="360"/>
      </w:pPr>
    </w:lvl>
    <w:lvl w:ilvl="7" w:tplc="0C090019" w:tentative="true">
      <w:start w:val="1"/>
      <w:numFmt w:val="lowerLetter"/>
      <w:lvlText w:val="%8."/>
      <w:lvlJc w:val="left"/>
      <w:pPr>
        <w:ind w:left="5760" w:hanging="360"/>
      </w:pPr>
    </w:lvl>
    <w:lvl w:ilvl="8" w:tplc="0C09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dr="http://schemas.openxmlformats.org/drawingml/2006/chartDrawing" xmlns:c="http://schemas.openxmlformats.org/drawingml/2006/chart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dr="http://schemas.openxmlformats.org/drawingml/2006/chartDrawing" xmlns:c="http://schemas.openxmlformats.org/drawingml/2006/chart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