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40" w:after="80"/>
        <w:jc w:val="right"/>
        <w:rPr/>
      </w:pPr>
      <w:r>
        <w:rPr>
          <w:rStyle w:val="NoneA"/>
        </w:rPr>
        <w:t xml:space="preserve">Lisa </w:t>
      </w:r>
      <w:r>
        <w:rPr>
          <w:rStyle w:val="NoneA"/>
        </w:rPr>
        <w:t>1</w:t>
      </w:r>
    </w:p>
    <w:p>
      <w:pPr>
        <w:pStyle w:val="Normal"/>
        <w:jc w:val="right"/>
        <w:rPr/>
      </w:pPr>
      <w:r>
        <w:rPr>
          <w:rStyle w:val="NoneA"/>
        </w:rPr>
        <w:t>Detailplaneeringu lähteseisukohad</w:t>
      </w:r>
    </w:p>
    <w:p>
      <w:pPr>
        <w:pStyle w:val="Default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tbl>
      <w:tblPr>
        <w:tblStyle w:val="TableNormal"/>
        <w:tblW w:w="8902" w:type="dxa"/>
        <w:jc w:val="left"/>
        <w:tblInd w:w="38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80" w:type="dxa"/>
          <w:left w:w="65" w:type="dxa"/>
          <w:bottom w:w="80" w:type="dxa"/>
          <w:right w:w="80" w:type="dxa"/>
        </w:tblCellMar>
        <w:tblLook w:noVBand="1" w:val="04a0" w:noHBand="0" w:lastColumn="0" w:firstColumn="1" w:lastRow="0" w:firstRow="1"/>
      </w:tblPr>
      <w:tblGrid>
        <w:gridCol w:w="2545"/>
        <w:gridCol w:w="373"/>
        <w:gridCol w:w="5984"/>
      </w:tblGrid>
      <w:tr>
        <w:trPr>
          <w:trHeight w:val="290" w:hRule="atLeast"/>
        </w:trPr>
        <w:tc>
          <w:tcPr>
            <w:tcW w:w="89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  <w:t>ÜLDPLANEERINGUT MUUTVA DETAILPLANEERINGU L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sv-SE"/>
              </w:rPr>
              <w:t>Ä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de-DE"/>
              </w:rPr>
              <w:t>HTESEISUKOHAD</w:t>
            </w:r>
          </w:p>
        </w:tc>
      </w:tr>
      <w:tr>
        <w:trPr>
          <w:trHeight w:val="1094" w:hRule="atLeast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1. NIMETUS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  <w:lang w:val="da-DK"/>
              </w:rPr>
              <w:t>No</w:t>
            </w:r>
            <w:r>
              <w:rPr>
                <w:rFonts w:ascii="Calibri" w:hAnsi="Calibri"/>
                <w:b/>
                <w:bCs/>
                <w:sz w:val="24"/>
                <w:szCs w:val="24"/>
                <w:lang w:val="en-US"/>
              </w:rPr>
              <w:t>g</w:t>
            </w:r>
            <w:r>
              <w:rPr>
                <w:rFonts w:ascii="Calibri" w:hAnsi="Calibri"/>
                <w:b/>
                <w:bCs/>
                <w:sz w:val="24"/>
                <w:szCs w:val="24"/>
                <w:lang w:val="da-DK"/>
              </w:rPr>
              <w:t>gis detailplaneering</w:t>
            </w:r>
          </w:p>
          <w:p>
            <w:pPr>
              <w:pStyle w:val="Default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5040" w:leader="none"/>
                <w:tab w:val="left" w:pos="5760" w:leader="none"/>
              </w:tabs>
              <w:spacing w:before="0" w:after="0"/>
              <w:ind w:right="38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  <w:lang w:val="en-US"/>
              </w:rPr>
              <w:t>Saare maakond</w:t>
            </w:r>
            <w:r>
              <w:rPr>
                <w:rFonts w:ascii="Calibri" w:hAnsi="Calibri"/>
                <w:sz w:val="24"/>
                <w:szCs w:val="24"/>
              </w:rPr>
              <w:t xml:space="preserve">, Ruhnu vallas, </w:t>
            </w:r>
            <w:r>
              <w:rPr>
                <w:rFonts w:ascii="Calibri" w:hAnsi="Calibri"/>
                <w:sz w:val="24"/>
                <w:szCs w:val="24"/>
                <w:lang w:val="it-IT"/>
              </w:rPr>
              <w:t>Ruhnu k</w:t>
            </w:r>
            <w:r>
              <w:rPr>
                <w:rFonts w:ascii="Calibri" w:hAnsi="Calibri"/>
                <w:sz w:val="24"/>
                <w:szCs w:val="24"/>
              </w:rPr>
              <w:t>ü</w:t>
            </w:r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las </w:t>
            </w:r>
            <w:r>
              <w:rPr>
                <w:rFonts w:eastAsia="Helvetica" w:ascii="Calibri" w:hAnsi="Calibri"/>
                <w:sz w:val="22"/>
                <w:szCs w:val="22"/>
              </w:rPr>
              <w:t>2,22ha</w:t>
            </w:r>
            <w:r>
              <w:rPr>
                <w:rFonts w:eastAsia="Helvetica"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>suurune</w:t>
            </w:r>
            <w:r>
              <w:rPr>
                <w:rFonts w:ascii="Calibri" w:hAnsi="Calibri"/>
                <w:sz w:val="24"/>
                <w:szCs w:val="24"/>
                <w:lang w:val="da-DK"/>
              </w:rPr>
              <w:t xml:space="preserve"> Noggis katastri</w:t>
            </w:r>
            <w:r>
              <w:rPr>
                <w:rFonts w:ascii="Calibri" w:hAnsi="Calibri"/>
                <w:sz w:val="24"/>
                <w:szCs w:val="24"/>
              </w:rPr>
              <w:t xml:space="preserve">üksus tunnusega </w:t>
            </w:r>
            <w:r>
              <w:rPr>
                <w:rFonts w:eastAsia="TimesNewRomanPS-BoldMT" w:ascii="Calibri" w:hAnsi="Calibri"/>
                <w:b w:val="false"/>
                <w:bCs w:val="false"/>
                <w:sz w:val="22"/>
                <w:szCs w:val="22"/>
              </w:rPr>
              <w:t>68901:001:0206</w:t>
            </w:r>
          </w:p>
        </w:tc>
      </w:tr>
      <w:tr>
        <w:trPr>
          <w:trHeight w:val="1070" w:hRule="atLeast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2. ALGATAJA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Fonts w:ascii="Calibri" w:hAnsi="Calibri"/>
                <w:sz w:val="22"/>
                <w:szCs w:val="22"/>
              </w:rPr>
              <w:t>Detailplaneeringu koostamise algatamise ettepaneku esitaja ja huvitatud isik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>
              <w:rPr>
                <w:rFonts w:eastAsia="TimesNewRomanPSMT" w:ascii="Calibri" w:hAnsi="Calibri"/>
                <w:sz w:val="22"/>
                <w:szCs w:val="22"/>
              </w:rPr>
              <w:t>Aivar Tuulberg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Fonts w:ascii="Calibri" w:hAnsi="Calibri"/>
                <w:sz w:val="22"/>
                <w:szCs w:val="22"/>
              </w:rPr>
              <w:t xml:space="preserve">Algataja: Ruhnu Vallavolikogu 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Fonts w:ascii="Calibri" w:hAnsi="Calibri"/>
                <w:sz w:val="22"/>
                <w:szCs w:val="22"/>
              </w:rPr>
              <w:t>Koostamise korraldaja: Ruhnu Vallavalitsus</w:t>
            </w:r>
          </w:p>
        </w:tc>
      </w:tr>
      <w:tr>
        <w:trPr>
          <w:trHeight w:val="3140" w:hRule="atLeast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3. EESM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sv-SE"/>
              </w:rPr>
              <w:t>Ä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RK JA VASTAVUS 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de-DE"/>
              </w:rPr>
              <w:t>ÜLDPLANEERINGULE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Fonts w:ascii="Calibri" w:hAnsi="Calibri"/>
                <w:sz w:val="22"/>
                <w:szCs w:val="22"/>
                <w:lang w:val="de-DE"/>
              </w:rPr>
              <w:t>PLANEERINGU EESM</w:t>
            </w:r>
            <w:r>
              <w:rPr>
                <w:rFonts w:ascii="Calibri" w:hAnsi="Calibri"/>
                <w:sz w:val="22"/>
                <w:szCs w:val="22"/>
                <w:lang w:val="sv-SE"/>
              </w:rPr>
              <w:t>Ä</w:t>
            </w:r>
            <w:r>
              <w:rPr>
                <w:rFonts w:ascii="Calibri" w:hAnsi="Calibri"/>
                <w:sz w:val="22"/>
                <w:szCs w:val="22"/>
              </w:rPr>
              <w:t xml:space="preserve">RK: 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- maaüksuse jagamine 4 kinnistuks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- ehitus</w:t>
            </w:r>
            <w:r>
              <w:rPr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iguse m</w:t>
            </w:r>
            <w:r>
              <w:rPr>
                <w:rFonts w:ascii="Calibri" w:hAnsi="Calibri"/>
                <w:sz w:val="22"/>
                <w:szCs w:val="22"/>
              </w:rPr>
              <w:t>ää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ramine - rajada igale kinnistule </w:t>
            </w:r>
            <w:r>
              <w:rPr>
                <w:rFonts w:ascii="Calibri" w:hAnsi="Calibri"/>
                <w:sz w:val="22"/>
                <w:szCs w:val="22"/>
              </w:rPr>
              <w:t>üksikelamu ja   abihoonetega majapidamine koos vajalike tehnov</w:t>
            </w:r>
            <w:r>
              <w:rPr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rkude ning ligip</w:t>
            </w:r>
            <w:r>
              <w:rPr>
                <w:rFonts w:ascii="Calibri" w:hAnsi="Calibri"/>
                <w:sz w:val="22"/>
                <w:szCs w:val="22"/>
              </w:rPr>
              <w:t>ää</w:t>
            </w:r>
            <w:r>
              <w:rPr>
                <w:rFonts w:ascii="Calibri" w:hAnsi="Calibri"/>
                <w:sz w:val="22"/>
                <w:szCs w:val="22"/>
                <w:lang w:val="nl-NL"/>
              </w:rPr>
              <w:t>suteedega</w:t>
            </w:r>
          </w:p>
          <w:p>
            <w:pPr>
              <w:pStyle w:val="Default"/>
              <w:spacing w:before="0" w:after="0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- hoonestustingimuste määramine</w:t>
            </w:r>
          </w:p>
          <w:p>
            <w:pPr>
              <w:pStyle w:val="Default"/>
              <w:spacing w:before="0" w:after="0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- kommunikatsioonide asukoha määramine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de-DE"/>
              </w:rPr>
              <w:t>PLANEERINGUALA LIGIKAUDNE SUURUS:</w:t>
            </w:r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r>
              <w:rPr>
                <w:rFonts w:eastAsia="Helvetica" w:ascii="Calibri" w:hAnsi="Calibri"/>
                <w:sz w:val="22"/>
                <w:szCs w:val="22"/>
              </w:rPr>
              <w:t>2,22ha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PLANEERINGU VASTAVUS </w:t>
            </w:r>
            <w:r>
              <w:rPr>
                <w:rFonts w:ascii="Calibri" w:hAnsi="Calibri"/>
                <w:sz w:val="22"/>
                <w:szCs w:val="22"/>
                <w:lang w:val="de-DE"/>
              </w:rPr>
              <w:t xml:space="preserve">ÜLDPLANEERINGULE: </w:t>
            </w:r>
            <w:r>
              <w:rPr>
                <w:rFonts w:ascii="Calibri" w:hAnsi="Calibri"/>
                <w:sz w:val="22"/>
                <w:szCs w:val="22"/>
                <w:lang w:val="nl-NL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de-DE"/>
              </w:rPr>
              <w:t>Ü</w:t>
            </w:r>
            <w:r>
              <w:rPr>
                <w:rFonts w:ascii="Calibri" w:hAnsi="Calibri"/>
                <w:sz w:val="22"/>
                <w:szCs w:val="22"/>
              </w:rPr>
              <w:t xml:space="preserve">ldplaneeringu muutmise vajaduse tingib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maasihtotstarbe muutmine ja kinnistu jagamine 4 kinnistuks.</w:t>
            </w:r>
          </w:p>
        </w:tc>
      </w:tr>
      <w:tr>
        <w:trPr>
          <w:trHeight w:val="4290" w:hRule="atLeast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Fonts w:ascii="Calibri" w:hAnsi="Calibri"/>
                <w:b/>
                <w:bCs/>
                <w:sz w:val="20"/>
                <w:szCs w:val="20"/>
                <w:lang w:val="de-DE"/>
              </w:rPr>
              <w:t>4. PLANEERINGU L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sv-SE"/>
              </w:rPr>
              <w:t>Ä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de-DE"/>
              </w:rPr>
              <w:t>HTEMATERJAL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Fonts w:ascii="Calibri" w:hAnsi="Calibri"/>
                <w:sz w:val="23"/>
                <w:szCs w:val="23"/>
              </w:rPr>
              <w:t>OLEMASOLEVA KATASTRI</w:t>
            </w:r>
            <w:r>
              <w:rPr>
                <w:rFonts w:ascii="Calibri" w:hAnsi="Calibri"/>
                <w:sz w:val="23"/>
                <w:szCs w:val="23"/>
                <w:lang w:val="de-DE"/>
              </w:rPr>
              <w:t>Ü</w:t>
            </w:r>
            <w:r>
              <w:rPr>
                <w:rFonts w:ascii="Calibri" w:hAnsi="Calibri"/>
                <w:sz w:val="23"/>
                <w:szCs w:val="23"/>
              </w:rPr>
              <w:t>KSUSE</w:t>
            </w:r>
            <w:r>
              <w:rPr>
                <w:rFonts w:ascii="Calibri" w:hAnsi="Calibri"/>
                <w:sz w:val="23"/>
                <w:szCs w:val="23"/>
                <w:lang w:val="en-US"/>
              </w:rPr>
              <w:t xml:space="preserve"> SIHTOTSTARVE: maatulundusmaa</w:t>
            </w:r>
            <w:r>
              <w:rPr>
                <w:rFonts w:ascii="Calibri" w:hAnsi="Calibri"/>
                <w:sz w:val="23"/>
                <w:szCs w:val="23"/>
              </w:rPr>
              <w:t xml:space="preserve"> 100%</w:t>
            </w:r>
          </w:p>
          <w:p>
            <w:pPr>
              <w:pStyle w:val="Default"/>
              <w:spacing w:before="0" w:after="0"/>
              <w:jc w:val="left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  <w:lang w:val="en-US"/>
              </w:rPr>
              <w:t>PLANEERINGUALA ASEND: vt planeeringuala skeem Lisa 2</w:t>
            </w:r>
          </w:p>
          <w:p>
            <w:pPr>
              <w:pStyle w:val="Default"/>
              <w:spacing w:before="0" w:after="0"/>
              <w:jc w:val="left"/>
              <w:rPr>
                <w:rFonts w:ascii="Calibri" w:hAnsi="Calibri" w:eastAsia="Calibri" w:cs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t>GEODEETILINE ALUSPLAAN: vajalik m</w:t>
            </w:r>
            <w:r>
              <w:rPr>
                <w:rFonts w:ascii="Calibri" w:hAnsi="Calibri"/>
                <w:sz w:val="23"/>
                <w:szCs w:val="23"/>
                <w:lang w:val="pt-PT"/>
              </w:rPr>
              <w:t>õõdistada M 1:500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Fonts w:ascii="Calibri" w:hAnsi="Calibri"/>
                <w:sz w:val="23"/>
                <w:szCs w:val="23"/>
                <w:lang w:val="en-US"/>
              </w:rPr>
              <w:t xml:space="preserve">ARVESTADA: 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Ruhnu valla ü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ldplaneering;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Ruhnu valla jää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tmehoolduseeskiri;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valla dokumendid on kättesaadavad </w:t>
            </w:r>
            <w:hyperlink r:id="rId2">
              <w:r>
                <w:rPr>
                  <w:rStyle w:val="Hyperlink1"/>
                </w:rPr>
                <w:t>https://ruhnu.ee/</w:t>
              </w:r>
            </w:hyperlink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>
        <w:trPr>
          <w:trHeight w:val="2110" w:hRule="atLeast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</w:rPr>
              <w:t>5. UURINGUD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Kui detailplaneeringu edasise menetluse k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äigus selgub, et planeeringu-lahenduse väljatöötamiseks on vajalik teha täiendavaid uuringuid, analüü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se, ekspertiise vms, siis tuleb need teha ning planeeringusse lisada.</w:t>
            </w:r>
          </w:p>
        </w:tc>
      </w:tr>
      <w:tr>
        <w:trPr>
          <w:trHeight w:val="2110" w:hRule="atLeast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</w:rPr>
              <w:t>Lisa: planeeringualaga piirnevad kinnistud ja kitsendused (skeem)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/>
                <w:sz w:val="22"/>
                <w:szCs w:val="22"/>
                <w:lang w:val="nl-NL"/>
              </w:rPr>
            </w:pPr>
            <w:r>
              <w:rPr>
                <w:rFonts w:ascii="Calibri" w:hAnsi="Calibri"/>
                <w:sz w:val="22"/>
                <w:szCs w:val="22"/>
                <w:lang w:val="nl-NL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935095" cy="2525395"/>
                  <wp:effectExtent l="0" t="0" r="0" b="0"/>
                  <wp:wrapSquare wrapText="largest"/>
                  <wp:docPr id="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095" cy="252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3290" w:hRule="atLeast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</w:rPr>
              <w:t>6. EHITUSLIKUD JA ARHITEKTUURSED NÕ</w:t>
            </w: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  <w:lang w:val="da-DK"/>
              </w:rPr>
              <w:t>UDED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 w:eastAsia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LUBATUD SUURIM EHITISTE ARV KRUNTIDEL: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äärata planeeringuga, kaasa arvatud alla 20 ruutmeetrised hooned, kui neid soovitakse pü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stitada. J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ärgida piirkonna traditsioonilist hoonestuse tihedust ja –struktuuri. </w:t>
            </w:r>
          </w:p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 w:eastAsia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LUBATUD SUURIM EHITISEALUNE PIND: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it-IT"/>
              </w:rPr>
              <w:t>rata planeeringuga, j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rgida v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äljakujunenud traditsioonilisi ehitusmahtusid</w:t>
            </w:r>
          </w:p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 w:eastAsia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KRUNTIDE HOONESTUSALA: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it-IT"/>
              </w:rPr>
              <w:t>rata planeeringuga, s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äilitada maksimaalselt k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rghaljastust </w:t>
            </w:r>
          </w:p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 w:eastAsia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HOONETE TULEPÜ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SIVUSKLASS: mää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rata planeeringuga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 xml:space="preserve">HOONETE KORRUSELISUS: Hooned peaksid olema viilkatusega, verandaga, maksimaalselt kahekorruselised. 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J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ärgida traditsioonilist hoone mahtu ja korruselisust</w:t>
            </w:r>
          </w:p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 w:eastAsia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HOONETE MAKSIMAALNE K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ÕRGUS: mää</w:t>
            </w:r>
            <w:r>
              <w:rPr>
                <w:rStyle w:val="None"/>
                <w:rFonts w:ascii="Calibri" w:hAnsi="Calibri"/>
                <w:sz w:val="22"/>
                <w:szCs w:val="22"/>
                <w:lang w:val="it-IT"/>
              </w:rPr>
              <w:t>rata planeeringuga, j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ärgida traditsioonilist hoone mahtu ja k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rgust</w:t>
            </w:r>
          </w:p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 w:eastAsia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HOONETE MAKSIMAALNE SÜ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GAVUS: mää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rata planeeringuga</w:t>
            </w:r>
          </w:p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 w:eastAsia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HOONETE K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 xml:space="preserve">RGUSLIK SIDUMINE </w:t>
            </w:r>
            <w:r>
              <w:rPr>
                <w:rStyle w:val="None"/>
                <w:sz w:val="22"/>
                <w:szCs w:val="22"/>
                <w:lang w:val="ar-SA"/>
              </w:rPr>
              <w:t>±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0.00/ sokli k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rgus: lahendada p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him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tteline vertikaalplaneerimine ja planeeritud maapinna k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rgusmä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rgid ning hoonestuse ehituslikud sidumisk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rgused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KATUSEKALDED JA -KATE, HARJAJOONE SUUND, V</w:t>
            </w:r>
            <w:r>
              <w:rPr>
                <w:rStyle w:val="None"/>
                <w:rFonts w:ascii="Calibri" w:hAnsi="Calibri"/>
                <w:sz w:val="22"/>
                <w:szCs w:val="22"/>
                <w:lang w:val="sv-SE"/>
              </w:rPr>
              <w:t>Ä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LISVIIMISTLUS: kavandada harmoneeruvalt ümbritseva miljöö</w:t>
            </w:r>
            <w:r>
              <w:rPr>
                <w:rStyle w:val="None"/>
                <w:rFonts w:ascii="Calibri" w:hAnsi="Calibri"/>
                <w:sz w:val="22"/>
                <w:szCs w:val="22"/>
                <w:lang w:val="fr-FR"/>
              </w:rPr>
              <w:t>ga, l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ähtuda piirkonnas traditsioonilisest viilkatusest ja katusekaldest, kasutada Ruhnule omaseid materjale </w:t>
            </w:r>
          </w:p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 w:eastAsia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EHITISTE VAHELISED KUJAD: vastavalt tuleohutusn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uetele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SERVITUUDIALAD: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rata planeeringuga</w:t>
            </w:r>
          </w:p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 w:eastAsia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KOHUSTUSLIKUD EHITUSJOONED: puuduvad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JUURDEP</w:t>
            </w:r>
            <w:r>
              <w:rPr>
                <w:rStyle w:val="None"/>
                <w:rFonts w:ascii="Calibri" w:hAnsi="Calibri"/>
                <w:sz w:val="22"/>
                <w:szCs w:val="22"/>
                <w:lang w:val="sv-SE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S KRUNTIDELE: Olemasolevalt</w:t>
            </w:r>
            <w:r>
              <w:rPr>
                <w:rStyle w:val="None"/>
                <w:rFonts w:ascii="Calibri" w:hAnsi="Calibri"/>
                <w:sz w:val="22"/>
                <w:szCs w:val="22"/>
                <w:lang w:val="it-IT"/>
              </w:rPr>
              <w:t xml:space="preserve"> 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 xml:space="preserve">teelt 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– vajadusel sõlmida servituudilepingud kõrvalkinnistu omanikega.</w:t>
            </w:r>
          </w:p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 w:eastAsia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TEED: uute teede projekteerimisel arvestada päästetehnika m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tmete ja juurdepääsuvajadustega</w:t>
            </w:r>
          </w:p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 w:eastAsia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PARKIMISTINGIMUSED: parkimine lahendada kinnistu siseselt</w:t>
            </w:r>
          </w:p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 w:eastAsia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HEAKORD JA HALJASTUS: täpsustada haljastuse ja heakorra p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him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tteid. 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J</w:t>
            </w:r>
            <w:r>
              <w:rPr>
                <w:rStyle w:val="None"/>
                <w:rFonts w:ascii="Calibri" w:hAnsi="Calibri"/>
                <w:sz w:val="22"/>
                <w:szCs w:val="22"/>
                <w:lang w:val="sv-SE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TMEK</w:t>
            </w:r>
            <w:r>
              <w:rPr>
                <w:rStyle w:val="None"/>
                <w:rFonts w:ascii="Calibri" w:hAnsi="Calibri"/>
                <w:sz w:val="22"/>
                <w:szCs w:val="22"/>
                <w:lang w:val="sv-SE"/>
              </w:rPr>
              <w:t>Ä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ITLUS: määrata planeeringuga, arvestada Ruhnu valla jäätmehoolduseeskirjast tulenevaga.</w:t>
            </w:r>
          </w:p>
        </w:tc>
      </w:tr>
      <w:tr>
        <w:trPr>
          <w:trHeight w:val="3410" w:hRule="atLeast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  <w:lang w:val="de-DE"/>
              </w:rPr>
              <w:t>7. INSENERV</w:t>
            </w: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</w:rPr>
              <w:t>Õ</w:t>
            </w: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  <w:lang w:val="en-US"/>
              </w:rPr>
              <w:t>RKUDE PROJEKTEERIMISTINGIMUSED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 w:eastAsia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VEEVARUSTUS: mää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rata planeeringuga lokaalselt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.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REOVEE KANALISEERIMINE: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rata planeeringuga lokaalselt. Eeldatav reoveek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äitluslahendus on kogumismahuti kasutamine. Lahendada reovee käitlus vastavalt p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hjavee kaitstusele </w:t>
            </w:r>
          </w:p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 w:eastAsia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SADEMEVEE KANALISEERIMINE: näidata joonistel planeeringuala sademevete ärajuhtimise lahendused</w:t>
            </w:r>
          </w:p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 w:eastAsia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ELEKTRIVARUSTUS: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rata planeeringuga</w:t>
            </w:r>
          </w:p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 w:eastAsia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SIDEVARUSTUS: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rata planeeringuga</w:t>
            </w:r>
          </w:p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SOOJAVARUSTUS: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rata planeeringuga</w:t>
            </w:r>
          </w:p>
        </w:tc>
      </w:tr>
      <w:tr>
        <w:trPr>
          <w:trHeight w:val="550" w:hRule="atLeast"/>
        </w:trPr>
        <w:tc>
          <w:tcPr>
            <w:tcW w:w="25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  <w:lang w:val="de-DE"/>
              </w:rPr>
              <w:t>8. KOOST</w:t>
            </w: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</w:rPr>
              <w:t>ÖÖ JA KAASAMINE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Asutustega koostöö </w:t>
            </w: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tegemine ja planeeringute koosk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lastamine vastavalt Vabariigi Valitsuse 17.12.2015. a määrus nr 133</w:t>
            </w:r>
          </w:p>
        </w:tc>
      </w:tr>
      <w:tr>
        <w:trPr>
          <w:trHeight w:val="29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Rahandusministeerium (heakskiitja)</w:t>
            </w:r>
          </w:p>
        </w:tc>
      </w:tr>
      <w:tr>
        <w:trPr>
          <w:trHeight w:val="29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Keskkonnaamet; 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info@keskkonnaamet.ee</w:t>
            </w:r>
          </w:p>
        </w:tc>
      </w:tr>
      <w:tr>
        <w:trPr>
          <w:trHeight w:val="29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Pää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 xml:space="preserve">steamet ; </w:t>
            </w:r>
            <w:hyperlink r:id="rId4">
              <w:r>
                <w:rPr>
                  <w:rStyle w:val="None"/>
                  <w:rFonts w:ascii="Calibri" w:hAnsi="Calibri"/>
                  <w:sz w:val="22"/>
                  <w:szCs w:val="22"/>
                  <w:lang w:val="en-US"/>
                </w:rPr>
                <w:t>info@rescue.ee</w:t>
              </w:r>
            </w:hyperlink>
          </w:p>
        </w:tc>
      </w:tr>
      <w:tr>
        <w:trPr>
          <w:trHeight w:val="29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Elektrilevi OÜ; </w:t>
            </w:r>
            <w:hyperlink r:id="rId5">
              <w:r>
                <w:rPr>
                  <w:rStyle w:val="InternetLink"/>
                  <w:rFonts w:ascii="Calibri" w:hAnsi="Calibri"/>
                  <w:color w:val="7030A0"/>
                  <w:sz w:val="22"/>
                  <w:szCs w:val="22"/>
                </w:rPr>
                <w:t>info@elektrilevi.ee</w:t>
              </w:r>
            </w:hyperlink>
          </w:p>
        </w:tc>
      </w:tr>
      <w:tr>
        <w:trPr>
          <w:trHeight w:val="29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AS Kuressaare Veevärk</w:t>
            </w:r>
          </w:p>
          <w:p>
            <w:pPr>
              <w:pStyle w:val="TextBody"/>
              <w:spacing w:before="0" w:after="0"/>
              <w:rPr/>
            </w:pPr>
            <w:r>
              <w:rPr/>
              <w:t>Reg.nr 10083079</w:t>
            </w:r>
          </w:p>
          <w:p>
            <w:pPr>
              <w:pStyle w:val="TextBody"/>
              <w:spacing w:before="0" w:after="0"/>
              <w:rPr/>
            </w:pPr>
            <w:r>
              <w:rPr/>
              <w:t>KM reg.nr: EE100202274</w:t>
            </w:r>
          </w:p>
          <w:p>
            <w:pPr>
              <w:pStyle w:val="TextBody"/>
              <w:spacing w:before="0" w:after="0"/>
              <w:rPr/>
            </w:pPr>
            <w:r>
              <w:rPr/>
              <w:t>Pikk 23, Kuressaare 93819</w:t>
              <w:br/>
              <w:t>tel: 45 33 514 fax 45 33 512</w:t>
            </w:r>
          </w:p>
          <w:p>
            <w:pPr>
              <w:pStyle w:val="TextBody"/>
              <w:spacing w:before="0" w:after="0"/>
              <w:rPr/>
            </w:pPr>
            <w:r>
              <w:rPr/>
              <w:t xml:space="preserve">e-mail: </w:t>
            </w:r>
            <w:bookmarkStart w:id="0" w:name="__DdeLink__2247_406226161"/>
            <w:bookmarkEnd w:id="0"/>
            <w:r>
              <w:rPr/>
              <w:t>saarevesi@saarevesi.ee</w:t>
            </w:r>
          </w:p>
          <w:p>
            <w:pPr>
              <w:pStyle w:val="Default"/>
              <w:spacing w:before="0" w:after="0"/>
              <w:jc w:val="left"/>
              <w:rPr>
                <w:rStyle w:val="None"/>
                <w:rFonts w:ascii="Calibri" w:hAnsi="Calibri"/>
                <w:sz w:val="22"/>
                <w:szCs w:val="22"/>
                <w:lang w:val="en-US"/>
              </w:rPr>
            </w:pPr>
            <w:r>
              <w:rPr/>
            </w:r>
          </w:p>
        </w:tc>
      </w:tr>
      <w:tr>
        <w:trPr>
          <w:trHeight w:val="55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Isikud, kelle 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igusi planeering puudutab, sh naaberkinnistute omanikud</w:t>
            </w:r>
          </w:p>
        </w:tc>
      </w:tr>
      <w:tr>
        <w:trPr>
          <w:trHeight w:val="540" w:hRule="atLeast"/>
        </w:trPr>
        <w:tc>
          <w:tcPr>
            <w:tcW w:w="25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  <w:lang w:val="de-DE"/>
              </w:rPr>
              <w:t>9. PLANEERINGU KOOSSEIS JA VORMISTAMINE</w:t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>
                <w:rStyle w:val="None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>
                <w:rStyle w:val="None"/>
                <w:sz w:val="22"/>
                <w:szCs w:val="22"/>
                <w:lang w:val="de-DE"/>
              </w:rPr>
              <w:t>DETAILPLANEERINGU JOONISED VORMISTADA M</w:t>
            </w:r>
            <w:r>
              <w:rPr>
                <w:rStyle w:val="None"/>
                <w:sz w:val="22"/>
                <w:szCs w:val="22"/>
              </w:rPr>
              <w:t>ÕÕTKAVAS 1:500</w:t>
            </w:r>
          </w:p>
        </w:tc>
      </w:tr>
      <w:tr>
        <w:trPr>
          <w:trHeight w:val="81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>
                <w:rStyle w:val="None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ESKIISLAHENDUSEGA koos esitada t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end detailplaneeringu koostaja vastavuse kohta planeerimisseaduse § 6 l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ikes 10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ärgitud planeerija definitsioonile.</w:t>
            </w:r>
          </w:p>
        </w:tc>
      </w:tr>
      <w:tr>
        <w:trPr>
          <w:trHeight w:val="81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>
                <w:rStyle w:val="None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Geoalus peab vastama majandus- ja taristuministri 14. aprilli 2016. a määrusele nr 34 "Topo-geodeetilisele uuringule ja teostusm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distamisele esitatavad n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uded".</w:t>
            </w:r>
          </w:p>
        </w:tc>
      </w:tr>
      <w:tr>
        <w:trPr>
          <w:trHeight w:val="81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>
                <w:rStyle w:val="None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Planeeringu seletuskirjas esitatakse planeeringulahenduse vastavus alal kehtivale üldplaneeringule ja väärtusliku maastiku, ning rohev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rgustiku osas vastavus maakonnaplaneeringule.</w:t>
            </w:r>
          </w:p>
        </w:tc>
      </w:tr>
      <w:tr>
        <w:trPr>
          <w:trHeight w:val="81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>
                <w:rStyle w:val="None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Vastuv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tmise hetkeks peab planeering vastama Riigihalduse ministri 17.10.2019 määrusele nr. 50 ,,Planeeringu vormistamisele ja ülesehitusele esitatavad n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uded</w:t>
            </w:r>
            <w:r>
              <w:rPr>
                <w:rStyle w:val="None"/>
                <w:sz w:val="22"/>
                <w:szCs w:val="22"/>
                <w:lang w:val="ar-SA"/>
              </w:rPr>
              <w:t>“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.</w:t>
            </w:r>
          </w:p>
        </w:tc>
      </w:tr>
      <w:tr>
        <w:trPr>
          <w:trHeight w:val="29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DETAILPLANEERINGU KOOSSEISUS ESITADA:</w:t>
            </w:r>
          </w:p>
        </w:tc>
      </w:tr>
      <w:tr>
        <w:trPr>
          <w:trHeight w:val="29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SELETUSKIRI</w:t>
            </w:r>
          </w:p>
        </w:tc>
      </w:tr>
      <w:tr>
        <w:trPr>
          <w:trHeight w:val="29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ASENDISKEEM</w:t>
            </w:r>
          </w:p>
        </w:tc>
      </w:tr>
      <w:tr>
        <w:trPr>
          <w:trHeight w:val="55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TUGIJOONIS: geodeetilisel alusel olemasolevate tehnov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rkude ja krundipiiridega ning olemasolevate piirangutega</w:t>
            </w:r>
          </w:p>
        </w:tc>
      </w:tr>
      <w:tr>
        <w:trPr>
          <w:trHeight w:val="55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PÕHIJOONIS + tehnov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rkude joonis + vertikaalplaneerimise joonis + kruntimisjoonis + kontaktvööndi joonis</w:t>
            </w:r>
          </w:p>
        </w:tc>
      </w:tr>
      <w:tr>
        <w:trPr>
          <w:trHeight w:val="29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TEHNOVÕ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RKUDE JOONIS</w:t>
            </w:r>
          </w:p>
        </w:tc>
      </w:tr>
      <w:tr>
        <w:trPr>
          <w:trHeight w:val="81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LISAMATERJALID: tehnilised tingimused, koosk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lastused, koosk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lastuste koondtabel, kokkulepped jm lepingud ning kirjavahetus</w:t>
            </w:r>
          </w:p>
        </w:tc>
      </w:tr>
      <w:tr>
        <w:trPr>
          <w:trHeight w:val="107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Kui detailplaneering sisaldab kehtestatud üldplaneeringu p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hilahenduse muutmise ettepanekut, kuulub detailplaneeringu koosseisu üldplaneeringu teksti ja jooniste vastava osa muudatuste ettepanek.</w:t>
            </w:r>
          </w:p>
        </w:tc>
      </w:tr>
      <w:tr>
        <w:trPr>
          <w:trHeight w:val="550" w:hRule="atLeast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  <w:lang w:val="en-US"/>
              </w:rPr>
              <w:t>10. PLANEERINGU ESITAMINE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DETAILPLANEERING ESITADA</w:t>
            </w:r>
          </w:p>
        </w:tc>
      </w:tr>
      <w:tr>
        <w:trPr>
          <w:trHeight w:val="550" w:hRule="atLeast"/>
        </w:trPr>
        <w:tc>
          <w:tcPr>
            <w:tcW w:w="25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 xml:space="preserve">ESKIISI STAADIUMIS TUTVUSTAMISEKS 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üks eksemplar paberkandjal, digitaalselt pdf formaadis.</w:t>
            </w:r>
          </w:p>
        </w:tc>
      </w:tr>
      <w:tr>
        <w:trPr>
          <w:trHeight w:val="55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AVALIKUSTAMISEKS üks eksemplar paberkandjal, digitaalselt pdf formaadis, lisaks planeeringulahenduse ruumiline illustratsioon</w:t>
            </w:r>
          </w:p>
        </w:tc>
      </w:tr>
      <w:tr>
        <w:trPr>
          <w:trHeight w:val="550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 xml:space="preserve">KEHTESTAMISEKS paberkandjal 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ü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ks eksemplar, digitaalselt CD-l pdf ja dwg formaadis.</w:t>
            </w:r>
          </w:p>
        </w:tc>
      </w:tr>
      <w:tr>
        <w:trPr>
          <w:trHeight w:val="290" w:hRule="atLeast"/>
        </w:trPr>
        <w:tc>
          <w:tcPr>
            <w:tcW w:w="25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  <w:lang w:val="de-DE"/>
              </w:rPr>
              <w:t xml:space="preserve">11. PLANEERITAV ESIALGNE AJAKAVA 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(ajakava v</w:t>
            </w:r>
            <w:r>
              <w:rPr>
                <w:rStyle w:val="None"/>
                <w:rFonts w:ascii="Calibri" w:hAnsi="Calibri"/>
                <w:sz w:val="20"/>
                <w:szCs w:val="20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ib muutuda olenevalt detailplaneeringu</w:t>
            </w:r>
            <w:r>
              <w:rPr>
                <w:rStyle w:val="None"/>
              </w:rPr>
              <w:t xml:space="preserve"> 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koostamise menetlusetappide tegelikust ajakulust).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Detailplaneering tuleb kehtestada 3 aasta jooksul selle algatamisest</w:t>
            </w:r>
          </w:p>
        </w:tc>
      </w:tr>
      <w:tr>
        <w:trPr>
          <w:trHeight w:val="1422" w:hRule="atLeast"/>
        </w:trPr>
        <w:tc>
          <w:tcPr>
            <w:tcW w:w="254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top w:w="0" w:type="dxa"/>
              <w:left w:w="-5" w:type="dxa"/>
              <w:bottom w:w="0" w:type="dxa"/>
              <w:right w:w="0" w:type="dxa"/>
            </w:tcMar>
          </w:tcPr>
          <w:p>
            <w:pPr>
              <w:pStyle w:val="Normal"/>
              <w:widowControl/>
              <w:bidi w:val="0"/>
              <w:spacing w:before="40" w:after="80"/>
              <w:jc w:val="both"/>
              <w:rPr/>
            </w:pPr>
            <w:r>
              <w:rPr/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65" w:type="dxa"/>
            </w:tcMar>
          </w:tcPr>
          <w:p>
            <w:pPr>
              <w:pStyle w:val="Default"/>
              <w:spacing w:before="0" w:after="0"/>
              <w:jc w:val="left"/>
              <w:rPr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Menetlus vastavalt planeerimisseadus § 142</w:t>
            </w:r>
          </w:p>
        </w:tc>
      </w:tr>
    </w:tbl>
    <w:p>
      <w:pPr>
        <w:pStyle w:val="Default"/>
        <w:widowControl w:val="false"/>
        <w:ind w:left="216" w:hanging="216"/>
        <w:rPr>
          <w:rStyle w:val="None"/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Default"/>
        <w:widowControl w:val="false"/>
        <w:ind w:left="108" w:hanging="108"/>
        <w:jc w:val="left"/>
        <w:rPr>
          <w:rStyle w:val="None"/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Default"/>
        <w:widowControl w:val="false"/>
        <w:rPr>
          <w:rStyle w:val="None"/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Default"/>
        <w:rPr>
          <w:rStyle w:val="None"/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Default"/>
        <w:widowControl/>
        <w:bidi w:val="0"/>
        <w:spacing w:before="40" w:after="80"/>
        <w:jc w:val="both"/>
        <w:rPr/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440" w:right="1440" w:header="708" w:top="1440" w:footer="708" w:bottom="1440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Helvetica Neue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Foot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t-E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et-EE" w:eastAsia="et-EE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40" w:after="80"/>
      <w:jc w:val="both"/>
    </w:pPr>
    <w:rPr>
      <w:rFonts w:ascii="Calibri" w:hAnsi="Calibri" w:eastAsia="Arial Unicode MS" w:cs="Arial Unicode MS"/>
      <w:color w:val="000000"/>
      <w:sz w:val="24"/>
      <w:szCs w:val="24"/>
      <w:u w:val="none" w:color="000000"/>
      <w:lang w:val="da-DK" w:eastAsia="et-EE" w:bidi="ar-SA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1">
    <w:name w:val="Heading 1"/>
    <w:basedOn w:val="Heading"/>
    <w:qFormat/>
    <w:pPr/>
    <w:rPr/>
  </w:style>
  <w:style w:type="paragraph" w:styleId="Heading2">
    <w:name w:val="Heading 2"/>
    <w:basedOn w:val="Heading"/>
    <w:qFormat/>
    <w:pPr/>
    <w:rPr/>
  </w:style>
  <w:style w:type="paragraph" w:styleId="Heading3">
    <w:name w:val="Heading 3"/>
    <w:basedOn w:val="Heading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rPr>
      <w:u w:val="single"/>
    </w:rPr>
  </w:style>
  <w:style w:type="character" w:styleId="NoneA" w:customStyle="1">
    <w:name w:val="None A"/>
    <w:qFormat/>
    <w:rPr>
      <w:lang w:val="da-DK"/>
    </w:rPr>
  </w:style>
  <w:style w:type="character" w:styleId="None" w:customStyle="1">
    <w:name w:val="None"/>
    <w:qFormat/>
    <w:rPr/>
  </w:style>
  <w:style w:type="character" w:styleId="Hyperlink0" w:customStyle="1">
    <w:name w:val="Hyperlink.0"/>
    <w:basedOn w:val="None"/>
    <w:qFormat/>
    <w:rPr>
      <w:outline w:val="false"/>
      <w:color w:val="0563C1"/>
      <w:u w:val="single" w:color="0563C1"/>
    </w:rPr>
  </w:style>
  <w:style w:type="character" w:styleId="Hyperlink1" w:customStyle="1">
    <w:name w:val="Hyperlink.1"/>
    <w:basedOn w:val="None"/>
    <w:qFormat/>
    <w:rPr>
      <w:rFonts w:ascii="Calibri" w:hAnsi="Calibri" w:eastAsia="Calibri" w:cs="Calibri"/>
      <w:outline w:val="false"/>
      <w:color w:val="0563C1"/>
      <w:sz w:val="22"/>
      <w:szCs w:val="22"/>
      <w:u w:val="single" w:color="0563C1"/>
      <w:lang w:val="de-DE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HeaderFooter" w:customStyle="1">
    <w:name w:val="Header &amp; Footer"/>
    <w:qFormat/>
    <w:pPr>
      <w:widowControl/>
      <w:tabs>
        <w:tab w:val="right" w:pos="9020" w:leader="none"/>
      </w:tabs>
      <w:suppressAutoHyphens w:val="true"/>
      <w:bidi w:val="0"/>
      <w:jc w:val="left"/>
    </w:pPr>
    <w:rPr>
      <w:rFonts w:ascii="Helvetica Neue" w:hAnsi="Helvetica Neue" w:eastAsia="Arial Unicode MS" w:cs="Arial Unicode MS"/>
      <w:color w:val="000000"/>
      <w:sz w:val="24"/>
      <w:szCs w:val="24"/>
      <w:lang w:val="et-EE" w:eastAsia="et-EE" w:bidi="ar-SA"/>
      <w14:textOutline w14:w="0" w14:cap="flat" w14:cmpd="sng" w14:algn="ctr">
        <w14:noFill/>
        <w14:prstDash w14:val="solid"/>
        <w14:bevel/>
      </w14:textOutline>
    </w:rPr>
  </w:style>
  <w:style w:type="paragraph" w:styleId="Default" w:customStyle="1">
    <w:name w:val="Default"/>
    <w:qFormat/>
    <w:pPr>
      <w:widowControl/>
      <w:suppressAutoHyphens w:val="true"/>
      <w:bidi w:val="0"/>
      <w:spacing w:before="40" w:after="80"/>
      <w:jc w:val="both"/>
    </w:pPr>
    <w:rPr>
      <w:rFonts w:ascii="Times New Roman" w:hAnsi="Times New Roman" w:eastAsia="Times New Roman" w:cs="Times New Roman"/>
      <w:color w:val="000000"/>
      <w:sz w:val="24"/>
      <w:szCs w:val="24"/>
      <w:u w:val="none" w:color="000000"/>
      <w:lang w:val="et-EE" w:eastAsia="et-EE" w:bidi="ar-SA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basedOn w:val="Normal"/>
    <w:pPr/>
    <w:rPr/>
  </w:style>
  <w:style w:type="paragraph" w:styleId="Footer">
    <w:name w:val="Footer"/>
    <w:basedOn w:val="Normal"/>
    <w:pPr/>
    <w:rPr/>
  </w:style>
  <w:style w:type="paragraph" w:styleId="Quotations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ormsi.ee/" TargetMode="External"/><Relationship Id="rId3" Type="http://schemas.openxmlformats.org/officeDocument/2006/relationships/image" Target="media/image1.png"/><Relationship Id="rId4" Type="http://schemas.openxmlformats.org/officeDocument/2006/relationships/hyperlink" Target="mailto:info@rescue.ee" TargetMode="External"/><Relationship Id="rId5" Type="http://schemas.openxmlformats.org/officeDocument/2006/relationships/hyperlink" Target="mailto:info@elektrilevi.ee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'i kujundus">
  <a:themeElements>
    <a:clrScheme name="Office'i kujundus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'i kujundus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'i kujundu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LibreOffice/4.4.5.2$Windows_x86 LibreOffice_project/a22f674fd25a3b6f45bdebf25400ed2adff0ff99</Application>
  <Paragraphs>109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2023-02-09T09:03:00Z</dcterms:created>
  <dc:creator>Kasutaja</dc:creator>
  <dc:language>en-US</dc:language>
  <dcterms:modified xsi:type="dcterms:W3CDTF">2023-02-20T22:41:23Z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