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771FA" w14:textId="6D8FD71F" w:rsidR="0080592F" w:rsidRDefault="0068671D" w:rsidP="00F50C02">
      <w:pPr>
        <w:pStyle w:val="Pagedecouverture"/>
        <w:rPr>
          <w:noProof/>
        </w:rPr>
      </w:pPr>
      <w:bookmarkStart w:id="0" w:name="_GoBack"/>
      <w:bookmarkEnd w:id="0"/>
      <w:r>
        <w:rPr>
          <w:noProof/>
          <w:lang w:val="et-EE" w:eastAsia="et-EE"/>
        </w:rPr>
        <w:drawing>
          <wp:inline distT="0" distB="0" distL="0" distR="0" wp14:anchorId="430ED5F2" wp14:editId="05B78C59">
            <wp:extent cx="5781675" cy="5257800"/>
            <wp:effectExtent l="0" t="0" r="0" b="0"/>
            <wp:docPr id="1" name="Pilt 1" descr="22DB5614-79FB-4E2A-B60C-9AB440EF2B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DB5614-79FB-4E2A-B60C-9AB440EF2B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81675" cy="5257800"/>
                    </a:xfrm>
                    <a:prstGeom prst="rect">
                      <a:avLst/>
                    </a:prstGeom>
                    <a:noFill/>
                    <a:ln>
                      <a:noFill/>
                    </a:ln>
                  </pic:spPr>
                </pic:pic>
              </a:graphicData>
            </a:graphic>
          </wp:inline>
        </w:drawing>
      </w:r>
    </w:p>
    <w:p w14:paraId="29044BE3" w14:textId="77777777" w:rsidR="0080592F" w:rsidRDefault="0080592F" w:rsidP="0080592F">
      <w:pPr>
        <w:rPr>
          <w:noProof/>
        </w:rPr>
        <w:sectPr w:rsidR="0080592F" w:rsidSect="00F50C02">
          <w:footerReference w:type="default" r:id="rId12"/>
          <w:pgSz w:w="11907" w:h="16839"/>
          <w:pgMar w:top="1134" w:right="1417" w:bottom="1134" w:left="1417" w:header="709" w:footer="709" w:gutter="0"/>
          <w:pgNumType w:start="0"/>
          <w:cols w:space="720"/>
          <w:docGrid w:linePitch="360"/>
        </w:sectPr>
      </w:pPr>
    </w:p>
    <w:p w14:paraId="24E0198F" w14:textId="77777777" w:rsidR="001859C1" w:rsidRDefault="0080592F" w:rsidP="001859C1">
      <w:pPr>
        <w:pStyle w:val="Exposdesmotifstitre"/>
        <w:rPr>
          <w:noProof/>
        </w:rPr>
      </w:pPr>
      <w:r w:rsidRPr="006F770D">
        <w:rPr>
          <w:noProof/>
        </w:rPr>
        <w:lastRenderedPageBreak/>
        <w:t>EXPLANATORY MEMORANDUM</w:t>
      </w:r>
    </w:p>
    <w:p w14:paraId="44415179" w14:textId="77777777" w:rsidR="001859C1" w:rsidRPr="006F770D" w:rsidRDefault="001859C1" w:rsidP="001859C1">
      <w:pPr>
        <w:pStyle w:val="ManualHeading1"/>
        <w:rPr>
          <w:noProof/>
        </w:rPr>
      </w:pPr>
      <w:r w:rsidRPr="00C567EE">
        <w:rPr>
          <w:noProof/>
        </w:rPr>
        <w:t>1.</w:t>
      </w:r>
      <w:r w:rsidRPr="00C567EE">
        <w:rPr>
          <w:noProof/>
        </w:rPr>
        <w:tab/>
      </w:r>
      <w:r w:rsidRPr="006F770D">
        <w:rPr>
          <w:noProof/>
        </w:rPr>
        <w:t>CONTEXT OF THE PROPOSAL</w:t>
      </w:r>
    </w:p>
    <w:p w14:paraId="18DF7696" w14:textId="77777777" w:rsidR="001859C1" w:rsidRPr="00370814" w:rsidRDefault="001859C1" w:rsidP="00407619">
      <w:pPr>
        <w:pStyle w:val="ManualHeading2"/>
        <w:rPr>
          <w:noProof/>
        </w:rPr>
      </w:pPr>
      <w:r w:rsidRPr="00370814">
        <w:rPr>
          <w:noProof/>
        </w:rPr>
        <w:t>Reasons for and objectives of the proposal</w:t>
      </w:r>
    </w:p>
    <w:p w14:paraId="4FD513FC" w14:textId="427A5E54" w:rsidR="001859C1" w:rsidRDefault="001859C1" w:rsidP="00CB3D33">
      <w:pPr>
        <w:rPr>
          <w:noProof/>
        </w:rPr>
      </w:pPr>
      <w:r>
        <w:rPr>
          <w:noProof/>
        </w:rPr>
        <w:t xml:space="preserve">The behaviour of companies </w:t>
      </w:r>
      <w:r w:rsidRPr="00340458">
        <w:rPr>
          <w:noProof/>
        </w:rPr>
        <w:t xml:space="preserve">across all sectors of the economy </w:t>
      </w:r>
      <w:r>
        <w:rPr>
          <w:noProof/>
        </w:rPr>
        <w:t xml:space="preserve">is key to succeed in the </w:t>
      </w:r>
      <w:r w:rsidR="0078470C">
        <w:rPr>
          <w:noProof/>
        </w:rPr>
        <w:t xml:space="preserve">Union’s </w:t>
      </w:r>
      <w:r w:rsidRPr="00340458">
        <w:rPr>
          <w:noProof/>
        </w:rPr>
        <w:t xml:space="preserve">transition </w:t>
      </w:r>
      <w:r w:rsidRPr="00212453">
        <w:rPr>
          <w:noProof/>
        </w:rPr>
        <w:t xml:space="preserve">to a </w:t>
      </w:r>
      <w:r w:rsidRPr="005C0B7C">
        <w:rPr>
          <w:noProof/>
        </w:rPr>
        <w:t>climate-neutral</w:t>
      </w:r>
      <w:r w:rsidR="00866D92">
        <w:rPr>
          <w:noProof/>
        </w:rPr>
        <w:t xml:space="preserve"> and</w:t>
      </w:r>
      <w:r w:rsidRPr="005C0B7C">
        <w:rPr>
          <w:noProof/>
        </w:rPr>
        <w:t xml:space="preserve"> </w:t>
      </w:r>
      <w:r w:rsidR="00D22E70" w:rsidRPr="005C0B7C">
        <w:rPr>
          <w:noProof/>
        </w:rPr>
        <w:t xml:space="preserve">green </w:t>
      </w:r>
      <w:r w:rsidRPr="00212453">
        <w:rPr>
          <w:noProof/>
        </w:rPr>
        <w:t>economy</w:t>
      </w:r>
      <w:r w:rsidRPr="00AB0B10">
        <w:rPr>
          <w:rStyle w:val="Allmrkuseviide"/>
          <w:noProof/>
        </w:rPr>
        <w:footnoteReference w:id="2"/>
      </w:r>
      <w:r w:rsidRPr="00340458">
        <w:rPr>
          <w:noProof/>
        </w:rPr>
        <w:t xml:space="preserve"> </w:t>
      </w:r>
      <w:r>
        <w:rPr>
          <w:noProof/>
        </w:rPr>
        <w:t>in line with the European Green Deal</w:t>
      </w:r>
      <w:r>
        <w:rPr>
          <w:rStyle w:val="Allmrkuseviide"/>
          <w:noProof/>
        </w:rPr>
        <w:footnoteReference w:id="3"/>
      </w:r>
      <w:r>
        <w:rPr>
          <w:noProof/>
        </w:rPr>
        <w:t xml:space="preserve"> </w:t>
      </w:r>
      <w:r w:rsidRPr="00340458">
        <w:rPr>
          <w:noProof/>
        </w:rPr>
        <w:t xml:space="preserve">and </w:t>
      </w:r>
      <w:r>
        <w:rPr>
          <w:noProof/>
        </w:rPr>
        <w:t xml:space="preserve">in </w:t>
      </w:r>
      <w:r w:rsidRPr="00A238AD">
        <w:rPr>
          <w:noProof/>
        </w:rPr>
        <w:t>deliver</w:t>
      </w:r>
      <w:r>
        <w:rPr>
          <w:noProof/>
        </w:rPr>
        <w:t>ing</w:t>
      </w:r>
      <w:r w:rsidRPr="00A238AD">
        <w:rPr>
          <w:noProof/>
        </w:rPr>
        <w:t xml:space="preserve"> on the U</w:t>
      </w:r>
      <w:r>
        <w:rPr>
          <w:noProof/>
        </w:rPr>
        <w:t>N Sustainable Development Goals, including on its human rights- and environment-related objectives</w:t>
      </w:r>
      <w:r w:rsidRPr="00340458">
        <w:rPr>
          <w:noProof/>
        </w:rPr>
        <w:t>.</w:t>
      </w:r>
      <w:r>
        <w:rPr>
          <w:noProof/>
        </w:rPr>
        <w:t xml:space="preserve"> This</w:t>
      </w:r>
      <w:r w:rsidDel="006D741F">
        <w:rPr>
          <w:noProof/>
        </w:rPr>
        <w:t xml:space="preserve"> </w:t>
      </w:r>
      <w:r>
        <w:rPr>
          <w:noProof/>
        </w:rPr>
        <w:t xml:space="preserve">requires </w:t>
      </w:r>
      <w:r w:rsidRPr="00F03044">
        <w:rPr>
          <w:noProof/>
        </w:rPr>
        <w:t>implement</w:t>
      </w:r>
      <w:r>
        <w:rPr>
          <w:noProof/>
        </w:rPr>
        <w:t>ing</w:t>
      </w:r>
      <w:r w:rsidRPr="00F03044">
        <w:rPr>
          <w:noProof/>
        </w:rPr>
        <w:t xml:space="preserve"> comprehensive mitigation processes </w:t>
      </w:r>
      <w:r w:rsidR="0078470C">
        <w:rPr>
          <w:noProof/>
        </w:rPr>
        <w:t>for</w:t>
      </w:r>
      <w:r>
        <w:rPr>
          <w:noProof/>
        </w:rPr>
        <w:t xml:space="preserve"> </w:t>
      </w:r>
      <w:r w:rsidR="0078470C">
        <w:rPr>
          <w:noProof/>
        </w:rPr>
        <w:t>adverse</w:t>
      </w:r>
      <w:r>
        <w:rPr>
          <w:noProof/>
        </w:rPr>
        <w:t xml:space="preserve"> </w:t>
      </w:r>
      <w:r w:rsidRPr="00F03044">
        <w:rPr>
          <w:noProof/>
        </w:rPr>
        <w:t>human rights</w:t>
      </w:r>
      <w:r w:rsidR="008E2B4F" w:rsidRPr="00F03044">
        <w:rPr>
          <w:noProof/>
        </w:rPr>
        <w:t xml:space="preserve"> </w:t>
      </w:r>
      <w:r w:rsidRPr="00F03044">
        <w:rPr>
          <w:noProof/>
        </w:rPr>
        <w:t>and environmental impact</w:t>
      </w:r>
      <w:r>
        <w:rPr>
          <w:noProof/>
        </w:rPr>
        <w:t xml:space="preserve">s in their </w:t>
      </w:r>
      <w:r w:rsidR="00206D79">
        <w:rPr>
          <w:noProof/>
        </w:rPr>
        <w:t>value</w:t>
      </w:r>
      <w:r w:rsidR="00206D79" w:rsidRPr="00F03044">
        <w:rPr>
          <w:noProof/>
        </w:rPr>
        <w:t xml:space="preserve"> </w:t>
      </w:r>
      <w:r w:rsidRPr="00F03044">
        <w:rPr>
          <w:noProof/>
        </w:rPr>
        <w:t>chains</w:t>
      </w:r>
      <w:r w:rsidR="0078470C">
        <w:rPr>
          <w:noProof/>
        </w:rPr>
        <w:t>, integrating sustainability into corporate governance and management systems,</w:t>
      </w:r>
      <w:r w:rsidRPr="003B7DCE">
        <w:rPr>
          <w:noProof/>
        </w:rPr>
        <w:t xml:space="preserve"> </w:t>
      </w:r>
      <w:r>
        <w:rPr>
          <w:noProof/>
        </w:rPr>
        <w:t xml:space="preserve">and </w:t>
      </w:r>
      <w:r w:rsidRPr="003B7DCE">
        <w:rPr>
          <w:noProof/>
        </w:rPr>
        <w:t>fram</w:t>
      </w:r>
      <w:r>
        <w:rPr>
          <w:noProof/>
        </w:rPr>
        <w:t xml:space="preserve">ing business </w:t>
      </w:r>
      <w:r w:rsidRPr="003B7DCE">
        <w:rPr>
          <w:noProof/>
        </w:rPr>
        <w:t>decisions</w:t>
      </w:r>
      <w:r w:rsidRPr="003B7DCE" w:rsidDel="00E56207">
        <w:rPr>
          <w:noProof/>
        </w:rPr>
        <w:t xml:space="preserve"> </w:t>
      </w:r>
      <w:r w:rsidRPr="003B7DCE">
        <w:rPr>
          <w:noProof/>
        </w:rPr>
        <w:t>in terms of</w:t>
      </w:r>
      <w:r w:rsidRPr="003B7DCE" w:rsidDel="00E56207">
        <w:rPr>
          <w:noProof/>
        </w:rPr>
        <w:t xml:space="preserve"> </w:t>
      </w:r>
      <w:r>
        <w:rPr>
          <w:noProof/>
        </w:rPr>
        <w:t>human rights</w:t>
      </w:r>
      <w:r w:rsidR="008E2B4F">
        <w:rPr>
          <w:noProof/>
        </w:rPr>
        <w:t>, climate</w:t>
      </w:r>
      <w:r>
        <w:rPr>
          <w:noProof/>
        </w:rPr>
        <w:t xml:space="preserve"> and </w:t>
      </w:r>
      <w:r w:rsidRPr="003B7DCE">
        <w:rPr>
          <w:noProof/>
        </w:rPr>
        <w:t>environmental impact, as well as in terms of the company’s resilience in the longer term.</w:t>
      </w:r>
      <w:r>
        <w:rPr>
          <w:noProof/>
        </w:rPr>
        <w:t xml:space="preserve"> </w:t>
      </w:r>
    </w:p>
    <w:p w14:paraId="054DE0A7" w14:textId="77777777" w:rsidR="006642A7" w:rsidRDefault="001859C1" w:rsidP="006642A7">
      <w:pPr>
        <w:rPr>
          <w:rStyle w:val="normaltextrun"/>
          <w:rFonts w:eastAsia="Times New Roman"/>
          <w:noProof/>
          <w:lang w:eastAsia="en-GB"/>
        </w:rPr>
      </w:pPr>
      <w:r w:rsidRPr="00821944">
        <w:rPr>
          <w:rStyle w:val="normaltextrun"/>
          <w:rFonts w:eastAsia="Times New Roman"/>
          <w:noProof/>
          <w:lang w:eastAsia="en-GB"/>
        </w:rPr>
        <w:t>EU companies</w:t>
      </w:r>
      <w:r>
        <w:rPr>
          <w:rStyle w:val="normaltextrun"/>
          <w:rFonts w:eastAsia="Times New Roman"/>
          <w:noProof/>
          <w:lang w:eastAsia="en-GB"/>
        </w:rPr>
        <w:t xml:space="preserve"> operate in complex surroundings and,</w:t>
      </w:r>
      <w:r w:rsidRPr="00821944">
        <w:rPr>
          <w:rStyle w:val="normaltextrun"/>
          <w:rFonts w:eastAsia="Times New Roman"/>
          <w:noProof/>
          <w:lang w:eastAsia="en-GB"/>
        </w:rPr>
        <w:t xml:space="preserve"> especially large ones, rely on global </w:t>
      </w:r>
      <w:r>
        <w:rPr>
          <w:rStyle w:val="normaltextrun"/>
          <w:rFonts w:eastAsia="Times New Roman"/>
          <w:noProof/>
          <w:lang w:eastAsia="en-GB"/>
        </w:rPr>
        <w:t>value</w:t>
      </w:r>
      <w:r w:rsidRPr="00821944">
        <w:rPr>
          <w:rStyle w:val="normaltextrun"/>
          <w:rFonts w:eastAsia="Times New Roman"/>
          <w:noProof/>
          <w:lang w:eastAsia="en-GB"/>
        </w:rPr>
        <w:t xml:space="preserve"> chains. Given the significant number of their suppliers in the </w:t>
      </w:r>
      <w:r w:rsidR="00D60ED5">
        <w:rPr>
          <w:rStyle w:val="normaltextrun"/>
          <w:rFonts w:eastAsia="Times New Roman"/>
          <w:noProof/>
          <w:lang w:eastAsia="en-GB"/>
        </w:rPr>
        <w:t>Union</w:t>
      </w:r>
      <w:r w:rsidR="00D60ED5" w:rsidRPr="00821944">
        <w:rPr>
          <w:rStyle w:val="normaltextrun"/>
          <w:rFonts w:eastAsia="Times New Roman"/>
          <w:noProof/>
          <w:lang w:eastAsia="en-GB"/>
        </w:rPr>
        <w:t xml:space="preserve"> </w:t>
      </w:r>
      <w:r w:rsidRPr="00821944">
        <w:rPr>
          <w:rStyle w:val="normaltextrun"/>
          <w:rFonts w:eastAsia="Times New Roman"/>
          <w:noProof/>
          <w:lang w:eastAsia="en-GB"/>
        </w:rPr>
        <w:t>and in third countries and the overall complexity of value chains, EU companies, including the large ones,</w:t>
      </w:r>
      <w:r w:rsidR="005419BD">
        <w:rPr>
          <w:rStyle w:val="normaltextrun"/>
          <w:rFonts w:eastAsia="Times New Roman"/>
          <w:noProof/>
          <w:lang w:eastAsia="en-GB"/>
        </w:rPr>
        <w:t xml:space="preserve"> </w:t>
      </w:r>
      <w:r w:rsidRPr="00821944">
        <w:rPr>
          <w:rStyle w:val="normaltextrun"/>
          <w:rFonts w:eastAsia="Times New Roman"/>
          <w:noProof/>
          <w:lang w:eastAsia="en-GB"/>
        </w:rPr>
        <w:t>may encounter difficulties to identify an</w:t>
      </w:r>
      <w:r w:rsidRPr="00D262A8">
        <w:rPr>
          <w:rStyle w:val="normaltextrun"/>
          <w:rFonts w:eastAsia="Times New Roman"/>
          <w:noProof/>
          <w:lang w:eastAsia="en-GB"/>
        </w:rPr>
        <w:t xml:space="preserve">d mitigate risks in their value chains </w:t>
      </w:r>
      <w:r>
        <w:rPr>
          <w:rStyle w:val="normaltextrun"/>
          <w:rFonts w:eastAsia="Times New Roman"/>
          <w:noProof/>
          <w:lang w:eastAsia="en-GB"/>
        </w:rPr>
        <w:t>linked to respect of</w:t>
      </w:r>
      <w:r w:rsidRPr="00D262A8">
        <w:rPr>
          <w:rStyle w:val="normaltextrun"/>
          <w:rFonts w:eastAsia="Times New Roman"/>
          <w:noProof/>
          <w:lang w:eastAsia="en-GB"/>
        </w:rPr>
        <w:t xml:space="preserve"> human rights</w:t>
      </w:r>
      <w:r w:rsidR="00D014D0">
        <w:rPr>
          <w:rStyle w:val="normaltextrun"/>
          <w:rFonts w:eastAsia="Times New Roman"/>
          <w:noProof/>
          <w:lang w:eastAsia="en-GB"/>
        </w:rPr>
        <w:t xml:space="preserve"> </w:t>
      </w:r>
      <w:r>
        <w:rPr>
          <w:rStyle w:val="normaltextrun"/>
          <w:rFonts w:eastAsia="Times New Roman"/>
          <w:noProof/>
          <w:lang w:eastAsia="en-GB"/>
        </w:rPr>
        <w:t>or</w:t>
      </w:r>
      <w:r w:rsidRPr="00D262A8">
        <w:rPr>
          <w:rStyle w:val="normaltextrun"/>
          <w:rFonts w:eastAsia="Times New Roman"/>
          <w:noProof/>
          <w:lang w:eastAsia="en-GB"/>
        </w:rPr>
        <w:t xml:space="preserve"> environmental impacts.</w:t>
      </w:r>
      <w:r w:rsidR="00CA3AE8">
        <w:rPr>
          <w:rStyle w:val="normaltextrun"/>
          <w:rFonts w:eastAsia="Times New Roman"/>
          <w:noProof/>
          <w:lang w:eastAsia="en-GB"/>
        </w:rPr>
        <w:t xml:space="preserve"> </w:t>
      </w:r>
      <w:r w:rsidR="006642A7">
        <w:rPr>
          <w:rStyle w:val="normaltextrun"/>
          <w:rFonts w:eastAsia="Times New Roman"/>
          <w:noProof/>
          <w:lang w:eastAsia="en-GB"/>
        </w:rPr>
        <w:t xml:space="preserve">Identifying these </w:t>
      </w:r>
      <w:r w:rsidR="00A2660C">
        <w:rPr>
          <w:rStyle w:val="normaltextrun"/>
          <w:rFonts w:eastAsia="Times New Roman"/>
          <w:noProof/>
          <w:lang w:eastAsia="en-GB"/>
        </w:rPr>
        <w:t>adverse impacts</w:t>
      </w:r>
      <w:r w:rsidR="006642A7">
        <w:rPr>
          <w:rStyle w:val="normaltextrun"/>
          <w:rFonts w:eastAsia="Times New Roman"/>
          <w:noProof/>
          <w:lang w:eastAsia="en-GB"/>
        </w:rPr>
        <w:t xml:space="preserve"> in value chains will become easier if more companies exercise due diligence and thus more data is available on human rights</w:t>
      </w:r>
      <w:r w:rsidR="00D014D0">
        <w:rPr>
          <w:rStyle w:val="normaltextrun"/>
          <w:rFonts w:eastAsia="Times New Roman"/>
          <w:noProof/>
          <w:lang w:eastAsia="en-GB"/>
        </w:rPr>
        <w:t xml:space="preserve"> </w:t>
      </w:r>
      <w:r w:rsidR="006642A7">
        <w:rPr>
          <w:rStyle w:val="normaltextrun"/>
          <w:rFonts w:eastAsia="Times New Roman"/>
          <w:noProof/>
          <w:lang w:eastAsia="en-GB"/>
        </w:rPr>
        <w:t xml:space="preserve">and environmental adverse impacts. </w:t>
      </w:r>
    </w:p>
    <w:p w14:paraId="17B02097" w14:textId="64668E58" w:rsidR="0078470C" w:rsidRPr="003E5631" w:rsidRDefault="00991860" w:rsidP="0078470C">
      <w:pPr>
        <w:rPr>
          <w:noProof/>
          <w:szCs w:val="24"/>
        </w:rPr>
      </w:pPr>
      <w:r w:rsidRPr="00443C96">
        <w:rPr>
          <w:rStyle w:val="normaltextrun"/>
          <w:rFonts w:eastAsia="Times New Roman"/>
          <w:noProof/>
          <w:lang w:eastAsia="en-GB"/>
        </w:rPr>
        <w:t>The connection of the EU economy to millions of workers around the world through global value chains comes with a responsibility to address adverse impacts on the rights of these workers</w:t>
      </w:r>
      <w:r>
        <w:rPr>
          <w:rStyle w:val="normaltextrun"/>
          <w:rFonts w:eastAsia="Times New Roman"/>
          <w:noProof/>
          <w:lang w:eastAsia="en-GB"/>
        </w:rPr>
        <w:t>.</w:t>
      </w:r>
      <w:r w:rsidR="00443C96">
        <w:rPr>
          <w:rStyle w:val="normaltextrun"/>
          <w:rFonts w:eastAsia="Times New Roman"/>
          <w:noProof/>
          <w:lang w:eastAsia="en-GB"/>
        </w:rPr>
        <w:t xml:space="preserve"> </w:t>
      </w:r>
      <w:r w:rsidR="0078470C">
        <w:rPr>
          <w:rStyle w:val="normaltextrun"/>
          <w:rFonts w:eastAsia="Times New Roman"/>
          <w:noProof/>
          <w:lang w:eastAsia="en-GB"/>
        </w:rPr>
        <w:t xml:space="preserve">A clear request </w:t>
      </w:r>
      <w:r w:rsidR="00DB2DE6">
        <w:rPr>
          <w:rStyle w:val="normaltextrun"/>
          <w:rFonts w:eastAsia="Times New Roman"/>
          <w:noProof/>
          <w:lang w:eastAsia="en-GB"/>
        </w:rPr>
        <w:t xml:space="preserve">by </w:t>
      </w:r>
      <w:r w:rsidR="0078470C">
        <w:rPr>
          <w:rStyle w:val="normaltextrun"/>
          <w:rFonts w:eastAsia="Times New Roman"/>
          <w:noProof/>
          <w:lang w:eastAsia="en-GB"/>
        </w:rPr>
        <w:t>Union citizens</w:t>
      </w:r>
      <w:r w:rsidR="00DB2DE6" w:rsidRPr="00DB2DE6">
        <w:rPr>
          <w:rStyle w:val="normaltextrun"/>
          <w:rFonts w:eastAsia="Times New Roman"/>
          <w:noProof/>
          <w:lang w:eastAsia="en-GB"/>
        </w:rPr>
        <w:t>, in particular in the framework of the Conference on the Future of Europe,</w:t>
      </w:r>
      <w:r w:rsidR="0078470C">
        <w:rPr>
          <w:rStyle w:val="normaltextrun"/>
          <w:rFonts w:eastAsia="Times New Roman"/>
          <w:noProof/>
          <w:lang w:eastAsia="en-GB"/>
        </w:rPr>
        <w:t xml:space="preserve"> for the EU economy to contribute to address these </w:t>
      </w:r>
      <w:r w:rsidR="008832B0">
        <w:rPr>
          <w:rStyle w:val="normaltextrun"/>
          <w:rFonts w:eastAsia="Times New Roman"/>
          <w:noProof/>
          <w:lang w:eastAsia="en-GB"/>
        </w:rPr>
        <w:t xml:space="preserve">and other </w:t>
      </w:r>
      <w:r w:rsidR="0078470C">
        <w:rPr>
          <w:rStyle w:val="normaltextrun"/>
          <w:rFonts w:eastAsia="Times New Roman"/>
          <w:noProof/>
          <w:lang w:eastAsia="en-GB"/>
        </w:rPr>
        <w:t>adverse impacts is reflected in the existing or upcoming national legislation on human rights and environmental due diligence</w:t>
      </w:r>
      <w:bookmarkStart w:id="1" w:name="_Ref96003663"/>
      <w:r w:rsidR="0078470C">
        <w:rPr>
          <w:rStyle w:val="Allmrkuseviide"/>
          <w:rFonts w:eastAsia="Times New Roman"/>
          <w:noProof/>
          <w:lang w:eastAsia="en-GB"/>
        </w:rPr>
        <w:footnoteReference w:id="4"/>
      </w:r>
      <w:bookmarkEnd w:id="1"/>
      <w:r w:rsidR="0078470C">
        <w:rPr>
          <w:rStyle w:val="normaltextrun"/>
          <w:rFonts w:eastAsia="Times New Roman"/>
          <w:noProof/>
          <w:lang w:eastAsia="en-GB"/>
        </w:rPr>
        <w:t xml:space="preserve">, in the debates ongoing at national level and in the call for action from the European Parliament and the Council. Both </w:t>
      </w:r>
      <w:r w:rsidR="00A56166">
        <w:rPr>
          <w:rStyle w:val="normaltextrun"/>
          <w:rFonts w:eastAsia="Times New Roman"/>
          <w:noProof/>
          <w:lang w:eastAsia="en-GB"/>
        </w:rPr>
        <w:t>of</w:t>
      </w:r>
      <w:r w:rsidR="0078470C">
        <w:rPr>
          <w:rStyle w:val="normaltextrun"/>
          <w:rFonts w:eastAsia="Times New Roman"/>
          <w:noProof/>
          <w:lang w:eastAsia="en-GB"/>
        </w:rPr>
        <w:t xml:space="preserve"> these institutions </w:t>
      </w:r>
      <w:r w:rsidR="0078470C" w:rsidRPr="003E5631">
        <w:rPr>
          <w:noProof/>
        </w:rPr>
        <w:t xml:space="preserve">have called </w:t>
      </w:r>
      <w:r w:rsidR="0078470C" w:rsidRPr="003B7DCE">
        <w:rPr>
          <w:noProof/>
        </w:rPr>
        <w:t xml:space="preserve">on the Commission to propose </w:t>
      </w:r>
      <w:r w:rsidR="00CA30C8">
        <w:rPr>
          <w:noProof/>
        </w:rPr>
        <w:t>Union</w:t>
      </w:r>
      <w:r w:rsidR="00CA30C8" w:rsidRPr="003B7DCE">
        <w:rPr>
          <w:noProof/>
        </w:rPr>
        <w:t xml:space="preserve"> </w:t>
      </w:r>
      <w:r w:rsidR="0078470C" w:rsidRPr="003B7DCE">
        <w:rPr>
          <w:noProof/>
        </w:rPr>
        <w:t>rules for a cross-sector corporate due diligence obligation.</w:t>
      </w:r>
      <w:r w:rsidR="0078470C" w:rsidRPr="00AB0B10">
        <w:rPr>
          <w:rStyle w:val="Allmrkuseviide"/>
          <w:noProof/>
        </w:rPr>
        <w:footnoteReference w:id="5"/>
      </w:r>
      <w:r w:rsidR="0078470C" w:rsidRPr="003B7DCE">
        <w:rPr>
          <w:noProof/>
        </w:rPr>
        <w:t xml:space="preserve"> </w:t>
      </w:r>
      <w:r w:rsidR="0078470C">
        <w:rPr>
          <w:noProof/>
        </w:rPr>
        <w:t>In their Joint Declaration on EU Legislative Priorities for 2022</w:t>
      </w:r>
      <w:r w:rsidR="0078470C">
        <w:rPr>
          <w:rStyle w:val="Allmrkuseviide"/>
          <w:noProof/>
        </w:rPr>
        <w:footnoteReference w:id="6"/>
      </w:r>
      <w:r w:rsidR="0078470C">
        <w:rPr>
          <w:noProof/>
        </w:rPr>
        <w:t xml:space="preserve">, </w:t>
      </w:r>
      <w:r w:rsidR="0078470C" w:rsidRPr="003A7BCD">
        <w:rPr>
          <w:noProof/>
        </w:rPr>
        <w:t>the European Parliament, the Council of the European Union and the European Commission</w:t>
      </w:r>
      <w:r w:rsidR="0078470C">
        <w:rPr>
          <w:noProof/>
        </w:rPr>
        <w:t xml:space="preserve"> have </w:t>
      </w:r>
      <w:r w:rsidR="0078470C">
        <w:rPr>
          <w:noProof/>
        </w:rPr>
        <w:lastRenderedPageBreak/>
        <w:t xml:space="preserve">committed to deliver on an economy that works for people, including to </w:t>
      </w:r>
      <w:r w:rsidR="0078470C" w:rsidRPr="003A7BCD">
        <w:rPr>
          <w:noProof/>
        </w:rPr>
        <w:t>improve the regulatory framework on sustainable corporate governance</w:t>
      </w:r>
      <w:r w:rsidR="0078470C">
        <w:rPr>
          <w:noProof/>
        </w:rPr>
        <w:t>.</w:t>
      </w:r>
    </w:p>
    <w:p w14:paraId="5AC6E3A3" w14:textId="5C1A5C0C" w:rsidR="001859C1" w:rsidRPr="00A5548A" w:rsidRDefault="00643C08" w:rsidP="006642A7">
      <w:pPr>
        <w:rPr>
          <w:rStyle w:val="normaltextrun"/>
          <w:rFonts w:eastAsia="Times New Roman"/>
          <w:noProof/>
          <w:lang w:eastAsia="en-GB"/>
        </w:rPr>
      </w:pPr>
      <w:r>
        <w:rPr>
          <w:rStyle w:val="normaltextrun"/>
          <w:rFonts w:eastAsia="Times New Roman"/>
          <w:noProof/>
          <w:lang w:eastAsia="en-GB"/>
        </w:rPr>
        <w:t>Using the existing</w:t>
      </w:r>
      <w:r w:rsidR="001859C1">
        <w:rPr>
          <w:rStyle w:val="normaltextrun"/>
          <w:rFonts w:eastAsia="Times New Roman"/>
          <w:noProof/>
          <w:lang w:eastAsia="en-GB"/>
        </w:rPr>
        <w:t xml:space="preserve"> international voluntary standards on responsible business conduct,</w:t>
      </w:r>
      <w:bookmarkStart w:id="2" w:name="_Ref96025026"/>
      <w:r w:rsidR="001859C1">
        <w:rPr>
          <w:rStyle w:val="Allmrkuseviide"/>
          <w:rFonts w:eastAsia="Times New Roman"/>
          <w:noProof/>
          <w:lang w:eastAsia="en-GB"/>
        </w:rPr>
        <w:footnoteReference w:id="7"/>
      </w:r>
      <w:bookmarkEnd w:id="2"/>
      <w:r w:rsidR="001859C1">
        <w:rPr>
          <w:rStyle w:val="normaltextrun"/>
          <w:rFonts w:eastAsia="Times New Roman"/>
          <w:noProof/>
          <w:lang w:eastAsia="en-GB"/>
        </w:rPr>
        <w:t xml:space="preserve"> an increasing number of EU companies are using </w:t>
      </w:r>
      <w:r w:rsidR="00206D79">
        <w:rPr>
          <w:rStyle w:val="normaltextrun"/>
          <w:rFonts w:eastAsia="Times New Roman"/>
          <w:noProof/>
          <w:lang w:eastAsia="en-GB"/>
        </w:rPr>
        <w:t>value chain</w:t>
      </w:r>
      <w:r w:rsidR="006378F4">
        <w:rPr>
          <w:rStyle w:val="normaltextrun"/>
          <w:rFonts w:eastAsia="Times New Roman"/>
          <w:noProof/>
          <w:lang w:eastAsia="en-GB"/>
        </w:rPr>
        <w:t xml:space="preserve"> </w:t>
      </w:r>
      <w:r w:rsidR="001859C1">
        <w:rPr>
          <w:rStyle w:val="normaltextrun"/>
          <w:rFonts w:eastAsia="Times New Roman"/>
          <w:noProof/>
          <w:lang w:eastAsia="en-GB"/>
        </w:rPr>
        <w:t>d</w:t>
      </w:r>
      <w:r w:rsidR="001859C1" w:rsidRPr="74005E7C">
        <w:rPr>
          <w:rStyle w:val="normaltextrun"/>
          <w:rFonts w:eastAsia="Times New Roman"/>
          <w:noProof/>
          <w:lang w:eastAsia="en-GB"/>
        </w:rPr>
        <w:t xml:space="preserve">ue </w:t>
      </w:r>
      <w:r w:rsidR="001859C1">
        <w:rPr>
          <w:rStyle w:val="normaltextrun"/>
          <w:rFonts w:eastAsia="Times New Roman"/>
          <w:noProof/>
          <w:lang w:eastAsia="en-GB"/>
        </w:rPr>
        <w:t>d</w:t>
      </w:r>
      <w:r w:rsidR="001859C1" w:rsidRPr="74005E7C">
        <w:rPr>
          <w:rStyle w:val="normaltextrun"/>
          <w:rFonts w:eastAsia="Times New Roman"/>
          <w:noProof/>
          <w:lang w:eastAsia="en-GB"/>
        </w:rPr>
        <w:t xml:space="preserve">iligence </w:t>
      </w:r>
      <w:r w:rsidR="001859C1">
        <w:rPr>
          <w:rStyle w:val="normaltextrun"/>
          <w:rFonts w:eastAsia="Times New Roman"/>
          <w:noProof/>
          <w:lang w:eastAsia="en-GB"/>
        </w:rPr>
        <w:t>a</w:t>
      </w:r>
      <w:r w:rsidR="001859C1" w:rsidRPr="74005E7C">
        <w:rPr>
          <w:rStyle w:val="normaltextrun"/>
          <w:rFonts w:eastAsia="Times New Roman"/>
          <w:noProof/>
          <w:lang w:eastAsia="en-GB"/>
        </w:rPr>
        <w:t xml:space="preserve">s a tool to identify risks in their </w:t>
      </w:r>
      <w:r w:rsidR="00834EE1">
        <w:rPr>
          <w:rStyle w:val="normaltextrun"/>
          <w:rFonts w:eastAsia="Times New Roman"/>
          <w:noProof/>
          <w:lang w:eastAsia="en-GB"/>
        </w:rPr>
        <w:t>value</w:t>
      </w:r>
      <w:r w:rsidR="00834EE1" w:rsidRPr="74005E7C">
        <w:rPr>
          <w:rStyle w:val="normaltextrun"/>
          <w:rFonts w:eastAsia="Times New Roman"/>
          <w:noProof/>
          <w:lang w:eastAsia="en-GB"/>
        </w:rPr>
        <w:t xml:space="preserve"> </w:t>
      </w:r>
      <w:r w:rsidR="001859C1" w:rsidRPr="74005E7C">
        <w:rPr>
          <w:rStyle w:val="normaltextrun"/>
          <w:rFonts w:eastAsia="Times New Roman"/>
          <w:noProof/>
          <w:lang w:eastAsia="en-GB"/>
        </w:rPr>
        <w:t>chain</w:t>
      </w:r>
      <w:r w:rsidR="001859C1">
        <w:rPr>
          <w:rStyle w:val="normaltextrun"/>
          <w:rFonts w:eastAsia="Times New Roman"/>
          <w:noProof/>
          <w:lang w:eastAsia="en-GB"/>
        </w:rPr>
        <w:t xml:space="preserve"> and build resilience</w:t>
      </w:r>
      <w:r w:rsidR="006378F4">
        <w:rPr>
          <w:rStyle w:val="normaltextrun"/>
          <w:rFonts w:eastAsia="Times New Roman"/>
          <w:noProof/>
          <w:lang w:eastAsia="en-GB"/>
        </w:rPr>
        <w:t xml:space="preserve"> to sudden changes in the </w:t>
      </w:r>
      <w:r w:rsidR="00834EE1">
        <w:rPr>
          <w:rStyle w:val="normaltextrun"/>
          <w:rFonts w:eastAsia="Times New Roman"/>
          <w:noProof/>
          <w:lang w:eastAsia="en-GB"/>
        </w:rPr>
        <w:t xml:space="preserve">value </w:t>
      </w:r>
      <w:r w:rsidR="006378F4">
        <w:rPr>
          <w:rStyle w:val="normaltextrun"/>
          <w:rFonts w:eastAsia="Times New Roman"/>
          <w:noProof/>
          <w:lang w:eastAsia="en-GB"/>
        </w:rPr>
        <w:t>chains</w:t>
      </w:r>
      <w:r w:rsidR="001859C1">
        <w:rPr>
          <w:rStyle w:val="normaltextrun"/>
          <w:rFonts w:eastAsia="Times New Roman"/>
          <w:noProof/>
          <w:lang w:eastAsia="en-GB"/>
        </w:rPr>
        <w:t>,</w:t>
      </w:r>
      <w:r w:rsidR="001859C1" w:rsidRPr="74005E7C">
        <w:rPr>
          <w:rStyle w:val="normaltextrun"/>
          <w:rFonts w:eastAsia="Times New Roman"/>
          <w:noProof/>
          <w:lang w:eastAsia="en-GB"/>
        </w:rPr>
        <w:t xml:space="preserve"> but </w:t>
      </w:r>
      <w:r w:rsidR="00D22E70">
        <w:rPr>
          <w:rStyle w:val="normaltextrun"/>
          <w:rFonts w:eastAsia="Times New Roman"/>
          <w:noProof/>
          <w:lang w:eastAsia="en-GB"/>
        </w:rPr>
        <w:t xml:space="preserve">companies </w:t>
      </w:r>
      <w:r w:rsidR="001859C1" w:rsidRPr="74005E7C">
        <w:rPr>
          <w:rStyle w:val="normaltextrun"/>
          <w:rFonts w:eastAsia="Times New Roman"/>
          <w:noProof/>
          <w:lang w:eastAsia="en-GB"/>
        </w:rPr>
        <w:t xml:space="preserve">may </w:t>
      </w:r>
      <w:r w:rsidR="006378F4">
        <w:rPr>
          <w:rStyle w:val="normaltextrun"/>
          <w:rFonts w:eastAsia="Times New Roman"/>
          <w:noProof/>
          <w:lang w:eastAsia="en-GB"/>
        </w:rPr>
        <w:t>also</w:t>
      </w:r>
      <w:r w:rsidR="006378F4" w:rsidRPr="74005E7C">
        <w:rPr>
          <w:rStyle w:val="normaltextrun"/>
          <w:rFonts w:eastAsia="Times New Roman"/>
          <w:noProof/>
          <w:lang w:eastAsia="en-GB"/>
        </w:rPr>
        <w:t xml:space="preserve"> </w:t>
      </w:r>
      <w:r w:rsidR="001859C1" w:rsidRPr="74005E7C">
        <w:rPr>
          <w:rStyle w:val="normaltextrun"/>
          <w:rFonts w:eastAsia="Times New Roman"/>
          <w:noProof/>
          <w:lang w:eastAsia="en-GB"/>
        </w:rPr>
        <w:t>face</w:t>
      </w:r>
      <w:r w:rsidR="00D22E70">
        <w:rPr>
          <w:rStyle w:val="normaltextrun"/>
          <w:rFonts w:eastAsia="Times New Roman"/>
          <w:noProof/>
          <w:lang w:eastAsia="en-GB"/>
        </w:rPr>
        <w:t xml:space="preserve"> </w:t>
      </w:r>
      <w:r w:rsidR="001859C1" w:rsidRPr="74005E7C">
        <w:rPr>
          <w:rStyle w:val="normaltextrun"/>
          <w:rFonts w:eastAsia="Times New Roman"/>
          <w:noProof/>
          <w:lang w:eastAsia="en-GB"/>
        </w:rPr>
        <w:t>difficulties</w:t>
      </w:r>
      <w:r w:rsidR="001859C1">
        <w:rPr>
          <w:rStyle w:val="normaltextrun"/>
          <w:rFonts w:eastAsia="Times New Roman"/>
          <w:noProof/>
          <w:lang w:eastAsia="en-GB"/>
        </w:rPr>
        <w:t xml:space="preserve"> when considering </w:t>
      </w:r>
      <w:r w:rsidR="00BF3DC1">
        <w:rPr>
          <w:rStyle w:val="normaltextrun"/>
          <w:rFonts w:eastAsia="Times New Roman"/>
          <w:noProof/>
          <w:lang w:eastAsia="en-GB"/>
        </w:rPr>
        <w:t xml:space="preserve">to use </w:t>
      </w:r>
      <w:r w:rsidR="001859C1">
        <w:rPr>
          <w:rStyle w:val="normaltextrun"/>
          <w:rFonts w:eastAsia="Times New Roman"/>
          <w:noProof/>
          <w:lang w:eastAsia="en-GB"/>
        </w:rPr>
        <w:t>the</w:t>
      </w:r>
      <w:r w:rsidR="00BF3DC1">
        <w:rPr>
          <w:rStyle w:val="normaltextrun"/>
          <w:rFonts w:eastAsia="Times New Roman"/>
          <w:noProof/>
          <w:lang w:eastAsia="en-GB"/>
        </w:rPr>
        <w:t xml:space="preserve"> </w:t>
      </w:r>
      <w:r w:rsidR="00206D79">
        <w:rPr>
          <w:rStyle w:val="normaltextrun"/>
          <w:rFonts w:eastAsia="Times New Roman"/>
          <w:noProof/>
          <w:lang w:eastAsia="en-GB"/>
        </w:rPr>
        <w:t xml:space="preserve">value </w:t>
      </w:r>
      <w:r w:rsidR="00BF3DC1">
        <w:rPr>
          <w:rStyle w:val="normaltextrun"/>
          <w:rFonts w:eastAsia="Times New Roman"/>
          <w:noProof/>
          <w:lang w:eastAsia="en-GB"/>
        </w:rPr>
        <w:t>chain</w:t>
      </w:r>
      <w:r w:rsidR="001859C1">
        <w:rPr>
          <w:rStyle w:val="normaltextrun"/>
          <w:rFonts w:eastAsia="Times New Roman"/>
          <w:noProof/>
          <w:lang w:eastAsia="en-GB"/>
        </w:rPr>
        <w:t xml:space="preserve"> due diligence for their activities</w:t>
      </w:r>
      <w:r w:rsidR="001859C1" w:rsidRPr="74005E7C">
        <w:rPr>
          <w:rStyle w:val="normaltextrun"/>
          <w:rFonts w:eastAsia="Times New Roman"/>
          <w:noProof/>
          <w:lang w:eastAsia="en-GB"/>
        </w:rPr>
        <w:t xml:space="preserve">. </w:t>
      </w:r>
      <w:r w:rsidR="001859C1">
        <w:rPr>
          <w:rStyle w:val="normaltextrun"/>
          <w:rFonts w:eastAsia="Times New Roman"/>
          <w:noProof/>
          <w:lang w:eastAsia="en-GB"/>
        </w:rPr>
        <w:t>Such difficulties</w:t>
      </w:r>
      <w:r w:rsidR="001859C1" w:rsidRPr="74005E7C">
        <w:rPr>
          <w:rStyle w:val="normaltextrun"/>
          <w:rFonts w:eastAsia="Times New Roman"/>
          <w:noProof/>
          <w:lang w:eastAsia="en-GB"/>
        </w:rPr>
        <w:t xml:space="preserve"> </w:t>
      </w:r>
      <w:r w:rsidR="001859C1">
        <w:rPr>
          <w:rStyle w:val="normaltextrun"/>
          <w:rFonts w:eastAsia="Times New Roman"/>
          <w:noProof/>
          <w:lang w:eastAsia="en-GB"/>
        </w:rPr>
        <w:t>can be</w:t>
      </w:r>
      <w:r w:rsidR="001859C1" w:rsidRPr="74005E7C">
        <w:rPr>
          <w:rStyle w:val="normaltextrun"/>
          <w:rFonts w:eastAsia="Times New Roman"/>
          <w:noProof/>
          <w:lang w:eastAsia="en-GB"/>
        </w:rPr>
        <w:t xml:space="preserve"> </w:t>
      </w:r>
      <w:r w:rsidR="001859C1">
        <w:rPr>
          <w:rStyle w:val="normaltextrun"/>
          <w:rFonts w:eastAsia="Times New Roman"/>
          <w:noProof/>
          <w:lang w:eastAsia="en-GB"/>
        </w:rPr>
        <w:t>for instance</w:t>
      </w:r>
      <w:r w:rsidR="001859C1" w:rsidRPr="74005E7C">
        <w:rPr>
          <w:rStyle w:val="normaltextrun"/>
          <w:rFonts w:eastAsia="Times New Roman"/>
          <w:noProof/>
          <w:lang w:eastAsia="en-GB"/>
        </w:rPr>
        <w:t xml:space="preserve"> due to lack </w:t>
      </w:r>
      <w:r w:rsidR="001859C1" w:rsidRPr="00A5548A">
        <w:rPr>
          <w:rStyle w:val="normaltextrun"/>
          <w:rFonts w:eastAsia="Times New Roman"/>
          <w:noProof/>
          <w:lang w:eastAsia="en-GB"/>
        </w:rPr>
        <w:t xml:space="preserve">of legal clarity regarding </w:t>
      </w:r>
      <w:r w:rsidR="001859C1">
        <w:rPr>
          <w:rStyle w:val="normaltextrun"/>
          <w:rFonts w:eastAsia="Times New Roman"/>
          <w:noProof/>
          <w:lang w:eastAsia="en-GB"/>
        </w:rPr>
        <w:t xml:space="preserve">corporate </w:t>
      </w:r>
      <w:r w:rsidR="001859C1" w:rsidRPr="00A5548A">
        <w:rPr>
          <w:rStyle w:val="normaltextrun"/>
          <w:rFonts w:eastAsia="Times New Roman"/>
          <w:noProof/>
          <w:lang w:eastAsia="en-GB"/>
        </w:rPr>
        <w:t xml:space="preserve">due diligence obligations, complexity of </w:t>
      </w:r>
      <w:r w:rsidR="00206D79">
        <w:rPr>
          <w:rStyle w:val="normaltextrun"/>
          <w:rFonts w:eastAsia="Times New Roman"/>
          <w:noProof/>
          <w:lang w:eastAsia="en-GB"/>
        </w:rPr>
        <w:t>value</w:t>
      </w:r>
      <w:r w:rsidR="00206D79" w:rsidRPr="00A5548A">
        <w:rPr>
          <w:rStyle w:val="normaltextrun"/>
          <w:rFonts w:eastAsia="Times New Roman"/>
          <w:noProof/>
          <w:lang w:eastAsia="en-GB"/>
        </w:rPr>
        <w:t xml:space="preserve"> </w:t>
      </w:r>
      <w:r w:rsidR="001859C1" w:rsidRPr="00A5548A">
        <w:rPr>
          <w:rStyle w:val="normaltextrun"/>
          <w:rFonts w:eastAsia="Times New Roman"/>
          <w:noProof/>
          <w:lang w:eastAsia="en-GB"/>
        </w:rPr>
        <w:t xml:space="preserve">chains, </w:t>
      </w:r>
      <w:r w:rsidR="001859C1">
        <w:rPr>
          <w:rStyle w:val="normaltextrun"/>
          <w:rFonts w:eastAsia="Times New Roman"/>
          <w:noProof/>
          <w:lang w:eastAsia="en-GB"/>
        </w:rPr>
        <w:t xml:space="preserve">market pressure, </w:t>
      </w:r>
      <w:r w:rsidR="001859C1" w:rsidRPr="00A5548A">
        <w:rPr>
          <w:rStyle w:val="normaltextrun"/>
          <w:rFonts w:eastAsia="Times New Roman"/>
          <w:noProof/>
          <w:lang w:eastAsia="en-GB"/>
        </w:rPr>
        <w:t xml:space="preserve">information </w:t>
      </w:r>
      <w:r w:rsidR="001859C1">
        <w:rPr>
          <w:rStyle w:val="normaltextrun"/>
          <w:rFonts w:eastAsia="Times New Roman"/>
          <w:noProof/>
          <w:lang w:eastAsia="en-GB"/>
        </w:rPr>
        <w:t>deficiencies</w:t>
      </w:r>
      <w:r w:rsidR="001859C1" w:rsidRPr="00A5548A">
        <w:rPr>
          <w:rStyle w:val="normaltextrun"/>
          <w:rFonts w:eastAsia="Times New Roman"/>
          <w:noProof/>
          <w:lang w:eastAsia="en-GB"/>
        </w:rPr>
        <w:t>, and costs</w:t>
      </w:r>
      <w:r w:rsidR="001859C1">
        <w:rPr>
          <w:rStyle w:val="normaltextrun"/>
          <w:rFonts w:eastAsia="Times New Roman"/>
          <w:noProof/>
          <w:lang w:eastAsia="en-GB"/>
        </w:rPr>
        <w:t xml:space="preserve">. </w:t>
      </w:r>
      <w:r w:rsidR="001859C1" w:rsidRPr="00A5548A">
        <w:rPr>
          <w:rStyle w:val="normaltextrun"/>
          <w:rFonts w:eastAsia="Times New Roman"/>
          <w:noProof/>
          <w:lang w:eastAsia="en-GB"/>
        </w:rPr>
        <w:t>As a consequence</w:t>
      </w:r>
      <w:r w:rsidR="001859C1">
        <w:rPr>
          <w:rStyle w:val="normaltextrun"/>
          <w:rFonts w:eastAsia="Times New Roman"/>
          <w:noProof/>
          <w:lang w:eastAsia="en-GB"/>
        </w:rPr>
        <w:t>,</w:t>
      </w:r>
      <w:r w:rsidR="001859C1" w:rsidRPr="00A5548A">
        <w:rPr>
          <w:rStyle w:val="normaltextrun"/>
          <w:rFonts w:eastAsia="Times New Roman"/>
          <w:noProof/>
          <w:lang w:eastAsia="en-GB"/>
        </w:rPr>
        <w:t xml:space="preserve"> the benefits of due diligence are not widespread</w:t>
      </w:r>
      <w:r w:rsidR="001859C1">
        <w:rPr>
          <w:rStyle w:val="normaltextrun"/>
          <w:rFonts w:eastAsia="Times New Roman"/>
          <w:noProof/>
          <w:lang w:eastAsia="en-GB"/>
        </w:rPr>
        <w:t xml:space="preserve"> among European companies and across economic sectors</w:t>
      </w:r>
      <w:r w:rsidR="001859C1" w:rsidRPr="00A5548A">
        <w:rPr>
          <w:rStyle w:val="normaltextrun"/>
          <w:rFonts w:eastAsia="Times New Roman"/>
          <w:noProof/>
          <w:lang w:eastAsia="en-GB"/>
        </w:rPr>
        <w:t xml:space="preserve">. </w:t>
      </w:r>
    </w:p>
    <w:p w14:paraId="7B753324" w14:textId="77777777" w:rsidR="001859C1" w:rsidRDefault="001859C1" w:rsidP="005A221B">
      <w:pPr>
        <w:rPr>
          <w:noProof/>
        </w:rPr>
      </w:pPr>
      <w:r w:rsidRPr="005028FD">
        <w:rPr>
          <w:rStyle w:val="normaltextrun"/>
          <w:rFonts w:eastAsia="Times New Roman"/>
          <w:noProof/>
          <w:lang w:eastAsia="en-GB"/>
        </w:rPr>
        <w:t>Mostly l</w:t>
      </w:r>
      <w:r w:rsidRPr="00821944">
        <w:rPr>
          <w:rStyle w:val="normaltextrun"/>
          <w:rFonts w:eastAsia="Times New Roman"/>
          <w:noProof/>
          <w:lang w:eastAsia="en-GB"/>
        </w:rPr>
        <w:t xml:space="preserve">arge companies have been increasingly deploying due diligence processes as it can provide them with </w:t>
      </w:r>
      <w:r>
        <w:rPr>
          <w:rStyle w:val="normaltextrun"/>
          <w:rFonts w:eastAsia="Times New Roman"/>
          <w:noProof/>
          <w:lang w:eastAsia="en-GB"/>
        </w:rPr>
        <w:t xml:space="preserve">a </w:t>
      </w:r>
      <w:r w:rsidRPr="00821944">
        <w:rPr>
          <w:rStyle w:val="normaltextrun"/>
          <w:rFonts w:eastAsia="Times New Roman"/>
          <w:noProof/>
          <w:lang w:eastAsia="en-GB"/>
        </w:rPr>
        <w:t>competitive advantage</w:t>
      </w:r>
      <w:r>
        <w:rPr>
          <w:rStyle w:val="normaltextrun"/>
          <w:rFonts w:eastAsia="Times New Roman"/>
          <w:noProof/>
          <w:lang w:eastAsia="en-GB"/>
        </w:rPr>
        <w:t>.</w:t>
      </w:r>
      <w:r>
        <w:rPr>
          <w:rStyle w:val="Allmrkuseviide"/>
          <w:rFonts w:eastAsia="Times New Roman"/>
          <w:noProof/>
          <w:lang w:eastAsia="en-GB"/>
        </w:rPr>
        <w:footnoteReference w:id="8"/>
      </w:r>
      <w:r>
        <w:rPr>
          <w:rStyle w:val="normaltextrun"/>
          <w:noProof/>
        </w:rPr>
        <w:t xml:space="preserve"> </w:t>
      </w:r>
      <w:r w:rsidRPr="003B7DCE">
        <w:rPr>
          <w:noProof/>
        </w:rPr>
        <w:t xml:space="preserve">This also responds to the increasing </w:t>
      </w:r>
      <w:r>
        <w:rPr>
          <w:noProof/>
        </w:rPr>
        <w:t xml:space="preserve">market </w:t>
      </w:r>
      <w:r w:rsidRPr="003B7DCE">
        <w:rPr>
          <w:noProof/>
        </w:rPr>
        <w:t>pressure on companies to act sustainably</w:t>
      </w:r>
      <w:r>
        <w:rPr>
          <w:noProof/>
        </w:rPr>
        <w:t xml:space="preserve"> as it</w:t>
      </w:r>
      <w:r w:rsidRPr="00821944">
        <w:rPr>
          <w:rStyle w:val="normaltextrun"/>
          <w:rFonts w:eastAsia="Times New Roman"/>
          <w:noProof/>
          <w:lang w:eastAsia="en-GB"/>
        </w:rPr>
        <w:t xml:space="preserve"> helps them</w:t>
      </w:r>
      <w:r w:rsidRPr="00D262A8">
        <w:rPr>
          <w:rStyle w:val="normaltextrun"/>
          <w:rFonts w:eastAsia="Times New Roman"/>
          <w:noProof/>
          <w:lang w:eastAsia="en-GB"/>
        </w:rPr>
        <w:t xml:space="preserve"> avoid unwanted</w:t>
      </w:r>
      <w:r w:rsidRPr="74005E7C">
        <w:rPr>
          <w:rStyle w:val="normaltextrun"/>
          <w:rFonts w:eastAsia="Times New Roman"/>
          <w:noProof/>
          <w:lang w:eastAsia="en-GB"/>
        </w:rPr>
        <w:t xml:space="preserve"> reputational risks vis-à-vis consumers and investors</w:t>
      </w:r>
      <w:r w:rsidR="003D109F">
        <w:rPr>
          <w:rStyle w:val="normaltextrun"/>
          <w:rFonts w:eastAsia="Times New Roman"/>
          <w:noProof/>
          <w:lang w:eastAsia="en-GB"/>
        </w:rPr>
        <w:t xml:space="preserve"> that are becoming increasingly aware of sustainability aspects</w:t>
      </w:r>
      <w:r w:rsidRPr="74005E7C">
        <w:rPr>
          <w:rStyle w:val="normaltextrun"/>
          <w:rFonts w:eastAsia="Times New Roman"/>
          <w:noProof/>
          <w:lang w:eastAsia="en-GB"/>
        </w:rPr>
        <w:t xml:space="preserve">. </w:t>
      </w:r>
      <w:r w:rsidRPr="00A5548A">
        <w:rPr>
          <w:rStyle w:val="normaltextrun"/>
          <w:rFonts w:eastAsia="Times New Roman"/>
          <w:noProof/>
          <w:lang w:eastAsia="en-GB"/>
        </w:rPr>
        <w:t>However, t</w:t>
      </w:r>
      <w:r w:rsidRPr="00821944">
        <w:rPr>
          <w:rStyle w:val="normaltextrun"/>
          <w:rFonts w:eastAsia="Times New Roman"/>
          <w:noProof/>
          <w:lang w:eastAsia="en-GB"/>
        </w:rPr>
        <w:t xml:space="preserve">hese processes are based on voluntary standards </w:t>
      </w:r>
      <w:r w:rsidRPr="00AC62DB">
        <w:rPr>
          <w:rStyle w:val="normaltextrun"/>
          <w:rFonts w:eastAsia="Times New Roman"/>
          <w:noProof/>
          <w:lang w:eastAsia="en-GB"/>
        </w:rPr>
        <w:t xml:space="preserve">and </w:t>
      </w:r>
      <w:r w:rsidRPr="00821944">
        <w:rPr>
          <w:rStyle w:val="normaltextrun"/>
          <w:rFonts w:eastAsia="Times New Roman"/>
          <w:noProof/>
          <w:lang w:eastAsia="en-GB"/>
        </w:rPr>
        <w:t xml:space="preserve">do not result in legal </w:t>
      </w:r>
      <w:r w:rsidRPr="00D262A8">
        <w:rPr>
          <w:rStyle w:val="normaltextrun"/>
          <w:rFonts w:eastAsia="Times New Roman"/>
          <w:noProof/>
          <w:lang w:eastAsia="en-GB"/>
        </w:rPr>
        <w:t xml:space="preserve">certainty for </w:t>
      </w:r>
      <w:r w:rsidR="00643C08">
        <w:rPr>
          <w:rStyle w:val="normaltextrun"/>
          <w:rFonts w:eastAsia="Times New Roman"/>
          <w:noProof/>
          <w:lang w:eastAsia="en-GB"/>
        </w:rPr>
        <w:t xml:space="preserve">neither </w:t>
      </w:r>
      <w:r w:rsidRPr="00D262A8">
        <w:rPr>
          <w:rStyle w:val="normaltextrun"/>
          <w:rFonts w:eastAsia="Times New Roman"/>
          <w:noProof/>
          <w:lang w:eastAsia="en-GB"/>
        </w:rPr>
        <w:t xml:space="preserve">companies </w:t>
      </w:r>
      <w:r w:rsidR="00643C08">
        <w:rPr>
          <w:rStyle w:val="normaltextrun"/>
          <w:rFonts w:eastAsia="Times New Roman"/>
          <w:noProof/>
          <w:lang w:eastAsia="en-GB"/>
        </w:rPr>
        <w:t xml:space="preserve">nor </w:t>
      </w:r>
      <w:r>
        <w:rPr>
          <w:rStyle w:val="normaltextrun"/>
          <w:rFonts w:eastAsia="Times New Roman"/>
          <w:noProof/>
          <w:lang w:eastAsia="en-GB"/>
        </w:rPr>
        <w:t xml:space="preserve">victims </w:t>
      </w:r>
      <w:r w:rsidRPr="00D262A8">
        <w:rPr>
          <w:rStyle w:val="normaltextrun"/>
          <w:rFonts w:eastAsia="Times New Roman"/>
          <w:noProof/>
          <w:lang w:eastAsia="en-GB"/>
        </w:rPr>
        <w:t>in case harm occurs.</w:t>
      </w:r>
      <w:r w:rsidRPr="00B45027">
        <w:rPr>
          <w:noProof/>
        </w:rPr>
        <w:t xml:space="preserve"> </w:t>
      </w:r>
    </w:p>
    <w:p w14:paraId="2AECA075" w14:textId="77777777" w:rsidR="001859C1" w:rsidRDefault="001859C1" w:rsidP="00740BB9">
      <w:pPr>
        <w:rPr>
          <w:noProof/>
        </w:rPr>
      </w:pPr>
      <w:r>
        <w:rPr>
          <w:noProof/>
        </w:rPr>
        <w:t>Voluntary action does not</w:t>
      </w:r>
      <w:r w:rsidRPr="00821944">
        <w:rPr>
          <w:rStyle w:val="normaltextrun"/>
          <w:rFonts w:eastAsia="Times New Roman"/>
          <w:noProof/>
          <w:lang w:eastAsia="en-GB"/>
        </w:rPr>
        <w:t xml:space="preserve"> appear to have resulted in </w:t>
      </w:r>
      <w:r>
        <w:rPr>
          <w:rStyle w:val="normaltextrun"/>
          <w:rFonts w:eastAsia="Times New Roman"/>
          <w:noProof/>
          <w:lang w:eastAsia="en-GB"/>
        </w:rPr>
        <w:t xml:space="preserve">large scale </w:t>
      </w:r>
      <w:r w:rsidRPr="00821944">
        <w:rPr>
          <w:rStyle w:val="normaltextrun"/>
          <w:rFonts w:eastAsia="Times New Roman"/>
          <w:noProof/>
          <w:lang w:eastAsia="en-GB"/>
        </w:rPr>
        <w:t xml:space="preserve">improvement </w:t>
      </w:r>
      <w:r>
        <w:rPr>
          <w:rStyle w:val="normaltextrun"/>
          <w:rFonts w:eastAsia="Times New Roman"/>
          <w:noProof/>
          <w:lang w:eastAsia="en-GB"/>
        </w:rPr>
        <w:t xml:space="preserve">across sectors </w:t>
      </w:r>
      <w:r w:rsidRPr="00821944">
        <w:rPr>
          <w:rStyle w:val="normaltextrun"/>
          <w:rFonts w:eastAsia="Times New Roman"/>
          <w:noProof/>
          <w:lang w:eastAsia="en-GB"/>
        </w:rPr>
        <w:t>and</w:t>
      </w:r>
      <w:r>
        <w:rPr>
          <w:rStyle w:val="normaltextrun"/>
          <w:rFonts w:eastAsia="Times New Roman"/>
          <w:noProof/>
          <w:lang w:eastAsia="en-GB"/>
        </w:rPr>
        <w:t>,</w:t>
      </w:r>
      <w:r w:rsidRPr="00821944">
        <w:rPr>
          <w:rStyle w:val="normaltextrun"/>
          <w:rFonts w:eastAsia="Times New Roman"/>
          <w:noProof/>
          <w:lang w:eastAsia="en-GB"/>
        </w:rPr>
        <w:t xml:space="preserve"> as a </w:t>
      </w:r>
      <w:r w:rsidRPr="00D262A8">
        <w:rPr>
          <w:rStyle w:val="normaltextrun"/>
          <w:rFonts w:eastAsia="Times New Roman"/>
          <w:noProof/>
          <w:lang w:eastAsia="en-GB"/>
        </w:rPr>
        <w:t>consequence</w:t>
      </w:r>
      <w:r w:rsidRPr="74005E7C">
        <w:rPr>
          <w:rStyle w:val="normaltextrun"/>
          <w:rFonts w:eastAsia="Times New Roman"/>
          <w:noProof/>
          <w:lang w:eastAsia="en-GB"/>
        </w:rPr>
        <w:t xml:space="preserve">, negative externalities from EU production and </w:t>
      </w:r>
      <w:r w:rsidRPr="00A5548A">
        <w:rPr>
          <w:rStyle w:val="normaltextrun"/>
          <w:rFonts w:eastAsia="Times New Roman"/>
          <w:noProof/>
          <w:lang w:eastAsia="en-GB"/>
        </w:rPr>
        <w:t xml:space="preserve">consumption </w:t>
      </w:r>
      <w:r>
        <w:rPr>
          <w:rStyle w:val="normaltextrun"/>
          <w:rFonts w:eastAsia="Times New Roman"/>
          <w:noProof/>
          <w:lang w:eastAsia="en-GB"/>
        </w:rPr>
        <w:t>are being observed</w:t>
      </w:r>
      <w:r w:rsidR="00643C08">
        <w:rPr>
          <w:rStyle w:val="normaltextrun"/>
          <w:rFonts w:eastAsia="Times New Roman"/>
          <w:noProof/>
          <w:lang w:eastAsia="en-GB"/>
        </w:rPr>
        <w:t xml:space="preserve"> both inside and outside </w:t>
      </w:r>
      <w:r w:rsidR="00305179">
        <w:rPr>
          <w:rStyle w:val="normaltextrun"/>
          <w:rFonts w:eastAsia="Times New Roman"/>
          <w:noProof/>
          <w:lang w:eastAsia="en-GB"/>
        </w:rPr>
        <w:t>the Union</w:t>
      </w:r>
      <w:r w:rsidRPr="00A5548A">
        <w:rPr>
          <w:rStyle w:val="normaltextrun"/>
          <w:rFonts w:eastAsia="Times New Roman"/>
          <w:noProof/>
          <w:lang w:eastAsia="en-GB"/>
        </w:rPr>
        <w:t xml:space="preserve">. </w:t>
      </w:r>
      <w:r w:rsidRPr="003B7DCE">
        <w:rPr>
          <w:noProof/>
        </w:rPr>
        <w:t>Certain EU companies have been associated with adverse human rights</w:t>
      </w:r>
      <w:r w:rsidR="00EF052A">
        <w:rPr>
          <w:noProof/>
        </w:rPr>
        <w:t xml:space="preserve"> </w:t>
      </w:r>
      <w:r w:rsidRPr="003B7DCE">
        <w:rPr>
          <w:noProof/>
        </w:rPr>
        <w:t>and environmental impacts, including in their value chains.</w:t>
      </w:r>
      <w:r w:rsidRPr="00AB0B10">
        <w:rPr>
          <w:rStyle w:val="Allmrkuseviide"/>
          <w:noProof/>
        </w:rPr>
        <w:footnoteReference w:id="9"/>
      </w:r>
      <w:r w:rsidRPr="003B7DCE">
        <w:rPr>
          <w:noProof/>
        </w:rPr>
        <w:t xml:space="preserve"> Adverse impacts include</w:t>
      </w:r>
      <w:r>
        <w:rPr>
          <w:noProof/>
        </w:rPr>
        <w:t>,</w:t>
      </w:r>
      <w:r w:rsidRPr="003B7DCE">
        <w:rPr>
          <w:noProof/>
        </w:rPr>
        <w:t xml:space="preserve"> in particular</w:t>
      </w:r>
      <w:r>
        <w:rPr>
          <w:noProof/>
        </w:rPr>
        <w:t>,</w:t>
      </w:r>
      <w:r w:rsidRPr="003B7DCE">
        <w:rPr>
          <w:noProof/>
        </w:rPr>
        <w:t xml:space="preserve"> human rights issues such as forced labour, child labour, inadequate workplace health and safety, exploitation of workers, and environmental impacts such as </w:t>
      </w:r>
      <w:r w:rsidR="0030379F">
        <w:rPr>
          <w:noProof/>
        </w:rPr>
        <w:t>greenhouse gas</w:t>
      </w:r>
      <w:r w:rsidR="0030379F" w:rsidRPr="003B7DCE">
        <w:rPr>
          <w:noProof/>
        </w:rPr>
        <w:t xml:space="preserve"> </w:t>
      </w:r>
      <w:r w:rsidRPr="003B7DCE">
        <w:rPr>
          <w:noProof/>
        </w:rPr>
        <w:t xml:space="preserve">emissions, pollution, </w:t>
      </w:r>
      <w:r>
        <w:rPr>
          <w:noProof/>
        </w:rPr>
        <w:t xml:space="preserve">or </w:t>
      </w:r>
      <w:r w:rsidRPr="003B7DCE">
        <w:rPr>
          <w:noProof/>
        </w:rPr>
        <w:t>biodiversity loss</w:t>
      </w:r>
      <w:r w:rsidR="00B153CC">
        <w:rPr>
          <w:noProof/>
        </w:rPr>
        <w:t xml:space="preserve"> and ecosystem degradation</w:t>
      </w:r>
      <w:r w:rsidRPr="003B7DCE">
        <w:rPr>
          <w:noProof/>
        </w:rPr>
        <w:t>.</w:t>
      </w:r>
    </w:p>
    <w:p w14:paraId="3D73DD53" w14:textId="7A4A15A4" w:rsidR="001859C1" w:rsidRDefault="001859C1" w:rsidP="00740BB9">
      <w:pPr>
        <w:rPr>
          <w:noProof/>
        </w:rPr>
      </w:pPr>
      <w:r>
        <w:rPr>
          <w:noProof/>
        </w:rPr>
        <w:t>In the last years, emerging legal frameworks on corporate due diligence in Member States</w:t>
      </w:r>
      <w:r>
        <w:rPr>
          <w:rStyle w:val="Allmrkuseviide"/>
          <w:noProof/>
        </w:rPr>
        <w:footnoteReference w:id="10"/>
      </w:r>
      <w:r>
        <w:rPr>
          <w:noProof/>
        </w:rPr>
        <w:t xml:space="preserve"> reflect the increasing </w:t>
      </w:r>
      <w:r w:rsidR="003334B1">
        <w:rPr>
          <w:noProof/>
        </w:rPr>
        <w:t xml:space="preserve">desire </w:t>
      </w:r>
      <w:r>
        <w:rPr>
          <w:noProof/>
        </w:rPr>
        <w:t xml:space="preserve">to support companies in their endeavour to perform due diligence in their </w:t>
      </w:r>
      <w:r w:rsidR="00834EE1">
        <w:rPr>
          <w:noProof/>
        </w:rPr>
        <w:t xml:space="preserve">value </w:t>
      </w:r>
      <w:r>
        <w:rPr>
          <w:noProof/>
        </w:rPr>
        <w:t>chains and foster business conduct that respects human rights</w:t>
      </w:r>
      <w:r w:rsidR="00DB2DE6" w:rsidRPr="00DB2DE6">
        <w:rPr>
          <w:noProof/>
        </w:rPr>
        <w:t>, children’s rights</w:t>
      </w:r>
      <w:r>
        <w:rPr>
          <w:noProof/>
        </w:rPr>
        <w:t xml:space="preserve"> and the environment. On the other hand, they also bring fragmentation and risk undermining legal certainty and a level playing field for companies in the single market. </w:t>
      </w:r>
    </w:p>
    <w:p w14:paraId="5DD074AE" w14:textId="53F35783" w:rsidR="001859C1" w:rsidRDefault="008832B0" w:rsidP="00740BB9">
      <w:pPr>
        <w:rPr>
          <w:noProof/>
        </w:rPr>
      </w:pPr>
      <w:r>
        <w:rPr>
          <w:noProof/>
        </w:rPr>
        <w:t>Union</w:t>
      </w:r>
      <w:r w:rsidR="001859C1">
        <w:rPr>
          <w:noProof/>
        </w:rPr>
        <w:t xml:space="preserve"> legislation on corporate due diligence </w:t>
      </w:r>
      <w:r w:rsidR="008404BE">
        <w:rPr>
          <w:noProof/>
        </w:rPr>
        <w:t xml:space="preserve">would </w:t>
      </w:r>
      <w:r w:rsidR="001859C1">
        <w:rPr>
          <w:noProof/>
        </w:rPr>
        <w:t xml:space="preserve">advance </w:t>
      </w:r>
      <w:r w:rsidR="00643C08">
        <w:rPr>
          <w:noProof/>
        </w:rPr>
        <w:t xml:space="preserve">respect for human rights and </w:t>
      </w:r>
      <w:r w:rsidR="00D231CA">
        <w:rPr>
          <w:noProof/>
        </w:rPr>
        <w:t>environmental protection</w:t>
      </w:r>
      <w:r w:rsidR="001859C1">
        <w:rPr>
          <w:noProof/>
        </w:rPr>
        <w:t xml:space="preserve">, create a level playing field for companies within the Union and avoid fragmentation resulting from Member States acting on their own. It would also </w:t>
      </w:r>
      <w:r w:rsidR="00BF3DC1">
        <w:rPr>
          <w:noProof/>
        </w:rPr>
        <w:t>include</w:t>
      </w:r>
      <w:r w:rsidR="001859C1">
        <w:rPr>
          <w:noProof/>
        </w:rPr>
        <w:t xml:space="preserve"> third</w:t>
      </w:r>
      <w:r w:rsidR="0037086D">
        <w:rPr>
          <w:noProof/>
        </w:rPr>
        <w:t>-</w:t>
      </w:r>
      <w:r w:rsidR="001859C1">
        <w:rPr>
          <w:noProof/>
        </w:rPr>
        <w:t xml:space="preserve">country companies operating </w:t>
      </w:r>
      <w:r w:rsidR="00623A27">
        <w:rPr>
          <w:noProof/>
        </w:rPr>
        <w:t xml:space="preserve">in the </w:t>
      </w:r>
      <w:r w:rsidR="00EB01CE">
        <w:rPr>
          <w:noProof/>
        </w:rPr>
        <w:t xml:space="preserve">Union </w:t>
      </w:r>
      <w:r w:rsidR="00623A27">
        <w:rPr>
          <w:noProof/>
        </w:rPr>
        <w:t xml:space="preserve">market, based on </w:t>
      </w:r>
      <w:r w:rsidR="007D57C2">
        <w:rPr>
          <w:noProof/>
        </w:rPr>
        <w:t xml:space="preserve">a </w:t>
      </w:r>
      <w:r w:rsidR="00623A27">
        <w:rPr>
          <w:noProof/>
        </w:rPr>
        <w:t xml:space="preserve">similar turnover </w:t>
      </w:r>
      <w:r w:rsidR="001859C1">
        <w:rPr>
          <w:noProof/>
        </w:rPr>
        <w:t>criteri</w:t>
      </w:r>
      <w:r w:rsidR="00623A27">
        <w:rPr>
          <w:noProof/>
        </w:rPr>
        <w:t>on</w:t>
      </w:r>
      <w:r w:rsidR="001859C1">
        <w:rPr>
          <w:noProof/>
        </w:rPr>
        <w:t>.</w:t>
      </w:r>
    </w:p>
    <w:p w14:paraId="211930BF" w14:textId="5E41B195" w:rsidR="001859C1" w:rsidRDefault="001859C1" w:rsidP="00DF252A">
      <w:pPr>
        <w:rPr>
          <w:noProof/>
        </w:rPr>
      </w:pPr>
      <w:r>
        <w:rPr>
          <w:noProof/>
        </w:rPr>
        <w:t>Against this background, t</w:t>
      </w:r>
      <w:r w:rsidRPr="003B7DCE">
        <w:rPr>
          <w:noProof/>
        </w:rPr>
        <w:t xml:space="preserve">his Directive will </w:t>
      </w:r>
      <w:r>
        <w:rPr>
          <w:noProof/>
        </w:rPr>
        <w:t xml:space="preserve">set out a horizontal framework to foster </w:t>
      </w:r>
      <w:r w:rsidR="000A2872">
        <w:rPr>
          <w:noProof/>
        </w:rPr>
        <w:t xml:space="preserve">the contribution of </w:t>
      </w:r>
      <w:r w:rsidRPr="003B7DCE">
        <w:rPr>
          <w:noProof/>
        </w:rPr>
        <w:t xml:space="preserve">businesses </w:t>
      </w:r>
      <w:r>
        <w:rPr>
          <w:noProof/>
        </w:rPr>
        <w:t xml:space="preserve">operating in the single market </w:t>
      </w:r>
      <w:r w:rsidRPr="003B7DCE">
        <w:rPr>
          <w:noProof/>
        </w:rPr>
        <w:t xml:space="preserve">to the respect of the </w:t>
      </w:r>
      <w:r>
        <w:rPr>
          <w:noProof/>
        </w:rPr>
        <w:t xml:space="preserve">human rights and </w:t>
      </w:r>
      <w:r w:rsidRPr="003B7DCE">
        <w:rPr>
          <w:noProof/>
        </w:rPr>
        <w:t>environment in their own operation</w:t>
      </w:r>
      <w:r>
        <w:rPr>
          <w:noProof/>
        </w:rPr>
        <w:t>s</w:t>
      </w:r>
      <w:r w:rsidRPr="003B7DCE">
        <w:rPr>
          <w:noProof/>
        </w:rPr>
        <w:t xml:space="preserve"> and through their value chains</w:t>
      </w:r>
      <w:r>
        <w:rPr>
          <w:noProof/>
        </w:rPr>
        <w:t xml:space="preserve">, by </w:t>
      </w:r>
      <w:r w:rsidR="00643C08">
        <w:rPr>
          <w:noProof/>
        </w:rPr>
        <w:t xml:space="preserve">identifying, preventing, </w:t>
      </w:r>
      <w:r>
        <w:rPr>
          <w:noProof/>
        </w:rPr>
        <w:t>mitigating</w:t>
      </w:r>
      <w:r w:rsidR="00643C08">
        <w:rPr>
          <w:noProof/>
        </w:rPr>
        <w:t xml:space="preserve"> and </w:t>
      </w:r>
      <w:r w:rsidR="00643C08" w:rsidRPr="00787CA9">
        <w:rPr>
          <w:noProof/>
        </w:rPr>
        <w:t>accounting for</w:t>
      </w:r>
      <w:r w:rsidR="00643C08">
        <w:rPr>
          <w:noProof/>
        </w:rPr>
        <w:t xml:space="preserve"> </w:t>
      </w:r>
      <w:r w:rsidRPr="00982B0A">
        <w:rPr>
          <w:noProof/>
        </w:rPr>
        <w:t>their adverse human rights</w:t>
      </w:r>
      <w:r w:rsidR="00C23B43">
        <w:rPr>
          <w:noProof/>
        </w:rPr>
        <w:t xml:space="preserve">, </w:t>
      </w:r>
      <w:r w:rsidRPr="00982B0A">
        <w:rPr>
          <w:noProof/>
        </w:rPr>
        <w:t>and environmental impacts</w:t>
      </w:r>
      <w:r>
        <w:rPr>
          <w:noProof/>
        </w:rPr>
        <w:t>, and having</w:t>
      </w:r>
      <w:r w:rsidRPr="00982B0A">
        <w:rPr>
          <w:noProof/>
        </w:rPr>
        <w:t xml:space="preserve"> adequate governance, management systems and measures in place to this end.</w:t>
      </w:r>
    </w:p>
    <w:p w14:paraId="2449850C" w14:textId="77777777" w:rsidR="00DB3CEF" w:rsidRDefault="00DB3CEF" w:rsidP="00C562CA">
      <w:pPr>
        <w:rPr>
          <w:noProof/>
        </w:rPr>
      </w:pPr>
      <w:r>
        <w:rPr>
          <w:noProof/>
        </w:rPr>
        <w:t>In particular, this Directive will</w:t>
      </w:r>
      <w:r w:rsidRPr="003B7DCE">
        <w:rPr>
          <w:noProof/>
        </w:rPr>
        <w:t xml:space="preserve">: </w:t>
      </w:r>
    </w:p>
    <w:p w14:paraId="042580D6" w14:textId="58929D03" w:rsidR="001859C1" w:rsidRDefault="00822875" w:rsidP="00822875">
      <w:pPr>
        <w:pStyle w:val="Point1"/>
        <w:rPr>
          <w:noProof/>
        </w:rPr>
      </w:pPr>
      <w:r w:rsidRPr="00822875">
        <w:t>(1)</w:t>
      </w:r>
      <w:r w:rsidRPr="00822875">
        <w:tab/>
      </w:r>
      <w:r w:rsidR="001859C1" w:rsidRPr="00D22E70">
        <w:rPr>
          <w:noProof/>
        </w:rPr>
        <w:t>improv</w:t>
      </w:r>
      <w:r w:rsidR="00DB3CEF">
        <w:rPr>
          <w:noProof/>
        </w:rPr>
        <w:t>e</w:t>
      </w:r>
      <w:r w:rsidR="001859C1" w:rsidRPr="00D22E70">
        <w:rPr>
          <w:noProof/>
        </w:rPr>
        <w:t xml:space="preserve"> corporate governance practices to better integrate risk management and mitigation processes of human rights</w:t>
      </w:r>
      <w:r w:rsidR="00F16F54">
        <w:rPr>
          <w:noProof/>
        </w:rPr>
        <w:t xml:space="preserve"> </w:t>
      </w:r>
      <w:r w:rsidR="001859C1" w:rsidRPr="00D22E70">
        <w:rPr>
          <w:noProof/>
        </w:rPr>
        <w:t>and environmental risks and impacts, including those stemming from value chains</w:t>
      </w:r>
      <w:r w:rsidR="00BA7A82">
        <w:rPr>
          <w:noProof/>
        </w:rPr>
        <w:t>,</w:t>
      </w:r>
      <w:r w:rsidR="00BA7A82" w:rsidRPr="00BA7A82">
        <w:rPr>
          <w:noProof/>
        </w:rPr>
        <w:t xml:space="preserve"> </w:t>
      </w:r>
      <w:r w:rsidR="00BA7A82" w:rsidRPr="00D22E70">
        <w:rPr>
          <w:noProof/>
        </w:rPr>
        <w:t>into corporate strategies</w:t>
      </w:r>
      <w:r w:rsidR="001859C1" w:rsidRPr="003B7DCE">
        <w:rPr>
          <w:noProof/>
        </w:rPr>
        <w:t xml:space="preserve">; </w:t>
      </w:r>
    </w:p>
    <w:p w14:paraId="2DCC3EA0" w14:textId="7958A3D8" w:rsidR="001859C1" w:rsidRDefault="00822875" w:rsidP="00822875">
      <w:pPr>
        <w:pStyle w:val="Point1"/>
        <w:rPr>
          <w:noProof/>
        </w:rPr>
      </w:pPr>
      <w:r w:rsidRPr="00822875">
        <w:t>(2)</w:t>
      </w:r>
      <w:r w:rsidRPr="00822875">
        <w:tab/>
      </w:r>
      <w:r w:rsidR="001859C1" w:rsidRPr="003B7DCE">
        <w:rPr>
          <w:noProof/>
        </w:rPr>
        <w:t>avoid fragmentation of due diligence requir</w:t>
      </w:r>
      <w:r w:rsidR="001859C1">
        <w:rPr>
          <w:noProof/>
        </w:rPr>
        <w:t>ements in the single market</w:t>
      </w:r>
      <w:r w:rsidR="0024385A">
        <w:rPr>
          <w:noProof/>
          <w:szCs w:val="24"/>
        </w:rPr>
        <w:tab/>
      </w:r>
      <w:r w:rsidR="00A16F1B">
        <w:rPr>
          <w:noProof/>
          <w:szCs w:val="24"/>
        </w:rPr>
        <w:t xml:space="preserve"> </w:t>
      </w:r>
      <w:r w:rsidR="001859C1">
        <w:rPr>
          <w:noProof/>
        </w:rPr>
        <w:t>and</w:t>
      </w:r>
      <w:r w:rsidR="001859C1" w:rsidRPr="003B7DCE">
        <w:rPr>
          <w:noProof/>
        </w:rPr>
        <w:t xml:space="preserve"> </w:t>
      </w:r>
      <w:r w:rsidR="00DB3CEF" w:rsidRPr="003B7DCE">
        <w:rPr>
          <w:noProof/>
        </w:rPr>
        <w:t>creat</w:t>
      </w:r>
      <w:r w:rsidR="00DB3CEF">
        <w:rPr>
          <w:noProof/>
        </w:rPr>
        <w:t>e</w:t>
      </w:r>
      <w:r w:rsidR="00DB3CEF" w:rsidRPr="003B7DCE">
        <w:rPr>
          <w:noProof/>
        </w:rPr>
        <w:t xml:space="preserve"> </w:t>
      </w:r>
      <w:r w:rsidR="001859C1" w:rsidRPr="003B7DCE">
        <w:rPr>
          <w:noProof/>
        </w:rPr>
        <w:t xml:space="preserve">legal certainty for </w:t>
      </w:r>
      <w:r w:rsidR="001859C1">
        <w:rPr>
          <w:noProof/>
        </w:rPr>
        <w:t xml:space="preserve">businesses and </w:t>
      </w:r>
      <w:r w:rsidR="001859C1" w:rsidRPr="003B7DCE">
        <w:rPr>
          <w:noProof/>
        </w:rPr>
        <w:t xml:space="preserve">stakeholders as regards expected behaviour and liability; </w:t>
      </w:r>
    </w:p>
    <w:p w14:paraId="0F8B5266" w14:textId="4C97DF26" w:rsidR="001859C1" w:rsidRDefault="00822875" w:rsidP="00822875">
      <w:pPr>
        <w:pStyle w:val="Point1"/>
        <w:rPr>
          <w:noProof/>
        </w:rPr>
      </w:pPr>
      <w:r w:rsidRPr="00822875">
        <w:t>(3)</w:t>
      </w:r>
      <w:r w:rsidRPr="00822875">
        <w:tab/>
      </w:r>
      <w:r w:rsidR="001859C1" w:rsidRPr="003B7DCE">
        <w:rPr>
          <w:noProof/>
        </w:rPr>
        <w:t>increas</w:t>
      </w:r>
      <w:r w:rsidR="00DB3CEF">
        <w:rPr>
          <w:noProof/>
        </w:rPr>
        <w:t>e</w:t>
      </w:r>
      <w:r w:rsidR="001859C1" w:rsidRPr="003B7DCE">
        <w:rPr>
          <w:noProof/>
        </w:rPr>
        <w:t xml:space="preserve"> </w:t>
      </w:r>
      <w:r w:rsidR="001859C1">
        <w:rPr>
          <w:noProof/>
        </w:rPr>
        <w:t xml:space="preserve">corporate </w:t>
      </w:r>
      <w:r w:rsidR="001859C1" w:rsidRPr="003B7DCE">
        <w:rPr>
          <w:noProof/>
        </w:rPr>
        <w:t>accountability for adverse imp</w:t>
      </w:r>
      <w:r w:rsidR="001859C1">
        <w:rPr>
          <w:noProof/>
        </w:rPr>
        <w:t xml:space="preserve">acts, </w:t>
      </w:r>
      <w:r w:rsidR="001859C1" w:rsidRPr="00D22E70">
        <w:rPr>
          <w:noProof/>
        </w:rPr>
        <w:t xml:space="preserve">and </w:t>
      </w:r>
      <w:r w:rsidR="00DB3CEF" w:rsidRPr="00D22E70">
        <w:rPr>
          <w:noProof/>
        </w:rPr>
        <w:t>ensur</w:t>
      </w:r>
      <w:r w:rsidR="00DB3CEF">
        <w:rPr>
          <w:noProof/>
        </w:rPr>
        <w:t>e</w:t>
      </w:r>
      <w:r w:rsidR="00DB3CEF" w:rsidRPr="00D22E70">
        <w:rPr>
          <w:noProof/>
        </w:rPr>
        <w:t xml:space="preserve"> </w:t>
      </w:r>
      <w:r w:rsidR="001859C1" w:rsidRPr="00D22E70">
        <w:rPr>
          <w:noProof/>
        </w:rPr>
        <w:t xml:space="preserve">coherence for companies regarding obligations under existing and </w:t>
      </w:r>
      <w:r w:rsidR="00BA7A82">
        <w:rPr>
          <w:noProof/>
        </w:rPr>
        <w:t>proposed</w:t>
      </w:r>
      <w:r w:rsidR="00BA7A82" w:rsidRPr="00D22E70">
        <w:rPr>
          <w:noProof/>
        </w:rPr>
        <w:t xml:space="preserve"> </w:t>
      </w:r>
      <w:r w:rsidR="001859C1" w:rsidRPr="00D22E70">
        <w:rPr>
          <w:noProof/>
        </w:rPr>
        <w:t>EU initiatives</w:t>
      </w:r>
      <w:r w:rsidR="00643C08">
        <w:rPr>
          <w:noProof/>
        </w:rPr>
        <w:t xml:space="preserve"> on responsible business conduct</w:t>
      </w:r>
      <w:r w:rsidR="001859C1" w:rsidRPr="003B7DCE">
        <w:rPr>
          <w:noProof/>
        </w:rPr>
        <w:t>;</w:t>
      </w:r>
      <w:r w:rsidR="001859C1" w:rsidRPr="00D22E70" w:rsidDel="29C4E1C6">
        <w:rPr>
          <w:noProof/>
        </w:rPr>
        <w:t xml:space="preserve"> </w:t>
      </w:r>
    </w:p>
    <w:p w14:paraId="6EE4D776" w14:textId="0D49358B" w:rsidR="001859C1" w:rsidRPr="00D22E70" w:rsidRDefault="00822875" w:rsidP="00822875">
      <w:pPr>
        <w:pStyle w:val="Point1"/>
        <w:rPr>
          <w:noProof/>
        </w:rPr>
      </w:pPr>
      <w:r w:rsidRPr="00822875">
        <w:t>(4)</w:t>
      </w:r>
      <w:r w:rsidRPr="00822875">
        <w:tab/>
      </w:r>
      <w:r w:rsidR="00DB3CEF" w:rsidRPr="003B7DCE">
        <w:rPr>
          <w:noProof/>
        </w:rPr>
        <w:t>improv</w:t>
      </w:r>
      <w:r w:rsidR="00DB3CEF">
        <w:rPr>
          <w:noProof/>
        </w:rPr>
        <w:t>e</w:t>
      </w:r>
      <w:r w:rsidR="00DB3CEF" w:rsidRPr="003B7DCE">
        <w:rPr>
          <w:noProof/>
        </w:rPr>
        <w:t xml:space="preserve"> </w:t>
      </w:r>
      <w:r w:rsidR="001859C1" w:rsidRPr="003B7DCE">
        <w:rPr>
          <w:noProof/>
        </w:rPr>
        <w:t xml:space="preserve">access to </w:t>
      </w:r>
      <w:r w:rsidR="00DB3CEF" w:rsidRPr="003B7DCE">
        <w:rPr>
          <w:noProof/>
        </w:rPr>
        <w:t>remed</w:t>
      </w:r>
      <w:r w:rsidR="00DB3CEF">
        <w:rPr>
          <w:noProof/>
        </w:rPr>
        <w:t>ies</w:t>
      </w:r>
      <w:r w:rsidR="00DB3CEF" w:rsidRPr="003B7DCE">
        <w:rPr>
          <w:noProof/>
        </w:rPr>
        <w:t xml:space="preserve"> </w:t>
      </w:r>
      <w:r w:rsidR="001859C1" w:rsidRPr="003B7DCE">
        <w:rPr>
          <w:noProof/>
        </w:rPr>
        <w:t>for those affected by adverse human rights and environmental impacts</w:t>
      </w:r>
      <w:r w:rsidR="001859C1">
        <w:rPr>
          <w:noProof/>
        </w:rPr>
        <w:t xml:space="preserve"> of</w:t>
      </w:r>
      <w:r w:rsidR="001859C1" w:rsidRPr="002D55C2">
        <w:rPr>
          <w:noProof/>
        </w:rPr>
        <w:t xml:space="preserve"> </w:t>
      </w:r>
      <w:r w:rsidR="001859C1" w:rsidRPr="003B7DCE">
        <w:rPr>
          <w:noProof/>
        </w:rPr>
        <w:t>corporate</w:t>
      </w:r>
      <w:r w:rsidR="001859C1">
        <w:rPr>
          <w:noProof/>
        </w:rPr>
        <w:t xml:space="preserve"> behaviour</w:t>
      </w:r>
      <w:r w:rsidR="008764EB">
        <w:rPr>
          <w:noProof/>
        </w:rPr>
        <w:t>;</w:t>
      </w:r>
      <w:r w:rsidR="001859C1" w:rsidRPr="003B7DCE">
        <w:rPr>
          <w:noProof/>
        </w:rPr>
        <w:t xml:space="preserve"> </w:t>
      </w:r>
    </w:p>
    <w:p w14:paraId="5C2AC3D9" w14:textId="6B469183" w:rsidR="001859C1" w:rsidRPr="00620F66" w:rsidRDefault="00822875" w:rsidP="00822875">
      <w:pPr>
        <w:pStyle w:val="Point1"/>
        <w:rPr>
          <w:rFonts w:eastAsia="Arial Unicode MS"/>
          <w:noProof/>
        </w:rPr>
      </w:pPr>
      <w:r w:rsidRPr="00822875">
        <w:t>(5)</w:t>
      </w:r>
      <w:r w:rsidRPr="00822875">
        <w:tab/>
      </w:r>
      <w:r w:rsidR="00A16F1B">
        <w:rPr>
          <w:noProof/>
        </w:rPr>
        <w:t>b</w:t>
      </w:r>
      <w:r w:rsidR="00A16F1B" w:rsidRPr="003B7DCE">
        <w:rPr>
          <w:noProof/>
        </w:rPr>
        <w:t>eing</w:t>
      </w:r>
      <w:r w:rsidR="001859C1" w:rsidRPr="003B7DCE">
        <w:rPr>
          <w:noProof/>
        </w:rPr>
        <w:t xml:space="preserve"> a horizontal instrument </w:t>
      </w:r>
      <w:r w:rsidR="001859C1">
        <w:rPr>
          <w:noProof/>
        </w:rPr>
        <w:t xml:space="preserve">focussing on business processes, </w:t>
      </w:r>
      <w:r w:rsidR="001859C1" w:rsidRPr="003B7DCE">
        <w:rPr>
          <w:noProof/>
        </w:rPr>
        <w:t>applying also to the value chain, this Directive will complement other measures</w:t>
      </w:r>
      <w:r w:rsidR="003E024D">
        <w:rPr>
          <w:noProof/>
        </w:rPr>
        <w:t xml:space="preserve"> in force or proposed</w:t>
      </w:r>
      <w:r w:rsidR="001859C1" w:rsidRPr="003B7DCE">
        <w:rPr>
          <w:noProof/>
        </w:rPr>
        <w:t>, which directly address some specific sustainability challenges</w:t>
      </w:r>
      <w:r w:rsidR="001859C1">
        <w:rPr>
          <w:noProof/>
        </w:rPr>
        <w:t xml:space="preserve"> or apply in some specific sectors</w:t>
      </w:r>
      <w:r w:rsidR="001859C1" w:rsidRPr="003B7DCE">
        <w:rPr>
          <w:noProof/>
        </w:rPr>
        <w:t xml:space="preserve">, mostly within the </w:t>
      </w:r>
      <w:r w:rsidR="00A16F1B">
        <w:rPr>
          <w:noProof/>
        </w:rPr>
        <w:t>Union</w:t>
      </w:r>
      <w:r w:rsidR="001859C1">
        <w:rPr>
          <w:noProof/>
        </w:rPr>
        <w:t>.</w:t>
      </w:r>
    </w:p>
    <w:p w14:paraId="6FA850F1" w14:textId="77777777" w:rsidR="001859C1" w:rsidRPr="00370814" w:rsidRDefault="001859C1" w:rsidP="000B2095">
      <w:pPr>
        <w:pStyle w:val="ManualHeading2"/>
        <w:rPr>
          <w:b w:val="0"/>
          <w:noProof/>
          <w:color w:val="000000" w:themeColor="text1"/>
        </w:rPr>
      </w:pPr>
      <w:r w:rsidRPr="00370814">
        <w:rPr>
          <w:noProof/>
        </w:rPr>
        <w:t>Consistency with existing policy provisions in the policy area</w:t>
      </w:r>
    </w:p>
    <w:p w14:paraId="27362A15" w14:textId="77777777" w:rsidR="001859C1" w:rsidRDefault="001859C1" w:rsidP="00CB3D33">
      <w:pPr>
        <w:rPr>
          <w:rFonts w:eastAsia="Times New Roman"/>
          <w:noProof/>
        </w:rPr>
      </w:pPr>
      <w:r w:rsidRPr="003B7DCE">
        <w:rPr>
          <w:noProof/>
        </w:rPr>
        <w:t xml:space="preserve">At EU level, sustainable corporate governance has been mainly fostered indirectly by imposing </w:t>
      </w:r>
      <w:r w:rsidRPr="00021ADA">
        <w:rPr>
          <w:bCs/>
          <w:noProof/>
        </w:rPr>
        <w:t>reporting requ</w:t>
      </w:r>
      <w:r w:rsidRPr="00021ADA">
        <w:rPr>
          <w:rFonts w:eastAsia="Times New Roman"/>
          <w:bCs/>
          <w:noProof/>
        </w:rPr>
        <w:t>irements</w:t>
      </w:r>
      <w:r w:rsidRPr="00376D03">
        <w:rPr>
          <w:rFonts w:eastAsia="Times New Roman"/>
          <w:noProof/>
        </w:rPr>
        <w:t xml:space="preserve"> in the </w:t>
      </w:r>
      <w:hyperlink r:id="rId13" w:history="1">
        <w:r w:rsidRPr="003B7DCE">
          <w:rPr>
            <w:rFonts w:eastAsia="Calibri"/>
            <w:noProof/>
            <w:color w:val="0000FF" w:themeColor="hyperlink"/>
            <w:u w:val="single"/>
          </w:rPr>
          <w:t>Non-Financial Reporting Directive (NFRD</w:t>
        </w:r>
      </w:hyperlink>
      <w:r w:rsidRPr="00BC2AC0">
        <w:rPr>
          <w:rFonts w:eastAsia="Times New Roman"/>
          <w:noProof/>
          <w:color w:val="0000FF" w:themeColor="hyperlink"/>
          <w:u w:val="single"/>
        </w:rPr>
        <w:t>)</w:t>
      </w:r>
      <w:r w:rsidR="00AF3BC1">
        <w:rPr>
          <w:rStyle w:val="Allmrkuseviide"/>
          <w:rFonts w:eastAsia="Times New Roman"/>
          <w:noProof/>
          <w:color w:val="0000FF" w:themeColor="hyperlink"/>
          <w:u w:val="single"/>
        </w:rPr>
        <w:footnoteReference w:id="11"/>
      </w:r>
      <w:r w:rsidRPr="00BC2AC0">
        <w:rPr>
          <w:rFonts w:eastAsia="Times New Roman"/>
          <w:noProof/>
          <w:color w:val="0000FF" w:themeColor="hyperlink"/>
          <w:u w:val="single"/>
        </w:rPr>
        <w:t xml:space="preserve"> </w:t>
      </w:r>
      <w:r w:rsidRPr="00376D03">
        <w:rPr>
          <w:rFonts w:eastAsia="Times New Roman"/>
          <w:noProof/>
        </w:rPr>
        <w:t>on approx</w:t>
      </w:r>
      <w:r w:rsidR="005419BD">
        <w:rPr>
          <w:rFonts w:eastAsia="Times New Roman"/>
          <w:noProof/>
        </w:rPr>
        <w:t>imately</w:t>
      </w:r>
      <w:r w:rsidRPr="00376D03">
        <w:rPr>
          <w:rFonts w:eastAsia="Times New Roman"/>
          <w:noProof/>
        </w:rPr>
        <w:t xml:space="preserve"> 12</w:t>
      </w:r>
      <w:r w:rsidR="005419BD">
        <w:rPr>
          <w:rFonts w:eastAsia="Times New Roman"/>
          <w:noProof/>
        </w:rPr>
        <w:t> </w:t>
      </w:r>
      <w:r w:rsidRPr="00376D03">
        <w:rPr>
          <w:rFonts w:eastAsia="Times New Roman"/>
          <w:noProof/>
        </w:rPr>
        <w:t>000</w:t>
      </w:r>
      <w:r w:rsidRPr="00376D03" w:rsidDel="001E05FA">
        <w:rPr>
          <w:rFonts w:eastAsia="Times New Roman"/>
          <w:noProof/>
        </w:rPr>
        <w:t xml:space="preserve"> </w:t>
      </w:r>
      <w:r w:rsidRPr="2F55483E">
        <w:rPr>
          <w:rFonts w:eastAsia="Times New Roman"/>
          <w:noProof/>
        </w:rPr>
        <w:t>companies</w:t>
      </w:r>
      <w:r w:rsidRPr="00AB0B10">
        <w:rPr>
          <w:rStyle w:val="Allmrkuseviide"/>
          <w:noProof/>
        </w:rPr>
        <w:footnoteReference w:id="12"/>
      </w:r>
      <w:r w:rsidRPr="00BC2AC0">
        <w:rPr>
          <w:rFonts w:eastAsia="Times New Roman"/>
          <w:noProof/>
        </w:rPr>
        <w:t xml:space="preserve"> </w:t>
      </w:r>
      <w:r>
        <w:rPr>
          <w:rFonts w:eastAsia="Times New Roman"/>
          <w:noProof/>
        </w:rPr>
        <w:t>concerning</w:t>
      </w:r>
      <w:r w:rsidRPr="00BC2AC0">
        <w:rPr>
          <w:rFonts w:eastAsia="Times New Roman"/>
          <w:noProof/>
        </w:rPr>
        <w:t xml:space="preserve"> environmental, social and human rights related</w:t>
      </w:r>
      <w:r w:rsidRPr="00376D03">
        <w:rPr>
          <w:rFonts w:eastAsia="Times New Roman"/>
          <w:noProof/>
        </w:rPr>
        <w:t xml:space="preserve"> risks, impacts, measures (including due diligence) and policies</w:t>
      </w:r>
      <w:r w:rsidRPr="00192A78">
        <w:rPr>
          <w:rFonts w:eastAsia="Times New Roman"/>
          <w:noProof/>
        </w:rPr>
        <w:t>.</w:t>
      </w:r>
      <w:r w:rsidRPr="00AB0B10">
        <w:rPr>
          <w:rStyle w:val="Allmrkuseviide"/>
          <w:noProof/>
        </w:rPr>
        <w:footnoteReference w:id="13"/>
      </w:r>
      <w:r w:rsidRPr="00BC2AC0">
        <w:rPr>
          <w:rFonts w:eastAsia="Times New Roman"/>
          <w:noProof/>
        </w:rPr>
        <w:t xml:space="preserve"> The NFRD had some positive impact </w:t>
      </w:r>
      <w:r w:rsidR="003E024D">
        <w:rPr>
          <w:rFonts w:eastAsia="Times New Roman"/>
          <w:noProof/>
        </w:rPr>
        <w:t xml:space="preserve">on improvement of responsible business operation, </w:t>
      </w:r>
      <w:r w:rsidRPr="00BC2AC0">
        <w:rPr>
          <w:rFonts w:eastAsia="Times New Roman"/>
          <w:noProof/>
        </w:rPr>
        <w:t xml:space="preserve">but has not resulted in the majority of companies taking sufficient account of </w:t>
      </w:r>
      <w:r w:rsidRPr="00192A78">
        <w:rPr>
          <w:rFonts w:eastAsia="Times New Roman"/>
          <w:noProof/>
        </w:rPr>
        <w:t>their</w:t>
      </w:r>
      <w:r w:rsidRPr="00BC2AC0">
        <w:rPr>
          <w:rFonts w:eastAsia="Times New Roman"/>
          <w:noProof/>
        </w:rPr>
        <w:t xml:space="preserve"> </w:t>
      </w:r>
      <w:r w:rsidR="003E024D">
        <w:rPr>
          <w:rFonts w:eastAsia="Times New Roman"/>
          <w:noProof/>
        </w:rPr>
        <w:t xml:space="preserve">adverse </w:t>
      </w:r>
      <w:r w:rsidRPr="00BC2AC0">
        <w:rPr>
          <w:rFonts w:eastAsia="Times New Roman"/>
          <w:noProof/>
        </w:rPr>
        <w:t>impacts</w:t>
      </w:r>
      <w:r w:rsidR="003E024D">
        <w:rPr>
          <w:rFonts w:eastAsia="Times New Roman"/>
          <w:noProof/>
        </w:rPr>
        <w:t xml:space="preserve"> in their value chains</w:t>
      </w:r>
      <w:r w:rsidRPr="00BC2AC0">
        <w:rPr>
          <w:rFonts w:eastAsia="Times New Roman"/>
          <w:noProof/>
        </w:rPr>
        <w:t>.</w:t>
      </w:r>
      <w:r w:rsidRPr="00AB0B10">
        <w:rPr>
          <w:rStyle w:val="Allmrkuseviide"/>
          <w:noProof/>
        </w:rPr>
        <w:footnoteReference w:id="14"/>
      </w:r>
      <w:r w:rsidRPr="00BC2AC0">
        <w:rPr>
          <w:rFonts w:eastAsia="Times New Roman"/>
          <w:noProof/>
        </w:rPr>
        <w:t xml:space="preserve"> </w:t>
      </w:r>
      <w:r w:rsidR="000912F4">
        <w:rPr>
          <w:rFonts w:eastAsia="Times New Roman"/>
          <w:noProof/>
        </w:rPr>
        <w:t xml:space="preserve"> </w:t>
      </w:r>
    </w:p>
    <w:p w14:paraId="3FFDCCF3" w14:textId="55E62722" w:rsidR="001859C1" w:rsidRDefault="001859C1" w:rsidP="00CB3D33">
      <w:pPr>
        <w:rPr>
          <w:noProof/>
        </w:rPr>
      </w:pPr>
      <w:r w:rsidRPr="0063690D">
        <w:rPr>
          <w:noProof/>
        </w:rPr>
        <w:t xml:space="preserve">The </w:t>
      </w:r>
      <w:r w:rsidR="001F40C3">
        <w:rPr>
          <w:noProof/>
        </w:rPr>
        <w:t xml:space="preserve">Commission’s </w:t>
      </w:r>
      <w:r w:rsidRPr="0063690D">
        <w:rPr>
          <w:noProof/>
        </w:rPr>
        <w:t xml:space="preserve">recent </w:t>
      </w:r>
      <w:r w:rsidRPr="0063690D">
        <w:rPr>
          <w:noProof/>
          <w:color w:val="0000FF" w:themeColor="hyperlink"/>
          <w:u w:val="single"/>
        </w:rPr>
        <w:t>proposal for a Corporate Sustainability Reporting Directive (CSRD)</w:t>
      </w:r>
      <w:r>
        <w:rPr>
          <w:noProof/>
          <w:color w:val="0000FF" w:themeColor="hyperlink"/>
          <w:u w:val="single"/>
        </w:rPr>
        <w:t>, revising the NFRD</w:t>
      </w:r>
      <w:r w:rsidR="008A4E68">
        <w:rPr>
          <w:rStyle w:val="Allmrkuseviide"/>
          <w:noProof/>
          <w:color w:val="0000FF" w:themeColor="hyperlink"/>
          <w:u w:val="single"/>
        </w:rPr>
        <w:footnoteReference w:id="15"/>
      </w:r>
      <w:r>
        <w:rPr>
          <w:noProof/>
          <w:color w:val="0000FF" w:themeColor="hyperlink"/>
          <w:u w:val="single"/>
        </w:rPr>
        <w:t>,</w:t>
      </w:r>
      <w:r w:rsidRPr="0095628B">
        <w:rPr>
          <w:noProof/>
        </w:rPr>
        <w:t xml:space="preserve"> </w:t>
      </w:r>
      <w:r w:rsidR="00386920">
        <w:rPr>
          <w:noProof/>
        </w:rPr>
        <w:t xml:space="preserve">would </w:t>
      </w:r>
      <w:r w:rsidRPr="0095628B">
        <w:rPr>
          <w:noProof/>
        </w:rPr>
        <w:t>extend the scope of the companies covered</w:t>
      </w:r>
      <w:r w:rsidR="00386920">
        <w:rPr>
          <w:noProof/>
        </w:rPr>
        <w:t xml:space="preserve"> to all large and all listed companies</w:t>
      </w:r>
      <w:r w:rsidRPr="00AB0B10">
        <w:rPr>
          <w:rStyle w:val="Allmrkuseviide"/>
          <w:noProof/>
        </w:rPr>
        <w:footnoteReference w:id="16"/>
      </w:r>
      <w:r w:rsidR="004B1387">
        <w:rPr>
          <w:noProof/>
        </w:rPr>
        <w:t xml:space="preserve">, </w:t>
      </w:r>
      <w:r w:rsidR="004B1387" w:rsidRPr="00D97A49">
        <w:rPr>
          <w:noProof/>
        </w:rPr>
        <w:t xml:space="preserve">require </w:t>
      </w:r>
      <w:r w:rsidRPr="0095628B">
        <w:rPr>
          <w:noProof/>
        </w:rPr>
        <w:t xml:space="preserve">the </w:t>
      </w:r>
      <w:r w:rsidR="004B1387" w:rsidRPr="00D97A49">
        <w:rPr>
          <w:noProof/>
        </w:rPr>
        <w:t>audit (assurance)</w:t>
      </w:r>
      <w:r w:rsidRPr="0095628B">
        <w:rPr>
          <w:noProof/>
        </w:rPr>
        <w:t xml:space="preserve"> of reported information</w:t>
      </w:r>
      <w:r w:rsidRPr="0063690D">
        <w:rPr>
          <w:noProof/>
        </w:rPr>
        <w:t xml:space="preserve"> </w:t>
      </w:r>
      <w:r w:rsidRPr="0095628B">
        <w:rPr>
          <w:noProof/>
        </w:rPr>
        <w:t>and strengthen the standardisation of reported information</w:t>
      </w:r>
      <w:r w:rsidR="00386920">
        <w:rPr>
          <w:noProof/>
        </w:rPr>
        <w:t xml:space="preserve"> by empowering the Commission to adopt sustainability reporting standards</w:t>
      </w:r>
      <w:r w:rsidRPr="0095628B">
        <w:rPr>
          <w:noProof/>
        </w:rPr>
        <w:t>.</w:t>
      </w:r>
      <w:r w:rsidR="00386920">
        <w:rPr>
          <w:rStyle w:val="Allmrkuseviide"/>
          <w:noProof/>
        </w:rPr>
        <w:footnoteReference w:id="17"/>
      </w:r>
      <w:r w:rsidRPr="0095628B">
        <w:rPr>
          <w:noProof/>
        </w:rPr>
        <w:t xml:space="preserve"> This Directive will complement the </w:t>
      </w:r>
      <w:r w:rsidR="00A16F1B">
        <w:rPr>
          <w:noProof/>
        </w:rPr>
        <w:t xml:space="preserve">current NFRD and </w:t>
      </w:r>
      <w:r w:rsidR="00570C80">
        <w:rPr>
          <w:noProof/>
        </w:rPr>
        <w:t>its proposed amendments (</w:t>
      </w:r>
      <w:r w:rsidR="00A16F1B">
        <w:rPr>
          <w:noProof/>
        </w:rPr>
        <w:t xml:space="preserve">proposal </w:t>
      </w:r>
      <w:r w:rsidR="00D96C26">
        <w:rPr>
          <w:noProof/>
        </w:rPr>
        <w:t>for</w:t>
      </w:r>
      <w:r w:rsidRPr="0095628B">
        <w:rPr>
          <w:noProof/>
        </w:rPr>
        <w:t xml:space="preserve"> CSRD</w:t>
      </w:r>
      <w:r w:rsidR="00570C80">
        <w:rPr>
          <w:noProof/>
        </w:rPr>
        <w:t>)</w:t>
      </w:r>
      <w:r w:rsidRPr="0095628B">
        <w:rPr>
          <w:noProof/>
        </w:rPr>
        <w:t xml:space="preserve"> by adding a </w:t>
      </w:r>
      <w:r w:rsidR="002B11B6">
        <w:rPr>
          <w:noProof/>
        </w:rPr>
        <w:t>substantive</w:t>
      </w:r>
      <w:r w:rsidRPr="0095628B">
        <w:rPr>
          <w:noProof/>
        </w:rPr>
        <w:t xml:space="preserve"> corporate duty </w:t>
      </w:r>
      <w:r>
        <w:rPr>
          <w:noProof/>
        </w:rPr>
        <w:t>for some</w:t>
      </w:r>
      <w:r w:rsidRPr="0095628B">
        <w:rPr>
          <w:noProof/>
        </w:rPr>
        <w:t xml:space="preserve"> companies to perform due diligence </w:t>
      </w:r>
      <w:r w:rsidR="00643C08">
        <w:rPr>
          <w:rFonts w:eastAsia="Times New Roman"/>
          <w:noProof/>
        </w:rPr>
        <w:t>to identify, prevent,</w:t>
      </w:r>
      <w:r>
        <w:rPr>
          <w:rFonts w:eastAsia="Times New Roman"/>
          <w:noProof/>
        </w:rPr>
        <w:t xml:space="preserve"> </w:t>
      </w:r>
      <w:r w:rsidRPr="0095628B">
        <w:rPr>
          <w:noProof/>
        </w:rPr>
        <w:t xml:space="preserve">mitigate </w:t>
      </w:r>
      <w:r w:rsidR="00643C08">
        <w:rPr>
          <w:rFonts w:eastAsia="Times New Roman"/>
          <w:noProof/>
        </w:rPr>
        <w:t>and account for</w:t>
      </w:r>
      <w:r w:rsidRPr="0095628B">
        <w:rPr>
          <w:rFonts w:eastAsia="Times New Roman"/>
          <w:noProof/>
        </w:rPr>
        <w:t xml:space="preserve"> </w:t>
      </w:r>
      <w:r w:rsidRPr="0095628B">
        <w:rPr>
          <w:noProof/>
        </w:rPr>
        <w:t>external harm resulting from adverse human rights</w:t>
      </w:r>
      <w:r w:rsidR="00F16F54">
        <w:rPr>
          <w:noProof/>
        </w:rPr>
        <w:t xml:space="preserve"> </w:t>
      </w:r>
      <w:r w:rsidRPr="0095628B">
        <w:rPr>
          <w:noProof/>
        </w:rPr>
        <w:t>and environmental impacts in the company’s own operations</w:t>
      </w:r>
      <w:r w:rsidR="00A50FB2">
        <w:rPr>
          <w:noProof/>
        </w:rPr>
        <w:t>, its subsidiaries</w:t>
      </w:r>
      <w:r w:rsidRPr="0095628B">
        <w:rPr>
          <w:noProof/>
        </w:rPr>
        <w:t xml:space="preserve"> and in the value chain. </w:t>
      </w:r>
      <w:r w:rsidR="00604474" w:rsidRPr="00604474">
        <w:rPr>
          <w:noProof/>
        </w:rPr>
        <w:t xml:space="preserve">Of particular relevance </w:t>
      </w:r>
      <w:r w:rsidR="000912F4">
        <w:rPr>
          <w:noProof/>
        </w:rPr>
        <w:t>of</w:t>
      </w:r>
      <w:r w:rsidR="00D96C26">
        <w:rPr>
          <w:noProof/>
        </w:rPr>
        <w:t xml:space="preserve"> </w:t>
      </w:r>
      <w:r w:rsidR="00604474" w:rsidRPr="00604474">
        <w:rPr>
          <w:noProof/>
        </w:rPr>
        <w:t xml:space="preserve">the </w:t>
      </w:r>
      <w:r w:rsidR="00A16F1B">
        <w:rPr>
          <w:noProof/>
        </w:rPr>
        <w:t xml:space="preserve">proposal </w:t>
      </w:r>
      <w:r w:rsidR="00D96C26">
        <w:rPr>
          <w:noProof/>
        </w:rPr>
        <w:t xml:space="preserve">on </w:t>
      </w:r>
      <w:r w:rsidR="00604474" w:rsidRPr="00604474">
        <w:rPr>
          <w:noProof/>
        </w:rPr>
        <w:t>CSRD</w:t>
      </w:r>
      <w:r w:rsidR="00604474" w:rsidRPr="00604474" w:rsidDel="00D96C26">
        <w:rPr>
          <w:noProof/>
        </w:rPr>
        <w:t xml:space="preserve"> </w:t>
      </w:r>
      <w:r w:rsidR="00D96C26">
        <w:rPr>
          <w:noProof/>
        </w:rPr>
        <w:t>is that it</w:t>
      </w:r>
      <w:r w:rsidR="00604474" w:rsidRPr="00604474">
        <w:rPr>
          <w:noProof/>
        </w:rPr>
        <w:t xml:space="preserve"> mandates disclosure of plans of an undertaking to ensure that its business model and strategy are compatible with the transition to a sustainable economy and with the limiting of global warming to 1.5</w:t>
      </w:r>
      <w:r w:rsidR="00B95717">
        <w:rPr>
          <w:noProof/>
        </w:rPr>
        <w:t> </w:t>
      </w:r>
      <w:r w:rsidR="00604474" w:rsidRPr="00604474">
        <w:rPr>
          <w:noProof/>
        </w:rPr>
        <w:t xml:space="preserve">°C in line with the Paris Agreement. </w:t>
      </w:r>
      <w:r w:rsidRPr="0095628B">
        <w:rPr>
          <w:noProof/>
        </w:rPr>
        <w:t xml:space="preserve">The two initiatives are closely interrelated and will lead to synergies. First, </w:t>
      </w:r>
      <w:r w:rsidR="002F598A">
        <w:rPr>
          <w:noProof/>
        </w:rPr>
        <w:t xml:space="preserve">a </w:t>
      </w:r>
      <w:r>
        <w:rPr>
          <w:noProof/>
        </w:rPr>
        <w:t xml:space="preserve">proper </w:t>
      </w:r>
      <w:r w:rsidR="002F598A" w:rsidRPr="0095628B">
        <w:rPr>
          <w:noProof/>
        </w:rPr>
        <w:t xml:space="preserve">information </w:t>
      </w:r>
      <w:r w:rsidRPr="0095628B">
        <w:rPr>
          <w:noProof/>
        </w:rPr>
        <w:t>collecti</w:t>
      </w:r>
      <w:r w:rsidR="009966FB">
        <w:rPr>
          <w:noProof/>
        </w:rPr>
        <w:t>o</w:t>
      </w:r>
      <w:r w:rsidRPr="0095628B">
        <w:rPr>
          <w:noProof/>
        </w:rPr>
        <w:t>n for reporting purposes under the</w:t>
      </w:r>
      <w:r w:rsidR="00133844">
        <w:rPr>
          <w:noProof/>
        </w:rPr>
        <w:t xml:space="preserve"> proposed</w:t>
      </w:r>
      <w:r w:rsidRPr="0095628B">
        <w:rPr>
          <w:noProof/>
        </w:rPr>
        <w:t xml:space="preserve"> CSRD requires setting up processes, </w:t>
      </w:r>
      <w:r w:rsidR="00DB3CEF">
        <w:rPr>
          <w:noProof/>
        </w:rPr>
        <w:t>which is closely related to</w:t>
      </w:r>
      <w:r w:rsidRPr="0095628B">
        <w:rPr>
          <w:noProof/>
        </w:rPr>
        <w:t xml:space="preserve"> </w:t>
      </w:r>
      <w:r w:rsidRPr="0063690D">
        <w:rPr>
          <w:noProof/>
        </w:rPr>
        <w:t>identifying adverse impacts in accordance with the due diligence duty set up by this Directive. Second, the CSRD will cover the last step of the due diligence duty, namely the reporting stage</w:t>
      </w:r>
      <w:r w:rsidR="000912F4">
        <w:rPr>
          <w:noProof/>
        </w:rPr>
        <w:t>, for companies that are also covered by the CSRD</w:t>
      </w:r>
      <w:r w:rsidRPr="0063690D">
        <w:rPr>
          <w:noProof/>
        </w:rPr>
        <w:t xml:space="preserve">. </w:t>
      </w:r>
      <w:r w:rsidR="005E1C92" w:rsidRPr="004043B5">
        <w:rPr>
          <w:noProof/>
        </w:rPr>
        <w:t xml:space="preserve">Third, </w:t>
      </w:r>
      <w:r w:rsidR="004043B5">
        <w:rPr>
          <w:noProof/>
        </w:rPr>
        <w:t>this Directive</w:t>
      </w:r>
      <w:r w:rsidR="005E1C92">
        <w:rPr>
          <w:noProof/>
        </w:rPr>
        <w:t xml:space="preserve"> will set obligations for companies to </w:t>
      </w:r>
      <w:r w:rsidR="00B95717">
        <w:rPr>
          <w:noProof/>
        </w:rPr>
        <w:t xml:space="preserve">have in place the plan ensuring that the business model and strategy are compatible with the transition to a sustainable economy and with the limiting of global warming to </w:t>
      </w:r>
      <w:r w:rsidR="00B95717" w:rsidRPr="00604474">
        <w:rPr>
          <w:noProof/>
        </w:rPr>
        <w:t>1.5</w:t>
      </w:r>
      <w:r w:rsidR="00B95717">
        <w:rPr>
          <w:noProof/>
        </w:rPr>
        <w:t> </w:t>
      </w:r>
      <w:r w:rsidR="00B95717" w:rsidRPr="00604474">
        <w:rPr>
          <w:noProof/>
        </w:rPr>
        <w:t>°C</w:t>
      </w:r>
      <w:r w:rsidR="00B95717">
        <w:rPr>
          <w:noProof/>
        </w:rPr>
        <w:t xml:space="preserve"> in line with the Paris Agreement</w:t>
      </w:r>
      <w:r w:rsidR="004043B5">
        <w:rPr>
          <w:noProof/>
        </w:rPr>
        <w:t xml:space="preserve"> on which the CSRD requires to report</w:t>
      </w:r>
      <w:r w:rsidR="00B95717" w:rsidRPr="004043B5">
        <w:rPr>
          <w:noProof/>
        </w:rPr>
        <w:t>.</w:t>
      </w:r>
      <w:r w:rsidRPr="0063690D">
        <w:rPr>
          <w:noProof/>
        </w:rPr>
        <w:t xml:space="preserve"> T</w:t>
      </w:r>
      <w:r w:rsidR="004043B5">
        <w:rPr>
          <w:noProof/>
        </w:rPr>
        <w:t>hus, t</w:t>
      </w:r>
      <w:r w:rsidRPr="0063690D">
        <w:rPr>
          <w:noProof/>
        </w:rPr>
        <w:t xml:space="preserve">his Directive will lead to companies’ reporting being more complete and effective. Therefore, complementarity will increase effectiveness of both measures and drive </w:t>
      </w:r>
      <w:r>
        <w:rPr>
          <w:noProof/>
        </w:rPr>
        <w:t xml:space="preserve">corporate </w:t>
      </w:r>
      <w:r w:rsidRPr="0063690D">
        <w:rPr>
          <w:noProof/>
        </w:rPr>
        <w:t>behavioural change</w:t>
      </w:r>
      <w:r w:rsidR="00643C08">
        <w:rPr>
          <w:rFonts w:eastAsia="Times New Roman"/>
          <w:noProof/>
        </w:rPr>
        <w:t xml:space="preserve"> for those companies</w:t>
      </w:r>
      <w:r w:rsidRPr="0063690D">
        <w:rPr>
          <w:noProof/>
        </w:rPr>
        <w:t>.</w:t>
      </w:r>
    </w:p>
    <w:p w14:paraId="6277067D" w14:textId="77777777" w:rsidR="00443987" w:rsidRDefault="00443987" w:rsidP="00CB3D33">
      <w:pPr>
        <w:rPr>
          <w:noProof/>
        </w:rPr>
      </w:pPr>
      <w:r>
        <w:rPr>
          <w:noProof/>
        </w:rPr>
        <w:t xml:space="preserve">This Directive will also underpin the </w:t>
      </w:r>
      <w:hyperlink r:id="rId14" w:history="1">
        <w:r w:rsidRPr="00537C9B">
          <w:rPr>
            <w:rStyle w:val="Hperlink"/>
            <w:noProof/>
          </w:rPr>
          <w:t>Sustainable Finance Disclosure Regulation</w:t>
        </w:r>
      </w:hyperlink>
      <w:r>
        <w:rPr>
          <w:rStyle w:val="Allmrkuseviide"/>
          <w:noProof/>
        </w:rPr>
        <w:footnoteReference w:id="18"/>
      </w:r>
      <w:r>
        <w:rPr>
          <w:noProof/>
        </w:rPr>
        <w:t xml:space="preserve"> (SFDR) that has recently entered into force and applies to </w:t>
      </w:r>
      <w:r w:rsidRPr="00537C9B">
        <w:rPr>
          <w:noProof/>
        </w:rPr>
        <w:t xml:space="preserve">financial market participants </w:t>
      </w:r>
      <w:r>
        <w:rPr>
          <w:noProof/>
        </w:rPr>
        <w:t xml:space="preserve">(such as investment fund and portfolio managers, insurance undertakings selling insurance-based investment products and undertakings providing various pension products) and </w:t>
      </w:r>
      <w:r w:rsidRPr="00537C9B">
        <w:rPr>
          <w:noProof/>
        </w:rPr>
        <w:t>financial advisers</w:t>
      </w:r>
      <w:r>
        <w:rPr>
          <w:noProof/>
        </w:rPr>
        <w:t xml:space="preserve">. Under the SFDR, these undertakings are required to publish, among others, a statement on their </w:t>
      </w:r>
      <w:r w:rsidRPr="009B50E7">
        <w:rPr>
          <w:noProof/>
        </w:rPr>
        <w:t xml:space="preserve">due diligence policies with respect to </w:t>
      </w:r>
      <w:r>
        <w:rPr>
          <w:noProof/>
        </w:rPr>
        <w:t xml:space="preserve">principal adverse impacts of their </w:t>
      </w:r>
      <w:r w:rsidRPr="009B50E7">
        <w:rPr>
          <w:noProof/>
        </w:rPr>
        <w:t>investment decisions on sustainability factors</w:t>
      </w:r>
      <w:r>
        <w:rPr>
          <w:noProof/>
        </w:rPr>
        <w:t xml:space="preserve"> on a comply or explain basis. At the same time, for companies with more than 500 employees the publication of such a statement is mandatory, and the Commission is empowered to adopt </w:t>
      </w:r>
      <w:r w:rsidRPr="007E3089">
        <w:rPr>
          <w:noProof/>
        </w:rPr>
        <w:t xml:space="preserve">regulatory technical standards on the sustainability indicators in relation to </w:t>
      </w:r>
      <w:r>
        <w:rPr>
          <w:noProof/>
        </w:rPr>
        <w:t>the various types of adverse impacts.</w:t>
      </w:r>
      <w:r>
        <w:rPr>
          <w:rStyle w:val="Allmrkuseviide"/>
          <w:noProof/>
        </w:rPr>
        <w:footnoteReference w:id="19"/>
      </w:r>
    </w:p>
    <w:p w14:paraId="46AA7AA6" w14:textId="3A7FF164" w:rsidR="001859C1" w:rsidRDefault="001859C1" w:rsidP="0070694A">
      <w:pPr>
        <w:rPr>
          <w:noProof/>
        </w:rPr>
      </w:pPr>
      <w:r w:rsidRPr="0063690D">
        <w:rPr>
          <w:noProof/>
        </w:rPr>
        <w:t>Similarly, this Directive will</w:t>
      </w:r>
      <w:r w:rsidRPr="0095628B">
        <w:rPr>
          <w:noProof/>
        </w:rPr>
        <w:t xml:space="preserve"> complement the recent </w:t>
      </w:r>
      <w:hyperlink r:id="rId15" w:history="1">
        <w:r w:rsidRPr="0063690D">
          <w:rPr>
            <w:noProof/>
            <w:color w:val="0000FF" w:themeColor="hyperlink"/>
            <w:u w:val="single"/>
          </w:rPr>
          <w:t>Taxonomy Regulation</w:t>
        </w:r>
      </w:hyperlink>
      <w:r w:rsidR="00580037">
        <w:rPr>
          <w:rStyle w:val="Allmrkuseviide"/>
          <w:noProof/>
          <w:color w:val="0000FF" w:themeColor="hyperlink"/>
          <w:u w:val="single"/>
        </w:rPr>
        <w:footnoteReference w:id="20"/>
      </w:r>
      <w:r w:rsidRPr="0063690D">
        <w:rPr>
          <w:noProof/>
          <w:color w:val="0000FF" w:themeColor="hyperlink"/>
          <w:u w:val="single"/>
        </w:rPr>
        <w:t>,</w:t>
      </w:r>
      <w:r w:rsidRPr="0095628B">
        <w:rPr>
          <w:noProof/>
        </w:rPr>
        <w:t xml:space="preserve"> a transparency tool that</w:t>
      </w:r>
      <w:r w:rsidRPr="0095628B" w:rsidDel="00AF3EAC">
        <w:rPr>
          <w:noProof/>
        </w:rPr>
        <w:t xml:space="preserve"> </w:t>
      </w:r>
      <w:r w:rsidRPr="0095628B">
        <w:rPr>
          <w:noProof/>
        </w:rPr>
        <w:t>facilitate</w:t>
      </w:r>
      <w:r w:rsidR="00143FFC">
        <w:rPr>
          <w:noProof/>
        </w:rPr>
        <w:t>s</w:t>
      </w:r>
      <w:r w:rsidRPr="0095628B">
        <w:rPr>
          <w:noProof/>
        </w:rPr>
        <w:t xml:space="preserve"> </w:t>
      </w:r>
      <w:r w:rsidR="002503E6" w:rsidRPr="0095628B">
        <w:rPr>
          <w:noProof/>
        </w:rPr>
        <w:t xml:space="preserve">decisions </w:t>
      </w:r>
      <w:r w:rsidR="002503E6">
        <w:rPr>
          <w:noProof/>
        </w:rPr>
        <w:t xml:space="preserve">on </w:t>
      </w:r>
      <w:r w:rsidRPr="0095628B">
        <w:rPr>
          <w:noProof/>
        </w:rPr>
        <w:t xml:space="preserve">investment and </w:t>
      </w:r>
      <w:r w:rsidR="00143FFC">
        <w:rPr>
          <w:noProof/>
        </w:rPr>
        <w:t>helps</w:t>
      </w:r>
      <w:r w:rsidRPr="0095628B">
        <w:rPr>
          <w:noProof/>
        </w:rPr>
        <w:t xml:space="preserve"> tackle greenwashing by providing a categorisation of environmentally sustainable </w:t>
      </w:r>
      <w:r w:rsidR="00B50352" w:rsidRPr="00B50352">
        <w:rPr>
          <w:noProof/>
        </w:rPr>
        <w:t xml:space="preserve">investments in </w:t>
      </w:r>
      <w:r w:rsidRPr="0095628B">
        <w:rPr>
          <w:noProof/>
        </w:rPr>
        <w:t xml:space="preserve">economic activities </w:t>
      </w:r>
      <w:r w:rsidR="002503E6">
        <w:rPr>
          <w:noProof/>
        </w:rPr>
        <w:t>that also meet</w:t>
      </w:r>
      <w:r w:rsidR="002503E6" w:rsidRPr="0095628B">
        <w:rPr>
          <w:noProof/>
        </w:rPr>
        <w:t xml:space="preserve"> </w:t>
      </w:r>
      <w:r w:rsidRPr="0095628B">
        <w:rPr>
          <w:noProof/>
        </w:rPr>
        <w:t>a minimum social safeguard.</w:t>
      </w:r>
      <w:r w:rsidRPr="00AB0B10">
        <w:rPr>
          <w:rStyle w:val="Allmrkuseviide"/>
          <w:noProof/>
        </w:rPr>
        <w:footnoteReference w:id="21"/>
      </w:r>
      <w:r>
        <w:rPr>
          <w:noProof/>
        </w:rPr>
        <w:t xml:space="preserve"> </w:t>
      </w:r>
      <w:r w:rsidR="006642A7" w:rsidRPr="00B82C4D">
        <w:rPr>
          <w:rFonts w:eastAsia="Times New Roman"/>
          <w:noProof/>
        </w:rPr>
        <w:t>The</w:t>
      </w:r>
      <w:r w:rsidR="00D55C58">
        <w:rPr>
          <w:rFonts w:eastAsia="Times New Roman"/>
          <w:noProof/>
        </w:rPr>
        <w:t xml:space="preserve"> reporting </w:t>
      </w:r>
      <w:r w:rsidR="000A6937">
        <w:rPr>
          <w:rFonts w:eastAsia="Times New Roman"/>
          <w:noProof/>
        </w:rPr>
        <w:t>covers also</w:t>
      </w:r>
      <w:r w:rsidR="006642A7" w:rsidRPr="00B82C4D">
        <w:rPr>
          <w:rFonts w:eastAsia="Times New Roman"/>
          <w:noProof/>
        </w:rPr>
        <w:t xml:space="preserve"> minimum safeguards </w:t>
      </w:r>
      <w:r w:rsidR="006642A7">
        <w:rPr>
          <w:rFonts w:eastAsia="Times New Roman"/>
          <w:noProof/>
        </w:rPr>
        <w:t xml:space="preserve">established in Article 18 of the Taxonomy Regulation </w:t>
      </w:r>
      <w:r w:rsidR="000A6937">
        <w:rPr>
          <w:rFonts w:eastAsia="Times New Roman"/>
          <w:noProof/>
        </w:rPr>
        <w:t xml:space="preserve">that </w:t>
      </w:r>
      <w:r w:rsidR="00D55C58">
        <w:rPr>
          <w:rFonts w:eastAsia="Times New Roman"/>
          <w:noProof/>
        </w:rPr>
        <w:t>refer to</w:t>
      </w:r>
      <w:r w:rsidR="006642A7" w:rsidRPr="00B82C4D">
        <w:rPr>
          <w:rFonts w:eastAsia="Times New Roman"/>
          <w:noProof/>
        </w:rPr>
        <w:t xml:space="preserve"> procedures </w:t>
      </w:r>
      <w:r w:rsidR="000A6937">
        <w:rPr>
          <w:rFonts w:eastAsia="Times New Roman"/>
          <w:noProof/>
        </w:rPr>
        <w:t>companies should</w:t>
      </w:r>
      <w:r w:rsidR="006642A7" w:rsidRPr="00B82C4D">
        <w:rPr>
          <w:rFonts w:eastAsia="Times New Roman"/>
          <w:noProof/>
        </w:rPr>
        <w:t xml:space="preserve"> </w:t>
      </w:r>
      <w:r w:rsidR="000A6937" w:rsidRPr="00B82C4D">
        <w:rPr>
          <w:rFonts w:eastAsia="Times New Roman"/>
          <w:noProof/>
        </w:rPr>
        <w:t>implement</w:t>
      </w:r>
      <w:r w:rsidR="000A6937">
        <w:rPr>
          <w:rFonts w:eastAsia="Times New Roman"/>
          <w:noProof/>
        </w:rPr>
        <w:t xml:space="preserve"> to </w:t>
      </w:r>
      <w:r w:rsidR="000A6937" w:rsidRPr="00B82C4D">
        <w:rPr>
          <w:rFonts w:eastAsia="Times New Roman"/>
          <w:noProof/>
        </w:rPr>
        <w:t>ensure the alignment with the OECD Guidelines for Multinational Enterprises and the UN Guiding Principles on Business and Human Rights, including the principles and rights set out in the eight fundamental conventions identified in the Declaration of the International Labour Organi</w:t>
      </w:r>
      <w:r w:rsidR="000A6937">
        <w:rPr>
          <w:rFonts w:eastAsia="Times New Roman"/>
          <w:noProof/>
        </w:rPr>
        <w:t>z</w:t>
      </w:r>
      <w:r w:rsidR="000A6937" w:rsidRPr="00B82C4D">
        <w:rPr>
          <w:rFonts w:eastAsia="Times New Roman"/>
          <w:noProof/>
        </w:rPr>
        <w:t>ation on Fundamental Principles and Rights at Work and the International Bill of Human Rights</w:t>
      </w:r>
      <w:r w:rsidR="006642A7" w:rsidRPr="00B82C4D">
        <w:rPr>
          <w:rFonts w:eastAsia="Times New Roman"/>
          <w:noProof/>
        </w:rPr>
        <w:t xml:space="preserve"> </w:t>
      </w:r>
      <w:r w:rsidR="000A6937">
        <w:rPr>
          <w:rFonts w:eastAsia="Times New Roman"/>
          <w:noProof/>
        </w:rPr>
        <w:t>when</w:t>
      </w:r>
      <w:r w:rsidR="006642A7" w:rsidRPr="00B82C4D">
        <w:rPr>
          <w:rFonts w:eastAsia="Times New Roman"/>
          <w:noProof/>
        </w:rPr>
        <w:t xml:space="preserve"> carrying out an economic activity</w:t>
      </w:r>
      <w:r w:rsidR="000912F4">
        <w:rPr>
          <w:rFonts w:eastAsia="Times New Roman"/>
          <w:noProof/>
        </w:rPr>
        <w:t xml:space="preserve"> categorized as “sustainable”. </w:t>
      </w:r>
      <w:r>
        <w:rPr>
          <w:noProof/>
        </w:rPr>
        <w:t xml:space="preserve">Like </w:t>
      </w:r>
      <w:r w:rsidR="00D07934">
        <w:rPr>
          <w:noProof/>
        </w:rPr>
        <w:t>NFRD and</w:t>
      </w:r>
      <w:r>
        <w:rPr>
          <w:noProof/>
        </w:rPr>
        <w:t xml:space="preserve"> the </w:t>
      </w:r>
      <w:r w:rsidR="00133844">
        <w:rPr>
          <w:noProof/>
        </w:rPr>
        <w:t xml:space="preserve">proposal for </w:t>
      </w:r>
      <w:r>
        <w:rPr>
          <w:noProof/>
        </w:rPr>
        <w:t xml:space="preserve">CSRD, the Taxonomy Regulation does not </w:t>
      </w:r>
      <w:r w:rsidRPr="0063690D">
        <w:rPr>
          <w:noProof/>
        </w:rPr>
        <w:t xml:space="preserve">impose </w:t>
      </w:r>
      <w:r w:rsidR="002B11B6">
        <w:rPr>
          <w:noProof/>
        </w:rPr>
        <w:t>substantive</w:t>
      </w:r>
      <w:r w:rsidRPr="0063690D">
        <w:rPr>
          <w:noProof/>
        </w:rPr>
        <w:t xml:space="preserve"> duties on companies other than public reporting requirements, and investors can use such information when allocating capital to</w:t>
      </w:r>
      <w:r w:rsidRPr="0095628B">
        <w:rPr>
          <w:noProof/>
        </w:rPr>
        <w:t xml:space="preserve"> companies. </w:t>
      </w:r>
      <w:r w:rsidR="007153E4">
        <w:rPr>
          <w:noProof/>
        </w:rPr>
        <w:t>B</w:t>
      </w:r>
      <w:r w:rsidR="001B0CD4">
        <w:rPr>
          <w:noProof/>
        </w:rPr>
        <w:t xml:space="preserve">y requiring companies to identify their adverse risks in all their </w:t>
      </w:r>
      <w:r w:rsidR="009F6A65">
        <w:rPr>
          <w:noProof/>
        </w:rPr>
        <w:t>operations</w:t>
      </w:r>
      <w:r w:rsidR="001B0CD4">
        <w:rPr>
          <w:noProof/>
        </w:rPr>
        <w:t xml:space="preserve"> and value chains</w:t>
      </w:r>
      <w:r w:rsidR="00B27881">
        <w:rPr>
          <w:noProof/>
        </w:rPr>
        <w:t>, this Directive</w:t>
      </w:r>
      <w:r w:rsidR="001B0CD4">
        <w:rPr>
          <w:noProof/>
        </w:rPr>
        <w:t xml:space="preserve"> may help </w:t>
      </w:r>
      <w:r w:rsidR="00B27881">
        <w:rPr>
          <w:noProof/>
        </w:rPr>
        <w:t xml:space="preserve">in providing </w:t>
      </w:r>
      <w:r w:rsidR="001B0CD4">
        <w:rPr>
          <w:noProof/>
        </w:rPr>
        <w:t xml:space="preserve">more detailed information to the investors. It therefore </w:t>
      </w:r>
      <w:r w:rsidRPr="0095628B">
        <w:rPr>
          <w:noProof/>
        </w:rPr>
        <w:t xml:space="preserve">complements the Taxonomy Regulation </w:t>
      </w:r>
      <w:r w:rsidRPr="00B25BDF">
        <w:rPr>
          <w:noProof/>
        </w:rPr>
        <w:t>as it has the potential to further help investors to allocate capital to responsible and sustainable companies</w:t>
      </w:r>
      <w:r w:rsidRPr="0095628B">
        <w:rPr>
          <w:noProof/>
        </w:rPr>
        <w:t>.</w:t>
      </w:r>
      <w:r w:rsidR="009F6A65">
        <w:rPr>
          <w:noProof/>
        </w:rPr>
        <w:t xml:space="preserve"> </w:t>
      </w:r>
      <w:r w:rsidR="001B0CD4">
        <w:rPr>
          <w:noProof/>
        </w:rPr>
        <w:t>Mor</w:t>
      </w:r>
      <w:r w:rsidR="009F6A65">
        <w:rPr>
          <w:noProof/>
        </w:rPr>
        <w:t>e</w:t>
      </w:r>
      <w:r w:rsidR="001B0CD4">
        <w:rPr>
          <w:noProof/>
        </w:rPr>
        <w:t>over</w:t>
      </w:r>
      <w:r w:rsidR="009F6A65">
        <w:rPr>
          <w:noProof/>
        </w:rPr>
        <w:t>,</w:t>
      </w:r>
      <w:r w:rsidR="001B0CD4">
        <w:rPr>
          <w:noProof/>
        </w:rPr>
        <w:t xml:space="preserve"> </w:t>
      </w:r>
      <w:r w:rsidR="00D427B7">
        <w:rPr>
          <w:noProof/>
        </w:rPr>
        <w:t>the</w:t>
      </w:r>
      <w:r w:rsidR="001B0CD4">
        <w:rPr>
          <w:noProof/>
        </w:rPr>
        <w:t xml:space="preserve"> Taxonomy Regulation (as providing a common language for sustainable economic activities for investment purposes) can serve as a guiding tool for companies to attract sustainable financing for their corrective action plans and roadmaps.</w:t>
      </w:r>
    </w:p>
    <w:p w14:paraId="32469C75" w14:textId="77777777" w:rsidR="004B7B2F" w:rsidRDefault="004B7B2F" w:rsidP="00725B46">
      <w:pPr>
        <w:rPr>
          <w:noProof/>
        </w:rPr>
      </w:pPr>
      <w:r w:rsidRPr="007F541C">
        <w:rPr>
          <w:rFonts w:eastAsia="Times New Roman"/>
          <w:noProof/>
        </w:rPr>
        <w:t>This Directive will complement</w:t>
      </w:r>
      <w:r>
        <w:rPr>
          <w:rFonts w:eastAsia="Times New Roman"/>
          <w:b/>
          <w:noProof/>
        </w:rPr>
        <w:t xml:space="preserve"> </w:t>
      </w:r>
      <w:hyperlink r:id="rId16" w:history="1">
        <w:r w:rsidRPr="00021ADA">
          <w:rPr>
            <w:rStyle w:val="Hperlink"/>
            <w:noProof/>
          </w:rPr>
          <w:t>Directive 2011/36/EU on preventing and combating trafficking in human beings and protecting its victims</w:t>
        </w:r>
      </w:hyperlink>
      <w:r w:rsidRPr="007F541C">
        <w:rPr>
          <w:rStyle w:val="Allmrkuseviide"/>
          <w:noProof/>
        </w:rPr>
        <w:footnoteReference w:id="22"/>
      </w:r>
      <w:r w:rsidRPr="007F541C">
        <w:rPr>
          <w:noProof/>
        </w:rPr>
        <w:t>, which</w:t>
      </w:r>
      <w:r>
        <w:rPr>
          <w:noProof/>
        </w:rPr>
        <w:t xml:space="preserve"> constitutes a comprehensive legal framework to effectively fight all forms of exploitation in the </w:t>
      </w:r>
      <w:r w:rsidR="00A9048B">
        <w:rPr>
          <w:noProof/>
        </w:rPr>
        <w:t xml:space="preserve">Union </w:t>
      </w:r>
      <w:r>
        <w:rPr>
          <w:noProof/>
        </w:rPr>
        <w:t xml:space="preserve">by natural and legal persons, in particular forced labour, </w:t>
      </w:r>
      <w:r w:rsidRPr="008079C9">
        <w:rPr>
          <w:noProof/>
        </w:rPr>
        <w:t>sexual exploitation</w:t>
      </w:r>
      <w:r>
        <w:rPr>
          <w:noProof/>
        </w:rPr>
        <w:t>, as well as begging, slavery or practices similar to slavery, servitude, or the exploitation of criminal activities, or the removal of organs. It also establishes the liability of legal persons for the offences referred to in that Directive committed for their benefit by any person who has a leading position within the legal person or the commission of the offence was possible due to the lack of supervision or control. Directive 2011/36/EU also provides for sanctions on</w:t>
      </w:r>
      <w:r w:rsidR="001C43C7">
        <w:rPr>
          <w:noProof/>
        </w:rPr>
        <w:t xml:space="preserve"> the legal person held liable.</w:t>
      </w:r>
    </w:p>
    <w:p w14:paraId="73C8349B" w14:textId="524E16C6" w:rsidR="004B7B2F" w:rsidRDefault="004B7B2F" w:rsidP="001C43C7">
      <w:pPr>
        <w:rPr>
          <w:rFonts w:eastAsia="Times New Roman"/>
          <w:noProof/>
        </w:rPr>
      </w:pPr>
      <w:r>
        <w:rPr>
          <w:noProof/>
        </w:rPr>
        <w:t xml:space="preserve">Furthermore, this Directive will complement the </w:t>
      </w:r>
      <w:hyperlink r:id="rId17" w:history="1">
        <w:r w:rsidRPr="00824CCD">
          <w:rPr>
            <w:rStyle w:val="Hperlink"/>
            <w:noProof/>
          </w:rPr>
          <w:t>Employers’ Sanctions Directive</w:t>
        </w:r>
      </w:hyperlink>
      <w:r>
        <w:rPr>
          <w:rStyle w:val="Allmrkuseviide"/>
          <w:noProof/>
        </w:rPr>
        <w:footnoteReference w:id="23"/>
      </w:r>
      <w:r>
        <w:rPr>
          <w:noProof/>
        </w:rPr>
        <w:t xml:space="preserve">, which prohibits the employment of irregularly staying third-country nationals, including victims of trafficking in human beings. </w:t>
      </w:r>
      <w:r w:rsidR="00160A8F">
        <w:rPr>
          <w:noProof/>
        </w:rPr>
        <w:t xml:space="preserve">The </w:t>
      </w:r>
      <w:r>
        <w:rPr>
          <w:noProof/>
        </w:rPr>
        <w:t>Employers’ Sanctions Directive lays down minimum standards on sanctions and other measures to be applied in the Member States against employers who infringe upon the Directive.</w:t>
      </w:r>
    </w:p>
    <w:p w14:paraId="5AC515F9" w14:textId="072D3A41" w:rsidR="001859C1" w:rsidRDefault="001859C1" w:rsidP="00CB3D33">
      <w:pPr>
        <w:rPr>
          <w:noProof/>
        </w:rPr>
      </w:pPr>
      <w:r w:rsidRPr="08EEB427">
        <w:rPr>
          <w:noProof/>
        </w:rPr>
        <w:t xml:space="preserve">This Directive will also complement existing or planned </w:t>
      </w:r>
      <w:r w:rsidRPr="00021ADA">
        <w:rPr>
          <w:noProof/>
        </w:rPr>
        <w:t>sectoral and product-related</w:t>
      </w:r>
      <w:r w:rsidRPr="00824CCD">
        <w:rPr>
          <w:noProof/>
        </w:rPr>
        <w:t xml:space="preserve"> </w:t>
      </w:r>
      <w:r w:rsidR="00834EE1">
        <w:rPr>
          <w:noProof/>
        </w:rPr>
        <w:t>value</w:t>
      </w:r>
      <w:r w:rsidR="00834EE1" w:rsidRPr="00021ADA">
        <w:rPr>
          <w:noProof/>
        </w:rPr>
        <w:t xml:space="preserve"> </w:t>
      </w:r>
      <w:r w:rsidRPr="00021ADA">
        <w:rPr>
          <w:noProof/>
        </w:rPr>
        <w:t>chain due diligence instruments at EU level</w:t>
      </w:r>
      <w:r w:rsidRPr="00824CCD">
        <w:rPr>
          <w:noProof/>
        </w:rPr>
        <w:t xml:space="preserve"> </w:t>
      </w:r>
      <w:r w:rsidRPr="08EEB427">
        <w:rPr>
          <w:noProof/>
        </w:rPr>
        <w:t>due to its cross-sectoral scope and broad range of sustainability impacts covered</w:t>
      </w:r>
      <w:r>
        <w:rPr>
          <w:noProof/>
        </w:rPr>
        <w:t>:</w:t>
      </w:r>
    </w:p>
    <w:p w14:paraId="55E8D9C2" w14:textId="7D9D7395" w:rsidR="001859C1" w:rsidRPr="00BC2AC0" w:rsidRDefault="001859C1" w:rsidP="00FD7324">
      <w:pPr>
        <w:rPr>
          <w:noProof/>
        </w:rPr>
      </w:pPr>
      <w:r w:rsidRPr="0063690D">
        <w:rPr>
          <w:noProof/>
        </w:rPr>
        <w:t>The</w:t>
      </w:r>
      <w:r w:rsidRPr="0070484B">
        <w:rPr>
          <w:rFonts w:eastAsia="Times New Roman"/>
          <w:noProof/>
        </w:rPr>
        <w:t xml:space="preserve"> </w:t>
      </w:r>
      <w:r w:rsidR="00643C08">
        <w:rPr>
          <w:rFonts w:eastAsia="Times New Roman"/>
          <w:noProof/>
        </w:rPr>
        <w:t>so-called</w:t>
      </w:r>
      <w:r w:rsidRPr="0070484B">
        <w:rPr>
          <w:noProof/>
        </w:rPr>
        <w:t xml:space="preserve"> </w:t>
      </w:r>
      <w:hyperlink r:id="rId18" w:history="1">
        <w:r w:rsidRPr="003B2E79">
          <w:rPr>
            <w:rFonts w:eastAsia="Calibri"/>
            <w:noProof/>
            <w:color w:val="0000FF" w:themeColor="hyperlink"/>
            <w:u w:val="single"/>
          </w:rPr>
          <w:t>Conflict Minerals Regulation</w:t>
        </w:r>
      </w:hyperlink>
      <w:r w:rsidRPr="00AB0B10">
        <w:rPr>
          <w:rStyle w:val="Allmrkuseviide"/>
          <w:noProof/>
        </w:rPr>
        <w:footnoteReference w:id="24"/>
      </w:r>
      <w:r w:rsidRPr="0063690D">
        <w:rPr>
          <w:noProof/>
        </w:rPr>
        <w:t xml:space="preserve"> ap</w:t>
      </w:r>
      <w:r w:rsidRPr="0095628B">
        <w:rPr>
          <w:noProof/>
        </w:rPr>
        <w:t xml:space="preserve">plies to four specific </w:t>
      </w:r>
      <w:r w:rsidR="00643C08">
        <w:rPr>
          <w:rFonts w:eastAsia="Times New Roman"/>
          <w:noProof/>
        </w:rPr>
        <w:t>minerals and metals</w:t>
      </w:r>
      <w:r w:rsidRPr="0095628B">
        <w:rPr>
          <w:noProof/>
        </w:rPr>
        <w:t xml:space="preserve">. It requires EU companies in the supply chain to ensure they import </w:t>
      </w:r>
      <w:r w:rsidR="00643C08">
        <w:rPr>
          <w:rFonts w:eastAsia="Times New Roman"/>
          <w:noProof/>
        </w:rPr>
        <w:t>tin, tungsten, tantalum and gold</w:t>
      </w:r>
      <w:r w:rsidRPr="0095628B">
        <w:rPr>
          <w:rFonts w:eastAsia="Times New Roman"/>
          <w:noProof/>
        </w:rPr>
        <w:t xml:space="preserve"> </w:t>
      </w:r>
      <w:r w:rsidRPr="0095628B">
        <w:rPr>
          <w:noProof/>
        </w:rPr>
        <w:t xml:space="preserve">from responsible and conflict-free sources only and put in place more specific </w:t>
      </w:r>
      <w:r w:rsidR="00643C08">
        <w:rPr>
          <w:rFonts w:eastAsia="Times New Roman"/>
          <w:noProof/>
        </w:rPr>
        <w:t>mechanism</w:t>
      </w:r>
      <w:r w:rsidR="00643C08" w:rsidRPr="0095628B">
        <w:rPr>
          <w:rFonts w:eastAsia="Times New Roman"/>
          <w:noProof/>
        </w:rPr>
        <w:t xml:space="preserve">s </w:t>
      </w:r>
      <w:r w:rsidRPr="0095628B">
        <w:rPr>
          <w:noProof/>
        </w:rPr>
        <w:t>for conducting due diligence, e.g. an independent third-party audit of supply chain due diligence. Th</w:t>
      </w:r>
      <w:r>
        <w:rPr>
          <w:noProof/>
        </w:rPr>
        <w:t>e</w:t>
      </w:r>
      <w:r w:rsidRPr="0095628B">
        <w:rPr>
          <w:noProof/>
        </w:rPr>
        <w:t xml:space="preserve"> due diligence </w:t>
      </w:r>
      <w:r>
        <w:rPr>
          <w:noProof/>
        </w:rPr>
        <w:t xml:space="preserve">provisions of this Directive </w:t>
      </w:r>
      <w:r w:rsidR="003B3C0B">
        <w:rPr>
          <w:noProof/>
        </w:rPr>
        <w:t xml:space="preserve">address also environmental </w:t>
      </w:r>
      <w:r w:rsidR="00BF7FBB">
        <w:rPr>
          <w:noProof/>
        </w:rPr>
        <w:t>adverse</w:t>
      </w:r>
      <w:r w:rsidR="003B3C0B">
        <w:rPr>
          <w:noProof/>
        </w:rPr>
        <w:t xml:space="preserve"> impact</w:t>
      </w:r>
      <w:r w:rsidR="00177A25">
        <w:rPr>
          <w:noProof/>
        </w:rPr>
        <w:t>s</w:t>
      </w:r>
      <w:r w:rsidR="003B3C0B">
        <w:rPr>
          <w:noProof/>
        </w:rPr>
        <w:t xml:space="preserve"> and</w:t>
      </w:r>
      <w:r>
        <w:rPr>
          <w:noProof/>
        </w:rPr>
        <w:t xml:space="preserve"> will apply</w:t>
      </w:r>
      <w:r w:rsidRPr="0095628B">
        <w:rPr>
          <w:noProof/>
        </w:rPr>
        <w:t xml:space="preserve"> </w:t>
      </w:r>
      <w:r>
        <w:rPr>
          <w:noProof/>
        </w:rPr>
        <w:t>to</w:t>
      </w:r>
      <w:r w:rsidRPr="0095628B">
        <w:rPr>
          <w:noProof/>
        </w:rPr>
        <w:t xml:space="preserve"> </w:t>
      </w:r>
      <w:r>
        <w:rPr>
          <w:noProof/>
        </w:rPr>
        <w:t>value</w:t>
      </w:r>
      <w:r w:rsidRPr="0095628B">
        <w:rPr>
          <w:noProof/>
        </w:rPr>
        <w:t xml:space="preserve"> chains of additional minerals that are not covered in the </w:t>
      </w:r>
      <w:r>
        <w:rPr>
          <w:noProof/>
        </w:rPr>
        <w:t>Conflict Minerals</w:t>
      </w:r>
      <w:r w:rsidRPr="0095628B">
        <w:rPr>
          <w:noProof/>
        </w:rPr>
        <w:t xml:space="preserve"> Regulation but produce </w:t>
      </w:r>
      <w:r w:rsidR="003B3C0B">
        <w:rPr>
          <w:noProof/>
        </w:rPr>
        <w:t>human rights</w:t>
      </w:r>
      <w:r w:rsidR="00604474">
        <w:rPr>
          <w:noProof/>
        </w:rPr>
        <w:t>,</w:t>
      </w:r>
      <w:r w:rsidR="009F6A65">
        <w:rPr>
          <w:noProof/>
        </w:rPr>
        <w:t xml:space="preserve"> </w:t>
      </w:r>
      <w:r w:rsidR="0070694A">
        <w:rPr>
          <w:noProof/>
        </w:rPr>
        <w:t>climate</w:t>
      </w:r>
      <w:r w:rsidR="003B3C0B">
        <w:rPr>
          <w:noProof/>
        </w:rPr>
        <w:t xml:space="preserve"> and environmental </w:t>
      </w:r>
      <w:r w:rsidRPr="0095628B">
        <w:rPr>
          <w:noProof/>
        </w:rPr>
        <w:t>adverse impacts.</w:t>
      </w:r>
    </w:p>
    <w:p w14:paraId="747D1C71" w14:textId="78630389" w:rsidR="001859C1" w:rsidRPr="00B845FC" w:rsidRDefault="001859C1" w:rsidP="005A221B">
      <w:pPr>
        <w:rPr>
          <w:noProof/>
        </w:rPr>
      </w:pPr>
      <w:r w:rsidRPr="00BA571F">
        <w:rPr>
          <w:rFonts w:eastAsia="Times New Roman"/>
          <w:noProof/>
        </w:rPr>
        <w:t>The</w:t>
      </w:r>
      <w:r w:rsidR="001F40C3">
        <w:rPr>
          <w:rFonts w:eastAsia="Times New Roman"/>
          <w:noProof/>
        </w:rPr>
        <w:t xml:space="preserve"> Commission’s</w:t>
      </w:r>
      <w:r w:rsidRPr="00BA571F">
        <w:rPr>
          <w:rFonts w:eastAsia="Times New Roman"/>
          <w:noProof/>
        </w:rPr>
        <w:t xml:space="preserve"> </w:t>
      </w:r>
      <w:hyperlink r:id="rId19" w:history="1">
        <w:r>
          <w:rPr>
            <w:rStyle w:val="Hperlink"/>
            <w:noProof/>
          </w:rPr>
          <w:t>p</w:t>
        </w:r>
        <w:r w:rsidRPr="00812ED6">
          <w:rPr>
            <w:rStyle w:val="Hperlink"/>
            <w:noProof/>
          </w:rPr>
          <w:t xml:space="preserve">roposal for a Regulation on deforestation-free </w:t>
        </w:r>
        <w:r w:rsidR="00B153CC">
          <w:rPr>
            <w:rStyle w:val="Hperlink"/>
            <w:noProof/>
          </w:rPr>
          <w:t>supply chains</w:t>
        </w:r>
      </w:hyperlink>
      <w:r w:rsidRPr="006978FF">
        <w:rPr>
          <w:rStyle w:val="Allmrkuseviide"/>
          <w:rFonts w:eastAsia="Times New Roman"/>
          <w:noProof/>
        </w:rPr>
        <w:footnoteReference w:id="25"/>
      </w:r>
      <w:r w:rsidRPr="00BA571F">
        <w:rPr>
          <w:rFonts w:eastAsia="Times New Roman"/>
          <w:noProof/>
        </w:rPr>
        <w:t xml:space="preserve"> focuses on </w:t>
      </w:r>
      <w:r>
        <w:rPr>
          <w:rFonts w:eastAsia="Times New Roman"/>
          <w:noProof/>
        </w:rPr>
        <w:t>certain</w:t>
      </w:r>
      <w:r w:rsidRPr="00BA571F">
        <w:rPr>
          <w:rFonts w:eastAsia="Times New Roman"/>
          <w:noProof/>
        </w:rPr>
        <w:t xml:space="preserve"> </w:t>
      </w:r>
      <w:r w:rsidR="00B153CC">
        <w:rPr>
          <w:rFonts w:eastAsia="Times New Roman"/>
          <w:noProof/>
        </w:rPr>
        <w:t>commodities</w:t>
      </w:r>
      <w:r w:rsidR="00B153CC" w:rsidRPr="00BA571F">
        <w:rPr>
          <w:rFonts w:eastAsia="Times New Roman"/>
          <w:noProof/>
        </w:rPr>
        <w:t xml:space="preserve"> </w:t>
      </w:r>
      <w:r w:rsidRPr="00BA571F">
        <w:rPr>
          <w:rFonts w:eastAsia="Times New Roman"/>
          <w:noProof/>
        </w:rPr>
        <w:t>and product supply chains. It has a very specific objective</w:t>
      </w:r>
      <w:r>
        <w:rPr>
          <w:rFonts w:eastAsia="Times New Roman"/>
          <w:noProof/>
        </w:rPr>
        <w:t>, namely</w:t>
      </w:r>
      <w:r w:rsidRPr="00BA571F">
        <w:rPr>
          <w:rFonts w:eastAsia="Times New Roman"/>
          <w:noProof/>
        </w:rPr>
        <w:t xml:space="preserve"> to </w:t>
      </w:r>
      <w:r w:rsidR="008C10EC" w:rsidRPr="008C10EC">
        <w:rPr>
          <w:rFonts w:eastAsia="Times New Roman"/>
          <w:noProof/>
        </w:rPr>
        <w:t>reduce the impact of EU consumption and production on deforestation and forest degradation worldwide</w:t>
      </w:r>
      <w:r w:rsidR="008C10EC">
        <w:rPr>
          <w:rFonts w:eastAsia="Times New Roman"/>
          <w:noProof/>
        </w:rPr>
        <w:t>.</w:t>
      </w:r>
      <w:r w:rsidR="008C10EC" w:rsidRPr="008C10EC" w:rsidDel="008C10EC">
        <w:rPr>
          <w:rFonts w:eastAsia="Times New Roman"/>
          <w:noProof/>
        </w:rPr>
        <w:t xml:space="preserve"> </w:t>
      </w:r>
      <w:r w:rsidR="008C10EC">
        <w:rPr>
          <w:rFonts w:eastAsia="Times New Roman"/>
          <w:noProof/>
        </w:rPr>
        <w:t>I</w:t>
      </w:r>
      <w:r w:rsidRPr="00BA571F">
        <w:rPr>
          <w:rFonts w:eastAsia="Times New Roman"/>
          <w:noProof/>
        </w:rPr>
        <w:t xml:space="preserve">ts requirements will, in some areas, be more </w:t>
      </w:r>
      <w:r>
        <w:rPr>
          <w:rFonts w:eastAsia="Times New Roman"/>
          <w:noProof/>
        </w:rPr>
        <w:t>prescriptive</w:t>
      </w:r>
      <w:r w:rsidRPr="00BA571F">
        <w:rPr>
          <w:rFonts w:eastAsia="Times New Roman"/>
          <w:noProof/>
        </w:rPr>
        <w:t xml:space="preserve"> compared to the general due diligence duties under this Directive. It also includes a prohibition</w:t>
      </w:r>
      <w:r w:rsidR="008C10EC" w:rsidRPr="008C10EC">
        <w:rPr>
          <w:noProof/>
        </w:rPr>
        <w:t xml:space="preserve"> </w:t>
      </w:r>
      <w:r w:rsidR="00316FE2">
        <w:rPr>
          <w:rFonts w:eastAsia="Times New Roman"/>
          <w:noProof/>
        </w:rPr>
        <w:t>of</w:t>
      </w:r>
      <w:r w:rsidR="008C10EC" w:rsidRPr="008C10EC">
        <w:rPr>
          <w:rFonts w:eastAsia="Times New Roman"/>
          <w:noProof/>
        </w:rPr>
        <w:t xml:space="preserve"> placing on the market certain commodities and derived products if the requirement of “legal” and “deforestation free” cannot be ascertained through due diligence. This</w:t>
      </w:r>
      <w:r w:rsidRPr="00BA571F">
        <w:rPr>
          <w:rFonts w:eastAsia="Times New Roman"/>
          <w:noProof/>
        </w:rPr>
        <w:t xml:space="preserve"> prohibition will apply to all operators placing the relevant products on the </w:t>
      </w:r>
      <w:r w:rsidR="004B2F11">
        <w:rPr>
          <w:rFonts w:eastAsia="Times New Roman"/>
          <w:noProof/>
        </w:rPr>
        <w:t>Union</w:t>
      </w:r>
      <w:r w:rsidRPr="00BA571F">
        <w:rPr>
          <w:rFonts w:eastAsia="Times New Roman"/>
          <w:noProof/>
        </w:rPr>
        <w:t xml:space="preserve"> market, including EU and non-EU companies, irrespective of their legal form and size. Therefore, while the overall objectives of the two initiatives are mutually supportive, </w:t>
      </w:r>
      <w:r>
        <w:rPr>
          <w:rFonts w:eastAsia="Times New Roman"/>
          <w:noProof/>
        </w:rPr>
        <w:t xml:space="preserve">their </w:t>
      </w:r>
      <w:r w:rsidRPr="00BA571F">
        <w:rPr>
          <w:rFonts w:eastAsia="Times New Roman"/>
          <w:noProof/>
        </w:rPr>
        <w:t xml:space="preserve">specific objectives are different. This Directive will </w:t>
      </w:r>
      <w:r>
        <w:rPr>
          <w:rFonts w:eastAsia="Times New Roman"/>
          <w:noProof/>
        </w:rPr>
        <w:t>complement</w:t>
      </w:r>
      <w:r w:rsidRPr="00BA571F">
        <w:rPr>
          <w:rFonts w:eastAsia="Times New Roman"/>
          <w:noProof/>
        </w:rPr>
        <w:t xml:space="preserve"> the </w:t>
      </w:r>
      <w:r>
        <w:rPr>
          <w:rFonts w:eastAsia="Times New Roman"/>
          <w:noProof/>
        </w:rPr>
        <w:t>Regulation on deforestation-free products by introducing</w:t>
      </w:r>
      <w:r w:rsidRPr="00BA571F">
        <w:rPr>
          <w:rFonts w:eastAsia="Times New Roman"/>
          <w:noProof/>
        </w:rPr>
        <w:t xml:space="preserve"> </w:t>
      </w:r>
      <w:r>
        <w:rPr>
          <w:rFonts w:eastAsia="Times New Roman"/>
          <w:noProof/>
        </w:rPr>
        <w:t xml:space="preserve">a value chain </w:t>
      </w:r>
      <w:r w:rsidRPr="00BA571F">
        <w:rPr>
          <w:rFonts w:eastAsia="Times New Roman"/>
          <w:noProof/>
        </w:rPr>
        <w:t xml:space="preserve">due diligence </w:t>
      </w:r>
      <w:r>
        <w:rPr>
          <w:rFonts w:eastAsia="Times New Roman"/>
          <w:noProof/>
        </w:rPr>
        <w:t>related to activities that are not covered by the Regulation on deforestation-free products but</w:t>
      </w:r>
      <w:r w:rsidRPr="00BA571F">
        <w:rPr>
          <w:rFonts w:eastAsia="Times New Roman"/>
          <w:noProof/>
        </w:rPr>
        <w:t xml:space="preserve"> might be directly or indirectly leading to deforestation</w:t>
      </w:r>
      <w:r w:rsidR="005B0FC0">
        <w:rPr>
          <w:rFonts w:eastAsia="Times New Roman"/>
          <w:noProof/>
        </w:rPr>
        <w:t>.</w:t>
      </w:r>
      <w:r w:rsidR="00A95D09" w:rsidRPr="00A95D09">
        <w:rPr>
          <w:noProof/>
        </w:rPr>
        <w:t xml:space="preserve"> </w:t>
      </w:r>
      <w:r w:rsidR="00D427B7">
        <w:rPr>
          <w:rFonts w:eastAsia="Times New Roman"/>
          <w:noProof/>
        </w:rPr>
        <w:t xml:space="preserve"> </w:t>
      </w:r>
    </w:p>
    <w:p w14:paraId="1BF03A0A" w14:textId="7FFD0773" w:rsidR="000A34D6" w:rsidRPr="00BC2AC0" w:rsidRDefault="001859C1" w:rsidP="00740BB9">
      <w:pPr>
        <w:rPr>
          <w:noProof/>
        </w:rPr>
      </w:pPr>
      <w:r>
        <w:rPr>
          <w:noProof/>
        </w:rPr>
        <w:t>T</w:t>
      </w:r>
      <w:r w:rsidRPr="00BA571F">
        <w:rPr>
          <w:noProof/>
        </w:rPr>
        <w:t>he</w:t>
      </w:r>
      <w:r w:rsidR="009D63D0">
        <w:rPr>
          <w:noProof/>
        </w:rPr>
        <w:t xml:space="preserve"> Commission’s</w:t>
      </w:r>
      <w:hyperlink r:id="rId20" w:history="1">
        <w:r w:rsidRPr="00812ED6">
          <w:rPr>
            <w:rFonts w:eastAsia="Calibri"/>
            <w:noProof/>
            <w:color w:val="0000FF" w:themeColor="hyperlink"/>
            <w:u w:val="single"/>
          </w:rPr>
          <w:t xml:space="preserve"> proposal for a new Batteries Regulation</w:t>
        </w:r>
      </w:hyperlink>
      <w:r w:rsidRPr="00AB0B10">
        <w:rPr>
          <w:rStyle w:val="Allmrkuseviide"/>
          <w:noProof/>
        </w:rPr>
        <w:footnoteReference w:id="26"/>
      </w:r>
      <w:r w:rsidRPr="00BA571F">
        <w:rPr>
          <w:noProof/>
        </w:rPr>
        <w:t xml:space="preserve"> </w:t>
      </w:r>
      <w:r w:rsidR="00B75856">
        <w:rPr>
          <w:noProof/>
        </w:rPr>
        <w:t xml:space="preserve">has the specific objectives of </w:t>
      </w:r>
      <w:r w:rsidR="00B75856" w:rsidRPr="002B1AB0">
        <w:rPr>
          <w:noProof/>
        </w:rPr>
        <w:t>reducing environmental</w:t>
      </w:r>
      <w:r w:rsidR="00604474">
        <w:rPr>
          <w:noProof/>
        </w:rPr>
        <w:t>, climate</w:t>
      </w:r>
      <w:r w:rsidR="00B75856" w:rsidRPr="002B1AB0">
        <w:rPr>
          <w:noProof/>
        </w:rPr>
        <w:t xml:space="preserve"> and social impacts throughout all stages of the battery life cycle</w:t>
      </w:r>
      <w:r w:rsidR="00B75856">
        <w:rPr>
          <w:noProof/>
        </w:rPr>
        <w:t>,</w:t>
      </w:r>
      <w:r w:rsidR="00B75856" w:rsidRPr="00E86C7A">
        <w:rPr>
          <w:noProof/>
        </w:rPr>
        <w:t xml:space="preserve"> strengthening the func</w:t>
      </w:r>
      <w:r w:rsidR="00B75856">
        <w:rPr>
          <w:noProof/>
        </w:rPr>
        <w:t>tioning of the internal market</w:t>
      </w:r>
      <w:r w:rsidR="00B75856" w:rsidRPr="00E86C7A">
        <w:rPr>
          <w:noProof/>
        </w:rPr>
        <w:t xml:space="preserve">, </w:t>
      </w:r>
      <w:r w:rsidR="00B75856">
        <w:rPr>
          <w:noProof/>
        </w:rPr>
        <w:t xml:space="preserve">and </w:t>
      </w:r>
      <w:r w:rsidR="00B75856" w:rsidRPr="00E86C7A">
        <w:rPr>
          <w:noProof/>
        </w:rPr>
        <w:t>ensuring a level playing field through a common set of rules</w:t>
      </w:r>
      <w:r w:rsidR="00B75856">
        <w:rPr>
          <w:noProof/>
        </w:rPr>
        <w:t xml:space="preserve">. </w:t>
      </w:r>
      <w:r w:rsidR="000A34D6">
        <w:rPr>
          <w:noProof/>
        </w:rPr>
        <w:t xml:space="preserve">It </w:t>
      </w:r>
      <w:r w:rsidR="000A34D6" w:rsidRPr="000A34D6">
        <w:rPr>
          <w:noProof/>
        </w:rPr>
        <w:t>requires economic operators placing industrial or electric vehicle batteries (including incorporated in vehicles</w:t>
      </w:r>
      <w:r w:rsidR="000A34D6" w:rsidRPr="00DD60C8">
        <w:rPr>
          <w:noProof/>
        </w:rPr>
        <w:t xml:space="preserve">) larger than 2 kWh on the </w:t>
      </w:r>
      <w:r w:rsidR="008F406C">
        <w:rPr>
          <w:noProof/>
        </w:rPr>
        <w:t>Union</w:t>
      </w:r>
      <w:r w:rsidR="008F406C" w:rsidRPr="00DD60C8">
        <w:rPr>
          <w:noProof/>
        </w:rPr>
        <w:t xml:space="preserve"> </w:t>
      </w:r>
      <w:r w:rsidR="000A34D6" w:rsidRPr="00DD60C8">
        <w:rPr>
          <w:noProof/>
        </w:rPr>
        <w:t>market to establish supply chain due diligence policies</w:t>
      </w:r>
      <w:r w:rsidR="00B75856" w:rsidRPr="00DD60C8">
        <w:rPr>
          <w:noProof/>
        </w:rPr>
        <w:t xml:space="preserve">. It focusses on those raw materials of which a significant amount of the global production goes into battery manufacturing </w:t>
      </w:r>
      <w:r w:rsidR="005D3EDB" w:rsidRPr="00DD60C8">
        <w:rPr>
          <w:rFonts w:eastAsia="Times New Roman"/>
          <w:noProof/>
        </w:rPr>
        <w:t xml:space="preserve">and that may pose social </w:t>
      </w:r>
      <w:r w:rsidR="00463205">
        <w:rPr>
          <w:rFonts w:eastAsia="Times New Roman"/>
          <w:noProof/>
        </w:rPr>
        <w:t>or</w:t>
      </w:r>
      <w:r w:rsidR="00463205" w:rsidRPr="00DD60C8">
        <w:rPr>
          <w:rFonts w:eastAsia="Times New Roman"/>
          <w:noProof/>
        </w:rPr>
        <w:t xml:space="preserve"> </w:t>
      </w:r>
      <w:r w:rsidR="005D3EDB" w:rsidRPr="00DD60C8">
        <w:rPr>
          <w:rFonts w:eastAsia="Times New Roman"/>
          <w:noProof/>
        </w:rPr>
        <w:t xml:space="preserve">environmental </w:t>
      </w:r>
      <w:r w:rsidR="00AF3EAC" w:rsidRPr="00DD60C8">
        <w:rPr>
          <w:rFonts w:eastAsia="Times New Roman"/>
          <w:noProof/>
        </w:rPr>
        <w:t>adverse impact</w:t>
      </w:r>
      <w:r w:rsidR="005D3EDB" w:rsidRPr="00DD60C8">
        <w:rPr>
          <w:rFonts w:eastAsia="Times New Roman"/>
          <w:noProof/>
        </w:rPr>
        <w:t>s</w:t>
      </w:r>
      <w:r w:rsidR="00B75856" w:rsidRPr="00DD60C8">
        <w:rPr>
          <w:rFonts w:eastAsia="Times New Roman"/>
          <w:noProof/>
        </w:rPr>
        <w:t xml:space="preserve"> </w:t>
      </w:r>
      <w:r w:rsidR="00B75856" w:rsidRPr="00DD60C8">
        <w:rPr>
          <w:noProof/>
        </w:rPr>
        <w:t>(cobalt, natural graphite, lithium, and nickel). The economic operators must submit compliance documentation</w:t>
      </w:r>
      <w:r w:rsidR="00B75856" w:rsidRPr="00BA571F">
        <w:rPr>
          <w:noProof/>
        </w:rPr>
        <w:t xml:space="preserve"> for third</w:t>
      </w:r>
      <w:r w:rsidR="00FB7ABD">
        <w:rPr>
          <w:noProof/>
        </w:rPr>
        <w:t>-</w:t>
      </w:r>
      <w:r w:rsidR="00B75856" w:rsidRPr="00BA571F">
        <w:rPr>
          <w:noProof/>
        </w:rPr>
        <w:t xml:space="preserve">party verification by notified bodies and are subject to checks by </w:t>
      </w:r>
      <w:r w:rsidR="00463205">
        <w:rPr>
          <w:noProof/>
        </w:rPr>
        <w:t>the</w:t>
      </w:r>
      <w:r w:rsidR="00B75856" w:rsidRPr="00BA571F">
        <w:rPr>
          <w:noProof/>
        </w:rPr>
        <w:t xml:space="preserve"> national market surveillance authorities. </w:t>
      </w:r>
      <w:r w:rsidR="00A95D09" w:rsidRPr="00A95D09">
        <w:rPr>
          <w:noProof/>
        </w:rPr>
        <w:t xml:space="preserve">This Directive will complement the Batteries Regulation by introducing a value chain due diligence related to raw materials that are not covered in </w:t>
      </w:r>
      <w:r w:rsidR="00332B21" w:rsidRPr="00A95D09">
        <w:rPr>
          <w:noProof/>
        </w:rPr>
        <w:t>th</w:t>
      </w:r>
      <w:r w:rsidR="00332B21">
        <w:rPr>
          <w:noProof/>
        </w:rPr>
        <w:t>at</w:t>
      </w:r>
      <w:r w:rsidR="00332B21" w:rsidRPr="00A95D09">
        <w:rPr>
          <w:noProof/>
        </w:rPr>
        <w:t xml:space="preserve"> </w:t>
      </w:r>
      <w:r w:rsidR="00A95D09" w:rsidRPr="00A95D09">
        <w:rPr>
          <w:noProof/>
        </w:rPr>
        <w:t>Regulation but without requiring certification for placing the products on the EU market</w:t>
      </w:r>
      <w:r w:rsidR="00A95D09">
        <w:rPr>
          <w:noProof/>
        </w:rPr>
        <w:t>.</w:t>
      </w:r>
    </w:p>
    <w:p w14:paraId="1C26CA3E" w14:textId="5056DA63" w:rsidR="001859C1" w:rsidRDefault="001859C1" w:rsidP="00740BB9">
      <w:pPr>
        <w:rPr>
          <w:rFonts w:eastAsia="Times New Roman"/>
          <w:noProof/>
        </w:rPr>
      </w:pPr>
      <w:r w:rsidRPr="00BA571F">
        <w:rPr>
          <w:rFonts w:eastAsia="Times New Roman"/>
          <w:noProof/>
        </w:rPr>
        <w:t>The</w:t>
      </w:r>
      <w:r>
        <w:rPr>
          <w:rFonts w:eastAsia="Times New Roman"/>
          <w:noProof/>
        </w:rPr>
        <w:t xml:space="preserve"> future</w:t>
      </w:r>
      <w:r w:rsidRPr="00BA571F">
        <w:rPr>
          <w:rFonts w:eastAsia="Times New Roman"/>
          <w:noProof/>
        </w:rPr>
        <w:t xml:space="preserve"> </w:t>
      </w:r>
      <w:hyperlink r:id="rId21">
        <w:r w:rsidRPr="00812ED6">
          <w:rPr>
            <w:rFonts w:eastAsia="Times New Roman"/>
            <w:noProof/>
            <w:color w:val="0000FF"/>
            <w:u w:val="single"/>
          </w:rPr>
          <w:t>Sustainable Products Initiative</w:t>
        </w:r>
      </w:hyperlink>
      <w:r>
        <w:rPr>
          <w:rFonts w:eastAsia="Times New Roman"/>
          <w:noProof/>
          <w:color w:val="0000FF"/>
          <w:u w:val="single"/>
        </w:rPr>
        <w:t xml:space="preserve"> (SPI)</w:t>
      </w:r>
      <w:r w:rsidRPr="0070484B">
        <w:rPr>
          <w:rFonts w:eastAsia="Times New Roman"/>
          <w:noProof/>
        </w:rPr>
        <w:t xml:space="preserve"> </w:t>
      </w:r>
      <w:r w:rsidRPr="00BA571F">
        <w:rPr>
          <w:rFonts w:eastAsia="Times New Roman"/>
          <w:noProof/>
        </w:rPr>
        <w:t xml:space="preserve">aims to revise the current </w:t>
      </w:r>
      <w:hyperlink r:id="rId22" w:history="1">
        <w:r w:rsidRPr="00D20560">
          <w:rPr>
            <w:rStyle w:val="Hperlink"/>
            <w:rFonts w:eastAsia="Times New Roman"/>
            <w:noProof/>
          </w:rPr>
          <w:t>Ecodesign Directive</w:t>
        </w:r>
      </w:hyperlink>
      <w:r>
        <w:rPr>
          <w:rStyle w:val="Allmrkuseviide"/>
          <w:rFonts w:eastAsia="Times New Roman"/>
          <w:noProof/>
        </w:rPr>
        <w:footnoteReference w:id="27"/>
      </w:r>
      <w:r w:rsidRPr="00BA571F">
        <w:rPr>
          <w:rFonts w:eastAsia="Times New Roman"/>
          <w:noProof/>
        </w:rPr>
        <w:t xml:space="preserve"> and concerns </w:t>
      </w:r>
      <w:r w:rsidR="00332B21">
        <w:rPr>
          <w:rFonts w:eastAsia="Times New Roman"/>
          <w:noProof/>
        </w:rPr>
        <w:t>more broadly</w:t>
      </w:r>
      <w:r w:rsidRPr="00BA571F">
        <w:rPr>
          <w:rFonts w:eastAsia="Times New Roman"/>
          <w:noProof/>
        </w:rPr>
        <w:t xml:space="preserve"> the sustainability of products placed on the EU market and the transparency of related information. </w:t>
      </w:r>
    </w:p>
    <w:p w14:paraId="2A5D25C7" w14:textId="1210DAED" w:rsidR="00261433" w:rsidRPr="00261433" w:rsidRDefault="00261433" w:rsidP="00740BB9">
      <w:pPr>
        <w:rPr>
          <w:noProof/>
          <w:highlight w:val="yellow"/>
          <w:lang w:val="en-IE"/>
        </w:rPr>
      </w:pPr>
      <w:r w:rsidRPr="000C32F3">
        <w:rPr>
          <w:noProof/>
          <w:lang w:val="en-IE"/>
        </w:rPr>
        <w:t>This proposal will play an essential role in tackling the use of forced labour the global value chains. As announced in the Communication</w:t>
      </w:r>
      <w:r w:rsidR="008764EB">
        <w:rPr>
          <w:noProof/>
          <w:lang w:val="en-IE"/>
        </w:rPr>
        <w:t xml:space="preserve"> on decent work worldwide</w:t>
      </w:r>
      <w:r w:rsidR="00E16B80">
        <w:rPr>
          <w:rStyle w:val="Allmrkuseviide"/>
          <w:noProof/>
          <w:lang w:val="en-IE"/>
        </w:rPr>
        <w:footnoteReference w:id="28"/>
      </w:r>
      <w:r w:rsidRPr="000C32F3">
        <w:rPr>
          <w:noProof/>
          <w:lang w:val="en-IE"/>
        </w:rPr>
        <w:t xml:space="preserve"> </w:t>
      </w:r>
      <w:r w:rsidR="00D427B7">
        <w:rPr>
          <w:noProof/>
          <w:lang w:val="en-IE"/>
        </w:rPr>
        <w:t>t</w:t>
      </w:r>
      <w:r w:rsidRPr="000C32F3">
        <w:rPr>
          <w:noProof/>
          <w:lang w:val="en-IE"/>
        </w:rPr>
        <w:t xml:space="preserve">he Commission is preparing a new legislative proposal that will effectively prohibit the placing on the </w:t>
      </w:r>
      <w:r w:rsidR="008F406C">
        <w:rPr>
          <w:noProof/>
          <w:lang w:val="en-IE"/>
        </w:rPr>
        <w:t>Union</w:t>
      </w:r>
      <w:r w:rsidRPr="000C32F3">
        <w:rPr>
          <w:noProof/>
          <w:lang w:val="en-IE"/>
        </w:rPr>
        <w:t xml:space="preserve"> market of products made by forced labour, including forced child labour. The new initiative will cover both domestic and imported products and combine a ban with a robust, risk-based enforcement framework. The new instrument will build on international standards and complement horizontal and sectoral initiatives, in particular the due diligence obligations as laid down in this proposal.</w:t>
      </w:r>
    </w:p>
    <w:p w14:paraId="527EFAD0" w14:textId="4A0976AB" w:rsidR="00095593" w:rsidRPr="00EB7163" w:rsidRDefault="00095593" w:rsidP="00CB3D33">
      <w:pPr>
        <w:rPr>
          <w:noProof/>
        </w:rPr>
      </w:pPr>
      <w:r w:rsidRPr="00095593">
        <w:rPr>
          <w:noProof/>
        </w:rPr>
        <w:t xml:space="preserve">This Directive is without prejudice to </w:t>
      </w:r>
      <w:r w:rsidR="00F301E4" w:rsidRPr="00095593">
        <w:rPr>
          <w:noProof/>
        </w:rPr>
        <w:t xml:space="preserve">the application of other requirements </w:t>
      </w:r>
      <w:r w:rsidR="00210157" w:rsidRPr="00210157">
        <w:rPr>
          <w:noProof/>
        </w:rPr>
        <w:t xml:space="preserve">in the areas of human rights, protection of the environment and climate change under other Union legislative acts. If the provisions of this Directive conflict with a provision of another Union legislative act pursuing the same objectives and providing for more extensive or more specific obligations, the provisions of the other Union legislative act </w:t>
      </w:r>
      <w:r w:rsidR="00234014">
        <w:rPr>
          <w:noProof/>
        </w:rPr>
        <w:t xml:space="preserve">should </w:t>
      </w:r>
      <w:r w:rsidR="00210157" w:rsidRPr="00210157">
        <w:rPr>
          <w:noProof/>
        </w:rPr>
        <w:t>prevail to the extent of the conflict and sh</w:t>
      </w:r>
      <w:r w:rsidR="00234014">
        <w:rPr>
          <w:noProof/>
        </w:rPr>
        <w:t>ould</w:t>
      </w:r>
      <w:r w:rsidR="00210157" w:rsidRPr="00210157">
        <w:rPr>
          <w:noProof/>
        </w:rPr>
        <w:t xml:space="preserve"> apply to those specific obligations</w:t>
      </w:r>
      <w:r w:rsidR="000B74FC">
        <w:rPr>
          <w:noProof/>
        </w:rPr>
        <w:t xml:space="preserve"> </w:t>
      </w:r>
      <w:r w:rsidRPr="00095593">
        <w:rPr>
          <w:noProof/>
        </w:rPr>
        <w:t xml:space="preserve"> </w:t>
      </w:r>
    </w:p>
    <w:p w14:paraId="6C68EE41" w14:textId="77777777" w:rsidR="001859C1" w:rsidRPr="007F048F" w:rsidRDefault="001859C1" w:rsidP="000B2095">
      <w:pPr>
        <w:pStyle w:val="ManualHeading2"/>
        <w:rPr>
          <w:noProof/>
        </w:rPr>
      </w:pPr>
      <w:r w:rsidRPr="007F048F">
        <w:rPr>
          <w:noProof/>
        </w:rPr>
        <w:t>Consistency with other Union policies</w:t>
      </w:r>
    </w:p>
    <w:p w14:paraId="108914A6" w14:textId="30708F26" w:rsidR="001859C1" w:rsidRDefault="001859C1" w:rsidP="00CB3D33">
      <w:pPr>
        <w:rPr>
          <w:noProof/>
        </w:rPr>
      </w:pPr>
      <w:r w:rsidRPr="0070484B">
        <w:rPr>
          <w:noProof/>
        </w:rPr>
        <w:t xml:space="preserve">This Directive </w:t>
      </w:r>
      <w:r w:rsidR="00DA3F82">
        <w:rPr>
          <w:noProof/>
        </w:rPr>
        <w:t>is important to</w:t>
      </w:r>
      <w:r w:rsidR="00DA3F82" w:rsidRPr="0070484B">
        <w:rPr>
          <w:noProof/>
        </w:rPr>
        <w:t xml:space="preserve"> </w:t>
      </w:r>
      <w:r w:rsidR="003E6793">
        <w:rPr>
          <w:noProof/>
        </w:rPr>
        <w:t xml:space="preserve">fulfil objectives of various </w:t>
      </w:r>
      <w:r w:rsidRPr="0070484B">
        <w:rPr>
          <w:noProof/>
        </w:rPr>
        <w:t xml:space="preserve">existing and planned </w:t>
      </w:r>
      <w:r w:rsidR="008F406C">
        <w:rPr>
          <w:noProof/>
        </w:rPr>
        <w:t>Union</w:t>
      </w:r>
      <w:r w:rsidR="008F406C" w:rsidRPr="0070484B">
        <w:rPr>
          <w:noProof/>
        </w:rPr>
        <w:t xml:space="preserve"> </w:t>
      </w:r>
      <w:r w:rsidRPr="0070484B">
        <w:rPr>
          <w:noProof/>
        </w:rPr>
        <w:t xml:space="preserve">measures in the field of the </w:t>
      </w:r>
      <w:r>
        <w:rPr>
          <w:noProof/>
        </w:rPr>
        <w:t>human rights, incl</w:t>
      </w:r>
      <w:r w:rsidR="00D22E70">
        <w:rPr>
          <w:noProof/>
        </w:rPr>
        <w:t>uding</w:t>
      </w:r>
      <w:r>
        <w:rPr>
          <w:noProof/>
        </w:rPr>
        <w:t xml:space="preserve"> labour rights, and </w:t>
      </w:r>
      <w:r w:rsidRPr="0070484B">
        <w:rPr>
          <w:noProof/>
        </w:rPr>
        <w:t>environment</w:t>
      </w:r>
      <w:r w:rsidR="00291893">
        <w:rPr>
          <w:noProof/>
        </w:rPr>
        <w:t>.</w:t>
      </w:r>
    </w:p>
    <w:p w14:paraId="75E9E078" w14:textId="77777777" w:rsidR="001859C1" w:rsidRPr="0070484B" w:rsidRDefault="001859C1" w:rsidP="00CB3D33">
      <w:pPr>
        <w:rPr>
          <w:noProof/>
        </w:rPr>
      </w:pPr>
      <w:r w:rsidRPr="0070484B">
        <w:rPr>
          <w:noProof/>
        </w:rPr>
        <w:t xml:space="preserve">As part of the European Green Deal, </w:t>
      </w:r>
      <w:r>
        <w:rPr>
          <w:noProof/>
        </w:rPr>
        <w:t xml:space="preserve">the Commission has listed </w:t>
      </w:r>
      <w:r w:rsidRPr="0070484B">
        <w:rPr>
          <w:noProof/>
        </w:rPr>
        <w:t xml:space="preserve">an initiative on sustainable corporate governance among the deliverables of the </w:t>
      </w:r>
      <w:hyperlink r:id="rId23">
        <w:r w:rsidRPr="0070484B">
          <w:rPr>
            <w:noProof/>
            <w:color w:val="0000FF"/>
            <w:u w:val="single"/>
          </w:rPr>
          <w:t>Action Plan on a Circular Economy</w:t>
        </w:r>
      </w:hyperlink>
      <w:r w:rsidRPr="0070484B">
        <w:rPr>
          <w:noProof/>
        </w:rPr>
        <w:t xml:space="preserve">, the </w:t>
      </w:r>
      <w:hyperlink r:id="rId24">
        <w:r w:rsidRPr="0070484B">
          <w:rPr>
            <w:noProof/>
            <w:color w:val="0000FF"/>
            <w:u w:val="single"/>
          </w:rPr>
          <w:t>Biodiversity</w:t>
        </w:r>
      </w:hyperlink>
      <w:r w:rsidRPr="0070484B">
        <w:rPr>
          <w:noProof/>
          <w:color w:val="0000FF"/>
          <w:u w:val="single"/>
        </w:rPr>
        <w:t xml:space="preserve"> strategy</w:t>
      </w:r>
      <w:r w:rsidRPr="0070484B">
        <w:rPr>
          <w:noProof/>
        </w:rPr>
        <w:t xml:space="preserve">, the </w:t>
      </w:r>
      <w:hyperlink r:id="rId25">
        <w:r w:rsidRPr="0070484B">
          <w:rPr>
            <w:noProof/>
            <w:color w:val="0000FF"/>
            <w:u w:val="single"/>
          </w:rPr>
          <w:t>Farm to Fork</w:t>
        </w:r>
      </w:hyperlink>
      <w:r w:rsidRPr="0070484B">
        <w:rPr>
          <w:noProof/>
          <w:color w:val="0000FF"/>
          <w:u w:val="single"/>
        </w:rPr>
        <w:t xml:space="preserve"> strategy</w:t>
      </w:r>
      <w:r>
        <w:rPr>
          <w:noProof/>
        </w:rPr>
        <w:t>,</w:t>
      </w:r>
      <w:r w:rsidR="00D22E70">
        <w:rPr>
          <w:noProof/>
        </w:rPr>
        <w:t xml:space="preserve"> </w:t>
      </w:r>
      <w:r w:rsidRPr="0070484B">
        <w:rPr>
          <w:noProof/>
        </w:rPr>
        <w:t xml:space="preserve">the </w:t>
      </w:r>
      <w:hyperlink r:id="rId26">
        <w:r w:rsidRPr="0070484B">
          <w:rPr>
            <w:noProof/>
            <w:color w:val="0000FF"/>
            <w:u w:val="single"/>
          </w:rPr>
          <w:t>Chemicals strategy</w:t>
        </w:r>
      </w:hyperlink>
      <w:r>
        <w:rPr>
          <w:noProof/>
          <w:color w:val="0000FF"/>
          <w:u w:val="single"/>
        </w:rPr>
        <w:t>,</w:t>
      </w:r>
      <w:r w:rsidRPr="0070484B">
        <w:rPr>
          <w:noProof/>
          <w:color w:val="0000FF"/>
          <w:u w:val="single"/>
        </w:rPr>
        <w:t xml:space="preserve"> Updating the 2020 New Industrial Strategy: Building a stronger Single Market for Europe’s recovery</w:t>
      </w:r>
      <w:r>
        <w:rPr>
          <w:noProof/>
        </w:rPr>
        <w:t xml:space="preserve">, and the </w:t>
      </w:r>
      <w:hyperlink r:id="rId27" w:history="1">
        <w:r w:rsidRPr="002F0D9B">
          <w:rPr>
            <w:rStyle w:val="Hperlink"/>
            <w:noProof/>
          </w:rPr>
          <w:t>Strategy for Financing the Transition to a Sustainable Economy</w:t>
        </w:r>
      </w:hyperlink>
      <w:r>
        <w:rPr>
          <w:noProof/>
        </w:rPr>
        <w:t>.</w:t>
      </w:r>
    </w:p>
    <w:p w14:paraId="28555654" w14:textId="04FBDCCC" w:rsidR="001859C1" w:rsidRPr="0070484B" w:rsidRDefault="001859C1" w:rsidP="00CB3D33">
      <w:pPr>
        <w:rPr>
          <w:noProof/>
        </w:rPr>
      </w:pPr>
      <w:r w:rsidRPr="00021ADA">
        <w:rPr>
          <w:noProof/>
        </w:rPr>
        <w:t>EU environmental law</w:t>
      </w:r>
      <w:r w:rsidRPr="0070484B">
        <w:rPr>
          <w:noProof/>
        </w:rPr>
        <w:t xml:space="preserve"> introduces various environmental requirements for companies, Member States, or defines goals for the </w:t>
      </w:r>
      <w:r w:rsidR="00A9048B">
        <w:rPr>
          <w:noProof/>
        </w:rPr>
        <w:t>Union</w:t>
      </w:r>
      <w:r w:rsidRPr="00AB0B10">
        <w:rPr>
          <w:rStyle w:val="Allmrkuseviide"/>
          <w:noProof/>
        </w:rPr>
        <w:footnoteReference w:id="29"/>
      </w:r>
      <w:r w:rsidRPr="0070484B">
        <w:rPr>
          <w:noProof/>
        </w:rPr>
        <w:t xml:space="preserve">. However, it generally does not apply to value chains outside the </w:t>
      </w:r>
      <w:r w:rsidR="00A9048B">
        <w:rPr>
          <w:noProof/>
        </w:rPr>
        <w:t>Union</w:t>
      </w:r>
      <w:r w:rsidR="00A9048B" w:rsidRPr="0070484B">
        <w:rPr>
          <w:noProof/>
        </w:rPr>
        <w:t xml:space="preserve"> </w:t>
      </w:r>
      <w:r w:rsidRPr="0070484B">
        <w:rPr>
          <w:noProof/>
        </w:rPr>
        <w:t>where up to 80-90% of the environmental harm</w:t>
      </w:r>
      <w:r>
        <w:rPr>
          <w:noProof/>
        </w:rPr>
        <w:t xml:space="preserve"> of EU production</w:t>
      </w:r>
      <w:r w:rsidRPr="0070484B">
        <w:rPr>
          <w:noProof/>
        </w:rPr>
        <w:t xml:space="preserve"> may occur</w:t>
      </w:r>
      <w:r w:rsidR="00DD497A" w:rsidRPr="00021ADA">
        <w:rPr>
          <w:rStyle w:val="Allmrkuseviide"/>
          <w:noProof/>
        </w:rPr>
        <w:footnoteReference w:id="30"/>
      </w:r>
      <w:r w:rsidRPr="0070484B">
        <w:rPr>
          <w:noProof/>
        </w:rPr>
        <w:t xml:space="preserve">. The </w:t>
      </w:r>
      <w:bookmarkStart w:id="3" w:name="_Hlk74641924"/>
      <w:r w:rsidRPr="003B7DCE">
        <w:rPr>
          <w:noProof/>
        </w:rPr>
        <w:fldChar w:fldCharType="begin"/>
      </w:r>
      <w:r w:rsidRPr="00EB7163">
        <w:rPr>
          <w:noProof/>
          <w:szCs w:val="24"/>
        </w:rPr>
        <w:instrText xml:space="preserve"> HYPERLINK "https://ec.europa.eu/environment/legal/liability/index.htm" \l ":~:text=Directive%202004%2F35%2FEC%20of%20the%20European%20Parliament%20and%20of,pays%20principle%20to%20prevent%20and%20remedy%20environmental%20damage." </w:instrText>
      </w:r>
      <w:r w:rsidRPr="003B7DCE">
        <w:rPr>
          <w:noProof/>
          <w:szCs w:val="24"/>
        </w:rPr>
        <w:fldChar w:fldCharType="separate"/>
      </w:r>
      <w:r w:rsidRPr="003B7DCE">
        <w:rPr>
          <w:rFonts w:eastAsia="Calibri"/>
          <w:noProof/>
          <w:color w:val="0000FF" w:themeColor="hyperlink"/>
          <w:u w:val="single"/>
        </w:rPr>
        <w:t>Environmental Liability Directive</w:t>
      </w:r>
      <w:r w:rsidRPr="003B7DCE">
        <w:rPr>
          <w:noProof/>
        </w:rPr>
        <w:fldChar w:fldCharType="end"/>
      </w:r>
      <w:r w:rsidR="00BE1A5C">
        <w:rPr>
          <w:rStyle w:val="Allmrkuseviide"/>
          <w:noProof/>
        </w:rPr>
        <w:footnoteReference w:id="31"/>
      </w:r>
      <w:r w:rsidRPr="0070484B">
        <w:rPr>
          <w:noProof/>
        </w:rPr>
        <w:t xml:space="preserve"> </w:t>
      </w:r>
      <w:bookmarkEnd w:id="3"/>
      <w:r w:rsidR="006D7C70" w:rsidRPr="006D7C70">
        <w:rPr>
          <w:noProof/>
        </w:rPr>
        <w:t xml:space="preserve">establishes a framework for environmental liability with regard to prevention and remedying environmental damage based on </w:t>
      </w:r>
      <w:r w:rsidRPr="0070484B">
        <w:rPr>
          <w:noProof/>
        </w:rPr>
        <w:t>the “polluter pays” principle</w:t>
      </w:r>
      <w:r w:rsidR="00777773">
        <w:rPr>
          <w:noProof/>
        </w:rPr>
        <w:t xml:space="preserve"> for </w:t>
      </w:r>
      <w:r w:rsidR="00BB27CF">
        <w:rPr>
          <w:noProof/>
        </w:rPr>
        <w:t>companies’ own</w:t>
      </w:r>
      <w:r w:rsidR="00777773">
        <w:rPr>
          <w:noProof/>
        </w:rPr>
        <w:t xml:space="preserve"> operation</w:t>
      </w:r>
      <w:r w:rsidR="00EE4C15">
        <w:rPr>
          <w:noProof/>
        </w:rPr>
        <w:t>s</w:t>
      </w:r>
      <w:r w:rsidRPr="0070484B">
        <w:rPr>
          <w:noProof/>
        </w:rPr>
        <w:t xml:space="preserve">. </w:t>
      </w:r>
      <w:r w:rsidR="006D7C70">
        <w:rPr>
          <w:noProof/>
        </w:rPr>
        <w:t xml:space="preserve">It </w:t>
      </w:r>
      <w:r w:rsidRPr="0070484B">
        <w:rPr>
          <w:noProof/>
        </w:rPr>
        <w:t xml:space="preserve">does not cover </w:t>
      </w:r>
      <w:r w:rsidR="006D7C70">
        <w:rPr>
          <w:noProof/>
        </w:rPr>
        <w:t>companies’</w:t>
      </w:r>
      <w:r w:rsidR="006D7C70" w:rsidRPr="0070484B">
        <w:rPr>
          <w:noProof/>
        </w:rPr>
        <w:t xml:space="preserve"> </w:t>
      </w:r>
      <w:r w:rsidRPr="0070484B">
        <w:rPr>
          <w:noProof/>
        </w:rPr>
        <w:t>value chain</w:t>
      </w:r>
      <w:r w:rsidR="006D7C70">
        <w:rPr>
          <w:noProof/>
        </w:rPr>
        <w:t>s</w:t>
      </w:r>
      <w:r w:rsidRPr="0070484B">
        <w:rPr>
          <w:noProof/>
        </w:rPr>
        <w:t xml:space="preserve">. </w:t>
      </w:r>
      <w:r w:rsidR="005F03B0" w:rsidRPr="005F03B0">
        <w:rPr>
          <w:noProof/>
        </w:rPr>
        <w:tab/>
        <w:t xml:space="preserve">The civil liability related to adverse environmental impacts </w:t>
      </w:r>
      <w:r w:rsidR="00D427B7">
        <w:rPr>
          <w:noProof/>
        </w:rPr>
        <w:t xml:space="preserve">of this Directive </w:t>
      </w:r>
      <w:r w:rsidR="005F03B0">
        <w:rPr>
          <w:noProof/>
        </w:rPr>
        <w:t>will be complementary</w:t>
      </w:r>
      <w:r w:rsidR="00D427B7">
        <w:rPr>
          <w:noProof/>
        </w:rPr>
        <w:t xml:space="preserve"> to the Environmental Liability Directive</w:t>
      </w:r>
      <w:r w:rsidR="005F03B0" w:rsidRPr="005F03B0">
        <w:rPr>
          <w:noProof/>
        </w:rPr>
        <w:t>.</w:t>
      </w:r>
    </w:p>
    <w:p w14:paraId="08344A75" w14:textId="77777777" w:rsidR="001859C1" w:rsidRPr="00EB7163" w:rsidRDefault="001859C1" w:rsidP="00CB3D33">
      <w:pPr>
        <w:rPr>
          <w:noProof/>
        </w:rPr>
      </w:pPr>
      <w:r w:rsidRPr="0070484B">
        <w:rPr>
          <w:noProof/>
        </w:rPr>
        <w:t xml:space="preserve">This Directive will complement </w:t>
      </w:r>
      <w:r w:rsidRPr="006978FF">
        <w:rPr>
          <w:noProof/>
        </w:rPr>
        <w:t>EU</w:t>
      </w:r>
      <w:r w:rsidRPr="006978FF">
        <w:rPr>
          <w:b/>
          <w:noProof/>
        </w:rPr>
        <w:t xml:space="preserve"> </w:t>
      </w:r>
      <w:r w:rsidRPr="00021ADA">
        <w:rPr>
          <w:noProof/>
        </w:rPr>
        <w:t>climate legislation</w:t>
      </w:r>
      <w:r w:rsidRPr="0070484B">
        <w:rPr>
          <w:noProof/>
        </w:rPr>
        <w:t>, including</w:t>
      </w:r>
      <w:r w:rsidR="00604474" w:rsidRPr="00604474">
        <w:rPr>
          <w:noProof/>
        </w:rPr>
        <w:t xml:space="preserve"> </w:t>
      </w:r>
      <w:r w:rsidR="00604474">
        <w:rPr>
          <w:noProof/>
        </w:rPr>
        <w:t xml:space="preserve">the </w:t>
      </w:r>
      <w:r w:rsidR="00604474" w:rsidRPr="00604474">
        <w:rPr>
          <w:noProof/>
        </w:rPr>
        <w:t xml:space="preserve">European Climate Law, setting in stone the </w:t>
      </w:r>
      <w:r w:rsidR="008F406C">
        <w:rPr>
          <w:noProof/>
        </w:rPr>
        <w:t>Union</w:t>
      </w:r>
      <w:r w:rsidR="008F406C" w:rsidRPr="00604474">
        <w:rPr>
          <w:noProof/>
        </w:rPr>
        <w:t>’s</w:t>
      </w:r>
      <w:r w:rsidR="00604474" w:rsidRPr="00604474">
        <w:rPr>
          <w:noProof/>
        </w:rPr>
        <w:t xml:space="preserve"> climate ambition, with the intermediate target of reducing net greenhouse gas emissions by at least 55% by 2030, to set Europe on a responsible path to becoming climate-neutral by 2050. Most specifically, this Directive will complement</w:t>
      </w:r>
      <w:r w:rsidRPr="0070484B">
        <w:rPr>
          <w:noProof/>
        </w:rPr>
        <w:t xml:space="preserve"> the </w:t>
      </w:r>
      <w:hyperlink r:id="rId28" w:history="1">
        <w:r w:rsidRPr="0070484B">
          <w:rPr>
            <w:noProof/>
            <w:color w:val="0000FF" w:themeColor="hyperlink"/>
            <w:u w:val="single"/>
          </w:rPr>
          <w:t>“Fit for 55” Package</w:t>
        </w:r>
      </w:hyperlink>
      <w:r w:rsidR="0054342D">
        <w:rPr>
          <w:rStyle w:val="Allmrkuseviide"/>
          <w:noProof/>
          <w:color w:val="0000FF" w:themeColor="hyperlink"/>
          <w:u w:val="single"/>
        </w:rPr>
        <w:footnoteReference w:id="32"/>
      </w:r>
      <w:r w:rsidRPr="0070484B">
        <w:rPr>
          <w:noProof/>
        </w:rPr>
        <w:t xml:space="preserve"> and its </w:t>
      </w:r>
      <w:r w:rsidR="00604474">
        <w:rPr>
          <w:noProof/>
        </w:rPr>
        <w:t xml:space="preserve">various </w:t>
      </w:r>
      <w:r w:rsidRPr="0070484B">
        <w:rPr>
          <w:noProof/>
        </w:rPr>
        <w:t>key actions</w:t>
      </w:r>
      <w:r w:rsidR="00604474">
        <w:rPr>
          <w:noProof/>
        </w:rPr>
        <w:t>, such as</w:t>
      </w:r>
      <w:r w:rsidRPr="0070484B">
        <w:rPr>
          <w:noProof/>
        </w:rPr>
        <w:t xml:space="preserve"> setting more ambitious energy efficiency and renewable energy targets for Member States by 2030</w:t>
      </w:r>
      <w:r w:rsidR="00604474" w:rsidRPr="0070484B">
        <w:rPr>
          <w:rFonts w:eastAsia="Times New Roman"/>
          <w:noProof/>
        </w:rPr>
        <w:t xml:space="preserve"> or the upgrading of the </w:t>
      </w:r>
      <w:hyperlink r:id="rId29" w:history="1">
        <w:r w:rsidR="00604474" w:rsidRPr="00374710">
          <w:rPr>
            <w:rStyle w:val="Hperlink"/>
            <w:rFonts w:eastAsia="Times New Roman"/>
            <w:noProof/>
          </w:rPr>
          <w:t>EU Emissions Trading System</w:t>
        </w:r>
      </w:hyperlink>
      <w:r w:rsidR="007F5D1D">
        <w:rPr>
          <w:rStyle w:val="Allmrkuseviide"/>
          <w:rFonts w:eastAsia="Times New Roman"/>
          <w:noProof/>
        </w:rPr>
        <w:footnoteReference w:id="33"/>
      </w:r>
      <w:r w:rsidRPr="0070484B">
        <w:rPr>
          <w:noProof/>
        </w:rPr>
        <w:t xml:space="preserve">, </w:t>
      </w:r>
      <w:r>
        <w:rPr>
          <w:noProof/>
        </w:rPr>
        <w:t xml:space="preserve">which </w:t>
      </w:r>
      <w:r w:rsidRPr="0070484B">
        <w:rPr>
          <w:noProof/>
        </w:rPr>
        <w:t>needs to be underpinned by a wider transformation of production processes to achieve climate neutrality by 2050 across the economy and throughout value chains. The “Fit for 55” Package will only indirectly apply to some non-EU value chains of EU companies through</w:t>
      </w:r>
      <w:r w:rsidR="004B2F08">
        <w:rPr>
          <w:noProof/>
        </w:rPr>
        <w:t xml:space="preserve"> the</w:t>
      </w:r>
      <w:r w:rsidRPr="0070484B">
        <w:rPr>
          <w:noProof/>
        </w:rPr>
        <w:t xml:space="preserve"> </w:t>
      </w:r>
      <w:hyperlink r:id="rId30" w:history="1">
        <w:r w:rsidRPr="0070484B">
          <w:rPr>
            <w:noProof/>
            <w:color w:val="0000FF" w:themeColor="hyperlink"/>
            <w:u w:val="single"/>
          </w:rPr>
          <w:t>Carbon Border Adjustment Mechanism (CBAM)</w:t>
        </w:r>
      </w:hyperlink>
      <w:r w:rsidR="00B56151" w:rsidRPr="00AB0B10">
        <w:rPr>
          <w:rStyle w:val="Allmrkuseviide"/>
          <w:noProof/>
        </w:rPr>
        <w:footnoteReference w:id="34"/>
      </w:r>
      <w:r w:rsidR="004B2F08">
        <w:rPr>
          <w:noProof/>
        </w:rPr>
        <w:t xml:space="preserve"> w</w:t>
      </w:r>
      <w:r w:rsidRPr="0070484B">
        <w:rPr>
          <w:noProof/>
        </w:rPr>
        <w:t>hich aims at preventing “carbon leakage”</w:t>
      </w:r>
      <w:r w:rsidRPr="00AB0B10">
        <w:rPr>
          <w:rStyle w:val="Allmrkuseviide"/>
          <w:noProof/>
        </w:rPr>
        <w:footnoteReference w:id="35"/>
      </w:r>
      <w:r w:rsidRPr="0070484B">
        <w:rPr>
          <w:noProof/>
        </w:rPr>
        <w:t xml:space="preserve"> by imposing a carbon adjustment price for selected imported products not subject to the carbon price deriving from the EU Emission Trading System. </w:t>
      </w:r>
    </w:p>
    <w:p w14:paraId="3F88F339" w14:textId="78A39798" w:rsidR="004D797B" w:rsidRDefault="001859C1" w:rsidP="00CB3D33">
      <w:pPr>
        <w:rPr>
          <w:noProof/>
        </w:rPr>
      </w:pPr>
      <w:r w:rsidRPr="0070484B">
        <w:rPr>
          <w:noProof/>
        </w:rPr>
        <w:t xml:space="preserve">Existing </w:t>
      </w:r>
      <w:hyperlink r:id="rId31" w:history="1">
        <w:r w:rsidRPr="00021ADA">
          <w:rPr>
            <w:rStyle w:val="Hperlink"/>
            <w:noProof/>
          </w:rPr>
          <w:t xml:space="preserve">EU health and safety, and </w:t>
        </w:r>
        <w:r w:rsidR="00E905DF" w:rsidRPr="00021ADA">
          <w:rPr>
            <w:rStyle w:val="Hperlink"/>
            <w:noProof/>
          </w:rPr>
          <w:t xml:space="preserve">fundamental </w:t>
        </w:r>
        <w:r w:rsidRPr="00021ADA">
          <w:rPr>
            <w:rStyle w:val="Hperlink"/>
            <w:noProof/>
          </w:rPr>
          <w:t>rights legislation</w:t>
        </w:r>
      </w:hyperlink>
      <w:r w:rsidRPr="0070484B">
        <w:rPr>
          <w:noProof/>
        </w:rPr>
        <w:t xml:space="preserve"> targets very specific adverse impacts (such as </w:t>
      </w:r>
      <w:r w:rsidR="00E905DF" w:rsidRPr="00E905DF">
        <w:rPr>
          <w:noProof/>
        </w:rPr>
        <w:t xml:space="preserve">violations of the right to </w:t>
      </w:r>
      <w:r w:rsidRPr="0070484B">
        <w:rPr>
          <w:noProof/>
        </w:rPr>
        <w:t>privacy</w:t>
      </w:r>
      <w:r w:rsidR="00E905DF" w:rsidRPr="00E905DF">
        <w:rPr>
          <w:noProof/>
        </w:rPr>
        <w:t xml:space="preserve"> and data protection</w:t>
      </w:r>
      <w:r w:rsidRPr="0070484B">
        <w:rPr>
          <w:noProof/>
        </w:rPr>
        <w:t xml:space="preserve">, discrimination, specific health aspects related to dangerous substances, </w:t>
      </w:r>
      <w:r w:rsidR="00E905DF" w:rsidRPr="00E905DF">
        <w:rPr>
          <w:noProof/>
        </w:rPr>
        <w:t xml:space="preserve">threats to </w:t>
      </w:r>
      <w:r w:rsidRPr="0070484B">
        <w:rPr>
          <w:noProof/>
        </w:rPr>
        <w:t xml:space="preserve">health and safety of workers, </w:t>
      </w:r>
      <w:r w:rsidR="00E905DF" w:rsidRPr="00E905DF">
        <w:rPr>
          <w:noProof/>
        </w:rPr>
        <w:t xml:space="preserve">violations of </w:t>
      </w:r>
      <w:r w:rsidRPr="0070484B">
        <w:rPr>
          <w:noProof/>
        </w:rPr>
        <w:t xml:space="preserve">rights of the child, etc.) within the </w:t>
      </w:r>
      <w:r w:rsidR="00A9048B">
        <w:rPr>
          <w:noProof/>
        </w:rPr>
        <w:t>Union</w:t>
      </w:r>
      <w:r w:rsidRPr="00AB0B10">
        <w:rPr>
          <w:rStyle w:val="Allmrkuseviide"/>
          <w:noProof/>
        </w:rPr>
        <w:footnoteReference w:id="36"/>
      </w:r>
      <w:r w:rsidRPr="0070484B">
        <w:rPr>
          <w:noProof/>
        </w:rPr>
        <w:t xml:space="preserve"> but does not apply </w:t>
      </w:r>
      <w:r w:rsidR="00E905DF" w:rsidRPr="00E905DF">
        <w:rPr>
          <w:noProof/>
        </w:rPr>
        <w:t>in all cases</w:t>
      </w:r>
      <w:r w:rsidRPr="0070484B">
        <w:rPr>
          <w:noProof/>
        </w:rPr>
        <w:t xml:space="preserve"> to companies’ value chains</w:t>
      </w:r>
      <w:r w:rsidR="00072961">
        <w:rPr>
          <w:noProof/>
        </w:rPr>
        <w:t xml:space="preserve"> outside the Union</w:t>
      </w:r>
      <w:r w:rsidRPr="0070484B">
        <w:rPr>
          <w:noProof/>
        </w:rPr>
        <w:t xml:space="preserve">. </w:t>
      </w:r>
    </w:p>
    <w:p w14:paraId="69D80997" w14:textId="68A1A071" w:rsidR="004D797B" w:rsidRPr="00EB7163" w:rsidRDefault="004D797B" w:rsidP="00CB3D33">
      <w:pPr>
        <w:rPr>
          <w:noProof/>
        </w:rPr>
      </w:pPr>
      <w:r w:rsidRPr="5A2BC772">
        <w:rPr>
          <w:rFonts w:eastAsia="Calibri"/>
          <w:noProof/>
        </w:rPr>
        <w:t xml:space="preserve">The initiative is in line with the </w:t>
      </w:r>
      <w:hyperlink r:id="rId32" w:history="1">
        <w:r w:rsidRPr="00021ADA">
          <w:rPr>
            <w:rStyle w:val="Hperlink"/>
            <w:noProof/>
          </w:rPr>
          <w:t>EU Action Plan on Human Rights and Democracy 2020-2024</w:t>
        </w:r>
      </w:hyperlink>
      <w:r w:rsidR="00D373BA">
        <w:rPr>
          <w:rStyle w:val="Allmrkuseviide"/>
          <w:rFonts w:eastAsia="Calibri"/>
          <w:noProof/>
        </w:rPr>
        <w:footnoteReference w:id="37"/>
      </w:r>
      <w:r w:rsidRPr="00824CCD">
        <w:rPr>
          <w:rFonts w:eastAsia="Calibri"/>
          <w:noProof/>
        </w:rPr>
        <w:t>,</w:t>
      </w:r>
      <w:r w:rsidRPr="5A2BC772">
        <w:rPr>
          <w:rFonts w:eastAsia="Calibri"/>
          <w:noProof/>
        </w:rPr>
        <w:t xml:space="preserve"> which includes a commitment for </w:t>
      </w:r>
      <w:r w:rsidRPr="00F81D00">
        <w:rPr>
          <w:rFonts w:eastAsia="Calibri"/>
          <w:noProof/>
        </w:rPr>
        <w:t xml:space="preserve">the </w:t>
      </w:r>
      <w:r w:rsidR="006A6DEF">
        <w:rPr>
          <w:rFonts w:eastAsia="Calibri"/>
          <w:noProof/>
        </w:rPr>
        <w:t>Union</w:t>
      </w:r>
      <w:r w:rsidR="006A6DEF" w:rsidRPr="00A11EC4">
        <w:rPr>
          <w:rFonts w:eastAsia="Calibri"/>
          <w:noProof/>
        </w:rPr>
        <w:t xml:space="preserve"> </w:t>
      </w:r>
      <w:r w:rsidRPr="00A11EC4">
        <w:rPr>
          <w:rFonts w:eastAsia="Calibri"/>
          <w:noProof/>
        </w:rPr>
        <w:t xml:space="preserve">and Member States to strengthen </w:t>
      </w:r>
      <w:r w:rsidRPr="5A2BC772">
        <w:rPr>
          <w:rFonts w:eastAsia="Calibri"/>
          <w:noProof/>
        </w:rPr>
        <w:t>their engagement to actively promote the implementation of international standards on responsible business conduct such as the UN Guiding Principles on Business and Human Rights and the OECD Guidelines on Multinational Enterprises and Due Diligence. It is</w:t>
      </w:r>
      <w:r w:rsidRPr="5A2BC772" w:rsidDel="00F3479D">
        <w:rPr>
          <w:rFonts w:eastAsia="Calibri"/>
          <w:noProof/>
        </w:rPr>
        <w:t xml:space="preserve"> </w:t>
      </w:r>
      <w:r w:rsidRPr="5A2BC772">
        <w:rPr>
          <w:rFonts w:eastAsia="Calibri"/>
          <w:noProof/>
        </w:rPr>
        <w:t xml:space="preserve">consistent with the </w:t>
      </w:r>
      <w:hyperlink r:id="rId33" w:history="1">
        <w:r w:rsidRPr="00021ADA">
          <w:rPr>
            <w:rStyle w:val="Hperlink"/>
            <w:noProof/>
          </w:rPr>
          <w:t>EU Strategy on the Rights of the Child</w:t>
        </w:r>
      </w:hyperlink>
      <w:r w:rsidR="00FB5F1A">
        <w:rPr>
          <w:rStyle w:val="Allmrkuseviide"/>
          <w:rFonts w:eastAsia="Calibri"/>
          <w:noProof/>
        </w:rPr>
        <w:footnoteReference w:id="38"/>
      </w:r>
      <w:r w:rsidRPr="5A2BC772">
        <w:rPr>
          <w:rFonts w:eastAsia="Calibri"/>
          <w:noProof/>
        </w:rPr>
        <w:t xml:space="preserve"> which commits the </w:t>
      </w:r>
      <w:r w:rsidR="00A9048B">
        <w:rPr>
          <w:rFonts w:eastAsia="Calibri"/>
          <w:noProof/>
        </w:rPr>
        <w:t>Union</w:t>
      </w:r>
      <w:r w:rsidR="00A9048B" w:rsidRPr="5A2BC772">
        <w:rPr>
          <w:rFonts w:eastAsia="Calibri"/>
          <w:noProof/>
        </w:rPr>
        <w:t xml:space="preserve"> </w:t>
      </w:r>
      <w:r w:rsidRPr="5A2BC772">
        <w:rPr>
          <w:rFonts w:eastAsia="Calibri"/>
          <w:noProof/>
        </w:rPr>
        <w:t>to a zero tolerance approach against child labour</w:t>
      </w:r>
      <w:r w:rsidR="00D427B7">
        <w:rPr>
          <w:rFonts w:eastAsia="Calibri"/>
          <w:noProof/>
        </w:rPr>
        <w:t xml:space="preserve"> </w:t>
      </w:r>
      <w:r w:rsidR="00D427B7">
        <w:rPr>
          <w:noProof/>
        </w:rPr>
        <w:t>and to ensure that supply chains of EU companies are free of child labour</w:t>
      </w:r>
      <w:r w:rsidRPr="00F81D00">
        <w:rPr>
          <w:rFonts w:eastAsia="Calibri"/>
          <w:noProof/>
        </w:rPr>
        <w:t>.</w:t>
      </w:r>
      <w:r w:rsidR="00DE36B0" w:rsidRPr="00DE36B0">
        <w:rPr>
          <w:rFonts w:eastAsia="Times New Roman"/>
          <w:noProof/>
        </w:rPr>
        <w:t xml:space="preserve"> </w:t>
      </w:r>
      <w:r w:rsidR="00DE36B0">
        <w:rPr>
          <w:rFonts w:eastAsia="Times New Roman"/>
          <w:noProof/>
        </w:rPr>
        <w:t xml:space="preserve">In the </w:t>
      </w:r>
      <w:hyperlink r:id="rId34" w:history="1">
        <w:r w:rsidR="00DE36B0" w:rsidRPr="00021ADA">
          <w:rPr>
            <w:rStyle w:val="Hperlink"/>
            <w:noProof/>
          </w:rPr>
          <w:t>EU Strategy on Combatting Trafficking in Human Beings 2021- 2025</w:t>
        </w:r>
      </w:hyperlink>
      <w:r w:rsidR="00DE36B0">
        <w:rPr>
          <w:rStyle w:val="Allmrkuseviide"/>
          <w:noProof/>
        </w:rPr>
        <w:footnoteReference w:id="39"/>
      </w:r>
      <w:r w:rsidR="00DE36B0">
        <w:rPr>
          <w:noProof/>
        </w:rPr>
        <w:t xml:space="preserve"> the Commission committed to put forward a legislative proposal on sustainable corporate governance to foster long-term sustainable and responsible corporate behaviour.</w:t>
      </w:r>
      <w:r w:rsidR="002A1B73">
        <w:rPr>
          <w:noProof/>
        </w:rPr>
        <w:t xml:space="preserve"> The initiative also </w:t>
      </w:r>
      <w:r w:rsidR="00F97979">
        <w:rPr>
          <w:noProof/>
        </w:rPr>
        <w:t>contributes to the goals of the</w:t>
      </w:r>
      <w:r w:rsidR="002A1B73">
        <w:rPr>
          <w:noProof/>
        </w:rPr>
        <w:t xml:space="preserve"> </w:t>
      </w:r>
      <w:r w:rsidR="00F97979" w:rsidRPr="004165CA">
        <w:rPr>
          <w:noProof/>
        </w:rPr>
        <w:t>Commission’s Communication on decent work worldwide</w:t>
      </w:r>
      <w:r w:rsidR="00030FCA">
        <w:rPr>
          <w:rStyle w:val="Allmrkuseviide"/>
          <w:noProof/>
        </w:rPr>
        <w:footnoteReference w:id="40"/>
      </w:r>
      <w:r w:rsidR="00FB2CF8" w:rsidRPr="00FB2CF8">
        <w:rPr>
          <w:noProof/>
        </w:rPr>
        <w:t xml:space="preserve">, </w:t>
      </w:r>
      <w:r w:rsidR="00FB2CF8">
        <w:rPr>
          <w:noProof/>
        </w:rPr>
        <w:t xml:space="preserve">which </w:t>
      </w:r>
      <w:r w:rsidR="00FB2CF8" w:rsidRPr="00FB2CF8">
        <w:rPr>
          <w:noProof/>
        </w:rPr>
        <w:t>is adopted together with this proposal</w:t>
      </w:r>
      <w:r w:rsidR="00F97979" w:rsidRPr="004165CA">
        <w:rPr>
          <w:noProof/>
        </w:rPr>
        <w:t>.</w:t>
      </w:r>
    </w:p>
    <w:p w14:paraId="7FF68135" w14:textId="2DE0603D" w:rsidR="00111230" w:rsidRPr="0070484B" w:rsidRDefault="00111230" w:rsidP="001C43C7">
      <w:pPr>
        <w:rPr>
          <w:rFonts w:eastAsia="Times New Roman"/>
          <w:noProof/>
        </w:rPr>
      </w:pPr>
      <w:r>
        <w:rPr>
          <w:rFonts w:eastAsia="Times New Roman"/>
          <w:noProof/>
        </w:rPr>
        <w:t xml:space="preserve">This Directive </w:t>
      </w:r>
      <w:r w:rsidRPr="5A2BC772">
        <w:rPr>
          <w:noProof/>
        </w:rPr>
        <w:t xml:space="preserve">will contribute to the </w:t>
      </w:r>
      <w:r w:rsidRPr="00021ADA">
        <w:rPr>
          <w:noProof/>
        </w:rPr>
        <w:t>European Pillar of Social Rights</w:t>
      </w:r>
      <w:r w:rsidRPr="5A2BC772">
        <w:rPr>
          <w:noProof/>
        </w:rPr>
        <w:t xml:space="preserve"> as both promote rights such as fair working conditions</w:t>
      </w:r>
      <w:r w:rsidRPr="5A2BC772">
        <w:rPr>
          <w:rStyle w:val="Allmrkuseviide"/>
          <w:noProof/>
        </w:rPr>
        <w:footnoteReference w:id="41"/>
      </w:r>
      <w:r w:rsidRPr="5A2BC772">
        <w:rPr>
          <w:noProof/>
        </w:rPr>
        <w:t>.</w:t>
      </w:r>
      <w:r w:rsidRPr="0070484B">
        <w:rPr>
          <w:rFonts w:eastAsia="Times New Roman"/>
          <w:noProof/>
        </w:rPr>
        <w:t xml:space="preserve"> </w:t>
      </w:r>
      <w:r>
        <w:rPr>
          <w:noProof/>
        </w:rPr>
        <w:t xml:space="preserve">It will – beyond its external angle – deal with the violation of international labour standards </w:t>
      </w:r>
      <w:r w:rsidRPr="00071141">
        <w:rPr>
          <w:noProof/>
        </w:rPr>
        <w:t xml:space="preserve">when they occur in the </w:t>
      </w:r>
      <w:r w:rsidR="00A9048B">
        <w:rPr>
          <w:noProof/>
        </w:rPr>
        <w:t>Union</w:t>
      </w:r>
      <w:r w:rsidR="00A9048B" w:rsidRPr="00765305">
        <w:rPr>
          <w:noProof/>
        </w:rPr>
        <w:t xml:space="preserve"> </w:t>
      </w:r>
      <w:r w:rsidRPr="00765305">
        <w:rPr>
          <w:noProof/>
        </w:rPr>
        <w:t>(e.g. forced labour cases in agriculture). Therefore</w:t>
      </w:r>
      <w:r>
        <w:rPr>
          <w:noProof/>
        </w:rPr>
        <w:t xml:space="preserve">, internally it would also reinforce the protection of workers in the </w:t>
      </w:r>
      <w:r w:rsidR="00A9048B">
        <w:rPr>
          <w:noProof/>
        </w:rPr>
        <w:t xml:space="preserve">Union </w:t>
      </w:r>
      <w:r>
        <w:rPr>
          <w:noProof/>
        </w:rPr>
        <w:t xml:space="preserve">alongside the existing social </w:t>
      </w:r>
      <w:r>
        <w:rPr>
          <w:i/>
          <w:noProof/>
        </w:rPr>
        <w:t xml:space="preserve">acquis </w:t>
      </w:r>
      <w:r w:rsidRPr="00864B19">
        <w:rPr>
          <w:noProof/>
        </w:rPr>
        <w:t>and</w:t>
      </w:r>
      <w:r>
        <w:rPr>
          <w:i/>
          <w:noProof/>
        </w:rPr>
        <w:t xml:space="preserve"> </w:t>
      </w:r>
      <w:r>
        <w:rPr>
          <w:noProof/>
        </w:rPr>
        <w:t>contribute to prevent</w:t>
      </w:r>
      <w:r w:rsidR="00CC2C81">
        <w:rPr>
          <w:noProof/>
        </w:rPr>
        <w:t>ing</w:t>
      </w:r>
      <w:r>
        <w:rPr>
          <w:noProof/>
        </w:rPr>
        <w:t xml:space="preserve"> and </w:t>
      </w:r>
      <w:r w:rsidR="00CC2C81">
        <w:rPr>
          <w:noProof/>
        </w:rPr>
        <w:t xml:space="preserve">tackling </w:t>
      </w:r>
      <w:r>
        <w:rPr>
          <w:noProof/>
        </w:rPr>
        <w:t>abuses within and across Member States.</w:t>
      </w:r>
    </w:p>
    <w:p w14:paraId="41CC95BD" w14:textId="4DDC3771" w:rsidR="00F3479D" w:rsidRPr="00EB7163" w:rsidRDefault="00F3479D" w:rsidP="005B7CEF">
      <w:pPr>
        <w:rPr>
          <w:noProof/>
        </w:rPr>
      </w:pPr>
      <w:r w:rsidRPr="08EEB427">
        <w:rPr>
          <w:noProof/>
        </w:rPr>
        <w:t xml:space="preserve">Thus, this </w:t>
      </w:r>
      <w:r>
        <w:rPr>
          <w:noProof/>
        </w:rPr>
        <w:t>Directive</w:t>
      </w:r>
      <w:r w:rsidRPr="08EEB427">
        <w:rPr>
          <w:noProof/>
        </w:rPr>
        <w:t xml:space="preserve"> will complement the EU’s regulatory environment that currently does not include an </w:t>
      </w:r>
      <w:r w:rsidR="00324FC6">
        <w:rPr>
          <w:noProof/>
        </w:rPr>
        <w:t>Union</w:t>
      </w:r>
      <w:r w:rsidRPr="08EEB427">
        <w:rPr>
          <w:noProof/>
        </w:rPr>
        <w:t xml:space="preserve">-wide transparent and predictable framework that helps EU companies </w:t>
      </w:r>
      <w:r w:rsidR="00B90A09">
        <w:rPr>
          <w:noProof/>
        </w:rPr>
        <w:t>in</w:t>
      </w:r>
      <w:r w:rsidRPr="08EEB427">
        <w:rPr>
          <w:noProof/>
        </w:rPr>
        <w:t xml:space="preserve"> all sectors of the economy to asses</w:t>
      </w:r>
      <w:r w:rsidR="00E95924">
        <w:rPr>
          <w:noProof/>
        </w:rPr>
        <w:t>s</w:t>
      </w:r>
      <w:r w:rsidRPr="08EEB427">
        <w:rPr>
          <w:noProof/>
        </w:rPr>
        <w:t xml:space="preserve"> and manage sustainability risks and impacts </w:t>
      </w:r>
      <w:r w:rsidR="00B90A09">
        <w:rPr>
          <w:noProof/>
        </w:rPr>
        <w:t xml:space="preserve">with respect to </w:t>
      </w:r>
      <w:r w:rsidR="00324B51">
        <w:rPr>
          <w:noProof/>
        </w:rPr>
        <w:t>the</w:t>
      </w:r>
      <w:r w:rsidR="00B90A09">
        <w:rPr>
          <w:noProof/>
        </w:rPr>
        <w:t xml:space="preserve"> </w:t>
      </w:r>
      <w:r w:rsidRPr="009F6A65">
        <w:rPr>
          <w:rFonts w:eastAsia="Times New Roman"/>
          <w:noProof/>
        </w:rPr>
        <w:t xml:space="preserve">core </w:t>
      </w:r>
      <w:r w:rsidRPr="009F6A65">
        <w:rPr>
          <w:noProof/>
        </w:rPr>
        <w:t xml:space="preserve">human rights and environmental </w:t>
      </w:r>
      <w:r w:rsidRPr="009F6A65">
        <w:rPr>
          <w:rFonts w:eastAsia="Times New Roman"/>
          <w:noProof/>
        </w:rPr>
        <w:t>risks</w:t>
      </w:r>
      <w:r w:rsidR="00B90A09">
        <w:rPr>
          <w:rFonts w:eastAsia="Times New Roman"/>
          <w:noProof/>
        </w:rPr>
        <w:t xml:space="preserve">, including across </w:t>
      </w:r>
      <w:r w:rsidRPr="009F6A65">
        <w:rPr>
          <w:noProof/>
        </w:rPr>
        <w:t xml:space="preserve">their value chains. </w:t>
      </w:r>
    </w:p>
    <w:p w14:paraId="60993E70" w14:textId="77777777" w:rsidR="001859C1" w:rsidRPr="007F048F" w:rsidRDefault="001859C1">
      <w:pPr>
        <w:pStyle w:val="ManualHeading1"/>
        <w:rPr>
          <w:noProof/>
        </w:rPr>
      </w:pPr>
      <w:r w:rsidRPr="003D509F">
        <w:rPr>
          <w:noProof/>
        </w:rPr>
        <w:t>2.</w:t>
      </w:r>
      <w:r w:rsidRPr="003D509F">
        <w:rPr>
          <w:noProof/>
        </w:rPr>
        <w:tab/>
      </w:r>
      <w:r w:rsidRPr="007F048F">
        <w:rPr>
          <w:noProof/>
        </w:rPr>
        <w:t>LEGAL BASIS, SUBSIDIARITY AND PROPORTIONALITY</w:t>
      </w:r>
    </w:p>
    <w:p w14:paraId="71FD332A" w14:textId="77777777" w:rsidR="001859C1" w:rsidRPr="00FD1F79" w:rsidRDefault="001859C1" w:rsidP="000B2095">
      <w:pPr>
        <w:pStyle w:val="ManualHeading2"/>
        <w:rPr>
          <w:noProof/>
        </w:rPr>
      </w:pPr>
      <w:r w:rsidRPr="00241A14">
        <w:rPr>
          <w:noProof/>
        </w:rPr>
        <w:t>Legal basis</w:t>
      </w:r>
    </w:p>
    <w:p w14:paraId="19A0C25A" w14:textId="77777777" w:rsidR="001859C1" w:rsidRPr="000077DE" w:rsidRDefault="001859C1" w:rsidP="00CB3D33">
      <w:pPr>
        <w:rPr>
          <w:noProof/>
        </w:rPr>
      </w:pPr>
      <w:r w:rsidRPr="0070484B">
        <w:rPr>
          <w:noProof/>
        </w:rPr>
        <w:t xml:space="preserve">The </w:t>
      </w:r>
      <w:r w:rsidR="00D013CA">
        <w:rPr>
          <w:noProof/>
        </w:rPr>
        <w:t>proposal is based on</w:t>
      </w:r>
      <w:r w:rsidRPr="0070484B">
        <w:rPr>
          <w:noProof/>
        </w:rPr>
        <w:t xml:space="preserve"> Article 50 and Article 114 </w:t>
      </w:r>
      <w:r w:rsidR="00D013CA">
        <w:rPr>
          <w:noProof/>
        </w:rPr>
        <w:t>of the Treaty on the Functioning of the European Union</w:t>
      </w:r>
      <w:r w:rsidR="00D66511">
        <w:rPr>
          <w:noProof/>
        </w:rPr>
        <w:t xml:space="preserve"> (TFEU)</w:t>
      </w:r>
      <w:r w:rsidRPr="0070484B">
        <w:rPr>
          <w:noProof/>
        </w:rPr>
        <w:t>.</w:t>
      </w:r>
    </w:p>
    <w:p w14:paraId="474CC658" w14:textId="45CCA8D5" w:rsidR="00A72440" w:rsidRDefault="00D013CA" w:rsidP="00CB3D33">
      <w:pPr>
        <w:rPr>
          <w:noProof/>
        </w:rPr>
      </w:pPr>
      <w:r>
        <w:rPr>
          <w:noProof/>
        </w:rPr>
        <w:t xml:space="preserve">Article 50(1) TFEU and in particular Article 50(2)(g) TFEU provide for the EU competence to act in order to attain freedom of establishment as regards a particular activity, in particular </w:t>
      </w:r>
      <w:r w:rsidR="00A72440">
        <w:rPr>
          <w:noProof/>
        </w:rPr>
        <w:t>“</w:t>
      </w:r>
      <w:r w:rsidRPr="00A72440">
        <w:rPr>
          <w:i/>
          <w:noProof/>
        </w:rPr>
        <w:t>by coordinating to the necessary extent the safeguards which, for the protection of the interests of members and others, are required by Member States of companies or forms within the meaning of the second paragraph of Article</w:t>
      </w:r>
      <w:r w:rsidR="00D66511" w:rsidRPr="00A72440">
        <w:rPr>
          <w:i/>
          <w:noProof/>
        </w:rPr>
        <w:t> </w:t>
      </w:r>
      <w:r w:rsidRPr="00A72440">
        <w:rPr>
          <w:i/>
          <w:noProof/>
        </w:rPr>
        <w:t xml:space="preserve">54 </w:t>
      </w:r>
      <w:r w:rsidR="00205ABE" w:rsidRPr="00A72440">
        <w:rPr>
          <w:i/>
          <w:noProof/>
        </w:rPr>
        <w:t xml:space="preserve">TFEU </w:t>
      </w:r>
      <w:r w:rsidRPr="00A72440">
        <w:rPr>
          <w:i/>
          <w:noProof/>
        </w:rPr>
        <w:t>with a view to making such safeguards equivalent throughout the Union</w:t>
      </w:r>
      <w:r w:rsidR="00A72440">
        <w:rPr>
          <w:i/>
          <w:noProof/>
        </w:rPr>
        <w:t>”</w:t>
      </w:r>
      <w:r>
        <w:rPr>
          <w:noProof/>
        </w:rPr>
        <w:t>.</w:t>
      </w:r>
      <w:r w:rsidR="00A72440">
        <w:rPr>
          <w:noProof/>
        </w:rPr>
        <w:t xml:space="preserve"> </w:t>
      </w:r>
      <w:r w:rsidR="00E84A3C">
        <w:rPr>
          <w:noProof/>
        </w:rPr>
        <w:t xml:space="preserve">An example </w:t>
      </w:r>
      <w:r w:rsidR="009C26FC">
        <w:rPr>
          <w:noProof/>
        </w:rPr>
        <w:t>of this can be</w:t>
      </w:r>
      <w:r w:rsidR="00A72440" w:rsidRPr="00A72440">
        <w:rPr>
          <w:noProof/>
        </w:rPr>
        <w:t xml:space="preserve"> coordination measures concerning the protection of interests of companies’ shareholders and other stakeholders with a view to making such protection equivalent throughout the Union</w:t>
      </w:r>
      <w:r w:rsidR="00A72440" w:rsidRPr="00A72440">
        <w:rPr>
          <w:rFonts w:eastAsia="Times New Roman"/>
          <w:noProof/>
        </w:rPr>
        <w:t>, where disparities between national rules are such as to obstruct freedom of establishment</w:t>
      </w:r>
      <w:r w:rsidR="00A72440" w:rsidRPr="00AB0B10">
        <w:rPr>
          <w:rStyle w:val="Allmrkuseviide"/>
          <w:noProof/>
        </w:rPr>
        <w:footnoteReference w:id="42"/>
      </w:r>
      <w:r w:rsidR="00A72440" w:rsidRPr="00A72440">
        <w:rPr>
          <w:rFonts w:eastAsia="Times New Roman"/>
          <w:noProof/>
        </w:rPr>
        <w:t xml:space="preserve">. Recourse to this provision is possible if the aim is to prevent the emergence of </w:t>
      </w:r>
      <w:r w:rsidR="00E95924">
        <w:rPr>
          <w:rFonts w:eastAsia="Times New Roman"/>
          <w:noProof/>
        </w:rPr>
        <w:t>current or</w:t>
      </w:r>
      <w:r w:rsidR="00A72440" w:rsidRPr="00A72440">
        <w:rPr>
          <w:rFonts w:eastAsia="Times New Roman"/>
          <w:noProof/>
        </w:rPr>
        <w:t xml:space="preserve"> future obstacles to the freedom of establishment resulting from the divergent development of national laws. The emergence of such obstacles must be likely and the measure in question must be designed to prevent them.</w:t>
      </w:r>
      <w:r w:rsidR="00A72440" w:rsidRPr="00AB0B10">
        <w:rPr>
          <w:rStyle w:val="Allmrkuseviide"/>
          <w:noProof/>
        </w:rPr>
        <w:footnoteReference w:id="43"/>
      </w:r>
    </w:p>
    <w:p w14:paraId="49F8BAB3" w14:textId="10B2A0C0" w:rsidR="00A72440" w:rsidRPr="00A72440" w:rsidRDefault="00A72440" w:rsidP="001C43C7">
      <w:pPr>
        <w:rPr>
          <w:noProof/>
        </w:rPr>
      </w:pPr>
      <w:r w:rsidRPr="00A72440">
        <w:rPr>
          <w:rFonts w:eastAsia="Times New Roman"/>
          <w:noProof/>
        </w:rPr>
        <w:t xml:space="preserve">This proposal regulates </w:t>
      </w:r>
      <w:r w:rsidR="0034495C">
        <w:rPr>
          <w:rFonts w:eastAsia="Times New Roman"/>
          <w:noProof/>
        </w:rPr>
        <w:t>sustainability</w:t>
      </w:r>
      <w:r w:rsidRPr="00A72440">
        <w:rPr>
          <w:rFonts w:eastAsia="Times New Roman"/>
          <w:noProof/>
        </w:rPr>
        <w:t xml:space="preserve"> due diligence obligations of companies and at the same time covers – to the extent linked to </w:t>
      </w:r>
      <w:r w:rsidR="0034495C">
        <w:rPr>
          <w:rFonts w:eastAsia="Times New Roman"/>
          <w:noProof/>
        </w:rPr>
        <w:t>th</w:t>
      </w:r>
      <w:r w:rsidR="00C64978">
        <w:rPr>
          <w:rFonts w:eastAsia="Times New Roman"/>
          <w:noProof/>
        </w:rPr>
        <w:t>at</w:t>
      </w:r>
      <w:r w:rsidR="0034495C">
        <w:rPr>
          <w:rFonts w:eastAsia="Times New Roman"/>
          <w:noProof/>
        </w:rPr>
        <w:t xml:space="preserve"> </w:t>
      </w:r>
      <w:r w:rsidRPr="00A72440">
        <w:rPr>
          <w:rFonts w:eastAsia="Times New Roman"/>
          <w:noProof/>
        </w:rPr>
        <w:t>due diligence – corporate directors’ duties and corporate management systems to implement due diligence</w:t>
      </w:r>
      <w:r w:rsidR="0034495C">
        <w:rPr>
          <w:rFonts w:eastAsia="Times New Roman"/>
          <w:noProof/>
        </w:rPr>
        <w:t>. T</w:t>
      </w:r>
      <w:r w:rsidRPr="00A72440">
        <w:rPr>
          <w:rFonts w:eastAsia="Times New Roman"/>
          <w:noProof/>
        </w:rPr>
        <w:t>hus</w:t>
      </w:r>
      <w:r w:rsidR="0034495C">
        <w:rPr>
          <w:rFonts w:eastAsia="Times New Roman"/>
          <w:noProof/>
        </w:rPr>
        <w:t>, the proposal concerns</w:t>
      </w:r>
      <w:r w:rsidRPr="00A72440">
        <w:rPr>
          <w:rFonts w:eastAsia="Times New Roman"/>
          <w:noProof/>
        </w:rPr>
        <w:t xml:space="preserve"> processes and measures</w:t>
      </w:r>
      <w:r w:rsidRPr="00A72440">
        <w:rPr>
          <w:rFonts w:eastAsia="Times New Roman"/>
          <w:i/>
          <w:noProof/>
        </w:rPr>
        <w:t xml:space="preserve"> </w:t>
      </w:r>
      <w:r w:rsidRPr="00A72440">
        <w:rPr>
          <w:rFonts w:eastAsia="Times New Roman"/>
          <w:noProof/>
        </w:rPr>
        <w:t xml:space="preserve">for the protection of the interests of members and stakeholders of the </w:t>
      </w:r>
      <w:r w:rsidR="0029727A" w:rsidRPr="00A72440">
        <w:rPr>
          <w:rFonts w:eastAsia="Times New Roman"/>
          <w:noProof/>
        </w:rPr>
        <w:t>compan</w:t>
      </w:r>
      <w:r w:rsidR="0029727A">
        <w:rPr>
          <w:rFonts w:eastAsia="Times New Roman"/>
          <w:noProof/>
        </w:rPr>
        <w:t>ies</w:t>
      </w:r>
      <w:r w:rsidRPr="00A72440">
        <w:rPr>
          <w:rFonts w:eastAsia="Times New Roman"/>
          <w:noProof/>
        </w:rPr>
        <w:t>. Several</w:t>
      </w:r>
      <w:r w:rsidRPr="00A72440">
        <w:rPr>
          <w:noProof/>
        </w:rPr>
        <w:t xml:space="preserve"> Member States have recently introduced legislation on </w:t>
      </w:r>
      <w:r w:rsidR="0034495C">
        <w:rPr>
          <w:rFonts w:eastAsia="Times New Roman"/>
          <w:noProof/>
        </w:rPr>
        <w:t>sustainability</w:t>
      </w:r>
      <w:r w:rsidRPr="00A72440">
        <w:rPr>
          <w:noProof/>
        </w:rPr>
        <w:t xml:space="preserve"> due diligence,</w:t>
      </w:r>
      <w:r w:rsidRPr="00AB0B10">
        <w:rPr>
          <w:rStyle w:val="Allmrkuseviide"/>
          <w:noProof/>
        </w:rPr>
        <w:footnoteReference w:id="44"/>
      </w:r>
      <w:r w:rsidRPr="00A72440">
        <w:rPr>
          <w:noProof/>
        </w:rPr>
        <w:t xml:space="preserve"> while others are in the process of legislating or considering action</w:t>
      </w:r>
      <w:bookmarkStart w:id="4" w:name="_Ref96009997"/>
      <w:r w:rsidRPr="00AB0B10">
        <w:rPr>
          <w:rStyle w:val="Allmrkuseviide"/>
          <w:noProof/>
        </w:rPr>
        <w:footnoteReference w:id="45"/>
      </w:r>
      <w:bookmarkEnd w:id="4"/>
      <w:r w:rsidRPr="00A72440">
        <w:rPr>
          <w:noProof/>
        </w:rPr>
        <w:t xml:space="preserve">. Also, an increasing number of Member States have recently been regulating </w:t>
      </w:r>
      <w:r w:rsidR="0029727A">
        <w:rPr>
          <w:noProof/>
        </w:rPr>
        <w:t xml:space="preserve">the matter </w:t>
      </w:r>
      <w:r w:rsidRPr="00A72440">
        <w:rPr>
          <w:noProof/>
        </w:rPr>
        <w:t>by requiring directors to take into account the company’s external impacts</w:t>
      </w:r>
      <w:r w:rsidRPr="00AB0B10">
        <w:rPr>
          <w:rStyle w:val="Allmrkuseviide"/>
          <w:noProof/>
        </w:rPr>
        <w:footnoteReference w:id="46"/>
      </w:r>
      <w:r w:rsidRPr="00A72440">
        <w:rPr>
          <w:noProof/>
        </w:rPr>
        <w:t>, prioritize the interests of stakeholders in their decisions</w:t>
      </w:r>
      <w:r w:rsidRPr="00AB0B10">
        <w:rPr>
          <w:rStyle w:val="Allmrkuseviide"/>
          <w:noProof/>
        </w:rPr>
        <w:footnoteReference w:id="47"/>
      </w:r>
      <w:r w:rsidRPr="00A72440">
        <w:rPr>
          <w:noProof/>
        </w:rPr>
        <w:t>, or adopt a policy statement on the company’s human rights strategy</w:t>
      </w:r>
      <w:r w:rsidRPr="00AB0B10">
        <w:rPr>
          <w:rStyle w:val="Allmrkuseviide"/>
          <w:noProof/>
        </w:rPr>
        <w:footnoteReference w:id="48"/>
      </w:r>
      <w:r w:rsidRPr="00A72440">
        <w:rPr>
          <w:noProof/>
        </w:rPr>
        <w:t xml:space="preserve">. New and emerging laws on due diligence are considerably different </w:t>
      </w:r>
      <w:r w:rsidR="0029727A">
        <w:rPr>
          <w:noProof/>
        </w:rPr>
        <w:t xml:space="preserve">in the Union </w:t>
      </w:r>
      <w:r w:rsidRPr="00A72440">
        <w:rPr>
          <w:noProof/>
        </w:rPr>
        <w:t>despite the intention of all the Member States to build on existing international standards (UN</w:t>
      </w:r>
      <w:r w:rsidR="009029EC">
        <w:rPr>
          <w:noProof/>
        </w:rPr>
        <w:t xml:space="preserve"> </w:t>
      </w:r>
      <w:r w:rsidR="00B535E5">
        <w:rPr>
          <w:noProof/>
        </w:rPr>
        <w:t>Guiding</w:t>
      </w:r>
      <w:r w:rsidR="009029EC">
        <w:rPr>
          <w:noProof/>
        </w:rPr>
        <w:t xml:space="preserve"> Principles on Business and Human Right</w:t>
      </w:r>
      <w:r w:rsidR="00DE36B0">
        <w:rPr>
          <w:noProof/>
        </w:rPr>
        <w:t>s</w:t>
      </w:r>
      <w:r w:rsidRPr="00A72440">
        <w:rPr>
          <w:noProof/>
        </w:rPr>
        <w:t xml:space="preserve"> OECD Responsible Business Conduct standard</w:t>
      </w:r>
      <w:r>
        <w:rPr>
          <w:noProof/>
        </w:rPr>
        <w:t>s</w:t>
      </w:r>
      <w:r w:rsidRPr="00A72440">
        <w:rPr>
          <w:noProof/>
        </w:rPr>
        <w:t xml:space="preserve">) and thus lead to diverging requirements. </w:t>
      </w:r>
      <w:r w:rsidR="000F4E9E">
        <w:rPr>
          <w:noProof/>
        </w:rPr>
        <w:t xml:space="preserve">Certain </w:t>
      </w:r>
      <w:r w:rsidRPr="00A72440">
        <w:rPr>
          <w:noProof/>
        </w:rPr>
        <w:t xml:space="preserve">Member States </w:t>
      </w:r>
      <w:r w:rsidR="00FB3503">
        <w:rPr>
          <w:noProof/>
        </w:rPr>
        <w:t>have</w:t>
      </w:r>
      <w:r w:rsidR="00FB3503" w:rsidRPr="00A72440">
        <w:rPr>
          <w:noProof/>
        </w:rPr>
        <w:t xml:space="preserve"> </w:t>
      </w:r>
      <w:r w:rsidRPr="00A72440">
        <w:rPr>
          <w:noProof/>
        </w:rPr>
        <w:t>adopt</w:t>
      </w:r>
      <w:r w:rsidR="00FB3503">
        <w:rPr>
          <w:noProof/>
        </w:rPr>
        <w:t>ed, or</w:t>
      </w:r>
      <w:r w:rsidRPr="00A72440">
        <w:rPr>
          <w:noProof/>
        </w:rPr>
        <w:t xml:space="preserve"> </w:t>
      </w:r>
      <w:r w:rsidR="00A45498">
        <w:rPr>
          <w:noProof/>
        </w:rPr>
        <w:t>are likely to</w:t>
      </w:r>
      <w:r w:rsidRPr="00A72440">
        <w:rPr>
          <w:noProof/>
        </w:rPr>
        <w:t xml:space="preserve"> adopt</w:t>
      </w:r>
      <w:r w:rsidR="00FB3503">
        <w:rPr>
          <w:noProof/>
        </w:rPr>
        <w:t>,</w:t>
      </w:r>
      <w:r w:rsidRPr="00A72440">
        <w:rPr>
          <w:noProof/>
        </w:rPr>
        <w:t xml:space="preserve"> legislation that is limited to specific sustainability concerns in value chains.</w:t>
      </w:r>
      <w:r w:rsidRPr="00AB0B10">
        <w:rPr>
          <w:rStyle w:val="Allmrkuseviide"/>
          <w:noProof/>
        </w:rPr>
        <w:footnoteReference w:id="49"/>
      </w:r>
      <w:r w:rsidRPr="00A72440">
        <w:rPr>
          <w:noProof/>
        </w:rPr>
        <w:t xml:space="preserve"> Personal scope, substantive due diligence requirements, enforcement regimes and related directors</w:t>
      </w:r>
      <w:r w:rsidR="00B83B26" w:rsidRPr="00A72440">
        <w:rPr>
          <w:rFonts w:eastAsia="Times New Roman"/>
          <w:noProof/>
        </w:rPr>
        <w:t>’</w:t>
      </w:r>
      <w:r w:rsidRPr="00A72440">
        <w:rPr>
          <w:noProof/>
        </w:rPr>
        <w:t xml:space="preserve"> duties diverge and may do so even more in the future.</w:t>
      </w:r>
      <w:r w:rsidRPr="00AB0B10">
        <w:rPr>
          <w:rStyle w:val="Allmrkuseviide"/>
          <w:noProof/>
        </w:rPr>
        <w:footnoteReference w:id="50"/>
      </w:r>
      <w:r w:rsidRPr="00A72440">
        <w:rPr>
          <w:noProof/>
        </w:rPr>
        <w:t xml:space="preserve"> Other Member States can be expected to decide not to legislate in this field. Significantly different requirements among Member States thus create fragmentation of the internal market. This fragmentation is likely to increase over time. </w:t>
      </w:r>
    </w:p>
    <w:p w14:paraId="73935F13" w14:textId="5EED7180" w:rsidR="00A72440" w:rsidRPr="00A72440" w:rsidRDefault="00A72440" w:rsidP="001C43C7">
      <w:pPr>
        <w:rPr>
          <w:rFonts w:eastAsia="Times New Roman"/>
          <w:noProof/>
        </w:rPr>
      </w:pPr>
      <w:r w:rsidRPr="00A72440">
        <w:rPr>
          <w:rFonts w:eastAsia="Times New Roman"/>
          <w:noProof/>
        </w:rPr>
        <w:t>This fragmentation</w:t>
      </w:r>
      <w:r w:rsidR="00C8051D">
        <w:rPr>
          <w:rFonts w:eastAsia="Times New Roman"/>
          <w:noProof/>
        </w:rPr>
        <w:t xml:space="preserve"> also</w:t>
      </w:r>
      <w:r w:rsidRPr="00A72440">
        <w:rPr>
          <w:rFonts w:eastAsia="Times New Roman"/>
          <w:noProof/>
        </w:rPr>
        <w:t xml:space="preserve"> risks leading to an uneven playing field</w:t>
      </w:r>
      <w:r w:rsidR="00C8051D">
        <w:rPr>
          <w:rFonts w:eastAsia="Times New Roman"/>
          <w:noProof/>
        </w:rPr>
        <w:t xml:space="preserve"> for companies</w:t>
      </w:r>
      <w:r w:rsidRPr="00A72440">
        <w:rPr>
          <w:rFonts w:eastAsia="Times New Roman"/>
          <w:noProof/>
        </w:rPr>
        <w:t xml:space="preserve"> within the internal market. First, companies and their directors – in particular of those which have cross-border value chains – are already subject to differing requirement</w:t>
      </w:r>
      <w:r w:rsidR="001B12CB">
        <w:rPr>
          <w:rFonts w:eastAsia="Times New Roman"/>
          <w:noProof/>
        </w:rPr>
        <w:t>s</w:t>
      </w:r>
      <w:r w:rsidRPr="00A72440">
        <w:rPr>
          <w:rFonts w:eastAsia="Times New Roman"/>
          <w:noProof/>
        </w:rPr>
        <w:t xml:space="preserve"> and will likely be subject to even more differing requirements depending on where their registered seat is located. This creates distortions of competition. Besides, </w:t>
      </w:r>
      <w:r w:rsidR="00FB3503">
        <w:rPr>
          <w:rFonts w:eastAsia="Times New Roman"/>
          <w:noProof/>
        </w:rPr>
        <w:t>depending on how they structure their operations in the internal market</w:t>
      </w:r>
      <w:r w:rsidRPr="00A72440">
        <w:rPr>
          <w:rFonts w:eastAsia="Times New Roman"/>
          <w:noProof/>
        </w:rPr>
        <w:t xml:space="preserve">, some companies </w:t>
      </w:r>
      <w:r w:rsidR="00FB3503">
        <w:rPr>
          <w:rFonts w:eastAsia="Times New Roman"/>
          <w:noProof/>
        </w:rPr>
        <w:t xml:space="preserve">may simultaneously </w:t>
      </w:r>
      <w:r w:rsidRPr="00A72440">
        <w:rPr>
          <w:rFonts w:eastAsia="Times New Roman"/>
          <w:noProof/>
        </w:rPr>
        <w:t xml:space="preserve">fall within the scope of two or more </w:t>
      </w:r>
      <w:r w:rsidR="00FB3503">
        <w:rPr>
          <w:rFonts w:eastAsia="Times New Roman"/>
          <w:noProof/>
        </w:rPr>
        <w:t xml:space="preserve">different </w:t>
      </w:r>
      <w:r w:rsidRPr="00A72440">
        <w:rPr>
          <w:rFonts w:eastAsia="Times New Roman"/>
          <w:noProof/>
        </w:rPr>
        <w:t>national legal frameworks dealing with sustainable corporate governance.</w:t>
      </w:r>
      <w:r w:rsidRPr="00AB0B10">
        <w:rPr>
          <w:rStyle w:val="Allmrkuseviide"/>
          <w:noProof/>
        </w:rPr>
        <w:footnoteReference w:id="51"/>
      </w:r>
      <w:r w:rsidRPr="00A72440">
        <w:rPr>
          <w:rFonts w:eastAsia="Times New Roman"/>
          <w:noProof/>
        </w:rPr>
        <w:t xml:space="preserve"> This could lead to </w:t>
      </w:r>
      <w:r w:rsidR="00FB3503">
        <w:rPr>
          <w:rFonts w:eastAsia="Times New Roman"/>
          <w:noProof/>
        </w:rPr>
        <w:t xml:space="preserve">duplication of requirements, difficulties in complying, lack of legal certainty for companies, and even mutually </w:t>
      </w:r>
      <w:r w:rsidRPr="00A72440">
        <w:rPr>
          <w:rFonts w:eastAsia="Times New Roman"/>
          <w:noProof/>
        </w:rPr>
        <w:t xml:space="preserve">incompatible parallel legal requirements. </w:t>
      </w:r>
      <w:r w:rsidR="001B12CB">
        <w:rPr>
          <w:rFonts w:eastAsia="Times New Roman"/>
          <w:noProof/>
        </w:rPr>
        <w:t xml:space="preserve">Inversely, some companies may not fall within the scope of any </w:t>
      </w:r>
      <w:r w:rsidR="00E84A3C">
        <w:rPr>
          <w:rFonts w:eastAsia="Times New Roman"/>
          <w:noProof/>
        </w:rPr>
        <w:t xml:space="preserve">national framework for the mere reason that </w:t>
      </w:r>
      <w:r w:rsidR="00E84A3C" w:rsidRPr="00E84A3C">
        <w:rPr>
          <w:rFonts w:eastAsia="Times New Roman"/>
          <w:noProof/>
        </w:rPr>
        <w:t>they do not have links relevant under national law with the jurisdiction of a Member State that ha</w:t>
      </w:r>
      <w:r w:rsidR="00E84A3C">
        <w:rPr>
          <w:rFonts w:eastAsia="Times New Roman"/>
          <w:noProof/>
        </w:rPr>
        <w:t>s due diligence rules in place</w:t>
      </w:r>
      <w:r w:rsidR="00E84A3C" w:rsidRPr="00E84A3C">
        <w:rPr>
          <w:rFonts w:eastAsia="Times New Roman"/>
          <w:noProof/>
        </w:rPr>
        <w:t xml:space="preserve"> and </w:t>
      </w:r>
      <w:r w:rsidR="00E84A3C">
        <w:rPr>
          <w:rFonts w:eastAsia="Times New Roman"/>
          <w:noProof/>
        </w:rPr>
        <w:t>thereby</w:t>
      </w:r>
      <w:r w:rsidR="00E84A3C" w:rsidRPr="00E84A3C">
        <w:rPr>
          <w:rFonts w:eastAsia="Times New Roman"/>
          <w:noProof/>
        </w:rPr>
        <w:t xml:space="preserve"> </w:t>
      </w:r>
      <w:r w:rsidR="00E84A3C">
        <w:rPr>
          <w:rFonts w:eastAsia="Times New Roman"/>
          <w:noProof/>
        </w:rPr>
        <w:t>gaining</w:t>
      </w:r>
      <w:r w:rsidR="00E84A3C" w:rsidRPr="00E84A3C">
        <w:rPr>
          <w:rFonts w:eastAsia="Times New Roman"/>
          <w:noProof/>
        </w:rPr>
        <w:t xml:space="preserve"> an advantage over their competitors</w:t>
      </w:r>
      <w:r w:rsidR="00E84A3C">
        <w:rPr>
          <w:rFonts w:eastAsia="Times New Roman"/>
          <w:noProof/>
        </w:rPr>
        <w:t>.</w:t>
      </w:r>
    </w:p>
    <w:p w14:paraId="368B0D70" w14:textId="5DA7790C" w:rsidR="00EB460C" w:rsidRPr="000077DE" w:rsidRDefault="00A72440" w:rsidP="001C43C7">
      <w:pPr>
        <w:rPr>
          <w:rFonts w:eastAsia="Times New Roman"/>
          <w:noProof/>
        </w:rPr>
      </w:pPr>
      <w:r w:rsidRPr="00A72440">
        <w:rPr>
          <w:noProof/>
        </w:rPr>
        <w:t xml:space="preserve">The proposed </w:t>
      </w:r>
      <w:r w:rsidR="00933C1C">
        <w:rPr>
          <w:noProof/>
        </w:rPr>
        <w:t>act is</w:t>
      </w:r>
      <w:r w:rsidRPr="00A72440">
        <w:rPr>
          <w:noProof/>
        </w:rPr>
        <w:t xml:space="preserve"> designed to </w:t>
      </w:r>
      <w:r w:rsidRPr="00A72440">
        <w:rPr>
          <w:rFonts w:eastAsia="Times New Roman"/>
          <w:noProof/>
        </w:rPr>
        <w:t xml:space="preserve">prevent and </w:t>
      </w:r>
      <w:r w:rsidR="00933C1C" w:rsidRPr="00933C1C">
        <w:rPr>
          <w:rFonts w:eastAsia="Times New Roman"/>
          <w:noProof/>
        </w:rPr>
        <w:t>remove such obstacles to free movement and distortions of competition</w:t>
      </w:r>
      <w:r w:rsidR="00933C1C" w:rsidRPr="00933C1C" w:rsidDel="00933C1C">
        <w:rPr>
          <w:rFonts w:eastAsia="Times New Roman"/>
          <w:noProof/>
        </w:rPr>
        <w:t xml:space="preserve"> </w:t>
      </w:r>
      <w:r w:rsidRPr="00A72440">
        <w:rPr>
          <w:noProof/>
        </w:rPr>
        <w:t>by harmonising the requirements for companies to carry out due diligence in their own operation, subsidiaries and value chain</w:t>
      </w:r>
      <w:r w:rsidR="008B5DA9">
        <w:rPr>
          <w:noProof/>
        </w:rPr>
        <w:t>s</w:t>
      </w:r>
      <w:r w:rsidRPr="00A72440">
        <w:rPr>
          <w:noProof/>
        </w:rPr>
        <w:t xml:space="preserve"> and related directors</w:t>
      </w:r>
      <w:r w:rsidR="008B5DA9" w:rsidRPr="008B5DA9">
        <w:rPr>
          <w:noProof/>
        </w:rPr>
        <w:t>’</w:t>
      </w:r>
      <w:r w:rsidRPr="00A72440">
        <w:rPr>
          <w:noProof/>
        </w:rPr>
        <w:t xml:space="preserve"> duties.</w:t>
      </w:r>
      <w:r w:rsidRPr="00A72440">
        <w:rPr>
          <w:rFonts w:eastAsia="Times New Roman"/>
          <w:noProof/>
        </w:rPr>
        <w:t xml:space="preserve"> They will lead to a level playing field where companies of similar size and their directors are subject to the same requirements for </w:t>
      </w:r>
      <w:r w:rsidR="002148F5">
        <w:rPr>
          <w:rFonts w:eastAsia="Times New Roman"/>
          <w:noProof/>
        </w:rPr>
        <w:t>integrating</w:t>
      </w:r>
      <w:r w:rsidR="002148F5" w:rsidRPr="00A72440">
        <w:rPr>
          <w:rFonts w:eastAsia="Times New Roman"/>
          <w:noProof/>
        </w:rPr>
        <w:t xml:space="preserve"> </w:t>
      </w:r>
      <w:r w:rsidRPr="00A72440">
        <w:rPr>
          <w:rFonts w:eastAsia="Times New Roman"/>
          <w:noProof/>
        </w:rPr>
        <w:t xml:space="preserve">sustainable corporate governance and corporate due diligence measures in their internal management systems and thereby protecting the interests of the company’s stakeholders in a similar way. Harmonised conditions would be beneficial for cross-border establishment </w:t>
      </w:r>
      <w:r w:rsidR="00742882">
        <w:rPr>
          <w:rFonts w:eastAsia="Times New Roman"/>
          <w:noProof/>
        </w:rPr>
        <w:t xml:space="preserve">including company operations </w:t>
      </w:r>
      <w:r w:rsidRPr="00A72440">
        <w:rPr>
          <w:rFonts w:eastAsia="Times New Roman"/>
          <w:noProof/>
        </w:rPr>
        <w:t>and also investment</w:t>
      </w:r>
      <w:r w:rsidR="00E86E8C">
        <w:rPr>
          <w:rFonts w:eastAsia="Times New Roman"/>
          <w:noProof/>
        </w:rPr>
        <w:t>s</w:t>
      </w:r>
      <w:r w:rsidRPr="00A72440">
        <w:rPr>
          <w:rFonts w:eastAsia="Times New Roman"/>
          <w:noProof/>
        </w:rPr>
        <w:t>, since it would facilitate comparison of corporate sustainability requirements and make engagement easier and thus less costly.</w:t>
      </w:r>
    </w:p>
    <w:p w14:paraId="0F8F444D" w14:textId="01C7A79D" w:rsidR="001963AA" w:rsidRDefault="00A72440" w:rsidP="001C43C7">
      <w:pPr>
        <w:rPr>
          <w:rFonts w:eastAsia="Times New Roman"/>
          <w:noProof/>
        </w:rPr>
      </w:pPr>
      <w:r w:rsidRPr="00A72440">
        <w:rPr>
          <w:rFonts w:eastAsia="Times New Roman"/>
          <w:noProof/>
        </w:rPr>
        <w:t xml:space="preserve">Article 50 TFEU is </w:t>
      </w:r>
      <w:r w:rsidRPr="00A72440">
        <w:rPr>
          <w:rFonts w:eastAsia="Times New Roman"/>
          <w:i/>
          <w:noProof/>
        </w:rPr>
        <w:t>lex specialis</w:t>
      </w:r>
      <w:r w:rsidRPr="00A72440">
        <w:rPr>
          <w:rFonts w:eastAsia="Times New Roman"/>
          <w:noProof/>
        </w:rPr>
        <w:t xml:space="preserve"> for measures</w:t>
      </w:r>
      <w:r w:rsidR="00933C1C">
        <w:rPr>
          <w:rFonts w:eastAsia="Times New Roman"/>
          <w:noProof/>
        </w:rPr>
        <w:t xml:space="preserve"> adopted</w:t>
      </w:r>
      <w:r w:rsidRPr="00A72440">
        <w:rPr>
          <w:rFonts w:eastAsia="Times New Roman"/>
          <w:noProof/>
        </w:rPr>
        <w:t xml:space="preserve"> in order to attain freedom of establishment. </w:t>
      </w:r>
      <w:r w:rsidR="000C5FBD">
        <w:rPr>
          <w:rFonts w:eastAsia="Times New Roman"/>
          <w:noProof/>
        </w:rPr>
        <w:t>Among the proposed measures, those concerning companies’ corporate governance fall under this legal basis</w:t>
      </w:r>
      <w:r w:rsidR="001963AA">
        <w:rPr>
          <w:rFonts w:eastAsia="Times New Roman"/>
          <w:noProof/>
        </w:rPr>
        <w:t>, in particular</w:t>
      </w:r>
      <w:r w:rsidR="000C5FBD">
        <w:rPr>
          <w:rFonts w:eastAsia="Times New Roman"/>
          <w:noProof/>
        </w:rPr>
        <w:t xml:space="preserve"> integrating </w:t>
      </w:r>
      <w:r w:rsidR="000C5FBD" w:rsidRPr="000C5FBD">
        <w:rPr>
          <w:rFonts w:eastAsia="Times New Roman"/>
          <w:noProof/>
        </w:rPr>
        <w:t>due diligence into companies’ policies</w:t>
      </w:r>
      <w:r w:rsidR="000C5FBD">
        <w:rPr>
          <w:rFonts w:eastAsia="Times New Roman"/>
          <w:noProof/>
        </w:rPr>
        <w:t xml:space="preserve">, </w:t>
      </w:r>
      <w:r w:rsidR="00901E05">
        <w:rPr>
          <w:rFonts w:eastAsia="Times New Roman"/>
          <w:noProof/>
        </w:rPr>
        <w:t xml:space="preserve">measures on </w:t>
      </w:r>
      <w:r w:rsidR="001963AA">
        <w:rPr>
          <w:rFonts w:eastAsia="Times New Roman"/>
          <w:noProof/>
        </w:rPr>
        <w:t xml:space="preserve">companies’ </w:t>
      </w:r>
      <w:r w:rsidR="00901E05">
        <w:rPr>
          <w:rFonts w:eastAsia="Times New Roman"/>
          <w:noProof/>
        </w:rPr>
        <w:t xml:space="preserve">plan to ensure that the business model and strategy are compatible with the transition to a sustainable economy and with the limiting of global warming </w:t>
      </w:r>
      <w:r w:rsidR="00901E05" w:rsidRPr="00901E05">
        <w:rPr>
          <w:rFonts w:eastAsia="Times New Roman"/>
          <w:noProof/>
        </w:rPr>
        <w:t>to 1.5 °C in line with the Paris Agreement</w:t>
      </w:r>
      <w:r w:rsidR="00901E05">
        <w:rPr>
          <w:rFonts w:eastAsia="Times New Roman"/>
          <w:noProof/>
        </w:rPr>
        <w:t xml:space="preserve">, and related remuneration measures, </w:t>
      </w:r>
      <w:r w:rsidR="001963AA">
        <w:rPr>
          <w:rFonts w:eastAsia="Times New Roman"/>
          <w:noProof/>
        </w:rPr>
        <w:t>as well as provisions on directors’ duty of care, and directors’ duties concerning setting up an</w:t>
      </w:r>
      <w:r w:rsidR="00C64978">
        <w:rPr>
          <w:rFonts w:eastAsia="Times New Roman"/>
          <w:noProof/>
        </w:rPr>
        <w:t>d</w:t>
      </w:r>
      <w:r w:rsidR="001963AA">
        <w:rPr>
          <w:rFonts w:eastAsia="Times New Roman"/>
          <w:noProof/>
        </w:rPr>
        <w:t xml:space="preserve"> overseeing due diligence.</w:t>
      </w:r>
    </w:p>
    <w:p w14:paraId="063C03CF" w14:textId="50F332CE" w:rsidR="00A72440" w:rsidRPr="00A72440" w:rsidRDefault="00A72440" w:rsidP="001C43C7">
      <w:pPr>
        <w:rPr>
          <w:rFonts w:eastAsia="Times New Roman"/>
          <w:noProof/>
        </w:rPr>
      </w:pPr>
      <w:r w:rsidRPr="00A72440">
        <w:rPr>
          <w:rFonts w:eastAsia="Times New Roman"/>
          <w:noProof/>
        </w:rPr>
        <w:t xml:space="preserve">In order to address the described internal market barriers comprehensively, </w:t>
      </w:r>
      <w:r w:rsidR="00F0668E">
        <w:rPr>
          <w:rFonts w:eastAsia="Times New Roman"/>
          <w:noProof/>
        </w:rPr>
        <w:t xml:space="preserve">Article 50 TFEU </w:t>
      </w:r>
      <w:r w:rsidRPr="00A72440">
        <w:rPr>
          <w:rFonts w:eastAsia="Times New Roman"/>
          <w:noProof/>
        </w:rPr>
        <w:t>is here combined with the general provision of Article 114 TFEU.</w:t>
      </w:r>
      <w:r w:rsidR="001963AA">
        <w:rPr>
          <w:rFonts w:eastAsia="Times New Roman"/>
          <w:noProof/>
        </w:rPr>
        <w:t xml:space="preserve"> </w:t>
      </w:r>
      <w:r w:rsidRPr="00A72440">
        <w:rPr>
          <w:rFonts w:eastAsia="Times New Roman"/>
          <w:noProof/>
        </w:rPr>
        <w:t xml:space="preserve">Article 114 </w:t>
      </w:r>
      <w:r>
        <w:rPr>
          <w:rFonts w:eastAsia="Times New Roman"/>
          <w:noProof/>
        </w:rPr>
        <w:t xml:space="preserve">TFEU </w:t>
      </w:r>
      <w:r w:rsidRPr="00A72440">
        <w:rPr>
          <w:rFonts w:eastAsia="Times New Roman"/>
          <w:noProof/>
        </w:rPr>
        <w:t xml:space="preserve">provides for </w:t>
      </w:r>
      <w:r w:rsidR="00933C1C">
        <w:rPr>
          <w:rFonts w:eastAsia="Times New Roman"/>
          <w:noProof/>
        </w:rPr>
        <w:t>the adoption of</w:t>
      </w:r>
      <w:r w:rsidRPr="00A72440">
        <w:rPr>
          <w:rFonts w:eastAsia="Times New Roman"/>
          <w:noProof/>
        </w:rPr>
        <w:t xml:space="preserve"> measures for the approximation of the provisions laid down by law, regulation or administrative action in Member States which have as their object the establishment and functioning of the internal market. The </w:t>
      </w:r>
      <w:r w:rsidR="00D73781">
        <w:rPr>
          <w:rFonts w:eastAsia="Times New Roman"/>
          <w:noProof/>
        </w:rPr>
        <w:t>Union</w:t>
      </w:r>
      <w:r w:rsidRPr="00A72440">
        <w:rPr>
          <w:rFonts w:eastAsia="Times New Roman"/>
          <w:noProof/>
        </w:rPr>
        <w:t xml:space="preserve"> legislature may have recourse to Article 114 TFEU in particular where disparities between national rules are such as to obstruct the fundamental freedoms or create distortions of competition and thus have a direct effect on the functioning of the internal market.</w:t>
      </w:r>
    </w:p>
    <w:p w14:paraId="476ADAC4" w14:textId="55FE04CB" w:rsidR="00A72440" w:rsidRPr="00A72440" w:rsidRDefault="00A72440" w:rsidP="001C43C7">
      <w:pPr>
        <w:rPr>
          <w:rFonts w:eastAsia="Times New Roman"/>
          <w:noProof/>
        </w:rPr>
      </w:pPr>
      <w:r w:rsidRPr="00A72440">
        <w:rPr>
          <w:rFonts w:eastAsia="Times New Roman"/>
          <w:noProof/>
        </w:rPr>
        <w:t xml:space="preserve">As set out above, </w:t>
      </w:r>
      <w:r w:rsidR="00933C1C">
        <w:rPr>
          <w:rFonts w:eastAsia="Times New Roman"/>
          <w:noProof/>
        </w:rPr>
        <w:t xml:space="preserve">the </w:t>
      </w:r>
      <w:r w:rsidRPr="00A72440">
        <w:rPr>
          <w:rFonts w:eastAsia="Times New Roman"/>
          <w:noProof/>
        </w:rPr>
        <w:t>differences between national rules on sustainable corporate governance and due diligence obligations have a direct impact on the functioning of the internal market</w:t>
      </w:r>
      <w:r w:rsidR="00933C1C">
        <w:rPr>
          <w:rFonts w:eastAsia="Times New Roman"/>
          <w:noProof/>
        </w:rPr>
        <w:t>, and that impact is likely to increase in the future</w:t>
      </w:r>
      <w:r w:rsidRPr="00A72440">
        <w:rPr>
          <w:rFonts w:eastAsia="Times New Roman"/>
          <w:noProof/>
        </w:rPr>
        <w:t xml:space="preserve">. Beyond the </w:t>
      </w:r>
      <w:r w:rsidR="00316BBB" w:rsidRPr="00316BBB">
        <w:rPr>
          <w:rFonts w:eastAsia="Times New Roman"/>
          <w:noProof/>
        </w:rPr>
        <w:t>matters regulated in Article 50 TFEU</w:t>
      </w:r>
      <w:r w:rsidRPr="00A72440">
        <w:rPr>
          <w:rFonts w:eastAsia="Times New Roman"/>
          <w:noProof/>
        </w:rPr>
        <w:t xml:space="preserve">, </w:t>
      </w:r>
      <w:r w:rsidR="00933C1C" w:rsidRPr="00933C1C">
        <w:rPr>
          <w:rFonts w:eastAsia="Times New Roman"/>
          <w:noProof/>
        </w:rPr>
        <w:t>this act concerns other areas of the establishment and functioning of the internal market. Notably, in the absence of action by the Union legislator, the production and movement of goods and services would be skewed to the benefit of jurisdictions with no due diligence regimes or with less demanding regimes, or companies established in such jurisdictions,</w:t>
      </w:r>
      <w:r w:rsidRPr="00A72440">
        <w:rPr>
          <w:rFonts w:eastAsia="Times New Roman"/>
          <w:noProof/>
        </w:rPr>
        <w:t xml:space="preserve"> substantially impacting the flow of </w:t>
      </w:r>
      <w:r w:rsidR="00933C1C">
        <w:rPr>
          <w:rFonts w:eastAsia="Times New Roman"/>
          <w:noProof/>
        </w:rPr>
        <w:t>goods</w:t>
      </w:r>
      <w:r w:rsidR="00933C1C" w:rsidRPr="00A72440">
        <w:rPr>
          <w:rFonts w:eastAsia="Times New Roman"/>
          <w:noProof/>
        </w:rPr>
        <w:t xml:space="preserve"> </w:t>
      </w:r>
      <w:r w:rsidRPr="00A72440">
        <w:rPr>
          <w:rFonts w:eastAsia="Times New Roman"/>
          <w:noProof/>
        </w:rPr>
        <w:t xml:space="preserve">and services. Moreover, companies supplying goods or services, in particular SMEs, will be confronted with </w:t>
      </w:r>
      <w:r w:rsidR="00ED0D04">
        <w:rPr>
          <w:rFonts w:eastAsia="Times New Roman"/>
          <w:noProof/>
        </w:rPr>
        <w:t>diverging</w:t>
      </w:r>
      <w:r w:rsidR="00ED0D04" w:rsidRPr="00A72440">
        <w:rPr>
          <w:rFonts w:eastAsia="Times New Roman"/>
          <w:noProof/>
        </w:rPr>
        <w:t xml:space="preserve"> </w:t>
      </w:r>
      <w:r w:rsidRPr="00A72440">
        <w:rPr>
          <w:rFonts w:eastAsia="Times New Roman"/>
          <w:noProof/>
        </w:rPr>
        <w:t xml:space="preserve">rules and expectations from customers located in different Member States. </w:t>
      </w:r>
      <w:r w:rsidR="003E1B27">
        <w:rPr>
          <w:rFonts w:eastAsia="Times New Roman"/>
          <w:noProof/>
        </w:rPr>
        <w:t xml:space="preserve">For instance, whilst one Member State law may require the supplier to carry out third-party audits, another Member State may require the same supplier to participate in a recognised </w:t>
      </w:r>
      <w:r w:rsidR="003E1B27" w:rsidRPr="003E1B27">
        <w:rPr>
          <w:rFonts w:eastAsia="Times New Roman"/>
          <w:noProof/>
        </w:rPr>
        <w:t>industry schemes and multi-stakeholder initiatives</w:t>
      </w:r>
      <w:r w:rsidR="003E1B27">
        <w:rPr>
          <w:rFonts w:eastAsia="Times New Roman"/>
          <w:noProof/>
        </w:rPr>
        <w:t>. One Member State may require the company to carry out due diligence in relation to established business relationships whilst the other Member S</w:t>
      </w:r>
      <w:r w:rsidR="00E90BC7">
        <w:rPr>
          <w:rFonts w:eastAsia="Times New Roman"/>
          <w:noProof/>
        </w:rPr>
        <w:t>tate may cover the direct supplier</w:t>
      </w:r>
      <w:r w:rsidR="00FA0569">
        <w:rPr>
          <w:rFonts w:eastAsia="Times New Roman"/>
          <w:noProof/>
        </w:rPr>
        <w:t>s</w:t>
      </w:r>
      <w:r w:rsidR="00E90BC7">
        <w:rPr>
          <w:rFonts w:eastAsia="Times New Roman"/>
          <w:noProof/>
        </w:rPr>
        <w:t xml:space="preserve"> only.</w:t>
      </w:r>
      <w:r w:rsidR="003E1B27">
        <w:rPr>
          <w:rFonts w:eastAsia="Times New Roman"/>
          <w:noProof/>
        </w:rPr>
        <w:t xml:space="preserve"> This would lead to a multiplication of different partially incompatible requirements distorting the free flow of goods and services in the Union.</w:t>
      </w:r>
    </w:p>
    <w:p w14:paraId="69575E61" w14:textId="77777777" w:rsidR="00A72440" w:rsidRPr="00A72440" w:rsidRDefault="00A72440" w:rsidP="001C43C7">
      <w:pPr>
        <w:rPr>
          <w:rFonts w:eastAsia="Times New Roman"/>
          <w:noProof/>
        </w:rPr>
      </w:pPr>
      <w:r w:rsidRPr="00A72440">
        <w:rPr>
          <w:rFonts w:eastAsia="Times New Roman"/>
          <w:noProof/>
        </w:rPr>
        <w:t xml:space="preserve">It is foreseeable that these distortions and impacts would become more serious with time as more and more Member States will adopt diverging national laws or may even lead to a race to the bottom in forthcoming due diligence legislations. </w:t>
      </w:r>
    </w:p>
    <w:p w14:paraId="57CC8C86" w14:textId="629EE4A8" w:rsidR="00A72440" w:rsidRDefault="00A72440" w:rsidP="001C43C7">
      <w:pPr>
        <w:rPr>
          <w:rFonts w:eastAsia="Times New Roman"/>
          <w:noProof/>
        </w:rPr>
      </w:pPr>
      <w:r w:rsidRPr="00A72440">
        <w:rPr>
          <w:rFonts w:eastAsia="Times New Roman"/>
          <w:noProof/>
        </w:rPr>
        <w:t xml:space="preserve">Distortions are also relevant for civil liability in case of harm caused in a company’s value chain. Some national legal frameworks on due diligence include an express civil liability regime linked to the failure to execute due diligence, </w:t>
      </w:r>
      <w:r w:rsidR="00933C1C">
        <w:rPr>
          <w:rFonts w:eastAsia="Times New Roman"/>
          <w:noProof/>
        </w:rPr>
        <w:t xml:space="preserve">while </w:t>
      </w:r>
      <w:r w:rsidRPr="00A72440">
        <w:rPr>
          <w:rFonts w:eastAsia="Times New Roman"/>
          <w:noProof/>
        </w:rPr>
        <w:t>others expressly exclude a specific civil liability regime.</w:t>
      </w:r>
      <w:r w:rsidRPr="00AB0B10">
        <w:rPr>
          <w:rStyle w:val="Allmrkuseviide"/>
          <w:noProof/>
        </w:rPr>
        <w:footnoteReference w:id="52"/>
      </w:r>
      <w:r w:rsidRPr="00A72440">
        <w:rPr>
          <w:rFonts w:eastAsia="Times New Roman"/>
          <w:noProof/>
        </w:rPr>
        <w:t xml:space="preserve"> A number of companies have been brought before courts for causing or failing to prevent adverse impacts at the level of their subsidiaries or value chain</w:t>
      </w:r>
      <w:r w:rsidR="009A0E69">
        <w:rPr>
          <w:rFonts w:eastAsia="Times New Roman"/>
          <w:noProof/>
        </w:rPr>
        <w:t>s</w:t>
      </w:r>
      <w:r w:rsidRPr="00A72440">
        <w:rPr>
          <w:rFonts w:eastAsia="Times New Roman"/>
          <w:noProof/>
        </w:rPr>
        <w:t xml:space="preserve">. Such cases are </w:t>
      </w:r>
      <w:r w:rsidR="00933C1C">
        <w:rPr>
          <w:rFonts w:eastAsia="Times New Roman"/>
          <w:noProof/>
        </w:rPr>
        <w:t>decided</w:t>
      </w:r>
      <w:r w:rsidR="00933C1C" w:rsidRPr="00A72440">
        <w:rPr>
          <w:rFonts w:eastAsia="Times New Roman"/>
          <w:noProof/>
        </w:rPr>
        <w:t xml:space="preserve"> </w:t>
      </w:r>
      <w:r w:rsidRPr="00A72440">
        <w:rPr>
          <w:rFonts w:eastAsia="Times New Roman"/>
          <w:noProof/>
        </w:rPr>
        <w:t xml:space="preserve">based on differing rules today. In the absence of common rules, </w:t>
      </w:r>
      <w:r w:rsidR="00933C1C">
        <w:rPr>
          <w:rFonts w:eastAsia="Times New Roman"/>
          <w:noProof/>
        </w:rPr>
        <w:t>divergent</w:t>
      </w:r>
      <w:r w:rsidR="00933C1C" w:rsidRPr="00A72440">
        <w:rPr>
          <w:rFonts w:eastAsia="Times New Roman"/>
          <w:noProof/>
        </w:rPr>
        <w:t xml:space="preserve"> </w:t>
      </w:r>
      <w:r w:rsidRPr="00A72440">
        <w:rPr>
          <w:rFonts w:eastAsia="Times New Roman"/>
          <w:noProof/>
        </w:rPr>
        <w:t xml:space="preserve">national liability regimes may lead to different </w:t>
      </w:r>
      <w:r w:rsidR="00933C1C">
        <w:rPr>
          <w:rFonts w:eastAsia="Times New Roman"/>
          <w:noProof/>
        </w:rPr>
        <w:t>outcomes</w:t>
      </w:r>
      <w:r w:rsidR="00933C1C" w:rsidRPr="00A72440">
        <w:rPr>
          <w:rFonts w:eastAsia="Times New Roman"/>
          <w:noProof/>
        </w:rPr>
        <w:t xml:space="preserve"> </w:t>
      </w:r>
      <w:r w:rsidRPr="00A72440">
        <w:rPr>
          <w:rFonts w:eastAsia="Times New Roman"/>
          <w:noProof/>
        </w:rPr>
        <w:t>depending on whether there is ownership control (as regards subsidiaries) or factual control (</w:t>
      </w:r>
      <w:r w:rsidR="00933C1C">
        <w:rPr>
          <w:rFonts w:eastAsia="Times New Roman"/>
          <w:noProof/>
        </w:rPr>
        <w:t xml:space="preserve">either </w:t>
      </w:r>
      <w:r w:rsidRPr="00A72440">
        <w:rPr>
          <w:rFonts w:eastAsia="Times New Roman"/>
          <w:noProof/>
        </w:rPr>
        <w:t xml:space="preserve">through direct contracts or where control could be exercised by the company through contractual cascading or other leverage in indirect </w:t>
      </w:r>
      <w:r w:rsidR="00103DDD">
        <w:rPr>
          <w:rFonts w:eastAsia="Times New Roman"/>
          <w:noProof/>
        </w:rPr>
        <w:t xml:space="preserve">business </w:t>
      </w:r>
      <w:r w:rsidRPr="00A72440">
        <w:rPr>
          <w:rFonts w:eastAsia="Times New Roman"/>
          <w:noProof/>
        </w:rPr>
        <w:t xml:space="preserve">relationships). This fragmentation would </w:t>
      </w:r>
      <w:r w:rsidR="00933C1C" w:rsidRPr="00933C1C">
        <w:rPr>
          <w:rFonts w:eastAsia="Times New Roman"/>
          <w:noProof/>
        </w:rPr>
        <w:t xml:space="preserve">lead to distortions of competition </w:t>
      </w:r>
      <w:r w:rsidRPr="00A72440">
        <w:rPr>
          <w:rFonts w:eastAsia="Times New Roman"/>
          <w:noProof/>
        </w:rPr>
        <w:t>in the internal market as a company located in one Member State would be subject to damages claims due to harm caused in its value chain whilst a company with the same value chain would be exempt from this financial and reputational risk becau</w:t>
      </w:r>
      <w:r>
        <w:rPr>
          <w:rFonts w:eastAsia="Times New Roman"/>
          <w:noProof/>
        </w:rPr>
        <w:t>se of diverging national rules.</w:t>
      </w:r>
    </w:p>
    <w:p w14:paraId="4132F88C" w14:textId="222B1558" w:rsidR="00A72440" w:rsidRPr="000077DE" w:rsidRDefault="00A72440" w:rsidP="001C43C7">
      <w:pPr>
        <w:rPr>
          <w:rFonts w:eastAsia="Times New Roman"/>
          <w:noProof/>
        </w:rPr>
      </w:pPr>
      <w:r w:rsidRPr="00A72440">
        <w:rPr>
          <w:rFonts w:eastAsia="Times New Roman"/>
          <w:noProof/>
        </w:rPr>
        <w:t xml:space="preserve">The proposed civil liability regime would clarify which rules apply in case harm occurs in a company’s own operation, </w:t>
      </w:r>
      <w:r w:rsidR="00A808E6">
        <w:rPr>
          <w:rFonts w:eastAsia="Times New Roman"/>
          <w:noProof/>
        </w:rPr>
        <w:t xml:space="preserve">at the level of </w:t>
      </w:r>
      <w:r w:rsidR="009D514E">
        <w:rPr>
          <w:rFonts w:eastAsia="Times New Roman"/>
          <w:noProof/>
        </w:rPr>
        <w:t>its</w:t>
      </w:r>
      <w:r w:rsidRPr="00A72440">
        <w:rPr>
          <w:rFonts w:eastAsia="Times New Roman"/>
          <w:noProof/>
        </w:rPr>
        <w:t xml:space="preserve"> subsidiaries</w:t>
      </w:r>
      <w:r w:rsidR="00A808E6">
        <w:rPr>
          <w:rFonts w:eastAsia="Times New Roman"/>
          <w:noProof/>
        </w:rPr>
        <w:t xml:space="preserve"> and at the level of</w:t>
      </w:r>
      <w:r w:rsidR="009D514E">
        <w:rPr>
          <w:rFonts w:eastAsia="Times New Roman"/>
          <w:noProof/>
        </w:rPr>
        <w:t xml:space="preserve"> direct</w:t>
      </w:r>
      <w:r w:rsidRPr="00A72440">
        <w:rPr>
          <w:rFonts w:eastAsia="Times New Roman"/>
          <w:noProof/>
        </w:rPr>
        <w:t xml:space="preserve"> and </w:t>
      </w:r>
      <w:r w:rsidR="009D514E">
        <w:rPr>
          <w:rFonts w:eastAsia="Times New Roman"/>
          <w:noProof/>
        </w:rPr>
        <w:t>indirect business relations in</w:t>
      </w:r>
      <w:r w:rsidRPr="00A72440">
        <w:rPr>
          <w:rFonts w:eastAsia="Times New Roman"/>
          <w:noProof/>
        </w:rPr>
        <w:t xml:space="preserve"> the value chain. In addition, the proposed provision on applicable law serves the purpose of ensuring application of the harmonised rules, including on civil liability, also in cases where otherwise the law applicable to such claim is not the law of a Member State</w:t>
      </w:r>
      <w:r w:rsidR="00333E62">
        <w:rPr>
          <w:rFonts w:eastAsia="Times New Roman"/>
          <w:noProof/>
        </w:rPr>
        <w:t xml:space="preserve">. It will therefore </w:t>
      </w:r>
      <w:r w:rsidR="00A808E6">
        <w:rPr>
          <w:rFonts w:eastAsia="Times New Roman"/>
          <w:noProof/>
        </w:rPr>
        <w:t xml:space="preserve">be essential </w:t>
      </w:r>
      <w:r w:rsidR="003E1789">
        <w:rPr>
          <w:rFonts w:eastAsia="Times New Roman"/>
          <w:noProof/>
        </w:rPr>
        <w:t xml:space="preserve">to </w:t>
      </w:r>
      <w:r w:rsidR="00A808E6">
        <w:rPr>
          <w:rFonts w:eastAsia="Times New Roman"/>
          <w:noProof/>
        </w:rPr>
        <w:t>ensure</w:t>
      </w:r>
      <w:r w:rsidR="00333E62">
        <w:rPr>
          <w:rFonts w:eastAsia="Times New Roman"/>
          <w:noProof/>
        </w:rPr>
        <w:t xml:space="preserve"> the </w:t>
      </w:r>
      <w:r w:rsidR="00A808E6">
        <w:rPr>
          <w:rFonts w:eastAsia="Times New Roman"/>
          <w:noProof/>
        </w:rPr>
        <w:t>necessary</w:t>
      </w:r>
      <w:r w:rsidR="00333E62">
        <w:rPr>
          <w:rFonts w:eastAsia="Times New Roman"/>
          <w:noProof/>
        </w:rPr>
        <w:t xml:space="preserve"> level-playing field</w:t>
      </w:r>
      <w:r w:rsidR="00A808E6">
        <w:rPr>
          <w:rFonts w:eastAsia="Times New Roman"/>
          <w:noProof/>
        </w:rPr>
        <w:t>.</w:t>
      </w:r>
    </w:p>
    <w:p w14:paraId="5B75F251" w14:textId="77777777" w:rsidR="001859C1" w:rsidRPr="003D509F" w:rsidRDefault="001859C1" w:rsidP="000B2095">
      <w:pPr>
        <w:pStyle w:val="ManualHeading2"/>
        <w:rPr>
          <w:noProof/>
        </w:rPr>
      </w:pPr>
      <w:r w:rsidRPr="007F048F">
        <w:rPr>
          <w:noProof/>
        </w:rPr>
        <w:t>Subsidiarity</w:t>
      </w:r>
    </w:p>
    <w:p w14:paraId="56DDF700" w14:textId="1A605174" w:rsidR="001859C1" w:rsidRDefault="001859C1">
      <w:pPr>
        <w:rPr>
          <w:noProof/>
        </w:rPr>
      </w:pPr>
      <w:r>
        <w:rPr>
          <w:rFonts w:eastAsia="Times New Roman"/>
          <w:noProof/>
        </w:rPr>
        <w:t xml:space="preserve">First, </w:t>
      </w:r>
      <w:r w:rsidRPr="00455630">
        <w:rPr>
          <w:rFonts w:eastAsia="Times New Roman"/>
          <w:noProof/>
        </w:rPr>
        <w:t xml:space="preserve">Member States’ legislation alone in the area is unlikely to be sufficient and efficient. </w:t>
      </w:r>
      <w:r>
        <w:rPr>
          <w:noProof/>
        </w:rPr>
        <w:t>As regards specific t</w:t>
      </w:r>
      <w:r w:rsidRPr="00B44F98">
        <w:rPr>
          <w:noProof/>
        </w:rPr>
        <w:t>ransboundary problems,</w:t>
      </w:r>
      <w:r>
        <w:rPr>
          <w:noProof/>
        </w:rPr>
        <w:t xml:space="preserve"> such as pollution,</w:t>
      </w:r>
      <w:r w:rsidR="005A3E2F">
        <w:rPr>
          <w:noProof/>
        </w:rPr>
        <w:t xml:space="preserve"> </w:t>
      </w:r>
      <w:r>
        <w:rPr>
          <w:noProof/>
        </w:rPr>
        <w:t xml:space="preserve">climate change, biodiversity etc. </w:t>
      </w:r>
      <w:r w:rsidRPr="00B44F98">
        <w:rPr>
          <w:noProof/>
        </w:rPr>
        <w:t xml:space="preserve">individual action is </w:t>
      </w:r>
      <w:r>
        <w:rPr>
          <w:noProof/>
        </w:rPr>
        <w:t xml:space="preserve">hampered </w:t>
      </w:r>
      <w:r w:rsidR="00A808E6">
        <w:rPr>
          <w:noProof/>
        </w:rPr>
        <w:t>in case of</w:t>
      </w:r>
      <w:r>
        <w:rPr>
          <w:noProof/>
        </w:rPr>
        <w:t xml:space="preserve"> inaction </w:t>
      </w:r>
      <w:r w:rsidR="00A808E6">
        <w:rPr>
          <w:noProof/>
        </w:rPr>
        <w:t xml:space="preserve">by </w:t>
      </w:r>
      <w:r>
        <w:rPr>
          <w:noProof/>
        </w:rPr>
        <w:t>other Member States</w:t>
      </w:r>
      <w:r w:rsidRPr="00B44F98">
        <w:rPr>
          <w:noProof/>
        </w:rPr>
        <w:t xml:space="preserve">. </w:t>
      </w:r>
      <w:r w:rsidRPr="00282E36">
        <w:rPr>
          <w:noProof/>
        </w:rPr>
        <w:t xml:space="preserve">The achievement of </w:t>
      </w:r>
      <w:r>
        <w:rPr>
          <w:noProof/>
        </w:rPr>
        <w:t>international commitments such as</w:t>
      </w:r>
      <w:r w:rsidRPr="00282E36">
        <w:rPr>
          <w:noProof/>
        </w:rPr>
        <w:t xml:space="preserve"> the goals of </w:t>
      </w:r>
      <w:r w:rsidR="00604474">
        <w:rPr>
          <w:noProof/>
        </w:rPr>
        <w:t>the</w:t>
      </w:r>
      <w:r w:rsidR="00604474" w:rsidRPr="00604474">
        <w:rPr>
          <w:noProof/>
        </w:rPr>
        <w:t xml:space="preserve"> UNFCCC</w:t>
      </w:r>
      <w:r w:rsidR="00DE36B0">
        <w:rPr>
          <w:rStyle w:val="Allmrkuseviide"/>
          <w:noProof/>
        </w:rPr>
        <w:footnoteReference w:id="53"/>
      </w:r>
      <w:r w:rsidR="00604474" w:rsidRPr="00604474">
        <w:rPr>
          <w:noProof/>
        </w:rPr>
        <w:t>’s Paris Agreement on climate change</w:t>
      </w:r>
      <w:r w:rsidR="00696E67" w:rsidRPr="00696E67">
        <w:rPr>
          <w:noProof/>
        </w:rPr>
        <w:t>, the Convention on Biological Diversity, as well as other multilateral environmental agreements</w:t>
      </w:r>
      <w:r w:rsidR="00696E67" w:rsidRPr="00696E67" w:rsidDel="00696E67">
        <w:rPr>
          <w:noProof/>
        </w:rPr>
        <w:t xml:space="preserve"> </w:t>
      </w:r>
      <w:r>
        <w:rPr>
          <w:noProof/>
        </w:rPr>
        <w:t>by individual Member State action alone</w:t>
      </w:r>
      <w:r w:rsidRPr="00E10E2C">
        <w:rPr>
          <w:noProof/>
        </w:rPr>
        <w:t xml:space="preserve"> </w:t>
      </w:r>
      <w:r w:rsidRPr="00282E36">
        <w:rPr>
          <w:noProof/>
        </w:rPr>
        <w:t>is unlikely</w:t>
      </w:r>
      <w:r>
        <w:rPr>
          <w:noProof/>
        </w:rPr>
        <w:t xml:space="preserve">. </w:t>
      </w:r>
      <w:r>
        <w:rPr>
          <w:rFonts w:eastAsia="Times New Roman"/>
          <w:noProof/>
        </w:rPr>
        <w:t>Furthermore</w:t>
      </w:r>
      <w:r w:rsidRPr="00455630">
        <w:rPr>
          <w:rFonts w:eastAsia="Times New Roman"/>
          <w:noProof/>
        </w:rPr>
        <w:t xml:space="preserve">, </w:t>
      </w:r>
      <w:r>
        <w:rPr>
          <w:rFonts w:eastAsia="Times New Roman"/>
          <w:noProof/>
        </w:rPr>
        <w:t>r</w:t>
      </w:r>
      <w:r w:rsidRPr="00455630">
        <w:rPr>
          <w:rFonts w:eastAsia="Times New Roman"/>
          <w:noProof/>
        </w:rPr>
        <w:t xml:space="preserve">isks resulting from adverse human rights and environment impacts present in companies’ value chains have often cross-border effects </w:t>
      </w:r>
      <w:r w:rsidRPr="00F8340F">
        <w:rPr>
          <w:noProof/>
        </w:rPr>
        <w:t>(e.g. pollution, transnational supply and value chains)</w:t>
      </w:r>
      <w:r>
        <w:rPr>
          <w:rFonts w:eastAsia="Times New Roman"/>
          <w:noProof/>
        </w:rPr>
        <w:t>.</w:t>
      </w:r>
    </w:p>
    <w:p w14:paraId="334B324E" w14:textId="77777777" w:rsidR="001859C1" w:rsidRPr="000077DE" w:rsidRDefault="001859C1">
      <w:pPr>
        <w:rPr>
          <w:rFonts w:eastAsia="Times New Roman"/>
          <w:noProof/>
        </w:rPr>
      </w:pPr>
      <w:r>
        <w:rPr>
          <w:noProof/>
        </w:rPr>
        <w:t>Second, ma</w:t>
      </w:r>
      <w:r w:rsidRPr="00A31DE5">
        <w:rPr>
          <w:noProof/>
        </w:rPr>
        <w:t xml:space="preserve">ny companies are </w:t>
      </w:r>
      <w:r>
        <w:rPr>
          <w:noProof/>
        </w:rPr>
        <w:t xml:space="preserve">operating </w:t>
      </w:r>
      <w:r w:rsidRPr="00A31DE5">
        <w:rPr>
          <w:noProof/>
        </w:rPr>
        <w:t>EU-wide or global</w:t>
      </w:r>
      <w:r>
        <w:rPr>
          <w:noProof/>
        </w:rPr>
        <w:t>ly;</w:t>
      </w:r>
      <w:r w:rsidRPr="00A31DE5">
        <w:rPr>
          <w:noProof/>
        </w:rPr>
        <w:t xml:space="preserve"> </w:t>
      </w:r>
      <w:r>
        <w:rPr>
          <w:noProof/>
        </w:rPr>
        <w:t>value</w:t>
      </w:r>
      <w:r w:rsidRPr="009909DA">
        <w:rPr>
          <w:noProof/>
        </w:rPr>
        <w:t xml:space="preserve"> chains </w:t>
      </w:r>
      <w:r>
        <w:rPr>
          <w:noProof/>
        </w:rPr>
        <w:t>expand</w:t>
      </w:r>
      <w:r w:rsidRPr="009909DA">
        <w:rPr>
          <w:noProof/>
        </w:rPr>
        <w:t xml:space="preserve"> </w:t>
      </w:r>
      <w:r>
        <w:rPr>
          <w:noProof/>
        </w:rPr>
        <w:t xml:space="preserve">to other </w:t>
      </w:r>
      <w:r w:rsidR="006A6DEF">
        <w:rPr>
          <w:noProof/>
        </w:rPr>
        <w:t xml:space="preserve">Union </w:t>
      </w:r>
      <w:r>
        <w:rPr>
          <w:noProof/>
        </w:rPr>
        <w:t xml:space="preserve">Member States and increasingly </w:t>
      </w:r>
      <w:r w:rsidR="00EB6650">
        <w:rPr>
          <w:noProof/>
        </w:rPr>
        <w:t>to third countries</w:t>
      </w:r>
      <w:r w:rsidRPr="00A31DE5">
        <w:rPr>
          <w:noProof/>
        </w:rPr>
        <w:t>.</w:t>
      </w:r>
      <w:r>
        <w:rPr>
          <w:noProof/>
        </w:rPr>
        <w:t xml:space="preserve"> </w:t>
      </w:r>
      <w:r w:rsidRPr="0070484B">
        <w:rPr>
          <w:rFonts w:eastAsia="Times New Roman"/>
          <w:noProof/>
        </w:rPr>
        <w:t>Institutional investors which invest across the borders own a large part (38%</w:t>
      </w:r>
      <w:r w:rsidRPr="00AB0B10">
        <w:rPr>
          <w:rStyle w:val="Allmrkuseviide"/>
          <w:noProof/>
        </w:rPr>
        <w:footnoteReference w:id="54"/>
      </w:r>
      <w:r w:rsidRPr="0070484B">
        <w:rPr>
          <w:rFonts w:eastAsia="Times New Roman"/>
          <w:noProof/>
        </w:rPr>
        <w:t xml:space="preserve">) of the total market capitalisation of large European listed companies, therefore many companies have cross-border ownership and their operations are influenced by regulations in some countries or lack of action in others. </w:t>
      </w:r>
      <w:r w:rsidRPr="191B977A">
        <w:rPr>
          <w:rFonts w:eastAsia="Times New Roman"/>
          <w:noProof/>
        </w:rPr>
        <w:t xml:space="preserve">This is one of the reasons why frontrunner companies arguably </w:t>
      </w:r>
      <w:r w:rsidR="00531BEC">
        <w:rPr>
          <w:rFonts w:eastAsia="Times New Roman"/>
          <w:noProof/>
        </w:rPr>
        <w:t>are reluctant to do a further steps</w:t>
      </w:r>
      <w:r w:rsidRPr="191B977A">
        <w:rPr>
          <w:rFonts w:eastAsia="Times New Roman"/>
          <w:noProof/>
        </w:rPr>
        <w:t xml:space="preserve"> in addressing sustainability issues including those in the value chains today</w:t>
      </w:r>
      <w:r w:rsidRPr="00AB0B10">
        <w:rPr>
          <w:rStyle w:val="Allmrkuseviide"/>
          <w:noProof/>
        </w:rPr>
        <w:footnoteReference w:id="55"/>
      </w:r>
      <w:r w:rsidRPr="00BC2AC0">
        <w:rPr>
          <w:rFonts w:eastAsia="Times New Roman"/>
          <w:noProof/>
        </w:rPr>
        <w:t xml:space="preserve"> and ask</w:t>
      </w:r>
      <w:r w:rsidRPr="00376D03">
        <w:rPr>
          <w:rFonts w:eastAsia="Times New Roman"/>
          <w:noProof/>
        </w:rPr>
        <w:t xml:space="preserve"> for a cross-border level playing field.</w:t>
      </w:r>
      <w:r w:rsidRPr="00376D03" w:rsidDel="00D35424">
        <w:rPr>
          <w:rFonts w:eastAsia="Times New Roman"/>
          <w:noProof/>
        </w:rPr>
        <w:t xml:space="preserve"> </w:t>
      </w:r>
    </w:p>
    <w:p w14:paraId="16BBE150" w14:textId="70F85C1B" w:rsidR="001859C1" w:rsidRPr="000077DE" w:rsidRDefault="001859C1">
      <w:pPr>
        <w:rPr>
          <w:noProof/>
          <w:szCs w:val="24"/>
        </w:rPr>
      </w:pPr>
      <w:r>
        <w:rPr>
          <w:noProof/>
        </w:rPr>
        <w:t>Third, companies operating</w:t>
      </w:r>
      <w:r w:rsidRPr="00455630">
        <w:rPr>
          <w:noProof/>
        </w:rPr>
        <w:t xml:space="preserve"> across the </w:t>
      </w:r>
      <w:r w:rsidR="00F151FA">
        <w:rPr>
          <w:noProof/>
        </w:rPr>
        <w:t>internal</w:t>
      </w:r>
      <w:r w:rsidRPr="00455630">
        <w:rPr>
          <w:noProof/>
        </w:rPr>
        <w:t xml:space="preserve"> market and beyond </w:t>
      </w:r>
      <w:r>
        <w:rPr>
          <w:noProof/>
        </w:rPr>
        <w:t>need</w:t>
      </w:r>
      <w:r w:rsidRPr="00455630">
        <w:rPr>
          <w:noProof/>
        </w:rPr>
        <w:t xml:space="preserve"> legal certainty and a level-playing field for their sustainable growth. </w:t>
      </w:r>
      <w:r w:rsidRPr="0070484B">
        <w:rPr>
          <w:noProof/>
        </w:rPr>
        <w:t>Some Member States have recently introduced legislation on due diligence</w:t>
      </w:r>
      <w:r w:rsidRPr="00AB0B10">
        <w:rPr>
          <w:rStyle w:val="Allmrkuseviide"/>
          <w:noProof/>
        </w:rPr>
        <w:footnoteReference w:id="56"/>
      </w:r>
      <w:r w:rsidRPr="00334F97">
        <w:rPr>
          <w:noProof/>
        </w:rPr>
        <w:t>, while others are in the process of legislating or considering action</w:t>
      </w:r>
      <w:r w:rsidRPr="00AB0B10">
        <w:rPr>
          <w:rStyle w:val="Allmrkuseviide"/>
          <w:noProof/>
        </w:rPr>
        <w:footnoteReference w:id="57"/>
      </w:r>
      <w:r w:rsidRPr="00334F97">
        <w:rPr>
          <w:noProof/>
        </w:rPr>
        <w:t xml:space="preserve">. Existing Member State rules and those under </w:t>
      </w:r>
      <w:r w:rsidR="002F2074">
        <w:rPr>
          <w:rFonts w:eastAsia="Times New Roman"/>
          <w:noProof/>
        </w:rPr>
        <w:t xml:space="preserve">preparation </w:t>
      </w:r>
      <w:r w:rsidR="00E667BA">
        <w:rPr>
          <w:rFonts w:eastAsia="Times New Roman"/>
          <w:noProof/>
        </w:rPr>
        <w:t xml:space="preserve">already </w:t>
      </w:r>
      <w:r w:rsidR="002F2074">
        <w:rPr>
          <w:rFonts w:eastAsia="Times New Roman"/>
          <w:noProof/>
        </w:rPr>
        <w:t>have</w:t>
      </w:r>
      <w:r w:rsidR="00E667BA">
        <w:rPr>
          <w:rFonts w:eastAsia="Times New Roman"/>
          <w:noProof/>
        </w:rPr>
        <w:t>,</w:t>
      </w:r>
      <w:r w:rsidRPr="00334F97">
        <w:rPr>
          <w:noProof/>
        </w:rPr>
        <w:t xml:space="preserve"> </w:t>
      </w:r>
      <w:r w:rsidR="00E667BA">
        <w:rPr>
          <w:noProof/>
        </w:rPr>
        <w:t>and</w:t>
      </w:r>
      <w:r w:rsidR="00E667BA" w:rsidRPr="00334F97">
        <w:rPr>
          <w:noProof/>
        </w:rPr>
        <w:t xml:space="preserve"> </w:t>
      </w:r>
      <w:r w:rsidRPr="00334F97">
        <w:rPr>
          <w:noProof/>
        </w:rPr>
        <w:t xml:space="preserve">would </w:t>
      </w:r>
      <w:r w:rsidR="00E667BA">
        <w:rPr>
          <w:noProof/>
        </w:rPr>
        <w:t>further</w:t>
      </w:r>
      <w:r w:rsidRPr="00334F97">
        <w:rPr>
          <w:noProof/>
        </w:rPr>
        <w:t xml:space="preserve"> lead to diverging requirements</w:t>
      </w:r>
      <w:r w:rsidRPr="003B7DCE">
        <w:rPr>
          <w:noProof/>
        </w:rPr>
        <w:t>, which risk</w:t>
      </w:r>
      <w:r w:rsidR="008F2326">
        <w:rPr>
          <w:noProof/>
        </w:rPr>
        <w:t>s</w:t>
      </w:r>
      <w:r w:rsidRPr="003B7DCE">
        <w:rPr>
          <w:noProof/>
        </w:rPr>
        <w:t xml:space="preserve"> being </w:t>
      </w:r>
      <w:r w:rsidR="008F2326" w:rsidRPr="003B7DCE">
        <w:rPr>
          <w:noProof/>
        </w:rPr>
        <w:t>ineff</w:t>
      </w:r>
      <w:r w:rsidR="008F2326">
        <w:rPr>
          <w:noProof/>
        </w:rPr>
        <w:t>ici</w:t>
      </w:r>
      <w:r w:rsidR="008F2326" w:rsidRPr="003B7DCE">
        <w:rPr>
          <w:noProof/>
        </w:rPr>
        <w:t>e</w:t>
      </w:r>
      <w:r w:rsidR="008F2326">
        <w:rPr>
          <w:noProof/>
        </w:rPr>
        <w:t>nt</w:t>
      </w:r>
      <w:r w:rsidR="008F2326" w:rsidRPr="003B7DCE">
        <w:rPr>
          <w:noProof/>
        </w:rPr>
        <w:t xml:space="preserve"> </w:t>
      </w:r>
      <w:r w:rsidRPr="003B7DCE">
        <w:rPr>
          <w:noProof/>
        </w:rPr>
        <w:t xml:space="preserve">and leading to an uneven playing field. There are considerable indirect effects of diverging due diligence laws on the suppliers that supply to different companies falling under different laws, as the obligations are in practice translated into contractual clauses. If due diligence requirements are significantly different among Member States, this creates legal uncertainty, fragmentation of the Single market, additional costs and complexity for companies and their investors operating across borders as well as other stakeholders. </w:t>
      </w:r>
      <w:r>
        <w:rPr>
          <w:noProof/>
        </w:rPr>
        <w:t>EU action can avoid this and therefore has added value.</w:t>
      </w:r>
    </w:p>
    <w:p w14:paraId="699317BB" w14:textId="77777777" w:rsidR="006B5430" w:rsidRPr="000077DE" w:rsidRDefault="001859C1">
      <w:pPr>
        <w:rPr>
          <w:noProof/>
          <w:szCs w:val="24"/>
        </w:rPr>
      </w:pPr>
      <w:r>
        <w:rPr>
          <w:noProof/>
        </w:rPr>
        <w:t>Finally, c</w:t>
      </w:r>
      <w:r w:rsidRPr="003B7DCE">
        <w:rPr>
          <w:noProof/>
        </w:rPr>
        <w:t>ompared to individual action by Member States, EU intervention can ensure a strong European voice in policy developments at the global level</w:t>
      </w:r>
      <w:bookmarkStart w:id="5" w:name="_Ref81913680"/>
      <w:r w:rsidRPr="00AB0B10">
        <w:rPr>
          <w:rStyle w:val="Allmrkuseviide"/>
          <w:noProof/>
        </w:rPr>
        <w:footnoteReference w:id="58"/>
      </w:r>
      <w:bookmarkEnd w:id="5"/>
      <w:r w:rsidRPr="003B7DCE">
        <w:rPr>
          <w:noProof/>
        </w:rPr>
        <w:t xml:space="preserve">. </w:t>
      </w:r>
    </w:p>
    <w:p w14:paraId="34ABB505" w14:textId="77777777" w:rsidR="006B5430" w:rsidRPr="00851C7B" w:rsidRDefault="001859C1" w:rsidP="000B2095">
      <w:pPr>
        <w:pStyle w:val="ManualHeading2"/>
        <w:rPr>
          <w:noProof/>
        </w:rPr>
      </w:pPr>
      <w:r w:rsidRPr="00851C7B">
        <w:rPr>
          <w:noProof/>
        </w:rPr>
        <w:t>Proportionality</w:t>
      </w:r>
    </w:p>
    <w:p w14:paraId="3A4C40CE" w14:textId="0D5457DD" w:rsidR="001859C1" w:rsidRPr="003B7DCE" w:rsidRDefault="004C1255">
      <w:pPr>
        <w:rPr>
          <w:rFonts w:eastAsia="Times New Roman"/>
          <w:noProof/>
          <w:lang w:eastAsia="fr-BE"/>
        </w:rPr>
      </w:pPr>
      <w:r>
        <w:rPr>
          <w:noProof/>
        </w:rPr>
        <w:t xml:space="preserve">The burden on companies stemming from compliance costs, has been adapted to the size, resources available, and the risk profile. </w:t>
      </w:r>
      <w:r w:rsidR="00087378">
        <w:rPr>
          <w:noProof/>
        </w:rPr>
        <w:t xml:space="preserve">Companies will only have to </w:t>
      </w:r>
      <w:r w:rsidR="008C35A7">
        <w:rPr>
          <w:noProof/>
        </w:rPr>
        <w:t>take</w:t>
      </w:r>
      <w:r w:rsidR="00087378">
        <w:rPr>
          <w:noProof/>
        </w:rPr>
        <w:t xml:space="preserve"> appropriate measures that are </w:t>
      </w:r>
      <w:r w:rsidR="00087378" w:rsidRPr="00087378">
        <w:rPr>
          <w:noProof/>
        </w:rPr>
        <w:t>commensurate with the degree of severity and the likelihood of the adverse impact, and reasonably available to the company, taking into account the circumstances of the specific case, including characteristics of the economic sector and of the specific business relationship and the company’s influence thereof, and the need to ensure prioritisation of action</w:t>
      </w:r>
      <w:r>
        <w:rPr>
          <w:noProof/>
        </w:rPr>
        <w:t>. For that purpose</w:t>
      </w:r>
      <w:r w:rsidDel="004C1255">
        <w:rPr>
          <w:noProof/>
        </w:rPr>
        <w:t xml:space="preserve"> </w:t>
      </w:r>
      <w:r w:rsidR="001C05C1">
        <w:rPr>
          <w:noProof/>
        </w:rPr>
        <w:t>the material and personal scope</w:t>
      </w:r>
      <w:r w:rsidR="007409A9">
        <w:rPr>
          <w:noProof/>
        </w:rPr>
        <w:t xml:space="preserve">, and </w:t>
      </w:r>
      <w:r w:rsidR="0066145C">
        <w:rPr>
          <w:noProof/>
        </w:rPr>
        <w:t>the</w:t>
      </w:r>
      <w:r w:rsidR="007409A9">
        <w:rPr>
          <w:noProof/>
        </w:rPr>
        <w:t xml:space="preserve"> enforcement </w:t>
      </w:r>
      <w:r w:rsidR="0066145C">
        <w:rPr>
          <w:noProof/>
        </w:rPr>
        <w:t xml:space="preserve">provisions </w:t>
      </w:r>
      <w:r>
        <w:rPr>
          <w:noProof/>
        </w:rPr>
        <w:t>were restricted as further explained below</w:t>
      </w:r>
      <w:r w:rsidR="001859C1" w:rsidRPr="003B7DCE">
        <w:rPr>
          <w:rFonts w:eastAsia="Times New Roman"/>
          <w:noProof/>
          <w:lang w:eastAsia="fr-BE"/>
        </w:rPr>
        <w:t>.</w:t>
      </w:r>
    </w:p>
    <w:p w14:paraId="1A5EFD53" w14:textId="195C2BBA" w:rsidR="001859C1" w:rsidRPr="00E27472" w:rsidRDefault="001859C1">
      <w:pPr>
        <w:rPr>
          <w:noProof/>
          <w:lang w:eastAsia="fr-BE"/>
        </w:rPr>
      </w:pPr>
      <w:r>
        <w:rPr>
          <w:noProof/>
          <w:lang w:eastAsia="fr-BE"/>
        </w:rPr>
        <w:t xml:space="preserve">As regards the </w:t>
      </w:r>
      <w:r w:rsidR="004C1255">
        <w:rPr>
          <w:noProof/>
          <w:lang w:eastAsia="fr-BE"/>
        </w:rPr>
        <w:t>“</w:t>
      </w:r>
      <w:r>
        <w:rPr>
          <w:noProof/>
          <w:lang w:eastAsia="fr-BE"/>
        </w:rPr>
        <w:t>personal scope</w:t>
      </w:r>
      <w:r w:rsidR="004C1255">
        <w:rPr>
          <w:noProof/>
          <w:lang w:eastAsia="fr-BE"/>
        </w:rPr>
        <w:t>”</w:t>
      </w:r>
      <w:r>
        <w:rPr>
          <w:noProof/>
          <w:lang w:eastAsia="fr-BE"/>
        </w:rPr>
        <w:t xml:space="preserve"> of the due diligence obligations</w:t>
      </w:r>
      <w:r w:rsidR="004C1255">
        <w:rPr>
          <w:noProof/>
          <w:lang w:eastAsia="fr-BE"/>
        </w:rPr>
        <w:t xml:space="preserve"> (i.e. which business categories are covered)</w:t>
      </w:r>
      <w:r>
        <w:rPr>
          <w:noProof/>
          <w:lang w:eastAsia="fr-BE"/>
        </w:rPr>
        <w:t>, s</w:t>
      </w:r>
      <w:r w:rsidRPr="003B7DCE">
        <w:rPr>
          <w:noProof/>
          <w:lang w:eastAsia="fr-BE"/>
        </w:rPr>
        <w:t xml:space="preserve">mall and </w:t>
      </w:r>
      <w:r>
        <w:rPr>
          <w:noProof/>
          <w:lang w:eastAsia="fr-BE"/>
        </w:rPr>
        <w:t xml:space="preserve">medium sized enterprises </w:t>
      </w:r>
      <w:r w:rsidR="004C1255">
        <w:rPr>
          <w:noProof/>
          <w:lang w:eastAsia="fr-BE"/>
        </w:rPr>
        <w:t xml:space="preserve">(SMEs) that include </w:t>
      </w:r>
      <w:r w:rsidRPr="003B7DCE">
        <w:rPr>
          <w:noProof/>
          <w:lang w:eastAsia="fr-BE"/>
        </w:rPr>
        <w:t xml:space="preserve">micro companies </w:t>
      </w:r>
      <w:r w:rsidR="004C1255">
        <w:rPr>
          <w:noProof/>
          <w:lang w:eastAsia="fr-BE"/>
        </w:rPr>
        <w:t>and overall account</w:t>
      </w:r>
      <w:r w:rsidRPr="003B7DCE" w:rsidDel="004C1255">
        <w:rPr>
          <w:noProof/>
          <w:lang w:eastAsia="fr-BE"/>
        </w:rPr>
        <w:t xml:space="preserve"> </w:t>
      </w:r>
      <w:r w:rsidRPr="003B7DCE">
        <w:rPr>
          <w:noProof/>
          <w:lang w:eastAsia="fr-BE"/>
        </w:rPr>
        <w:t>for around 9</w:t>
      </w:r>
      <w:r>
        <w:rPr>
          <w:noProof/>
          <w:lang w:eastAsia="fr-BE"/>
        </w:rPr>
        <w:t>9</w:t>
      </w:r>
      <w:r w:rsidRPr="003B7DCE">
        <w:rPr>
          <w:noProof/>
          <w:lang w:eastAsia="fr-BE"/>
        </w:rPr>
        <w:t xml:space="preserve"> % of </w:t>
      </w:r>
      <w:r>
        <w:rPr>
          <w:noProof/>
          <w:lang w:eastAsia="fr-BE"/>
        </w:rPr>
        <w:t>all</w:t>
      </w:r>
      <w:r w:rsidRPr="003B7DCE">
        <w:rPr>
          <w:noProof/>
          <w:lang w:eastAsia="fr-BE"/>
        </w:rPr>
        <w:t xml:space="preserve"> companies in the </w:t>
      </w:r>
      <w:r w:rsidR="004C1255">
        <w:rPr>
          <w:noProof/>
          <w:lang w:eastAsia="fr-BE"/>
        </w:rPr>
        <w:t>Union</w:t>
      </w:r>
      <w:r w:rsidRPr="003B7DCE">
        <w:rPr>
          <w:noProof/>
          <w:lang w:eastAsia="fr-BE"/>
        </w:rPr>
        <w:t>, are excluded from the due diligence duty. For this category of companies, the financial and administrative burden of setting up and implementing a due diligence process would be relatively high. For the most part, they do not have pre-existing due diligence mechanisms in place, they have no know-how, specialised personnel, and the cost of carrying out due diligence would impact them disproportionately</w:t>
      </w:r>
      <w:r>
        <w:rPr>
          <w:noProof/>
          <w:lang w:eastAsia="fr-BE"/>
        </w:rPr>
        <w:t>. T</w:t>
      </w:r>
      <w:r w:rsidRPr="003B7DCE">
        <w:rPr>
          <w:noProof/>
          <w:lang w:eastAsia="fr-BE"/>
        </w:rPr>
        <w:t>hey will</w:t>
      </w:r>
      <w:r w:rsidR="004C1255">
        <w:rPr>
          <w:noProof/>
          <w:lang w:eastAsia="fr-BE"/>
        </w:rPr>
        <w:t>, however,</w:t>
      </w:r>
      <w:r w:rsidRPr="003B7DCE">
        <w:rPr>
          <w:noProof/>
          <w:lang w:eastAsia="fr-BE"/>
        </w:rPr>
        <w:t xml:space="preserve"> be exposed to some of the costs and burden through </w:t>
      </w:r>
      <w:r w:rsidR="00774C55">
        <w:rPr>
          <w:rFonts w:eastAsia="Times New Roman"/>
          <w:noProof/>
          <w:lang w:eastAsia="fr-BE"/>
        </w:rPr>
        <w:t>business relationships with companies in scope</w:t>
      </w:r>
      <w:r w:rsidR="004C1255">
        <w:rPr>
          <w:rFonts w:eastAsia="Times New Roman"/>
          <w:noProof/>
          <w:lang w:eastAsia="fr-BE"/>
        </w:rPr>
        <w:t xml:space="preserve"> as large companies are expected to pass on demands to their suppliers</w:t>
      </w:r>
      <w:r w:rsidR="004C1255">
        <w:rPr>
          <w:noProof/>
          <w:lang w:eastAsia="fr-BE"/>
        </w:rPr>
        <w:t>. H</w:t>
      </w:r>
      <w:r>
        <w:rPr>
          <w:noProof/>
          <w:lang w:eastAsia="fr-BE"/>
        </w:rPr>
        <w:t>ence</w:t>
      </w:r>
      <w:r w:rsidR="004C1255">
        <w:rPr>
          <w:noProof/>
          <w:lang w:eastAsia="fr-BE"/>
        </w:rPr>
        <w:t>,</w:t>
      </w:r>
      <w:r w:rsidDel="00BD0EAD">
        <w:rPr>
          <w:noProof/>
          <w:lang w:eastAsia="fr-BE"/>
        </w:rPr>
        <w:t xml:space="preserve"> </w:t>
      </w:r>
      <w:r>
        <w:rPr>
          <w:noProof/>
          <w:lang w:eastAsia="fr-BE"/>
        </w:rPr>
        <w:t>supporting measures will be necessary to help</w:t>
      </w:r>
      <w:r w:rsidR="000B3745">
        <w:rPr>
          <w:noProof/>
          <w:lang w:eastAsia="fr-BE"/>
        </w:rPr>
        <w:t xml:space="preserve"> SMEs </w:t>
      </w:r>
      <w:r>
        <w:rPr>
          <w:noProof/>
          <w:lang w:eastAsia="fr-BE"/>
        </w:rPr>
        <w:t>build operational and financial capacity</w:t>
      </w:r>
      <w:r w:rsidRPr="003B7DCE">
        <w:rPr>
          <w:noProof/>
          <w:lang w:eastAsia="fr-BE"/>
        </w:rPr>
        <w:t xml:space="preserve">. </w:t>
      </w:r>
      <w:r w:rsidR="004D675A">
        <w:rPr>
          <w:noProof/>
        </w:rPr>
        <w:t xml:space="preserve">Companies whose business partner is an SME, are also </w:t>
      </w:r>
      <w:r w:rsidR="008C35A7">
        <w:rPr>
          <w:noProof/>
        </w:rPr>
        <w:t>required</w:t>
      </w:r>
      <w:r w:rsidR="004D675A">
        <w:rPr>
          <w:noProof/>
        </w:rPr>
        <w:t xml:space="preserve"> to support them in fulfilling the due diligence requirements, in case such requirements would jeopardize the viability of the SME.</w:t>
      </w:r>
      <w:r w:rsidR="004F7D8E">
        <w:rPr>
          <w:noProof/>
        </w:rPr>
        <w:t xml:space="preserve"> Moreover, </w:t>
      </w:r>
      <w:r w:rsidR="00CB41CB">
        <w:rPr>
          <w:noProof/>
        </w:rPr>
        <w:t>the</w:t>
      </w:r>
      <w:r w:rsidR="00CB41CB" w:rsidRPr="00CB41CB">
        <w:rPr>
          <w:noProof/>
        </w:rPr>
        <w:t xml:space="preserve"> value chain of </w:t>
      </w:r>
      <w:r w:rsidR="005C0148">
        <w:rPr>
          <w:noProof/>
        </w:rPr>
        <w:t xml:space="preserve">the </w:t>
      </w:r>
      <w:r w:rsidR="00CB41CB" w:rsidRPr="00CB41CB">
        <w:rPr>
          <w:noProof/>
        </w:rPr>
        <w:t>financial sector does not cover SMEs</w:t>
      </w:r>
      <w:r w:rsidR="00CB41CB">
        <w:rPr>
          <w:noProof/>
        </w:rPr>
        <w:t xml:space="preserve"> that are</w:t>
      </w:r>
      <w:r w:rsidR="00CB41CB" w:rsidRPr="00CB41CB">
        <w:rPr>
          <w:noProof/>
        </w:rPr>
        <w:t xml:space="preserve"> receiving loan, credit, financing</w:t>
      </w:r>
      <w:r w:rsidR="00CB41CB">
        <w:rPr>
          <w:noProof/>
        </w:rPr>
        <w:t>, insurance or reinsurance.</w:t>
      </w:r>
      <w:r w:rsidR="004D675A">
        <w:rPr>
          <w:noProof/>
        </w:rPr>
        <w:t xml:space="preserve"> </w:t>
      </w:r>
      <w:r w:rsidRPr="003B7DCE">
        <w:rPr>
          <w:noProof/>
          <w:lang w:eastAsia="fr-BE"/>
        </w:rPr>
        <w:t xml:space="preserve">At the same time, exposure of </w:t>
      </w:r>
      <w:r w:rsidR="001825BB">
        <w:rPr>
          <w:noProof/>
          <w:lang w:eastAsia="fr-BE"/>
        </w:rPr>
        <w:t xml:space="preserve">an </w:t>
      </w:r>
      <w:r w:rsidR="001825BB" w:rsidRPr="003B7DCE">
        <w:rPr>
          <w:noProof/>
          <w:lang w:eastAsia="fr-BE"/>
        </w:rPr>
        <w:t>individual</w:t>
      </w:r>
      <w:r w:rsidR="001825BB">
        <w:rPr>
          <w:noProof/>
          <w:lang w:eastAsia="fr-BE"/>
        </w:rPr>
        <w:t xml:space="preserve"> </w:t>
      </w:r>
      <w:r w:rsidR="000B3745">
        <w:rPr>
          <w:noProof/>
          <w:lang w:eastAsia="fr-BE"/>
        </w:rPr>
        <w:t>SME</w:t>
      </w:r>
      <w:r w:rsidRPr="003B7DCE">
        <w:rPr>
          <w:noProof/>
          <w:lang w:eastAsia="fr-BE"/>
        </w:rPr>
        <w:t xml:space="preserve"> to </w:t>
      </w:r>
      <w:r w:rsidR="0029700A">
        <w:rPr>
          <w:rFonts w:eastAsia="Times New Roman"/>
          <w:noProof/>
          <w:lang w:eastAsia="fr-BE"/>
        </w:rPr>
        <w:t>adverse</w:t>
      </w:r>
      <w:r w:rsidRPr="003B7DCE">
        <w:rPr>
          <w:rFonts w:eastAsia="Times New Roman"/>
          <w:noProof/>
          <w:lang w:eastAsia="fr-BE"/>
        </w:rPr>
        <w:t xml:space="preserve"> </w:t>
      </w:r>
      <w:r w:rsidRPr="003B7DCE">
        <w:rPr>
          <w:noProof/>
          <w:lang w:eastAsia="fr-BE"/>
        </w:rPr>
        <w:t>sustainability impacts will as a general rule be lower than the exposure of larger companies. Therefore, very large companies</w:t>
      </w:r>
      <w:r w:rsidR="00C6772E">
        <w:rPr>
          <w:rStyle w:val="Allmrkuseviide"/>
          <w:rFonts w:eastAsia="Times New Roman"/>
          <w:noProof/>
          <w:lang w:eastAsia="fr-BE"/>
        </w:rPr>
        <w:footnoteReference w:id="59"/>
      </w:r>
      <w:r w:rsidRPr="003B7DCE">
        <w:rPr>
          <w:noProof/>
          <w:lang w:eastAsia="fr-BE"/>
        </w:rPr>
        <w:t xml:space="preserve"> will be within the scope of the full due diligence obligation, </w:t>
      </w:r>
      <w:r>
        <w:rPr>
          <w:noProof/>
          <w:lang w:eastAsia="fr-BE"/>
        </w:rPr>
        <w:t xml:space="preserve">also </w:t>
      </w:r>
      <w:r w:rsidRPr="003B7DCE">
        <w:rPr>
          <w:noProof/>
          <w:lang w:eastAsia="fr-BE"/>
        </w:rPr>
        <w:t>because</w:t>
      </w:r>
      <w:r>
        <w:rPr>
          <w:noProof/>
          <w:lang w:eastAsia="fr-BE"/>
        </w:rPr>
        <w:t xml:space="preserve"> many of them already </w:t>
      </w:r>
      <w:r w:rsidR="00DA21C9">
        <w:rPr>
          <w:noProof/>
          <w:lang w:eastAsia="fr-BE"/>
        </w:rPr>
        <w:t xml:space="preserve">have </w:t>
      </w:r>
      <w:r>
        <w:rPr>
          <w:noProof/>
          <w:lang w:eastAsia="fr-BE"/>
        </w:rPr>
        <w:t>certain processes in place e.g. because of reporting</w:t>
      </w:r>
      <w:r w:rsidR="00CD0E7A">
        <w:rPr>
          <w:noProof/>
          <w:lang w:eastAsia="fr-BE"/>
        </w:rPr>
        <w:t xml:space="preserve"> obligations</w:t>
      </w:r>
      <w:r w:rsidRPr="003B7DCE">
        <w:rPr>
          <w:noProof/>
          <w:lang w:eastAsia="fr-BE"/>
        </w:rPr>
        <w:t xml:space="preserve">. In particular, the selected turnover criteria will filter those having the largest impact on the </w:t>
      </w:r>
      <w:r w:rsidR="006A6DEF">
        <w:rPr>
          <w:noProof/>
          <w:lang w:eastAsia="fr-BE"/>
        </w:rPr>
        <w:t>Union</w:t>
      </w:r>
      <w:r w:rsidR="006A6DEF" w:rsidRPr="003B7DCE">
        <w:rPr>
          <w:noProof/>
          <w:lang w:eastAsia="fr-BE"/>
        </w:rPr>
        <w:t xml:space="preserve"> </w:t>
      </w:r>
      <w:r w:rsidRPr="003B7DCE">
        <w:rPr>
          <w:noProof/>
          <w:lang w:eastAsia="fr-BE"/>
        </w:rPr>
        <w:t>economy. Moreover, this Directive lays down measures to</w:t>
      </w:r>
      <w:r w:rsidRPr="00560E12">
        <w:rPr>
          <w:noProof/>
          <w:lang w:eastAsia="fr-BE"/>
        </w:rPr>
        <w:t xml:space="preserve"> limit the passing on </w:t>
      </w:r>
      <w:r>
        <w:rPr>
          <w:noProof/>
          <w:lang w:eastAsia="fr-BE"/>
        </w:rPr>
        <w:t xml:space="preserve">of </w:t>
      </w:r>
      <w:r w:rsidRPr="00560E12">
        <w:rPr>
          <w:noProof/>
          <w:lang w:eastAsia="fr-BE"/>
        </w:rPr>
        <w:t>the burden from those large companies to the smaller suppliers in the value chain</w:t>
      </w:r>
      <w:r w:rsidR="003E67CE">
        <w:rPr>
          <w:noProof/>
          <w:lang w:eastAsia="fr-BE"/>
        </w:rPr>
        <w:t xml:space="preserve"> and </w:t>
      </w:r>
      <w:r w:rsidR="00E96085">
        <w:rPr>
          <w:noProof/>
          <w:lang w:eastAsia="fr-BE"/>
        </w:rPr>
        <w:t xml:space="preserve">to </w:t>
      </w:r>
      <w:r w:rsidR="003E67CE">
        <w:rPr>
          <w:noProof/>
        </w:rPr>
        <w:t xml:space="preserve">use </w:t>
      </w:r>
      <w:r w:rsidR="003E67CE" w:rsidRPr="009A1771">
        <w:rPr>
          <w:noProof/>
        </w:rPr>
        <w:t xml:space="preserve">fair, reasonable, non-discriminatory and proportionate requirements </w:t>
      </w:r>
      <w:r w:rsidR="008C35A7" w:rsidRPr="008C35A7">
        <w:rPr>
          <w:i/>
          <w:noProof/>
        </w:rPr>
        <w:t>vis-a-vis</w:t>
      </w:r>
      <w:r w:rsidR="003E67CE" w:rsidRPr="009A1771">
        <w:rPr>
          <w:noProof/>
        </w:rPr>
        <w:t xml:space="preserve"> SME</w:t>
      </w:r>
      <w:r w:rsidR="0066145C">
        <w:rPr>
          <w:noProof/>
        </w:rPr>
        <w:t>s</w:t>
      </w:r>
      <w:r w:rsidRPr="00560E12">
        <w:rPr>
          <w:noProof/>
          <w:lang w:eastAsia="fr-BE"/>
        </w:rPr>
        <w:t>.</w:t>
      </w:r>
    </w:p>
    <w:p w14:paraId="471E2AED" w14:textId="60C2C739" w:rsidR="001859C1" w:rsidRPr="00CA74B6" w:rsidRDefault="001859C1">
      <w:pPr>
        <w:rPr>
          <w:noProof/>
          <w:lang w:eastAsia="fr-BE"/>
        </w:rPr>
      </w:pPr>
      <w:r w:rsidRPr="002B5C0E">
        <w:rPr>
          <w:noProof/>
          <w:lang w:eastAsia="fr-BE"/>
        </w:rPr>
        <w:t>As far as companies with l</w:t>
      </w:r>
      <w:r w:rsidRPr="0026606F">
        <w:rPr>
          <w:noProof/>
          <w:lang w:eastAsia="fr-BE"/>
        </w:rPr>
        <w:t>ower turnover</w:t>
      </w:r>
      <w:r w:rsidR="002632AD">
        <w:rPr>
          <w:noProof/>
          <w:lang w:eastAsia="fr-BE"/>
        </w:rPr>
        <w:t xml:space="preserve"> and </w:t>
      </w:r>
      <w:r w:rsidRPr="0026606F">
        <w:rPr>
          <w:noProof/>
          <w:lang w:eastAsia="fr-BE"/>
        </w:rPr>
        <w:t>less employees</w:t>
      </w:r>
      <w:r w:rsidRPr="00AB0B10">
        <w:rPr>
          <w:rStyle w:val="Allmrkuseviide"/>
          <w:noProof/>
        </w:rPr>
        <w:footnoteReference w:id="60"/>
      </w:r>
      <w:r w:rsidRPr="003B7DCE">
        <w:rPr>
          <w:noProof/>
          <w:lang w:eastAsia="fr-BE"/>
        </w:rPr>
        <w:t xml:space="preserve"> are concerned, the due diligence obligation is limited to </w:t>
      </w:r>
      <w:r w:rsidR="00195127">
        <w:rPr>
          <w:noProof/>
          <w:lang w:eastAsia="fr-BE"/>
        </w:rPr>
        <w:t>those</w:t>
      </w:r>
      <w:r w:rsidRPr="003B7DCE">
        <w:rPr>
          <w:noProof/>
          <w:lang w:eastAsia="fr-BE"/>
        </w:rPr>
        <w:t xml:space="preserve"> companies active in particularly high-impact sectors </w:t>
      </w:r>
      <w:r w:rsidR="009F6A65">
        <w:rPr>
          <w:noProof/>
          <w:lang w:eastAsia="fr-BE"/>
        </w:rPr>
        <w:t xml:space="preserve">that are at the same time </w:t>
      </w:r>
      <w:r>
        <w:rPr>
          <w:noProof/>
          <w:lang w:eastAsia="fr-BE"/>
        </w:rPr>
        <w:t xml:space="preserve">covered by existing </w:t>
      </w:r>
      <w:r w:rsidR="006A340B">
        <w:rPr>
          <w:noProof/>
          <w:lang w:eastAsia="fr-BE"/>
        </w:rPr>
        <w:t xml:space="preserve">sectoral </w:t>
      </w:r>
      <w:r>
        <w:rPr>
          <w:noProof/>
          <w:lang w:eastAsia="fr-BE"/>
        </w:rPr>
        <w:t>OECD guidance</w:t>
      </w:r>
      <w:r>
        <w:rPr>
          <w:rStyle w:val="Allmrkuseviide"/>
          <w:rFonts w:eastAsia="Times New Roman"/>
          <w:noProof/>
          <w:lang w:eastAsia="fr-BE"/>
        </w:rPr>
        <w:footnoteReference w:id="61"/>
      </w:r>
      <w:r>
        <w:rPr>
          <w:noProof/>
          <w:lang w:eastAsia="fr-BE"/>
        </w:rPr>
        <w:t xml:space="preserve">. </w:t>
      </w:r>
      <w:r w:rsidR="00B160D6">
        <w:rPr>
          <w:noProof/>
          <w:lang w:eastAsia="fr-BE"/>
        </w:rPr>
        <w:t>Moreover, despite</w:t>
      </w:r>
      <w:r w:rsidR="0066145C">
        <w:rPr>
          <w:noProof/>
          <w:lang w:eastAsia="fr-BE"/>
        </w:rPr>
        <w:t xml:space="preserve"> the fact</w:t>
      </w:r>
      <w:r w:rsidR="00B160D6">
        <w:rPr>
          <w:noProof/>
          <w:lang w:eastAsia="fr-BE"/>
        </w:rPr>
        <w:t xml:space="preserve"> that OECD guidance cover</w:t>
      </w:r>
      <w:r w:rsidR="008C35A7">
        <w:rPr>
          <w:noProof/>
          <w:lang w:eastAsia="fr-BE"/>
        </w:rPr>
        <w:t>s</w:t>
      </w:r>
      <w:r w:rsidR="00B160D6">
        <w:rPr>
          <w:noProof/>
          <w:lang w:eastAsia="fr-BE"/>
        </w:rPr>
        <w:t xml:space="preserve"> </w:t>
      </w:r>
      <w:r w:rsidR="00B160D6" w:rsidRPr="00B160D6">
        <w:rPr>
          <w:noProof/>
          <w:lang w:eastAsia="fr-BE"/>
        </w:rPr>
        <w:t xml:space="preserve">the financial sector, </w:t>
      </w:r>
      <w:r w:rsidR="00B160D6">
        <w:rPr>
          <w:noProof/>
          <w:lang w:eastAsia="fr-BE"/>
        </w:rPr>
        <w:t xml:space="preserve">it is not included in the high- impact sectors </w:t>
      </w:r>
      <w:r w:rsidR="00B160D6" w:rsidRPr="00B160D6">
        <w:rPr>
          <w:noProof/>
          <w:lang w:eastAsia="fr-BE"/>
        </w:rPr>
        <w:t>due to its specificities</w:t>
      </w:r>
      <w:r w:rsidR="008C35A7">
        <w:rPr>
          <w:noProof/>
          <w:lang w:eastAsia="fr-BE"/>
        </w:rPr>
        <w:t xml:space="preserve">. </w:t>
      </w:r>
      <w:r w:rsidRPr="002B5C0E">
        <w:rPr>
          <w:noProof/>
          <w:lang w:eastAsia="fr-BE"/>
        </w:rPr>
        <w:t xml:space="preserve">This limitation aims to create a balance between the interest in achieving the goals of the </w:t>
      </w:r>
      <w:r>
        <w:rPr>
          <w:noProof/>
          <w:lang w:eastAsia="fr-BE"/>
        </w:rPr>
        <w:t>Directive</w:t>
      </w:r>
      <w:r w:rsidRPr="002B5C0E">
        <w:rPr>
          <w:noProof/>
          <w:lang w:eastAsia="fr-BE"/>
        </w:rPr>
        <w:t xml:space="preserve"> and the interest in minimising the financial and administrative bur</w:t>
      </w:r>
      <w:r w:rsidRPr="0026606F">
        <w:rPr>
          <w:noProof/>
          <w:lang w:eastAsia="fr-BE"/>
        </w:rPr>
        <w:t>den on companies.</w:t>
      </w:r>
      <w:r>
        <w:rPr>
          <w:noProof/>
          <w:lang w:eastAsia="fr-BE"/>
        </w:rPr>
        <w:t xml:space="preserve"> </w:t>
      </w:r>
      <w:r w:rsidRPr="003E648B">
        <w:rPr>
          <w:noProof/>
          <w:lang w:eastAsia="fr-BE"/>
        </w:rPr>
        <w:t xml:space="preserve">The due diligence obligation for these companies will be simplified as they would only focus on severe adverse impacts </w:t>
      </w:r>
      <w:r w:rsidR="00AB388C">
        <w:rPr>
          <w:noProof/>
        </w:rPr>
        <w:t xml:space="preserve">that are relevant </w:t>
      </w:r>
      <w:r w:rsidR="00893A50">
        <w:rPr>
          <w:noProof/>
          <w:lang w:val="en-IE" w:eastAsia="fr-BE"/>
        </w:rPr>
        <w:t xml:space="preserve">for </w:t>
      </w:r>
      <w:r w:rsidR="00E67349">
        <w:rPr>
          <w:noProof/>
          <w:lang w:val="en-IE" w:eastAsia="fr-BE"/>
        </w:rPr>
        <w:t>the</w:t>
      </w:r>
      <w:r w:rsidR="00B4352F">
        <w:rPr>
          <w:noProof/>
          <w:lang w:val="en-IE" w:eastAsia="fr-BE"/>
        </w:rPr>
        <w:t>ir</w:t>
      </w:r>
      <w:r w:rsidR="00E67349">
        <w:rPr>
          <w:noProof/>
          <w:lang w:val="en-IE" w:eastAsia="fr-BE"/>
        </w:rPr>
        <w:t xml:space="preserve"> </w:t>
      </w:r>
      <w:r w:rsidR="00893A50">
        <w:rPr>
          <w:noProof/>
          <w:lang w:val="en-IE" w:eastAsia="fr-BE"/>
        </w:rPr>
        <w:t>sector</w:t>
      </w:r>
      <w:r w:rsidR="005C0B7C" w:rsidRPr="00A214C4">
        <w:rPr>
          <w:noProof/>
          <w:lang w:eastAsia="fr-BE"/>
        </w:rPr>
        <w:t>.</w:t>
      </w:r>
      <w:r>
        <w:rPr>
          <w:noProof/>
          <w:lang w:eastAsia="fr-BE"/>
        </w:rPr>
        <w:t xml:space="preserve"> Moreover</w:t>
      </w:r>
      <w:r w:rsidR="0066145C">
        <w:rPr>
          <w:noProof/>
          <w:lang w:eastAsia="fr-BE"/>
        </w:rPr>
        <w:t>,</w:t>
      </w:r>
      <w:r>
        <w:rPr>
          <w:noProof/>
          <w:lang w:eastAsia="fr-BE"/>
        </w:rPr>
        <w:t xml:space="preserve"> the due diligence obligation will apply to them only </w:t>
      </w:r>
      <w:r w:rsidR="00E628BE">
        <w:rPr>
          <w:noProof/>
          <w:lang w:eastAsia="fr-BE"/>
        </w:rPr>
        <w:t>2</w:t>
      </w:r>
      <w:r>
        <w:rPr>
          <w:noProof/>
          <w:lang w:eastAsia="fr-BE"/>
        </w:rPr>
        <w:t xml:space="preserve"> years after the </w:t>
      </w:r>
      <w:r w:rsidR="00387041">
        <w:rPr>
          <w:noProof/>
          <w:lang w:eastAsia="fr-BE"/>
        </w:rPr>
        <w:t>end</w:t>
      </w:r>
      <w:r>
        <w:rPr>
          <w:noProof/>
          <w:lang w:eastAsia="fr-BE"/>
        </w:rPr>
        <w:t xml:space="preserve"> of </w:t>
      </w:r>
      <w:r w:rsidR="00387041">
        <w:rPr>
          <w:noProof/>
          <w:lang w:eastAsia="fr-BE"/>
        </w:rPr>
        <w:t>the transposition period for</w:t>
      </w:r>
      <w:r>
        <w:rPr>
          <w:noProof/>
          <w:lang w:eastAsia="fr-BE"/>
        </w:rPr>
        <w:t xml:space="preserve"> this Directive </w:t>
      </w:r>
      <w:r w:rsidRPr="4DE26774">
        <w:rPr>
          <w:rFonts w:eastAsiaTheme="minorEastAsia"/>
          <w:noProof/>
          <w:lang w:val="en-AU"/>
        </w:rPr>
        <w:t>allowing to establish</w:t>
      </w:r>
      <w:r w:rsidR="00DF2291">
        <w:rPr>
          <w:rFonts w:eastAsiaTheme="minorEastAsia"/>
          <w:noProof/>
          <w:lang w:val="en-AU"/>
        </w:rPr>
        <w:t xml:space="preserve"> </w:t>
      </w:r>
      <w:r w:rsidRPr="4DE26774">
        <w:rPr>
          <w:rFonts w:eastAsiaTheme="minorEastAsia"/>
          <w:noProof/>
          <w:lang w:val="en-AU"/>
        </w:rPr>
        <w:t xml:space="preserve">the necessary processes and procedures and benefit from </w:t>
      </w:r>
      <w:r w:rsidRPr="00655503">
        <w:rPr>
          <w:rFonts w:eastAsiaTheme="minorEastAsia"/>
          <w:noProof/>
          <w:lang w:val="en-AU"/>
        </w:rPr>
        <w:t>industry cooperation, technological developments, standards, etc</w:t>
      </w:r>
      <w:r w:rsidRPr="00337409">
        <w:rPr>
          <w:rFonts w:eastAsiaTheme="minorEastAsia"/>
          <w:noProof/>
          <w:lang w:val="en-AU"/>
        </w:rPr>
        <w:t>. that are likely to be prompted by the earlier implementation date for larger companies.</w:t>
      </w:r>
      <w:r w:rsidR="00CA74B6" w:rsidRPr="00CA74B6">
        <w:rPr>
          <w:noProof/>
          <w:lang w:eastAsia="fr-BE"/>
        </w:rPr>
        <w:t xml:space="preserve"> </w:t>
      </w:r>
    </w:p>
    <w:p w14:paraId="01416D71" w14:textId="37E84098" w:rsidR="00A34AE7" w:rsidRDefault="00A34AE7" w:rsidP="00A34AE7">
      <w:pPr>
        <w:rPr>
          <w:noProof/>
          <w:lang w:eastAsia="fr-BE"/>
        </w:rPr>
      </w:pPr>
      <w:r>
        <w:rPr>
          <w:noProof/>
          <w:lang w:eastAsia="fr-BE"/>
        </w:rPr>
        <w:t>To the extent that this Directive also covers third</w:t>
      </w:r>
      <w:r w:rsidR="0037086D">
        <w:rPr>
          <w:noProof/>
          <w:lang w:eastAsia="fr-BE"/>
        </w:rPr>
        <w:t>-</w:t>
      </w:r>
      <w:r>
        <w:rPr>
          <w:noProof/>
          <w:lang w:eastAsia="fr-BE"/>
        </w:rPr>
        <w:t>country companies, the criteria used for defining the scope of EU and non-EU companies covered are not the same</w:t>
      </w:r>
      <w:r w:rsidR="00E667BA" w:rsidRPr="00E667BA">
        <w:rPr>
          <w:noProof/>
          <w:lang w:eastAsia="fr-BE"/>
        </w:rPr>
        <w:t xml:space="preserve">, but ensure that third country companies are </w:t>
      </w:r>
      <w:r w:rsidR="00E667BA" w:rsidRPr="00E667BA" w:rsidDel="0067204F">
        <w:rPr>
          <w:noProof/>
          <w:lang w:eastAsia="fr-BE"/>
        </w:rPr>
        <w:t>not more</w:t>
      </w:r>
      <w:r w:rsidR="00E667BA" w:rsidRPr="00E667BA">
        <w:rPr>
          <w:noProof/>
          <w:lang w:eastAsia="fr-BE"/>
        </w:rPr>
        <w:t xml:space="preserve"> likely to fall within the scope.</w:t>
      </w:r>
      <w:r>
        <w:rPr>
          <w:noProof/>
          <w:lang w:eastAsia="fr-BE"/>
        </w:rPr>
        <w:t xml:space="preserve"> </w:t>
      </w:r>
      <w:r w:rsidR="00E667BA">
        <w:rPr>
          <w:noProof/>
          <w:lang w:eastAsia="fr-BE"/>
        </w:rPr>
        <w:t>F</w:t>
      </w:r>
      <w:r>
        <w:rPr>
          <w:noProof/>
          <w:lang w:eastAsia="fr-BE"/>
        </w:rPr>
        <w:t xml:space="preserve">or </w:t>
      </w:r>
      <w:r w:rsidR="00E667BA">
        <w:rPr>
          <w:noProof/>
          <w:lang w:eastAsia="fr-BE"/>
        </w:rPr>
        <w:t>them</w:t>
      </w:r>
      <w:r>
        <w:rPr>
          <w:noProof/>
          <w:lang w:eastAsia="fr-BE"/>
        </w:rPr>
        <w:t xml:space="preserve">, a net turnover threshold is used (EUR 150 million for group 1 and EUR 40 million for group 2), but all of this turnover needs to be generated in the </w:t>
      </w:r>
      <w:r w:rsidR="007A4406">
        <w:rPr>
          <w:noProof/>
          <w:lang w:eastAsia="fr-BE"/>
        </w:rPr>
        <w:t>Union</w:t>
      </w:r>
      <w:r>
        <w:rPr>
          <w:noProof/>
          <w:lang w:eastAsia="fr-BE"/>
        </w:rPr>
        <w:t>. EU companies, in turn, have to have a net turnover of EUR 150 million generated worldwide and have to fulfil an employee criterion as well (above 500 employees in group 1 and above 250 employees in group 2). Such difference in the criteria used is justified for the following reasons:</w:t>
      </w:r>
    </w:p>
    <w:p w14:paraId="46104A96" w14:textId="59B2343D" w:rsidR="00A34AE7" w:rsidRDefault="00952112" w:rsidP="00AE53B6">
      <w:pPr>
        <w:pStyle w:val="Tiret0"/>
        <w:numPr>
          <w:ilvl w:val="0"/>
          <w:numId w:val="27"/>
        </w:numPr>
        <w:rPr>
          <w:noProof/>
          <w:lang w:eastAsia="fr-BE"/>
        </w:rPr>
      </w:pPr>
      <w:r>
        <w:rPr>
          <w:noProof/>
          <w:lang w:eastAsia="fr-BE"/>
        </w:rPr>
        <w:t>The</w:t>
      </w:r>
      <w:r w:rsidR="00A34AE7">
        <w:rPr>
          <w:noProof/>
          <w:lang w:eastAsia="fr-BE"/>
        </w:rPr>
        <w:t xml:space="preserve"> EU turnover criterion for third</w:t>
      </w:r>
      <w:r w:rsidR="0037086D">
        <w:rPr>
          <w:noProof/>
          <w:lang w:eastAsia="fr-BE"/>
        </w:rPr>
        <w:t>-</w:t>
      </w:r>
      <w:r w:rsidR="00A34AE7">
        <w:rPr>
          <w:noProof/>
          <w:lang w:eastAsia="fr-BE"/>
        </w:rPr>
        <w:t xml:space="preserve">country companies creates a link to the EU. Including only turnover generated in the </w:t>
      </w:r>
      <w:r w:rsidR="006A6DEF">
        <w:rPr>
          <w:noProof/>
          <w:lang w:eastAsia="fr-BE"/>
        </w:rPr>
        <w:t xml:space="preserve">Union </w:t>
      </w:r>
      <w:r w:rsidR="00A34AE7">
        <w:rPr>
          <w:noProof/>
          <w:lang w:eastAsia="fr-BE"/>
        </w:rPr>
        <w:t xml:space="preserve">is justified since such a threshold, appropriately calibrated, creates a territorial connection between the third-country companies and the </w:t>
      </w:r>
      <w:r w:rsidR="006A6DEF">
        <w:rPr>
          <w:noProof/>
          <w:lang w:eastAsia="fr-BE"/>
        </w:rPr>
        <w:t xml:space="preserve">Union </w:t>
      </w:r>
      <w:r w:rsidR="00A34AE7">
        <w:rPr>
          <w:noProof/>
          <w:lang w:eastAsia="fr-BE"/>
        </w:rPr>
        <w:t xml:space="preserve">by the effects that the activities of these companies may have on the EU internal market, which is sufficient for </w:t>
      </w:r>
      <w:r w:rsidR="009D4EBE">
        <w:rPr>
          <w:noProof/>
          <w:lang w:eastAsia="fr-BE"/>
        </w:rPr>
        <w:t xml:space="preserve">the Union </w:t>
      </w:r>
      <w:r w:rsidR="00A34AE7">
        <w:rPr>
          <w:noProof/>
          <w:lang w:eastAsia="fr-BE"/>
        </w:rPr>
        <w:t>law to apply to third</w:t>
      </w:r>
      <w:r w:rsidR="0037086D">
        <w:rPr>
          <w:noProof/>
          <w:lang w:eastAsia="fr-BE"/>
        </w:rPr>
        <w:t>-</w:t>
      </w:r>
      <w:r w:rsidR="00A34AE7">
        <w:rPr>
          <w:noProof/>
          <w:lang w:eastAsia="fr-BE"/>
        </w:rPr>
        <w:t>country companies.</w:t>
      </w:r>
    </w:p>
    <w:p w14:paraId="7A0A41B8" w14:textId="77777777" w:rsidR="00A34AE7" w:rsidRDefault="00A34AE7" w:rsidP="00A3434D">
      <w:pPr>
        <w:pStyle w:val="Tiret0"/>
        <w:rPr>
          <w:noProof/>
          <w:lang w:eastAsia="fr-BE"/>
        </w:rPr>
      </w:pPr>
      <w:r>
        <w:rPr>
          <w:noProof/>
          <w:lang w:eastAsia="fr-BE"/>
        </w:rPr>
        <w:t>Also, the Country-by-Country Reporting Directive – an amendment to the Accounting Directive – has already established the methods for calculating net turnover for non-EU companies, while such methodology does not exist for calculating the number of employees of third-country companies. The experience with the French law regulating due diligence shows that, in the absence of a common definition of an employee</w:t>
      </w:r>
      <w:r w:rsidR="003C0FAB">
        <w:rPr>
          <w:rStyle w:val="Allmrkuseviide"/>
          <w:noProof/>
          <w:lang w:eastAsia="fr-BE"/>
        </w:rPr>
        <w:footnoteReference w:id="62"/>
      </w:r>
      <w:r>
        <w:rPr>
          <w:noProof/>
          <w:lang w:eastAsia="fr-BE"/>
        </w:rPr>
        <w:t>, the number of employees (worldwide) is difficult to calculate, which hinders the identification of which third-country companies are covered by the scope, preventing effective enforcement of the rules.</w:t>
      </w:r>
    </w:p>
    <w:p w14:paraId="5FE7A248" w14:textId="66C03E1A" w:rsidR="00A34AE7" w:rsidRPr="00CA74B6" w:rsidRDefault="00A34AE7" w:rsidP="00A3434D">
      <w:pPr>
        <w:pStyle w:val="Tiret0"/>
        <w:rPr>
          <w:noProof/>
          <w:lang w:eastAsia="fr-BE"/>
        </w:rPr>
      </w:pPr>
      <w:r w:rsidRPr="00CA74B6">
        <w:rPr>
          <w:noProof/>
          <w:lang w:eastAsia="fr-BE"/>
        </w:rPr>
        <w:t xml:space="preserve">Using both employee and turnover criteria for EU companies would ensure better alignment with the </w:t>
      </w:r>
      <w:r w:rsidR="00CA74B6">
        <w:rPr>
          <w:noProof/>
          <w:lang w:eastAsia="fr-BE"/>
        </w:rPr>
        <w:t xml:space="preserve">proposal for a </w:t>
      </w:r>
      <w:r w:rsidRPr="00CA74B6">
        <w:rPr>
          <w:noProof/>
          <w:lang w:eastAsia="fr-BE"/>
        </w:rPr>
        <w:t xml:space="preserve">Corporate Sustainability reporting Directive which </w:t>
      </w:r>
      <w:r w:rsidR="009D4EBE">
        <w:rPr>
          <w:noProof/>
          <w:lang w:eastAsia="fr-BE"/>
        </w:rPr>
        <w:t>should be</w:t>
      </w:r>
      <w:r w:rsidR="009D4EBE" w:rsidRPr="00CA74B6">
        <w:rPr>
          <w:noProof/>
          <w:lang w:eastAsia="fr-BE"/>
        </w:rPr>
        <w:t xml:space="preserve"> </w:t>
      </w:r>
      <w:r w:rsidRPr="00CA74B6">
        <w:rPr>
          <w:noProof/>
          <w:lang w:eastAsia="fr-BE"/>
        </w:rPr>
        <w:t xml:space="preserve">used for the reporting of due diligence measures and policy for EU companies. </w:t>
      </w:r>
    </w:p>
    <w:p w14:paraId="54497B4C" w14:textId="77777777" w:rsidR="00A34AE7" w:rsidRDefault="00A34AE7" w:rsidP="00A3434D">
      <w:pPr>
        <w:pStyle w:val="Tiret0"/>
        <w:rPr>
          <w:noProof/>
          <w:lang w:eastAsia="fr-BE"/>
        </w:rPr>
      </w:pPr>
      <w:r>
        <w:rPr>
          <w:noProof/>
          <w:lang w:eastAsia="fr-BE"/>
        </w:rPr>
        <w:t>While the Directive will cover about 13</w:t>
      </w:r>
      <w:r w:rsidR="00A3434D">
        <w:rPr>
          <w:noProof/>
          <w:lang w:eastAsia="fr-BE"/>
        </w:rPr>
        <w:t> </w:t>
      </w:r>
      <w:r>
        <w:rPr>
          <w:noProof/>
          <w:lang w:eastAsia="fr-BE"/>
        </w:rPr>
        <w:t>000 EU companies</w:t>
      </w:r>
      <w:r w:rsidR="00A34BB6">
        <w:rPr>
          <w:rStyle w:val="Allmrkuseviide"/>
          <w:noProof/>
          <w:lang w:eastAsia="fr-BE"/>
        </w:rPr>
        <w:footnoteReference w:id="63"/>
      </w:r>
      <w:r>
        <w:rPr>
          <w:noProof/>
          <w:lang w:eastAsia="fr-BE"/>
        </w:rPr>
        <w:t>, based on the estimations of the Commission, it will only cover about 4</w:t>
      </w:r>
      <w:r w:rsidR="00A3434D">
        <w:rPr>
          <w:noProof/>
          <w:lang w:eastAsia="fr-BE"/>
        </w:rPr>
        <w:t> </w:t>
      </w:r>
      <w:r>
        <w:rPr>
          <w:noProof/>
          <w:lang w:eastAsia="fr-BE"/>
        </w:rPr>
        <w:t>000 third-country companies</w:t>
      </w:r>
      <w:r w:rsidR="00A34BB6">
        <w:rPr>
          <w:rStyle w:val="Allmrkuseviide"/>
          <w:noProof/>
          <w:lang w:eastAsia="fr-BE"/>
        </w:rPr>
        <w:footnoteReference w:id="64"/>
      </w:r>
      <w:r>
        <w:rPr>
          <w:noProof/>
          <w:lang w:eastAsia="fr-BE"/>
        </w:rPr>
        <w:t>. The fact that EU companies will only be covered if they also reach the minimum limit on the number of employees is very unlikely to change the conditions of competition in the EU internal market: the two size criteria applicable to EU companies, even if cumulative, will result in still covering relatively smaller companies compared to non-EU companies due to the fact that, in their case, the entire worldwide net turnover of the company is to be taken into account.</w:t>
      </w:r>
    </w:p>
    <w:p w14:paraId="3C7DA248" w14:textId="76409A8A" w:rsidR="00A34AE7" w:rsidRDefault="00A34AE7" w:rsidP="00A34AE7">
      <w:pPr>
        <w:rPr>
          <w:noProof/>
          <w:lang w:eastAsia="fr-BE"/>
        </w:rPr>
      </w:pPr>
      <w:r>
        <w:rPr>
          <w:noProof/>
          <w:lang w:eastAsia="fr-BE"/>
        </w:rPr>
        <w:tab/>
        <w:t xml:space="preserve">Finally, large third-country companies having a high turnover in the </w:t>
      </w:r>
      <w:r w:rsidR="006A6DEF">
        <w:rPr>
          <w:noProof/>
          <w:lang w:eastAsia="fr-BE"/>
        </w:rPr>
        <w:t xml:space="preserve">Union </w:t>
      </w:r>
      <w:r>
        <w:rPr>
          <w:noProof/>
          <w:lang w:eastAsia="fr-BE"/>
        </w:rPr>
        <w:t>have the capacity to implement due diligence and will benefit from the advantages coming with due diligence also in their operations elsewhere. In all other aspect</w:t>
      </w:r>
      <w:r w:rsidR="00E667BA">
        <w:rPr>
          <w:noProof/>
          <w:lang w:eastAsia="fr-BE"/>
        </w:rPr>
        <w:t>s</w:t>
      </w:r>
      <w:r>
        <w:rPr>
          <w:noProof/>
          <w:lang w:eastAsia="fr-BE"/>
        </w:rPr>
        <w:t>, third-country companies are covered by the due diligence rules the same way as their EU counterparts (for example as regards the regime applicable to companies operating in h</w:t>
      </w:r>
      <w:r w:rsidR="00F400EB">
        <w:rPr>
          <w:noProof/>
          <w:lang w:eastAsia="fr-BE"/>
        </w:rPr>
        <w:t>igh</w:t>
      </w:r>
      <w:r w:rsidR="005D7AA4">
        <w:rPr>
          <w:noProof/>
          <w:lang w:eastAsia="fr-BE"/>
        </w:rPr>
        <w:t>-</w:t>
      </w:r>
      <w:r w:rsidR="00F400EB">
        <w:rPr>
          <w:noProof/>
          <w:lang w:eastAsia="fr-BE"/>
        </w:rPr>
        <w:t xml:space="preserve">impact sectors and </w:t>
      </w:r>
      <w:r>
        <w:rPr>
          <w:noProof/>
          <w:lang w:eastAsia="fr-BE"/>
        </w:rPr>
        <w:t>identical phase in period for those companies). The harmonisation of the duties of directors is limited to EU companies only, thus third</w:t>
      </w:r>
      <w:r w:rsidR="0037086D">
        <w:rPr>
          <w:noProof/>
          <w:lang w:eastAsia="fr-BE"/>
        </w:rPr>
        <w:t>-</w:t>
      </w:r>
      <w:r>
        <w:rPr>
          <w:noProof/>
          <w:lang w:eastAsia="fr-BE"/>
        </w:rPr>
        <w:t xml:space="preserve">country companies will have more restricted obligations.   </w:t>
      </w:r>
    </w:p>
    <w:p w14:paraId="3AC77B99" w14:textId="1AA22E0C" w:rsidR="00C025E3" w:rsidRDefault="00C025E3" w:rsidP="00194519">
      <w:pPr>
        <w:rPr>
          <w:noProof/>
          <w:lang w:eastAsia="fr-BE"/>
        </w:rPr>
      </w:pPr>
      <w:r w:rsidRPr="00BE28D4">
        <w:rPr>
          <w:noProof/>
        </w:rPr>
        <w:t xml:space="preserve">The </w:t>
      </w:r>
      <w:r>
        <w:rPr>
          <w:noProof/>
        </w:rPr>
        <w:t>“</w:t>
      </w:r>
      <w:r w:rsidRPr="0018114B">
        <w:rPr>
          <w:noProof/>
        </w:rPr>
        <w:t>material scope</w:t>
      </w:r>
      <w:r>
        <w:rPr>
          <w:noProof/>
        </w:rPr>
        <w:t>”</w:t>
      </w:r>
      <w:r w:rsidRPr="0018114B">
        <w:rPr>
          <w:noProof/>
        </w:rPr>
        <w:t xml:space="preserve"> </w:t>
      </w:r>
      <w:r>
        <w:rPr>
          <w:noProof/>
        </w:rPr>
        <w:t xml:space="preserve">is </w:t>
      </w:r>
      <w:r w:rsidR="00194519">
        <w:rPr>
          <w:noProof/>
        </w:rPr>
        <w:t xml:space="preserve">focused and </w:t>
      </w:r>
      <w:r>
        <w:rPr>
          <w:noProof/>
        </w:rPr>
        <w:t xml:space="preserve">structured </w:t>
      </w:r>
      <w:r w:rsidRPr="00D87DBA">
        <w:rPr>
          <w:noProof/>
        </w:rPr>
        <w:t>mainly</w:t>
      </w:r>
      <w:r>
        <w:rPr>
          <w:b/>
          <w:bCs/>
          <w:noProof/>
        </w:rPr>
        <w:t xml:space="preserve"> </w:t>
      </w:r>
      <w:r>
        <w:rPr>
          <w:noProof/>
        </w:rPr>
        <w:t xml:space="preserve">upon </w:t>
      </w:r>
      <w:r w:rsidRPr="00194519">
        <w:rPr>
          <w:noProof/>
        </w:rPr>
        <w:t xml:space="preserve">the </w:t>
      </w:r>
      <w:r w:rsidRPr="00D07262">
        <w:rPr>
          <w:bCs/>
          <w:noProof/>
        </w:rPr>
        <w:t xml:space="preserve">corporate due diligence obligation </w:t>
      </w:r>
      <w:r w:rsidR="00194519" w:rsidRPr="00D07262">
        <w:rPr>
          <w:bCs/>
          <w:noProof/>
        </w:rPr>
        <w:t xml:space="preserve">and </w:t>
      </w:r>
      <w:r w:rsidR="00194519" w:rsidRPr="00194519">
        <w:rPr>
          <w:rFonts w:eastAsiaTheme="minorEastAsia"/>
          <w:noProof/>
          <w:lang w:val="en-AU"/>
        </w:rPr>
        <w:t xml:space="preserve">covers human rights and those environmental adverse impacts that can be clearly </w:t>
      </w:r>
      <w:r w:rsidR="00194519" w:rsidRPr="00D07262">
        <w:rPr>
          <w:rFonts w:eastAsiaTheme="minorEastAsia"/>
          <w:noProof/>
          <w:lang w:val="en-AU"/>
        </w:rPr>
        <w:t>defined in selected international conventions</w:t>
      </w:r>
      <w:r w:rsidRPr="00D07262">
        <w:rPr>
          <w:bCs/>
          <w:noProof/>
        </w:rPr>
        <w:t>.</w:t>
      </w:r>
      <w:r w:rsidR="00E804A0">
        <w:rPr>
          <w:bCs/>
          <w:noProof/>
        </w:rPr>
        <w:t xml:space="preserve"> </w:t>
      </w:r>
      <w:r w:rsidR="00CA74B6">
        <w:rPr>
          <w:bCs/>
          <w:noProof/>
        </w:rPr>
        <w:t>D</w:t>
      </w:r>
      <w:r>
        <w:rPr>
          <w:noProof/>
          <w:lang w:eastAsia="fr-BE"/>
        </w:rPr>
        <w:t xml:space="preserve">irectors’ duties </w:t>
      </w:r>
      <w:r w:rsidR="00E804A0">
        <w:rPr>
          <w:noProof/>
          <w:lang w:eastAsia="fr-BE"/>
        </w:rPr>
        <w:t>proposed ensure</w:t>
      </w:r>
      <w:r w:rsidR="00CA74B6">
        <w:rPr>
          <w:noProof/>
          <w:lang w:eastAsia="fr-BE"/>
        </w:rPr>
        <w:t xml:space="preserve"> a</w:t>
      </w:r>
      <w:r w:rsidR="00E804A0">
        <w:rPr>
          <w:noProof/>
          <w:lang w:eastAsia="fr-BE"/>
        </w:rPr>
        <w:t xml:space="preserve"> </w:t>
      </w:r>
      <w:r>
        <w:rPr>
          <w:noProof/>
          <w:lang w:eastAsia="fr-BE"/>
        </w:rPr>
        <w:t xml:space="preserve">close link with the due diligence obligations and </w:t>
      </w:r>
      <w:r w:rsidR="00E804A0">
        <w:rPr>
          <w:noProof/>
          <w:lang w:eastAsia="fr-BE"/>
        </w:rPr>
        <w:t xml:space="preserve">are thus </w:t>
      </w:r>
      <w:r>
        <w:rPr>
          <w:noProof/>
          <w:lang w:eastAsia="fr-BE"/>
        </w:rPr>
        <w:t>necessary for th</w:t>
      </w:r>
      <w:r w:rsidR="00194519">
        <w:rPr>
          <w:noProof/>
          <w:lang w:eastAsia="fr-BE"/>
        </w:rPr>
        <w:t>e due diligence to be effective</w:t>
      </w:r>
      <w:r w:rsidR="00E804A0">
        <w:rPr>
          <w:noProof/>
          <w:lang w:eastAsia="fr-BE"/>
        </w:rPr>
        <w:t xml:space="preserve">. </w:t>
      </w:r>
      <w:r w:rsidR="00CA74B6">
        <w:rPr>
          <w:noProof/>
          <w:lang w:eastAsia="fr-BE"/>
        </w:rPr>
        <w:t>Directors’</w:t>
      </w:r>
      <w:r w:rsidR="00E804A0">
        <w:rPr>
          <w:noProof/>
          <w:lang w:eastAsia="fr-BE"/>
        </w:rPr>
        <w:t xml:space="preserve"> duties</w:t>
      </w:r>
      <w:r>
        <w:rPr>
          <w:noProof/>
          <w:lang w:eastAsia="fr-BE"/>
        </w:rPr>
        <w:t xml:space="preserve"> also include the clarification of how directors are expected to comply with the duty of care to act in the best interest of the company. </w:t>
      </w:r>
    </w:p>
    <w:p w14:paraId="11DD7573" w14:textId="15C39FEA" w:rsidR="001859C1" w:rsidRPr="003D4463" w:rsidRDefault="001859C1">
      <w:pPr>
        <w:rPr>
          <w:noProof/>
          <w:lang w:eastAsia="fr-BE"/>
        </w:rPr>
      </w:pPr>
      <w:r w:rsidRPr="00A2094A">
        <w:rPr>
          <w:noProof/>
          <w:lang w:eastAsia="fr-BE"/>
        </w:rPr>
        <w:t>Effective enfor</w:t>
      </w:r>
      <w:r w:rsidRPr="00846A1C">
        <w:rPr>
          <w:noProof/>
          <w:lang w:eastAsia="fr-BE"/>
        </w:rPr>
        <w:t>cement of the due diligence duty is key to achieving the objectives of th</w:t>
      </w:r>
      <w:r>
        <w:rPr>
          <w:noProof/>
          <w:lang w:eastAsia="fr-BE"/>
        </w:rPr>
        <w:t>e</w:t>
      </w:r>
      <w:r w:rsidRPr="00846A1C">
        <w:rPr>
          <w:noProof/>
          <w:lang w:eastAsia="fr-BE"/>
        </w:rPr>
        <w:t xml:space="preserve"> initiative.</w:t>
      </w:r>
      <w:r>
        <w:rPr>
          <w:noProof/>
          <w:lang w:eastAsia="fr-BE"/>
        </w:rPr>
        <w:t xml:space="preserve"> </w:t>
      </w:r>
      <w:r w:rsidR="00A915E4">
        <w:rPr>
          <w:noProof/>
          <w:lang w:eastAsia="fr-BE"/>
        </w:rPr>
        <w:t>T</w:t>
      </w:r>
      <w:r w:rsidR="00A915E4" w:rsidRPr="00A2094A">
        <w:rPr>
          <w:noProof/>
          <w:lang w:eastAsia="fr-BE"/>
        </w:rPr>
        <w:t>h</w:t>
      </w:r>
      <w:r w:rsidR="00A915E4">
        <w:rPr>
          <w:noProof/>
          <w:lang w:eastAsia="fr-BE"/>
        </w:rPr>
        <w:t>is</w:t>
      </w:r>
      <w:r w:rsidRPr="00A2094A">
        <w:rPr>
          <w:noProof/>
          <w:lang w:eastAsia="fr-BE"/>
        </w:rPr>
        <w:t xml:space="preserve"> </w:t>
      </w:r>
      <w:r>
        <w:rPr>
          <w:noProof/>
          <w:lang w:eastAsia="fr-BE"/>
        </w:rPr>
        <w:t>Directive will provide for a combination of sanctions and civil liability.</w:t>
      </w:r>
    </w:p>
    <w:p w14:paraId="77EF8096" w14:textId="3B43B4B2" w:rsidR="00CA74B6" w:rsidRPr="004F31C7" w:rsidRDefault="001859C1" w:rsidP="004F31C7">
      <w:pPr>
        <w:rPr>
          <w:noProof/>
        </w:rPr>
      </w:pPr>
      <w:r w:rsidRPr="004F31C7">
        <w:rPr>
          <w:noProof/>
        </w:rPr>
        <w:t>As regards private enforcement through civil liability</w:t>
      </w:r>
      <w:r w:rsidR="00E667BA">
        <w:rPr>
          <w:noProof/>
        </w:rPr>
        <w:t>, a</w:t>
      </w:r>
      <w:r w:rsidRPr="004F31C7">
        <w:rPr>
          <w:noProof/>
        </w:rPr>
        <w:t xml:space="preserve"> </w:t>
      </w:r>
      <w:r w:rsidR="00A20F11" w:rsidRPr="004F31C7">
        <w:rPr>
          <w:noProof/>
        </w:rPr>
        <w:t xml:space="preserve">different approach is used </w:t>
      </w:r>
      <w:r w:rsidR="00335C62">
        <w:rPr>
          <w:noProof/>
        </w:rPr>
        <w:t>regarding</w:t>
      </w:r>
      <w:r w:rsidR="00335C62" w:rsidRPr="004F31C7">
        <w:rPr>
          <w:noProof/>
        </w:rPr>
        <w:t xml:space="preserve"> </w:t>
      </w:r>
      <w:r w:rsidR="0067204F">
        <w:rPr>
          <w:noProof/>
        </w:rPr>
        <w:t xml:space="preserve">the </w:t>
      </w:r>
      <w:r w:rsidR="0001708F" w:rsidRPr="004F31C7">
        <w:rPr>
          <w:noProof/>
        </w:rPr>
        <w:t>company`s</w:t>
      </w:r>
      <w:r w:rsidR="00A20F11" w:rsidRPr="004F31C7">
        <w:rPr>
          <w:noProof/>
        </w:rPr>
        <w:t xml:space="preserve"> own operation</w:t>
      </w:r>
      <w:r w:rsidR="00E667BA">
        <w:rPr>
          <w:noProof/>
        </w:rPr>
        <w:t>s</w:t>
      </w:r>
      <w:r w:rsidR="00A20F11" w:rsidRPr="004F31C7">
        <w:rPr>
          <w:noProof/>
        </w:rPr>
        <w:t xml:space="preserve"> and its subsidiaries</w:t>
      </w:r>
      <w:r w:rsidR="00335C62">
        <w:rPr>
          <w:noProof/>
        </w:rPr>
        <w:t xml:space="preserve"> on the one hand</w:t>
      </w:r>
      <w:r w:rsidR="00A20F11" w:rsidRPr="004F31C7">
        <w:rPr>
          <w:noProof/>
        </w:rPr>
        <w:t xml:space="preserve"> and </w:t>
      </w:r>
      <w:r w:rsidR="00335C62">
        <w:rPr>
          <w:noProof/>
        </w:rPr>
        <w:t>regarding</w:t>
      </w:r>
      <w:r w:rsidR="00A20F11" w:rsidRPr="004F31C7">
        <w:rPr>
          <w:noProof/>
        </w:rPr>
        <w:t xml:space="preserve"> business relations</w:t>
      </w:r>
      <w:r w:rsidR="00335C62">
        <w:rPr>
          <w:noProof/>
        </w:rPr>
        <w:t xml:space="preserve"> on the other hand</w:t>
      </w:r>
      <w:r w:rsidR="00A20F11" w:rsidRPr="004F31C7">
        <w:rPr>
          <w:noProof/>
        </w:rPr>
        <w:t xml:space="preserve">. In </w:t>
      </w:r>
      <w:r w:rsidR="00433759" w:rsidRPr="004F31C7">
        <w:rPr>
          <w:noProof/>
        </w:rPr>
        <w:t>particular</w:t>
      </w:r>
      <w:r w:rsidR="00A20F11" w:rsidRPr="004F31C7">
        <w:rPr>
          <w:noProof/>
        </w:rPr>
        <w:t xml:space="preserve">, </w:t>
      </w:r>
      <w:r w:rsidR="00335C62">
        <w:rPr>
          <w:noProof/>
        </w:rPr>
        <w:t>civil liability</w:t>
      </w:r>
      <w:r w:rsidR="00335C62" w:rsidRPr="004F31C7">
        <w:rPr>
          <w:noProof/>
        </w:rPr>
        <w:t xml:space="preserve"> </w:t>
      </w:r>
      <w:r w:rsidRPr="004F31C7">
        <w:rPr>
          <w:noProof/>
        </w:rPr>
        <w:t xml:space="preserve">concerns only established business relationships with which a company </w:t>
      </w:r>
      <w:r w:rsidR="003D40EA" w:rsidRPr="004F31C7">
        <w:rPr>
          <w:noProof/>
        </w:rPr>
        <w:t xml:space="preserve">expects to </w:t>
      </w:r>
      <w:r w:rsidR="0057530B" w:rsidRPr="004F31C7">
        <w:rPr>
          <w:noProof/>
        </w:rPr>
        <w:t xml:space="preserve">have </w:t>
      </w:r>
      <w:r w:rsidR="00065992">
        <w:rPr>
          <w:noProof/>
        </w:rPr>
        <w:t>a</w:t>
      </w:r>
      <w:r w:rsidR="0057530B" w:rsidRPr="004F31C7">
        <w:rPr>
          <w:noProof/>
        </w:rPr>
        <w:t xml:space="preserve"> </w:t>
      </w:r>
      <w:r w:rsidR="003D40EA" w:rsidRPr="004F31C7">
        <w:rPr>
          <w:noProof/>
        </w:rPr>
        <w:t>last</w:t>
      </w:r>
      <w:r w:rsidR="0057530B" w:rsidRPr="004F31C7">
        <w:rPr>
          <w:noProof/>
        </w:rPr>
        <w:t xml:space="preserve">ing </w:t>
      </w:r>
      <w:r w:rsidR="00CA74B6" w:rsidRPr="004F31C7">
        <w:rPr>
          <w:noProof/>
        </w:rPr>
        <w:t>relationship</w:t>
      </w:r>
      <w:r w:rsidR="003D40EA" w:rsidRPr="004F31C7">
        <w:rPr>
          <w:noProof/>
        </w:rPr>
        <w:t>, in view of its intensity or duration and which does not represent a negligible or merely ancillary part of the company`s value chain</w:t>
      </w:r>
      <w:r w:rsidR="00CA74B6" w:rsidRPr="004F31C7">
        <w:rPr>
          <w:noProof/>
        </w:rPr>
        <w:t>. T</w:t>
      </w:r>
      <w:r w:rsidR="00B94CD7" w:rsidRPr="004F31C7">
        <w:rPr>
          <w:noProof/>
        </w:rPr>
        <w:t xml:space="preserve">he company </w:t>
      </w:r>
      <w:r w:rsidR="00CA74B6" w:rsidRPr="004F31C7">
        <w:rPr>
          <w:noProof/>
        </w:rPr>
        <w:t>should not be liable for failing to prevent or cease harm at the level of indirect business relationships if it</w:t>
      </w:r>
      <w:r w:rsidR="00B94CD7" w:rsidRPr="004F31C7">
        <w:rPr>
          <w:noProof/>
        </w:rPr>
        <w:t xml:space="preserve"> use</w:t>
      </w:r>
      <w:r w:rsidR="00CA74B6" w:rsidRPr="004F31C7">
        <w:rPr>
          <w:noProof/>
        </w:rPr>
        <w:t>d</w:t>
      </w:r>
      <w:r w:rsidR="00B94CD7" w:rsidRPr="004F31C7">
        <w:rPr>
          <w:noProof/>
        </w:rPr>
        <w:t xml:space="preserve"> contractual </w:t>
      </w:r>
      <w:r w:rsidR="00CA74B6" w:rsidRPr="004F31C7">
        <w:rPr>
          <w:noProof/>
        </w:rPr>
        <w:t xml:space="preserve">cascading and </w:t>
      </w:r>
      <w:r w:rsidR="00B94CD7" w:rsidRPr="004F31C7">
        <w:rPr>
          <w:noProof/>
        </w:rPr>
        <w:t xml:space="preserve">assurance </w:t>
      </w:r>
      <w:r w:rsidR="007E0AAA">
        <w:rPr>
          <w:noProof/>
        </w:rPr>
        <w:t>and put in place</w:t>
      </w:r>
      <w:r w:rsidR="00B94CD7" w:rsidRPr="004F31C7">
        <w:rPr>
          <w:noProof/>
        </w:rPr>
        <w:t xml:space="preserve"> measures to verify compliance with it, unless</w:t>
      </w:r>
      <w:r w:rsidR="00147D14" w:rsidRPr="004F31C7">
        <w:rPr>
          <w:noProof/>
        </w:rPr>
        <w:t xml:space="preserve"> it was unreasonable, in the circumstances of the case, to expect that the action actually taken, including as regards verifying compliance, would be adequate to prevent, </w:t>
      </w:r>
      <w:r w:rsidR="00335C62">
        <w:rPr>
          <w:noProof/>
        </w:rPr>
        <w:t>mitigate</w:t>
      </w:r>
      <w:r w:rsidR="00147D14" w:rsidRPr="004F31C7">
        <w:rPr>
          <w:noProof/>
        </w:rPr>
        <w:t xml:space="preserve">, bring to an end or </w:t>
      </w:r>
      <w:r w:rsidR="00335C62">
        <w:rPr>
          <w:noProof/>
        </w:rPr>
        <w:t>minimise the extent of</w:t>
      </w:r>
      <w:r w:rsidR="00335C62" w:rsidRPr="004F31C7">
        <w:rPr>
          <w:noProof/>
        </w:rPr>
        <w:t xml:space="preserve"> </w:t>
      </w:r>
      <w:r w:rsidR="00147D14" w:rsidRPr="004F31C7">
        <w:rPr>
          <w:noProof/>
        </w:rPr>
        <w:t>the adverse impact.</w:t>
      </w:r>
      <w:r w:rsidR="00B94CD7" w:rsidRPr="004F31C7">
        <w:rPr>
          <w:noProof/>
        </w:rPr>
        <w:t xml:space="preserve"> </w:t>
      </w:r>
      <w:r w:rsidR="00CA74B6" w:rsidRPr="004F31C7">
        <w:rPr>
          <w:noProof/>
        </w:rPr>
        <w:t>In addition, in the assessment of the existence and extent of liability, due account is to be taken of the company’s efforts, insofar as they relate directly to the damage in question, to comply with any remedial action required of them by a supervisory authority, any investments made and any targeted support provided as well as any collaboration with other entities to address adverse impacts in its value chains.</w:t>
      </w:r>
    </w:p>
    <w:p w14:paraId="3A24E318" w14:textId="2C4E4378" w:rsidR="0030306A" w:rsidRDefault="0030306A">
      <w:pPr>
        <w:rPr>
          <w:noProof/>
          <w:lang w:eastAsia="fr-BE"/>
        </w:rPr>
      </w:pPr>
      <w:r>
        <w:rPr>
          <w:noProof/>
          <w:lang w:eastAsia="fr-BE"/>
        </w:rPr>
        <w:t xml:space="preserve">This approach </w:t>
      </w:r>
      <w:r w:rsidR="001855CF">
        <w:rPr>
          <w:noProof/>
          <w:lang w:eastAsia="fr-BE"/>
        </w:rPr>
        <w:t xml:space="preserve">to civil liability </w:t>
      </w:r>
      <w:r>
        <w:rPr>
          <w:noProof/>
          <w:lang w:eastAsia="fr-BE"/>
        </w:rPr>
        <w:t xml:space="preserve">will also limit the risk </w:t>
      </w:r>
      <w:r w:rsidR="001855CF">
        <w:rPr>
          <w:noProof/>
          <w:lang w:eastAsia="fr-BE"/>
        </w:rPr>
        <w:t xml:space="preserve">of </w:t>
      </w:r>
      <w:r w:rsidR="00335C62">
        <w:rPr>
          <w:noProof/>
          <w:lang w:eastAsia="fr-BE"/>
        </w:rPr>
        <w:t>excessive</w:t>
      </w:r>
      <w:r w:rsidR="001855CF">
        <w:rPr>
          <w:noProof/>
          <w:lang w:eastAsia="fr-BE"/>
        </w:rPr>
        <w:t xml:space="preserve"> litigation.</w:t>
      </w:r>
    </w:p>
    <w:p w14:paraId="3428D913" w14:textId="5870DC75" w:rsidR="001859C1" w:rsidRPr="003D4463" w:rsidRDefault="001859C1" w:rsidP="00FD7324">
      <w:pPr>
        <w:rPr>
          <w:noProof/>
        </w:rPr>
      </w:pPr>
      <w:r w:rsidRPr="00C21D7E">
        <w:rPr>
          <w:noProof/>
        </w:rPr>
        <w:t>The measures related to public enforcement of the due diligence duty do not go beyond what is necessary.</w:t>
      </w:r>
      <w:r w:rsidRPr="4DE26774">
        <w:rPr>
          <w:noProof/>
        </w:rPr>
        <w:t xml:space="preserve"> </w:t>
      </w:r>
      <w:r w:rsidR="001D20D9">
        <w:rPr>
          <w:noProof/>
        </w:rPr>
        <w:t xml:space="preserve">This Directive clarifies that any sanction imposed due to non-compliance with the due diligence obligations has to be proportionate. </w:t>
      </w:r>
      <w:r w:rsidR="00A808E6">
        <w:rPr>
          <w:noProof/>
        </w:rPr>
        <w:t>If</w:t>
      </w:r>
      <w:r w:rsidR="001D20D9">
        <w:rPr>
          <w:noProof/>
        </w:rPr>
        <w:t xml:space="preserve"> </w:t>
      </w:r>
      <w:r w:rsidR="00E57112">
        <w:rPr>
          <w:noProof/>
        </w:rPr>
        <w:t>the</w:t>
      </w:r>
      <w:r w:rsidR="001D20D9">
        <w:rPr>
          <w:noProof/>
        </w:rPr>
        <w:t xml:space="preserve"> public authorities that investigate the company’s compliance with this Directive </w:t>
      </w:r>
      <w:r w:rsidR="00E57112">
        <w:rPr>
          <w:noProof/>
        </w:rPr>
        <w:t>identify a failure to comply they should first grant the company an appropriate period of time to take remedial action.</w:t>
      </w:r>
      <w:r w:rsidR="00DF787A">
        <w:rPr>
          <w:noProof/>
        </w:rPr>
        <w:t xml:space="preserve"> </w:t>
      </w:r>
      <w:r w:rsidR="00E57112">
        <w:rPr>
          <w:noProof/>
        </w:rPr>
        <w:t xml:space="preserve">The Directive outlines </w:t>
      </w:r>
      <w:r w:rsidR="0054545D">
        <w:rPr>
          <w:noProof/>
        </w:rPr>
        <w:t>a</w:t>
      </w:r>
      <w:r w:rsidR="00E57112">
        <w:rPr>
          <w:noProof/>
        </w:rPr>
        <w:t xml:space="preserve"> </w:t>
      </w:r>
      <w:r w:rsidR="00FD0D8E">
        <w:rPr>
          <w:noProof/>
        </w:rPr>
        <w:t xml:space="preserve">limited number of sanctions that should apply in all Member States but </w:t>
      </w:r>
      <w:r w:rsidR="00576488">
        <w:rPr>
          <w:noProof/>
        </w:rPr>
        <w:t xml:space="preserve">leaves it to the Member States to ensure a proportionate enforcement process, in line with </w:t>
      </w:r>
      <w:r w:rsidR="00BD64C1">
        <w:rPr>
          <w:noProof/>
        </w:rPr>
        <w:t xml:space="preserve">their </w:t>
      </w:r>
      <w:r w:rsidR="00576488">
        <w:rPr>
          <w:noProof/>
        </w:rPr>
        <w:t>national law</w:t>
      </w:r>
      <w:r w:rsidR="00FD0D8E">
        <w:rPr>
          <w:noProof/>
        </w:rPr>
        <w:t xml:space="preserve">. </w:t>
      </w:r>
      <w:r w:rsidR="001D20D9" w:rsidRPr="001D20D9">
        <w:rPr>
          <w:noProof/>
        </w:rPr>
        <w:t>When pecuniary sanctions are imposed, they shall be based on the company’s turnover</w:t>
      </w:r>
      <w:r w:rsidR="00BD64C1">
        <w:rPr>
          <w:noProof/>
        </w:rPr>
        <w:t xml:space="preserve"> to ensure their proportionate level</w:t>
      </w:r>
      <w:r w:rsidR="001D20D9">
        <w:rPr>
          <w:noProof/>
        </w:rPr>
        <w:t>.</w:t>
      </w:r>
    </w:p>
    <w:p w14:paraId="1E1C8113" w14:textId="77777777" w:rsidR="001859C1" w:rsidRPr="00FD7324" w:rsidRDefault="001859C1" w:rsidP="00FD7324">
      <w:pPr>
        <w:rPr>
          <w:noProof/>
        </w:rPr>
      </w:pPr>
      <w:r w:rsidRPr="00D66511">
        <w:rPr>
          <w:noProof/>
          <w:lang w:eastAsia="fr-BE"/>
        </w:rPr>
        <w:t xml:space="preserve">Furthermore, this Directive does not entail unnecessary costs for the Union, national governments, regional or local authorities. The Directive will leave it up to the Member States how to organise enforcement. </w:t>
      </w:r>
      <w:r w:rsidR="000000AC">
        <w:rPr>
          <w:noProof/>
          <w:lang w:eastAsia="fr-BE"/>
        </w:rPr>
        <w:t>S</w:t>
      </w:r>
      <w:r w:rsidRPr="00D66511">
        <w:rPr>
          <w:noProof/>
          <w:lang w:eastAsia="fr-BE"/>
        </w:rPr>
        <w:t xml:space="preserve">upervision can be carried out by existing authorities. To reduce the costs </w:t>
      </w:r>
      <w:r w:rsidR="009A7101">
        <w:rPr>
          <w:noProof/>
          <w:lang w:eastAsia="fr-BE"/>
        </w:rPr>
        <w:t>(</w:t>
      </w:r>
      <w:r w:rsidR="001B46A9">
        <w:rPr>
          <w:noProof/>
          <w:lang w:eastAsia="fr-BE"/>
        </w:rPr>
        <w:t xml:space="preserve">for instance when supervising third-country companies </w:t>
      </w:r>
      <w:r w:rsidR="009A7101">
        <w:rPr>
          <w:noProof/>
          <w:lang w:eastAsia="fr-BE"/>
        </w:rPr>
        <w:t xml:space="preserve">active in various Member States) </w:t>
      </w:r>
      <w:r w:rsidRPr="00D66511">
        <w:rPr>
          <w:noProof/>
          <w:lang w:eastAsia="fr-BE"/>
        </w:rPr>
        <w:t xml:space="preserve">and improve the supervision, coordination, investigation and exchange of information the Commission will set up </w:t>
      </w:r>
      <w:r w:rsidRPr="00EB26A3">
        <w:rPr>
          <w:noProof/>
        </w:rPr>
        <w:t>a European Network of Supervisory Authorities</w:t>
      </w:r>
      <w:r>
        <w:rPr>
          <w:noProof/>
        </w:rPr>
        <w:t>.</w:t>
      </w:r>
      <w:r w:rsidRPr="00D66511">
        <w:rPr>
          <w:noProof/>
          <w:lang w:eastAsia="fr-BE"/>
        </w:rPr>
        <w:t xml:space="preserve"> </w:t>
      </w:r>
    </w:p>
    <w:p w14:paraId="46908135" w14:textId="6059ABB4" w:rsidR="007929C3" w:rsidRPr="00FD7324" w:rsidRDefault="0005509A" w:rsidP="00FD7324">
      <w:pPr>
        <w:rPr>
          <w:noProof/>
        </w:rPr>
      </w:pPr>
      <w:r>
        <w:rPr>
          <w:noProof/>
        </w:rPr>
        <w:t>This Directive allows for company cooperation, use of industrial schemes and multi-stakeholder initiatives to reduce the cost of compliance for the companies with this Directive.</w:t>
      </w:r>
    </w:p>
    <w:p w14:paraId="30B996C9" w14:textId="77777777" w:rsidR="001859C1" w:rsidRPr="007F048F" w:rsidRDefault="001859C1" w:rsidP="000B2095">
      <w:pPr>
        <w:pStyle w:val="ManualHeading2"/>
        <w:rPr>
          <w:noProof/>
        </w:rPr>
      </w:pPr>
      <w:r w:rsidRPr="007F048F">
        <w:rPr>
          <w:noProof/>
        </w:rPr>
        <w:t>Choice of the instrument</w:t>
      </w:r>
    </w:p>
    <w:p w14:paraId="5ADA7043" w14:textId="77777777" w:rsidR="001859C1" w:rsidRPr="00CE19EE" w:rsidRDefault="001859C1" w:rsidP="000A60CF">
      <w:pPr>
        <w:rPr>
          <w:noProof/>
          <w:lang w:eastAsia="fr-BE"/>
        </w:rPr>
      </w:pPr>
      <w:r w:rsidRPr="003B7DCE" w:rsidDel="008A6B57">
        <w:rPr>
          <w:noProof/>
          <w:lang w:eastAsia="fr-BE"/>
        </w:rPr>
        <w:t>T</w:t>
      </w:r>
      <w:r w:rsidRPr="00D86F19">
        <w:rPr>
          <w:noProof/>
          <w:lang w:eastAsia="fr-BE"/>
        </w:rPr>
        <w:t xml:space="preserve">he </w:t>
      </w:r>
      <w:r w:rsidRPr="003B7DCE">
        <w:rPr>
          <w:noProof/>
          <w:lang w:eastAsia="fr-BE"/>
        </w:rPr>
        <w:t>proposed instrument is a Directive, since Article 50 TFEU is the legal basis for company law legislation regarding the protection of the interests of companies’ members and others with a view to making such protection equivalent throughout the Union.</w:t>
      </w:r>
      <w:r w:rsidRPr="02479CB6">
        <w:rPr>
          <w:noProof/>
        </w:rPr>
        <w:t xml:space="preserve"> </w:t>
      </w:r>
      <w:r w:rsidRPr="003B7DCE">
        <w:rPr>
          <w:noProof/>
          <w:lang w:eastAsia="fr-BE"/>
        </w:rPr>
        <w:t>Article</w:t>
      </w:r>
      <w:r w:rsidR="004B0ADA">
        <w:rPr>
          <w:noProof/>
          <w:lang w:eastAsia="fr-BE"/>
        </w:rPr>
        <w:t> </w:t>
      </w:r>
      <w:r w:rsidRPr="003B7DCE">
        <w:rPr>
          <w:noProof/>
          <w:lang w:eastAsia="fr-BE"/>
        </w:rPr>
        <w:t>50 TFEU requires the European Parliament and the Council to act by means of directives.</w:t>
      </w:r>
    </w:p>
    <w:p w14:paraId="0911B2FA" w14:textId="773467EB" w:rsidR="00E52BBD" w:rsidRPr="00CE19EE" w:rsidRDefault="00E52BBD" w:rsidP="000A60CF">
      <w:pPr>
        <w:rPr>
          <w:noProof/>
          <w:lang w:eastAsia="fr-BE"/>
        </w:rPr>
      </w:pPr>
      <w:r w:rsidRPr="00ED6BE3">
        <w:rPr>
          <w:noProof/>
        </w:rPr>
        <w:t xml:space="preserve">The Commission shall adopt </w:t>
      </w:r>
      <w:r w:rsidR="001043FB">
        <w:rPr>
          <w:noProof/>
        </w:rPr>
        <w:t>delegated</w:t>
      </w:r>
      <w:r w:rsidRPr="00ED6BE3">
        <w:rPr>
          <w:noProof/>
        </w:rPr>
        <w:t xml:space="preserve"> act</w:t>
      </w:r>
      <w:r w:rsidR="0054545D">
        <w:rPr>
          <w:noProof/>
        </w:rPr>
        <w:t>s</w:t>
      </w:r>
      <w:r w:rsidRPr="00ED6BE3">
        <w:rPr>
          <w:noProof/>
        </w:rPr>
        <w:t xml:space="preserve"> laying down the criteria for </w:t>
      </w:r>
      <w:r>
        <w:rPr>
          <w:noProof/>
        </w:rPr>
        <w:t>the</w:t>
      </w:r>
      <w:r w:rsidRPr="00ED6BE3">
        <w:rPr>
          <w:noProof/>
        </w:rPr>
        <w:t xml:space="preserve"> reporting</w:t>
      </w:r>
      <w:r w:rsidR="00320C99">
        <w:rPr>
          <w:noProof/>
        </w:rPr>
        <w:t xml:space="preserve"> by third country companies</w:t>
      </w:r>
      <w:r>
        <w:rPr>
          <w:noProof/>
        </w:rPr>
        <w:t xml:space="preserve"> on due diligence.</w:t>
      </w:r>
    </w:p>
    <w:p w14:paraId="070BE53C" w14:textId="780AC76B" w:rsidR="001859C1" w:rsidRPr="00E27472" w:rsidRDefault="001859C1" w:rsidP="000A60CF">
      <w:pPr>
        <w:rPr>
          <w:noProof/>
          <w:lang w:eastAsia="fr-BE"/>
        </w:rPr>
      </w:pPr>
      <w:r w:rsidRPr="00474C3D">
        <w:rPr>
          <w:noProof/>
          <w:lang w:eastAsia="fr-BE"/>
        </w:rPr>
        <w:t xml:space="preserve">In order to provide support to companies </w:t>
      </w:r>
      <w:r w:rsidR="007903AF">
        <w:rPr>
          <w:noProof/>
          <w:lang w:eastAsia="fr-BE"/>
        </w:rPr>
        <w:t xml:space="preserve">and </w:t>
      </w:r>
      <w:r w:rsidRPr="00474C3D">
        <w:rPr>
          <w:noProof/>
          <w:lang w:eastAsia="fr-BE"/>
        </w:rPr>
        <w:t xml:space="preserve">to Member State authorities on how companies should fulfil their due diligence obligations, the Commission, </w:t>
      </w:r>
      <w:r w:rsidR="00CD0AFD">
        <w:rPr>
          <w:noProof/>
          <w:lang w:eastAsia="fr-BE"/>
        </w:rPr>
        <w:t xml:space="preserve">where necessary </w:t>
      </w:r>
      <w:r w:rsidRPr="00474C3D">
        <w:rPr>
          <w:noProof/>
          <w:lang w:eastAsia="fr-BE"/>
        </w:rPr>
        <w:t xml:space="preserve">in consultation with </w:t>
      </w:r>
      <w:r w:rsidR="008E795A">
        <w:rPr>
          <w:rFonts w:eastAsia="Times New Roman"/>
          <w:noProof/>
          <w:lang w:eastAsia="fr-BE"/>
        </w:rPr>
        <w:t xml:space="preserve">relevant </w:t>
      </w:r>
      <w:r w:rsidR="008E795A">
        <w:rPr>
          <w:noProof/>
          <w:lang w:eastAsia="fr-BE"/>
        </w:rPr>
        <w:t>European bodies,</w:t>
      </w:r>
      <w:r w:rsidR="008E795A">
        <w:rPr>
          <w:rFonts w:eastAsia="Times New Roman"/>
          <w:noProof/>
          <w:lang w:eastAsia="fr-BE"/>
        </w:rPr>
        <w:t xml:space="preserve"> </w:t>
      </w:r>
      <w:r w:rsidR="00A50208">
        <w:rPr>
          <w:rFonts w:eastAsia="Times New Roman"/>
          <w:noProof/>
          <w:lang w:eastAsia="fr-BE"/>
        </w:rPr>
        <w:t>international bodies having expertise in due diligence implementation</w:t>
      </w:r>
      <w:r w:rsidR="0058470A">
        <w:rPr>
          <w:rFonts w:eastAsia="Times New Roman"/>
          <w:noProof/>
          <w:lang w:eastAsia="fr-BE"/>
        </w:rPr>
        <w:t>,</w:t>
      </w:r>
      <w:r w:rsidR="008E795A">
        <w:rPr>
          <w:rFonts w:eastAsia="Times New Roman"/>
          <w:noProof/>
          <w:lang w:eastAsia="fr-BE"/>
        </w:rPr>
        <w:t xml:space="preserve"> and others,</w:t>
      </w:r>
      <w:r w:rsidR="0058470A">
        <w:rPr>
          <w:rFonts w:eastAsia="Times New Roman"/>
          <w:noProof/>
          <w:lang w:eastAsia="fr-BE"/>
        </w:rPr>
        <w:t xml:space="preserve"> </w:t>
      </w:r>
      <w:r w:rsidR="009128A1">
        <w:rPr>
          <w:noProof/>
          <w:lang w:eastAsia="fr-BE"/>
        </w:rPr>
        <w:t>may</w:t>
      </w:r>
      <w:r w:rsidRPr="00474C3D">
        <w:rPr>
          <w:noProof/>
          <w:lang w:eastAsia="fr-BE"/>
        </w:rPr>
        <w:t xml:space="preserve"> </w:t>
      </w:r>
      <w:r>
        <w:rPr>
          <w:noProof/>
          <w:lang w:eastAsia="fr-BE"/>
        </w:rPr>
        <w:t>issu</w:t>
      </w:r>
      <w:r w:rsidR="009128A1">
        <w:rPr>
          <w:noProof/>
          <w:lang w:eastAsia="fr-BE"/>
        </w:rPr>
        <w:t>e</w:t>
      </w:r>
      <w:r w:rsidRPr="00474C3D">
        <w:rPr>
          <w:noProof/>
          <w:lang w:eastAsia="fr-BE"/>
        </w:rPr>
        <w:t xml:space="preserve"> guidelines.</w:t>
      </w:r>
      <w:r>
        <w:rPr>
          <w:noProof/>
          <w:lang w:eastAsia="fr-BE"/>
        </w:rPr>
        <w:t xml:space="preserve"> </w:t>
      </w:r>
      <w:r w:rsidR="0046139A" w:rsidRPr="007B4FB9">
        <w:rPr>
          <w:noProof/>
          <w:lang w:eastAsia="fr-BE"/>
        </w:rPr>
        <w:t xml:space="preserve">Guidelines </w:t>
      </w:r>
      <w:r w:rsidR="0093667B">
        <w:rPr>
          <w:noProof/>
        </w:rPr>
        <w:t>may</w:t>
      </w:r>
      <w:r w:rsidR="00A651D5">
        <w:rPr>
          <w:noProof/>
        </w:rPr>
        <w:t xml:space="preserve"> </w:t>
      </w:r>
      <w:r w:rsidR="008E795A">
        <w:rPr>
          <w:noProof/>
        </w:rPr>
        <w:t xml:space="preserve">also be used to </w:t>
      </w:r>
      <w:r w:rsidR="0046139A" w:rsidRPr="007B4FB9">
        <w:rPr>
          <w:noProof/>
          <w:lang w:eastAsia="fr-BE"/>
        </w:rPr>
        <w:t xml:space="preserve">outline </w:t>
      </w:r>
      <w:r w:rsidR="00A651D5">
        <w:rPr>
          <w:noProof/>
          <w:lang w:eastAsia="fr-BE"/>
        </w:rPr>
        <w:t>non-binding</w:t>
      </w:r>
      <w:r w:rsidR="0046139A" w:rsidRPr="007B4FB9">
        <w:rPr>
          <w:noProof/>
          <w:lang w:eastAsia="fr-BE"/>
        </w:rPr>
        <w:t xml:space="preserve"> model contractual clauses that companies can use when cascading the obligation </w:t>
      </w:r>
      <w:r w:rsidR="00296FAE" w:rsidRPr="007B4FB9">
        <w:rPr>
          <w:noProof/>
          <w:lang w:eastAsia="fr-BE"/>
        </w:rPr>
        <w:t>in their value chain</w:t>
      </w:r>
      <w:r w:rsidR="00A651D5">
        <w:rPr>
          <w:noProof/>
          <w:lang w:eastAsia="fr-BE"/>
        </w:rPr>
        <w:t>.</w:t>
      </w:r>
    </w:p>
    <w:p w14:paraId="6E65DC0D" w14:textId="666F9D11" w:rsidR="00A07C1E" w:rsidRPr="00BA6020" w:rsidRDefault="00A07C1E" w:rsidP="005F1AB9">
      <w:pPr>
        <w:rPr>
          <w:rFonts w:eastAsia="Calibri"/>
          <w:noProof/>
        </w:rPr>
      </w:pPr>
      <w:r>
        <w:rPr>
          <w:noProof/>
        </w:rPr>
        <w:t>In addition</w:t>
      </w:r>
      <w:r w:rsidR="008E795A">
        <w:rPr>
          <w:noProof/>
        </w:rPr>
        <w:t>,</w:t>
      </w:r>
      <w:r>
        <w:rPr>
          <w:noProof/>
        </w:rPr>
        <w:t xml:space="preserve"> t</w:t>
      </w:r>
      <w:r w:rsidRPr="00AB3ACA">
        <w:rPr>
          <w:noProof/>
        </w:rPr>
        <w:t xml:space="preserve">he Commission may </w:t>
      </w:r>
      <w:r>
        <w:rPr>
          <w:noProof/>
        </w:rPr>
        <w:t xml:space="preserve">put in place other </w:t>
      </w:r>
      <w:r w:rsidRPr="00AB3ACA">
        <w:rPr>
          <w:noProof/>
        </w:rPr>
        <w:t>support</w:t>
      </w:r>
      <w:r>
        <w:rPr>
          <w:noProof/>
        </w:rPr>
        <w:t xml:space="preserve">ing </w:t>
      </w:r>
      <w:r w:rsidRPr="00AB3ACA">
        <w:rPr>
          <w:noProof/>
        </w:rPr>
        <w:t>measures building on existing EU action</w:t>
      </w:r>
      <w:r>
        <w:rPr>
          <w:noProof/>
        </w:rPr>
        <w:t>s and tools</w:t>
      </w:r>
      <w:r w:rsidRPr="00AB3ACA">
        <w:rPr>
          <w:noProof/>
        </w:rPr>
        <w:t xml:space="preserve"> to support due diligence </w:t>
      </w:r>
      <w:r>
        <w:rPr>
          <w:noProof/>
        </w:rPr>
        <w:t xml:space="preserve">implementation within the Union </w:t>
      </w:r>
      <w:r w:rsidRPr="00AB3ACA">
        <w:rPr>
          <w:noProof/>
        </w:rPr>
        <w:t>and in third countries, including facilitation of joint stakeholder initiatives to help companies fulfil their obligations</w:t>
      </w:r>
      <w:r>
        <w:rPr>
          <w:noProof/>
        </w:rPr>
        <w:t xml:space="preserve"> and support SMEs impacted by this Directive in other ways</w:t>
      </w:r>
      <w:r w:rsidRPr="00AB3ACA">
        <w:rPr>
          <w:noProof/>
        </w:rPr>
        <w:t xml:space="preserve">. </w:t>
      </w:r>
      <w:r>
        <w:rPr>
          <w:noProof/>
        </w:rPr>
        <w:t xml:space="preserve">This may be further complemented by EU </w:t>
      </w:r>
      <w:r w:rsidRPr="00C61486">
        <w:rPr>
          <w:noProof/>
        </w:rPr>
        <w:t xml:space="preserve">development cooperation instruments to support </w:t>
      </w:r>
      <w:r>
        <w:rPr>
          <w:noProof/>
        </w:rPr>
        <w:t xml:space="preserve">third country governments and </w:t>
      </w:r>
      <w:r w:rsidRPr="00C61486">
        <w:rPr>
          <w:noProof/>
        </w:rPr>
        <w:t>upstream economic operators in third countries addressing adverse human rights</w:t>
      </w:r>
      <w:r w:rsidR="009F6A65">
        <w:rPr>
          <w:noProof/>
        </w:rPr>
        <w:t xml:space="preserve"> </w:t>
      </w:r>
      <w:r w:rsidRPr="00C61486">
        <w:rPr>
          <w:noProof/>
        </w:rPr>
        <w:t>and environmental impacts of their operations and upstream business relationships.</w:t>
      </w:r>
    </w:p>
    <w:p w14:paraId="54B7D3D6" w14:textId="77777777" w:rsidR="001859C1" w:rsidRPr="007F048F" w:rsidRDefault="001859C1" w:rsidP="000A60CF">
      <w:pPr>
        <w:pStyle w:val="ManualHeading1"/>
        <w:rPr>
          <w:noProof/>
        </w:rPr>
      </w:pPr>
      <w:r w:rsidRPr="003D509F">
        <w:rPr>
          <w:noProof/>
        </w:rPr>
        <w:t>3.</w:t>
      </w:r>
      <w:r w:rsidRPr="003D509F">
        <w:rPr>
          <w:noProof/>
        </w:rPr>
        <w:tab/>
      </w:r>
      <w:r w:rsidRPr="007F048F">
        <w:rPr>
          <w:noProof/>
        </w:rPr>
        <w:t>RESULTS OF EX-POST EVALUATIONS, STAKEHOLDER CONSULTATIONS AND IMPACT ASSESSMENTS</w:t>
      </w:r>
    </w:p>
    <w:p w14:paraId="2B468EFC" w14:textId="77777777" w:rsidR="001859C1" w:rsidRPr="00FD1F79" w:rsidRDefault="001859C1" w:rsidP="000B2095">
      <w:pPr>
        <w:pStyle w:val="ManualHeading2"/>
        <w:rPr>
          <w:noProof/>
        </w:rPr>
      </w:pPr>
      <w:r w:rsidRPr="00241A14">
        <w:rPr>
          <w:noProof/>
        </w:rPr>
        <w:t>Stakeholder consultations</w:t>
      </w:r>
    </w:p>
    <w:p w14:paraId="4CE83602" w14:textId="77777777" w:rsidR="001859C1" w:rsidRDefault="001859C1" w:rsidP="000A60CF">
      <w:pPr>
        <w:rPr>
          <w:noProof/>
          <w:szCs w:val="24"/>
        </w:rPr>
      </w:pPr>
      <w:r w:rsidRPr="003B7DCE">
        <w:rPr>
          <w:noProof/>
        </w:rPr>
        <w:t>In line with the better regulation guidelines, several consultation activities have taken place:</w:t>
      </w:r>
    </w:p>
    <w:p w14:paraId="036CCA1D" w14:textId="77777777" w:rsidR="001859C1" w:rsidRPr="009C47DB" w:rsidRDefault="001859C1" w:rsidP="005F1AB9">
      <w:pPr>
        <w:pStyle w:val="Tiret0"/>
        <w:rPr>
          <w:noProof/>
        </w:rPr>
      </w:pPr>
      <w:r w:rsidRPr="003B7DCE">
        <w:rPr>
          <w:noProof/>
        </w:rPr>
        <w:t xml:space="preserve">The inception impact assessment (roadmap), which received 114 feedbacks; </w:t>
      </w:r>
    </w:p>
    <w:p w14:paraId="7F9276C6" w14:textId="77777777" w:rsidR="001859C1" w:rsidRPr="009C47DB" w:rsidRDefault="001859C1" w:rsidP="005F1AB9">
      <w:pPr>
        <w:pStyle w:val="Tiret0"/>
        <w:rPr>
          <w:noProof/>
        </w:rPr>
      </w:pPr>
      <w:r w:rsidRPr="003B7DCE">
        <w:rPr>
          <w:noProof/>
        </w:rPr>
        <w:t>The open public consultation</w:t>
      </w:r>
      <w:r w:rsidRPr="003B7DCE">
        <w:rPr>
          <w:rStyle w:val="Allmrkuseviide"/>
          <w:noProof/>
        </w:rPr>
        <w:footnoteReference w:id="65"/>
      </w:r>
      <w:r w:rsidRPr="003B7DCE">
        <w:rPr>
          <w:noProof/>
        </w:rPr>
        <w:t>, which received 473</w:t>
      </w:r>
      <w:r w:rsidR="004B0ADA">
        <w:rPr>
          <w:noProof/>
        </w:rPr>
        <w:t> </w:t>
      </w:r>
      <w:r w:rsidRPr="003B7DCE">
        <w:rPr>
          <w:noProof/>
        </w:rPr>
        <w:t xml:space="preserve">461 responses </w:t>
      </w:r>
      <w:r w:rsidR="004E027C">
        <w:rPr>
          <w:noProof/>
        </w:rPr>
        <w:t>and</w:t>
      </w:r>
      <w:r w:rsidRPr="003B7DCE">
        <w:rPr>
          <w:noProof/>
        </w:rPr>
        <w:t xml:space="preserve"> </w:t>
      </w:r>
      <w:r w:rsidR="004E027C" w:rsidRPr="004E027C">
        <w:rPr>
          <w:noProof/>
        </w:rPr>
        <w:t>122.785 citizen signatures</w:t>
      </w:r>
      <w:r w:rsidR="004E027C">
        <w:rPr>
          <w:noProof/>
        </w:rPr>
        <w:t xml:space="preserve">, </w:t>
      </w:r>
      <w:r w:rsidRPr="003B7DCE">
        <w:rPr>
          <w:noProof/>
        </w:rPr>
        <w:t xml:space="preserve">the vast majority </w:t>
      </w:r>
      <w:r w:rsidR="004B0ADA">
        <w:rPr>
          <w:noProof/>
        </w:rPr>
        <w:t xml:space="preserve">of which </w:t>
      </w:r>
      <w:r w:rsidRPr="003B7DCE">
        <w:rPr>
          <w:noProof/>
        </w:rPr>
        <w:t xml:space="preserve">were submitted through </w:t>
      </w:r>
      <w:r w:rsidR="00A214C4">
        <w:rPr>
          <w:noProof/>
        </w:rPr>
        <w:t xml:space="preserve">campaigns using </w:t>
      </w:r>
      <w:r w:rsidRPr="003B7DCE">
        <w:rPr>
          <w:noProof/>
        </w:rPr>
        <w:t xml:space="preserve">pre-filled questionnaires, and 149 position papers; </w:t>
      </w:r>
    </w:p>
    <w:p w14:paraId="24708984" w14:textId="77777777" w:rsidR="001859C1" w:rsidRDefault="001859C1" w:rsidP="005F1AB9">
      <w:pPr>
        <w:pStyle w:val="Tiret0"/>
        <w:rPr>
          <w:noProof/>
        </w:rPr>
      </w:pPr>
      <w:r w:rsidRPr="003B7DCE">
        <w:rPr>
          <w:noProof/>
        </w:rPr>
        <w:t xml:space="preserve">A dedicated consultation of social partners; </w:t>
      </w:r>
    </w:p>
    <w:p w14:paraId="0C584142" w14:textId="77777777" w:rsidR="001859C1" w:rsidRDefault="001859C1" w:rsidP="005F1AB9">
      <w:pPr>
        <w:pStyle w:val="Tiret0"/>
        <w:rPr>
          <w:noProof/>
        </w:rPr>
      </w:pPr>
      <w:r w:rsidRPr="003B7DCE">
        <w:rPr>
          <w:noProof/>
        </w:rPr>
        <w:t xml:space="preserve">A number of stakeholder workshops and meetings, e.g. meeting of the </w:t>
      </w:r>
      <w:r w:rsidR="00916725">
        <w:rPr>
          <w:noProof/>
        </w:rPr>
        <w:t>I</w:t>
      </w:r>
      <w:r w:rsidRPr="003B7DCE">
        <w:rPr>
          <w:noProof/>
        </w:rPr>
        <w:t xml:space="preserve">nformal </w:t>
      </w:r>
      <w:r w:rsidR="00916725">
        <w:rPr>
          <w:noProof/>
        </w:rPr>
        <w:t>C</w:t>
      </w:r>
      <w:r w:rsidRPr="003B7DCE">
        <w:rPr>
          <w:noProof/>
        </w:rPr>
        <w:t xml:space="preserve">ompany </w:t>
      </w:r>
      <w:r w:rsidR="00916725">
        <w:rPr>
          <w:noProof/>
        </w:rPr>
        <w:t>L</w:t>
      </w:r>
      <w:r w:rsidRPr="003B7DCE">
        <w:rPr>
          <w:noProof/>
        </w:rPr>
        <w:t xml:space="preserve">aw </w:t>
      </w:r>
      <w:r w:rsidR="00916725">
        <w:rPr>
          <w:noProof/>
        </w:rPr>
        <w:t>E</w:t>
      </w:r>
      <w:r w:rsidRPr="003B7DCE">
        <w:rPr>
          <w:noProof/>
        </w:rPr>
        <w:t xml:space="preserve">xpert </w:t>
      </w:r>
      <w:r w:rsidR="00916725">
        <w:rPr>
          <w:noProof/>
        </w:rPr>
        <w:t>G</w:t>
      </w:r>
      <w:r w:rsidRPr="003B7DCE">
        <w:rPr>
          <w:noProof/>
        </w:rPr>
        <w:t>roup</w:t>
      </w:r>
      <w:r w:rsidR="00916725">
        <w:rPr>
          <w:noProof/>
        </w:rPr>
        <w:t>,</w:t>
      </w:r>
      <w:r w:rsidRPr="003B7DCE">
        <w:rPr>
          <w:noProof/>
        </w:rPr>
        <w:t xml:space="preserve"> mainly composed of company law legal academics (ICLEG), meeting with Member State representatives in the Company </w:t>
      </w:r>
      <w:r w:rsidR="00916725">
        <w:rPr>
          <w:noProof/>
        </w:rPr>
        <w:t>L</w:t>
      </w:r>
      <w:r w:rsidRPr="003B7DCE">
        <w:rPr>
          <w:noProof/>
        </w:rPr>
        <w:t>aw Expert Group (CLEG)</w:t>
      </w:r>
      <w:r w:rsidRPr="003B7DCE">
        <w:rPr>
          <w:noProof/>
          <w:lang w:val="en-IE"/>
        </w:rPr>
        <w:t>;</w:t>
      </w:r>
      <w:r w:rsidRPr="003B7DCE">
        <w:rPr>
          <w:noProof/>
        </w:rPr>
        <w:t xml:space="preserve"> and</w:t>
      </w:r>
    </w:p>
    <w:p w14:paraId="30CC2C36" w14:textId="77777777" w:rsidR="001859C1" w:rsidRPr="009C47DB" w:rsidRDefault="001859C1" w:rsidP="005F1AB9">
      <w:pPr>
        <w:pStyle w:val="Tiret0"/>
        <w:rPr>
          <w:noProof/>
        </w:rPr>
      </w:pPr>
      <w:r w:rsidRPr="003B7DCE">
        <w:rPr>
          <w:noProof/>
        </w:rPr>
        <w:t xml:space="preserve">Conferences and meetings with business associations, individual businesses, including </w:t>
      </w:r>
      <w:r w:rsidR="00B4400B">
        <w:rPr>
          <w:noProof/>
        </w:rPr>
        <w:t>Small and Medium</w:t>
      </w:r>
      <w:r w:rsidR="00A50208">
        <w:rPr>
          <w:noProof/>
        </w:rPr>
        <w:t>-sized</w:t>
      </w:r>
      <w:r w:rsidR="00B4400B">
        <w:rPr>
          <w:noProof/>
        </w:rPr>
        <w:t xml:space="preserve"> Enterprises (</w:t>
      </w:r>
      <w:r w:rsidRPr="003B7DCE">
        <w:rPr>
          <w:noProof/>
        </w:rPr>
        <w:t>SMEs</w:t>
      </w:r>
      <w:r w:rsidR="00B4400B">
        <w:rPr>
          <w:noProof/>
        </w:rPr>
        <w:t>)</w:t>
      </w:r>
      <w:r w:rsidRPr="003B7DCE">
        <w:rPr>
          <w:noProof/>
        </w:rPr>
        <w:t xml:space="preserve"> representatives, civil society, including non-governmental and not-for-profit organisations</w:t>
      </w:r>
      <w:r>
        <w:rPr>
          <w:noProof/>
        </w:rPr>
        <w:t>,</w:t>
      </w:r>
      <w:r w:rsidRPr="003B7DCE">
        <w:rPr>
          <w:noProof/>
        </w:rPr>
        <w:t xml:space="preserve"> as well as</w:t>
      </w:r>
      <w:r>
        <w:rPr>
          <w:noProof/>
        </w:rPr>
        <w:t xml:space="preserve"> international organisations, such as</w:t>
      </w:r>
      <w:r w:rsidRPr="003B7DCE">
        <w:rPr>
          <w:noProof/>
        </w:rPr>
        <w:t xml:space="preserve"> OECD.</w:t>
      </w:r>
    </w:p>
    <w:p w14:paraId="23C8E60A" w14:textId="77777777" w:rsidR="001859C1" w:rsidRPr="00FD2E58" w:rsidRDefault="001859C1">
      <w:pPr>
        <w:rPr>
          <w:rFonts w:eastAsia="Times New Roman"/>
          <w:i/>
          <w:noProof/>
        </w:rPr>
      </w:pPr>
      <w:r w:rsidRPr="003B7DCE">
        <w:rPr>
          <w:noProof/>
        </w:rPr>
        <w:t>Overall, the consultation activities showed that there is general</w:t>
      </w:r>
      <w:r w:rsidR="00D34772">
        <w:rPr>
          <w:noProof/>
        </w:rPr>
        <w:t xml:space="preserve">ly a wide </w:t>
      </w:r>
      <w:r w:rsidRPr="003B7DCE">
        <w:rPr>
          <w:noProof/>
        </w:rPr>
        <w:t xml:space="preserve">acknowledgement among stakeholders </w:t>
      </w:r>
      <w:r w:rsidR="00D34772">
        <w:rPr>
          <w:noProof/>
        </w:rPr>
        <w:t>of the</w:t>
      </w:r>
      <w:r w:rsidRPr="003B7DCE">
        <w:rPr>
          <w:noProof/>
        </w:rPr>
        <w:t xml:space="preserve"> </w:t>
      </w:r>
      <w:r w:rsidRPr="00370F3D">
        <w:rPr>
          <w:bCs/>
          <w:noProof/>
        </w:rPr>
        <w:t>need for an EU legal framework for due diligence</w:t>
      </w:r>
      <w:r w:rsidRPr="003B7DCE">
        <w:rPr>
          <w:noProof/>
        </w:rPr>
        <w:t>.</w:t>
      </w:r>
      <w:r w:rsidRPr="003B7DCE">
        <w:rPr>
          <w:rStyle w:val="Allmrkuseviide"/>
          <w:noProof/>
        </w:rPr>
        <w:footnoteReference w:id="66"/>
      </w:r>
      <w:r w:rsidRPr="003B7DCE">
        <w:rPr>
          <w:noProof/>
        </w:rPr>
        <w:t xml:space="preserve"> </w:t>
      </w:r>
      <w:r>
        <w:rPr>
          <w:noProof/>
        </w:rPr>
        <w:t>In particular, l</w:t>
      </w:r>
      <w:r w:rsidRPr="003B7DCE">
        <w:rPr>
          <w:noProof/>
        </w:rPr>
        <w:t>arge companies across the board</w:t>
      </w:r>
      <w:r w:rsidRPr="003B7DCE" w:rsidDel="006E6073">
        <w:rPr>
          <w:noProof/>
        </w:rPr>
        <w:t xml:space="preserve"> </w:t>
      </w:r>
      <w:r w:rsidRPr="003B7DCE">
        <w:rPr>
          <w:noProof/>
        </w:rPr>
        <w:t>asked for greater harmonisation in the area of due diligence</w:t>
      </w:r>
      <w:r w:rsidRPr="003B7DCE" w:rsidDel="008E008B">
        <w:rPr>
          <w:noProof/>
        </w:rPr>
        <w:t xml:space="preserve"> </w:t>
      </w:r>
      <w:r w:rsidRPr="003B7DCE">
        <w:rPr>
          <w:noProof/>
        </w:rPr>
        <w:t xml:space="preserve">to improve legal certainty and create a level playing field. Citizens and civil society associations perceived the current regulatory framework as ineffective to ensure corporate accountability for negative impacts on the </w:t>
      </w:r>
      <w:r>
        <w:rPr>
          <w:noProof/>
        </w:rPr>
        <w:t xml:space="preserve">human rights and </w:t>
      </w:r>
      <w:r w:rsidRPr="003B7DCE">
        <w:rPr>
          <w:noProof/>
        </w:rPr>
        <w:t xml:space="preserve">environment. </w:t>
      </w:r>
    </w:p>
    <w:p w14:paraId="13F66B91" w14:textId="77777777" w:rsidR="001859C1" w:rsidRPr="002B5C0E" w:rsidRDefault="001859C1">
      <w:pPr>
        <w:rPr>
          <w:noProof/>
          <w:lang w:val="en-IE" w:eastAsia="fr-BE"/>
        </w:rPr>
      </w:pPr>
      <w:r w:rsidRPr="003B7DCE">
        <w:rPr>
          <w:noProof/>
          <w:lang w:val="en-IE" w:eastAsia="fr-BE"/>
        </w:rPr>
        <w:t xml:space="preserve">A vast majority of respondents to the open public consultation, including most participating Member States, were in favour </w:t>
      </w:r>
      <w:r>
        <w:rPr>
          <w:noProof/>
          <w:lang w:val="en-IE" w:eastAsia="fr-BE"/>
        </w:rPr>
        <w:t xml:space="preserve">of </w:t>
      </w:r>
      <w:r w:rsidRPr="003B7DCE">
        <w:rPr>
          <w:noProof/>
          <w:lang w:val="en-IE" w:eastAsia="fr-BE"/>
        </w:rPr>
        <w:t xml:space="preserve">a </w:t>
      </w:r>
      <w:r w:rsidRPr="00021ADA">
        <w:rPr>
          <w:noProof/>
          <w:lang w:val="en-IE" w:eastAsia="fr-BE"/>
        </w:rPr>
        <w:t>horizontal approach</w:t>
      </w:r>
      <w:r w:rsidRPr="003B7DCE">
        <w:rPr>
          <w:noProof/>
          <w:lang w:val="en-IE" w:eastAsia="fr-BE"/>
        </w:rPr>
        <w:t xml:space="preserve"> to due diligence over a sector-specific or thematic approach</w:t>
      </w:r>
      <w:r>
        <w:rPr>
          <w:rStyle w:val="Allmrkuseviide"/>
          <w:rFonts w:eastAsia="Times New Roman"/>
          <w:noProof/>
          <w:lang w:val="en-IE" w:eastAsia="fr-BE"/>
        </w:rPr>
        <w:footnoteReference w:id="67"/>
      </w:r>
      <w:r w:rsidRPr="003B7DCE">
        <w:rPr>
          <w:noProof/>
          <w:lang w:val="en-IE" w:eastAsia="fr-BE"/>
        </w:rPr>
        <w:t>. Companies indicated that they feared the risk of competitive disadvantages vis-à-vis third</w:t>
      </w:r>
      <w:r w:rsidR="0037086D">
        <w:rPr>
          <w:noProof/>
          <w:lang w:val="en-IE" w:eastAsia="fr-BE"/>
        </w:rPr>
        <w:t>-</w:t>
      </w:r>
      <w:r w:rsidRPr="003B7DCE">
        <w:rPr>
          <w:noProof/>
          <w:lang w:val="en-IE" w:eastAsia="fr-BE"/>
        </w:rPr>
        <w:t xml:space="preserve">country companies that do not have </w:t>
      </w:r>
      <w:r>
        <w:rPr>
          <w:noProof/>
          <w:lang w:val="en-IE" w:eastAsia="fr-BE"/>
        </w:rPr>
        <w:t>the</w:t>
      </w:r>
      <w:r w:rsidRPr="003B7DCE">
        <w:rPr>
          <w:noProof/>
          <w:lang w:val="en-IE" w:eastAsia="fr-BE"/>
        </w:rPr>
        <w:t xml:space="preserve"> same duties. Accordingly, most respondents agreed that </w:t>
      </w:r>
      <w:r w:rsidRPr="00021ADA">
        <w:rPr>
          <w:noProof/>
          <w:lang w:val="en-IE" w:eastAsia="fr-BE"/>
        </w:rPr>
        <w:t>due diligence rules should also apply to third</w:t>
      </w:r>
      <w:r w:rsidR="0037086D" w:rsidRPr="00021ADA">
        <w:rPr>
          <w:noProof/>
          <w:lang w:val="en-IE" w:eastAsia="fr-BE"/>
        </w:rPr>
        <w:t>-</w:t>
      </w:r>
      <w:r w:rsidRPr="00021ADA">
        <w:rPr>
          <w:noProof/>
          <w:lang w:val="en-IE" w:eastAsia="fr-BE"/>
        </w:rPr>
        <w:t>country companies</w:t>
      </w:r>
      <w:r w:rsidRPr="00426F6F">
        <w:rPr>
          <w:noProof/>
          <w:lang w:val="en-IE" w:eastAsia="fr-BE"/>
        </w:rPr>
        <w:t xml:space="preserve"> which are not established in the EU but carry out activities of a certain scale in the EU</w:t>
      </w:r>
      <w:r>
        <w:rPr>
          <w:rStyle w:val="Allmrkuseviide"/>
          <w:rFonts w:eastAsia="Times New Roman"/>
          <w:noProof/>
          <w:lang w:val="en-IE" w:eastAsia="fr-BE"/>
        </w:rPr>
        <w:footnoteReference w:id="68"/>
      </w:r>
      <w:r w:rsidRPr="00426F6F">
        <w:rPr>
          <w:noProof/>
          <w:lang w:val="en-IE" w:eastAsia="fr-BE"/>
        </w:rPr>
        <w:t xml:space="preserve">. </w:t>
      </w:r>
    </w:p>
    <w:p w14:paraId="0448AA85" w14:textId="77777777" w:rsidR="001859C1" w:rsidRPr="003B7DCE" w:rsidRDefault="001859C1">
      <w:pPr>
        <w:rPr>
          <w:noProof/>
          <w:lang w:val="en-IE" w:eastAsia="fr-BE"/>
        </w:rPr>
      </w:pPr>
      <w:r w:rsidRPr="00A2094A">
        <w:rPr>
          <w:noProof/>
          <w:lang w:val="en-IE" w:eastAsia="fr-BE"/>
        </w:rPr>
        <w:t>Regarding an enforcement mechanism accompany</w:t>
      </w:r>
      <w:r w:rsidRPr="00846A1C">
        <w:rPr>
          <w:noProof/>
          <w:lang w:val="en-IE" w:eastAsia="fr-BE"/>
        </w:rPr>
        <w:t xml:space="preserve">ing a mandatory due diligence duty, all stakeholder groups responding to the open public consultation indicated by a majority that </w:t>
      </w:r>
      <w:r w:rsidRPr="00021ADA">
        <w:rPr>
          <w:noProof/>
          <w:lang w:val="en-IE" w:eastAsia="fr-BE"/>
        </w:rPr>
        <w:t>supervision by competent national authorities</w:t>
      </w:r>
      <w:r w:rsidRPr="00416743">
        <w:rPr>
          <w:noProof/>
          <w:lang w:val="en-IE" w:eastAsia="fr-BE"/>
        </w:rPr>
        <w:t xml:space="preserve"> with a mechanism of EU cooperation/coordination is the most suited option.</w:t>
      </w:r>
      <w:r w:rsidRPr="00AB0B10">
        <w:rPr>
          <w:rStyle w:val="Allmrkuseviide"/>
          <w:noProof/>
        </w:rPr>
        <w:footnoteReference w:id="69"/>
      </w:r>
      <w:r w:rsidRPr="003B7DCE">
        <w:rPr>
          <w:noProof/>
          <w:lang w:val="en-IE" w:eastAsia="fr-BE"/>
        </w:rPr>
        <w:t xml:space="preserve"> </w:t>
      </w:r>
    </w:p>
    <w:p w14:paraId="24F44602" w14:textId="77777777" w:rsidR="001859C1" w:rsidRPr="003B7DCE" w:rsidRDefault="001859C1" w:rsidP="000A60CF">
      <w:pPr>
        <w:rPr>
          <w:noProof/>
          <w:lang w:val="en-IE" w:eastAsia="fr-BE"/>
        </w:rPr>
      </w:pPr>
      <w:r w:rsidRPr="003B7DCE">
        <w:rPr>
          <w:noProof/>
          <w:lang w:val="en-IE" w:eastAsia="fr-BE"/>
        </w:rPr>
        <w:t xml:space="preserve">A majority of respondents in all stakeholder groups considered binding rules </w:t>
      </w:r>
      <w:r w:rsidRPr="16EE69E0">
        <w:rPr>
          <w:noProof/>
          <w:lang w:val="en-IE" w:eastAsia="fr-BE"/>
        </w:rPr>
        <w:t xml:space="preserve">with targets </w:t>
      </w:r>
      <w:r w:rsidRPr="003B7DCE">
        <w:rPr>
          <w:noProof/>
          <w:lang w:val="en-IE" w:eastAsia="fr-BE"/>
        </w:rPr>
        <w:t xml:space="preserve">to be the option entailing the </w:t>
      </w:r>
      <w:r w:rsidRPr="00021ADA">
        <w:rPr>
          <w:noProof/>
          <w:lang w:val="en-IE" w:eastAsia="fr-BE"/>
        </w:rPr>
        <w:t>most costs, but also the most benefits</w:t>
      </w:r>
      <w:r w:rsidRPr="003B7DCE">
        <w:rPr>
          <w:noProof/>
          <w:lang w:val="en-IE" w:eastAsia="fr-BE"/>
        </w:rPr>
        <w:t xml:space="preserve"> overall. Although most respondents saw the positive impact on third countries, a subset of respondents fear a potential negative impact of due diligence rules on third countries if companies investing in third countries with weak </w:t>
      </w:r>
      <w:r>
        <w:rPr>
          <w:noProof/>
          <w:lang w:val="en-IE" w:eastAsia="fr-BE"/>
        </w:rPr>
        <w:t>human rights, incl</w:t>
      </w:r>
      <w:r w:rsidR="00A214C4">
        <w:rPr>
          <w:noProof/>
          <w:lang w:val="en-IE" w:eastAsia="fr-BE"/>
        </w:rPr>
        <w:t>uding</w:t>
      </w:r>
      <w:r>
        <w:rPr>
          <w:noProof/>
          <w:lang w:val="en-IE" w:eastAsia="fr-BE"/>
        </w:rPr>
        <w:t xml:space="preserve"> </w:t>
      </w:r>
      <w:r w:rsidRPr="003B7DCE">
        <w:rPr>
          <w:noProof/>
          <w:lang w:val="en-IE" w:eastAsia="fr-BE"/>
        </w:rPr>
        <w:t>social</w:t>
      </w:r>
      <w:r>
        <w:rPr>
          <w:noProof/>
          <w:lang w:val="en-IE" w:eastAsia="fr-BE"/>
        </w:rPr>
        <w:t xml:space="preserve"> and</w:t>
      </w:r>
      <w:r w:rsidRPr="003B7DCE">
        <w:rPr>
          <w:noProof/>
          <w:lang w:val="en-IE" w:eastAsia="fr-BE"/>
        </w:rPr>
        <w:t xml:space="preserve"> labour, and environmental </w:t>
      </w:r>
      <w:r w:rsidR="00013D83">
        <w:rPr>
          <w:rFonts w:eastAsia="Times New Roman"/>
          <w:noProof/>
          <w:lang w:val="en-IE" w:eastAsia="fr-BE"/>
        </w:rPr>
        <w:t>protection</w:t>
      </w:r>
      <w:r w:rsidRPr="003B7DCE">
        <w:rPr>
          <w:noProof/>
          <w:lang w:val="en-IE" w:eastAsia="fr-BE"/>
        </w:rPr>
        <w:t xml:space="preserve">, would have to withdraw from these countries. </w:t>
      </w:r>
    </w:p>
    <w:p w14:paraId="4A2E8548" w14:textId="77777777" w:rsidR="001859C1" w:rsidRPr="003B7DCE" w:rsidRDefault="001859C1" w:rsidP="000A60CF">
      <w:pPr>
        <w:rPr>
          <w:noProof/>
          <w:lang w:val="en-IE" w:eastAsia="fr-BE"/>
        </w:rPr>
      </w:pPr>
      <w:r w:rsidRPr="003B7DCE">
        <w:rPr>
          <w:noProof/>
          <w:lang w:val="en-IE" w:eastAsia="fr-BE"/>
        </w:rPr>
        <w:t>Detailed information on the consultation strategy and conclusions of the stakeholder consultations can be found in Annex</w:t>
      </w:r>
      <w:r w:rsidR="00E07519">
        <w:rPr>
          <w:noProof/>
          <w:lang w:val="en-IE" w:eastAsia="fr-BE"/>
        </w:rPr>
        <w:t> </w:t>
      </w:r>
      <w:r w:rsidRPr="003B7DCE">
        <w:rPr>
          <w:noProof/>
          <w:lang w:val="en-IE" w:eastAsia="fr-BE"/>
        </w:rPr>
        <w:t>2 of the impact assessment report.</w:t>
      </w:r>
    </w:p>
    <w:p w14:paraId="75BBEABA" w14:textId="77777777" w:rsidR="001859C1" w:rsidRPr="007F048F" w:rsidRDefault="001859C1" w:rsidP="000B2095">
      <w:pPr>
        <w:pStyle w:val="ManualHeading2"/>
        <w:rPr>
          <w:noProof/>
        </w:rPr>
      </w:pPr>
      <w:r w:rsidRPr="007F048F">
        <w:rPr>
          <w:noProof/>
        </w:rPr>
        <w:t>Collection and use of expertise</w:t>
      </w:r>
    </w:p>
    <w:p w14:paraId="4528DE07" w14:textId="77777777" w:rsidR="001859C1" w:rsidRPr="003B7DCE" w:rsidRDefault="001859C1" w:rsidP="005A221B">
      <w:pPr>
        <w:rPr>
          <w:noProof/>
          <w:lang w:val="en-IE" w:eastAsia="fr-BE"/>
        </w:rPr>
      </w:pPr>
      <w:r w:rsidRPr="003B7DCE">
        <w:rPr>
          <w:noProof/>
          <w:lang w:val="en-IE" w:eastAsia="fr-BE"/>
        </w:rPr>
        <w:t>To support the analysis of the different options, the Commission awarded support contract</w:t>
      </w:r>
      <w:r w:rsidR="00D34772">
        <w:rPr>
          <w:noProof/>
          <w:lang w:val="en-IE" w:eastAsia="fr-BE"/>
        </w:rPr>
        <w:t>s</w:t>
      </w:r>
      <w:r w:rsidRPr="003B7DCE">
        <w:rPr>
          <w:noProof/>
          <w:lang w:val="en-IE" w:eastAsia="fr-BE"/>
        </w:rPr>
        <w:t xml:space="preserve"> to external experts for a study on due diligence requirements through the supply chain</w:t>
      </w:r>
      <w:bookmarkStart w:id="6" w:name="_Ref96003636"/>
      <w:r w:rsidR="00A3718C">
        <w:rPr>
          <w:rStyle w:val="Allmrkuseviide"/>
          <w:rFonts w:eastAsia="Times New Roman"/>
          <w:noProof/>
          <w:lang w:val="en-IE" w:eastAsia="fr-BE"/>
        </w:rPr>
        <w:footnoteReference w:id="70"/>
      </w:r>
      <w:bookmarkEnd w:id="6"/>
      <w:r>
        <w:rPr>
          <w:noProof/>
          <w:lang w:val="en-IE" w:eastAsia="fr-BE"/>
        </w:rPr>
        <w:t xml:space="preserve"> and </w:t>
      </w:r>
      <w:r w:rsidR="00DA3837">
        <w:rPr>
          <w:noProof/>
          <w:lang w:val="en-IE" w:eastAsia="fr-BE"/>
        </w:rPr>
        <w:t xml:space="preserve">for a study </w:t>
      </w:r>
      <w:r>
        <w:rPr>
          <w:noProof/>
          <w:lang w:val="en-IE" w:eastAsia="fr-BE"/>
        </w:rPr>
        <w:t>on directors’ duties and sustainable corporate governance</w:t>
      </w:r>
      <w:r w:rsidR="00A3718C">
        <w:rPr>
          <w:rStyle w:val="Allmrkuseviide"/>
          <w:rFonts w:eastAsia="Times New Roman"/>
          <w:noProof/>
          <w:lang w:val="en-IE" w:eastAsia="fr-BE"/>
        </w:rPr>
        <w:footnoteReference w:id="71"/>
      </w:r>
      <w:r w:rsidRPr="003B7DCE">
        <w:rPr>
          <w:noProof/>
          <w:lang w:val="en-IE" w:eastAsia="fr-BE"/>
        </w:rPr>
        <w:t>. These experts worked in close cooperation with the Commission throughout the different phases of the study.</w:t>
      </w:r>
    </w:p>
    <w:p w14:paraId="47ED1438" w14:textId="77777777" w:rsidR="001859C1" w:rsidRPr="003B7DCE" w:rsidRDefault="00DA3837" w:rsidP="005A221B">
      <w:pPr>
        <w:rPr>
          <w:noProof/>
          <w:lang w:val="en-IE" w:eastAsia="fr-BE"/>
        </w:rPr>
      </w:pPr>
      <w:r>
        <w:rPr>
          <w:noProof/>
          <w:lang w:val="en-IE" w:eastAsia="fr-BE"/>
        </w:rPr>
        <w:t>Besides</w:t>
      </w:r>
      <w:r w:rsidR="001859C1" w:rsidRPr="003B7DCE">
        <w:rPr>
          <w:noProof/>
          <w:lang w:val="en-IE" w:eastAsia="fr-BE"/>
        </w:rPr>
        <w:t xml:space="preserve"> these support studies, additional expertise was identified through literature research and through the stakeholder consultation responses.</w:t>
      </w:r>
    </w:p>
    <w:p w14:paraId="6D2D8B19" w14:textId="6D2084E3" w:rsidR="001859C1" w:rsidRPr="003B7DCE" w:rsidRDefault="001859C1" w:rsidP="005A221B">
      <w:pPr>
        <w:rPr>
          <w:noProof/>
          <w:lang w:val="en-IE" w:eastAsia="fr-BE"/>
        </w:rPr>
      </w:pPr>
      <w:r w:rsidRPr="003B7DCE">
        <w:rPr>
          <w:noProof/>
          <w:lang w:val="en-IE" w:eastAsia="fr-BE"/>
        </w:rPr>
        <w:t>Alongside the above-mentioned support stud</w:t>
      </w:r>
      <w:r w:rsidR="00DA3837">
        <w:rPr>
          <w:noProof/>
          <w:lang w:val="en-IE" w:eastAsia="fr-BE"/>
        </w:rPr>
        <w:t>ies</w:t>
      </w:r>
      <w:r w:rsidRPr="003B7DCE">
        <w:rPr>
          <w:noProof/>
          <w:lang w:val="en-IE" w:eastAsia="fr-BE"/>
        </w:rPr>
        <w:t xml:space="preserve">, expert </w:t>
      </w:r>
      <w:r w:rsidR="00916725">
        <w:rPr>
          <w:noProof/>
          <w:lang w:val="en-IE" w:eastAsia="fr-BE"/>
        </w:rPr>
        <w:t>g</w:t>
      </w:r>
      <w:r w:rsidRPr="003B7DCE">
        <w:rPr>
          <w:noProof/>
          <w:lang w:val="en-IE" w:eastAsia="fr-BE"/>
        </w:rPr>
        <w:t xml:space="preserve">roup meetings, and stakeholder consultations, the Commission also paid close attention to the </w:t>
      </w:r>
      <w:r w:rsidR="00DA3837">
        <w:rPr>
          <w:noProof/>
          <w:lang w:val="en-IE" w:eastAsia="fr-BE"/>
        </w:rPr>
        <w:t>relevant</w:t>
      </w:r>
      <w:r w:rsidRPr="003B7DCE">
        <w:rPr>
          <w:noProof/>
          <w:lang w:val="en-IE" w:eastAsia="fr-BE"/>
        </w:rPr>
        <w:t xml:space="preserve"> European Parliament resolution </w:t>
      </w:r>
      <w:r w:rsidR="00DA3837">
        <w:rPr>
          <w:noProof/>
          <w:lang w:val="en-IE" w:eastAsia="fr-BE"/>
        </w:rPr>
        <w:t xml:space="preserve">and to the Council Conclusions. The </w:t>
      </w:r>
      <w:r w:rsidRPr="003B7DCE">
        <w:rPr>
          <w:noProof/>
          <w:lang w:val="en-IE" w:eastAsia="fr-BE"/>
        </w:rPr>
        <w:t xml:space="preserve">European Parliament resolution of 10 March 2021 </w:t>
      </w:r>
      <w:r w:rsidR="00DA3837">
        <w:rPr>
          <w:noProof/>
          <w:lang w:val="en-IE" w:eastAsia="fr-BE"/>
        </w:rPr>
        <w:t>provided</w:t>
      </w:r>
      <w:r w:rsidR="00DA3837" w:rsidRPr="003B7DCE">
        <w:rPr>
          <w:noProof/>
          <w:lang w:val="en-IE" w:eastAsia="fr-BE"/>
        </w:rPr>
        <w:t xml:space="preserve"> </w:t>
      </w:r>
      <w:r w:rsidRPr="003B7DCE">
        <w:rPr>
          <w:noProof/>
          <w:lang w:val="en-IE" w:eastAsia="fr-BE"/>
        </w:rPr>
        <w:t>recommendations to the Commission on corporate due diligence and corporate accountability, calling upon the Commission to propose EU rules for a comprehensive corporate due diligence obligation</w:t>
      </w:r>
      <w:r w:rsidR="00FD5740">
        <w:rPr>
          <w:noProof/>
          <w:lang w:val="en-IE" w:eastAsia="fr-BE"/>
        </w:rPr>
        <w:t>.</w:t>
      </w:r>
      <w:r w:rsidR="00433759">
        <w:rPr>
          <w:noProof/>
          <w:lang w:val="en-IE" w:eastAsia="fr-BE"/>
        </w:rPr>
        <w:t xml:space="preserve"> </w:t>
      </w:r>
      <w:r w:rsidR="00DA3837">
        <w:rPr>
          <w:noProof/>
          <w:lang w:val="en-IE" w:eastAsia="fr-BE"/>
        </w:rPr>
        <w:t>T</w:t>
      </w:r>
      <w:r w:rsidRPr="003B7DCE">
        <w:rPr>
          <w:noProof/>
          <w:lang w:val="en-IE" w:eastAsia="fr-BE"/>
        </w:rPr>
        <w:t xml:space="preserve">he Council Conclusions on Human Rights and Decent Work in Global Supply Chains of 1 December 2020 </w:t>
      </w:r>
      <w:r w:rsidR="00DA3837" w:rsidRPr="003B7DCE">
        <w:rPr>
          <w:noProof/>
          <w:lang w:val="en-IE" w:eastAsia="fr-BE"/>
        </w:rPr>
        <w:t>call</w:t>
      </w:r>
      <w:r w:rsidR="00DA3837">
        <w:rPr>
          <w:noProof/>
          <w:lang w:val="en-IE" w:eastAsia="fr-BE"/>
        </w:rPr>
        <w:t>ed</w:t>
      </w:r>
      <w:r w:rsidR="00DA3837" w:rsidRPr="003B7DCE">
        <w:rPr>
          <w:noProof/>
          <w:lang w:val="en-IE" w:eastAsia="fr-BE"/>
        </w:rPr>
        <w:t xml:space="preserve"> </w:t>
      </w:r>
      <w:r w:rsidRPr="003B7DCE">
        <w:rPr>
          <w:noProof/>
          <w:lang w:val="en-IE" w:eastAsia="fr-BE"/>
        </w:rPr>
        <w:t xml:space="preserve">upon the Commission to table a proposal for an EU legal framework on sustainable corporate governance, including cross-sector corporate due diligence obligations along global </w:t>
      </w:r>
      <w:r w:rsidR="00834EE1">
        <w:rPr>
          <w:noProof/>
          <w:lang w:val="en-IE" w:eastAsia="fr-BE"/>
        </w:rPr>
        <w:t xml:space="preserve">value </w:t>
      </w:r>
      <w:r w:rsidRPr="003B7DCE">
        <w:rPr>
          <w:noProof/>
          <w:lang w:val="en-IE" w:eastAsia="fr-BE"/>
        </w:rPr>
        <w:t>chains.</w:t>
      </w:r>
    </w:p>
    <w:p w14:paraId="073E275C" w14:textId="77777777" w:rsidR="001859C1" w:rsidRDefault="001859C1" w:rsidP="000B2095">
      <w:pPr>
        <w:pStyle w:val="ManualHeading2"/>
        <w:rPr>
          <w:noProof/>
        </w:rPr>
      </w:pPr>
      <w:r w:rsidRPr="007718A8">
        <w:rPr>
          <w:noProof/>
        </w:rPr>
        <w:t>Impact assessment</w:t>
      </w:r>
    </w:p>
    <w:p w14:paraId="7678AFD6" w14:textId="77777777" w:rsidR="001859C1" w:rsidRPr="005239CB" w:rsidRDefault="001859C1" w:rsidP="00820812">
      <w:pPr>
        <w:rPr>
          <w:noProof/>
        </w:rPr>
      </w:pPr>
      <w:r w:rsidRPr="02582E20">
        <w:rPr>
          <w:noProof/>
        </w:rPr>
        <w:t xml:space="preserve">The analysis in the impact assessment addressed in a broad sense the problem arising from the need to reinforce sustainability in corporate governance and management systems, with two dimensions: </w:t>
      </w:r>
      <w:r w:rsidR="00E07519">
        <w:rPr>
          <w:noProof/>
        </w:rPr>
        <w:t>(</w:t>
      </w:r>
      <w:r w:rsidRPr="02582E20">
        <w:rPr>
          <w:noProof/>
        </w:rPr>
        <w:t xml:space="preserve">1) stakeholder interests and stakeholder-related (sustainability) risks to </w:t>
      </w:r>
      <w:r w:rsidR="00DA3837" w:rsidRPr="02582E20">
        <w:rPr>
          <w:noProof/>
        </w:rPr>
        <w:t>compan</w:t>
      </w:r>
      <w:r w:rsidR="00DA3837">
        <w:rPr>
          <w:noProof/>
        </w:rPr>
        <w:t>ies</w:t>
      </w:r>
      <w:r w:rsidR="00DA3837" w:rsidRPr="02582E20">
        <w:rPr>
          <w:noProof/>
        </w:rPr>
        <w:t xml:space="preserve"> </w:t>
      </w:r>
      <w:r w:rsidRPr="02582E20">
        <w:rPr>
          <w:noProof/>
        </w:rPr>
        <w:t xml:space="preserve">are not sufficiently taken into account in corporate risk management systems and decisions; </w:t>
      </w:r>
      <w:r w:rsidR="00E07519">
        <w:rPr>
          <w:noProof/>
        </w:rPr>
        <w:t>(</w:t>
      </w:r>
      <w:r w:rsidRPr="02582E20">
        <w:rPr>
          <w:noProof/>
        </w:rPr>
        <w:t>2) companies do not sufficiently mitigate their adverse human rights</w:t>
      </w:r>
      <w:r w:rsidR="00DB305B">
        <w:rPr>
          <w:noProof/>
        </w:rPr>
        <w:t xml:space="preserve"> and </w:t>
      </w:r>
      <w:r w:rsidRPr="02582E20">
        <w:rPr>
          <w:noProof/>
        </w:rPr>
        <w:t xml:space="preserve"> environmental impacts, do not have adequate governance, management systems and measures to mitigate their harmful impacts. </w:t>
      </w:r>
    </w:p>
    <w:p w14:paraId="0EFEA685" w14:textId="77777777" w:rsidR="001859C1" w:rsidRPr="005239CB" w:rsidRDefault="001859C1" w:rsidP="00820812">
      <w:pPr>
        <w:rPr>
          <w:noProof/>
        </w:rPr>
      </w:pPr>
      <w:r w:rsidRPr="00D57A93">
        <w:rPr>
          <w:noProof/>
        </w:rPr>
        <w:t>After consideration of different policy op</w:t>
      </w:r>
      <w:r w:rsidRPr="00BC5153">
        <w:rPr>
          <w:noProof/>
        </w:rPr>
        <w:t>tions mainly in the areas of corporate due diligence duty and directors’ duties, the impact assessment proposed a preferred package of policy options across three elements: corporate due diligence, directors’ duties and remunerati</w:t>
      </w:r>
      <w:r w:rsidRPr="00F91162">
        <w:rPr>
          <w:noProof/>
        </w:rPr>
        <w:t>on, which complement each other.</w:t>
      </w:r>
    </w:p>
    <w:p w14:paraId="5A4706DE" w14:textId="77777777" w:rsidR="008E0211" w:rsidRPr="005239CB" w:rsidRDefault="001859C1">
      <w:pPr>
        <w:pBdr>
          <w:top w:val="nil"/>
          <w:left w:val="nil"/>
          <w:bottom w:val="nil"/>
          <w:right w:val="nil"/>
          <w:between w:val="nil"/>
          <w:bar w:val="nil"/>
        </w:pBdr>
        <w:rPr>
          <w:rFonts w:eastAsia="Times New Roman"/>
          <w:noProof/>
        </w:rPr>
      </w:pPr>
      <w:r w:rsidRPr="00D57A93">
        <w:rPr>
          <w:noProof/>
        </w:rPr>
        <w:t xml:space="preserve">The </w:t>
      </w:r>
      <w:r w:rsidR="00DA3837">
        <w:rPr>
          <w:noProof/>
        </w:rPr>
        <w:t>draft</w:t>
      </w:r>
      <w:r w:rsidRPr="00D57A93">
        <w:rPr>
          <w:noProof/>
        </w:rPr>
        <w:t xml:space="preserve"> impact assessment was submitted to the Commission’s Regulatory Scrutiny Board</w:t>
      </w:r>
      <w:r w:rsidR="00DA3837">
        <w:rPr>
          <w:noProof/>
        </w:rPr>
        <w:t xml:space="preserve"> on 9 April 2021</w:t>
      </w:r>
      <w:r w:rsidR="008E0211">
        <w:rPr>
          <w:noProof/>
        </w:rPr>
        <w:t>.</w:t>
      </w:r>
      <w:r w:rsidRPr="00D57A93">
        <w:rPr>
          <w:noProof/>
        </w:rPr>
        <w:t xml:space="preserve"> Following </w:t>
      </w:r>
      <w:r w:rsidR="00DA3837">
        <w:rPr>
          <w:noProof/>
        </w:rPr>
        <w:t xml:space="preserve">the </w:t>
      </w:r>
      <w:r w:rsidRPr="00D57A93">
        <w:rPr>
          <w:noProof/>
        </w:rPr>
        <w:t>negative opinion</w:t>
      </w:r>
      <w:r w:rsidR="00DA3837">
        <w:rPr>
          <w:noProof/>
        </w:rPr>
        <w:t xml:space="preserve"> by the Board</w:t>
      </w:r>
      <w:r w:rsidRPr="00D57A93">
        <w:rPr>
          <w:noProof/>
        </w:rPr>
        <w:t>,</w:t>
      </w:r>
      <w:r>
        <w:rPr>
          <w:noProof/>
        </w:rPr>
        <w:t xml:space="preserve"> </w:t>
      </w:r>
      <w:r w:rsidR="00DA3837">
        <w:rPr>
          <w:noProof/>
        </w:rPr>
        <w:t xml:space="preserve">a revised </w:t>
      </w:r>
      <w:r>
        <w:rPr>
          <w:noProof/>
        </w:rPr>
        <w:t xml:space="preserve">impact assessment was </w:t>
      </w:r>
      <w:r w:rsidR="00DA3837">
        <w:rPr>
          <w:noProof/>
        </w:rPr>
        <w:t>submitted to the Board for a second opinion on 8 November 2021</w:t>
      </w:r>
      <w:r>
        <w:rPr>
          <w:noProof/>
        </w:rPr>
        <w:t>.</w:t>
      </w:r>
      <w:r w:rsidRPr="00D57A93">
        <w:rPr>
          <w:noProof/>
        </w:rPr>
        <w:t xml:space="preserve"> </w:t>
      </w:r>
      <w:r w:rsidR="00DA3837">
        <w:rPr>
          <w:noProof/>
        </w:rPr>
        <w:t xml:space="preserve">While noting the significant revision of the report in response to the Board`s first opinion, </w:t>
      </w:r>
      <w:r w:rsidRPr="00D57A93">
        <w:rPr>
          <w:noProof/>
        </w:rPr>
        <w:t xml:space="preserve">the Board </w:t>
      </w:r>
      <w:r w:rsidR="00DA3837">
        <w:rPr>
          <w:noProof/>
        </w:rPr>
        <w:t xml:space="preserve">nevertheless </w:t>
      </w:r>
      <w:r w:rsidRPr="00D57A93">
        <w:rPr>
          <w:noProof/>
        </w:rPr>
        <w:t>issued a second negative opinion</w:t>
      </w:r>
      <w:r w:rsidR="00DA3837">
        <w:rPr>
          <w:noProof/>
        </w:rPr>
        <w:t xml:space="preserve"> on 26 November 2021</w:t>
      </w:r>
      <w:r w:rsidR="00F0518F">
        <w:rPr>
          <w:rStyle w:val="Allmrkuseviide"/>
          <w:noProof/>
        </w:rPr>
        <w:footnoteReference w:id="72"/>
      </w:r>
      <w:r w:rsidRPr="00D57A93">
        <w:rPr>
          <w:noProof/>
        </w:rPr>
        <w:t>, which underlined the need for political g</w:t>
      </w:r>
      <w:r w:rsidRPr="00BC5153">
        <w:rPr>
          <w:noProof/>
        </w:rPr>
        <w:t>uidance on whether, and under which conditions, the sustainable corporate governance initiative could proceed further. The Board</w:t>
      </w:r>
      <w:r w:rsidRPr="02582E20">
        <w:rPr>
          <w:noProof/>
        </w:rPr>
        <w:t xml:space="preserve"> </w:t>
      </w:r>
      <w:r w:rsidRPr="00D57A93">
        <w:rPr>
          <w:noProof/>
        </w:rPr>
        <w:t>maintained its negative opinion because</w:t>
      </w:r>
      <w:r>
        <w:rPr>
          <w:noProof/>
        </w:rPr>
        <w:t xml:space="preserve"> it considered that</w:t>
      </w:r>
      <w:r w:rsidRPr="00D57A93">
        <w:rPr>
          <w:noProof/>
        </w:rPr>
        <w:t xml:space="preserve"> the impact assessment report </w:t>
      </w:r>
      <w:r>
        <w:rPr>
          <w:noProof/>
        </w:rPr>
        <w:t>did not sufficiently</w:t>
      </w:r>
      <w:r w:rsidR="00A214C4">
        <w:rPr>
          <w:noProof/>
        </w:rPr>
        <w:t xml:space="preserve"> </w:t>
      </w:r>
      <w:r w:rsidRPr="00D57A93">
        <w:rPr>
          <w:noProof/>
        </w:rPr>
        <w:t xml:space="preserve">(1) address </w:t>
      </w:r>
      <w:r w:rsidRPr="00BC5153">
        <w:rPr>
          <w:noProof/>
        </w:rPr>
        <w:t xml:space="preserve">the problem description and provide convincing evidence that EU businesses, in particular SMEs, do not already sufficiently reflect sustainability aspects or do not have sufficient incentives to do so; (2) present </w:t>
      </w:r>
      <w:r w:rsidR="00A214C4">
        <w:rPr>
          <w:noProof/>
        </w:rPr>
        <w:t xml:space="preserve">a </w:t>
      </w:r>
      <w:r w:rsidRPr="00BC5153">
        <w:rPr>
          <w:noProof/>
        </w:rPr>
        <w:t xml:space="preserve">scope of policy options </w:t>
      </w:r>
      <w:r w:rsidRPr="00F91162">
        <w:rPr>
          <w:noProof/>
        </w:rPr>
        <w:t>and identify or fully assess key policy choices; (3) assess the impacts in a complete, balanced and neutral way and reflect uncertainty related to the r</w:t>
      </w:r>
      <w:r w:rsidR="00A214C4">
        <w:rPr>
          <w:noProof/>
        </w:rPr>
        <w:t xml:space="preserve">ealisation of benefits, and (4) </w:t>
      </w:r>
      <w:r w:rsidRPr="00F91162">
        <w:rPr>
          <w:noProof/>
        </w:rPr>
        <w:t>demonstrate the proportionality of the preferred option.</w:t>
      </w:r>
      <w:r w:rsidR="008E0211" w:rsidRPr="008E0211">
        <w:rPr>
          <w:rFonts w:eastAsia="Times New Roman"/>
          <w:noProof/>
        </w:rPr>
        <w:t xml:space="preserve"> </w:t>
      </w:r>
    </w:p>
    <w:p w14:paraId="22BC1896" w14:textId="77777777" w:rsidR="003933E2" w:rsidRPr="00DE3104" w:rsidRDefault="003933E2" w:rsidP="003933E2">
      <w:pPr>
        <w:rPr>
          <w:noProof/>
        </w:rPr>
      </w:pPr>
      <w:r w:rsidRPr="00DE3104">
        <w:rPr>
          <w:noProof/>
        </w:rPr>
        <w:t xml:space="preserve">Therefore, in order to address the comments of the Board’s second negative opinion, the impact assessment is complemented by a staff working document on the follow-up of the Board’s opinion that provides additional clarifications and evidence on the areas where the Board had provided specific suggestions of improvements. </w:t>
      </w:r>
    </w:p>
    <w:p w14:paraId="25080118" w14:textId="77777777" w:rsidR="001859C1" w:rsidRPr="005239CB" w:rsidRDefault="008E0211" w:rsidP="000A60CF">
      <w:pPr>
        <w:rPr>
          <w:noProof/>
        </w:rPr>
      </w:pPr>
      <w:r>
        <w:rPr>
          <w:rFonts w:eastAsia="Times New Roman"/>
          <w:noProof/>
        </w:rPr>
        <w:t>According to the Commission’s Better Regulation rules a positive opinion from the Regulatory Scrutiny board is required for a file to proceed to the adoption stage. However,</w:t>
      </w:r>
      <w:r w:rsidR="001859C1">
        <w:rPr>
          <w:rFonts w:eastAsia="Times New Roman"/>
          <w:noProof/>
        </w:rPr>
        <w:t xml:space="preserve"> </w:t>
      </w:r>
      <w:r w:rsidR="001859C1" w:rsidRPr="02582E20">
        <w:rPr>
          <w:noProof/>
        </w:rPr>
        <w:t xml:space="preserve">the Vice President for Inter-Institutional Relations and Foresight </w:t>
      </w:r>
      <w:r>
        <w:rPr>
          <w:rFonts w:eastAsia="Times New Roman"/>
          <w:noProof/>
        </w:rPr>
        <w:t>can allow for</w:t>
      </w:r>
      <w:r w:rsidRPr="02582E20">
        <w:rPr>
          <w:rFonts w:eastAsia="Times New Roman"/>
          <w:noProof/>
        </w:rPr>
        <w:t xml:space="preserve"> </w:t>
      </w:r>
      <w:r w:rsidR="001859C1" w:rsidRPr="02582E20">
        <w:rPr>
          <w:noProof/>
        </w:rPr>
        <w:t xml:space="preserve">the continuation of </w:t>
      </w:r>
      <w:r w:rsidR="001859C1">
        <w:rPr>
          <w:noProof/>
        </w:rPr>
        <w:t xml:space="preserve">the preparations for </w:t>
      </w:r>
      <w:r w:rsidR="001859C1" w:rsidRPr="02582E20">
        <w:rPr>
          <w:noProof/>
        </w:rPr>
        <w:t>an initiative that has been subject to a second negative opinion by the Regulatory Scrutiny Board.</w:t>
      </w:r>
      <w:r w:rsidR="003933E2" w:rsidRPr="003933E2">
        <w:rPr>
          <w:rFonts w:eastAsia="Times New Roman"/>
          <w:noProof/>
        </w:rPr>
        <w:t xml:space="preserve"> </w:t>
      </w:r>
      <w:r w:rsidR="003933E2">
        <w:rPr>
          <w:rFonts w:eastAsia="Times New Roman"/>
          <w:noProof/>
        </w:rPr>
        <w:t>It is important to flag that the opinions of the Regulatory scrutiny Board are an assessment of the quality of the impact assessment and not an assessment of the related legislative proposal.</w:t>
      </w:r>
    </w:p>
    <w:p w14:paraId="3F1EBDF3" w14:textId="77777777" w:rsidR="001859C1" w:rsidRPr="003D4463" w:rsidRDefault="001859C1">
      <w:pPr>
        <w:rPr>
          <w:noProof/>
        </w:rPr>
      </w:pPr>
      <w:r>
        <w:rPr>
          <w:noProof/>
        </w:rPr>
        <w:t>T</w:t>
      </w:r>
      <w:r w:rsidRPr="02582E20">
        <w:rPr>
          <w:noProof/>
        </w:rPr>
        <w:t>he Commission, also in the light of the agreement by the Vice</w:t>
      </w:r>
      <w:r w:rsidR="003933E2">
        <w:rPr>
          <w:noProof/>
        </w:rPr>
        <w:t>-</w:t>
      </w:r>
      <w:r w:rsidRPr="02582E20">
        <w:rPr>
          <w:noProof/>
        </w:rPr>
        <w:t>President for Inter-Institutional Relations and Foresight, has considered it opportune to proceed with the initiative</w:t>
      </w:r>
      <w:r>
        <w:rPr>
          <w:noProof/>
        </w:rPr>
        <w:t xml:space="preserve"> for the following reasons:</w:t>
      </w:r>
      <w:r w:rsidRPr="02582E20">
        <w:rPr>
          <w:noProof/>
        </w:rPr>
        <w:t xml:space="preserve"> </w:t>
      </w:r>
    </w:p>
    <w:p w14:paraId="1969F104" w14:textId="77777777" w:rsidR="001859C1" w:rsidRPr="003D4463" w:rsidRDefault="001859C1" w:rsidP="00A3434D">
      <w:pPr>
        <w:pStyle w:val="Tiret0"/>
        <w:rPr>
          <w:rFonts w:eastAsia="Times New Roman"/>
          <w:noProof/>
        </w:rPr>
      </w:pPr>
      <w:r w:rsidRPr="00A2420D">
        <w:rPr>
          <w:rFonts w:eastAsia="Times New Roman"/>
          <w:noProof/>
        </w:rPr>
        <w:t xml:space="preserve">the </w:t>
      </w:r>
      <w:r w:rsidRPr="003933E2">
        <w:rPr>
          <w:rFonts w:eastAsia="Times New Roman"/>
          <w:i/>
          <w:noProof/>
        </w:rPr>
        <w:t>political importance</w:t>
      </w:r>
      <w:r w:rsidRPr="00A2420D">
        <w:rPr>
          <w:rFonts w:eastAsia="Times New Roman"/>
          <w:noProof/>
        </w:rPr>
        <w:t xml:space="preserve"> of this initiative for the Commission’s political priority of “An economy that works for people”, including within the context of the Sustainable Finance package</w:t>
      </w:r>
      <w:r w:rsidRPr="02582E20">
        <w:rPr>
          <w:rFonts w:eastAsia="Times New Roman"/>
          <w:noProof/>
        </w:rPr>
        <w:t xml:space="preserve"> </w:t>
      </w:r>
      <w:r>
        <w:rPr>
          <w:rFonts w:eastAsia="Arial Unicode MS"/>
          <w:noProof/>
        </w:rPr>
        <w:t>and</w:t>
      </w:r>
      <w:r w:rsidRPr="00D42D9B">
        <w:rPr>
          <w:rFonts w:eastAsia="Arial Unicode MS"/>
          <w:noProof/>
        </w:rPr>
        <w:t xml:space="preserve"> </w:t>
      </w:r>
      <w:r>
        <w:rPr>
          <w:rFonts w:eastAsia="Times New Roman"/>
          <w:noProof/>
        </w:rPr>
        <w:t>the European Green Deal</w:t>
      </w:r>
      <w:r w:rsidRPr="004B0ADA">
        <w:rPr>
          <w:rFonts w:eastAsia="Times New Roman"/>
          <w:noProof/>
        </w:rPr>
        <w:t xml:space="preserve"> </w:t>
      </w:r>
      <w:r>
        <w:rPr>
          <w:rFonts w:eastAsia="Arial Unicode MS"/>
          <w:noProof/>
        </w:rPr>
        <w:t>and</w:t>
      </w:r>
      <w:r w:rsidRPr="00D42D9B">
        <w:rPr>
          <w:rFonts w:eastAsia="Arial Unicode MS"/>
          <w:noProof/>
        </w:rPr>
        <w:t xml:space="preserve"> </w:t>
      </w:r>
    </w:p>
    <w:p w14:paraId="104FE2D9" w14:textId="77777777" w:rsidR="001859C1" w:rsidRPr="003D4463" w:rsidRDefault="001859C1" w:rsidP="00A3434D">
      <w:pPr>
        <w:pStyle w:val="Tiret0"/>
        <w:rPr>
          <w:rFonts w:eastAsia="Arial Unicode MS"/>
          <w:noProof/>
        </w:rPr>
      </w:pPr>
      <w:r>
        <w:rPr>
          <w:rFonts w:eastAsia="Times New Roman"/>
          <w:noProof/>
        </w:rPr>
        <w:t xml:space="preserve">the </w:t>
      </w:r>
      <w:r w:rsidRPr="000F2FEE">
        <w:rPr>
          <w:rFonts w:eastAsia="Times New Roman"/>
          <w:i/>
          <w:noProof/>
        </w:rPr>
        <w:t>urgency</w:t>
      </w:r>
      <w:r w:rsidRPr="002E42B0">
        <w:rPr>
          <w:rStyle w:val="Kommentaariviide"/>
          <w:rFonts w:eastAsia="Times New Roman"/>
          <w:i/>
          <w:noProof/>
          <w:sz w:val="24"/>
          <w:szCs w:val="24"/>
        </w:rPr>
        <w:t xml:space="preserve"> </w:t>
      </w:r>
      <w:r w:rsidRPr="003933E2">
        <w:rPr>
          <w:rFonts w:eastAsia="Times New Roman"/>
          <w:i/>
          <w:noProof/>
        </w:rPr>
        <w:t>of</w:t>
      </w:r>
      <w:r w:rsidRPr="003933E2">
        <w:rPr>
          <w:rFonts w:eastAsia="Arial Unicode MS"/>
          <w:i/>
          <w:noProof/>
        </w:rPr>
        <w:t xml:space="preserve"> </w:t>
      </w:r>
      <w:r w:rsidRPr="003933E2">
        <w:rPr>
          <w:rFonts w:eastAsia="Times New Roman"/>
          <w:i/>
          <w:noProof/>
        </w:rPr>
        <w:t>action</w:t>
      </w:r>
      <w:r w:rsidRPr="004B0ADA">
        <w:rPr>
          <w:rFonts w:eastAsia="Times New Roman"/>
          <w:noProof/>
        </w:rPr>
        <w:t xml:space="preserve"> in the field of value chain due diligence</w:t>
      </w:r>
      <w:r w:rsidRPr="02582E20">
        <w:rPr>
          <w:rFonts w:eastAsia="Times New Roman"/>
          <w:noProof/>
        </w:rPr>
        <w:t xml:space="preserve"> </w:t>
      </w:r>
      <w:r>
        <w:rPr>
          <w:rFonts w:eastAsia="Times New Roman"/>
          <w:noProof/>
        </w:rPr>
        <w:t>as contribution to the sustainability transition</w:t>
      </w:r>
      <w:r w:rsidRPr="004B0ADA">
        <w:rPr>
          <w:rFonts w:eastAsia="Times New Roman"/>
          <w:noProof/>
        </w:rPr>
        <w:t xml:space="preserve">, </w:t>
      </w:r>
      <w:r>
        <w:rPr>
          <w:rFonts w:eastAsia="Times New Roman"/>
          <w:noProof/>
        </w:rPr>
        <w:t xml:space="preserve">and to address the risk of </w:t>
      </w:r>
      <w:r w:rsidRPr="00484B6C">
        <w:rPr>
          <w:rFonts w:eastAsia="Times New Roman"/>
          <w:noProof/>
        </w:rPr>
        <w:t>the increasing Single market fragmentation</w:t>
      </w:r>
      <w:r w:rsidRPr="02582E20">
        <w:rPr>
          <w:rFonts w:eastAsia="Times New Roman"/>
          <w:noProof/>
        </w:rPr>
        <w:t xml:space="preserve">, </w:t>
      </w:r>
      <w:r w:rsidRPr="00A2420D">
        <w:rPr>
          <w:rFonts w:eastAsia="Times New Roman"/>
          <w:noProof/>
        </w:rPr>
        <w:t>as well as</w:t>
      </w:r>
      <w:r w:rsidR="00707728">
        <w:rPr>
          <w:rFonts w:eastAsia="Times New Roman"/>
          <w:noProof/>
        </w:rPr>
        <w:t xml:space="preserve"> the view that </w:t>
      </w:r>
    </w:p>
    <w:p w14:paraId="63BE61BE" w14:textId="77777777" w:rsidR="001859C1" w:rsidRDefault="001859C1" w:rsidP="00A3434D">
      <w:pPr>
        <w:pStyle w:val="Tiret0"/>
        <w:rPr>
          <w:rFonts w:eastAsia="Times New Roman"/>
          <w:noProof/>
        </w:rPr>
      </w:pPr>
      <w:r w:rsidRPr="00A2420D">
        <w:rPr>
          <w:rFonts w:eastAsia="Times New Roman"/>
          <w:noProof/>
        </w:rPr>
        <w:t xml:space="preserve">the </w:t>
      </w:r>
      <w:r w:rsidR="003933E2">
        <w:rPr>
          <w:rFonts w:eastAsia="Times New Roman"/>
          <w:i/>
          <w:noProof/>
        </w:rPr>
        <w:t xml:space="preserve">additional clarification and evidence </w:t>
      </w:r>
      <w:r w:rsidR="003933E2">
        <w:rPr>
          <w:rFonts w:eastAsia="Times New Roman"/>
          <w:noProof/>
        </w:rPr>
        <w:t>provided satisfactorily addressed</w:t>
      </w:r>
      <w:r w:rsidRPr="00A2420D">
        <w:rPr>
          <w:rFonts w:eastAsia="Times New Roman"/>
          <w:noProof/>
        </w:rPr>
        <w:t xml:space="preserve">  the </w:t>
      </w:r>
      <w:r>
        <w:rPr>
          <w:rFonts w:eastAsia="Times New Roman"/>
          <w:noProof/>
        </w:rPr>
        <w:t>shortcomings</w:t>
      </w:r>
      <w:r w:rsidRPr="02582E20">
        <w:rPr>
          <w:rFonts w:eastAsia="Times New Roman"/>
          <w:noProof/>
        </w:rPr>
        <w:t xml:space="preserve"> </w:t>
      </w:r>
      <w:r w:rsidR="00B50653">
        <w:rPr>
          <w:rFonts w:eastAsia="Times New Roman"/>
          <w:noProof/>
        </w:rPr>
        <w:t xml:space="preserve">of the impact assessment </w:t>
      </w:r>
      <w:r>
        <w:rPr>
          <w:rFonts w:eastAsia="Times New Roman"/>
          <w:noProof/>
        </w:rPr>
        <w:t>identified</w:t>
      </w:r>
      <w:r w:rsidRPr="00A2420D">
        <w:rPr>
          <w:rFonts w:eastAsia="Times New Roman"/>
          <w:noProof/>
        </w:rPr>
        <w:t xml:space="preserve"> by the Regulatory Scrutiny Board  </w:t>
      </w:r>
      <w:r w:rsidR="003933E2">
        <w:rPr>
          <w:rFonts w:eastAsia="Times New Roman"/>
          <w:noProof/>
        </w:rPr>
        <w:t>and were considered</w:t>
      </w:r>
      <w:r w:rsidRPr="00A2420D" w:rsidDel="003933E2">
        <w:rPr>
          <w:rFonts w:eastAsia="Times New Roman"/>
          <w:noProof/>
        </w:rPr>
        <w:t xml:space="preserve"> </w:t>
      </w:r>
      <w:r w:rsidRPr="00A2420D">
        <w:rPr>
          <w:rFonts w:eastAsia="Times New Roman"/>
          <w:noProof/>
        </w:rPr>
        <w:t>in the adapted legal proposal</w:t>
      </w:r>
      <w:r w:rsidR="003D6F2B">
        <w:rPr>
          <w:rFonts w:eastAsia="Times New Roman"/>
          <w:noProof/>
        </w:rPr>
        <w:t>.</w:t>
      </w:r>
    </w:p>
    <w:p w14:paraId="19B897BC" w14:textId="77777777" w:rsidR="001859C1" w:rsidRPr="005239CB" w:rsidRDefault="00772588">
      <w:pPr>
        <w:rPr>
          <w:noProof/>
        </w:rPr>
      </w:pPr>
      <w:r>
        <w:rPr>
          <w:rFonts w:eastAsia="Times New Roman"/>
          <w:noProof/>
        </w:rPr>
        <w:t>With regard to its importance and urgency, t</w:t>
      </w:r>
      <w:r w:rsidRPr="004B0ADA">
        <w:rPr>
          <w:rFonts w:eastAsia="Times New Roman"/>
          <w:noProof/>
        </w:rPr>
        <w:t xml:space="preserve">he </w:t>
      </w:r>
      <w:r w:rsidR="001859C1" w:rsidRPr="00490556">
        <w:rPr>
          <w:noProof/>
        </w:rPr>
        <w:t>Commission</w:t>
      </w:r>
      <w:r w:rsidR="001859C1" w:rsidRPr="004B0ADA">
        <w:rPr>
          <w:noProof/>
        </w:rPr>
        <w:t xml:space="preserve"> also </w:t>
      </w:r>
      <w:r w:rsidR="001859C1" w:rsidRPr="02582E20">
        <w:rPr>
          <w:noProof/>
        </w:rPr>
        <w:t>took note that</w:t>
      </w:r>
      <w:r w:rsidR="001859C1">
        <w:rPr>
          <w:rFonts w:eastAsia="Arial Unicode MS"/>
          <w:noProof/>
        </w:rPr>
        <w:t xml:space="preserve"> </w:t>
      </w:r>
      <w:r w:rsidR="001859C1" w:rsidRPr="02582E20">
        <w:rPr>
          <w:noProof/>
        </w:rPr>
        <w:t xml:space="preserve">the </w:t>
      </w:r>
      <w:r w:rsidR="001859C1">
        <w:rPr>
          <w:noProof/>
        </w:rPr>
        <w:t>initiative</w:t>
      </w:r>
      <w:r w:rsidR="001859C1" w:rsidRPr="02582E20">
        <w:rPr>
          <w:noProof/>
        </w:rPr>
        <w:t xml:space="preserve"> was included in the Joint Political Priorities for 2022 by the European Parliament, the Council and the Commission.</w:t>
      </w:r>
    </w:p>
    <w:p w14:paraId="59A1B560" w14:textId="77777777" w:rsidR="001859C1" w:rsidRPr="005239CB" w:rsidRDefault="001859C1">
      <w:pPr>
        <w:rPr>
          <w:noProof/>
        </w:rPr>
      </w:pPr>
      <w:r w:rsidRPr="02582E20">
        <w:rPr>
          <w:noProof/>
        </w:rPr>
        <w:t>After careful analysis of the Board’s findings</w:t>
      </w:r>
      <w:r w:rsidR="00772588">
        <w:rPr>
          <w:noProof/>
        </w:rPr>
        <w:t xml:space="preserve"> and considering the reflections on the additional clarif</w:t>
      </w:r>
      <w:r w:rsidR="00FD5740">
        <w:rPr>
          <w:noProof/>
        </w:rPr>
        <w:t>ications and evidence provided,</w:t>
      </w:r>
      <w:r w:rsidRPr="02582E20">
        <w:rPr>
          <w:noProof/>
        </w:rPr>
        <w:t xml:space="preserve"> the Commission considers that the proposal</w:t>
      </w:r>
      <w:r>
        <w:rPr>
          <w:noProof/>
        </w:rPr>
        <w:t>,</w:t>
      </w:r>
      <w:r w:rsidRPr="02582E20">
        <w:rPr>
          <w:noProof/>
        </w:rPr>
        <w:t xml:space="preserve"> which</w:t>
      </w:r>
      <w:r w:rsidR="00A214C4">
        <w:rPr>
          <w:noProof/>
        </w:rPr>
        <w:t xml:space="preserve"> </w:t>
      </w:r>
      <w:r w:rsidR="00772588">
        <w:rPr>
          <w:noProof/>
        </w:rPr>
        <w:t xml:space="preserve">has been </w:t>
      </w:r>
      <w:r w:rsidRPr="02582E20">
        <w:rPr>
          <w:noProof/>
        </w:rPr>
        <w:t xml:space="preserve">significantly revised as compared to the package of policy options put forward by the </w:t>
      </w:r>
      <w:r>
        <w:rPr>
          <w:noProof/>
        </w:rPr>
        <w:t>i</w:t>
      </w:r>
      <w:r w:rsidRPr="02582E20">
        <w:rPr>
          <w:noProof/>
        </w:rPr>
        <w:t xml:space="preserve">mpact </w:t>
      </w:r>
      <w:r>
        <w:rPr>
          <w:noProof/>
        </w:rPr>
        <w:t>a</w:t>
      </w:r>
      <w:r w:rsidRPr="02582E20">
        <w:rPr>
          <w:noProof/>
        </w:rPr>
        <w:t>ssessment</w:t>
      </w:r>
      <w:r>
        <w:rPr>
          <w:noProof/>
        </w:rPr>
        <w:t>,</w:t>
      </w:r>
      <w:r w:rsidRPr="02582E20">
        <w:rPr>
          <w:noProof/>
        </w:rPr>
        <w:t xml:space="preserve"> </w:t>
      </w:r>
      <w:r w:rsidRPr="02582E20" w:rsidDel="00900265">
        <w:rPr>
          <w:noProof/>
        </w:rPr>
        <w:t xml:space="preserve">allows </w:t>
      </w:r>
      <w:r w:rsidRPr="02582E20">
        <w:rPr>
          <w:noProof/>
        </w:rPr>
        <w:t xml:space="preserve">still </w:t>
      </w:r>
      <w:r w:rsidR="00772588">
        <w:rPr>
          <w:noProof/>
        </w:rPr>
        <w:t xml:space="preserve">to </w:t>
      </w:r>
      <w:r w:rsidRPr="02582E20">
        <w:rPr>
          <w:noProof/>
        </w:rPr>
        <w:t>decisively mov</w:t>
      </w:r>
      <w:r w:rsidR="00772588">
        <w:rPr>
          <w:noProof/>
        </w:rPr>
        <w:t>e</w:t>
      </w:r>
      <w:r w:rsidRPr="02582E20">
        <w:rPr>
          <w:noProof/>
        </w:rPr>
        <w:t xml:space="preserve"> forward toward</w:t>
      </w:r>
      <w:r>
        <w:rPr>
          <w:noProof/>
        </w:rPr>
        <w:t>s</w:t>
      </w:r>
      <w:r w:rsidRPr="02582E20">
        <w:rPr>
          <w:noProof/>
        </w:rPr>
        <w:t xml:space="preserve"> the </w:t>
      </w:r>
      <w:r w:rsidRPr="00F8340F">
        <w:rPr>
          <w:noProof/>
        </w:rPr>
        <w:t>overall objective to better exploit the potential of the single market to contribute to the transition to a sustainable economy and to foster long-term sustainable and responsible corporate behaviour</w:t>
      </w:r>
      <w:r w:rsidRPr="02582E20">
        <w:rPr>
          <w:noProof/>
        </w:rPr>
        <w:t xml:space="preserve">. The </w:t>
      </w:r>
      <w:r>
        <w:rPr>
          <w:noProof/>
        </w:rPr>
        <w:t>Directive</w:t>
      </w:r>
      <w:r w:rsidRPr="02582E20">
        <w:rPr>
          <w:noProof/>
        </w:rPr>
        <w:t xml:space="preserve"> </w:t>
      </w:r>
      <w:r w:rsidR="00EF3A22">
        <w:rPr>
          <w:noProof/>
        </w:rPr>
        <w:t xml:space="preserve">is </w:t>
      </w:r>
      <w:r w:rsidR="00EF3A22" w:rsidRPr="02582E20">
        <w:rPr>
          <w:noProof/>
        </w:rPr>
        <w:t>more focused and targeted</w:t>
      </w:r>
      <w:r w:rsidR="00EF3A22">
        <w:rPr>
          <w:noProof/>
        </w:rPr>
        <w:t xml:space="preserve"> compared to the preferred option outlined in the draft impact assessment. </w:t>
      </w:r>
      <w:r w:rsidR="00EF3A22" w:rsidRPr="004165CA">
        <w:rPr>
          <w:noProof/>
        </w:rPr>
        <w:t>The core of it is</w:t>
      </w:r>
      <w:r w:rsidRPr="004165CA">
        <w:rPr>
          <w:noProof/>
        </w:rPr>
        <w:t xml:space="preserve"> the due diligence obligation, while significantly reducing directors’ duties by linking them closely to the due diligence obligation.</w:t>
      </w:r>
      <w:r w:rsidRPr="02582E20">
        <w:rPr>
          <w:noProof/>
        </w:rPr>
        <w:t xml:space="preserve"> </w:t>
      </w:r>
      <w:r w:rsidR="00344506">
        <w:rPr>
          <w:noProof/>
        </w:rPr>
        <w:t xml:space="preserve">In addition, </w:t>
      </w:r>
      <w:r w:rsidR="00344506" w:rsidRPr="02582E20">
        <w:rPr>
          <w:noProof/>
        </w:rPr>
        <w:t>the scope of due diligence</w:t>
      </w:r>
      <w:r w:rsidR="00344506">
        <w:rPr>
          <w:noProof/>
        </w:rPr>
        <w:t xml:space="preserve"> is adapted.</w:t>
      </w:r>
      <w:r w:rsidR="00344506" w:rsidRPr="02582E20">
        <w:rPr>
          <w:noProof/>
        </w:rPr>
        <w:t xml:space="preserve"> </w:t>
      </w:r>
      <w:r w:rsidRPr="02582E20">
        <w:rPr>
          <w:noProof/>
        </w:rPr>
        <w:t xml:space="preserve">A detailed description of the adaptations </w:t>
      </w:r>
      <w:r>
        <w:rPr>
          <w:noProof/>
        </w:rPr>
        <w:t>made</w:t>
      </w:r>
      <w:r w:rsidRPr="02582E20">
        <w:rPr>
          <w:noProof/>
        </w:rPr>
        <w:t xml:space="preserve"> to the preferred option package of the </w:t>
      </w:r>
      <w:r>
        <w:rPr>
          <w:noProof/>
        </w:rPr>
        <w:t>i</w:t>
      </w:r>
      <w:r w:rsidRPr="02582E20">
        <w:rPr>
          <w:noProof/>
        </w:rPr>
        <w:t xml:space="preserve">mpact </w:t>
      </w:r>
      <w:r>
        <w:rPr>
          <w:noProof/>
        </w:rPr>
        <w:t>a</w:t>
      </w:r>
      <w:r w:rsidRPr="02582E20">
        <w:rPr>
          <w:noProof/>
        </w:rPr>
        <w:t>ssessment can be found in the accompanying S</w:t>
      </w:r>
      <w:r>
        <w:rPr>
          <w:noProof/>
        </w:rPr>
        <w:t xml:space="preserve">taff </w:t>
      </w:r>
      <w:r w:rsidRPr="02582E20">
        <w:rPr>
          <w:noProof/>
        </w:rPr>
        <w:t>W</w:t>
      </w:r>
      <w:r>
        <w:rPr>
          <w:noProof/>
        </w:rPr>
        <w:t xml:space="preserve">orking </w:t>
      </w:r>
      <w:r w:rsidRPr="02582E20">
        <w:rPr>
          <w:noProof/>
        </w:rPr>
        <w:t>D</w:t>
      </w:r>
      <w:r>
        <w:rPr>
          <w:noProof/>
        </w:rPr>
        <w:t>ocument</w:t>
      </w:r>
      <w:r w:rsidRPr="02582E20">
        <w:rPr>
          <w:noProof/>
        </w:rPr>
        <w:t xml:space="preserve"> </w:t>
      </w:r>
      <w:r w:rsidR="00344506">
        <w:rPr>
          <w:noProof/>
          <w:lang w:val="en-IE"/>
        </w:rPr>
        <w:t>that presents the follow-up to the opinion of the Regulatory Scrutiny Board and additional information</w:t>
      </w:r>
      <w:r w:rsidRPr="02582E20">
        <w:rPr>
          <w:noProof/>
          <w:lang w:val="en-IE"/>
        </w:rPr>
        <w:t>.</w:t>
      </w:r>
    </w:p>
    <w:p w14:paraId="2BB818EA" w14:textId="77777777" w:rsidR="00EC61C3" w:rsidRPr="00DD60C8" w:rsidRDefault="001859C1" w:rsidP="000A60CF">
      <w:pPr>
        <w:rPr>
          <w:noProof/>
        </w:rPr>
      </w:pPr>
      <w:r w:rsidRPr="02582E20">
        <w:rPr>
          <w:noProof/>
        </w:rPr>
        <w:t xml:space="preserve">In short, the </w:t>
      </w:r>
      <w:r w:rsidR="00344506">
        <w:rPr>
          <w:noProof/>
        </w:rPr>
        <w:t>“</w:t>
      </w:r>
      <w:r w:rsidRPr="02582E20">
        <w:rPr>
          <w:noProof/>
        </w:rPr>
        <w:t>personal scope</w:t>
      </w:r>
      <w:r w:rsidR="00344506">
        <w:rPr>
          <w:noProof/>
        </w:rPr>
        <w:t xml:space="preserve">” i.e. which business categories are covered </w:t>
      </w:r>
      <w:r w:rsidRPr="02582E20">
        <w:rPr>
          <w:noProof/>
        </w:rPr>
        <w:t>has been significantly reduced</w:t>
      </w:r>
      <w:r w:rsidR="00344506" w:rsidRPr="00344506">
        <w:rPr>
          <w:rFonts w:eastAsia="Times New Roman"/>
          <w:noProof/>
        </w:rPr>
        <w:t xml:space="preserve"> </w:t>
      </w:r>
      <w:r w:rsidR="00344506">
        <w:rPr>
          <w:rFonts w:eastAsia="Times New Roman"/>
          <w:noProof/>
        </w:rPr>
        <w:t xml:space="preserve">following reflections triggered by </w:t>
      </w:r>
      <w:r w:rsidR="00344506" w:rsidRPr="02582E20">
        <w:rPr>
          <w:rFonts w:eastAsia="Times New Roman"/>
          <w:noProof/>
        </w:rPr>
        <w:t xml:space="preserve">the Board’s comments on the problem description, in particular with regard to SMEs, and on </w:t>
      </w:r>
      <w:r w:rsidR="00344506">
        <w:rPr>
          <w:rFonts w:eastAsia="Times New Roman"/>
          <w:noProof/>
        </w:rPr>
        <w:t xml:space="preserve">the </w:t>
      </w:r>
      <w:r w:rsidR="00344506" w:rsidRPr="02582E20">
        <w:rPr>
          <w:rFonts w:eastAsia="Times New Roman"/>
          <w:noProof/>
        </w:rPr>
        <w:t>proportionality of the preferred option</w:t>
      </w:r>
      <w:r w:rsidR="00344506">
        <w:rPr>
          <w:rFonts w:eastAsia="Times New Roman"/>
          <w:noProof/>
        </w:rPr>
        <w:t>. Concretely,</w:t>
      </w:r>
      <w:r>
        <w:rPr>
          <w:rFonts w:eastAsia="Times New Roman"/>
          <w:noProof/>
        </w:rPr>
        <w:t xml:space="preserve"> </w:t>
      </w:r>
      <w:r w:rsidRPr="02582E20">
        <w:rPr>
          <w:noProof/>
        </w:rPr>
        <w:t xml:space="preserve">SMEs have been completely excluded, </w:t>
      </w:r>
      <w:r w:rsidR="00344506">
        <w:rPr>
          <w:noProof/>
        </w:rPr>
        <w:t xml:space="preserve">from the scope, </w:t>
      </w:r>
      <w:r w:rsidRPr="02582E20">
        <w:rPr>
          <w:noProof/>
        </w:rPr>
        <w:t>and the coverage of high</w:t>
      </w:r>
      <w:r w:rsidR="00F03112">
        <w:rPr>
          <w:noProof/>
        </w:rPr>
        <w:t>-</w:t>
      </w:r>
      <w:r w:rsidRPr="02582E20">
        <w:rPr>
          <w:noProof/>
        </w:rPr>
        <w:t xml:space="preserve">impact sectors has been shifted </w:t>
      </w:r>
      <w:r w:rsidR="00344506">
        <w:rPr>
          <w:noProof/>
        </w:rPr>
        <w:t>only</w:t>
      </w:r>
      <w:r w:rsidRPr="02582E20">
        <w:rPr>
          <w:noProof/>
        </w:rPr>
        <w:t xml:space="preserve"> to companies </w:t>
      </w:r>
      <w:r w:rsidR="00351003">
        <w:rPr>
          <w:noProof/>
        </w:rPr>
        <w:t xml:space="preserve">having </w:t>
      </w:r>
      <w:r w:rsidR="00F03112">
        <w:rPr>
          <w:noProof/>
        </w:rPr>
        <w:t xml:space="preserve">more than </w:t>
      </w:r>
      <w:r w:rsidRPr="02582E20">
        <w:rPr>
          <w:noProof/>
        </w:rPr>
        <w:t>250</w:t>
      </w:r>
      <w:r w:rsidRPr="02582E20" w:rsidDel="00F03112">
        <w:rPr>
          <w:noProof/>
        </w:rPr>
        <w:t xml:space="preserve"> </w:t>
      </w:r>
      <w:r w:rsidRPr="02582E20">
        <w:rPr>
          <w:noProof/>
        </w:rPr>
        <w:t xml:space="preserve">employees and </w:t>
      </w:r>
      <w:r w:rsidR="00F03112">
        <w:rPr>
          <w:noProof/>
        </w:rPr>
        <w:t xml:space="preserve">more than </w:t>
      </w:r>
      <w:r w:rsidRPr="02582E20">
        <w:rPr>
          <w:noProof/>
        </w:rPr>
        <w:t>EUR 40</w:t>
      </w:r>
      <w:r w:rsidR="00F03112">
        <w:rPr>
          <w:noProof/>
        </w:rPr>
        <w:t> </w:t>
      </w:r>
      <w:r w:rsidRPr="02582E20">
        <w:rPr>
          <w:noProof/>
        </w:rPr>
        <w:t xml:space="preserve">million </w:t>
      </w:r>
      <w:r w:rsidR="00C25C4F">
        <w:rPr>
          <w:noProof/>
        </w:rPr>
        <w:t>worldwide net</w:t>
      </w:r>
      <w:r w:rsidR="00C25C4F" w:rsidRPr="02582E20">
        <w:rPr>
          <w:noProof/>
        </w:rPr>
        <w:t xml:space="preserve"> </w:t>
      </w:r>
      <w:r w:rsidRPr="02582E20">
        <w:rPr>
          <w:noProof/>
        </w:rPr>
        <w:t xml:space="preserve">turnover </w:t>
      </w:r>
      <w:r w:rsidR="00E07519">
        <w:rPr>
          <w:noProof/>
        </w:rPr>
        <w:t xml:space="preserve">(while large companies which </w:t>
      </w:r>
      <w:r w:rsidR="00F03112">
        <w:rPr>
          <w:noProof/>
        </w:rPr>
        <w:t xml:space="preserve">simultaneously </w:t>
      </w:r>
      <w:r w:rsidR="00351003">
        <w:rPr>
          <w:noProof/>
        </w:rPr>
        <w:t>exceed</w:t>
      </w:r>
      <w:r w:rsidR="00F03112">
        <w:rPr>
          <w:noProof/>
        </w:rPr>
        <w:t xml:space="preserve"> both the 500 employee and the EUR 150 million </w:t>
      </w:r>
      <w:r w:rsidR="00C25C4F">
        <w:rPr>
          <w:noProof/>
        </w:rPr>
        <w:t xml:space="preserve">worldwide </w:t>
      </w:r>
      <w:r w:rsidR="00F03112">
        <w:rPr>
          <w:noProof/>
        </w:rPr>
        <w:t xml:space="preserve">net turnover </w:t>
      </w:r>
      <w:r w:rsidR="00351003">
        <w:rPr>
          <w:noProof/>
        </w:rPr>
        <w:t xml:space="preserve">limits are covered by the scope </w:t>
      </w:r>
      <w:r w:rsidR="00F03112">
        <w:rPr>
          <w:noProof/>
        </w:rPr>
        <w:t>irrespective of their sectors of economic activities</w:t>
      </w:r>
      <w:r w:rsidRPr="02582E20">
        <w:rPr>
          <w:noProof/>
        </w:rPr>
        <w:t xml:space="preserve">. </w:t>
      </w:r>
      <w:r w:rsidR="00387C20" w:rsidRPr="00B42305">
        <w:rPr>
          <w:noProof/>
        </w:rPr>
        <w:t>The high</w:t>
      </w:r>
      <w:r w:rsidR="00387C20">
        <w:rPr>
          <w:noProof/>
        </w:rPr>
        <w:t>-</w:t>
      </w:r>
      <w:r w:rsidR="00387C20" w:rsidRPr="00B42305">
        <w:rPr>
          <w:noProof/>
        </w:rPr>
        <w:t xml:space="preserve">impact sectors are directly defined in the text, thus also reflecting </w:t>
      </w:r>
      <w:r w:rsidR="00387C20">
        <w:rPr>
          <w:noProof/>
        </w:rPr>
        <w:t xml:space="preserve">on </w:t>
      </w:r>
      <w:r w:rsidR="00387C20" w:rsidRPr="00B42305">
        <w:rPr>
          <w:noProof/>
        </w:rPr>
        <w:t xml:space="preserve">the Board’s comments </w:t>
      </w:r>
      <w:r w:rsidR="00387C20" w:rsidRPr="02582E20">
        <w:rPr>
          <w:noProof/>
        </w:rPr>
        <w:t xml:space="preserve">as regards legislative technique. </w:t>
      </w:r>
      <w:r w:rsidRPr="02582E20">
        <w:rPr>
          <w:noProof/>
        </w:rPr>
        <w:t xml:space="preserve">The </w:t>
      </w:r>
      <w:r w:rsidR="00387C20">
        <w:rPr>
          <w:noProof/>
        </w:rPr>
        <w:t xml:space="preserve">definition of </w:t>
      </w:r>
      <w:r w:rsidRPr="02582E20">
        <w:rPr>
          <w:noProof/>
        </w:rPr>
        <w:t>high</w:t>
      </w:r>
      <w:r w:rsidR="00351003">
        <w:rPr>
          <w:noProof/>
        </w:rPr>
        <w:t>-</w:t>
      </w:r>
      <w:r w:rsidRPr="02582E20">
        <w:rPr>
          <w:noProof/>
        </w:rPr>
        <w:t xml:space="preserve">impact sectors </w:t>
      </w:r>
      <w:r w:rsidR="00387C20">
        <w:rPr>
          <w:noProof/>
        </w:rPr>
        <w:t xml:space="preserve">has </w:t>
      </w:r>
      <w:r w:rsidRPr="02582E20">
        <w:rPr>
          <w:noProof/>
        </w:rPr>
        <w:t>been limited to sectors</w:t>
      </w:r>
      <w:r w:rsidR="00372ADE">
        <w:rPr>
          <w:noProof/>
        </w:rPr>
        <w:t xml:space="preserve"> with high risk of adverse impacts and</w:t>
      </w:r>
      <w:r w:rsidRPr="02582E20">
        <w:rPr>
          <w:noProof/>
        </w:rPr>
        <w:t xml:space="preserve"> </w:t>
      </w:r>
      <w:r w:rsidR="00387C20">
        <w:rPr>
          <w:noProof/>
        </w:rPr>
        <w:t xml:space="preserve">for which </w:t>
      </w:r>
      <w:r w:rsidRPr="02582E20">
        <w:rPr>
          <w:noProof/>
        </w:rPr>
        <w:t>OECD guidance</w:t>
      </w:r>
      <w:r w:rsidR="00387C20">
        <w:rPr>
          <w:noProof/>
        </w:rPr>
        <w:t xml:space="preserve"> exists</w:t>
      </w:r>
      <w:r w:rsidRPr="02582E20">
        <w:rPr>
          <w:noProof/>
        </w:rPr>
        <w:t xml:space="preserve">. </w:t>
      </w:r>
      <w:r w:rsidR="00387C20">
        <w:rPr>
          <w:noProof/>
        </w:rPr>
        <w:t>For</w:t>
      </w:r>
      <w:r w:rsidRPr="02582E20" w:rsidDel="00387C20">
        <w:rPr>
          <w:noProof/>
        </w:rPr>
        <w:t xml:space="preserve"> </w:t>
      </w:r>
      <w:r w:rsidR="00387C20">
        <w:rPr>
          <w:noProof/>
        </w:rPr>
        <w:t xml:space="preserve">midcap </w:t>
      </w:r>
      <w:r w:rsidRPr="02582E20">
        <w:rPr>
          <w:noProof/>
        </w:rPr>
        <w:t>companies in high</w:t>
      </w:r>
      <w:r w:rsidR="00351003">
        <w:rPr>
          <w:noProof/>
        </w:rPr>
        <w:t>-</w:t>
      </w:r>
      <w:r w:rsidRPr="02582E20">
        <w:rPr>
          <w:noProof/>
        </w:rPr>
        <w:t>impact sectors</w:t>
      </w:r>
      <w:r w:rsidR="00387C20">
        <w:rPr>
          <w:noProof/>
        </w:rPr>
        <w:t>, the rules</w:t>
      </w:r>
      <w:r w:rsidRPr="02582E20">
        <w:rPr>
          <w:noProof/>
        </w:rPr>
        <w:t xml:space="preserve"> will </w:t>
      </w:r>
      <w:r w:rsidR="00387C20">
        <w:rPr>
          <w:noProof/>
        </w:rPr>
        <w:t xml:space="preserve">start to apply </w:t>
      </w:r>
      <w:r w:rsidRPr="02582E20">
        <w:rPr>
          <w:noProof/>
        </w:rPr>
        <w:t xml:space="preserve">after </w:t>
      </w:r>
      <w:r w:rsidR="00D93CA3">
        <w:rPr>
          <w:noProof/>
        </w:rPr>
        <w:t xml:space="preserve">a transition period of </w:t>
      </w:r>
      <w:r w:rsidR="00E628BE">
        <w:rPr>
          <w:noProof/>
        </w:rPr>
        <w:t>two</w:t>
      </w:r>
      <w:r w:rsidR="00E628BE" w:rsidRPr="02582E20">
        <w:rPr>
          <w:noProof/>
        </w:rPr>
        <w:t xml:space="preserve"> </w:t>
      </w:r>
      <w:r w:rsidRPr="02582E20">
        <w:rPr>
          <w:noProof/>
        </w:rPr>
        <w:t xml:space="preserve">years to allow for a longer adaptation </w:t>
      </w:r>
      <w:r w:rsidRPr="00DD60C8">
        <w:rPr>
          <w:noProof/>
        </w:rPr>
        <w:t>period</w:t>
      </w:r>
      <w:r w:rsidR="00387C20" w:rsidRPr="00DD60C8">
        <w:rPr>
          <w:noProof/>
        </w:rPr>
        <w:t>. In addition,</w:t>
      </w:r>
      <w:r w:rsidRPr="00DD60C8" w:rsidDel="00387C20">
        <w:rPr>
          <w:noProof/>
        </w:rPr>
        <w:t xml:space="preserve"> </w:t>
      </w:r>
      <w:r w:rsidRPr="00DD60C8">
        <w:rPr>
          <w:noProof/>
        </w:rPr>
        <w:t xml:space="preserve">the due diligence obligations </w:t>
      </w:r>
      <w:r w:rsidR="00387C20" w:rsidRPr="00DD60C8">
        <w:rPr>
          <w:noProof/>
        </w:rPr>
        <w:t xml:space="preserve">of these companies </w:t>
      </w:r>
      <w:r w:rsidRPr="00DD60C8">
        <w:rPr>
          <w:noProof/>
        </w:rPr>
        <w:t xml:space="preserve">are limited </w:t>
      </w:r>
      <w:r w:rsidR="000113AF">
        <w:rPr>
          <w:noProof/>
        </w:rPr>
        <w:t xml:space="preserve">only </w:t>
      </w:r>
      <w:r w:rsidRPr="00DD60C8">
        <w:rPr>
          <w:noProof/>
        </w:rPr>
        <w:t xml:space="preserve">to </w:t>
      </w:r>
      <w:r w:rsidRPr="00DD60C8" w:rsidDel="00D27022">
        <w:rPr>
          <w:noProof/>
        </w:rPr>
        <w:t>severe</w:t>
      </w:r>
      <w:r w:rsidRPr="00DD60C8">
        <w:rPr>
          <w:noProof/>
        </w:rPr>
        <w:t xml:space="preserve"> impacts </w:t>
      </w:r>
      <w:r w:rsidR="000113AF">
        <w:rPr>
          <w:noProof/>
        </w:rPr>
        <w:t>relevant</w:t>
      </w:r>
      <w:r w:rsidR="000113AF" w:rsidRPr="00DD60C8" w:rsidDel="00D27022">
        <w:rPr>
          <w:noProof/>
        </w:rPr>
        <w:t xml:space="preserve"> </w:t>
      </w:r>
      <w:r w:rsidR="00D27022">
        <w:rPr>
          <w:noProof/>
        </w:rPr>
        <w:t>for their sector</w:t>
      </w:r>
      <w:r w:rsidRPr="00DD60C8">
        <w:rPr>
          <w:noProof/>
        </w:rPr>
        <w:t xml:space="preserve">. </w:t>
      </w:r>
    </w:p>
    <w:p w14:paraId="50A09835" w14:textId="77777777" w:rsidR="005D5E57" w:rsidRDefault="00EA0C02" w:rsidP="000A60CF">
      <w:pPr>
        <w:rPr>
          <w:noProof/>
        </w:rPr>
      </w:pPr>
      <w:r w:rsidRPr="00DD60C8">
        <w:rPr>
          <w:noProof/>
        </w:rPr>
        <w:t>To reach the objectives of the initiative effectively</w:t>
      </w:r>
      <w:r w:rsidR="00EC61C3" w:rsidRPr="00DD60C8">
        <w:rPr>
          <w:noProof/>
        </w:rPr>
        <w:t xml:space="preserve">, the scope of this proposal extends to companies from third countries. </w:t>
      </w:r>
      <w:r w:rsidR="00013D83" w:rsidRPr="00DD60C8">
        <w:rPr>
          <w:rFonts w:eastAsia="Times New Roman"/>
          <w:noProof/>
        </w:rPr>
        <w:t>O</w:t>
      </w:r>
      <w:r w:rsidR="001859C1" w:rsidRPr="00DD60C8">
        <w:rPr>
          <w:rFonts w:eastAsia="Times New Roman"/>
          <w:noProof/>
        </w:rPr>
        <w:t xml:space="preserve">nly </w:t>
      </w:r>
      <w:r w:rsidR="00EF4C0E" w:rsidRPr="00DD60C8">
        <w:rPr>
          <w:rFonts w:eastAsia="Times New Roman"/>
          <w:noProof/>
        </w:rPr>
        <w:t xml:space="preserve">such </w:t>
      </w:r>
      <w:r w:rsidR="00013D83" w:rsidRPr="00DD60C8">
        <w:rPr>
          <w:rFonts w:eastAsia="Times New Roman"/>
          <w:noProof/>
        </w:rPr>
        <w:t>non-EU</w:t>
      </w:r>
      <w:r w:rsidR="001859C1" w:rsidRPr="00DD60C8">
        <w:rPr>
          <w:noProof/>
        </w:rPr>
        <w:t xml:space="preserve"> companies </w:t>
      </w:r>
      <w:r w:rsidR="00EF4C0E" w:rsidRPr="00DD60C8">
        <w:rPr>
          <w:noProof/>
        </w:rPr>
        <w:t xml:space="preserve">are </w:t>
      </w:r>
      <w:r w:rsidR="00D82402" w:rsidRPr="00DD60C8">
        <w:rPr>
          <w:noProof/>
        </w:rPr>
        <w:t xml:space="preserve">covered </w:t>
      </w:r>
      <w:r w:rsidR="00EF4C0E" w:rsidRPr="00DD60C8">
        <w:rPr>
          <w:noProof/>
        </w:rPr>
        <w:t xml:space="preserve">which </w:t>
      </w:r>
      <w:r w:rsidR="001859C1" w:rsidRPr="00DD60C8">
        <w:rPr>
          <w:noProof/>
        </w:rPr>
        <w:t>hav</w:t>
      </w:r>
      <w:r w:rsidR="00EF4C0E" w:rsidRPr="00DD60C8">
        <w:rPr>
          <w:noProof/>
        </w:rPr>
        <w:t>e</w:t>
      </w:r>
      <w:r w:rsidR="001859C1" w:rsidRPr="00DD60C8">
        <w:rPr>
          <w:noProof/>
        </w:rPr>
        <w:t xml:space="preserve"> a direct link to the </w:t>
      </w:r>
      <w:r w:rsidR="00005735">
        <w:rPr>
          <w:noProof/>
        </w:rPr>
        <w:t>Union</w:t>
      </w:r>
      <w:r w:rsidR="00005735" w:rsidRPr="00DD60C8">
        <w:rPr>
          <w:noProof/>
        </w:rPr>
        <w:t xml:space="preserve"> </w:t>
      </w:r>
      <w:r w:rsidR="001859C1" w:rsidRPr="00DD60C8">
        <w:rPr>
          <w:noProof/>
        </w:rPr>
        <w:t xml:space="preserve">market, </w:t>
      </w:r>
      <w:r w:rsidR="00D82402" w:rsidRPr="00DD60C8">
        <w:rPr>
          <w:noProof/>
        </w:rPr>
        <w:t xml:space="preserve">and which </w:t>
      </w:r>
      <w:r w:rsidR="001859C1" w:rsidRPr="00DD60C8">
        <w:rPr>
          <w:noProof/>
        </w:rPr>
        <w:t xml:space="preserve">meet the </w:t>
      </w:r>
      <w:r w:rsidR="00685F7F">
        <w:rPr>
          <w:noProof/>
        </w:rPr>
        <w:t>similar</w:t>
      </w:r>
      <w:r w:rsidR="00685F7F" w:rsidRPr="00DD60C8">
        <w:rPr>
          <w:noProof/>
        </w:rPr>
        <w:t xml:space="preserve"> </w:t>
      </w:r>
      <w:r w:rsidR="001859C1" w:rsidRPr="00DD60C8">
        <w:rPr>
          <w:noProof/>
        </w:rPr>
        <w:t xml:space="preserve">turnover </w:t>
      </w:r>
      <w:r w:rsidR="001859C1" w:rsidRPr="00DD60C8">
        <w:rPr>
          <w:rFonts w:eastAsia="Times New Roman"/>
          <w:noProof/>
        </w:rPr>
        <w:t xml:space="preserve">threshold </w:t>
      </w:r>
      <w:r w:rsidR="005D5E57" w:rsidRPr="00DD60C8">
        <w:rPr>
          <w:rFonts w:eastAsia="Times New Roman"/>
          <w:noProof/>
        </w:rPr>
        <w:t>as EU</w:t>
      </w:r>
      <w:r w:rsidR="005D5E57">
        <w:rPr>
          <w:rFonts w:eastAsia="Times New Roman"/>
          <w:noProof/>
        </w:rPr>
        <w:t xml:space="preserve"> companies</w:t>
      </w:r>
      <w:r w:rsidR="00C25C4F">
        <w:rPr>
          <w:rFonts w:eastAsia="Times New Roman"/>
          <w:noProof/>
        </w:rPr>
        <w:t xml:space="preserve"> but within Union market</w:t>
      </w:r>
      <w:r w:rsidR="005D5E57">
        <w:rPr>
          <w:rFonts w:eastAsia="Times New Roman"/>
          <w:noProof/>
        </w:rPr>
        <w:t xml:space="preserve">. Furthermore, they </w:t>
      </w:r>
      <w:r w:rsidR="001859C1">
        <w:rPr>
          <w:noProof/>
        </w:rPr>
        <w:t xml:space="preserve">will face the same obligations </w:t>
      </w:r>
      <w:r w:rsidR="00685F7F">
        <w:rPr>
          <w:noProof/>
        </w:rPr>
        <w:t xml:space="preserve">regarding due diligence </w:t>
      </w:r>
      <w:r w:rsidR="001859C1">
        <w:rPr>
          <w:noProof/>
        </w:rPr>
        <w:t xml:space="preserve">as the </w:t>
      </w:r>
      <w:r w:rsidR="005D5E57">
        <w:rPr>
          <w:noProof/>
        </w:rPr>
        <w:t xml:space="preserve">respective </w:t>
      </w:r>
      <w:r w:rsidR="001859C1">
        <w:rPr>
          <w:noProof/>
        </w:rPr>
        <w:t xml:space="preserve">EU </w:t>
      </w:r>
      <w:r w:rsidR="005D5E57">
        <w:rPr>
          <w:noProof/>
        </w:rPr>
        <w:t>companies</w:t>
      </w:r>
      <w:r w:rsidR="001859C1">
        <w:rPr>
          <w:noProof/>
        </w:rPr>
        <w:t xml:space="preserve">. </w:t>
      </w:r>
    </w:p>
    <w:p w14:paraId="3BFC02DE" w14:textId="1396D7ED" w:rsidR="001859C1" w:rsidRPr="006D146A" w:rsidRDefault="001859C1" w:rsidP="000A60CF">
      <w:pPr>
        <w:rPr>
          <w:noProof/>
          <w:lang w:val="en-IE"/>
        </w:rPr>
      </w:pPr>
      <w:r w:rsidRPr="02582E20">
        <w:rPr>
          <w:noProof/>
        </w:rPr>
        <w:t>T</w:t>
      </w:r>
      <w:r w:rsidRPr="02582E20">
        <w:rPr>
          <w:noProof/>
          <w:lang w:val="en-IE"/>
        </w:rPr>
        <w:t xml:space="preserve">he </w:t>
      </w:r>
      <w:r>
        <w:rPr>
          <w:noProof/>
          <w:lang w:val="en-IE"/>
        </w:rPr>
        <w:t xml:space="preserve">Directive </w:t>
      </w:r>
      <w:r w:rsidRPr="02582E20">
        <w:rPr>
          <w:noProof/>
          <w:lang w:val="en-IE"/>
        </w:rPr>
        <w:t xml:space="preserve">also indicates that accessible and practical support is necessary for companies, in particular SMEs in the </w:t>
      </w:r>
      <w:r w:rsidR="00834EE1">
        <w:rPr>
          <w:noProof/>
          <w:lang w:val="en-IE"/>
        </w:rPr>
        <w:t>value</w:t>
      </w:r>
      <w:r w:rsidR="00834EE1" w:rsidRPr="02582E20">
        <w:rPr>
          <w:noProof/>
          <w:lang w:val="en-IE"/>
        </w:rPr>
        <w:t xml:space="preserve"> </w:t>
      </w:r>
      <w:r w:rsidRPr="02582E20">
        <w:rPr>
          <w:noProof/>
          <w:lang w:val="en-IE"/>
        </w:rPr>
        <w:t>chain, to prepare for the obligations</w:t>
      </w:r>
      <w:r w:rsidR="00D93CA3">
        <w:rPr>
          <w:noProof/>
          <w:lang w:val="en-IE"/>
        </w:rPr>
        <w:t xml:space="preserve"> (or the consequent demands the may be passed on to them indirectly)</w:t>
      </w:r>
      <w:r w:rsidRPr="02582E20">
        <w:rPr>
          <w:noProof/>
          <w:lang w:val="en-IE"/>
        </w:rPr>
        <w:t xml:space="preserve">. </w:t>
      </w:r>
      <w:r w:rsidRPr="004165CA">
        <w:rPr>
          <w:noProof/>
          <w:lang w:val="en-IE"/>
        </w:rPr>
        <w:t>This could</w:t>
      </w:r>
      <w:r w:rsidRPr="02582E20">
        <w:rPr>
          <w:noProof/>
          <w:lang w:val="en-IE"/>
        </w:rPr>
        <w:t xml:space="preserve"> include practical guidance </w:t>
      </w:r>
      <w:r w:rsidR="00AC0308">
        <w:rPr>
          <w:noProof/>
          <w:lang w:val="en-IE"/>
        </w:rPr>
        <w:t xml:space="preserve">and supporting </w:t>
      </w:r>
      <w:r w:rsidRPr="02582E20">
        <w:rPr>
          <w:noProof/>
          <w:lang w:val="en-IE"/>
        </w:rPr>
        <w:t>tools such as hotlines, databases or training</w:t>
      </w:r>
      <w:r>
        <w:rPr>
          <w:noProof/>
          <w:lang w:val="en-IE"/>
        </w:rPr>
        <w:t xml:space="preserve">, as well as </w:t>
      </w:r>
      <w:r w:rsidR="00AC0308">
        <w:rPr>
          <w:noProof/>
          <w:lang w:val="en-IE"/>
        </w:rPr>
        <w:t xml:space="preserve">the </w:t>
      </w:r>
      <w:r>
        <w:rPr>
          <w:noProof/>
          <w:lang w:val="en-IE"/>
        </w:rPr>
        <w:t xml:space="preserve">setup </w:t>
      </w:r>
      <w:r w:rsidR="00AC0308">
        <w:rPr>
          <w:noProof/>
          <w:lang w:val="en-IE"/>
        </w:rPr>
        <w:t>of</w:t>
      </w:r>
      <w:r>
        <w:rPr>
          <w:noProof/>
          <w:lang w:val="en-IE"/>
        </w:rPr>
        <w:t xml:space="preserve"> an observatory to help companies with the implementation of the </w:t>
      </w:r>
      <w:r w:rsidR="003653D1">
        <w:rPr>
          <w:noProof/>
          <w:lang w:val="en-IE"/>
        </w:rPr>
        <w:t>Directive</w:t>
      </w:r>
      <w:r>
        <w:rPr>
          <w:noProof/>
          <w:lang w:val="en-IE"/>
        </w:rPr>
        <w:t>.</w:t>
      </w:r>
      <w:r w:rsidRPr="02582E20">
        <w:rPr>
          <w:noProof/>
          <w:lang w:val="en-IE"/>
        </w:rPr>
        <w:t xml:space="preserve"> </w:t>
      </w:r>
      <w:r>
        <w:rPr>
          <w:noProof/>
          <w:lang w:val="en-IE"/>
        </w:rPr>
        <w:t>Moreover</w:t>
      </w:r>
      <w:r w:rsidRPr="02582E20">
        <w:rPr>
          <w:noProof/>
          <w:lang w:val="en-IE"/>
        </w:rPr>
        <w:t xml:space="preserve">, the review clause makes explicit reference to the personal scope of the </w:t>
      </w:r>
      <w:r>
        <w:rPr>
          <w:noProof/>
          <w:lang w:val="en-IE"/>
        </w:rPr>
        <w:t>D</w:t>
      </w:r>
      <w:r w:rsidRPr="02582E20">
        <w:rPr>
          <w:noProof/>
          <w:lang w:val="en-IE"/>
        </w:rPr>
        <w:t>irective</w:t>
      </w:r>
      <w:r w:rsidR="00AC0308">
        <w:rPr>
          <w:noProof/>
          <w:lang w:val="en-IE"/>
        </w:rPr>
        <w:t xml:space="preserve"> (i.e. coverage of business categories)</w:t>
      </w:r>
      <w:r w:rsidRPr="02582E20">
        <w:rPr>
          <w:noProof/>
          <w:lang w:val="en-IE"/>
        </w:rPr>
        <w:t>, which should be reviewed in light of the practical experiences with the application of the legislation.</w:t>
      </w:r>
      <w:r w:rsidR="003653D1">
        <w:rPr>
          <w:noProof/>
          <w:lang w:val="en-IE"/>
        </w:rPr>
        <w:t xml:space="preserve"> Other mitigation measures to reduce indirect impact on the SMEs are part of the obligations of companies in the scope of this Directive.</w:t>
      </w:r>
    </w:p>
    <w:p w14:paraId="4E06E1C7" w14:textId="77777777" w:rsidR="001859C1" w:rsidRPr="005239CB" w:rsidRDefault="001859C1" w:rsidP="000A60CF">
      <w:pPr>
        <w:rPr>
          <w:noProof/>
        </w:rPr>
      </w:pPr>
      <w:r w:rsidRPr="00D67E8D">
        <w:rPr>
          <w:noProof/>
          <w:lang w:val="en-IE"/>
        </w:rPr>
        <w:t>As regards the material scope</w:t>
      </w:r>
      <w:r w:rsidR="00AC0308">
        <w:rPr>
          <w:noProof/>
          <w:lang w:val="en-IE"/>
        </w:rPr>
        <w:t xml:space="preserve"> (i.e. what is covered)</w:t>
      </w:r>
      <w:r w:rsidRPr="00D67E8D">
        <w:rPr>
          <w:noProof/>
          <w:lang w:val="en-IE"/>
        </w:rPr>
        <w:t>, a cross-cutting instrument covering human rights</w:t>
      </w:r>
      <w:r w:rsidR="00685F7F">
        <w:rPr>
          <w:noProof/>
          <w:lang w:val="en-IE"/>
        </w:rPr>
        <w:t xml:space="preserve"> </w:t>
      </w:r>
      <w:r w:rsidRPr="00D67E8D">
        <w:rPr>
          <w:noProof/>
          <w:lang w:val="en-IE"/>
        </w:rPr>
        <w:t>and environmental impacts has been retained. This reflects the strong consensus amongst stakeholder groups that a horizontal framework is necessary to address the identified problems.</w:t>
      </w:r>
      <w:r w:rsidR="00820812" w:rsidRPr="02582E20" w:rsidDel="00820812">
        <w:rPr>
          <w:noProof/>
          <w:lang w:val="en-IE"/>
        </w:rPr>
        <w:t xml:space="preserve"> </w:t>
      </w:r>
    </w:p>
    <w:p w14:paraId="7910750B" w14:textId="5EC7C5F1" w:rsidR="001859C1" w:rsidRPr="008E2F7B" w:rsidRDefault="001859C1">
      <w:pPr>
        <w:rPr>
          <w:noProof/>
          <w:lang w:val="en-IE"/>
        </w:rPr>
      </w:pPr>
      <w:r w:rsidRPr="008E2F7B">
        <w:rPr>
          <w:noProof/>
        </w:rPr>
        <w:t xml:space="preserve">Furthermore, the Board </w:t>
      </w:r>
      <w:r w:rsidR="004F5DC2" w:rsidRPr="008E2F7B">
        <w:rPr>
          <w:noProof/>
        </w:rPr>
        <w:t>commented</w:t>
      </w:r>
      <w:r w:rsidRPr="008E2F7B">
        <w:rPr>
          <w:noProof/>
        </w:rPr>
        <w:t xml:space="preserve"> that the impact assessment is not sufficiently clear about the need to regulate directors’ duties on top of due diligence requirements</w:t>
      </w:r>
      <w:r w:rsidR="004F5DC2" w:rsidRPr="008E2F7B">
        <w:rPr>
          <w:noProof/>
        </w:rPr>
        <w:t>.</w:t>
      </w:r>
      <w:r w:rsidR="004F5DC2" w:rsidRPr="00B54B43">
        <w:rPr>
          <w:rFonts w:eastAsia="Times New Roman"/>
          <w:noProof/>
        </w:rPr>
        <w:t xml:space="preserve"> The Commission therefore decided to address this issue by deviating</w:t>
      </w:r>
      <w:r w:rsidR="004F5DC2" w:rsidRPr="00191F2A">
        <w:rPr>
          <w:noProof/>
        </w:rPr>
        <w:t xml:space="preserve"> </w:t>
      </w:r>
      <w:r w:rsidRPr="00191F2A">
        <w:rPr>
          <w:noProof/>
        </w:rPr>
        <w:t xml:space="preserve">from the preferred options’ package in the impact assessment </w:t>
      </w:r>
      <w:r w:rsidR="004F5DC2" w:rsidRPr="00C45C01">
        <w:rPr>
          <w:rFonts w:eastAsia="Times New Roman"/>
          <w:noProof/>
        </w:rPr>
        <w:t xml:space="preserve">and focussing </w:t>
      </w:r>
      <w:r w:rsidR="004F5DC2" w:rsidRPr="00C45C01">
        <w:rPr>
          <w:noProof/>
        </w:rPr>
        <w:t>on</w:t>
      </w:r>
      <w:r w:rsidRPr="008E2F7B">
        <w:rPr>
          <w:noProof/>
        </w:rPr>
        <w:t xml:space="preserve"> the directors’ duties element</w:t>
      </w:r>
      <w:r w:rsidR="004F5DC2" w:rsidRPr="008E2F7B">
        <w:rPr>
          <w:noProof/>
        </w:rPr>
        <w:t>, i</w:t>
      </w:r>
      <w:r w:rsidR="00E16026" w:rsidRPr="008E2F7B">
        <w:rPr>
          <w:noProof/>
        </w:rPr>
        <w:t>n light</w:t>
      </w:r>
      <w:r w:rsidR="005761D3">
        <w:rPr>
          <w:noProof/>
        </w:rPr>
        <w:t xml:space="preserve"> also</w:t>
      </w:r>
      <w:r w:rsidR="00E16026" w:rsidRPr="008E2F7B">
        <w:rPr>
          <w:noProof/>
        </w:rPr>
        <w:t xml:space="preserve"> of the existing international standards</w:t>
      </w:r>
      <w:r w:rsidR="00E16026" w:rsidRPr="00AB0B10">
        <w:rPr>
          <w:rStyle w:val="Allmrkuseviide"/>
          <w:noProof/>
        </w:rPr>
        <w:footnoteReference w:id="73"/>
      </w:r>
      <w:r w:rsidR="00E16026" w:rsidRPr="008E2F7B">
        <w:rPr>
          <w:noProof/>
        </w:rPr>
        <w:t xml:space="preserve">, </w:t>
      </w:r>
      <w:r w:rsidR="004F5DC2" w:rsidRPr="008E2F7B">
        <w:rPr>
          <w:noProof/>
        </w:rPr>
        <w:t>on</w:t>
      </w:r>
      <w:r w:rsidR="00E16026" w:rsidRPr="008E2F7B">
        <w:rPr>
          <w:noProof/>
        </w:rPr>
        <w:t xml:space="preserve"> due diligence</w:t>
      </w:r>
      <w:r w:rsidR="0093667B">
        <w:rPr>
          <w:noProof/>
        </w:rPr>
        <w:t xml:space="preserve"> and duty of care</w:t>
      </w:r>
      <w:r w:rsidR="00E16026" w:rsidRPr="008E2F7B">
        <w:rPr>
          <w:noProof/>
        </w:rPr>
        <w:t xml:space="preserve">. This encompasses directors’ duties relating to </w:t>
      </w:r>
      <w:r w:rsidR="00EF2360" w:rsidRPr="008E2F7B">
        <w:rPr>
          <w:noProof/>
        </w:rPr>
        <w:t>the</w:t>
      </w:r>
      <w:r w:rsidR="00E16026" w:rsidRPr="008E2F7B">
        <w:rPr>
          <w:noProof/>
        </w:rPr>
        <w:t xml:space="preserve"> setting up and overseeing the implementation of corporate due diligence processes and measures</w:t>
      </w:r>
      <w:r w:rsidR="005C1D4E">
        <w:rPr>
          <w:noProof/>
        </w:rPr>
        <w:t>, establishing code of conduct for this purpose</w:t>
      </w:r>
      <w:r w:rsidR="00E16026" w:rsidRPr="008E2F7B">
        <w:rPr>
          <w:noProof/>
        </w:rPr>
        <w:t xml:space="preserve"> </w:t>
      </w:r>
      <w:r w:rsidR="00EF2360" w:rsidRPr="00B54B43">
        <w:rPr>
          <w:noProof/>
        </w:rPr>
        <w:t xml:space="preserve">as well as </w:t>
      </w:r>
      <w:r w:rsidR="005C1D4E">
        <w:rPr>
          <w:noProof/>
        </w:rPr>
        <w:t>integrating</w:t>
      </w:r>
      <w:r w:rsidR="005C1D4E" w:rsidRPr="00191F2A">
        <w:rPr>
          <w:noProof/>
        </w:rPr>
        <w:t xml:space="preserve"> </w:t>
      </w:r>
      <w:r w:rsidR="00E16026" w:rsidRPr="00191F2A">
        <w:rPr>
          <w:noProof/>
        </w:rPr>
        <w:t xml:space="preserve">due diligence into the corporate strategy. In order to fully reflect </w:t>
      </w:r>
      <w:r w:rsidR="00E07519" w:rsidRPr="00C45C01">
        <w:rPr>
          <w:noProof/>
        </w:rPr>
        <w:t>the role of</w:t>
      </w:r>
      <w:r w:rsidR="00E16026" w:rsidRPr="00C45C01">
        <w:rPr>
          <w:noProof/>
        </w:rPr>
        <w:t xml:space="preserve"> directors in light of the corp</w:t>
      </w:r>
      <w:r w:rsidR="00E16026" w:rsidRPr="008E2F7B">
        <w:rPr>
          <w:noProof/>
        </w:rPr>
        <w:t xml:space="preserve">orate due diligence obligations, the directors’ </w:t>
      </w:r>
      <w:r w:rsidR="00E07519" w:rsidRPr="008E2F7B">
        <w:rPr>
          <w:noProof/>
        </w:rPr>
        <w:t xml:space="preserve">general </w:t>
      </w:r>
      <w:r w:rsidR="00E16026" w:rsidRPr="008E2F7B">
        <w:rPr>
          <w:noProof/>
        </w:rPr>
        <w:t>duty of care for the company</w:t>
      </w:r>
      <w:r w:rsidR="00E07519" w:rsidRPr="008E2F7B">
        <w:rPr>
          <w:noProof/>
        </w:rPr>
        <w:t>,</w:t>
      </w:r>
      <w:r w:rsidR="00E16026" w:rsidRPr="008E2F7B">
        <w:rPr>
          <w:noProof/>
        </w:rPr>
        <w:t xml:space="preserve"> which is present in </w:t>
      </w:r>
      <w:r w:rsidR="00E07519" w:rsidRPr="008E2F7B">
        <w:rPr>
          <w:noProof/>
        </w:rPr>
        <w:t>the</w:t>
      </w:r>
      <w:r w:rsidR="00E700F2" w:rsidRPr="008E2F7B">
        <w:rPr>
          <w:noProof/>
        </w:rPr>
        <w:t xml:space="preserve"> company</w:t>
      </w:r>
      <w:r w:rsidR="00E07519" w:rsidRPr="008E2F7B">
        <w:rPr>
          <w:noProof/>
        </w:rPr>
        <w:t xml:space="preserve"> law of </w:t>
      </w:r>
      <w:r w:rsidR="00E16026" w:rsidRPr="008E2F7B">
        <w:rPr>
          <w:noProof/>
        </w:rPr>
        <w:t>all Member State</w:t>
      </w:r>
      <w:r w:rsidR="00E07519" w:rsidRPr="008E2F7B">
        <w:rPr>
          <w:noProof/>
        </w:rPr>
        <w:t>s,</w:t>
      </w:r>
      <w:r w:rsidR="00E16026" w:rsidRPr="008E2F7B">
        <w:rPr>
          <w:noProof/>
        </w:rPr>
        <w:t xml:space="preserve"> is also being clarified</w:t>
      </w:r>
      <w:r w:rsidR="0093667B">
        <w:rPr>
          <w:noProof/>
        </w:rPr>
        <w:t xml:space="preserve"> providing that </w:t>
      </w:r>
      <w:r w:rsidR="0093667B" w:rsidRPr="005B3488">
        <w:rPr>
          <w:rFonts w:eastAsia="Calibri"/>
          <w:noProof/>
          <w:lang w:eastAsia="en-IE"/>
        </w:rPr>
        <w:t>when fulfilling their duty to act in the best interest of the</w:t>
      </w:r>
      <w:r w:rsidR="0093667B" w:rsidRPr="005B3488">
        <w:rPr>
          <w:noProof/>
          <w:lang w:val="en-IE"/>
        </w:rPr>
        <w:t xml:space="preserve"> company, directors </w:t>
      </w:r>
      <w:r w:rsidR="0093667B">
        <w:rPr>
          <w:noProof/>
          <w:lang w:val="en-IE"/>
        </w:rPr>
        <w:t>should</w:t>
      </w:r>
      <w:r w:rsidR="0093667B" w:rsidRPr="005B3488">
        <w:rPr>
          <w:noProof/>
          <w:lang w:val="en-IE"/>
        </w:rPr>
        <w:t xml:space="preserve"> take </w:t>
      </w:r>
      <w:r w:rsidR="0093667B" w:rsidRPr="005B3488">
        <w:rPr>
          <w:rFonts w:eastAsia="Calibri"/>
          <w:noProof/>
          <w:lang w:eastAsia="en-IE"/>
        </w:rPr>
        <w:t>into</w:t>
      </w:r>
      <w:r w:rsidR="0093667B" w:rsidRPr="005B3488">
        <w:rPr>
          <w:noProof/>
          <w:lang w:val="en-IE"/>
        </w:rPr>
        <w:t xml:space="preserve"> account the </w:t>
      </w:r>
      <w:r w:rsidR="0093667B">
        <w:rPr>
          <w:noProof/>
          <w:lang w:val="en-IE"/>
        </w:rPr>
        <w:t>sustainability matters of the proposal for a corporate sustainability reporting Directive</w:t>
      </w:r>
      <w:r w:rsidR="0093667B">
        <w:rPr>
          <w:noProof/>
        </w:rPr>
        <w:t>, including,</w:t>
      </w:r>
      <w:r w:rsidR="00786ECC">
        <w:rPr>
          <w:noProof/>
        </w:rPr>
        <w:t xml:space="preserve"> </w:t>
      </w:r>
      <w:r w:rsidR="0093667B" w:rsidRPr="00D13F6B">
        <w:rPr>
          <w:noProof/>
        </w:rPr>
        <w:t>where applicable</w:t>
      </w:r>
      <w:r w:rsidR="0093667B">
        <w:rPr>
          <w:noProof/>
        </w:rPr>
        <w:t>,</w:t>
      </w:r>
      <w:r w:rsidR="0093667B">
        <w:rPr>
          <w:noProof/>
          <w:lang w:val="en-IE"/>
        </w:rPr>
        <w:t xml:space="preserve"> </w:t>
      </w:r>
      <w:r w:rsidR="0093667B" w:rsidRPr="005B3488">
        <w:rPr>
          <w:noProof/>
          <w:lang w:val="en-IE"/>
        </w:rPr>
        <w:t xml:space="preserve">human rights, climate </w:t>
      </w:r>
      <w:r w:rsidR="0093667B">
        <w:rPr>
          <w:noProof/>
          <w:lang w:val="en-IE"/>
        </w:rPr>
        <w:t>change</w:t>
      </w:r>
      <w:r w:rsidR="0093667B" w:rsidRPr="004F7C99">
        <w:rPr>
          <w:noProof/>
          <w:lang w:val="en-IE"/>
        </w:rPr>
        <w:t xml:space="preserve"> </w:t>
      </w:r>
      <w:r w:rsidR="0093667B" w:rsidRPr="005B3488">
        <w:rPr>
          <w:noProof/>
          <w:lang w:val="en-IE"/>
        </w:rPr>
        <w:t xml:space="preserve">and environmental consequences, including in the </w:t>
      </w:r>
      <w:r w:rsidR="0093667B">
        <w:rPr>
          <w:noProof/>
          <w:lang w:val="en-IE"/>
        </w:rPr>
        <w:t xml:space="preserve">short, medium and </w:t>
      </w:r>
      <w:r w:rsidR="0093667B" w:rsidRPr="005B3488">
        <w:rPr>
          <w:noProof/>
          <w:lang w:val="en-IE"/>
        </w:rPr>
        <w:t>long term</w:t>
      </w:r>
      <w:r w:rsidR="0093667B">
        <w:rPr>
          <w:noProof/>
          <w:lang w:val="en-IE"/>
        </w:rPr>
        <w:t xml:space="preserve"> horizons</w:t>
      </w:r>
      <w:r w:rsidR="0093667B" w:rsidRPr="005B3488">
        <w:rPr>
          <w:noProof/>
          <w:lang w:val="en-IE"/>
        </w:rPr>
        <w:t>.</w:t>
      </w:r>
      <w:r w:rsidR="001B14D9">
        <w:rPr>
          <w:noProof/>
        </w:rPr>
        <w:t xml:space="preserve"> </w:t>
      </w:r>
      <w:r w:rsidR="00CD7736" w:rsidRPr="008E2F7B">
        <w:rPr>
          <w:noProof/>
          <w:lang w:val="en-IE"/>
        </w:rPr>
        <w:t>F</w:t>
      </w:r>
      <w:r w:rsidR="00DC2499" w:rsidRPr="008E2F7B">
        <w:rPr>
          <w:noProof/>
          <w:lang w:val="en-IE"/>
        </w:rPr>
        <w:t xml:space="preserve">urther reaching specific directors’ duties </w:t>
      </w:r>
      <w:r w:rsidR="00DF2E3D" w:rsidRPr="008E2F7B">
        <w:rPr>
          <w:noProof/>
          <w:lang w:val="en-IE"/>
        </w:rPr>
        <w:t xml:space="preserve">that had been </w:t>
      </w:r>
      <w:r w:rsidR="00DC2499" w:rsidRPr="008E2F7B">
        <w:rPr>
          <w:noProof/>
          <w:lang w:val="en-IE"/>
        </w:rPr>
        <w:t xml:space="preserve">put forward in the impact assessment </w:t>
      </w:r>
      <w:r w:rsidR="004F5DC2" w:rsidRPr="008E2F7B">
        <w:rPr>
          <w:rFonts w:eastAsia="Times New Roman"/>
          <w:noProof/>
          <w:lang w:val="en-IE"/>
        </w:rPr>
        <w:t xml:space="preserve">are not retained. This will ensure that the proposal delivers on its objective while remaining proportionate. </w:t>
      </w:r>
    </w:p>
    <w:p w14:paraId="196EF743" w14:textId="77777777" w:rsidR="001859C1" w:rsidRPr="003E3202" w:rsidRDefault="001859C1" w:rsidP="000A60CF">
      <w:pPr>
        <w:rPr>
          <w:noProof/>
          <w:lang w:val="en-IE"/>
        </w:rPr>
      </w:pPr>
      <w:r w:rsidRPr="693DA65D">
        <w:rPr>
          <w:noProof/>
          <w:lang w:val="en-IE"/>
        </w:rPr>
        <w:t xml:space="preserve">With regard to comments of the Board, </w:t>
      </w:r>
      <w:r w:rsidR="00E24490">
        <w:rPr>
          <w:noProof/>
          <w:lang w:val="en-IE"/>
        </w:rPr>
        <w:t>t</w:t>
      </w:r>
      <w:r w:rsidRPr="693DA65D">
        <w:rPr>
          <w:noProof/>
          <w:lang w:val="en-IE"/>
        </w:rPr>
        <w:t>his</w:t>
      </w:r>
      <w:r w:rsidRPr="693DA65D" w:rsidDel="00EC6F39">
        <w:rPr>
          <w:noProof/>
          <w:lang w:val="en-IE"/>
        </w:rPr>
        <w:t xml:space="preserve"> </w:t>
      </w:r>
      <w:r w:rsidR="00EC6F39">
        <w:rPr>
          <w:noProof/>
          <w:lang w:val="en-IE"/>
        </w:rPr>
        <w:t>E</w:t>
      </w:r>
      <w:r w:rsidR="00EC6F39" w:rsidRPr="693DA65D">
        <w:rPr>
          <w:noProof/>
          <w:lang w:val="en-IE"/>
        </w:rPr>
        <w:t>xplanatory</w:t>
      </w:r>
      <w:r w:rsidRPr="693DA65D">
        <w:rPr>
          <w:noProof/>
          <w:lang w:val="en-IE"/>
        </w:rPr>
        <w:t xml:space="preserve"> </w:t>
      </w:r>
      <w:r w:rsidR="00EC6F39">
        <w:rPr>
          <w:noProof/>
          <w:lang w:val="en-IE"/>
        </w:rPr>
        <w:t>M</w:t>
      </w:r>
      <w:r w:rsidR="00EC6F39" w:rsidRPr="693DA65D">
        <w:rPr>
          <w:noProof/>
          <w:lang w:val="en-IE"/>
        </w:rPr>
        <w:t xml:space="preserve">emorandum </w:t>
      </w:r>
      <w:r w:rsidRPr="693DA65D">
        <w:rPr>
          <w:noProof/>
          <w:lang w:val="en-IE"/>
        </w:rPr>
        <w:t xml:space="preserve">as well as the recitals of the legislative proposal contain comprehensive explanations of the policy choices made. </w:t>
      </w:r>
      <w:r w:rsidR="00DF2E3D">
        <w:rPr>
          <w:rFonts w:eastAsia="Times New Roman"/>
          <w:noProof/>
          <w:lang w:val="en-IE"/>
        </w:rPr>
        <w:t xml:space="preserve">While the impact assessment submitted to the Board and the Board’s opinion have been published unchanged, a separate accompanying Staff Working Document has been prepared to provide additional evidence and clarifications that follows up on </w:t>
      </w:r>
      <w:r w:rsidRPr="693DA65D">
        <w:rPr>
          <w:noProof/>
          <w:lang w:val="en-IE"/>
        </w:rPr>
        <w:t xml:space="preserve">the Board’s </w:t>
      </w:r>
      <w:r w:rsidR="00A34BB6">
        <w:rPr>
          <w:noProof/>
          <w:lang w:val="en-IE"/>
        </w:rPr>
        <w:t>remarks including as regards evidence</w:t>
      </w:r>
      <w:r w:rsidR="00542484">
        <w:rPr>
          <w:noProof/>
          <w:lang w:val="en-IE"/>
        </w:rPr>
        <w:t>. This document addresses in</w:t>
      </w:r>
      <w:r w:rsidRPr="693DA65D" w:rsidDel="00DF2E3D">
        <w:rPr>
          <w:noProof/>
          <w:lang w:val="en-IE"/>
        </w:rPr>
        <w:t xml:space="preserve"> </w:t>
      </w:r>
      <w:r w:rsidRPr="693DA65D">
        <w:rPr>
          <w:noProof/>
          <w:lang w:val="en-IE"/>
        </w:rPr>
        <w:t xml:space="preserve">particular </w:t>
      </w:r>
      <w:r w:rsidR="00DF2E3D">
        <w:rPr>
          <w:noProof/>
          <w:lang w:val="en-IE"/>
        </w:rPr>
        <w:t>the following</w:t>
      </w:r>
      <w:r w:rsidRPr="693DA65D">
        <w:rPr>
          <w:noProof/>
          <w:lang w:val="en-IE"/>
        </w:rPr>
        <w:t>:</w:t>
      </w:r>
    </w:p>
    <w:p w14:paraId="51108960" w14:textId="4F7F8CBA" w:rsidR="001859C1" w:rsidRPr="00395477" w:rsidRDefault="00822875" w:rsidP="00822875">
      <w:pPr>
        <w:pStyle w:val="ManualNumPar1"/>
        <w:rPr>
          <w:noProof/>
        </w:rPr>
      </w:pPr>
      <w:r w:rsidRPr="00822875">
        <w:t>1.</w:t>
      </w:r>
      <w:r w:rsidRPr="00822875">
        <w:tab/>
      </w:r>
      <w:r w:rsidR="001859C1" w:rsidRPr="00395477">
        <w:rPr>
          <w:noProof/>
        </w:rPr>
        <w:t xml:space="preserve">Problem description: </w:t>
      </w:r>
    </w:p>
    <w:p w14:paraId="0272FF05" w14:textId="77777777" w:rsidR="001859C1" w:rsidRPr="003E3202" w:rsidRDefault="001859C1" w:rsidP="00370814">
      <w:pPr>
        <w:pStyle w:val="Tiret0"/>
        <w:rPr>
          <w:rFonts w:eastAsia="Arial Unicode MS"/>
          <w:noProof/>
        </w:rPr>
      </w:pPr>
      <w:r w:rsidRPr="16EE69E0">
        <w:rPr>
          <w:noProof/>
          <w:lang w:val="en-IE"/>
        </w:rPr>
        <w:t xml:space="preserve">the scale and evolution of the environmental and sustainability problems directly linked to the apparent absence or insufficient use of corporate sustainability management practices by EU companies to be tackled by this </w:t>
      </w:r>
      <w:r>
        <w:rPr>
          <w:noProof/>
          <w:lang w:val="en-IE"/>
        </w:rPr>
        <w:t>Directive</w:t>
      </w:r>
      <w:r w:rsidRPr="16EE69E0">
        <w:rPr>
          <w:noProof/>
          <w:lang w:val="en-IE"/>
        </w:rPr>
        <w:t xml:space="preserve"> and the added value of the </w:t>
      </w:r>
      <w:r>
        <w:rPr>
          <w:noProof/>
          <w:lang w:val="en-IE"/>
        </w:rPr>
        <w:t xml:space="preserve">Directive </w:t>
      </w:r>
      <w:r w:rsidRPr="16EE69E0">
        <w:rPr>
          <w:noProof/>
          <w:lang w:val="en-IE"/>
        </w:rPr>
        <w:t>in relation to the comprehensive package of measures to promote sustainability under the Green Deal;</w:t>
      </w:r>
    </w:p>
    <w:p w14:paraId="10AE1FD0" w14:textId="77777777" w:rsidR="001859C1" w:rsidRPr="003E3202" w:rsidRDefault="001859C1" w:rsidP="00370814">
      <w:pPr>
        <w:pStyle w:val="Tiret0"/>
        <w:rPr>
          <w:rFonts w:eastAsia="Arial Unicode MS"/>
          <w:noProof/>
        </w:rPr>
      </w:pPr>
      <w:r w:rsidRPr="16EE69E0">
        <w:rPr>
          <w:noProof/>
          <w:lang w:val="en-IE"/>
        </w:rPr>
        <w:t>why the market and competitive dynamics together with the further evolution of companies’ corporate strategies and risk management systems are considered insufficient and as regards the assumed causal link between using corporate sustainability tools and their practical effect in tackling the problems;</w:t>
      </w:r>
    </w:p>
    <w:p w14:paraId="03071C80" w14:textId="5D0CCF74" w:rsidR="001859C1" w:rsidRPr="008765AA" w:rsidRDefault="00822875" w:rsidP="00822875">
      <w:pPr>
        <w:pStyle w:val="ManualNumPar1"/>
        <w:rPr>
          <w:noProof/>
        </w:rPr>
      </w:pPr>
      <w:r w:rsidRPr="00822875">
        <w:t>2.</w:t>
      </w:r>
      <w:r w:rsidRPr="00822875">
        <w:tab/>
      </w:r>
      <w:r w:rsidR="001859C1" w:rsidRPr="008765AA">
        <w:rPr>
          <w:noProof/>
        </w:rPr>
        <w:t>Impacts of the preferred option:</w:t>
      </w:r>
    </w:p>
    <w:p w14:paraId="42DD0BE1" w14:textId="77777777" w:rsidR="001859C1" w:rsidRPr="003E3202" w:rsidRDefault="00126683" w:rsidP="00370814">
      <w:pPr>
        <w:pStyle w:val="Tiret0"/>
        <w:rPr>
          <w:rFonts w:eastAsia="Arial Unicode MS"/>
          <w:noProof/>
        </w:rPr>
      </w:pPr>
      <w:r>
        <w:rPr>
          <w:noProof/>
        </w:rPr>
        <w:t xml:space="preserve">issues related to </w:t>
      </w:r>
      <w:r w:rsidR="001859C1" w:rsidRPr="16EE69E0">
        <w:rPr>
          <w:noProof/>
        </w:rPr>
        <w:t>third countr</w:t>
      </w:r>
      <w:r>
        <w:rPr>
          <w:noProof/>
        </w:rPr>
        <w:t>ies</w:t>
      </w:r>
      <w:r w:rsidR="001859C1" w:rsidRPr="16EE69E0">
        <w:rPr>
          <w:noProof/>
        </w:rPr>
        <w:t xml:space="preserve">, integrating observations </w:t>
      </w:r>
      <w:r w:rsidR="008B21FA">
        <w:rPr>
          <w:noProof/>
        </w:rPr>
        <w:t xml:space="preserve">(i) </w:t>
      </w:r>
      <w:r w:rsidR="001859C1" w:rsidRPr="16EE69E0">
        <w:rPr>
          <w:noProof/>
        </w:rPr>
        <w:t xml:space="preserve">on </w:t>
      </w:r>
      <w:r w:rsidR="002E42B0" w:rsidRPr="16EE69E0">
        <w:rPr>
          <w:noProof/>
        </w:rPr>
        <w:t xml:space="preserve">expected </w:t>
      </w:r>
      <w:r w:rsidR="001859C1" w:rsidRPr="16EE69E0">
        <w:rPr>
          <w:noProof/>
        </w:rPr>
        <w:t xml:space="preserve">developments in third countries </w:t>
      </w:r>
      <w:r w:rsidR="002E42B0">
        <w:rPr>
          <w:noProof/>
        </w:rPr>
        <w:t>(</w:t>
      </w:r>
      <w:r w:rsidR="001859C1" w:rsidRPr="16EE69E0">
        <w:rPr>
          <w:noProof/>
        </w:rPr>
        <w:t>including taking into account EU and international trade and development support measures</w:t>
      </w:r>
      <w:r w:rsidR="002E42B0">
        <w:rPr>
          <w:noProof/>
        </w:rPr>
        <w:t>)</w:t>
      </w:r>
      <w:r w:rsidR="008B21FA">
        <w:rPr>
          <w:noProof/>
        </w:rPr>
        <w:t>,</w:t>
      </w:r>
      <w:r w:rsidR="001859C1" w:rsidRPr="16EE69E0">
        <w:rPr>
          <w:noProof/>
        </w:rPr>
        <w:t xml:space="preserve"> </w:t>
      </w:r>
      <w:r w:rsidR="008B21FA">
        <w:rPr>
          <w:noProof/>
        </w:rPr>
        <w:t xml:space="preserve">(ii) </w:t>
      </w:r>
      <w:r w:rsidR="001859C1" w:rsidRPr="16EE69E0">
        <w:rPr>
          <w:noProof/>
        </w:rPr>
        <w:t xml:space="preserve">on impacts </w:t>
      </w:r>
      <w:r w:rsidR="008B21FA">
        <w:rPr>
          <w:noProof/>
        </w:rPr>
        <w:t>o</w:t>
      </w:r>
      <w:r w:rsidR="001859C1" w:rsidRPr="16EE69E0">
        <w:rPr>
          <w:noProof/>
        </w:rPr>
        <w:t xml:space="preserve">n third countries and </w:t>
      </w:r>
      <w:r w:rsidR="008B21FA">
        <w:rPr>
          <w:noProof/>
        </w:rPr>
        <w:t xml:space="preserve">on suppliers in </w:t>
      </w:r>
      <w:r w:rsidR="001859C1" w:rsidRPr="16EE69E0">
        <w:rPr>
          <w:noProof/>
        </w:rPr>
        <w:t>third countr</w:t>
      </w:r>
      <w:r w:rsidR="008B21FA">
        <w:rPr>
          <w:noProof/>
        </w:rPr>
        <w:t>ies</w:t>
      </w:r>
      <w:r w:rsidR="001859C1" w:rsidRPr="16EE69E0">
        <w:rPr>
          <w:noProof/>
        </w:rPr>
        <w:t>;</w:t>
      </w:r>
    </w:p>
    <w:p w14:paraId="351D851E" w14:textId="77777777" w:rsidR="001859C1" w:rsidRPr="00175218" w:rsidRDefault="001859C1" w:rsidP="00370814">
      <w:pPr>
        <w:pStyle w:val="Tiret0"/>
        <w:rPr>
          <w:noProof/>
        </w:rPr>
      </w:pPr>
      <w:r w:rsidRPr="16EE69E0">
        <w:rPr>
          <w:noProof/>
        </w:rPr>
        <w:t xml:space="preserve">the enforcement mechanism, further expanding on the added value of a two-pillar enforcement system </w:t>
      </w:r>
      <w:r w:rsidR="002E42B0">
        <w:rPr>
          <w:noProof/>
        </w:rPr>
        <w:t xml:space="preserve">that </w:t>
      </w:r>
      <w:r w:rsidR="002E42B0" w:rsidRPr="16EE69E0">
        <w:rPr>
          <w:noProof/>
        </w:rPr>
        <w:t>build</w:t>
      </w:r>
      <w:r w:rsidR="002E42B0">
        <w:rPr>
          <w:noProof/>
        </w:rPr>
        <w:t>s</w:t>
      </w:r>
      <w:r w:rsidR="002E42B0" w:rsidRPr="16EE69E0">
        <w:rPr>
          <w:noProof/>
        </w:rPr>
        <w:t xml:space="preserve"> </w:t>
      </w:r>
      <w:r w:rsidRPr="16EE69E0">
        <w:rPr>
          <w:noProof/>
        </w:rPr>
        <w:t>on administrative enforcement and civil liability;</w:t>
      </w:r>
    </w:p>
    <w:p w14:paraId="48889A3A" w14:textId="77777777" w:rsidR="001859C1" w:rsidRPr="00175218" w:rsidRDefault="001859C1" w:rsidP="00370814">
      <w:pPr>
        <w:pStyle w:val="Tiret0"/>
        <w:rPr>
          <w:noProof/>
        </w:rPr>
      </w:pPr>
      <w:r w:rsidRPr="009D6544">
        <w:rPr>
          <w:noProof/>
        </w:rPr>
        <w:t>impact</w:t>
      </w:r>
      <w:r>
        <w:rPr>
          <w:noProof/>
        </w:rPr>
        <w:t>s</w:t>
      </w:r>
      <w:r w:rsidRPr="74471853">
        <w:rPr>
          <w:noProof/>
        </w:rPr>
        <w:t xml:space="preserve"> on competition and competitiveness.</w:t>
      </w:r>
    </w:p>
    <w:p w14:paraId="3B91841A" w14:textId="77777777" w:rsidR="001859C1" w:rsidRDefault="001859C1" w:rsidP="000B2095">
      <w:pPr>
        <w:pStyle w:val="ManualHeading2"/>
        <w:rPr>
          <w:noProof/>
        </w:rPr>
      </w:pPr>
      <w:r w:rsidRPr="00370814">
        <w:rPr>
          <w:noProof/>
        </w:rPr>
        <w:t>Regulatory</w:t>
      </w:r>
      <w:r w:rsidRPr="007718A8">
        <w:rPr>
          <w:noProof/>
        </w:rPr>
        <w:t xml:space="preserve"> fitness and simplification</w:t>
      </w:r>
    </w:p>
    <w:p w14:paraId="5885BBE6" w14:textId="77777777" w:rsidR="001859C1" w:rsidRPr="00FA24E6" w:rsidRDefault="002E42B0" w:rsidP="009C1E50">
      <w:pPr>
        <w:rPr>
          <w:noProof/>
        </w:rPr>
      </w:pPr>
      <w:r w:rsidRPr="00FA24E6">
        <w:rPr>
          <w:noProof/>
        </w:rPr>
        <w:t xml:space="preserve">Small and medium-sized enterprises, </w:t>
      </w:r>
      <w:r w:rsidR="00CC7E70" w:rsidRPr="00FA24E6">
        <w:rPr>
          <w:noProof/>
        </w:rPr>
        <w:t>including</w:t>
      </w:r>
      <w:r w:rsidRPr="00FA24E6">
        <w:rPr>
          <w:noProof/>
        </w:rPr>
        <w:t xml:space="preserve"> m</w:t>
      </w:r>
      <w:r w:rsidR="001859C1" w:rsidRPr="00FA24E6">
        <w:rPr>
          <w:noProof/>
        </w:rPr>
        <w:t>icro</w:t>
      </w:r>
      <w:r w:rsidR="001859C1" w:rsidRPr="00FA24E6" w:rsidDel="002E42B0">
        <w:rPr>
          <w:noProof/>
        </w:rPr>
        <w:t xml:space="preserve"> </w:t>
      </w:r>
      <w:r w:rsidRPr="00FA24E6">
        <w:rPr>
          <w:noProof/>
        </w:rPr>
        <w:t>enterprises</w:t>
      </w:r>
      <w:r w:rsidR="001859C1" w:rsidRPr="00FA24E6">
        <w:rPr>
          <w:noProof/>
        </w:rPr>
        <w:t xml:space="preserve"> are not included in the scope and indirect effects on them will be mitigated through supporting measures and guidelines at </w:t>
      </w:r>
      <w:r w:rsidR="00580C35">
        <w:rPr>
          <w:noProof/>
        </w:rPr>
        <w:t>Union</w:t>
      </w:r>
      <w:r w:rsidR="00580C35" w:rsidRPr="00FA24E6">
        <w:rPr>
          <w:noProof/>
        </w:rPr>
        <w:t xml:space="preserve"> </w:t>
      </w:r>
      <w:r w:rsidR="001859C1" w:rsidRPr="00FA24E6">
        <w:rPr>
          <w:noProof/>
        </w:rPr>
        <w:t>and Member State level as well in business to business relations with the use of model contractual clauses</w:t>
      </w:r>
      <w:r w:rsidR="00C920B9" w:rsidRPr="00FA24E6">
        <w:rPr>
          <w:noProof/>
        </w:rPr>
        <w:t xml:space="preserve"> and by proportionality requirements for the larger business partner</w:t>
      </w:r>
      <w:r w:rsidR="001859C1" w:rsidRPr="00FA24E6">
        <w:rPr>
          <w:noProof/>
        </w:rPr>
        <w:t xml:space="preserve">. </w:t>
      </w:r>
    </w:p>
    <w:p w14:paraId="1D865A52" w14:textId="77777777" w:rsidR="001859C1" w:rsidRDefault="001859C1" w:rsidP="000B2095">
      <w:pPr>
        <w:pStyle w:val="ManualHeading2"/>
        <w:rPr>
          <w:noProof/>
        </w:rPr>
      </w:pPr>
      <w:r w:rsidRPr="007718A8">
        <w:rPr>
          <w:noProof/>
        </w:rPr>
        <w:t>Fundamental</w:t>
      </w:r>
      <w:r w:rsidR="00802650">
        <w:rPr>
          <w:noProof/>
        </w:rPr>
        <w:t xml:space="preserve"> </w:t>
      </w:r>
      <w:r w:rsidRPr="007718A8">
        <w:rPr>
          <w:noProof/>
        </w:rPr>
        <w:t>rights</w:t>
      </w:r>
    </w:p>
    <w:p w14:paraId="4643C79E" w14:textId="77777777" w:rsidR="001859C1" w:rsidRPr="00044058" w:rsidRDefault="001859C1" w:rsidP="001859C1">
      <w:pPr>
        <w:rPr>
          <w:rFonts w:eastAsia="Arial Unicode MS"/>
          <w:noProof/>
        </w:rPr>
      </w:pPr>
      <w:r w:rsidRPr="4870D8B9">
        <w:rPr>
          <w:rFonts w:eastAsia="Times New Roman"/>
          <w:noProof/>
        </w:rPr>
        <w:t xml:space="preserve">As explained in the </w:t>
      </w:r>
      <w:r>
        <w:rPr>
          <w:rFonts w:eastAsia="Times New Roman"/>
          <w:noProof/>
        </w:rPr>
        <w:t>i</w:t>
      </w:r>
      <w:r w:rsidRPr="4870D8B9">
        <w:rPr>
          <w:rFonts w:eastAsia="Times New Roman"/>
          <w:noProof/>
        </w:rPr>
        <w:t xml:space="preserve">mpact assessment and based on </w:t>
      </w:r>
      <w:r w:rsidRPr="007105E0">
        <w:rPr>
          <w:rFonts w:eastAsia="Times New Roman"/>
          <w:noProof/>
        </w:rPr>
        <w:t>existing evidence</w:t>
      </w:r>
      <w:r>
        <w:rPr>
          <w:rFonts w:eastAsia="Times New Roman"/>
          <w:noProof/>
        </w:rPr>
        <w:t>,</w:t>
      </w:r>
      <w:r w:rsidRPr="007105E0">
        <w:rPr>
          <w:rFonts w:eastAsia="Times New Roman"/>
          <w:noProof/>
        </w:rPr>
        <w:t xml:space="preserve"> </w:t>
      </w:r>
      <w:r>
        <w:rPr>
          <w:noProof/>
        </w:rPr>
        <w:t>m</w:t>
      </w:r>
      <w:r w:rsidRPr="001111A7">
        <w:rPr>
          <w:noProof/>
        </w:rPr>
        <w:t xml:space="preserve">andatory due diligence requirements </w:t>
      </w:r>
      <w:r>
        <w:rPr>
          <w:noProof/>
        </w:rPr>
        <w:t>can have significant benefits for the protection and promotion of fundamental</w:t>
      </w:r>
      <w:r w:rsidR="00A214C4">
        <w:rPr>
          <w:noProof/>
        </w:rPr>
        <w:t xml:space="preserve"> </w:t>
      </w:r>
      <w:r>
        <w:rPr>
          <w:noProof/>
        </w:rPr>
        <w:t>rights.</w:t>
      </w:r>
    </w:p>
    <w:p w14:paraId="314DCB58" w14:textId="77777777" w:rsidR="001859C1" w:rsidRDefault="001859C1" w:rsidP="001859C1">
      <w:pPr>
        <w:pStyle w:val="ManualHeading1"/>
        <w:rPr>
          <w:noProof/>
        </w:rPr>
      </w:pPr>
      <w:r w:rsidRPr="00550536">
        <w:rPr>
          <w:noProof/>
        </w:rPr>
        <w:t>4.</w:t>
      </w:r>
      <w:r w:rsidRPr="00550536">
        <w:rPr>
          <w:noProof/>
        </w:rPr>
        <w:tab/>
        <w:t>BUDGETARY IMPLICATIONS</w:t>
      </w:r>
    </w:p>
    <w:p w14:paraId="107ECBBC" w14:textId="77777777" w:rsidR="001859C1" w:rsidRPr="00111AB3" w:rsidRDefault="001859C1">
      <w:pPr>
        <w:rPr>
          <w:noProof/>
        </w:rPr>
      </w:pPr>
      <w:r>
        <w:rPr>
          <w:noProof/>
          <w:lang w:val="en-IE"/>
        </w:rPr>
        <w:t>There are no direct</w:t>
      </w:r>
      <w:r w:rsidR="00A214C4">
        <w:rPr>
          <w:noProof/>
          <w:lang w:val="en-IE"/>
        </w:rPr>
        <w:t xml:space="preserve"> implications to the </w:t>
      </w:r>
      <w:r w:rsidR="00580C35">
        <w:rPr>
          <w:noProof/>
          <w:lang w:val="en-IE"/>
        </w:rPr>
        <w:t xml:space="preserve">Union </w:t>
      </w:r>
      <w:r w:rsidR="00A214C4">
        <w:rPr>
          <w:noProof/>
          <w:lang w:val="en-IE"/>
        </w:rPr>
        <w:t>budget</w:t>
      </w:r>
      <w:r w:rsidR="009F2B3C">
        <w:rPr>
          <w:noProof/>
          <w:lang w:val="en-IE"/>
        </w:rPr>
        <w:t>.</w:t>
      </w:r>
      <w:r w:rsidR="00A214C4">
        <w:rPr>
          <w:noProof/>
          <w:lang w:val="en-IE"/>
        </w:rPr>
        <w:t xml:space="preserve"> </w:t>
      </w:r>
    </w:p>
    <w:p w14:paraId="6B5A99D3" w14:textId="77777777" w:rsidR="001859C1" w:rsidRPr="00550536" w:rsidRDefault="001859C1" w:rsidP="009F2B3C">
      <w:pPr>
        <w:pStyle w:val="ManualHeading1"/>
        <w:spacing w:line="276" w:lineRule="auto"/>
        <w:rPr>
          <w:noProof/>
        </w:rPr>
      </w:pPr>
      <w:r w:rsidRPr="00550536">
        <w:rPr>
          <w:noProof/>
        </w:rPr>
        <w:t>5.</w:t>
      </w:r>
      <w:r w:rsidRPr="00550536">
        <w:rPr>
          <w:noProof/>
        </w:rPr>
        <w:tab/>
        <w:t>OTHER ELEMENTS</w:t>
      </w:r>
    </w:p>
    <w:p w14:paraId="0DCC2C24" w14:textId="77777777" w:rsidR="001859C1" w:rsidRDefault="001859C1" w:rsidP="000B2095">
      <w:pPr>
        <w:pStyle w:val="ManualHeading2"/>
        <w:rPr>
          <w:noProof/>
        </w:rPr>
      </w:pPr>
      <w:r>
        <w:rPr>
          <w:noProof/>
        </w:rPr>
        <w:t xml:space="preserve">Implementation plans and </w:t>
      </w:r>
      <w:r w:rsidRPr="007718A8">
        <w:rPr>
          <w:noProof/>
        </w:rPr>
        <w:t>monitoring, evaluation and reporting arrangements</w:t>
      </w:r>
    </w:p>
    <w:p w14:paraId="6CC6178C" w14:textId="6CB1400D" w:rsidR="001859C1" w:rsidRPr="005971B5" w:rsidRDefault="001859C1" w:rsidP="00D83690">
      <w:pPr>
        <w:rPr>
          <w:noProof/>
        </w:rPr>
      </w:pPr>
      <w:r w:rsidRPr="005971B5">
        <w:rPr>
          <w:noProof/>
        </w:rPr>
        <w:t xml:space="preserve">The Commission </w:t>
      </w:r>
      <w:r>
        <w:rPr>
          <w:noProof/>
        </w:rPr>
        <w:t>will</w:t>
      </w:r>
      <w:r w:rsidRPr="005971B5">
        <w:rPr>
          <w:noProof/>
        </w:rPr>
        <w:t xml:space="preserve"> set up a European Network of Supervisory Authorities</w:t>
      </w:r>
      <w:r>
        <w:rPr>
          <w:noProof/>
        </w:rPr>
        <w:t xml:space="preserve"> to help with the implementation of this Directive. Such Network will be</w:t>
      </w:r>
      <w:r w:rsidRPr="005971B5">
        <w:rPr>
          <w:noProof/>
        </w:rPr>
        <w:t xml:space="preserve"> composed by the representatives of the supervisory authorities </w:t>
      </w:r>
      <w:r w:rsidR="005E64D8">
        <w:rPr>
          <w:noProof/>
        </w:rPr>
        <w:t xml:space="preserve">designated by the Member States </w:t>
      </w:r>
      <w:r w:rsidR="003E2BFB">
        <w:rPr>
          <w:noProof/>
        </w:rPr>
        <w:t>and where necessary joined by other</w:t>
      </w:r>
      <w:r w:rsidR="003E2BFB" w:rsidRPr="006D1201">
        <w:rPr>
          <w:noProof/>
        </w:rPr>
        <w:t xml:space="preserve"> Union agencies with relevant expertise in the areas covered by this Directive</w:t>
      </w:r>
      <w:r w:rsidR="003E2BFB">
        <w:rPr>
          <w:noProof/>
        </w:rPr>
        <w:t>,</w:t>
      </w:r>
      <w:r w:rsidR="003E2BFB" w:rsidRPr="006D1201">
        <w:rPr>
          <w:noProof/>
        </w:rPr>
        <w:t xml:space="preserve"> </w:t>
      </w:r>
      <w:r w:rsidR="005E64D8">
        <w:rPr>
          <w:noProof/>
        </w:rPr>
        <w:t>to</w:t>
      </w:r>
      <w:r w:rsidR="005E64D8" w:rsidRPr="005E64D8">
        <w:rPr>
          <w:noProof/>
        </w:rPr>
        <w:t xml:space="preserve"> ensure compliance by</w:t>
      </w:r>
      <w:r w:rsidR="005E64D8">
        <w:rPr>
          <w:noProof/>
        </w:rPr>
        <w:t xml:space="preserve"> the</w:t>
      </w:r>
      <w:r w:rsidR="005E64D8" w:rsidRPr="005E64D8">
        <w:rPr>
          <w:noProof/>
        </w:rPr>
        <w:t xml:space="preserve"> companies of their due diligence obligations</w:t>
      </w:r>
      <w:r w:rsidR="005E64D8">
        <w:rPr>
          <w:noProof/>
        </w:rPr>
        <w:t>, in order</w:t>
      </w:r>
      <w:r w:rsidRPr="005971B5">
        <w:rPr>
          <w:noProof/>
        </w:rPr>
        <w:t xml:space="preserve"> to facilitate and ensure the coordination and convergence of regulatory, investigative, sanctioning and supervisory practices, and the sharing of information among these supervisory authorities.</w:t>
      </w:r>
    </w:p>
    <w:p w14:paraId="06825817" w14:textId="068F5ADC" w:rsidR="001859C1" w:rsidRDefault="001859C1" w:rsidP="00D83690">
      <w:pPr>
        <w:rPr>
          <w:noProof/>
        </w:rPr>
      </w:pPr>
      <w:r>
        <w:rPr>
          <w:noProof/>
        </w:rPr>
        <w:t xml:space="preserve">After </w:t>
      </w:r>
      <w:r w:rsidR="00F400EB">
        <w:rPr>
          <w:noProof/>
        </w:rPr>
        <w:t xml:space="preserve">seven </w:t>
      </w:r>
      <w:r>
        <w:rPr>
          <w:noProof/>
        </w:rPr>
        <w:t xml:space="preserve">years </w:t>
      </w:r>
      <w:r w:rsidR="002E42B0">
        <w:rPr>
          <w:noProof/>
        </w:rPr>
        <w:t xml:space="preserve">following </w:t>
      </w:r>
      <w:r>
        <w:rPr>
          <w:noProof/>
        </w:rPr>
        <w:t>the end of the transposition period, t</w:t>
      </w:r>
      <w:r w:rsidRPr="00EB26A3">
        <w:rPr>
          <w:noProof/>
        </w:rPr>
        <w:t xml:space="preserve">he Commission </w:t>
      </w:r>
      <w:r>
        <w:rPr>
          <w:noProof/>
        </w:rPr>
        <w:t>shall</w:t>
      </w:r>
      <w:r w:rsidRPr="00EB26A3">
        <w:rPr>
          <w:noProof/>
        </w:rPr>
        <w:t xml:space="preserve"> report on the implementation of this Directive, including, among other aspects, its effectiveness. The report shall be accompanied, if appropriate, by </w:t>
      </w:r>
      <w:r>
        <w:rPr>
          <w:noProof/>
        </w:rPr>
        <w:t xml:space="preserve">a </w:t>
      </w:r>
      <w:r w:rsidRPr="00EB26A3">
        <w:rPr>
          <w:noProof/>
        </w:rPr>
        <w:t>legislative proposal.</w:t>
      </w:r>
    </w:p>
    <w:p w14:paraId="517A1224" w14:textId="77777777" w:rsidR="001859C1" w:rsidRPr="00044058" w:rsidRDefault="001859C1" w:rsidP="00D83690">
      <w:pPr>
        <w:rPr>
          <w:noProof/>
        </w:rPr>
      </w:pPr>
      <w:r>
        <w:rPr>
          <w:noProof/>
        </w:rPr>
        <w:t xml:space="preserve">In order to provide clarity and support </w:t>
      </w:r>
      <w:r w:rsidR="002E42B0">
        <w:rPr>
          <w:noProof/>
        </w:rPr>
        <w:t xml:space="preserve">to </w:t>
      </w:r>
      <w:r>
        <w:rPr>
          <w:noProof/>
        </w:rPr>
        <w:t xml:space="preserve">companies </w:t>
      </w:r>
      <w:r w:rsidR="002E42B0">
        <w:rPr>
          <w:noProof/>
        </w:rPr>
        <w:t xml:space="preserve">and </w:t>
      </w:r>
      <w:r>
        <w:rPr>
          <w:noProof/>
        </w:rPr>
        <w:t>Member States with the implementation of the directive, the Commission will issue guidance, where necessary.</w:t>
      </w:r>
    </w:p>
    <w:p w14:paraId="5316DA3A" w14:textId="77777777" w:rsidR="001859C1" w:rsidRPr="00365352" w:rsidRDefault="001859C1" w:rsidP="000B2095">
      <w:pPr>
        <w:pStyle w:val="ManualHeading2"/>
        <w:rPr>
          <w:b w:val="0"/>
          <w:noProof/>
        </w:rPr>
      </w:pPr>
      <w:r w:rsidRPr="00365352">
        <w:rPr>
          <w:noProof/>
        </w:rPr>
        <w:t>Explanatory documents</w:t>
      </w:r>
    </w:p>
    <w:p w14:paraId="2EBEB32C" w14:textId="77777777" w:rsidR="00D66B8B" w:rsidRPr="00B25181" w:rsidRDefault="00D66B8B" w:rsidP="000A60CF">
      <w:pPr>
        <w:rPr>
          <w:rFonts w:eastAsia="Arial Unicode MS"/>
          <w:noProof/>
        </w:rPr>
      </w:pPr>
      <w:r w:rsidRPr="005925B6">
        <w:rPr>
          <w:noProof/>
          <w:shd w:val="clear" w:color="auto" w:fill="FFFFFF"/>
        </w:rPr>
        <w:t>To ensure the proper im</w:t>
      </w:r>
      <w:r w:rsidRPr="005C0B7C">
        <w:rPr>
          <w:noProof/>
          <w:shd w:val="clear" w:color="auto" w:fill="FFFFFF"/>
        </w:rPr>
        <w:t>plementation of this Directive, the explanatory document, e.g. in the form of correlation tables would be necessary.</w:t>
      </w:r>
    </w:p>
    <w:p w14:paraId="64EC5920" w14:textId="77777777" w:rsidR="001859C1" w:rsidRPr="00365352" w:rsidRDefault="001859C1" w:rsidP="000B2095">
      <w:pPr>
        <w:pStyle w:val="ManualHeading2"/>
        <w:rPr>
          <w:b w:val="0"/>
          <w:noProof/>
        </w:rPr>
      </w:pPr>
      <w:r w:rsidRPr="00365352">
        <w:rPr>
          <w:noProof/>
        </w:rPr>
        <w:t>Detailed explanation of the specific provisions of the proposal</w:t>
      </w:r>
    </w:p>
    <w:p w14:paraId="5A241F07" w14:textId="77777777" w:rsidR="00F929CB" w:rsidRDefault="00A7667A" w:rsidP="00F929CB">
      <w:pPr>
        <w:rPr>
          <w:noProof/>
        </w:rPr>
      </w:pPr>
      <w:r w:rsidRPr="005925B6">
        <w:rPr>
          <w:noProof/>
        </w:rPr>
        <w:t>Article 1</w:t>
      </w:r>
      <w:r w:rsidRPr="007756C9">
        <w:rPr>
          <w:noProof/>
        </w:rPr>
        <w:t xml:space="preserve"> </w:t>
      </w:r>
      <w:r>
        <w:rPr>
          <w:noProof/>
        </w:rPr>
        <w:t>sets out</w:t>
      </w:r>
      <w:r w:rsidRPr="007756C9">
        <w:rPr>
          <w:noProof/>
        </w:rPr>
        <w:t xml:space="preserve"> </w:t>
      </w:r>
      <w:r w:rsidR="002554B4">
        <w:rPr>
          <w:noProof/>
        </w:rPr>
        <w:t xml:space="preserve">the subject matter of </w:t>
      </w:r>
      <w:r w:rsidRPr="007756C9">
        <w:rPr>
          <w:noProof/>
        </w:rPr>
        <w:t>the</w:t>
      </w:r>
      <w:r>
        <w:rPr>
          <w:noProof/>
        </w:rPr>
        <w:t xml:space="preserve"> Directive</w:t>
      </w:r>
      <w:r w:rsidR="002554B4">
        <w:rPr>
          <w:noProof/>
        </w:rPr>
        <w:t>, i.e.</w:t>
      </w:r>
      <w:r>
        <w:rPr>
          <w:noProof/>
        </w:rPr>
        <w:t xml:space="preserve"> </w:t>
      </w:r>
      <w:r w:rsidRPr="007756C9">
        <w:rPr>
          <w:noProof/>
        </w:rPr>
        <w:t>lay</w:t>
      </w:r>
      <w:r w:rsidR="002554B4">
        <w:rPr>
          <w:noProof/>
        </w:rPr>
        <w:t>ing</w:t>
      </w:r>
      <w:r w:rsidRPr="007756C9">
        <w:rPr>
          <w:noProof/>
        </w:rPr>
        <w:t xml:space="preserve"> down</w:t>
      </w:r>
      <w:r w:rsidR="006A4B2D">
        <w:rPr>
          <w:noProof/>
        </w:rPr>
        <w:t xml:space="preserve"> </w:t>
      </w:r>
      <w:r w:rsidR="000E1FAC">
        <w:rPr>
          <w:noProof/>
        </w:rPr>
        <w:t>rules</w:t>
      </w:r>
      <w:r w:rsidR="000E1FAC" w:rsidRPr="000E1FAC">
        <w:rPr>
          <w:noProof/>
        </w:rPr>
        <w:t xml:space="preserve"> on obligations of due diligence by companies regarding actual and potential human rights and environmental adverse impacts, with respect to their own operations, the operations of their subsidiaries, and the value chain operations carried out by established business relationships</w:t>
      </w:r>
      <w:r w:rsidR="00FB75C3">
        <w:rPr>
          <w:noProof/>
        </w:rPr>
        <w:t xml:space="preserve">; </w:t>
      </w:r>
      <w:r w:rsidR="00BD591B">
        <w:rPr>
          <w:noProof/>
        </w:rPr>
        <w:t xml:space="preserve">the provision also specifies that </w:t>
      </w:r>
      <w:r w:rsidR="00800CEA">
        <w:rPr>
          <w:noProof/>
        </w:rPr>
        <w:t>this</w:t>
      </w:r>
      <w:r w:rsidR="00BD591B">
        <w:rPr>
          <w:noProof/>
        </w:rPr>
        <w:t xml:space="preserve"> Directive establishes rules on liability for violations of the</w:t>
      </w:r>
      <w:r w:rsidR="00FB75C3">
        <w:rPr>
          <w:noProof/>
        </w:rPr>
        <w:t xml:space="preserve"> </w:t>
      </w:r>
      <w:r w:rsidR="000C0177">
        <w:rPr>
          <w:noProof/>
        </w:rPr>
        <w:t xml:space="preserve">due diligence </w:t>
      </w:r>
      <w:r w:rsidR="00BD591B">
        <w:rPr>
          <w:noProof/>
        </w:rPr>
        <w:t>obligation</w:t>
      </w:r>
      <w:r w:rsidR="000C0177">
        <w:rPr>
          <w:noProof/>
        </w:rPr>
        <w:t>.</w:t>
      </w:r>
      <w:r w:rsidR="005B333C">
        <w:rPr>
          <w:noProof/>
        </w:rPr>
        <w:t xml:space="preserve"> </w:t>
      </w:r>
    </w:p>
    <w:p w14:paraId="36C739CB" w14:textId="77777777" w:rsidR="00DD60C8" w:rsidRDefault="00A7667A" w:rsidP="00AF49F4">
      <w:pPr>
        <w:rPr>
          <w:noProof/>
        </w:rPr>
      </w:pPr>
      <w:r>
        <w:rPr>
          <w:noProof/>
        </w:rPr>
        <w:t>Article 2 establishes the personal scope of application of the Directive</w:t>
      </w:r>
      <w:r w:rsidR="00FB75C3">
        <w:rPr>
          <w:noProof/>
        </w:rPr>
        <w:t xml:space="preserve"> and </w:t>
      </w:r>
      <w:r w:rsidR="005F2DF5">
        <w:rPr>
          <w:noProof/>
        </w:rPr>
        <w:t xml:space="preserve">sets out the criteria </w:t>
      </w:r>
      <w:r w:rsidR="00800CEA">
        <w:rPr>
          <w:noProof/>
        </w:rPr>
        <w:t xml:space="preserve">based on </w:t>
      </w:r>
      <w:r w:rsidR="00FB75C3">
        <w:rPr>
          <w:noProof/>
        </w:rPr>
        <w:t xml:space="preserve">which </w:t>
      </w:r>
      <w:r w:rsidR="005F2DF5">
        <w:rPr>
          <w:noProof/>
        </w:rPr>
        <w:t>a</w:t>
      </w:r>
      <w:r w:rsidR="00FB75C3">
        <w:rPr>
          <w:noProof/>
        </w:rPr>
        <w:t xml:space="preserve"> Member</w:t>
      </w:r>
      <w:r w:rsidR="00FB75C3" w:rsidRPr="00FB75C3">
        <w:rPr>
          <w:noProof/>
        </w:rPr>
        <w:t xml:space="preserve"> State</w:t>
      </w:r>
      <w:r w:rsidR="005F2DF5">
        <w:rPr>
          <w:noProof/>
        </w:rPr>
        <w:t xml:space="preserve"> i</w:t>
      </w:r>
      <w:r w:rsidR="00FB75C3">
        <w:rPr>
          <w:noProof/>
        </w:rPr>
        <w:t>s</w:t>
      </w:r>
      <w:r w:rsidR="00FB75C3" w:rsidRPr="00FB75C3">
        <w:rPr>
          <w:noProof/>
        </w:rPr>
        <w:t xml:space="preserve"> competent to regulate matters covered in this Directive</w:t>
      </w:r>
      <w:r w:rsidR="00FB75C3">
        <w:rPr>
          <w:noProof/>
        </w:rPr>
        <w:t>.</w:t>
      </w:r>
    </w:p>
    <w:p w14:paraId="1400E9F4" w14:textId="77777777" w:rsidR="00A7667A" w:rsidRDefault="00A7667A" w:rsidP="00AF49F4">
      <w:pPr>
        <w:rPr>
          <w:noProof/>
        </w:rPr>
      </w:pPr>
      <w:r>
        <w:rPr>
          <w:noProof/>
        </w:rPr>
        <w:t>Article 3 contains definitions</w:t>
      </w:r>
      <w:r w:rsidR="00645FD1">
        <w:rPr>
          <w:noProof/>
        </w:rPr>
        <w:t xml:space="preserve"> f</w:t>
      </w:r>
      <w:r w:rsidR="00645FD1" w:rsidRPr="00645FD1">
        <w:rPr>
          <w:noProof/>
        </w:rPr>
        <w:t>or the purpose of this Directive</w:t>
      </w:r>
      <w:r w:rsidRPr="00A6791B">
        <w:rPr>
          <w:noProof/>
        </w:rPr>
        <w:t>.</w:t>
      </w:r>
    </w:p>
    <w:p w14:paraId="021BFAE1" w14:textId="77777777" w:rsidR="00A7667A" w:rsidRDefault="00A7667A">
      <w:pPr>
        <w:rPr>
          <w:noProof/>
        </w:rPr>
      </w:pPr>
      <w:r>
        <w:rPr>
          <w:noProof/>
        </w:rPr>
        <w:t xml:space="preserve">Article 4 requires </w:t>
      </w:r>
      <w:r w:rsidRPr="00A6791B">
        <w:rPr>
          <w:noProof/>
        </w:rPr>
        <w:t xml:space="preserve">Member States </w:t>
      </w:r>
      <w:r>
        <w:rPr>
          <w:noProof/>
        </w:rPr>
        <w:t>to</w:t>
      </w:r>
      <w:r w:rsidRPr="00A6791B">
        <w:rPr>
          <w:noProof/>
        </w:rPr>
        <w:t xml:space="preserve"> ensure that companies </w:t>
      </w:r>
      <w:r w:rsidR="00506A69" w:rsidRPr="00506A69">
        <w:rPr>
          <w:noProof/>
        </w:rPr>
        <w:t>conduct human rights</w:t>
      </w:r>
      <w:r w:rsidR="00F575EF">
        <w:rPr>
          <w:noProof/>
        </w:rPr>
        <w:t xml:space="preserve"> </w:t>
      </w:r>
      <w:r w:rsidR="00506A69" w:rsidRPr="00506A69">
        <w:rPr>
          <w:noProof/>
        </w:rPr>
        <w:t xml:space="preserve">and environmental due diligence by complying with the </w:t>
      </w:r>
      <w:r w:rsidR="005F2DF5">
        <w:rPr>
          <w:noProof/>
        </w:rPr>
        <w:t>specific</w:t>
      </w:r>
      <w:r w:rsidR="00506A69" w:rsidRPr="00506A69">
        <w:rPr>
          <w:noProof/>
        </w:rPr>
        <w:t xml:space="preserve"> requirements </w:t>
      </w:r>
      <w:r w:rsidR="005F2DF5">
        <w:rPr>
          <w:noProof/>
        </w:rPr>
        <w:t>listed</w:t>
      </w:r>
      <w:r w:rsidR="00506A69">
        <w:rPr>
          <w:noProof/>
        </w:rPr>
        <w:t xml:space="preserve"> in </w:t>
      </w:r>
      <w:r w:rsidR="00220C51">
        <w:rPr>
          <w:noProof/>
        </w:rPr>
        <w:t>Article</w:t>
      </w:r>
      <w:r w:rsidR="007E44E3">
        <w:rPr>
          <w:noProof/>
        </w:rPr>
        <w:t>s</w:t>
      </w:r>
      <w:r w:rsidR="00220C51">
        <w:rPr>
          <w:noProof/>
        </w:rPr>
        <w:t xml:space="preserve"> 5 </w:t>
      </w:r>
      <w:r w:rsidR="00433EB4">
        <w:rPr>
          <w:noProof/>
        </w:rPr>
        <w:t xml:space="preserve">to </w:t>
      </w:r>
      <w:r w:rsidR="00BF695E" w:rsidRPr="004165CA">
        <w:rPr>
          <w:noProof/>
        </w:rPr>
        <w:t>1</w:t>
      </w:r>
      <w:r w:rsidR="00BF695E">
        <w:rPr>
          <w:noProof/>
        </w:rPr>
        <w:t xml:space="preserve">1 </w:t>
      </w:r>
      <w:r w:rsidR="00220C51">
        <w:rPr>
          <w:noProof/>
        </w:rPr>
        <w:t>of the Directive.</w:t>
      </w:r>
    </w:p>
    <w:p w14:paraId="067436ED" w14:textId="77777777" w:rsidR="00F575EF" w:rsidRDefault="00A74CB4" w:rsidP="000E1FAC">
      <w:pPr>
        <w:rPr>
          <w:noProof/>
        </w:rPr>
      </w:pPr>
      <w:r>
        <w:rPr>
          <w:noProof/>
        </w:rPr>
        <w:t>Article</w:t>
      </w:r>
      <w:r w:rsidR="00065E44">
        <w:rPr>
          <w:noProof/>
        </w:rPr>
        <w:t> </w:t>
      </w:r>
      <w:r>
        <w:rPr>
          <w:noProof/>
        </w:rPr>
        <w:t>5</w:t>
      </w:r>
      <w:r w:rsidR="002C2BC8">
        <w:rPr>
          <w:noProof/>
        </w:rPr>
        <w:t xml:space="preserve"> requires Member States to ensure that </w:t>
      </w:r>
      <w:r w:rsidR="002C2BC8" w:rsidRPr="002C2BC8">
        <w:rPr>
          <w:noProof/>
        </w:rPr>
        <w:t xml:space="preserve">companies </w:t>
      </w:r>
      <w:r w:rsidR="008624DC">
        <w:rPr>
          <w:noProof/>
        </w:rPr>
        <w:t xml:space="preserve">integrate </w:t>
      </w:r>
      <w:r w:rsidR="002C2BC8" w:rsidRPr="002C2BC8">
        <w:rPr>
          <w:noProof/>
        </w:rPr>
        <w:t>due diligence into all corporate policies</w:t>
      </w:r>
      <w:r w:rsidR="00F575EF">
        <w:rPr>
          <w:noProof/>
        </w:rPr>
        <w:t xml:space="preserve"> and have in place a due diligence policy</w:t>
      </w:r>
      <w:r w:rsidR="00DB0967">
        <w:rPr>
          <w:noProof/>
        </w:rPr>
        <w:t xml:space="preserve"> that is updated annually</w:t>
      </w:r>
      <w:r w:rsidR="003C7D10">
        <w:rPr>
          <w:noProof/>
        </w:rPr>
        <w:t>. The provision specifies that this</w:t>
      </w:r>
      <w:r w:rsidR="00F575EF">
        <w:rPr>
          <w:noProof/>
        </w:rPr>
        <w:t xml:space="preserve"> policy should</w:t>
      </w:r>
      <w:r w:rsidR="003C7D10">
        <w:rPr>
          <w:noProof/>
        </w:rPr>
        <w:t xml:space="preserve"> include </w:t>
      </w:r>
      <w:r w:rsidR="00F575EF">
        <w:rPr>
          <w:noProof/>
        </w:rPr>
        <w:t>a description of the company’s approach</w:t>
      </w:r>
      <w:r w:rsidR="00FD1A1D" w:rsidRPr="00FD1A1D">
        <w:rPr>
          <w:noProof/>
        </w:rPr>
        <w:t xml:space="preserve"> </w:t>
      </w:r>
      <w:r w:rsidR="00FD1A1D">
        <w:rPr>
          <w:noProof/>
        </w:rPr>
        <w:t>to due diligence</w:t>
      </w:r>
      <w:r w:rsidR="00F575EF">
        <w:rPr>
          <w:noProof/>
        </w:rPr>
        <w:t>,</w:t>
      </w:r>
      <w:r w:rsidR="00FD1A1D" w:rsidDel="00FD1A1D">
        <w:rPr>
          <w:noProof/>
        </w:rPr>
        <w:t xml:space="preserve"> </w:t>
      </w:r>
      <w:r w:rsidR="00FD1A1D">
        <w:rPr>
          <w:noProof/>
        </w:rPr>
        <w:t>of</w:t>
      </w:r>
      <w:r w:rsidR="00F575EF">
        <w:rPr>
          <w:noProof/>
        </w:rPr>
        <w:t xml:space="preserve"> </w:t>
      </w:r>
      <w:r w:rsidR="000E1FAC">
        <w:rPr>
          <w:noProof/>
        </w:rPr>
        <w:t>a code of conduct to be followed by the company’s employees and subsidiaries</w:t>
      </w:r>
      <w:r w:rsidR="00FD1A1D">
        <w:rPr>
          <w:noProof/>
        </w:rPr>
        <w:t>,</w:t>
      </w:r>
      <w:r w:rsidR="000E1FAC">
        <w:rPr>
          <w:noProof/>
        </w:rPr>
        <w:t xml:space="preserve"> </w:t>
      </w:r>
      <w:r w:rsidR="000E1FAC">
        <w:rPr>
          <w:noProof/>
        </w:rPr>
        <w:tab/>
        <w:t>of the processes put in place to implement due diligence</w:t>
      </w:r>
      <w:r w:rsidR="000F1FC0">
        <w:rPr>
          <w:noProof/>
        </w:rPr>
        <w:t xml:space="preserve">.  </w:t>
      </w:r>
    </w:p>
    <w:p w14:paraId="336BC385" w14:textId="77777777" w:rsidR="00A7667A" w:rsidRDefault="00A74CB4">
      <w:pPr>
        <w:rPr>
          <w:noProof/>
        </w:rPr>
      </w:pPr>
      <w:r>
        <w:rPr>
          <w:noProof/>
        </w:rPr>
        <w:t>Article 6</w:t>
      </w:r>
      <w:r w:rsidR="00A7667A">
        <w:rPr>
          <w:noProof/>
        </w:rPr>
        <w:t xml:space="preserve"> establishes the obligation for </w:t>
      </w:r>
      <w:r w:rsidR="00A7667A" w:rsidRPr="00A6791B">
        <w:rPr>
          <w:noProof/>
        </w:rPr>
        <w:t xml:space="preserve">Member States </w:t>
      </w:r>
      <w:r w:rsidR="00A7667A">
        <w:rPr>
          <w:noProof/>
        </w:rPr>
        <w:t>to</w:t>
      </w:r>
      <w:r w:rsidR="00A7667A" w:rsidRPr="00A6791B">
        <w:rPr>
          <w:noProof/>
        </w:rPr>
        <w:t xml:space="preserve"> ensure that companies</w:t>
      </w:r>
      <w:r w:rsidR="00506A69" w:rsidRPr="00506A69">
        <w:rPr>
          <w:noProof/>
        </w:rPr>
        <w:t xml:space="preserve"> take appropriate measures to identify actual or potential adverse human rights</w:t>
      </w:r>
      <w:r w:rsidR="00AC2803">
        <w:rPr>
          <w:noProof/>
        </w:rPr>
        <w:t xml:space="preserve"> </w:t>
      </w:r>
      <w:r w:rsidR="00506A69" w:rsidRPr="00506A69">
        <w:rPr>
          <w:noProof/>
        </w:rPr>
        <w:t>and environmental impacts in their own operations, in their subsidiaries and at the level of their established direct or indirect business relationships in their value chain</w:t>
      </w:r>
      <w:r w:rsidR="00506A69">
        <w:rPr>
          <w:noProof/>
        </w:rPr>
        <w:t>.</w:t>
      </w:r>
    </w:p>
    <w:p w14:paraId="4838903C" w14:textId="77777777" w:rsidR="006C07C5" w:rsidRDefault="00AC2803">
      <w:pPr>
        <w:rPr>
          <w:noProof/>
        </w:rPr>
      </w:pPr>
      <w:r>
        <w:rPr>
          <w:noProof/>
        </w:rPr>
        <w:t>Article 7</w:t>
      </w:r>
      <w:r w:rsidR="00A7667A">
        <w:rPr>
          <w:noProof/>
        </w:rPr>
        <w:t xml:space="preserve"> sets out the requirement for M</w:t>
      </w:r>
      <w:r w:rsidR="00A7667A" w:rsidRPr="00A6791B">
        <w:rPr>
          <w:noProof/>
        </w:rPr>
        <w:t xml:space="preserve">ember States </w:t>
      </w:r>
      <w:r w:rsidR="00A7667A">
        <w:rPr>
          <w:noProof/>
        </w:rPr>
        <w:t>to</w:t>
      </w:r>
      <w:r w:rsidR="00A7667A" w:rsidRPr="00A6791B">
        <w:rPr>
          <w:noProof/>
        </w:rPr>
        <w:t xml:space="preserve"> ensure that companies </w:t>
      </w:r>
      <w:r w:rsidR="009D7D6F" w:rsidRPr="009D7D6F">
        <w:rPr>
          <w:noProof/>
        </w:rPr>
        <w:t>take appropriate measures</w:t>
      </w:r>
      <w:r w:rsidR="00DF2501">
        <w:rPr>
          <w:noProof/>
        </w:rPr>
        <w:t xml:space="preserve"> </w:t>
      </w:r>
      <w:r w:rsidR="009D7D6F" w:rsidRPr="009D7D6F">
        <w:rPr>
          <w:noProof/>
        </w:rPr>
        <w:t>to prevent</w:t>
      </w:r>
      <w:r w:rsidR="00DF2501" w:rsidRPr="00DF2501">
        <w:rPr>
          <w:noProof/>
        </w:rPr>
        <w:t xml:space="preserve"> potential adverse impacts identified pursuant to </w:t>
      </w:r>
      <w:r w:rsidR="00A74CB4">
        <w:rPr>
          <w:noProof/>
        </w:rPr>
        <w:t>Article 6</w:t>
      </w:r>
      <w:r w:rsidR="004F7F64">
        <w:rPr>
          <w:noProof/>
        </w:rPr>
        <w:t>,</w:t>
      </w:r>
      <w:r w:rsidR="00DF2501" w:rsidRPr="00DF2501">
        <w:rPr>
          <w:noProof/>
        </w:rPr>
        <w:t xml:space="preserve"> or</w:t>
      </w:r>
      <w:r w:rsidR="002B1F35">
        <w:rPr>
          <w:noProof/>
        </w:rPr>
        <w:t xml:space="preserve"> to</w:t>
      </w:r>
      <w:r w:rsidR="00DF2501" w:rsidRPr="00DF2501">
        <w:rPr>
          <w:noProof/>
        </w:rPr>
        <w:t xml:space="preserve"> </w:t>
      </w:r>
      <w:r w:rsidR="00AB3754">
        <w:rPr>
          <w:noProof/>
        </w:rPr>
        <w:t xml:space="preserve">adequately mitigate </w:t>
      </w:r>
      <w:r w:rsidR="002B1F35">
        <w:rPr>
          <w:noProof/>
        </w:rPr>
        <w:t>th</w:t>
      </w:r>
      <w:r w:rsidR="004F7F64">
        <w:rPr>
          <w:noProof/>
        </w:rPr>
        <w:t>ose impacts</w:t>
      </w:r>
      <w:r w:rsidR="00DF2501">
        <w:rPr>
          <w:noProof/>
        </w:rPr>
        <w:t>,</w:t>
      </w:r>
      <w:r w:rsidR="00DF2501" w:rsidRPr="00DF2501">
        <w:rPr>
          <w:noProof/>
        </w:rPr>
        <w:t xml:space="preserve"> where prevention is not possible or requires gradual implementation</w:t>
      </w:r>
      <w:r w:rsidR="00A7667A" w:rsidRPr="00A6791B">
        <w:rPr>
          <w:noProof/>
        </w:rPr>
        <w:t xml:space="preserve">. </w:t>
      </w:r>
    </w:p>
    <w:p w14:paraId="3D0230F7" w14:textId="77777777" w:rsidR="0021712B" w:rsidRDefault="00A74CB4">
      <w:pPr>
        <w:rPr>
          <w:noProof/>
        </w:rPr>
      </w:pPr>
      <w:r>
        <w:rPr>
          <w:noProof/>
        </w:rPr>
        <w:t>Article 8</w:t>
      </w:r>
      <w:r w:rsidR="0021712B" w:rsidRPr="0021712B">
        <w:rPr>
          <w:noProof/>
        </w:rPr>
        <w:t xml:space="preserve"> </w:t>
      </w:r>
      <w:r w:rsidR="0021712B">
        <w:rPr>
          <w:noProof/>
        </w:rPr>
        <w:t xml:space="preserve">establishes the obligation for </w:t>
      </w:r>
      <w:r w:rsidR="0021712B" w:rsidRPr="0021712B">
        <w:rPr>
          <w:noProof/>
        </w:rPr>
        <w:t xml:space="preserve">Member States </w:t>
      </w:r>
      <w:r w:rsidR="0021712B">
        <w:rPr>
          <w:noProof/>
        </w:rPr>
        <w:t>to</w:t>
      </w:r>
      <w:r w:rsidR="0021712B" w:rsidRPr="0021712B">
        <w:rPr>
          <w:noProof/>
        </w:rPr>
        <w:t xml:space="preserve"> ensure that companies take appropriate measures to </w:t>
      </w:r>
      <w:r w:rsidR="00DB0967">
        <w:rPr>
          <w:noProof/>
        </w:rPr>
        <w:t xml:space="preserve">bring to an end </w:t>
      </w:r>
      <w:r w:rsidR="0021712B" w:rsidRPr="0021712B">
        <w:rPr>
          <w:noProof/>
        </w:rPr>
        <w:t xml:space="preserve">actual </w:t>
      </w:r>
      <w:r w:rsidR="006C07C5" w:rsidRPr="0021712B">
        <w:rPr>
          <w:noProof/>
        </w:rPr>
        <w:t xml:space="preserve">adverse </w:t>
      </w:r>
      <w:r w:rsidR="0021712B" w:rsidRPr="0021712B">
        <w:rPr>
          <w:noProof/>
        </w:rPr>
        <w:t>human rights</w:t>
      </w:r>
      <w:r w:rsidR="00DB0967">
        <w:rPr>
          <w:noProof/>
        </w:rPr>
        <w:t xml:space="preserve"> and</w:t>
      </w:r>
      <w:r w:rsidR="0021712B" w:rsidRPr="0021712B">
        <w:rPr>
          <w:noProof/>
        </w:rPr>
        <w:t xml:space="preserve"> environmental impacts </w:t>
      </w:r>
      <w:r w:rsidR="006C07C5">
        <w:rPr>
          <w:noProof/>
        </w:rPr>
        <w:t>that they had</w:t>
      </w:r>
      <w:r w:rsidR="0021712B" w:rsidRPr="0021712B">
        <w:rPr>
          <w:noProof/>
        </w:rPr>
        <w:t xml:space="preserve"> </w:t>
      </w:r>
      <w:r w:rsidR="00DB0967">
        <w:rPr>
          <w:noProof/>
        </w:rPr>
        <w:t>or could have</w:t>
      </w:r>
      <w:r w:rsidR="0021712B" w:rsidRPr="0021712B">
        <w:rPr>
          <w:noProof/>
        </w:rPr>
        <w:t xml:space="preserve"> </w:t>
      </w:r>
      <w:r w:rsidR="006C07C5">
        <w:rPr>
          <w:noProof/>
        </w:rPr>
        <w:t xml:space="preserve">identified pursuant to </w:t>
      </w:r>
      <w:r>
        <w:rPr>
          <w:noProof/>
        </w:rPr>
        <w:t>Article 6</w:t>
      </w:r>
      <w:r w:rsidR="0021712B">
        <w:rPr>
          <w:noProof/>
        </w:rPr>
        <w:t>.</w:t>
      </w:r>
      <w:r w:rsidR="006C07C5">
        <w:rPr>
          <w:noProof/>
        </w:rPr>
        <w:t xml:space="preserve"> </w:t>
      </w:r>
      <w:r w:rsidR="00135E5B">
        <w:rPr>
          <w:noProof/>
        </w:rPr>
        <w:t xml:space="preserve">Where an adverse impact that has occurred at the level of </w:t>
      </w:r>
      <w:r w:rsidR="00DB0967">
        <w:rPr>
          <w:noProof/>
        </w:rPr>
        <w:t xml:space="preserve">established </w:t>
      </w:r>
      <w:r w:rsidR="00135E5B">
        <w:rPr>
          <w:noProof/>
        </w:rPr>
        <w:t xml:space="preserve">direct or indirect established business relationships cannot be </w:t>
      </w:r>
      <w:r w:rsidR="00DB0967">
        <w:rPr>
          <w:noProof/>
        </w:rPr>
        <w:t>brought to an end</w:t>
      </w:r>
      <w:r w:rsidR="00135E5B">
        <w:rPr>
          <w:noProof/>
        </w:rPr>
        <w:t xml:space="preserve">, Member States </w:t>
      </w:r>
      <w:r w:rsidR="00DB0967">
        <w:rPr>
          <w:noProof/>
        </w:rPr>
        <w:t>should</w:t>
      </w:r>
      <w:r w:rsidR="00135E5B">
        <w:rPr>
          <w:noProof/>
        </w:rPr>
        <w:t xml:space="preserve"> ensure that companies minimise the extent of </w:t>
      </w:r>
      <w:r w:rsidR="005D49B5">
        <w:rPr>
          <w:noProof/>
        </w:rPr>
        <w:t>the</w:t>
      </w:r>
      <w:r w:rsidR="00135E5B">
        <w:rPr>
          <w:noProof/>
        </w:rPr>
        <w:t xml:space="preserve"> impact</w:t>
      </w:r>
      <w:r w:rsidR="0021712B">
        <w:rPr>
          <w:noProof/>
        </w:rPr>
        <w:t>.</w:t>
      </w:r>
    </w:p>
    <w:p w14:paraId="181D49C0" w14:textId="77777777" w:rsidR="00A7667A" w:rsidRDefault="008873E6">
      <w:pPr>
        <w:rPr>
          <w:noProof/>
        </w:rPr>
      </w:pPr>
      <w:r>
        <w:rPr>
          <w:noProof/>
        </w:rPr>
        <w:t>Article 9</w:t>
      </w:r>
      <w:r w:rsidR="0021712B">
        <w:rPr>
          <w:noProof/>
        </w:rPr>
        <w:t xml:space="preserve"> </w:t>
      </w:r>
      <w:r w:rsidR="00A7667A">
        <w:rPr>
          <w:noProof/>
        </w:rPr>
        <w:t xml:space="preserve">sets out the obligation </w:t>
      </w:r>
      <w:r w:rsidR="0021712B">
        <w:rPr>
          <w:noProof/>
        </w:rPr>
        <w:t>for</w:t>
      </w:r>
      <w:r w:rsidR="00135E5B">
        <w:rPr>
          <w:noProof/>
        </w:rPr>
        <w:t xml:space="preserve"> </w:t>
      </w:r>
      <w:r w:rsidR="0024385A">
        <w:rPr>
          <w:noProof/>
        </w:rPr>
        <w:tab/>
      </w:r>
      <w:r w:rsidR="0021712B" w:rsidRPr="0021712B">
        <w:rPr>
          <w:noProof/>
        </w:rPr>
        <w:t xml:space="preserve">Member States </w:t>
      </w:r>
      <w:r w:rsidR="0021712B">
        <w:rPr>
          <w:noProof/>
        </w:rPr>
        <w:t>to</w:t>
      </w:r>
      <w:r w:rsidR="0021712B" w:rsidRPr="0021712B">
        <w:rPr>
          <w:noProof/>
        </w:rPr>
        <w:t xml:space="preserve"> ensure that companies </w:t>
      </w:r>
      <w:r w:rsidR="00637449" w:rsidRPr="00637449">
        <w:rPr>
          <w:noProof/>
        </w:rPr>
        <w:t>provide</w:t>
      </w:r>
      <w:r w:rsidR="00637449">
        <w:rPr>
          <w:noProof/>
        </w:rPr>
        <w:t xml:space="preserve"> for</w:t>
      </w:r>
      <w:r w:rsidR="00637449" w:rsidRPr="00637449">
        <w:rPr>
          <w:noProof/>
        </w:rPr>
        <w:t xml:space="preserve"> the possibility</w:t>
      </w:r>
      <w:r w:rsidR="00637449">
        <w:rPr>
          <w:noProof/>
        </w:rPr>
        <w:t xml:space="preserve"> to submit complaints to the company</w:t>
      </w:r>
      <w:r w:rsidR="00637449" w:rsidRPr="00637449">
        <w:rPr>
          <w:noProof/>
        </w:rPr>
        <w:t xml:space="preserve"> in case of legitimate concerns regarding those potential or actual adverse impacts</w:t>
      </w:r>
      <w:r w:rsidR="00637449">
        <w:rPr>
          <w:noProof/>
        </w:rPr>
        <w:t>, including in the company’s value chain</w:t>
      </w:r>
      <w:r w:rsidR="00637449" w:rsidRPr="00637449">
        <w:rPr>
          <w:noProof/>
        </w:rPr>
        <w:t xml:space="preserve">. </w:t>
      </w:r>
      <w:r w:rsidR="00637449">
        <w:rPr>
          <w:noProof/>
        </w:rPr>
        <w:t xml:space="preserve">Companies are required to grant this possibility to </w:t>
      </w:r>
      <w:r w:rsidR="0021712B" w:rsidRPr="0021712B">
        <w:rPr>
          <w:noProof/>
        </w:rPr>
        <w:t xml:space="preserve">persons </w:t>
      </w:r>
      <w:r w:rsidR="0021712B">
        <w:rPr>
          <w:noProof/>
        </w:rPr>
        <w:t xml:space="preserve">who are </w:t>
      </w:r>
      <w:r w:rsidR="0021712B" w:rsidRPr="0021712B">
        <w:rPr>
          <w:noProof/>
        </w:rPr>
        <w:t>affected or have reasonable grounds to believe that they might be affected by an adverse impact</w:t>
      </w:r>
      <w:r w:rsidR="00821B0B">
        <w:rPr>
          <w:noProof/>
        </w:rPr>
        <w:t>,</w:t>
      </w:r>
      <w:r w:rsidR="0021712B" w:rsidRPr="0021712B">
        <w:rPr>
          <w:noProof/>
        </w:rPr>
        <w:t xml:space="preserve"> </w:t>
      </w:r>
      <w:r w:rsidR="00637449">
        <w:rPr>
          <w:noProof/>
        </w:rPr>
        <w:t xml:space="preserve">to </w:t>
      </w:r>
      <w:r w:rsidR="0021712B" w:rsidRPr="0021712B">
        <w:rPr>
          <w:noProof/>
        </w:rPr>
        <w:t>trade unions</w:t>
      </w:r>
      <w:r w:rsidR="00581807">
        <w:rPr>
          <w:noProof/>
        </w:rPr>
        <w:t xml:space="preserve"> and</w:t>
      </w:r>
      <w:r w:rsidR="000F3391">
        <w:rPr>
          <w:noProof/>
        </w:rPr>
        <w:t xml:space="preserve"> other workers’ representatives</w:t>
      </w:r>
      <w:r w:rsidR="00637449" w:rsidRPr="00637449">
        <w:rPr>
          <w:noProof/>
        </w:rPr>
        <w:t xml:space="preserve"> representing individ</w:t>
      </w:r>
      <w:r w:rsidR="00637449">
        <w:rPr>
          <w:noProof/>
        </w:rPr>
        <w:t>uals working in the value chain</w:t>
      </w:r>
      <w:r w:rsidR="00637449" w:rsidRPr="00637449">
        <w:rPr>
          <w:noProof/>
        </w:rPr>
        <w:t xml:space="preserve"> concerned</w:t>
      </w:r>
      <w:r w:rsidR="00821B0B">
        <w:rPr>
          <w:noProof/>
        </w:rPr>
        <w:t>,</w:t>
      </w:r>
      <w:r w:rsidR="000F3391" w:rsidRPr="0021712B">
        <w:rPr>
          <w:noProof/>
        </w:rPr>
        <w:t xml:space="preserve"> </w:t>
      </w:r>
      <w:r w:rsidR="0021712B" w:rsidRPr="0021712B">
        <w:rPr>
          <w:noProof/>
        </w:rPr>
        <w:t xml:space="preserve">and </w:t>
      </w:r>
      <w:r w:rsidR="00637449">
        <w:rPr>
          <w:noProof/>
        </w:rPr>
        <w:t>to</w:t>
      </w:r>
      <w:r w:rsidR="0021712B" w:rsidRPr="0021712B">
        <w:rPr>
          <w:noProof/>
        </w:rPr>
        <w:t xml:space="preserve"> civil society organisations </w:t>
      </w:r>
      <w:r w:rsidR="00581807">
        <w:rPr>
          <w:noProof/>
        </w:rPr>
        <w:t>active in the area concerned</w:t>
      </w:r>
      <w:r w:rsidR="00821B0B">
        <w:rPr>
          <w:noProof/>
        </w:rPr>
        <w:t xml:space="preserve">. </w:t>
      </w:r>
    </w:p>
    <w:p w14:paraId="36A3124F" w14:textId="77777777" w:rsidR="00794DB4" w:rsidRDefault="008873E6">
      <w:pPr>
        <w:rPr>
          <w:noProof/>
        </w:rPr>
      </w:pPr>
      <w:r>
        <w:rPr>
          <w:noProof/>
        </w:rPr>
        <w:t>Article 10</w:t>
      </w:r>
      <w:r w:rsidR="00A7667A">
        <w:rPr>
          <w:noProof/>
        </w:rPr>
        <w:t xml:space="preserve"> introduces the </w:t>
      </w:r>
      <w:r w:rsidR="00821B0B">
        <w:rPr>
          <w:noProof/>
        </w:rPr>
        <w:t xml:space="preserve">obligation for Member States to require companies </w:t>
      </w:r>
      <w:r w:rsidR="00F929CB">
        <w:rPr>
          <w:noProof/>
        </w:rPr>
        <w:t xml:space="preserve">to </w:t>
      </w:r>
      <w:r w:rsidR="00821B0B">
        <w:rPr>
          <w:noProof/>
        </w:rPr>
        <w:t xml:space="preserve">periodically assess </w:t>
      </w:r>
      <w:r w:rsidR="00F86257">
        <w:rPr>
          <w:noProof/>
        </w:rPr>
        <w:t>the implementation</w:t>
      </w:r>
      <w:r w:rsidR="000B67B7">
        <w:rPr>
          <w:noProof/>
        </w:rPr>
        <w:t xml:space="preserve"> of their </w:t>
      </w:r>
      <w:r w:rsidR="00F86257">
        <w:rPr>
          <w:noProof/>
        </w:rPr>
        <w:t xml:space="preserve">due diligence </w:t>
      </w:r>
      <w:r w:rsidR="000F1FC0">
        <w:rPr>
          <w:noProof/>
        </w:rPr>
        <w:t>measures</w:t>
      </w:r>
      <w:r w:rsidR="00F86257">
        <w:rPr>
          <w:noProof/>
        </w:rPr>
        <w:t xml:space="preserve"> in order</w:t>
      </w:r>
      <w:r w:rsidR="000B67B7">
        <w:rPr>
          <w:noProof/>
        </w:rPr>
        <w:t xml:space="preserve"> to verify that adverse impacts are properly identified and </w:t>
      </w:r>
      <w:r w:rsidR="00F86257">
        <w:rPr>
          <w:noProof/>
        </w:rPr>
        <w:t xml:space="preserve">that preventive or corrective </w:t>
      </w:r>
      <w:r w:rsidR="000B67B7">
        <w:rPr>
          <w:noProof/>
        </w:rPr>
        <w:t>measures are implemented, and to determine the extent to which adverse impacts have been prevented</w:t>
      </w:r>
      <w:r w:rsidR="004D1237">
        <w:rPr>
          <w:noProof/>
        </w:rPr>
        <w:t xml:space="preserve"> or </w:t>
      </w:r>
      <w:r w:rsidR="00664C37">
        <w:rPr>
          <w:noProof/>
        </w:rPr>
        <w:t>brought to an end</w:t>
      </w:r>
      <w:r w:rsidR="000B67B7">
        <w:rPr>
          <w:noProof/>
        </w:rPr>
        <w:t xml:space="preserve"> or </w:t>
      </w:r>
      <w:r w:rsidR="00F86257">
        <w:rPr>
          <w:noProof/>
        </w:rPr>
        <w:t>their extent</w:t>
      </w:r>
      <w:r w:rsidR="00F86257" w:rsidDel="004A2FDC">
        <w:rPr>
          <w:noProof/>
        </w:rPr>
        <w:t xml:space="preserve"> </w:t>
      </w:r>
      <w:r w:rsidR="000B67B7">
        <w:rPr>
          <w:noProof/>
        </w:rPr>
        <w:t xml:space="preserve">minimised. </w:t>
      </w:r>
    </w:p>
    <w:p w14:paraId="29022616" w14:textId="77777777" w:rsidR="003E03C7" w:rsidRDefault="006C44A3">
      <w:pPr>
        <w:rPr>
          <w:noProof/>
        </w:rPr>
      </w:pPr>
      <w:r>
        <w:rPr>
          <w:noProof/>
        </w:rPr>
        <w:t>Article 11</w:t>
      </w:r>
      <w:r w:rsidR="00794DB4">
        <w:rPr>
          <w:noProof/>
        </w:rPr>
        <w:t xml:space="preserve"> establishes the obligation for Member States to ensure that companies </w:t>
      </w:r>
      <w:r w:rsidR="00F16ABE">
        <w:rPr>
          <w:noProof/>
        </w:rPr>
        <w:t>that are not subject to reporting requirements under Directive 2013/34/EU report on the matters covered by this Directive and publish an annual statement on their website.</w:t>
      </w:r>
    </w:p>
    <w:p w14:paraId="527BD51C" w14:textId="77777777" w:rsidR="00A7667A" w:rsidRDefault="00583B67">
      <w:pPr>
        <w:rPr>
          <w:noProof/>
        </w:rPr>
      </w:pPr>
      <w:r>
        <w:rPr>
          <w:noProof/>
        </w:rPr>
        <w:t>Article 12</w:t>
      </w:r>
      <w:r w:rsidR="00A7667A">
        <w:rPr>
          <w:noProof/>
        </w:rPr>
        <w:t xml:space="preserve"> sets out the</w:t>
      </w:r>
      <w:r w:rsidR="005D4AED">
        <w:rPr>
          <w:noProof/>
        </w:rPr>
        <w:t xml:space="preserve"> </w:t>
      </w:r>
      <w:r w:rsidR="005545B9">
        <w:rPr>
          <w:noProof/>
        </w:rPr>
        <w:t>obligation</w:t>
      </w:r>
      <w:r w:rsidR="005D4AED">
        <w:rPr>
          <w:noProof/>
        </w:rPr>
        <w:t xml:space="preserve"> for </w:t>
      </w:r>
      <w:r w:rsidR="00794DB4">
        <w:rPr>
          <w:noProof/>
        </w:rPr>
        <w:t xml:space="preserve">the Commission to adopt guidance about </w:t>
      </w:r>
      <w:r w:rsidR="00631A0A">
        <w:rPr>
          <w:noProof/>
        </w:rPr>
        <w:t>non-binding</w:t>
      </w:r>
      <w:r w:rsidR="00794DB4">
        <w:rPr>
          <w:noProof/>
        </w:rPr>
        <w:t xml:space="preserve"> model contract clauses </w:t>
      </w:r>
      <w:r w:rsidR="00070B44">
        <w:rPr>
          <w:noProof/>
        </w:rPr>
        <w:t xml:space="preserve">to help </w:t>
      </w:r>
      <w:r w:rsidR="005D4AED">
        <w:rPr>
          <w:noProof/>
        </w:rPr>
        <w:t xml:space="preserve">companies </w:t>
      </w:r>
      <w:r w:rsidR="005D4AED" w:rsidRPr="005D4AED">
        <w:rPr>
          <w:noProof/>
        </w:rPr>
        <w:t xml:space="preserve">comply with </w:t>
      </w:r>
      <w:r w:rsidR="00BC4C6A" w:rsidRPr="00BC4C6A">
        <w:rPr>
          <w:noProof/>
        </w:rPr>
        <w:t>Article </w:t>
      </w:r>
      <w:r w:rsidR="00191F2A">
        <w:rPr>
          <w:noProof/>
        </w:rPr>
        <w:t>7</w:t>
      </w:r>
      <w:r w:rsidR="00BC4C6A" w:rsidRPr="00BC4C6A">
        <w:rPr>
          <w:noProof/>
        </w:rPr>
        <w:t>(2)</w:t>
      </w:r>
      <w:r w:rsidR="00BC4C6A">
        <w:rPr>
          <w:noProof/>
        </w:rPr>
        <w:t>,</w:t>
      </w:r>
      <w:r w:rsidR="00BC4C6A" w:rsidRPr="00BC4C6A">
        <w:rPr>
          <w:noProof/>
        </w:rPr>
        <w:t xml:space="preserve"> point (b)</w:t>
      </w:r>
      <w:r w:rsidR="00BC4C6A">
        <w:rPr>
          <w:noProof/>
        </w:rPr>
        <w:t>,</w:t>
      </w:r>
      <w:r w:rsidR="00BC4C6A" w:rsidRPr="00BC4C6A">
        <w:rPr>
          <w:noProof/>
        </w:rPr>
        <w:t xml:space="preserve"> and Article </w:t>
      </w:r>
      <w:r w:rsidR="00191F2A">
        <w:rPr>
          <w:noProof/>
        </w:rPr>
        <w:t>8</w:t>
      </w:r>
      <w:r w:rsidR="00BC4C6A" w:rsidRPr="00BC4C6A">
        <w:rPr>
          <w:noProof/>
        </w:rPr>
        <w:t>(3) point (c)</w:t>
      </w:r>
      <w:r w:rsidR="00BC4C6A">
        <w:rPr>
          <w:noProof/>
        </w:rPr>
        <w:t>.</w:t>
      </w:r>
    </w:p>
    <w:p w14:paraId="73AB7912" w14:textId="6D6BA315" w:rsidR="00191F2A" w:rsidRPr="00191F2A" w:rsidRDefault="00191F2A" w:rsidP="00191F2A">
      <w:pPr>
        <w:rPr>
          <w:noProof/>
        </w:rPr>
      </w:pPr>
      <w:r w:rsidRPr="00191F2A">
        <w:rPr>
          <w:noProof/>
        </w:rPr>
        <w:t>Article 1</w:t>
      </w:r>
      <w:r>
        <w:rPr>
          <w:noProof/>
        </w:rPr>
        <w:t>3</w:t>
      </w:r>
      <w:r w:rsidRPr="00191F2A">
        <w:rPr>
          <w:noProof/>
        </w:rPr>
        <w:t xml:space="preserve"> </w:t>
      </w:r>
      <w:r>
        <w:rPr>
          <w:noProof/>
        </w:rPr>
        <w:t>sets out the possibility for the Commission, i</w:t>
      </w:r>
      <w:r w:rsidRPr="00191F2A">
        <w:rPr>
          <w:noProof/>
        </w:rPr>
        <w:t>n order to provide</w:t>
      </w:r>
      <w:r w:rsidRPr="00191F2A" w:rsidDel="00CC15DD">
        <w:rPr>
          <w:noProof/>
        </w:rPr>
        <w:t xml:space="preserve"> </w:t>
      </w:r>
      <w:r w:rsidRPr="00191F2A">
        <w:rPr>
          <w:noProof/>
        </w:rPr>
        <w:t xml:space="preserve">support to companies or to Member State authorities on how companies should fulfil their due diligence obligations, </w:t>
      </w:r>
      <w:r>
        <w:rPr>
          <w:noProof/>
        </w:rPr>
        <w:t>to issue guidelines</w:t>
      </w:r>
      <w:r w:rsidRPr="00191F2A">
        <w:rPr>
          <w:noProof/>
        </w:rPr>
        <w:t xml:space="preserve">, </w:t>
      </w:r>
      <w:r>
        <w:rPr>
          <w:noProof/>
        </w:rPr>
        <w:t>for specific sectors or specific advers</w:t>
      </w:r>
      <w:r w:rsidR="00063373">
        <w:rPr>
          <w:noProof/>
        </w:rPr>
        <w:t>e</w:t>
      </w:r>
      <w:r>
        <w:rPr>
          <w:noProof/>
        </w:rPr>
        <w:t xml:space="preserve"> impacts, </w:t>
      </w:r>
      <w:r w:rsidRPr="00191F2A">
        <w:rPr>
          <w:noProof/>
        </w:rPr>
        <w:t>in consultation with the European Union Agency for Fundamental Rights, the European Environment Agency, and where appropriate with international bodies having expertise in due diligence.</w:t>
      </w:r>
    </w:p>
    <w:p w14:paraId="1450A8F1" w14:textId="1CE66276" w:rsidR="00542484" w:rsidRDefault="004D279A">
      <w:pPr>
        <w:rPr>
          <w:noProof/>
          <w:szCs w:val="24"/>
        </w:rPr>
      </w:pPr>
      <w:r>
        <w:rPr>
          <w:noProof/>
        </w:rPr>
        <w:t>Article 14</w:t>
      </w:r>
      <w:r w:rsidR="00A7667A">
        <w:rPr>
          <w:noProof/>
        </w:rPr>
        <w:t xml:space="preserve"> requires the Member States </w:t>
      </w:r>
      <w:r w:rsidR="004A57EE">
        <w:rPr>
          <w:noProof/>
        </w:rPr>
        <w:t xml:space="preserve">and Commission to </w:t>
      </w:r>
      <w:r w:rsidR="00F17777">
        <w:rPr>
          <w:noProof/>
        </w:rPr>
        <w:t xml:space="preserve">provide </w:t>
      </w:r>
      <w:r w:rsidR="004A57EE">
        <w:rPr>
          <w:noProof/>
        </w:rPr>
        <w:t xml:space="preserve">accompanying measures to </w:t>
      </w:r>
      <w:r w:rsidR="000B41E0" w:rsidRPr="000B41E0">
        <w:rPr>
          <w:noProof/>
        </w:rPr>
        <w:t xml:space="preserve">companies in </w:t>
      </w:r>
      <w:r w:rsidR="00563B11">
        <w:rPr>
          <w:noProof/>
        </w:rPr>
        <w:t>the scope of</w:t>
      </w:r>
      <w:r w:rsidR="000B41E0" w:rsidRPr="000B41E0">
        <w:rPr>
          <w:noProof/>
        </w:rPr>
        <w:t xml:space="preserve"> this Directive </w:t>
      </w:r>
      <w:r w:rsidR="004A57EE">
        <w:rPr>
          <w:noProof/>
        </w:rPr>
        <w:t xml:space="preserve">actors </w:t>
      </w:r>
      <w:r w:rsidR="00563B11">
        <w:rPr>
          <w:noProof/>
        </w:rPr>
        <w:t xml:space="preserve">and to </w:t>
      </w:r>
      <w:r w:rsidR="004A57EE">
        <w:rPr>
          <w:noProof/>
        </w:rPr>
        <w:t xml:space="preserve">actors along global </w:t>
      </w:r>
      <w:r w:rsidR="00834EE1">
        <w:rPr>
          <w:noProof/>
        </w:rPr>
        <w:t xml:space="preserve">value </w:t>
      </w:r>
      <w:r w:rsidR="004A57EE">
        <w:rPr>
          <w:noProof/>
        </w:rPr>
        <w:t>chains that are indirectly impacted by the obligations</w:t>
      </w:r>
      <w:r w:rsidR="00D07C56">
        <w:rPr>
          <w:noProof/>
        </w:rPr>
        <w:t xml:space="preserve"> of th</w:t>
      </w:r>
      <w:r w:rsidR="000B41E0">
        <w:rPr>
          <w:noProof/>
        </w:rPr>
        <w:t>e</w:t>
      </w:r>
      <w:r w:rsidR="00D07C56">
        <w:rPr>
          <w:noProof/>
        </w:rPr>
        <w:t xml:space="preserve"> Directive. Such support can range from the operation of</w:t>
      </w:r>
      <w:r w:rsidR="00A7667A" w:rsidRPr="009A7BA9">
        <w:rPr>
          <w:noProof/>
        </w:rPr>
        <w:t xml:space="preserve"> dedicated website</w:t>
      </w:r>
      <w:r w:rsidR="00D07C56">
        <w:rPr>
          <w:noProof/>
        </w:rPr>
        <w:t>s</w:t>
      </w:r>
      <w:r w:rsidR="00631A0A">
        <w:rPr>
          <w:noProof/>
        </w:rPr>
        <w:t>, portals</w:t>
      </w:r>
      <w:r w:rsidR="00A7667A" w:rsidRPr="009A7BA9">
        <w:rPr>
          <w:noProof/>
        </w:rPr>
        <w:t xml:space="preserve"> or platform</w:t>
      </w:r>
      <w:r w:rsidR="00D07C56">
        <w:rPr>
          <w:noProof/>
        </w:rPr>
        <w:t>s</w:t>
      </w:r>
      <w:r w:rsidR="00563B11">
        <w:rPr>
          <w:noProof/>
        </w:rPr>
        <w:t xml:space="preserve"> to</w:t>
      </w:r>
      <w:r w:rsidR="004966B5">
        <w:rPr>
          <w:noProof/>
        </w:rPr>
        <w:t xml:space="preserve"> financial support</w:t>
      </w:r>
      <w:r w:rsidR="00563B11">
        <w:rPr>
          <w:noProof/>
        </w:rPr>
        <w:t xml:space="preserve"> to SMEs</w:t>
      </w:r>
      <w:r w:rsidR="004966B5">
        <w:rPr>
          <w:noProof/>
        </w:rPr>
        <w:t xml:space="preserve">, and facilitation of joint stakeholder initiatives. This provision further clarifies that companies may </w:t>
      </w:r>
      <w:r w:rsidR="00063373">
        <w:rPr>
          <w:noProof/>
        </w:rPr>
        <w:t>rely on</w:t>
      </w:r>
      <w:r w:rsidR="004966B5">
        <w:rPr>
          <w:noProof/>
        </w:rPr>
        <w:t xml:space="preserve"> industry schemes and multi-stakeholder initiatives to support the implementation of due diligence and</w:t>
      </w:r>
      <w:r w:rsidR="00063373">
        <w:rPr>
          <w:noProof/>
        </w:rPr>
        <w:t xml:space="preserve"> that the Commission, in collaboration with Member States, may issue guidance for assessing the fitness of such schemes.</w:t>
      </w:r>
    </w:p>
    <w:p w14:paraId="756DF3B3" w14:textId="77777777" w:rsidR="007236E1" w:rsidRDefault="004D279A" w:rsidP="006F04C2">
      <w:pPr>
        <w:rPr>
          <w:noProof/>
          <w:szCs w:val="24"/>
        </w:rPr>
      </w:pPr>
      <w:r>
        <w:rPr>
          <w:noProof/>
        </w:rPr>
        <w:t>Article</w:t>
      </w:r>
      <w:r w:rsidR="007236E1" w:rsidRPr="007236E1">
        <w:rPr>
          <w:noProof/>
          <w:szCs w:val="24"/>
        </w:rPr>
        <w:t xml:space="preserve"> 15</w:t>
      </w:r>
      <w:r w:rsidR="00410591">
        <w:rPr>
          <w:noProof/>
          <w:szCs w:val="24"/>
        </w:rPr>
        <w:t xml:space="preserve"> requires the</w:t>
      </w:r>
      <w:r w:rsidR="00410591" w:rsidRPr="00410591">
        <w:rPr>
          <w:noProof/>
          <w:szCs w:val="24"/>
        </w:rPr>
        <w:t xml:space="preserve"> </w:t>
      </w:r>
      <w:r w:rsidR="00410591" w:rsidRPr="007236E1">
        <w:rPr>
          <w:noProof/>
          <w:szCs w:val="24"/>
        </w:rPr>
        <w:tab/>
        <w:t xml:space="preserve">Member States </w:t>
      </w:r>
      <w:r w:rsidR="006F04C2">
        <w:rPr>
          <w:noProof/>
          <w:szCs w:val="24"/>
        </w:rPr>
        <w:t>ensure that certain companies</w:t>
      </w:r>
      <w:r w:rsidR="00410591" w:rsidRPr="007236E1">
        <w:rPr>
          <w:noProof/>
          <w:szCs w:val="24"/>
        </w:rPr>
        <w:t xml:space="preserve"> adopt a plan to ensure that the business model and strategy of the company are compatible with the transition to a sustainable economy and with the limiting of global warming to 1.5 °C in line with the Paris Agreement.</w:t>
      </w:r>
    </w:p>
    <w:p w14:paraId="162B052D" w14:textId="77777777" w:rsidR="00A7667A" w:rsidRDefault="004D279A">
      <w:pPr>
        <w:rPr>
          <w:noProof/>
        </w:rPr>
      </w:pPr>
      <w:r>
        <w:rPr>
          <w:noProof/>
        </w:rPr>
        <w:t>Article </w:t>
      </w:r>
      <w:r w:rsidR="007236E1">
        <w:rPr>
          <w:noProof/>
        </w:rPr>
        <w:t>16</w:t>
      </w:r>
      <w:r w:rsidR="00A7667A">
        <w:rPr>
          <w:noProof/>
        </w:rPr>
        <w:t xml:space="preserve"> introduces the requirement for </w:t>
      </w:r>
      <w:r w:rsidR="00A7667A" w:rsidRPr="009A7BA9">
        <w:rPr>
          <w:noProof/>
        </w:rPr>
        <w:t>companies</w:t>
      </w:r>
      <w:r w:rsidR="00783498">
        <w:rPr>
          <w:noProof/>
        </w:rPr>
        <w:t xml:space="preserve"> </w:t>
      </w:r>
      <w:r w:rsidR="00CB073B" w:rsidRPr="00CB073B">
        <w:rPr>
          <w:noProof/>
        </w:rPr>
        <w:t>formed in accordance with the legislation of a third country and falling within the scope of application of the present Directive pursuant to Article 2(2)</w:t>
      </w:r>
      <w:r w:rsidR="007E44E3">
        <w:rPr>
          <w:noProof/>
        </w:rPr>
        <w:t>,</w:t>
      </w:r>
      <w:r w:rsidR="00A7667A">
        <w:rPr>
          <w:noProof/>
        </w:rPr>
        <w:t xml:space="preserve"> to </w:t>
      </w:r>
      <w:r w:rsidR="00A7667A" w:rsidRPr="009A7BA9">
        <w:rPr>
          <w:noProof/>
        </w:rPr>
        <w:t>designate a sufficiently mandated authorised representative in the Union</w:t>
      </w:r>
      <w:r w:rsidR="00AC3743" w:rsidRPr="00AC3743">
        <w:rPr>
          <w:noProof/>
        </w:rPr>
        <w:t xml:space="preserve"> to be addressed by Member States’ competent authorities, on all issues necessary for the receipt of, compliance with and enforcement of legal acts issued in relation to this Directive.</w:t>
      </w:r>
    </w:p>
    <w:p w14:paraId="0B725F99" w14:textId="0D03525D" w:rsidR="00A7667A" w:rsidRDefault="001E1220">
      <w:pPr>
        <w:rPr>
          <w:noProof/>
        </w:rPr>
      </w:pPr>
      <w:r>
        <w:rPr>
          <w:noProof/>
        </w:rPr>
        <w:t>Article </w:t>
      </w:r>
      <w:r w:rsidR="007236E1">
        <w:rPr>
          <w:noProof/>
        </w:rPr>
        <w:t>17</w:t>
      </w:r>
      <w:r w:rsidR="00A7667A">
        <w:rPr>
          <w:noProof/>
        </w:rPr>
        <w:t xml:space="preserve"> </w:t>
      </w:r>
      <w:r w:rsidR="00A7667A" w:rsidRPr="00BF590E">
        <w:rPr>
          <w:noProof/>
        </w:rPr>
        <w:t>sets out the requirement for Member States</w:t>
      </w:r>
      <w:r w:rsidR="00A7667A">
        <w:rPr>
          <w:noProof/>
        </w:rPr>
        <w:t xml:space="preserve"> to </w:t>
      </w:r>
      <w:r w:rsidR="00A7667A" w:rsidRPr="00BF590E">
        <w:rPr>
          <w:noProof/>
        </w:rPr>
        <w:t xml:space="preserve">designate one or more national supervisory authorities </w:t>
      </w:r>
      <w:r w:rsidR="00A7667A">
        <w:rPr>
          <w:noProof/>
        </w:rPr>
        <w:t>i</w:t>
      </w:r>
      <w:r w:rsidR="00A7667A" w:rsidRPr="00521DB9">
        <w:rPr>
          <w:noProof/>
        </w:rPr>
        <w:t xml:space="preserve">n order to ensure </w:t>
      </w:r>
      <w:r w:rsidR="00856328">
        <w:rPr>
          <w:noProof/>
        </w:rPr>
        <w:t>compliance</w:t>
      </w:r>
      <w:r w:rsidR="00A7667A" w:rsidRPr="00521DB9">
        <w:rPr>
          <w:noProof/>
        </w:rPr>
        <w:t xml:space="preserve"> by companies </w:t>
      </w:r>
      <w:r w:rsidR="001C0B00">
        <w:rPr>
          <w:noProof/>
        </w:rPr>
        <w:t>with</w:t>
      </w:r>
      <w:r w:rsidR="001C0B00" w:rsidRPr="00521DB9">
        <w:rPr>
          <w:noProof/>
        </w:rPr>
        <w:t xml:space="preserve"> </w:t>
      </w:r>
      <w:r w:rsidR="00A7667A" w:rsidRPr="00521DB9">
        <w:rPr>
          <w:noProof/>
        </w:rPr>
        <w:t xml:space="preserve">their due diligence obligations </w:t>
      </w:r>
      <w:r w:rsidR="00A7667A" w:rsidRPr="0030737A">
        <w:rPr>
          <w:noProof/>
        </w:rPr>
        <w:t xml:space="preserve">and </w:t>
      </w:r>
      <w:r w:rsidR="001C0B00" w:rsidRPr="0030737A">
        <w:rPr>
          <w:noProof/>
        </w:rPr>
        <w:t>their obligation under Article 15</w:t>
      </w:r>
      <w:r w:rsidR="001C0B00" w:rsidRPr="0030737A">
        <w:rPr>
          <w:noProof/>
          <w:lang w:val="en-IE"/>
        </w:rPr>
        <w:t>(1) and (2)</w:t>
      </w:r>
      <w:r w:rsidR="001C0B00">
        <w:rPr>
          <w:noProof/>
          <w:lang w:val="en-IE"/>
        </w:rPr>
        <w:t xml:space="preserve"> </w:t>
      </w:r>
      <w:r w:rsidR="00A7667A" w:rsidRPr="00521DB9">
        <w:rPr>
          <w:noProof/>
        </w:rPr>
        <w:t xml:space="preserve">and </w:t>
      </w:r>
      <w:r w:rsidR="0013251F">
        <w:rPr>
          <w:noProof/>
        </w:rPr>
        <w:t>to exercise the powers of</w:t>
      </w:r>
      <w:r w:rsidR="00A7667A">
        <w:rPr>
          <w:noProof/>
        </w:rPr>
        <w:t xml:space="preserve"> enforcement of </w:t>
      </w:r>
      <w:r w:rsidR="00133FED">
        <w:rPr>
          <w:noProof/>
        </w:rPr>
        <w:t>those obligations</w:t>
      </w:r>
      <w:r w:rsidR="0013251F">
        <w:rPr>
          <w:noProof/>
        </w:rPr>
        <w:t xml:space="preserve"> in accordance with </w:t>
      </w:r>
      <w:r>
        <w:rPr>
          <w:noProof/>
        </w:rPr>
        <w:t>Article </w:t>
      </w:r>
      <w:r w:rsidR="007236E1">
        <w:rPr>
          <w:noProof/>
        </w:rPr>
        <w:t>18</w:t>
      </w:r>
      <w:r w:rsidR="00133FED">
        <w:rPr>
          <w:noProof/>
        </w:rPr>
        <w:t>.</w:t>
      </w:r>
      <w:r w:rsidR="00A7667A" w:rsidRPr="00521DB9">
        <w:rPr>
          <w:noProof/>
        </w:rPr>
        <w:t xml:space="preserve"> </w:t>
      </w:r>
    </w:p>
    <w:p w14:paraId="3DCA38AA" w14:textId="77777777" w:rsidR="00A7667A" w:rsidRDefault="001E1220">
      <w:pPr>
        <w:rPr>
          <w:noProof/>
        </w:rPr>
      </w:pPr>
      <w:r>
        <w:rPr>
          <w:noProof/>
        </w:rPr>
        <w:t>Article </w:t>
      </w:r>
      <w:r w:rsidR="007236E1">
        <w:rPr>
          <w:noProof/>
        </w:rPr>
        <w:t>18</w:t>
      </w:r>
      <w:r w:rsidR="00A7667A">
        <w:rPr>
          <w:noProof/>
        </w:rPr>
        <w:t xml:space="preserve"> sets out the </w:t>
      </w:r>
      <w:r w:rsidR="00A7667A" w:rsidRPr="00BF590E">
        <w:rPr>
          <w:noProof/>
        </w:rPr>
        <w:t>appropriate powers and resources</w:t>
      </w:r>
      <w:r w:rsidR="00A7667A">
        <w:rPr>
          <w:noProof/>
        </w:rPr>
        <w:t xml:space="preserve"> </w:t>
      </w:r>
      <w:r w:rsidR="00CB073B">
        <w:rPr>
          <w:noProof/>
        </w:rPr>
        <w:t xml:space="preserve">of </w:t>
      </w:r>
      <w:r w:rsidR="00A7667A">
        <w:rPr>
          <w:noProof/>
        </w:rPr>
        <w:t>the supervisory authorities designated by the Member States</w:t>
      </w:r>
      <w:r w:rsidR="00A7667A" w:rsidRPr="00BF590E">
        <w:rPr>
          <w:noProof/>
        </w:rPr>
        <w:t xml:space="preserve"> to carry out their tasks</w:t>
      </w:r>
      <w:r w:rsidR="008A0E0B">
        <w:rPr>
          <w:noProof/>
        </w:rPr>
        <w:t xml:space="preserve"> of supervision and enforcement</w:t>
      </w:r>
      <w:r w:rsidR="00A7667A" w:rsidRPr="00BF590E">
        <w:rPr>
          <w:noProof/>
        </w:rPr>
        <w:t xml:space="preserve">. </w:t>
      </w:r>
    </w:p>
    <w:p w14:paraId="11ECA18F" w14:textId="77777777" w:rsidR="008A0E0B" w:rsidRDefault="00255299">
      <w:pPr>
        <w:rPr>
          <w:noProof/>
        </w:rPr>
      </w:pPr>
      <w:r>
        <w:rPr>
          <w:noProof/>
        </w:rPr>
        <w:t>Article </w:t>
      </w:r>
      <w:r w:rsidR="007236E1">
        <w:rPr>
          <w:noProof/>
        </w:rPr>
        <w:t>19</w:t>
      </w:r>
      <w:r w:rsidR="00A7667A">
        <w:rPr>
          <w:noProof/>
        </w:rPr>
        <w:t xml:space="preserve"> establishes the requirement for </w:t>
      </w:r>
      <w:r w:rsidR="0024385A">
        <w:rPr>
          <w:noProof/>
        </w:rPr>
        <w:tab/>
      </w:r>
      <w:r w:rsidR="00A7667A" w:rsidRPr="00C85C20">
        <w:rPr>
          <w:noProof/>
        </w:rPr>
        <w:t xml:space="preserve">Member States </w:t>
      </w:r>
      <w:r w:rsidR="008A0E0B">
        <w:rPr>
          <w:noProof/>
        </w:rPr>
        <w:t>to</w:t>
      </w:r>
      <w:r w:rsidR="008A0E0B" w:rsidRPr="008A0E0B">
        <w:rPr>
          <w:noProof/>
        </w:rPr>
        <w:t xml:space="preserve"> ensure that </w:t>
      </w:r>
      <w:r w:rsidR="00CB073B">
        <w:rPr>
          <w:noProof/>
        </w:rPr>
        <w:t xml:space="preserve">any </w:t>
      </w:r>
      <w:r w:rsidR="008A0E0B" w:rsidRPr="008A0E0B">
        <w:rPr>
          <w:noProof/>
        </w:rPr>
        <w:t>natural or legal person</w:t>
      </w:r>
      <w:r w:rsidR="00CB073B">
        <w:rPr>
          <w:noProof/>
        </w:rPr>
        <w:t xml:space="preserve"> that has</w:t>
      </w:r>
      <w:r w:rsidR="00CB073B" w:rsidRPr="008A0E0B">
        <w:rPr>
          <w:noProof/>
        </w:rPr>
        <w:t xml:space="preserve"> reasons to believe, on the basis of objective circumstances, that a company </w:t>
      </w:r>
      <w:r w:rsidR="003A697F">
        <w:rPr>
          <w:noProof/>
        </w:rPr>
        <w:t>does not appropriately</w:t>
      </w:r>
      <w:r w:rsidR="00CB073B" w:rsidRPr="008A0E0B">
        <w:rPr>
          <w:noProof/>
        </w:rPr>
        <w:t xml:space="preserve"> comply with the provisions </w:t>
      </w:r>
      <w:r w:rsidR="00CB073B">
        <w:rPr>
          <w:noProof/>
        </w:rPr>
        <w:t xml:space="preserve">of </w:t>
      </w:r>
      <w:r w:rsidR="00CB073B" w:rsidRPr="008A0E0B">
        <w:rPr>
          <w:noProof/>
        </w:rPr>
        <w:t>this Directive</w:t>
      </w:r>
      <w:r w:rsidR="00E16E79">
        <w:rPr>
          <w:noProof/>
        </w:rPr>
        <w:t>,</w:t>
      </w:r>
      <w:r w:rsidR="00CB073B">
        <w:rPr>
          <w:noProof/>
        </w:rPr>
        <w:t xml:space="preserve"> is</w:t>
      </w:r>
      <w:r w:rsidR="008A0E0B" w:rsidRPr="008A0E0B">
        <w:rPr>
          <w:noProof/>
        </w:rPr>
        <w:t xml:space="preserve"> entitled to submit substantiated concerns, in particular in the Member State of his or her habitual residence, registered office, place of work or place of the alleged infringement, to the supervisory authorities</w:t>
      </w:r>
      <w:r w:rsidR="008A0E0B">
        <w:rPr>
          <w:noProof/>
        </w:rPr>
        <w:t>.</w:t>
      </w:r>
    </w:p>
    <w:p w14:paraId="3DFEAF96" w14:textId="77777777" w:rsidR="00A7667A" w:rsidRPr="00521DB9" w:rsidRDefault="00AF7F58">
      <w:pPr>
        <w:rPr>
          <w:noProof/>
        </w:rPr>
      </w:pPr>
      <w:r>
        <w:rPr>
          <w:noProof/>
        </w:rPr>
        <w:t>Article </w:t>
      </w:r>
      <w:r w:rsidR="007236E1">
        <w:rPr>
          <w:noProof/>
        </w:rPr>
        <w:t>20</w:t>
      </w:r>
      <w:r w:rsidR="00A7667A" w:rsidRPr="00521DB9">
        <w:rPr>
          <w:noProof/>
        </w:rPr>
        <w:t xml:space="preserve"> </w:t>
      </w:r>
      <w:r w:rsidR="00A7667A">
        <w:rPr>
          <w:noProof/>
        </w:rPr>
        <w:t xml:space="preserve">sets out that </w:t>
      </w:r>
      <w:r w:rsidR="00A7667A" w:rsidRPr="00C85C20">
        <w:rPr>
          <w:noProof/>
        </w:rPr>
        <w:t xml:space="preserve">Member States </w:t>
      </w:r>
      <w:r w:rsidR="00A7667A">
        <w:rPr>
          <w:noProof/>
        </w:rPr>
        <w:t>shall</w:t>
      </w:r>
      <w:r w:rsidR="00A7667A" w:rsidRPr="00C85C20">
        <w:rPr>
          <w:noProof/>
        </w:rPr>
        <w:t xml:space="preserve"> </w:t>
      </w:r>
      <w:r w:rsidR="005F2A5B" w:rsidRPr="005F2A5B">
        <w:rPr>
          <w:noProof/>
        </w:rPr>
        <w:t>lay down rules on sanctions applicable to infringements of the national provisions adopted pursuant to this Directive, and shall take all measures necessary to ensure that they are implemented. The sanctions shall be effectiv</w:t>
      </w:r>
      <w:r w:rsidR="005F2A5B">
        <w:rPr>
          <w:noProof/>
        </w:rPr>
        <w:t xml:space="preserve">e, dissuasive and </w:t>
      </w:r>
      <w:r w:rsidR="00B91DFD">
        <w:rPr>
          <w:noProof/>
        </w:rPr>
        <w:t>proportionate</w:t>
      </w:r>
      <w:r w:rsidR="005F2A5B">
        <w:rPr>
          <w:noProof/>
        </w:rPr>
        <w:t>.</w:t>
      </w:r>
      <w:r w:rsidR="00067C5E">
        <w:rPr>
          <w:noProof/>
        </w:rPr>
        <w:t xml:space="preserve"> </w:t>
      </w:r>
      <w:r w:rsidR="0024385A">
        <w:rPr>
          <w:noProof/>
        </w:rPr>
        <w:tab/>
      </w:r>
      <w:r w:rsidR="00181859">
        <w:rPr>
          <w:noProof/>
        </w:rPr>
        <w:t>Member S</w:t>
      </w:r>
      <w:r w:rsidR="00181859" w:rsidRPr="00181859">
        <w:rPr>
          <w:noProof/>
        </w:rPr>
        <w:t>tates shall ensure that decision of the supervisory authorities containing sanctions related to the breach of the provisions of this directive should be published</w:t>
      </w:r>
      <w:r w:rsidR="00C842C4">
        <w:rPr>
          <w:noProof/>
        </w:rPr>
        <w:t>.</w:t>
      </w:r>
    </w:p>
    <w:p w14:paraId="6EA2CFA7" w14:textId="77777777" w:rsidR="00A7667A" w:rsidRPr="00521DB9" w:rsidRDefault="000A05D0">
      <w:pPr>
        <w:rPr>
          <w:noProof/>
        </w:rPr>
      </w:pPr>
      <w:r>
        <w:rPr>
          <w:noProof/>
        </w:rPr>
        <w:t>Article </w:t>
      </w:r>
      <w:r w:rsidR="007236E1">
        <w:rPr>
          <w:noProof/>
        </w:rPr>
        <w:t>21</w:t>
      </w:r>
      <w:r w:rsidR="00A7667A" w:rsidRPr="00521DB9">
        <w:rPr>
          <w:noProof/>
        </w:rPr>
        <w:t xml:space="preserve"> </w:t>
      </w:r>
      <w:r w:rsidR="00A7667A">
        <w:rPr>
          <w:noProof/>
        </w:rPr>
        <w:t xml:space="preserve">introduces </w:t>
      </w:r>
      <w:r w:rsidR="00A00C95">
        <w:rPr>
          <w:noProof/>
        </w:rPr>
        <w:t xml:space="preserve">a </w:t>
      </w:r>
      <w:r w:rsidR="00A7667A" w:rsidRPr="00686862">
        <w:rPr>
          <w:noProof/>
        </w:rPr>
        <w:t>European Net</w:t>
      </w:r>
      <w:r w:rsidR="00C842C4">
        <w:rPr>
          <w:noProof/>
        </w:rPr>
        <w:t>work of Supervisory Authorities</w:t>
      </w:r>
      <w:r w:rsidR="00C842C4" w:rsidRPr="00C842C4">
        <w:rPr>
          <w:noProof/>
        </w:rPr>
        <w:t xml:space="preserve"> composed by the representatives</w:t>
      </w:r>
      <w:r w:rsidR="009C3990">
        <w:rPr>
          <w:noProof/>
        </w:rPr>
        <w:t xml:space="preserve"> </w:t>
      </w:r>
      <w:r w:rsidR="00C842C4" w:rsidRPr="00C842C4">
        <w:rPr>
          <w:noProof/>
        </w:rPr>
        <w:t xml:space="preserve">of the supervisory </w:t>
      </w:r>
      <w:r w:rsidR="00C842C4">
        <w:rPr>
          <w:noProof/>
        </w:rPr>
        <w:t xml:space="preserve">national </w:t>
      </w:r>
      <w:r w:rsidR="00C842C4" w:rsidRPr="00C842C4">
        <w:rPr>
          <w:noProof/>
        </w:rPr>
        <w:t xml:space="preserve">authorities referred to in </w:t>
      </w:r>
      <w:r w:rsidR="001E1220">
        <w:rPr>
          <w:noProof/>
        </w:rPr>
        <w:t>Article 16</w:t>
      </w:r>
      <w:r w:rsidR="00C842C4" w:rsidRPr="00C842C4">
        <w:rPr>
          <w:noProof/>
        </w:rPr>
        <w:t xml:space="preserve">, with the aim to facilitate and ensure the coordination and </w:t>
      </w:r>
      <w:r w:rsidR="00A00C95">
        <w:rPr>
          <w:noProof/>
        </w:rPr>
        <w:t>alignment</w:t>
      </w:r>
      <w:r w:rsidR="00A00C95" w:rsidRPr="00C842C4">
        <w:rPr>
          <w:noProof/>
        </w:rPr>
        <w:t xml:space="preserve"> </w:t>
      </w:r>
      <w:r w:rsidR="00C842C4" w:rsidRPr="00C842C4">
        <w:rPr>
          <w:noProof/>
        </w:rPr>
        <w:t>of regulatory, investigative, sanctioning and supervisory practices, and the sharing of information among these supervisory authorities</w:t>
      </w:r>
      <w:r w:rsidR="00C842C4">
        <w:rPr>
          <w:noProof/>
        </w:rPr>
        <w:t>.</w:t>
      </w:r>
    </w:p>
    <w:p w14:paraId="7705226A" w14:textId="77777777" w:rsidR="00181859" w:rsidRDefault="001B4EC7" w:rsidP="00C45C01">
      <w:pPr>
        <w:rPr>
          <w:noProof/>
        </w:rPr>
      </w:pPr>
      <w:r>
        <w:rPr>
          <w:noProof/>
        </w:rPr>
        <w:t>Article </w:t>
      </w:r>
      <w:r w:rsidR="007236E1">
        <w:rPr>
          <w:noProof/>
        </w:rPr>
        <w:t>22</w:t>
      </w:r>
      <w:r w:rsidR="00A7667A" w:rsidRPr="000F576F">
        <w:rPr>
          <w:noProof/>
        </w:rPr>
        <w:t xml:space="preserve"> </w:t>
      </w:r>
      <w:r w:rsidR="00A7667A">
        <w:rPr>
          <w:noProof/>
        </w:rPr>
        <w:t xml:space="preserve">sets out the requirement for Member States to </w:t>
      </w:r>
      <w:r w:rsidR="00A7667A" w:rsidRPr="00021CA6">
        <w:rPr>
          <w:noProof/>
        </w:rPr>
        <w:t>lay down rules governing the civil liability of the company for damages arising due to its failure to comply with the due diligence</w:t>
      </w:r>
      <w:r w:rsidR="009A1D70">
        <w:rPr>
          <w:noProof/>
        </w:rPr>
        <w:t xml:space="preserve"> obligations under </w:t>
      </w:r>
      <w:r w:rsidR="00A00C95">
        <w:rPr>
          <w:noProof/>
        </w:rPr>
        <w:t xml:space="preserve">specific </w:t>
      </w:r>
      <w:r w:rsidR="009A1D70">
        <w:rPr>
          <w:noProof/>
        </w:rPr>
        <w:t>conditions.</w:t>
      </w:r>
      <w:r w:rsidR="003C490B">
        <w:rPr>
          <w:noProof/>
        </w:rPr>
        <w:t xml:space="preserve"> </w:t>
      </w:r>
      <w:r w:rsidR="003C490B" w:rsidRPr="003C490B">
        <w:rPr>
          <w:noProof/>
        </w:rPr>
        <w:t>It also introduces the obligation for Member States to ensure that the liability provided for in paragraphs 1 to 3 of this Article is not denied on the sole ground that the law applicable to such claims is not the law of a Member State.</w:t>
      </w:r>
    </w:p>
    <w:p w14:paraId="1B063A51" w14:textId="485C3A6B" w:rsidR="0026775D" w:rsidRDefault="001B4EC7" w:rsidP="00C45C01">
      <w:pPr>
        <w:rPr>
          <w:noProof/>
        </w:rPr>
      </w:pPr>
      <w:r>
        <w:rPr>
          <w:noProof/>
        </w:rPr>
        <w:t>Article </w:t>
      </w:r>
      <w:r w:rsidR="00410591">
        <w:rPr>
          <w:noProof/>
        </w:rPr>
        <w:t>23</w:t>
      </w:r>
      <w:r w:rsidR="0026775D">
        <w:rPr>
          <w:noProof/>
        </w:rPr>
        <w:t xml:space="preserve"> establishes the application of </w:t>
      </w:r>
      <w:r w:rsidR="0026775D" w:rsidRPr="00D07B97">
        <w:rPr>
          <w:noProof/>
        </w:rPr>
        <w:t>Directive (EU) 2019/1937 of the European Parliament and of the Council of 23 October 2019 on the protection of persons w</w:t>
      </w:r>
      <w:r w:rsidR="0026775D">
        <w:rPr>
          <w:noProof/>
        </w:rPr>
        <w:t xml:space="preserve">ho report breaches of Union law, </w:t>
      </w:r>
      <w:r w:rsidR="0026775D" w:rsidRPr="00D07B97">
        <w:rPr>
          <w:noProof/>
        </w:rPr>
        <w:t>to the reporting of all breaches of this Directive and the protection of persons reporting such breaches.</w:t>
      </w:r>
      <w:r w:rsidR="00B06368">
        <w:rPr>
          <w:noProof/>
        </w:rPr>
        <w:t xml:space="preserve"> </w:t>
      </w:r>
    </w:p>
    <w:p w14:paraId="58F7E800" w14:textId="77777777" w:rsidR="006575A4" w:rsidRPr="00521DB9" w:rsidRDefault="001B4EC7">
      <w:pPr>
        <w:rPr>
          <w:noProof/>
        </w:rPr>
      </w:pPr>
      <w:r>
        <w:rPr>
          <w:noProof/>
        </w:rPr>
        <w:t>Article 23</w:t>
      </w:r>
      <w:r w:rsidR="006575A4">
        <w:rPr>
          <w:noProof/>
        </w:rPr>
        <w:t xml:space="preserve"> </w:t>
      </w:r>
      <w:r w:rsidR="00C7491F">
        <w:rPr>
          <w:noProof/>
        </w:rPr>
        <w:t xml:space="preserve">clarifies </w:t>
      </w:r>
      <w:r w:rsidR="00241E55">
        <w:rPr>
          <w:noProof/>
        </w:rPr>
        <w:t>conditions of public support for companies</w:t>
      </w:r>
      <w:r w:rsidR="00C7491F" w:rsidRPr="00C06B1C">
        <w:rPr>
          <w:noProof/>
          <w:lang w:val="en-IE"/>
        </w:rPr>
        <w:t>.</w:t>
      </w:r>
      <w:r w:rsidR="006575A4">
        <w:rPr>
          <w:noProof/>
        </w:rPr>
        <w:t xml:space="preserve"> </w:t>
      </w:r>
    </w:p>
    <w:p w14:paraId="694147DD" w14:textId="2DA7B265" w:rsidR="00C615AA" w:rsidRDefault="000B769C">
      <w:pPr>
        <w:rPr>
          <w:noProof/>
          <w:lang w:val="en-IE"/>
        </w:rPr>
      </w:pPr>
      <w:r w:rsidRPr="00021ADA" w:rsidDel="001B4EC7">
        <w:rPr>
          <w:noProof/>
        </w:rPr>
        <w:t>Article</w:t>
      </w:r>
      <w:r w:rsidR="002B0C57" w:rsidRPr="00021ADA">
        <w:rPr>
          <w:noProof/>
        </w:rPr>
        <w:t> </w:t>
      </w:r>
      <w:r w:rsidR="00241E55" w:rsidRPr="00021ADA">
        <w:rPr>
          <w:noProof/>
        </w:rPr>
        <w:t>2</w:t>
      </w:r>
      <w:r w:rsidR="00241E55">
        <w:rPr>
          <w:noProof/>
        </w:rPr>
        <w:t xml:space="preserve">5 </w:t>
      </w:r>
      <w:r w:rsidR="002B0C57" w:rsidRPr="00021ADA">
        <w:rPr>
          <w:noProof/>
        </w:rPr>
        <w:t>clarifies directors’ duty of care</w:t>
      </w:r>
      <w:r w:rsidR="000F1FC0">
        <w:rPr>
          <w:noProof/>
        </w:rPr>
        <w:t xml:space="preserve">. </w:t>
      </w:r>
      <w:r w:rsidR="00C45C01" w:rsidRPr="00021ADA">
        <w:rPr>
          <w:noProof/>
          <w:lang w:val="en-IE"/>
        </w:rPr>
        <w:t xml:space="preserve">  </w:t>
      </w:r>
    </w:p>
    <w:p w14:paraId="398C3924" w14:textId="03AEF031" w:rsidR="000B769C" w:rsidRPr="00C45C01" w:rsidRDefault="001B4EC7">
      <w:pPr>
        <w:rPr>
          <w:noProof/>
          <w:lang w:val="en-IE"/>
        </w:rPr>
      </w:pPr>
      <w:r w:rsidRPr="00021ADA">
        <w:rPr>
          <w:noProof/>
        </w:rPr>
        <w:t>Article 2</w:t>
      </w:r>
      <w:r w:rsidR="00241E55">
        <w:rPr>
          <w:noProof/>
        </w:rPr>
        <w:t>6</w:t>
      </w:r>
      <w:r w:rsidR="000B769C" w:rsidRPr="00C45C01">
        <w:rPr>
          <w:noProof/>
        </w:rPr>
        <w:t xml:space="preserve"> lays </w:t>
      </w:r>
      <w:r w:rsidR="000B769C" w:rsidRPr="00C45C01">
        <w:rPr>
          <w:noProof/>
          <w:lang w:val="en-IE"/>
        </w:rPr>
        <w:t xml:space="preserve">down the duty for directors of </w:t>
      </w:r>
      <w:r w:rsidR="005F61C6">
        <w:rPr>
          <w:noProof/>
          <w:lang w:val="en-IE"/>
        </w:rPr>
        <w:t>EU</w:t>
      </w:r>
      <w:r w:rsidR="000B769C" w:rsidRPr="00C45C01">
        <w:rPr>
          <w:noProof/>
          <w:lang w:val="en-IE"/>
        </w:rPr>
        <w:t xml:space="preserve"> companies to set up and oversee the implementation of corporate </w:t>
      </w:r>
      <w:r w:rsidR="00A00C95" w:rsidRPr="00C45C01">
        <w:rPr>
          <w:noProof/>
          <w:lang w:val="en-IE"/>
        </w:rPr>
        <w:t xml:space="preserve">sustainability </w:t>
      </w:r>
      <w:r w:rsidR="000B769C" w:rsidRPr="00C45C01">
        <w:rPr>
          <w:noProof/>
          <w:lang w:val="en-IE"/>
        </w:rPr>
        <w:t xml:space="preserve">due diligence processes and measures and to </w:t>
      </w:r>
      <w:r w:rsidR="00C45C01" w:rsidRPr="00021ADA">
        <w:rPr>
          <w:noProof/>
          <w:lang w:val="en-IE"/>
        </w:rPr>
        <w:t>adapt the corporate strategy to</w:t>
      </w:r>
      <w:r w:rsidR="00C45C01" w:rsidRPr="00C45C01">
        <w:rPr>
          <w:noProof/>
          <w:lang w:val="en-IE"/>
        </w:rPr>
        <w:t xml:space="preserve"> </w:t>
      </w:r>
      <w:r w:rsidR="000B769C" w:rsidRPr="00C45C01">
        <w:rPr>
          <w:noProof/>
          <w:lang w:val="en-IE"/>
        </w:rPr>
        <w:t>due diligence</w:t>
      </w:r>
      <w:r w:rsidR="00C45C01" w:rsidRPr="00021ADA">
        <w:rPr>
          <w:noProof/>
          <w:lang w:val="en-IE"/>
        </w:rPr>
        <w:t>.</w:t>
      </w:r>
    </w:p>
    <w:p w14:paraId="63CA7DAD" w14:textId="6A4A676E" w:rsidR="00A7667A" w:rsidRPr="000F576F" w:rsidRDefault="002A3105">
      <w:pPr>
        <w:rPr>
          <w:bCs/>
          <w:noProof/>
        </w:rPr>
      </w:pPr>
      <w:r>
        <w:rPr>
          <w:noProof/>
        </w:rPr>
        <w:t>Article </w:t>
      </w:r>
      <w:r w:rsidR="002E33A9">
        <w:rPr>
          <w:noProof/>
        </w:rPr>
        <w:t>2</w:t>
      </w:r>
      <w:r w:rsidR="00996A94">
        <w:rPr>
          <w:noProof/>
        </w:rPr>
        <w:t>7</w:t>
      </w:r>
      <w:r w:rsidR="002E33A9" w:rsidRPr="00230F4F">
        <w:rPr>
          <w:noProof/>
        </w:rPr>
        <w:t xml:space="preserve"> </w:t>
      </w:r>
      <w:r w:rsidR="00A7667A" w:rsidRPr="00E54C64">
        <w:rPr>
          <w:noProof/>
        </w:rPr>
        <w:t>amends the Annex of Directive (EU) No 2019/193</w:t>
      </w:r>
      <w:r w:rsidR="009A1D70" w:rsidRPr="00E54C64">
        <w:rPr>
          <w:noProof/>
        </w:rPr>
        <w:t>7</w:t>
      </w:r>
      <w:r w:rsidR="00A7667A" w:rsidRPr="00C55883">
        <w:rPr>
          <w:noProof/>
        </w:rPr>
        <w:t>.</w:t>
      </w:r>
    </w:p>
    <w:p w14:paraId="6A444BDC" w14:textId="24A46060" w:rsidR="002B0C57" w:rsidRPr="000F576F" w:rsidRDefault="002B0C57">
      <w:pPr>
        <w:rPr>
          <w:bCs/>
          <w:noProof/>
        </w:rPr>
      </w:pPr>
      <w:r>
        <w:rPr>
          <w:bCs/>
          <w:noProof/>
        </w:rPr>
        <w:t>Article </w:t>
      </w:r>
      <w:r w:rsidR="00996A94">
        <w:rPr>
          <w:bCs/>
          <w:noProof/>
        </w:rPr>
        <w:t xml:space="preserve">28 </w:t>
      </w:r>
      <w:r w:rsidR="007D7570">
        <w:rPr>
          <w:bCs/>
          <w:noProof/>
        </w:rPr>
        <w:t xml:space="preserve">sets out </w:t>
      </w:r>
      <w:r w:rsidR="00241E55">
        <w:rPr>
          <w:bCs/>
          <w:noProof/>
        </w:rPr>
        <w:t>the rules concerning delegated acts</w:t>
      </w:r>
      <w:r w:rsidR="007D7570">
        <w:rPr>
          <w:bCs/>
          <w:noProof/>
        </w:rPr>
        <w:t>.</w:t>
      </w:r>
    </w:p>
    <w:p w14:paraId="591F13FB" w14:textId="397DC85C" w:rsidR="00A7667A" w:rsidRDefault="002A3105">
      <w:pPr>
        <w:rPr>
          <w:noProof/>
        </w:rPr>
      </w:pPr>
      <w:r>
        <w:rPr>
          <w:noProof/>
        </w:rPr>
        <w:t>Article </w:t>
      </w:r>
      <w:r w:rsidR="00996A94">
        <w:rPr>
          <w:noProof/>
        </w:rPr>
        <w:t xml:space="preserve">29 </w:t>
      </w:r>
      <w:r w:rsidR="00A7667A">
        <w:rPr>
          <w:noProof/>
        </w:rPr>
        <w:t>contains a provision on the review of this Directive.</w:t>
      </w:r>
    </w:p>
    <w:p w14:paraId="184E74F4" w14:textId="297C3E26" w:rsidR="00A7667A" w:rsidRPr="001577E5" w:rsidRDefault="002A3105" w:rsidP="00B12C0B">
      <w:pPr>
        <w:rPr>
          <w:b/>
          <w:noProof/>
        </w:rPr>
      </w:pPr>
      <w:r>
        <w:rPr>
          <w:noProof/>
        </w:rPr>
        <w:t>Article </w:t>
      </w:r>
      <w:r w:rsidR="00241E55">
        <w:rPr>
          <w:noProof/>
        </w:rPr>
        <w:t>3</w:t>
      </w:r>
      <w:r w:rsidR="00996A94">
        <w:rPr>
          <w:noProof/>
        </w:rPr>
        <w:t>0</w:t>
      </w:r>
      <w:r w:rsidR="002E33A9">
        <w:rPr>
          <w:noProof/>
        </w:rPr>
        <w:t xml:space="preserve"> </w:t>
      </w:r>
      <w:r w:rsidR="009A1D70" w:rsidRPr="001577E5">
        <w:rPr>
          <w:noProof/>
        </w:rPr>
        <w:t xml:space="preserve">contains </w:t>
      </w:r>
      <w:r w:rsidR="00A7667A" w:rsidRPr="001577E5">
        <w:rPr>
          <w:noProof/>
        </w:rPr>
        <w:t>provisions on</w:t>
      </w:r>
      <w:r w:rsidR="009A1D70" w:rsidRPr="001577E5">
        <w:rPr>
          <w:noProof/>
        </w:rPr>
        <w:t xml:space="preserve"> the</w:t>
      </w:r>
      <w:r w:rsidR="00A7667A" w:rsidRPr="001577E5">
        <w:rPr>
          <w:noProof/>
        </w:rPr>
        <w:t xml:space="preserve"> transposition</w:t>
      </w:r>
      <w:r w:rsidR="009A1D70" w:rsidRPr="001577E5">
        <w:rPr>
          <w:noProof/>
        </w:rPr>
        <w:t xml:space="preserve"> of the Directive</w:t>
      </w:r>
      <w:r w:rsidR="00A7667A" w:rsidRPr="001577E5">
        <w:rPr>
          <w:noProof/>
        </w:rPr>
        <w:t>.</w:t>
      </w:r>
    </w:p>
    <w:p w14:paraId="14E97648" w14:textId="3FD6B89D" w:rsidR="00A7667A" w:rsidRPr="000F576F" w:rsidRDefault="002A3105">
      <w:pPr>
        <w:rPr>
          <w:bCs/>
          <w:noProof/>
        </w:rPr>
      </w:pPr>
      <w:r>
        <w:rPr>
          <w:noProof/>
        </w:rPr>
        <w:t>Article </w:t>
      </w:r>
      <w:r w:rsidR="00996A94">
        <w:rPr>
          <w:noProof/>
        </w:rPr>
        <w:t>31</w:t>
      </w:r>
      <w:r w:rsidR="00996A94" w:rsidRPr="000F576F">
        <w:rPr>
          <w:noProof/>
        </w:rPr>
        <w:t xml:space="preserve"> </w:t>
      </w:r>
      <w:r w:rsidR="00A7667A" w:rsidRPr="000F576F">
        <w:rPr>
          <w:noProof/>
        </w:rPr>
        <w:t xml:space="preserve">sets the </w:t>
      </w:r>
      <w:r w:rsidR="00E06995">
        <w:rPr>
          <w:noProof/>
        </w:rPr>
        <w:t xml:space="preserve">date of when this Directive </w:t>
      </w:r>
      <w:r w:rsidR="00E06995" w:rsidRPr="000F576F">
        <w:rPr>
          <w:noProof/>
        </w:rPr>
        <w:t>e</w:t>
      </w:r>
      <w:r w:rsidR="00E06995" w:rsidRPr="00230F4F">
        <w:rPr>
          <w:noProof/>
        </w:rPr>
        <w:t xml:space="preserve">nters </w:t>
      </w:r>
      <w:r w:rsidR="00A7667A" w:rsidRPr="00230F4F">
        <w:rPr>
          <w:noProof/>
        </w:rPr>
        <w:t>into force.</w:t>
      </w:r>
    </w:p>
    <w:p w14:paraId="5B6B6020" w14:textId="4B027BD3" w:rsidR="00A7667A" w:rsidRPr="000F576F" w:rsidRDefault="002A3105">
      <w:pPr>
        <w:rPr>
          <w:bCs/>
          <w:noProof/>
        </w:rPr>
      </w:pPr>
      <w:r>
        <w:rPr>
          <w:noProof/>
        </w:rPr>
        <w:t>Article </w:t>
      </w:r>
      <w:r w:rsidR="00996A94">
        <w:rPr>
          <w:noProof/>
        </w:rPr>
        <w:t>32</w:t>
      </w:r>
      <w:r w:rsidR="00996A94" w:rsidRPr="000F576F">
        <w:rPr>
          <w:noProof/>
        </w:rPr>
        <w:t xml:space="preserve"> </w:t>
      </w:r>
      <w:r w:rsidR="00A7667A" w:rsidRPr="000F576F">
        <w:rPr>
          <w:noProof/>
        </w:rPr>
        <w:t>sets out the a</w:t>
      </w:r>
      <w:r w:rsidR="00A7667A" w:rsidRPr="00230F4F">
        <w:rPr>
          <w:noProof/>
        </w:rPr>
        <w:t>ddressees of this Directive.</w:t>
      </w:r>
    </w:p>
    <w:p w14:paraId="41539FC4" w14:textId="77E01F39" w:rsidR="00A7667A" w:rsidRPr="006323EB" w:rsidRDefault="00A864C8" w:rsidP="00616E4D">
      <w:r>
        <w:rPr>
          <w:noProof/>
        </w:rPr>
        <w:t xml:space="preserve">The lists contained in the </w:t>
      </w:r>
      <w:r w:rsidR="009A1D70">
        <w:rPr>
          <w:noProof/>
        </w:rPr>
        <w:t xml:space="preserve">Annex </w:t>
      </w:r>
      <w:r>
        <w:rPr>
          <w:noProof/>
        </w:rPr>
        <w:t>specify the adverse environmental impacts and adverse human rights impacts relevant for this Directive</w:t>
      </w:r>
      <w:r w:rsidR="00435679">
        <w:rPr>
          <w:noProof/>
        </w:rPr>
        <w:t>,</w:t>
      </w:r>
      <w:r w:rsidR="000F3391">
        <w:rPr>
          <w:noProof/>
        </w:rPr>
        <w:t xml:space="preserve"> </w:t>
      </w:r>
      <w:r w:rsidR="00435679">
        <w:rPr>
          <w:noProof/>
        </w:rPr>
        <w:t>t</w:t>
      </w:r>
      <w:r w:rsidR="00E06995">
        <w:rPr>
          <w:noProof/>
        </w:rPr>
        <w:t>o cover the violation of rights and prohibitions including the international h</w:t>
      </w:r>
      <w:r w:rsidR="00C86B96">
        <w:rPr>
          <w:noProof/>
        </w:rPr>
        <w:t>uman rights agreements (Part I Section 1</w:t>
      </w:r>
      <w:r w:rsidR="008976E4">
        <w:rPr>
          <w:noProof/>
        </w:rPr>
        <w:t>)</w:t>
      </w:r>
      <w:r w:rsidR="00435679">
        <w:rPr>
          <w:noProof/>
        </w:rPr>
        <w:t>,</w:t>
      </w:r>
      <w:r w:rsidR="00E06995">
        <w:rPr>
          <w:noProof/>
        </w:rPr>
        <w:t xml:space="preserve"> human rights and fu</w:t>
      </w:r>
      <w:r w:rsidR="0038195E">
        <w:rPr>
          <w:noProof/>
        </w:rPr>
        <w:t>n</w:t>
      </w:r>
      <w:r w:rsidR="00E06995">
        <w:rPr>
          <w:noProof/>
        </w:rPr>
        <w:t>damen</w:t>
      </w:r>
      <w:r w:rsidR="0038195E">
        <w:rPr>
          <w:noProof/>
        </w:rPr>
        <w:t>t</w:t>
      </w:r>
      <w:r w:rsidR="00C86B96">
        <w:rPr>
          <w:noProof/>
        </w:rPr>
        <w:t>al freedoms conventions (Part I Section 2</w:t>
      </w:r>
      <w:r w:rsidR="00E06995">
        <w:rPr>
          <w:noProof/>
        </w:rPr>
        <w:t>), and the violation of internationally recognised objectives and prohibitions included in the environmental conve</w:t>
      </w:r>
      <w:r w:rsidR="00C37D72">
        <w:rPr>
          <w:noProof/>
        </w:rPr>
        <w:t>n</w:t>
      </w:r>
      <w:r w:rsidR="00E06995">
        <w:rPr>
          <w:noProof/>
        </w:rPr>
        <w:t>tions (Part II).</w:t>
      </w:r>
      <w:r w:rsidR="000F3391" w:rsidRPr="00435679">
        <w:rPr>
          <w:rFonts w:eastAsia="Times New Roman"/>
          <w:noProof/>
        </w:rPr>
        <w:t xml:space="preserve"> </w:t>
      </w:r>
    </w:p>
    <w:p w14:paraId="5FC9A47B" w14:textId="77777777" w:rsidR="001859C1" w:rsidRPr="00AC7E92" w:rsidRDefault="001859C1" w:rsidP="001859C1">
      <w:pPr>
        <w:spacing w:before="0" w:after="0"/>
        <w:jc w:val="left"/>
        <w:rPr>
          <w:noProof/>
        </w:rPr>
        <w:sectPr w:rsidR="001859C1" w:rsidRPr="00AC7E92" w:rsidSect="00F50C02">
          <w:footerReference w:type="default" r:id="rId35"/>
          <w:footerReference w:type="first" r:id="rId36"/>
          <w:pgSz w:w="11907" w:h="16839"/>
          <w:pgMar w:top="1134" w:right="1417" w:bottom="1134" w:left="1417" w:header="709" w:footer="709" w:gutter="0"/>
          <w:cols w:space="708"/>
          <w:docGrid w:linePitch="360"/>
        </w:sectPr>
      </w:pPr>
    </w:p>
    <w:p w14:paraId="55B7F6D2" w14:textId="6C7A5EFB" w:rsidR="002F59BF" w:rsidRDefault="00A876A4" w:rsidP="00A876A4">
      <w:pPr>
        <w:pStyle w:val="Rfrenceinterinstitutionnelle"/>
        <w:rPr>
          <w:noProof/>
        </w:rPr>
      </w:pPr>
      <w:r w:rsidRPr="00A876A4">
        <w:t>2022/0051 (COD)</w:t>
      </w:r>
    </w:p>
    <w:p w14:paraId="3984CFB5" w14:textId="5B03BF9B" w:rsidR="0080592F" w:rsidRDefault="00244CA3" w:rsidP="00244CA3">
      <w:pPr>
        <w:pStyle w:val="Statut"/>
        <w:rPr>
          <w:noProof/>
        </w:rPr>
      </w:pPr>
      <w:r w:rsidRPr="00244CA3">
        <w:rPr>
          <w:noProof/>
        </w:rPr>
        <w:t>Proposal for a</w:t>
      </w:r>
    </w:p>
    <w:p w14:paraId="3304BBEE" w14:textId="52C3EF34" w:rsidR="006808F4" w:rsidRPr="006808F4" w:rsidRDefault="00244CA3" w:rsidP="00244CA3">
      <w:pPr>
        <w:pStyle w:val="Typedudocument"/>
        <w:rPr>
          <w:noProof/>
        </w:rPr>
      </w:pPr>
      <w:r w:rsidRPr="00244CA3">
        <w:rPr>
          <w:noProof/>
        </w:rPr>
        <w:t>DIRECTIVE OF THE EUROPEAN PARLIAMENT AND OF THE COUNCIL</w:t>
      </w:r>
    </w:p>
    <w:p w14:paraId="37213164" w14:textId="6E71B257" w:rsidR="0064170B" w:rsidRPr="0064170B" w:rsidRDefault="00244CA3" w:rsidP="00244CA3">
      <w:pPr>
        <w:pStyle w:val="Titreobjet"/>
        <w:rPr>
          <w:noProof/>
        </w:rPr>
      </w:pPr>
      <w:r w:rsidRPr="00244CA3">
        <w:rPr>
          <w:noProof/>
        </w:rPr>
        <w:t>on Corporate Sustainability Due Diligence and amending Directive (EU) 2019/1937</w:t>
      </w:r>
    </w:p>
    <w:p w14:paraId="0F708C9E" w14:textId="5C5A985F" w:rsidR="00224DDB" w:rsidRDefault="00244CA3" w:rsidP="00244CA3">
      <w:pPr>
        <w:pStyle w:val="IntrtEEE"/>
        <w:rPr>
          <w:noProof/>
        </w:rPr>
      </w:pPr>
      <w:r w:rsidRPr="00244CA3">
        <w:rPr>
          <w:noProof/>
        </w:rPr>
        <w:t>(Text with EEA relevance)</w:t>
      </w:r>
    </w:p>
    <w:p w14:paraId="6BCF4138" w14:textId="77777777" w:rsidR="0080592F" w:rsidRPr="005F0117" w:rsidRDefault="4DE26774" w:rsidP="00F325D4">
      <w:pPr>
        <w:pStyle w:val="Institutionquiagit"/>
        <w:rPr>
          <w:noProof/>
        </w:rPr>
      </w:pPr>
      <w:r>
        <w:rPr>
          <w:noProof/>
        </w:rPr>
        <w:t>THE EUROPEAN PARLIAMENT AND THE COUNCIL OF THE EUROPEAN UNION,</w:t>
      </w:r>
    </w:p>
    <w:p w14:paraId="0905E78D" w14:textId="46FF426A" w:rsidR="0080592F" w:rsidRPr="005F0117" w:rsidRDefault="4DE26774" w:rsidP="00807C60">
      <w:pPr>
        <w:rPr>
          <w:noProof/>
        </w:rPr>
      </w:pPr>
      <w:r>
        <w:rPr>
          <w:noProof/>
        </w:rPr>
        <w:t>Having regard to the Treaty on the Functioning of the European Union, and in particular Article 50</w:t>
      </w:r>
      <w:r w:rsidR="0003685A">
        <w:rPr>
          <w:noProof/>
        </w:rPr>
        <w:t xml:space="preserve">(1) </w:t>
      </w:r>
      <w:r>
        <w:rPr>
          <w:noProof/>
        </w:rPr>
        <w:t xml:space="preserve">and </w:t>
      </w:r>
      <w:r w:rsidR="006A61D9">
        <w:rPr>
          <w:noProof/>
        </w:rPr>
        <w:t xml:space="preserve">(2)(g) </w:t>
      </w:r>
      <w:r>
        <w:rPr>
          <w:noProof/>
        </w:rPr>
        <w:t xml:space="preserve">and </w:t>
      </w:r>
      <w:r w:rsidR="006A61D9">
        <w:rPr>
          <w:noProof/>
        </w:rPr>
        <w:t xml:space="preserve">Article </w:t>
      </w:r>
      <w:r>
        <w:rPr>
          <w:noProof/>
        </w:rPr>
        <w:t>114</w:t>
      </w:r>
      <w:r w:rsidR="00D671BB">
        <w:rPr>
          <w:noProof/>
        </w:rPr>
        <w:t xml:space="preserve"> </w:t>
      </w:r>
      <w:r>
        <w:rPr>
          <w:noProof/>
        </w:rPr>
        <w:t>thereof,</w:t>
      </w:r>
    </w:p>
    <w:p w14:paraId="4290B668" w14:textId="77777777" w:rsidR="0080592F" w:rsidRPr="005F0117" w:rsidRDefault="4DE26774" w:rsidP="00807C60">
      <w:pPr>
        <w:rPr>
          <w:noProof/>
        </w:rPr>
      </w:pPr>
      <w:r>
        <w:rPr>
          <w:noProof/>
        </w:rPr>
        <w:t>Having regard to the proposal from the European Commission,</w:t>
      </w:r>
    </w:p>
    <w:p w14:paraId="44B297BC" w14:textId="77777777" w:rsidR="0080592F" w:rsidRPr="005F0117" w:rsidRDefault="4DE26774" w:rsidP="00807C60">
      <w:pPr>
        <w:rPr>
          <w:noProof/>
        </w:rPr>
      </w:pPr>
      <w:r>
        <w:rPr>
          <w:noProof/>
        </w:rPr>
        <w:t>After transmission of the draft legislative act to the national parliaments,</w:t>
      </w:r>
    </w:p>
    <w:p w14:paraId="1273ECFA" w14:textId="77777777" w:rsidR="0080592F" w:rsidRPr="005F0117" w:rsidRDefault="0080592F" w:rsidP="00807C60">
      <w:pPr>
        <w:rPr>
          <w:noProof/>
        </w:rPr>
      </w:pPr>
      <w:r w:rsidRPr="005F0117">
        <w:rPr>
          <w:noProof/>
        </w:rPr>
        <w:t>Having regard to the opinion of the European Economic and Social Committee</w:t>
      </w:r>
      <w:r w:rsidRPr="00365352">
        <w:rPr>
          <w:rStyle w:val="Allmrkuseviide"/>
          <w:noProof/>
        </w:rPr>
        <w:footnoteReference w:id="74"/>
      </w:r>
      <w:r w:rsidRPr="02479CB6">
        <w:rPr>
          <w:noProof/>
        </w:rPr>
        <w:t xml:space="preserve">, </w:t>
      </w:r>
    </w:p>
    <w:p w14:paraId="17998315" w14:textId="77777777" w:rsidR="0059612B" w:rsidRPr="00FD053D" w:rsidRDefault="4DE26774" w:rsidP="00807C60">
      <w:pPr>
        <w:rPr>
          <w:noProof/>
        </w:rPr>
      </w:pPr>
      <w:r>
        <w:rPr>
          <w:noProof/>
        </w:rPr>
        <w:t>Acting in accordance with the ordinary legislative procedure,</w:t>
      </w:r>
    </w:p>
    <w:p w14:paraId="77467951" w14:textId="77777777" w:rsidR="004C6B2A" w:rsidRPr="003332AF" w:rsidRDefault="004C6B2A" w:rsidP="00807C60">
      <w:pPr>
        <w:rPr>
          <w:noProof/>
        </w:rPr>
      </w:pPr>
      <w:r w:rsidRPr="003332AF">
        <w:rPr>
          <w:noProof/>
        </w:rPr>
        <w:t>Whereas:</w:t>
      </w:r>
    </w:p>
    <w:p w14:paraId="65A91D92" w14:textId="67E1D09C" w:rsidR="005A4938" w:rsidRDefault="00822875" w:rsidP="00822875">
      <w:pPr>
        <w:pStyle w:val="ManualConsidrant"/>
        <w:rPr>
          <w:noProof/>
        </w:rPr>
      </w:pPr>
      <w:r w:rsidRPr="00822875">
        <w:t>(1)</w:t>
      </w:r>
      <w:r w:rsidRPr="00822875">
        <w:tab/>
      </w:r>
      <w:r w:rsidR="009D6F1B">
        <w:rPr>
          <w:noProof/>
        </w:rPr>
        <w:t xml:space="preserve">The Union is founded on the respect for human dignity, </w:t>
      </w:r>
      <w:r w:rsidR="005A4938">
        <w:rPr>
          <w:noProof/>
        </w:rPr>
        <w:t xml:space="preserve">freedom, democracy, </w:t>
      </w:r>
      <w:r w:rsidR="009D6F1B">
        <w:rPr>
          <w:noProof/>
        </w:rPr>
        <w:t xml:space="preserve">equality, the rule of law and respect </w:t>
      </w:r>
      <w:r w:rsidR="005A4938">
        <w:rPr>
          <w:noProof/>
        </w:rPr>
        <w:t>for</w:t>
      </w:r>
      <w:r w:rsidR="009D6F1B">
        <w:rPr>
          <w:noProof/>
        </w:rPr>
        <w:t xml:space="preserve"> human rights </w:t>
      </w:r>
      <w:r w:rsidR="005A4938">
        <w:rPr>
          <w:noProof/>
        </w:rPr>
        <w:t xml:space="preserve">as </w:t>
      </w:r>
      <w:r w:rsidR="009D6F1B">
        <w:rPr>
          <w:noProof/>
        </w:rPr>
        <w:t>enshrined in the EU Charter of Fundamental Rights.</w:t>
      </w:r>
      <w:r w:rsidR="009D6F1B">
        <w:rPr>
          <w:noProof/>
        </w:rPr>
        <w:tab/>
      </w:r>
      <w:r w:rsidR="009D6F1B" w:rsidRPr="009D6F1B">
        <w:rPr>
          <w:noProof/>
        </w:rPr>
        <w:t xml:space="preserve"> </w:t>
      </w:r>
      <w:r w:rsidR="008E07B4">
        <w:rPr>
          <w:noProof/>
        </w:rPr>
        <w:t>Th</w:t>
      </w:r>
      <w:r w:rsidR="00F63223">
        <w:rPr>
          <w:noProof/>
        </w:rPr>
        <w:t>ose</w:t>
      </w:r>
      <w:r w:rsidR="008E07B4">
        <w:rPr>
          <w:noProof/>
        </w:rPr>
        <w:t xml:space="preserve"> core values that have inspired the Union’s own creation</w:t>
      </w:r>
      <w:r w:rsidR="005A4938">
        <w:rPr>
          <w:noProof/>
        </w:rPr>
        <w:t xml:space="preserve">, as well as </w:t>
      </w:r>
      <w:r w:rsidR="004A50AA">
        <w:rPr>
          <w:noProof/>
        </w:rPr>
        <w:t xml:space="preserve">the universality </w:t>
      </w:r>
      <w:r w:rsidR="005A4938">
        <w:rPr>
          <w:noProof/>
        </w:rPr>
        <w:t xml:space="preserve">and indivisibility </w:t>
      </w:r>
      <w:r w:rsidR="004A50AA">
        <w:rPr>
          <w:noProof/>
        </w:rPr>
        <w:t>of human rights</w:t>
      </w:r>
      <w:r w:rsidR="005A4938">
        <w:rPr>
          <w:noProof/>
        </w:rPr>
        <w:t>,</w:t>
      </w:r>
      <w:r w:rsidR="008E07B4">
        <w:rPr>
          <w:noProof/>
        </w:rPr>
        <w:t xml:space="preserve"> </w:t>
      </w:r>
      <w:r w:rsidR="00F63223">
        <w:rPr>
          <w:noProof/>
        </w:rPr>
        <w:t>and respect</w:t>
      </w:r>
      <w:r w:rsidR="008E07B4">
        <w:rPr>
          <w:noProof/>
        </w:rPr>
        <w:t xml:space="preserve"> </w:t>
      </w:r>
      <w:r w:rsidR="0043245B">
        <w:rPr>
          <w:noProof/>
        </w:rPr>
        <w:t>for the principles</w:t>
      </w:r>
      <w:r w:rsidR="00271EE0">
        <w:rPr>
          <w:noProof/>
        </w:rPr>
        <w:t xml:space="preserve"> of the United Nations Charter and international law</w:t>
      </w:r>
      <w:r w:rsidR="005A4938">
        <w:rPr>
          <w:noProof/>
        </w:rPr>
        <w:t>,</w:t>
      </w:r>
      <w:r w:rsidR="008E07B4">
        <w:rPr>
          <w:noProof/>
        </w:rPr>
        <w:t xml:space="preserve"> should </w:t>
      </w:r>
      <w:r w:rsidR="004A50AA">
        <w:rPr>
          <w:noProof/>
        </w:rPr>
        <w:t xml:space="preserve">guide the Union’s action on the international scene. </w:t>
      </w:r>
      <w:r w:rsidR="005A4938">
        <w:rPr>
          <w:noProof/>
        </w:rPr>
        <w:t xml:space="preserve">Such action includes fostering the sustainable economic, social and environmental development of developing countries. </w:t>
      </w:r>
    </w:p>
    <w:p w14:paraId="23E061B4" w14:textId="2CA8EEE7" w:rsidR="00ED3016" w:rsidRDefault="00822875" w:rsidP="00822875">
      <w:pPr>
        <w:pStyle w:val="ManualConsidrant"/>
        <w:rPr>
          <w:noProof/>
        </w:rPr>
      </w:pPr>
      <w:r w:rsidRPr="00822875">
        <w:t>(2)</w:t>
      </w:r>
      <w:r w:rsidRPr="00822875">
        <w:tab/>
      </w:r>
      <w:r w:rsidR="00364F23" w:rsidRPr="003B049B">
        <w:rPr>
          <w:noProof/>
        </w:rPr>
        <w:t xml:space="preserve">A </w:t>
      </w:r>
      <w:r w:rsidR="00364F23" w:rsidRPr="00364F23">
        <w:rPr>
          <w:noProof/>
        </w:rPr>
        <w:t xml:space="preserve">high level of protection and improvement of the quality of the environment </w:t>
      </w:r>
      <w:r w:rsidR="00ED3016">
        <w:rPr>
          <w:noProof/>
        </w:rPr>
        <w:t xml:space="preserve">and promoting European core values are among the priorities of the </w:t>
      </w:r>
      <w:r w:rsidR="00843112">
        <w:rPr>
          <w:noProof/>
        </w:rPr>
        <w:t>Union</w:t>
      </w:r>
      <w:r w:rsidR="00364F23">
        <w:rPr>
          <w:noProof/>
        </w:rPr>
        <w:t xml:space="preserve">, as set out in the </w:t>
      </w:r>
      <w:r w:rsidR="009239F4">
        <w:rPr>
          <w:noProof/>
        </w:rPr>
        <w:t xml:space="preserve">Commission’s Communication on A </w:t>
      </w:r>
      <w:r w:rsidR="00364F23">
        <w:rPr>
          <w:noProof/>
        </w:rPr>
        <w:t>European Green Deal</w:t>
      </w:r>
      <w:r w:rsidR="00364F23" w:rsidRPr="00C84988">
        <w:rPr>
          <w:rStyle w:val="Allmrkuseviide"/>
          <w:noProof/>
        </w:rPr>
        <w:footnoteReference w:id="75"/>
      </w:r>
      <w:r w:rsidR="00ED3016">
        <w:rPr>
          <w:noProof/>
        </w:rPr>
        <w:t>. These objectives require the involvement not only of the public authorities but also of private actors, in particular companies.</w:t>
      </w:r>
      <w:r w:rsidR="001275C4" w:rsidRPr="001275C4">
        <w:rPr>
          <w:noProof/>
        </w:rPr>
        <w:t xml:space="preserve"> </w:t>
      </w:r>
    </w:p>
    <w:p w14:paraId="0E5E9605" w14:textId="55BF72EE" w:rsidR="00776FF8" w:rsidRPr="008436CE" w:rsidRDefault="00822875" w:rsidP="00822875">
      <w:pPr>
        <w:pStyle w:val="ManualConsidrant"/>
        <w:rPr>
          <w:noProof/>
        </w:rPr>
      </w:pPr>
      <w:r w:rsidRPr="00822875">
        <w:t>(3)</w:t>
      </w:r>
      <w:r w:rsidRPr="00822875">
        <w:tab/>
      </w:r>
      <w:r w:rsidR="00776FF8" w:rsidRPr="00CF014A">
        <w:rPr>
          <w:noProof/>
        </w:rPr>
        <w:t xml:space="preserve">In its Communication on </w:t>
      </w:r>
      <w:r w:rsidR="004E5425">
        <w:rPr>
          <w:noProof/>
        </w:rPr>
        <w:t>a</w:t>
      </w:r>
      <w:r w:rsidR="00776FF8" w:rsidRPr="00CF014A">
        <w:rPr>
          <w:noProof/>
        </w:rPr>
        <w:t xml:space="preserve"> Strong Social Europe for Just Transition</w:t>
      </w:r>
      <w:r w:rsidR="00776FF8" w:rsidRPr="00C84988">
        <w:rPr>
          <w:rStyle w:val="Allmrkuseviide"/>
          <w:noProof/>
        </w:rPr>
        <w:footnoteReference w:id="76"/>
      </w:r>
      <w:r w:rsidR="00776FF8" w:rsidRPr="00CF014A">
        <w:rPr>
          <w:noProof/>
        </w:rPr>
        <w:t>, the Commission committed to upgrading Europe’s social market economy to achieve a just transition to sustainability.</w:t>
      </w:r>
      <w:r w:rsidR="00776FF8" w:rsidRPr="00CF014A">
        <w:rPr>
          <w:rFonts w:eastAsia="Times New Roman"/>
          <w:noProof/>
        </w:rPr>
        <w:t xml:space="preserve"> This Directive </w:t>
      </w:r>
      <w:r w:rsidR="00776FF8" w:rsidRPr="00CF014A">
        <w:rPr>
          <w:noProof/>
        </w:rPr>
        <w:t>will also contribute to the European Pillar of Social Rights</w:t>
      </w:r>
      <w:r w:rsidR="00190DB7" w:rsidRPr="00CF014A">
        <w:rPr>
          <w:noProof/>
        </w:rPr>
        <w:t>, which</w:t>
      </w:r>
      <w:r w:rsidR="00776FF8" w:rsidRPr="00CF014A">
        <w:rPr>
          <w:noProof/>
        </w:rPr>
        <w:t xml:space="preserve"> promote</w:t>
      </w:r>
      <w:r w:rsidR="00422D17" w:rsidRPr="00CF014A">
        <w:rPr>
          <w:noProof/>
        </w:rPr>
        <w:t>s</w:t>
      </w:r>
      <w:r w:rsidR="00776FF8" w:rsidRPr="00CF014A">
        <w:rPr>
          <w:noProof/>
        </w:rPr>
        <w:t xml:space="preserve"> rights </w:t>
      </w:r>
      <w:r w:rsidR="00422D17" w:rsidRPr="00CF014A">
        <w:rPr>
          <w:noProof/>
        </w:rPr>
        <w:t>ensuring</w:t>
      </w:r>
      <w:r w:rsidR="00776FF8" w:rsidRPr="00CF014A">
        <w:rPr>
          <w:noProof/>
        </w:rPr>
        <w:t xml:space="preserve"> fair working conditions.</w:t>
      </w:r>
      <w:r w:rsidR="00F97979">
        <w:rPr>
          <w:noProof/>
        </w:rPr>
        <w:t xml:space="preserve"> It </w:t>
      </w:r>
      <w:r w:rsidR="000C3A7F">
        <w:rPr>
          <w:noProof/>
        </w:rPr>
        <w:t xml:space="preserve">forms part of the </w:t>
      </w:r>
      <w:r w:rsidR="000C3A7F" w:rsidRPr="000C3A7F">
        <w:rPr>
          <w:noProof/>
        </w:rPr>
        <w:t>E</w:t>
      </w:r>
      <w:r w:rsidR="000C3A7F">
        <w:rPr>
          <w:noProof/>
        </w:rPr>
        <w:t>U policies and strategies relating</w:t>
      </w:r>
      <w:r w:rsidR="000C3A7F" w:rsidRPr="000C3A7F">
        <w:rPr>
          <w:noProof/>
        </w:rPr>
        <w:t xml:space="preserve"> to the promotion of decent work worldwide, including in global </w:t>
      </w:r>
      <w:r w:rsidR="00834EE1">
        <w:rPr>
          <w:noProof/>
        </w:rPr>
        <w:t>value</w:t>
      </w:r>
      <w:r w:rsidR="00834EE1" w:rsidRPr="000C3A7F">
        <w:rPr>
          <w:noProof/>
        </w:rPr>
        <w:t xml:space="preserve"> </w:t>
      </w:r>
      <w:r w:rsidR="000C3A7F" w:rsidRPr="000C3A7F">
        <w:rPr>
          <w:noProof/>
        </w:rPr>
        <w:t>chains</w:t>
      </w:r>
      <w:r w:rsidR="000C3A7F">
        <w:rPr>
          <w:noProof/>
        </w:rPr>
        <w:t>, as referred to</w:t>
      </w:r>
      <w:r w:rsidR="00611C23">
        <w:rPr>
          <w:noProof/>
        </w:rPr>
        <w:t xml:space="preserve"> </w:t>
      </w:r>
      <w:r w:rsidR="000C3A7F">
        <w:rPr>
          <w:noProof/>
        </w:rPr>
        <w:t xml:space="preserve">in </w:t>
      </w:r>
      <w:r w:rsidR="00F97979">
        <w:rPr>
          <w:noProof/>
        </w:rPr>
        <w:t>the Commission Communication on decent work worldwide</w:t>
      </w:r>
      <w:r w:rsidR="000C3A7F" w:rsidRPr="00C84988">
        <w:rPr>
          <w:rStyle w:val="Allmrkuseviide"/>
          <w:noProof/>
        </w:rPr>
        <w:footnoteReference w:id="77"/>
      </w:r>
      <w:r w:rsidR="00F97979">
        <w:rPr>
          <w:noProof/>
        </w:rPr>
        <w:t>.</w:t>
      </w:r>
      <w:r w:rsidR="002A1B73">
        <w:rPr>
          <w:noProof/>
        </w:rPr>
        <w:t xml:space="preserve"> </w:t>
      </w:r>
    </w:p>
    <w:p w14:paraId="070476F7" w14:textId="6F777B3B" w:rsidR="008067EA" w:rsidRDefault="00822875" w:rsidP="00822875">
      <w:pPr>
        <w:pStyle w:val="ManualConsidrant"/>
        <w:rPr>
          <w:noProof/>
        </w:rPr>
      </w:pPr>
      <w:r w:rsidRPr="00822875">
        <w:t>(4)</w:t>
      </w:r>
      <w:r w:rsidRPr="00822875">
        <w:tab/>
      </w:r>
      <w:r w:rsidR="00ED3016">
        <w:rPr>
          <w:noProof/>
        </w:rPr>
        <w:t xml:space="preserve">The behaviour of companies across all sectors of the economy is key to </w:t>
      </w:r>
      <w:r w:rsidR="00F15F85">
        <w:rPr>
          <w:noProof/>
        </w:rPr>
        <w:t>succe</w:t>
      </w:r>
      <w:r w:rsidR="00263788">
        <w:rPr>
          <w:noProof/>
        </w:rPr>
        <w:t>ss</w:t>
      </w:r>
      <w:r w:rsidR="00F15F85">
        <w:rPr>
          <w:noProof/>
        </w:rPr>
        <w:t xml:space="preserve"> </w:t>
      </w:r>
      <w:r w:rsidR="00ED3016">
        <w:rPr>
          <w:noProof/>
        </w:rPr>
        <w:t xml:space="preserve">in the </w:t>
      </w:r>
      <w:r w:rsidR="009239F4">
        <w:rPr>
          <w:noProof/>
        </w:rPr>
        <w:t xml:space="preserve">Union’s </w:t>
      </w:r>
      <w:r w:rsidR="00ED3016">
        <w:rPr>
          <w:noProof/>
        </w:rPr>
        <w:t xml:space="preserve">sustainability </w:t>
      </w:r>
      <w:r w:rsidR="00843112">
        <w:rPr>
          <w:noProof/>
        </w:rPr>
        <w:t xml:space="preserve">objectives </w:t>
      </w:r>
      <w:r w:rsidR="00ED3016">
        <w:rPr>
          <w:noProof/>
        </w:rPr>
        <w:t xml:space="preserve">as </w:t>
      </w:r>
      <w:r w:rsidR="009239F4">
        <w:rPr>
          <w:noProof/>
        </w:rPr>
        <w:t xml:space="preserve">Union </w:t>
      </w:r>
      <w:r w:rsidR="00ED3016">
        <w:rPr>
          <w:noProof/>
        </w:rPr>
        <w:t xml:space="preserve">companies, especially large ones, rely on global value chains. It is also in the interest of companies to protect human rights and the environment, in particular given the rising concern of consumers and investors regarding these topics. </w:t>
      </w:r>
      <w:r w:rsidR="008067EA">
        <w:rPr>
          <w:noProof/>
        </w:rPr>
        <w:t xml:space="preserve">Several initiatives fostering </w:t>
      </w:r>
      <w:r w:rsidR="008067EA" w:rsidRPr="00F55C1C">
        <w:rPr>
          <w:noProof/>
        </w:rPr>
        <w:t>enterprises which support value-oriented transformation</w:t>
      </w:r>
      <w:r w:rsidR="008067EA">
        <w:rPr>
          <w:noProof/>
        </w:rPr>
        <w:t xml:space="preserve"> already exist on </w:t>
      </w:r>
      <w:r w:rsidR="009239F4">
        <w:rPr>
          <w:noProof/>
        </w:rPr>
        <w:t>Union</w:t>
      </w:r>
      <w:r w:rsidR="008067EA" w:rsidRPr="00C84988">
        <w:rPr>
          <w:rStyle w:val="Allmrkuseviide"/>
          <w:noProof/>
        </w:rPr>
        <w:footnoteReference w:id="78"/>
      </w:r>
      <w:r w:rsidR="008067EA">
        <w:rPr>
          <w:noProof/>
        </w:rPr>
        <w:t>, as well as national</w:t>
      </w:r>
      <w:r w:rsidR="008067EA" w:rsidRPr="00C84988">
        <w:rPr>
          <w:rStyle w:val="Allmrkuseviide"/>
          <w:noProof/>
        </w:rPr>
        <w:footnoteReference w:id="79"/>
      </w:r>
      <w:r w:rsidR="008067EA">
        <w:rPr>
          <w:noProof/>
        </w:rPr>
        <w:t xml:space="preserve"> level. </w:t>
      </w:r>
    </w:p>
    <w:p w14:paraId="26AE3D43" w14:textId="1D9EC851" w:rsidR="00ED3016" w:rsidRDefault="00822875" w:rsidP="00822875">
      <w:pPr>
        <w:pStyle w:val="ManualConsidrant"/>
        <w:rPr>
          <w:noProof/>
        </w:rPr>
      </w:pPr>
      <w:r w:rsidRPr="00822875">
        <w:t>(5)</w:t>
      </w:r>
      <w:r w:rsidRPr="00822875">
        <w:tab/>
      </w:r>
      <w:r w:rsidR="0035509D">
        <w:rPr>
          <w:noProof/>
        </w:rPr>
        <w:t>Existing i</w:t>
      </w:r>
      <w:r w:rsidR="00ED3016">
        <w:rPr>
          <w:noProof/>
        </w:rPr>
        <w:t xml:space="preserve">nternational standards </w:t>
      </w:r>
      <w:r w:rsidR="0035509D">
        <w:rPr>
          <w:noProof/>
        </w:rPr>
        <w:t xml:space="preserve">on responsible business conduct </w:t>
      </w:r>
      <w:r w:rsidR="00ED3016">
        <w:rPr>
          <w:noProof/>
        </w:rPr>
        <w:t xml:space="preserve">specify </w:t>
      </w:r>
      <w:r w:rsidR="00EB5D2C">
        <w:rPr>
          <w:noProof/>
        </w:rPr>
        <w:t>that</w:t>
      </w:r>
      <w:r w:rsidR="0035509D">
        <w:rPr>
          <w:noProof/>
        </w:rPr>
        <w:t xml:space="preserve"> companies </w:t>
      </w:r>
      <w:r w:rsidR="00EB5D2C">
        <w:rPr>
          <w:noProof/>
        </w:rPr>
        <w:t xml:space="preserve">should </w:t>
      </w:r>
      <w:r w:rsidR="00ED3016">
        <w:rPr>
          <w:noProof/>
        </w:rPr>
        <w:t>protect human rights and</w:t>
      </w:r>
      <w:r w:rsidR="00EB5D2C">
        <w:rPr>
          <w:noProof/>
        </w:rPr>
        <w:t xml:space="preserve"> set out</w:t>
      </w:r>
      <w:r w:rsidR="00ED3016">
        <w:rPr>
          <w:noProof/>
        </w:rPr>
        <w:t xml:space="preserve"> how they should </w:t>
      </w:r>
      <w:r w:rsidR="0035509D">
        <w:rPr>
          <w:noProof/>
        </w:rPr>
        <w:t>address</w:t>
      </w:r>
      <w:r w:rsidR="00ED3016">
        <w:rPr>
          <w:noProof/>
        </w:rPr>
        <w:t xml:space="preserve"> the protection </w:t>
      </w:r>
      <w:r w:rsidR="00ED3016" w:rsidDel="00F9540C">
        <w:rPr>
          <w:noProof/>
        </w:rPr>
        <w:t xml:space="preserve">of </w:t>
      </w:r>
      <w:r w:rsidR="00ED3016">
        <w:rPr>
          <w:noProof/>
        </w:rPr>
        <w:t xml:space="preserve">the environment across their operations and value chains. </w:t>
      </w:r>
      <w:r w:rsidR="00ED3016" w:rsidRPr="003B7DCE">
        <w:rPr>
          <w:noProof/>
        </w:rPr>
        <w:t>The United Nations Guiding Principles on Business and Human Rights</w:t>
      </w:r>
      <w:r w:rsidR="00ED3016" w:rsidRPr="00C84988">
        <w:rPr>
          <w:rStyle w:val="Allmrkuseviide"/>
          <w:noProof/>
        </w:rPr>
        <w:footnoteReference w:id="80"/>
      </w:r>
      <w:r w:rsidR="00ED3016" w:rsidRPr="006A3652">
        <w:rPr>
          <w:noProof/>
        </w:rPr>
        <w:t xml:space="preserve"> </w:t>
      </w:r>
      <w:r w:rsidR="000035CB">
        <w:rPr>
          <w:noProof/>
        </w:rPr>
        <w:t>recognise</w:t>
      </w:r>
      <w:r w:rsidR="009239F4">
        <w:rPr>
          <w:noProof/>
        </w:rPr>
        <w:t xml:space="preserve"> the responsibility of companies to </w:t>
      </w:r>
      <w:r w:rsidR="005731C2">
        <w:rPr>
          <w:noProof/>
        </w:rPr>
        <w:t>exercise human rights due diligence</w:t>
      </w:r>
      <w:r w:rsidR="00162796">
        <w:rPr>
          <w:noProof/>
        </w:rPr>
        <w:t xml:space="preserve"> by</w:t>
      </w:r>
      <w:r w:rsidR="005731C2">
        <w:rPr>
          <w:noProof/>
        </w:rPr>
        <w:t xml:space="preserve"> identify</w:t>
      </w:r>
      <w:r w:rsidR="00162796">
        <w:rPr>
          <w:noProof/>
        </w:rPr>
        <w:t>ing</w:t>
      </w:r>
      <w:r w:rsidR="005731C2">
        <w:rPr>
          <w:noProof/>
        </w:rPr>
        <w:t>, prevent</w:t>
      </w:r>
      <w:r w:rsidR="00162796">
        <w:rPr>
          <w:noProof/>
        </w:rPr>
        <w:t>ing</w:t>
      </w:r>
      <w:r w:rsidR="005731C2">
        <w:rPr>
          <w:noProof/>
        </w:rPr>
        <w:t xml:space="preserve"> and mitigat</w:t>
      </w:r>
      <w:r w:rsidR="00162796">
        <w:rPr>
          <w:noProof/>
        </w:rPr>
        <w:t>ing</w:t>
      </w:r>
      <w:r w:rsidR="005731C2">
        <w:rPr>
          <w:noProof/>
        </w:rPr>
        <w:t xml:space="preserve"> the adverse impacts </w:t>
      </w:r>
      <w:r w:rsidR="00162796">
        <w:rPr>
          <w:noProof/>
        </w:rPr>
        <w:t>of their operations</w:t>
      </w:r>
      <w:r w:rsidR="00EB5D2C">
        <w:rPr>
          <w:noProof/>
        </w:rPr>
        <w:t xml:space="preserve"> on human rights</w:t>
      </w:r>
      <w:r w:rsidR="005731C2">
        <w:rPr>
          <w:noProof/>
        </w:rPr>
        <w:t xml:space="preserve"> and </w:t>
      </w:r>
      <w:r w:rsidR="000035CB">
        <w:rPr>
          <w:noProof/>
        </w:rPr>
        <w:t xml:space="preserve">by </w:t>
      </w:r>
      <w:r w:rsidR="005731C2">
        <w:rPr>
          <w:noProof/>
        </w:rPr>
        <w:t>account</w:t>
      </w:r>
      <w:r w:rsidR="00162796">
        <w:rPr>
          <w:noProof/>
        </w:rPr>
        <w:t>ing</w:t>
      </w:r>
      <w:r w:rsidR="005731C2">
        <w:rPr>
          <w:noProof/>
        </w:rPr>
        <w:t xml:space="preserve"> for how they address th</w:t>
      </w:r>
      <w:r w:rsidR="000035CB">
        <w:rPr>
          <w:noProof/>
        </w:rPr>
        <w:t>ose impacts</w:t>
      </w:r>
      <w:r w:rsidR="005731C2">
        <w:rPr>
          <w:noProof/>
        </w:rPr>
        <w:t>. Th</w:t>
      </w:r>
      <w:r w:rsidR="00162796">
        <w:rPr>
          <w:noProof/>
        </w:rPr>
        <w:t>ose</w:t>
      </w:r>
      <w:r w:rsidR="005731C2">
        <w:rPr>
          <w:noProof/>
        </w:rPr>
        <w:t xml:space="preserve"> Guiding Principles </w:t>
      </w:r>
      <w:r w:rsidR="00ED3016">
        <w:rPr>
          <w:noProof/>
        </w:rPr>
        <w:t xml:space="preserve">state that businesses </w:t>
      </w:r>
      <w:r w:rsidR="00ED3016" w:rsidRPr="006A3652">
        <w:rPr>
          <w:noProof/>
        </w:rPr>
        <w:t xml:space="preserve">should avoid infringing human rights and should address adverse human rights impacts </w:t>
      </w:r>
      <w:r w:rsidR="000035CB">
        <w:rPr>
          <w:noProof/>
        </w:rPr>
        <w:t>that</w:t>
      </w:r>
      <w:r w:rsidR="00ED3016" w:rsidRPr="006A3652">
        <w:rPr>
          <w:noProof/>
        </w:rPr>
        <w:t xml:space="preserve"> they </w:t>
      </w:r>
      <w:r w:rsidR="00162796">
        <w:rPr>
          <w:noProof/>
        </w:rPr>
        <w:t>have caused</w:t>
      </w:r>
      <w:r w:rsidR="008A2AE4">
        <w:rPr>
          <w:noProof/>
        </w:rPr>
        <w:t>,</w:t>
      </w:r>
      <w:r w:rsidR="00162796">
        <w:rPr>
          <w:noProof/>
        </w:rPr>
        <w:t xml:space="preserve"> contributed to</w:t>
      </w:r>
      <w:r w:rsidR="008A2AE4">
        <w:rPr>
          <w:noProof/>
        </w:rPr>
        <w:t xml:space="preserve"> or are linked with</w:t>
      </w:r>
      <w:r w:rsidR="00ED3016">
        <w:rPr>
          <w:noProof/>
        </w:rPr>
        <w:t xml:space="preserve"> in their own operations</w:t>
      </w:r>
      <w:r w:rsidR="000E2EB9">
        <w:rPr>
          <w:noProof/>
        </w:rPr>
        <w:t>, subsidiaries</w:t>
      </w:r>
      <w:r w:rsidR="00ED3016">
        <w:rPr>
          <w:noProof/>
        </w:rPr>
        <w:t xml:space="preserve"> and through their direct and indirect business relationships</w:t>
      </w:r>
      <w:r w:rsidR="00ED3016" w:rsidRPr="006A3652">
        <w:rPr>
          <w:noProof/>
        </w:rPr>
        <w:t>.</w:t>
      </w:r>
      <w:r w:rsidR="00ED3016">
        <w:rPr>
          <w:noProof/>
        </w:rPr>
        <w:t xml:space="preserve"> </w:t>
      </w:r>
    </w:p>
    <w:p w14:paraId="5C2A99DB" w14:textId="01B526D1" w:rsidR="00ED3016" w:rsidRDefault="00822875" w:rsidP="00822875">
      <w:pPr>
        <w:pStyle w:val="ManualConsidrant"/>
        <w:rPr>
          <w:noProof/>
        </w:rPr>
      </w:pPr>
      <w:r w:rsidRPr="00822875">
        <w:t>(6)</w:t>
      </w:r>
      <w:r w:rsidRPr="00822875">
        <w:tab/>
      </w:r>
      <w:r w:rsidR="00ED3016">
        <w:rPr>
          <w:noProof/>
        </w:rPr>
        <w:t>Th</w:t>
      </w:r>
      <w:r w:rsidR="00162796">
        <w:rPr>
          <w:noProof/>
        </w:rPr>
        <w:t>e</w:t>
      </w:r>
      <w:r w:rsidR="00ED3016" w:rsidRPr="005E667B">
        <w:rPr>
          <w:noProof/>
        </w:rPr>
        <w:t xml:space="preserve"> concept of </w:t>
      </w:r>
      <w:r w:rsidR="00162796">
        <w:rPr>
          <w:noProof/>
        </w:rPr>
        <w:t>human rights</w:t>
      </w:r>
      <w:r w:rsidR="00ED3016" w:rsidRPr="005E667B">
        <w:rPr>
          <w:noProof/>
        </w:rPr>
        <w:t xml:space="preserve"> due diligence </w:t>
      </w:r>
      <w:r w:rsidR="00ED3016">
        <w:rPr>
          <w:noProof/>
        </w:rPr>
        <w:t>was specified and further developed in the</w:t>
      </w:r>
      <w:r w:rsidR="00ED3016" w:rsidRPr="006327DF">
        <w:rPr>
          <w:noProof/>
        </w:rPr>
        <w:t xml:space="preserve"> OECD Guidelines for Multinational Enterprises</w:t>
      </w:r>
      <w:r w:rsidR="005731C2" w:rsidRPr="00C84988">
        <w:rPr>
          <w:rStyle w:val="Allmrkuseviide"/>
          <w:noProof/>
        </w:rPr>
        <w:footnoteReference w:id="81"/>
      </w:r>
      <w:r w:rsidR="005731C2" w:rsidRPr="005731C2">
        <w:rPr>
          <w:noProof/>
        </w:rPr>
        <w:t xml:space="preserve"> which extended the application of due diligence to environmental and governance topics. The OECD</w:t>
      </w:r>
      <w:r w:rsidR="00ED3016" w:rsidRPr="006327DF">
        <w:rPr>
          <w:noProof/>
        </w:rPr>
        <w:t xml:space="preserve"> Guidance on Responsible Business Conduct and sectoral guidance</w:t>
      </w:r>
      <w:r w:rsidR="001A7911" w:rsidRPr="00C84988">
        <w:rPr>
          <w:rStyle w:val="Allmrkuseviide"/>
          <w:noProof/>
        </w:rPr>
        <w:footnoteReference w:id="82"/>
      </w:r>
      <w:r w:rsidR="00ED3016" w:rsidRPr="006327DF">
        <w:rPr>
          <w:noProof/>
        </w:rPr>
        <w:t xml:space="preserve"> </w:t>
      </w:r>
      <w:r w:rsidR="008534B8">
        <w:rPr>
          <w:noProof/>
        </w:rPr>
        <w:t>are</w:t>
      </w:r>
      <w:r w:rsidR="008534B8" w:rsidRPr="00C94785">
        <w:rPr>
          <w:noProof/>
        </w:rPr>
        <w:t xml:space="preserve"> </w:t>
      </w:r>
      <w:r w:rsidR="006F363E">
        <w:rPr>
          <w:noProof/>
        </w:rPr>
        <w:t xml:space="preserve">internationally recognised </w:t>
      </w:r>
      <w:r w:rsidR="008534B8">
        <w:rPr>
          <w:noProof/>
        </w:rPr>
        <w:t xml:space="preserve">frameworks setting out </w:t>
      </w:r>
      <w:r w:rsidR="008534B8" w:rsidRPr="00C94785">
        <w:rPr>
          <w:noProof/>
        </w:rPr>
        <w:t xml:space="preserve">practical due diligence steps to help companies identify, prevent, mitigate and account for how they address actual and potential impacts in their operations, </w:t>
      </w:r>
      <w:r w:rsidR="00834EE1">
        <w:rPr>
          <w:noProof/>
        </w:rPr>
        <w:t>value</w:t>
      </w:r>
      <w:r w:rsidR="00834EE1" w:rsidRPr="00C94785">
        <w:rPr>
          <w:noProof/>
        </w:rPr>
        <w:t xml:space="preserve"> </w:t>
      </w:r>
      <w:r w:rsidR="008534B8" w:rsidRPr="00C94785">
        <w:rPr>
          <w:noProof/>
        </w:rPr>
        <w:t>chains and other business relationships. The concept of due diligence is also</w:t>
      </w:r>
      <w:r w:rsidR="00ED3016" w:rsidRPr="006327DF">
        <w:rPr>
          <w:noProof/>
        </w:rPr>
        <w:t xml:space="preserve"> embedded in the recommendations of </w:t>
      </w:r>
      <w:r w:rsidR="008534B8">
        <w:rPr>
          <w:noProof/>
        </w:rPr>
        <w:t xml:space="preserve">the </w:t>
      </w:r>
      <w:r w:rsidR="006F363E">
        <w:rPr>
          <w:noProof/>
        </w:rPr>
        <w:t>International Labour Organisation (</w:t>
      </w:r>
      <w:r w:rsidR="00ED3016" w:rsidRPr="006327DF">
        <w:rPr>
          <w:noProof/>
        </w:rPr>
        <w:t>ILO</w:t>
      </w:r>
      <w:r w:rsidR="006F363E">
        <w:rPr>
          <w:noProof/>
        </w:rPr>
        <w:t>)</w:t>
      </w:r>
      <w:r w:rsidR="00ED3016" w:rsidRPr="006327DF">
        <w:rPr>
          <w:noProof/>
        </w:rPr>
        <w:t xml:space="preserve"> Tripartite Declaration of Principles concerning Multinational Enterprises and Social Policy.</w:t>
      </w:r>
      <w:r w:rsidR="00ED3016" w:rsidRPr="00C84988">
        <w:rPr>
          <w:rStyle w:val="Allmrkuseviide"/>
          <w:noProof/>
        </w:rPr>
        <w:footnoteReference w:id="83"/>
      </w:r>
      <w:r w:rsidR="000035CB">
        <w:rPr>
          <w:noProof/>
        </w:rPr>
        <w:t xml:space="preserve"> </w:t>
      </w:r>
    </w:p>
    <w:p w14:paraId="279BC52C" w14:textId="0FF9EAE6" w:rsidR="007771D1" w:rsidRDefault="00822875" w:rsidP="00822875">
      <w:pPr>
        <w:pStyle w:val="ManualConsidrant"/>
        <w:rPr>
          <w:noProof/>
        </w:rPr>
      </w:pPr>
      <w:r w:rsidRPr="00822875">
        <w:t>(7)</w:t>
      </w:r>
      <w:r w:rsidRPr="00822875">
        <w:tab/>
      </w:r>
      <w:r w:rsidR="00ED3016">
        <w:rPr>
          <w:noProof/>
        </w:rPr>
        <w:t>The United Nations</w:t>
      </w:r>
      <w:r w:rsidR="00CD5FCC">
        <w:rPr>
          <w:noProof/>
        </w:rPr>
        <w:t>’</w:t>
      </w:r>
      <w:r w:rsidR="00ED3016" w:rsidRPr="007F2B66">
        <w:rPr>
          <w:noProof/>
        </w:rPr>
        <w:t xml:space="preserve"> Sustainable Development Goals</w:t>
      </w:r>
      <w:r w:rsidR="00ED3016" w:rsidRPr="00C84988">
        <w:rPr>
          <w:rStyle w:val="Allmrkuseviide"/>
          <w:noProof/>
        </w:rPr>
        <w:footnoteReference w:id="84"/>
      </w:r>
      <w:r w:rsidR="00ED3016" w:rsidRPr="02479CB6">
        <w:rPr>
          <w:noProof/>
        </w:rPr>
        <w:t xml:space="preserve">, </w:t>
      </w:r>
      <w:r w:rsidR="00ED3016" w:rsidRPr="004A1E0C">
        <w:rPr>
          <w:noProof/>
        </w:rPr>
        <w:t>adopted by all United Nations Member States in 2015</w:t>
      </w:r>
      <w:r w:rsidR="00ED3016">
        <w:rPr>
          <w:noProof/>
        </w:rPr>
        <w:t>, include the objectives to p</w:t>
      </w:r>
      <w:r w:rsidR="00ED3016" w:rsidRPr="0013135B">
        <w:rPr>
          <w:noProof/>
        </w:rPr>
        <w:t>romote sustained, inclusive and sustainable economic growth</w:t>
      </w:r>
      <w:r w:rsidR="00ED3016">
        <w:rPr>
          <w:noProof/>
        </w:rPr>
        <w:t xml:space="preserve">. </w:t>
      </w:r>
      <w:r w:rsidR="00ED3016" w:rsidRPr="00DD2D66">
        <w:rPr>
          <w:noProof/>
        </w:rPr>
        <w:t>The Union has set itself the objective to deliver on the UN Sustainable Development Goals</w:t>
      </w:r>
      <w:r w:rsidR="00ED3016">
        <w:rPr>
          <w:noProof/>
        </w:rPr>
        <w:t xml:space="preserve">. </w:t>
      </w:r>
      <w:r w:rsidR="001F62B6">
        <w:rPr>
          <w:noProof/>
        </w:rPr>
        <w:t>T</w:t>
      </w:r>
      <w:r w:rsidR="00ED3016">
        <w:rPr>
          <w:noProof/>
        </w:rPr>
        <w:t>he private sector</w:t>
      </w:r>
      <w:r w:rsidR="001F62B6">
        <w:rPr>
          <w:noProof/>
        </w:rPr>
        <w:t xml:space="preserve"> contributes to th</w:t>
      </w:r>
      <w:r w:rsidR="006F363E">
        <w:rPr>
          <w:noProof/>
        </w:rPr>
        <w:t>o</w:t>
      </w:r>
      <w:r w:rsidR="001F62B6">
        <w:rPr>
          <w:noProof/>
        </w:rPr>
        <w:t>se aims</w:t>
      </w:r>
      <w:r w:rsidR="00ED3016">
        <w:rPr>
          <w:noProof/>
        </w:rPr>
        <w:t xml:space="preserve">. </w:t>
      </w:r>
    </w:p>
    <w:p w14:paraId="6451D469" w14:textId="282AE0AC" w:rsidR="00C75A72" w:rsidRDefault="00822875" w:rsidP="00822875">
      <w:pPr>
        <w:pStyle w:val="ManualConsidrant"/>
        <w:rPr>
          <w:noProof/>
        </w:rPr>
      </w:pPr>
      <w:r w:rsidRPr="00822875">
        <w:t>(8)</w:t>
      </w:r>
      <w:r w:rsidRPr="00822875">
        <w:tab/>
      </w:r>
      <w:r w:rsidR="00C75A72" w:rsidRPr="007771D1">
        <w:rPr>
          <w:noProof/>
        </w:rPr>
        <w:t xml:space="preserve">International agreements under the </w:t>
      </w:r>
      <w:r w:rsidR="00616E4D" w:rsidRPr="00616E4D">
        <w:rPr>
          <w:noProof/>
        </w:rPr>
        <w:t>United Nations Framework Convention on Climate Change</w:t>
      </w:r>
      <w:r w:rsidR="00C75A72" w:rsidRPr="007771D1">
        <w:rPr>
          <w:noProof/>
        </w:rPr>
        <w:t xml:space="preserve">, to which the </w:t>
      </w:r>
      <w:r w:rsidR="006F363E">
        <w:rPr>
          <w:noProof/>
        </w:rPr>
        <w:t>Union</w:t>
      </w:r>
      <w:r w:rsidR="006F363E" w:rsidRPr="007771D1">
        <w:rPr>
          <w:noProof/>
        </w:rPr>
        <w:t xml:space="preserve"> </w:t>
      </w:r>
      <w:r w:rsidR="00C75A72" w:rsidRPr="007771D1">
        <w:rPr>
          <w:noProof/>
        </w:rPr>
        <w:t xml:space="preserve">and </w:t>
      </w:r>
      <w:r w:rsidR="006F363E">
        <w:rPr>
          <w:noProof/>
        </w:rPr>
        <w:t>the</w:t>
      </w:r>
      <w:r w:rsidR="00C75A72" w:rsidRPr="007771D1">
        <w:rPr>
          <w:noProof/>
        </w:rPr>
        <w:t xml:space="preserve"> Member States are parties, such as the Paris Agreement</w:t>
      </w:r>
      <w:r w:rsidR="005940D3" w:rsidRPr="00C84988">
        <w:rPr>
          <w:rStyle w:val="Allmrkuseviide"/>
          <w:noProof/>
        </w:rPr>
        <w:footnoteReference w:id="85"/>
      </w:r>
      <w:r w:rsidR="00C75A72" w:rsidRPr="007771D1">
        <w:rPr>
          <w:noProof/>
        </w:rPr>
        <w:t xml:space="preserve"> and the recent Glasgow Climate Pact</w:t>
      </w:r>
      <w:r w:rsidR="00CC7E70" w:rsidRPr="00C84988">
        <w:rPr>
          <w:rStyle w:val="Allmrkuseviide"/>
          <w:noProof/>
        </w:rPr>
        <w:footnoteReference w:id="86"/>
      </w:r>
      <w:r w:rsidR="00C75A72" w:rsidRPr="007771D1">
        <w:rPr>
          <w:noProof/>
        </w:rPr>
        <w:t>, set out precise avenues to address climate change and keep global warming within 1.5</w:t>
      </w:r>
      <w:r w:rsidR="00794E3C">
        <w:rPr>
          <w:noProof/>
        </w:rPr>
        <w:t xml:space="preserve"> </w:t>
      </w:r>
      <w:r w:rsidR="00C75A72" w:rsidRPr="007771D1">
        <w:rPr>
          <w:noProof/>
        </w:rPr>
        <w:t>C degrees. Besides specific actions being expected from all signatory Parties, the role of the private sector, in particular its investment strategies, is considered central to achieve these objectives.</w:t>
      </w:r>
    </w:p>
    <w:p w14:paraId="2A196175" w14:textId="39D7D59E" w:rsidR="00ED3016" w:rsidRPr="00DD2D66" w:rsidRDefault="00822875" w:rsidP="00822875">
      <w:pPr>
        <w:pStyle w:val="ManualConsidrant"/>
        <w:rPr>
          <w:noProof/>
        </w:rPr>
      </w:pPr>
      <w:r w:rsidRPr="00822875">
        <w:t>(9)</w:t>
      </w:r>
      <w:r w:rsidRPr="00822875">
        <w:tab/>
      </w:r>
      <w:r w:rsidR="00ED3016">
        <w:rPr>
          <w:noProof/>
        </w:rPr>
        <w:t>In</w:t>
      </w:r>
      <w:r w:rsidR="00ED3016" w:rsidDel="007771D1">
        <w:rPr>
          <w:noProof/>
        </w:rPr>
        <w:t xml:space="preserve"> </w:t>
      </w:r>
      <w:r w:rsidR="007771D1">
        <w:rPr>
          <w:noProof/>
        </w:rPr>
        <w:t xml:space="preserve">the </w:t>
      </w:r>
      <w:r w:rsidR="00ED3016">
        <w:rPr>
          <w:noProof/>
        </w:rPr>
        <w:t>European Climate Law</w:t>
      </w:r>
      <w:r w:rsidR="00ED3016" w:rsidRPr="00C84988">
        <w:rPr>
          <w:rStyle w:val="Allmrkuseviide"/>
          <w:noProof/>
        </w:rPr>
        <w:footnoteReference w:id="87"/>
      </w:r>
      <w:r w:rsidR="00ED3016">
        <w:rPr>
          <w:noProof/>
        </w:rPr>
        <w:t xml:space="preserve">, the Union </w:t>
      </w:r>
      <w:r w:rsidR="00CD5FCC">
        <w:rPr>
          <w:noProof/>
        </w:rPr>
        <w:t>also</w:t>
      </w:r>
      <w:r w:rsidR="007771D1">
        <w:rPr>
          <w:noProof/>
        </w:rPr>
        <w:t xml:space="preserve"> legally</w:t>
      </w:r>
      <w:r w:rsidR="00CD5FCC">
        <w:rPr>
          <w:noProof/>
        </w:rPr>
        <w:t xml:space="preserve"> </w:t>
      </w:r>
      <w:r w:rsidR="00ED3016">
        <w:rPr>
          <w:noProof/>
        </w:rPr>
        <w:t>committed to becoming</w:t>
      </w:r>
      <w:r w:rsidR="00ED3016" w:rsidRPr="00DD2D66">
        <w:rPr>
          <w:noProof/>
        </w:rPr>
        <w:t xml:space="preserve"> climate-neutral by 2050</w:t>
      </w:r>
      <w:r w:rsidR="007771D1">
        <w:rPr>
          <w:noProof/>
        </w:rPr>
        <w:t xml:space="preserve"> and to reducing emissions by at least 55% by 2030</w:t>
      </w:r>
      <w:r w:rsidR="00ED3016" w:rsidRPr="00DD2D66">
        <w:rPr>
          <w:noProof/>
        </w:rPr>
        <w:t xml:space="preserve">. Both these commitments require changing the way in which </w:t>
      </w:r>
      <w:r w:rsidR="007771D1">
        <w:rPr>
          <w:noProof/>
        </w:rPr>
        <w:t>companies</w:t>
      </w:r>
      <w:r w:rsidR="007771D1" w:rsidRPr="00DD2D66">
        <w:rPr>
          <w:noProof/>
        </w:rPr>
        <w:t xml:space="preserve"> </w:t>
      </w:r>
      <w:r w:rsidR="00ED3016" w:rsidRPr="00DD2D66">
        <w:rPr>
          <w:noProof/>
        </w:rPr>
        <w:t xml:space="preserve">produce and </w:t>
      </w:r>
      <w:r w:rsidR="007771D1">
        <w:rPr>
          <w:noProof/>
        </w:rPr>
        <w:t>procure</w:t>
      </w:r>
      <w:r w:rsidR="00ED3016" w:rsidRPr="00DD2D66">
        <w:rPr>
          <w:noProof/>
        </w:rPr>
        <w:t>.</w:t>
      </w:r>
      <w:r w:rsidR="00ED3016" w:rsidRPr="02479CB6">
        <w:rPr>
          <w:noProof/>
        </w:rPr>
        <w:t xml:space="preserve"> </w:t>
      </w:r>
      <w:r w:rsidR="007771D1" w:rsidRPr="007771D1">
        <w:rPr>
          <w:noProof/>
        </w:rPr>
        <w:t xml:space="preserve">The Commission’s </w:t>
      </w:r>
      <w:r w:rsidR="000035CB" w:rsidRPr="007771D1">
        <w:rPr>
          <w:noProof/>
        </w:rPr>
        <w:t>20</w:t>
      </w:r>
      <w:r w:rsidR="000035CB">
        <w:rPr>
          <w:noProof/>
        </w:rPr>
        <w:t>3</w:t>
      </w:r>
      <w:r w:rsidR="000035CB" w:rsidRPr="007771D1">
        <w:rPr>
          <w:noProof/>
        </w:rPr>
        <w:t xml:space="preserve">0 </w:t>
      </w:r>
      <w:r w:rsidR="007771D1" w:rsidRPr="007771D1">
        <w:rPr>
          <w:noProof/>
        </w:rPr>
        <w:t>Climate Target Plan</w:t>
      </w:r>
      <w:r w:rsidR="000035CB" w:rsidRPr="00C84988">
        <w:rPr>
          <w:rStyle w:val="Allmrkuseviide"/>
          <w:noProof/>
        </w:rPr>
        <w:footnoteReference w:id="88"/>
      </w:r>
      <w:r w:rsidR="007771D1" w:rsidRPr="007771D1">
        <w:rPr>
          <w:noProof/>
        </w:rPr>
        <w:t xml:space="preserve"> models various degrees of emission reductions required f</w:t>
      </w:r>
      <w:r w:rsidR="00C75A72">
        <w:rPr>
          <w:noProof/>
        </w:rPr>
        <w:t>rom different economic sectors, th</w:t>
      </w:r>
      <w:r w:rsidR="007771D1" w:rsidRPr="007771D1">
        <w:rPr>
          <w:noProof/>
        </w:rPr>
        <w:t xml:space="preserve">ough all need to see considerable reductions under all scenarios for the </w:t>
      </w:r>
      <w:r w:rsidR="006F363E">
        <w:rPr>
          <w:noProof/>
        </w:rPr>
        <w:t>Union</w:t>
      </w:r>
      <w:r w:rsidR="006F363E" w:rsidRPr="007771D1">
        <w:rPr>
          <w:noProof/>
        </w:rPr>
        <w:t xml:space="preserve"> </w:t>
      </w:r>
      <w:r w:rsidR="007771D1" w:rsidRPr="007771D1">
        <w:rPr>
          <w:noProof/>
        </w:rPr>
        <w:t>to meet its climate objectives. The Plan also underlines that “changes in corporate governance rules and practices, including on sustainable finance, will make company owners and managers prioritise sustainability objectives in their actions and strategies.</w:t>
      </w:r>
      <w:r w:rsidR="00616E4D">
        <w:rPr>
          <w:noProof/>
        </w:rPr>
        <w:t>”</w:t>
      </w:r>
      <w:r w:rsidR="00494A97">
        <w:rPr>
          <w:noProof/>
        </w:rPr>
        <w:t xml:space="preserve"> </w:t>
      </w:r>
      <w:r w:rsidR="00ED3016">
        <w:rPr>
          <w:noProof/>
        </w:rPr>
        <w:t xml:space="preserve">The 2019 </w:t>
      </w:r>
      <w:r w:rsidR="00950127">
        <w:rPr>
          <w:noProof/>
        </w:rPr>
        <w:t>C</w:t>
      </w:r>
      <w:r w:rsidR="00ED3016">
        <w:rPr>
          <w:noProof/>
        </w:rPr>
        <w:t>ommunication on the European Green Deal</w:t>
      </w:r>
      <w:r w:rsidR="00ED3016" w:rsidRPr="00C84988">
        <w:rPr>
          <w:rStyle w:val="Allmrkuseviide"/>
          <w:noProof/>
        </w:rPr>
        <w:footnoteReference w:id="89"/>
      </w:r>
      <w:r w:rsidR="00ED3016">
        <w:rPr>
          <w:noProof/>
        </w:rPr>
        <w:t xml:space="preserve"> sets out that </w:t>
      </w:r>
      <w:r w:rsidR="00C75A72" w:rsidRPr="00C75A72">
        <w:rPr>
          <w:noProof/>
        </w:rPr>
        <w:t>all U</w:t>
      </w:r>
      <w:r w:rsidR="0016037D">
        <w:rPr>
          <w:noProof/>
        </w:rPr>
        <w:t>nion</w:t>
      </w:r>
      <w:r w:rsidR="00C75A72" w:rsidRPr="00C75A72">
        <w:rPr>
          <w:noProof/>
        </w:rPr>
        <w:t xml:space="preserve"> actions and policies should pull together to help the U</w:t>
      </w:r>
      <w:r w:rsidR="0016037D">
        <w:rPr>
          <w:noProof/>
        </w:rPr>
        <w:t>nion</w:t>
      </w:r>
      <w:r w:rsidR="00C75A72" w:rsidRPr="00C75A72">
        <w:rPr>
          <w:noProof/>
        </w:rPr>
        <w:t xml:space="preserve"> achieve a successful and just transition towards a sustainable future</w:t>
      </w:r>
      <w:r w:rsidR="00C75A72">
        <w:rPr>
          <w:noProof/>
        </w:rPr>
        <w:t xml:space="preserve">. It also sets out </w:t>
      </w:r>
      <w:r w:rsidR="00ED3016" w:rsidDel="00C75A72">
        <w:rPr>
          <w:noProof/>
        </w:rPr>
        <w:t>that</w:t>
      </w:r>
      <w:r w:rsidR="00ED3016">
        <w:rPr>
          <w:noProof/>
        </w:rPr>
        <w:t xml:space="preserve"> sustainability should be further embedded into the corporate governance framework. </w:t>
      </w:r>
    </w:p>
    <w:p w14:paraId="7427605F" w14:textId="1BD447EB" w:rsidR="00C75A72" w:rsidRDefault="00822875" w:rsidP="00822875">
      <w:pPr>
        <w:pStyle w:val="ManualConsidrant"/>
        <w:rPr>
          <w:noProof/>
        </w:rPr>
      </w:pPr>
      <w:r w:rsidRPr="00822875">
        <w:t>(10)</w:t>
      </w:r>
      <w:r w:rsidRPr="00822875">
        <w:tab/>
      </w:r>
      <w:r w:rsidR="00E14092">
        <w:rPr>
          <w:noProof/>
        </w:rPr>
        <w:t xml:space="preserve">According to </w:t>
      </w:r>
      <w:r w:rsidR="00C75A72">
        <w:rPr>
          <w:noProof/>
        </w:rPr>
        <w:t>the Commission Communication on forging a climate-resilient Europe</w:t>
      </w:r>
      <w:r w:rsidR="0016037D" w:rsidRPr="00C84988">
        <w:rPr>
          <w:rStyle w:val="Allmrkuseviide"/>
          <w:noProof/>
        </w:rPr>
        <w:footnoteReference w:id="90"/>
      </w:r>
      <w:r w:rsidR="00C75A72">
        <w:rPr>
          <w:noProof/>
        </w:rPr>
        <w:t xml:space="preserve"> presenting the U</w:t>
      </w:r>
      <w:r w:rsidR="0016037D">
        <w:rPr>
          <w:noProof/>
        </w:rPr>
        <w:t>nion</w:t>
      </w:r>
      <w:r w:rsidR="00C75A72">
        <w:rPr>
          <w:noProof/>
        </w:rPr>
        <w:t xml:space="preserve"> Strategy on Adaptation to climate change, new investment and policy decision</w:t>
      </w:r>
      <w:r w:rsidR="00E14092">
        <w:rPr>
          <w:noProof/>
        </w:rPr>
        <w:t>s</w:t>
      </w:r>
      <w:r w:rsidR="00C75A72">
        <w:rPr>
          <w:noProof/>
        </w:rPr>
        <w:t xml:space="preserve"> should be climate-informed and future-proof, including for larger businesses managing </w:t>
      </w:r>
      <w:r w:rsidR="00834EE1">
        <w:rPr>
          <w:noProof/>
        </w:rPr>
        <w:t xml:space="preserve">value </w:t>
      </w:r>
      <w:r w:rsidR="00C75A72">
        <w:rPr>
          <w:noProof/>
        </w:rPr>
        <w:t>chains</w:t>
      </w:r>
      <w:r w:rsidR="00F23357">
        <w:rPr>
          <w:noProof/>
        </w:rPr>
        <w:t>.</w:t>
      </w:r>
      <w:r w:rsidR="00C75A72">
        <w:rPr>
          <w:noProof/>
        </w:rPr>
        <w:t xml:space="preserve"> </w:t>
      </w:r>
      <w:r w:rsidR="0020560A">
        <w:rPr>
          <w:noProof/>
        </w:rPr>
        <w:t>This Directive should be c</w:t>
      </w:r>
      <w:r w:rsidR="00E14092">
        <w:rPr>
          <w:noProof/>
        </w:rPr>
        <w:t>onsist</w:t>
      </w:r>
      <w:r w:rsidR="00B37066">
        <w:rPr>
          <w:noProof/>
        </w:rPr>
        <w:t>ent</w:t>
      </w:r>
      <w:r w:rsidR="00E14092">
        <w:rPr>
          <w:noProof/>
        </w:rPr>
        <w:t xml:space="preserve"> with th</w:t>
      </w:r>
      <w:r w:rsidR="0020560A">
        <w:rPr>
          <w:noProof/>
        </w:rPr>
        <w:t>at</w:t>
      </w:r>
      <w:r w:rsidR="00E14092">
        <w:rPr>
          <w:noProof/>
        </w:rPr>
        <w:t xml:space="preserve"> Strategy</w:t>
      </w:r>
      <w:r w:rsidR="00C75A72">
        <w:rPr>
          <w:noProof/>
        </w:rPr>
        <w:t xml:space="preserve">. Similarly, there should be consistency with the Commission </w:t>
      </w:r>
      <w:r w:rsidR="00431692">
        <w:rPr>
          <w:noProof/>
        </w:rPr>
        <w:t>Directive</w:t>
      </w:r>
      <w:r w:rsidR="00A14D4B">
        <w:rPr>
          <w:noProof/>
        </w:rPr>
        <w:t xml:space="preserve"> […]</w:t>
      </w:r>
      <w:r w:rsidR="00431692">
        <w:rPr>
          <w:noProof/>
        </w:rPr>
        <w:t xml:space="preserve"> a</w:t>
      </w:r>
      <w:r w:rsidR="00093BF4">
        <w:rPr>
          <w:noProof/>
        </w:rPr>
        <w:t>mending</w:t>
      </w:r>
      <w:r w:rsidR="00431692">
        <w:rPr>
          <w:noProof/>
        </w:rPr>
        <w:t xml:space="preserve"> </w:t>
      </w:r>
      <w:r w:rsidR="00431692" w:rsidRPr="00431692">
        <w:rPr>
          <w:noProof/>
        </w:rPr>
        <w:t>Directive 2013/36/EU as regards supervisory powers, sanctions, third-country branches, and environmental, social and governance risks</w:t>
      </w:r>
      <w:r w:rsidR="00C75A72">
        <w:rPr>
          <w:noProof/>
        </w:rPr>
        <w:t xml:space="preserve"> </w:t>
      </w:r>
      <w:r w:rsidR="00093BF4">
        <w:rPr>
          <w:noProof/>
        </w:rPr>
        <w:t>(</w:t>
      </w:r>
      <w:r w:rsidR="00CC7E70">
        <w:rPr>
          <w:noProof/>
        </w:rPr>
        <w:t>Capital</w:t>
      </w:r>
      <w:r w:rsidR="002B3FDB">
        <w:rPr>
          <w:noProof/>
        </w:rPr>
        <w:t xml:space="preserve"> </w:t>
      </w:r>
      <w:r w:rsidR="00CC7E70">
        <w:rPr>
          <w:noProof/>
        </w:rPr>
        <w:t>Requirements</w:t>
      </w:r>
      <w:r w:rsidR="002B3FDB">
        <w:rPr>
          <w:noProof/>
        </w:rPr>
        <w:t xml:space="preserve"> Directive</w:t>
      </w:r>
      <w:r w:rsidR="00093BF4">
        <w:rPr>
          <w:noProof/>
        </w:rPr>
        <w:t>)</w:t>
      </w:r>
      <w:r w:rsidR="002B3FDB" w:rsidRPr="00C84988">
        <w:rPr>
          <w:rStyle w:val="Allmrkuseviide"/>
          <w:noProof/>
        </w:rPr>
        <w:footnoteReference w:id="91"/>
      </w:r>
      <w:r w:rsidR="00C75A72">
        <w:rPr>
          <w:noProof/>
        </w:rPr>
        <w:t>, which sets out clear requirements for banks’ governance rules includ</w:t>
      </w:r>
      <w:r w:rsidR="00431692">
        <w:rPr>
          <w:noProof/>
        </w:rPr>
        <w:t>ing</w:t>
      </w:r>
      <w:r w:rsidR="00C75A72">
        <w:rPr>
          <w:noProof/>
        </w:rPr>
        <w:t xml:space="preserve"> </w:t>
      </w:r>
      <w:r w:rsidR="00D11727">
        <w:rPr>
          <w:noProof/>
        </w:rPr>
        <w:t>knowledge about</w:t>
      </w:r>
      <w:r w:rsidR="00C75A72">
        <w:rPr>
          <w:noProof/>
        </w:rPr>
        <w:t xml:space="preserve"> </w:t>
      </w:r>
      <w:r w:rsidR="0020560A" w:rsidRPr="0020560A">
        <w:rPr>
          <w:noProof/>
        </w:rPr>
        <w:t>environmental, social and governance</w:t>
      </w:r>
      <w:r w:rsidR="00D11727">
        <w:rPr>
          <w:noProof/>
        </w:rPr>
        <w:t xml:space="preserve"> risks</w:t>
      </w:r>
      <w:r w:rsidR="0020560A">
        <w:rPr>
          <w:noProof/>
        </w:rPr>
        <w:t xml:space="preserve"> </w:t>
      </w:r>
      <w:r w:rsidR="00093BF4">
        <w:rPr>
          <w:noProof/>
        </w:rPr>
        <w:t>at</w:t>
      </w:r>
      <w:r w:rsidR="00D11727">
        <w:rPr>
          <w:noProof/>
        </w:rPr>
        <w:t xml:space="preserve"> </w:t>
      </w:r>
      <w:r w:rsidR="00C75A72">
        <w:rPr>
          <w:noProof/>
        </w:rPr>
        <w:t>board</w:t>
      </w:r>
      <w:r w:rsidR="00093BF4">
        <w:rPr>
          <w:noProof/>
        </w:rPr>
        <w:t xml:space="preserve"> </w:t>
      </w:r>
      <w:r w:rsidR="00D90E1E">
        <w:rPr>
          <w:noProof/>
        </w:rPr>
        <w:t>of directors</w:t>
      </w:r>
      <w:r w:rsidR="00093BF4">
        <w:rPr>
          <w:noProof/>
        </w:rPr>
        <w:t xml:space="preserve"> level</w:t>
      </w:r>
      <w:r w:rsidR="00C75A72">
        <w:rPr>
          <w:noProof/>
        </w:rPr>
        <w:t xml:space="preserve">. </w:t>
      </w:r>
    </w:p>
    <w:p w14:paraId="4B7BF927" w14:textId="06E860C0" w:rsidR="00ED3016" w:rsidRDefault="00822875" w:rsidP="00822875">
      <w:pPr>
        <w:pStyle w:val="ManualConsidrant"/>
        <w:rPr>
          <w:noProof/>
        </w:rPr>
      </w:pPr>
      <w:r w:rsidRPr="00822875">
        <w:t>(11)</w:t>
      </w:r>
      <w:r w:rsidRPr="00822875">
        <w:tab/>
      </w:r>
      <w:r w:rsidR="00187023">
        <w:rPr>
          <w:noProof/>
        </w:rPr>
        <w:t>T</w:t>
      </w:r>
      <w:r w:rsidR="00ED3016" w:rsidRPr="00DD2D66">
        <w:rPr>
          <w:noProof/>
        </w:rPr>
        <w:t>he Action Plan on a Circular Economy</w:t>
      </w:r>
      <w:r w:rsidR="00ED3016" w:rsidRPr="00C84988">
        <w:rPr>
          <w:rStyle w:val="Allmrkuseviide"/>
          <w:noProof/>
        </w:rPr>
        <w:footnoteReference w:id="92"/>
      </w:r>
      <w:r w:rsidR="00794E3C">
        <w:rPr>
          <w:noProof/>
        </w:rPr>
        <w:t>,</w:t>
      </w:r>
      <w:r w:rsidR="00ED3016" w:rsidRPr="00DD2D66">
        <w:rPr>
          <w:noProof/>
        </w:rPr>
        <w:t xml:space="preserve"> the Biodiversity strategy</w:t>
      </w:r>
      <w:r w:rsidR="00ED3016" w:rsidRPr="00C84988">
        <w:rPr>
          <w:rStyle w:val="Allmrkuseviide"/>
          <w:noProof/>
        </w:rPr>
        <w:footnoteReference w:id="93"/>
      </w:r>
      <w:r w:rsidR="00ED3016" w:rsidRPr="00DD2D66">
        <w:rPr>
          <w:noProof/>
        </w:rPr>
        <w:t>, the Farm to Fork strategy</w:t>
      </w:r>
      <w:r w:rsidR="00ED3016" w:rsidRPr="00C84988">
        <w:rPr>
          <w:rStyle w:val="Allmrkuseviide"/>
          <w:noProof/>
        </w:rPr>
        <w:footnoteReference w:id="94"/>
      </w:r>
      <w:r w:rsidR="00ED3016" w:rsidRPr="00C84988">
        <w:rPr>
          <w:noProof/>
          <w:vertAlign w:val="superscript"/>
        </w:rPr>
        <w:t xml:space="preserve"> </w:t>
      </w:r>
      <w:r w:rsidR="00ED3016" w:rsidRPr="00DD2D66">
        <w:rPr>
          <w:noProof/>
        </w:rPr>
        <w:t>and the Chemicals strategy</w:t>
      </w:r>
      <w:r w:rsidR="00ED3016" w:rsidRPr="00C84988">
        <w:rPr>
          <w:rStyle w:val="Allmrkuseviide"/>
          <w:noProof/>
        </w:rPr>
        <w:footnoteReference w:id="95"/>
      </w:r>
      <w:r w:rsidR="00ED3016" w:rsidRPr="00C84988">
        <w:rPr>
          <w:noProof/>
          <w:vertAlign w:val="superscript"/>
        </w:rPr>
        <w:t xml:space="preserve"> </w:t>
      </w:r>
      <w:r w:rsidR="00ED3016" w:rsidRPr="00DD2D66">
        <w:rPr>
          <w:noProof/>
        </w:rPr>
        <w:t>and Updating the 2020 New Industrial Strategy: Building a stronger Single Market for Europe’s recovery</w:t>
      </w:r>
      <w:r w:rsidR="00ED3016" w:rsidRPr="00C84988">
        <w:rPr>
          <w:rStyle w:val="Allmrkuseviide"/>
          <w:noProof/>
        </w:rPr>
        <w:footnoteReference w:id="96"/>
      </w:r>
      <w:r w:rsidR="0006227E">
        <w:rPr>
          <w:noProof/>
        </w:rPr>
        <w:t>, Industry 5.0</w:t>
      </w:r>
      <w:r w:rsidR="0006227E" w:rsidRPr="00C84988">
        <w:rPr>
          <w:rStyle w:val="Allmrkuseviide"/>
          <w:noProof/>
        </w:rPr>
        <w:footnoteReference w:id="97"/>
      </w:r>
      <w:r w:rsidR="00ED3016" w:rsidRPr="02479CB6">
        <w:rPr>
          <w:noProof/>
        </w:rPr>
        <w:t xml:space="preserve"> </w:t>
      </w:r>
      <w:r w:rsidR="000F3391">
        <w:rPr>
          <w:noProof/>
        </w:rPr>
        <w:t>and the European Pillar of Social Rights Action Plan</w:t>
      </w:r>
      <w:r w:rsidR="000F3391" w:rsidRPr="00C84988">
        <w:rPr>
          <w:rStyle w:val="Allmrkuseviide"/>
          <w:noProof/>
        </w:rPr>
        <w:footnoteReference w:id="98"/>
      </w:r>
      <w:r w:rsidR="00187023">
        <w:rPr>
          <w:noProof/>
        </w:rPr>
        <w:t xml:space="preserve"> </w:t>
      </w:r>
      <w:r w:rsidR="00B63539">
        <w:rPr>
          <w:noProof/>
        </w:rPr>
        <w:t>and the 2021 Trade Policy Review</w:t>
      </w:r>
      <w:r w:rsidR="00B63539" w:rsidRPr="00C84988">
        <w:rPr>
          <w:rStyle w:val="Allmrkuseviide"/>
          <w:noProof/>
        </w:rPr>
        <w:footnoteReference w:id="99"/>
      </w:r>
      <w:r w:rsidR="00B63539">
        <w:rPr>
          <w:noProof/>
        </w:rPr>
        <w:t xml:space="preserve"> </w:t>
      </w:r>
      <w:r w:rsidR="00187023">
        <w:rPr>
          <w:noProof/>
        </w:rPr>
        <w:t>list a</w:t>
      </w:r>
      <w:r w:rsidR="00187023" w:rsidRPr="00187023">
        <w:rPr>
          <w:noProof/>
        </w:rPr>
        <w:t>n initiative on sustainable corporate governance among the</w:t>
      </w:r>
      <w:r w:rsidR="008C235E">
        <w:rPr>
          <w:noProof/>
        </w:rPr>
        <w:t>ir</w:t>
      </w:r>
      <w:r w:rsidR="00187023" w:rsidRPr="00187023">
        <w:rPr>
          <w:noProof/>
        </w:rPr>
        <w:t xml:space="preserve"> </w:t>
      </w:r>
      <w:r w:rsidR="008C235E">
        <w:rPr>
          <w:noProof/>
        </w:rPr>
        <w:t>elements</w:t>
      </w:r>
      <w:r w:rsidR="000F3391" w:rsidRPr="02479CB6">
        <w:rPr>
          <w:noProof/>
        </w:rPr>
        <w:t>.</w:t>
      </w:r>
      <w:r w:rsidR="00B63539">
        <w:rPr>
          <w:noProof/>
        </w:rPr>
        <w:t xml:space="preserve"> </w:t>
      </w:r>
    </w:p>
    <w:p w14:paraId="0FA9308D" w14:textId="44799225" w:rsidR="00D3469C" w:rsidRDefault="00822875" w:rsidP="00822875">
      <w:pPr>
        <w:pStyle w:val="ManualConsidrant"/>
        <w:rPr>
          <w:noProof/>
        </w:rPr>
      </w:pPr>
      <w:r w:rsidRPr="00822875">
        <w:t>(12)</w:t>
      </w:r>
      <w:r w:rsidRPr="00822875">
        <w:tab/>
      </w:r>
      <w:r w:rsidR="00D3469C">
        <w:rPr>
          <w:noProof/>
        </w:rPr>
        <w:t>Th</w:t>
      </w:r>
      <w:r w:rsidR="00762803">
        <w:rPr>
          <w:noProof/>
        </w:rPr>
        <w:t>is Directiv</w:t>
      </w:r>
      <w:r w:rsidR="00D3469C">
        <w:rPr>
          <w:noProof/>
        </w:rPr>
        <w:t>e</w:t>
      </w:r>
      <w:r w:rsidR="00762803">
        <w:rPr>
          <w:noProof/>
        </w:rPr>
        <w:t xml:space="preserve"> is in coherence with the</w:t>
      </w:r>
      <w:r w:rsidR="00D3469C">
        <w:rPr>
          <w:noProof/>
        </w:rPr>
        <w:t xml:space="preserve"> EU Action Plan on Human Rights and Democracy 2020-2024</w:t>
      </w:r>
      <w:r w:rsidR="000B50D7" w:rsidRPr="00C84988">
        <w:rPr>
          <w:rStyle w:val="Allmrkuseviide"/>
          <w:noProof/>
        </w:rPr>
        <w:footnoteReference w:id="100"/>
      </w:r>
      <w:r w:rsidR="00762803">
        <w:rPr>
          <w:noProof/>
        </w:rPr>
        <w:t>. This Action Plan</w:t>
      </w:r>
      <w:r w:rsidR="00D3469C">
        <w:rPr>
          <w:noProof/>
        </w:rPr>
        <w:t xml:space="preserve"> </w:t>
      </w:r>
      <w:r w:rsidR="00762803">
        <w:rPr>
          <w:noProof/>
        </w:rPr>
        <w:t>defines</w:t>
      </w:r>
      <w:r w:rsidR="00D3469C">
        <w:rPr>
          <w:noProof/>
        </w:rPr>
        <w:t xml:space="preserve"> as a priority to strengthen the U</w:t>
      </w:r>
      <w:r w:rsidR="00762803">
        <w:rPr>
          <w:noProof/>
        </w:rPr>
        <w:t>nion</w:t>
      </w:r>
      <w:r w:rsidR="00D3469C">
        <w:rPr>
          <w:noProof/>
        </w:rPr>
        <w:t>’s engagement to actively promote the global implementation of the U</w:t>
      </w:r>
      <w:r w:rsidR="002C63EC">
        <w:rPr>
          <w:noProof/>
        </w:rPr>
        <w:t xml:space="preserve">nited </w:t>
      </w:r>
      <w:r w:rsidR="00D3469C">
        <w:rPr>
          <w:noProof/>
        </w:rPr>
        <w:t>N</w:t>
      </w:r>
      <w:r w:rsidR="002C63EC">
        <w:rPr>
          <w:noProof/>
        </w:rPr>
        <w:t>ations</w:t>
      </w:r>
      <w:r w:rsidR="00D3469C">
        <w:rPr>
          <w:noProof/>
        </w:rPr>
        <w:t xml:space="preserve"> Guiding Principles on Business and Human Rights and other relevant international guidelines such as the </w:t>
      </w:r>
      <w:r w:rsidR="00D3469C" w:rsidRPr="00C84988">
        <w:rPr>
          <w:noProof/>
        </w:rPr>
        <w:t>OECD Guidelines for Multinational Enterprises</w:t>
      </w:r>
      <w:r w:rsidR="00D3469C">
        <w:rPr>
          <w:noProof/>
        </w:rPr>
        <w:t>, including by advancing relevant due diligence standards.</w:t>
      </w:r>
    </w:p>
    <w:p w14:paraId="7F47832C" w14:textId="19C8B94E" w:rsidR="00ED3016" w:rsidRDefault="00822875" w:rsidP="00822875">
      <w:pPr>
        <w:pStyle w:val="ManualConsidrant"/>
        <w:rPr>
          <w:noProof/>
        </w:rPr>
      </w:pPr>
      <w:r w:rsidRPr="00822875">
        <w:t>(13)</w:t>
      </w:r>
      <w:r w:rsidRPr="00822875">
        <w:tab/>
      </w:r>
      <w:r w:rsidR="004F7F53">
        <w:rPr>
          <w:noProof/>
        </w:rPr>
        <w:t>The European Parliament, i</w:t>
      </w:r>
      <w:r w:rsidR="00ED3016">
        <w:rPr>
          <w:noProof/>
        </w:rPr>
        <w:t xml:space="preserve">n its </w:t>
      </w:r>
      <w:r w:rsidR="00ED3016" w:rsidRPr="0032112F">
        <w:rPr>
          <w:noProof/>
        </w:rPr>
        <w:t>resolution of 10</w:t>
      </w:r>
      <w:r w:rsidR="000C04E2">
        <w:rPr>
          <w:noProof/>
        </w:rPr>
        <w:t> </w:t>
      </w:r>
      <w:r w:rsidR="00ED3016" w:rsidRPr="0032112F">
        <w:rPr>
          <w:noProof/>
        </w:rPr>
        <w:t xml:space="preserve">March 2021 </w:t>
      </w:r>
      <w:r w:rsidR="00ED3016">
        <w:rPr>
          <w:noProof/>
        </w:rPr>
        <w:t>calls upon the Commission</w:t>
      </w:r>
      <w:r w:rsidR="00ED3016" w:rsidRPr="00AB56E4">
        <w:rPr>
          <w:noProof/>
        </w:rPr>
        <w:t xml:space="preserve"> </w:t>
      </w:r>
      <w:r w:rsidR="00ED3016" w:rsidRPr="00D2049E">
        <w:rPr>
          <w:noProof/>
        </w:rPr>
        <w:t>to propose U</w:t>
      </w:r>
      <w:r w:rsidR="004F7F53">
        <w:rPr>
          <w:noProof/>
        </w:rPr>
        <w:t>nion</w:t>
      </w:r>
      <w:r w:rsidR="00ED3016" w:rsidRPr="00D2049E">
        <w:rPr>
          <w:noProof/>
        </w:rPr>
        <w:t xml:space="preserve"> rules for a comprehensive corporate due diligence obligation</w:t>
      </w:r>
      <w:r w:rsidR="00ED3016" w:rsidRPr="00C84988">
        <w:rPr>
          <w:rStyle w:val="Allmrkuseviide"/>
          <w:noProof/>
        </w:rPr>
        <w:footnoteReference w:id="101"/>
      </w:r>
      <w:r w:rsidR="00ED3016">
        <w:rPr>
          <w:noProof/>
        </w:rPr>
        <w:t>. The Council Conclusions on Human Rights and Decent Work in Global Supply Chains of 1 December 2020 called upon the Commission to table a proposal for a U</w:t>
      </w:r>
      <w:r w:rsidR="004F7F53">
        <w:rPr>
          <w:noProof/>
        </w:rPr>
        <w:t>nion</w:t>
      </w:r>
      <w:r w:rsidR="00ED3016">
        <w:rPr>
          <w:noProof/>
        </w:rPr>
        <w:t xml:space="preserve"> legal framework on sustainable corporate governance, including cross-sector corporate due diligence obligations along global supply chains.</w:t>
      </w:r>
      <w:r w:rsidR="00ED3016" w:rsidRPr="00C84988">
        <w:rPr>
          <w:rStyle w:val="Allmrkuseviide"/>
          <w:noProof/>
        </w:rPr>
        <w:footnoteReference w:id="102"/>
      </w:r>
      <w:r w:rsidR="00ED3016" w:rsidRPr="009F2B3C">
        <w:rPr>
          <w:noProof/>
        </w:rPr>
        <w:t xml:space="preserve"> </w:t>
      </w:r>
      <w:r w:rsidR="00ED3016" w:rsidRPr="00ED3016">
        <w:rPr>
          <w:noProof/>
        </w:rPr>
        <w:t>The European Parliament also calls for clarifying directors</w:t>
      </w:r>
      <w:r w:rsidR="00DA2683">
        <w:rPr>
          <w:noProof/>
        </w:rPr>
        <w:t>`</w:t>
      </w:r>
      <w:r w:rsidR="00ED3016" w:rsidRPr="00ED3016">
        <w:rPr>
          <w:noProof/>
        </w:rPr>
        <w:t xml:space="preserve"> duties in its own initiative report adopted on 2 December 2020 on sustainable corporate governance.</w:t>
      </w:r>
      <w:r w:rsidR="00ED3016">
        <w:rPr>
          <w:noProof/>
        </w:rPr>
        <w:t xml:space="preserve"> </w:t>
      </w:r>
      <w:r w:rsidR="00ED3016" w:rsidRPr="002142DF">
        <w:rPr>
          <w:noProof/>
        </w:rPr>
        <w:t>In their Joint Declaration on EU Legislative Priorities for 2022</w:t>
      </w:r>
      <w:r w:rsidR="00ED3016" w:rsidRPr="00C84988">
        <w:rPr>
          <w:rStyle w:val="Allmrkuseviide"/>
          <w:noProof/>
        </w:rPr>
        <w:footnoteReference w:id="103"/>
      </w:r>
      <w:r w:rsidR="00ED3016" w:rsidRPr="002142DF">
        <w:rPr>
          <w:noProof/>
        </w:rPr>
        <w:t xml:space="preserve">, the European Parliament, the Council of the European Union and the Commission have committed, to deliver on an economy that works for people, </w:t>
      </w:r>
      <w:r w:rsidR="008C235E">
        <w:rPr>
          <w:noProof/>
        </w:rPr>
        <w:t xml:space="preserve">and </w:t>
      </w:r>
      <w:r w:rsidR="00ED3016" w:rsidRPr="002142DF">
        <w:rPr>
          <w:noProof/>
        </w:rPr>
        <w:t>to improve the regulatory framework on sustainable corporate governance</w:t>
      </w:r>
      <w:r w:rsidR="00ED3016">
        <w:rPr>
          <w:noProof/>
        </w:rPr>
        <w:t>.</w:t>
      </w:r>
    </w:p>
    <w:p w14:paraId="5EB8B72B" w14:textId="61B28C99" w:rsidR="003569D7" w:rsidRDefault="00822875" w:rsidP="00822875">
      <w:pPr>
        <w:pStyle w:val="ManualConsidrant"/>
        <w:rPr>
          <w:noProof/>
        </w:rPr>
      </w:pPr>
      <w:r w:rsidRPr="00822875">
        <w:t>(14)</w:t>
      </w:r>
      <w:r w:rsidRPr="00822875">
        <w:tab/>
      </w:r>
      <w:r w:rsidR="000A49FA">
        <w:rPr>
          <w:noProof/>
        </w:rPr>
        <w:tab/>
      </w:r>
      <w:r w:rsidR="00492305">
        <w:rPr>
          <w:noProof/>
        </w:rPr>
        <w:t xml:space="preserve">This Directive aims to ensure that companies active in the </w:t>
      </w:r>
      <w:r w:rsidR="004F7F53">
        <w:rPr>
          <w:noProof/>
        </w:rPr>
        <w:t>internal</w:t>
      </w:r>
      <w:r w:rsidR="00492305">
        <w:rPr>
          <w:noProof/>
        </w:rPr>
        <w:t xml:space="preserve"> market </w:t>
      </w:r>
      <w:r w:rsidR="00ED3016">
        <w:rPr>
          <w:noProof/>
        </w:rPr>
        <w:t>contribute</w:t>
      </w:r>
      <w:r w:rsidR="00ED3016" w:rsidRPr="00926509">
        <w:rPr>
          <w:noProof/>
        </w:rPr>
        <w:t xml:space="preserve"> to sustainable development </w:t>
      </w:r>
      <w:r w:rsidR="00282295">
        <w:rPr>
          <w:noProof/>
        </w:rPr>
        <w:t xml:space="preserve">and the sustainability transition of economies and societies </w:t>
      </w:r>
      <w:r w:rsidR="00ED3016" w:rsidRPr="00926509">
        <w:rPr>
          <w:noProof/>
        </w:rPr>
        <w:t xml:space="preserve">through the </w:t>
      </w:r>
      <w:r w:rsidR="008C235E">
        <w:rPr>
          <w:noProof/>
        </w:rPr>
        <w:t>ident</w:t>
      </w:r>
      <w:r w:rsidR="00B13248">
        <w:rPr>
          <w:noProof/>
        </w:rPr>
        <w:t>ification,</w:t>
      </w:r>
      <w:r w:rsidR="008C235E">
        <w:rPr>
          <w:noProof/>
        </w:rPr>
        <w:t xml:space="preserve"> </w:t>
      </w:r>
      <w:r w:rsidR="00ED3016" w:rsidRPr="00926509">
        <w:rPr>
          <w:noProof/>
        </w:rPr>
        <w:t>prevention</w:t>
      </w:r>
      <w:r w:rsidR="00B13248">
        <w:rPr>
          <w:noProof/>
        </w:rPr>
        <w:t xml:space="preserve"> and </w:t>
      </w:r>
      <w:r w:rsidR="00244CB5">
        <w:rPr>
          <w:noProof/>
        </w:rPr>
        <w:t>mitigation</w:t>
      </w:r>
      <w:r w:rsidR="008C235E">
        <w:rPr>
          <w:noProof/>
        </w:rPr>
        <w:t xml:space="preserve">, bringing to an end </w:t>
      </w:r>
      <w:r w:rsidR="00B13248">
        <w:rPr>
          <w:noProof/>
        </w:rPr>
        <w:t>and</w:t>
      </w:r>
      <w:r w:rsidR="008C235E">
        <w:rPr>
          <w:noProof/>
        </w:rPr>
        <w:t xml:space="preserve"> </w:t>
      </w:r>
      <w:r w:rsidR="00244CB5">
        <w:rPr>
          <w:noProof/>
        </w:rPr>
        <w:t>minimisation</w:t>
      </w:r>
      <w:r w:rsidR="00244CB5" w:rsidRPr="00926509">
        <w:rPr>
          <w:noProof/>
        </w:rPr>
        <w:t xml:space="preserve"> </w:t>
      </w:r>
      <w:r w:rsidR="00ED3016" w:rsidRPr="00926509">
        <w:rPr>
          <w:noProof/>
        </w:rPr>
        <w:t xml:space="preserve">of </w:t>
      </w:r>
      <w:r w:rsidR="00ED3016" w:rsidRPr="00980826">
        <w:rPr>
          <w:noProof/>
        </w:rPr>
        <w:t>potential</w:t>
      </w:r>
      <w:r w:rsidR="00ED3016" w:rsidRPr="00926509">
        <w:rPr>
          <w:noProof/>
        </w:rPr>
        <w:t xml:space="preserve"> or actual adverse human rights and environmental impacts connected with companies’ </w:t>
      </w:r>
      <w:r w:rsidR="008C235E" w:rsidRPr="008C235E">
        <w:rPr>
          <w:noProof/>
        </w:rPr>
        <w:t>own operations</w:t>
      </w:r>
      <w:r w:rsidR="00244CB5">
        <w:rPr>
          <w:noProof/>
        </w:rPr>
        <w:t>, subsidiaries</w:t>
      </w:r>
      <w:r w:rsidR="0033542B">
        <w:rPr>
          <w:noProof/>
        </w:rPr>
        <w:t xml:space="preserve"> and value chains</w:t>
      </w:r>
      <w:r w:rsidR="003569D7">
        <w:rPr>
          <w:noProof/>
        </w:rPr>
        <w:t>.</w:t>
      </w:r>
    </w:p>
    <w:p w14:paraId="6F57CB1A" w14:textId="3F19F400" w:rsidR="000A49FA" w:rsidRDefault="00822875" w:rsidP="00822875">
      <w:pPr>
        <w:pStyle w:val="ManualConsidrant"/>
        <w:rPr>
          <w:noProof/>
        </w:rPr>
      </w:pPr>
      <w:r w:rsidRPr="00822875">
        <w:t>(15)</w:t>
      </w:r>
      <w:r w:rsidRPr="00822875">
        <w:tab/>
      </w:r>
      <w:r w:rsidR="003569D7">
        <w:rPr>
          <w:noProof/>
        </w:rPr>
        <w:t>C</w:t>
      </w:r>
      <w:r w:rsidR="00ED3016">
        <w:rPr>
          <w:noProof/>
        </w:rPr>
        <w:t>ompanies should take appropriate steps to set up and carry out</w:t>
      </w:r>
      <w:r w:rsidR="00ED3016" w:rsidDel="00A90DF2">
        <w:rPr>
          <w:noProof/>
        </w:rPr>
        <w:t xml:space="preserve"> </w:t>
      </w:r>
      <w:r w:rsidR="00ED3016" w:rsidRPr="00622FB6">
        <w:rPr>
          <w:noProof/>
        </w:rPr>
        <w:t>due diligence</w:t>
      </w:r>
      <w:r w:rsidR="00ED3016">
        <w:rPr>
          <w:noProof/>
        </w:rPr>
        <w:t xml:space="preserve"> measures</w:t>
      </w:r>
      <w:r w:rsidR="00ED3016" w:rsidRPr="00622FB6">
        <w:rPr>
          <w:noProof/>
        </w:rPr>
        <w:t xml:space="preserve">, with respect to their own operations, their subsidiaries, as well as their </w:t>
      </w:r>
      <w:r w:rsidR="00ED3016">
        <w:rPr>
          <w:noProof/>
        </w:rPr>
        <w:t>established</w:t>
      </w:r>
      <w:r w:rsidR="00ED3016" w:rsidRPr="00622FB6">
        <w:rPr>
          <w:noProof/>
        </w:rPr>
        <w:t xml:space="preserve"> direct and indirect</w:t>
      </w:r>
      <w:r w:rsidR="00ED3016">
        <w:rPr>
          <w:noProof/>
        </w:rPr>
        <w:t xml:space="preserve"> </w:t>
      </w:r>
      <w:r w:rsidR="00ED3016" w:rsidRPr="00622FB6">
        <w:rPr>
          <w:noProof/>
        </w:rPr>
        <w:t>business relationships throughout their value chains</w:t>
      </w:r>
      <w:r w:rsidR="00ED3016">
        <w:rPr>
          <w:noProof/>
        </w:rPr>
        <w:t xml:space="preserve"> in accordance with the provisions of this Directive</w:t>
      </w:r>
      <w:r w:rsidR="00ED3016" w:rsidRPr="00622FB6">
        <w:rPr>
          <w:noProof/>
        </w:rPr>
        <w:t>.</w:t>
      </w:r>
      <w:r w:rsidR="00ED3016" w:rsidRPr="1B48171A">
        <w:rPr>
          <w:noProof/>
        </w:rPr>
        <w:t xml:space="preserve"> </w:t>
      </w:r>
      <w:r w:rsidR="000A49FA">
        <w:rPr>
          <w:noProof/>
        </w:rPr>
        <w:t>T</w:t>
      </w:r>
      <w:r w:rsidR="00F57B83">
        <w:rPr>
          <w:noProof/>
        </w:rPr>
        <w:t xml:space="preserve">his </w:t>
      </w:r>
      <w:r w:rsidR="004556A5">
        <w:rPr>
          <w:noProof/>
        </w:rPr>
        <w:t>Directive</w:t>
      </w:r>
      <w:r w:rsidR="003569D7">
        <w:rPr>
          <w:noProof/>
        </w:rPr>
        <w:t xml:space="preserve"> </w:t>
      </w:r>
      <w:r w:rsidR="0033542B">
        <w:rPr>
          <w:noProof/>
        </w:rPr>
        <w:t xml:space="preserve">should </w:t>
      </w:r>
      <w:r w:rsidR="000A49FA">
        <w:rPr>
          <w:noProof/>
        </w:rPr>
        <w:t xml:space="preserve">not </w:t>
      </w:r>
      <w:r w:rsidR="009F2B3C">
        <w:rPr>
          <w:noProof/>
        </w:rPr>
        <w:t>require companies to guarantee</w:t>
      </w:r>
      <w:r w:rsidR="0033542B">
        <w:rPr>
          <w:noProof/>
        </w:rPr>
        <w:t xml:space="preserve">, in all circumstances, that </w:t>
      </w:r>
      <w:r w:rsidR="000A49FA">
        <w:rPr>
          <w:noProof/>
        </w:rPr>
        <w:t>adverse impacts</w:t>
      </w:r>
      <w:r w:rsidR="0033542B" w:rsidRPr="0033542B">
        <w:rPr>
          <w:noProof/>
        </w:rPr>
        <w:t xml:space="preserve"> will never occur or that they will be stopped</w:t>
      </w:r>
      <w:r w:rsidR="00054036">
        <w:rPr>
          <w:noProof/>
        </w:rPr>
        <w:t xml:space="preserve">. </w:t>
      </w:r>
      <w:r w:rsidR="00C53730">
        <w:rPr>
          <w:noProof/>
        </w:rPr>
        <w:t>For example</w:t>
      </w:r>
      <w:r w:rsidR="000A49FA">
        <w:rPr>
          <w:noProof/>
        </w:rPr>
        <w:t xml:space="preserve"> with respect to business relationships where the adverse impact results from State intervention</w:t>
      </w:r>
      <w:r w:rsidR="00775403">
        <w:rPr>
          <w:noProof/>
        </w:rPr>
        <w:t>,</w:t>
      </w:r>
      <w:r w:rsidR="000A49FA">
        <w:rPr>
          <w:noProof/>
        </w:rPr>
        <w:t xml:space="preserve"> the company </w:t>
      </w:r>
      <w:r w:rsidR="00CB5264">
        <w:rPr>
          <w:noProof/>
        </w:rPr>
        <w:t>might not be in a position</w:t>
      </w:r>
      <w:r w:rsidR="000A49FA">
        <w:rPr>
          <w:noProof/>
        </w:rPr>
        <w:t xml:space="preserve"> to arrive </w:t>
      </w:r>
      <w:r w:rsidR="00775403">
        <w:rPr>
          <w:noProof/>
        </w:rPr>
        <w:t>at</w:t>
      </w:r>
      <w:r w:rsidR="000A49FA">
        <w:rPr>
          <w:noProof/>
        </w:rPr>
        <w:t xml:space="preserve"> such results.</w:t>
      </w:r>
      <w:r w:rsidR="00CB5264">
        <w:rPr>
          <w:noProof/>
        </w:rPr>
        <w:t xml:space="preserve"> </w:t>
      </w:r>
      <w:r w:rsidR="00CB5264" w:rsidRPr="0033542B">
        <w:rPr>
          <w:noProof/>
        </w:rPr>
        <w:t>Therefore, the main obligations in this Directive should be ‘obligations of means’.</w:t>
      </w:r>
      <w:r w:rsidR="000A49FA">
        <w:rPr>
          <w:noProof/>
        </w:rPr>
        <w:t xml:space="preserve"> </w:t>
      </w:r>
      <w:r w:rsidR="000A49FA" w:rsidRPr="003569D7">
        <w:rPr>
          <w:noProof/>
        </w:rPr>
        <w:t>Th</w:t>
      </w:r>
      <w:r w:rsidR="009F2B3C" w:rsidRPr="003569D7">
        <w:rPr>
          <w:noProof/>
        </w:rPr>
        <w:t>e company should take</w:t>
      </w:r>
      <w:r w:rsidR="000A49FA" w:rsidRPr="003569D7">
        <w:rPr>
          <w:noProof/>
        </w:rPr>
        <w:t xml:space="preserve"> </w:t>
      </w:r>
      <w:r w:rsidR="00075E07">
        <w:rPr>
          <w:noProof/>
        </w:rPr>
        <w:t>the</w:t>
      </w:r>
      <w:r w:rsidR="00775403">
        <w:rPr>
          <w:noProof/>
        </w:rPr>
        <w:t xml:space="preserve"> </w:t>
      </w:r>
      <w:r w:rsidR="000A49FA" w:rsidRPr="003569D7">
        <w:rPr>
          <w:noProof/>
        </w:rPr>
        <w:t xml:space="preserve">appropriate measures which can reasonably be expected to result in prevention or </w:t>
      </w:r>
      <w:r w:rsidR="00545B90" w:rsidRPr="003569D7">
        <w:rPr>
          <w:noProof/>
        </w:rPr>
        <w:t>mi</w:t>
      </w:r>
      <w:r w:rsidR="00545B90">
        <w:rPr>
          <w:noProof/>
        </w:rPr>
        <w:t>nimisatio</w:t>
      </w:r>
      <w:r w:rsidR="00545B90" w:rsidRPr="003569D7">
        <w:rPr>
          <w:noProof/>
        </w:rPr>
        <w:t xml:space="preserve">n </w:t>
      </w:r>
      <w:r w:rsidR="000A49FA" w:rsidRPr="003569D7">
        <w:rPr>
          <w:noProof/>
        </w:rPr>
        <w:t>of the adverse impact under the circumstances of the specific case</w:t>
      </w:r>
      <w:r w:rsidR="00C80826">
        <w:rPr>
          <w:noProof/>
        </w:rPr>
        <w:t>. Account should be taken of</w:t>
      </w:r>
      <w:r w:rsidR="00DF259A" w:rsidRPr="003569D7">
        <w:rPr>
          <w:noProof/>
        </w:rPr>
        <w:t xml:space="preserve"> the specificities of </w:t>
      </w:r>
      <w:r w:rsidR="00C80826">
        <w:rPr>
          <w:noProof/>
        </w:rPr>
        <w:t>the company’s</w:t>
      </w:r>
      <w:r w:rsidR="00C80826" w:rsidRPr="003569D7">
        <w:rPr>
          <w:noProof/>
        </w:rPr>
        <w:t xml:space="preserve"> </w:t>
      </w:r>
      <w:r w:rsidR="00DF259A" w:rsidRPr="003569D7">
        <w:rPr>
          <w:noProof/>
        </w:rPr>
        <w:t>value chain</w:t>
      </w:r>
      <w:r w:rsidR="009D70D8">
        <w:rPr>
          <w:noProof/>
        </w:rPr>
        <w:t xml:space="preserve">, sector or geographical area in which </w:t>
      </w:r>
      <w:r w:rsidR="00C80826">
        <w:rPr>
          <w:noProof/>
        </w:rPr>
        <w:t xml:space="preserve">its value chain partners </w:t>
      </w:r>
      <w:r w:rsidR="009D70D8">
        <w:rPr>
          <w:noProof/>
        </w:rPr>
        <w:t xml:space="preserve">operate, </w:t>
      </w:r>
      <w:r w:rsidR="00C80826">
        <w:rPr>
          <w:noProof/>
        </w:rPr>
        <w:t>the company’s</w:t>
      </w:r>
      <w:r w:rsidR="00C80826" w:rsidRPr="003569D7">
        <w:rPr>
          <w:noProof/>
        </w:rPr>
        <w:t xml:space="preserve"> </w:t>
      </w:r>
      <w:r w:rsidR="00F57B83" w:rsidRPr="003569D7">
        <w:rPr>
          <w:noProof/>
        </w:rPr>
        <w:t xml:space="preserve">power to influence its </w:t>
      </w:r>
      <w:r w:rsidR="00C80826" w:rsidRPr="003569D7">
        <w:rPr>
          <w:noProof/>
        </w:rPr>
        <w:t xml:space="preserve">direct and indirect </w:t>
      </w:r>
      <w:r w:rsidR="00F57B83" w:rsidRPr="003569D7">
        <w:rPr>
          <w:noProof/>
        </w:rPr>
        <w:t>business relationships</w:t>
      </w:r>
      <w:r w:rsidR="00C53730" w:rsidRPr="003569D7">
        <w:rPr>
          <w:noProof/>
        </w:rPr>
        <w:t>,</w:t>
      </w:r>
      <w:r w:rsidR="00054036" w:rsidRPr="003569D7">
        <w:rPr>
          <w:noProof/>
        </w:rPr>
        <w:t xml:space="preserve"> </w:t>
      </w:r>
      <w:r w:rsidR="00775403">
        <w:rPr>
          <w:noProof/>
        </w:rPr>
        <w:t xml:space="preserve">and </w:t>
      </w:r>
      <w:r w:rsidR="00054036" w:rsidRPr="003569D7">
        <w:rPr>
          <w:noProof/>
        </w:rPr>
        <w:t xml:space="preserve">whether the company could increase </w:t>
      </w:r>
      <w:r w:rsidR="00C80826">
        <w:rPr>
          <w:noProof/>
        </w:rPr>
        <w:t>its</w:t>
      </w:r>
      <w:r w:rsidR="00C80826" w:rsidRPr="003569D7">
        <w:rPr>
          <w:noProof/>
        </w:rPr>
        <w:t xml:space="preserve"> </w:t>
      </w:r>
      <w:r w:rsidR="00054036" w:rsidRPr="003569D7">
        <w:rPr>
          <w:noProof/>
        </w:rPr>
        <w:t>power</w:t>
      </w:r>
      <w:r w:rsidR="00C80826">
        <w:rPr>
          <w:noProof/>
        </w:rPr>
        <w:t xml:space="preserve"> of influence</w:t>
      </w:r>
      <w:r w:rsidR="000A49FA" w:rsidRPr="003569D7">
        <w:rPr>
          <w:noProof/>
        </w:rPr>
        <w:t>.</w:t>
      </w:r>
      <w:r w:rsidR="000A49FA">
        <w:rPr>
          <w:noProof/>
        </w:rPr>
        <w:t xml:space="preserve"> </w:t>
      </w:r>
    </w:p>
    <w:p w14:paraId="1617A686" w14:textId="214A6BE5" w:rsidR="00ED3016" w:rsidRDefault="00822875" w:rsidP="00822875">
      <w:pPr>
        <w:pStyle w:val="ManualConsidrant"/>
        <w:rPr>
          <w:noProof/>
        </w:rPr>
      </w:pPr>
      <w:r w:rsidRPr="00822875">
        <w:t>(16)</w:t>
      </w:r>
      <w:r w:rsidRPr="00822875">
        <w:tab/>
      </w:r>
      <w:r w:rsidR="00ED3016" w:rsidRPr="00273FA7">
        <w:rPr>
          <w:noProof/>
        </w:rPr>
        <w:t xml:space="preserve">The due diligence process </w:t>
      </w:r>
      <w:r w:rsidR="00F260CA">
        <w:rPr>
          <w:noProof/>
        </w:rPr>
        <w:t>set out in this Directive</w:t>
      </w:r>
      <w:r w:rsidR="00ED3016" w:rsidRPr="00273FA7">
        <w:rPr>
          <w:noProof/>
        </w:rPr>
        <w:t xml:space="preserve"> </w:t>
      </w:r>
      <w:r w:rsidR="00ED3016" w:rsidRPr="00764CC4">
        <w:rPr>
          <w:noProof/>
        </w:rPr>
        <w:t>should</w:t>
      </w:r>
      <w:r w:rsidR="00ED3016" w:rsidRPr="00273FA7">
        <w:rPr>
          <w:noProof/>
        </w:rPr>
        <w:t xml:space="preserve"> </w:t>
      </w:r>
      <w:r w:rsidR="0058764D">
        <w:rPr>
          <w:noProof/>
        </w:rPr>
        <w:t>cover</w:t>
      </w:r>
      <w:r w:rsidR="0058764D" w:rsidRPr="00273FA7">
        <w:rPr>
          <w:noProof/>
        </w:rPr>
        <w:t xml:space="preserve"> </w:t>
      </w:r>
      <w:r w:rsidR="00ED3016" w:rsidRPr="00273FA7">
        <w:rPr>
          <w:noProof/>
        </w:rPr>
        <w:t xml:space="preserve">the </w:t>
      </w:r>
      <w:r w:rsidR="006241DE">
        <w:rPr>
          <w:noProof/>
        </w:rPr>
        <w:t>six</w:t>
      </w:r>
      <w:r w:rsidR="006241DE" w:rsidRPr="00273FA7">
        <w:rPr>
          <w:noProof/>
        </w:rPr>
        <w:t xml:space="preserve"> </w:t>
      </w:r>
      <w:r w:rsidR="00ED3016" w:rsidRPr="00273FA7">
        <w:rPr>
          <w:noProof/>
        </w:rPr>
        <w:t xml:space="preserve">steps defined by the </w:t>
      </w:r>
      <w:r w:rsidR="006241DE">
        <w:rPr>
          <w:noProof/>
        </w:rPr>
        <w:t xml:space="preserve">OECD Due Diligence Guidance for Responsible Business Conduct, which </w:t>
      </w:r>
      <w:r w:rsidR="0058764D">
        <w:rPr>
          <w:noProof/>
        </w:rPr>
        <w:t>include</w:t>
      </w:r>
      <w:r w:rsidR="006241DE">
        <w:rPr>
          <w:noProof/>
        </w:rPr>
        <w:t xml:space="preserve"> due diligence measures for companies to identify and address adverse human rights </w:t>
      </w:r>
      <w:r w:rsidR="00545B90">
        <w:rPr>
          <w:noProof/>
        </w:rPr>
        <w:t xml:space="preserve">and environmental </w:t>
      </w:r>
      <w:r w:rsidR="006241DE">
        <w:rPr>
          <w:noProof/>
        </w:rPr>
        <w:t>impacts. This encompasses the following steps</w:t>
      </w:r>
      <w:r w:rsidR="004953F8">
        <w:rPr>
          <w:noProof/>
        </w:rPr>
        <w:t>:</w:t>
      </w:r>
      <w:r w:rsidR="006241DE">
        <w:rPr>
          <w:noProof/>
        </w:rPr>
        <w:t xml:space="preserve"> </w:t>
      </w:r>
      <w:r w:rsidR="00F620A4">
        <w:rPr>
          <w:noProof/>
        </w:rPr>
        <w:t>(</w:t>
      </w:r>
      <w:r w:rsidR="006241DE">
        <w:rPr>
          <w:noProof/>
        </w:rPr>
        <w:t xml:space="preserve">1) </w:t>
      </w:r>
      <w:r w:rsidR="00545B90">
        <w:rPr>
          <w:noProof/>
        </w:rPr>
        <w:t xml:space="preserve">integrating </w:t>
      </w:r>
      <w:r w:rsidR="006241DE">
        <w:rPr>
          <w:noProof/>
        </w:rPr>
        <w:t xml:space="preserve">due diligence into policies and management systems, </w:t>
      </w:r>
      <w:r w:rsidR="00F620A4">
        <w:rPr>
          <w:noProof/>
        </w:rPr>
        <w:t>(</w:t>
      </w:r>
      <w:r w:rsidR="006241DE">
        <w:rPr>
          <w:noProof/>
        </w:rPr>
        <w:t xml:space="preserve">2) </w:t>
      </w:r>
      <w:r w:rsidR="00ED3016" w:rsidRPr="00273FA7">
        <w:rPr>
          <w:noProof/>
        </w:rPr>
        <w:t>identifying</w:t>
      </w:r>
      <w:r w:rsidR="006241DE" w:rsidRPr="006241DE">
        <w:rPr>
          <w:noProof/>
        </w:rPr>
        <w:t xml:space="preserve"> </w:t>
      </w:r>
      <w:r w:rsidR="006241DE">
        <w:rPr>
          <w:noProof/>
        </w:rPr>
        <w:t xml:space="preserve">and assessing adverse </w:t>
      </w:r>
      <w:r w:rsidR="00545B90">
        <w:rPr>
          <w:noProof/>
        </w:rPr>
        <w:t xml:space="preserve">human rights </w:t>
      </w:r>
      <w:r w:rsidR="006241DE">
        <w:rPr>
          <w:noProof/>
        </w:rPr>
        <w:t xml:space="preserve"> and</w:t>
      </w:r>
      <w:r w:rsidR="00545B90">
        <w:rPr>
          <w:noProof/>
        </w:rPr>
        <w:t xml:space="preserve"> environmental</w:t>
      </w:r>
      <w:r w:rsidR="006241DE">
        <w:rPr>
          <w:noProof/>
        </w:rPr>
        <w:t xml:space="preserve"> impacts, </w:t>
      </w:r>
      <w:r w:rsidR="00F620A4">
        <w:rPr>
          <w:noProof/>
        </w:rPr>
        <w:t>(</w:t>
      </w:r>
      <w:r w:rsidR="006241DE">
        <w:rPr>
          <w:noProof/>
        </w:rPr>
        <w:t>3)</w:t>
      </w:r>
      <w:r w:rsidR="00ED3016" w:rsidRPr="00273FA7">
        <w:rPr>
          <w:noProof/>
        </w:rPr>
        <w:t xml:space="preserve"> preventing, ceasing</w:t>
      </w:r>
      <w:r w:rsidR="00545B90">
        <w:rPr>
          <w:noProof/>
        </w:rPr>
        <w:t xml:space="preserve"> </w:t>
      </w:r>
      <w:r w:rsidR="00ED3016" w:rsidRPr="00273FA7">
        <w:rPr>
          <w:noProof/>
        </w:rPr>
        <w:t>or minimising actual and potential adverse human rights</w:t>
      </w:r>
      <w:r w:rsidR="00C75A72">
        <w:rPr>
          <w:noProof/>
        </w:rPr>
        <w:t xml:space="preserve">, </w:t>
      </w:r>
      <w:r w:rsidR="00ED3016" w:rsidRPr="00273FA7">
        <w:rPr>
          <w:noProof/>
        </w:rPr>
        <w:t xml:space="preserve">and environmental impacts, </w:t>
      </w:r>
      <w:r w:rsidR="00F620A4">
        <w:rPr>
          <w:noProof/>
        </w:rPr>
        <w:t>(</w:t>
      </w:r>
      <w:r w:rsidR="006241DE">
        <w:rPr>
          <w:noProof/>
        </w:rPr>
        <w:t xml:space="preserve">4) </w:t>
      </w:r>
      <w:r w:rsidR="00DB05A7">
        <w:rPr>
          <w:noProof/>
        </w:rPr>
        <w:t xml:space="preserve">assessing the effectiveness </w:t>
      </w:r>
      <w:r w:rsidR="00F73818">
        <w:rPr>
          <w:noProof/>
        </w:rPr>
        <w:t>of measures</w:t>
      </w:r>
      <w:r w:rsidR="00F620A4">
        <w:rPr>
          <w:noProof/>
        </w:rPr>
        <w:t>,</w:t>
      </w:r>
      <w:r w:rsidR="006241DE">
        <w:rPr>
          <w:noProof/>
        </w:rPr>
        <w:t xml:space="preserve"> </w:t>
      </w:r>
      <w:r w:rsidR="00F620A4">
        <w:rPr>
          <w:noProof/>
        </w:rPr>
        <w:t>(</w:t>
      </w:r>
      <w:r w:rsidR="006241DE">
        <w:rPr>
          <w:noProof/>
        </w:rPr>
        <w:t>5) communicating</w:t>
      </w:r>
      <w:r w:rsidR="00F620A4">
        <w:rPr>
          <w:noProof/>
        </w:rPr>
        <w:t>, (</w:t>
      </w:r>
      <w:r w:rsidR="006241DE">
        <w:rPr>
          <w:noProof/>
        </w:rPr>
        <w:t>6) providing remediation.</w:t>
      </w:r>
    </w:p>
    <w:p w14:paraId="245C22BF" w14:textId="1F01C0B4" w:rsidR="00ED3016" w:rsidRDefault="00822875" w:rsidP="00822875">
      <w:pPr>
        <w:pStyle w:val="ManualConsidrant"/>
        <w:rPr>
          <w:noProof/>
        </w:rPr>
      </w:pPr>
      <w:r w:rsidRPr="00822875">
        <w:t>(17)</w:t>
      </w:r>
      <w:r w:rsidRPr="00822875">
        <w:tab/>
      </w:r>
      <w:r w:rsidR="00ED3016">
        <w:rPr>
          <w:noProof/>
        </w:rPr>
        <w:t xml:space="preserve">Adverse human rights and environmental impact occur in companies’ own operations, </w:t>
      </w:r>
      <w:r w:rsidR="006F4BF8">
        <w:rPr>
          <w:noProof/>
        </w:rPr>
        <w:t xml:space="preserve">subsidiaries, </w:t>
      </w:r>
      <w:r w:rsidR="00ED3016">
        <w:rPr>
          <w:noProof/>
        </w:rPr>
        <w:t>products, and in the</w:t>
      </w:r>
      <w:r w:rsidR="00EA1A35">
        <w:rPr>
          <w:noProof/>
        </w:rPr>
        <w:t>ir</w:t>
      </w:r>
      <w:r w:rsidR="00ED3016">
        <w:rPr>
          <w:noProof/>
        </w:rPr>
        <w:t xml:space="preserve"> value chain</w:t>
      </w:r>
      <w:r w:rsidR="00587695">
        <w:rPr>
          <w:noProof/>
        </w:rPr>
        <w:t>s</w:t>
      </w:r>
      <w:r w:rsidR="00ED3016">
        <w:rPr>
          <w:noProof/>
        </w:rPr>
        <w:t>, in particular at the level of raw material sourcing, manufacturing</w:t>
      </w:r>
      <w:r w:rsidR="006F4BF8">
        <w:rPr>
          <w:noProof/>
        </w:rPr>
        <w:t>,</w:t>
      </w:r>
      <w:r w:rsidR="00ED3016">
        <w:rPr>
          <w:noProof/>
        </w:rPr>
        <w:t xml:space="preserve"> or at the level of product or waste disposal. In order for </w:t>
      </w:r>
      <w:r w:rsidR="006F4BF8">
        <w:rPr>
          <w:noProof/>
        </w:rPr>
        <w:t xml:space="preserve">the </w:t>
      </w:r>
      <w:r w:rsidR="00ED3016">
        <w:rPr>
          <w:noProof/>
        </w:rPr>
        <w:t xml:space="preserve">due diligence to have </w:t>
      </w:r>
      <w:r w:rsidR="006F4BF8">
        <w:rPr>
          <w:noProof/>
        </w:rPr>
        <w:t xml:space="preserve">a </w:t>
      </w:r>
      <w:r w:rsidR="00ED3016">
        <w:rPr>
          <w:noProof/>
        </w:rPr>
        <w:t xml:space="preserve">meaningful impact, it should cover </w:t>
      </w:r>
      <w:r w:rsidR="00DB05A7">
        <w:rPr>
          <w:noProof/>
        </w:rPr>
        <w:t xml:space="preserve">human rights and environmental </w:t>
      </w:r>
      <w:r w:rsidR="006F4BF8">
        <w:rPr>
          <w:noProof/>
        </w:rPr>
        <w:t xml:space="preserve">adverse impacts </w:t>
      </w:r>
      <w:r w:rsidR="00ED3016" w:rsidRPr="00634C62">
        <w:rPr>
          <w:noProof/>
        </w:rPr>
        <w:t xml:space="preserve">generated throughout the life-cycle of production </w:t>
      </w:r>
      <w:r w:rsidR="008273E1">
        <w:rPr>
          <w:noProof/>
        </w:rPr>
        <w:t xml:space="preserve">and use </w:t>
      </w:r>
      <w:r w:rsidR="00642382">
        <w:rPr>
          <w:noProof/>
        </w:rPr>
        <w:t xml:space="preserve">and disposal </w:t>
      </w:r>
      <w:r w:rsidR="008273E1">
        <w:rPr>
          <w:noProof/>
        </w:rPr>
        <w:t xml:space="preserve">of product </w:t>
      </w:r>
      <w:r w:rsidR="00ED3016" w:rsidRPr="00634C62">
        <w:rPr>
          <w:noProof/>
        </w:rPr>
        <w:t>or provision of servic</w:t>
      </w:r>
      <w:r w:rsidR="00ED3016">
        <w:rPr>
          <w:noProof/>
        </w:rPr>
        <w:t xml:space="preserve">es, at the level of own operations, subsidiaries and </w:t>
      </w:r>
      <w:r w:rsidR="00587695">
        <w:rPr>
          <w:noProof/>
        </w:rPr>
        <w:t>in value chains</w:t>
      </w:r>
      <w:r w:rsidR="00ED3016">
        <w:rPr>
          <w:noProof/>
        </w:rPr>
        <w:t xml:space="preserve">. </w:t>
      </w:r>
    </w:p>
    <w:p w14:paraId="7DADB879" w14:textId="1FC3362B" w:rsidR="00EA1A35" w:rsidRDefault="00822875" w:rsidP="00822875">
      <w:pPr>
        <w:pStyle w:val="ManualConsidrant"/>
        <w:rPr>
          <w:noProof/>
        </w:rPr>
      </w:pPr>
      <w:r w:rsidRPr="00822875">
        <w:t>(18)</w:t>
      </w:r>
      <w:r w:rsidRPr="00822875">
        <w:tab/>
      </w:r>
      <w:r w:rsidR="00ED3016">
        <w:rPr>
          <w:noProof/>
        </w:rPr>
        <w:tab/>
        <w:t>The value chain should cover</w:t>
      </w:r>
      <w:r w:rsidR="00587695">
        <w:rPr>
          <w:noProof/>
        </w:rPr>
        <w:t xml:space="preserve"> </w:t>
      </w:r>
      <w:r w:rsidR="004B3CA8" w:rsidRPr="004B3CA8">
        <w:rPr>
          <w:noProof/>
        </w:rPr>
        <w:t>activities related to the production of a good or provision of services by a company, including the development of the product or the service and the use and disposal of the product as well as the related activities of established business relationships of the company.</w:t>
      </w:r>
      <w:r w:rsidR="00587695">
        <w:rPr>
          <w:noProof/>
        </w:rPr>
        <w:t xml:space="preserve"> It should encompass</w:t>
      </w:r>
      <w:r w:rsidR="00ED3016">
        <w:rPr>
          <w:noProof/>
        </w:rPr>
        <w:t xml:space="preserve"> up</w:t>
      </w:r>
      <w:r w:rsidR="00ED3016" w:rsidRPr="00F8340F">
        <w:rPr>
          <w:noProof/>
        </w:rPr>
        <w:t>stream established direct and indirect business relationships</w:t>
      </w:r>
      <w:r w:rsidR="00ED3016">
        <w:rPr>
          <w:noProof/>
        </w:rPr>
        <w:t xml:space="preserve"> </w:t>
      </w:r>
      <w:r w:rsidR="00ED3016" w:rsidRPr="005F0117">
        <w:rPr>
          <w:noProof/>
        </w:rPr>
        <w:t>that</w:t>
      </w:r>
      <w:r w:rsidR="00ED3016">
        <w:rPr>
          <w:noProof/>
        </w:rPr>
        <w:t xml:space="preserve"> design,</w:t>
      </w:r>
      <w:r w:rsidR="00ED3016" w:rsidRPr="005F0117">
        <w:rPr>
          <w:noProof/>
        </w:rPr>
        <w:t xml:space="preserve"> </w:t>
      </w:r>
      <w:r w:rsidR="00ED3016">
        <w:rPr>
          <w:noProof/>
        </w:rPr>
        <w:t>extract, manufacture, transport</w:t>
      </w:r>
      <w:r w:rsidR="003C69A3">
        <w:rPr>
          <w:noProof/>
        </w:rPr>
        <w:t>, store</w:t>
      </w:r>
      <w:r w:rsidR="00ED3016">
        <w:rPr>
          <w:noProof/>
        </w:rPr>
        <w:t xml:space="preserve"> and </w:t>
      </w:r>
      <w:r w:rsidR="00ED3016" w:rsidRPr="005F0117">
        <w:rPr>
          <w:noProof/>
        </w:rPr>
        <w:t xml:space="preserve">supply </w:t>
      </w:r>
      <w:r w:rsidR="003C69A3">
        <w:rPr>
          <w:noProof/>
        </w:rPr>
        <w:t xml:space="preserve">raw material, </w:t>
      </w:r>
      <w:r w:rsidR="00ED3016" w:rsidRPr="005F0117">
        <w:rPr>
          <w:noProof/>
        </w:rPr>
        <w:t>products, parts of products</w:t>
      </w:r>
      <w:r w:rsidR="00AD2464">
        <w:rPr>
          <w:noProof/>
        </w:rPr>
        <w:t>,</w:t>
      </w:r>
      <w:r w:rsidR="00ED3016" w:rsidRPr="005F0117">
        <w:rPr>
          <w:noProof/>
        </w:rPr>
        <w:t xml:space="preserve"> or </w:t>
      </w:r>
      <w:r w:rsidR="00AD2464">
        <w:rPr>
          <w:noProof/>
        </w:rPr>
        <w:t xml:space="preserve">provide </w:t>
      </w:r>
      <w:r w:rsidR="00ED3016" w:rsidRPr="005F0117">
        <w:rPr>
          <w:noProof/>
        </w:rPr>
        <w:t xml:space="preserve">services to the company that are </w:t>
      </w:r>
      <w:r w:rsidR="00ED3016" w:rsidRPr="00F8340F">
        <w:rPr>
          <w:noProof/>
        </w:rPr>
        <w:t>necessary to carry out</w:t>
      </w:r>
      <w:r w:rsidR="00EA1A35">
        <w:rPr>
          <w:noProof/>
        </w:rPr>
        <w:t xml:space="preserve"> </w:t>
      </w:r>
      <w:r w:rsidR="00ED3016" w:rsidRPr="005F0117">
        <w:rPr>
          <w:noProof/>
        </w:rPr>
        <w:t>the company’s activities</w:t>
      </w:r>
      <w:r w:rsidR="00587695">
        <w:rPr>
          <w:noProof/>
        </w:rPr>
        <w:t>,</w:t>
      </w:r>
      <w:r w:rsidR="00ED3016">
        <w:rPr>
          <w:noProof/>
        </w:rPr>
        <w:t xml:space="preserve"> </w:t>
      </w:r>
      <w:r w:rsidR="00587695">
        <w:rPr>
          <w:noProof/>
        </w:rPr>
        <w:t xml:space="preserve">and </w:t>
      </w:r>
      <w:r w:rsidR="00ED3016">
        <w:rPr>
          <w:noProof/>
        </w:rPr>
        <w:t xml:space="preserve">also </w:t>
      </w:r>
      <w:r w:rsidR="00ED3016" w:rsidRPr="00F8340F">
        <w:rPr>
          <w:noProof/>
        </w:rPr>
        <w:t>downstream relationships</w:t>
      </w:r>
      <w:r w:rsidR="00587695" w:rsidRPr="00F8340F">
        <w:rPr>
          <w:noProof/>
        </w:rPr>
        <w:t>,</w:t>
      </w:r>
      <w:r w:rsidR="00ED3016" w:rsidRPr="00F8340F">
        <w:rPr>
          <w:noProof/>
        </w:rPr>
        <w:t xml:space="preserve"> including established direct and indirect business relationships</w:t>
      </w:r>
      <w:r w:rsidR="00587695">
        <w:rPr>
          <w:noProof/>
        </w:rPr>
        <w:t>,</w:t>
      </w:r>
      <w:r w:rsidR="00ED3016">
        <w:rPr>
          <w:noProof/>
        </w:rPr>
        <w:t xml:space="preserve"> that</w:t>
      </w:r>
      <w:r w:rsidR="00ED3016" w:rsidRPr="005F0117">
        <w:rPr>
          <w:noProof/>
        </w:rPr>
        <w:t xml:space="preserve"> </w:t>
      </w:r>
      <w:r w:rsidR="003C69A3">
        <w:rPr>
          <w:noProof/>
        </w:rPr>
        <w:t xml:space="preserve">use or </w:t>
      </w:r>
      <w:r w:rsidR="00ED3016" w:rsidRPr="005F0117">
        <w:rPr>
          <w:noProof/>
        </w:rPr>
        <w:t xml:space="preserve">receive products, parts of products or services from the company up to the end of life of the product, </w:t>
      </w:r>
      <w:r w:rsidR="00ED3016">
        <w:rPr>
          <w:noProof/>
        </w:rPr>
        <w:t xml:space="preserve">including </w:t>
      </w:r>
      <w:r w:rsidR="00ED3016" w:rsidRPr="005F0117">
        <w:rPr>
          <w:noProof/>
        </w:rPr>
        <w:t xml:space="preserve">inter alia </w:t>
      </w:r>
      <w:r w:rsidR="00587695">
        <w:rPr>
          <w:noProof/>
        </w:rPr>
        <w:t xml:space="preserve">the </w:t>
      </w:r>
      <w:r w:rsidR="00ED3016" w:rsidRPr="005F0117">
        <w:rPr>
          <w:noProof/>
        </w:rPr>
        <w:t>distribution of the product to retailers, the transport</w:t>
      </w:r>
      <w:r w:rsidR="003C69A3">
        <w:rPr>
          <w:noProof/>
        </w:rPr>
        <w:t xml:space="preserve"> and storage</w:t>
      </w:r>
      <w:r w:rsidR="00ED3016" w:rsidRPr="005F0117">
        <w:rPr>
          <w:noProof/>
        </w:rPr>
        <w:t xml:space="preserve"> of the product, dismantling of the product, its recycling, composting or landfilling</w:t>
      </w:r>
      <w:r w:rsidR="00ED3016">
        <w:rPr>
          <w:noProof/>
        </w:rPr>
        <w:t>.</w:t>
      </w:r>
      <w:r w:rsidR="00ED3016" w:rsidDel="00820812">
        <w:rPr>
          <w:noProof/>
        </w:rPr>
        <w:t xml:space="preserve"> </w:t>
      </w:r>
    </w:p>
    <w:p w14:paraId="0C8AF7EA" w14:textId="6EA08961" w:rsidR="00F60D22" w:rsidRPr="006927C4" w:rsidRDefault="00822875" w:rsidP="00822875">
      <w:pPr>
        <w:pStyle w:val="ManualConsidrant"/>
        <w:rPr>
          <w:noProof/>
        </w:rPr>
      </w:pPr>
      <w:r w:rsidRPr="00822875">
        <w:t>(19)</w:t>
      </w:r>
      <w:r w:rsidRPr="00822875">
        <w:tab/>
      </w:r>
      <w:r w:rsidR="00EA1A35" w:rsidRPr="006927C4">
        <w:rPr>
          <w:noProof/>
        </w:rPr>
        <w:t xml:space="preserve">As regards </w:t>
      </w:r>
      <w:r w:rsidR="00B44C58" w:rsidRPr="006927C4">
        <w:rPr>
          <w:noProof/>
        </w:rPr>
        <w:t xml:space="preserve">regulated </w:t>
      </w:r>
      <w:r w:rsidR="00EA1A35" w:rsidRPr="006927C4">
        <w:rPr>
          <w:noProof/>
        </w:rPr>
        <w:t xml:space="preserve">financial </w:t>
      </w:r>
      <w:r w:rsidR="00E05600" w:rsidRPr="006927C4">
        <w:rPr>
          <w:noProof/>
        </w:rPr>
        <w:t>undertakings</w:t>
      </w:r>
      <w:r w:rsidR="00EA1A35" w:rsidRPr="006927C4">
        <w:rPr>
          <w:noProof/>
        </w:rPr>
        <w:t xml:space="preserve"> providing loan, credit, </w:t>
      </w:r>
      <w:r w:rsidR="006927C4" w:rsidRPr="006927C4">
        <w:rPr>
          <w:noProof/>
        </w:rPr>
        <w:t>or other financial services</w:t>
      </w:r>
      <w:r w:rsidR="00316988" w:rsidRPr="006927C4">
        <w:rPr>
          <w:noProof/>
        </w:rPr>
        <w:t>,</w:t>
      </w:r>
      <w:r w:rsidR="00EA1A35" w:rsidRPr="006927C4">
        <w:rPr>
          <w:noProof/>
        </w:rPr>
        <w:t xml:space="preserve"> “value chain” </w:t>
      </w:r>
      <w:r w:rsidR="00F74CED" w:rsidRPr="006927C4">
        <w:rPr>
          <w:noProof/>
        </w:rPr>
        <w:t xml:space="preserve">with respect to </w:t>
      </w:r>
      <w:r w:rsidR="00D70C4B" w:rsidRPr="006927C4">
        <w:rPr>
          <w:noProof/>
        </w:rPr>
        <w:t xml:space="preserve">the provision of </w:t>
      </w:r>
      <w:r w:rsidR="00F74CED" w:rsidRPr="006927C4">
        <w:rPr>
          <w:noProof/>
        </w:rPr>
        <w:t xml:space="preserve">such </w:t>
      </w:r>
      <w:r w:rsidR="00D70C4B" w:rsidRPr="006927C4">
        <w:rPr>
          <w:noProof/>
        </w:rPr>
        <w:t>services</w:t>
      </w:r>
      <w:r w:rsidR="00F74CED" w:rsidRPr="006927C4">
        <w:rPr>
          <w:noProof/>
        </w:rPr>
        <w:t xml:space="preserve"> </w:t>
      </w:r>
      <w:r w:rsidR="00EA1A35" w:rsidRPr="006927C4">
        <w:rPr>
          <w:noProof/>
        </w:rPr>
        <w:t xml:space="preserve">should </w:t>
      </w:r>
      <w:r w:rsidR="00316988" w:rsidRPr="006927C4">
        <w:rPr>
          <w:noProof/>
        </w:rPr>
        <w:t>be limited to</w:t>
      </w:r>
      <w:r w:rsidR="00EA1A35" w:rsidRPr="006927C4">
        <w:rPr>
          <w:noProof/>
        </w:rPr>
        <w:t xml:space="preserve"> the activities of the clients</w:t>
      </w:r>
      <w:r w:rsidR="00D70C4B" w:rsidRPr="006927C4">
        <w:rPr>
          <w:noProof/>
        </w:rPr>
        <w:t xml:space="preserve"> </w:t>
      </w:r>
      <w:r w:rsidR="004048A2" w:rsidRPr="006927C4">
        <w:rPr>
          <w:noProof/>
        </w:rPr>
        <w:t xml:space="preserve">receiving such </w:t>
      </w:r>
      <w:r w:rsidR="006927C4" w:rsidRPr="006927C4">
        <w:rPr>
          <w:noProof/>
        </w:rPr>
        <w:t>services</w:t>
      </w:r>
      <w:r w:rsidR="00D70C4B" w:rsidRPr="006927C4">
        <w:rPr>
          <w:noProof/>
        </w:rPr>
        <w:t>, and the subsidiaries thereof</w:t>
      </w:r>
      <w:r w:rsidR="00797749">
        <w:rPr>
          <w:noProof/>
        </w:rPr>
        <w:t xml:space="preserve"> whose activities are linked to the contract in question</w:t>
      </w:r>
      <w:r w:rsidR="004048A2" w:rsidRPr="006927C4">
        <w:rPr>
          <w:noProof/>
        </w:rPr>
        <w:t>.</w:t>
      </w:r>
      <w:r w:rsidR="00EA1A35" w:rsidRPr="006927C4">
        <w:rPr>
          <w:noProof/>
        </w:rPr>
        <w:t xml:space="preserve"> </w:t>
      </w:r>
      <w:r w:rsidR="0027178F" w:rsidRPr="006927C4">
        <w:rPr>
          <w:noProof/>
        </w:rPr>
        <w:t>C</w:t>
      </w:r>
      <w:r w:rsidR="0043486D" w:rsidRPr="006927C4">
        <w:rPr>
          <w:noProof/>
        </w:rPr>
        <w:t>lients that are</w:t>
      </w:r>
      <w:r w:rsidR="00EA1A35" w:rsidRPr="006927C4">
        <w:rPr>
          <w:noProof/>
        </w:rPr>
        <w:t xml:space="preserve"> households and natural persons not acting in </w:t>
      </w:r>
      <w:r w:rsidR="0027178F" w:rsidRPr="006927C4">
        <w:rPr>
          <w:noProof/>
        </w:rPr>
        <w:t xml:space="preserve">a professional or business </w:t>
      </w:r>
      <w:r w:rsidR="00EA1A35" w:rsidRPr="006927C4">
        <w:rPr>
          <w:noProof/>
        </w:rPr>
        <w:t>capacity</w:t>
      </w:r>
      <w:r w:rsidR="00B70D78">
        <w:rPr>
          <w:noProof/>
        </w:rPr>
        <w:t xml:space="preserve">, </w:t>
      </w:r>
      <w:r w:rsidR="003672BD" w:rsidRPr="00C6766B">
        <w:rPr>
          <w:noProof/>
        </w:rPr>
        <w:t>as well as small and medium sized undertakings,</w:t>
      </w:r>
      <w:r w:rsidR="003672BD" w:rsidRPr="003672BD">
        <w:rPr>
          <w:noProof/>
        </w:rPr>
        <w:t xml:space="preserve"> </w:t>
      </w:r>
      <w:r w:rsidR="006927C4" w:rsidRPr="006927C4">
        <w:rPr>
          <w:noProof/>
        </w:rPr>
        <w:t xml:space="preserve">should not </w:t>
      </w:r>
      <w:r w:rsidR="00A267A2" w:rsidRPr="006927C4">
        <w:rPr>
          <w:noProof/>
        </w:rPr>
        <w:t xml:space="preserve">be </w:t>
      </w:r>
      <w:r w:rsidR="004048A2" w:rsidRPr="006927C4">
        <w:rPr>
          <w:noProof/>
        </w:rPr>
        <w:t>considered to be</w:t>
      </w:r>
      <w:r w:rsidR="00D006EC" w:rsidRPr="006927C4">
        <w:rPr>
          <w:noProof/>
        </w:rPr>
        <w:t xml:space="preserve"> part of the value chain. </w:t>
      </w:r>
      <w:r w:rsidR="00F60D22" w:rsidRPr="006927C4">
        <w:rPr>
          <w:noProof/>
        </w:rPr>
        <w:t>T</w:t>
      </w:r>
      <w:r w:rsidR="00EA1A35" w:rsidRPr="006927C4">
        <w:rPr>
          <w:noProof/>
        </w:rPr>
        <w:t xml:space="preserve">he activities of the companies </w:t>
      </w:r>
      <w:r w:rsidR="00E05600" w:rsidRPr="006927C4">
        <w:rPr>
          <w:noProof/>
        </w:rPr>
        <w:t xml:space="preserve">or </w:t>
      </w:r>
      <w:r w:rsidR="00EA1A35" w:rsidRPr="006927C4">
        <w:rPr>
          <w:noProof/>
        </w:rPr>
        <w:t xml:space="preserve">other legal entities that are included in the </w:t>
      </w:r>
      <w:r w:rsidR="00E05600" w:rsidRPr="006927C4">
        <w:rPr>
          <w:noProof/>
        </w:rPr>
        <w:t xml:space="preserve">value chain of </w:t>
      </w:r>
      <w:r w:rsidR="0056303C" w:rsidRPr="006927C4">
        <w:rPr>
          <w:noProof/>
        </w:rPr>
        <w:t>that cl</w:t>
      </w:r>
      <w:r w:rsidR="00D73A20" w:rsidRPr="006927C4">
        <w:rPr>
          <w:noProof/>
        </w:rPr>
        <w:t>ient</w:t>
      </w:r>
      <w:r w:rsidR="0056303C" w:rsidRPr="006927C4">
        <w:rPr>
          <w:noProof/>
        </w:rPr>
        <w:t xml:space="preserve"> should not be covered</w:t>
      </w:r>
      <w:r w:rsidR="00EA1A35" w:rsidRPr="006927C4">
        <w:rPr>
          <w:noProof/>
        </w:rPr>
        <w:t xml:space="preserve">. </w:t>
      </w:r>
      <w:r w:rsidR="006927C4" w:rsidRPr="006927C4">
        <w:rPr>
          <w:noProof/>
        </w:rPr>
        <w:t xml:space="preserve"> </w:t>
      </w:r>
    </w:p>
    <w:p w14:paraId="4A558C85" w14:textId="4CD3A653" w:rsidR="00ED3016" w:rsidRDefault="00822875" w:rsidP="00822875">
      <w:pPr>
        <w:pStyle w:val="ManualConsidrant"/>
        <w:rPr>
          <w:noProof/>
        </w:rPr>
      </w:pPr>
      <w:r w:rsidRPr="00822875">
        <w:t>(20)</w:t>
      </w:r>
      <w:r w:rsidRPr="00822875">
        <w:tab/>
      </w:r>
      <w:r w:rsidR="002F5031">
        <w:rPr>
          <w:noProof/>
        </w:rPr>
        <w:t>I</w:t>
      </w:r>
      <w:r w:rsidR="00ED3016" w:rsidRPr="00273FA7">
        <w:rPr>
          <w:noProof/>
        </w:rPr>
        <w:t xml:space="preserve">n order to allow companies to properly identify the </w:t>
      </w:r>
      <w:r w:rsidR="0099065F">
        <w:rPr>
          <w:noProof/>
        </w:rPr>
        <w:t>adverse</w:t>
      </w:r>
      <w:r w:rsidR="0057732B">
        <w:rPr>
          <w:noProof/>
        </w:rPr>
        <w:t xml:space="preserve"> </w:t>
      </w:r>
      <w:r w:rsidR="0099065F">
        <w:rPr>
          <w:noProof/>
        </w:rPr>
        <w:t>impacts</w:t>
      </w:r>
      <w:r w:rsidR="00ED3016" w:rsidRPr="00273FA7">
        <w:rPr>
          <w:noProof/>
        </w:rPr>
        <w:t xml:space="preserve"> in their value chain and to make it possible for them to </w:t>
      </w:r>
      <w:r w:rsidR="00383D36">
        <w:rPr>
          <w:noProof/>
        </w:rPr>
        <w:t>exercise</w:t>
      </w:r>
      <w:r w:rsidR="00383D36" w:rsidRPr="00273FA7">
        <w:rPr>
          <w:noProof/>
        </w:rPr>
        <w:t xml:space="preserve"> </w:t>
      </w:r>
      <w:r w:rsidR="00383D36">
        <w:rPr>
          <w:noProof/>
        </w:rPr>
        <w:t xml:space="preserve">appropriate </w:t>
      </w:r>
      <w:r w:rsidR="00ED3016" w:rsidRPr="00273FA7">
        <w:rPr>
          <w:noProof/>
        </w:rPr>
        <w:t xml:space="preserve">leverage, the due diligence obligations should be limited in this Directive to established business relationships. For the purpose of this Directive, established business relationships should </w:t>
      </w:r>
      <w:r w:rsidR="00ED3016" w:rsidRPr="00ED3016">
        <w:rPr>
          <w:noProof/>
        </w:rPr>
        <w:t xml:space="preserve">mean </w:t>
      </w:r>
      <w:r w:rsidR="007E3A1C" w:rsidRPr="007E3A1C">
        <w:rPr>
          <w:noProof/>
        </w:rPr>
        <w:t>such direct and indirect business relationships which are, or which are expected to be lasting</w:t>
      </w:r>
      <w:r w:rsidR="00642382">
        <w:rPr>
          <w:noProof/>
        </w:rPr>
        <w:t>, in view of their intensity and</w:t>
      </w:r>
      <w:r w:rsidR="007E3A1C" w:rsidRPr="007E3A1C">
        <w:rPr>
          <w:noProof/>
        </w:rPr>
        <w:t xml:space="preserve"> </w:t>
      </w:r>
      <w:r w:rsidR="007E3A1C">
        <w:rPr>
          <w:noProof/>
        </w:rPr>
        <w:t xml:space="preserve">duration </w:t>
      </w:r>
      <w:r w:rsidR="00B50D5D">
        <w:rPr>
          <w:noProof/>
        </w:rPr>
        <w:t>and</w:t>
      </w:r>
      <w:r w:rsidR="00642382">
        <w:rPr>
          <w:noProof/>
        </w:rPr>
        <w:t xml:space="preserve"> </w:t>
      </w:r>
      <w:r w:rsidR="007E3A1C">
        <w:rPr>
          <w:noProof/>
        </w:rPr>
        <w:t xml:space="preserve">which do not represent a negligible </w:t>
      </w:r>
      <w:r w:rsidR="0057732B">
        <w:rPr>
          <w:noProof/>
        </w:rPr>
        <w:t xml:space="preserve">or </w:t>
      </w:r>
      <w:r w:rsidR="007E3A1C">
        <w:rPr>
          <w:noProof/>
        </w:rPr>
        <w:t xml:space="preserve">ancillary </w:t>
      </w:r>
      <w:r w:rsidR="000A70AE">
        <w:rPr>
          <w:noProof/>
        </w:rPr>
        <w:t>part of</w:t>
      </w:r>
      <w:r w:rsidR="007E3A1C">
        <w:rPr>
          <w:noProof/>
        </w:rPr>
        <w:t xml:space="preserve"> </w:t>
      </w:r>
      <w:r w:rsidR="000A70AE">
        <w:rPr>
          <w:noProof/>
        </w:rPr>
        <w:t xml:space="preserve">the </w:t>
      </w:r>
      <w:r w:rsidR="007E3A1C">
        <w:rPr>
          <w:noProof/>
        </w:rPr>
        <w:t xml:space="preserve">value chain. The </w:t>
      </w:r>
      <w:r w:rsidR="00CF2EBB">
        <w:rPr>
          <w:noProof/>
        </w:rPr>
        <w:t xml:space="preserve">nature of business </w:t>
      </w:r>
      <w:r w:rsidR="007E3A1C">
        <w:rPr>
          <w:noProof/>
        </w:rPr>
        <w:t xml:space="preserve">relationships </w:t>
      </w:r>
      <w:r w:rsidR="0046479E">
        <w:rPr>
          <w:noProof/>
        </w:rPr>
        <w:t xml:space="preserve">as “established” </w:t>
      </w:r>
      <w:r w:rsidR="00F60D22">
        <w:rPr>
          <w:noProof/>
        </w:rPr>
        <w:t>should</w:t>
      </w:r>
      <w:r w:rsidR="00F60D22" w:rsidRPr="002C0859">
        <w:rPr>
          <w:noProof/>
        </w:rPr>
        <w:t xml:space="preserve"> </w:t>
      </w:r>
      <w:r w:rsidR="007E3A1C" w:rsidRPr="002C0859">
        <w:rPr>
          <w:noProof/>
        </w:rPr>
        <w:t>be reassessed</w:t>
      </w:r>
      <w:r w:rsidR="007E3A1C">
        <w:rPr>
          <w:noProof/>
        </w:rPr>
        <w:t xml:space="preserve"> periodically, </w:t>
      </w:r>
      <w:r w:rsidR="000A70AE">
        <w:rPr>
          <w:noProof/>
        </w:rPr>
        <w:t xml:space="preserve">and </w:t>
      </w:r>
      <w:r w:rsidR="007E3A1C">
        <w:rPr>
          <w:noProof/>
        </w:rPr>
        <w:t>at least</w:t>
      </w:r>
      <w:r w:rsidR="007E3A1C" w:rsidRPr="002C0859">
        <w:rPr>
          <w:noProof/>
        </w:rPr>
        <w:t xml:space="preserve"> every 12 months</w:t>
      </w:r>
      <w:r w:rsidR="007E3A1C">
        <w:rPr>
          <w:noProof/>
        </w:rPr>
        <w:t xml:space="preserve">. </w:t>
      </w:r>
      <w:r w:rsidR="00324446">
        <w:rPr>
          <w:noProof/>
        </w:rPr>
        <w:t>I</w:t>
      </w:r>
      <w:r w:rsidR="00ED3016" w:rsidRPr="00273FA7">
        <w:rPr>
          <w:noProof/>
        </w:rPr>
        <w:t xml:space="preserve">f the direct business relationship of a company is established, then all </w:t>
      </w:r>
      <w:r w:rsidR="00CF2EBB">
        <w:rPr>
          <w:noProof/>
        </w:rPr>
        <w:t>linked indirect</w:t>
      </w:r>
      <w:r w:rsidR="00CF2EBB" w:rsidRPr="00273FA7">
        <w:rPr>
          <w:noProof/>
        </w:rPr>
        <w:t xml:space="preserve"> </w:t>
      </w:r>
      <w:r w:rsidR="00ED3016" w:rsidRPr="00273FA7">
        <w:rPr>
          <w:noProof/>
        </w:rPr>
        <w:t xml:space="preserve">business relationships should also be considered as established regarding </w:t>
      </w:r>
      <w:r w:rsidR="00CF6651">
        <w:rPr>
          <w:noProof/>
        </w:rPr>
        <w:t>that</w:t>
      </w:r>
      <w:r w:rsidR="00CF6651" w:rsidRPr="00273FA7">
        <w:rPr>
          <w:noProof/>
        </w:rPr>
        <w:t xml:space="preserve"> </w:t>
      </w:r>
      <w:r w:rsidR="00ED3016" w:rsidRPr="00273FA7">
        <w:rPr>
          <w:noProof/>
        </w:rPr>
        <w:t>company.</w:t>
      </w:r>
      <w:r w:rsidR="00F57B83">
        <w:rPr>
          <w:noProof/>
        </w:rPr>
        <w:t xml:space="preserve"> </w:t>
      </w:r>
    </w:p>
    <w:p w14:paraId="4EFCB337" w14:textId="5A9CCF90" w:rsidR="00AF58E9" w:rsidRPr="00AF58E9" w:rsidRDefault="00822875" w:rsidP="00822875">
      <w:pPr>
        <w:pStyle w:val="ManualConsidrant"/>
        <w:rPr>
          <w:noProof/>
        </w:rPr>
      </w:pPr>
      <w:r w:rsidRPr="00822875">
        <w:t>(21)</w:t>
      </w:r>
      <w:r w:rsidRPr="00822875">
        <w:tab/>
      </w:r>
      <w:r w:rsidR="00ED3016">
        <w:rPr>
          <w:noProof/>
        </w:rPr>
        <w:tab/>
        <w:t xml:space="preserve">Under this </w:t>
      </w:r>
      <w:r w:rsidR="00812E8C">
        <w:rPr>
          <w:noProof/>
        </w:rPr>
        <w:t>Directive</w:t>
      </w:r>
      <w:r w:rsidR="00ED3016">
        <w:rPr>
          <w:noProof/>
        </w:rPr>
        <w:t>, EU c</w:t>
      </w:r>
      <w:r w:rsidR="00ED3016" w:rsidRPr="000351EE">
        <w:rPr>
          <w:noProof/>
        </w:rPr>
        <w:t>ompanies</w:t>
      </w:r>
      <w:r w:rsidR="00ED3016">
        <w:rPr>
          <w:noProof/>
        </w:rPr>
        <w:t xml:space="preserve"> with more than 500 employees on average and a </w:t>
      </w:r>
      <w:r w:rsidR="00D50577">
        <w:rPr>
          <w:noProof/>
        </w:rPr>
        <w:t xml:space="preserve">worldwide </w:t>
      </w:r>
      <w:r w:rsidR="00ED3016">
        <w:rPr>
          <w:noProof/>
        </w:rPr>
        <w:t>net turnover exceeding EUR</w:t>
      </w:r>
      <w:r w:rsidR="00DC1020">
        <w:rPr>
          <w:noProof/>
        </w:rPr>
        <w:t xml:space="preserve"> </w:t>
      </w:r>
      <w:r w:rsidR="00ED3016">
        <w:rPr>
          <w:noProof/>
        </w:rPr>
        <w:t>150</w:t>
      </w:r>
      <w:r w:rsidR="00DC1020">
        <w:rPr>
          <w:noProof/>
        </w:rPr>
        <w:t> </w:t>
      </w:r>
      <w:r w:rsidR="00ED3016">
        <w:rPr>
          <w:noProof/>
        </w:rPr>
        <w:t xml:space="preserve">million in the financial year </w:t>
      </w:r>
      <w:r w:rsidR="00ED3016" w:rsidRPr="003D52CA">
        <w:rPr>
          <w:noProof/>
        </w:rPr>
        <w:t>preceding the last financial year</w:t>
      </w:r>
      <w:r w:rsidR="00ED3016">
        <w:rPr>
          <w:noProof/>
        </w:rPr>
        <w:t xml:space="preserve"> should be required to comply with</w:t>
      </w:r>
      <w:r w:rsidR="00ED3016" w:rsidRPr="000351EE">
        <w:rPr>
          <w:noProof/>
        </w:rPr>
        <w:t xml:space="preserve"> due diligence</w:t>
      </w:r>
      <w:r w:rsidR="00ED3016">
        <w:rPr>
          <w:noProof/>
        </w:rPr>
        <w:t>. As regards companies which do not fulfil those criteria, but which had more than 250 employees on average and more than EUR 40</w:t>
      </w:r>
      <w:r w:rsidR="00D23450">
        <w:rPr>
          <w:noProof/>
        </w:rPr>
        <w:t> </w:t>
      </w:r>
      <w:r w:rsidR="00ED3016">
        <w:rPr>
          <w:noProof/>
        </w:rPr>
        <w:t xml:space="preserve">million </w:t>
      </w:r>
      <w:r w:rsidR="00D50577">
        <w:rPr>
          <w:noProof/>
        </w:rPr>
        <w:t xml:space="preserve">worldwide </w:t>
      </w:r>
      <w:r w:rsidR="00ED3016">
        <w:rPr>
          <w:noProof/>
        </w:rPr>
        <w:t xml:space="preserve">net turnover in the financial year </w:t>
      </w:r>
      <w:r w:rsidR="00ED3016" w:rsidRPr="003D52CA">
        <w:rPr>
          <w:noProof/>
        </w:rPr>
        <w:t>preceding the last financial year</w:t>
      </w:r>
      <w:r w:rsidR="00ED3016">
        <w:rPr>
          <w:noProof/>
        </w:rPr>
        <w:t xml:space="preserve"> and </w:t>
      </w:r>
      <w:r w:rsidR="00FB004B">
        <w:rPr>
          <w:noProof/>
        </w:rPr>
        <w:t xml:space="preserve">which </w:t>
      </w:r>
      <w:r w:rsidR="00ED3016">
        <w:rPr>
          <w:noProof/>
        </w:rPr>
        <w:t>operate in one or more high</w:t>
      </w:r>
      <w:r w:rsidR="00351003">
        <w:rPr>
          <w:noProof/>
        </w:rPr>
        <w:t>-</w:t>
      </w:r>
      <w:r w:rsidR="00ED3016">
        <w:rPr>
          <w:noProof/>
        </w:rPr>
        <w:t xml:space="preserve">impact sectors, due diligence should apply </w:t>
      </w:r>
      <w:r w:rsidR="00921B85">
        <w:rPr>
          <w:noProof/>
        </w:rPr>
        <w:t xml:space="preserve">2 </w:t>
      </w:r>
      <w:r w:rsidR="00ED3016">
        <w:rPr>
          <w:noProof/>
        </w:rPr>
        <w:t xml:space="preserve">years after the end of the </w:t>
      </w:r>
      <w:r w:rsidR="00ED3016" w:rsidRPr="00054036">
        <w:rPr>
          <w:noProof/>
        </w:rPr>
        <w:t>transposition period</w:t>
      </w:r>
      <w:r w:rsidR="00ED3016">
        <w:rPr>
          <w:noProof/>
        </w:rPr>
        <w:t xml:space="preserve"> of this directive, in order to provide for a longer adaptation period. In order to ensure a proportionate burden, companies operating in such high</w:t>
      </w:r>
      <w:r w:rsidR="00351003">
        <w:rPr>
          <w:noProof/>
        </w:rPr>
        <w:t>-</w:t>
      </w:r>
      <w:r w:rsidR="00ED3016">
        <w:rPr>
          <w:noProof/>
        </w:rPr>
        <w:t xml:space="preserve">impact sectors should be required to comply with more targeted due diligence focusing on </w:t>
      </w:r>
      <w:r w:rsidR="00F25B7A">
        <w:rPr>
          <w:noProof/>
        </w:rPr>
        <w:t>severe</w:t>
      </w:r>
      <w:r w:rsidR="0038154D">
        <w:rPr>
          <w:noProof/>
        </w:rPr>
        <w:t xml:space="preserve"> </w:t>
      </w:r>
      <w:r w:rsidR="00ED3016">
        <w:rPr>
          <w:noProof/>
        </w:rPr>
        <w:t xml:space="preserve">adverse impacts. </w:t>
      </w:r>
      <w:r w:rsidR="00AF58E9" w:rsidRPr="00230F4F">
        <w:rPr>
          <w:noProof/>
        </w:rPr>
        <w:t>Temporary agency workers, including those posted under Article 1(3)</w:t>
      </w:r>
      <w:r w:rsidR="00E2769B">
        <w:rPr>
          <w:noProof/>
        </w:rPr>
        <w:t xml:space="preserve">, point </w:t>
      </w:r>
      <w:r w:rsidR="00AF58E9" w:rsidRPr="00230F4F">
        <w:rPr>
          <w:noProof/>
        </w:rPr>
        <w:t>(c)</w:t>
      </w:r>
      <w:r w:rsidR="00E2769B">
        <w:rPr>
          <w:noProof/>
        </w:rPr>
        <w:t>,</w:t>
      </w:r>
      <w:r w:rsidR="00AF58E9" w:rsidRPr="00230F4F">
        <w:rPr>
          <w:noProof/>
        </w:rPr>
        <w:t xml:space="preserve"> of Directive 96/71/EC</w:t>
      </w:r>
      <w:r w:rsidR="00083B60" w:rsidRPr="00083B60">
        <w:rPr>
          <w:noProof/>
        </w:rPr>
        <w:t>, as amended by Directive 2018/957/EU</w:t>
      </w:r>
      <w:r w:rsidR="00E2769B">
        <w:rPr>
          <w:noProof/>
        </w:rPr>
        <w:t xml:space="preserve"> </w:t>
      </w:r>
      <w:r w:rsidR="00E2769B" w:rsidRPr="00C84988">
        <w:rPr>
          <w:noProof/>
        </w:rPr>
        <w:t>of the European Parliament and of the Council</w:t>
      </w:r>
      <w:r w:rsidR="00AF58E9" w:rsidRPr="002C2AA5">
        <w:rPr>
          <w:rStyle w:val="Allmrkuseviide"/>
          <w:noProof/>
        </w:rPr>
        <w:footnoteReference w:id="104"/>
      </w:r>
      <w:r w:rsidR="00AF58E9" w:rsidRPr="00230F4F">
        <w:rPr>
          <w:noProof/>
        </w:rPr>
        <w:t xml:space="preserve">, should be included in the calculation of the number of employees in the user </w:t>
      </w:r>
      <w:r w:rsidR="00A952BF" w:rsidRPr="00230F4F">
        <w:rPr>
          <w:noProof/>
        </w:rPr>
        <w:t>company</w:t>
      </w:r>
      <w:r w:rsidR="00AF58E9" w:rsidRPr="00E54C64">
        <w:rPr>
          <w:noProof/>
        </w:rPr>
        <w:t>. Posted workers under Article 1(3)</w:t>
      </w:r>
      <w:r w:rsidR="00E2769B">
        <w:rPr>
          <w:noProof/>
        </w:rPr>
        <w:t>, point</w:t>
      </w:r>
      <w:r w:rsidR="00A2264D">
        <w:rPr>
          <w:noProof/>
        </w:rPr>
        <w:t>s</w:t>
      </w:r>
      <w:r w:rsidR="00E2769B">
        <w:rPr>
          <w:noProof/>
        </w:rPr>
        <w:t xml:space="preserve"> </w:t>
      </w:r>
      <w:r w:rsidR="00AF58E9" w:rsidRPr="00E54C64">
        <w:rPr>
          <w:noProof/>
        </w:rPr>
        <w:t>(a) and (b)</w:t>
      </w:r>
      <w:r w:rsidR="00A2264D">
        <w:rPr>
          <w:noProof/>
        </w:rPr>
        <w:t>,</w:t>
      </w:r>
      <w:r w:rsidR="00AF58E9" w:rsidRPr="00E54C64">
        <w:rPr>
          <w:noProof/>
        </w:rPr>
        <w:t xml:space="preserve"> of Directive 96/71/EC</w:t>
      </w:r>
      <w:r w:rsidR="00FD271D" w:rsidRPr="00FD271D">
        <w:rPr>
          <w:noProof/>
        </w:rPr>
        <w:t>, as amended by Directive 2018/957/EU</w:t>
      </w:r>
      <w:r w:rsidR="00FD271D">
        <w:rPr>
          <w:noProof/>
        </w:rPr>
        <w:t>,</w:t>
      </w:r>
      <w:r w:rsidR="00B75590">
        <w:rPr>
          <w:noProof/>
        </w:rPr>
        <w:t xml:space="preserve"> </w:t>
      </w:r>
      <w:r w:rsidR="00AF58E9" w:rsidRPr="00E54C64">
        <w:rPr>
          <w:noProof/>
        </w:rPr>
        <w:t>should only be included in the calculation of the number of employees of the sending company.</w:t>
      </w:r>
    </w:p>
    <w:p w14:paraId="36841C4E" w14:textId="01A96538" w:rsidR="00232B18" w:rsidRPr="00232B18" w:rsidRDefault="00822875" w:rsidP="00822875">
      <w:pPr>
        <w:pStyle w:val="ManualConsidrant"/>
        <w:rPr>
          <w:noProof/>
        </w:rPr>
      </w:pPr>
      <w:r w:rsidRPr="00822875">
        <w:t>(22)</w:t>
      </w:r>
      <w:r w:rsidRPr="00822875">
        <w:tab/>
      </w:r>
      <w:r w:rsidR="006A0E14">
        <w:rPr>
          <w:noProof/>
        </w:rPr>
        <w:t>In order to reflect the priority areas of international action aimed at tackling human rights and environmental issues, t</w:t>
      </w:r>
      <w:r w:rsidR="00B01313">
        <w:rPr>
          <w:noProof/>
        </w:rPr>
        <w:t xml:space="preserve">he </w:t>
      </w:r>
      <w:r w:rsidR="006A0E14">
        <w:rPr>
          <w:noProof/>
        </w:rPr>
        <w:t xml:space="preserve">selection of </w:t>
      </w:r>
      <w:r w:rsidR="00B01313">
        <w:rPr>
          <w:noProof/>
        </w:rPr>
        <w:t>high-</w:t>
      </w:r>
      <w:r w:rsidR="00ED3016">
        <w:rPr>
          <w:noProof/>
        </w:rPr>
        <w:t xml:space="preserve">impact sectors </w:t>
      </w:r>
      <w:r w:rsidR="006A0E14">
        <w:rPr>
          <w:noProof/>
        </w:rPr>
        <w:t>for the purposes of this Directive should be</w:t>
      </w:r>
      <w:r w:rsidR="00B01313">
        <w:rPr>
          <w:noProof/>
        </w:rPr>
        <w:t xml:space="preserve"> </w:t>
      </w:r>
      <w:r w:rsidR="00ED3016">
        <w:rPr>
          <w:noProof/>
        </w:rPr>
        <w:t xml:space="preserve">based on existing </w:t>
      </w:r>
      <w:r w:rsidR="00B01313">
        <w:rPr>
          <w:noProof/>
        </w:rPr>
        <w:t>sectoral</w:t>
      </w:r>
      <w:r w:rsidR="00ED3016">
        <w:rPr>
          <w:noProof/>
        </w:rPr>
        <w:t xml:space="preserve"> OECD due diligence guidance</w:t>
      </w:r>
      <w:r w:rsidR="00B01313">
        <w:rPr>
          <w:noProof/>
        </w:rPr>
        <w:t xml:space="preserve">. </w:t>
      </w:r>
      <w:r w:rsidR="00813FEB">
        <w:rPr>
          <w:noProof/>
        </w:rPr>
        <w:t>T</w:t>
      </w:r>
      <w:r w:rsidR="000357D5">
        <w:rPr>
          <w:noProof/>
        </w:rPr>
        <w:t>he following sectors should be regarded as high-impact for the purposes of this Directive:</w:t>
      </w:r>
      <w:r w:rsidR="00E545EB">
        <w:rPr>
          <w:noProof/>
        </w:rPr>
        <w:t xml:space="preserve"> </w:t>
      </w:r>
      <w:r w:rsidR="00232B18" w:rsidRPr="00232B18">
        <w:rPr>
          <w:noProof/>
        </w:rPr>
        <w:t xml:space="preserve">the manufacture of textiles, leather and related products (including footwear), and the wholesale trade of textiles, clothing and </w:t>
      </w:r>
      <w:r w:rsidR="00232B18" w:rsidRPr="00232B18" w:rsidDel="00405F11">
        <w:rPr>
          <w:noProof/>
        </w:rPr>
        <w:t>footwear</w:t>
      </w:r>
      <w:r w:rsidR="00232B18" w:rsidRPr="00232B18">
        <w:rPr>
          <w:noProof/>
        </w:rPr>
        <w:t>; agriculture, forestry, fisheries (including aquaculture), the manufacture of food products, and the wholesale trade of agricultural raw materials, live animals, wood, food, and beverages;</w:t>
      </w:r>
      <w:r w:rsidR="00232B18">
        <w:rPr>
          <w:noProof/>
        </w:rPr>
        <w:t xml:space="preserve"> </w:t>
      </w:r>
      <w:r w:rsidR="00232B18" w:rsidRPr="00232B18">
        <w:rPr>
          <w:noProof/>
        </w:rPr>
        <w:t xml:space="preserve">the extraction of mineral resources regardless </w:t>
      </w:r>
      <w:r w:rsidR="00921B85">
        <w:rPr>
          <w:noProof/>
        </w:rPr>
        <w:t>of</w:t>
      </w:r>
      <w:r w:rsidR="00921B85" w:rsidRPr="00232B18">
        <w:rPr>
          <w:noProof/>
        </w:rPr>
        <w:t xml:space="preserve"> </w:t>
      </w:r>
      <w:r w:rsidR="00232B18" w:rsidRPr="00232B18">
        <w:rPr>
          <w:noProof/>
        </w:rPr>
        <w:t xml:space="preserve">where they are extracted </w:t>
      </w:r>
      <w:r w:rsidR="003B69E7">
        <w:rPr>
          <w:noProof/>
        </w:rPr>
        <w:t>from</w:t>
      </w:r>
      <w:r w:rsidR="003B69E7" w:rsidRPr="00232B18">
        <w:rPr>
          <w:noProof/>
        </w:rPr>
        <w:t xml:space="preserve"> </w:t>
      </w:r>
      <w:r w:rsidR="00232B18" w:rsidRPr="00232B18">
        <w:rPr>
          <w:noProof/>
        </w:rPr>
        <w:t>(</w:t>
      </w:r>
      <w:r w:rsidR="00232B18" w:rsidRPr="00C84988">
        <w:rPr>
          <w:noProof/>
        </w:rPr>
        <w:t xml:space="preserve">including </w:t>
      </w:r>
      <w:r w:rsidR="00232B18" w:rsidRPr="00232B18">
        <w:rPr>
          <w:noProof/>
        </w:rPr>
        <w:t xml:space="preserve">crude petroleum, </w:t>
      </w:r>
      <w:r w:rsidR="00232B18" w:rsidRPr="00C84988">
        <w:rPr>
          <w:noProof/>
        </w:rPr>
        <w:t>natural</w:t>
      </w:r>
      <w:r w:rsidR="00232B18" w:rsidRPr="00232B18">
        <w:rPr>
          <w:noProof/>
        </w:rPr>
        <w:t xml:space="preserve"> gas, coal, lignite, metals and metal ores, as well as all other, non-metallic minerals and quarry products), the manufacture of basic metal products, other non-metallic mineral products and fabricated metal products (except machinery and equipment), and the wholesale trade of mineral resources,</w:t>
      </w:r>
      <w:r w:rsidR="00232B18" w:rsidRPr="00232B18" w:rsidDel="00405F11">
        <w:rPr>
          <w:noProof/>
        </w:rPr>
        <w:t xml:space="preserve"> </w:t>
      </w:r>
      <w:r w:rsidR="00232B18" w:rsidRPr="00C84988">
        <w:rPr>
          <w:noProof/>
        </w:rPr>
        <w:t xml:space="preserve">basic and intermediate mineral products (including </w:t>
      </w:r>
      <w:r w:rsidR="00232B18" w:rsidRPr="00232B18">
        <w:rPr>
          <w:noProof/>
        </w:rPr>
        <w:t>metals and metal ores, construction materials, fuels, chemicals and other intermediate products</w:t>
      </w:r>
      <w:r w:rsidR="003B69E7">
        <w:rPr>
          <w:noProof/>
        </w:rPr>
        <w:t>)</w:t>
      </w:r>
      <w:r w:rsidR="00AD0C16">
        <w:rPr>
          <w:noProof/>
        </w:rPr>
        <w:t xml:space="preserve">. </w:t>
      </w:r>
      <w:r w:rsidR="00AD0C16" w:rsidRPr="00CE2905">
        <w:rPr>
          <w:noProof/>
        </w:rPr>
        <w:t>As regards the financial sector, due to its specificities</w:t>
      </w:r>
      <w:r w:rsidR="00F260CA">
        <w:rPr>
          <w:noProof/>
        </w:rPr>
        <w:t>, in particular as regards the value chain and the services offered</w:t>
      </w:r>
      <w:r w:rsidR="00AD0C16" w:rsidRPr="00CE2905">
        <w:rPr>
          <w:noProof/>
        </w:rPr>
        <w:t xml:space="preserve">, </w:t>
      </w:r>
      <w:r w:rsidR="006A0E14" w:rsidRPr="00CE2905">
        <w:rPr>
          <w:noProof/>
        </w:rPr>
        <w:t xml:space="preserve">even if it is covered by sector-specific OECD guidance, </w:t>
      </w:r>
      <w:r w:rsidR="00AD0C16" w:rsidRPr="00CE2905">
        <w:rPr>
          <w:noProof/>
        </w:rPr>
        <w:t xml:space="preserve">it should not form part of </w:t>
      </w:r>
      <w:r w:rsidR="006A0E14" w:rsidRPr="00CE2905">
        <w:rPr>
          <w:noProof/>
        </w:rPr>
        <w:t xml:space="preserve">the high-impact sectors covered by this </w:t>
      </w:r>
      <w:r w:rsidR="00A61CF0" w:rsidRPr="00CE2905">
        <w:rPr>
          <w:noProof/>
        </w:rPr>
        <w:t>D</w:t>
      </w:r>
      <w:r w:rsidR="006A0E14" w:rsidRPr="00CE2905">
        <w:rPr>
          <w:noProof/>
        </w:rPr>
        <w:t xml:space="preserve">irective. </w:t>
      </w:r>
      <w:r w:rsidR="00795903">
        <w:rPr>
          <w:noProof/>
        </w:rPr>
        <w:t>At the same time, in this sector</w:t>
      </w:r>
      <w:r w:rsidR="00144071">
        <w:rPr>
          <w:noProof/>
        </w:rPr>
        <w:t>,</w:t>
      </w:r>
      <w:r w:rsidR="00795903">
        <w:rPr>
          <w:noProof/>
        </w:rPr>
        <w:t xml:space="preserve"> the broader coverage of actual and potential adverse impacts </w:t>
      </w:r>
      <w:r w:rsidR="00144071">
        <w:rPr>
          <w:noProof/>
        </w:rPr>
        <w:t>should be</w:t>
      </w:r>
      <w:r w:rsidR="00795903">
        <w:rPr>
          <w:noProof/>
        </w:rPr>
        <w:t xml:space="preserve"> ensured by also including very large companies in the scope that </w:t>
      </w:r>
      <w:r w:rsidR="00BA6911">
        <w:rPr>
          <w:noProof/>
        </w:rPr>
        <w:t xml:space="preserve">are regulated financial undertakings, even if they </w:t>
      </w:r>
      <w:r w:rsidR="00795903">
        <w:rPr>
          <w:noProof/>
        </w:rPr>
        <w:t>do not have a legal form with limited liability.</w:t>
      </w:r>
      <w:r w:rsidR="00795903" w:rsidRPr="00C84988" w:rsidDel="00795903">
        <w:rPr>
          <w:noProof/>
        </w:rPr>
        <w:t xml:space="preserve"> </w:t>
      </w:r>
    </w:p>
    <w:p w14:paraId="053EA924" w14:textId="4D1D8CA5" w:rsidR="00416E0E" w:rsidRDefault="00822875" w:rsidP="00822875">
      <w:pPr>
        <w:pStyle w:val="ManualConsidrant"/>
        <w:rPr>
          <w:noProof/>
        </w:rPr>
      </w:pPr>
      <w:r w:rsidRPr="00822875">
        <w:t>(23)</w:t>
      </w:r>
      <w:r w:rsidRPr="00822875">
        <w:tab/>
      </w:r>
      <w:r w:rsidR="00232B18" w:rsidRPr="00232B18">
        <w:rPr>
          <w:noProof/>
        </w:rPr>
        <w:tab/>
      </w:r>
      <w:r w:rsidR="00416E0E">
        <w:rPr>
          <w:noProof/>
        </w:rPr>
        <w:t>In</w:t>
      </w:r>
      <w:r w:rsidR="002212B3">
        <w:rPr>
          <w:noProof/>
        </w:rPr>
        <w:t xml:space="preserve"> </w:t>
      </w:r>
      <w:r w:rsidR="00416E0E">
        <w:rPr>
          <w:noProof/>
        </w:rPr>
        <w:t xml:space="preserve">order to achieve fully the objectives of this Directive </w:t>
      </w:r>
      <w:r w:rsidR="00113398" w:rsidRPr="00113398">
        <w:rPr>
          <w:noProof/>
        </w:rPr>
        <w:t>addressing human rights and adverse environmental impacts with respect to companies’ operations,</w:t>
      </w:r>
      <w:r w:rsidR="00113398">
        <w:rPr>
          <w:noProof/>
        </w:rPr>
        <w:t xml:space="preserve"> subsidiaries and value chains, </w:t>
      </w:r>
      <w:r w:rsidR="00416E0E">
        <w:rPr>
          <w:noProof/>
        </w:rPr>
        <w:t>third-country companies with significant operations in the EU should also be covered. More specifically, the Directive should apply to third</w:t>
      </w:r>
      <w:r w:rsidR="0037086D">
        <w:rPr>
          <w:noProof/>
        </w:rPr>
        <w:t>-</w:t>
      </w:r>
      <w:r w:rsidR="00416E0E">
        <w:rPr>
          <w:noProof/>
        </w:rPr>
        <w:t>country companies which generated a net turnover of at least EUR 150</w:t>
      </w:r>
      <w:r w:rsidR="00DC1020">
        <w:rPr>
          <w:noProof/>
        </w:rPr>
        <w:t> </w:t>
      </w:r>
      <w:r w:rsidR="00416E0E">
        <w:rPr>
          <w:noProof/>
        </w:rPr>
        <w:t>million in the Union in the financial year preceding the last financial year or a net turnover of more than EUR 40</w:t>
      </w:r>
      <w:r w:rsidR="00DC1020">
        <w:rPr>
          <w:noProof/>
        </w:rPr>
        <w:t> </w:t>
      </w:r>
      <w:r w:rsidR="00416E0E">
        <w:rPr>
          <w:noProof/>
        </w:rPr>
        <w:t>million but less than EUR 150</w:t>
      </w:r>
      <w:r w:rsidR="00DC1020">
        <w:rPr>
          <w:noProof/>
        </w:rPr>
        <w:t> </w:t>
      </w:r>
      <w:r w:rsidR="00416E0E">
        <w:rPr>
          <w:noProof/>
        </w:rPr>
        <w:t xml:space="preserve">million in the financial year preceding the last financial year in one or more of the high-impact sectors, as of </w:t>
      </w:r>
      <w:r w:rsidR="005C2977">
        <w:rPr>
          <w:noProof/>
        </w:rPr>
        <w:t xml:space="preserve">2 </w:t>
      </w:r>
      <w:r w:rsidR="00416E0E">
        <w:rPr>
          <w:noProof/>
        </w:rPr>
        <w:t xml:space="preserve">years after the end of </w:t>
      </w:r>
      <w:r w:rsidR="00113398">
        <w:rPr>
          <w:noProof/>
        </w:rPr>
        <w:t xml:space="preserve">the </w:t>
      </w:r>
      <w:r w:rsidR="00416E0E">
        <w:rPr>
          <w:noProof/>
        </w:rPr>
        <w:t>transposition period of this Directive.</w:t>
      </w:r>
    </w:p>
    <w:p w14:paraId="4FEB8486" w14:textId="6026D746" w:rsidR="005A0D96" w:rsidRDefault="00822875" w:rsidP="00822875">
      <w:pPr>
        <w:pStyle w:val="ManualConsidrant"/>
        <w:rPr>
          <w:noProof/>
        </w:rPr>
      </w:pPr>
      <w:r w:rsidRPr="00822875">
        <w:t>(24)</w:t>
      </w:r>
      <w:r w:rsidRPr="00822875">
        <w:tab/>
      </w:r>
      <w:r w:rsidR="00416E0E">
        <w:rPr>
          <w:noProof/>
        </w:rPr>
        <w:tab/>
      </w:r>
      <w:r w:rsidR="002212B3">
        <w:rPr>
          <w:noProof/>
        </w:rPr>
        <w:t>F</w:t>
      </w:r>
      <w:r w:rsidR="00416E0E">
        <w:rPr>
          <w:noProof/>
        </w:rPr>
        <w:t xml:space="preserve">or defining the scope of </w:t>
      </w:r>
      <w:r w:rsidR="00892F0F">
        <w:rPr>
          <w:noProof/>
        </w:rPr>
        <w:t xml:space="preserve">application in relation to </w:t>
      </w:r>
      <w:r w:rsidR="00416E0E">
        <w:rPr>
          <w:noProof/>
        </w:rPr>
        <w:t xml:space="preserve">non-EU companies </w:t>
      </w:r>
      <w:r w:rsidR="002212B3">
        <w:rPr>
          <w:noProof/>
        </w:rPr>
        <w:t>t</w:t>
      </w:r>
      <w:r w:rsidR="00416E0E">
        <w:rPr>
          <w:noProof/>
        </w:rPr>
        <w:t>he described turnover criterion should be chosen as it creates a territorial connection between the third-country companies and the U</w:t>
      </w:r>
      <w:r w:rsidR="004876EB">
        <w:rPr>
          <w:noProof/>
        </w:rPr>
        <w:t>nion</w:t>
      </w:r>
      <w:r w:rsidR="00416E0E">
        <w:rPr>
          <w:noProof/>
        </w:rPr>
        <w:t xml:space="preserve"> territory</w:t>
      </w:r>
      <w:r w:rsidR="00892F0F">
        <w:rPr>
          <w:noProof/>
        </w:rPr>
        <w:t xml:space="preserve">. Turnover is a proxy </w:t>
      </w:r>
      <w:r w:rsidR="003B69E7">
        <w:rPr>
          <w:noProof/>
        </w:rPr>
        <w:t>for</w:t>
      </w:r>
      <w:r w:rsidR="00892F0F">
        <w:rPr>
          <w:noProof/>
        </w:rPr>
        <w:t xml:space="preserve"> </w:t>
      </w:r>
      <w:r w:rsidR="00416E0E">
        <w:rPr>
          <w:noProof/>
        </w:rPr>
        <w:t>the effects that the activities of th</w:t>
      </w:r>
      <w:r w:rsidR="004876EB">
        <w:rPr>
          <w:noProof/>
        </w:rPr>
        <w:t>o</w:t>
      </w:r>
      <w:r w:rsidR="00416E0E">
        <w:rPr>
          <w:noProof/>
        </w:rPr>
        <w:t xml:space="preserve">se companies </w:t>
      </w:r>
      <w:r w:rsidR="004876EB">
        <w:rPr>
          <w:noProof/>
        </w:rPr>
        <w:t xml:space="preserve">could </w:t>
      </w:r>
      <w:r w:rsidR="00416E0E">
        <w:rPr>
          <w:noProof/>
        </w:rPr>
        <w:t>have on the internal market. In accordance with</w:t>
      </w:r>
      <w:r w:rsidR="00A64122">
        <w:rPr>
          <w:noProof/>
        </w:rPr>
        <w:t xml:space="preserve"> </w:t>
      </w:r>
      <w:r w:rsidR="004A2FDC">
        <w:rPr>
          <w:noProof/>
        </w:rPr>
        <w:t>international law</w:t>
      </w:r>
      <w:r w:rsidR="00416E0E">
        <w:rPr>
          <w:noProof/>
        </w:rPr>
        <w:t xml:space="preserve">, such </w:t>
      </w:r>
      <w:r w:rsidR="00594814">
        <w:rPr>
          <w:noProof/>
        </w:rPr>
        <w:t>effects justify the application of</w:t>
      </w:r>
      <w:r w:rsidR="00416E0E">
        <w:rPr>
          <w:noProof/>
        </w:rPr>
        <w:t xml:space="preserve"> U</w:t>
      </w:r>
      <w:r w:rsidR="004876EB">
        <w:rPr>
          <w:noProof/>
        </w:rPr>
        <w:t>nion</w:t>
      </w:r>
      <w:r w:rsidR="00416E0E">
        <w:rPr>
          <w:noProof/>
        </w:rPr>
        <w:t xml:space="preserve"> law to third</w:t>
      </w:r>
      <w:r w:rsidR="0037086D">
        <w:rPr>
          <w:noProof/>
        </w:rPr>
        <w:t>-</w:t>
      </w:r>
      <w:r w:rsidR="00416E0E">
        <w:rPr>
          <w:noProof/>
        </w:rPr>
        <w:t xml:space="preserve">country companies. To ensure identification of the relevant turnover of companies concerned, the methods for calculating net turnover for non-EU companies as laid down in Directive </w:t>
      </w:r>
      <w:r w:rsidR="00C74709">
        <w:rPr>
          <w:noProof/>
        </w:rPr>
        <w:t xml:space="preserve">(EU) </w:t>
      </w:r>
      <w:r w:rsidR="00416E0E">
        <w:rPr>
          <w:noProof/>
        </w:rPr>
        <w:t>2013/34 as amended by Directive (EU) 2021/2101 should be used.</w:t>
      </w:r>
      <w:r w:rsidR="008D4435">
        <w:rPr>
          <w:noProof/>
        </w:rPr>
        <w:t xml:space="preserve"> </w:t>
      </w:r>
      <w:r w:rsidR="00416E0E">
        <w:rPr>
          <w:noProof/>
        </w:rPr>
        <w:t>To ensure effective enforcement of this Directive, an employee threshold should, in turn, not be applied to determine which third</w:t>
      </w:r>
      <w:r w:rsidR="0037086D">
        <w:rPr>
          <w:noProof/>
        </w:rPr>
        <w:t>-</w:t>
      </w:r>
      <w:r w:rsidR="00416E0E">
        <w:rPr>
          <w:noProof/>
        </w:rPr>
        <w:t xml:space="preserve">country companies fall under this Directive, as </w:t>
      </w:r>
      <w:r w:rsidR="00892F0F" w:rsidRPr="00892F0F">
        <w:rPr>
          <w:noProof/>
        </w:rPr>
        <w:t xml:space="preserve">the notion of “employees” retained for the purposes of this Directive is based </w:t>
      </w:r>
      <w:r w:rsidR="00594814">
        <w:rPr>
          <w:noProof/>
        </w:rPr>
        <w:t>o</w:t>
      </w:r>
      <w:r w:rsidR="00892F0F" w:rsidRPr="00892F0F">
        <w:rPr>
          <w:noProof/>
        </w:rPr>
        <w:t>n Union law and c</w:t>
      </w:r>
      <w:r w:rsidR="004953F8">
        <w:rPr>
          <w:noProof/>
        </w:rPr>
        <w:t>ould not be easily</w:t>
      </w:r>
      <w:r w:rsidR="00892F0F" w:rsidRPr="00892F0F">
        <w:rPr>
          <w:noProof/>
        </w:rPr>
        <w:t xml:space="preserve"> </w:t>
      </w:r>
      <w:r w:rsidR="00317771">
        <w:rPr>
          <w:noProof/>
        </w:rPr>
        <w:t xml:space="preserve">transposed </w:t>
      </w:r>
      <w:r w:rsidR="00892F0F" w:rsidRPr="00892F0F">
        <w:rPr>
          <w:noProof/>
        </w:rPr>
        <w:t xml:space="preserve">outside of the Union. In the absence of a </w:t>
      </w:r>
      <w:r w:rsidR="00317771">
        <w:rPr>
          <w:noProof/>
        </w:rPr>
        <w:t>clear and consistent</w:t>
      </w:r>
      <w:r w:rsidR="00317771" w:rsidRPr="00892F0F">
        <w:rPr>
          <w:noProof/>
        </w:rPr>
        <w:t xml:space="preserve"> </w:t>
      </w:r>
      <w:r w:rsidR="00416E0E">
        <w:rPr>
          <w:noProof/>
        </w:rPr>
        <w:t>methodology</w:t>
      </w:r>
      <w:r w:rsidR="00C00863">
        <w:rPr>
          <w:noProof/>
        </w:rPr>
        <w:t>, including in accounting frameworks,</w:t>
      </w:r>
      <w:r w:rsidR="00416E0E">
        <w:rPr>
          <w:noProof/>
        </w:rPr>
        <w:t xml:space="preserve"> to determine the employees of third</w:t>
      </w:r>
      <w:r w:rsidR="0037086D">
        <w:rPr>
          <w:noProof/>
        </w:rPr>
        <w:t>-</w:t>
      </w:r>
      <w:r w:rsidR="00416E0E">
        <w:rPr>
          <w:noProof/>
        </w:rPr>
        <w:t>country companies</w:t>
      </w:r>
      <w:r w:rsidR="00892F0F">
        <w:rPr>
          <w:noProof/>
        </w:rPr>
        <w:t>,</w:t>
      </w:r>
      <w:r w:rsidR="00416E0E">
        <w:rPr>
          <w:noProof/>
        </w:rPr>
        <w:t xml:space="preserve"> such employee threshold would therefore create legal uncertainty</w:t>
      </w:r>
      <w:r w:rsidR="00892F0F">
        <w:rPr>
          <w:noProof/>
        </w:rPr>
        <w:t xml:space="preserve"> and would be difficult to apply for supervisory authorities</w:t>
      </w:r>
      <w:r w:rsidR="00AD2A34">
        <w:rPr>
          <w:noProof/>
        </w:rPr>
        <w:t>.</w:t>
      </w:r>
      <w:r w:rsidR="005A0D96">
        <w:rPr>
          <w:noProof/>
        </w:rPr>
        <w:t xml:space="preserve"> The definition of turnover </w:t>
      </w:r>
      <w:r w:rsidR="005A0D96">
        <w:rPr>
          <w:noProof/>
          <w:lang w:eastAsia="fr-BE"/>
        </w:rPr>
        <w:t xml:space="preserve">should be based on Directive </w:t>
      </w:r>
      <w:r w:rsidR="002B1451">
        <w:rPr>
          <w:noProof/>
          <w:lang w:eastAsia="fr-BE"/>
        </w:rPr>
        <w:t xml:space="preserve">2013/34/EU </w:t>
      </w:r>
      <w:r w:rsidR="005A0D96">
        <w:rPr>
          <w:noProof/>
          <w:lang w:eastAsia="fr-BE"/>
        </w:rPr>
        <w:t>which has already established the methods for calculating net turnover for non-</w:t>
      </w:r>
      <w:r w:rsidR="003B69E7">
        <w:rPr>
          <w:noProof/>
          <w:lang w:eastAsia="fr-BE"/>
        </w:rPr>
        <w:t>Union</w:t>
      </w:r>
      <w:r w:rsidR="005A0D96">
        <w:rPr>
          <w:noProof/>
          <w:lang w:eastAsia="fr-BE"/>
        </w:rPr>
        <w:t xml:space="preserve"> companies</w:t>
      </w:r>
      <w:r w:rsidR="00C00863">
        <w:rPr>
          <w:noProof/>
          <w:lang w:eastAsia="fr-BE"/>
        </w:rPr>
        <w:t>, as turnover and revenue definitions are simi</w:t>
      </w:r>
      <w:r w:rsidR="009A2424">
        <w:rPr>
          <w:noProof/>
          <w:lang w:eastAsia="fr-BE"/>
        </w:rPr>
        <w:t>l</w:t>
      </w:r>
      <w:r w:rsidR="00C00863">
        <w:rPr>
          <w:noProof/>
          <w:lang w:eastAsia="fr-BE"/>
        </w:rPr>
        <w:t>ar</w:t>
      </w:r>
      <w:r w:rsidR="009A2424">
        <w:rPr>
          <w:noProof/>
          <w:lang w:eastAsia="fr-BE"/>
        </w:rPr>
        <w:t xml:space="preserve"> in</w:t>
      </w:r>
      <w:r w:rsidR="00C00863">
        <w:rPr>
          <w:noProof/>
          <w:lang w:eastAsia="fr-BE"/>
        </w:rPr>
        <w:t xml:space="preserve"> international accounting frameworks too</w:t>
      </w:r>
      <w:r w:rsidR="005A0D96">
        <w:rPr>
          <w:noProof/>
          <w:lang w:eastAsia="fr-BE"/>
        </w:rPr>
        <w:t xml:space="preserve">. </w:t>
      </w:r>
      <w:r w:rsidR="002A1C00">
        <w:rPr>
          <w:noProof/>
        </w:rPr>
        <w:t>With a view to ensur</w:t>
      </w:r>
      <w:r w:rsidR="00002810">
        <w:rPr>
          <w:noProof/>
        </w:rPr>
        <w:t>ing</w:t>
      </w:r>
      <w:r w:rsidR="002A1C00">
        <w:rPr>
          <w:noProof/>
        </w:rPr>
        <w:t xml:space="preserve"> that the supervisory authority knows which third country companies generate the required turnover in the </w:t>
      </w:r>
      <w:r w:rsidR="003B69E7">
        <w:rPr>
          <w:noProof/>
        </w:rPr>
        <w:t>Union</w:t>
      </w:r>
      <w:r w:rsidR="002A1C00">
        <w:rPr>
          <w:noProof/>
        </w:rPr>
        <w:t xml:space="preserve"> </w:t>
      </w:r>
      <w:r w:rsidR="001E1D54">
        <w:rPr>
          <w:noProof/>
        </w:rPr>
        <w:t>to</w:t>
      </w:r>
      <w:r w:rsidR="002A1C00">
        <w:rPr>
          <w:noProof/>
        </w:rPr>
        <w:t xml:space="preserve"> fall under the scope of </w:t>
      </w:r>
      <w:r w:rsidR="006A57AC">
        <w:rPr>
          <w:noProof/>
        </w:rPr>
        <w:t xml:space="preserve">this </w:t>
      </w:r>
      <w:r w:rsidR="002A1C00">
        <w:rPr>
          <w:noProof/>
        </w:rPr>
        <w:t xml:space="preserve">Directive, </w:t>
      </w:r>
      <w:r w:rsidR="00E5264D">
        <w:rPr>
          <w:noProof/>
        </w:rPr>
        <w:t>this</w:t>
      </w:r>
      <w:r w:rsidR="002A1C00">
        <w:rPr>
          <w:noProof/>
        </w:rPr>
        <w:t xml:space="preserve"> Directive should require that </w:t>
      </w:r>
      <w:r w:rsidR="002A1C00" w:rsidRPr="00BC6E3D">
        <w:rPr>
          <w:noProof/>
        </w:rPr>
        <w:t>a supervisory authority in the Member State where the</w:t>
      </w:r>
      <w:r w:rsidR="002A1C00">
        <w:rPr>
          <w:noProof/>
        </w:rPr>
        <w:t xml:space="preserve"> third country company’s</w:t>
      </w:r>
      <w:r w:rsidR="002A1C00" w:rsidRPr="00BC6E3D">
        <w:rPr>
          <w:noProof/>
        </w:rPr>
        <w:t xml:space="preserve"> authorised representative is domiciled or established and, where it is different, a supervisory authority in the Member State in which the company generated most of its net turnover</w:t>
      </w:r>
      <w:r w:rsidR="002A1C00" w:rsidRPr="00BC6E3D" w:rsidDel="00B72E49">
        <w:rPr>
          <w:noProof/>
        </w:rPr>
        <w:t xml:space="preserve"> </w:t>
      </w:r>
      <w:r w:rsidR="002A1C00" w:rsidRPr="00BC6E3D">
        <w:rPr>
          <w:noProof/>
        </w:rPr>
        <w:t xml:space="preserve">in the Union in the financial year preceding the last financial year are informed that the company is a company </w:t>
      </w:r>
      <w:r w:rsidR="002A1C00">
        <w:rPr>
          <w:noProof/>
        </w:rPr>
        <w:t xml:space="preserve">falling under the scope of </w:t>
      </w:r>
      <w:r w:rsidR="00E5264D">
        <w:rPr>
          <w:noProof/>
        </w:rPr>
        <w:t xml:space="preserve">this </w:t>
      </w:r>
      <w:r w:rsidR="002A1C00">
        <w:rPr>
          <w:noProof/>
        </w:rPr>
        <w:t xml:space="preserve">Directive. </w:t>
      </w:r>
      <w:r w:rsidR="002A1C00" w:rsidRPr="00BC6E3D">
        <w:rPr>
          <w:noProof/>
        </w:rPr>
        <w:t xml:space="preserve"> </w:t>
      </w:r>
    </w:p>
    <w:p w14:paraId="1947D63C" w14:textId="1FBE3C95" w:rsidR="00C17346" w:rsidRDefault="00822875" w:rsidP="00822875">
      <w:pPr>
        <w:pStyle w:val="ManualConsidrant"/>
        <w:rPr>
          <w:noProof/>
        </w:rPr>
      </w:pPr>
      <w:r w:rsidRPr="00822875">
        <w:t>(25)</w:t>
      </w:r>
      <w:r w:rsidRPr="00822875">
        <w:tab/>
      </w:r>
      <w:r w:rsidR="00ED3016">
        <w:rPr>
          <w:noProof/>
        </w:rPr>
        <w:t xml:space="preserve">In order to achieve a meaningful contribution to the sustainability transition, due diligence under this </w:t>
      </w:r>
      <w:r w:rsidR="00786DDD">
        <w:rPr>
          <w:noProof/>
        </w:rPr>
        <w:t>D</w:t>
      </w:r>
      <w:r w:rsidR="00ED3016">
        <w:rPr>
          <w:noProof/>
        </w:rPr>
        <w:t xml:space="preserve">irective should be carried out with respect to </w:t>
      </w:r>
      <w:r w:rsidR="00ED3016" w:rsidRPr="00C17263">
        <w:rPr>
          <w:noProof/>
        </w:rPr>
        <w:t xml:space="preserve">adverse </w:t>
      </w:r>
      <w:r w:rsidR="00ED3016">
        <w:rPr>
          <w:noProof/>
        </w:rPr>
        <w:t xml:space="preserve">human rights </w:t>
      </w:r>
      <w:r w:rsidR="00BF275B">
        <w:rPr>
          <w:noProof/>
        </w:rPr>
        <w:t xml:space="preserve">impact on protected persons resulting from the violation of one of the rights </w:t>
      </w:r>
      <w:r w:rsidR="00A43C73">
        <w:rPr>
          <w:noProof/>
        </w:rPr>
        <w:t xml:space="preserve">and prohibitions </w:t>
      </w:r>
      <w:r w:rsidR="00BF275B">
        <w:rPr>
          <w:noProof/>
        </w:rPr>
        <w:t xml:space="preserve">as enshrined in the international conventions as listed in the Annex to this Directive. </w:t>
      </w:r>
      <w:r w:rsidR="00A43C73">
        <w:rPr>
          <w:noProof/>
        </w:rPr>
        <w:t xml:space="preserve">In order to ensure a comprehensive coverage of human rights, </w:t>
      </w:r>
      <w:r w:rsidR="000A497F">
        <w:rPr>
          <w:noProof/>
        </w:rPr>
        <w:t>a violation</w:t>
      </w:r>
      <w:r w:rsidR="00A43C73">
        <w:rPr>
          <w:noProof/>
        </w:rPr>
        <w:t xml:space="preserve"> of a prohibition or right not specifically listed in that Annex which directly impairs a legal interest protected in those </w:t>
      </w:r>
      <w:r w:rsidR="000F4935">
        <w:rPr>
          <w:noProof/>
        </w:rPr>
        <w:t>conventions</w:t>
      </w:r>
      <w:r w:rsidR="000A497F">
        <w:rPr>
          <w:noProof/>
        </w:rPr>
        <w:t xml:space="preserve"> should also form part of the adverse human rights impact covered by this Directive</w:t>
      </w:r>
      <w:r w:rsidR="00A43C73">
        <w:rPr>
          <w:noProof/>
        </w:rPr>
        <w:t xml:space="preserve">, provided that the company concerned could have reasonably established the risk of such impairment and any appropriate measures to be taken in order to comply with the due diligence obligations </w:t>
      </w:r>
      <w:r w:rsidR="000F4935">
        <w:rPr>
          <w:noProof/>
        </w:rPr>
        <w:t>under</w:t>
      </w:r>
      <w:r w:rsidR="00A43C73">
        <w:rPr>
          <w:noProof/>
        </w:rPr>
        <w:t xml:space="preserve"> this Directive, taking into account all relevant circumstances of their operations, such as the sector and operational context. </w:t>
      </w:r>
      <w:r w:rsidR="00BF275B">
        <w:rPr>
          <w:noProof/>
        </w:rPr>
        <w:t xml:space="preserve">Due diligence should further encompass adverse </w:t>
      </w:r>
      <w:r w:rsidR="00ED3016">
        <w:rPr>
          <w:noProof/>
        </w:rPr>
        <w:t xml:space="preserve">environmental </w:t>
      </w:r>
      <w:r w:rsidR="00ED3016" w:rsidRPr="00C17263">
        <w:rPr>
          <w:noProof/>
        </w:rPr>
        <w:t>impacts</w:t>
      </w:r>
      <w:r w:rsidR="00BF275B">
        <w:rPr>
          <w:noProof/>
        </w:rPr>
        <w:t xml:space="preserve"> resulting from t</w:t>
      </w:r>
      <w:r w:rsidR="00BF275B" w:rsidRPr="00BF275B">
        <w:rPr>
          <w:noProof/>
        </w:rPr>
        <w:t xml:space="preserve">he violation of one of the prohibitions and obligations pursuant to the international environmental conventions listed in the </w:t>
      </w:r>
      <w:r w:rsidR="009F5971">
        <w:rPr>
          <w:noProof/>
        </w:rPr>
        <w:t>Annex to this Directive</w:t>
      </w:r>
      <w:r w:rsidR="00ED3016">
        <w:rPr>
          <w:noProof/>
        </w:rPr>
        <w:t>.</w:t>
      </w:r>
    </w:p>
    <w:p w14:paraId="73F26F32" w14:textId="63005B5F" w:rsidR="00ED3016" w:rsidRPr="00C6766B" w:rsidRDefault="00822875" w:rsidP="00822875">
      <w:pPr>
        <w:pStyle w:val="ManualConsidrant"/>
        <w:rPr>
          <w:noProof/>
        </w:rPr>
      </w:pPr>
      <w:r w:rsidRPr="00822875">
        <w:t>(26)</w:t>
      </w:r>
      <w:r w:rsidRPr="00822875">
        <w:tab/>
      </w:r>
      <w:r w:rsidR="00ED3016">
        <w:rPr>
          <w:noProof/>
        </w:rPr>
        <w:t xml:space="preserve">Companies have guidance at their disposal that illustrates how their activities may impact human rights and which corporate behaviour is prohibited in accordance with internationally recognised human rights. Such guidance is included </w:t>
      </w:r>
      <w:r w:rsidR="002469C9">
        <w:rPr>
          <w:noProof/>
        </w:rPr>
        <w:t>for instance</w:t>
      </w:r>
      <w:r w:rsidR="00ED3016">
        <w:rPr>
          <w:noProof/>
        </w:rPr>
        <w:t xml:space="preserve"> in </w:t>
      </w:r>
      <w:r w:rsidR="00E429F0">
        <w:rPr>
          <w:noProof/>
        </w:rPr>
        <w:t>T</w:t>
      </w:r>
      <w:r w:rsidR="00ED3016">
        <w:rPr>
          <w:noProof/>
        </w:rPr>
        <w:t>he United Nations Guiding Principles Reporting Framework</w:t>
      </w:r>
      <w:r w:rsidR="00ED3016" w:rsidRPr="00C84988">
        <w:rPr>
          <w:rStyle w:val="Allmrkuseviide"/>
          <w:noProof/>
        </w:rPr>
        <w:footnoteReference w:id="105"/>
      </w:r>
      <w:r w:rsidR="006D6390">
        <w:rPr>
          <w:noProof/>
        </w:rPr>
        <w:t xml:space="preserve"> and the </w:t>
      </w:r>
      <w:r w:rsidR="006D6390" w:rsidRPr="006D6390">
        <w:rPr>
          <w:noProof/>
        </w:rPr>
        <w:t>United Nations Guiding Principles</w:t>
      </w:r>
      <w:r w:rsidR="006D6390">
        <w:rPr>
          <w:noProof/>
        </w:rPr>
        <w:t xml:space="preserve"> Interpretative </w:t>
      </w:r>
      <w:r w:rsidR="006D6390" w:rsidRPr="006D6390">
        <w:rPr>
          <w:noProof/>
        </w:rPr>
        <w:t>Guide</w:t>
      </w:r>
      <w:r w:rsidR="00ED3016" w:rsidRPr="00C84988">
        <w:rPr>
          <w:rStyle w:val="Allmrkuseviide"/>
          <w:noProof/>
        </w:rPr>
        <w:footnoteReference w:id="106"/>
      </w:r>
      <w:r w:rsidR="00ED3016">
        <w:rPr>
          <w:noProof/>
        </w:rPr>
        <w:t xml:space="preserve">. </w:t>
      </w:r>
      <w:r w:rsidR="001B585B" w:rsidRPr="00C6766B">
        <w:rPr>
          <w:noProof/>
        </w:rPr>
        <w:t xml:space="preserve">Using relevant international guidelines and standards as a reference, the Commission should </w:t>
      </w:r>
      <w:r w:rsidR="001101C1" w:rsidRPr="00C6766B">
        <w:rPr>
          <w:noProof/>
        </w:rPr>
        <w:t xml:space="preserve">be able to </w:t>
      </w:r>
      <w:r w:rsidR="001B585B" w:rsidRPr="00C6766B">
        <w:rPr>
          <w:noProof/>
        </w:rPr>
        <w:t>issue additional guidance that will serve as a practical tool for companies.</w:t>
      </w:r>
    </w:p>
    <w:p w14:paraId="7C40A7A2" w14:textId="110AB64D" w:rsidR="00ED3016" w:rsidRPr="00F8340F" w:rsidRDefault="00822875" w:rsidP="00822875">
      <w:pPr>
        <w:pStyle w:val="ManualConsidrant"/>
        <w:rPr>
          <w:noProof/>
        </w:rPr>
      </w:pPr>
      <w:r w:rsidRPr="00822875">
        <w:t>(27)</w:t>
      </w:r>
      <w:r w:rsidRPr="00822875">
        <w:tab/>
      </w:r>
      <w:r w:rsidR="00ED3016">
        <w:rPr>
          <w:noProof/>
        </w:rPr>
        <w:t>In order to conduct appropriate human rights</w:t>
      </w:r>
      <w:r w:rsidR="00C75A72">
        <w:rPr>
          <w:noProof/>
        </w:rPr>
        <w:t xml:space="preserve">, </w:t>
      </w:r>
      <w:r w:rsidR="00ED3016">
        <w:rPr>
          <w:noProof/>
        </w:rPr>
        <w:t>and environmental</w:t>
      </w:r>
      <w:r w:rsidR="00ED3016" w:rsidRPr="2189B90C">
        <w:rPr>
          <w:noProof/>
        </w:rPr>
        <w:t xml:space="preserve"> </w:t>
      </w:r>
      <w:r w:rsidR="00ED3016">
        <w:rPr>
          <w:noProof/>
        </w:rPr>
        <w:t>due diligence with respect to their operations, their subsidiaries, and their value chains, companies covered by this Directive should</w:t>
      </w:r>
      <w:r w:rsidR="00D10DF6">
        <w:rPr>
          <w:noProof/>
        </w:rPr>
        <w:t xml:space="preserve"> </w:t>
      </w:r>
      <w:r w:rsidR="00BD0479">
        <w:rPr>
          <w:noProof/>
        </w:rPr>
        <w:t>integrate</w:t>
      </w:r>
      <w:r w:rsidR="00426C6F">
        <w:rPr>
          <w:noProof/>
        </w:rPr>
        <w:t xml:space="preserve"> due diligence into corporate policies, </w:t>
      </w:r>
      <w:r w:rsidR="00ED3016">
        <w:rPr>
          <w:noProof/>
        </w:rPr>
        <w:t>identify, prevent</w:t>
      </w:r>
      <w:r w:rsidR="00167E3F">
        <w:rPr>
          <w:noProof/>
        </w:rPr>
        <w:t xml:space="preserve"> and</w:t>
      </w:r>
      <w:r w:rsidR="00BD0479">
        <w:rPr>
          <w:noProof/>
        </w:rPr>
        <w:t xml:space="preserve"> </w:t>
      </w:r>
      <w:r w:rsidR="00AB3754">
        <w:rPr>
          <w:noProof/>
        </w:rPr>
        <w:t xml:space="preserve">mitigate </w:t>
      </w:r>
      <w:r w:rsidR="00167E3F">
        <w:rPr>
          <w:noProof/>
        </w:rPr>
        <w:t>as well as</w:t>
      </w:r>
      <w:r w:rsidR="00A1317A">
        <w:rPr>
          <w:noProof/>
        </w:rPr>
        <w:t xml:space="preserve"> </w:t>
      </w:r>
      <w:r w:rsidR="00996C03">
        <w:rPr>
          <w:noProof/>
        </w:rPr>
        <w:t>bring to an end</w:t>
      </w:r>
      <w:r w:rsidR="006B2C65">
        <w:rPr>
          <w:noProof/>
        </w:rPr>
        <w:t xml:space="preserve"> and minimi</w:t>
      </w:r>
      <w:r w:rsidR="00943CCA">
        <w:rPr>
          <w:noProof/>
        </w:rPr>
        <w:t>s</w:t>
      </w:r>
      <w:r w:rsidR="006B2C65">
        <w:rPr>
          <w:noProof/>
        </w:rPr>
        <w:t>e</w:t>
      </w:r>
      <w:r w:rsidR="00ED3016">
        <w:rPr>
          <w:noProof/>
        </w:rPr>
        <w:t xml:space="preserve"> the extent of potential and actual</w:t>
      </w:r>
      <w:r w:rsidR="00DF56A3">
        <w:rPr>
          <w:noProof/>
        </w:rPr>
        <w:t xml:space="preserve"> </w:t>
      </w:r>
      <w:r w:rsidR="00ED3016">
        <w:rPr>
          <w:noProof/>
        </w:rPr>
        <w:t xml:space="preserve">adverse human rights and environmental impacts, establish and maintain a complaints procedure, </w:t>
      </w:r>
      <w:r w:rsidR="00BD0479">
        <w:rPr>
          <w:noProof/>
        </w:rPr>
        <w:t xml:space="preserve">monitor </w:t>
      </w:r>
      <w:r w:rsidR="00ED3016">
        <w:rPr>
          <w:noProof/>
        </w:rPr>
        <w:t xml:space="preserve">the effectiveness of the taken measures in accordance with </w:t>
      </w:r>
      <w:r w:rsidR="00ED3016" w:rsidRPr="00EA2BF0">
        <w:rPr>
          <w:noProof/>
        </w:rPr>
        <w:t xml:space="preserve">the requirements that are set up in </w:t>
      </w:r>
      <w:r w:rsidR="00ED3016">
        <w:rPr>
          <w:noProof/>
        </w:rPr>
        <w:t>this Directive</w:t>
      </w:r>
      <w:r w:rsidR="003B2805">
        <w:rPr>
          <w:noProof/>
        </w:rPr>
        <w:t xml:space="preserve"> and </w:t>
      </w:r>
      <w:r w:rsidR="003B2805" w:rsidRPr="00463118">
        <w:rPr>
          <w:noProof/>
        </w:rPr>
        <w:t xml:space="preserve">communicate </w:t>
      </w:r>
      <w:r w:rsidR="003B2805" w:rsidRPr="009B4CA0">
        <w:rPr>
          <w:noProof/>
        </w:rPr>
        <w:t>publicly on their due diligence</w:t>
      </w:r>
      <w:r w:rsidR="00A62065">
        <w:rPr>
          <w:noProof/>
        </w:rPr>
        <w:t>.</w:t>
      </w:r>
      <w:r w:rsidR="00ED3016" w:rsidRPr="00F8340F">
        <w:rPr>
          <w:noProof/>
        </w:rPr>
        <w:t xml:space="preserve"> </w:t>
      </w:r>
      <w:r w:rsidR="003D14AB">
        <w:rPr>
          <w:noProof/>
        </w:rPr>
        <w:t xml:space="preserve">In order to ensure clarity for companies, in particular the steps of </w:t>
      </w:r>
      <w:r w:rsidR="004D1237">
        <w:rPr>
          <w:noProof/>
        </w:rPr>
        <w:t>preventi</w:t>
      </w:r>
      <w:r w:rsidR="003D14AB">
        <w:rPr>
          <w:noProof/>
        </w:rPr>
        <w:t>n</w:t>
      </w:r>
      <w:r w:rsidR="004D1237">
        <w:rPr>
          <w:noProof/>
        </w:rPr>
        <w:t>g</w:t>
      </w:r>
      <w:r w:rsidR="003D14AB">
        <w:rPr>
          <w:noProof/>
        </w:rPr>
        <w:t xml:space="preserve"> </w:t>
      </w:r>
      <w:r w:rsidR="004578BD">
        <w:rPr>
          <w:noProof/>
        </w:rPr>
        <w:t xml:space="preserve">and mitigating </w:t>
      </w:r>
      <w:r w:rsidR="003D14AB">
        <w:rPr>
          <w:noProof/>
        </w:rPr>
        <w:t>potential adverse impacts and of bringing to an end</w:t>
      </w:r>
      <w:r w:rsidR="004578BD">
        <w:rPr>
          <w:noProof/>
        </w:rPr>
        <w:t>, or when this is not possible, minimis</w:t>
      </w:r>
      <w:r w:rsidR="009B09E3">
        <w:rPr>
          <w:noProof/>
        </w:rPr>
        <w:t>ing</w:t>
      </w:r>
      <w:r w:rsidR="004578BD">
        <w:rPr>
          <w:noProof/>
        </w:rPr>
        <w:t xml:space="preserve"> actual</w:t>
      </w:r>
      <w:r w:rsidR="003D14AB">
        <w:rPr>
          <w:noProof/>
        </w:rPr>
        <w:t xml:space="preserve"> adverse impacts should be clearly distinguished in this Directive.</w:t>
      </w:r>
    </w:p>
    <w:p w14:paraId="576BE35E" w14:textId="1ACBA1CB" w:rsidR="00DB4B63" w:rsidRDefault="00822875" w:rsidP="00822875">
      <w:pPr>
        <w:pStyle w:val="ManualConsidrant"/>
        <w:rPr>
          <w:noProof/>
        </w:rPr>
      </w:pPr>
      <w:r w:rsidRPr="00822875">
        <w:t>(28)</w:t>
      </w:r>
      <w:r w:rsidRPr="00822875">
        <w:tab/>
      </w:r>
      <w:r w:rsidR="00DB4B63">
        <w:rPr>
          <w:noProof/>
        </w:rPr>
        <w:t xml:space="preserve">In order to ensure that due diligence forms part of companies’ corporate policies, </w:t>
      </w:r>
      <w:r w:rsidR="00D308CF">
        <w:rPr>
          <w:noProof/>
        </w:rPr>
        <w:t xml:space="preserve">and in line with the relevant international framework, </w:t>
      </w:r>
      <w:r w:rsidR="00DB4B63">
        <w:rPr>
          <w:noProof/>
        </w:rPr>
        <w:t xml:space="preserve">companies should </w:t>
      </w:r>
      <w:r w:rsidR="00C17346" w:rsidRPr="00C17346">
        <w:rPr>
          <w:noProof/>
        </w:rPr>
        <w:t>integrate</w:t>
      </w:r>
      <w:r w:rsidR="00DB4B63">
        <w:rPr>
          <w:noProof/>
        </w:rPr>
        <w:t xml:space="preserve"> due diligence into all </w:t>
      </w:r>
      <w:r w:rsidR="00BF169E">
        <w:rPr>
          <w:noProof/>
        </w:rPr>
        <w:t xml:space="preserve">their </w:t>
      </w:r>
      <w:r w:rsidR="00DB4B63">
        <w:rPr>
          <w:noProof/>
        </w:rPr>
        <w:t>corporate policies</w:t>
      </w:r>
      <w:r w:rsidR="00BF169E">
        <w:rPr>
          <w:noProof/>
        </w:rPr>
        <w:t xml:space="preserve"> and </w:t>
      </w:r>
      <w:r w:rsidR="00C17346" w:rsidRPr="00C17346">
        <w:rPr>
          <w:noProof/>
        </w:rPr>
        <w:t>have</w:t>
      </w:r>
      <w:r w:rsidR="000F06AF">
        <w:rPr>
          <w:noProof/>
        </w:rPr>
        <w:t xml:space="preserve"> in place</w:t>
      </w:r>
      <w:r w:rsidR="00DB4B63">
        <w:rPr>
          <w:noProof/>
        </w:rPr>
        <w:t xml:space="preserve"> a </w:t>
      </w:r>
      <w:r w:rsidR="00C17346" w:rsidRPr="00C17346">
        <w:rPr>
          <w:noProof/>
        </w:rPr>
        <w:t>due diligence p</w:t>
      </w:r>
      <w:r w:rsidR="00BF169E">
        <w:rPr>
          <w:noProof/>
        </w:rPr>
        <w:t>olicy. The due diligence policy</w:t>
      </w:r>
      <w:r w:rsidR="00C17346" w:rsidRPr="00C17346">
        <w:rPr>
          <w:noProof/>
        </w:rPr>
        <w:t xml:space="preserve"> </w:t>
      </w:r>
      <w:r w:rsidR="00BF169E">
        <w:rPr>
          <w:noProof/>
        </w:rPr>
        <w:t>should</w:t>
      </w:r>
      <w:r w:rsidR="00C17346" w:rsidRPr="00C17346">
        <w:rPr>
          <w:noProof/>
        </w:rPr>
        <w:t xml:space="preserve"> contain </w:t>
      </w:r>
      <w:r w:rsidR="00C17346" w:rsidRPr="00C84988">
        <w:rPr>
          <w:noProof/>
        </w:rPr>
        <w:t xml:space="preserve">a description of the company’s </w:t>
      </w:r>
      <w:r w:rsidR="00C17346" w:rsidRPr="00C17346">
        <w:rPr>
          <w:noProof/>
        </w:rPr>
        <w:t>approach, including in the long term, to due diligence</w:t>
      </w:r>
      <w:r w:rsidR="00BF169E">
        <w:rPr>
          <w:noProof/>
        </w:rPr>
        <w:t xml:space="preserve">, </w:t>
      </w:r>
      <w:r w:rsidR="00C17346" w:rsidRPr="00C17346">
        <w:rPr>
          <w:noProof/>
        </w:rPr>
        <w:t xml:space="preserve">a </w:t>
      </w:r>
      <w:r w:rsidR="00DB4B63">
        <w:rPr>
          <w:noProof/>
        </w:rPr>
        <w:t xml:space="preserve">code of conduct </w:t>
      </w:r>
      <w:r w:rsidR="00C17346" w:rsidRPr="00C17346">
        <w:rPr>
          <w:noProof/>
        </w:rPr>
        <w:t>describing</w:t>
      </w:r>
      <w:r w:rsidR="00BF169E">
        <w:rPr>
          <w:noProof/>
        </w:rPr>
        <w:t xml:space="preserve"> the </w:t>
      </w:r>
      <w:r w:rsidR="00DB4B63" w:rsidRPr="00DB4B63">
        <w:rPr>
          <w:noProof/>
        </w:rPr>
        <w:t>rules and principles to be followed by the company’s employees</w:t>
      </w:r>
      <w:r w:rsidR="00C17346" w:rsidRPr="00C17346">
        <w:rPr>
          <w:noProof/>
        </w:rPr>
        <w:t xml:space="preserve"> and </w:t>
      </w:r>
      <w:r w:rsidR="00DB4B63" w:rsidRPr="00DB4B63">
        <w:rPr>
          <w:noProof/>
        </w:rPr>
        <w:t>subsidiaries</w:t>
      </w:r>
      <w:r w:rsidR="00C17346" w:rsidRPr="00C17346">
        <w:rPr>
          <w:noProof/>
        </w:rPr>
        <w:t>; a description of the processes put in place to implement due diligence, including the measures taken to verify compliance with the code of conduct and to extend its application to</w:t>
      </w:r>
      <w:r w:rsidR="00DB4B63" w:rsidRPr="00DB4B63">
        <w:rPr>
          <w:noProof/>
        </w:rPr>
        <w:t xml:space="preserve"> </w:t>
      </w:r>
      <w:r w:rsidR="0034799F">
        <w:rPr>
          <w:noProof/>
        </w:rPr>
        <w:t xml:space="preserve">established </w:t>
      </w:r>
      <w:r w:rsidR="00DB4B63" w:rsidRPr="00DB4B63">
        <w:rPr>
          <w:noProof/>
        </w:rPr>
        <w:t>busine</w:t>
      </w:r>
      <w:r w:rsidR="00114FCD">
        <w:rPr>
          <w:noProof/>
        </w:rPr>
        <w:t>ss relationships</w:t>
      </w:r>
      <w:r w:rsidR="00C17346" w:rsidRPr="00C17346">
        <w:rPr>
          <w:noProof/>
        </w:rPr>
        <w:t xml:space="preserve">. </w:t>
      </w:r>
      <w:r w:rsidR="00BF169E">
        <w:rPr>
          <w:noProof/>
        </w:rPr>
        <w:t>The code of conduct should</w:t>
      </w:r>
      <w:r w:rsidR="00114FCD" w:rsidRPr="00114FCD">
        <w:rPr>
          <w:noProof/>
        </w:rPr>
        <w:t xml:space="preserve"> apply in all relevant corporate functions and operations, including procurement and purchasing decisions.</w:t>
      </w:r>
      <w:r w:rsidR="00BF169E">
        <w:rPr>
          <w:noProof/>
        </w:rPr>
        <w:t xml:space="preserve"> C</w:t>
      </w:r>
      <w:r w:rsidR="00C17346" w:rsidRPr="00C17346">
        <w:rPr>
          <w:noProof/>
        </w:rPr>
        <w:t xml:space="preserve">ompanies </w:t>
      </w:r>
      <w:r w:rsidR="00BF169E">
        <w:rPr>
          <w:noProof/>
        </w:rPr>
        <w:t xml:space="preserve">should also </w:t>
      </w:r>
      <w:r w:rsidR="00C17346" w:rsidRPr="00C17346">
        <w:rPr>
          <w:noProof/>
        </w:rPr>
        <w:t>update their due diligence policy annually.</w:t>
      </w:r>
    </w:p>
    <w:p w14:paraId="60FE6E2E" w14:textId="3FA43D2C" w:rsidR="002D6FAA" w:rsidRPr="00D269A8" w:rsidDel="00860312" w:rsidRDefault="00822875" w:rsidP="00822875">
      <w:pPr>
        <w:pStyle w:val="ManualConsidrant"/>
        <w:rPr>
          <w:noProof/>
        </w:rPr>
      </w:pPr>
      <w:r w:rsidRPr="00822875">
        <w:t>(29)</w:t>
      </w:r>
      <w:r w:rsidRPr="00822875">
        <w:tab/>
      </w:r>
      <w:r w:rsidR="002D6FAA">
        <w:rPr>
          <w:noProof/>
        </w:rPr>
        <w:t>To comply with due diligence</w:t>
      </w:r>
      <w:r w:rsidR="00E429F0">
        <w:rPr>
          <w:noProof/>
        </w:rPr>
        <w:t xml:space="preserve"> obligations</w:t>
      </w:r>
      <w:r w:rsidR="002D6FAA">
        <w:rPr>
          <w:noProof/>
        </w:rPr>
        <w:t xml:space="preserve">, companies need to take appropriate measures </w:t>
      </w:r>
      <w:r w:rsidR="00957022">
        <w:rPr>
          <w:noProof/>
        </w:rPr>
        <w:t xml:space="preserve">with respect </w:t>
      </w:r>
      <w:r w:rsidR="002D6FAA">
        <w:rPr>
          <w:noProof/>
        </w:rPr>
        <w:t xml:space="preserve">to </w:t>
      </w:r>
      <w:r w:rsidR="00D14F76">
        <w:rPr>
          <w:noProof/>
        </w:rPr>
        <w:t>identification, prevention and bringing to an end</w:t>
      </w:r>
      <w:r w:rsidR="00BF7676">
        <w:rPr>
          <w:noProof/>
        </w:rPr>
        <w:t xml:space="preserve"> </w:t>
      </w:r>
      <w:r w:rsidR="002D6FAA">
        <w:rPr>
          <w:noProof/>
        </w:rPr>
        <w:t>adverse impacts. An ‘</w:t>
      </w:r>
      <w:r w:rsidR="002D6FAA" w:rsidRPr="00BD3E37">
        <w:rPr>
          <w:noProof/>
        </w:rPr>
        <w:t>appropriate measure’</w:t>
      </w:r>
      <w:r w:rsidR="002D6FAA">
        <w:rPr>
          <w:noProof/>
        </w:rPr>
        <w:t xml:space="preserve"> should</w:t>
      </w:r>
      <w:r w:rsidR="002D6FAA" w:rsidRPr="00BD3E37">
        <w:rPr>
          <w:noProof/>
        </w:rPr>
        <w:t xml:space="preserve"> </w:t>
      </w:r>
      <w:r w:rsidR="002D6FAA">
        <w:rPr>
          <w:noProof/>
        </w:rPr>
        <w:t>mean</w:t>
      </w:r>
      <w:r w:rsidR="002D6FAA" w:rsidRPr="002D6FAA">
        <w:rPr>
          <w:noProof/>
        </w:rPr>
        <w:t xml:space="preserve"> a measure that is capable of achieving the objectives of due diligence, commensurate with the degree of severity and the likelihood of the adverse impact, and reasonably available to the company, taking into account the circumstances of the specific case, including characteristics of the economic sector and of the specific business relationship and the company’s influence thereof, and the need to ensure prioritisation of action.</w:t>
      </w:r>
      <w:r w:rsidR="002D6FAA">
        <w:rPr>
          <w:noProof/>
        </w:rPr>
        <w:t xml:space="preserve"> In this context</w:t>
      </w:r>
      <w:r w:rsidR="00697A11">
        <w:rPr>
          <w:noProof/>
        </w:rPr>
        <w:t>, in line with international frameworks,</w:t>
      </w:r>
      <w:r w:rsidR="002D6FAA">
        <w:rPr>
          <w:noProof/>
        </w:rPr>
        <w:t xml:space="preserve"> the company’s influence over a business relationship </w:t>
      </w:r>
      <w:r w:rsidR="00B85CCF">
        <w:rPr>
          <w:noProof/>
        </w:rPr>
        <w:t xml:space="preserve">should </w:t>
      </w:r>
      <w:r w:rsidR="00697A11">
        <w:rPr>
          <w:noProof/>
        </w:rPr>
        <w:t>include, on the one hand</w:t>
      </w:r>
      <w:r w:rsidR="002D6FAA">
        <w:rPr>
          <w:noProof/>
        </w:rPr>
        <w:t xml:space="preserve"> its ability to persuade the business relationship to take action to </w:t>
      </w:r>
      <w:r w:rsidR="00943CCA">
        <w:rPr>
          <w:noProof/>
        </w:rPr>
        <w:t>bring to an end</w:t>
      </w:r>
      <w:r w:rsidR="002D6FAA">
        <w:rPr>
          <w:noProof/>
        </w:rPr>
        <w:t xml:space="preserve"> or prevent adverse impacts (for example through </w:t>
      </w:r>
      <w:r w:rsidR="00697A11">
        <w:rPr>
          <w:noProof/>
        </w:rPr>
        <w:t>ownership or factual control,</w:t>
      </w:r>
      <w:r w:rsidR="002D6FAA">
        <w:rPr>
          <w:noProof/>
        </w:rPr>
        <w:t xml:space="preserve"> </w:t>
      </w:r>
      <w:r w:rsidR="00697A11">
        <w:rPr>
          <w:noProof/>
        </w:rPr>
        <w:t xml:space="preserve">market power, </w:t>
      </w:r>
      <w:r w:rsidR="002D6FAA">
        <w:rPr>
          <w:noProof/>
        </w:rPr>
        <w:t>pre-qualification requirements, linking business incentives to human rights and environmental performance, etc.) and</w:t>
      </w:r>
      <w:r w:rsidR="00697A11">
        <w:rPr>
          <w:noProof/>
        </w:rPr>
        <w:t>, on the other hand,</w:t>
      </w:r>
      <w:r w:rsidR="002D6FAA">
        <w:rPr>
          <w:noProof/>
        </w:rPr>
        <w:t xml:space="preserve"> the degree of </w:t>
      </w:r>
      <w:r w:rsidR="00697A11">
        <w:rPr>
          <w:noProof/>
        </w:rPr>
        <w:t>influence or leverage</w:t>
      </w:r>
      <w:r w:rsidR="002D6FAA">
        <w:rPr>
          <w:noProof/>
        </w:rPr>
        <w:t xml:space="preserve"> that the co</w:t>
      </w:r>
      <w:r w:rsidR="00697A11">
        <w:rPr>
          <w:noProof/>
        </w:rPr>
        <w:t>mpany could reasonably exercise</w:t>
      </w:r>
      <w:r w:rsidR="002D6FAA">
        <w:rPr>
          <w:noProof/>
        </w:rPr>
        <w:t xml:space="preserve">, for example through </w:t>
      </w:r>
      <w:r w:rsidR="00244410">
        <w:rPr>
          <w:noProof/>
        </w:rPr>
        <w:t>cooperation with the business partner in question or</w:t>
      </w:r>
      <w:r w:rsidR="00697A11">
        <w:rPr>
          <w:noProof/>
        </w:rPr>
        <w:t xml:space="preserve"> engagement</w:t>
      </w:r>
      <w:r w:rsidR="00244410">
        <w:rPr>
          <w:noProof/>
        </w:rPr>
        <w:t xml:space="preserve"> with another company which is the direct business partner of the</w:t>
      </w:r>
      <w:r w:rsidR="00697A11">
        <w:rPr>
          <w:noProof/>
        </w:rPr>
        <w:t xml:space="preserve"> business relationship associated with adverse impact</w:t>
      </w:r>
      <w:r w:rsidR="00244410">
        <w:rPr>
          <w:noProof/>
        </w:rPr>
        <w:t xml:space="preserve">. </w:t>
      </w:r>
      <w:r w:rsidR="00697A11">
        <w:rPr>
          <w:noProof/>
        </w:rPr>
        <w:t xml:space="preserve"> </w:t>
      </w:r>
    </w:p>
    <w:p w14:paraId="1BD5BD2B" w14:textId="516F8DEA" w:rsidR="0091090B" w:rsidRDefault="00822875" w:rsidP="00822875">
      <w:pPr>
        <w:pStyle w:val="ManualConsidrant"/>
        <w:rPr>
          <w:noProof/>
        </w:rPr>
      </w:pPr>
      <w:r w:rsidRPr="00822875">
        <w:t>(30)</w:t>
      </w:r>
      <w:r w:rsidRPr="00822875">
        <w:tab/>
      </w:r>
      <w:r w:rsidR="00ED3016">
        <w:rPr>
          <w:noProof/>
        </w:rPr>
        <w:tab/>
      </w:r>
      <w:r w:rsidR="006B0B9E" w:rsidRPr="008F66BF">
        <w:rPr>
          <w:noProof/>
        </w:rPr>
        <w:t xml:space="preserve">Under the due diligence </w:t>
      </w:r>
      <w:r w:rsidR="006B0B9E" w:rsidRPr="00764CC4">
        <w:rPr>
          <w:noProof/>
        </w:rPr>
        <w:t xml:space="preserve">obligations set out by this </w:t>
      </w:r>
      <w:r w:rsidR="006B0B9E">
        <w:rPr>
          <w:noProof/>
        </w:rPr>
        <w:t>D</w:t>
      </w:r>
      <w:r w:rsidR="006B0B9E" w:rsidRPr="00764CC4">
        <w:rPr>
          <w:noProof/>
        </w:rPr>
        <w:t xml:space="preserve">irective, </w:t>
      </w:r>
      <w:r w:rsidR="006B0B9E" w:rsidRPr="00ED3016">
        <w:rPr>
          <w:noProof/>
        </w:rPr>
        <w:t xml:space="preserve">a company </w:t>
      </w:r>
      <w:r w:rsidR="006B0B9E" w:rsidRPr="00764CC4">
        <w:rPr>
          <w:noProof/>
        </w:rPr>
        <w:t xml:space="preserve">should </w:t>
      </w:r>
      <w:r w:rsidR="006B0B9E">
        <w:rPr>
          <w:noProof/>
        </w:rPr>
        <w:t xml:space="preserve">identify actual or </w:t>
      </w:r>
      <w:r w:rsidR="006B0B9E" w:rsidRPr="008F66BF">
        <w:rPr>
          <w:noProof/>
        </w:rPr>
        <w:t xml:space="preserve">potential adverse human rights and environmental impacts. </w:t>
      </w:r>
      <w:r w:rsidR="00ED3016">
        <w:rPr>
          <w:noProof/>
        </w:rPr>
        <w:t>In order to allow for a comprehensive identification of adverse impacts, such identification should be based on quantitative and qualitative information.</w:t>
      </w:r>
      <w:r w:rsidR="007E613D">
        <w:rPr>
          <w:noProof/>
        </w:rPr>
        <w:t xml:space="preserve"> </w:t>
      </w:r>
      <w:r w:rsidR="006B0B9E">
        <w:rPr>
          <w:noProof/>
        </w:rPr>
        <w:t>For instance</w:t>
      </w:r>
      <w:r w:rsidR="00ED3016">
        <w:rPr>
          <w:noProof/>
        </w:rPr>
        <w:t>, as regards adverse environmental impacts</w:t>
      </w:r>
      <w:r w:rsidR="006B0B9E">
        <w:rPr>
          <w:noProof/>
        </w:rPr>
        <w:t>,</w:t>
      </w:r>
      <w:r w:rsidR="00ED3016">
        <w:rPr>
          <w:noProof/>
        </w:rPr>
        <w:t xml:space="preserve"> the company should obtain information about baseline conditions at higher risk sites or facilities in value chains. Identification of adverse impacts </w:t>
      </w:r>
      <w:r w:rsidR="007955A6">
        <w:rPr>
          <w:noProof/>
        </w:rPr>
        <w:t xml:space="preserve">should </w:t>
      </w:r>
      <w:r w:rsidR="00ED3016">
        <w:rPr>
          <w:noProof/>
        </w:rPr>
        <w:t>include assessing the human rights</w:t>
      </w:r>
      <w:r w:rsidR="00AF39D1">
        <w:rPr>
          <w:noProof/>
        </w:rPr>
        <w:t xml:space="preserve">, </w:t>
      </w:r>
      <w:r w:rsidR="00ED3016">
        <w:rPr>
          <w:noProof/>
        </w:rPr>
        <w:t xml:space="preserve">and environmental context </w:t>
      </w:r>
      <w:r w:rsidR="00ED3016" w:rsidRPr="00B7042D">
        <w:rPr>
          <w:noProof/>
        </w:rPr>
        <w:t>in</w:t>
      </w:r>
      <w:r w:rsidR="00ED3016" w:rsidRPr="002F0632">
        <w:rPr>
          <w:noProof/>
        </w:rPr>
        <w:t xml:space="preserve"> a </w:t>
      </w:r>
      <w:r w:rsidR="00ED3016" w:rsidRPr="00B7042D">
        <w:rPr>
          <w:noProof/>
        </w:rPr>
        <w:t>dynamic way</w:t>
      </w:r>
      <w:r w:rsidR="00ED3016">
        <w:rPr>
          <w:noProof/>
        </w:rPr>
        <w:t xml:space="preserve"> and in regular intervals: prior to a new activity or relationship, prior to major decisions or changes in the operation; in response to or anticipation of changes in the operating environment; and periodically</w:t>
      </w:r>
      <w:r w:rsidR="007955A6">
        <w:rPr>
          <w:noProof/>
        </w:rPr>
        <w:t>, at least every 12 months,</w:t>
      </w:r>
      <w:r w:rsidR="00ED3016">
        <w:rPr>
          <w:noProof/>
        </w:rPr>
        <w:t xml:space="preserve"> throughout the life of an activity or relationship.</w:t>
      </w:r>
      <w:r w:rsidR="009B6FD3">
        <w:rPr>
          <w:noProof/>
        </w:rPr>
        <w:t xml:space="preserve"> </w:t>
      </w:r>
      <w:r w:rsidR="009C2163">
        <w:rPr>
          <w:noProof/>
        </w:rPr>
        <w:t>Regulated f</w:t>
      </w:r>
      <w:r w:rsidR="009B6FD3" w:rsidRPr="006927C4">
        <w:rPr>
          <w:noProof/>
        </w:rPr>
        <w:t xml:space="preserve">inancial undertakings providing loan, credit, </w:t>
      </w:r>
      <w:r w:rsidR="006927C4" w:rsidRPr="002D1E25">
        <w:rPr>
          <w:noProof/>
        </w:rPr>
        <w:t>or other financial services</w:t>
      </w:r>
      <w:r w:rsidR="00ED3016" w:rsidRPr="006927C4">
        <w:rPr>
          <w:noProof/>
        </w:rPr>
        <w:t xml:space="preserve"> </w:t>
      </w:r>
      <w:r w:rsidR="009B6FD3" w:rsidRPr="006927C4">
        <w:rPr>
          <w:noProof/>
        </w:rPr>
        <w:t>should identify the adverse impacts only at the inception of the contract.</w:t>
      </w:r>
      <w:r w:rsidR="009B6FD3">
        <w:rPr>
          <w:noProof/>
        </w:rPr>
        <w:t xml:space="preserve"> </w:t>
      </w:r>
      <w:r w:rsidR="00ED3016">
        <w:rPr>
          <w:noProof/>
        </w:rPr>
        <w:t>When identifying adverse impacts,</w:t>
      </w:r>
      <w:r w:rsidR="00ED3016" w:rsidRPr="0088745D">
        <w:rPr>
          <w:noProof/>
        </w:rPr>
        <w:t xml:space="preserve"> </w:t>
      </w:r>
      <w:r w:rsidR="00ED3016">
        <w:rPr>
          <w:noProof/>
        </w:rPr>
        <w:t>c</w:t>
      </w:r>
      <w:r w:rsidR="00ED3016" w:rsidRPr="0088745D">
        <w:rPr>
          <w:noProof/>
        </w:rPr>
        <w:t xml:space="preserve">ompanies </w:t>
      </w:r>
      <w:r w:rsidR="00ED3016">
        <w:rPr>
          <w:noProof/>
        </w:rPr>
        <w:t xml:space="preserve">should also </w:t>
      </w:r>
      <w:r w:rsidR="00ED3016" w:rsidRPr="0088745D">
        <w:rPr>
          <w:noProof/>
        </w:rPr>
        <w:t xml:space="preserve">identify and assess the impact of a </w:t>
      </w:r>
      <w:r w:rsidR="007955A6">
        <w:rPr>
          <w:noProof/>
        </w:rPr>
        <w:t>business</w:t>
      </w:r>
      <w:r w:rsidR="00ED3016" w:rsidRPr="0088745D">
        <w:rPr>
          <w:noProof/>
        </w:rPr>
        <w:t xml:space="preserve"> relationship’s business model and strategies, including trading, procurement and pricing practices. </w:t>
      </w:r>
      <w:r w:rsidR="00974BD4">
        <w:rPr>
          <w:noProof/>
        </w:rPr>
        <w:t xml:space="preserve">Where the company cannot </w:t>
      </w:r>
      <w:r w:rsidR="0055667D">
        <w:rPr>
          <w:noProof/>
        </w:rPr>
        <w:t xml:space="preserve">prevent, </w:t>
      </w:r>
      <w:r w:rsidR="00943CCA">
        <w:rPr>
          <w:noProof/>
        </w:rPr>
        <w:t>bring to an end</w:t>
      </w:r>
      <w:r w:rsidR="0055667D">
        <w:rPr>
          <w:noProof/>
        </w:rPr>
        <w:t xml:space="preserve"> or minimize</w:t>
      </w:r>
      <w:r w:rsidR="00974BD4">
        <w:rPr>
          <w:noProof/>
        </w:rPr>
        <w:t xml:space="preserve"> all its adverse</w:t>
      </w:r>
      <w:r w:rsidR="00AA1938">
        <w:rPr>
          <w:noProof/>
        </w:rPr>
        <w:t xml:space="preserve"> impacts at the same time, it </w:t>
      </w:r>
      <w:r w:rsidR="00037448">
        <w:rPr>
          <w:noProof/>
        </w:rPr>
        <w:t xml:space="preserve">should be able to </w:t>
      </w:r>
      <w:r w:rsidR="00974BD4">
        <w:rPr>
          <w:noProof/>
        </w:rPr>
        <w:t xml:space="preserve">prioritize its action, </w:t>
      </w:r>
      <w:r w:rsidR="00AD2A34">
        <w:rPr>
          <w:noProof/>
        </w:rPr>
        <w:t>provided it takes the measures reasonably available to the company, taking into account the specific circumstances</w:t>
      </w:r>
      <w:r w:rsidR="00974BD4">
        <w:rPr>
          <w:noProof/>
        </w:rPr>
        <w:t>.</w:t>
      </w:r>
    </w:p>
    <w:p w14:paraId="71C6E805" w14:textId="72AF7D87" w:rsidR="00ED3016" w:rsidRPr="00ED3016" w:rsidRDefault="00822875" w:rsidP="00822875">
      <w:pPr>
        <w:pStyle w:val="ManualConsidrant"/>
        <w:rPr>
          <w:noProof/>
        </w:rPr>
      </w:pPr>
      <w:r w:rsidRPr="00822875">
        <w:t>(31)</w:t>
      </w:r>
      <w:r w:rsidRPr="00822875">
        <w:tab/>
      </w:r>
      <w:r w:rsidR="0091090B" w:rsidDel="0031071B">
        <w:rPr>
          <w:noProof/>
        </w:rPr>
        <w:t>In order to avoid undue burden on the smaller companies</w:t>
      </w:r>
      <w:r w:rsidR="007C5402" w:rsidDel="0031071B">
        <w:rPr>
          <w:noProof/>
        </w:rPr>
        <w:t xml:space="preserve"> operating in high-impact sectors which are</w:t>
      </w:r>
      <w:r w:rsidR="0091090B" w:rsidDel="0031071B">
        <w:rPr>
          <w:noProof/>
        </w:rPr>
        <w:t xml:space="preserve"> covered by this Directive, </w:t>
      </w:r>
      <w:r w:rsidR="007C5402" w:rsidDel="0031071B">
        <w:rPr>
          <w:noProof/>
        </w:rPr>
        <w:t xml:space="preserve">those </w:t>
      </w:r>
      <w:r w:rsidR="0091090B" w:rsidDel="0031071B">
        <w:rPr>
          <w:noProof/>
        </w:rPr>
        <w:t>c</w:t>
      </w:r>
      <w:r w:rsidR="0091090B" w:rsidRPr="002406E0" w:rsidDel="0031071B">
        <w:rPr>
          <w:noProof/>
        </w:rPr>
        <w:t xml:space="preserve">ompanies </w:t>
      </w:r>
      <w:r w:rsidR="0091090B" w:rsidDel="0031071B">
        <w:rPr>
          <w:noProof/>
        </w:rPr>
        <w:t>should only be obliged to</w:t>
      </w:r>
      <w:r w:rsidR="0091090B" w:rsidRPr="002406E0" w:rsidDel="0031071B">
        <w:rPr>
          <w:noProof/>
        </w:rPr>
        <w:t xml:space="preserve"> </w:t>
      </w:r>
      <w:r w:rsidR="0091090B" w:rsidDel="0031071B">
        <w:rPr>
          <w:noProof/>
        </w:rPr>
        <w:t xml:space="preserve">identify </w:t>
      </w:r>
      <w:r w:rsidR="00596C59" w:rsidDel="0031071B">
        <w:rPr>
          <w:noProof/>
        </w:rPr>
        <w:t>those</w:t>
      </w:r>
      <w:r w:rsidR="0091090B" w:rsidRPr="002406E0" w:rsidDel="0031071B">
        <w:rPr>
          <w:noProof/>
        </w:rPr>
        <w:t xml:space="preserve"> </w:t>
      </w:r>
      <w:r w:rsidR="0091090B" w:rsidDel="0031071B">
        <w:rPr>
          <w:noProof/>
        </w:rPr>
        <w:t xml:space="preserve">actual or potential </w:t>
      </w:r>
      <w:r w:rsidR="00964608">
        <w:rPr>
          <w:noProof/>
        </w:rPr>
        <w:t xml:space="preserve">severe </w:t>
      </w:r>
      <w:r w:rsidR="0091090B">
        <w:rPr>
          <w:noProof/>
        </w:rPr>
        <w:t xml:space="preserve">adverse impacts </w:t>
      </w:r>
      <w:r w:rsidR="0091090B" w:rsidDel="0031071B">
        <w:rPr>
          <w:noProof/>
        </w:rPr>
        <w:t xml:space="preserve">that </w:t>
      </w:r>
      <w:r w:rsidR="00596C59" w:rsidDel="0031071B">
        <w:rPr>
          <w:noProof/>
        </w:rPr>
        <w:t xml:space="preserve">are </w:t>
      </w:r>
      <w:r w:rsidR="00824D63">
        <w:rPr>
          <w:noProof/>
        </w:rPr>
        <w:t xml:space="preserve">relevant </w:t>
      </w:r>
      <w:r w:rsidR="0091090B">
        <w:rPr>
          <w:noProof/>
        </w:rPr>
        <w:t xml:space="preserve">to the </w:t>
      </w:r>
      <w:r w:rsidR="00596C59">
        <w:rPr>
          <w:noProof/>
        </w:rPr>
        <w:t>respective sector</w:t>
      </w:r>
      <w:r w:rsidR="0091090B" w:rsidDel="0031071B">
        <w:rPr>
          <w:noProof/>
        </w:rPr>
        <w:t>.</w:t>
      </w:r>
    </w:p>
    <w:p w14:paraId="76BFFA01" w14:textId="6E66A406" w:rsidR="00EE3E11" w:rsidRDefault="00822875" w:rsidP="00822875">
      <w:pPr>
        <w:pStyle w:val="ManualConsidrant"/>
        <w:rPr>
          <w:noProof/>
        </w:rPr>
      </w:pPr>
      <w:r w:rsidRPr="00822875">
        <w:t>(32)</w:t>
      </w:r>
      <w:r w:rsidRPr="00822875">
        <w:tab/>
      </w:r>
      <w:r w:rsidR="00ED3016" w:rsidRPr="00C84CA4">
        <w:rPr>
          <w:noProof/>
        </w:rPr>
        <w:tab/>
        <w:t>In line with international standards, p</w:t>
      </w:r>
      <w:r w:rsidR="00ED3016">
        <w:rPr>
          <w:noProof/>
        </w:rPr>
        <w:t>revention</w:t>
      </w:r>
      <w:r w:rsidR="00037448">
        <w:rPr>
          <w:noProof/>
        </w:rPr>
        <w:t xml:space="preserve"> and</w:t>
      </w:r>
      <w:r w:rsidR="00ED3016">
        <w:rPr>
          <w:noProof/>
        </w:rPr>
        <w:t xml:space="preserve"> mitigation </w:t>
      </w:r>
      <w:r w:rsidR="00037448">
        <w:rPr>
          <w:noProof/>
        </w:rPr>
        <w:t xml:space="preserve">as well as </w:t>
      </w:r>
      <w:r w:rsidR="0090064C">
        <w:rPr>
          <w:noProof/>
        </w:rPr>
        <w:t>bringing to an end</w:t>
      </w:r>
      <w:r w:rsidR="00ED3016">
        <w:rPr>
          <w:noProof/>
        </w:rPr>
        <w:t xml:space="preserve"> </w:t>
      </w:r>
      <w:r w:rsidR="00037448">
        <w:rPr>
          <w:noProof/>
        </w:rPr>
        <w:t xml:space="preserve">and minimisation of </w:t>
      </w:r>
      <w:r w:rsidR="00ED3016">
        <w:rPr>
          <w:noProof/>
        </w:rPr>
        <w:t xml:space="preserve">adverse impacts should take into account the interests of those adversely impacted. </w:t>
      </w:r>
      <w:r w:rsidR="00F32C40">
        <w:rPr>
          <w:noProof/>
        </w:rPr>
        <w:t>I</w:t>
      </w:r>
      <w:r w:rsidR="00F32C40" w:rsidRPr="00F32C40">
        <w:rPr>
          <w:noProof/>
        </w:rPr>
        <w:t xml:space="preserve">n order to enable continuous engagement with the value chain business </w:t>
      </w:r>
      <w:r w:rsidR="00F32C40">
        <w:rPr>
          <w:noProof/>
        </w:rPr>
        <w:t>partner</w:t>
      </w:r>
      <w:r w:rsidR="00F32C40" w:rsidRPr="00F32C40">
        <w:rPr>
          <w:noProof/>
        </w:rPr>
        <w:t xml:space="preserve"> instead of termination of business relation</w:t>
      </w:r>
      <w:r w:rsidR="00F32C40">
        <w:rPr>
          <w:noProof/>
        </w:rPr>
        <w:t>s</w:t>
      </w:r>
      <w:r w:rsidR="00F32C40" w:rsidRPr="00F32C40">
        <w:rPr>
          <w:noProof/>
        </w:rPr>
        <w:t xml:space="preserve"> (disengagement) and possibly exacerbating adverse impacts, </w:t>
      </w:r>
      <w:r w:rsidR="00F32C40">
        <w:rPr>
          <w:noProof/>
        </w:rPr>
        <w:t>this Directive should ensure that disengagement</w:t>
      </w:r>
      <w:r w:rsidR="00F32C40" w:rsidRPr="008827D5">
        <w:rPr>
          <w:noProof/>
        </w:rPr>
        <w:t xml:space="preserve"> </w:t>
      </w:r>
      <w:r w:rsidR="00F32C40">
        <w:rPr>
          <w:noProof/>
        </w:rPr>
        <w:t>is</w:t>
      </w:r>
      <w:r w:rsidR="00F32C40" w:rsidRPr="008827D5">
        <w:rPr>
          <w:noProof/>
        </w:rPr>
        <w:t xml:space="preserve"> a last-resort action</w:t>
      </w:r>
      <w:r w:rsidR="00F32C40">
        <w:rPr>
          <w:noProof/>
        </w:rPr>
        <w:t xml:space="preserve">, </w:t>
      </w:r>
      <w:r w:rsidR="00F32C40" w:rsidRPr="008827D5">
        <w:rPr>
          <w:noProof/>
        </w:rPr>
        <w:t xml:space="preserve">in line with </w:t>
      </w:r>
      <w:r w:rsidR="00612772">
        <w:rPr>
          <w:noProof/>
        </w:rPr>
        <w:t xml:space="preserve">the </w:t>
      </w:r>
      <w:r w:rsidR="00FF4486">
        <w:rPr>
          <w:noProof/>
        </w:rPr>
        <w:t>Union`s policy of</w:t>
      </w:r>
      <w:r w:rsidR="00F32C40" w:rsidRPr="008827D5">
        <w:rPr>
          <w:noProof/>
        </w:rPr>
        <w:t xml:space="preserve"> zero-tolerance on child labour.</w:t>
      </w:r>
      <w:r w:rsidR="00F32C40">
        <w:rPr>
          <w:noProof/>
        </w:rPr>
        <w:t xml:space="preserve"> </w:t>
      </w:r>
      <w:r w:rsidR="006216C1">
        <w:rPr>
          <w:noProof/>
        </w:rPr>
        <w:t>T</w:t>
      </w:r>
      <w:r w:rsidR="00ED3016">
        <w:rPr>
          <w:noProof/>
        </w:rPr>
        <w:t xml:space="preserve">erminating a business relationship in which child labour was found </w:t>
      </w:r>
      <w:r w:rsidR="006216C1">
        <w:rPr>
          <w:noProof/>
        </w:rPr>
        <w:t xml:space="preserve">could </w:t>
      </w:r>
      <w:r w:rsidR="00ED3016">
        <w:rPr>
          <w:noProof/>
        </w:rPr>
        <w:t xml:space="preserve">expose the child to even more severe adverse human rights impacts. This should therefore be taken into account when deciding on the appropriate action to take. </w:t>
      </w:r>
    </w:p>
    <w:p w14:paraId="3DE6F1AC" w14:textId="4A670CE6" w:rsidR="00EE3E11" w:rsidRDefault="00822875" w:rsidP="00822875">
      <w:pPr>
        <w:pStyle w:val="ManualConsidrant"/>
        <w:rPr>
          <w:noProof/>
        </w:rPr>
      </w:pPr>
      <w:r w:rsidRPr="00822875">
        <w:t>(33)</w:t>
      </w:r>
      <w:r w:rsidRPr="00822875">
        <w:tab/>
      </w:r>
      <w:r w:rsidR="00114FCD" w:rsidRPr="008F66BF">
        <w:rPr>
          <w:noProof/>
        </w:rPr>
        <w:t xml:space="preserve">Under the due diligence </w:t>
      </w:r>
      <w:r w:rsidR="00114FCD" w:rsidRPr="00764CC4">
        <w:rPr>
          <w:noProof/>
        </w:rPr>
        <w:t xml:space="preserve">obligations set out by this </w:t>
      </w:r>
      <w:r w:rsidR="008E744C">
        <w:rPr>
          <w:noProof/>
        </w:rPr>
        <w:t>D</w:t>
      </w:r>
      <w:r w:rsidR="00114FCD" w:rsidRPr="00764CC4">
        <w:rPr>
          <w:noProof/>
        </w:rPr>
        <w:t>irective, i</w:t>
      </w:r>
      <w:r w:rsidR="00114FCD" w:rsidRPr="00ED3016">
        <w:rPr>
          <w:noProof/>
        </w:rPr>
        <w:t xml:space="preserve">f a company identifies potential adverse human rights or environmental impacts, </w:t>
      </w:r>
      <w:r w:rsidR="00114FCD" w:rsidRPr="008F66BF">
        <w:rPr>
          <w:noProof/>
        </w:rPr>
        <w:t xml:space="preserve">it </w:t>
      </w:r>
      <w:r w:rsidR="00114FCD" w:rsidRPr="00764CC4">
        <w:rPr>
          <w:noProof/>
        </w:rPr>
        <w:t>should take</w:t>
      </w:r>
      <w:r w:rsidR="00114FCD" w:rsidRPr="008F66BF">
        <w:rPr>
          <w:noProof/>
        </w:rPr>
        <w:t xml:space="preserve"> appropriate measures to prevent and </w:t>
      </w:r>
      <w:r w:rsidR="00AB3754">
        <w:rPr>
          <w:noProof/>
        </w:rPr>
        <w:t>adequately mitigate</w:t>
      </w:r>
      <w:r w:rsidR="00AB3754" w:rsidRPr="008F66BF">
        <w:rPr>
          <w:noProof/>
        </w:rPr>
        <w:t xml:space="preserve"> </w:t>
      </w:r>
      <w:r w:rsidR="006B4F5A">
        <w:rPr>
          <w:noProof/>
        </w:rPr>
        <w:t>them</w:t>
      </w:r>
      <w:r w:rsidR="00114FCD" w:rsidRPr="008F66BF">
        <w:rPr>
          <w:noProof/>
        </w:rPr>
        <w:t xml:space="preserve">. </w:t>
      </w:r>
      <w:r w:rsidR="00EE3E11">
        <w:rPr>
          <w:noProof/>
        </w:rPr>
        <w:t xml:space="preserve">To provide companies with legal clarity and certainty, this Directive should </w:t>
      </w:r>
      <w:r w:rsidR="006B4F5A">
        <w:rPr>
          <w:noProof/>
        </w:rPr>
        <w:t>set out the</w:t>
      </w:r>
      <w:r w:rsidR="007955A6">
        <w:rPr>
          <w:noProof/>
        </w:rPr>
        <w:t xml:space="preserve"> actions </w:t>
      </w:r>
      <w:r w:rsidR="00CE7949">
        <w:rPr>
          <w:noProof/>
        </w:rPr>
        <w:t xml:space="preserve">companies </w:t>
      </w:r>
      <w:r w:rsidR="007955A6">
        <w:rPr>
          <w:noProof/>
        </w:rPr>
        <w:t xml:space="preserve">should be </w:t>
      </w:r>
      <w:r w:rsidR="006B4F5A">
        <w:rPr>
          <w:noProof/>
        </w:rPr>
        <w:t xml:space="preserve">expected </w:t>
      </w:r>
      <w:r w:rsidR="00CE7949">
        <w:rPr>
          <w:noProof/>
        </w:rPr>
        <w:t>to take</w:t>
      </w:r>
      <w:r w:rsidR="00307F36">
        <w:rPr>
          <w:noProof/>
        </w:rPr>
        <w:t xml:space="preserve"> for prevention and </w:t>
      </w:r>
      <w:r w:rsidR="006A1F38">
        <w:rPr>
          <w:noProof/>
        </w:rPr>
        <w:t xml:space="preserve">mitigation </w:t>
      </w:r>
      <w:r w:rsidR="00307F36">
        <w:rPr>
          <w:noProof/>
        </w:rPr>
        <w:t>of potential adverse impacts</w:t>
      </w:r>
      <w:r w:rsidR="006B4F5A">
        <w:rPr>
          <w:noProof/>
        </w:rPr>
        <w:t xml:space="preserve"> </w:t>
      </w:r>
      <w:r w:rsidR="006B4F5A" w:rsidRPr="006B4F5A">
        <w:rPr>
          <w:noProof/>
        </w:rPr>
        <w:t>where relevant depending on the circumstances</w:t>
      </w:r>
      <w:r w:rsidR="006B4F5A">
        <w:rPr>
          <w:noProof/>
        </w:rPr>
        <w:t>.</w:t>
      </w:r>
    </w:p>
    <w:p w14:paraId="5FD23052" w14:textId="39F6C16C" w:rsidR="00ED3016" w:rsidRDefault="00822875" w:rsidP="00822875">
      <w:pPr>
        <w:pStyle w:val="ManualConsidrant"/>
        <w:rPr>
          <w:noProof/>
        </w:rPr>
      </w:pPr>
      <w:r w:rsidRPr="00822875">
        <w:t>(34)</w:t>
      </w:r>
      <w:r w:rsidRPr="00822875">
        <w:tab/>
      </w:r>
      <w:r w:rsidR="00ED3016" w:rsidRPr="00C84CA4">
        <w:rPr>
          <w:noProof/>
        </w:rPr>
        <w:t xml:space="preserve">So as to comply with the prevention </w:t>
      </w:r>
      <w:r w:rsidR="00950C78">
        <w:rPr>
          <w:noProof/>
        </w:rPr>
        <w:t xml:space="preserve">and mitigation </w:t>
      </w:r>
      <w:r w:rsidR="00ED3016" w:rsidRPr="00C84CA4">
        <w:rPr>
          <w:noProof/>
        </w:rPr>
        <w:t>obligation</w:t>
      </w:r>
      <w:r w:rsidR="00950C78">
        <w:rPr>
          <w:noProof/>
        </w:rPr>
        <w:t xml:space="preserve"> under this Directive</w:t>
      </w:r>
      <w:r w:rsidR="00ED3016" w:rsidRPr="00C84CA4">
        <w:rPr>
          <w:noProof/>
        </w:rPr>
        <w:t>,</w:t>
      </w:r>
      <w:r w:rsidR="00DC50B3">
        <w:rPr>
          <w:noProof/>
        </w:rPr>
        <w:t xml:space="preserve"> companies should</w:t>
      </w:r>
      <w:r w:rsidR="004E3123">
        <w:rPr>
          <w:noProof/>
        </w:rPr>
        <w:t xml:space="preserve"> </w:t>
      </w:r>
      <w:r w:rsidR="00E20738">
        <w:rPr>
          <w:noProof/>
        </w:rPr>
        <w:t>be required to take</w:t>
      </w:r>
      <w:r w:rsidR="004E3123">
        <w:rPr>
          <w:noProof/>
        </w:rPr>
        <w:t xml:space="preserve"> the following</w:t>
      </w:r>
      <w:r w:rsidR="00E20738">
        <w:rPr>
          <w:noProof/>
        </w:rPr>
        <w:t xml:space="preserve"> actions</w:t>
      </w:r>
      <w:r w:rsidR="006B4F5A">
        <w:rPr>
          <w:noProof/>
        </w:rPr>
        <w:t>, where relevant.</w:t>
      </w:r>
      <w:r w:rsidR="004E3123">
        <w:rPr>
          <w:noProof/>
        </w:rPr>
        <w:t xml:space="preserve"> </w:t>
      </w:r>
      <w:r w:rsidR="006B4F5A">
        <w:rPr>
          <w:noProof/>
        </w:rPr>
        <w:t>W</w:t>
      </w:r>
      <w:r w:rsidR="00DC50B3" w:rsidRPr="00DC50B3">
        <w:rPr>
          <w:noProof/>
        </w:rPr>
        <w:t xml:space="preserve">here necessary due to the complexity of prevention measures, </w:t>
      </w:r>
      <w:r w:rsidR="00DC50B3">
        <w:rPr>
          <w:noProof/>
        </w:rPr>
        <w:t xml:space="preserve">companies should </w:t>
      </w:r>
      <w:r w:rsidR="00DC50B3" w:rsidRPr="00A67370">
        <w:rPr>
          <w:noProof/>
        </w:rPr>
        <w:t xml:space="preserve">develop and implement a prevention action plan. </w:t>
      </w:r>
      <w:r w:rsidR="004E3123">
        <w:rPr>
          <w:noProof/>
        </w:rPr>
        <w:t>C</w:t>
      </w:r>
      <w:r w:rsidR="00ED3016">
        <w:rPr>
          <w:noProof/>
        </w:rPr>
        <w:t xml:space="preserve">ompanies should </w:t>
      </w:r>
      <w:r w:rsidR="006B4F5A">
        <w:rPr>
          <w:noProof/>
        </w:rPr>
        <w:t>seek to</w:t>
      </w:r>
      <w:r w:rsidR="00ED3016">
        <w:rPr>
          <w:noProof/>
        </w:rPr>
        <w:t xml:space="preserve"> </w:t>
      </w:r>
      <w:r w:rsidR="00E20738">
        <w:rPr>
          <w:noProof/>
        </w:rPr>
        <w:t xml:space="preserve">obtain </w:t>
      </w:r>
      <w:r w:rsidR="00ED3016">
        <w:rPr>
          <w:noProof/>
        </w:rPr>
        <w:t xml:space="preserve">contractual assurances from </w:t>
      </w:r>
      <w:r w:rsidR="00E20738">
        <w:rPr>
          <w:noProof/>
        </w:rPr>
        <w:t xml:space="preserve">a direct partner with whom they have an established </w:t>
      </w:r>
      <w:r w:rsidR="004E3123">
        <w:rPr>
          <w:noProof/>
        </w:rPr>
        <w:t xml:space="preserve">business </w:t>
      </w:r>
      <w:r w:rsidR="00ED3016">
        <w:rPr>
          <w:noProof/>
        </w:rPr>
        <w:t xml:space="preserve">relationship that it will ensure compliance with the code of conduct </w:t>
      </w:r>
      <w:r w:rsidR="004E3123">
        <w:rPr>
          <w:noProof/>
        </w:rPr>
        <w:t>or the prevention action</w:t>
      </w:r>
      <w:r w:rsidR="004E3123" w:rsidDel="0031071B">
        <w:rPr>
          <w:noProof/>
        </w:rPr>
        <w:t xml:space="preserve"> </w:t>
      </w:r>
      <w:r w:rsidR="004E3123">
        <w:rPr>
          <w:noProof/>
        </w:rPr>
        <w:t xml:space="preserve">plan, </w:t>
      </w:r>
      <w:r w:rsidR="00E20738">
        <w:rPr>
          <w:noProof/>
        </w:rPr>
        <w:t>including by</w:t>
      </w:r>
      <w:r w:rsidR="00D35AA6">
        <w:rPr>
          <w:noProof/>
        </w:rPr>
        <w:t xml:space="preserve"> seeking</w:t>
      </w:r>
      <w:r w:rsidR="00E20738">
        <w:rPr>
          <w:noProof/>
        </w:rPr>
        <w:t xml:space="preserve"> corresponding contractual assurances from its partners to the extent</w:t>
      </w:r>
      <w:r w:rsidR="004E3123">
        <w:rPr>
          <w:noProof/>
        </w:rPr>
        <w:t xml:space="preserve"> that </w:t>
      </w:r>
      <w:r w:rsidR="00E20738">
        <w:rPr>
          <w:noProof/>
        </w:rPr>
        <w:t xml:space="preserve">their activities are part of the companies’ value chain. The contractual assurances </w:t>
      </w:r>
      <w:r w:rsidR="00D35AA6">
        <w:rPr>
          <w:noProof/>
        </w:rPr>
        <w:t xml:space="preserve">should </w:t>
      </w:r>
      <w:r w:rsidR="00E20738">
        <w:rPr>
          <w:noProof/>
        </w:rPr>
        <w:t xml:space="preserve">be accompanied by </w:t>
      </w:r>
      <w:r w:rsidR="003476D0">
        <w:rPr>
          <w:noProof/>
        </w:rPr>
        <w:t>appropriate</w:t>
      </w:r>
      <w:r w:rsidR="00ED3016">
        <w:rPr>
          <w:noProof/>
        </w:rPr>
        <w:t xml:space="preserve"> measures to verify </w:t>
      </w:r>
      <w:r w:rsidR="003476D0">
        <w:rPr>
          <w:noProof/>
        </w:rPr>
        <w:t>compliance</w:t>
      </w:r>
      <w:r w:rsidR="00ED3016">
        <w:rPr>
          <w:noProof/>
        </w:rPr>
        <w:t>.</w:t>
      </w:r>
      <w:r w:rsidR="00ED3016" w:rsidRPr="009A1771">
        <w:rPr>
          <w:noProof/>
        </w:rPr>
        <w:t xml:space="preserve"> </w:t>
      </w:r>
      <w:r w:rsidR="00ED3016">
        <w:rPr>
          <w:noProof/>
        </w:rPr>
        <w:t>To ensure comprehensive prevention of actual and potential adverse impacts, companies should also</w:t>
      </w:r>
      <w:r w:rsidR="007A1B52">
        <w:rPr>
          <w:noProof/>
        </w:rPr>
        <w:t xml:space="preserve"> </w:t>
      </w:r>
      <w:r w:rsidR="00ED3016">
        <w:rPr>
          <w:noProof/>
        </w:rPr>
        <w:t>make investments</w:t>
      </w:r>
      <w:r w:rsidR="006A497F">
        <w:rPr>
          <w:noProof/>
        </w:rPr>
        <w:t xml:space="preserve"> which aim to prev</w:t>
      </w:r>
      <w:r w:rsidR="00114FCD">
        <w:rPr>
          <w:noProof/>
        </w:rPr>
        <w:t>ent adverse impacts</w:t>
      </w:r>
      <w:r w:rsidR="00ED3016">
        <w:rPr>
          <w:noProof/>
        </w:rPr>
        <w:t xml:space="preserve">, </w:t>
      </w:r>
      <w:r w:rsidR="00114FCD">
        <w:rPr>
          <w:noProof/>
        </w:rPr>
        <w:t xml:space="preserve">provide targeted </w:t>
      </w:r>
      <w:r w:rsidR="00E478EB">
        <w:rPr>
          <w:noProof/>
        </w:rPr>
        <w:t xml:space="preserve">and proportionate </w:t>
      </w:r>
      <w:r w:rsidR="006A497F">
        <w:rPr>
          <w:noProof/>
        </w:rPr>
        <w:t xml:space="preserve">support for an SME with which </w:t>
      </w:r>
      <w:r w:rsidR="006B0B9E">
        <w:rPr>
          <w:noProof/>
        </w:rPr>
        <w:t xml:space="preserve">they </w:t>
      </w:r>
      <w:r w:rsidR="006A497F" w:rsidRPr="006A497F">
        <w:rPr>
          <w:noProof/>
        </w:rPr>
        <w:t>ha</w:t>
      </w:r>
      <w:r w:rsidR="006B0B9E">
        <w:rPr>
          <w:noProof/>
        </w:rPr>
        <w:t>ve</w:t>
      </w:r>
      <w:r w:rsidR="006A497F" w:rsidRPr="006A497F">
        <w:rPr>
          <w:noProof/>
        </w:rPr>
        <w:t xml:space="preserve"> </w:t>
      </w:r>
      <w:r w:rsidR="00E478EB">
        <w:rPr>
          <w:noProof/>
        </w:rPr>
        <w:t>an established</w:t>
      </w:r>
      <w:r w:rsidR="006A497F" w:rsidRPr="006A497F">
        <w:rPr>
          <w:noProof/>
        </w:rPr>
        <w:t xml:space="preserve"> business relationship</w:t>
      </w:r>
      <w:r w:rsidR="00114FCD">
        <w:rPr>
          <w:noProof/>
        </w:rPr>
        <w:t xml:space="preserve"> </w:t>
      </w:r>
      <w:r w:rsidR="006A497F" w:rsidRPr="006A497F">
        <w:rPr>
          <w:noProof/>
        </w:rPr>
        <w:t>such as financing</w:t>
      </w:r>
      <w:r w:rsidR="002554AE">
        <w:rPr>
          <w:noProof/>
        </w:rPr>
        <w:t xml:space="preserve">, </w:t>
      </w:r>
      <w:r w:rsidR="00ED1EC6" w:rsidRPr="006A497F">
        <w:rPr>
          <w:noProof/>
        </w:rPr>
        <w:t>for example, through direct financing, low-interest loans, guarantees of continued sourcing, and assistance in securing financing</w:t>
      </w:r>
      <w:r w:rsidR="002554AE">
        <w:rPr>
          <w:noProof/>
        </w:rPr>
        <w:t>,</w:t>
      </w:r>
      <w:r w:rsidR="00ED1EC6" w:rsidRPr="006A497F">
        <w:rPr>
          <w:noProof/>
        </w:rPr>
        <w:t xml:space="preserve"> </w:t>
      </w:r>
      <w:r w:rsidR="006A497F" w:rsidRPr="006A497F">
        <w:rPr>
          <w:noProof/>
        </w:rPr>
        <w:t xml:space="preserve">to help implement the code of conduct or prevention action plan, </w:t>
      </w:r>
      <w:r w:rsidR="00ED1EC6">
        <w:rPr>
          <w:noProof/>
        </w:rPr>
        <w:t>or</w:t>
      </w:r>
      <w:r w:rsidR="006A497F" w:rsidRPr="006A497F">
        <w:rPr>
          <w:noProof/>
        </w:rPr>
        <w:t xml:space="preserve"> technical guidance such as in the form of training, management systems upgrading</w:t>
      </w:r>
      <w:r w:rsidR="006A497F">
        <w:rPr>
          <w:noProof/>
        </w:rPr>
        <w:t xml:space="preserve">, </w:t>
      </w:r>
      <w:r w:rsidR="00ED3016">
        <w:rPr>
          <w:noProof/>
        </w:rPr>
        <w:t>and collaborate with other companies</w:t>
      </w:r>
      <w:r w:rsidR="00F11C0E">
        <w:rPr>
          <w:noProof/>
        </w:rPr>
        <w:t>.</w:t>
      </w:r>
      <w:r w:rsidR="00ED3016">
        <w:rPr>
          <w:noProof/>
        </w:rPr>
        <w:t xml:space="preserve"> </w:t>
      </w:r>
    </w:p>
    <w:p w14:paraId="1D9495A7" w14:textId="2D8A9EB1" w:rsidR="00ED3016" w:rsidRDefault="00822875" w:rsidP="00822875">
      <w:pPr>
        <w:pStyle w:val="ManualConsidrant"/>
        <w:rPr>
          <w:noProof/>
        </w:rPr>
      </w:pPr>
      <w:r w:rsidRPr="00822875">
        <w:t>(35)</w:t>
      </w:r>
      <w:r w:rsidRPr="00822875">
        <w:tab/>
      </w:r>
      <w:r w:rsidR="00ED3016">
        <w:rPr>
          <w:noProof/>
        </w:rPr>
        <w:t xml:space="preserve">In order to reflect the full range of options for the company in cases where potential impacts could not be addressed by the described </w:t>
      </w:r>
      <w:r w:rsidR="0043183A">
        <w:rPr>
          <w:noProof/>
        </w:rPr>
        <w:t xml:space="preserve">prevention or minimisation </w:t>
      </w:r>
      <w:r w:rsidR="00ED3016">
        <w:rPr>
          <w:noProof/>
        </w:rPr>
        <w:t xml:space="preserve">measures, this Directive should also refer to the possibility for the company to </w:t>
      </w:r>
      <w:r w:rsidR="00013A55">
        <w:rPr>
          <w:noProof/>
        </w:rPr>
        <w:t xml:space="preserve">seek to </w:t>
      </w:r>
      <w:r w:rsidR="00ED3016" w:rsidRPr="00A15A07">
        <w:rPr>
          <w:noProof/>
        </w:rPr>
        <w:t xml:space="preserve">conclude a contract with the indirect </w:t>
      </w:r>
      <w:r w:rsidR="00DE08A1">
        <w:rPr>
          <w:noProof/>
        </w:rPr>
        <w:t>business partner</w:t>
      </w:r>
      <w:r w:rsidR="00ED3016" w:rsidRPr="00A15A07">
        <w:rPr>
          <w:noProof/>
        </w:rPr>
        <w:t xml:space="preserve">, with </w:t>
      </w:r>
      <w:r w:rsidR="002D2340" w:rsidRPr="002D2340">
        <w:rPr>
          <w:noProof/>
        </w:rPr>
        <w:t>a view</w:t>
      </w:r>
      <w:r w:rsidR="00ED3016" w:rsidRPr="00A15A07">
        <w:rPr>
          <w:noProof/>
        </w:rPr>
        <w:t xml:space="preserve"> to </w:t>
      </w:r>
      <w:r w:rsidR="002D2340" w:rsidRPr="002D2340">
        <w:rPr>
          <w:noProof/>
        </w:rPr>
        <w:t>achieving compliance with the company’s code of conduct or a prevention action plan</w:t>
      </w:r>
      <w:r w:rsidR="00ED3016" w:rsidRPr="00A15A07">
        <w:rPr>
          <w:noProof/>
        </w:rPr>
        <w:t xml:space="preserve">, and conduct </w:t>
      </w:r>
      <w:r w:rsidR="003476D0">
        <w:rPr>
          <w:noProof/>
        </w:rPr>
        <w:t>appropriate</w:t>
      </w:r>
      <w:r w:rsidR="003476D0" w:rsidRPr="00A15A07">
        <w:rPr>
          <w:noProof/>
        </w:rPr>
        <w:t xml:space="preserve"> </w:t>
      </w:r>
      <w:r w:rsidR="00ED3016" w:rsidRPr="00A15A07">
        <w:rPr>
          <w:noProof/>
        </w:rPr>
        <w:t>measures</w:t>
      </w:r>
      <w:r w:rsidR="00ED3016">
        <w:rPr>
          <w:noProof/>
        </w:rPr>
        <w:t xml:space="preserve"> </w:t>
      </w:r>
      <w:r w:rsidR="00ED3016" w:rsidRPr="00A15A07">
        <w:rPr>
          <w:noProof/>
        </w:rPr>
        <w:t xml:space="preserve">to verify compliance of the indirect business </w:t>
      </w:r>
      <w:r w:rsidR="00ED3016">
        <w:rPr>
          <w:noProof/>
        </w:rPr>
        <w:t>relationship with the contract.</w:t>
      </w:r>
      <w:r w:rsidR="00AD2596">
        <w:rPr>
          <w:noProof/>
        </w:rPr>
        <w:t xml:space="preserve"> </w:t>
      </w:r>
      <w:r w:rsidR="00635FC8">
        <w:rPr>
          <w:noProof/>
        </w:rPr>
        <w:t xml:space="preserve"> </w:t>
      </w:r>
    </w:p>
    <w:p w14:paraId="683DF5AB" w14:textId="4870E193" w:rsidR="00ED3016" w:rsidRPr="00C6766B" w:rsidRDefault="00822875" w:rsidP="00822875">
      <w:pPr>
        <w:pStyle w:val="ManualConsidrant"/>
        <w:rPr>
          <w:noProof/>
        </w:rPr>
      </w:pPr>
      <w:r w:rsidRPr="00822875">
        <w:t>(36)</w:t>
      </w:r>
      <w:r w:rsidRPr="00822875">
        <w:tab/>
      </w:r>
      <w:r w:rsidR="00ED3016">
        <w:rPr>
          <w:noProof/>
        </w:rPr>
        <w:t>In order to ensure that prevention</w:t>
      </w:r>
      <w:r w:rsidR="00797D2B">
        <w:rPr>
          <w:noProof/>
        </w:rPr>
        <w:t xml:space="preserve"> and mitigation of</w:t>
      </w:r>
      <w:r w:rsidR="00ED3016">
        <w:rPr>
          <w:noProof/>
        </w:rPr>
        <w:t xml:space="preserve"> potential adverse impacts is effective, c</w:t>
      </w:r>
      <w:r w:rsidR="00ED3016" w:rsidRPr="002B67C0">
        <w:rPr>
          <w:noProof/>
        </w:rPr>
        <w:t>ompani</w:t>
      </w:r>
      <w:r w:rsidR="00ED3016">
        <w:rPr>
          <w:noProof/>
        </w:rPr>
        <w:t>es should</w:t>
      </w:r>
      <w:r w:rsidR="00ED3016" w:rsidRPr="002B67C0">
        <w:rPr>
          <w:noProof/>
        </w:rPr>
        <w:t xml:space="preserve"> prioritize engagement with business relationships in the value chain, instead of </w:t>
      </w:r>
      <w:r w:rsidR="002554AE">
        <w:rPr>
          <w:noProof/>
        </w:rPr>
        <w:t>terminating the business relationship</w:t>
      </w:r>
      <w:r w:rsidR="00ED3016" w:rsidRPr="002B67C0">
        <w:rPr>
          <w:noProof/>
        </w:rPr>
        <w:t xml:space="preserve">, </w:t>
      </w:r>
      <w:r w:rsidR="00ED3016">
        <w:rPr>
          <w:noProof/>
        </w:rPr>
        <w:t xml:space="preserve">as a last resort action after attempting at preventing and mitigating </w:t>
      </w:r>
      <w:r w:rsidR="00ED3016" w:rsidRPr="002B67C0">
        <w:rPr>
          <w:noProof/>
        </w:rPr>
        <w:t xml:space="preserve">adverse </w:t>
      </w:r>
      <w:r w:rsidR="00ED3016">
        <w:rPr>
          <w:noProof/>
        </w:rPr>
        <w:t>potential</w:t>
      </w:r>
      <w:r w:rsidR="00ED3016" w:rsidRPr="00C84CA4">
        <w:rPr>
          <w:noProof/>
        </w:rPr>
        <w:t xml:space="preserve"> </w:t>
      </w:r>
      <w:r w:rsidR="00ED3016" w:rsidRPr="002B67C0">
        <w:rPr>
          <w:noProof/>
        </w:rPr>
        <w:t>impacts</w:t>
      </w:r>
      <w:r w:rsidR="00ED3016">
        <w:rPr>
          <w:noProof/>
        </w:rPr>
        <w:t xml:space="preserve"> without success</w:t>
      </w:r>
      <w:r w:rsidR="00ED3016" w:rsidRPr="002B67C0">
        <w:rPr>
          <w:noProof/>
        </w:rPr>
        <w:t xml:space="preserve">. </w:t>
      </w:r>
      <w:r w:rsidR="002554AE">
        <w:rPr>
          <w:noProof/>
        </w:rPr>
        <w:t xml:space="preserve">However, the Directive should also, for cases where </w:t>
      </w:r>
      <w:r w:rsidR="002554AE" w:rsidRPr="002554AE">
        <w:rPr>
          <w:noProof/>
        </w:rPr>
        <w:t xml:space="preserve">potential adverse impacts could not be addressed by </w:t>
      </w:r>
      <w:r w:rsidR="0043183A">
        <w:rPr>
          <w:noProof/>
        </w:rPr>
        <w:t xml:space="preserve">the described </w:t>
      </w:r>
      <w:r w:rsidR="002554AE">
        <w:rPr>
          <w:noProof/>
        </w:rPr>
        <w:t xml:space="preserve">prevention or </w:t>
      </w:r>
      <w:r w:rsidR="004103F3">
        <w:rPr>
          <w:noProof/>
        </w:rPr>
        <w:t xml:space="preserve">mitigation </w:t>
      </w:r>
      <w:r w:rsidR="002554AE">
        <w:rPr>
          <w:noProof/>
        </w:rPr>
        <w:t>measures, refer to the obligation</w:t>
      </w:r>
      <w:r w:rsidR="002B6ADA">
        <w:rPr>
          <w:noProof/>
        </w:rPr>
        <w:t xml:space="preserve"> </w:t>
      </w:r>
      <w:r w:rsidR="002554AE">
        <w:rPr>
          <w:noProof/>
        </w:rPr>
        <w:t xml:space="preserve">for companies </w:t>
      </w:r>
      <w:r w:rsidR="002B6ADA">
        <w:rPr>
          <w:noProof/>
        </w:rPr>
        <w:t xml:space="preserve">to </w:t>
      </w:r>
      <w:r w:rsidR="002B6ADA" w:rsidRPr="002B6ADA">
        <w:rPr>
          <w:noProof/>
        </w:rPr>
        <w:t>refrain from entering into new or extending existing relations with the partner in question and, where the law governing their relations so entitles them to,</w:t>
      </w:r>
      <w:r w:rsidR="002B6ADA">
        <w:rPr>
          <w:noProof/>
        </w:rPr>
        <w:t xml:space="preserve"> to </w:t>
      </w:r>
      <w:r w:rsidR="00951A74">
        <w:rPr>
          <w:noProof/>
        </w:rPr>
        <w:t xml:space="preserve">either </w:t>
      </w:r>
      <w:r w:rsidR="002B6ADA" w:rsidRPr="002B6ADA">
        <w:rPr>
          <w:noProof/>
        </w:rPr>
        <w:t xml:space="preserve">temporarily suspend commercial relationships with the partner in question, while pursuing prevention and minimisation efforts, </w:t>
      </w:r>
      <w:r w:rsidR="002B6ADA" w:rsidRPr="009A1771">
        <w:rPr>
          <w:noProof/>
        </w:rPr>
        <w:t xml:space="preserve">if there is reasonable expectation that these efforts </w:t>
      </w:r>
      <w:r w:rsidR="006216C1">
        <w:rPr>
          <w:noProof/>
        </w:rPr>
        <w:t>are to</w:t>
      </w:r>
      <w:r w:rsidR="006216C1" w:rsidRPr="009A1771">
        <w:rPr>
          <w:noProof/>
        </w:rPr>
        <w:t xml:space="preserve"> </w:t>
      </w:r>
      <w:r w:rsidR="002B6ADA" w:rsidRPr="009A1771">
        <w:rPr>
          <w:noProof/>
        </w:rPr>
        <w:t>succeed in the short-term;</w:t>
      </w:r>
      <w:r w:rsidR="002B6ADA" w:rsidRPr="002B6ADA">
        <w:rPr>
          <w:noProof/>
        </w:rPr>
        <w:t xml:space="preserve"> </w:t>
      </w:r>
      <w:r w:rsidR="002B6ADA">
        <w:rPr>
          <w:noProof/>
        </w:rPr>
        <w:t xml:space="preserve">or to </w:t>
      </w:r>
      <w:r w:rsidR="002B6ADA" w:rsidRPr="002B6ADA">
        <w:rPr>
          <w:noProof/>
        </w:rPr>
        <w:t>terminate the business relationship with respect to the activities concerned if the potential adverse impact is severe.</w:t>
      </w:r>
      <w:r w:rsidR="008F6A57">
        <w:rPr>
          <w:noProof/>
        </w:rPr>
        <w:t xml:space="preserve"> In order to allow companies to fulfil that obligation,</w:t>
      </w:r>
      <w:r w:rsidR="008F6A57" w:rsidRPr="002B6ADA">
        <w:rPr>
          <w:noProof/>
        </w:rPr>
        <w:t xml:space="preserve"> </w:t>
      </w:r>
      <w:r w:rsidR="002B6ADA" w:rsidRPr="002B6ADA">
        <w:rPr>
          <w:noProof/>
        </w:rPr>
        <w:t xml:space="preserve">Member States </w:t>
      </w:r>
      <w:r w:rsidR="008F6A57">
        <w:rPr>
          <w:noProof/>
        </w:rPr>
        <w:t>should</w:t>
      </w:r>
      <w:r w:rsidR="002B6ADA" w:rsidRPr="002B6ADA">
        <w:rPr>
          <w:noProof/>
        </w:rPr>
        <w:t xml:space="preserve"> provide for the availability of an option to terminate the business relationship in contracts governed by their laws.</w:t>
      </w:r>
      <w:r w:rsidR="00525AF6">
        <w:rPr>
          <w:noProof/>
        </w:rPr>
        <w:t xml:space="preserve"> </w:t>
      </w:r>
      <w:r w:rsidR="00ED3016">
        <w:rPr>
          <w:noProof/>
        </w:rPr>
        <w:t xml:space="preserve">It is possible that prevention of adverse impacts at the level of indirect business relationships requires collaboration with another company, for example a company which has a direct contractual relationship with the supplier. In some instances, such collaboration </w:t>
      </w:r>
      <w:r w:rsidR="00065FEE">
        <w:rPr>
          <w:noProof/>
        </w:rPr>
        <w:t>could</w:t>
      </w:r>
      <w:r w:rsidR="00ED3016">
        <w:rPr>
          <w:noProof/>
        </w:rPr>
        <w:t xml:space="preserve"> be the only realistic way of preventing adverse impacts, in particular, where the indirect business relationship is not ready to enter into a contract with the company. In these instances, the company should collaborate with the entity </w:t>
      </w:r>
      <w:r w:rsidR="00ED3016" w:rsidRPr="002B67C0">
        <w:rPr>
          <w:noProof/>
        </w:rPr>
        <w:t xml:space="preserve">which can most effectively prevent or </w:t>
      </w:r>
      <w:r w:rsidR="00AB3754">
        <w:rPr>
          <w:noProof/>
        </w:rPr>
        <w:t>mitigate</w:t>
      </w:r>
      <w:r w:rsidR="00AB3754" w:rsidRPr="002B67C0">
        <w:rPr>
          <w:noProof/>
        </w:rPr>
        <w:t xml:space="preserve"> </w:t>
      </w:r>
      <w:r w:rsidR="00ED3016" w:rsidRPr="002B67C0">
        <w:rPr>
          <w:noProof/>
        </w:rPr>
        <w:t xml:space="preserve">adverse impacts at the level of </w:t>
      </w:r>
      <w:r w:rsidR="00ED3016">
        <w:rPr>
          <w:noProof/>
        </w:rPr>
        <w:t>the</w:t>
      </w:r>
      <w:r w:rsidR="00ED3016" w:rsidRPr="002B67C0">
        <w:rPr>
          <w:noProof/>
        </w:rPr>
        <w:t xml:space="preserve"> indirect </w:t>
      </w:r>
      <w:r w:rsidR="00ED3016" w:rsidRPr="00C6766B">
        <w:rPr>
          <w:noProof/>
        </w:rPr>
        <w:t>business relationship</w:t>
      </w:r>
      <w:r w:rsidR="00ED1EC6" w:rsidRPr="00C6766B">
        <w:rPr>
          <w:noProof/>
        </w:rPr>
        <w:t xml:space="preserve"> while respecting competition law</w:t>
      </w:r>
      <w:r w:rsidR="00ED3016" w:rsidRPr="00C6766B">
        <w:rPr>
          <w:noProof/>
        </w:rPr>
        <w:t xml:space="preserve">. </w:t>
      </w:r>
    </w:p>
    <w:p w14:paraId="2C067E55" w14:textId="577BEE46" w:rsidR="00883098" w:rsidRPr="00C6766B" w:rsidRDefault="00822875" w:rsidP="00822875">
      <w:pPr>
        <w:pStyle w:val="ManualConsidrant"/>
        <w:rPr>
          <w:noProof/>
        </w:rPr>
      </w:pPr>
      <w:r w:rsidRPr="00822875">
        <w:t>(37)</w:t>
      </w:r>
      <w:r w:rsidRPr="00822875">
        <w:tab/>
      </w:r>
      <w:r w:rsidR="00ED3016" w:rsidRPr="00C6766B">
        <w:rPr>
          <w:noProof/>
        </w:rPr>
        <w:tab/>
        <w:t>As</w:t>
      </w:r>
      <w:r w:rsidR="00ED3016">
        <w:rPr>
          <w:noProof/>
        </w:rPr>
        <w:t xml:space="preserve"> regards direct and indirect business relationships, industry cooperation</w:t>
      </w:r>
      <w:r w:rsidR="001F7132">
        <w:rPr>
          <w:noProof/>
        </w:rPr>
        <w:t>,</w:t>
      </w:r>
      <w:r w:rsidR="00ED3016">
        <w:rPr>
          <w:noProof/>
        </w:rPr>
        <w:t xml:space="preserve"> industry schemes </w:t>
      </w:r>
      <w:r w:rsidR="001F7132" w:rsidRPr="00230F4F">
        <w:rPr>
          <w:noProof/>
        </w:rPr>
        <w:t xml:space="preserve">and multi-stakeholder initiatives </w:t>
      </w:r>
      <w:r w:rsidR="00ED3016">
        <w:rPr>
          <w:noProof/>
        </w:rPr>
        <w:t xml:space="preserve">can help create additional leverage to </w:t>
      </w:r>
      <w:r w:rsidR="001F7132">
        <w:rPr>
          <w:noProof/>
        </w:rPr>
        <w:t xml:space="preserve">identify, mitigate, </w:t>
      </w:r>
      <w:r w:rsidR="00DA3E06">
        <w:rPr>
          <w:noProof/>
        </w:rPr>
        <w:t xml:space="preserve">and </w:t>
      </w:r>
      <w:r w:rsidR="00ED3016">
        <w:rPr>
          <w:noProof/>
        </w:rPr>
        <w:t>prevent adverse impacts</w:t>
      </w:r>
      <w:r w:rsidR="00ED3016" w:rsidRPr="161E111F">
        <w:rPr>
          <w:noProof/>
        </w:rPr>
        <w:t>.</w:t>
      </w:r>
      <w:r w:rsidR="00ED3016">
        <w:rPr>
          <w:noProof/>
        </w:rPr>
        <w:t xml:space="preserve"> The</w:t>
      </w:r>
      <w:r w:rsidR="00B63F97">
        <w:rPr>
          <w:noProof/>
        </w:rPr>
        <w:t>refore it should be</w:t>
      </w:r>
      <w:r w:rsidR="00ED3016">
        <w:rPr>
          <w:noProof/>
        </w:rPr>
        <w:t xml:space="preserve"> possib</w:t>
      </w:r>
      <w:r w:rsidR="00B63F97">
        <w:rPr>
          <w:noProof/>
        </w:rPr>
        <w:t>le</w:t>
      </w:r>
      <w:r w:rsidR="00ED3016">
        <w:rPr>
          <w:noProof/>
        </w:rPr>
        <w:t xml:space="preserve"> </w:t>
      </w:r>
      <w:r w:rsidR="00443B12">
        <w:rPr>
          <w:noProof/>
        </w:rPr>
        <w:t xml:space="preserve">for companies </w:t>
      </w:r>
      <w:r w:rsidR="00ED3016">
        <w:rPr>
          <w:noProof/>
        </w:rPr>
        <w:t xml:space="preserve">to </w:t>
      </w:r>
      <w:r w:rsidR="00D10B42">
        <w:rPr>
          <w:noProof/>
        </w:rPr>
        <w:t>rely on</w:t>
      </w:r>
      <w:r w:rsidR="00ED3016">
        <w:rPr>
          <w:noProof/>
        </w:rPr>
        <w:t xml:space="preserve"> such initiatives</w:t>
      </w:r>
      <w:r w:rsidR="00D10B42">
        <w:rPr>
          <w:noProof/>
        </w:rPr>
        <w:t xml:space="preserve"> </w:t>
      </w:r>
      <w:r w:rsidR="00D10B42" w:rsidRPr="00D10B42">
        <w:rPr>
          <w:noProof/>
        </w:rPr>
        <w:t xml:space="preserve">to support the implementation of their </w:t>
      </w:r>
      <w:r w:rsidR="00D10B42">
        <w:rPr>
          <w:noProof/>
        </w:rPr>
        <w:t xml:space="preserve">due diligence </w:t>
      </w:r>
      <w:r w:rsidR="00D10B42" w:rsidRPr="00D10B42">
        <w:rPr>
          <w:noProof/>
        </w:rPr>
        <w:t xml:space="preserve">obligations </w:t>
      </w:r>
      <w:r w:rsidR="00D10B42">
        <w:rPr>
          <w:noProof/>
        </w:rPr>
        <w:t>laid down in</w:t>
      </w:r>
      <w:r w:rsidR="00D10B42" w:rsidRPr="00D10B42">
        <w:rPr>
          <w:noProof/>
        </w:rPr>
        <w:t xml:space="preserve"> this Directive to the extent that such schemes and initiatives are appropriate to support the fulfilment of those obligations</w:t>
      </w:r>
      <w:r w:rsidR="00443B12">
        <w:rPr>
          <w:noProof/>
        </w:rPr>
        <w:t>. C</w:t>
      </w:r>
      <w:r w:rsidR="00B73300">
        <w:rPr>
          <w:noProof/>
        </w:rPr>
        <w:t xml:space="preserve">ompanies </w:t>
      </w:r>
      <w:r w:rsidR="00065FEE">
        <w:rPr>
          <w:noProof/>
        </w:rPr>
        <w:t>could</w:t>
      </w:r>
      <w:r w:rsidR="00B73300">
        <w:rPr>
          <w:noProof/>
        </w:rPr>
        <w:t xml:space="preserve"> assess, at their own initiative, the alignment of these schemes and initiatives with the obligations under this Directive. </w:t>
      </w:r>
      <w:r w:rsidR="001C2D7D">
        <w:rPr>
          <w:noProof/>
        </w:rPr>
        <w:t>In order to ensure full information on such initiatives, t</w:t>
      </w:r>
      <w:r w:rsidR="00794363">
        <w:rPr>
          <w:noProof/>
        </w:rPr>
        <w:t xml:space="preserve">he Directive should also refer to the possibility for </w:t>
      </w:r>
      <w:r w:rsidR="00443B12">
        <w:rPr>
          <w:noProof/>
        </w:rPr>
        <w:t>the Commission and the Member States to facilitate the dissemination of information on such schemes or initiatives and their outcomes</w:t>
      </w:r>
      <w:r w:rsidR="00B73300">
        <w:rPr>
          <w:noProof/>
        </w:rPr>
        <w:t xml:space="preserve">. </w:t>
      </w:r>
      <w:r w:rsidR="003D0F42" w:rsidRPr="00C6766B">
        <w:rPr>
          <w:noProof/>
        </w:rPr>
        <w:t>The Commission, in collaboration with Member States, may issue guidance for assessing the fitness of industry schemes and multi-stakeholder initiatives.</w:t>
      </w:r>
    </w:p>
    <w:p w14:paraId="10295B39" w14:textId="5FC303F6" w:rsidR="00ED3016" w:rsidRDefault="00822875" w:rsidP="00822875">
      <w:pPr>
        <w:pStyle w:val="ManualConsidrant"/>
        <w:rPr>
          <w:noProof/>
        </w:rPr>
      </w:pPr>
      <w:r w:rsidRPr="00822875">
        <w:t>(38)</w:t>
      </w:r>
      <w:r w:rsidRPr="00822875">
        <w:tab/>
      </w:r>
      <w:r w:rsidR="00D308CF" w:rsidRPr="00D308CF">
        <w:rPr>
          <w:noProof/>
        </w:rPr>
        <w:t xml:space="preserve">Under the due diligence obligations set out by this Directive, if a company identifies </w:t>
      </w:r>
      <w:r w:rsidR="00D308CF">
        <w:rPr>
          <w:noProof/>
        </w:rPr>
        <w:t>actual</w:t>
      </w:r>
      <w:r w:rsidR="00D308CF" w:rsidRPr="00D308CF">
        <w:rPr>
          <w:noProof/>
        </w:rPr>
        <w:t xml:space="preserve"> human rights or environmental </w:t>
      </w:r>
      <w:r w:rsidR="0090064C" w:rsidRPr="00D308CF">
        <w:rPr>
          <w:noProof/>
        </w:rPr>
        <w:t xml:space="preserve">adverse </w:t>
      </w:r>
      <w:r w:rsidR="00D308CF" w:rsidRPr="00D308CF">
        <w:rPr>
          <w:noProof/>
        </w:rPr>
        <w:t xml:space="preserve">impacts, it should take appropriate measures to </w:t>
      </w:r>
      <w:r w:rsidR="00B55797">
        <w:rPr>
          <w:noProof/>
        </w:rPr>
        <w:t>bring</w:t>
      </w:r>
      <w:r w:rsidR="00D308CF">
        <w:rPr>
          <w:noProof/>
        </w:rPr>
        <w:t xml:space="preserve"> those</w:t>
      </w:r>
      <w:r w:rsidR="00B55797">
        <w:rPr>
          <w:noProof/>
        </w:rPr>
        <w:t xml:space="preserve"> to an end</w:t>
      </w:r>
      <w:r w:rsidR="00D308CF" w:rsidRPr="00D308CF">
        <w:rPr>
          <w:noProof/>
        </w:rPr>
        <w:t xml:space="preserve">. </w:t>
      </w:r>
      <w:r w:rsidR="00D308CF">
        <w:rPr>
          <w:noProof/>
        </w:rPr>
        <w:t xml:space="preserve">It can be expected that a company is able to </w:t>
      </w:r>
      <w:r w:rsidR="00B55797">
        <w:rPr>
          <w:noProof/>
        </w:rPr>
        <w:t>bring to an end</w:t>
      </w:r>
      <w:r w:rsidR="00D308CF">
        <w:rPr>
          <w:noProof/>
        </w:rPr>
        <w:t xml:space="preserve"> actual adverse impact</w:t>
      </w:r>
      <w:r w:rsidR="00E66439">
        <w:rPr>
          <w:noProof/>
        </w:rPr>
        <w:t>s</w:t>
      </w:r>
      <w:r w:rsidR="00D308CF">
        <w:rPr>
          <w:noProof/>
        </w:rPr>
        <w:t xml:space="preserve"> in their own operations</w:t>
      </w:r>
      <w:r w:rsidR="00BA7544">
        <w:rPr>
          <w:noProof/>
        </w:rPr>
        <w:t xml:space="preserve"> and in subsidiaries</w:t>
      </w:r>
      <w:r w:rsidR="001C2D7D">
        <w:rPr>
          <w:noProof/>
        </w:rPr>
        <w:t>. H</w:t>
      </w:r>
      <w:r w:rsidR="00D308CF">
        <w:rPr>
          <w:noProof/>
        </w:rPr>
        <w:t xml:space="preserve">owever, it should be clarified that, as regards established business relationships, where adverse impacts </w:t>
      </w:r>
      <w:r w:rsidR="00B55797">
        <w:rPr>
          <w:noProof/>
        </w:rPr>
        <w:t>cannot be brought to an end</w:t>
      </w:r>
      <w:r w:rsidR="00D308CF">
        <w:rPr>
          <w:noProof/>
        </w:rPr>
        <w:t xml:space="preserve">, companies </w:t>
      </w:r>
      <w:r w:rsidR="001C2D7D">
        <w:rPr>
          <w:noProof/>
        </w:rPr>
        <w:t>should</w:t>
      </w:r>
      <w:r w:rsidR="00D308CF">
        <w:rPr>
          <w:noProof/>
        </w:rPr>
        <w:t xml:space="preserve"> minimise the extent of such impacts. </w:t>
      </w:r>
      <w:r w:rsidR="001969F5">
        <w:rPr>
          <w:noProof/>
        </w:rPr>
        <w:t xml:space="preserve">Minimisation of the extent of adverse impacts </w:t>
      </w:r>
      <w:r w:rsidR="00BA6911">
        <w:rPr>
          <w:noProof/>
        </w:rPr>
        <w:t xml:space="preserve">should </w:t>
      </w:r>
      <w:r w:rsidR="001969F5">
        <w:rPr>
          <w:noProof/>
        </w:rPr>
        <w:t xml:space="preserve">require an outcome that is the closest possible to bringing the adverse impact to an end. </w:t>
      </w:r>
      <w:r w:rsidR="00D308CF" w:rsidRPr="00D308CF">
        <w:rPr>
          <w:noProof/>
        </w:rPr>
        <w:t xml:space="preserve">To provide companies with legal clarity and certainty, this Directive should define which actions </w:t>
      </w:r>
      <w:r w:rsidR="00307F36">
        <w:rPr>
          <w:noProof/>
        </w:rPr>
        <w:t>companies</w:t>
      </w:r>
      <w:r w:rsidR="00D308CF" w:rsidRPr="00D308CF">
        <w:rPr>
          <w:noProof/>
        </w:rPr>
        <w:t xml:space="preserve"> should be </w:t>
      </w:r>
      <w:r w:rsidR="00307F36">
        <w:rPr>
          <w:noProof/>
        </w:rPr>
        <w:t xml:space="preserve">required to take for </w:t>
      </w:r>
      <w:r w:rsidR="00307F36" w:rsidRPr="00ED1C72">
        <w:rPr>
          <w:noProof/>
        </w:rPr>
        <w:t>b</w:t>
      </w:r>
      <w:r w:rsidR="00307F36" w:rsidRPr="009A1771">
        <w:rPr>
          <w:noProof/>
        </w:rPr>
        <w:t xml:space="preserve">ringing actual human rights and environmental adverse impacts to an end and </w:t>
      </w:r>
      <w:r w:rsidR="00FC0723">
        <w:rPr>
          <w:noProof/>
        </w:rPr>
        <w:t>minimisation</w:t>
      </w:r>
      <w:r w:rsidR="00FC0723" w:rsidRPr="009A1771">
        <w:rPr>
          <w:noProof/>
        </w:rPr>
        <w:t xml:space="preserve"> </w:t>
      </w:r>
      <w:r w:rsidR="00307F36" w:rsidRPr="009A1771">
        <w:rPr>
          <w:noProof/>
        </w:rPr>
        <w:t>of their extent</w:t>
      </w:r>
      <w:r w:rsidR="00E66439" w:rsidRPr="00E66439">
        <w:rPr>
          <w:noProof/>
        </w:rPr>
        <w:t>, where relevant depending on the circumstances</w:t>
      </w:r>
      <w:r w:rsidR="00D308CF" w:rsidRPr="00D308CF">
        <w:rPr>
          <w:noProof/>
        </w:rPr>
        <w:t>.</w:t>
      </w:r>
      <w:r w:rsidR="00D308CF">
        <w:rPr>
          <w:noProof/>
        </w:rPr>
        <w:t xml:space="preserve"> </w:t>
      </w:r>
    </w:p>
    <w:p w14:paraId="1D9D531B" w14:textId="59EC77F6" w:rsidR="00ED3016" w:rsidRDefault="00822875" w:rsidP="00822875">
      <w:pPr>
        <w:pStyle w:val="ManualConsidrant"/>
        <w:rPr>
          <w:noProof/>
        </w:rPr>
      </w:pPr>
      <w:r w:rsidRPr="00822875">
        <w:t>(39)</w:t>
      </w:r>
      <w:r w:rsidRPr="00822875">
        <w:tab/>
      </w:r>
      <w:r w:rsidR="00ED3016">
        <w:rPr>
          <w:noProof/>
        </w:rPr>
        <w:t xml:space="preserve">So as to comply with the obligation of </w:t>
      </w:r>
      <w:r w:rsidR="00307F36">
        <w:rPr>
          <w:noProof/>
        </w:rPr>
        <w:t xml:space="preserve">bringing to an end </w:t>
      </w:r>
      <w:r w:rsidR="00ED3016">
        <w:rPr>
          <w:noProof/>
        </w:rPr>
        <w:t>and minimising the extent of actual adverse impacts</w:t>
      </w:r>
      <w:r w:rsidR="00950C78" w:rsidRPr="00950C78">
        <w:rPr>
          <w:noProof/>
        </w:rPr>
        <w:t xml:space="preserve"> under this Directive, companies should </w:t>
      </w:r>
      <w:r w:rsidR="00307F36">
        <w:rPr>
          <w:noProof/>
        </w:rPr>
        <w:t xml:space="preserve">be required to take </w:t>
      </w:r>
      <w:r w:rsidR="00950C78" w:rsidRPr="00950C78">
        <w:rPr>
          <w:noProof/>
        </w:rPr>
        <w:t>the following</w:t>
      </w:r>
      <w:r w:rsidR="00307F36">
        <w:rPr>
          <w:noProof/>
        </w:rPr>
        <w:t xml:space="preserve"> actions</w:t>
      </w:r>
      <w:r w:rsidR="00E66439" w:rsidRPr="00E66439">
        <w:rPr>
          <w:noProof/>
        </w:rPr>
        <w:t>, where relevant. They should</w:t>
      </w:r>
      <w:r w:rsidR="00950C78" w:rsidRPr="00950C78">
        <w:rPr>
          <w:noProof/>
        </w:rPr>
        <w:t xml:space="preserve"> </w:t>
      </w:r>
      <w:r w:rsidR="00307F36">
        <w:rPr>
          <w:noProof/>
        </w:rPr>
        <w:t>neutralise the adverse impact or minimise its</w:t>
      </w:r>
      <w:r w:rsidR="00502E58">
        <w:rPr>
          <w:noProof/>
        </w:rPr>
        <w:t xml:space="preserve"> extent</w:t>
      </w:r>
      <w:r w:rsidR="00307F36">
        <w:rPr>
          <w:noProof/>
        </w:rPr>
        <w:t>, with an action proportionate to</w:t>
      </w:r>
      <w:r w:rsidR="00307F36" w:rsidRPr="00307F36">
        <w:rPr>
          <w:noProof/>
        </w:rPr>
        <w:t xml:space="preserve"> the significance and scale of the adverse impact and to the contribution of the company’s conduct to the </w:t>
      </w:r>
      <w:r w:rsidR="009D5017">
        <w:rPr>
          <w:noProof/>
        </w:rPr>
        <w:t>adverse impact</w:t>
      </w:r>
      <w:r w:rsidR="00F11C0E">
        <w:rPr>
          <w:noProof/>
        </w:rPr>
        <w:t xml:space="preserve">. </w:t>
      </w:r>
      <w:r w:rsidR="00307F36">
        <w:rPr>
          <w:noProof/>
        </w:rPr>
        <w:t xml:space="preserve">Where necessary due to the fact that the adverse impact </w:t>
      </w:r>
      <w:r w:rsidR="00502E58">
        <w:rPr>
          <w:noProof/>
        </w:rPr>
        <w:t>cannot be immediately</w:t>
      </w:r>
      <w:r w:rsidR="00307F36">
        <w:rPr>
          <w:noProof/>
        </w:rPr>
        <w:t xml:space="preserve"> brought to an end</w:t>
      </w:r>
      <w:r w:rsidR="00ED3016">
        <w:rPr>
          <w:noProof/>
        </w:rPr>
        <w:t xml:space="preserve">, </w:t>
      </w:r>
      <w:r w:rsidR="00F11C0E">
        <w:rPr>
          <w:noProof/>
        </w:rPr>
        <w:t xml:space="preserve">companies should </w:t>
      </w:r>
      <w:r w:rsidR="00ED3016" w:rsidRPr="008A37E9">
        <w:rPr>
          <w:noProof/>
        </w:rPr>
        <w:t>develop and implement a corrective action plan</w:t>
      </w:r>
      <w:r w:rsidR="00ED3016">
        <w:rPr>
          <w:noProof/>
        </w:rPr>
        <w:t xml:space="preserve"> </w:t>
      </w:r>
      <w:r w:rsidR="00307F36" w:rsidRPr="00307F36">
        <w:rPr>
          <w:noProof/>
        </w:rPr>
        <w:t>with reasonable and clearly defined timelines for action and qualitative and quantitative indicators for measuring improvement</w:t>
      </w:r>
      <w:r w:rsidR="00ED3016">
        <w:rPr>
          <w:noProof/>
        </w:rPr>
        <w:t xml:space="preserve">. </w:t>
      </w:r>
      <w:r w:rsidR="00ED1C72">
        <w:rPr>
          <w:noProof/>
        </w:rPr>
        <w:t xml:space="preserve">Companies should also </w:t>
      </w:r>
      <w:r w:rsidR="00ED1C72" w:rsidRPr="00ED1C72">
        <w:rPr>
          <w:noProof/>
        </w:rPr>
        <w:t xml:space="preserve">seek </w:t>
      </w:r>
      <w:r w:rsidR="00E66439">
        <w:rPr>
          <w:noProof/>
        </w:rPr>
        <w:t>to obtain</w:t>
      </w:r>
      <w:r w:rsidR="00ED1C72" w:rsidRPr="00ED1C72">
        <w:rPr>
          <w:noProof/>
        </w:rPr>
        <w:t xml:space="preserve"> contractual assurances from a direct business partner with whom </w:t>
      </w:r>
      <w:r w:rsidR="00ED1C72">
        <w:rPr>
          <w:noProof/>
        </w:rPr>
        <w:t>they have</w:t>
      </w:r>
      <w:r w:rsidR="00ED1C72" w:rsidRPr="00ED1C72">
        <w:rPr>
          <w:noProof/>
        </w:rPr>
        <w:t xml:space="preserve"> an established business relationship that </w:t>
      </w:r>
      <w:r w:rsidR="00ED1C72">
        <w:rPr>
          <w:noProof/>
        </w:rPr>
        <w:t>they</w:t>
      </w:r>
      <w:r w:rsidR="00ED1C72" w:rsidRPr="00ED1C72">
        <w:rPr>
          <w:noProof/>
        </w:rPr>
        <w:t xml:space="preserve"> will ensure compliance with the company’s code of conduct and, as necessary, a prevention action</w:t>
      </w:r>
      <w:r w:rsidR="00FB48DA">
        <w:rPr>
          <w:noProof/>
        </w:rPr>
        <w:t xml:space="preserve"> plan</w:t>
      </w:r>
      <w:r w:rsidR="00ED1C72" w:rsidRPr="00ED1C72">
        <w:rPr>
          <w:noProof/>
        </w:rPr>
        <w:t>,</w:t>
      </w:r>
      <w:r w:rsidR="00ED1C72" w:rsidRPr="00ED1C72" w:rsidDel="00EF57A2">
        <w:rPr>
          <w:noProof/>
        </w:rPr>
        <w:t xml:space="preserve"> </w:t>
      </w:r>
      <w:r w:rsidR="00ED1C72" w:rsidRPr="00ED1C72">
        <w:rPr>
          <w:noProof/>
        </w:rPr>
        <w:t>including by seeking corresponding contractual assurances from its partners, to the extent that their activities are part of the company’s value chain</w:t>
      </w:r>
      <w:r w:rsidR="00BA7544">
        <w:rPr>
          <w:noProof/>
        </w:rPr>
        <w:t>.</w:t>
      </w:r>
      <w:r w:rsidR="00ED1C72" w:rsidRPr="00ED1C72">
        <w:rPr>
          <w:noProof/>
        </w:rPr>
        <w:t xml:space="preserve"> The contractual assurances </w:t>
      </w:r>
      <w:r w:rsidR="00ED1C72">
        <w:rPr>
          <w:noProof/>
        </w:rPr>
        <w:t>should</w:t>
      </w:r>
      <w:r w:rsidR="00ED1C72" w:rsidRPr="00ED1C72">
        <w:rPr>
          <w:noProof/>
        </w:rPr>
        <w:t xml:space="preserve"> be accompanied by the appropriate measures to verify compliance. </w:t>
      </w:r>
      <w:r w:rsidR="00ED1C72">
        <w:rPr>
          <w:noProof/>
        </w:rPr>
        <w:t>Finally,</w:t>
      </w:r>
      <w:r w:rsidR="00ED3016">
        <w:rPr>
          <w:noProof/>
        </w:rPr>
        <w:t xml:space="preserve"> </w:t>
      </w:r>
      <w:r w:rsidR="00ED1C72">
        <w:rPr>
          <w:noProof/>
        </w:rPr>
        <w:t>c</w:t>
      </w:r>
      <w:r w:rsidR="00ED3016">
        <w:rPr>
          <w:noProof/>
        </w:rPr>
        <w:t>ompanies should also</w:t>
      </w:r>
      <w:r w:rsidR="00C464FD">
        <w:rPr>
          <w:noProof/>
        </w:rPr>
        <w:t xml:space="preserve"> </w:t>
      </w:r>
      <w:r w:rsidR="00ED3016">
        <w:rPr>
          <w:noProof/>
        </w:rPr>
        <w:t>make investments</w:t>
      </w:r>
      <w:r w:rsidR="006E6D7F">
        <w:rPr>
          <w:noProof/>
        </w:rPr>
        <w:t xml:space="preserve"> aiming at ceasing or minimising the extent of adverse impact</w:t>
      </w:r>
      <w:r w:rsidR="00ED3016">
        <w:rPr>
          <w:noProof/>
        </w:rPr>
        <w:t xml:space="preserve">, </w:t>
      </w:r>
      <w:r w:rsidR="009D5017">
        <w:rPr>
          <w:noProof/>
        </w:rPr>
        <w:t xml:space="preserve">provide targeted and proportionate support for an SMEs with which they have an established business relationship </w:t>
      </w:r>
      <w:r w:rsidR="00ED3016">
        <w:rPr>
          <w:noProof/>
        </w:rPr>
        <w:t>and collaborate with other entities</w:t>
      </w:r>
      <w:r w:rsidR="00FB48DA">
        <w:rPr>
          <w:noProof/>
        </w:rPr>
        <w:t>, including, where relevant,</w:t>
      </w:r>
      <w:r w:rsidR="00ED3016">
        <w:rPr>
          <w:noProof/>
        </w:rPr>
        <w:t xml:space="preserve"> </w:t>
      </w:r>
      <w:r w:rsidR="00ED3016" w:rsidRPr="008A37E9">
        <w:rPr>
          <w:noProof/>
        </w:rPr>
        <w:t xml:space="preserve">to increase the company’s ability to </w:t>
      </w:r>
      <w:r w:rsidR="00943CCA">
        <w:rPr>
          <w:noProof/>
        </w:rPr>
        <w:t xml:space="preserve">bring </w:t>
      </w:r>
      <w:r w:rsidR="00ED3016" w:rsidRPr="008A37E9">
        <w:rPr>
          <w:noProof/>
        </w:rPr>
        <w:t>the adverse impact</w:t>
      </w:r>
      <w:r w:rsidR="00E66439">
        <w:rPr>
          <w:noProof/>
        </w:rPr>
        <w:t xml:space="preserve"> to an end</w:t>
      </w:r>
      <w:r w:rsidR="00ED3016">
        <w:rPr>
          <w:noProof/>
        </w:rPr>
        <w:t>.</w:t>
      </w:r>
    </w:p>
    <w:p w14:paraId="3789EB88" w14:textId="4471B9AA" w:rsidR="00013A55" w:rsidRDefault="00822875" w:rsidP="00822875">
      <w:pPr>
        <w:pStyle w:val="ManualConsidrant"/>
        <w:rPr>
          <w:noProof/>
        </w:rPr>
      </w:pPr>
      <w:r w:rsidRPr="00822875">
        <w:t>(40)</w:t>
      </w:r>
      <w:r w:rsidRPr="00822875">
        <w:tab/>
      </w:r>
      <w:r w:rsidR="00013A55" w:rsidRPr="00013A55">
        <w:rPr>
          <w:noProof/>
        </w:rPr>
        <w:t xml:space="preserve">In order to reflect the full range of options for the company in cases where </w:t>
      </w:r>
      <w:r w:rsidR="00013A55">
        <w:rPr>
          <w:noProof/>
        </w:rPr>
        <w:t>actual</w:t>
      </w:r>
      <w:r w:rsidR="00013A55" w:rsidRPr="00013A55">
        <w:rPr>
          <w:noProof/>
        </w:rPr>
        <w:t xml:space="preserve"> impacts could not be addressed by the described measures, this Directive should also refer to the possibility for the company to </w:t>
      </w:r>
      <w:r w:rsidR="00013A55">
        <w:rPr>
          <w:noProof/>
        </w:rPr>
        <w:t xml:space="preserve">seek to </w:t>
      </w:r>
      <w:r w:rsidR="00013A55" w:rsidRPr="00013A55">
        <w:rPr>
          <w:noProof/>
        </w:rPr>
        <w:t xml:space="preserve">conclude a contract with the indirect </w:t>
      </w:r>
      <w:r w:rsidR="00E66439">
        <w:rPr>
          <w:noProof/>
        </w:rPr>
        <w:t>business partner</w:t>
      </w:r>
      <w:r w:rsidR="00013A55" w:rsidRPr="00013A55">
        <w:rPr>
          <w:noProof/>
        </w:rPr>
        <w:t xml:space="preserve">, with a view to achieving compliance with the company’s code of conduct or a </w:t>
      </w:r>
      <w:r w:rsidR="00D4364E">
        <w:rPr>
          <w:noProof/>
        </w:rPr>
        <w:t>corrective</w:t>
      </w:r>
      <w:r w:rsidR="00D4364E" w:rsidRPr="00013A55">
        <w:rPr>
          <w:noProof/>
        </w:rPr>
        <w:t xml:space="preserve"> </w:t>
      </w:r>
      <w:r w:rsidR="00013A55" w:rsidRPr="00013A55">
        <w:rPr>
          <w:noProof/>
        </w:rPr>
        <w:t xml:space="preserve">action plan, and conduct appropriate measures to verify compliance of the indirect business relationship with the contract. </w:t>
      </w:r>
      <w:r w:rsidR="00A377E0">
        <w:rPr>
          <w:noProof/>
        </w:rPr>
        <w:t xml:space="preserve"> </w:t>
      </w:r>
    </w:p>
    <w:p w14:paraId="411D8724" w14:textId="4EB30272" w:rsidR="0043183A" w:rsidRPr="0043183A" w:rsidRDefault="00822875" w:rsidP="00822875">
      <w:pPr>
        <w:pStyle w:val="ManualConsidrant"/>
        <w:rPr>
          <w:noProof/>
        </w:rPr>
      </w:pPr>
      <w:r w:rsidRPr="00822875">
        <w:t>(41)</w:t>
      </w:r>
      <w:r w:rsidRPr="00822875">
        <w:tab/>
      </w:r>
      <w:r w:rsidR="00A67370" w:rsidRPr="00A67370">
        <w:rPr>
          <w:noProof/>
        </w:rPr>
        <w:t xml:space="preserve">In order to ensure that </w:t>
      </w:r>
      <w:r w:rsidR="0043183A">
        <w:rPr>
          <w:noProof/>
        </w:rPr>
        <w:t>bringing</w:t>
      </w:r>
      <w:r w:rsidR="00797D2B">
        <w:rPr>
          <w:noProof/>
        </w:rPr>
        <w:t xml:space="preserve"> actual </w:t>
      </w:r>
      <w:r w:rsidR="00A67370" w:rsidRPr="00A67370">
        <w:rPr>
          <w:noProof/>
        </w:rPr>
        <w:t xml:space="preserve">adverse impacts </w:t>
      </w:r>
      <w:r w:rsidR="0043183A">
        <w:rPr>
          <w:noProof/>
        </w:rPr>
        <w:t xml:space="preserve">to an end or minimising them </w:t>
      </w:r>
      <w:r w:rsidR="00A67370" w:rsidRPr="00A67370">
        <w:rPr>
          <w:noProof/>
        </w:rPr>
        <w:t xml:space="preserve">is effective, companies should prioritize engagement with business relationships in the value chain, instead of terminating the business relationship, as a last resort action after attempting at </w:t>
      </w:r>
      <w:r w:rsidR="0043183A" w:rsidRPr="0043183A">
        <w:rPr>
          <w:noProof/>
        </w:rPr>
        <w:t xml:space="preserve">bringing actual adverse impacts to an end or minimising them </w:t>
      </w:r>
      <w:r w:rsidR="00A67370" w:rsidRPr="00A67370">
        <w:rPr>
          <w:noProof/>
        </w:rPr>
        <w:t>without success. However, th</w:t>
      </w:r>
      <w:r w:rsidR="000E62FE">
        <w:rPr>
          <w:noProof/>
        </w:rPr>
        <w:t>is</w:t>
      </w:r>
      <w:r w:rsidR="00A67370" w:rsidRPr="00A67370">
        <w:rPr>
          <w:noProof/>
        </w:rPr>
        <w:t xml:space="preserve"> Directive should also, for cases where </w:t>
      </w:r>
      <w:r w:rsidR="0043183A">
        <w:rPr>
          <w:noProof/>
        </w:rPr>
        <w:t>actual</w:t>
      </w:r>
      <w:r w:rsidR="00A67370" w:rsidRPr="00A67370">
        <w:rPr>
          <w:noProof/>
        </w:rPr>
        <w:t xml:space="preserve"> adverse impacts could not be </w:t>
      </w:r>
      <w:r w:rsidR="0043183A" w:rsidRPr="0043183A">
        <w:rPr>
          <w:noProof/>
        </w:rPr>
        <w:t xml:space="preserve">brought to an end or adequately mitigated by </w:t>
      </w:r>
      <w:r w:rsidR="0043183A">
        <w:rPr>
          <w:noProof/>
        </w:rPr>
        <w:t>the described measures</w:t>
      </w:r>
      <w:r w:rsidR="0043183A" w:rsidRPr="0043183A">
        <w:rPr>
          <w:noProof/>
        </w:rPr>
        <w:t xml:space="preserve">, </w:t>
      </w:r>
      <w:r w:rsidR="00951A74">
        <w:rPr>
          <w:noProof/>
        </w:rPr>
        <w:t>refer to the obligation for companies</w:t>
      </w:r>
      <w:r w:rsidR="0043183A" w:rsidRPr="0043183A">
        <w:rPr>
          <w:noProof/>
        </w:rPr>
        <w:t xml:space="preserve"> </w:t>
      </w:r>
      <w:r w:rsidR="00951A74">
        <w:rPr>
          <w:noProof/>
        </w:rPr>
        <w:t>to</w:t>
      </w:r>
      <w:r w:rsidR="0043183A" w:rsidRPr="0043183A">
        <w:rPr>
          <w:noProof/>
        </w:rPr>
        <w:t xml:space="preserve"> refrain from entering into new or extending existing relations with the partner in question and, where the law governing their relations so entitles them to, </w:t>
      </w:r>
      <w:r w:rsidR="00951A74">
        <w:rPr>
          <w:noProof/>
        </w:rPr>
        <w:t xml:space="preserve">to either </w:t>
      </w:r>
      <w:r w:rsidR="0043183A" w:rsidRPr="0043183A">
        <w:rPr>
          <w:noProof/>
        </w:rPr>
        <w:tab/>
        <w:t xml:space="preserve">temporarily suspend commercial relationships with the partner in question, while pursuing efforts to bring to an end or minimise </w:t>
      </w:r>
      <w:r w:rsidR="00AB3754">
        <w:rPr>
          <w:noProof/>
        </w:rPr>
        <w:t xml:space="preserve">the extent of </w:t>
      </w:r>
      <w:r w:rsidR="0043183A" w:rsidRPr="0043183A">
        <w:rPr>
          <w:noProof/>
        </w:rPr>
        <w:t>the adverse impact, or</w:t>
      </w:r>
      <w:r w:rsidR="00951A74">
        <w:rPr>
          <w:noProof/>
        </w:rPr>
        <w:t xml:space="preserve"> </w:t>
      </w:r>
      <w:r w:rsidR="0043183A" w:rsidRPr="0043183A">
        <w:rPr>
          <w:noProof/>
        </w:rPr>
        <w:tab/>
        <w:t>terminate the business relationship with respect to the activities concerned, if the adverse impact is considered severe.</w:t>
      </w:r>
      <w:r w:rsidR="00951A74" w:rsidRPr="0043183A">
        <w:rPr>
          <w:noProof/>
        </w:rPr>
        <w:t xml:space="preserve"> </w:t>
      </w:r>
      <w:r w:rsidR="0043183A" w:rsidRPr="0043183A">
        <w:rPr>
          <w:noProof/>
        </w:rPr>
        <w:t>In order to allow companies to fulfil that obligation, Member States should provide for the availability of an option to terminate the business relationship in contracts governed by their laws.</w:t>
      </w:r>
    </w:p>
    <w:p w14:paraId="24D6358A" w14:textId="5E0A5D88" w:rsidR="00ED3016" w:rsidRDefault="00822875" w:rsidP="00822875">
      <w:pPr>
        <w:pStyle w:val="ManualConsidrant"/>
        <w:rPr>
          <w:noProof/>
        </w:rPr>
      </w:pPr>
      <w:r w:rsidRPr="00822875">
        <w:t>(42)</w:t>
      </w:r>
      <w:r w:rsidRPr="00822875">
        <w:tab/>
      </w:r>
      <w:r w:rsidR="00D41640">
        <w:rPr>
          <w:noProof/>
        </w:rPr>
        <w:t>C</w:t>
      </w:r>
      <w:r w:rsidR="00ED3016" w:rsidRPr="00852303">
        <w:rPr>
          <w:noProof/>
        </w:rPr>
        <w:t>ompanies</w:t>
      </w:r>
      <w:r w:rsidR="00ED3016">
        <w:rPr>
          <w:noProof/>
        </w:rPr>
        <w:t xml:space="preserve"> should</w:t>
      </w:r>
      <w:r w:rsidR="00ED3016" w:rsidRPr="00852303">
        <w:rPr>
          <w:noProof/>
        </w:rPr>
        <w:t xml:space="preserve"> </w:t>
      </w:r>
      <w:r w:rsidR="006C2131">
        <w:rPr>
          <w:noProof/>
        </w:rPr>
        <w:t xml:space="preserve">provide the possibility for persons and organisations to submit complaints directly to them in case of legitimate concerns regarding actual or potential human rights and environmental adverse impacts. </w:t>
      </w:r>
      <w:r w:rsidR="001C2D7D">
        <w:rPr>
          <w:noProof/>
        </w:rPr>
        <w:t xml:space="preserve">Organisations who </w:t>
      </w:r>
      <w:r w:rsidR="00BA6B16">
        <w:rPr>
          <w:noProof/>
        </w:rPr>
        <w:t xml:space="preserve">could </w:t>
      </w:r>
      <w:r w:rsidR="001C2D7D">
        <w:rPr>
          <w:noProof/>
        </w:rPr>
        <w:t>submit such complaints should include</w:t>
      </w:r>
      <w:r w:rsidR="001C2D7D" w:rsidRPr="001C2D7D">
        <w:rPr>
          <w:noProof/>
        </w:rPr>
        <w:t xml:space="preserve"> trade unions</w:t>
      </w:r>
      <w:r w:rsidR="002810D3">
        <w:rPr>
          <w:noProof/>
        </w:rPr>
        <w:t xml:space="preserve"> and </w:t>
      </w:r>
      <w:r w:rsidR="001C2D7D" w:rsidRPr="001C2D7D">
        <w:rPr>
          <w:noProof/>
        </w:rPr>
        <w:t xml:space="preserve">other workers’ representatives </w:t>
      </w:r>
      <w:r w:rsidR="002810D3" w:rsidRPr="002810D3">
        <w:rPr>
          <w:noProof/>
        </w:rPr>
        <w:t>representing individu</w:t>
      </w:r>
      <w:r w:rsidR="002810D3">
        <w:rPr>
          <w:noProof/>
        </w:rPr>
        <w:t xml:space="preserve">als working in the value chain concerned </w:t>
      </w:r>
      <w:r w:rsidR="001C2D7D" w:rsidRPr="001C2D7D">
        <w:rPr>
          <w:noProof/>
        </w:rPr>
        <w:t>and civil society organisations active in the areas related to the value chain concerned where they have knowledge about a potential or actual adverse impact</w:t>
      </w:r>
      <w:r w:rsidR="001C2D7D">
        <w:rPr>
          <w:noProof/>
        </w:rPr>
        <w:t xml:space="preserve">. </w:t>
      </w:r>
      <w:r w:rsidR="006C2131">
        <w:rPr>
          <w:noProof/>
        </w:rPr>
        <w:t xml:space="preserve">Companies should </w:t>
      </w:r>
      <w:r w:rsidR="00ED3016">
        <w:rPr>
          <w:noProof/>
        </w:rPr>
        <w:t xml:space="preserve">establish </w:t>
      </w:r>
      <w:r w:rsidR="006C2131">
        <w:rPr>
          <w:noProof/>
        </w:rPr>
        <w:t>a procedure f</w:t>
      </w:r>
      <w:r w:rsidR="00ED3016">
        <w:rPr>
          <w:noProof/>
        </w:rPr>
        <w:t xml:space="preserve">or </w:t>
      </w:r>
      <w:r w:rsidR="00F24C92">
        <w:rPr>
          <w:noProof/>
        </w:rPr>
        <w:t>dealing with</w:t>
      </w:r>
      <w:r w:rsidR="00ED3016">
        <w:rPr>
          <w:noProof/>
        </w:rPr>
        <w:t xml:space="preserve"> those complaints and inform workers</w:t>
      </w:r>
      <w:r w:rsidR="008827D5">
        <w:rPr>
          <w:noProof/>
        </w:rPr>
        <w:t>,</w:t>
      </w:r>
      <w:r w:rsidR="00ED3016">
        <w:rPr>
          <w:noProof/>
        </w:rPr>
        <w:t xml:space="preserve"> trade unions</w:t>
      </w:r>
      <w:r w:rsidR="008827D5">
        <w:rPr>
          <w:noProof/>
        </w:rPr>
        <w:t xml:space="preserve"> and other workers’ representatives</w:t>
      </w:r>
      <w:r w:rsidR="00ED3016">
        <w:rPr>
          <w:noProof/>
        </w:rPr>
        <w:t>, where relevant, about such processes. Recourse to the complaints and remediation mechanism should not prevent the complainant from having recourse to judicial remedies.</w:t>
      </w:r>
      <w:r w:rsidR="00ED3016" w:rsidRPr="2446C769">
        <w:rPr>
          <w:noProof/>
        </w:rPr>
        <w:t xml:space="preserve"> </w:t>
      </w:r>
      <w:r w:rsidR="00346AEB">
        <w:rPr>
          <w:noProof/>
        </w:rPr>
        <w:t xml:space="preserve">In accordance with international standards, </w:t>
      </w:r>
      <w:r w:rsidR="00F24C92">
        <w:rPr>
          <w:noProof/>
        </w:rPr>
        <w:t>complaints</w:t>
      </w:r>
      <w:r w:rsidR="00346AEB">
        <w:rPr>
          <w:noProof/>
        </w:rPr>
        <w:t xml:space="preserve"> should</w:t>
      </w:r>
      <w:r w:rsidR="00F24C92">
        <w:rPr>
          <w:noProof/>
        </w:rPr>
        <w:t xml:space="preserve"> be entitled </w:t>
      </w:r>
      <w:r w:rsidR="00F24C92" w:rsidRPr="00F24C92">
        <w:rPr>
          <w:noProof/>
        </w:rPr>
        <w:t>to request from the company appropriate follow-up on the complaint and to meet with the company’s representatives at an appropriate level to discuss potential or actual severe adverse impacts that are the subject matter of the complaint.</w:t>
      </w:r>
      <w:r w:rsidR="00F24C92">
        <w:rPr>
          <w:noProof/>
        </w:rPr>
        <w:t xml:space="preserve"> </w:t>
      </w:r>
      <w:r w:rsidR="00346AEB">
        <w:rPr>
          <w:noProof/>
        </w:rPr>
        <w:t xml:space="preserve">This access should </w:t>
      </w:r>
      <w:r w:rsidR="007A5067">
        <w:rPr>
          <w:noProof/>
        </w:rPr>
        <w:t xml:space="preserve">not lead to unreasonable solicitations of companies. </w:t>
      </w:r>
    </w:p>
    <w:p w14:paraId="48D0B138" w14:textId="7F78F2DF" w:rsidR="00ED3016" w:rsidRDefault="00822875" w:rsidP="00822875">
      <w:pPr>
        <w:pStyle w:val="ManualConsidrant"/>
        <w:rPr>
          <w:noProof/>
        </w:rPr>
      </w:pPr>
      <w:r w:rsidRPr="00822875">
        <w:t>(43)</w:t>
      </w:r>
      <w:r w:rsidRPr="00822875">
        <w:tab/>
      </w:r>
      <w:r w:rsidR="0078540A">
        <w:rPr>
          <w:noProof/>
        </w:rPr>
        <w:t>C</w:t>
      </w:r>
      <w:r w:rsidR="00ED3016">
        <w:rPr>
          <w:noProof/>
        </w:rPr>
        <w:t>ompanies should</w:t>
      </w:r>
      <w:r w:rsidR="00ED3016" w:rsidRPr="005F0117">
        <w:rPr>
          <w:noProof/>
        </w:rPr>
        <w:t xml:space="preserve"> monitor the implementation and effectiveness of </w:t>
      </w:r>
      <w:r w:rsidR="00565EE1">
        <w:rPr>
          <w:noProof/>
        </w:rPr>
        <w:t xml:space="preserve">their </w:t>
      </w:r>
      <w:r w:rsidR="00ED3016" w:rsidRPr="006C03F0">
        <w:rPr>
          <w:noProof/>
        </w:rPr>
        <w:t>due diligence</w:t>
      </w:r>
      <w:r w:rsidR="00ED3016" w:rsidRPr="005F0117">
        <w:rPr>
          <w:noProof/>
        </w:rPr>
        <w:t xml:space="preserve"> measures</w:t>
      </w:r>
      <w:r w:rsidR="00AD562D">
        <w:rPr>
          <w:noProof/>
        </w:rPr>
        <w:t xml:space="preserve">. They should </w:t>
      </w:r>
      <w:r w:rsidR="00AD562D" w:rsidRPr="002673FE">
        <w:rPr>
          <w:noProof/>
        </w:rPr>
        <w:t xml:space="preserve">carry out periodic assessments of </w:t>
      </w:r>
      <w:r w:rsidR="00AD562D">
        <w:rPr>
          <w:noProof/>
        </w:rPr>
        <w:t>their</w:t>
      </w:r>
      <w:r w:rsidR="00AD562D" w:rsidRPr="002673FE">
        <w:rPr>
          <w:noProof/>
        </w:rPr>
        <w:t xml:space="preserve"> </w:t>
      </w:r>
      <w:r w:rsidR="00AD562D">
        <w:rPr>
          <w:noProof/>
        </w:rPr>
        <w:t>own operations</w:t>
      </w:r>
      <w:r w:rsidR="00AD562D" w:rsidRPr="002673FE">
        <w:rPr>
          <w:noProof/>
        </w:rPr>
        <w:t xml:space="preserve">, </w:t>
      </w:r>
      <w:r w:rsidR="00AD562D">
        <w:rPr>
          <w:noProof/>
        </w:rPr>
        <w:t xml:space="preserve">those of their </w:t>
      </w:r>
      <w:r w:rsidR="00AD562D" w:rsidRPr="002673FE">
        <w:rPr>
          <w:noProof/>
        </w:rPr>
        <w:t>subsidiaries and</w:t>
      </w:r>
      <w:r w:rsidR="00AD562D">
        <w:rPr>
          <w:noProof/>
        </w:rPr>
        <w:t>, where related to the value chains of the company,</w:t>
      </w:r>
      <w:r w:rsidR="00AD562D" w:rsidRPr="002673FE">
        <w:rPr>
          <w:noProof/>
        </w:rPr>
        <w:t xml:space="preserve"> </w:t>
      </w:r>
      <w:r w:rsidR="00AD562D">
        <w:rPr>
          <w:noProof/>
        </w:rPr>
        <w:t>those of their</w:t>
      </w:r>
      <w:r w:rsidR="00AD562D" w:rsidRPr="002673FE">
        <w:rPr>
          <w:noProof/>
        </w:rPr>
        <w:t xml:space="preserve"> </w:t>
      </w:r>
      <w:r w:rsidR="00AD562D">
        <w:rPr>
          <w:noProof/>
        </w:rPr>
        <w:t xml:space="preserve">established </w:t>
      </w:r>
      <w:r w:rsidR="00AD562D" w:rsidRPr="002673FE">
        <w:rPr>
          <w:noProof/>
        </w:rPr>
        <w:t xml:space="preserve">business relationships, to </w:t>
      </w:r>
      <w:r w:rsidR="00AD562D">
        <w:rPr>
          <w:noProof/>
        </w:rPr>
        <w:t>monitor the effectiveness of the identification, prevention, minimisation, bringing to an end and mitigation of human rights  and environmental</w:t>
      </w:r>
      <w:r w:rsidR="00AD562D" w:rsidRPr="002673FE">
        <w:rPr>
          <w:noProof/>
        </w:rPr>
        <w:t xml:space="preserve"> adverse impacts.</w:t>
      </w:r>
      <w:r w:rsidR="00ED3016">
        <w:rPr>
          <w:noProof/>
        </w:rPr>
        <w:t xml:space="preserve"> </w:t>
      </w:r>
      <w:r w:rsidR="00256A71">
        <w:rPr>
          <w:noProof/>
        </w:rPr>
        <w:t>Such assessments should</w:t>
      </w:r>
      <w:r w:rsidR="00ED3016" w:rsidRPr="005F0117">
        <w:rPr>
          <w:noProof/>
        </w:rPr>
        <w:t xml:space="preserve"> verify that </w:t>
      </w:r>
      <w:r w:rsidR="00ED3016">
        <w:rPr>
          <w:noProof/>
        </w:rPr>
        <w:t>adverse impacts are properly identified,</w:t>
      </w:r>
      <w:r w:rsidR="00ED3016" w:rsidRPr="005F0117">
        <w:rPr>
          <w:noProof/>
        </w:rPr>
        <w:t xml:space="preserve"> due diligence measures are </w:t>
      </w:r>
      <w:r w:rsidR="00ED3016">
        <w:rPr>
          <w:noProof/>
        </w:rPr>
        <w:t>implemented and</w:t>
      </w:r>
      <w:r w:rsidR="00ED3016" w:rsidRPr="005F0117">
        <w:rPr>
          <w:noProof/>
        </w:rPr>
        <w:t xml:space="preserve"> adverse impacts have actually been prevented or </w:t>
      </w:r>
      <w:r w:rsidR="00E4031B">
        <w:rPr>
          <w:noProof/>
        </w:rPr>
        <w:t>brought</w:t>
      </w:r>
      <w:r w:rsidR="00943CCA">
        <w:rPr>
          <w:noProof/>
        </w:rPr>
        <w:t xml:space="preserve"> to an end</w:t>
      </w:r>
      <w:r w:rsidR="00ED3016">
        <w:rPr>
          <w:noProof/>
        </w:rPr>
        <w:t xml:space="preserve">. In order to ensure that such assessments are up-to-date, they should be carried out at least every 12 months and be </w:t>
      </w:r>
      <w:r w:rsidR="00ED3016" w:rsidRPr="0009142A">
        <w:rPr>
          <w:noProof/>
        </w:rPr>
        <w:t xml:space="preserve">revised </w:t>
      </w:r>
      <w:r w:rsidR="00ED3016">
        <w:rPr>
          <w:noProof/>
        </w:rPr>
        <w:t xml:space="preserve">in-between </w:t>
      </w:r>
      <w:r w:rsidR="00ED3016" w:rsidRPr="0009142A">
        <w:rPr>
          <w:noProof/>
        </w:rPr>
        <w:t xml:space="preserve">if there </w:t>
      </w:r>
      <w:r w:rsidR="00ED3016">
        <w:rPr>
          <w:noProof/>
        </w:rPr>
        <w:t>are reasonable grounds to believe that</w:t>
      </w:r>
      <w:r w:rsidR="00ED3016" w:rsidRPr="0009142A">
        <w:rPr>
          <w:noProof/>
        </w:rPr>
        <w:t xml:space="preserve"> significant</w:t>
      </w:r>
      <w:r w:rsidR="00ED3016">
        <w:rPr>
          <w:noProof/>
        </w:rPr>
        <w:t xml:space="preserve"> new</w:t>
      </w:r>
      <w:r w:rsidR="00ED3016" w:rsidRPr="0009142A">
        <w:rPr>
          <w:noProof/>
        </w:rPr>
        <w:t xml:space="preserve"> risks of adverse impact</w:t>
      </w:r>
      <w:r w:rsidR="00ED3016">
        <w:rPr>
          <w:noProof/>
        </w:rPr>
        <w:t xml:space="preserve"> </w:t>
      </w:r>
      <w:r w:rsidR="00BA6B16">
        <w:rPr>
          <w:noProof/>
        </w:rPr>
        <w:t xml:space="preserve">could </w:t>
      </w:r>
      <w:r w:rsidR="00256A71">
        <w:rPr>
          <w:noProof/>
        </w:rPr>
        <w:t xml:space="preserve">have </w:t>
      </w:r>
      <w:r w:rsidR="00ED3016">
        <w:rPr>
          <w:noProof/>
        </w:rPr>
        <w:t>arise</w:t>
      </w:r>
      <w:r w:rsidR="00256A71">
        <w:rPr>
          <w:noProof/>
        </w:rPr>
        <w:t>n</w:t>
      </w:r>
      <w:r w:rsidR="00ED3016">
        <w:rPr>
          <w:noProof/>
        </w:rPr>
        <w:t>.</w:t>
      </w:r>
    </w:p>
    <w:p w14:paraId="092B9321" w14:textId="1104C7FD" w:rsidR="002E2E83" w:rsidRDefault="00822875" w:rsidP="00822875">
      <w:pPr>
        <w:pStyle w:val="ManualConsidrant"/>
        <w:rPr>
          <w:noProof/>
        </w:rPr>
      </w:pPr>
      <w:r w:rsidRPr="00822875">
        <w:t>(44)</w:t>
      </w:r>
      <w:r w:rsidRPr="00822875">
        <w:tab/>
      </w:r>
      <w:r w:rsidR="00ED3016">
        <w:rPr>
          <w:noProof/>
        </w:rPr>
        <w:tab/>
      </w:r>
      <w:r w:rsidR="003F09F9">
        <w:rPr>
          <w:noProof/>
        </w:rPr>
        <w:t>Like in the</w:t>
      </w:r>
      <w:r w:rsidR="00ED3016">
        <w:rPr>
          <w:noProof/>
        </w:rPr>
        <w:t xml:space="preserve"> existing international standards set by the U</w:t>
      </w:r>
      <w:r w:rsidR="00265C0E">
        <w:rPr>
          <w:noProof/>
        </w:rPr>
        <w:t>nited Nations Guiding Principles on Business and Human Rights</w:t>
      </w:r>
      <w:r w:rsidR="00ED3016">
        <w:rPr>
          <w:noProof/>
        </w:rPr>
        <w:t xml:space="preserve"> and the OECD framework, it forms part of the due diligence requirement to communicate externally relevant information on due diligence policies, processes and activities conducted to identify and address actual or potential adverse impacts, including the findings and outcomes of those activities. The proposal </w:t>
      </w:r>
      <w:r w:rsidR="000221F9">
        <w:rPr>
          <w:noProof/>
        </w:rPr>
        <w:t>to amend Directive 2013/34/EU as regards</w:t>
      </w:r>
      <w:r w:rsidR="00ED3016">
        <w:rPr>
          <w:noProof/>
        </w:rPr>
        <w:t xml:space="preserve"> </w:t>
      </w:r>
      <w:r w:rsidR="000221F9">
        <w:rPr>
          <w:noProof/>
        </w:rPr>
        <w:t>c</w:t>
      </w:r>
      <w:r w:rsidR="00ED3016">
        <w:rPr>
          <w:noProof/>
        </w:rPr>
        <w:t xml:space="preserve">orporate </w:t>
      </w:r>
      <w:r w:rsidR="000221F9">
        <w:rPr>
          <w:noProof/>
        </w:rPr>
        <w:t>s</w:t>
      </w:r>
      <w:r w:rsidR="00ED3016">
        <w:rPr>
          <w:noProof/>
        </w:rPr>
        <w:t xml:space="preserve">ustainability </w:t>
      </w:r>
      <w:r w:rsidR="000221F9">
        <w:rPr>
          <w:noProof/>
        </w:rPr>
        <w:t>r</w:t>
      </w:r>
      <w:r w:rsidR="00ED3016">
        <w:rPr>
          <w:noProof/>
        </w:rPr>
        <w:t xml:space="preserve">eporting sets out relevant reporting obligations for the companies covered by this directive. </w:t>
      </w:r>
      <w:r w:rsidR="00A62065">
        <w:rPr>
          <w:noProof/>
        </w:rPr>
        <w:t>I</w:t>
      </w:r>
      <w:r w:rsidR="00ED3016" w:rsidRPr="002613FE">
        <w:rPr>
          <w:noProof/>
        </w:rPr>
        <w:t>n order to avoid duplicating reporting obligations</w:t>
      </w:r>
      <w:r w:rsidR="00ED3016">
        <w:rPr>
          <w:noProof/>
        </w:rPr>
        <w:t xml:space="preserve">, this Directive should </w:t>
      </w:r>
      <w:r w:rsidR="00A62065">
        <w:rPr>
          <w:noProof/>
        </w:rPr>
        <w:t xml:space="preserve">therefore not introduce any new reporting obligations in addition to those under </w:t>
      </w:r>
      <w:r w:rsidR="00ED3016">
        <w:rPr>
          <w:noProof/>
        </w:rPr>
        <w:t xml:space="preserve">Directive </w:t>
      </w:r>
      <w:r w:rsidR="006F6295">
        <w:rPr>
          <w:noProof/>
        </w:rPr>
        <w:t xml:space="preserve">2013/34/EU </w:t>
      </w:r>
      <w:r w:rsidR="00D90C96">
        <w:rPr>
          <w:noProof/>
        </w:rPr>
        <w:t xml:space="preserve">for the companies covered by that Directive </w:t>
      </w:r>
      <w:r w:rsidR="00ED3016">
        <w:rPr>
          <w:noProof/>
        </w:rPr>
        <w:t xml:space="preserve">as well as the reporting standards that </w:t>
      </w:r>
      <w:r w:rsidR="00BA6B16">
        <w:rPr>
          <w:noProof/>
        </w:rPr>
        <w:t xml:space="preserve">should </w:t>
      </w:r>
      <w:r w:rsidR="00ED3016">
        <w:rPr>
          <w:noProof/>
        </w:rPr>
        <w:t>be developed under it</w:t>
      </w:r>
      <w:r w:rsidR="00D90C96">
        <w:rPr>
          <w:noProof/>
        </w:rPr>
        <w:t xml:space="preserve">. </w:t>
      </w:r>
      <w:r w:rsidR="00D90C96" w:rsidRPr="00DC1132">
        <w:rPr>
          <w:noProof/>
        </w:rPr>
        <w:t>As regards</w:t>
      </w:r>
      <w:r w:rsidR="00025BB7">
        <w:rPr>
          <w:noProof/>
        </w:rPr>
        <w:t xml:space="preserve"> </w:t>
      </w:r>
      <w:r w:rsidR="00D90C96" w:rsidRPr="00DC1132">
        <w:rPr>
          <w:noProof/>
        </w:rPr>
        <w:t>companies that are within the scope of this Directive,</w:t>
      </w:r>
      <w:r w:rsidR="002E2E83">
        <w:rPr>
          <w:noProof/>
        </w:rPr>
        <w:t xml:space="preserve"> but do not fall under Directive 2013/34/EU,</w:t>
      </w:r>
      <w:r w:rsidR="00D90C96" w:rsidRPr="00DC1132">
        <w:rPr>
          <w:noProof/>
        </w:rPr>
        <w:t xml:space="preserve"> in order to comply with their obligation of communicating as part of the due diligence under this Directive, </w:t>
      </w:r>
      <w:r w:rsidR="00DC1132" w:rsidDel="000F1CFA">
        <w:rPr>
          <w:noProof/>
        </w:rPr>
        <w:t>they</w:t>
      </w:r>
      <w:r w:rsidR="00ED3016" w:rsidDel="000F1CFA">
        <w:rPr>
          <w:noProof/>
        </w:rPr>
        <w:t xml:space="preserve"> </w:t>
      </w:r>
      <w:r w:rsidR="00D90C96" w:rsidRPr="00BD0DF6">
        <w:rPr>
          <w:noProof/>
        </w:rPr>
        <w:t>should publish on their website an annual statement in a language customary in the sphere of international business</w:t>
      </w:r>
      <w:r w:rsidR="000F1CFA" w:rsidRPr="009A1771">
        <w:rPr>
          <w:noProof/>
        </w:rPr>
        <w:t>.</w:t>
      </w:r>
    </w:p>
    <w:p w14:paraId="67B80E09" w14:textId="702D32DA" w:rsidR="00ED3016" w:rsidRDefault="00822875" w:rsidP="00822875">
      <w:pPr>
        <w:pStyle w:val="ManualConsidrant"/>
        <w:rPr>
          <w:noProof/>
        </w:rPr>
      </w:pPr>
      <w:r w:rsidRPr="00822875">
        <w:t>(45)</w:t>
      </w:r>
      <w:r w:rsidRPr="00822875">
        <w:tab/>
      </w:r>
      <w:r w:rsidR="00ED3016">
        <w:rPr>
          <w:noProof/>
        </w:rPr>
        <w:tab/>
      </w:r>
      <w:r w:rsidR="00ED3016" w:rsidRPr="00F8340F">
        <w:rPr>
          <w:noProof/>
        </w:rPr>
        <w:t>In order to facilitate companies’</w:t>
      </w:r>
      <w:r w:rsidR="00EF02BC">
        <w:rPr>
          <w:noProof/>
        </w:rPr>
        <w:t xml:space="preserve"> compliance with</w:t>
      </w:r>
      <w:r w:rsidR="00ED3016" w:rsidRPr="00F8340F">
        <w:rPr>
          <w:noProof/>
        </w:rPr>
        <w:t xml:space="preserve"> their due diligence requirements through their value chain</w:t>
      </w:r>
      <w:r w:rsidR="00EF02BC">
        <w:rPr>
          <w:noProof/>
        </w:rPr>
        <w:t xml:space="preserve"> and limiting shifting compliance burden on SME business partners</w:t>
      </w:r>
      <w:r w:rsidR="00ED3016" w:rsidRPr="00F8340F">
        <w:rPr>
          <w:noProof/>
        </w:rPr>
        <w:t xml:space="preserve">, the Commission </w:t>
      </w:r>
      <w:r w:rsidR="00DA08FB">
        <w:rPr>
          <w:noProof/>
        </w:rPr>
        <w:t xml:space="preserve">should </w:t>
      </w:r>
      <w:r w:rsidR="00623DC2" w:rsidRPr="00F8340F">
        <w:rPr>
          <w:noProof/>
        </w:rPr>
        <w:t xml:space="preserve">provide guidance on </w:t>
      </w:r>
      <w:r w:rsidR="00ED3016" w:rsidRPr="00F8340F">
        <w:rPr>
          <w:noProof/>
        </w:rPr>
        <w:t>model contractual clauses.</w:t>
      </w:r>
      <w:r w:rsidR="00ED3016">
        <w:rPr>
          <w:noProof/>
        </w:rPr>
        <w:t xml:space="preserve"> </w:t>
      </w:r>
    </w:p>
    <w:p w14:paraId="1AFF6030" w14:textId="4FD9C37B" w:rsidR="00ED3016" w:rsidRPr="00C6766B" w:rsidRDefault="00822875" w:rsidP="00822875">
      <w:pPr>
        <w:pStyle w:val="ManualConsidrant"/>
        <w:rPr>
          <w:noProof/>
        </w:rPr>
      </w:pPr>
      <w:r w:rsidRPr="00822875">
        <w:t>(46)</w:t>
      </w:r>
      <w:r w:rsidRPr="00822875">
        <w:tab/>
      </w:r>
      <w:r w:rsidR="00ED3016">
        <w:rPr>
          <w:noProof/>
        </w:rPr>
        <w:tab/>
      </w:r>
      <w:r w:rsidR="00ED3016" w:rsidRPr="00C6766B">
        <w:rPr>
          <w:noProof/>
        </w:rPr>
        <w:t xml:space="preserve">In order to provide support </w:t>
      </w:r>
      <w:r w:rsidR="00D33254" w:rsidRPr="00C6766B">
        <w:rPr>
          <w:noProof/>
        </w:rPr>
        <w:t xml:space="preserve">and practical tools </w:t>
      </w:r>
      <w:r w:rsidR="00ED3016" w:rsidRPr="00C6766B">
        <w:rPr>
          <w:noProof/>
        </w:rPr>
        <w:t xml:space="preserve">to companies </w:t>
      </w:r>
      <w:r w:rsidR="002B5DF1" w:rsidRPr="00C6766B">
        <w:rPr>
          <w:noProof/>
        </w:rPr>
        <w:t>or to</w:t>
      </w:r>
      <w:r w:rsidR="00ED3016" w:rsidRPr="00C6766B">
        <w:rPr>
          <w:noProof/>
        </w:rPr>
        <w:t xml:space="preserve"> Member State authorities on how companies </w:t>
      </w:r>
      <w:r w:rsidR="002B5DF1" w:rsidRPr="00C6766B">
        <w:rPr>
          <w:noProof/>
        </w:rPr>
        <w:t>should</w:t>
      </w:r>
      <w:r w:rsidR="00DB01DA" w:rsidRPr="00C6766B">
        <w:rPr>
          <w:noProof/>
        </w:rPr>
        <w:t xml:space="preserve"> </w:t>
      </w:r>
      <w:r w:rsidR="00ED3016" w:rsidRPr="00C6766B">
        <w:rPr>
          <w:noProof/>
        </w:rPr>
        <w:t xml:space="preserve">fulfil their due diligence obligations, the Commission, </w:t>
      </w:r>
      <w:r w:rsidR="00D33254" w:rsidRPr="00C6766B">
        <w:rPr>
          <w:noProof/>
        </w:rPr>
        <w:t xml:space="preserve">using relevant international guidelines and standards as a reference, and </w:t>
      </w:r>
      <w:r w:rsidR="00ED3016" w:rsidRPr="00C6766B">
        <w:rPr>
          <w:noProof/>
        </w:rPr>
        <w:t xml:space="preserve">in consultation with </w:t>
      </w:r>
      <w:r w:rsidR="00FA3936" w:rsidRPr="00C6766B">
        <w:rPr>
          <w:noProof/>
        </w:rPr>
        <w:t xml:space="preserve">Member States and stakeholders, </w:t>
      </w:r>
      <w:r w:rsidR="00ED3016" w:rsidRPr="00C6766B">
        <w:rPr>
          <w:noProof/>
        </w:rPr>
        <w:t>the European Union Agency for Fundamental Rights, the European Environment Agency</w:t>
      </w:r>
      <w:r w:rsidR="002B5DF1" w:rsidRPr="00C6766B">
        <w:rPr>
          <w:noProof/>
        </w:rPr>
        <w:t>,</w:t>
      </w:r>
      <w:r w:rsidR="00ED3016" w:rsidRPr="00C6766B">
        <w:rPr>
          <w:noProof/>
        </w:rPr>
        <w:t xml:space="preserve"> and </w:t>
      </w:r>
      <w:r w:rsidR="009A42A4" w:rsidRPr="00C6766B">
        <w:rPr>
          <w:noProof/>
        </w:rPr>
        <w:t xml:space="preserve">where appropriate </w:t>
      </w:r>
      <w:r w:rsidR="002B5DF1" w:rsidRPr="00C6766B">
        <w:rPr>
          <w:noProof/>
        </w:rPr>
        <w:t>with</w:t>
      </w:r>
      <w:r w:rsidR="006B67DA" w:rsidRPr="00C6766B">
        <w:rPr>
          <w:noProof/>
        </w:rPr>
        <w:t xml:space="preserve"> international bodies</w:t>
      </w:r>
      <w:r w:rsidR="00DB01DA" w:rsidRPr="00C6766B">
        <w:rPr>
          <w:noProof/>
        </w:rPr>
        <w:t xml:space="preserve"> having expertise </w:t>
      </w:r>
      <w:r w:rsidR="008F4070" w:rsidRPr="00C6766B">
        <w:rPr>
          <w:noProof/>
        </w:rPr>
        <w:t>in</w:t>
      </w:r>
      <w:r w:rsidR="00DB01DA" w:rsidRPr="00C6766B">
        <w:rPr>
          <w:noProof/>
        </w:rPr>
        <w:t xml:space="preserve"> due diligence</w:t>
      </w:r>
      <w:r w:rsidR="00ED3016" w:rsidRPr="00C6766B">
        <w:rPr>
          <w:noProof/>
        </w:rPr>
        <w:t xml:space="preserve">, </w:t>
      </w:r>
      <w:r w:rsidR="00193A79" w:rsidRPr="00C6766B">
        <w:rPr>
          <w:noProof/>
        </w:rPr>
        <w:t xml:space="preserve">should have the possibility to </w:t>
      </w:r>
      <w:r w:rsidR="00ED3016" w:rsidRPr="00C6766B">
        <w:rPr>
          <w:noProof/>
        </w:rPr>
        <w:t xml:space="preserve">issue guidelines, </w:t>
      </w:r>
      <w:r w:rsidR="00BB75EB" w:rsidRPr="00C6766B">
        <w:rPr>
          <w:noProof/>
        </w:rPr>
        <w:t>including</w:t>
      </w:r>
      <w:r w:rsidR="002B5DF1" w:rsidRPr="00C6766B">
        <w:rPr>
          <w:noProof/>
        </w:rPr>
        <w:t xml:space="preserve"> for specific sectors or specific adverse impacts</w:t>
      </w:r>
      <w:r w:rsidR="00ED3016" w:rsidRPr="00C6766B">
        <w:rPr>
          <w:noProof/>
        </w:rPr>
        <w:t xml:space="preserve">. </w:t>
      </w:r>
    </w:p>
    <w:p w14:paraId="5219E103" w14:textId="5C12948D" w:rsidR="00ED3016" w:rsidRDefault="00822875" w:rsidP="00822875">
      <w:pPr>
        <w:pStyle w:val="ManualConsidrant"/>
        <w:rPr>
          <w:noProof/>
        </w:rPr>
      </w:pPr>
      <w:r w:rsidRPr="00822875">
        <w:t>(47)</w:t>
      </w:r>
      <w:r w:rsidRPr="00822875">
        <w:tab/>
      </w:r>
      <w:r w:rsidR="00ED3016">
        <w:rPr>
          <w:noProof/>
        </w:rPr>
        <w:tab/>
      </w:r>
      <w:r w:rsidR="00267BBD">
        <w:rPr>
          <w:noProof/>
        </w:rPr>
        <w:t xml:space="preserve">Although SMEs are not included in the scope of this Directive, they </w:t>
      </w:r>
      <w:r w:rsidR="00BA6B16">
        <w:rPr>
          <w:noProof/>
        </w:rPr>
        <w:t xml:space="preserve">could </w:t>
      </w:r>
      <w:r w:rsidR="00267BBD">
        <w:rPr>
          <w:noProof/>
        </w:rPr>
        <w:t xml:space="preserve">be impacted by its provisions as contractors or subcontractors to the companies which are in the scope. The aim is nevertheless to </w:t>
      </w:r>
      <w:r w:rsidR="0038117E">
        <w:rPr>
          <w:noProof/>
        </w:rPr>
        <w:t>mitigate</w:t>
      </w:r>
      <w:r w:rsidR="00267BBD">
        <w:rPr>
          <w:noProof/>
        </w:rPr>
        <w:t xml:space="preserve"> financial or administrative burden on SMEs, </w:t>
      </w:r>
      <w:r w:rsidR="0093370C">
        <w:rPr>
          <w:noProof/>
        </w:rPr>
        <w:t xml:space="preserve">many of </w:t>
      </w:r>
      <w:r w:rsidR="00267BBD">
        <w:rPr>
          <w:noProof/>
        </w:rPr>
        <w:t xml:space="preserve">which are already struggling in the context of the global economic and sanitary crisis. </w:t>
      </w:r>
      <w:r w:rsidR="00ED3016">
        <w:rPr>
          <w:noProof/>
        </w:rPr>
        <w:t xml:space="preserve">In order to </w:t>
      </w:r>
      <w:r w:rsidR="001A6D4D">
        <w:rPr>
          <w:noProof/>
        </w:rPr>
        <w:t>support</w:t>
      </w:r>
      <w:r w:rsidR="00ED3016">
        <w:rPr>
          <w:noProof/>
        </w:rPr>
        <w:t xml:space="preserve"> SMEs, Member States </w:t>
      </w:r>
      <w:r w:rsidR="00ED3016" w:rsidRPr="00F8340F">
        <w:rPr>
          <w:noProof/>
        </w:rPr>
        <w:t>should</w:t>
      </w:r>
      <w:r w:rsidR="008D5722" w:rsidRPr="008D5722">
        <w:rPr>
          <w:noProof/>
        </w:rPr>
        <w:t xml:space="preserve"> </w:t>
      </w:r>
      <w:r w:rsidR="008D5722">
        <w:rPr>
          <w:noProof/>
        </w:rPr>
        <w:t>set up and operate</w:t>
      </w:r>
      <w:r w:rsidR="00DA1B1D">
        <w:rPr>
          <w:noProof/>
        </w:rPr>
        <w:t>,</w:t>
      </w:r>
      <w:r w:rsidR="00ED3016">
        <w:rPr>
          <w:noProof/>
        </w:rPr>
        <w:t xml:space="preserve"> </w:t>
      </w:r>
      <w:r w:rsidR="00DA1B1D">
        <w:rPr>
          <w:noProof/>
        </w:rPr>
        <w:t xml:space="preserve">either individually or jointly, </w:t>
      </w:r>
      <w:r w:rsidR="00ED3016">
        <w:rPr>
          <w:noProof/>
        </w:rPr>
        <w:t>dedicated website</w:t>
      </w:r>
      <w:r w:rsidR="00DA1B1D">
        <w:rPr>
          <w:noProof/>
        </w:rPr>
        <w:t>s</w:t>
      </w:r>
      <w:r w:rsidR="009178BE">
        <w:rPr>
          <w:noProof/>
        </w:rPr>
        <w:t>, portals</w:t>
      </w:r>
      <w:r w:rsidR="00ED3016">
        <w:rPr>
          <w:noProof/>
        </w:rPr>
        <w:t xml:space="preserve"> or platform</w:t>
      </w:r>
      <w:r w:rsidR="00DA1B1D">
        <w:rPr>
          <w:noProof/>
        </w:rPr>
        <w:t>s</w:t>
      </w:r>
      <w:r w:rsidR="00823509">
        <w:rPr>
          <w:noProof/>
        </w:rPr>
        <w:t xml:space="preserve">, and Member States </w:t>
      </w:r>
      <w:r w:rsidR="00BA6B16">
        <w:rPr>
          <w:noProof/>
        </w:rPr>
        <w:t xml:space="preserve">could </w:t>
      </w:r>
      <w:r w:rsidR="0093370C">
        <w:rPr>
          <w:noProof/>
        </w:rPr>
        <w:t xml:space="preserve">also </w:t>
      </w:r>
      <w:r w:rsidR="00ED3016">
        <w:rPr>
          <w:noProof/>
        </w:rPr>
        <w:t xml:space="preserve">financially support SMEs </w:t>
      </w:r>
      <w:r w:rsidR="00DA3E06">
        <w:rPr>
          <w:noProof/>
        </w:rPr>
        <w:t>and</w:t>
      </w:r>
      <w:r w:rsidR="003F2907">
        <w:rPr>
          <w:noProof/>
        </w:rPr>
        <w:t xml:space="preserve"> help them build capacity</w:t>
      </w:r>
      <w:r w:rsidR="00ED3016">
        <w:rPr>
          <w:noProof/>
        </w:rPr>
        <w:t>.</w:t>
      </w:r>
      <w:r w:rsidR="00ED3016" w:rsidRPr="173CA427">
        <w:rPr>
          <w:noProof/>
        </w:rPr>
        <w:t xml:space="preserve"> </w:t>
      </w:r>
      <w:r w:rsidR="006B67DA">
        <w:rPr>
          <w:noProof/>
        </w:rPr>
        <w:t>Such support should also be made accessible, and where necessary adapted and extended to upstream economic operators in third countries.</w:t>
      </w:r>
      <w:r w:rsidR="00193A79">
        <w:rPr>
          <w:noProof/>
        </w:rPr>
        <w:t xml:space="preserve"> Companies whose business partner is an SME, are also encouraged to support them </w:t>
      </w:r>
      <w:r w:rsidR="0093370C">
        <w:rPr>
          <w:noProof/>
        </w:rPr>
        <w:t>to comply with</w:t>
      </w:r>
      <w:r w:rsidR="00193A79">
        <w:rPr>
          <w:noProof/>
        </w:rPr>
        <w:t xml:space="preserve"> due diligence </w:t>
      </w:r>
      <w:r w:rsidR="0093370C">
        <w:rPr>
          <w:noProof/>
        </w:rPr>
        <w:t>measures</w:t>
      </w:r>
      <w:r w:rsidR="00193A79">
        <w:rPr>
          <w:noProof/>
        </w:rPr>
        <w:t>, in case such requirements would jeopardize the viability of the SME</w:t>
      </w:r>
      <w:r w:rsidR="002C2267">
        <w:rPr>
          <w:noProof/>
        </w:rPr>
        <w:t xml:space="preserve"> and </w:t>
      </w:r>
      <w:r w:rsidR="0060745D">
        <w:rPr>
          <w:noProof/>
        </w:rPr>
        <w:t xml:space="preserve">use </w:t>
      </w:r>
      <w:r w:rsidR="0060745D" w:rsidRPr="009A1771">
        <w:rPr>
          <w:noProof/>
        </w:rPr>
        <w:t xml:space="preserve">fair, reasonable, non-discriminatory and proportionate requirements </w:t>
      </w:r>
      <w:r w:rsidR="0093370C">
        <w:rPr>
          <w:noProof/>
        </w:rPr>
        <w:t>vis-a-vis</w:t>
      </w:r>
      <w:r w:rsidR="0060745D" w:rsidRPr="009A1771">
        <w:rPr>
          <w:noProof/>
        </w:rPr>
        <w:t xml:space="preserve"> </w:t>
      </w:r>
      <w:r w:rsidR="001C5175">
        <w:rPr>
          <w:noProof/>
        </w:rPr>
        <w:t xml:space="preserve"> the</w:t>
      </w:r>
      <w:r w:rsidR="0060745D" w:rsidRPr="009A1771">
        <w:rPr>
          <w:noProof/>
        </w:rPr>
        <w:t xml:space="preserve"> SME</w:t>
      </w:r>
      <w:r w:rsidR="0093370C">
        <w:rPr>
          <w:noProof/>
        </w:rPr>
        <w:t xml:space="preserve">s. </w:t>
      </w:r>
    </w:p>
    <w:p w14:paraId="45DA062F" w14:textId="5C26EB02" w:rsidR="00ED3016" w:rsidRPr="00F04020" w:rsidRDefault="00822875" w:rsidP="00822875">
      <w:pPr>
        <w:pStyle w:val="ManualConsidrant"/>
        <w:rPr>
          <w:noProof/>
        </w:rPr>
      </w:pPr>
      <w:r w:rsidRPr="00822875">
        <w:t>(48)</w:t>
      </w:r>
      <w:r w:rsidRPr="00822875">
        <w:tab/>
      </w:r>
      <w:r w:rsidR="00ED3016">
        <w:rPr>
          <w:noProof/>
        </w:rPr>
        <w:tab/>
        <w:t xml:space="preserve">In order to complement </w:t>
      </w:r>
      <w:r w:rsidR="00ED3016" w:rsidRPr="00F8340F">
        <w:rPr>
          <w:noProof/>
        </w:rPr>
        <w:t xml:space="preserve">Member State support to SMEs, the Commission </w:t>
      </w:r>
      <w:r w:rsidR="00A57A8C">
        <w:rPr>
          <w:noProof/>
        </w:rPr>
        <w:t>may</w:t>
      </w:r>
      <w:r w:rsidR="00A57A8C" w:rsidRPr="00F8340F">
        <w:rPr>
          <w:noProof/>
        </w:rPr>
        <w:t xml:space="preserve"> </w:t>
      </w:r>
      <w:r w:rsidR="00ED3016" w:rsidRPr="00F8340F">
        <w:rPr>
          <w:noProof/>
        </w:rPr>
        <w:t xml:space="preserve">build on existing EU </w:t>
      </w:r>
      <w:r w:rsidR="004E7E4B" w:rsidRPr="00F8340F">
        <w:rPr>
          <w:noProof/>
        </w:rPr>
        <w:t>tools, projects and other action</w:t>
      </w:r>
      <w:r w:rsidR="00A17191" w:rsidRPr="00F8340F">
        <w:rPr>
          <w:noProof/>
        </w:rPr>
        <w:t>s</w:t>
      </w:r>
      <w:r w:rsidR="004E7E4B" w:rsidRPr="00F8340F">
        <w:rPr>
          <w:noProof/>
        </w:rPr>
        <w:t xml:space="preserve"> helping with the</w:t>
      </w:r>
      <w:r w:rsidR="00ED3016" w:rsidRPr="00F8340F">
        <w:rPr>
          <w:noProof/>
        </w:rPr>
        <w:t xml:space="preserve"> due diligence </w:t>
      </w:r>
      <w:r w:rsidR="004E7E4B" w:rsidRPr="00F8340F">
        <w:rPr>
          <w:noProof/>
        </w:rPr>
        <w:t xml:space="preserve">implementation </w:t>
      </w:r>
      <w:r w:rsidR="00ED3016" w:rsidRPr="00F8340F">
        <w:rPr>
          <w:noProof/>
        </w:rPr>
        <w:t>in the EU and in third countries</w:t>
      </w:r>
      <w:r w:rsidR="00ED3016" w:rsidRPr="00A77868">
        <w:rPr>
          <w:noProof/>
        </w:rPr>
        <w:t>. It may set up new support measures that provide help to companies</w:t>
      </w:r>
      <w:r w:rsidR="003F2907" w:rsidRPr="00A77868">
        <w:rPr>
          <w:noProof/>
        </w:rPr>
        <w:t>, including</w:t>
      </w:r>
      <w:r w:rsidR="003F2907">
        <w:rPr>
          <w:noProof/>
        </w:rPr>
        <w:t xml:space="preserve"> SMEs</w:t>
      </w:r>
      <w:r w:rsidR="00ED3016">
        <w:rPr>
          <w:noProof/>
        </w:rPr>
        <w:t xml:space="preserve"> on due diligence requirements, including an observatory for value chain transparency and the facilitation of joint stakeholder initiatives.</w:t>
      </w:r>
    </w:p>
    <w:p w14:paraId="582C0799" w14:textId="482F5D9B" w:rsidR="002B48CB" w:rsidRDefault="00822875" w:rsidP="00822875">
      <w:pPr>
        <w:pStyle w:val="ManualConsidrant"/>
        <w:rPr>
          <w:noProof/>
        </w:rPr>
      </w:pPr>
      <w:r w:rsidRPr="00822875">
        <w:t>(49)</w:t>
      </w:r>
      <w:r w:rsidRPr="00822875">
        <w:tab/>
      </w:r>
      <w:r w:rsidR="002B48CB" w:rsidRPr="002B48CB">
        <w:rPr>
          <w:noProof/>
        </w:rPr>
        <w:t xml:space="preserve">The Commission and Member States </w:t>
      </w:r>
      <w:r w:rsidR="00BA6B16">
        <w:rPr>
          <w:noProof/>
        </w:rPr>
        <w:t>should</w:t>
      </w:r>
      <w:r w:rsidR="00BA6B16" w:rsidRPr="002B48CB">
        <w:rPr>
          <w:noProof/>
        </w:rPr>
        <w:t xml:space="preserve"> </w:t>
      </w:r>
      <w:r w:rsidR="002B48CB" w:rsidRPr="002B48CB">
        <w:rPr>
          <w:noProof/>
        </w:rPr>
        <w:t xml:space="preserve">continue to work in partnership with third countries to support upstream economic operators build the capacity to effectively prevent and mitigate adverse human rights and environmental impacts of their operations and business relationships, paying specific attention to the challenges faced by smallholders. They </w:t>
      </w:r>
      <w:r w:rsidR="00BA6B16">
        <w:rPr>
          <w:noProof/>
        </w:rPr>
        <w:t>should</w:t>
      </w:r>
      <w:r w:rsidR="002B48CB" w:rsidRPr="002B48CB">
        <w:rPr>
          <w:noProof/>
        </w:rPr>
        <w:t xml:space="preserve"> use their </w:t>
      </w:r>
      <w:r w:rsidR="00D92D98">
        <w:rPr>
          <w:noProof/>
        </w:rPr>
        <w:t xml:space="preserve">neighbourhood, </w:t>
      </w:r>
      <w:r w:rsidR="002B48CB" w:rsidRPr="002B48CB">
        <w:rPr>
          <w:noProof/>
        </w:rPr>
        <w:t xml:space="preserve">development </w:t>
      </w:r>
      <w:r w:rsidR="00D92D98">
        <w:rPr>
          <w:noProof/>
        </w:rPr>
        <w:t xml:space="preserve">and international </w:t>
      </w:r>
      <w:r w:rsidR="002B48CB" w:rsidRPr="002B48CB">
        <w:rPr>
          <w:noProof/>
        </w:rPr>
        <w:t xml:space="preserve">cooperation </w:t>
      </w:r>
      <w:r w:rsidR="00D92D98">
        <w:rPr>
          <w:noProof/>
        </w:rPr>
        <w:t xml:space="preserve">instruments to support </w:t>
      </w:r>
      <w:r w:rsidR="00D92D98" w:rsidRPr="00D92D98">
        <w:rPr>
          <w:noProof/>
        </w:rPr>
        <w:t xml:space="preserve">third country governments and upstream economic operators in third countries addressing adverse human rights and environmental impacts of their operations and upstream business relationships. This </w:t>
      </w:r>
      <w:r w:rsidR="00BA6B16">
        <w:rPr>
          <w:noProof/>
        </w:rPr>
        <w:t>could</w:t>
      </w:r>
      <w:r w:rsidR="00D92D98" w:rsidRPr="00D92D98">
        <w:rPr>
          <w:noProof/>
        </w:rPr>
        <w:t xml:space="preserve"> include working with partner country governments, the local private sector and stakeholders on addressing the root causes of adverse human rights and environmental impacts</w:t>
      </w:r>
      <w:r w:rsidR="00D92D98">
        <w:rPr>
          <w:noProof/>
        </w:rPr>
        <w:t xml:space="preserve">. </w:t>
      </w:r>
    </w:p>
    <w:p w14:paraId="2C2C6036" w14:textId="3B370108" w:rsidR="008B5B6D" w:rsidRDefault="00822875" w:rsidP="00822875">
      <w:pPr>
        <w:pStyle w:val="ManualConsidrant"/>
        <w:rPr>
          <w:noProof/>
        </w:rPr>
      </w:pPr>
      <w:r w:rsidRPr="00822875">
        <w:t>(50)</w:t>
      </w:r>
      <w:r w:rsidRPr="00822875">
        <w:tab/>
      </w:r>
      <w:r w:rsidR="008B5B6D" w:rsidRPr="008B5B6D">
        <w:rPr>
          <w:noProof/>
        </w:rPr>
        <w:t xml:space="preserve">In order to  ensure that this Directive effectively contributes to combating climate change, </w:t>
      </w:r>
      <w:r w:rsidR="008B5B6D">
        <w:rPr>
          <w:noProof/>
        </w:rPr>
        <w:t xml:space="preserve">companies should </w:t>
      </w:r>
      <w:r w:rsidR="008B5B6D" w:rsidRPr="008B5B6D">
        <w:rPr>
          <w:noProof/>
        </w:rPr>
        <w:t xml:space="preserve">adopt a plan to ensure that the business model and strategy of the company are compatible with the transition to a sustainable economy and with the limiting of global warming to 1.5 °C in line with the Paris Agreement. </w:t>
      </w:r>
      <w:r w:rsidR="008B5B6D">
        <w:rPr>
          <w:noProof/>
        </w:rPr>
        <w:t>In case climate is</w:t>
      </w:r>
      <w:r w:rsidR="00A57A8C">
        <w:rPr>
          <w:noProof/>
        </w:rPr>
        <w:t xml:space="preserve"> or should have been</w:t>
      </w:r>
      <w:r w:rsidR="008B5B6D">
        <w:rPr>
          <w:noProof/>
        </w:rPr>
        <w:t xml:space="preserve"> identified as a principal risk for or a principal impact of the company’s operations, the company </w:t>
      </w:r>
      <w:r w:rsidR="00965ABC">
        <w:rPr>
          <w:noProof/>
        </w:rPr>
        <w:t xml:space="preserve">should </w:t>
      </w:r>
      <w:r w:rsidR="008B5B6D">
        <w:rPr>
          <w:noProof/>
        </w:rPr>
        <w:t xml:space="preserve">include emissions reduction objectives in its plan. </w:t>
      </w:r>
    </w:p>
    <w:p w14:paraId="3D73B31C" w14:textId="7E91D220" w:rsidR="008B5B6D" w:rsidRPr="00C6766B" w:rsidRDefault="00822875" w:rsidP="00822875">
      <w:pPr>
        <w:pStyle w:val="ManualConsidrant"/>
        <w:rPr>
          <w:noProof/>
        </w:rPr>
      </w:pPr>
      <w:r w:rsidRPr="00822875">
        <w:t>(51)</w:t>
      </w:r>
      <w:r w:rsidRPr="00822875">
        <w:tab/>
      </w:r>
      <w:r w:rsidR="00C908E6" w:rsidRPr="00C6766B">
        <w:rPr>
          <w:noProof/>
        </w:rPr>
        <w:t xml:space="preserve">With a view to ensure that such emission reduction plan is properly implemented and embedded in the financial incentives of directors, the plan should be duly taken into account when setting directors’ </w:t>
      </w:r>
      <w:r w:rsidR="00C908E6" w:rsidRPr="00334F49">
        <w:rPr>
          <w:noProof/>
        </w:rPr>
        <w:t>variable remuneration</w:t>
      </w:r>
      <w:r w:rsidR="001873B0" w:rsidRPr="00C6766B">
        <w:rPr>
          <w:noProof/>
        </w:rPr>
        <w:t>, if variable remuneration is linked to the contribution of a director to the company’s business strategy and long-term interests and sustainability</w:t>
      </w:r>
      <w:r w:rsidR="00C908E6" w:rsidRPr="00C6766B">
        <w:rPr>
          <w:noProof/>
        </w:rPr>
        <w:t xml:space="preserve">. </w:t>
      </w:r>
    </w:p>
    <w:p w14:paraId="1AAB1B8E" w14:textId="04E2743C" w:rsidR="00ED3016" w:rsidRPr="00F04020" w:rsidRDefault="00822875" w:rsidP="00822875">
      <w:pPr>
        <w:pStyle w:val="ManualConsidrant"/>
        <w:rPr>
          <w:noProof/>
        </w:rPr>
      </w:pPr>
      <w:r w:rsidRPr="00822875">
        <w:t>(52)</w:t>
      </w:r>
      <w:r w:rsidRPr="00822875">
        <w:tab/>
      </w:r>
      <w:r w:rsidR="00ED3016">
        <w:rPr>
          <w:noProof/>
        </w:rPr>
        <w:t xml:space="preserve">In order </w:t>
      </w:r>
      <w:r w:rsidR="00ED3016" w:rsidRPr="00E510F5">
        <w:rPr>
          <w:noProof/>
        </w:rPr>
        <w:t>to allow for the effective oversight</w:t>
      </w:r>
      <w:r w:rsidR="00ED3016">
        <w:rPr>
          <w:noProof/>
        </w:rPr>
        <w:t xml:space="preserve"> of</w:t>
      </w:r>
      <w:r w:rsidR="00ED3016" w:rsidRPr="00E510F5">
        <w:rPr>
          <w:noProof/>
        </w:rPr>
        <w:t xml:space="preserve"> and, where necessary, enforcement of this Directive in relation to those companies </w:t>
      </w:r>
      <w:r w:rsidR="00ED3016" w:rsidRPr="007F26F3">
        <w:rPr>
          <w:noProof/>
        </w:rPr>
        <w:t>that are not governed by the law of a Member State</w:t>
      </w:r>
      <w:r w:rsidR="00ED3016">
        <w:rPr>
          <w:noProof/>
        </w:rPr>
        <w:t>, th</w:t>
      </w:r>
      <w:r w:rsidR="00BA6B16">
        <w:rPr>
          <w:noProof/>
        </w:rPr>
        <w:t>o</w:t>
      </w:r>
      <w:r w:rsidR="00ED3016">
        <w:rPr>
          <w:noProof/>
        </w:rPr>
        <w:t>se companies</w:t>
      </w:r>
      <w:r w:rsidR="00ED3016" w:rsidRPr="007F26F3">
        <w:rPr>
          <w:noProof/>
        </w:rPr>
        <w:t xml:space="preserve"> should designate a sufficiently mandated </w:t>
      </w:r>
      <w:r w:rsidR="00ED3016" w:rsidRPr="00F04020">
        <w:rPr>
          <w:noProof/>
        </w:rPr>
        <w:t>authorised</w:t>
      </w:r>
      <w:r w:rsidR="00ED3016" w:rsidRPr="007F26F3">
        <w:rPr>
          <w:noProof/>
        </w:rPr>
        <w:t xml:space="preserve"> representative in the Union and provide information relating to their </w:t>
      </w:r>
      <w:r w:rsidR="00ED3016">
        <w:rPr>
          <w:noProof/>
        </w:rPr>
        <w:t>authorised representatives</w:t>
      </w:r>
      <w:r w:rsidR="00ED3016" w:rsidRPr="007F26F3">
        <w:rPr>
          <w:noProof/>
        </w:rPr>
        <w:t xml:space="preserve">. It should be possible for the </w:t>
      </w:r>
      <w:r w:rsidR="00ED3016" w:rsidRPr="00F04020">
        <w:rPr>
          <w:noProof/>
        </w:rPr>
        <w:t>authorised</w:t>
      </w:r>
      <w:r w:rsidR="00ED3016" w:rsidRPr="007F26F3">
        <w:rPr>
          <w:noProof/>
        </w:rPr>
        <w:t xml:space="preserve"> representative to also function as point of contact, provided the relevant requirements of this </w:t>
      </w:r>
      <w:r w:rsidR="00ED3016">
        <w:rPr>
          <w:noProof/>
        </w:rPr>
        <w:t>Directive</w:t>
      </w:r>
      <w:r w:rsidR="00ED3016" w:rsidRPr="007F26F3">
        <w:rPr>
          <w:noProof/>
        </w:rPr>
        <w:t xml:space="preserve"> are complied with.</w:t>
      </w:r>
    </w:p>
    <w:p w14:paraId="314CDD05" w14:textId="01932441" w:rsidR="00ED3016" w:rsidRPr="0093030A" w:rsidRDefault="00822875" w:rsidP="00822875">
      <w:pPr>
        <w:pStyle w:val="ManualConsidrant"/>
        <w:rPr>
          <w:noProof/>
        </w:rPr>
      </w:pPr>
      <w:r w:rsidRPr="00822875">
        <w:t>(53)</w:t>
      </w:r>
      <w:r w:rsidRPr="00822875">
        <w:tab/>
      </w:r>
      <w:r w:rsidR="00ED3016">
        <w:rPr>
          <w:noProof/>
        </w:rPr>
        <w:t xml:space="preserve">In order to ensure </w:t>
      </w:r>
      <w:r w:rsidR="00E57FCA">
        <w:rPr>
          <w:noProof/>
        </w:rPr>
        <w:t>the</w:t>
      </w:r>
      <w:r w:rsidR="00ED3016">
        <w:rPr>
          <w:noProof/>
        </w:rPr>
        <w:t xml:space="preserve"> </w:t>
      </w:r>
      <w:r w:rsidR="00ED3016" w:rsidRPr="001D49A8">
        <w:rPr>
          <w:noProof/>
        </w:rPr>
        <w:t>monitor</w:t>
      </w:r>
      <w:r w:rsidR="00ED3016">
        <w:rPr>
          <w:noProof/>
        </w:rPr>
        <w:t>ing</w:t>
      </w:r>
      <w:r w:rsidR="00ED3016" w:rsidRPr="001D49A8">
        <w:rPr>
          <w:noProof/>
        </w:rPr>
        <w:t xml:space="preserve"> </w:t>
      </w:r>
      <w:r w:rsidR="00E57FCA">
        <w:rPr>
          <w:noProof/>
        </w:rPr>
        <w:t xml:space="preserve">of </w:t>
      </w:r>
      <w:r w:rsidR="00ED3016" w:rsidRPr="001D49A8">
        <w:rPr>
          <w:noProof/>
        </w:rPr>
        <w:t xml:space="preserve">the correct implementation </w:t>
      </w:r>
      <w:r w:rsidR="00A17191">
        <w:rPr>
          <w:noProof/>
        </w:rPr>
        <w:t>of</w:t>
      </w:r>
      <w:r w:rsidR="00A17191" w:rsidRPr="001D49A8">
        <w:rPr>
          <w:noProof/>
        </w:rPr>
        <w:t xml:space="preserve"> companie</w:t>
      </w:r>
      <w:r w:rsidR="00A17191">
        <w:rPr>
          <w:noProof/>
        </w:rPr>
        <w:t>s</w:t>
      </w:r>
      <w:r w:rsidR="00A17191" w:rsidRPr="001D49A8">
        <w:rPr>
          <w:noProof/>
        </w:rPr>
        <w:t>’</w:t>
      </w:r>
      <w:r w:rsidR="00ED3016" w:rsidRPr="001D49A8">
        <w:rPr>
          <w:noProof/>
        </w:rPr>
        <w:t xml:space="preserve"> due diligence obligations and ensure the proper enforcement of this Directive</w:t>
      </w:r>
      <w:r w:rsidR="00ED3016" w:rsidRPr="02479CB6">
        <w:rPr>
          <w:noProof/>
        </w:rPr>
        <w:t xml:space="preserve">, </w:t>
      </w:r>
      <w:r w:rsidR="00ED3016" w:rsidRPr="00EC44EF">
        <w:rPr>
          <w:noProof/>
        </w:rPr>
        <w:t>Member States should designate one or more national</w:t>
      </w:r>
      <w:r w:rsidR="00ED3016">
        <w:rPr>
          <w:noProof/>
        </w:rPr>
        <w:t xml:space="preserve"> supervisory</w:t>
      </w:r>
      <w:r w:rsidR="00ED3016" w:rsidRPr="00EC44EF">
        <w:rPr>
          <w:noProof/>
        </w:rPr>
        <w:t xml:space="preserve"> authorities</w:t>
      </w:r>
      <w:r w:rsidR="00ED3016" w:rsidRPr="02479CB6">
        <w:rPr>
          <w:noProof/>
        </w:rPr>
        <w:t xml:space="preserve">. </w:t>
      </w:r>
      <w:r w:rsidR="00ED3016" w:rsidRPr="00EC44EF">
        <w:rPr>
          <w:noProof/>
        </w:rPr>
        <w:t xml:space="preserve">These </w:t>
      </w:r>
      <w:r w:rsidR="00ED3016">
        <w:rPr>
          <w:noProof/>
        </w:rPr>
        <w:t>supervisory</w:t>
      </w:r>
      <w:r w:rsidR="00ED3016" w:rsidRPr="00EC44EF">
        <w:rPr>
          <w:noProof/>
        </w:rPr>
        <w:t xml:space="preserve"> authorities should be</w:t>
      </w:r>
      <w:r w:rsidR="00ED3016" w:rsidRPr="02479CB6">
        <w:rPr>
          <w:noProof/>
        </w:rPr>
        <w:t xml:space="preserve"> </w:t>
      </w:r>
      <w:r w:rsidR="00ED3016" w:rsidRPr="00015088">
        <w:rPr>
          <w:noProof/>
        </w:rPr>
        <w:t>of a public nature</w:t>
      </w:r>
      <w:r w:rsidR="00BB73ED">
        <w:rPr>
          <w:noProof/>
        </w:rPr>
        <w:t>,</w:t>
      </w:r>
      <w:r w:rsidR="00ED3016" w:rsidRPr="00015088">
        <w:rPr>
          <w:noProof/>
        </w:rPr>
        <w:t xml:space="preserve"> </w:t>
      </w:r>
      <w:r w:rsidR="00BB73ED" w:rsidRPr="00015088">
        <w:rPr>
          <w:noProof/>
        </w:rPr>
        <w:t>independen</w:t>
      </w:r>
      <w:r w:rsidR="00BB73ED">
        <w:rPr>
          <w:noProof/>
        </w:rPr>
        <w:t>t</w:t>
      </w:r>
      <w:r w:rsidR="00BB73ED" w:rsidRPr="00015088">
        <w:rPr>
          <w:noProof/>
        </w:rPr>
        <w:t xml:space="preserve"> </w:t>
      </w:r>
      <w:r w:rsidR="00ED3016" w:rsidRPr="00015088">
        <w:rPr>
          <w:noProof/>
        </w:rPr>
        <w:t xml:space="preserve">from </w:t>
      </w:r>
      <w:r w:rsidR="00A768EC" w:rsidRPr="00A768EC">
        <w:rPr>
          <w:noProof/>
        </w:rPr>
        <w:t>the companies falling within the scope</w:t>
      </w:r>
      <w:r w:rsidR="00ED3016" w:rsidRPr="00015088">
        <w:rPr>
          <w:noProof/>
        </w:rPr>
        <w:t xml:space="preserve"> of </w:t>
      </w:r>
      <w:r w:rsidR="00A768EC" w:rsidRPr="00A768EC">
        <w:rPr>
          <w:noProof/>
        </w:rPr>
        <w:t>this Directive or other market interests</w:t>
      </w:r>
      <w:r w:rsidR="00BB73ED">
        <w:rPr>
          <w:noProof/>
        </w:rPr>
        <w:t xml:space="preserve">, </w:t>
      </w:r>
      <w:r w:rsidR="00ED3016" w:rsidRPr="00015088">
        <w:rPr>
          <w:noProof/>
        </w:rPr>
        <w:t xml:space="preserve">and </w:t>
      </w:r>
      <w:r w:rsidR="00BB73ED">
        <w:rPr>
          <w:noProof/>
        </w:rPr>
        <w:t>free</w:t>
      </w:r>
      <w:r w:rsidR="00ED3016" w:rsidRPr="00015088">
        <w:rPr>
          <w:noProof/>
        </w:rPr>
        <w:t xml:space="preserve"> of conflicts of interest</w:t>
      </w:r>
      <w:r w:rsidR="00ED3016" w:rsidRPr="02479CB6">
        <w:rPr>
          <w:noProof/>
        </w:rPr>
        <w:t xml:space="preserve">. </w:t>
      </w:r>
      <w:r w:rsidR="00ED3016" w:rsidRPr="00015088">
        <w:rPr>
          <w:noProof/>
        </w:rPr>
        <w:t>In accordance with national law, Member States should ensure appropriate financing of the competent authority</w:t>
      </w:r>
      <w:r w:rsidR="00ED3016" w:rsidRPr="02479CB6">
        <w:rPr>
          <w:noProof/>
        </w:rPr>
        <w:t>.</w:t>
      </w:r>
      <w:r w:rsidR="00ED3016" w:rsidRPr="00E54D60">
        <w:rPr>
          <w:noProof/>
        </w:rPr>
        <w:t xml:space="preserve"> </w:t>
      </w:r>
      <w:r w:rsidR="00ED3016" w:rsidRPr="00EC44EF">
        <w:rPr>
          <w:noProof/>
        </w:rPr>
        <w:t xml:space="preserve">They should be entitled to carry out </w:t>
      </w:r>
      <w:r w:rsidR="00DC1132">
        <w:rPr>
          <w:noProof/>
        </w:rPr>
        <w:t>investigations</w:t>
      </w:r>
      <w:r w:rsidR="00ED3016" w:rsidRPr="00EC44EF">
        <w:rPr>
          <w:noProof/>
        </w:rPr>
        <w:t xml:space="preserve">, on their </w:t>
      </w:r>
      <w:r w:rsidR="00ED3016" w:rsidRPr="00BC576D">
        <w:rPr>
          <w:noProof/>
        </w:rPr>
        <w:t xml:space="preserve">own initiative or based on </w:t>
      </w:r>
      <w:r w:rsidR="00C96AD2">
        <w:rPr>
          <w:noProof/>
        </w:rPr>
        <w:t xml:space="preserve">complaints or </w:t>
      </w:r>
      <w:r w:rsidR="00ED3016" w:rsidRPr="00BC576D">
        <w:rPr>
          <w:noProof/>
        </w:rPr>
        <w:t>substantiated concerns</w:t>
      </w:r>
      <w:r w:rsidR="00ED3016" w:rsidRPr="02479CB6">
        <w:rPr>
          <w:noProof/>
        </w:rPr>
        <w:t xml:space="preserve"> </w:t>
      </w:r>
      <w:r w:rsidR="00C96AD2">
        <w:rPr>
          <w:noProof/>
        </w:rPr>
        <w:t>raised under this Directive</w:t>
      </w:r>
      <w:r w:rsidR="00ED3016" w:rsidRPr="0093030A">
        <w:rPr>
          <w:noProof/>
        </w:rPr>
        <w:t>.</w:t>
      </w:r>
      <w:r w:rsidR="00ED3016" w:rsidRPr="02479CB6">
        <w:rPr>
          <w:noProof/>
        </w:rPr>
        <w:t xml:space="preserve"> </w:t>
      </w:r>
      <w:r w:rsidR="00B76241">
        <w:rPr>
          <w:noProof/>
        </w:rPr>
        <w:t xml:space="preserve">Where competent authorities under sectoral legislation exist, </w:t>
      </w:r>
      <w:r w:rsidR="00B76241" w:rsidRPr="00B76241">
        <w:rPr>
          <w:noProof/>
        </w:rPr>
        <w:t>Member Sta</w:t>
      </w:r>
      <w:r w:rsidR="00B76241">
        <w:rPr>
          <w:noProof/>
        </w:rPr>
        <w:t xml:space="preserve">tes </w:t>
      </w:r>
      <w:r w:rsidR="00660325">
        <w:rPr>
          <w:noProof/>
        </w:rPr>
        <w:t xml:space="preserve">could </w:t>
      </w:r>
      <w:r w:rsidR="00B76241">
        <w:rPr>
          <w:noProof/>
        </w:rPr>
        <w:t xml:space="preserve">identify those </w:t>
      </w:r>
      <w:r w:rsidR="00B76241" w:rsidRPr="00B76241">
        <w:rPr>
          <w:noProof/>
        </w:rPr>
        <w:t xml:space="preserve">as responsible for the application of this </w:t>
      </w:r>
      <w:r w:rsidR="00B76241">
        <w:rPr>
          <w:noProof/>
        </w:rPr>
        <w:t>Directive</w:t>
      </w:r>
      <w:r w:rsidR="00B76241" w:rsidRPr="00B76241">
        <w:rPr>
          <w:noProof/>
        </w:rPr>
        <w:t xml:space="preserve"> in their areas of competence.</w:t>
      </w:r>
      <w:r w:rsidR="00C34AE7">
        <w:rPr>
          <w:noProof/>
        </w:rPr>
        <w:t xml:space="preserve"> </w:t>
      </w:r>
      <w:r w:rsidR="00B81B38">
        <w:rPr>
          <w:noProof/>
        </w:rPr>
        <w:t xml:space="preserve">They </w:t>
      </w:r>
      <w:r w:rsidR="003679AC">
        <w:rPr>
          <w:noProof/>
        </w:rPr>
        <w:t>could</w:t>
      </w:r>
      <w:r w:rsidR="00B81B38">
        <w:rPr>
          <w:noProof/>
        </w:rPr>
        <w:t xml:space="preserve"> designate authorities for the supervision of regulated financial undertaking also as supervisory authorities for the pu</w:t>
      </w:r>
      <w:r w:rsidR="00CE385B">
        <w:rPr>
          <w:noProof/>
        </w:rPr>
        <w:t>rposes of this Directive.</w:t>
      </w:r>
    </w:p>
    <w:p w14:paraId="6CC7D8C3" w14:textId="0F09AF34" w:rsidR="008B19A4" w:rsidRDefault="00822875" w:rsidP="00822875">
      <w:pPr>
        <w:pStyle w:val="ManualConsidrant"/>
        <w:rPr>
          <w:noProof/>
        </w:rPr>
      </w:pPr>
      <w:r w:rsidRPr="00822875">
        <w:t>(54)</w:t>
      </w:r>
      <w:r w:rsidRPr="00822875">
        <w:tab/>
      </w:r>
      <w:r w:rsidR="00ED3016">
        <w:rPr>
          <w:noProof/>
        </w:rPr>
        <w:tab/>
      </w:r>
      <w:r w:rsidR="00ED3016" w:rsidRPr="00BC576D">
        <w:rPr>
          <w:noProof/>
        </w:rPr>
        <w:t xml:space="preserve">In order to ensure </w:t>
      </w:r>
      <w:r w:rsidR="00425291">
        <w:rPr>
          <w:noProof/>
        </w:rPr>
        <w:t xml:space="preserve">effective enforcement of national </w:t>
      </w:r>
      <w:r w:rsidR="00ED3016" w:rsidRPr="00BC576D">
        <w:rPr>
          <w:noProof/>
        </w:rPr>
        <w:t>measures implementing this Directive</w:t>
      </w:r>
      <w:r w:rsidR="00425291">
        <w:rPr>
          <w:noProof/>
        </w:rPr>
        <w:t xml:space="preserve">, </w:t>
      </w:r>
      <w:r w:rsidR="00ED3016">
        <w:rPr>
          <w:noProof/>
        </w:rPr>
        <w:t xml:space="preserve">Member States should provide </w:t>
      </w:r>
      <w:r w:rsidR="00425291">
        <w:rPr>
          <w:noProof/>
        </w:rPr>
        <w:t>for</w:t>
      </w:r>
      <w:r w:rsidR="00ED3016" w:rsidRPr="006C62FE">
        <w:rPr>
          <w:noProof/>
        </w:rPr>
        <w:t xml:space="preserve"> dissuasive, proportionate and effective</w:t>
      </w:r>
      <w:r w:rsidR="00ED3016">
        <w:rPr>
          <w:noProof/>
        </w:rPr>
        <w:t xml:space="preserve"> sanctions </w:t>
      </w:r>
      <w:r w:rsidR="00425291">
        <w:rPr>
          <w:noProof/>
        </w:rPr>
        <w:t>for infringements of those measures</w:t>
      </w:r>
      <w:r w:rsidR="00ED3016" w:rsidRPr="006C62FE">
        <w:rPr>
          <w:noProof/>
        </w:rPr>
        <w:t>.</w:t>
      </w:r>
      <w:r w:rsidR="00ED3016">
        <w:rPr>
          <w:noProof/>
        </w:rPr>
        <w:t xml:space="preserve"> </w:t>
      </w:r>
      <w:r w:rsidR="00BC5EDF">
        <w:rPr>
          <w:noProof/>
        </w:rPr>
        <w:t xml:space="preserve">In order </w:t>
      </w:r>
      <w:r w:rsidR="003F2907">
        <w:rPr>
          <w:noProof/>
        </w:rPr>
        <w:t xml:space="preserve">for such sanction regime to be effective, </w:t>
      </w:r>
      <w:r w:rsidR="00BC5EDF">
        <w:rPr>
          <w:noProof/>
        </w:rPr>
        <w:t>a</w:t>
      </w:r>
      <w:r w:rsidR="00ED3016">
        <w:rPr>
          <w:noProof/>
        </w:rPr>
        <w:t xml:space="preserve">dministrative sanctions </w:t>
      </w:r>
      <w:r w:rsidR="00BC5EDF">
        <w:rPr>
          <w:noProof/>
        </w:rPr>
        <w:t xml:space="preserve">to be </w:t>
      </w:r>
      <w:r w:rsidR="00ED3016">
        <w:rPr>
          <w:noProof/>
        </w:rPr>
        <w:t xml:space="preserve">imposed by </w:t>
      </w:r>
      <w:r w:rsidR="00ED3016" w:rsidRPr="00A77868">
        <w:rPr>
          <w:noProof/>
        </w:rPr>
        <w:t xml:space="preserve">the national supervisory authorities should include pecuniary sanctions. </w:t>
      </w:r>
      <w:r w:rsidR="008B19A4" w:rsidRPr="00A77868">
        <w:rPr>
          <w:noProof/>
        </w:rPr>
        <w:t xml:space="preserve">Where the legal system of </w:t>
      </w:r>
      <w:r w:rsidR="00BB11F0" w:rsidRPr="00A77868">
        <w:rPr>
          <w:noProof/>
        </w:rPr>
        <w:t>a</w:t>
      </w:r>
      <w:r w:rsidR="008B19A4" w:rsidRPr="00A77868">
        <w:rPr>
          <w:noProof/>
        </w:rPr>
        <w:t xml:space="preserve"> Member State does not </w:t>
      </w:r>
      <w:r w:rsidR="007C55AA" w:rsidRPr="00A77868">
        <w:rPr>
          <w:noProof/>
        </w:rPr>
        <w:t>provide for</w:t>
      </w:r>
      <w:r w:rsidR="008B19A4" w:rsidRPr="00A77868">
        <w:rPr>
          <w:noProof/>
        </w:rPr>
        <w:t xml:space="preserve"> administrative </w:t>
      </w:r>
      <w:r w:rsidR="00353DA9" w:rsidRPr="00A77868">
        <w:rPr>
          <w:noProof/>
        </w:rPr>
        <w:t>sanctions</w:t>
      </w:r>
      <w:r w:rsidR="008B19A4" w:rsidRPr="00A77868">
        <w:rPr>
          <w:noProof/>
        </w:rPr>
        <w:t xml:space="preserve"> </w:t>
      </w:r>
      <w:r w:rsidR="00BB11F0" w:rsidRPr="00A77868">
        <w:rPr>
          <w:noProof/>
        </w:rPr>
        <w:t>as</w:t>
      </w:r>
      <w:r w:rsidR="00BB11F0">
        <w:rPr>
          <w:noProof/>
        </w:rPr>
        <w:t xml:space="preserve"> foreseen</w:t>
      </w:r>
      <w:r w:rsidR="008B19A4" w:rsidRPr="008B19A4">
        <w:rPr>
          <w:noProof/>
        </w:rPr>
        <w:t xml:space="preserve"> in this Directive, the rules on administrative </w:t>
      </w:r>
      <w:r w:rsidR="00353DA9">
        <w:rPr>
          <w:noProof/>
        </w:rPr>
        <w:t>sanctions</w:t>
      </w:r>
      <w:r w:rsidR="008B19A4" w:rsidRPr="008B19A4">
        <w:rPr>
          <w:noProof/>
        </w:rPr>
        <w:t xml:space="preserve"> </w:t>
      </w:r>
      <w:r w:rsidR="000E1C80">
        <w:rPr>
          <w:noProof/>
        </w:rPr>
        <w:t>should</w:t>
      </w:r>
      <w:r w:rsidR="000E1C80" w:rsidRPr="008B19A4">
        <w:rPr>
          <w:noProof/>
        </w:rPr>
        <w:t xml:space="preserve"> </w:t>
      </w:r>
      <w:r w:rsidR="008B19A4" w:rsidRPr="008B19A4">
        <w:rPr>
          <w:noProof/>
        </w:rPr>
        <w:t xml:space="preserve">be applied in such a </w:t>
      </w:r>
      <w:r w:rsidR="00BB11F0">
        <w:rPr>
          <w:noProof/>
        </w:rPr>
        <w:t>way</w:t>
      </w:r>
      <w:r w:rsidR="008B19A4" w:rsidRPr="008B19A4">
        <w:rPr>
          <w:noProof/>
        </w:rPr>
        <w:t xml:space="preserve"> that the </w:t>
      </w:r>
      <w:r w:rsidR="00353DA9">
        <w:rPr>
          <w:noProof/>
        </w:rPr>
        <w:t>sanction</w:t>
      </w:r>
      <w:r w:rsidR="008B19A4" w:rsidRPr="008B19A4">
        <w:rPr>
          <w:noProof/>
        </w:rPr>
        <w:t xml:space="preserve"> is initiated by the competent </w:t>
      </w:r>
      <w:r w:rsidR="009744D1">
        <w:rPr>
          <w:noProof/>
        </w:rPr>
        <w:t>supervisory</w:t>
      </w:r>
      <w:r w:rsidR="008B19A4" w:rsidRPr="008B19A4">
        <w:rPr>
          <w:noProof/>
        </w:rPr>
        <w:t xml:space="preserve"> authority and imposed by </w:t>
      </w:r>
      <w:r w:rsidR="009744D1">
        <w:rPr>
          <w:noProof/>
        </w:rPr>
        <w:t>the</w:t>
      </w:r>
      <w:r w:rsidR="008B19A4" w:rsidRPr="008B19A4">
        <w:rPr>
          <w:noProof/>
        </w:rPr>
        <w:t xml:space="preserve"> judicial authorit</w:t>
      </w:r>
      <w:r w:rsidR="009744D1">
        <w:rPr>
          <w:noProof/>
        </w:rPr>
        <w:t>y</w:t>
      </w:r>
      <w:r w:rsidR="008B19A4" w:rsidRPr="008B19A4">
        <w:rPr>
          <w:noProof/>
        </w:rPr>
        <w:t xml:space="preserve">. Therefore, it is necessary that those Member States ensure that the application of the rules and </w:t>
      </w:r>
      <w:r w:rsidR="00353DA9">
        <w:rPr>
          <w:noProof/>
        </w:rPr>
        <w:t>sanctions</w:t>
      </w:r>
      <w:r w:rsidR="008B19A4" w:rsidRPr="008B19A4">
        <w:rPr>
          <w:noProof/>
        </w:rPr>
        <w:t xml:space="preserve"> has an equivalent </w:t>
      </w:r>
      <w:r w:rsidR="00BB11F0" w:rsidRPr="008B19A4">
        <w:rPr>
          <w:noProof/>
        </w:rPr>
        <w:t xml:space="preserve">effect </w:t>
      </w:r>
      <w:r w:rsidR="008B19A4" w:rsidRPr="008B19A4">
        <w:rPr>
          <w:noProof/>
        </w:rPr>
        <w:t xml:space="preserve">to the administrative </w:t>
      </w:r>
      <w:r w:rsidR="00353DA9">
        <w:rPr>
          <w:noProof/>
        </w:rPr>
        <w:t>sanctions</w:t>
      </w:r>
      <w:r w:rsidR="008B19A4" w:rsidRPr="008B19A4">
        <w:rPr>
          <w:noProof/>
        </w:rPr>
        <w:t xml:space="preserve"> imposed by the competent </w:t>
      </w:r>
      <w:r w:rsidR="009744D1">
        <w:rPr>
          <w:noProof/>
        </w:rPr>
        <w:t>supervisory</w:t>
      </w:r>
      <w:r w:rsidR="008B19A4" w:rsidRPr="008B19A4">
        <w:rPr>
          <w:noProof/>
        </w:rPr>
        <w:t xml:space="preserve"> authorities. </w:t>
      </w:r>
    </w:p>
    <w:p w14:paraId="49D3A9C6" w14:textId="6ED57C2D" w:rsidR="00ED3016" w:rsidRPr="006C62FE" w:rsidRDefault="00822875" w:rsidP="00822875">
      <w:pPr>
        <w:pStyle w:val="ManualConsidrant"/>
        <w:rPr>
          <w:noProof/>
        </w:rPr>
      </w:pPr>
      <w:r w:rsidRPr="00822875">
        <w:t>(55)</w:t>
      </w:r>
      <w:r w:rsidRPr="00822875">
        <w:tab/>
      </w:r>
      <w:r w:rsidR="00D86323">
        <w:rPr>
          <w:noProof/>
        </w:rPr>
        <w:t xml:space="preserve">In order to ensure </w:t>
      </w:r>
      <w:r w:rsidR="00D86323" w:rsidRPr="004C6B2A">
        <w:rPr>
          <w:noProof/>
        </w:rPr>
        <w:t>consistent application and enforcement</w:t>
      </w:r>
      <w:r w:rsidR="00D86323">
        <w:rPr>
          <w:noProof/>
        </w:rPr>
        <w:t xml:space="preserve"> of national provisions adopted pursuant to this Directive</w:t>
      </w:r>
      <w:r w:rsidR="00C96AD2">
        <w:rPr>
          <w:noProof/>
        </w:rPr>
        <w:t>,</w:t>
      </w:r>
      <w:r w:rsidR="00ED3016">
        <w:rPr>
          <w:noProof/>
        </w:rPr>
        <w:tab/>
      </w:r>
      <w:r w:rsidR="00D86323">
        <w:rPr>
          <w:noProof/>
        </w:rPr>
        <w:t xml:space="preserve"> </w:t>
      </w:r>
      <w:r w:rsidR="00ED3016" w:rsidRPr="006C62FE">
        <w:rPr>
          <w:noProof/>
        </w:rPr>
        <w:t xml:space="preserve">national supervisory authorities </w:t>
      </w:r>
      <w:r w:rsidR="00C96AD2">
        <w:rPr>
          <w:noProof/>
        </w:rPr>
        <w:t xml:space="preserve">should </w:t>
      </w:r>
      <w:r w:rsidR="00D86323">
        <w:rPr>
          <w:noProof/>
        </w:rPr>
        <w:t>cooperate and coordinate their action</w:t>
      </w:r>
      <w:r w:rsidR="003B07ED">
        <w:rPr>
          <w:noProof/>
        </w:rPr>
        <w:t>. For that purpose</w:t>
      </w:r>
      <w:r w:rsidR="00ED3016" w:rsidRPr="006C62FE">
        <w:rPr>
          <w:noProof/>
        </w:rPr>
        <w:t xml:space="preserve"> a </w:t>
      </w:r>
      <w:r w:rsidR="00ED3016" w:rsidRPr="00F8340F">
        <w:rPr>
          <w:noProof/>
        </w:rPr>
        <w:t xml:space="preserve">European Network of Supervisory Authorities </w:t>
      </w:r>
      <w:r w:rsidR="00ED3016" w:rsidRPr="006C62FE">
        <w:rPr>
          <w:noProof/>
        </w:rPr>
        <w:t>should be set up by the Commission</w:t>
      </w:r>
      <w:r w:rsidR="003B07ED">
        <w:rPr>
          <w:noProof/>
        </w:rPr>
        <w:t xml:space="preserve"> and t</w:t>
      </w:r>
      <w:r w:rsidR="00ED3016" w:rsidRPr="006C62FE">
        <w:rPr>
          <w:noProof/>
        </w:rPr>
        <w:t>he supervisory authorities should assist each other in performing their tasks and provide mutual assistance.</w:t>
      </w:r>
    </w:p>
    <w:p w14:paraId="5824F15C" w14:textId="1CAE8949" w:rsidR="00135186" w:rsidRDefault="00822875" w:rsidP="00822875">
      <w:pPr>
        <w:pStyle w:val="ManualConsidrant"/>
        <w:rPr>
          <w:noProof/>
        </w:rPr>
      </w:pPr>
      <w:r w:rsidRPr="00822875">
        <w:t>(56)</w:t>
      </w:r>
      <w:r w:rsidRPr="00822875">
        <w:tab/>
      </w:r>
      <w:r w:rsidR="00ED3016">
        <w:rPr>
          <w:noProof/>
        </w:rPr>
        <w:t>In order to ensure effective compensation of victims of adverse impacts, Member States should be required to lay down rules governing the civil liability of compan</w:t>
      </w:r>
      <w:r w:rsidR="00163E0E">
        <w:rPr>
          <w:noProof/>
        </w:rPr>
        <w:t>ies</w:t>
      </w:r>
      <w:r w:rsidR="00ED3016">
        <w:rPr>
          <w:noProof/>
        </w:rPr>
        <w:t xml:space="preserve"> for damages arising due to its failure to comply with the due diligence process. The company should be liable for damages </w:t>
      </w:r>
      <w:r w:rsidR="00E91F3A">
        <w:rPr>
          <w:noProof/>
        </w:rPr>
        <w:t xml:space="preserve">if they failed to comply with the obligations to prevent and </w:t>
      </w:r>
      <w:r w:rsidR="00AB3754">
        <w:rPr>
          <w:noProof/>
        </w:rPr>
        <w:t xml:space="preserve">mitigate </w:t>
      </w:r>
      <w:r w:rsidR="00E91F3A">
        <w:rPr>
          <w:noProof/>
        </w:rPr>
        <w:t xml:space="preserve">potential adverse impacts or to bring actual impacts to an end and </w:t>
      </w:r>
      <w:r w:rsidR="00AB3754">
        <w:rPr>
          <w:noProof/>
        </w:rPr>
        <w:t xml:space="preserve">minimise </w:t>
      </w:r>
      <w:r w:rsidR="00E91F3A">
        <w:rPr>
          <w:noProof/>
        </w:rPr>
        <w:t>their extent</w:t>
      </w:r>
      <w:r w:rsidR="007238E5">
        <w:rPr>
          <w:noProof/>
        </w:rPr>
        <w:t>,</w:t>
      </w:r>
      <w:r w:rsidR="00E91F3A">
        <w:rPr>
          <w:noProof/>
        </w:rPr>
        <w:t xml:space="preserve"> and as a result of this failure </w:t>
      </w:r>
      <w:r w:rsidR="00E91F3A" w:rsidRPr="00E91F3A">
        <w:rPr>
          <w:noProof/>
        </w:rPr>
        <w:t xml:space="preserve">an adverse impact that should have been identified, prevented, </w:t>
      </w:r>
      <w:r w:rsidR="00AB3754">
        <w:rPr>
          <w:noProof/>
        </w:rPr>
        <w:t xml:space="preserve">mitigated, </w:t>
      </w:r>
      <w:r w:rsidR="00AB7830">
        <w:rPr>
          <w:noProof/>
        </w:rPr>
        <w:t>brought to an end</w:t>
      </w:r>
      <w:r w:rsidR="00AB7830" w:rsidRPr="00E91F3A">
        <w:rPr>
          <w:noProof/>
        </w:rPr>
        <w:t xml:space="preserve"> </w:t>
      </w:r>
      <w:r w:rsidR="00E91F3A" w:rsidRPr="00E91F3A">
        <w:rPr>
          <w:noProof/>
        </w:rPr>
        <w:t xml:space="preserve">or </w:t>
      </w:r>
      <w:r w:rsidR="00373CAC">
        <w:rPr>
          <w:noProof/>
        </w:rPr>
        <w:t xml:space="preserve">its </w:t>
      </w:r>
      <w:r w:rsidR="00F21B56">
        <w:rPr>
          <w:noProof/>
        </w:rPr>
        <w:t xml:space="preserve">extent minimised </w:t>
      </w:r>
      <w:r w:rsidR="00E91F3A" w:rsidRPr="00E91F3A">
        <w:rPr>
          <w:noProof/>
        </w:rPr>
        <w:t>through the appropriate measures occurred and led to damage</w:t>
      </w:r>
      <w:r w:rsidR="00ED3016">
        <w:rPr>
          <w:noProof/>
        </w:rPr>
        <w:t xml:space="preserve">. </w:t>
      </w:r>
      <w:r w:rsidR="00B2633D">
        <w:rPr>
          <w:noProof/>
        </w:rPr>
        <w:t xml:space="preserve"> </w:t>
      </w:r>
    </w:p>
    <w:p w14:paraId="1C4C4DDC" w14:textId="792507F0" w:rsidR="005A26E2" w:rsidRPr="00BC6E3D" w:rsidRDefault="00822875" w:rsidP="00822875">
      <w:pPr>
        <w:pStyle w:val="ManualConsidrant"/>
        <w:rPr>
          <w:noProof/>
        </w:rPr>
      </w:pPr>
      <w:r w:rsidRPr="00822875">
        <w:t>(57)</w:t>
      </w:r>
      <w:r w:rsidRPr="00822875">
        <w:tab/>
      </w:r>
      <w:r w:rsidR="005A26E2">
        <w:rPr>
          <w:noProof/>
        </w:rPr>
        <w:tab/>
      </w:r>
      <w:r w:rsidR="005A26E2">
        <w:rPr>
          <w:noProof/>
        </w:rPr>
        <w:tab/>
      </w:r>
      <w:r w:rsidR="005044BC" w:rsidRPr="00B2633D">
        <w:rPr>
          <w:noProof/>
        </w:rPr>
        <w:t xml:space="preserve">As regards damages occurring at the level of </w:t>
      </w:r>
      <w:r w:rsidR="00A26F38">
        <w:rPr>
          <w:noProof/>
        </w:rPr>
        <w:t>es</w:t>
      </w:r>
      <w:r w:rsidR="007238E5">
        <w:rPr>
          <w:noProof/>
        </w:rPr>
        <w:t xml:space="preserve">tablished </w:t>
      </w:r>
      <w:r w:rsidR="005044BC" w:rsidRPr="00B2633D">
        <w:rPr>
          <w:noProof/>
        </w:rPr>
        <w:t>indirect business relationships, the liability of the company should be subject to</w:t>
      </w:r>
      <w:r w:rsidR="005044BC" w:rsidRPr="005F17AC">
        <w:rPr>
          <w:noProof/>
        </w:rPr>
        <w:t xml:space="preserve"> </w:t>
      </w:r>
      <w:r w:rsidR="005044BC">
        <w:rPr>
          <w:noProof/>
        </w:rPr>
        <w:t>specific</w:t>
      </w:r>
      <w:r w:rsidR="005044BC" w:rsidRPr="00B2633D">
        <w:rPr>
          <w:noProof/>
        </w:rPr>
        <w:t xml:space="preserve"> conditions</w:t>
      </w:r>
      <w:r w:rsidR="005044BC">
        <w:rPr>
          <w:noProof/>
        </w:rPr>
        <w:t xml:space="preserve">. </w:t>
      </w:r>
      <w:r w:rsidR="00855E7A">
        <w:rPr>
          <w:noProof/>
        </w:rPr>
        <w:t>T</w:t>
      </w:r>
      <w:r w:rsidR="005044BC">
        <w:rPr>
          <w:noProof/>
        </w:rPr>
        <w:t xml:space="preserve">he company should </w:t>
      </w:r>
      <w:r w:rsidR="00855E7A">
        <w:rPr>
          <w:noProof/>
        </w:rPr>
        <w:t xml:space="preserve">not be </w:t>
      </w:r>
      <w:r w:rsidR="005044BC" w:rsidDel="00036218">
        <w:rPr>
          <w:noProof/>
        </w:rPr>
        <w:t xml:space="preserve">liable if it </w:t>
      </w:r>
      <w:r w:rsidR="00855E7A">
        <w:rPr>
          <w:noProof/>
        </w:rPr>
        <w:t>carried out specific</w:t>
      </w:r>
      <w:r w:rsidR="005044BC">
        <w:rPr>
          <w:noProof/>
        </w:rPr>
        <w:t xml:space="preserve"> due diligence measures</w:t>
      </w:r>
      <w:r w:rsidR="00373CAC">
        <w:rPr>
          <w:noProof/>
        </w:rPr>
        <w:t>.</w:t>
      </w:r>
      <w:r w:rsidR="00207311">
        <w:rPr>
          <w:noProof/>
        </w:rPr>
        <w:t xml:space="preserve"> </w:t>
      </w:r>
      <w:r w:rsidR="00855E7A">
        <w:rPr>
          <w:noProof/>
        </w:rPr>
        <w:t xml:space="preserve">However, </w:t>
      </w:r>
      <w:r w:rsidR="00207311">
        <w:rPr>
          <w:noProof/>
        </w:rPr>
        <w:t>it</w:t>
      </w:r>
      <w:r w:rsidR="005044BC" w:rsidRPr="008C2F5A">
        <w:rPr>
          <w:noProof/>
        </w:rPr>
        <w:t xml:space="preserve"> should not be exonerated from liability through implementing such measures in case it was unreasonable to expect </w:t>
      </w:r>
      <w:r w:rsidR="007238E5" w:rsidRPr="007238E5">
        <w:rPr>
          <w:noProof/>
        </w:rPr>
        <w:t xml:space="preserve">that the action actually taken, including as regards verifying compliance, would be adequate to prevent, </w:t>
      </w:r>
      <w:r w:rsidR="00373CAC">
        <w:rPr>
          <w:noProof/>
        </w:rPr>
        <w:t>mitigate</w:t>
      </w:r>
      <w:r w:rsidR="007238E5" w:rsidRPr="007238E5">
        <w:rPr>
          <w:noProof/>
        </w:rPr>
        <w:t xml:space="preserve">, </w:t>
      </w:r>
      <w:r w:rsidR="00F21B56">
        <w:rPr>
          <w:noProof/>
        </w:rPr>
        <w:t>bring</w:t>
      </w:r>
      <w:r w:rsidR="00AB7830">
        <w:rPr>
          <w:noProof/>
        </w:rPr>
        <w:t xml:space="preserve"> to an end</w:t>
      </w:r>
      <w:r w:rsidR="007238E5" w:rsidRPr="007238E5">
        <w:rPr>
          <w:noProof/>
        </w:rPr>
        <w:t xml:space="preserve"> </w:t>
      </w:r>
      <w:r w:rsidR="007238E5">
        <w:rPr>
          <w:noProof/>
        </w:rPr>
        <w:t xml:space="preserve">or </w:t>
      </w:r>
      <w:r w:rsidR="00373CAC">
        <w:rPr>
          <w:noProof/>
        </w:rPr>
        <w:t xml:space="preserve">minimise </w:t>
      </w:r>
      <w:r w:rsidR="007238E5">
        <w:rPr>
          <w:noProof/>
        </w:rPr>
        <w:t>the adverse impact</w:t>
      </w:r>
      <w:r w:rsidR="005044BC" w:rsidRPr="008C2F5A">
        <w:rPr>
          <w:noProof/>
        </w:rPr>
        <w:t xml:space="preserve">. </w:t>
      </w:r>
      <w:r w:rsidR="005A26E2">
        <w:rPr>
          <w:noProof/>
        </w:rPr>
        <w:t>In addition, i</w:t>
      </w:r>
      <w:r w:rsidR="005A26E2" w:rsidRPr="00BC6E3D">
        <w:rPr>
          <w:noProof/>
        </w:rPr>
        <w:t>n the assessment of the ex</w:t>
      </w:r>
      <w:r w:rsidR="005A26E2">
        <w:rPr>
          <w:noProof/>
        </w:rPr>
        <w:t>istence and extent of liability</w:t>
      </w:r>
      <w:r w:rsidR="005A26E2" w:rsidRPr="00BC6E3D">
        <w:rPr>
          <w:noProof/>
        </w:rPr>
        <w:t xml:space="preserve">, due account </w:t>
      </w:r>
      <w:r w:rsidR="005A26E2">
        <w:rPr>
          <w:noProof/>
        </w:rPr>
        <w:t>is to</w:t>
      </w:r>
      <w:r w:rsidR="005A26E2" w:rsidRPr="00BC6E3D">
        <w:rPr>
          <w:noProof/>
        </w:rPr>
        <w:t xml:space="preserve"> be taken of the company’s efforts, insofar as they relate directly to the damage in question, to comply with any remedial action required of them by a supervisory authority, any investments made and any targeted support provided </w:t>
      </w:r>
      <w:r w:rsidR="005A26E2">
        <w:rPr>
          <w:noProof/>
        </w:rPr>
        <w:t>a</w:t>
      </w:r>
      <w:r w:rsidR="005A26E2" w:rsidRPr="00BC6E3D">
        <w:rPr>
          <w:noProof/>
        </w:rPr>
        <w:t>s well as any collaboration with other entities to address adverse impacts in its value chains.</w:t>
      </w:r>
    </w:p>
    <w:p w14:paraId="3653B8EE" w14:textId="7BB8BC84" w:rsidR="00C263A3" w:rsidRPr="00B2633D" w:rsidRDefault="00822875" w:rsidP="00822875">
      <w:pPr>
        <w:pStyle w:val="ManualConsidrant"/>
        <w:rPr>
          <w:noProof/>
        </w:rPr>
      </w:pPr>
      <w:r w:rsidRPr="00822875">
        <w:t>(58)</w:t>
      </w:r>
      <w:r w:rsidRPr="00822875">
        <w:tab/>
      </w:r>
      <w:r w:rsidR="005044BC">
        <w:rPr>
          <w:noProof/>
        </w:rPr>
        <w:t xml:space="preserve">The liability regime does not regulate who should prove that the company’s action was reasonably adequate under the circumstances of the case, therefore this question is left to national law. </w:t>
      </w:r>
    </w:p>
    <w:p w14:paraId="44EA4B4B" w14:textId="2145541E" w:rsidR="00B91870" w:rsidRDefault="00822875" w:rsidP="00822875">
      <w:pPr>
        <w:pStyle w:val="ManualConsidrant"/>
        <w:rPr>
          <w:noProof/>
        </w:rPr>
      </w:pPr>
      <w:r w:rsidRPr="00822875">
        <w:t>(59)</w:t>
      </w:r>
      <w:r w:rsidRPr="00822875">
        <w:tab/>
      </w:r>
      <w:r w:rsidR="00B91870">
        <w:rPr>
          <w:noProof/>
        </w:rPr>
        <w:t>As regards civil liability rules, t</w:t>
      </w:r>
      <w:r w:rsidR="00B91870" w:rsidRPr="0078636A">
        <w:rPr>
          <w:noProof/>
        </w:rPr>
        <w:t xml:space="preserve">he civil liability of a company for damages arising due to its failure to carry out adequate due diligence </w:t>
      </w:r>
      <w:r w:rsidR="00B91870">
        <w:rPr>
          <w:noProof/>
        </w:rPr>
        <w:t>should be</w:t>
      </w:r>
      <w:r w:rsidR="00B91870" w:rsidRPr="0078636A">
        <w:rPr>
          <w:noProof/>
        </w:rPr>
        <w:t xml:space="preserve"> without prejudice to civil liability of its subsidiaries or the respective civil liability of direct and indirect business partners in the value chain.</w:t>
      </w:r>
      <w:r w:rsidR="00B91870">
        <w:rPr>
          <w:noProof/>
        </w:rPr>
        <w:t xml:space="preserve"> Also, t</w:t>
      </w:r>
      <w:r w:rsidR="00B91870" w:rsidRPr="0078636A">
        <w:rPr>
          <w:noProof/>
        </w:rPr>
        <w:t xml:space="preserve">he civil liability rules under this Directive </w:t>
      </w:r>
      <w:r w:rsidR="00B91870">
        <w:rPr>
          <w:noProof/>
        </w:rPr>
        <w:t>should be</w:t>
      </w:r>
      <w:r w:rsidR="00B91870" w:rsidRPr="0078636A">
        <w:rPr>
          <w:noProof/>
        </w:rPr>
        <w:t xml:space="preserve"> without prejudice to </w:t>
      </w:r>
      <w:r w:rsidR="00E73CE4">
        <w:rPr>
          <w:noProof/>
        </w:rPr>
        <w:t>Union or national rules on</w:t>
      </w:r>
      <w:r w:rsidR="00E73CE4" w:rsidRPr="00BC6E3D">
        <w:rPr>
          <w:noProof/>
        </w:rPr>
        <w:t xml:space="preserve"> civil liability related to adverse </w:t>
      </w:r>
      <w:r w:rsidR="00E73CE4" w:rsidRPr="00733133">
        <w:rPr>
          <w:noProof/>
        </w:rPr>
        <w:t xml:space="preserve">human rights </w:t>
      </w:r>
      <w:r w:rsidR="00E73CE4" w:rsidRPr="00BC6E3D">
        <w:rPr>
          <w:noProof/>
        </w:rPr>
        <w:t xml:space="preserve">impacts or to adverse </w:t>
      </w:r>
      <w:r w:rsidR="00E73CE4" w:rsidRPr="00733133">
        <w:rPr>
          <w:noProof/>
        </w:rPr>
        <w:t xml:space="preserve">environmental </w:t>
      </w:r>
      <w:r w:rsidR="00E73CE4" w:rsidRPr="00BC6E3D">
        <w:rPr>
          <w:noProof/>
        </w:rPr>
        <w:t xml:space="preserve">impacts </w:t>
      </w:r>
      <w:r w:rsidR="00E73CE4">
        <w:rPr>
          <w:noProof/>
        </w:rPr>
        <w:t xml:space="preserve">that provide for liability in situations not covered by </w:t>
      </w:r>
      <w:r w:rsidR="00E73CE4" w:rsidRPr="00733133">
        <w:rPr>
          <w:noProof/>
        </w:rPr>
        <w:t xml:space="preserve">or providing for stricter liability than </w:t>
      </w:r>
      <w:r w:rsidR="00E73CE4">
        <w:rPr>
          <w:noProof/>
        </w:rPr>
        <w:t>this Directive</w:t>
      </w:r>
      <w:r w:rsidR="00E73CE4" w:rsidRPr="00BC6E3D">
        <w:rPr>
          <w:noProof/>
        </w:rPr>
        <w:t>.</w:t>
      </w:r>
    </w:p>
    <w:p w14:paraId="6B574500" w14:textId="1B6C354C" w:rsidR="00B63F97" w:rsidRDefault="00822875" w:rsidP="00822875">
      <w:pPr>
        <w:pStyle w:val="ManualConsidrant"/>
        <w:rPr>
          <w:noProof/>
        </w:rPr>
      </w:pPr>
      <w:r w:rsidRPr="00822875">
        <w:t>(60)</w:t>
      </w:r>
      <w:r w:rsidRPr="00822875">
        <w:tab/>
      </w:r>
      <w:r w:rsidR="00ED3016">
        <w:rPr>
          <w:noProof/>
        </w:rPr>
        <w:t xml:space="preserve">As regards </w:t>
      </w:r>
      <w:r w:rsidR="00702391">
        <w:rPr>
          <w:noProof/>
        </w:rPr>
        <w:t xml:space="preserve">civil liability arising </w:t>
      </w:r>
      <w:r w:rsidR="002F5AE8">
        <w:rPr>
          <w:noProof/>
        </w:rPr>
        <w:t>from</w:t>
      </w:r>
      <w:r w:rsidR="00702391">
        <w:rPr>
          <w:noProof/>
        </w:rPr>
        <w:t xml:space="preserve"> </w:t>
      </w:r>
      <w:r w:rsidR="00ED3016">
        <w:rPr>
          <w:noProof/>
        </w:rPr>
        <w:t xml:space="preserve">adverse environmental impacts, persons who suffer </w:t>
      </w:r>
      <w:r w:rsidR="00ED3016" w:rsidRPr="000A4C7B">
        <w:rPr>
          <w:noProof/>
        </w:rPr>
        <w:t xml:space="preserve">damage </w:t>
      </w:r>
      <w:r w:rsidR="00ED3016">
        <w:rPr>
          <w:noProof/>
        </w:rPr>
        <w:t>can claim compensation</w:t>
      </w:r>
      <w:r w:rsidR="00233174">
        <w:rPr>
          <w:noProof/>
        </w:rPr>
        <w:t xml:space="preserve"> </w:t>
      </w:r>
      <w:r w:rsidR="00ED3016">
        <w:rPr>
          <w:noProof/>
        </w:rPr>
        <w:t xml:space="preserve">under </w:t>
      </w:r>
      <w:r w:rsidR="00702391">
        <w:rPr>
          <w:noProof/>
        </w:rPr>
        <w:t>this Directive</w:t>
      </w:r>
      <w:r w:rsidR="00A80A16">
        <w:rPr>
          <w:noProof/>
        </w:rPr>
        <w:t xml:space="preserve"> </w:t>
      </w:r>
      <w:r w:rsidR="00ED3016">
        <w:rPr>
          <w:noProof/>
        </w:rPr>
        <w:t>even where they</w:t>
      </w:r>
      <w:r w:rsidR="00ED3016" w:rsidRPr="000A20DA">
        <w:rPr>
          <w:noProof/>
        </w:rPr>
        <w:t xml:space="preserve"> overlap</w:t>
      </w:r>
      <w:r w:rsidR="00ED3016">
        <w:rPr>
          <w:noProof/>
        </w:rPr>
        <w:t xml:space="preserve"> with human rights claims. </w:t>
      </w:r>
    </w:p>
    <w:p w14:paraId="0DFEF927" w14:textId="5B565E4A" w:rsidR="00014836" w:rsidRDefault="00822875" w:rsidP="00822875">
      <w:pPr>
        <w:pStyle w:val="ManualConsidrant"/>
        <w:rPr>
          <w:noProof/>
        </w:rPr>
      </w:pPr>
      <w:r w:rsidRPr="00822875">
        <w:t>(61)</w:t>
      </w:r>
      <w:r w:rsidRPr="00822875">
        <w:tab/>
      </w:r>
      <w:r w:rsidR="00014836">
        <w:rPr>
          <w:noProof/>
        </w:rPr>
        <w:t xml:space="preserve">In order to ensure that victims of human rights and environmental harms can bring an action for damages and claim compensation for damages arising due to a company’s failure to comply with the due diligence obligations stemming from this Directive, even where the law applicable to such claims is not the law of a Member State, as could be for instance be the case in accordance with international private law rules when the damage occurs in a third country, this Directive should require Member States </w:t>
      </w:r>
      <w:r w:rsidR="00917DE1">
        <w:rPr>
          <w:noProof/>
        </w:rPr>
        <w:t xml:space="preserve">to </w:t>
      </w:r>
      <w:r w:rsidR="00014836">
        <w:rPr>
          <w:noProof/>
        </w:rPr>
        <w:t xml:space="preserve">ensure that the liability </w:t>
      </w:r>
      <w:r w:rsidR="00B61E04" w:rsidRPr="00B61E04">
        <w:rPr>
          <w:noProof/>
        </w:rPr>
        <w:t>provided for in provisions of national law transposing this Article is of overriding mandatory application in cases where the law applicable to claims to that effect is not the law of a Member State</w:t>
      </w:r>
      <w:r w:rsidR="00014836">
        <w:rPr>
          <w:noProof/>
        </w:rPr>
        <w:t xml:space="preserve">. </w:t>
      </w:r>
    </w:p>
    <w:p w14:paraId="09A9133B" w14:textId="6D25B9D0" w:rsidR="00ED3016" w:rsidRDefault="00822875" w:rsidP="00822875">
      <w:pPr>
        <w:pStyle w:val="ManualConsidrant"/>
        <w:rPr>
          <w:noProof/>
        </w:rPr>
      </w:pPr>
      <w:r w:rsidRPr="00822875">
        <w:t>(62)</w:t>
      </w:r>
      <w:r w:rsidRPr="00822875">
        <w:tab/>
      </w:r>
      <w:r w:rsidR="00B63F97">
        <w:rPr>
          <w:noProof/>
        </w:rPr>
        <w:t xml:space="preserve">The </w:t>
      </w:r>
      <w:r w:rsidR="000150BE">
        <w:rPr>
          <w:noProof/>
        </w:rPr>
        <w:t>civil</w:t>
      </w:r>
      <w:r w:rsidR="000150BE" w:rsidRPr="000150BE">
        <w:rPr>
          <w:noProof/>
        </w:rPr>
        <w:t xml:space="preserve"> liability regime </w:t>
      </w:r>
      <w:r w:rsidR="00B63F97">
        <w:rPr>
          <w:noProof/>
        </w:rPr>
        <w:t>under this Directive should be</w:t>
      </w:r>
      <w:r w:rsidR="000150BE" w:rsidRPr="000150BE">
        <w:rPr>
          <w:noProof/>
        </w:rPr>
        <w:t xml:space="preserve"> without prejudice to the Environmental Liability Directive</w:t>
      </w:r>
      <w:r w:rsidR="000150BE">
        <w:rPr>
          <w:noProof/>
        </w:rPr>
        <w:t xml:space="preserve"> </w:t>
      </w:r>
      <w:r w:rsidR="000150BE" w:rsidRPr="000150BE">
        <w:rPr>
          <w:noProof/>
        </w:rPr>
        <w:t>2004/35/E</w:t>
      </w:r>
      <w:r w:rsidR="000150BE">
        <w:rPr>
          <w:noProof/>
        </w:rPr>
        <w:t>C.</w:t>
      </w:r>
      <w:r w:rsidR="00B63F97">
        <w:rPr>
          <w:noProof/>
        </w:rPr>
        <w:t xml:space="preserve"> </w:t>
      </w:r>
      <w:r w:rsidR="00B63F97" w:rsidRPr="00B63F97">
        <w:rPr>
          <w:noProof/>
        </w:rPr>
        <w:t xml:space="preserve">This Directive should not prevent Member States from imposing further, more stringent obligations on companies or from otherwise taking further measures having the same objectives as </w:t>
      </w:r>
      <w:r w:rsidR="00B63F97">
        <w:rPr>
          <w:noProof/>
        </w:rPr>
        <w:t>that</w:t>
      </w:r>
      <w:r w:rsidR="00B63F97" w:rsidRPr="00B63F97">
        <w:rPr>
          <w:noProof/>
        </w:rPr>
        <w:t xml:space="preserve"> Directive. </w:t>
      </w:r>
    </w:p>
    <w:p w14:paraId="36536B8B" w14:textId="6456B334" w:rsidR="008924AF" w:rsidRPr="00B76DDC" w:rsidRDefault="00822875" w:rsidP="00822875">
      <w:pPr>
        <w:pStyle w:val="ManualConsidrant"/>
        <w:rPr>
          <w:noProof/>
        </w:rPr>
      </w:pPr>
      <w:r w:rsidRPr="00822875">
        <w:t>(63)</w:t>
      </w:r>
      <w:r w:rsidRPr="00822875">
        <w:tab/>
      </w:r>
      <w:r w:rsidR="008924AF">
        <w:rPr>
          <w:noProof/>
        </w:rPr>
        <w:t>In all Member States’ national laws, directors owe a duty of care to the company. In order to ensure that this general duty is understood and applied in a manner which is coherent and consistent with the due diligence obligations introduced by this Directive</w:t>
      </w:r>
      <w:r w:rsidR="0040015D">
        <w:rPr>
          <w:noProof/>
        </w:rPr>
        <w:t xml:space="preserve"> and that directors systematically take into account sustainability matters in their decisions</w:t>
      </w:r>
      <w:r w:rsidR="008924AF">
        <w:rPr>
          <w:noProof/>
        </w:rPr>
        <w:t>, this Directive should clarify, in a harmonised manner, the general duty of care of directors to act in the best interest of the company, by laying down that directors take into account</w:t>
      </w:r>
      <w:r w:rsidR="0040015D" w:rsidRPr="00C84988">
        <w:rPr>
          <w:noProof/>
          <w:lang w:val="en-IE"/>
        </w:rPr>
        <w:t xml:space="preserve"> the sustainability matters as referred to </w:t>
      </w:r>
      <w:r w:rsidR="0040015D" w:rsidRPr="0040015D">
        <w:rPr>
          <w:noProof/>
        </w:rPr>
        <w:t xml:space="preserve">in </w:t>
      </w:r>
      <w:r w:rsidR="0040015D">
        <w:rPr>
          <w:noProof/>
        </w:rPr>
        <w:t xml:space="preserve">Directive </w:t>
      </w:r>
      <w:r w:rsidR="004310AF">
        <w:rPr>
          <w:noProof/>
        </w:rPr>
        <w:t>2013/34/EU</w:t>
      </w:r>
      <w:r w:rsidR="0040015D" w:rsidRPr="0040015D">
        <w:rPr>
          <w:noProof/>
        </w:rPr>
        <w:t>, including, where applicable,</w:t>
      </w:r>
      <w:r w:rsidR="0040015D" w:rsidRPr="00C84988">
        <w:rPr>
          <w:noProof/>
          <w:lang w:val="en-IE"/>
        </w:rPr>
        <w:t xml:space="preserve"> human rights, climate change and environmental consequences, including in the short, medium and long term horizons. </w:t>
      </w:r>
      <w:r w:rsidR="00A03A1D">
        <w:rPr>
          <w:noProof/>
        </w:rPr>
        <w:t xml:space="preserve">Such clarification does not require changing existing national corporate structures. </w:t>
      </w:r>
    </w:p>
    <w:p w14:paraId="3951744F" w14:textId="61B7D441" w:rsidR="0076335A" w:rsidRDefault="00822875" w:rsidP="00822875">
      <w:pPr>
        <w:pStyle w:val="ManualConsidrant"/>
        <w:rPr>
          <w:noProof/>
        </w:rPr>
      </w:pPr>
      <w:r w:rsidRPr="00822875">
        <w:t>(64)</w:t>
      </w:r>
      <w:r w:rsidRPr="00822875">
        <w:tab/>
      </w:r>
      <w:r w:rsidR="0076335A">
        <w:rPr>
          <w:noProof/>
        </w:rPr>
        <w:t xml:space="preserve">Responsibility for due diligence should be assigned to the company’s directors, in line with the international due diligence frameworks. Directors should therefore be responsible for </w:t>
      </w:r>
      <w:r w:rsidR="00793E1A">
        <w:rPr>
          <w:noProof/>
        </w:rPr>
        <w:t>putting in place</w:t>
      </w:r>
      <w:r w:rsidR="0076335A">
        <w:rPr>
          <w:noProof/>
        </w:rPr>
        <w:t xml:space="preserve"> and overseeing the due diligence </w:t>
      </w:r>
      <w:r w:rsidR="00793E1A">
        <w:rPr>
          <w:noProof/>
        </w:rPr>
        <w:t xml:space="preserve">actions </w:t>
      </w:r>
      <w:r w:rsidR="0076335A">
        <w:rPr>
          <w:noProof/>
        </w:rPr>
        <w:t xml:space="preserve">as laid down in this </w:t>
      </w:r>
      <w:r w:rsidR="009C5B7B">
        <w:rPr>
          <w:noProof/>
        </w:rPr>
        <w:t>D</w:t>
      </w:r>
      <w:r w:rsidR="0076335A">
        <w:rPr>
          <w:noProof/>
        </w:rPr>
        <w:t xml:space="preserve">irective and for adopting </w:t>
      </w:r>
      <w:r w:rsidR="00A372B8">
        <w:rPr>
          <w:noProof/>
        </w:rPr>
        <w:t xml:space="preserve">the </w:t>
      </w:r>
      <w:r w:rsidR="0076335A">
        <w:rPr>
          <w:noProof/>
        </w:rPr>
        <w:t>compan</w:t>
      </w:r>
      <w:r w:rsidR="00A372B8">
        <w:rPr>
          <w:noProof/>
        </w:rPr>
        <w:t>y</w:t>
      </w:r>
      <w:r w:rsidR="0076335A">
        <w:rPr>
          <w:noProof/>
        </w:rPr>
        <w:t>’</w:t>
      </w:r>
      <w:r w:rsidR="00A372B8">
        <w:rPr>
          <w:noProof/>
        </w:rPr>
        <w:t>s</w:t>
      </w:r>
      <w:r w:rsidR="0076335A">
        <w:rPr>
          <w:noProof/>
        </w:rPr>
        <w:t xml:space="preserve"> </w:t>
      </w:r>
      <w:r w:rsidR="0076335A" w:rsidRPr="00F8340F">
        <w:rPr>
          <w:noProof/>
        </w:rPr>
        <w:t xml:space="preserve">due diligence </w:t>
      </w:r>
      <w:r w:rsidR="00710920">
        <w:rPr>
          <w:noProof/>
        </w:rPr>
        <w:t>policy</w:t>
      </w:r>
      <w:r w:rsidR="00796E05">
        <w:rPr>
          <w:noProof/>
        </w:rPr>
        <w:t xml:space="preserve">, taking into account the input of stakeholders </w:t>
      </w:r>
      <w:r w:rsidR="00796E05" w:rsidDel="007908EA">
        <w:rPr>
          <w:noProof/>
        </w:rPr>
        <w:t xml:space="preserve">and </w:t>
      </w:r>
      <w:r w:rsidR="00796E05">
        <w:rPr>
          <w:noProof/>
        </w:rPr>
        <w:t>civil society organisations</w:t>
      </w:r>
      <w:r w:rsidR="00323EC3">
        <w:rPr>
          <w:noProof/>
        </w:rPr>
        <w:t xml:space="preserve"> and integrating due diligence into corporate management systems</w:t>
      </w:r>
      <w:r w:rsidR="0076335A">
        <w:rPr>
          <w:noProof/>
        </w:rPr>
        <w:t xml:space="preserve">. </w:t>
      </w:r>
      <w:r w:rsidR="00796E05">
        <w:rPr>
          <w:noProof/>
        </w:rPr>
        <w:t xml:space="preserve">Directors should also </w:t>
      </w:r>
      <w:r w:rsidR="00793E1A">
        <w:rPr>
          <w:noProof/>
        </w:rPr>
        <w:t xml:space="preserve">adapt the corporate strategy to actual and potential impacts identified and any due diligence measures taken. </w:t>
      </w:r>
    </w:p>
    <w:p w14:paraId="04E7D91D" w14:textId="34C4171F" w:rsidR="003C7FD1" w:rsidRDefault="00822875" w:rsidP="00822875">
      <w:pPr>
        <w:pStyle w:val="ManualConsidrant"/>
        <w:rPr>
          <w:noProof/>
        </w:rPr>
      </w:pPr>
      <w:r w:rsidRPr="00822875">
        <w:t>(65)</w:t>
      </w:r>
      <w:r w:rsidRPr="00822875">
        <w:tab/>
      </w:r>
      <w:r w:rsidR="00ED3016" w:rsidRPr="008F66BF">
        <w:rPr>
          <w:noProof/>
        </w:rPr>
        <w:t xml:space="preserve">Persons who work for companies subject to due diligence obligations under this Directive or who are in contact with such companies in the context of their work-related activities can play a key role in exposing breaches of the rules of this Directive. They can thus contribute to preventing and deterring such breaches and strengthening the enforcement of this Directive. Directive </w:t>
      </w:r>
      <w:r w:rsidR="00626A48">
        <w:rPr>
          <w:noProof/>
        </w:rPr>
        <w:t>(EU)</w:t>
      </w:r>
      <w:r w:rsidR="00ED3016" w:rsidRPr="008F66BF">
        <w:rPr>
          <w:noProof/>
        </w:rPr>
        <w:t xml:space="preserve"> 2019/1937</w:t>
      </w:r>
      <w:r w:rsidR="00626A48" w:rsidRPr="00626A48">
        <w:rPr>
          <w:noProof/>
        </w:rPr>
        <w:t xml:space="preserve"> of the European Parliament and of the Council</w:t>
      </w:r>
      <w:r w:rsidR="00ED3016" w:rsidRPr="00C84988">
        <w:rPr>
          <w:rStyle w:val="Allmrkuseviide"/>
          <w:noProof/>
        </w:rPr>
        <w:footnoteReference w:id="107"/>
      </w:r>
      <w:r w:rsidR="00ED3016" w:rsidRPr="008F66BF">
        <w:rPr>
          <w:noProof/>
        </w:rPr>
        <w:t xml:space="preserve"> should therefore apply to the reporting of all breaches of this Directive and to the protection of persons reporting such breaches.</w:t>
      </w:r>
    </w:p>
    <w:p w14:paraId="63818A8E" w14:textId="42A0FAD8" w:rsidR="003A0A54" w:rsidRDefault="00822875" w:rsidP="00822875">
      <w:pPr>
        <w:pStyle w:val="ManualConsidrant"/>
        <w:rPr>
          <w:noProof/>
        </w:rPr>
      </w:pPr>
      <w:r w:rsidRPr="00822875">
        <w:t>(66)</w:t>
      </w:r>
      <w:r w:rsidRPr="00822875">
        <w:tab/>
      </w:r>
      <w:r w:rsidR="00A64533" w:rsidRPr="00C6766B">
        <w:rPr>
          <w:noProof/>
        </w:rPr>
        <w:t xml:space="preserve">In order to </w:t>
      </w:r>
      <w:r w:rsidR="002B5E8C" w:rsidRPr="00C6766B">
        <w:rPr>
          <w:noProof/>
        </w:rPr>
        <w:t xml:space="preserve">specify the information that </w:t>
      </w:r>
      <w:r w:rsidR="00C755A5" w:rsidRPr="00C6766B">
        <w:rPr>
          <w:noProof/>
        </w:rPr>
        <w:t>companies not subject to reporting requirements</w:t>
      </w:r>
      <w:r w:rsidR="00C755A5">
        <w:rPr>
          <w:noProof/>
        </w:rPr>
        <w:t xml:space="preserve"> under the provisions on corporate sustainability reporting under Directive 2013/34/EU</w:t>
      </w:r>
      <w:r w:rsidR="002B5E8C">
        <w:rPr>
          <w:noProof/>
        </w:rPr>
        <w:t xml:space="preserve"> should be communicating </w:t>
      </w:r>
      <w:r w:rsidR="00730C21">
        <w:rPr>
          <w:noProof/>
        </w:rPr>
        <w:t xml:space="preserve">on the matters covered by </w:t>
      </w:r>
      <w:r w:rsidR="002B5E8C">
        <w:rPr>
          <w:noProof/>
        </w:rPr>
        <w:t>this Directive</w:t>
      </w:r>
      <w:r w:rsidR="00C755A5">
        <w:rPr>
          <w:noProof/>
        </w:rPr>
        <w:t xml:space="preserve">, </w:t>
      </w:r>
      <w:r w:rsidR="00A64533" w:rsidRPr="0089387B">
        <w:rPr>
          <w:noProof/>
        </w:rPr>
        <w:t xml:space="preserve">the power to adopt acts in accordance with Article 290 of the Treaty on the Functioning of the European Union should be </w:t>
      </w:r>
      <w:r w:rsidR="00A64533" w:rsidRPr="002B5E8C">
        <w:rPr>
          <w:noProof/>
        </w:rPr>
        <w:t>delegated</w:t>
      </w:r>
      <w:r w:rsidR="00A64533" w:rsidRPr="0089387B">
        <w:rPr>
          <w:noProof/>
        </w:rPr>
        <w:t xml:space="preserve"> to the Commission in respect of</w:t>
      </w:r>
      <w:r w:rsidR="00C755A5">
        <w:rPr>
          <w:noProof/>
        </w:rPr>
        <w:t xml:space="preserve"> determining additional rules </w:t>
      </w:r>
      <w:r w:rsidR="00464544">
        <w:rPr>
          <w:noProof/>
        </w:rPr>
        <w:t>concerning</w:t>
      </w:r>
      <w:r w:rsidR="00C755A5">
        <w:rPr>
          <w:noProof/>
        </w:rPr>
        <w:t xml:space="preserve"> the content </w:t>
      </w:r>
      <w:r w:rsidR="00464544">
        <w:rPr>
          <w:noProof/>
        </w:rPr>
        <w:t xml:space="preserve">and criteria </w:t>
      </w:r>
      <w:r w:rsidR="00C755A5">
        <w:rPr>
          <w:noProof/>
        </w:rPr>
        <w:t xml:space="preserve">of </w:t>
      </w:r>
      <w:r w:rsidR="00464544">
        <w:rPr>
          <w:noProof/>
        </w:rPr>
        <w:t xml:space="preserve">such </w:t>
      </w:r>
      <w:r w:rsidR="00C755A5">
        <w:rPr>
          <w:noProof/>
        </w:rPr>
        <w:t xml:space="preserve">reporting, </w:t>
      </w:r>
      <w:r w:rsidR="00464544">
        <w:rPr>
          <w:noProof/>
        </w:rPr>
        <w:t xml:space="preserve">specifying information on the </w:t>
      </w:r>
      <w:r w:rsidR="00C755A5">
        <w:rPr>
          <w:noProof/>
        </w:rPr>
        <w:t>description of due diligence, potential and actual impacts and actions taken on those</w:t>
      </w:r>
      <w:r w:rsidR="00A64533">
        <w:rPr>
          <w:noProof/>
        </w:rPr>
        <w:t xml:space="preserve">. It is </w:t>
      </w:r>
      <w:r w:rsidR="00A64533" w:rsidRPr="0089387B">
        <w:rPr>
          <w:noProof/>
        </w:rPr>
        <w:t>of particular importance that the Commission</w:t>
      </w:r>
      <w:r w:rsidR="00A64533">
        <w:rPr>
          <w:noProof/>
        </w:rPr>
        <w:t xml:space="preserve"> </w:t>
      </w:r>
      <w:r w:rsidR="00A64533" w:rsidRPr="0089387B">
        <w:rPr>
          <w:noProof/>
        </w:rPr>
        <w:t>carry out appropriate consultations during its pr</w:t>
      </w:r>
      <w:r w:rsidR="00A64533">
        <w:rPr>
          <w:noProof/>
        </w:rPr>
        <w:t xml:space="preserve">eparatory work, including at </w:t>
      </w:r>
      <w:r w:rsidR="00A64533" w:rsidRPr="0089387B">
        <w:rPr>
          <w:noProof/>
        </w:rPr>
        <w:t xml:space="preserve">expert level, and that those consultations be conducted in accordance with the principles laid down in the Interinstitutional Agreement of 13 </w:t>
      </w:r>
      <w:r w:rsidR="00A64533">
        <w:rPr>
          <w:noProof/>
        </w:rPr>
        <w:t>April 2016 on Better Law-Making</w:t>
      </w:r>
      <w:r w:rsidR="00A64533" w:rsidRPr="00C84988">
        <w:rPr>
          <w:rStyle w:val="Allmrkuseviide"/>
          <w:noProof/>
        </w:rPr>
        <w:footnoteReference w:id="108"/>
      </w:r>
      <w:r w:rsidR="00A64533" w:rsidRPr="0089387B">
        <w:rPr>
          <w:noProof/>
        </w:rPr>
        <w:t>. In particular,</w:t>
      </w:r>
      <w:r w:rsidR="00A64533">
        <w:rPr>
          <w:noProof/>
        </w:rPr>
        <w:t xml:space="preserve"> </w:t>
      </w:r>
      <w:r w:rsidR="00A64533" w:rsidRPr="0089387B">
        <w:rPr>
          <w:noProof/>
        </w:rPr>
        <w:t>to e</w:t>
      </w:r>
      <w:r w:rsidR="00A64533">
        <w:rPr>
          <w:noProof/>
        </w:rPr>
        <w:t xml:space="preserve">nsure equal participation in </w:t>
      </w:r>
      <w:r w:rsidR="00A64533" w:rsidRPr="0089387B">
        <w:rPr>
          <w:noProof/>
        </w:rPr>
        <w:t>the preparation of delegated acts, the European Parliament and the Council receive all documents at the same time as Member States' experts, and their experts s</w:t>
      </w:r>
      <w:r w:rsidR="00A64533">
        <w:rPr>
          <w:noProof/>
        </w:rPr>
        <w:t xml:space="preserve">ystematically have access to </w:t>
      </w:r>
      <w:r w:rsidR="00A64533" w:rsidRPr="0089387B">
        <w:rPr>
          <w:noProof/>
        </w:rPr>
        <w:t>meetings of Commission expert groups dealing with the preparation of delegated acts.</w:t>
      </w:r>
    </w:p>
    <w:p w14:paraId="0D47670A" w14:textId="0C01F858" w:rsidR="00ED3016" w:rsidRDefault="00822875" w:rsidP="00822875">
      <w:pPr>
        <w:pStyle w:val="ManualConsidrant"/>
        <w:rPr>
          <w:noProof/>
        </w:rPr>
      </w:pPr>
      <w:r w:rsidRPr="00822875">
        <w:t>(67)</w:t>
      </w:r>
      <w:r w:rsidRPr="00822875">
        <w:tab/>
      </w:r>
      <w:r w:rsidR="003C7FD1" w:rsidRPr="003C7FD1">
        <w:rPr>
          <w:noProof/>
        </w:rPr>
        <w:t xml:space="preserve">This Directive should be applied in compliance with Union data protection law and the </w:t>
      </w:r>
      <w:r w:rsidR="00ED5B80">
        <w:rPr>
          <w:noProof/>
        </w:rPr>
        <w:t>right to the</w:t>
      </w:r>
      <w:r w:rsidR="003C7FD1" w:rsidRPr="003C7FD1">
        <w:rPr>
          <w:noProof/>
        </w:rPr>
        <w:t xml:space="preserve"> protection of privacy and personal data as enshrined in Articles 7 and 8 of the Charter of Fundamental Rights of the European Union. Any processing of personal data under this Directive is to be undertaken in accordance with Regulation (EU) 2016/679</w:t>
      </w:r>
      <w:r w:rsidR="004129E1" w:rsidRPr="004129E1">
        <w:rPr>
          <w:noProof/>
        </w:rPr>
        <w:tab/>
      </w:r>
      <w:r w:rsidR="004129E1" w:rsidRPr="004129E1">
        <w:rPr>
          <w:noProof/>
        </w:rPr>
        <w:tab/>
      </w:r>
      <w:r w:rsidR="004129E1" w:rsidRPr="004129E1">
        <w:rPr>
          <w:noProof/>
        </w:rPr>
        <w:tab/>
      </w:r>
      <w:r w:rsidR="004129E1" w:rsidRPr="004129E1">
        <w:rPr>
          <w:noProof/>
        </w:rPr>
        <w:tab/>
      </w:r>
      <w:r w:rsidR="004129E1">
        <w:rPr>
          <w:noProof/>
        </w:rPr>
        <w:t xml:space="preserve"> </w:t>
      </w:r>
      <w:r w:rsidR="004129E1" w:rsidRPr="004129E1">
        <w:rPr>
          <w:noProof/>
        </w:rPr>
        <w:t>of the European Parliament and of the Council</w:t>
      </w:r>
      <w:r w:rsidR="009775B9" w:rsidRPr="00C84988">
        <w:rPr>
          <w:rStyle w:val="Allmrkuseviide"/>
          <w:noProof/>
        </w:rPr>
        <w:footnoteReference w:id="109"/>
      </w:r>
      <w:r w:rsidR="00AE0A9D">
        <w:rPr>
          <w:noProof/>
        </w:rPr>
        <w:t xml:space="preserve">, </w:t>
      </w:r>
      <w:r w:rsidR="00AE0A9D" w:rsidRPr="00AE0A9D">
        <w:rPr>
          <w:noProof/>
        </w:rPr>
        <w:t>including the requirements of purpose limitation, data minimisation and storage limitation</w:t>
      </w:r>
      <w:r w:rsidR="003C7FD1" w:rsidRPr="003C7FD1">
        <w:rPr>
          <w:noProof/>
        </w:rPr>
        <w:t>.</w:t>
      </w:r>
    </w:p>
    <w:p w14:paraId="0850C510" w14:textId="63F6BEC8" w:rsidR="003C7FD1" w:rsidRPr="00F8340F" w:rsidRDefault="00822875" w:rsidP="00822875">
      <w:pPr>
        <w:pStyle w:val="ManualConsidrant"/>
        <w:rPr>
          <w:noProof/>
        </w:rPr>
      </w:pPr>
      <w:r w:rsidRPr="00822875">
        <w:t>(68)</w:t>
      </w:r>
      <w:r w:rsidRPr="00822875">
        <w:tab/>
      </w:r>
      <w:r w:rsidR="003C7FD1" w:rsidRPr="00F8340F">
        <w:rPr>
          <w:noProof/>
        </w:rPr>
        <w:t>The European Data Protection Supervisor was consulted in accordance with Article</w:t>
      </w:r>
      <w:r w:rsidR="00BC784C">
        <w:rPr>
          <w:noProof/>
        </w:rPr>
        <w:t> </w:t>
      </w:r>
      <w:r w:rsidR="003C7FD1" w:rsidRPr="00F8340F">
        <w:rPr>
          <w:noProof/>
        </w:rPr>
        <w:t>28(2) of Regulation (E</w:t>
      </w:r>
      <w:r w:rsidR="00B57CA3" w:rsidRPr="00F8340F">
        <w:rPr>
          <w:noProof/>
        </w:rPr>
        <w:t>U</w:t>
      </w:r>
      <w:r w:rsidR="003C7FD1" w:rsidRPr="00F8340F">
        <w:rPr>
          <w:noProof/>
        </w:rPr>
        <w:t xml:space="preserve">) </w:t>
      </w:r>
      <w:r w:rsidR="00B57CA3" w:rsidRPr="00F8340F">
        <w:rPr>
          <w:noProof/>
        </w:rPr>
        <w:t>2018/1725</w:t>
      </w:r>
      <w:r w:rsidR="003C7FD1" w:rsidRPr="00F8340F">
        <w:rPr>
          <w:noProof/>
        </w:rPr>
        <w:t xml:space="preserve"> of the European Parliament and of the Council</w:t>
      </w:r>
      <w:r w:rsidR="00B57CA3" w:rsidRPr="00C84988">
        <w:rPr>
          <w:rStyle w:val="Allmrkuseviide"/>
          <w:noProof/>
        </w:rPr>
        <w:footnoteReference w:id="110"/>
      </w:r>
      <w:r w:rsidR="003C7FD1" w:rsidRPr="00F8340F">
        <w:rPr>
          <w:noProof/>
        </w:rPr>
        <w:t xml:space="preserve"> and delivered an opinion on … 2022.</w:t>
      </w:r>
    </w:p>
    <w:p w14:paraId="5139C9A6" w14:textId="66C9BA23" w:rsidR="00ED3016" w:rsidRDefault="00822875" w:rsidP="00822875">
      <w:pPr>
        <w:pStyle w:val="ManualConsidrant"/>
        <w:rPr>
          <w:noProof/>
        </w:rPr>
      </w:pPr>
      <w:r w:rsidRPr="00822875">
        <w:t>(69)</w:t>
      </w:r>
      <w:r w:rsidRPr="00822875">
        <w:tab/>
      </w:r>
      <w:r w:rsidR="00ED3016" w:rsidRPr="00992DAA">
        <w:rPr>
          <w:noProof/>
        </w:rPr>
        <w:t>This Directive</w:t>
      </w:r>
      <w:r w:rsidR="00ED3016" w:rsidRPr="00040BB8">
        <w:rPr>
          <w:noProof/>
        </w:rPr>
        <w:t xml:space="preserve"> </w:t>
      </w:r>
      <w:r w:rsidR="00ED3016">
        <w:rPr>
          <w:noProof/>
        </w:rPr>
        <w:t>is</w:t>
      </w:r>
      <w:r w:rsidR="00ED3016" w:rsidRPr="00040BB8">
        <w:rPr>
          <w:noProof/>
        </w:rPr>
        <w:t xml:space="preserve"> without prejudice </w:t>
      </w:r>
      <w:r w:rsidR="00B64A22" w:rsidRPr="00040BB8">
        <w:rPr>
          <w:noProof/>
        </w:rPr>
        <w:t>to</w:t>
      </w:r>
      <w:r w:rsidR="00B64A22">
        <w:rPr>
          <w:noProof/>
        </w:rPr>
        <w:t xml:space="preserve"> </w:t>
      </w:r>
      <w:r w:rsidR="009B697A" w:rsidRPr="009B697A">
        <w:rPr>
          <w:noProof/>
          <w:lang w:val="en-IE"/>
        </w:rPr>
        <w:t>obligations in the areas of human rights, protection of the environment and climate change under other Union legislative acts</w:t>
      </w:r>
      <w:r w:rsidR="009B697A">
        <w:rPr>
          <w:noProof/>
          <w:lang w:val="en-IE"/>
        </w:rPr>
        <w:t>.</w:t>
      </w:r>
      <w:r w:rsidR="009B697A">
        <w:rPr>
          <w:noProof/>
        </w:rPr>
        <w:t xml:space="preserve"> </w:t>
      </w:r>
      <w:r w:rsidR="009B697A" w:rsidRPr="009B697A">
        <w:rPr>
          <w:noProof/>
          <w:lang w:val="en-IE"/>
        </w:rPr>
        <w:t xml:space="preserve">If the provisions of this Directive conflict with a provision of another Union legislative act pursuing the same objectives and providing for more extensive or more specific obligations, the provisions of the other Union legislative act </w:t>
      </w:r>
      <w:r w:rsidR="00D020A0">
        <w:rPr>
          <w:noProof/>
          <w:lang w:val="en-IE"/>
        </w:rPr>
        <w:t>should</w:t>
      </w:r>
      <w:r w:rsidR="009B697A" w:rsidRPr="009B697A">
        <w:rPr>
          <w:noProof/>
          <w:lang w:val="en-IE"/>
        </w:rPr>
        <w:t xml:space="preserve"> prevail to the extent of the conflict and shall apply to those specific obligations</w:t>
      </w:r>
      <w:r w:rsidR="009B697A">
        <w:rPr>
          <w:noProof/>
          <w:lang w:val="en-IE"/>
        </w:rPr>
        <w:t>.</w:t>
      </w:r>
      <w:r w:rsidR="00ED3016">
        <w:rPr>
          <w:noProof/>
        </w:rPr>
        <w:t xml:space="preserve"> </w:t>
      </w:r>
    </w:p>
    <w:p w14:paraId="79829076" w14:textId="5F47F688" w:rsidR="003F2FA2" w:rsidRPr="00C6766B" w:rsidRDefault="00822875" w:rsidP="00822875">
      <w:pPr>
        <w:pStyle w:val="ManualConsidrant"/>
        <w:rPr>
          <w:noProof/>
        </w:rPr>
      </w:pPr>
      <w:r w:rsidRPr="00822875">
        <w:t>(70)</w:t>
      </w:r>
      <w:r w:rsidRPr="00822875">
        <w:tab/>
      </w:r>
      <w:r w:rsidR="003F2FA2">
        <w:rPr>
          <w:noProof/>
        </w:rPr>
        <w:t>The Commission</w:t>
      </w:r>
      <w:r w:rsidR="0075654B">
        <w:rPr>
          <w:noProof/>
        </w:rPr>
        <w:t xml:space="preserve"> </w:t>
      </w:r>
      <w:r w:rsidR="00D80F94">
        <w:rPr>
          <w:noProof/>
        </w:rPr>
        <w:t>should</w:t>
      </w:r>
      <w:r w:rsidR="0075654B" w:rsidRPr="0075654B">
        <w:rPr>
          <w:noProof/>
        </w:rPr>
        <w:t xml:space="preserve"> assess</w:t>
      </w:r>
      <w:r w:rsidR="00D80F94">
        <w:rPr>
          <w:noProof/>
        </w:rPr>
        <w:t xml:space="preserve"> and report</w:t>
      </w:r>
      <w:r w:rsidR="0075654B" w:rsidRPr="0075654B">
        <w:rPr>
          <w:noProof/>
        </w:rPr>
        <w:t xml:space="preserve"> whether new sectors should be added to the list </w:t>
      </w:r>
      <w:r w:rsidR="009963C6">
        <w:rPr>
          <w:noProof/>
        </w:rPr>
        <w:t xml:space="preserve">of </w:t>
      </w:r>
      <w:r w:rsidR="003E1CAA">
        <w:rPr>
          <w:noProof/>
        </w:rPr>
        <w:t xml:space="preserve">high-impact </w:t>
      </w:r>
      <w:r w:rsidR="009963C6">
        <w:rPr>
          <w:noProof/>
        </w:rPr>
        <w:t>sectors</w:t>
      </w:r>
      <w:r w:rsidR="003E1CAA">
        <w:rPr>
          <w:noProof/>
        </w:rPr>
        <w:t xml:space="preserve"> covered by this Directive</w:t>
      </w:r>
      <w:r w:rsidR="00084F6F">
        <w:rPr>
          <w:noProof/>
        </w:rPr>
        <w:t>,</w:t>
      </w:r>
      <w:r w:rsidR="0075654B">
        <w:rPr>
          <w:noProof/>
        </w:rPr>
        <w:t xml:space="preserve"> </w:t>
      </w:r>
      <w:r w:rsidR="00F04261" w:rsidRPr="00F04261">
        <w:rPr>
          <w:noProof/>
        </w:rPr>
        <w:t>in order to align it to guidance from the Organisation for Economic Cooperation and Development</w:t>
      </w:r>
      <w:r w:rsidR="00F04261">
        <w:rPr>
          <w:noProof/>
        </w:rPr>
        <w:t xml:space="preserve"> or </w:t>
      </w:r>
      <w:r w:rsidR="0075654B" w:rsidRPr="0075654B">
        <w:rPr>
          <w:noProof/>
        </w:rPr>
        <w:t>in light of clear evidence on labour exploitation, human rights violations or newly emerging environmental threats</w:t>
      </w:r>
      <w:r w:rsidR="00F04261" w:rsidRPr="00C6766B">
        <w:rPr>
          <w:noProof/>
        </w:rPr>
        <w:t>,</w:t>
      </w:r>
      <w:r w:rsidR="0075654B" w:rsidRPr="00C6766B">
        <w:rPr>
          <w:noProof/>
        </w:rPr>
        <w:t xml:space="preserve"> </w:t>
      </w:r>
      <w:r w:rsidR="00CB1009" w:rsidRPr="00C6766B">
        <w:rPr>
          <w:noProof/>
        </w:rPr>
        <w:t xml:space="preserve">whether the </w:t>
      </w:r>
      <w:r w:rsidR="003D72CC" w:rsidRPr="00C6766B">
        <w:rPr>
          <w:noProof/>
        </w:rPr>
        <w:t>list of relevant international conventions referred to in this Directive</w:t>
      </w:r>
      <w:r w:rsidR="001F39FA" w:rsidRPr="00C6766B">
        <w:rPr>
          <w:noProof/>
        </w:rPr>
        <w:t xml:space="preserve"> </w:t>
      </w:r>
      <w:r w:rsidR="00CB1009" w:rsidRPr="00C6766B">
        <w:rPr>
          <w:noProof/>
        </w:rPr>
        <w:t>should be amended</w:t>
      </w:r>
      <w:r w:rsidR="001F1F72" w:rsidRPr="00C6766B">
        <w:rPr>
          <w:noProof/>
        </w:rPr>
        <w:t>, in particular in the light of international developments</w:t>
      </w:r>
      <w:r w:rsidR="00353700" w:rsidRPr="00C6766B">
        <w:rPr>
          <w:noProof/>
        </w:rPr>
        <w:t xml:space="preserve">, or whether the </w:t>
      </w:r>
      <w:r w:rsidR="00624809" w:rsidRPr="00C6766B">
        <w:rPr>
          <w:noProof/>
        </w:rPr>
        <w:t>provisions on due diligence under</w:t>
      </w:r>
      <w:r w:rsidR="00353700" w:rsidRPr="00C6766B">
        <w:rPr>
          <w:noProof/>
        </w:rPr>
        <w:t xml:space="preserve"> </w:t>
      </w:r>
      <w:r w:rsidR="003672BD" w:rsidRPr="00C6766B">
        <w:rPr>
          <w:noProof/>
        </w:rPr>
        <w:t xml:space="preserve">this </w:t>
      </w:r>
      <w:r w:rsidR="00353700" w:rsidRPr="00C6766B">
        <w:rPr>
          <w:noProof/>
        </w:rPr>
        <w:t>Directive should be extended to adverse climate impacts.</w:t>
      </w:r>
    </w:p>
    <w:p w14:paraId="20ECFEB2" w14:textId="4644FA6D" w:rsidR="000037A9" w:rsidRPr="00327719" w:rsidDel="000037A9" w:rsidRDefault="00822875" w:rsidP="00822875">
      <w:pPr>
        <w:pStyle w:val="ManualConsidrant"/>
        <w:rPr>
          <w:noProof/>
        </w:rPr>
      </w:pPr>
      <w:r w:rsidRPr="00822875">
        <w:t>(71)</w:t>
      </w:r>
      <w:r w:rsidRPr="00822875">
        <w:tab/>
      </w:r>
      <w:r w:rsidR="00C619AA" w:rsidRPr="00C6766B">
        <w:rPr>
          <w:noProof/>
        </w:rPr>
        <w:t>T</w:t>
      </w:r>
      <w:r w:rsidR="00BE512C" w:rsidRPr="00C6766B">
        <w:rPr>
          <w:noProof/>
        </w:rPr>
        <w:t>he objective of this Directive</w:t>
      </w:r>
      <w:r w:rsidR="00BE512C">
        <w:rPr>
          <w:noProof/>
        </w:rPr>
        <w:t xml:space="preserve">, namely </w:t>
      </w:r>
      <w:r w:rsidR="004D0F07" w:rsidRPr="004D0F07">
        <w:rPr>
          <w:noProof/>
        </w:rPr>
        <w:t>better exploit</w:t>
      </w:r>
      <w:r w:rsidR="004D0F07">
        <w:rPr>
          <w:noProof/>
        </w:rPr>
        <w:t>ing</w:t>
      </w:r>
      <w:r w:rsidR="004D0F07" w:rsidRPr="004D0F07">
        <w:rPr>
          <w:noProof/>
        </w:rPr>
        <w:t xml:space="preserve"> the potential of the single market to contribute to the transition to a sustainable economy and </w:t>
      </w:r>
      <w:r w:rsidR="00BE512C" w:rsidRPr="002A6A3C">
        <w:rPr>
          <w:noProof/>
        </w:rPr>
        <w:t xml:space="preserve">contributing to sustainable development through the prevention and </w:t>
      </w:r>
      <w:r w:rsidR="00BE512C">
        <w:rPr>
          <w:noProof/>
        </w:rPr>
        <w:t>mitigation</w:t>
      </w:r>
      <w:r w:rsidR="00BE512C" w:rsidRPr="002A6A3C">
        <w:rPr>
          <w:noProof/>
        </w:rPr>
        <w:t xml:space="preserve"> of potential or actual human rights and environmental </w:t>
      </w:r>
      <w:r w:rsidR="00B45B8A" w:rsidRPr="002A6A3C">
        <w:rPr>
          <w:noProof/>
        </w:rPr>
        <w:t xml:space="preserve">adverse </w:t>
      </w:r>
      <w:r w:rsidR="00BE512C" w:rsidRPr="002A6A3C">
        <w:rPr>
          <w:noProof/>
        </w:rPr>
        <w:t>impacts</w:t>
      </w:r>
      <w:r w:rsidR="00BE512C">
        <w:rPr>
          <w:noProof/>
        </w:rPr>
        <w:t xml:space="preserve"> in companies’ value chains, cannot be sufficiently achieved by the Member States</w:t>
      </w:r>
      <w:r w:rsidR="00923A7B">
        <w:rPr>
          <w:noProof/>
        </w:rPr>
        <w:t xml:space="preserve"> acting </w:t>
      </w:r>
      <w:r w:rsidR="00C619AA">
        <w:rPr>
          <w:noProof/>
        </w:rPr>
        <w:t>individually</w:t>
      </w:r>
      <w:r w:rsidR="00923A7B">
        <w:rPr>
          <w:noProof/>
        </w:rPr>
        <w:t xml:space="preserve"> or in an uncoordinated manner</w:t>
      </w:r>
      <w:r w:rsidR="00BE512C">
        <w:rPr>
          <w:noProof/>
        </w:rPr>
        <w:t>, but can rather, by reason of the scale and effects of the actions,</w:t>
      </w:r>
      <w:r w:rsidR="00FB2865">
        <w:rPr>
          <w:noProof/>
        </w:rPr>
        <w:t xml:space="preserve"> </w:t>
      </w:r>
      <w:r w:rsidR="00BE512C">
        <w:rPr>
          <w:noProof/>
        </w:rPr>
        <w:t>be better achieved at Union level</w:t>
      </w:r>
      <w:r w:rsidR="00C619AA">
        <w:rPr>
          <w:noProof/>
        </w:rPr>
        <w:t xml:space="preserve">. </w:t>
      </w:r>
      <w:r w:rsidR="00D56D7C">
        <w:rPr>
          <w:noProof/>
        </w:rPr>
        <w:t xml:space="preserve">In </w:t>
      </w:r>
      <w:r w:rsidR="00FB2865">
        <w:rPr>
          <w:noProof/>
        </w:rPr>
        <w:t>particular</w:t>
      </w:r>
      <w:r w:rsidR="00D56D7C">
        <w:rPr>
          <w:noProof/>
        </w:rPr>
        <w:t>,</w:t>
      </w:r>
      <w:r w:rsidR="00FB2865">
        <w:rPr>
          <w:noProof/>
        </w:rPr>
        <w:t xml:space="preserve"> addressed problems and their causes are of a </w:t>
      </w:r>
      <w:r w:rsidR="00D56D7C">
        <w:rPr>
          <w:noProof/>
        </w:rPr>
        <w:t>transnational</w:t>
      </w:r>
      <w:r w:rsidR="00FB2865">
        <w:rPr>
          <w:noProof/>
        </w:rPr>
        <w:t xml:space="preserve"> dimension</w:t>
      </w:r>
      <w:r w:rsidR="00D56D7C">
        <w:rPr>
          <w:noProof/>
        </w:rPr>
        <w:t>,</w:t>
      </w:r>
      <w:r w:rsidR="00D56D7C" w:rsidRPr="00D56D7C">
        <w:rPr>
          <w:noProof/>
        </w:rPr>
        <w:t xml:space="preserve"> </w:t>
      </w:r>
      <w:r w:rsidR="00D56D7C">
        <w:rPr>
          <w:noProof/>
        </w:rPr>
        <w:t xml:space="preserve">as many companies are operating Union wide or globally and value chains expand to other Member States </w:t>
      </w:r>
      <w:r w:rsidR="00FB2865">
        <w:rPr>
          <w:noProof/>
        </w:rPr>
        <w:t xml:space="preserve">and </w:t>
      </w:r>
      <w:r w:rsidR="00D56D7C">
        <w:rPr>
          <w:noProof/>
        </w:rPr>
        <w:t xml:space="preserve">to third countries. Moreover, </w:t>
      </w:r>
      <w:r w:rsidR="00FB2865">
        <w:rPr>
          <w:noProof/>
        </w:rPr>
        <w:t xml:space="preserve">individual Member </w:t>
      </w:r>
      <w:r w:rsidR="00D56D7C" w:rsidRPr="00D56D7C">
        <w:rPr>
          <w:noProof/>
        </w:rPr>
        <w:t>States</w:t>
      </w:r>
      <w:r w:rsidR="00D56D7C">
        <w:rPr>
          <w:noProof/>
        </w:rPr>
        <w:t>’</w:t>
      </w:r>
      <w:r w:rsidR="00D56D7C" w:rsidRPr="00D56D7C">
        <w:rPr>
          <w:noProof/>
        </w:rPr>
        <w:t xml:space="preserve"> </w:t>
      </w:r>
      <w:r w:rsidR="00FB2865">
        <w:rPr>
          <w:noProof/>
        </w:rPr>
        <w:t xml:space="preserve">measures risk being ineffective and </w:t>
      </w:r>
      <w:r w:rsidR="00D56D7C">
        <w:rPr>
          <w:noProof/>
        </w:rPr>
        <w:t>lead</w:t>
      </w:r>
      <w:r w:rsidR="00FB2865">
        <w:rPr>
          <w:noProof/>
        </w:rPr>
        <w:t xml:space="preserve"> to fragmentation of the internal market</w:t>
      </w:r>
      <w:r w:rsidR="00D56D7C">
        <w:rPr>
          <w:noProof/>
        </w:rPr>
        <w:t>. Therefore,</w:t>
      </w:r>
      <w:r w:rsidR="00BE512C">
        <w:rPr>
          <w:noProof/>
        </w:rPr>
        <w:t xml:space="preserve"> the Union may adopt measures, in accordance with the principle of subsidiarity as set out in Article</w:t>
      </w:r>
      <w:r w:rsidR="00A74CB4">
        <w:rPr>
          <w:noProof/>
        </w:rPr>
        <w:t> </w:t>
      </w:r>
      <w:r w:rsidR="00BE512C">
        <w:rPr>
          <w:noProof/>
        </w:rPr>
        <w:t xml:space="preserve">5 </w:t>
      </w:r>
      <w:r w:rsidR="008E5935">
        <w:rPr>
          <w:noProof/>
        </w:rPr>
        <w:t>TEU</w:t>
      </w:r>
      <w:r w:rsidR="00BE512C">
        <w:rPr>
          <w:noProof/>
        </w:rPr>
        <w:t>. In accordance with the principle of proportionality, as set out in that Article, this Directive does not go beyond what is necessary in order to achieve that objective.</w:t>
      </w:r>
    </w:p>
    <w:p w14:paraId="3EF3C802" w14:textId="77777777" w:rsidR="00022B65" w:rsidRDefault="4DE26774">
      <w:pPr>
        <w:pStyle w:val="Formuledadoption"/>
        <w:spacing w:before="720" w:after="720"/>
        <w:rPr>
          <w:noProof/>
        </w:rPr>
      </w:pPr>
      <w:r>
        <w:rPr>
          <w:noProof/>
        </w:rPr>
        <w:t>HAVE ADOPTED THIS DIRECTIVE:</w:t>
      </w:r>
    </w:p>
    <w:p w14:paraId="294CCA4C" w14:textId="77777777" w:rsidR="00343D24" w:rsidRPr="00021ADA" w:rsidRDefault="00343D24" w:rsidP="00343D24">
      <w:pPr>
        <w:pStyle w:val="Titrearticle"/>
        <w:rPr>
          <w:noProof/>
        </w:rPr>
      </w:pPr>
      <w:r w:rsidRPr="00021ADA">
        <w:rPr>
          <w:noProof/>
        </w:rPr>
        <w:t>Article 1</w:t>
      </w:r>
    </w:p>
    <w:p w14:paraId="01F989B9" w14:textId="4E09BE62" w:rsidR="00343D24" w:rsidRPr="00021ADA" w:rsidRDefault="00343D24" w:rsidP="00343D24">
      <w:pPr>
        <w:pStyle w:val="Articletitle"/>
        <w:rPr>
          <w:noProof/>
          <w:lang w:val="en-US"/>
        </w:rPr>
      </w:pPr>
      <w:r w:rsidRPr="00021ADA">
        <w:rPr>
          <w:noProof/>
          <w:lang w:val="en-US"/>
        </w:rPr>
        <w:t>Subject matter</w:t>
      </w:r>
    </w:p>
    <w:p w14:paraId="5D2535F4" w14:textId="1333D37C" w:rsidR="00343D24" w:rsidRPr="00CB61A3" w:rsidRDefault="00822875" w:rsidP="00822875">
      <w:pPr>
        <w:pStyle w:val="ManualNumPar1"/>
        <w:rPr>
          <w:noProof/>
        </w:rPr>
      </w:pPr>
      <w:r w:rsidRPr="00822875">
        <w:t>1.</w:t>
      </w:r>
      <w:r w:rsidRPr="00822875">
        <w:tab/>
      </w:r>
      <w:r w:rsidR="00343D24" w:rsidRPr="00CB61A3">
        <w:rPr>
          <w:noProof/>
        </w:rPr>
        <w:t xml:space="preserve">This Directive lays down </w:t>
      </w:r>
      <w:r w:rsidR="00343D24">
        <w:rPr>
          <w:noProof/>
        </w:rPr>
        <w:t xml:space="preserve">rules </w:t>
      </w:r>
    </w:p>
    <w:p w14:paraId="7793B0E0" w14:textId="177F8C3E" w:rsidR="00343D24" w:rsidRDefault="00822875" w:rsidP="00822875">
      <w:pPr>
        <w:pStyle w:val="Point1"/>
        <w:rPr>
          <w:noProof/>
        </w:rPr>
      </w:pPr>
      <w:r w:rsidRPr="00822875">
        <w:t>(a)</w:t>
      </w:r>
      <w:r w:rsidRPr="00822875">
        <w:tab/>
      </w:r>
      <w:r w:rsidR="00343D24">
        <w:rPr>
          <w:noProof/>
        </w:rPr>
        <w:t xml:space="preserve">on obligations </w:t>
      </w:r>
      <w:r w:rsidR="00036F6E">
        <w:rPr>
          <w:noProof/>
        </w:rPr>
        <w:t>for</w:t>
      </w:r>
      <w:r w:rsidR="00343D24">
        <w:rPr>
          <w:noProof/>
        </w:rPr>
        <w:t xml:space="preserve"> companies </w:t>
      </w:r>
      <w:r w:rsidR="00343D24" w:rsidRPr="00040BB8">
        <w:rPr>
          <w:noProof/>
        </w:rPr>
        <w:t xml:space="preserve">regarding </w:t>
      </w:r>
      <w:r w:rsidR="00343D24">
        <w:rPr>
          <w:noProof/>
        </w:rPr>
        <w:t xml:space="preserve">actual and potential human rights </w:t>
      </w:r>
      <w:r w:rsidR="00317771">
        <w:rPr>
          <w:noProof/>
        </w:rPr>
        <w:t>adverse impacts</w:t>
      </w:r>
      <w:r w:rsidR="00343D24">
        <w:rPr>
          <w:noProof/>
        </w:rPr>
        <w:t xml:space="preserve"> and environmental adverse impacts, with respect to </w:t>
      </w:r>
      <w:r w:rsidR="00343D24" w:rsidRPr="00040BB8">
        <w:rPr>
          <w:noProof/>
        </w:rPr>
        <w:t xml:space="preserve">their own operations, </w:t>
      </w:r>
      <w:r w:rsidR="00343D24">
        <w:rPr>
          <w:noProof/>
        </w:rPr>
        <w:t xml:space="preserve">the operations of their </w:t>
      </w:r>
      <w:r w:rsidR="00343D24" w:rsidRPr="00040BB8">
        <w:rPr>
          <w:noProof/>
        </w:rPr>
        <w:t>subsidiaries</w:t>
      </w:r>
      <w:r w:rsidR="00343D24">
        <w:rPr>
          <w:noProof/>
        </w:rPr>
        <w:t>, and the value chain operations carried out by</w:t>
      </w:r>
      <w:r w:rsidR="00343D24" w:rsidDel="00F011AE">
        <w:rPr>
          <w:noProof/>
        </w:rPr>
        <w:t xml:space="preserve"> </w:t>
      </w:r>
      <w:r w:rsidR="00036F6E">
        <w:rPr>
          <w:noProof/>
        </w:rPr>
        <w:t xml:space="preserve">entities with whom the company has an </w:t>
      </w:r>
      <w:r w:rsidR="00343D24">
        <w:rPr>
          <w:noProof/>
        </w:rPr>
        <w:t xml:space="preserve">established business relationship and </w:t>
      </w:r>
    </w:p>
    <w:p w14:paraId="77F56D0B" w14:textId="01077E29" w:rsidR="00343D24" w:rsidRDefault="00822875" w:rsidP="00822875">
      <w:pPr>
        <w:pStyle w:val="Point1"/>
        <w:rPr>
          <w:noProof/>
        </w:rPr>
      </w:pPr>
      <w:r w:rsidRPr="00822875">
        <w:t>(b)</w:t>
      </w:r>
      <w:r w:rsidRPr="00822875">
        <w:tab/>
      </w:r>
      <w:r w:rsidR="00343D24">
        <w:rPr>
          <w:noProof/>
        </w:rPr>
        <w:t xml:space="preserve">on liability for violations of the obligations mentioned above. </w:t>
      </w:r>
    </w:p>
    <w:p w14:paraId="1D653FF3" w14:textId="77777777" w:rsidR="00343D24" w:rsidRDefault="00343D24" w:rsidP="00021ADA">
      <w:pPr>
        <w:pStyle w:val="Text1"/>
        <w:rPr>
          <w:noProof/>
        </w:rPr>
      </w:pPr>
      <w:r>
        <w:rPr>
          <w:noProof/>
        </w:rPr>
        <w:t>The nature of business relationships as ‘established’ shall</w:t>
      </w:r>
      <w:r w:rsidRPr="002C0859">
        <w:rPr>
          <w:noProof/>
        </w:rPr>
        <w:t xml:space="preserve"> be reassessed</w:t>
      </w:r>
      <w:r>
        <w:rPr>
          <w:noProof/>
        </w:rPr>
        <w:t xml:space="preserve"> periodically, and at least</w:t>
      </w:r>
      <w:r w:rsidRPr="002C0859">
        <w:rPr>
          <w:noProof/>
        </w:rPr>
        <w:t xml:space="preserve"> every 12 months</w:t>
      </w:r>
      <w:r>
        <w:rPr>
          <w:noProof/>
        </w:rPr>
        <w:t>.</w:t>
      </w:r>
    </w:p>
    <w:p w14:paraId="505317FB" w14:textId="6220025C" w:rsidR="00B50352" w:rsidRDefault="00822875" w:rsidP="00822875">
      <w:pPr>
        <w:pStyle w:val="ManualNumPar1"/>
        <w:rPr>
          <w:noProof/>
        </w:rPr>
      </w:pPr>
      <w:r w:rsidRPr="00822875">
        <w:t>2.</w:t>
      </w:r>
      <w:r w:rsidRPr="00822875">
        <w:tab/>
      </w:r>
      <w:r w:rsidR="00343D24">
        <w:rPr>
          <w:noProof/>
        </w:rPr>
        <w:t>T</w:t>
      </w:r>
      <w:r w:rsidR="00343D24" w:rsidRPr="00DA74DD" w:rsidDel="000037A9">
        <w:rPr>
          <w:noProof/>
        </w:rPr>
        <w:t xml:space="preserve">his Directive shall not constitute grounds for </w:t>
      </w:r>
      <w:r w:rsidR="00343D24" w:rsidDel="000037A9">
        <w:rPr>
          <w:noProof/>
        </w:rPr>
        <w:t>reducing the level of</w:t>
      </w:r>
      <w:r w:rsidR="00343D24" w:rsidRPr="00DA74DD" w:rsidDel="000037A9">
        <w:rPr>
          <w:noProof/>
        </w:rPr>
        <w:t xml:space="preserve"> protection of </w:t>
      </w:r>
      <w:r w:rsidR="00343D24" w:rsidDel="000037A9">
        <w:rPr>
          <w:noProof/>
        </w:rPr>
        <w:t>human</w:t>
      </w:r>
      <w:r w:rsidR="00343D24" w:rsidRPr="00DA74DD" w:rsidDel="000037A9">
        <w:rPr>
          <w:noProof/>
        </w:rPr>
        <w:t xml:space="preserve"> rights</w:t>
      </w:r>
      <w:r w:rsidR="00343D24">
        <w:rPr>
          <w:noProof/>
        </w:rPr>
        <w:t xml:space="preserve"> </w:t>
      </w:r>
      <w:r w:rsidR="00343D24" w:rsidRPr="00DA74DD" w:rsidDel="000037A9">
        <w:rPr>
          <w:noProof/>
        </w:rPr>
        <w:t xml:space="preserve">or </w:t>
      </w:r>
      <w:r w:rsidR="00343D24">
        <w:rPr>
          <w:noProof/>
        </w:rPr>
        <w:t xml:space="preserve">of </w:t>
      </w:r>
      <w:r w:rsidR="00343D24" w:rsidDel="000037A9">
        <w:rPr>
          <w:noProof/>
        </w:rPr>
        <w:t xml:space="preserve">protection of the </w:t>
      </w:r>
      <w:r w:rsidR="00343D24" w:rsidRPr="00DA74DD" w:rsidDel="000037A9">
        <w:rPr>
          <w:noProof/>
        </w:rPr>
        <w:t>environment</w:t>
      </w:r>
      <w:r w:rsidR="00343D24">
        <w:rPr>
          <w:noProof/>
        </w:rPr>
        <w:t xml:space="preserve"> </w:t>
      </w:r>
      <w:r w:rsidR="00BD0D4F">
        <w:rPr>
          <w:noProof/>
        </w:rPr>
        <w:t xml:space="preserve">or the protection of the climate </w:t>
      </w:r>
      <w:r w:rsidR="00343D24">
        <w:rPr>
          <w:noProof/>
        </w:rPr>
        <w:t xml:space="preserve">provided </w:t>
      </w:r>
      <w:r w:rsidR="0052562C">
        <w:rPr>
          <w:noProof/>
        </w:rPr>
        <w:t xml:space="preserve">for </w:t>
      </w:r>
      <w:r w:rsidR="00343D24">
        <w:rPr>
          <w:noProof/>
        </w:rPr>
        <w:t>by</w:t>
      </w:r>
      <w:r w:rsidR="00343D24" w:rsidRPr="00DA74DD" w:rsidDel="000037A9">
        <w:rPr>
          <w:noProof/>
        </w:rPr>
        <w:t xml:space="preserve"> the law of Member State</w:t>
      </w:r>
      <w:r w:rsidR="00343D24">
        <w:rPr>
          <w:noProof/>
        </w:rPr>
        <w:t>s</w:t>
      </w:r>
      <w:r w:rsidR="00343D24" w:rsidRPr="00DA74DD" w:rsidDel="000037A9">
        <w:rPr>
          <w:noProof/>
        </w:rPr>
        <w:t xml:space="preserve"> at the time of the adoption of this Directive.</w:t>
      </w:r>
    </w:p>
    <w:p w14:paraId="1ECBD5B2" w14:textId="10FD57DA" w:rsidR="00B50352" w:rsidRPr="00B50352" w:rsidRDefault="00822875" w:rsidP="00822875">
      <w:pPr>
        <w:pStyle w:val="ManualNumPar1"/>
        <w:rPr>
          <w:noProof/>
        </w:rPr>
      </w:pPr>
      <w:r w:rsidRPr="00822875">
        <w:t>3.</w:t>
      </w:r>
      <w:r w:rsidRPr="00822875">
        <w:tab/>
      </w:r>
      <w:r w:rsidR="00BD0D4F" w:rsidRPr="00BD0D4F">
        <w:rPr>
          <w:noProof/>
          <w:lang w:val="en-IE"/>
        </w:rPr>
        <w:t xml:space="preserve">This Directive shall be without prejudice to obligations in the areas of human rights, protection of the environment and climate change under other Union legislative acts. </w:t>
      </w:r>
      <w:r w:rsidR="00C5739A">
        <w:rPr>
          <w:noProof/>
          <w:lang w:val="en-IE"/>
        </w:rPr>
        <w:t>I</w:t>
      </w:r>
      <w:r w:rsidR="00C5739A" w:rsidRPr="00C5739A">
        <w:rPr>
          <w:noProof/>
          <w:lang w:val="en-IE"/>
        </w:rPr>
        <w:t>f</w:t>
      </w:r>
      <w:r w:rsidR="00B50352" w:rsidRPr="00B50352">
        <w:rPr>
          <w:noProof/>
          <w:lang w:val="en-IE"/>
        </w:rPr>
        <w:t xml:space="preserve"> the </w:t>
      </w:r>
      <w:r w:rsidR="00C5739A" w:rsidRPr="00C5739A">
        <w:rPr>
          <w:noProof/>
          <w:lang w:val="en-IE"/>
        </w:rPr>
        <w:t>provisions of this Directive conflict with a provision of another Union legislati</w:t>
      </w:r>
      <w:r w:rsidR="00BD0D4F">
        <w:rPr>
          <w:noProof/>
          <w:lang w:val="en-IE"/>
        </w:rPr>
        <w:t>ve act</w:t>
      </w:r>
      <w:r w:rsidR="00C5739A" w:rsidRPr="00C5739A">
        <w:rPr>
          <w:noProof/>
          <w:lang w:val="en-IE"/>
        </w:rPr>
        <w:t xml:space="preserve"> </w:t>
      </w:r>
      <w:r w:rsidR="00BD0D4F" w:rsidRPr="00BD0D4F">
        <w:rPr>
          <w:noProof/>
          <w:lang w:val="en-IE"/>
        </w:rPr>
        <w:t>pursuing the same objectives and providing for more extensive</w:t>
      </w:r>
      <w:r w:rsidR="00C5739A" w:rsidRPr="00C5739A">
        <w:rPr>
          <w:noProof/>
          <w:lang w:val="en-IE"/>
        </w:rPr>
        <w:t xml:space="preserve"> </w:t>
      </w:r>
      <w:r w:rsidR="00B50352" w:rsidRPr="00B50352">
        <w:rPr>
          <w:noProof/>
          <w:lang w:val="en-IE"/>
        </w:rPr>
        <w:t xml:space="preserve">or more specific </w:t>
      </w:r>
      <w:r w:rsidR="00BD0D4F">
        <w:rPr>
          <w:noProof/>
          <w:lang w:val="en-IE"/>
        </w:rPr>
        <w:t>obligations</w:t>
      </w:r>
      <w:r w:rsidR="00BC024F">
        <w:rPr>
          <w:noProof/>
          <w:lang w:val="en-IE"/>
        </w:rPr>
        <w:t>,</w:t>
      </w:r>
      <w:r w:rsidR="00B50352" w:rsidRPr="00B50352">
        <w:rPr>
          <w:noProof/>
          <w:lang w:val="en-IE"/>
        </w:rPr>
        <w:t xml:space="preserve">  </w:t>
      </w:r>
      <w:r w:rsidR="00BD0D4F">
        <w:rPr>
          <w:noProof/>
          <w:lang w:val="en-IE"/>
        </w:rPr>
        <w:t>the provisions of the other Union legislative act</w:t>
      </w:r>
      <w:r w:rsidR="00C5739A" w:rsidRPr="00C5739A">
        <w:rPr>
          <w:noProof/>
          <w:lang w:val="en-IE"/>
        </w:rPr>
        <w:t xml:space="preserve"> </w:t>
      </w:r>
      <w:r w:rsidR="00BD0D4F">
        <w:rPr>
          <w:noProof/>
          <w:lang w:val="en-IE"/>
        </w:rPr>
        <w:t>shall</w:t>
      </w:r>
      <w:r w:rsidR="00C5739A" w:rsidRPr="00C5739A">
        <w:rPr>
          <w:noProof/>
          <w:lang w:val="en-IE"/>
        </w:rPr>
        <w:t xml:space="preserve"> prevail</w:t>
      </w:r>
      <w:r w:rsidR="00B50352" w:rsidRPr="00B50352">
        <w:rPr>
          <w:noProof/>
          <w:lang w:val="en-IE"/>
        </w:rPr>
        <w:t xml:space="preserve"> to the extent </w:t>
      </w:r>
      <w:r w:rsidR="00BD0D4F">
        <w:rPr>
          <w:noProof/>
          <w:lang w:val="en-IE"/>
        </w:rPr>
        <w:t xml:space="preserve">of the conflict </w:t>
      </w:r>
      <w:r w:rsidR="00BD0D4F" w:rsidRPr="00BD0D4F">
        <w:rPr>
          <w:noProof/>
          <w:lang w:val="en-IE"/>
        </w:rPr>
        <w:t>and shall apply to those specific obligations</w:t>
      </w:r>
      <w:r w:rsidR="00B50352" w:rsidRPr="00B50352">
        <w:rPr>
          <w:noProof/>
          <w:lang w:val="en-IE"/>
        </w:rPr>
        <w:t>.</w:t>
      </w:r>
    </w:p>
    <w:p w14:paraId="0CD1DB85" w14:textId="77777777" w:rsidR="00343D24" w:rsidRPr="005F0117" w:rsidRDefault="00343D24" w:rsidP="00343D24">
      <w:pPr>
        <w:pStyle w:val="Titrearticle"/>
        <w:rPr>
          <w:noProof/>
        </w:rPr>
      </w:pPr>
      <w:r>
        <w:rPr>
          <w:noProof/>
        </w:rPr>
        <w:t>Article 2</w:t>
      </w:r>
    </w:p>
    <w:p w14:paraId="69DF263A" w14:textId="431BB6D4" w:rsidR="00343D24" w:rsidRPr="001E1ABF" w:rsidRDefault="00343D24" w:rsidP="00343D24">
      <w:pPr>
        <w:pStyle w:val="Articletitle"/>
        <w:rPr>
          <w:noProof/>
        </w:rPr>
      </w:pPr>
      <w:r w:rsidRPr="005F0117">
        <w:rPr>
          <w:noProof/>
          <w:lang w:val="en-US"/>
        </w:rPr>
        <w:t>Scope</w:t>
      </w:r>
    </w:p>
    <w:p w14:paraId="30CA5FA7" w14:textId="498F13F4" w:rsidR="00343D24" w:rsidRDefault="00822875" w:rsidP="00822875">
      <w:pPr>
        <w:pStyle w:val="ManualNumPar1"/>
        <w:rPr>
          <w:noProof/>
        </w:rPr>
      </w:pPr>
      <w:r w:rsidRPr="00822875">
        <w:t>1.</w:t>
      </w:r>
      <w:r w:rsidRPr="00822875">
        <w:tab/>
      </w:r>
      <w:r w:rsidR="00343D24" w:rsidRPr="0092573B">
        <w:rPr>
          <w:noProof/>
        </w:rPr>
        <w:t>This</w:t>
      </w:r>
      <w:r w:rsidR="00343D24" w:rsidRPr="005F0117">
        <w:rPr>
          <w:noProof/>
        </w:rPr>
        <w:t xml:space="preserve"> Directive shall apply to </w:t>
      </w:r>
      <w:r w:rsidR="00343D24">
        <w:rPr>
          <w:noProof/>
        </w:rPr>
        <w:t xml:space="preserve">companies which are formed in accordance with the legislation of a Member State and which </w:t>
      </w:r>
      <w:r w:rsidR="00343D24" w:rsidRPr="0024749C">
        <w:rPr>
          <w:noProof/>
        </w:rPr>
        <w:t xml:space="preserve">fulfil one of the following </w:t>
      </w:r>
      <w:r w:rsidR="00343D24">
        <w:rPr>
          <w:noProof/>
        </w:rPr>
        <w:t>conditions:</w:t>
      </w:r>
    </w:p>
    <w:p w14:paraId="5EC468AD" w14:textId="0F123BDC" w:rsidR="00343D24" w:rsidRPr="001E1ABF" w:rsidRDefault="00822875" w:rsidP="00822875">
      <w:pPr>
        <w:pStyle w:val="Point1"/>
        <w:rPr>
          <w:noProof/>
        </w:rPr>
      </w:pPr>
      <w:r w:rsidRPr="00822875">
        <w:t>(a)</w:t>
      </w:r>
      <w:r w:rsidRPr="00822875">
        <w:tab/>
      </w:r>
      <w:r w:rsidR="00343D24" w:rsidRPr="001E1ABF">
        <w:rPr>
          <w:noProof/>
        </w:rPr>
        <w:t xml:space="preserve">the company had more than 500 employees on average and </w:t>
      </w:r>
      <w:r w:rsidR="00343D24">
        <w:rPr>
          <w:noProof/>
        </w:rPr>
        <w:t>had</w:t>
      </w:r>
      <w:r w:rsidR="00343D24" w:rsidRPr="001E1ABF">
        <w:rPr>
          <w:noProof/>
        </w:rPr>
        <w:t xml:space="preserve"> a net </w:t>
      </w:r>
      <w:r w:rsidR="00802236">
        <w:rPr>
          <w:noProof/>
        </w:rPr>
        <w:t xml:space="preserve">worldwide </w:t>
      </w:r>
      <w:r w:rsidR="00343D24" w:rsidRPr="001E1ABF">
        <w:rPr>
          <w:noProof/>
        </w:rPr>
        <w:t xml:space="preserve">turnover of more than EUR 150 million in the last financial year for which annual financial statements have been prepared; </w:t>
      </w:r>
    </w:p>
    <w:p w14:paraId="2FF09AFA" w14:textId="3366F002" w:rsidR="00343D24" w:rsidRPr="001E1ABF" w:rsidRDefault="00822875" w:rsidP="00822875">
      <w:pPr>
        <w:pStyle w:val="Point1"/>
        <w:rPr>
          <w:noProof/>
        </w:rPr>
      </w:pPr>
      <w:r w:rsidRPr="00822875">
        <w:t>(b)</w:t>
      </w:r>
      <w:r w:rsidRPr="00822875">
        <w:tab/>
      </w:r>
      <w:r w:rsidR="00343D24" w:rsidRPr="001E1ABF">
        <w:rPr>
          <w:noProof/>
        </w:rPr>
        <w:t xml:space="preserve">the company </w:t>
      </w:r>
      <w:r w:rsidR="00343D24" w:rsidRPr="009277B3">
        <w:rPr>
          <w:noProof/>
        </w:rPr>
        <w:t>did not reach the thresholds under point (a</w:t>
      </w:r>
      <w:r w:rsidR="00343D24" w:rsidRPr="005825BE">
        <w:rPr>
          <w:noProof/>
        </w:rPr>
        <w:t>)</w:t>
      </w:r>
      <w:r w:rsidR="00343D24">
        <w:rPr>
          <w:noProof/>
        </w:rPr>
        <w:t>, but</w:t>
      </w:r>
      <w:r w:rsidR="00343D24" w:rsidRPr="005825BE">
        <w:rPr>
          <w:noProof/>
        </w:rPr>
        <w:t xml:space="preserve"> </w:t>
      </w:r>
      <w:r w:rsidR="00343D24" w:rsidRPr="009277B3">
        <w:rPr>
          <w:noProof/>
        </w:rPr>
        <w:t>had</w:t>
      </w:r>
      <w:r w:rsidR="00343D24" w:rsidRPr="001E1ABF">
        <w:rPr>
          <w:noProof/>
        </w:rPr>
        <w:t xml:space="preserve"> more than 250 employees </w:t>
      </w:r>
      <w:r w:rsidR="00343D24">
        <w:rPr>
          <w:noProof/>
        </w:rPr>
        <w:t xml:space="preserve">on average </w:t>
      </w:r>
      <w:r w:rsidR="00343D24" w:rsidRPr="001E1ABF">
        <w:rPr>
          <w:noProof/>
        </w:rPr>
        <w:t xml:space="preserve">and </w:t>
      </w:r>
      <w:r w:rsidR="00343D24">
        <w:rPr>
          <w:noProof/>
        </w:rPr>
        <w:t>had</w:t>
      </w:r>
      <w:r w:rsidR="00343D24" w:rsidRPr="001E1ABF">
        <w:rPr>
          <w:noProof/>
        </w:rPr>
        <w:t xml:space="preserve"> a net </w:t>
      </w:r>
      <w:r w:rsidR="00802236">
        <w:rPr>
          <w:noProof/>
        </w:rPr>
        <w:t xml:space="preserve">worldwide </w:t>
      </w:r>
      <w:r w:rsidR="00343D24" w:rsidRPr="001E1ABF">
        <w:rPr>
          <w:noProof/>
        </w:rPr>
        <w:t>turnover of more than EUR</w:t>
      </w:r>
      <w:r w:rsidR="00343D24">
        <w:rPr>
          <w:noProof/>
        </w:rPr>
        <w:t> </w:t>
      </w:r>
      <w:r w:rsidR="00343D24" w:rsidRPr="001E1ABF">
        <w:rPr>
          <w:noProof/>
        </w:rPr>
        <w:t xml:space="preserve">40 million in the last financial year for which annual financial statements have been prepared, provided that </w:t>
      </w:r>
      <w:r w:rsidR="00343D24" w:rsidRPr="0087552C">
        <w:rPr>
          <w:noProof/>
        </w:rPr>
        <w:t>at least 50%</w:t>
      </w:r>
      <w:r w:rsidR="00343D24" w:rsidRPr="001E1ABF" w:rsidDel="001D51F0">
        <w:rPr>
          <w:noProof/>
        </w:rPr>
        <w:t xml:space="preserve"> </w:t>
      </w:r>
      <w:r w:rsidR="00343D24" w:rsidRPr="001E1ABF">
        <w:rPr>
          <w:noProof/>
        </w:rPr>
        <w:t xml:space="preserve">of </w:t>
      </w:r>
      <w:r w:rsidR="00343D24">
        <w:rPr>
          <w:noProof/>
        </w:rPr>
        <w:t>this</w:t>
      </w:r>
      <w:r w:rsidR="00343D24" w:rsidRPr="001E1ABF" w:rsidDel="00005508">
        <w:rPr>
          <w:noProof/>
        </w:rPr>
        <w:t xml:space="preserve"> </w:t>
      </w:r>
      <w:r w:rsidR="00343D24">
        <w:rPr>
          <w:noProof/>
        </w:rPr>
        <w:t>net turnover</w:t>
      </w:r>
      <w:r w:rsidR="00343D24" w:rsidRPr="001E1ABF">
        <w:rPr>
          <w:noProof/>
        </w:rPr>
        <w:t xml:space="preserve"> </w:t>
      </w:r>
      <w:r w:rsidR="00343D24">
        <w:rPr>
          <w:noProof/>
        </w:rPr>
        <w:t xml:space="preserve">was generated </w:t>
      </w:r>
      <w:r w:rsidR="00343D24" w:rsidRPr="001E1ABF">
        <w:rPr>
          <w:noProof/>
        </w:rPr>
        <w:t xml:space="preserve">in one or more of the following </w:t>
      </w:r>
      <w:r w:rsidR="00343D24" w:rsidRPr="00E551FE">
        <w:rPr>
          <w:noProof/>
        </w:rPr>
        <w:t>sectors</w:t>
      </w:r>
      <w:r w:rsidR="00343D24" w:rsidRPr="001E1ABF">
        <w:rPr>
          <w:noProof/>
        </w:rPr>
        <w:t>:</w:t>
      </w:r>
    </w:p>
    <w:p w14:paraId="3C763267" w14:textId="77777777" w:rsidR="00343D24" w:rsidRPr="00A72A12" w:rsidRDefault="00343D24" w:rsidP="00343D24">
      <w:pPr>
        <w:pStyle w:val="Point2"/>
        <w:rPr>
          <w:noProof/>
        </w:rPr>
      </w:pPr>
      <w:r>
        <w:rPr>
          <w:noProof/>
        </w:rPr>
        <w:t>(i)</w:t>
      </w:r>
      <w:r w:rsidRPr="005C1E6A">
        <w:rPr>
          <w:noProof/>
        </w:rPr>
        <w:tab/>
      </w:r>
      <w:r>
        <w:rPr>
          <w:noProof/>
        </w:rPr>
        <w:t xml:space="preserve">the manufacture of textiles, leather and related products (including footwear), and the wholesale trade of textiles, clothing and </w:t>
      </w:r>
      <w:r w:rsidRPr="00A72A12" w:rsidDel="00405F11">
        <w:rPr>
          <w:noProof/>
        </w:rPr>
        <w:t>footwear</w:t>
      </w:r>
      <w:r w:rsidRPr="00A72A12">
        <w:rPr>
          <w:noProof/>
        </w:rPr>
        <w:t>;</w:t>
      </w:r>
    </w:p>
    <w:p w14:paraId="1D785B22" w14:textId="77777777" w:rsidR="00343D24" w:rsidRPr="005E4CE1" w:rsidRDefault="00343D24" w:rsidP="00343D24">
      <w:pPr>
        <w:pStyle w:val="Point2"/>
        <w:rPr>
          <w:noProof/>
        </w:rPr>
      </w:pPr>
      <w:r>
        <w:rPr>
          <w:noProof/>
        </w:rPr>
        <w:t>(ii)</w:t>
      </w:r>
      <w:r w:rsidRPr="005C1E6A">
        <w:rPr>
          <w:noProof/>
        </w:rPr>
        <w:tab/>
      </w:r>
      <w:r w:rsidRPr="005E4CE1">
        <w:rPr>
          <w:noProof/>
        </w:rPr>
        <w:t xml:space="preserve">agriculture, </w:t>
      </w:r>
      <w:r>
        <w:rPr>
          <w:noProof/>
        </w:rPr>
        <w:t>forestry, fisheries (</w:t>
      </w:r>
      <w:r w:rsidRPr="005E4CE1">
        <w:rPr>
          <w:noProof/>
        </w:rPr>
        <w:t xml:space="preserve">including </w:t>
      </w:r>
      <w:r>
        <w:rPr>
          <w:noProof/>
        </w:rPr>
        <w:t xml:space="preserve">aquaculture), the </w:t>
      </w:r>
      <w:r w:rsidRPr="00A72A12">
        <w:rPr>
          <w:noProof/>
        </w:rPr>
        <w:t>manufactur</w:t>
      </w:r>
      <w:r>
        <w:rPr>
          <w:noProof/>
        </w:rPr>
        <w:t>e</w:t>
      </w:r>
      <w:r w:rsidRPr="005E4CE1">
        <w:rPr>
          <w:noProof/>
        </w:rPr>
        <w:t xml:space="preserve"> of food </w:t>
      </w:r>
      <w:r>
        <w:rPr>
          <w:noProof/>
        </w:rPr>
        <w:t xml:space="preserve">products, and the wholesale trade of agricultural raw materials, live animals, wood, food, </w:t>
      </w:r>
      <w:r w:rsidRPr="005E4CE1">
        <w:rPr>
          <w:noProof/>
        </w:rPr>
        <w:t>and beverages;</w:t>
      </w:r>
    </w:p>
    <w:p w14:paraId="2D4CE64B" w14:textId="77777777" w:rsidR="00343D24" w:rsidRPr="00A72A12" w:rsidRDefault="00343D24" w:rsidP="00343D24">
      <w:pPr>
        <w:pStyle w:val="Point2"/>
        <w:rPr>
          <w:noProof/>
        </w:rPr>
      </w:pPr>
      <w:r>
        <w:rPr>
          <w:noProof/>
        </w:rPr>
        <w:t>(iii)</w:t>
      </w:r>
      <w:r w:rsidRPr="005C1E6A">
        <w:rPr>
          <w:noProof/>
        </w:rPr>
        <w:tab/>
      </w:r>
      <w:r>
        <w:rPr>
          <w:noProof/>
        </w:rPr>
        <w:t xml:space="preserve">the </w:t>
      </w:r>
      <w:r w:rsidRPr="00C827F6">
        <w:rPr>
          <w:noProof/>
        </w:rPr>
        <w:t>extraction</w:t>
      </w:r>
      <w:r w:rsidRPr="00405F11">
        <w:rPr>
          <w:noProof/>
        </w:rPr>
        <w:t xml:space="preserve"> of mineral resources </w:t>
      </w:r>
      <w:r>
        <w:rPr>
          <w:noProof/>
        </w:rPr>
        <w:t xml:space="preserve">regardless from where they are extracted </w:t>
      </w:r>
      <w:r w:rsidRPr="00405F11">
        <w:rPr>
          <w:noProof/>
        </w:rPr>
        <w:t>(</w:t>
      </w:r>
      <w:r w:rsidRPr="009829DE">
        <w:rPr>
          <w:noProof/>
          <w:lang w:val="en-IE"/>
        </w:rPr>
        <w:t xml:space="preserve">including </w:t>
      </w:r>
      <w:r w:rsidRPr="00405F11">
        <w:rPr>
          <w:noProof/>
        </w:rPr>
        <w:t xml:space="preserve">crude petroleum, </w:t>
      </w:r>
      <w:r w:rsidRPr="009829DE">
        <w:rPr>
          <w:noProof/>
          <w:lang w:val="en-IE"/>
        </w:rPr>
        <w:t>natural</w:t>
      </w:r>
      <w:r w:rsidRPr="00405F11">
        <w:rPr>
          <w:noProof/>
        </w:rPr>
        <w:t xml:space="preserve"> gas, coal, lignite, metals and </w:t>
      </w:r>
      <w:r>
        <w:rPr>
          <w:noProof/>
        </w:rPr>
        <w:t xml:space="preserve">metal </w:t>
      </w:r>
      <w:r w:rsidRPr="00405F11">
        <w:rPr>
          <w:noProof/>
        </w:rPr>
        <w:t>ores, as well as all other, non-metallic minerals and quarry products)</w:t>
      </w:r>
      <w:r>
        <w:rPr>
          <w:noProof/>
        </w:rPr>
        <w:t>,</w:t>
      </w:r>
      <w:r w:rsidRPr="00405F11">
        <w:rPr>
          <w:noProof/>
        </w:rPr>
        <w:t xml:space="preserve"> </w:t>
      </w:r>
      <w:r>
        <w:rPr>
          <w:noProof/>
        </w:rPr>
        <w:t xml:space="preserve">the manufacture of basic metal products, other non-metallic mineral products and fabricated metal products (except machinery and equipment), and the wholesale trade of </w:t>
      </w:r>
      <w:r w:rsidRPr="00A72A12">
        <w:rPr>
          <w:noProof/>
        </w:rPr>
        <w:t>mineral</w:t>
      </w:r>
      <w:r>
        <w:rPr>
          <w:noProof/>
        </w:rPr>
        <w:t xml:space="preserve"> resource</w:t>
      </w:r>
      <w:r w:rsidRPr="00A72A12">
        <w:rPr>
          <w:noProof/>
        </w:rPr>
        <w:t>s,</w:t>
      </w:r>
      <w:r w:rsidRPr="00A72A12" w:rsidDel="00405F11">
        <w:rPr>
          <w:noProof/>
        </w:rPr>
        <w:t xml:space="preserve"> </w:t>
      </w:r>
      <w:r w:rsidRPr="009829DE">
        <w:rPr>
          <w:noProof/>
          <w:lang w:val="en-IE"/>
        </w:rPr>
        <w:t xml:space="preserve">basic and intermediate mineral products (including </w:t>
      </w:r>
      <w:r>
        <w:rPr>
          <w:noProof/>
        </w:rPr>
        <w:t>metals and metal ores, construction materials, fuels, chemicals and other intermediate products)</w:t>
      </w:r>
      <w:r w:rsidRPr="00A72A12">
        <w:rPr>
          <w:noProof/>
        </w:rPr>
        <w:t>.</w:t>
      </w:r>
    </w:p>
    <w:p w14:paraId="7A2B94E6" w14:textId="0118E71D" w:rsidR="00343D24" w:rsidRPr="006710F3" w:rsidRDefault="00822875" w:rsidP="00822875">
      <w:pPr>
        <w:pStyle w:val="ManualNumPar1"/>
        <w:rPr>
          <w:noProof/>
        </w:rPr>
      </w:pPr>
      <w:r w:rsidRPr="00822875">
        <w:t>2.</w:t>
      </w:r>
      <w:r w:rsidRPr="00822875">
        <w:tab/>
      </w:r>
      <w:r w:rsidR="00343D24">
        <w:rPr>
          <w:noProof/>
        </w:rPr>
        <w:t xml:space="preserve">This </w:t>
      </w:r>
      <w:r w:rsidR="00343D24" w:rsidRPr="00C97A7F">
        <w:rPr>
          <w:noProof/>
        </w:rPr>
        <w:t xml:space="preserve">Directive shall also apply to companies which are </w:t>
      </w:r>
      <w:r w:rsidR="00343D24">
        <w:rPr>
          <w:noProof/>
        </w:rPr>
        <w:t>formed in accordance</w:t>
      </w:r>
      <w:r w:rsidR="00343D24" w:rsidRPr="00C97A7F">
        <w:rPr>
          <w:noProof/>
        </w:rPr>
        <w:t xml:space="preserve"> </w:t>
      </w:r>
      <w:r w:rsidR="00343D24">
        <w:rPr>
          <w:noProof/>
        </w:rPr>
        <w:t xml:space="preserve">with </w:t>
      </w:r>
      <w:r w:rsidR="00343D24" w:rsidRPr="00C97A7F">
        <w:rPr>
          <w:noProof/>
        </w:rPr>
        <w:t>the l</w:t>
      </w:r>
      <w:r w:rsidR="00343D24">
        <w:rPr>
          <w:noProof/>
        </w:rPr>
        <w:t>egislation</w:t>
      </w:r>
      <w:r w:rsidR="00343D24" w:rsidRPr="00C97A7F">
        <w:rPr>
          <w:noProof/>
        </w:rPr>
        <w:t xml:space="preserve"> o</w:t>
      </w:r>
      <w:r w:rsidR="00343D24">
        <w:rPr>
          <w:noProof/>
        </w:rPr>
        <w:t xml:space="preserve">f </w:t>
      </w:r>
      <w:r w:rsidR="00343D24" w:rsidRPr="00C97A7F">
        <w:rPr>
          <w:noProof/>
        </w:rPr>
        <w:t xml:space="preserve">a </w:t>
      </w:r>
      <w:r w:rsidR="00343D24">
        <w:rPr>
          <w:noProof/>
        </w:rPr>
        <w:t>third country</w:t>
      </w:r>
      <w:r w:rsidR="00CD549D">
        <w:rPr>
          <w:noProof/>
        </w:rPr>
        <w:t xml:space="preserve">, </w:t>
      </w:r>
      <w:r w:rsidR="00343D24" w:rsidRPr="006710F3">
        <w:rPr>
          <w:noProof/>
        </w:rPr>
        <w:t xml:space="preserve">and fulfil one of the following </w:t>
      </w:r>
      <w:r w:rsidR="00343D24">
        <w:rPr>
          <w:noProof/>
        </w:rPr>
        <w:t>conditions</w:t>
      </w:r>
      <w:r w:rsidR="00343D24" w:rsidRPr="006710F3">
        <w:rPr>
          <w:noProof/>
        </w:rPr>
        <w:t>:</w:t>
      </w:r>
    </w:p>
    <w:p w14:paraId="74FC2A98" w14:textId="25066336" w:rsidR="00343D24" w:rsidRDefault="00822875" w:rsidP="00822875">
      <w:pPr>
        <w:pStyle w:val="Point1"/>
        <w:rPr>
          <w:noProof/>
        </w:rPr>
      </w:pPr>
      <w:r w:rsidRPr="00822875">
        <w:t>(a)</w:t>
      </w:r>
      <w:r w:rsidRPr="00822875">
        <w:tab/>
      </w:r>
      <w:r w:rsidR="00343D24" w:rsidRPr="00C97A7F">
        <w:rPr>
          <w:noProof/>
        </w:rPr>
        <w:t xml:space="preserve">generated a net turnover of </w:t>
      </w:r>
      <w:r w:rsidR="00343D24">
        <w:rPr>
          <w:noProof/>
        </w:rPr>
        <w:t xml:space="preserve">more than EUR 150 </w:t>
      </w:r>
      <w:r w:rsidR="00343D24" w:rsidRPr="00C97A7F">
        <w:rPr>
          <w:noProof/>
        </w:rPr>
        <w:t>million</w:t>
      </w:r>
      <w:r w:rsidR="00343D24">
        <w:rPr>
          <w:noProof/>
        </w:rPr>
        <w:t xml:space="preserve"> i</w:t>
      </w:r>
      <w:r w:rsidR="00343D24" w:rsidRPr="00C97A7F">
        <w:rPr>
          <w:noProof/>
        </w:rPr>
        <w:t xml:space="preserve">n the </w:t>
      </w:r>
      <w:r w:rsidR="00343D24">
        <w:rPr>
          <w:noProof/>
        </w:rPr>
        <w:t>Union</w:t>
      </w:r>
      <w:r w:rsidR="00343D24" w:rsidRPr="00C97A7F">
        <w:rPr>
          <w:noProof/>
        </w:rPr>
        <w:t xml:space="preserve"> in the financial</w:t>
      </w:r>
      <w:r w:rsidR="00343D24" w:rsidRPr="00C97A7F" w:rsidDel="006710F3">
        <w:rPr>
          <w:noProof/>
        </w:rPr>
        <w:t xml:space="preserve"> </w:t>
      </w:r>
      <w:r w:rsidR="00343D24" w:rsidRPr="00C97A7F">
        <w:rPr>
          <w:noProof/>
        </w:rPr>
        <w:t>year preceding the last financial year</w:t>
      </w:r>
      <w:r w:rsidR="00343D24">
        <w:rPr>
          <w:noProof/>
        </w:rPr>
        <w:t>;</w:t>
      </w:r>
    </w:p>
    <w:p w14:paraId="08FB10EB" w14:textId="00CF1FDF" w:rsidR="00343D24" w:rsidRDefault="00822875" w:rsidP="00822875">
      <w:pPr>
        <w:pStyle w:val="Point1"/>
        <w:rPr>
          <w:noProof/>
        </w:rPr>
      </w:pPr>
      <w:r w:rsidRPr="00822875">
        <w:t>(b)</w:t>
      </w:r>
      <w:r w:rsidRPr="00822875">
        <w:tab/>
      </w:r>
      <w:r w:rsidR="00343D24" w:rsidRPr="00AC62DB">
        <w:rPr>
          <w:noProof/>
        </w:rPr>
        <w:t xml:space="preserve">generated a net turnover of </w:t>
      </w:r>
      <w:r w:rsidR="00343D24">
        <w:rPr>
          <w:noProof/>
        </w:rPr>
        <w:t>more than</w:t>
      </w:r>
      <w:r w:rsidR="00343D24" w:rsidRPr="00AC62DB">
        <w:rPr>
          <w:noProof/>
        </w:rPr>
        <w:t xml:space="preserve"> EUR </w:t>
      </w:r>
      <w:r w:rsidR="00343D24">
        <w:rPr>
          <w:noProof/>
        </w:rPr>
        <w:t>40 million</w:t>
      </w:r>
      <w:r w:rsidR="00343D24" w:rsidRPr="000E1DD2">
        <w:rPr>
          <w:noProof/>
        </w:rPr>
        <w:t xml:space="preserve"> </w:t>
      </w:r>
      <w:r w:rsidR="00343D24">
        <w:rPr>
          <w:noProof/>
        </w:rPr>
        <w:t xml:space="preserve">but not more than EUR 150 million </w:t>
      </w:r>
      <w:r w:rsidR="00343D24" w:rsidRPr="000E1DD2">
        <w:rPr>
          <w:noProof/>
        </w:rPr>
        <w:t xml:space="preserve">in the </w:t>
      </w:r>
      <w:r w:rsidR="00343D24">
        <w:rPr>
          <w:noProof/>
        </w:rPr>
        <w:t>Union</w:t>
      </w:r>
      <w:r w:rsidR="00343D24" w:rsidRPr="000E1DD2">
        <w:rPr>
          <w:noProof/>
        </w:rPr>
        <w:t xml:space="preserve"> in the financial year preceding the last financial year</w:t>
      </w:r>
      <w:r w:rsidR="00343D24" w:rsidRPr="00524C40">
        <w:rPr>
          <w:noProof/>
        </w:rPr>
        <w:t xml:space="preserve">, </w:t>
      </w:r>
      <w:r w:rsidR="00343D24" w:rsidRPr="000E1DD2">
        <w:rPr>
          <w:noProof/>
        </w:rPr>
        <w:t xml:space="preserve">provided that </w:t>
      </w:r>
      <w:r w:rsidR="00343D24" w:rsidRPr="0087552C">
        <w:rPr>
          <w:noProof/>
        </w:rPr>
        <w:t xml:space="preserve">at least 50% </w:t>
      </w:r>
      <w:r w:rsidR="00343D24" w:rsidRPr="000E1DD2">
        <w:rPr>
          <w:noProof/>
        </w:rPr>
        <w:t xml:space="preserve">of </w:t>
      </w:r>
      <w:r w:rsidR="00343D24" w:rsidRPr="00524C40">
        <w:rPr>
          <w:noProof/>
        </w:rPr>
        <w:t xml:space="preserve">its </w:t>
      </w:r>
      <w:r w:rsidR="00343D24">
        <w:rPr>
          <w:noProof/>
        </w:rPr>
        <w:t>net worldwide turnover was generated</w:t>
      </w:r>
      <w:r w:rsidR="00343D24" w:rsidRPr="005B1115">
        <w:rPr>
          <w:noProof/>
        </w:rPr>
        <w:t xml:space="preserve"> </w:t>
      </w:r>
      <w:r w:rsidR="00343D24" w:rsidRPr="000E1DD2">
        <w:rPr>
          <w:noProof/>
        </w:rPr>
        <w:t xml:space="preserve">in one or more of the </w:t>
      </w:r>
      <w:r w:rsidR="00343D24" w:rsidRPr="00524C40">
        <w:rPr>
          <w:noProof/>
        </w:rPr>
        <w:t>sectors</w:t>
      </w:r>
      <w:r w:rsidR="00343D24" w:rsidRPr="000E1DD2">
        <w:rPr>
          <w:noProof/>
        </w:rPr>
        <w:t xml:space="preserve"> </w:t>
      </w:r>
      <w:r w:rsidR="00343D24">
        <w:rPr>
          <w:noProof/>
        </w:rPr>
        <w:t>listed</w:t>
      </w:r>
      <w:r w:rsidR="00343D24" w:rsidRPr="000E1DD2">
        <w:rPr>
          <w:noProof/>
        </w:rPr>
        <w:t xml:space="preserve"> in </w:t>
      </w:r>
      <w:r w:rsidR="00343D24">
        <w:rPr>
          <w:noProof/>
        </w:rPr>
        <w:t xml:space="preserve">paragraph 1, </w:t>
      </w:r>
      <w:r w:rsidR="00343D24" w:rsidRPr="000E1DD2">
        <w:rPr>
          <w:noProof/>
        </w:rPr>
        <w:t>point (b)</w:t>
      </w:r>
      <w:r w:rsidR="00343D24" w:rsidRPr="00C97A7F">
        <w:rPr>
          <w:noProof/>
        </w:rPr>
        <w:t xml:space="preserve">. </w:t>
      </w:r>
    </w:p>
    <w:p w14:paraId="22C4B90D" w14:textId="0C284AED" w:rsidR="00343D24" w:rsidRPr="00C66028" w:rsidRDefault="00822875" w:rsidP="00822875">
      <w:pPr>
        <w:pStyle w:val="ManualNumPar1"/>
        <w:rPr>
          <w:noProof/>
        </w:rPr>
      </w:pPr>
      <w:r w:rsidRPr="00822875">
        <w:t>3.</w:t>
      </w:r>
      <w:r w:rsidRPr="00822875">
        <w:tab/>
      </w:r>
      <w:r w:rsidR="00343D24" w:rsidRPr="006478ED">
        <w:rPr>
          <w:noProof/>
        </w:rPr>
        <w:t>For the purpose</w:t>
      </w:r>
      <w:r w:rsidR="00343D24">
        <w:rPr>
          <w:noProof/>
        </w:rPr>
        <w:t>s</w:t>
      </w:r>
      <w:r w:rsidR="00343D24" w:rsidRPr="006478ED">
        <w:rPr>
          <w:noProof/>
        </w:rPr>
        <w:t xml:space="preserve"> of paragraph 1, </w:t>
      </w:r>
      <w:r w:rsidR="00343D24" w:rsidRPr="00D2406F">
        <w:rPr>
          <w:noProof/>
        </w:rPr>
        <w:t xml:space="preserve">the number of part-time employees shall be calculated on a full-time equivalent basis. </w:t>
      </w:r>
      <w:r w:rsidR="00343D24">
        <w:rPr>
          <w:noProof/>
        </w:rPr>
        <w:t>T</w:t>
      </w:r>
      <w:r w:rsidR="00343D24" w:rsidRPr="006478ED">
        <w:rPr>
          <w:noProof/>
        </w:rPr>
        <w:t xml:space="preserve">emporary </w:t>
      </w:r>
      <w:r w:rsidR="00343D24">
        <w:rPr>
          <w:noProof/>
        </w:rPr>
        <w:t xml:space="preserve">agency </w:t>
      </w:r>
      <w:r w:rsidR="00343D24" w:rsidRPr="006478ED">
        <w:rPr>
          <w:noProof/>
        </w:rPr>
        <w:t>workers shall be included in the calculation of the number of employees</w:t>
      </w:r>
      <w:r w:rsidR="00343D24" w:rsidRPr="00C66028">
        <w:rPr>
          <w:noProof/>
        </w:rPr>
        <w:t xml:space="preserve"> in the same way as if they were workers employed directly for the same period of time by the </w:t>
      </w:r>
      <w:r w:rsidR="00343D24">
        <w:rPr>
          <w:noProof/>
        </w:rPr>
        <w:t>company</w:t>
      </w:r>
      <w:r w:rsidR="00343D24" w:rsidRPr="00C66028">
        <w:rPr>
          <w:noProof/>
        </w:rPr>
        <w:t>.</w:t>
      </w:r>
    </w:p>
    <w:p w14:paraId="6FFBEB9B" w14:textId="24F5FE44" w:rsidR="00343D24" w:rsidRPr="006478ED" w:rsidRDefault="00822875" w:rsidP="00822875">
      <w:pPr>
        <w:pStyle w:val="ManualNumPar1"/>
        <w:rPr>
          <w:noProof/>
        </w:rPr>
      </w:pPr>
      <w:r w:rsidRPr="00822875">
        <w:t>4.</w:t>
      </w:r>
      <w:r w:rsidRPr="00822875">
        <w:tab/>
      </w:r>
      <w:r w:rsidR="00343D24">
        <w:rPr>
          <w:noProof/>
        </w:rPr>
        <w:t>As regards the companies referred to in paragraph 1, t</w:t>
      </w:r>
      <w:r w:rsidR="00343D24" w:rsidRPr="006478ED">
        <w:rPr>
          <w:noProof/>
        </w:rPr>
        <w:t>he Member State competent to regulate matters covered in this Directive shall be the Member State in which the company has its registered office.</w:t>
      </w:r>
    </w:p>
    <w:p w14:paraId="2E8A88E1" w14:textId="77777777" w:rsidR="00343D24" w:rsidRPr="00A61852" w:rsidRDefault="00343D24" w:rsidP="00343D24">
      <w:pPr>
        <w:pStyle w:val="Titrearticle"/>
        <w:rPr>
          <w:noProof/>
        </w:rPr>
      </w:pPr>
      <w:r>
        <w:rPr>
          <w:noProof/>
        </w:rPr>
        <w:t>Article 3</w:t>
      </w:r>
    </w:p>
    <w:p w14:paraId="13B1E50D" w14:textId="0778CBF2" w:rsidR="00343D24" w:rsidRPr="00A61852" w:rsidRDefault="00343D24" w:rsidP="00343D24">
      <w:pPr>
        <w:pStyle w:val="Articletitle"/>
        <w:rPr>
          <w:noProof/>
        </w:rPr>
      </w:pPr>
      <w:r w:rsidRPr="008A767D">
        <w:rPr>
          <w:noProof/>
        </w:rPr>
        <w:t>Definitions</w:t>
      </w:r>
      <w:r>
        <w:rPr>
          <w:noProof/>
        </w:rPr>
        <w:t xml:space="preserve"> </w:t>
      </w:r>
    </w:p>
    <w:p w14:paraId="2AACD7E0" w14:textId="77777777" w:rsidR="00343D24" w:rsidRDefault="00343D24" w:rsidP="00343D24">
      <w:pPr>
        <w:keepNext/>
        <w:rPr>
          <w:noProof/>
        </w:rPr>
      </w:pPr>
      <w:r w:rsidRPr="00A61852">
        <w:rPr>
          <w:noProof/>
        </w:rPr>
        <w:t xml:space="preserve">For the purpose of this Directive, the </w:t>
      </w:r>
      <w:r w:rsidRPr="00634C62">
        <w:rPr>
          <w:noProof/>
        </w:rPr>
        <w:t>following</w:t>
      </w:r>
      <w:r w:rsidRPr="00A61852">
        <w:rPr>
          <w:noProof/>
        </w:rPr>
        <w:t xml:space="preserve"> definitions shall apply:</w:t>
      </w:r>
    </w:p>
    <w:p w14:paraId="43E27009" w14:textId="46F0F50E" w:rsidR="00343D24" w:rsidRPr="0098045E" w:rsidRDefault="00822875" w:rsidP="00822875">
      <w:pPr>
        <w:pStyle w:val="Point0"/>
        <w:rPr>
          <w:noProof/>
        </w:rPr>
      </w:pPr>
      <w:r w:rsidRPr="00822875">
        <w:t>(a)</w:t>
      </w:r>
      <w:r w:rsidRPr="00822875">
        <w:tab/>
      </w:r>
      <w:r w:rsidR="00343D24" w:rsidRPr="0098045E">
        <w:rPr>
          <w:noProof/>
        </w:rPr>
        <w:t>‘company’ means</w:t>
      </w:r>
      <w:r w:rsidR="00343D24">
        <w:rPr>
          <w:noProof/>
        </w:rPr>
        <w:t xml:space="preserve"> any of the following</w:t>
      </w:r>
      <w:r w:rsidR="00343D24" w:rsidRPr="0098045E">
        <w:rPr>
          <w:noProof/>
        </w:rPr>
        <w:t xml:space="preserve">: </w:t>
      </w:r>
    </w:p>
    <w:p w14:paraId="60F0E3EE" w14:textId="5E4665EC" w:rsidR="00343D24" w:rsidRPr="00634C62" w:rsidRDefault="00343D24" w:rsidP="00343D24">
      <w:pPr>
        <w:pStyle w:val="Point1"/>
        <w:rPr>
          <w:noProof/>
        </w:rPr>
      </w:pPr>
      <w:r>
        <w:rPr>
          <w:noProof/>
        </w:rPr>
        <w:t>(i)</w:t>
      </w:r>
      <w:r>
        <w:rPr>
          <w:noProof/>
        </w:rPr>
        <w:tab/>
      </w:r>
      <w:r w:rsidRPr="00634C62" w:rsidDel="00FB195B">
        <w:rPr>
          <w:noProof/>
        </w:rPr>
        <w:t>a legal</w:t>
      </w:r>
      <w:r>
        <w:rPr>
          <w:noProof/>
        </w:rPr>
        <w:t xml:space="preserve"> person constituted as one of the legal forms</w:t>
      </w:r>
      <w:r w:rsidRPr="00634C62" w:rsidDel="00FB195B">
        <w:rPr>
          <w:noProof/>
        </w:rPr>
        <w:t xml:space="preserve"> </w:t>
      </w:r>
      <w:r w:rsidRPr="00634C62">
        <w:rPr>
          <w:noProof/>
        </w:rPr>
        <w:t>listed in Annex</w:t>
      </w:r>
      <w:r>
        <w:rPr>
          <w:noProof/>
        </w:rPr>
        <w:t> </w:t>
      </w:r>
      <w:r w:rsidRPr="00634C62">
        <w:rPr>
          <w:noProof/>
        </w:rPr>
        <w:t xml:space="preserve">I </w:t>
      </w:r>
      <w:r>
        <w:rPr>
          <w:noProof/>
        </w:rPr>
        <w:t>to</w:t>
      </w:r>
      <w:r w:rsidRPr="00634C62">
        <w:rPr>
          <w:noProof/>
        </w:rPr>
        <w:t xml:space="preserve"> Directive 2013/34/EU of the European Parliament and of the Council</w:t>
      </w:r>
      <w:r>
        <w:rPr>
          <w:rStyle w:val="Allmrkuseviide"/>
          <w:noProof/>
        </w:rPr>
        <w:footnoteReference w:id="111"/>
      </w:r>
      <w:r w:rsidR="000E58EF">
        <w:rPr>
          <w:noProof/>
        </w:rPr>
        <w:t>;</w:t>
      </w:r>
    </w:p>
    <w:p w14:paraId="058D16A9" w14:textId="71306DF0" w:rsidR="00343D24" w:rsidRPr="00545DC9" w:rsidRDefault="00343D24" w:rsidP="00343D24">
      <w:pPr>
        <w:pStyle w:val="Point1"/>
        <w:rPr>
          <w:noProof/>
        </w:rPr>
      </w:pPr>
      <w:r>
        <w:rPr>
          <w:noProof/>
        </w:rPr>
        <w:t>(ii)</w:t>
      </w:r>
      <w:r>
        <w:rPr>
          <w:noProof/>
        </w:rPr>
        <w:tab/>
      </w:r>
      <w:r w:rsidRPr="00545DC9">
        <w:rPr>
          <w:noProof/>
        </w:rPr>
        <w:t xml:space="preserve">a legal person constituted in accordance with the law of a third country in a form comparable to those listed in Annex I </w:t>
      </w:r>
      <w:r>
        <w:rPr>
          <w:noProof/>
        </w:rPr>
        <w:t xml:space="preserve">and II </w:t>
      </w:r>
      <w:r w:rsidRPr="00545DC9">
        <w:rPr>
          <w:noProof/>
        </w:rPr>
        <w:t>of that Directive</w:t>
      </w:r>
      <w:r w:rsidR="000E58EF">
        <w:rPr>
          <w:noProof/>
        </w:rPr>
        <w:t>;</w:t>
      </w:r>
    </w:p>
    <w:p w14:paraId="10AAFD61" w14:textId="7DD5C5F4" w:rsidR="00343D24" w:rsidRDefault="00343D24" w:rsidP="00343D24">
      <w:pPr>
        <w:pStyle w:val="Point1"/>
        <w:rPr>
          <w:noProof/>
        </w:rPr>
      </w:pPr>
      <w:r>
        <w:rPr>
          <w:noProof/>
        </w:rPr>
        <w:t>(iii)</w:t>
      </w:r>
      <w:r>
        <w:rPr>
          <w:noProof/>
        </w:rPr>
        <w:tab/>
        <w:t xml:space="preserve">a legal person constituted as one of </w:t>
      </w:r>
      <w:r w:rsidR="000E58EF">
        <w:rPr>
          <w:noProof/>
        </w:rPr>
        <w:t>the</w:t>
      </w:r>
      <w:r>
        <w:rPr>
          <w:noProof/>
        </w:rPr>
        <w:t xml:space="preserve"> legal forms listed in Annex II to Directive 2013/34/EU composed entirely of undertakings organised in one of the legal forms falling within points (i) and (ii);</w:t>
      </w:r>
    </w:p>
    <w:p w14:paraId="0AC73D9F" w14:textId="77777777" w:rsidR="00343D24" w:rsidRPr="00891A2A" w:rsidRDefault="00343D24" w:rsidP="00343D24">
      <w:pPr>
        <w:pStyle w:val="Point1"/>
        <w:rPr>
          <w:noProof/>
        </w:rPr>
      </w:pPr>
      <w:r>
        <w:rPr>
          <w:noProof/>
        </w:rPr>
        <w:t>(iv)</w:t>
      </w:r>
      <w:r>
        <w:rPr>
          <w:noProof/>
        </w:rPr>
        <w:tab/>
      </w:r>
      <w:r w:rsidR="003975AB">
        <w:rPr>
          <w:noProof/>
        </w:rPr>
        <w:t>a regulated financial undertaking</w:t>
      </w:r>
      <w:r w:rsidRPr="00891A2A">
        <w:rPr>
          <w:noProof/>
        </w:rPr>
        <w:t>, regardless of its legal form, which is</w:t>
      </w:r>
    </w:p>
    <w:p w14:paraId="1893A5E6" w14:textId="77777777" w:rsidR="00343D24" w:rsidRDefault="00DA20CC" w:rsidP="00AE53B6">
      <w:pPr>
        <w:pStyle w:val="Tiret2"/>
        <w:numPr>
          <w:ilvl w:val="0"/>
          <w:numId w:val="30"/>
        </w:numPr>
        <w:rPr>
          <w:noProof/>
        </w:rPr>
      </w:pPr>
      <w:r w:rsidRPr="007A5BE3">
        <w:rPr>
          <w:noProof/>
        </w:rPr>
        <w:t>a credit institution as defined in Article 4(1), point (1), of Regulation (EU) No 575/2013 the European Parliament and of the Council</w:t>
      </w:r>
      <w:r w:rsidRPr="007A5BE3">
        <w:rPr>
          <w:rStyle w:val="Allmrkuseviide"/>
          <w:noProof/>
        </w:rPr>
        <w:footnoteReference w:id="112"/>
      </w:r>
      <w:r w:rsidRPr="007A5BE3">
        <w:rPr>
          <w:noProof/>
        </w:rPr>
        <w:t>;</w:t>
      </w:r>
    </w:p>
    <w:p w14:paraId="6774E0DB" w14:textId="77777777" w:rsidR="00DA20CC" w:rsidRDefault="00DA20CC" w:rsidP="00343D24">
      <w:pPr>
        <w:pStyle w:val="Tiret2"/>
        <w:rPr>
          <w:noProof/>
        </w:rPr>
      </w:pPr>
      <w:r w:rsidRPr="007A5BE3">
        <w:rPr>
          <w:noProof/>
        </w:rPr>
        <w:t>an investment firm as defined in Article 4(1), point (1), of Directive 2014/65/EU the European Parliament and of the Council</w:t>
      </w:r>
      <w:r w:rsidRPr="007A5BE3">
        <w:rPr>
          <w:rStyle w:val="Allmrkuseviide"/>
          <w:noProof/>
        </w:rPr>
        <w:footnoteReference w:id="113"/>
      </w:r>
      <w:r>
        <w:rPr>
          <w:noProof/>
        </w:rPr>
        <w:t>;</w:t>
      </w:r>
    </w:p>
    <w:p w14:paraId="683E8272" w14:textId="505F3A93" w:rsidR="00DA20CC" w:rsidRDefault="00DA20CC" w:rsidP="00343D24">
      <w:pPr>
        <w:pStyle w:val="Tiret2"/>
        <w:rPr>
          <w:noProof/>
        </w:rPr>
      </w:pPr>
      <w:r w:rsidRPr="007A5BE3">
        <w:rPr>
          <w:noProof/>
        </w:rPr>
        <w:t>an alternative investment fund manager (AIFM) as defined in Article 4(1), point (b), of Directive 2011/61/EU of the European Parliament and of the Council (2), including a manager of Euveca under Regulation (EU) No 345/2013 of the European Parliament and of the Council</w:t>
      </w:r>
      <w:r w:rsidRPr="007A5BE3">
        <w:rPr>
          <w:rStyle w:val="Allmrkuseviide"/>
          <w:noProof/>
        </w:rPr>
        <w:footnoteReference w:id="114"/>
      </w:r>
      <w:r w:rsidRPr="007A5BE3">
        <w:rPr>
          <w:noProof/>
        </w:rPr>
        <w:t xml:space="preserve">, a manager of </w:t>
      </w:r>
      <w:r w:rsidR="000E58EF" w:rsidRPr="007A5BE3">
        <w:rPr>
          <w:noProof/>
        </w:rPr>
        <w:t>Eu</w:t>
      </w:r>
      <w:r w:rsidR="000E58EF">
        <w:rPr>
          <w:noProof/>
        </w:rPr>
        <w:t>SEF</w:t>
      </w:r>
      <w:r w:rsidR="000E58EF" w:rsidRPr="007A5BE3">
        <w:rPr>
          <w:noProof/>
        </w:rPr>
        <w:t xml:space="preserve"> </w:t>
      </w:r>
      <w:r w:rsidRPr="007A5BE3">
        <w:rPr>
          <w:noProof/>
        </w:rPr>
        <w:t>under Regulation (EU) No 346/2013 of the European Parliament and of the Council</w:t>
      </w:r>
      <w:r w:rsidRPr="007A5BE3">
        <w:rPr>
          <w:rStyle w:val="Allmrkuseviide"/>
          <w:noProof/>
        </w:rPr>
        <w:footnoteReference w:id="115"/>
      </w:r>
      <w:r w:rsidRPr="007A5BE3">
        <w:rPr>
          <w:noProof/>
        </w:rPr>
        <w:t xml:space="preserve"> and a manager of </w:t>
      </w:r>
      <w:r w:rsidR="000E58EF" w:rsidRPr="007A5BE3">
        <w:rPr>
          <w:noProof/>
        </w:rPr>
        <w:t>E</w:t>
      </w:r>
      <w:r w:rsidR="000E58EF">
        <w:rPr>
          <w:noProof/>
        </w:rPr>
        <w:t>LTIF</w:t>
      </w:r>
      <w:r w:rsidR="000E58EF" w:rsidRPr="007A5BE3">
        <w:rPr>
          <w:noProof/>
        </w:rPr>
        <w:t xml:space="preserve"> </w:t>
      </w:r>
      <w:r w:rsidRPr="007A5BE3">
        <w:rPr>
          <w:noProof/>
        </w:rPr>
        <w:t>under Regulation (EU) 2015/760 of the European Parliament and of the Council</w:t>
      </w:r>
      <w:r w:rsidRPr="007A5BE3">
        <w:rPr>
          <w:rStyle w:val="Allmrkuseviide"/>
          <w:noProof/>
        </w:rPr>
        <w:footnoteReference w:id="116"/>
      </w:r>
      <w:r w:rsidRPr="007A5BE3">
        <w:rPr>
          <w:noProof/>
        </w:rPr>
        <w:t>;</w:t>
      </w:r>
    </w:p>
    <w:p w14:paraId="4E277598" w14:textId="77777777" w:rsidR="00DA20CC" w:rsidRDefault="00DA20CC" w:rsidP="00343D24">
      <w:pPr>
        <w:pStyle w:val="Tiret2"/>
        <w:rPr>
          <w:noProof/>
        </w:rPr>
      </w:pPr>
      <w:r w:rsidRPr="007A5BE3">
        <w:rPr>
          <w:noProof/>
        </w:rPr>
        <w:t>an undertaking for collective investment in transferable securities (UCITS) management company as defined Article 2(1), point (b), of Directive 2009/65/EC of the European Parliament and of the Council</w:t>
      </w:r>
      <w:r w:rsidRPr="007A5BE3">
        <w:rPr>
          <w:rStyle w:val="Allmrkuseviide"/>
          <w:noProof/>
        </w:rPr>
        <w:footnoteReference w:id="117"/>
      </w:r>
      <w:r>
        <w:rPr>
          <w:noProof/>
        </w:rPr>
        <w:t>;</w:t>
      </w:r>
    </w:p>
    <w:p w14:paraId="0A1A2CEF" w14:textId="77777777" w:rsidR="00DA20CC" w:rsidRDefault="00DA20CC" w:rsidP="00343D24">
      <w:pPr>
        <w:pStyle w:val="Tiret2"/>
        <w:rPr>
          <w:noProof/>
        </w:rPr>
      </w:pPr>
      <w:r w:rsidRPr="007A5BE3">
        <w:rPr>
          <w:noProof/>
        </w:rPr>
        <w:t>an insurance undertaking as defined in Article 13, point (1), of Directive 2009/138/EC of the European Parliament and of the Council</w:t>
      </w:r>
      <w:r w:rsidRPr="007A5BE3">
        <w:rPr>
          <w:rStyle w:val="Allmrkuseviide"/>
          <w:noProof/>
          <w:szCs w:val="24"/>
        </w:rPr>
        <w:footnoteReference w:id="118"/>
      </w:r>
      <w:r>
        <w:rPr>
          <w:noProof/>
        </w:rPr>
        <w:t>;</w:t>
      </w:r>
    </w:p>
    <w:p w14:paraId="472D3B0E" w14:textId="77777777" w:rsidR="00DA20CC" w:rsidRDefault="00DA20CC" w:rsidP="00343D24">
      <w:pPr>
        <w:pStyle w:val="Tiret2"/>
        <w:rPr>
          <w:noProof/>
        </w:rPr>
      </w:pPr>
      <w:r w:rsidRPr="007A5BE3">
        <w:rPr>
          <w:noProof/>
        </w:rPr>
        <w:t>a reinsurance undertaking as defined in Article 13, point (4), of Directive 2009/138/EC;</w:t>
      </w:r>
    </w:p>
    <w:p w14:paraId="2D3F5EC8" w14:textId="77777777" w:rsidR="00DA20CC" w:rsidRDefault="00DA20CC" w:rsidP="00343D24">
      <w:pPr>
        <w:pStyle w:val="Tiret2"/>
        <w:rPr>
          <w:noProof/>
        </w:rPr>
      </w:pPr>
      <w:r w:rsidRPr="007A5BE3">
        <w:rPr>
          <w:noProof/>
        </w:rPr>
        <w:t>an institution for occupational retirement provision as defined in Article 1, point (6) of Directive 2016/2341 of the European Parliament and of the Council</w:t>
      </w:r>
      <w:r w:rsidRPr="007A5BE3">
        <w:rPr>
          <w:rStyle w:val="Allmrkuseviide"/>
          <w:noProof/>
          <w:szCs w:val="24"/>
        </w:rPr>
        <w:footnoteReference w:id="119"/>
      </w:r>
      <w:r w:rsidRPr="007A5BE3">
        <w:rPr>
          <w:noProof/>
        </w:rPr>
        <w:t>;</w:t>
      </w:r>
    </w:p>
    <w:p w14:paraId="412A098C" w14:textId="77777777" w:rsidR="00DA20CC" w:rsidRDefault="00DA20CC" w:rsidP="00343D24">
      <w:pPr>
        <w:pStyle w:val="Tiret2"/>
        <w:rPr>
          <w:noProof/>
        </w:rPr>
      </w:pPr>
      <w:r w:rsidRPr="007A5BE3">
        <w:rPr>
          <w:noProof/>
        </w:rPr>
        <w:t>pension institutions operating pension schemes which are considered to be social security schemes covered by Regulation (EC) No 883/2004 of the European Parliament and of the Council</w:t>
      </w:r>
      <w:r w:rsidRPr="007A5BE3">
        <w:rPr>
          <w:rStyle w:val="Allmrkuseviide"/>
          <w:noProof/>
          <w:szCs w:val="24"/>
        </w:rPr>
        <w:footnoteReference w:id="120"/>
      </w:r>
      <w:r w:rsidRPr="007A5BE3">
        <w:rPr>
          <w:noProof/>
        </w:rPr>
        <w:t xml:space="preserve"> and Regulation (EC) No 987/2009 of the European Parliament and of the Council</w:t>
      </w:r>
      <w:r w:rsidRPr="007A5BE3">
        <w:rPr>
          <w:rStyle w:val="Allmrkuseviide"/>
          <w:noProof/>
          <w:szCs w:val="24"/>
        </w:rPr>
        <w:footnoteReference w:id="121"/>
      </w:r>
      <w:r w:rsidRPr="007A5BE3">
        <w:rPr>
          <w:noProof/>
        </w:rPr>
        <w:t xml:space="preserve"> as well as any legal entity set up for the purpose of investment of such schemes;</w:t>
      </w:r>
    </w:p>
    <w:p w14:paraId="1689193D" w14:textId="77777777" w:rsidR="00DA20CC" w:rsidRDefault="00DA20CC" w:rsidP="00343D24">
      <w:pPr>
        <w:pStyle w:val="Tiret2"/>
        <w:rPr>
          <w:noProof/>
        </w:rPr>
      </w:pPr>
      <w:r w:rsidRPr="007A5BE3">
        <w:rPr>
          <w:noProof/>
        </w:rPr>
        <w:t>an alternative investment fund (AIF) managed by an AIFM as defined in Article 4(1), point (b), of Directive 2011/61/EU or an AIF supervised under the applicable national law;</w:t>
      </w:r>
    </w:p>
    <w:p w14:paraId="2499F21C" w14:textId="77777777" w:rsidR="00DA20CC" w:rsidRDefault="00DA20CC" w:rsidP="00343D24">
      <w:pPr>
        <w:pStyle w:val="Tiret2"/>
        <w:rPr>
          <w:noProof/>
        </w:rPr>
      </w:pPr>
      <w:r w:rsidRPr="007A5BE3">
        <w:rPr>
          <w:noProof/>
        </w:rPr>
        <w:t>UCITS in the meaning of Article 1(2) of Directive 2009/65/EC;</w:t>
      </w:r>
    </w:p>
    <w:p w14:paraId="40E9D172" w14:textId="77777777" w:rsidR="00DA20CC" w:rsidRDefault="00DA20CC" w:rsidP="00343D24">
      <w:pPr>
        <w:pStyle w:val="Tiret2"/>
        <w:rPr>
          <w:noProof/>
        </w:rPr>
      </w:pPr>
      <w:r w:rsidRPr="007A5BE3">
        <w:rPr>
          <w:noProof/>
        </w:rPr>
        <w:t>a central counterparty as defined in Article 2, point (1), of Regulation (EU) No 648/2012 of the European Parliament and of the Council</w:t>
      </w:r>
      <w:r w:rsidRPr="007A5BE3">
        <w:rPr>
          <w:rStyle w:val="Allmrkuseviide"/>
          <w:noProof/>
          <w:szCs w:val="24"/>
        </w:rPr>
        <w:footnoteReference w:id="122"/>
      </w:r>
      <w:r w:rsidRPr="007A5BE3">
        <w:rPr>
          <w:noProof/>
        </w:rPr>
        <w:t>;</w:t>
      </w:r>
    </w:p>
    <w:p w14:paraId="6D2A1195" w14:textId="77777777" w:rsidR="00DA20CC" w:rsidRDefault="00DA20CC" w:rsidP="00343D24">
      <w:pPr>
        <w:pStyle w:val="Tiret2"/>
        <w:rPr>
          <w:noProof/>
        </w:rPr>
      </w:pPr>
      <w:r w:rsidRPr="007A5BE3">
        <w:rPr>
          <w:noProof/>
        </w:rPr>
        <w:t>a central securities depository as defined in Article 2(1), point (1), of Regulation (EU) No 909/2014 of the European Parliament and of the Council</w:t>
      </w:r>
      <w:r w:rsidRPr="007A5BE3">
        <w:rPr>
          <w:rStyle w:val="Allmrkuseviide"/>
          <w:noProof/>
          <w:szCs w:val="24"/>
        </w:rPr>
        <w:footnoteReference w:id="123"/>
      </w:r>
      <w:r w:rsidRPr="007A5BE3">
        <w:rPr>
          <w:noProof/>
        </w:rPr>
        <w:t>;</w:t>
      </w:r>
    </w:p>
    <w:p w14:paraId="2896D014" w14:textId="77777777" w:rsidR="00DA20CC" w:rsidRDefault="00DA20CC" w:rsidP="00DA20CC">
      <w:pPr>
        <w:pStyle w:val="Tiret2"/>
        <w:rPr>
          <w:noProof/>
        </w:rPr>
      </w:pPr>
      <w:r w:rsidRPr="00DA20CC">
        <w:rPr>
          <w:noProof/>
        </w:rPr>
        <w:t>an insurance or reinsurance special purpose vehicle authorised in accordance with Article 211 of Directive 2009/138/EC;</w:t>
      </w:r>
    </w:p>
    <w:p w14:paraId="3CB95F71" w14:textId="77777777" w:rsidR="00DA20CC" w:rsidRDefault="00DA20CC" w:rsidP="00DA20CC">
      <w:pPr>
        <w:pStyle w:val="Tiret2"/>
        <w:rPr>
          <w:noProof/>
        </w:rPr>
      </w:pPr>
      <w:r w:rsidRPr="007A5BE3">
        <w:rPr>
          <w:noProof/>
        </w:rPr>
        <w:t>‘securitisation special purpose entity’ as defined in Article 2, point (2), of Regulation (EU) No 2017/2402 of the European Parliament and of the Council</w:t>
      </w:r>
      <w:r w:rsidRPr="007A5BE3">
        <w:rPr>
          <w:rStyle w:val="Allmrkuseviide"/>
          <w:noProof/>
          <w:szCs w:val="24"/>
        </w:rPr>
        <w:footnoteReference w:id="124"/>
      </w:r>
      <w:r w:rsidRPr="007A5BE3">
        <w:rPr>
          <w:noProof/>
        </w:rPr>
        <w:t>;</w:t>
      </w:r>
    </w:p>
    <w:p w14:paraId="4A1D1E79" w14:textId="77777777" w:rsidR="00DA20CC" w:rsidRDefault="00DA20CC" w:rsidP="00DA20CC">
      <w:pPr>
        <w:pStyle w:val="Tiret2"/>
        <w:rPr>
          <w:noProof/>
        </w:rPr>
      </w:pPr>
      <w:r w:rsidRPr="007A5BE3">
        <w:rPr>
          <w:noProof/>
        </w:rPr>
        <w:t>an insurance holding company as defined in Article 212(1), point (f), of Directive 2009/138/EC or a mixed financial holding company as defined in Article 212(1), point (h), of Directive 2009/138/EC, which is part of an insurance group that is subject to supervision at the level of the group pursuant to Article 213 of that Directive and which is not exempted from group supervision pursuant to Article 214(2) of Directive 2009/138/EC</w:t>
      </w:r>
      <w:r>
        <w:rPr>
          <w:noProof/>
        </w:rPr>
        <w:t>;</w:t>
      </w:r>
    </w:p>
    <w:p w14:paraId="5A26F367" w14:textId="77777777" w:rsidR="00DA20CC" w:rsidRDefault="00DA20CC" w:rsidP="00DA20CC">
      <w:pPr>
        <w:pStyle w:val="Tiret2"/>
        <w:rPr>
          <w:noProof/>
        </w:rPr>
      </w:pPr>
      <w:r>
        <w:rPr>
          <w:noProof/>
        </w:rPr>
        <w:t>a payment institution as defined in point (d) of Article 1(1) of Directive (EU) 2015/2366</w:t>
      </w:r>
      <w:r w:rsidRPr="008A2E63">
        <w:rPr>
          <w:noProof/>
        </w:rPr>
        <w:t xml:space="preserve"> of the Europea</w:t>
      </w:r>
      <w:r>
        <w:rPr>
          <w:noProof/>
        </w:rPr>
        <w:t>n Parliament and of the Council</w:t>
      </w:r>
      <w:r>
        <w:rPr>
          <w:rStyle w:val="Allmrkuseviide"/>
          <w:noProof/>
        </w:rPr>
        <w:footnoteReference w:id="125"/>
      </w:r>
      <w:r>
        <w:rPr>
          <w:noProof/>
        </w:rPr>
        <w:t>;</w:t>
      </w:r>
    </w:p>
    <w:p w14:paraId="00E6A65B" w14:textId="77777777" w:rsidR="00DA20CC" w:rsidRDefault="00DA20CC" w:rsidP="00DA20CC">
      <w:pPr>
        <w:pStyle w:val="Tiret2"/>
        <w:rPr>
          <w:noProof/>
        </w:rPr>
      </w:pPr>
      <w:r>
        <w:rPr>
          <w:noProof/>
        </w:rPr>
        <w:t>an electronic money institution as defined in point (1) of Article 2 of Directive 2009/110/EC</w:t>
      </w:r>
      <w:r w:rsidRPr="008A2E63">
        <w:rPr>
          <w:noProof/>
        </w:rPr>
        <w:t xml:space="preserve"> of the Europea</w:t>
      </w:r>
      <w:r>
        <w:rPr>
          <w:noProof/>
        </w:rPr>
        <w:t>n Parliament and of the Council</w:t>
      </w:r>
      <w:r>
        <w:rPr>
          <w:rStyle w:val="Allmrkuseviide"/>
          <w:noProof/>
        </w:rPr>
        <w:footnoteReference w:id="126"/>
      </w:r>
      <w:r>
        <w:rPr>
          <w:noProof/>
        </w:rPr>
        <w:t>;</w:t>
      </w:r>
    </w:p>
    <w:p w14:paraId="34116DF6" w14:textId="77777777" w:rsidR="00DA20CC" w:rsidRDefault="00DA20CC" w:rsidP="00343D24">
      <w:pPr>
        <w:pStyle w:val="Tiret2"/>
        <w:rPr>
          <w:noProof/>
        </w:rPr>
      </w:pPr>
      <w:r>
        <w:rPr>
          <w:noProof/>
        </w:rPr>
        <w:t>a crowdfunding service provider as defined in point (e) Article 2(1) of Regulation (EU) 2020/1503</w:t>
      </w:r>
      <w:r w:rsidRPr="008A2E63">
        <w:rPr>
          <w:noProof/>
        </w:rPr>
        <w:t xml:space="preserve"> of the Europea</w:t>
      </w:r>
      <w:r>
        <w:rPr>
          <w:noProof/>
        </w:rPr>
        <w:t>n Parliament and of the Council</w:t>
      </w:r>
      <w:r>
        <w:rPr>
          <w:rStyle w:val="Allmrkuseviide"/>
          <w:noProof/>
        </w:rPr>
        <w:footnoteReference w:id="127"/>
      </w:r>
      <w:r>
        <w:rPr>
          <w:noProof/>
        </w:rPr>
        <w:t>;</w:t>
      </w:r>
    </w:p>
    <w:p w14:paraId="6DD6759C" w14:textId="77777777" w:rsidR="00343D24" w:rsidRDefault="00DA20CC" w:rsidP="00343D24">
      <w:pPr>
        <w:pStyle w:val="Tiret2"/>
        <w:rPr>
          <w:noProof/>
        </w:rPr>
      </w:pPr>
      <w:r>
        <w:rPr>
          <w:noProof/>
        </w:rPr>
        <w:t xml:space="preserve">a crypto-asset service provider as defined in Article 3(1), point (8), </w:t>
      </w:r>
      <w:r w:rsidRPr="007447F7">
        <w:rPr>
          <w:noProof/>
        </w:rPr>
        <w:t>of [the proposal for a Regulation of the European Parliament and of the Council on</w:t>
      </w:r>
      <w:r w:rsidRPr="004233D1">
        <w:rPr>
          <w:noProof/>
        </w:rPr>
        <w:t xml:space="preserve"> Markets in Crypto-assets, and amending Directive (EU) 2019/1937</w:t>
      </w:r>
      <w:r w:rsidRPr="004233D1">
        <w:rPr>
          <w:rStyle w:val="Allmrkuseviide"/>
          <w:noProof/>
        </w:rPr>
        <w:footnoteReference w:id="128"/>
      </w:r>
      <w:r w:rsidRPr="004233D1">
        <w:rPr>
          <w:noProof/>
        </w:rPr>
        <w:t>] where performing one or more crypto-asset services as defined in Article 3(1), point (9), of [the proposal for a Regulation of the European Parliament and of the Council on Markets in Crypto-assets, and amending Directive (EU) 2019/1937]</w:t>
      </w:r>
      <w:r>
        <w:rPr>
          <w:noProof/>
        </w:rPr>
        <w:t xml:space="preserve">; </w:t>
      </w:r>
    </w:p>
    <w:p w14:paraId="3A77EF73" w14:textId="77710C47" w:rsidR="00301F57" w:rsidRDefault="00822875" w:rsidP="00822875">
      <w:pPr>
        <w:pStyle w:val="Point0"/>
        <w:rPr>
          <w:noProof/>
        </w:rPr>
      </w:pPr>
      <w:r w:rsidRPr="00822875">
        <w:t>(b)</w:t>
      </w:r>
      <w:r w:rsidRPr="00822875">
        <w:tab/>
      </w:r>
      <w:r w:rsidR="00343D24" w:rsidRPr="00962A17">
        <w:rPr>
          <w:noProof/>
        </w:rPr>
        <w:t>‘adverse environmental impact’ means</w:t>
      </w:r>
      <w:r w:rsidR="00343D24">
        <w:rPr>
          <w:noProof/>
        </w:rPr>
        <w:t xml:space="preserve"> an adverse impact on the environment resulting from</w:t>
      </w:r>
      <w:r w:rsidR="00785A14">
        <w:rPr>
          <w:noProof/>
        </w:rPr>
        <w:t xml:space="preserve"> </w:t>
      </w:r>
      <w:r w:rsidR="00343D24" w:rsidRPr="00962A17">
        <w:rPr>
          <w:noProof/>
        </w:rPr>
        <w:t>the violation of one of the prohibitions and obligations pursuant to the international environmental conventions listed in the Annex, Part II</w:t>
      </w:r>
      <w:r w:rsidR="00C85A04">
        <w:rPr>
          <w:noProof/>
        </w:rPr>
        <w:t>;</w:t>
      </w:r>
      <w:r w:rsidR="00301F57" w:rsidRPr="00301F57">
        <w:rPr>
          <w:noProof/>
        </w:rPr>
        <w:tab/>
      </w:r>
    </w:p>
    <w:p w14:paraId="2629DBF5" w14:textId="4EB1009B" w:rsidR="00343D24" w:rsidRDefault="00822875" w:rsidP="00822875">
      <w:pPr>
        <w:pStyle w:val="Point0"/>
        <w:rPr>
          <w:noProof/>
        </w:rPr>
      </w:pPr>
      <w:r w:rsidRPr="00822875">
        <w:t>(c)</w:t>
      </w:r>
      <w:r w:rsidRPr="00822875">
        <w:tab/>
      </w:r>
      <w:r w:rsidR="00343D24" w:rsidRPr="00033689">
        <w:rPr>
          <w:noProof/>
        </w:rPr>
        <w:t xml:space="preserve">‘adverse human rights impact’ means </w:t>
      </w:r>
      <w:r w:rsidR="00343D24">
        <w:rPr>
          <w:noProof/>
        </w:rPr>
        <w:t xml:space="preserve">an </w:t>
      </w:r>
      <w:r w:rsidR="00343D24" w:rsidRPr="00033689">
        <w:rPr>
          <w:noProof/>
        </w:rPr>
        <w:t xml:space="preserve">adverse impact </w:t>
      </w:r>
      <w:r w:rsidR="00343D24">
        <w:rPr>
          <w:noProof/>
        </w:rPr>
        <w:t>on protected persons</w:t>
      </w:r>
      <w:r w:rsidR="00343D24" w:rsidRPr="00033689">
        <w:rPr>
          <w:noProof/>
        </w:rPr>
        <w:t xml:space="preserve"> resulting from the violation of one of the rights</w:t>
      </w:r>
      <w:r w:rsidR="00343D24" w:rsidRPr="00033689" w:rsidDel="001565C8">
        <w:rPr>
          <w:noProof/>
        </w:rPr>
        <w:t xml:space="preserve"> </w:t>
      </w:r>
      <w:r w:rsidR="009F5971" w:rsidRPr="009F5971">
        <w:rPr>
          <w:noProof/>
        </w:rPr>
        <w:t>or prohibitions listed in the Annex</w:t>
      </w:r>
      <w:r w:rsidR="006E393D">
        <w:rPr>
          <w:noProof/>
        </w:rPr>
        <w:t>,</w:t>
      </w:r>
      <w:r w:rsidR="009F5971" w:rsidRPr="009F5971">
        <w:rPr>
          <w:noProof/>
        </w:rPr>
        <w:t xml:space="preserve"> Part I</w:t>
      </w:r>
      <w:r w:rsidR="00785A14">
        <w:rPr>
          <w:noProof/>
        </w:rPr>
        <w:t> </w:t>
      </w:r>
      <w:r w:rsidR="00C86B96">
        <w:rPr>
          <w:noProof/>
        </w:rPr>
        <w:t xml:space="preserve">Section </w:t>
      </w:r>
      <w:r w:rsidR="007F1280">
        <w:rPr>
          <w:noProof/>
        </w:rPr>
        <w:t>1</w:t>
      </w:r>
      <w:r w:rsidR="00FE477D">
        <w:rPr>
          <w:noProof/>
        </w:rPr>
        <w:t>,</w:t>
      </w:r>
      <w:r w:rsidR="009F5971" w:rsidRPr="00033689">
        <w:rPr>
          <w:noProof/>
        </w:rPr>
        <w:t xml:space="preserve"> </w:t>
      </w:r>
      <w:r w:rsidR="00343D24" w:rsidRPr="00033689">
        <w:rPr>
          <w:noProof/>
        </w:rPr>
        <w:t>as enshrined in the international conventions listed in the Annex</w:t>
      </w:r>
      <w:r w:rsidR="00343D24">
        <w:rPr>
          <w:noProof/>
        </w:rPr>
        <w:t>, Part</w:t>
      </w:r>
      <w:r w:rsidR="00785A14">
        <w:rPr>
          <w:noProof/>
        </w:rPr>
        <w:t xml:space="preserve"> </w:t>
      </w:r>
      <w:r w:rsidR="00343D24">
        <w:rPr>
          <w:noProof/>
        </w:rPr>
        <w:t>I</w:t>
      </w:r>
      <w:r w:rsidR="00785A14">
        <w:rPr>
          <w:noProof/>
        </w:rPr>
        <w:t> </w:t>
      </w:r>
      <w:r w:rsidR="00C86B96">
        <w:rPr>
          <w:noProof/>
        </w:rPr>
        <w:t xml:space="preserve">Section </w:t>
      </w:r>
      <w:r w:rsidR="007F1280">
        <w:rPr>
          <w:noProof/>
        </w:rPr>
        <w:t>2</w:t>
      </w:r>
      <w:r w:rsidR="00343D24">
        <w:rPr>
          <w:noProof/>
        </w:rPr>
        <w:t>;</w:t>
      </w:r>
    </w:p>
    <w:p w14:paraId="2EE7FCED" w14:textId="4C7C1150" w:rsidR="00343D24" w:rsidRPr="00634C62" w:rsidRDefault="00822875" w:rsidP="00822875">
      <w:pPr>
        <w:pStyle w:val="Point0"/>
        <w:rPr>
          <w:noProof/>
        </w:rPr>
      </w:pPr>
      <w:r w:rsidRPr="00822875">
        <w:t>(d)</w:t>
      </w:r>
      <w:r w:rsidRPr="00822875">
        <w:tab/>
      </w:r>
      <w:r w:rsidR="00343D24" w:rsidRPr="00F119A1">
        <w:rPr>
          <w:noProof/>
        </w:rPr>
        <w:t xml:space="preserve">‘subsidiary’ means a </w:t>
      </w:r>
      <w:r w:rsidR="00F119A1">
        <w:rPr>
          <w:noProof/>
        </w:rPr>
        <w:t xml:space="preserve">legal person through which the activity of a </w:t>
      </w:r>
      <w:r w:rsidR="00343D24" w:rsidRPr="00F119A1">
        <w:rPr>
          <w:noProof/>
        </w:rPr>
        <w:t>‘controlled undertaking’ as defined in Article 2(1), point (f)</w:t>
      </w:r>
      <w:r w:rsidR="00B56F44" w:rsidRPr="00F119A1">
        <w:rPr>
          <w:noProof/>
        </w:rPr>
        <w:t>,</w:t>
      </w:r>
      <w:r w:rsidR="00343D24" w:rsidRPr="00F119A1">
        <w:rPr>
          <w:noProof/>
        </w:rPr>
        <w:t xml:space="preserve"> of Directive 2004/109/EC of the European Parliament and of the Council</w:t>
      </w:r>
      <w:r w:rsidR="00343D24" w:rsidRPr="002C2AA5">
        <w:rPr>
          <w:rStyle w:val="Allmrkuseviide"/>
          <w:noProof/>
        </w:rPr>
        <w:footnoteReference w:id="129"/>
      </w:r>
      <w:r w:rsidR="00F119A1">
        <w:rPr>
          <w:noProof/>
        </w:rPr>
        <w:t xml:space="preserve"> is exercised</w:t>
      </w:r>
      <w:r w:rsidR="00343D24" w:rsidRPr="02479CB6">
        <w:rPr>
          <w:noProof/>
        </w:rPr>
        <w:t xml:space="preserve">; </w:t>
      </w:r>
    </w:p>
    <w:p w14:paraId="4793446B" w14:textId="75FED69C" w:rsidR="00AF0535" w:rsidRPr="00C6766B" w:rsidRDefault="00822875" w:rsidP="00822875">
      <w:pPr>
        <w:pStyle w:val="Point0"/>
        <w:rPr>
          <w:noProof/>
        </w:rPr>
      </w:pPr>
      <w:r w:rsidRPr="00822875">
        <w:t>(e)</w:t>
      </w:r>
      <w:r w:rsidRPr="00822875">
        <w:tab/>
      </w:r>
      <w:r w:rsidR="00343D24" w:rsidRPr="00C6766B">
        <w:rPr>
          <w:noProof/>
        </w:rPr>
        <w:t xml:space="preserve">‘business relationship’ means a relationship with a contractor, subcontractor or any other legal entities </w:t>
      </w:r>
      <w:r w:rsidR="003B311C" w:rsidRPr="00C6766B">
        <w:rPr>
          <w:noProof/>
        </w:rPr>
        <w:t>(‘partner’)</w:t>
      </w:r>
      <w:r w:rsidR="00343D24" w:rsidRPr="00C6766B">
        <w:rPr>
          <w:noProof/>
        </w:rPr>
        <w:t xml:space="preserve"> </w:t>
      </w:r>
    </w:p>
    <w:p w14:paraId="77B49C54" w14:textId="4271798F" w:rsidR="00AF0535" w:rsidRPr="00C6766B" w:rsidRDefault="00343D24" w:rsidP="00A61186">
      <w:pPr>
        <w:pStyle w:val="Point1"/>
        <w:rPr>
          <w:noProof/>
        </w:rPr>
      </w:pPr>
      <w:r w:rsidRPr="00C6766B">
        <w:rPr>
          <w:noProof/>
        </w:rPr>
        <w:t xml:space="preserve">(i) </w:t>
      </w:r>
      <w:r w:rsidR="00A61186" w:rsidRPr="00C6766B">
        <w:rPr>
          <w:noProof/>
        </w:rPr>
        <w:tab/>
      </w:r>
      <w:r w:rsidRPr="00C6766B">
        <w:rPr>
          <w:noProof/>
        </w:rPr>
        <w:t xml:space="preserve">with whom the company has a commercial agreement or to whom the </w:t>
      </w:r>
      <w:r w:rsidR="00A61186" w:rsidRPr="00C6766B">
        <w:rPr>
          <w:noProof/>
        </w:rPr>
        <w:t>company</w:t>
      </w:r>
      <w:r w:rsidR="00A26552" w:rsidRPr="00C6766B">
        <w:rPr>
          <w:noProof/>
        </w:rPr>
        <w:t xml:space="preserve"> </w:t>
      </w:r>
      <w:r w:rsidRPr="00C6766B">
        <w:rPr>
          <w:noProof/>
        </w:rPr>
        <w:t>provides financing</w:t>
      </w:r>
      <w:r w:rsidR="003B311C" w:rsidRPr="00C6766B">
        <w:rPr>
          <w:noProof/>
        </w:rPr>
        <w:t>,</w:t>
      </w:r>
      <w:r w:rsidRPr="00C6766B">
        <w:rPr>
          <w:noProof/>
        </w:rPr>
        <w:t xml:space="preserve"> insurance</w:t>
      </w:r>
      <w:r w:rsidR="003B311C" w:rsidRPr="00C6766B">
        <w:rPr>
          <w:noProof/>
        </w:rPr>
        <w:t xml:space="preserve"> or reinsurance</w:t>
      </w:r>
      <w:r w:rsidR="00AF0535" w:rsidRPr="00C6766B">
        <w:rPr>
          <w:noProof/>
        </w:rPr>
        <w:t>,</w:t>
      </w:r>
      <w:r w:rsidRPr="00C6766B">
        <w:rPr>
          <w:noProof/>
        </w:rPr>
        <w:t xml:space="preserve"> or </w:t>
      </w:r>
    </w:p>
    <w:p w14:paraId="66DE2C16" w14:textId="165141F6" w:rsidR="00343D24" w:rsidRPr="001A2E25" w:rsidRDefault="00343D24" w:rsidP="00A61186">
      <w:pPr>
        <w:pStyle w:val="Point1"/>
        <w:rPr>
          <w:noProof/>
        </w:rPr>
      </w:pPr>
      <w:r w:rsidRPr="00C6766B">
        <w:rPr>
          <w:noProof/>
        </w:rPr>
        <w:t xml:space="preserve">(ii) </w:t>
      </w:r>
      <w:r w:rsidR="00A61186" w:rsidRPr="00C6766B">
        <w:rPr>
          <w:noProof/>
        </w:rPr>
        <w:tab/>
      </w:r>
      <w:r w:rsidRPr="00C6766B">
        <w:rPr>
          <w:noProof/>
        </w:rPr>
        <w:t>that performs business operations related to the products or services of the company for</w:t>
      </w:r>
      <w:r w:rsidR="00FA352A" w:rsidRPr="00C6766B">
        <w:rPr>
          <w:noProof/>
        </w:rPr>
        <w:t xml:space="preserve"> </w:t>
      </w:r>
      <w:r w:rsidRPr="00C6766B">
        <w:rPr>
          <w:noProof/>
        </w:rPr>
        <w:t>or on behalf of the</w:t>
      </w:r>
      <w:r w:rsidR="00AF0535" w:rsidRPr="00C6766B">
        <w:rPr>
          <w:noProof/>
        </w:rPr>
        <w:t xml:space="preserve"> company</w:t>
      </w:r>
      <w:r w:rsidRPr="00C6766B">
        <w:rPr>
          <w:noProof/>
        </w:rPr>
        <w:t>;</w:t>
      </w:r>
    </w:p>
    <w:p w14:paraId="744E45A5" w14:textId="69081447" w:rsidR="00343D24" w:rsidRPr="00FE477D" w:rsidRDefault="00822875" w:rsidP="00822875">
      <w:pPr>
        <w:pStyle w:val="Point0"/>
        <w:rPr>
          <w:noProof/>
        </w:rPr>
      </w:pPr>
      <w:r w:rsidRPr="00822875">
        <w:t>(f)</w:t>
      </w:r>
      <w:r w:rsidRPr="00822875">
        <w:tab/>
      </w:r>
      <w:r w:rsidR="00343D24">
        <w:rPr>
          <w:noProof/>
        </w:rPr>
        <w:t xml:space="preserve">‘established business relationship’ </w:t>
      </w:r>
      <w:r w:rsidR="00343D24" w:rsidRPr="00093624">
        <w:rPr>
          <w:noProof/>
        </w:rPr>
        <w:t xml:space="preserve">means a business relationship, whether direct or indirect, which is, or which is expected to be lasting, in view of its </w:t>
      </w:r>
      <w:r w:rsidR="00343D24">
        <w:rPr>
          <w:noProof/>
        </w:rPr>
        <w:t xml:space="preserve">intensity or duration </w:t>
      </w:r>
      <w:r w:rsidR="00343D24" w:rsidRPr="00FE477D">
        <w:rPr>
          <w:noProof/>
        </w:rPr>
        <w:t>and</w:t>
      </w:r>
      <w:r w:rsidR="00343D24" w:rsidRPr="00FE477D" w:rsidDel="00363E78">
        <w:rPr>
          <w:noProof/>
        </w:rPr>
        <w:t xml:space="preserve"> </w:t>
      </w:r>
      <w:r w:rsidR="00343D24" w:rsidRPr="00FE477D">
        <w:rPr>
          <w:noProof/>
        </w:rPr>
        <w:t>which does not represent a negligible or merely ancillary part of the value chain</w:t>
      </w:r>
      <w:r w:rsidR="007D1847">
        <w:rPr>
          <w:noProof/>
        </w:rPr>
        <w:t>;</w:t>
      </w:r>
      <w:r w:rsidR="00343D24" w:rsidRPr="00FE477D">
        <w:rPr>
          <w:noProof/>
        </w:rPr>
        <w:t xml:space="preserve"> </w:t>
      </w:r>
    </w:p>
    <w:p w14:paraId="79D2BC3B" w14:textId="1E0CB853" w:rsidR="00343D24" w:rsidRPr="00FE477D" w:rsidRDefault="00822875" w:rsidP="00822875">
      <w:pPr>
        <w:pStyle w:val="Point0"/>
        <w:rPr>
          <w:noProof/>
        </w:rPr>
      </w:pPr>
      <w:r w:rsidRPr="00822875">
        <w:t>(g)</w:t>
      </w:r>
      <w:r w:rsidRPr="00822875">
        <w:tab/>
      </w:r>
      <w:r w:rsidR="00343D24" w:rsidRPr="00FE477D">
        <w:rPr>
          <w:noProof/>
        </w:rPr>
        <w:t>‘value chain’ means activities related to the production of good</w:t>
      </w:r>
      <w:r w:rsidR="00FA352A">
        <w:rPr>
          <w:noProof/>
        </w:rPr>
        <w:t>s</w:t>
      </w:r>
      <w:r w:rsidR="00343D24" w:rsidRPr="00FE477D">
        <w:rPr>
          <w:noProof/>
        </w:rPr>
        <w:t xml:space="preserve"> or </w:t>
      </w:r>
      <w:r w:rsidR="00FA352A">
        <w:rPr>
          <w:noProof/>
        </w:rPr>
        <w:t>the</w:t>
      </w:r>
      <w:r w:rsidR="00343D24" w:rsidRPr="00FE477D">
        <w:rPr>
          <w:noProof/>
        </w:rPr>
        <w:t xml:space="preserve"> provision of services by a company, including the development of the product or the service and the use and disposal of the product as well as the related activities of upstream and downstream established business relationships of the company.</w:t>
      </w:r>
      <w:r w:rsidR="00343D24" w:rsidRPr="00FE477D" w:rsidDel="00010287">
        <w:rPr>
          <w:noProof/>
        </w:rPr>
        <w:t xml:space="preserve"> </w:t>
      </w:r>
      <w:r w:rsidR="00343D24" w:rsidRPr="00FE477D" w:rsidDel="005A3623">
        <w:rPr>
          <w:noProof/>
        </w:rPr>
        <w:t xml:space="preserve">As regards companies within the meaning of point (a)(iv), ‘value chain’ with respect to the provision of these specific services shall </w:t>
      </w:r>
      <w:r w:rsidR="00794025">
        <w:rPr>
          <w:noProof/>
        </w:rPr>
        <w:t xml:space="preserve">only </w:t>
      </w:r>
      <w:r w:rsidR="00343D24" w:rsidRPr="00FE477D" w:rsidDel="005A3623">
        <w:rPr>
          <w:noProof/>
        </w:rPr>
        <w:t xml:space="preserve">include the activities of the clients receiving such loan, credit, </w:t>
      </w:r>
      <w:r w:rsidR="00480067">
        <w:rPr>
          <w:noProof/>
        </w:rPr>
        <w:t>and other financial services</w:t>
      </w:r>
      <w:r w:rsidR="00E7619D">
        <w:rPr>
          <w:noProof/>
        </w:rPr>
        <w:t xml:space="preserve"> </w:t>
      </w:r>
      <w:r w:rsidR="008C6107">
        <w:rPr>
          <w:noProof/>
        </w:rPr>
        <w:t>and</w:t>
      </w:r>
      <w:r w:rsidR="00E7619D">
        <w:rPr>
          <w:noProof/>
        </w:rPr>
        <w:t xml:space="preserve"> </w:t>
      </w:r>
      <w:r w:rsidR="0041586C">
        <w:rPr>
          <w:noProof/>
        </w:rPr>
        <w:t>of</w:t>
      </w:r>
      <w:r w:rsidR="00E7619D">
        <w:rPr>
          <w:noProof/>
        </w:rPr>
        <w:t xml:space="preserve"> other companies belonging to the same group whose</w:t>
      </w:r>
      <w:r w:rsidR="008C6107">
        <w:rPr>
          <w:noProof/>
        </w:rPr>
        <w:t xml:space="preserve"> activities</w:t>
      </w:r>
      <w:r w:rsidR="00E7619D">
        <w:rPr>
          <w:noProof/>
        </w:rPr>
        <w:t xml:space="preserve"> are linked to </w:t>
      </w:r>
      <w:r w:rsidR="00343D24" w:rsidRPr="00FE477D" w:rsidDel="005A3623">
        <w:rPr>
          <w:noProof/>
        </w:rPr>
        <w:t xml:space="preserve">the contract </w:t>
      </w:r>
      <w:r w:rsidR="00E7619D">
        <w:rPr>
          <w:noProof/>
        </w:rPr>
        <w:t>in question</w:t>
      </w:r>
      <w:r w:rsidR="00343D24" w:rsidRPr="00FE477D">
        <w:rPr>
          <w:noProof/>
        </w:rPr>
        <w:t xml:space="preserve">. </w:t>
      </w:r>
      <w:r w:rsidR="00343D24" w:rsidRPr="00CF086C" w:rsidDel="006163D7">
        <w:rPr>
          <w:noProof/>
        </w:rPr>
        <w:t xml:space="preserve">The </w:t>
      </w:r>
      <w:r w:rsidR="00D047D1">
        <w:rPr>
          <w:noProof/>
        </w:rPr>
        <w:t>value chain</w:t>
      </w:r>
      <w:r w:rsidR="00343D24" w:rsidRPr="00CF086C" w:rsidDel="006163D7">
        <w:rPr>
          <w:noProof/>
        </w:rPr>
        <w:t xml:space="preserve"> </w:t>
      </w:r>
      <w:r w:rsidR="00D047D1" w:rsidRPr="00EA1A35" w:rsidDel="005A3623">
        <w:rPr>
          <w:noProof/>
        </w:rPr>
        <w:t xml:space="preserve">of such </w:t>
      </w:r>
      <w:r w:rsidR="000D3E5C">
        <w:rPr>
          <w:noProof/>
        </w:rPr>
        <w:t xml:space="preserve">regulated </w:t>
      </w:r>
      <w:r w:rsidR="00D047D1" w:rsidRPr="00EA1A35" w:rsidDel="005A3623">
        <w:rPr>
          <w:noProof/>
        </w:rPr>
        <w:t xml:space="preserve">financial </w:t>
      </w:r>
      <w:r w:rsidR="000D3E5C">
        <w:rPr>
          <w:noProof/>
        </w:rPr>
        <w:t xml:space="preserve">undertakings </w:t>
      </w:r>
      <w:r w:rsidR="00D047D1">
        <w:rPr>
          <w:noProof/>
        </w:rPr>
        <w:t>does</w:t>
      </w:r>
      <w:r w:rsidR="00343D24" w:rsidRPr="00FE477D" w:rsidDel="006163D7">
        <w:rPr>
          <w:noProof/>
        </w:rPr>
        <w:t xml:space="preserve"> not </w:t>
      </w:r>
      <w:r w:rsidR="00D047D1">
        <w:rPr>
          <w:noProof/>
        </w:rPr>
        <w:t>cover</w:t>
      </w:r>
      <w:r w:rsidR="00343D24" w:rsidRPr="00FE477D" w:rsidDel="006163D7">
        <w:rPr>
          <w:noProof/>
        </w:rPr>
        <w:t xml:space="preserve"> </w:t>
      </w:r>
      <w:r w:rsidR="009F2348" w:rsidRPr="00FE477D">
        <w:rPr>
          <w:noProof/>
        </w:rPr>
        <w:t xml:space="preserve">SMEs </w:t>
      </w:r>
      <w:r w:rsidR="00343D24" w:rsidRPr="00FE477D" w:rsidDel="006163D7">
        <w:rPr>
          <w:noProof/>
        </w:rPr>
        <w:t>receiving loan, credit, financing</w:t>
      </w:r>
      <w:r w:rsidR="003B311C">
        <w:rPr>
          <w:noProof/>
        </w:rPr>
        <w:t>,</w:t>
      </w:r>
      <w:r w:rsidR="00343D24" w:rsidRPr="00FE477D" w:rsidDel="006163D7">
        <w:rPr>
          <w:noProof/>
        </w:rPr>
        <w:t xml:space="preserve"> insurance </w:t>
      </w:r>
      <w:r w:rsidR="003B311C">
        <w:rPr>
          <w:noProof/>
        </w:rPr>
        <w:t>or reinsurance</w:t>
      </w:r>
      <w:r w:rsidR="00343D24" w:rsidRPr="00FE477D" w:rsidDel="006163D7">
        <w:rPr>
          <w:noProof/>
        </w:rPr>
        <w:t xml:space="preserve"> </w:t>
      </w:r>
      <w:r w:rsidR="003B311C">
        <w:rPr>
          <w:noProof/>
        </w:rPr>
        <w:t>o</w:t>
      </w:r>
      <w:r w:rsidR="00343D24" w:rsidRPr="00FE477D" w:rsidDel="006163D7">
        <w:rPr>
          <w:noProof/>
        </w:rPr>
        <w:t>f such entities;</w:t>
      </w:r>
    </w:p>
    <w:p w14:paraId="248C15DA" w14:textId="56CD5397" w:rsidR="00343D24" w:rsidRDefault="00822875" w:rsidP="00822875">
      <w:pPr>
        <w:pStyle w:val="Point0"/>
        <w:rPr>
          <w:noProof/>
        </w:rPr>
      </w:pPr>
      <w:r w:rsidRPr="00822875">
        <w:t>(h)</w:t>
      </w:r>
      <w:r w:rsidRPr="00822875">
        <w:tab/>
      </w:r>
      <w:r w:rsidR="00343D24">
        <w:rPr>
          <w:noProof/>
        </w:rPr>
        <w:t>‘independent third-party verification’ means verification of the compliance by a company, or parts of its value chain, with human rights and environmental requirements</w:t>
      </w:r>
      <w:r w:rsidR="006E0554">
        <w:rPr>
          <w:noProof/>
        </w:rPr>
        <w:t xml:space="preserve"> </w:t>
      </w:r>
      <w:r w:rsidR="00AF0535">
        <w:rPr>
          <w:noProof/>
        </w:rPr>
        <w:t>resulting from</w:t>
      </w:r>
      <w:r w:rsidR="006E0554">
        <w:rPr>
          <w:noProof/>
        </w:rPr>
        <w:t xml:space="preserve"> the provisions of this Directive</w:t>
      </w:r>
      <w:r w:rsidR="00343D24">
        <w:rPr>
          <w:noProof/>
        </w:rPr>
        <w:t xml:space="preserve"> </w:t>
      </w:r>
      <w:r w:rsidR="00343D24" w:rsidRPr="002B67C0">
        <w:rPr>
          <w:noProof/>
        </w:rPr>
        <w:t xml:space="preserve">by </w:t>
      </w:r>
      <w:r w:rsidR="00343D24">
        <w:rPr>
          <w:noProof/>
        </w:rPr>
        <w:t>an auditor</w:t>
      </w:r>
      <w:r w:rsidR="00343D24" w:rsidRPr="002B67C0">
        <w:rPr>
          <w:noProof/>
        </w:rPr>
        <w:t xml:space="preserve"> wh</w:t>
      </w:r>
      <w:r w:rsidR="00343D24">
        <w:rPr>
          <w:noProof/>
        </w:rPr>
        <w:t>ich</w:t>
      </w:r>
      <w:r w:rsidR="00343D24" w:rsidRPr="002B67C0">
        <w:rPr>
          <w:noProof/>
        </w:rPr>
        <w:t xml:space="preserve"> </w:t>
      </w:r>
      <w:r w:rsidR="00343D24">
        <w:rPr>
          <w:noProof/>
        </w:rPr>
        <w:t>is</w:t>
      </w:r>
      <w:r w:rsidR="00343D24" w:rsidRPr="002B67C0">
        <w:rPr>
          <w:noProof/>
        </w:rPr>
        <w:t xml:space="preserve"> independent from the company, free from </w:t>
      </w:r>
      <w:r w:rsidR="00343D24">
        <w:rPr>
          <w:noProof/>
        </w:rPr>
        <w:t>any conflicts of interests, has</w:t>
      </w:r>
      <w:r w:rsidR="00343D24" w:rsidRPr="002B67C0">
        <w:rPr>
          <w:noProof/>
        </w:rPr>
        <w:t xml:space="preserve"> experience and competence in environmental and human rights matters and </w:t>
      </w:r>
      <w:r w:rsidR="00343D24">
        <w:rPr>
          <w:noProof/>
        </w:rPr>
        <w:t>is</w:t>
      </w:r>
      <w:r w:rsidR="00343D24" w:rsidRPr="002B67C0">
        <w:rPr>
          <w:noProof/>
        </w:rPr>
        <w:t xml:space="preserve"> accountable for the quality and reliability of the audit</w:t>
      </w:r>
      <w:r w:rsidR="00343D24" w:rsidRPr="00821944">
        <w:rPr>
          <w:noProof/>
        </w:rPr>
        <w:t>;</w:t>
      </w:r>
    </w:p>
    <w:p w14:paraId="2D2F0DC2" w14:textId="6B3B237D" w:rsidR="00343D24" w:rsidRDefault="00822875" w:rsidP="00822875">
      <w:pPr>
        <w:pStyle w:val="Point0"/>
        <w:rPr>
          <w:noProof/>
        </w:rPr>
      </w:pPr>
      <w:r w:rsidRPr="00822875">
        <w:t>(i)</w:t>
      </w:r>
      <w:r w:rsidRPr="00822875">
        <w:tab/>
      </w:r>
      <w:r w:rsidR="00343D24">
        <w:rPr>
          <w:noProof/>
        </w:rPr>
        <w:t>‘SME’ means a micro, small or a medium-sized enterprise, irrespective of its legal form,</w:t>
      </w:r>
      <w:r w:rsidR="00343D24" w:rsidDel="00426298">
        <w:rPr>
          <w:noProof/>
        </w:rPr>
        <w:t xml:space="preserve"> </w:t>
      </w:r>
      <w:r w:rsidR="00343D24">
        <w:rPr>
          <w:noProof/>
        </w:rPr>
        <w:t>that is not part of a large group, as those terms are defined in Article 3(1), (2), (3)</w:t>
      </w:r>
      <w:r w:rsidR="00343D24" w:rsidRPr="000C3885">
        <w:rPr>
          <w:noProof/>
        </w:rPr>
        <w:t xml:space="preserve"> </w:t>
      </w:r>
      <w:r w:rsidR="00343D24">
        <w:rPr>
          <w:noProof/>
        </w:rPr>
        <w:t xml:space="preserve">and (7) </w:t>
      </w:r>
      <w:r w:rsidR="00343D24" w:rsidRPr="00634C62">
        <w:rPr>
          <w:noProof/>
        </w:rPr>
        <w:t>of Directive 2013/34/</w:t>
      </w:r>
      <w:r w:rsidR="009B23DF">
        <w:rPr>
          <w:noProof/>
        </w:rPr>
        <w:t>EU</w:t>
      </w:r>
      <w:r w:rsidR="00343D24">
        <w:rPr>
          <w:noProof/>
        </w:rPr>
        <w:t xml:space="preserve">; </w:t>
      </w:r>
    </w:p>
    <w:p w14:paraId="012FA2D9" w14:textId="2DB09B1B" w:rsidR="00343D24" w:rsidRDefault="00822875" w:rsidP="00822875">
      <w:pPr>
        <w:pStyle w:val="Point0"/>
        <w:rPr>
          <w:noProof/>
        </w:rPr>
      </w:pPr>
      <w:r w:rsidRPr="00822875">
        <w:t>(j)</w:t>
      </w:r>
      <w:r w:rsidRPr="00822875">
        <w:tab/>
      </w:r>
      <w:r w:rsidR="00343D24" w:rsidRPr="00093624">
        <w:rPr>
          <w:noProof/>
        </w:rPr>
        <w:t xml:space="preserve">‘industry initiative’ means a combination of voluntary </w:t>
      </w:r>
      <w:r w:rsidR="002D03CE" w:rsidRPr="00093624">
        <w:rPr>
          <w:noProof/>
        </w:rPr>
        <w:t>value</w:t>
      </w:r>
      <w:r w:rsidR="00343D24" w:rsidRPr="00093624">
        <w:rPr>
          <w:noProof/>
        </w:rPr>
        <w:t xml:space="preserve"> chain due diligence procedures, tools and mechanisms, including independent third-party verifications, developed and overseen by governments, industry associations or groupings of interested organisations;</w:t>
      </w:r>
    </w:p>
    <w:p w14:paraId="1B870A5E" w14:textId="21AABA0F" w:rsidR="00343D24" w:rsidRDefault="00822875" w:rsidP="00822875">
      <w:pPr>
        <w:pStyle w:val="Point0"/>
        <w:rPr>
          <w:noProof/>
        </w:rPr>
      </w:pPr>
      <w:r w:rsidRPr="00822875">
        <w:t>(k)</w:t>
      </w:r>
      <w:r w:rsidRPr="00822875">
        <w:tab/>
      </w:r>
      <w:r w:rsidR="00343D24" w:rsidRPr="00634C62">
        <w:rPr>
          <w:noProof/>
        </w:rPr>
        <w:t>‘authorised representative’ means a natural or legal person resident or established in the Union who has</w:t>
      </w:r>
      <w:r w:rsidR="00343D24">
        <w:rPr>
          <w:noProof/>
        </w:rPr>
        <w:t xml:space="preserve"> </w:t>
      </w:r>
      <w:r w:rsidR="00343D24" w:rsidRPr="00634C62">
        <w:rPr>
          <w:noProof/>
        </w:rPr>
        <w:t>a</w:t>
      </w:r>
      <w:r w:rsidR="00343D24" w:rsidRPr="00634C62" w:rsidDel="00D04C6B">
        <w:rPr>
          <w:noProof/>
        </w:rPr>
        <w:t xml:space="preserve"> </w:t>
      </w:r>
      <w:r w:rsidR="00343D24" w:rsidRPr="00634C62">
        <w:rPr>
          <w:noProof/>
        </w:rPr>
        <w:t>mandate from a company</w:t>
      </w:r>
      <w:r w:rsidR="00343D24">
        <w:rPr>
          <w:noProof/>
        </w:rPr>
        <w:t xml:space="preserve"> within the meaning of point (a)(ii) </w:t>
      </w:r>
      <w:r w:rsidR="00343D24" w:rsidRPr="00634C62">
        <w:rPr>
          <w:noProof/>
        </w:rPr>
        <w:t xml:space="preserve">to act on its behalf in relation to </w:t>
      </w:r>
      <w:r w:rsidR="00343D24">
        <w:rPr>
          <w:noProof/>
        </w:rPr>
        <w:t>compliance</w:t>
      </w:r>
      <w:r w:rsidR="00343D24" w:rsidRPr="00634C62">
        <w:rPr>
          <w:noProof/>
        </w:rPr>
        <w:t xml:space="preserve"> with </w:t>
      </w:r>
      <w:r w:rsidR="00343D24">
        <w:rPr>
          <w:noProof/>
        </w:rPr>
        <w:t>that</w:t>
      </w:r>
      <w:r w:rsidR="00343D24" w:rsidRPr="00634C62">
        <w:rPr>
          <w:noProof/>
        </w:rPr>
        <w:t xml:space="preserve"> company’s obligations pursuant to this Directive;</w:t>
      </w:r>
      <w:r w:rsidR="00343D24">
        <w:rPr>
          <w:noProof/>
        </w:rPr>
        <w:t xml:space="preserve"> </w:t>
      </w:r>
    </w:p>
    <w:p w14:paraId="26A58015" w14:textId="265839B6" w:rsidR="00343D24" w:rsidRPr="002D1191" w:rsidRDefault="00822875" w:rsidP="00822875">
      <w:pPr>
        <w:pStyle w:val="Point0"/>
        <w:rPr>
          <w:noProof/>
        </w:rPr>
      </w:pPr>
      <w:r w:rsidRPr="00822875">
        <w:t>(l)</w:t>
      </w:r>
      <w:r w:rsidRPr="00822875">
        <w:tab/>
      </w:r>
      <w:r w:rsidR="00343D24">
        <w:rPr>
          <w:noProof/>
        </w:rPr>
        <w:t>‘</w:t>
      </w:r>
      <w:r w:rsidR="00343D24" w:rsidRPr="00AE111E">
        <w:rPr>
          <w:noProof/>
        </w:rPr>
        <w:t xml:space="preserve">severe </w:t>
      </w:r>
      <w:r w:rsidR="00343D24">
        <w:rPr>
          <w:noProof/>
        </w:rPr>
        <w:t xml:space="preserve">adverse impact’ means an </w:t>
      </w:r>
      <w:r w:rsidR="00AF0535" w:rsidRPr="00AF0535">
        <w:rPr>
          <w:noProof/>
        </w:rPr>
        <w:t>adverse environmental impact or an adverse human rights</w:t>
      </w:r>
      <w:r w:rsidR="00343D24">
        <w:rPr>
          <w:noProof/>
        </w:rPr>
        <w:t xml:space="preserve"> impact that is especially significant by its nature</w:t>
      </w:r>
      <w:r w:rsidR="00343D24" w:rsidRPr="00634C62">
        <w:rPr>
          <w:noProof/>
        </w:rPr>
        <w:t xml:space="preserve">, </w:t>
      </w:r>
      <w:r w:rsidR="00343D24">
        <w:rPr>
          <w:noProof/>
        </w:rPr>
        <w:t xml:space="preserve">or affects a large </w:t>
      </w:r>
      <w:r w:rsidR="00343D24" w:rsidRPr="00634C62">
        <w:rPr>
          <w:noProof/>
        </w:rPr>
        <w:t xml:space="preserve">number of persons or </w:t>
      </w:r>
      <w:r w:rsidR="00343D24">
        <w:rPr>
          <w:noProof/>
        </w:rPr>
        <w:t xml:space="preserve">a large area </w:t>
      </w:r>
      <w:r w:rsidR="00343D24" w:rsidRPr="00634C62">
        <w:rPr>
          <w:noProof/>
        </w:rPr>
        <w:t xml:space="preserve">of the environment, or </w:t>
      </w:r>
      <w:r w:rsidR="00FE477D">
        <w:rPr>
          <w:noProof/>
        </w:rPr>
        <w:t xml:space="preserve">which is irreversible, or </w:t>
      </w:r>
      <w:r w:rsidR="00111F1D">
        <w:rPr>
          <w:noProof/>
        </w:rPr>
        <w:t>is</w:t>
      </w:r>
      <w:r w:rsidR="00FE477D">
        <w:rPr>
          <w:noProof/>
        </w:rPr>
        <w:t xml:space="preserve"> </w:t>
      </w:r>
      <w:r w:rsidR="00343D24">
        <w:rPr>
          <w:noProof/>
        </w:rPr>
        <w:t xml:space="preserve">particularly difficult </w:t>
      </w:r>
      <w:r w:rsidR="00343D24" w:rsidRPr="00634C62">
        <w:rPr>
          <w:noProof/>
        </w:rPr>
        <w:t>to remedy</w:t>
      </w:r>
      <w:r w:rsidR="00B56F44">
        <w:rPr>
          <w:noProof/>
        </w:rPr>
        <w:t xml:space="preserve"> </w:t>
      </w:r>
      <w:r w:rsidR="00343D24">
        <w:rPr>
          <w:noProof/>
        </w:rPr>
        <w:t xml:space="preserve">as a result of the measures necessary to </w:t>
      </w:r>
      <w:r w:rsidR="00343D24" w:rsidRPr="00634C62">
        <w:rPr>
          <w:noProof/>
        </w:rPr>
        <w:t>re</w:t>
      </w:r>
      <w:r w:rsidR="00343D24">
        <w:rPr>
          <w:noProof/>
        </w:rPr>
        <w:t>store the</w:t>
      </w:r>
      <w:r w:rsidR="00343D24" w:rsidRPr="00634C62">
        <w:rPr>
          <w:noProof/>
        </w:rPr>
        <w:t xml:space="preserve"> situation</w:t>
      </w:r>
      <w:r w:rsidR="00343D24">
        <w:rPr>
          <w:noProof/>
        </w:rPr>
        <w:t xml:space="preserve"> prevailing prior to the impact</w:t>
      </w:r>
      <w:r w:rsidR="00343D24" w:rsidRPr="00634C62">
        <w:rPr>
          <w:noProof/>
        </w:rPr>
        <w:t>;</w:t>
      </w:r>
    </w:p>
    <w:p w14:paraId="362F72FE" w14:textId="19EFFA0B" w:rsidR="00343D24" w:rsidRDefault="00822875" w:rsidP="00822875">
      <w:pPr>
        <w:pStyle w:val="Point0"/>
        <w:rPr>
          <w:noProof/>
        </w:rPr>
      </w:pPr>
      <w:r w:rsidRPr="00822875">
        <w:t>(m)</w:t>
      </w:r>
      <w:r w:rsidRPr="00822875">
        <w:tab/>
      </w:r>
      <w:r w:rsidR="00343D24" w:rsidRPr="00634C62" w:rsidDel="006F51CB">
        <w:rPr>
          <w:noProof/>
        </w:rPr>
        <w:t>‘net turnover’ means</w:t>
      </w:r>
    </w:p>
    <w:p w14:paraId="555B55CC" w14:textId="77777777" w:rsidR="00343D24" w:rsidRDefault="00886963" w:rsidP="00886963">
      <w:pPr>
        <w:pStyle w:val="Point1"/>
        <w:rPr>
          <w:noProof/>
        </w:rPr>
      </w:pPr>
      <w:r>
        <w:rPr>
          <w:noProof/>
        </w:rPr>
        <w:t>(i)</w:t>
      </w:r>
      <w:r>
        <w:rPr>
          <w:noProof/>
        </w:rPr>
        <w:tab/>
      </w:r>
      <w:r w:rsidR="00343D24" w:rsidRPr="00634C62" w:rsidDel="006F51CB">
        <w:rPr>
          <w:noProof/>
        </w:rPr>
        <w:t xml:space="preserve">the </w:t>
      </w:r>
      <w:r w:rsidR="00343D24">
        <w:rPr>
          <w:noProof/>
        </w:rPr>
        <w:t>‘</w:t>
      </w:r>
      <w:r w:rsidR="00343D24" w:rsidRPr="00634C62" w:rsidDel="006F51CB">
        <w:rPr>
          <w:noProof/>
        </w:rPr>
        <w:t>net turnover</w:t>
      </w:r>
      <w:r w:rsidR="00343D24">
        <w:rPr>
          <w:noProof/>
        </w:rPr>
        <w:t>’</w:t>
      </w:r>
      <w:r w:rsidR="00343D24" w:rsidRPr="00634C62" w:rsidDel="006F51CB">
        <w:rPr>
          <w:noProof/>
        </w:rPr>
        <w:t xml:space="preserve"> </w:t>
      </w:r>
      <w:r w:rsidR="00343D24">
        <w:rPr>
          <w:noProof/>
        </w:rPr>
        <w:t>as defined in</w:t>
      </w:r>
      <w:r w:rsidR="00343D24" w:rsidRPr="00634C62" w:rsidDel="006F51CB">
        <w:rPr>
          <w:noProof/>
        </w:rPr>
        <w:t xml:space="preserve"> Article 2</w:t>
      </w:r>
      <w:r w:rsidR="00343D24">
        <w:rPr>
          <w:noProof/>
        </w:rPr>
        <w:t>, point (5),</w:t>
      </w:r>
      <w:r w:rsidR="00343D24" w:rsidRPr="00634C62" w:rsidDel="006F51CB">
        <w:rPr>
          <w:noProof/>
        </w:rPr>
        <w:t xml:space="preserve"> of Directive 2013/34/EU</w:t>
      </w:r>
      <w:r w:rsidR="00343D24">
        <w:rPr>
          <w:noProof/>
        </w:rPr>
        <w:t xml:space="preserve">; </w:t>
      </w:r>
      <w:r w:rsidR="00343D24" w:rsidRPr="00FF4A48">
        <w:rPr>
          <w:noProof/>
        </w:rPr>
        <w:t>or,</w:t>
      </w:r>
    </w:p>
    <w:p w14:paraId="2BF75B43" w14:textId="77777777" w:rsidR="00343D24" w:rsidRPr="00634C62" w:rsidDel="006F51CB" w:rsidRDefault="00886963" w:rsidP="00886963">
      <w:pPr>
        <w:pStyle w:val="Point1"/>
        <w:rPr>
          <w:noProof/>
        </w:rPr>
      </w:pPr>
      <w:r>
        <w:rPr>
          <w:noProof/>
        </w:rPr>
        <w:t>(ii)</w:t>
      </w:r>
      <w:r>
        <w:rPr>
          <w:noProof/>
        </w:rPr>
        <w:tab/>
      </w:r>
      <w:r w:rsidR="00343D24" w:rsidRPr="00FF4A48">
        <w:rPr>
          <w:noProof/>
        </w:rPr>
        <w:t>where the company applies international accounting standards adopted on the basis of Regulation (</w:t>
      </w:r>
      <w:r w:rsidR="00343D24">
        <w:rPr>
          <w:noProof/>
        </w:rPr>
        <w:t>EC) No 1606/2002 of the European Parliament and of the Council</w:t>
      </w:r>
      <w:r w:rsidR="00343D24">
        <w:rPr>
          <w:rStyle w:val="Allmrkuseviide"/>
          <w:noProof/>
        </w:rPr>
        <w:footnoteReference w:id="130"/>
      </w:r>
      <w:r w:rsidR="00343D24">
        <w:rPr>
          <w:noProof/>
        </w:rPr>
        <w:t xml:space="preserve"> or is a company within the meaning of point (a)(ii)</w:t>
      </w:r>
      <w:r w:rsidR="00343D24" w:rsidRPr="00FF4A48">
        <w:rPr>
          <w:noProof/>
        </w:rPr>
        <w:t xml:space="preserve">, the revenue </w:t>
      </w:r>
      <w:r w:rsidR="00343D24">
        <w:rPr>
          <w:noProof/>
        </w:rPr>
        <w:t xml:space="preserve">as defined by or </w:t>
      </w:r>
      <w:r w:rsidR="00343D24" w:rsidRPr="00FF4A48">
        <w:rPr>
          <w:noProof/>
        </w:rPr>
        <w:t>within the meaning of the financial reporting framework on the basis of which the financial statements of the company are prepared</w:t>
      </w:r>
      <w:r w:rsidR="00343D24" w:rsidRPr="00634C62" w:rsidDel="006F51CB">
        <w:rPr>
          <w:noProof/>
        </w:rPr>
        <w:t>;</w:t>
      </w:r>
    </w:p>
    <w:p w14:paraId="5DA55FC8" w14:textId="69F93EED" w:rsidR="00343D24" w:rsidRPr="00634C62" w:rsidRDefault="00822875" w:rsidP="00822875">
      <w:pPr>
        <w:pStyle w:val="Point0"/>
        <w:rPr>
          <w:noProof/>
        </w:rPr>
      </w:pPr>
      <w:r w:rsidRPr="00822875">
        <w:t>(n)</w:t>
      </w:r>
      <w:r w:rsidRPr="00822875">
        <w:tab/>
      </w:r>
      <w:r w:rsidR="00343D24" w:rsidRPr="00634C62">
        <w:rPr>
          <w:noProof/>
        </w:rPr>
        <w:t>‘</w:t>
      </w:r>
      <w:r w:rsidR="00343D24" w:rsidRPr="00723359">
        <w:rPr>
          <w:noProof/>
        </w:rPr>
        <w:t>stakeholder</w:t>
      </w:r>
      <w:r w:rsidR="00343D24">
        <w:rPr>
          <w:noProof/>
        </w:rPr>
        <w:t>s</w:t>
      </w:r>
      <w:r w:rsidR="00343D24" w:rsidRPr="00723359">
        <w:rPr>
          <w:noProof/>
        </w:rPr>
        <w:t>’</w:t>
      </w:r>
      <w:r w:rsidR="00343D24">
        <w:rPr>
          <w:noProof/>
        </w:rPr>
        <w:t xml:space="preserve"> means the company’s</w:t>
      </w:r>
      <w:r w:rsidR="00343D24" w:rsidRPr="00723359">
        <w:rPr>
          <w:noProof/>
        </w:rPr>
        <w:t xml:space="preserve"> employees, </w:t>
      </w:r>
      <w:r w:rsidR="00343D24" w:rsidRPr="002739C4">
        <w:rPr>
          <w:noProof/>
        </w:rPr>
        <w:t xml:space="preserve">the employees of its subsidiaries, </w:t>
      </w:r>
      <w:r w:rsidR="00343D24">
        <w:rPr>
          <w:noProof/>
        </w:rPr>
        <w:t xml:space="preserve">and other individuals, groups, communities </w:t>
      </w:r>
      <w:r w:rsidR="00343D24" w:rsidRPr="002739C4">
        <w:rPr>
          <w:noProof/>
        </w:rPr>
        <w:t>or entities</w:t>
      </w:r>
      <w:r w:rsidR="00343D24" w:rsidRPr="00634C62">
        <w:rPr>
          <w:noProof/>
        </w:rPr>
        <w:t xml:space="preserve"> whose rights or interests are </w:t>
      </w:r>
      <w:r w:rsidR="00343D24">
        <w:rPr>
          <w:noProof/>
        </w:rPr>
        <w:t xml:space="preserve">or could be </w:t>
      </w:r>
      <w:r w:rsidR="00343D24" w:rsidRPr="00634C62">
        <w:rPr>
          <w:noProof/>
        </w:rPr>
        <w:t>affected by the products, services and operations of th</w:t>
      </w:r>
      <w:r w:rsidR="00343D24">
        <w:rPr>
          <w:noProof/>
        </w:rPr>
        <w:t xml:space="preserve">at </w:t>
      </w:r>
      <w:r w:rsidR="00343D24" w:rsidRPr="00634C62">
        <w:rPr>
          <w:noProof/>
        </w:rPr>
        <w:t>company, its subsidiaries and its business relationships;</w:t>
      </w:r>
    </w:p>
    <w:p w14:paraId="2C586B13" w14:textId="1406F532" w:rsidR="00343D24" w:rsidRPr="00E71CB8" w:rsidRDefault="00822875" w:rsidP="00822875">
      <w:pPr>
        <w:pStyle w:val="Point0"/>
        <w:rPr>
          <w:noProof/>
        </w:rPr>
      </w:pPr>
      <w:r w:rsidRPr="00822875">
        <w:t>(o)</w:t>
      </w:r>
      <w:r w:rsidRPr="00822875">
        <w:tab/>
      </w:r>
      <w:r w:rsidR="00343D24" w:rsidRPr="00CB61A3">
        <w:rPr>
          <w:noProof/>
        </w:rPr>
        <w:t>‘director’ means</w:t>
      </w:r>
      <w:r w:rsidR="00343D24">
        <w:rPr>
          <w:noProof/>
        </w:rPr>
        <w:t>:</w:t>
      </w:r>
      <w:r w:rsidR="00343D24" w:rsidRPr="0065118D">
        <w:rPr>
          <w:noProof/>
          <w:szCs w:val="24"/>
        </w:rPr>
        <w:t xml:space="preserve"> </w:t>
      </w:r>
    </w:p>
    <w:p w14:paraId="57109590" w14:textId="77777777" w:rsidR="00343D24" w:rsidRPr="00E71CB8" w:rsidRDefault="00343D24" w:rsidP="00B56F44">
      <w:pPr>
        <w:pStyle w:val="Point1"/>
        <w:rPr>
          <w:noProof/>
        </w:rPr>
      </w:pPr>
      <w:r w:rsidRPr="00E71CB8">
        <w:rPr>
          <w:noProof/>
        </w:rPr>
        <w:t>(i)</w:t>
      </w:r>
      <w:r w:rsidR="00B56F44">
        <w:rPr>
          <w:noProof/>
        </w:rPr>
        <w:tab/>
      </w:r>
      <w:r w:rsidRPr="00E71CB8">
        <w:rPr>
          <w:noProof/>
        </w:rPr>
        <w:t>any member of the administrative, management or supervisory bodies of a company;</w:t>
      </w:r>
    </w:p>
    <w:p w14:paraId="3246911A" w14:textId="77777777" w:rsidR="00343D24" w:rsidRPr="00E71CB8" w:rsidRDefault="00343D24" w:rsidP="00B56F44">
      <w:pPr>
        <w:pStyle w:val="Point1"/>
        <w:rPr>
          <w:noProof/>
        </w:rPr>
      </w:pPr>
      <w:r w:rsidRPr="00E71CB8">
        <w:rPr>
          <w:noProof/>
        </w:rPr>
        <w:t>(ii)</w:t>
      </w:r>
      <w:r w:rsidR="00B56F44">
        <w:rPr>
          <w:noProof/>
        </w:rPr>
        <w:tab/>
      </w:r>
      <w:r w:rsidRPr="00E71CB8">
        <w:rPr>
          <w:noProof/>
        </w:rPr>
        <w:t>where they are not members of the administrative, management or supervisory bodies of a company, the chief executive officer and, if such function exists in a company, the deputy chief executive officer;</w:t>
      </w:r>
    </w:p>
    <w:p w14:paraId="5839597A" w14:textId="77777777" w:rsidR="00343D24" w:rsidRPr="00E71CB8" w:rsidRDefault="00343D24" w:rsidP="00B56F44">
      <w:pPr>
        <w:pStyle w:val="Point1"/>
        <w:rPr>
          <w:noProof/>
        </w:rPr>
      </w:pPr>
      <w:r w:rsidRPr="00E71CB8">
        <w:rPr>
          <w:noProof/>
        </w:rPr>
        <w:t>(iii)</w:t>
      </w:r>
      <w:r w:rsidR="00B56F44">
        <w:rPr>
          <w:noProof/>
        </w:rPr>
        <w:tab/>
      </w:r>
      <w:r w:rsidRPr="00E71CB8">
        <w:rPr>
          <w:noProof/>
        </w:rPr>
        <w:t>other persons who perform functions similar to those performed under point (i) or (ii);</w:t>
      </w:r>
    </w:p>
    <w:p w14:paraId="2B2A7EA7" w14:textId="68CCCDFB" w:rsidR="00343D24" w:rsidRDefault="00822875" w:rsidP="00822875">
      <w:pPr>
        <w:pStyle w:val="Point0"/>
        <w:rPr>
          <w:noProof/>
        </w:rPr>
      </w:pPr>
      <w:r w:rsidRPr="00822875">
        <w:t>(p)</w:t>
      </w:r>
      <w:r w:rsidRPr="00822875">
        <w:tab/>
      </w:r>
      <w:r w:rsidR="00343D24">
        <w:rPr>
          <w:noProof/>
        </w:rPr>
        <w:t xml:space="preserve">‘board of directors’ means the administrative or supervisory body responsible for supervising the executive management of the company, or, </w:t>
      </w:r>
      <w:r w:rsidR="00343D24" w:rsidRPr="4DE26774">
        <w:rPr>
          <w:noProof/>
          <w:lang w:eastAsia="en-GB"/>
        </w:rPr>
        <w:t>if no such body exists, the person or persons performing equivalent functions;</w:t>
      </w:r>
    </w:p>
    <w:p w14:paraId="1849A4A3" w14:textId="5145409E" w:rsidR="00343D24" w:rsidRPr="00EC292E" w:rsidDel="00860312" w:rsidRDefault="00822875" w:rsidP="00822875">
      <w:pPr>
        <w:pStyle w:val="Point0"/>
        <w:rPr>
          <w:noProof/>
        </w:rPr>
      </w:pPr>
      <w:r w:rsidRPr="00822875">
        <w:t>(q)</w:t>
      </w:r>
      <w:r w:rsidRPr="00822875">
        <w:tab/>
      </w:r>
      <w:r w:rsidR="00343D24" w:rsidRPr="00ED14A2">
        <w:rPr>
          <w:noProof/>
        </w:rPr>
        <w:t xml:space="preserve">‘appropriate measure’ </w:t>
      </w:r>
      <w:r w:rsidR="00860312" w:rsidRPr="00ED14A2">
        <w:rPr>
          <w:noProof/>
        </w:rPr>
        <w:t>means a measure that is capable of achieving the objectives of due diligence, commensurate with the degree of severity and the likelihood of the adverse impact, and reasonably available to the company, taking into account the circumstances of the specific case, including cha</w:t>
      </w:r>
      <w:r w:rsidR="00860312" w:rsidRPr="00585AA6">
        <w:rPr>
          <w:noProof/>
        </w:rPr>
        <w:t xml:space="preserve">racteristics of the economic sector and of the specific business relationship and </w:t>
      </w:r>
      <w:r w:rsidR="00251CCD" w:rsidRPr="00960F38">
        <w:rPr>
          <w:noProof/>
        </w:rPr>
        <w:t xml:space="preserve">the </w:t>
      </w:r>
      <w:r w:rsidR="00860312" w:rsidRPr="00EC292E">
        <w:rPr>
          <w:noProof/>
        </w:rPr>
        <w:t>company’s influence thereof, and the need to ensure prioritisation of action.</w:t>
      </w:r>
    </w:p>
    <w:p w14:paraId="5C3DBE21" w14:textId="77777777" w:rsidR="00343D24" w:rsidRPr="00433EB4" w:rsidRDefault="00343D24" w:rsidP="00433EB4">
      <w:pPr>
        <w:pStyle w:val="Titrearticle"/>
        <w:rPr>
          <w:noProof/>
        </w:rPr>
      </w:pPr>
      <w:r w:rsidRPr="00433EB4">
        <w:rPr>
          <w:noProof/>
        </w:rPr>
        <w:t>Article 4</w:t>
      </w:r>
    </w:p>
    <w:p w14:paraId="47B3EBAD" w14:textId="405476DD" w:rsidR="00343D24" w:rsidRPr="005E4CE1" w:rsidRDefault="00343D24" w:rsidP="00343D24">
      <w:pPr>
        <w:pStyle w:val="Articletitle"/>
        <w:rPr>
          <w:noProof/>
          <w:lang w:val="fr-BE"/>
        </w:rPr>
      </w:pPr>
      <w:r w:rsidRPr="005E4CE1">
        <w:rPr>
          <w:noProof/>
          <w:lang w:val="fr-BE"/>
        </w:rPr>
        <w:t>Due diligence</w:t>
      </w:r>
    </w:p>
    <w:p w14:paraId="5C653712" w14:textId="44357138" w:rsidR="00343D24" w:rsidRDefault="00822875" w:rsidP="00822875">
      <w:pPr>
        <w:pStyle w:val="ManualNumPar1"/>
        <w:rPr>
          <w:noProof/>
        </w:rPr>
      </w:pPr>
      <w:r w:rsidRPr="00822875">
        <w:t>1.</w:t>
      </w:r>
      <w:r w:rsidRPr="00822875">
        <w:tab/>
      </w:r>
      <w:r w:rsidR="00343D24" w:rsidRPr="005F0117">
        <w:rPr>
          <w:noProof/>
        </w:rPr>
        <w:t xml:space="preserve">Member States shall ensure that companies </w:t>
      </w:r>
      <w:r w:rsidR="00343D24" w:rsidRPr="00C17263">
        <w:rPr>
          <w:noProof/>
        </w:rPr>
        <w:t>conduct</w:t>
      </w:r>
      <w:r w:rsidR="00343D24">
        <w:rPr>
          <w:noProof/>
        </w:rPr>
        <w:t xml:space="preserve"> human rights</w:t>
      </w:r>
      <w:r w:rsidR="00AF0535">
        <w:rPr>
          <w:noProof/>
        </w:rPr>
        <w:t xml:space="preserve"> </w:t>
      </w:r>
      <w:r w:rsidR="00343D24">
        <w:rPr>
          <w:noProof/>
        </w:rPr>
        <w:t xml:space="preserve">and environmental </w:t>
      </w:r>
      <w:r w:rsidR="00343D24" w:rsidRPr="005F0117">
        <w:rPr>
          <w:noProof/>
        </w:rPr>
        <w:t xml:space="preserve">due diligence </w:t>
      </w:r>
      <w:r w:rsidR="00343D24">
        <w:rPr>
          <w:noProof/>
        </w:rPr>
        <w:t xml:space="preserve">as laid down in Articles 5 to </w:t>
      </w:r>
      <w:r w:rsidR="00433EB4">
        <w:rPr>
          <w:noProof/>
        </w:rPr>
        <w:t>1</w:t>
      </w:r>
      <w:r w:rsidR="005C6482">
        <w:rPr>
          <w:noProof/>
        </w:rPr>
        <w:t>1</w:t>
      </w:r>
      <w:r w:rsidR="00343D24">
        <w:rPr>
          <w:noProof/>
        </w:rPr>
        <w:t xml:space="preserve"> (‘due diligence’</w:t>
      </w:r>
      <w:r w:rsidR="00343D24" w:rsidRPr="007E5939">
        <w:rPr>
          <w:noProof/>
        </w:rPr>
        <w:t>)</w:t>
      </w:r>
      <w:r w:rsidR="00074230">
        <w:rPr>
          <w:noProof/>
        </w:rPr>
        <w:t xml:space="preserve"> </w:t>
      </w:r>
      <w:r w:rsidR="00343D24" w:rsidRPr="00C17263">
        <w:rPr>
          <w:noProof/>
        </w:rPr>
        <w:t xml:space="preserve">by </w:t>
      </w:r>
      <w:r w:rsidR="00343D24">
        <w:rPr>
          <w:noProof/>
        </w:rPr>
        <w:t>carrying out</w:t>
      </w:r>
      <w:r w:rsidR="00343D24" w:rsidRPr="00C17263">
        <w:rPr>
          <w:noProof/>
        </w:rPr>
        <w:t xml:space="preserve"> the </w:t>
      </w:r>
      <w:r w:rsidR="00343D24">
        <w:rPr>
          <w:noProof/>
        </w:rPr>
        <w:t>following actions:</w:t>
      </w:r>
    </w:p>
    <w:p w14:paraId="31FE849B" w14:textId="088A7EF7" w:rsidR="00343D24" w:rsidRDefault="00822875" w:rsidP="00822875">
      <w:pPr>
        <w:pStyle w:val="Point1"/>
        <w:rPr>
          <w:noProof/>
        </w:rPr>
      </w:pPr>
      <w:r w:rsidRPr="00822875">
        <w:t>(a)</w:t>
      </w:r>
      <w:r w:rsidRPr="00822875">
        <w:tab/>
      </w:r>
      <w:r w:rsidR="00343D24">
        <w:rPr>
          <w:noProof/>
        </w:rPr>
        <w:t xml:space="preserve">integrating due diligence into their policies in accordance with </w:t>
      </w:r>
      <w:r w:rsidR="00A74CB4">
        <w:rPr>
          <w:noProof/>
        </w:rPr>
        <w:t>Article 5</w:t>
      </w:r>
      <w:r w:rsidR="00343D24">
        <w:rPr>
          <w:noProof/>
        </w:rPr>
        <w:t>;</w:t>
      </w:r>
    </w:p>
    <w:p w14:paraId="0C320AB3" w14:textId="6CAECA0E" w:rsidR="00343D24" w:rsidRPr="00634C62" w:rsidRDefault="00822875" w:rsidP="00822875">
      <w:pPr>
        <w:pStyle w:val="Point1"/>
        <w:rPr>
          <w:noProof/>
        </w:rPr>
      </w:pPr>
      <w:r w:rsidRPr="00822875">
        <w:t>(b)</w:t>
      </w:r>
      <w:r w:rsidRPr="00822875">
        <w:tab/>
      </w:r>
      <w:r w:rsidR="00343D24" w:rsidRPr="00FE477D">
        <w:rPr>
          <w:noProof/>
        </w:rPr>
        <w:t>identif</w:t>
      </w:r>
      <w:r w:rsidR="0028094B" w:rsidRPr="00FE477D">
        <w:rPr>
          <w:noProof/>
        </w:rPr>
        <w:t>ying</w:t>
      </w:r>
      <w:r w:rsidR="00343D24" w:rsidRPr="00634C62">
        <w:rPr>
          <w:noProof/>
        </w:rPr>
        <w:t xml:space="preserve"> actual</w:t>
      </w:r>
      <w:r w:rsidR="00343D24">
        <w:rPr>
          <w:noProof/>
        </w:rPr>
        <w:t xml:space="preserve"> or potential</w:t>
      </w:r>
      <w:r w:rsidR="00343D24" w:rsidRPr="00634C62">
        <w:rPr>
          <w:noProof/>
        </w:rPr>
        <w:t xml:space="preserve"> adverse imp</w:t>
      </w:r>
      <w:r w:rsidR="00343D24">
        <w:rPr>
          <w:noProof/>
        </w:rPr>
        <w:t xml:space="preserve">acts in accordance with </w:t>
      </w:r>
      <w:r w:rsidR="00065E44">
        <w:rPr>
          <w:noProof/>
        </w:rPr>
        <w:t>Article 6</w:t>
      </w:r>
      <w:r w:rsidR="00343D24" w:rsidRPr="00634C62">
        <w:rPr>
          <w:noProof/>
        </w:rPr>
        <w:t>;</w:t>
      </w:r>
    </w:p>
    <w:p w14:paraId="76D12714" w14:textId="6975F116" w:rsidR="00343D24" w:rsidRDefault="00822875" w:rsidP="00822875">
      <w:pPr>
        <w:pStyle w:val="Point1"/>
        <w:rPr>
          <w:noProof/>
        </w:rPr>
      </w:pPr>
      <w:r w:rsidRPr="00822875">
        <w:t>(c)</w:t>
      </w:r>
      <w:r w:rsidRPr="00822875">
        <w:tab/>
      </w:r>
      <w:r w:rsidR="00343D24" w:rsidRPr="00634C62">
        <w:rPr>
          <w:noProof/>
        </w:rPr>
        <w:t>preventi</w:t>
      </w:r>
      <w:r w:rsidR="0028094B">
        <w:rPr>
          <w:noProof/>
        </w:rPr>
        <w:t>ng</w:t>
      </w:r>
      <w:r w:rsidR="00343D24">
        <w:rPr>
          <w:noProof/>
        </w:rPr>
        <w:t xml:space="preserve"> and </w:t>
      </w:r>
      <w:r w:rsidR="00C45DE4">
        <w:rPr>
          <w:noProof/>
        </w:rPr>
        <w:t xml:space="preserve">mitigating </w:t>
      </w:r>
      <w:r w:rsidR="00343D24">
        <w:rPr>
          <w:noProof/>
        </w:rPr>
        <w:t>potential adverse impacts</w:t>
      </w:r>
      <w:r w:rsidR="00343D24" w:rsidRPr="00634C62">
        <w:rPr>
          <w:noProof/>
        </w:rPr>
        <w:t xml:space="preserve">, and </w:t>
      </w:r>
      <w:r w:rsidR="00343D24">
        <w:rPr>
          <w:noProof/>
        </w:rPr>
        <w:t>bringing</w:t>
      </w:r>
      <w:r w:rsidR="00343D24" w:rsidRPr="00634C62">
        <w:rPr>
          <w:noProof/>
        </w:rPr>
        <w:t xml:space="preserve"> </w:t>
      </w:r>
      <w:r w:rsidR="00343D24">
        <w:rPr>
          <w:noProof/>
        </w:rPr>
        <w:t>actual adverse impact</w:t>
      </w:r>
      <w:r w:rsidR="00AF0535">
        <w:rPr>
          <w:noProof/>
        </w:rPr>
        <w:t>s</w:t>
      </w:r>
      <w:r w:rsidR="0028094B">
        <w:rPr>
          <w:noProof/>
        </w:rPr>
        <w:t xml:space="preserve"> </w:t>
      </w:r>
      <w:r w:rsidR="00343D24">
        <w:rPr>
          <w:noProof/>
        </w:rPr>
        <w:t xml:space="preserve">to an end and </w:t>
      </w:r>
      <w:r w:rsidR="00C45DE4">
        <w:rPr>
          <w:noProof/>
        </w:rPr>
        <w:t xml:space="preserve">minimising </w:t>
      </w:r>
      <w:r w:rsidR="00343D24">
        <w:rPr>
          <w:noProof/>
        </w:rPr>
        <w:t>their extent</w:t>
      </w:r>
      <w:r w:rsidR="00343D24" w:rsidRPr="00634C62">
        <w:rPr>
          <w:noProof/>
        </w:rPr>
        <w:t xml:space="preserve"> in accordance with Article</w:t>
      </w:r>
      <w:r w:rsidR="00343D24">
        <w:rPr>
          <w:noProof/>
        </w:rPr>
        <w:t>s</w:t>
      </w:r>
      <w:r w:rsidR="00343D24" w:rsidRPr="00634C62">
        <w:rPr>
          <w:noProof/>
        </w:rPr>
        <w:t xml:space="preserve"> </w:t>
      </w:r>
      <w:r w:rsidR="005C6482">
        <w:rPr>
          <w:noProof/>
        </w:rPr>
        <w:t>7</w:t>
      </w:r>
      <w:r w:rsidR="00343D24">
        <w:rPr>
          <w:noProof/>
        </w:rPr>
        <w:t xml:space="preserve"> and </w:t>
      </w:r>
      <w:r w:rsidR="005C6482">
        <w:rPr>
          <w:noProof/>
        </w:rPr>
        <w:t>8</w:t>
      </w:r>
      <w:r w:rsidR="00343D24" w:rsidRPr="00634C62">
        <w:rPr>
          <w:noProof/>
        </w:rPr>
        <w:t>;</w:t>
      </w:r>
    </w:p>
    <w:p w14:paraId="50D510FE" w14:textId="2CA8F96F" w:rsidR="00343D24" w:rsidRDefault="00822875" w:rsidP="00822875">
      <w:pPr>
        <w:pStyle w:val="Point1"/>
        <w:rPr>
          <w:noProof/>
        </w:rPr>
      </w:pPr>
      <w:r w:rsidRPr="00822875">
        <w:t>(d)</w:t>
      </w:r>
      <w:r w:rsidRPr="00822875">
        <w:tab/>
      </w:r>
      <w:r w:rsidR="00343D24" w:rsidRPr="00634C62">
        <w:rPr>
          <w:noProof/>
        </w:rPr>
        <w:t xml:space="preserve">establishing and maintaining a complaints procedure in accordance with </w:t>
      </w:r>
      <w:r w:rsidR="008873E6">
        <w:rPr>
          <w:noProof/>
        </w:rPr>
        <w:t>Article 9</w:t>
      </w:r>
      <w:r w:rsidR="00343D24" w:rsidRPr="00634C62">
        <w:rPr>
          <w:noProof/>
        </w:rPr>
        <w:t>;</w:t>
      </w:r>
    </w:p>
    <w:p w14:paraId="18F9BB50" w14:textId="03FA194B" w:rsidR="00343D24" w:rsidRDefault="00822875" w:rsidP="00822875">
      <w:pPr>
        <w:pStyle w:val="Point1"/>
        <w:rPr>
          <w:noProof/>
        </w:rPr>
      </w:pPr>
      <w:r w:rsidRPr="00822875">
        <w:t>(e)</w:t>
      </w:r>
      <w:r w:rsidRPr="00822875">
        <w:tab/>
      </w:r>
      <w:r w:rsidR="00343D24">
        <w:rPr>
          <w:noProof/>
        </w:rPr>
        <w:t>monitoring</w:t>
      </w:r>
      <w:r w:rsidR="00A6291D">
        <w:rPr>
          <w:noProof/>
        </w:rPr>
        <w:t xml:space="preserve"> </w:t>
      </w:r>
      <w:r w:rsidR="00343D24" w:rsidRPr="00634C62">
        <w:rPr>
          <w:noProof/>
        </w:rPr>
        <w:t xml:space="preserve">the effectiveness </w:t>
      </w:r>
      <w:r w:rsidR="00343D24" w:rsidRPr="008C3E47">
        <w:rPr>
          <w:noProof/>
        </w:rPr>
        <w:t>of the</w:t>
      </w:r>
      <w:r w:rsidR="00343D24">
        <w:rPr>
          <w:noProof/>
        </w:rPr>
        <w:t>ir</w:t>
      </w:r>
      <w:r w:rsidR="00343D24" w:rsidRPr="008C3E47">
        <w:rPr>
          <w:noProof/>
        </w:rPr>
        <w:t xml:space="preserve"> due diligence </w:t>
      </w:r>
      <w:r w:rsidR="00343D24" w:rsidRPr="00FE477D">
        <w:rPr>
          <w:noProof/>
        </w:rPr>
        <w:t xml:space="preserve">policy and </w:t>
      </w:r>
      <w:r w:rsidR="00343D24">
        <w:rPr>
          <w:noProof/>
        </w:rPr>
        <w:t>measures</w:t>
      </w:r>
      <w:r w:rsidR="00A6291D">
        <w:rPr>
          <w:noProof/>
        </w:rPr>
        <w:t xml:space="preserve"> </w:t>
      </w:r>
      <w:r w:rsidR="00343D24" w:rsidRPr="00634C62">
        <w:rPr>
          <w:noProof/>
        </w:rPr>
        <w:t xml:space="preserve">in accordance with </w:t>
      </w:r>
      <w:r w:rsidR="008873E6">
        <w:rPr>
          <w:noProof/>
        </w:rPr>
        <w:t>Article 10</w:t>
      </w:r>
      <w:r w:rsidR="00343D24">
        <w:rPr>
          <w:noProof/>
        </w:rPr>
        <w:t>;</w:t>
      </w:r>
    </w:p>
    <w:p w14:paraId="3F93BA23" w14:textId="39E43CB7" w:rsidR="00D93927" w:rsidRDefault="00822875" w:rsidP="00822875">
      <w:pPr>
        <w:pStyle w:val="Point1"/>
        <w:rPr>
          <w:noProof/>
        </w:rPr>
      </w:pPr>
      <w:r w:rsidRPr="00822875">
        <w:t>(f)</w:t>
      </w:r>
      <w:r w:rsidRPr="00822875">
        <w:tab/>
      </w:r>
      <w:r w:rsidR="00343D24" w:rsidRPr="00FE477D">
        <w:rPr>
          <w:noProof/>
        </w:rPr>
        <w:t>publicly communicating on due diligence</w:t>
      </w:r>
      <w:r w:rsidR="00FE477D">
        <w:rPr>
          <w:noProof/>
        </w:rPr>
        <w:t xml:space="preserve"> </w:t>
      </w:r>
      <w:r w:rsidR="00343D24" w:rsidRPr="00F34234">
        <w:rPr>
          <w:noProof/>
        </w:rPr>
        <w:t xml:space="preserve">in accordance with </w:t>
      </w:r>
      <w:r w:rsidR="006C44A3">
        <w:rPr>
          <w:noProof/>
        </w:rPr>
        <w:t>Article 11</w:t>
      </w:r>
      <w:r w:rsidR="00343D24" w:rsidRPr="00F34234">
        <w:rPr>
          <w:noProof/>
        </w:rPr>
        <w:t xml:space="preserve">. </w:t>
      </w:r>
    </w:p>
    <w:p w14:paraId="2158B4E5" w14:textId="3A751CF2" w:rsidR="00343D24" w:rsidRPr="009578D1" w:rsidRDefault="00822875" w:rsidP="00822875">
      <w:pPr>
        <w:pStyle w:val="ManualNumPar1"/>
        <w:rPr>
          <w:noProof/>
        </w:rPr>
      </w:pPr>
      <w:r w:rsidRPr="00822875">
        <w:t>2.</w:t>
      </w:r>
      <w:r w:rsidRPr="00822875">
        <w:tab/>
      </w:r>
      <w:r w:rsidR="00343D24" w:rsidRPr="009578D1">
        <w:rPr>
          <w:noProof/>
        </w:rPr>
        <w:t>Member States shall ensure that, for the purposes of due diligence, companies are entitled to share resources and information within their respective group</w:t>
      </w:r>
      <w:r w:rsidR="00343D24" w:rsidRPr="007E5939">
        <w:rPr>
          <w:noProof/>
        </w:rPr>
        <w:t xml:space="preserve">s of companies and with other legal entities </w:t>
      </w:r>
      <w:r w:rsidR="00343D24" w:rsidRPr="009578D1">
        <w:rPr>
          <w:noProof/>
        </w:rPr>
        <w:t xml:space="preserve">in compliance with applicable competition law.  </w:t>
      </w:r>
    </w:p>
    <w:p w14:paraId="63208969" w14:textId="77777777" w:rsidR="00343D24" w:rsidRDefault="00343D24" w:rsidP="00343D24">
      <w:pPr>
        <w:pStyle w:val="Titrearticle"/>
        <w:rPr>
          <w:noProof/>
        </w:rPr>
      </w:pPr>
      <w:r>
        <w:rPr>
          <w:noProof/>
        </w:rPr>
        <w:t xml:space="preserve">Article </w:t>
      </w:r>
      <w:r w:rsidR="00A74CB4">
        <w:rPr>
          <w:noProof/>
        </w:rPr>
        <w:t>5</w:t>
      </w:r>
    </w:p>
    <w:p w14:paraId="72446146" w14:textId="35149A86" w:rsidR="00343D24" w:rsidRPr="002527C1" w:rsidRDefault="00343D24" w:rsidP="00343D24">
      <w:pPr>
        <w:pStyle w:val="Articletitle"/>
        <w:rPr>
          <w:noProof/>
        </w:rPr>
      </w:pPr>
      <w:r>
        <w:rPr>
          <w:noProof/>
        </w:rPr>
        <w:t>Integrating</w:t>
      </w:r>
      <w:r w:rsidRPr="002527C1">
        <w:rPr>
          <w:noProof/>
        </w:rPr>
        <w:t xml:space="preserve"> due diligence into companies’</w:t>
      </w:r>
      <w:r>
        <w:rPr>
          <w:noProof/>
        </w:rPr>
        <w:t xml:space="preserve"> </w:t>
      </w:r>
      <w:r w:rsidRPr="002527C1">
        <w:rPr>
          <w:noProof/>
        </w:rPr>
        <w:t>polic</w:t>
      </w:r>
      <w:r w:rsidRPr="00575590">
        <w:rPr>
          <w:noProof/>
        </w:rPr>
        <w:t>ies</w:t>
      </w:r>
    </w:p>
    <w:p w14:paraId="4454BC5B" w14:textId="5ECB5B29" w:rsidR="00343D24" w:rsidRDefault="00822875" w:rsidP="00822875">
      <w:pPr>
        <w:pStyle w:val="ManualNumPar1"/>
        <w:rPr>
          <w:noProof/>
        </w:rPr>
      </w:pPr>
      <w:r w:rsidRPr="00822875">
        <w:t>1.</w:t>
      </w:r>
      <w:r w:rsidRPr="00822875">
        <w:tab/>
      </w:r>
      <w:r w:rsidR="00343D24">
        <w:rPr>
          <w:noProof/>
        </w:rPr>
        <w:t>Member States shall ensure that c</w:t>
      </w:r>
      <w:r w:rsidR="00343D24" w:rsidRPr="005F0117">
        <w:rPr>
          <w:noProof/>
        </w:rPr>
        <w:t>ompanies</w:t>
      </w:r>
      <w:r w:rsidR="00343D24">
        <w:rPr>
          <w:noProof/>
        </w:rPr>
        <w:t xml:space="preserve"> integrate due diligence into all their corporate policies and have in place a</w:t>
      </w:r>
      <w:r w:rsidR="00343D24" w:rsidRPr="00BC0359">
        <w:rPr>
          <w:noProof/>
        </w:rPr>
        <w:t xml:space="preserve"> </w:t>
      </w:r>
      <w:r w:rsidR="00343D24">
        <w:rPr>
          <w:noProof/>
        </w:rPr>
        <w:t xml:space="preserve">due diligence </w:t>
      </w:r>
      <w:r w:rsidR="00343D24" w:rsidRPr="00BC0359">
        <w:rPr>
          <w:noProof/>
        </w:rPr>
        <w:t>polic</w:t>
      </w:r>
      <w:r w:rsidR="00343D24">
        <w:rPr>
          <w:noProof/>
        </w:rPr>
        <w:t>y. The due diligence policy shall contain all of the following:</w:t>
      </w:r>
    </w:p>
    <w:p w14:paraId="01CAC7B4" w14:textId="77777777" w:rsidR="00343D24" w:rsidRDefault="00BF7812" w:rsidP="00BF7812">
      <w:pPr>
        <w:pStyle w:val="Point1"/>
        <w:rPr>
          <w:noProof/>
        </w:rPr>
      </w:pPr>
      <w:r>
        <w:rPr>
          <w:noProof/>
          <w:lang w:val="en-US"/>
        </w:rPr>
        <w:t>(a)</w:t>
      </w:r>
      <w:r>
        <w:rPr>
          <w:noProof/>
          <w:lang w:val="en-US"/>
        </w:rPr>
        <w:tab/>
      </w:r>
      <w:r w:rsidR="00343D24">
        <w:rPr>
          <w:noProof/>
          <w:lang w:val="en-US"/>
        </w:rPr>
        <w:t xml:space="preserve">a description of </w:t>
      </w:r>
      <w:r w:rsidR="00343D24" w:rsidRPr="0007674C">
        <w:rPr>
          <w:noProof/>
          <w:lang w:val="en-US"/>
        </w:rPr>
        <w:t xml:space="preserve">the company’s </w:t>
      </w:r>
      <w:r w:rsidR="00343D24">
        <w:rPr>
          <w:noProof/>
        </w:rPr>
        <w:t>approach, including in the long term, to due diligence;</w:t>
      </w:r>
    </w:p>
    <w:p w14:paraId="5B5BF34B" w14:textId="77777777" w:rsidR="00343D24" w:rsidRDefault="00BF7812" w:rsidP="00BF7812">
      <w:pPr>
        <w:pStyle w:val="Point1"/>
        <w:rPr>
          <w:noProof/>
        </w:rPr>
      </w:pPr>
      <w:r>
        <w:rPr>
          <w:noProof/>
        </w:rPr>
        <w:t>(b)</w:t>
      </w:r>
      <w:r>
        <w:rPr>
          <w:noProof/>
        </w:rPr>
        <w:tab/>
      </w:r>
      <w:r w:rsidR="00343D24">
        <w:rPr>
          <w:noProof/>
        </w:rPr>
        <w:t xml:space="preserve">a </w:t>
      </w:r>
      <w:r w:rsidR="00343D24" w:rsidRPr="002B67C0">
        <w:rPr>
          <w:noProof/>
        </w:rPr>
        <w:t xml:space="preserve">code of conduct </w:t>
      </w:r>
      <w:r w:rsidR="00343D24" w:rsidRPr="00EF53D8">
        <w:rPr>
          <w:noProof/>
        </w:rPr>
        <w:t>describing</w:t>
      </w:r>
      <w:r w:rsidR="00343D24">
        <w:rPr>
          <w:noProof/>
        </w:rPr>
        <w:t xml:space="preserve"> rules and principles to be followed by the company’s employees and subsidiaries; </w:t>
      </w:r>
    </w:p>
    <w:p w14:paraId="71917935" w14:textId="77777777" w:rsidR="00343D24" w:rsidRDefault="00BF7812" w:rsidP="00BF7812">
      <w:pPr>
        <w:pStyle w:val="Point1"/>
        <w:rPr>
          <w:noProof/>
        </w:rPr>
      </w:pPr>
      <w:r>
        <w:rPr>
          <w:noProof/>
        </w:rPr>
        <w:t>(c)</w:t>
      </w:r>
      <w:r>
        <w:rPr>
          <w:noProof/>
        </w:rPr>
        <w:tab/>
      </w:r>
      <w:r w:rsidR="00343D24">
        <w:rPr>
          <w:noProof/>
        </w:rPr>
        <w:t xml:space="preserve">a description of the processes put in place to implement due diligence, including the measures taken to verify compliance with the code of conduct and to extend its application to established business relationships. </w:t>
      </w:r>
    </w:p>
    <w:p w14:paraId="74E3EBD9" w14:textId="652530BB" w:rsidR="00343D24" w:rsidRDefault="00822875" w:rsidP="00822875">
      <w:pPr>
        <w:pStyle w:val="ManualNumPar1"/>
        <w:rPr>
          <w:noProof/>
        </w:rPr>
      </w:pPr>
      <w:r w:rsidRPr="00822875">
        <w:t>2.</w:t>
      </w:r>
      <w:r w:rsidRPr="00822875">
        <w:tab/>
      </w:r>
      <w:r w:rsidR="00343D24">
        <w:rPr>
          <w:noProof/>
        </w:rPr>
        <w:t>Member States shall ensure that the companies update</w:t>
      </w:r>
      <w:r w:rsidR="00F95063">
        <w:rPr>
          <w:noProof/>
        </w:rPr>
        <w:t xml:space="preserve"> </w:t>
      </w:r>
      <w:r w:rsidR="00343D24">
        <w:rPr>
          <w:noProof/>
        </w:rPr>
        <w:t>their due diligence policy annually.</w:t>
      </w:r>
    </w:p>
    <w:p w14:paraId="66DBDEF0" w14:textId="77777777" w:rsidR="00343D24" w:rsidRPr="005F0117" w:rsidRDefault="00343D24" w:rsidP="00343D24">
      <w:pPr>
        <w:pStyle w:val="Titrearticle"/>
        <w:rPr>
          <w:noProof/>
        </w:rPr>
      </w:pPr>
      <w:r>
        <w:rPr>
          <w:noProof/>
        </w:rPr>
        <w:t xml:space="preserve">Article </w:t>
      </w:r>
      <w:r w:rsidR="00A74CB4">
        <w:rPr>
          <w:noProof/>
        </w:rPr>
        <w:t>6</w:t>
      </w:r>
    </w:p>
    <w:p w14:paraId="1C0487D0" w14:textId="1E844B72" w:rsidR="00343D24" w:rsidRPr="005F0117" w:rsidRDefault="00343D24" w:rsidP="00343D24">
      <w:pPr>
        <w:pStyle w:val="Articletitle"/>
        <w:rPr>
          <w:noProof/>
        </w:rPr>
      </w:pPr>
      <w:r w:rsidRPr="005F0117">
        <w:rPr>
          <w:noProof/>
        </w:rPr>
        <w:t>Identif</w:t>
      </w:r>
      <w:r w:rsidR="00D93B9B">
        <w:rPr>
          <w:noProof/>
        </w:rPr>
        <w:t>ying</w:t>
      </w:r>
      <w:r>
        <w:rPr>
          <w:noProof/>
        </w:rPr>
        <w:t xml:space="preserve"> </w:t>
      </w:r>
      <w:r w:rsidRPr="005F0117">
        <w:rPr>
          <w:noProof/>
        </w:rPr>
        <w:t>actual</w:t>
      </w:r>
      <w:r>
        <w:rPr>
          <w:noProof/>
        </w:rPr>
        <w:t xml:space="preserve"> and potential</w:t>
      </w:r>
      <w:r w:rsidRPr="005F0117">
        <w:rPr>
          <w:noProof/>
        </w:rPr>
        <w:t xml:space="preserve"> adverse impact</w:t>
      </w:r>
      <w:r>
        <w:rPr>
          <w:noProof/>
        </w:rPr>
        <w:t>s</w:t>
      </w:r>
    </w:p>
    <w:p w14:paraId="74DAFC3E" w14:textId="6D4AAEEA" w:rsidR="00343D24" w:rsidRPr="00AD3D0F" w:rsidRDefault="00822875" w:rsidP="00822875">
      <w:pPr>
        <w:pStyle w:val="ManualNumPar1"/>
        <w:rPr>
          <w:noProof/>
        </w:rPr>
      </w:pPr>
      <w:r w:rsidRPr="00822875">
        <w:t>1.</w:t>
      </w:r>
      <w:r w:rsidRPr="00822875">
        <w:tab/>
      </w:r>
      <w:r w:rsidR="00343D24">
        <w:rPr>
          <w:noProof/>
        </w:rPr>
        <w:t>Member States shall ensure that c</w:t>
      </w:r>
      <w:r w:rsidR="00343D24" w:rsidRPr="005F0117">
        <w:rPr>
          <w:noProof/>
        </w:rPr>
        <w:t>ompanies</w:t>
      </w:r>
      <w:r w:rsidR="00343D24">
        <w:rPr>
          <w:noProof/>
        </w:rPr>
        <w:t xml:space="preserve"> take appropriate measures to </w:t>
      </w:r>
      <w:r w:rsidR="00343D24" w:rsidRPr="005F0117">
        <w:rPr>
          <w:noProof/>
        </w:rPr>
        <w:t xml:space="preserve">identify actual </w:t>
      </w:r>
      <w:r w:rsidR="00343D24">
        <w:rPr>
          <w:noProof/>
        </w:rPr>
        <w:t xml:space="preserve">and potential </w:t>
      </w:r>
      <w:r w:rsidR="00343D24" w:rsidRPr="005F0117">
        <w:rPr>
          <w:noProof/>
        </w:rPr>
        <w:t xml:space="preserve">adverse </w:t>
      </w:r>
      <w:r w:rsidR="00343D24">
        <w:rPr>
          <w:noProof/>
        </w:rPr>
        <w:t>human rights impacts</w:t>
      </w:r>
      <w:r w:rsidR="00085035">
        <w:rPr>
          <w:noProof/>
        </w:rPr>
        <w:t xml:space="preserve"> </w:t>
      </w:r>
      <w:r w:rsidR="00343D24" w:rsidRPr="005F0117">
        <w:rPr>
          <w:noProof/>
        </w:rPr>
        <w:t xml:space="preserve">and </w:t>
      </w:r>
      <w:r w:rsidR="00343D24">
        <w:rPr>
          <w:noProof/>
        </w:rPr>
        <w:t xml:space="preserve">adverse </w:t>
      </w:r>
      <w:r w:rsidR="00343D24" w:rsidRPr="005F0117">
        <w:rPr>
          <w:noProof/>
        </w:rPr>
        <w:t>environmental</w:t>
      </w:r>
      <w:r w:rsidR="00343D24">
        <w:rPr>
          <w:noProof/>
        </w:rPr>
        <w:t xml:space="preserve"> </w:t>
      </w:r>
      <w:r w:rsidR="00343D24" w:rsidRPr="005F0117">
        <w:rPr>
          <w:noProof/>
        </w:rPr>
        <w:t xml:space="preserve">impacts </w:t>
      </w:r>
      <w:r w:rsidR="00343D24">
        <w:rPr>
          <w:noProof/>
        </w:rPr>
        <w:t xml:space="preserve">arising </w:t>
      </w:r>
      <w:r w:rsidR="0081466B">
        <w:rPr>
          <w:noProof/>
        </w:rPr>
        <w:t>from</w:t>
      </w:r>
      <w:r w:rsidR="00AF0535">
        <w:rPr>
          <w:noProof/>
        </w:rPr>
        <w:t xml:space="preserve"> </w:t>
      </w:r>
      <w:r w:rsidR="00CC4F55">
        <w:rPr>
          <w:noProof/>
        </w:rPr>
        <w:t>their own operations</w:t>
      </w:r>
      <w:r w:rsidR="001063D8">
        <w:rPr>
          <w:noProof/>
        </w:rPr>
        <w:t xml:space="preserve"> </w:t>
      </w:r>
      <w:r w:rsidR="00AF0345">
        <w:rPr>
          <w:noProof/>
        </w:rPr>
        <w:t>or</w:t>
      </w:r>
      <w:r w:rsidR="00343D24" w:rsidRPr="005F0117">
        <w:rPr>
          <w:noProof/>
        </w:rPr>
        <w:t xml:space="preserve"> </w:t>
      </w:r>
      <w:r w:rsidR="00343D24">
        <w:rPr>
          <w:noProof/>
        </w:rPr>
        <w:t>those of</w:t>
      </w:r>
      <w:r w:rsidR="00343D24" w:rsidRPr="005F0117">
        <w:rPr>
          <w:noProof/>
        </w:rPr>
        <w:t xml:space="preserve"> their subsidiaries and</w:t>
      </w:r>
      <w:r w:rsidR="00343D24">
        <w:rPr>
          <w:noProof/>
        </w:rPr>
        <w:t xml:space="preserve">, where </w:t>
      </w:r>
      <w:r w:rsidR="00AF0345">
        <w:rPr>
          <w:noProof/>
        </w:rPr>
        <w:t xml:space="preserve">related </w:t>
      </w:r>
      <w:r w:rsidR="00343D24">
        <w:rPr>
          <w:noProof/>
        </w:rPr>
        <w:t>to their value chains,</w:t>
      </w:r>
      <w:r w:rsidR="00343D24" w:rsidRPr="005F0117">
        <w:rPr>
          <w:noProof/>
        </w:rPr>
        <w:t xml:space="preserve"> </w:t>
      </w:r>
      <w:r w:rsidR="0081466B">
        <w:rPr>
          <w:noProof/>
        </w:rPr>
        <w:t>from their</w:t>
      </w:r>
      <w:r w:rsidR="00343D24" w:rsidRPr="005F0117">
        <w:rPr>
          <w:noProof/>
        </w:rPr>
        <w:t xml:space="preserve"> </w:t>
      </w:r>
      <w:r w:rsidR="00343D24">
        <w:rPr>
          <w:noProof/>
        </w:rPr>
        <w:t xml:space="preserve">established </w:t>
      </w:r>
      <w:r w:rsidR="00343D24" w:rsidRPr="005F0117">
        <w:rPr>
          <w:noProof/>
        </w:rPr>
        <w:t>business relationships</w:t>
      </w:r>
      <w:r w:rsidR="00343D24">
        <w:rPr>
          <w:noProof/>
        </w:rPr>
        <w:t>,</w:t>
      </w:r>
      <w:r w:rsidR="00343D24" w:rsidRPr="005F0117">
        <w:rPr>
          <w:noProof/>
        </w:rPr>
        <w:t xml:space="preserve"> </w:t>
      </w:r>
      <w:r w:rsidR="00343D24">
        <w:rPr>
          <w:noProof/>
        </w:rPr>
        <w:t>in accordance with</w:t>
      </w:r>
      <w:r w:rsidR="00343D24" w:rsidRPr="005F0117">
        <w:rPr>
          <w:noProof/>
        </w:rPr>
        <w:t xml:space="preserve"> </w:t>
      </w:r>
      <w:r w:rsidR="000E15D7" w:rsidRPr="005F0117">
        <w:rPr>
          <w:noProof/>
        </w:rPr>
        <w:t>paragraph</w:t>
      </w:r>
      <w:r w:rsidR="000E15D7">
        <w:rPr>
          <w:noProof/>
        </w:rPr>
        <w:t xml:space="preserve"> </w:t>
      </w:r>
      <w:r w:rsidR="00B77E47">
        <w:rPr>
          <w:noProof/>
        </w:rPr>
        <w:t>2,</w:t>
      </w:r>
      <w:r w:rsidR="00714799">
        <w:rPr>
          <w:noProof/>
        </w:rPr>
        <w:t xml:space="preserve"> </w:t>
      </w:r>
      <w:r w:rsidR="00343D24" w:rsidRPr="005F0117">
        <w:rPr>
          <w:noProof/>
        </w:rPr>
        <w:t>3</w:t>
      </w:r>
      <w:r w:rsidR="00B77E47">
        <w:rPr>
          <w:noProof/>
        </w:rPr>
        <w:t xml:space="preserve"> and 4</w:t>
      </w:r>
      <w:r w:rsidR="00343D24" w:rsidRPr="005F0117">
        <w:rPr>
          <w:noProof/>
        </w:rPr>
        <w:t>.</w:t>
      </w:r>
    </w:p>
    <w:p w14:paraId="100BD3E2" w14:textId="793E7CE7" w:rsidR="003B7B6B" w:rsidRDefault="00822875" w:rsidP="00822875">
      <w:pPr>
        <w:pStyle w:val="ManualNumPar1"/>
        <w:rPr>
          <w:noProof/>
        </w:rPr>
      </w:pPr>
      <w:r w:rsidRPr="00822875">
        <w:t>2.</w:t>
      </w:r>
      <w:r w:rsidRPr="00822875">
        <w:tab/>
      </w:r>
      <w:r w:rsidR="00343D24">
        <w:rPr>
          <w:noProof/>
        </w:rPr>
        <w:t>By way of derogation from paragraph 1,</w:t>
      </w:r>
      <w:r w:rsidR="00343D24" w:rsidDel="00763A4C">
        <w:rPr>
          <w:noProof/>
        </w:rPr>
        <w:t xml:space="preserve"> </w:t>
      </w:r>
      <w:r w:rsidR="00343D24">
        <w:rPr>
          <w:noProof/>
        </w:rPr>
        <w:t>c</w:t>
      </w:r>
      <w:r w:rsidR="00343D24" w:rsidRPr="002406E0">
        <w:rPr>
          <w:noProof/>
        </w:rPr>
        <w:t>ompanies referred to in Article 2</w:t>
      </w:r>
      <w:r w:rsidR="00343D24">
        <w:rPr>
          <w:noProof/>
        </w:rPr>
        <w:t xml:space="preserve">(1), point </w:t>
      </w:r>
      <w:r w:rsidR="00343D24" w:rsidRPr="002406E0">
        <w:rPr>
          <w:noProof/>
        </w:rPr>
        <w:t>(b)</w:t>
      </w:r>
      <w:r w:rsidR="00343D24">
        <w:rPr>
          <w:noProof/>
        </w:rPr>
        <w:t>,</w:t>
      </w:r>
      <w:r w:rsidR="00343D24" w:rsidRPr="002406E0">
        <w:rPr>
          <w:noProof/>
        </w:rPr>
        <w:t xml:space="preserve"> and </w:t>
      </w:r>
      <w:r w:rsidR="00343D24">
        <w:rPr>
          <w:noProof/>
        </w:rPr>
        <w:t>Article 2(</w:t>
      </w:r>
      <w:r w:rsidR="00343D24" w:rsidRPr="002406E0">
        <w:rPr>
          <w:noProof/>
        </w:rPr>
        <w:t>2</w:t>
      </w:r>
      <w:r w:rsidR="00343D24">
        <w:rPr>
          <w:noProof/>
        </w:rPr>
        <w:t xml:space="preserve">), point </w:t>
      </w:r>
      <w:r w:rsidR="00343D24" w:rsidRPr="002406E0">
        <w:rPr>
          <w:noProof/>
        </w:rPr>
        <w:t>(b)</w:t>
      </w:r>
      <w:r w:rsidR="00343D24">
        <w:rPr>
          <w:noProof/>
        </w:rPr>
        <w:t>,</w:t>
      </w:r>
      <w:r w:rsidR="00343D24" w:rsidRPr="002406E0">
        <w:rPr>
          <w:noProof/>
        </w:rPr>
        <w:t xml:space="preserve"> shall </w:t>
      </w:r>
      <w:r w:rsidR="00343D24">
        <w:rPr>
          <w:noProof/>
        </w:rPr>
        <w:t xml:space="preserve">only be required to identify actual and potential </w:t>
      </w:r>
      <w:r w:rsidR="009C6D94">
        <w:rPr>
          <w:noProof/>
        </w:rPr>
        <w:t xml:space="preserve">severe </w:t>
      </w:r>
      <w:r w:rsidR="00343D24">
        <w:rPr>
          <w:noProof/>
        </w:rPr>
        <w:t xml:space="preserve">adverse impacts </w:t>
      </w:r>
      <w:r w:rsidR="0082622A">
        <w:rPr>
          <w:noProof/>
        </w:rPr>
        <w:t>relevant to</w:t>
      </w:r>
      <w:r w:rsidR="000E1AF9" w:rsidRPr="00021ADA">
        <w:rPr>
          <w:noProof/>
        </w:rPr>
        <w:t xml:space="preserve"> the respective sector mentioned in Article 2(</w:t>
      </w:r>
      <w:r w:rsidR="00962FFC">
        <w:rPr>
          <w:noProof/>
        </w:rPr>
        <w:t>1</w:t>
      </w:r>
      <w:r w:rsidR="000E1AF9" w:rsidRPr="00021ADA">
        <w:rPr>
          <w:noProof/>
        </w:rPr>
        <w:t>)</w:t>
      </w:r>
      <w:r w:rsidR="00F6542B" w:rsidRPr="00021ADA">
        <w:rPr>
          <w:noProof/>
        </w:rPr>
        <w:t xml:space="preserve">, point </w:t>
      </w:r>
      <w:r w:rsidR="000E1AF9" w:rsidRPr="00021ADA">
        <w:rPr>
          <w:noProof/>
        </w:rPr>
        <w:t>(b)</w:t>
      </w:r>
      <w:r w:rsidR="00F64F91">
        <w:rPr>
          <w:noProof/>
        </w:rPr>
        <w:t>.</w:t>
      </w:r>
    </w:p>
    <w:p w14:paraId="30CC343C" w14:textId="74659CD5" w:rsidR="000A5909" w:rsidRDefault="00822875" w:rsidP="00822875">
      <w:pPr>
        <w:pStyle w:val="ManualNumPar1"/>
        <w:rPr>
          <w:noProof/>
        </w:rPr>
      </w:pPr>
      <w:r w:rsidRPr="00822875">
        <w:t>3.</w:t>
      </w:r>
      <w:r w:rsidRPr="00822875">
        <w:tab/>
      </w:r>
      <w:r w:rsidR="0084591F">
        <w:rPr>
          <w:noProof/>
        </w:rPr>
        <w:t xml:space="preserve">When </w:t>
      </w:r>
      <w:r w:rsidR="00343D24">
        <w:rPr>
          <w:noProof/>
        </w:rPr>
        <w:t xml:space="preserve">companies referred to in Article 3, point (a)(iv), provide credit, loan or </w:t>
      </w:r>
      <w:r w:rsidR="001277DC">
        <w:rPr>
          <w:noProof/>
        </w:rPr>
        <w:t>other financial services</w:t>
      </w:r>
      <w:r w:rsidR="00343D24">
        <w:rPr>
          <w:noProof/>
        </w:rPr>
        <w:t xml:space="preserve">, identification of </w:t>
      </w:r>
      <w:r w:rsidR="00AF0345" w:rsidRPr="00AF0345">
        <w:rPr>
          <w:noProof/>
        </w:rPr>
        <w:t>actual and potential adverse human rights impacts and adverse environmental impacts</w:t>
      </w:r>
      <w:r w:rsidR="00343D24">
        <w:rPr>
          <w:noProof/>
        </w:rPr>
        <w:t xml:space="preserve"> shall be carried out </w:t>
      </w:r>
      <w:r w:rsidR="0084591F" w:rsidRPr="00C2048F">
        <w:rPr>
          <w:noProof/>
        </w:rPr>
        <w:t>only before providing that service</w:t>
      </w:r>
      <w:r w:rsidR="003D1C49">
        <w:rPr>
          <w:noProof/>
        </w:rPr>
        <w:t>.</w:t>
      </w:r>
      <w:r w:rsidR="000A5909">
        <w:rPr>
          <w:noProof/>
        </w:rPr>
        <w:t>.</w:t>
      </w:r>
      <w:r w:rsidR="00B2153C">
        <w:rPr>
          <w:noProof/>
        </w:rPr>
        <w:t xml:space="preserve"> </w:t>
      </w:r>
    </w:p>
    <w:p w14:paraId="24FC9EF1" w14:textId="7D9C6898" w:rsidR="00343D24" w:rsidRPr="008B5654" w:rsidRDefault="00822875" w:rsidP="00822875">
      <w:pPr>
        <w:pStyle w:val="ManualNumPar1"/>
        <w:rPr>
          <w:noProof/>
        </w:rPr>
      </w:pPr>
      <w:r w:rsidRPr="00822875">
        <w:t>4.</w:t>
      </w:r>
      <w:r w:rsidRPr="00822875">
        <w:tab/>
      </w:r>
      <w:r w:rsidR="00343D24">
        <w:rPr>
          <w:noProof/>
        </w:rPr>
        <w:t>Member States</w:t>
      </w:r>
      <w:r w:rsidR="00343D24" w:rsidRPr="005F0120">
        <w:rPr>
          <w:noProof/>
        </w:rPr>
        <w:t xml:space="preserve"> shall </w:t>
      </w:r>
      <w:r w:rsidR="00343D24">
        <w:rPr>
          <w:noProof/>
        </w:rPr>
        <w:t>ensure that, for the purposes of identifying the adverse impacts referred to in paragraph 1</w:t>
      </w:r>
      <w:r w:rsidR="002C3B87">
        <w:rPr>
          <w:noProof/>
        </w:rPr>
        <w:t xml:space="preserve"> based on</w:t>
      </w:r>
      <w:r w:rsidR="00E91099">
        <w:rPr>
          <w:noProof/>
        </w:rPr>
        <w:t>, where appropriate,</w:t>
      </w:r>
      <w:r w:rsidR="002C3B87">
        <w:rPr>
          <w:noProof/>
        </w:rPr>
        <w:t xml:space="preserve"> quantitative and qualitative information</w:t>
      </w:r>
      <w:r w:rsidR="00343D24">
        <w:rPr>
          <w:noProof/>
        </w:rPr>
        <w:t>, c</w:t>
      </w:r>
      <w:r w:rsidR="00343D24" w:rsidRPr="005F0120">
        <w:rPr>
          <w:noProof/>
        </w:rPr>
        <w:t xml:space="preserve">ompanies </w:t>
      </w:r>
      <w:r w:rsidR="00343D24">
        <w:rPr>
          <w:noProof/>
        </w:rPr>
        <w:t>are entitled to make use of appropriate resources, including independent reports and</w:t>
      </w:r>
      <w:r w:rsidR="00343D24" w:rsidRPr="005F0120">
        <w:rPr>
          <w:noProof/>
        </w:rPr>
        <w:t xml:space="preserve"> information gathered through the complaint</w:t>
      </w:r>
      <w:r w:rsidR="00343D24">
        <w:rPr>
          <w:noProof/>
        </w:rPr>
        <w:t>s</w:t>
      </w:r>
      <w:r w:rsidR="00343D24" w:rsidRPr="005F0120">
        <w:rPr>
          <w:noProof/>
        </w:rPr>
        <w:t xml:space="preserve"> </w:t>
      </w:r>
      <w:r w:rsidR="00343D24">
        <w:rPr>
          <w:noProof/>
        </w:rPr>
        <w:t>procedure</w:t>
      </w:r>
      <w:r w:rsidR="00343D24" w:rsidRPr="005F0120">
        <w:rPr>
          <w:noProof/>
        </w:rPr>
        <w:t xml:space="preserve"> </w:t>
      </w:r>
      <w:r w:rsidR="00343D24">
        <w:rPr>
          <w:noProof/>
        </w:rPr>
        <w:t xml:space="preserve">provided for in </w:t>
      </w:r>
      <w:r w:rsidR="008873E6">
        <w:rPr>
          <w:noProof/>
        </w:rPr>
        <w:t>Article 9</w:t>
      </w:r>
      <w:r w:rsidR="00343D24">
        <w:rPr>
          <w:noProof/>
        </w:rPr>
        <w:t>. Companies shall, where relevant, also carry out consultations with potentially affected groups including workers and other relevant stakeholders to gather information on actual or potential adverse impacts.</w:t>
      </w:r>
    </w:p>
    <w:p w14:paraId="0A6A3F6C" w14:textId="77777777" w:rsidR="00343D24" w:rsidRPr="002B67C0" w:rsidRDefault="00343D24" w:rsidP="00343D24">
      <w:pPr>
        <w:pStyle w:val="Titrearticle"/>
        <w:rPr>
          <w:noProof/>
          <w:lang w:val="en-IE"/>
        </w:rPr>
      </w:pPr>
      <w:r w:rsidRPr="002B67C0">
        <w:rPr>
          <w:noProof/>
          <w:lang w:val="en-IE"/>
        </w:rPr>
        <w:t xml:space="preserve">Article </w:t>
      </w:r>
      <w:r w:rsidR="00AC2803">
        <w:rPr>
          <w:noProof/>
          <w:lang w:val="en-IE"/>
        </w:rPr>
        <w:t>7</w:t>
      </w:r>
    </w:p>
    <w:p w14:paraId="290FCABB" w14:textId="776D01CE" w:rsidR="00343D24" w:rsidRPr="002B67C0" w:rsidRDefault="00343D24" w:rsidP="00343D24">
      <w:pPr>
        <w:pStyle w:val="Articletitle"/>
        <w:rPr>
          <w:noProof/>
        </w:rPr>
      </w:pPr>
      <w:r w:rsidRPr="0021378F">
        <w:rPr>
          <w:noProof/>
        </w:rPr>
        <w:t>Preventi</w:t>
      </w:r>
      <w:r w:rsidR="0028094B" w:rsidRPr="0021378F">
        <w:rPr>
          <w:noProof/>
        </w:rPr>
        <w:t>ng</w:t>
      </w:r>
      <w:r w:rsidRPr="002B67C0">
        <w:rPr>
          <w:noProof/>
        </w:rPr>
        <w:t xml:space="preserve"> potential adverse impacts</w:t>
      </w:r>
    </w:p>
    <w:p w14:paraId="5DE1401F" w14:textId="2F522684" w:rsidR="00343D24" w:rsidRPr="00445B0B" w:rsidRDefault="00822875" w:rsidP="00822875">
      <w:pPr>
        <w:pStyle w:val="ManualNumPar1"/>
        <w:rPr>
          <w:noProof/>
        </w:rPr>
      </w:pPr>
      <w:r w:rsidRPr="00822875">
        <w:t>1.</w:t>
      </w:r>
      <w:r w:rsidRPr="00822875">
        <w:tab/>
      </w:r>
      <w:r w:rsidR="00343D24" w:rsidRPr="00257B5F">
        <w:rPr>
          <w:noProof/>
        </w:rPr>
        <w:t>Member States shall ensure that companies</w:t>
      </w:r>
      <w:r w:rsidR="00343D24" w:rsidRPr="00257B5F" w:rsidDel="009A0094">
        <w:rPr>
          <w:noProof/>
        </w:rPr>
        <w:t xml:space="preserve"> </w:t>
      </w:r>
      <w:r w:rsidR="00343D24" w:rsidRPr="00257B5F">
        <w:rPr>
          <w:noProof/>
        </w:rPr>
        <w:t>take appropriate measures to prevent</w:t>
      </w:r>
      <w:r w:rsidR="00343D24">
        <w:rPr>
          <w:noProof/>
        </w:rPr>
        <w:t xml:space="preserve">, or where prevention is not possible or not immediately possible, </w:t>
      </w:r>
      <w:r w:rsidR="00415145">
        <w:rPr>
          <w:noProof/>
        </w:rPr>
        <w:t xml:space="preserve">adequately </w:t>
      </w:r>
      <w:r w:rsidR="00343D24">
        <w:rPr>
          <w:noProof/>
        </w:rPr>
        <w:t>mi</w:t>
      </w:r>
      <w:r w:rsidR="00415145">
        <w:rPr>
          <w:noProof/>
        </w:rPr>
        <w:t>tigate</w:t>
      </w:r>
      <w:r w:rsidR="00343D24" w:rsidRPr="00257B5F">
        <w:rPr>
          <w:noProof/>
        </w:rPr>
        <w:t xml:space="preserve"> potential adverse human rights</w:t>
      </w:r>
      <w:r w:rsidR="00343D24">
        <w:rPr>
          <w:noProof/>
        </w:rPr>
        <w:t xml:space="preserve"> </w:t>
      </w:r>
      <w:r w:rsidR="001111E7">
        <w:rPr>
          <w:noProof/>
        </w:rPr>
        <w:t>impacts</w:t>
      </w:r>
      <w:r w:rsidR="00343D24" w:rsidRPr="00257B5F">
        <w:rPr>
          <w:noProof/>
        </w:rPr>
        <w:t xml:space="preserve"> and </w:t>
      </w:r>
      <w:r w:rsidR="001111E7">
        <w:rPr>
          <w:noProof/>
        </w:rPr>
        <w:t>adverse</w:t>
      </w:r>
      <w:r w:rsidR="00343D24" w:rsidRPr="00257B5F">
        <w:rPr>
          <w:noProof/>
        </w:rPr>
        <w:t xml:space="preserve"> environmental</w:t>
      </w:r>
      <w:r w:rsidR="00343D24">
        <w:rPr>
          <w:noProof/>
        </w:rPr>
        <w:t xml:space="preserve"> </w:t>
      </w:r>
      <w:r w:rsidR="00343D24" w:rsidRPr="00257B5F">
        <w:rPr>
          <w:noProof/>
        </w:rPr>
        <w:t>impacts</w:t>
      </w:r>
      <w:r w:rsidR="00343D24">
        <w:rPr>
          <w:noProof/>
        </w:rPr>
        <w:t xml:space="preserve"> that have been, or should have been, identified pursuant to </w:t>
      </w:r>
      <w:r w:rsidR="00A74CB4">
        <w:rPr>
          <w:noProof/>
        </w:rPr>
        <w:t>Article 6</w:t>
      </w:r>
      <w:r w:rsidR="00343D24" w:rsidRPr="00445B0B">
        <w:rPr>
          <w:noProof/>
        </w:rPr>
        <w:t xml:space="preserve">, in accordance with </w:t>
      </w:r>
      <w:r w:rsidR="00343D24">
        <w:rPr>
          <w:noProof/>
        </w:rPr>
        <w:t>paragraphs 2, 3</w:t>
      </w:r>
      <w:r w:rsidR="00EC2340">
        <w:rPr>
          <w:noProof/>
        </w:rPr>
        <w:t>,</w:t>
      </w:r>
      <w:r w:rsidR="00343D24">
        <w:rPr>
          <w:noProof/>
        </w:rPr>
        <w:t xml:space="preserve"> 4</w:t>
      </w:r>
      <w:r w:rsidR="001F10E9">
        <w:rPr>
          <w:noProof/>
        </w:rPr>
        <w:t xml:space="preserve"> </w:t>
      </w:r>
      <w:r w:rsidR="00343D24">
        <w:rPr>
          <w:noProof/>
        </w:rPr>
        <w:t xml:space="preserve">and </w:t>
      </w:r>
      <w:r w:rsidR="001F10E9">
        <w:rPr>
          <w:noProof/>
        </w:rPr>
        <w:t>5</w:t>
      </w:r>
      <w:r w:rsidR="00343D24">
        <w:rPr>
          <w:noProof/>
        </w:rPr>
        <w:t xml:space="preserve"> of this Article</w:t>
      </w:r>
      <w:r w:rsidR="00343D24" w:rsidRPr="00445B0B">
        <w:rPr>
          <w:noProof/>
        </w:rPr>
        <w:t>.</w:t>
      </w:r>
    </w:p>
    <w:p w14:paraId="2565DD73" w14:textId="7DB1F6B3" w:rsidR="00343D24" w:rsidRDefault="00822875" w:rsidP="00822875">
      <w:pPr>
        <w:pStyle w:val="ManualNumPar1"/>
        <w:rPr>
          <w:noProof/>
        </w:rPr>
      </w:pPr>
      <w:r w:rsidRPr="00822875">
        <w:t>2.</w:t>
      </w:r>
      <w:r w:rsidRPr="00822875">
        <w:tab/>
      </w:r>
      <w:r w:rsidR="00343D24">
        <w:rPr>
          <w:noProof/>
        </w:rPr>
        <w:t>Companies shall be required to take the following actions</w:t>
      </w:r>
      <w:r w:rsidR="00343D24" w:rsidDel="008D4478">
        <w:rPr>
          <w:noProof/>
        </w:rPr>
        <w:t xml:space="preserve">, </w:t>
      </w:r>
      <w:r w:rsidR="00343D24">
        <w:rPr>
          <w:noProof/>
        </w:rPr>
        <w:t xml:space="preserve">where relevant: </w:t>
      </w:r>
    </w:p>
    <w:p w14:paraId="4FED45BD" w14:textId="77777777" w:rsidR="00343D24" w:rsidRDefault="00C67A17" w:rsidP="00021ADA">
      <w:pPr>
        <w:pStyle w:val="Point1"/>
        <w:rPr>
          <w:noProof/>
        </w:rPr>
      </w:pPr>
      <w:r>
        <w:rPr>
          <w:noProof/>
        </w:rPr>
        <w:t>(a)</w:t>
      </w:r>
      <w:r>
        <w:rPr>
          <w:noProof/>
        </w:rPr>
        <w:tab/>
      </w:r>
      <w:r w:rsidR="00343D24">
        <w:rPr>
          <w:noProof/>
        </w:rPr>
        <w:t>w</w:t>
      </w:r>
      <w:r w:rsidR="00343D24" w:rsidRPr="003E0639">
        <w:rPr>
          <w:noProof/>
        </w:rPr>
        <w:t xml:space="preserve">here necessary due to the </w:t>
      </w:r>
      <w:r w:rsidR="00343D24">
        <w:rPr>
          <w:noProof/>
        </w:rPr>
        <w:t xml:space="preserve">nature or </w:t>
      </w:r>
      <w:r w:rsidR="00343D24" w:rsidRPr="003E0639">
        <w:rPr>
          <w:noProof/>
        </w:rPr>
        <w:t xml:space="preserve">complexity of </w:t>
      </w:r>
      <w:r w:rsidR="00343D24">
        <w:rPr>
          <w:noProof/>
        </w:rPr>
        <w:t>the</w:t>
      </w:r>
      <w:r w:rsidR="00343D24" w:rsidRPr="003E0639">
        <w:rPr>
          <w:noProof/>
        </w:rPr>
        <w:t xml:space="preserve"> measures</w:t>
      </w:r>
      <w:r w:rsidR="00343D24">
        <w:rPr>
          <w:noProof/>
        </w:rPr>
        <w:t xml:space="preserve"> required for prevention, </w:t>
      </w:r>
      <w:r w:rsidR="00343D24" w:rsidRPr="00021ADA">
        <w:rPr>
          <w:noProof/>
        </w:rPr>
        <w:t xml:space="preserve">develop and implement a prevention action plan, with reasonable and clearly defined timelines for action and qualitative and quantitative indicators for measuring improvement. </w:t>
      </w:r>
      <w:r w:rsidR="009B5A20">
        <w:rPr>
          <w:noProof/>
        </w:rPr>
        <w:t>T</w:t>
      </w:r>
      <w:r w:rsidR="00343D24" w:rsidRPr="00021ADA">
        <w:rPr>
          <w:noProof/>
        </w:rPr>
        <w:t xml:space="preserve">he prevention action plan shall be developed in consultation with </w:t>
      </w:r>
      <w:r w:rsidR="009B5A20">
        <w:rPr>
          <w:noProof/>
        </w:rPr>
        <w:t xml:space="preserve">affected </w:t>
      </w:r>
      <w:r w:rsidR="00343D24" w:rsidRPr="00021ADA">
        <w:rPr>
          <w:noProof/>
        </w:rPr>
        <w:t xml:space="preserve">stakeholders; </w:t>
      </w:r>
    </w:p>
    <w:p w14:paraId="5C995001" w14:textId="62605753" w:rsidR="00343D24" w:rsidRPr="00F812CA" w:rsidRDefault="00C67A17" w:rsidP="00476AB6">
      <w:pPr>
        <w:pStyle w:val="Point1"/>
        <w:rPr>
          <w:noProof/>
          <w:lang w:val="en-IE"/>
        </w:rPr>
      </w:pPr>
      <w:r>
        <w:rPr>
          <w:noProof/>
        </w:rPr>
        <w:t>(b)</w:t>
      </w:r>
      <w:r w:rsidR="00476AB6">
        <w:rPr>
          <w:noProof/>
        </w:rPr>
        <w:tab/>
      </w:r>
      <w:r w:rsidR="00DB7650" w:rsidDel="00B103DD">
        <w:rPr>
          <w:noProof/>
        </w:rPr>
        <w:t>seek</w:t>
      </w:r>
      <w:r w:rsidR="00DB7650">
        <w:rPr>
          <w:noProof/>
        </w:rPr>
        <w:t xml:space="preserve"> </w:t>
      </w:r>
      <w:r w:rsidR="00343D24">
        <w:rPr>
          <w:noProof/>
        </w:rPr>
        <w:t xml:space="preserve">contractual assurances from </w:t>
      </w:r>
      <w:r w:rsidR="00DB7650">
        <w:rPr>
          <w:noProof/>
        </w:rPr>
        <w:t xml:space="preserve">a business </w:t>
      </w:r>
      <w:r w:rsidR="00343D24">
        <w:rPr>
          <w:noProof/>
        </w:rPr>
        <w:t xml:space="preserve">partner with whom it has a </w:t>
      </w:r>
      <w:r w:rsidR="00E46A92">
        <w:rPr>
          <w:noProof/>
        </w:rPr>
        <w:t>direct</w:t>
      </w:r>
      <w:r w:rsidR="00DB7650">
        <w:rPr>
          <w:noProof/>
        </w:rPr>
        <w:t xml:space="preserve"> </w:t>
      </w:r>
      <w:r w:rsidR="00343D24">
        <w:rPr>
          <w:noProof/>
        </w:rPr>
        <w:t xml:space="preserve">business relationship that </w:t>
      </w:r>
      <w:r w:rsidR="00343D24" w:rsidRPr="002A19FE">
        <w:rPr>
          <w:noProof/>
        </w:rPr>
        <w:t xml:space="preserve">it will ensure compliance with the </w:t>
      </w:r>
      <w:r w:rsidR="00343D24">
        <w:rPr>
          <w:noProof/>
        </w:rPr>
        <w:t>company’s</w:t>
      </w:r>
      <w:r w:rsidR="00343D24" w:rsidRPr="002A19FE">
        <w:rPr>
          <w:noProof/>
        </w:rPr>
        <w:t xml:space="preserve"> code of conduct</w:t>
      </w:r>
      <w:r w:rsidR="00343D24">
        <w:rPr>
          <w:noProof/>
        </w:rPr>
        <w:t xml:space="preserve"> and, as necessary,</w:t>
      </w:r>
      <w:r w:rsidR="009C05B4">
        <w:rPr>
          <w:noProof/>
        </w:rPr>
        <w:t xml:space="preserve"> </w:t>
      </w:r>
      <w:r w:rsidR="00DB7650">
        <w:rPr>
          <w:noProof/>
        </w:rPr>
        <w:t>a</w:t>
      </w:r>
      <w:r w:rsidR="00343D24">
        <w:rPr>
          <w:noProof/>
        </w:rPr>
        <w:t xml:space="preserve"> prevention action plan,</w:t>
      </w:r>
      <w:r w:rsidR="00343D24" w:rsidDel="00EF57A2">
        <w:rPr>
          <w:noProof/>
        </w:rPr>
        <w:t xml:space="preserve"> </w:t>
      </w:r>
      <w:r w:rsidR="00343D24">
        <w:rPr>
          <w:noProof/>
        </w:rPr>
        <w:t>including by seeking corresponding contractual assurances from its partners, to the extent that their activities are part of the company’s value chain (contractual cascading).</w:t>
      </w:r>
      <w:r w:rsidR="00343D24" w:rsidRPr="00CA3E0D">
        <w:rPr>
          <w:noProof/>
        </w:rPr>
        <w:t xml:space="preserve"> </w:t>
      </w:r>
      <w:r w:rsidR="009D5CBD" w:rsidRPr="009D5CBD">
        <w:rPr>
          <w:noProof/>
        </w:rPr>
        <w:t>When such contractual assurances are obtained, paragraph 4 shall apply</w:t>
      </w:r>
      <w:r w:rsidR="000D59BD">
        <w:rPr>
          <w:noProof/>
        </w:rPr>
        <w:t>;</w:t>
      </w:r>
      <w:r w:rsidR="00F812CA">
        <w:rPr>
          <w:noProof/>
          <w:lang w:val="en-IE"/>
        </w:rPr>
        <w:t xml:space="preserve"> </w:t>
      </w:r>
    </w:p>
    <w:p w14:paraId="009F293C" w14:textId="77777777" w:rsidR="00343D24" w:rsidRPr="00754312" w:rsidRDefault="00C67A17" w:rsidP="00476AB6">
      <w:pPr>
        <w:pStyle w:val="Point1"/>
        <w:rPr>
          <w:noProof/>
        </w:rPr>
      </w:pPr>
      <w:r>
        <w:rPr>
          <w:noProof/>
        </w:rPr>
        <w:t>(c)</w:t>
      </w:r>
      <w:r w:rsidR="00476AB6">
        <w:rPr>
          <w:noProof/>
        </w:rPr>
        <w:tab/>
      </w:r>
      <w:r w:rsidR="00343D24">
        <w:rPr>
          <w:noProof/>
        </w:rPr>
        <w:t>m</w:t>
      </w:r>
      <w:r w:rsidR="00343D24" w:rsidRPr="00754312">
        <w:rPr>
          <w:noProof/>
        </w:rPr>
        <w:t>ake</w:t>
      </w:r>
      <w:r w:rsidR="00343D24">
        <w:rPr>
          <w:noProof/>
        </w:rPr>
        <w:t xml:space="preserve"> necessary</w:t>
      </w:r>
      <w:r w:rsidR="00343D24" w:rsidRPr="00754312">
        <w:rPr>
          <w:noProof/>
        </w:rPr>
        <w:t xml:space="preserve"> investments</w:t>
      </w:r>
      <w:r w:rsidR="00DB7650" w:rsidRPr="00DB7650">
        <w:rPr>
          <w:noProof/>
        </w:rPr>
        <w:t>, such as into management or production processes and infrastructures,</w:t>
      </w:r>
      <w:r w:rsidR="00343D24">
        <w:rPr>
          <w:noProof/>
        </w:rPr>
        <w:t xml:space="preserve"> to comply with paragraph 1;</w:t>
      </w:r>
      <w:r w:rsidR="00343D24" w:rsidRPr="00754312">
        <w:rPr>
          <w:noProof/>
        </w:rPr>
        <w:t xml:space="preserve"> </w:t>
      </w:r>
    </w:p>
    <w:p w14:paraId="74FD815D" w14:textId="77777777" w:rsidR="00415145" w:rsidRDefault="00C67A17" w:rsidP="009B5A20">
      <w:pPr>
        <w:pStyle w:val="Point1"/>
        <w:rPr>
          <w:noProof/>
        </w:rPr>
      </w:pPr>
      <w:r>
        <w:rPr>
          <w:noProof/>
        </w:rPr>
        <w:t>(d)</w:t>
      </w:r>
      <w:r w:rsidR="00476AB6">
        <w:rPr>
          <w:noProof/>
        </w:rPr>
        <w:tab/>
      </w:r>
      <w:r w:rsidR="00343D24" w:rsidRPr="00476AB6">
        <w:rPr>
          <w:noProof/>
        </w:rPr>
        <w:t xml:space="preserve">provide targeted and proportionate support for an SME with which the company has an established business relationship, where compliance </w:t>
      </w:r>
      <w:r w:rsidR="00343D24">
        <w:rPr>
          <w:noProof/>
        </w:rPr>
        <w:tab/>
      </w:r>
      <w:r w:rsidR="00343D24">
        <w:rPr>
          <w:noProof/>
        </w:rPr>
        <w:tab/>
      </w:r>
      <w:r w:rsidR="00343D24">
        <w:rPr>
          <w:noProof/>
        </w:rPr>
        <w:tab/>
        <w:t>with the code of conduct or the prevention action plan would jeopardise the viability of the SME</w:t>
      </w:r>
      <w:r w:rsidR="00384CCC">
        <w:rPr>
          <w:noProof/>
        </w:rPr>
        <w:t>;</w:t>
      </w:r>
    </w:p>
    <w:p w14:paraId="3C58D12F" w14:textId="77777777" w:rsidR="00415145" w:rsidRPr="009C05B4" w:rsidRDefault="00415145" w:rsidP="00415145">
      <w:pPr>
        <w:pStyle w:val="Point1"/>
        <w:rPr>
          <w:noProof/>
        </w:rPr>
      </w:pPr>
      <w:r>
        <w:rPr>
          <w:noProof/>
        </w:rPr>
        <w:t>(e)</w:t>
      </w:r>
      <w:r>
        <w:rPr>
          <w:noProof/>
        </w:rPr>
        <w:tab/>
      </w:r>
      <w:r w:rsidRPr="009C05B4">
        <w:rPr>
          <w:noProof/>
        </w:rPr>
        <w:t xml:space="preserve">in compliance with </w:t>
      </w:r>
      <w:r>
        <w:rPr>
          <w:noProof/>
        </w:rPr>
        <w:t>Union</w:t>
      </w:r>
      <w:r w:rsidRPr="009C05B4">
        <w:rPr>
          <w:noProof/>
        </w:rPr>
        <w:t xml:space="preserve"> law including competition law, collaborate with other entities, including, where relevant, to increase the company’s ability to bring the adverse impact to an end, in particular where no other action is suitable or effective.</w:t>
      </w:r>
    </w:p>
    <w:p w14:paraId="365DDBF4" w14:textId="4B9A68C4" w:rsidR="009D5CBD" w:rsidRDefault="00822875" w:rsidP="00822875">
      <w:pPr>
        <w:pStyle w:val="ManualNumPar1"/>
        <w:rPr>
          <w:noProof/>
        </w:rPr>
      </w:pPr>
      <w:r w:rsidRPr="00822875">
        <w:t>3.</w:t>
      </w:r>
      <w:r w:rsidRPr="00822875">
        <w:tab/>
      </w:r>
      <w:r w:rsidR="00343D24">
        <w:rPr>
          <w:noProof/>
        </w:rPr>
        <w:t>As regards potential adverse impacts that</w:t>
      </w:r>
      <w:r w:rsidR="00343D24" w:rsidRPr="002B67C0">
        <w:rPr>
          <w:noProof/>
        </w:rPr>
        <w:t xml:space="preserve"> could not be </w:t>
      </w:r>
      <w:r w:rsidR="00343D24">
        <w:rPr>
          <w:noProof/>
        </w:rPr>
        <w:t xml:space="preserve">prevented or adequately </w:t>
      </w:r>
      <w:r w:rsidR="009B5A20">
        <w:rPr>
          <w:noProof/>
        </w:rPr>
        <w:t>mitigated</w:t>
      </w:r>
      <w:r w:rsidR="009B5A20" w:rsidRPr="002B67C0">
        <w:rPr>
          <w:noProof/>
        </w:rPr>
        <w:t xml:space="preserve"> </w:t>
      </w:r>
      <w:r w:rsidR="00343D24" w:rsidRPr="002B67C0">
        <w:rPr>
          <w:noProof/>
        </w:rPr>
        <w:t>by the measures</w:t>
      </w:r>
      <w:r w:rsidR="00343D24">
        <w:rPr>
          <w:noProof/>
        </w:rPr>
        <w:t xml:space="preserve"> in paragraph 2</w:t>
      </w:r>
      <w:r w:rsidR="00343D24" w:rsidRPr="002B67C0">
        <w:rPr>
          <w:noProof/>
        </w:rPr>
        <w:t xml:space="preserve">, </w:t>
      </w:r>
      <w:r w:rsidR="00343D24">
        <w:rPr>
          <w:noProof/>
        </w:rPr>
        <w:t>the company may seek to conclude</w:t>
      </w:r>
      <w:r w:rsidR="00343D24" w:rsidRPr="002B67C0">
        <w:rPr>
          <w:noProof/>
        </w:rPr>
        <w:t xml:space="preserve"> a contract </w:t>
      </w:r>
      <w:r w:rsidR="00343D24">
        <w:rPr>
          <w:noProof/>
        </w:rPr>
        <w:t xml:space="preserve">with a partner with whom it has an indirect relationship, with a view to achieving compliance with the company’s code of conduct or a prevention action plan. </w:t>
      </w:r>
      <w:r w:rsidR="009D5CBD" w:rsidRPr="009D5CBD">
        <w:rPr>
          <w:noProof/>
        </w:rPr>
        <w:t>When such a contract is concluded, paragraph 4 shall apply.</w:t>
      </w:r>
      <w:r w:rsidR="009D5CBD">
        <w:rPr>
          <w:noProof/>
        </w:rPr>
        <w:t xml:space="preserve"> </w:t>
      </w:r>
    </w:p>
    <w:p w14:paraId="269EDAAD" w14:textId="256916BF" w:rsidR="000D3E5C" w:rsidRPr="001873B0" w:rsidRDefault="00822875" w:rsidP="00822875">
      <w:pPr>
        <w:pStyle w:val="ManualNumPar1"/>
        <w:rPr>
          <w:noProof/>
        </w:rPr>
      </w:pPr>
      <w:r w:rsidRPr="00822875">
        <w:t>4.</w:t>
      </w:r>
      <w:r w:rsidRPr="00822875">
        <w:tab/>
      </w:r>
      <w:r w:rsidR="00343D24" w:rsidRPr="001873B0">
        <w:rPr>
          <w:noProof/>
        </w:rPr>
        <w:t>The</w:t>
      </w:r>
      <w:r w:rsidR="009D5CBD" w:rsidRPr="001873B0">
        <w:rPr>
          <w:noProof/>
        </w:rPr>
        <w:t xml:space="preserve"> contractual assurances or the</w:t>
      </w:r>
      <w:r w:rsidR="00343D24" w:rsidRPr="001873B0">
        <w:rPr>
          <w:noProof/>
        </w:rPr>
        <w:t xml:space="preserve"> contract shall be accompanied by the appropriate measures to verify compliance. For the purposes of verifying compliance, the company may refer to suitable industry initiatives or independent third-p</w:t>
      </w:r>
      <w:r w:rsidR="000D3E5C" w:rsidRPr="001873B0">
        <w:rPr>
          <w:noProof/>
        </w:rPr>
        <w:t>arty verification.</w:t>
      </w:r>
    </w:p>
    <w:p w14:paraId="31E98CF3" w14:textId="702EF65E" w:rsidR="00343D24" w:rsidRPr="00BB6540" w:rsidRDefault="00111F1D" w:rsidP="00C1099F">
      <w:pPr>
        <w:pStyle w:val="Text1"/>
        <w:rPr>
          <w:noProof/>
        </w:rPr>
      </w:pPr>
      <w:r w:rsidRPr="001873B0">
        <w:rPr>
          <w:noProof/>
        </w:rPr>
        <w:t xml:space="preserve">When contractual assurances are obtained from, or a contract is entered into, with an SME, the terms used shall be fair, reasonable and non-discriminatory. </w:t>
      </w:r>
      <w:r w:rsidR="009D5CBD" w:rsidRPr="001873B0">
        <w:rPr>
          <w:noProof/>
        </w:rPr>
        <w:t xml:space="preserve">Where </w:t>
      </w:r>
      <w:r w:rsidRPr="001873B0">
        <w:rPr>
          <w:noProof/>
        </w:rPr>
        <w:t>measures to verify compliance</w:t>
      </w:r>
      <w:r w:rsidR="009D5CBD" w:rsidRPr="001873B0">
        <w:rPr>
          <w:noProof/>
        </w:rPr>
        <w:t xml:space="preserve"> are carried out</w:t>
      </w:r>
      <w:r w:rsidR="00101345" w:rsidRPr="001873B0">
        <w:rPr>
          <w:noProof/>
        </w:rPr>
        <w:t xml:space="preserve"> in relation to SMEs</w:t>
      </w:r>
      <w:r w:rsidR="009D5CBD" w:rsidRPr="001873B0">
        <w:rPr>
          <w:noProof/>
        </w:rPr>
        <w:t xml:space="preserve">, the company </w:t>
      </w:r>
      <w:r w:rsidR="00EC2340" w:rsidRPr="001873B0">
        <w:rPr>
          <w:noProof/>
        </w:rPr>
        <w:t xml:space="preserve">shall </w:t>
      </w:r>
      <w:r w:rsidR="009D5CBD" w:rsidRPr="001873B0">
        <w:rPr>
          <w:noProof/>
        </w:rPr>
        <w:t>bear the cost of the indep</w:t>
      </w:r>
      <w:r w:rsidR="003B65A5" w:rsidRPr="001873B0">
        <w:rPr>
          <w:noProof/>
        </w:rPr>
        <w:t>endent third-party verification.</w:t>
      </w:r>
    </w:p>
    <w:p w14:paraId="67D12057" w14:textId="40FF839E" w:rsidR="00343D24" w:rsidRPr="00BB6540" w:rsidRDefault="00822875" w:rsidP="00822875">
      <w:pPr>
        <w:pStyle w:val="ManualNumPar1"/>
        <w:rPr>
          <w:noProof/>
        </w:rPr>
      </w:pPr>
      <w:r w:rsidRPr="00822875">
        <w:t>5.</w:t>
      </w:r>
      <w:r w:rsidRPr="00822875">
        <w:tab/>
      </w:r>
      <w:r w:rsidR="00343D24" w:rsidRPr="00BB6540">
        <w:rPr>
          <w:noProof/>
        </w:rPr>
        <w:t xml:space="preserve">As regards potential adverse impacts </w:t>
      </w:r>
      <w:r w:rsidR="005451DF" w:rsidRPr="00BB6540">
        <w:rPr>
          <w:noProof/>
        </w:rPr>
        <w:t xml:space="preserve">within the meaning of paragraph 1 </w:t>
      </w:r>
      <w:r w:rsidR="00343D24" w:rsidRPr="00BB6540">
        <w:rPr>
          <w:noProof/>
        </w:rPr>
        <w:t xml:space="preserve">that could not be prevented or adequately </w:t>
      </w:r>
      <w:r w:rsidR="009B5A20" w:rsidRPr="00BB6540">
        <w:rPr>
          <w:noProof/>
        </w:rPr>
        <w:t xml:space="preserve">mitigated </w:t>
      </w:r>
      <w:r w:rsidR="00343D24" w:rsidRPr="00BB6540">
        <w:rPr>
          <w:noProof/>
        </w:rPr>
        <w:t>by the measures in paragraphs</w:t>
      </w:r>
      <w:r w:rsidR="00DD5DCD" w:rsidRPr="00BB6540">
        <w:rPr>
          <w:noProof/>
        </w:rPr>
        <w:t xml:space="preserve"> </w:t>
      </w:r>
      <w:r w:rsidR="00343D24" w:rsidRPr="00BB6540">
        <w:rPr>
          <w:noProof/>
        </w:rPr>
        <w:t>2</w:t>
      </w:r>
      <w:r w:rsidR="001F10E9" w:rsidRPr="00BB6540">
        <w:rPr>
          <w:noProof/>
        </w:rPr>
        <w:t>, 3</w:t>
      </w:r>
      <w:r w:rsidR="00343D24" w:rsidRPr="00BB6540">
        <w:rPr>
          <w:noProof/>
        </w:rPr>
        <w:t xml:space="preserve"> and </w:t>
      </w:r>
      <w:r w:rsidR="001F10E9" w:rsidRPr="00BB6540">
        <w:rPr>
          <w:noProof/>
        </w:rPr>
        <w:t>4</w:t>
      </w:r>
      <w:r w:rsidR="00343D24" w:rsidRPr="00BB6540">
        <w:rPr>
          <w:noProof/>
        </w:rPr>
        <w:t xml:space="preserve">, the company shall be required to refrain from entering into new or extending existing relations with the </w:t>
      </w:r>
      <w:r w:rsidR="00F963BF" w:rsidRPr="00BB6540">
        <w:rPr>
          <w:noProof/>
        </w:rPr>
        <w:t xml:space="preserve">partner </w:t>
      </w:r>
      <w:r w:rsidR="00161A3C" w:rsidRPr="00BB6540">
        <w:rPr>
          <w:noProof/>
        </w:rPr>
        <w:t>in connection with</w:t>
      </w:r>
      <w:r w:rsidR="00EF4FBE" w:rsidRPr="00BB6540">
        <w:rPr>
          <w:noProof/>
        </w:rPr>
        <w:t xml:space="preserve"> or</w:t>
      </w:r>
      <w:r w:rsidR="00161A3C" w:rsidRPr="00BB6540">
        <w:rPr>
          <w:noProof/>
        </w:rPr>
        <w:t xml:space="preserve"> </w:t>
      </w:r>
      <w:r w:rsidR="00EF4FBE" w:rsidRPr="00BB6540">
        <w:rPr>
          <w:noProof/>
        </w:rPr>
        <w:t xml:space="preserve">in </w:t>
      </w:r>
      <w:r w:rsidR="00887933" w:rsidRPr="00BB6540">
        <w:rPr>
          <w:noProof/>
        </w:rPr>
        <w:t xml:space="preserve">the </w:t>
      </w:r>
      <w:r w:rsidR="00161A3C" w:rsidRPr="00BB6540">
        <w:rPr>
          <w:noProof/>
        </w:rPr>
        <w:t>value chain</w:t>
      </w:r>
      <w:r w:rsidR="00EF4FBE" w:rsidRPr="00BB6540">
        <w:rPr>
          <w:noProof/>
        </w:rPr>
        <w:t xml:space="preserve"> of which</w:t>
      </w:r>
      <w:r w:rsidR="00161A3C" w:rsidRPr="00BB6540">
        <w:rPr>
          <w:noProof/>
        </w:rPr>
        <w:t xml:space="preserve"> the impact has arisen</w:t>
      </w:r>
      <w:r w:rsidR="00343D24" w:rsidRPr="00BB6540">
        <w:rPr>
          <w:noProof/>
        </w:rPr>
        <w:t xml:space="preserve"> and shall, where the law governing their relations so entitles them to,</w:t>
      </w:r>
      <w:r w:rsidR="00161A3C" w:rsidRPr="00BB6540">
        <w:rPr>
          <w:noProof/>
        </w:rPr>
        <w:t xml:space="preserve"> </w:t>
      </w:r>
      <w:r w:rsidR="00343D24" w:rsidRPr="00BB6540">
        <w:rPr>
          <w:noProof/>
        </w:rPr>
        <w:t>take the following actions:</w:t>
      </w:r>
    </w:p>
    <w:p w14:paraId="5CD2902E" w14:textId="1BE1D044" w:rsidR="00343D24" w:rsidRDefault="00822875" w:rsidP="00822875">
      <w:pPr>
        <w:pStyle w:val="Point1"/>
        <w:rPr>
          <w:noProof/>
        </w:rPr>
      </w:pPr>
      <w:r w:rsidRPr="00822875">
        <w:t>(a)</w:t>
      </w:r>
      <w:r w:rsidRPr="00822875">
        <w:tab/>
      </w:r>
      <w:r w:rsidR="00343D24" w:rsidRPr="00A67199">
        <w:rPr>
          <w:noProof/>
        </w:rPr>
        <w:t xml:space="preserve">temporarily suspend commercial relations with the </w:t>
      </w:r>
      <w:r w:rsidR="00F963BF">
        <w:rPr>
          <w:noProof/>
        </w:rPr>
        <w:t>partner</w:t>
      </w:r>
      <w:r w:rsidR="00343D24">
        <w:rPr>
          <w:noProof/>
        </w:rPr>
        <w:t xml:space="preserve"> in question</w:t>
      </w:r>
      <w:r w:rsidR="00343D24" w:rsidRPr="00A67199">
        <w:rPr>
          <w:noProof/>
        </w:rPr>
        <w:t xml:space="preserve">, while pursuing </w:t>
      </w:r>
      <w:r w:rsidR="00343D24">
        <w:rPr>
          <w:noProof/>
        </w:rPr>
        <w:t xml:space="preserve">prevention and minimisation efforts, </w:t>
      </w:r>
      <w:r w:rsidR="00343D24" w:rsidRPr="005D328D">
        <w:rPr>
          <w:noProof/>
          <w:lang w:val="en-IE"/>
        </w:rPr>
        <w:t>if there is reasonable expectation that these efforts will succeed in the short-term;</w:t>
      </w:r>
      <w:r w:rsidR="00343D24">
        <w:rPr>
          <w:noProof/>
        </w:rPr>
        <w:t xml:space="preserve"> </w:t>
      </w:r>
    </w:p>
    <w:p w14:paraId="14F2281A" w14:textId="0212876B" w:rsidR="00343D24" w:rsidRDefault="00822875" w:rsidP="00822875">
      <w:pPr>
        <w:pStyle w:val="Point1"/>
        <w:rPr>
          <w:noProof/>
        </w:rPr>
      </w:pPr>
      <w:r w:rsidRPr="00822875">
        <w:t>(b)</w:t>
      </w:r>
      <w:r w:rsidRPr="00822875">
        <w:tab/>
      </w:r>
      <w:r w:rsidR="00343D24">
        <w:rPr>
          <w:noProof/>
        </w:rPr>
        <w:t>terminate</w:t>
      </w:r>
      <w:r w:rsidR="00343D24" w:rsidRPr="00A67199">
        <w:rPr>
          <w:noProof/>
        </w:rPr>
        <w:t xml:space="preserve"> the business relationship</w:t>
      </w:r>
      <w:r w:rsidR="00343D24">
        <w:rPr>
          <w:noProof/>
        </w:rPr>
        <w:t xml:space="preserve"> with respect to the activities concerned if the potential adverse impact is severe.</w:t>
      </w:r>
    </w:p>
    <w:p w14:paraId="28F93CCC" w14:textId="77777777" w:rsidR="00343D24" w:rsidRDefault="00343D24" w:rsidP="00343D24">
      <w:pPr>
        <w:pStyle w:val="Text1"/>
        <w:rPr>
          <w:noProof/>
        </w:rPr>
      </w:pPr>
      <w:r>
        <w:rPr>
          <w:noProof/>
        </w:rPr>
        <w:t>Member States shall provide for the availability of an option to terminate the business relationship in contracts governed by their laws.</w:t>
      </w:r>
    </w:p>
    <w:p w14:paraId="7C9E1F4B" w14:textId="07D49987" w:rsidR="00A96B46" w:rsidRPr="00BB6540" w:rsidRDefault="00822875" w:rsidP="00822875">
      <w:pPr>
        <w:pStyle w:val="ManualNumPar1"/>
        <w:rPr>
          <w:noProof/>
        </w:rPr>
      </w:pPr>
      <w:r w:rsidRPr="00822875">
        <w:t>6.</w:t>
      </w:r>
      <w:r w:rsidRPr="00822875">
        <w:tab/>
      </w:r>
      <w:r w:rsidR="00565EDB" w:rsidRPr="00BB6540">
        <w:rPr>
          <w:noProof/>
        </w:rPr>
        <w:t>By way of derogation from paragraph 5, point (b), w</w:t>
      </w:r>
      <w:r w:rsidR="00E27F78" w:rsidRPr="00BB6540">
        <w:rPr>
          <w:noProof/>
        </w:rPr>
        <w:t>hen c</w:t>
      </w:r>
      <w:r w:rsidR="004A47EB" w:rsidRPr="00BB6540">
        <w:rPr>
          <w:noProof/>
        </w:rPr>
        <w:t xml:space="preserve">ompanies referred to in Article 3, point (a)(iv), provide credit, loan or other financial services, </w:t>
      </w:r>
      <w:r w:rsidR="00E27F78" w:rsidRPr="00BB6540">
        <w:rPr>
          <w:noProof/>
        </w:rPr>
        <w:t xml:space="preserve">they </w:t>
      </w:r>
      <w:r w:rsidR="004A47EB" w:rsidRPr="00BB6540">
        <w:rPr>
          <w:noProof/>
        </w:rPr>
        <w:t>shall not be required to terminate the credit, loa</w:t>
      </w:r>
      <w:r w:rsidR="00E27F78" w:rsidRPr="00BB6540">
        <w:rPr>
          <w:noProof/>
        </w:rPr>
        <w:t>n</w:t>
      </w:r>
      <w:r w:rsidR="004A47EB" w:rsidRPr="00BB6540">
        <w:rPr>
          <w:noProof/>
        </w:rPr>
        <w:t xml:space="preserve"> or other financial service contract when this can be reasonably expected to cause substantial prejudice to the entity to whom that service is being provided.</w:t>
      </w:r>
    </w:p>
    <w:p w14:paraId="5923817F" w14:textId="77777777" w:rsidR="00343D24" w:rsidRPr="005E4CE1" w:rsidRDefault="00343D24" w:rsidP="00343D24">
      <w:pPr>
        <w:pStyle w:val="Titrearticle"/>
        <w:rPr>
          <w:noProof/>
        </w:rPr>
      </w:pPr>
      <w:r w:rsidRPr="005E4CE1">
        <w:rPr>
          <w:noProof/>
        </w:rPr>
        <w:t xml:space="preserve">Article </w:t>
      </w:r>
      <w:r w:rsidR="00A74CB4">
        <w:rPr>
          <w:noProof/>
        </w:rPr>
        <w:t>8</w:t>
      </w:r>
    </w:p>
    <w:p w14:paraId="422BCBB7" w14:textId="7BEC4C0C" w:rsidR="00343D24" w:rsidRPr="00634C62" w:rsidRDefault="00343D24" w:rsidP="00343D24">
      <w:pPr>
        <w:pStyle w:val="Articletitle"/>
        <w:rPr>
          <w:noProof/>
        </w:rPr>
      </w:pPr>
      <w:r>
        <w:rPr>
          <w:noProof/>
        </w:rPr>
        <w:t xml:space="preserve">Bringing </w:t>
      </w:r>
      <w:r w:rsidRPr="00380C76">
        <w:rPr>
          <w:noProof/>
        </w:rPr>
        <w:t>actual adverse impacts</w:t>
      </w:r>
      <w:r w:rsidRPr="00E102CD">
        <w:rPr>
          <w:noProof/>
        </w:rPr>
        <w:t xml:space="preserve"> </w:t>
      </w:r>
      <w:r>
        <w:rPr>
          <w:noProof/>
        </w:rPr>
        <w:t>to an end</w:t>
      </w:r>
      <w:r w:rsidRPr="00E102CD">
        <w:rPr>
          <w:noProof/>
        </w:rPr>
        <w:t xml:space="preserve"> </w:t>
      </w:r>
    </w:p>
    <w:p w14:paraId="2532F882" w14:textId="5ED40BC6" w:rsidR="00343D24" w:rsidRPr="00C762D9" w:rsidRDefault="00822875" w:rsidP="00822875">
      <w:pPr>
        <w:pStyle w:val="ManualNumPar1"/>
        <w:rPr>
          <w:noProof/>
        </w:rPr>
      </w:pPr>
      <w:r w:rsidRPr="00822875">
        <w:t>1.</w:t>
      </w:r>
      <w:r w:rsidRPr="00822875">
        <w:tab/>
      </w:r>
      <w:r w:rsidR="00343D24" w:rsidRPr="00C762D9">
        <w:rPr>
          <w:noProof/>
        </w:rPr>
        <w:t xml:space="preserve">Member States shall ensure that companies take appropriate measures to </w:t>
      </w:r>
      <w:r w:rsidR="00343D24">
        <w:rPr>
          <w:noProof/>
        </w:rPr>
        <w:t>bring</w:t>
      </w:r>
      <w:r w:rsidR="00343D24" w:rsidRPr="00C762D9">
        <w:rPr>
          <w:noProof/>
        </w:rPr>
        <w:t xml:space="preserve"> actual adverse impacts</w:t>
      </w:r>
      <w:r w:rsidR="00343D24">
        <w:rPr>
          <w:noProof/>
        </w:rPr>
        <w:t xml:space="preserve"> that have been, or should have been, identified pursuant to </w:t>
      </w:r>
      <w:r w:rsidR="00A74CB4">
        <w:rPr>
          <w:noProof/>
        </w:rPr>
        <w:t>Article 6</w:t>
      </w:r>
      <w:r w:rsidR="00343D24" w:rsidRPr="00C762D9">
        <w:rPr>
          <w:noProof/>
        </w:rPr>
        <w:t xml:space="preserve"> </w:t>
      </w:r>
      <w:r w:rsidR="00343D24">
        <w:rPr>
          <w:noProof/>
        </w:rPr>
        <w:t xml:space="preserve">to an end, in accordance with </w:t>
      </w:r>
      <w:r w:rsidR="00343D24" w:rsidRPr="00AB337D">
        <w:rPr>
          <w:noProof/>
        </w:rPr>
        <w:t xml:space="preserve">paragraphs </w:t>
      </w:r>
      <w:r w:rsidR="00343D24">
        <w:rPr>
          <w:noProof/>
        </w:rPr>
        <w:t xml:space="preserve">2 </w:t>
      </w:r>
      <w:r w:rsidR="00343D24" w:rsidRPr="00AB337D">
        <w:rPr>
          <w:noProof/>
        </w:rPr>
        <w:t xml:space="preserve">to </w:t>
      </w:r>
      <w:r w:rsidR="00F963BF">
        <w:rPr>
          <w:noProof/>
        </w:rPr>
        <w:t>6</w:t>
      </w:r>
      <w:r w:rsidR="00343D24">
        <w:rPr>
          <w:noProof/>
        </w:rPr>
        <w:t xml:space="preserve"> of this Article</w:t>
      </w:r>
      <w:r w:rsidR="00343D24" w:rsidRPr="00C762D9">
        <w:rPr>
          <w:noProof/>
        </w:rPr>
        <w:t xml:space="preserve">. </w:t>
      </w:r>
    </w:p>
    <w:p w14:paraId="2F746294" w14:textId="390A6511" w:rsidR="00343D24" w:rsidRDefault="00822875" w:rsidP="00822875">
      <w:pPr>
        <w:pStyle w:val="ManualNumPar1"/>
        <w:rPr>
          <w:noProof/>
        </w:rPr>
      </w:pPr>
      <w:r w:rsidRPr="00822875">
        <w:t>2.</w:t>
      </w:r>
      <w:r w:rsidRPr="00822875">
        <w:tab/>
      </w:r>
      <w:r w:rsidR="00343D24" w:rsidRPr="00C762D9">
        <w:rPr>
          <w:noProof/>
        </w:rPr>
        <w:t xml:space="preserve">Where </w:t>
      </w:r>
      <w:r w:rsidR="00343D24">
        <w:rPr>
          <w:noProof/>
        </w:rPr>
        <w:t xml:space="preserve">the </w:t>
      </w:r>
      <w:r w:rsidR="00343D24" w:rsidRPr="00C762D9">
        <w:rPr>
          <w:noProof/>
        </w:rPr>
        <w:t>adverse impact</w:t>
      </w:r>
      <w:r w:rsidR="00343D24">
        <w:rPr>
          <w:noProof/>
        </w:rPr>
        <w:t xml:space="preserve"> cannot be brought to an end,</w:t>
      </w:r>
      <w:r w:rsidR="00343D24" w:rsidRPr="00C762D9">
        <w:rPr>
          <w:noProof/>
        </w:rPr>
        <w:t xml:space="preserve"> </w:t>
      </w:r>
      <w:r w:rsidR="00343D24">
        <w:rPr>
          <w:noProof/>
        </w:rPr>
        <w:t xml:space="preserve">Member States shall ensure that </w:t>
      </w:r>
      <w:r w:rsidR="00343D24" w:rsidRPr="00C762D9">
        <w:rPr>
          <w:noProof/>
        </w:rPr>
        <w:t xml:space="preserve">companies </w:t>
      </w:r>
      <w:r w:rsidR="00343D24">
        <w:rPr>
          <w:noProof/>
        </w:rPr>
        <w:t>minimise the extent of such an impact</w:t>
      </w:r>
      <w:r w:rsidR="00343D24" w:rsidRPr="00C762D9">
        <w:rPr>
          <w:noProof/>
        </w:rPr>
        <w:t xml:space="preserve">. </w:t>
      </w:r>
    </w:p>
    <w:p w14:paraId="1EF688F5" w14:textId="1F19BA3C" w:rsidR="00343D24" w:rsidRDefault="00822875" w:rsidP="00822875">
      <w:pPr>
        <w:pStyle w:val="ManualNumPar1"/>
        <w:rPr>
          <w:noProof/>
        </w:rPr>
      </w:pPr>
      <w:r w:rsidRPr="00822875">
        <w:t>3.</w:t>
      </w:r>
      <w:r w:rsidRPr="00822875">
        <w:tab/>
      </w:r>
      <w:r w:rsidR="00343D24">
        <w:rPr>
          <w:noProof/>
        </w:rPr>
        <w:t>Companies shall be required to take the following actions</w:t>
      </w:r>
      <w:r w:rsidR="00343D24" w:rsidDel="00306ECA">
        <w:rPr>
          <w:noProof/>
        </w:rPr>
        <w:t xml:space="preserve">, </w:t>
      </w:r>
      <w:r w:rsidR="00343D24">
        <w:rPr>
          <w:noProof/>
        </w:rPr>
        <w:t>where relevant:</w:t>
      </w:r>
    </w:p>
    <w:p w14:paraId="72F0D387" w14:textId="77777777" w:rsidR="00343D24" w:rsidRPr="009C05B4" w:rsidRDefault="009C05B4" w:rsidP="009C05B4">
      <w:pPr>
        <w:pStyle w:val="Point1"/>
        <w:rPr>
          <w:noProof/>
        </w:rPr>
      </w:pPr>
      <w:r>
        <w:rPr>
          <w:noProof/>
        </w:rPr>
        <w:t>(a)</w:t>
      </w:r>
      <w:r w:rsidR="00343D24">
        <w:rPr>
          <w:noProof/>
        </w:rPr>
        <w:tab/>
      </w:r>
      <w:r w:rsidR="00343D24" w:rsidRPr="009C05B4">
        <w:rPr>
          <w:noProof/>
        </w:rPr>
        <w:t>neutralise the adverse impact or minimise its extent, including by the payment of damages to the affected persons and of financial compensation to the affected communities</w:t>
      </w:r>
      <w:r w:rsidR="00343D24" w:rsidRPr="009C05B4">
        <w:rPr>
          <w:rStyle w:val="Kommentaariviide"/>
          <w:noProof/>
          <w:sz w:val="24"/>
          <w:szCs w:val="22"/>
        </w:rPr>
        <w:t>.</w:t>
      </w:r>
      <w:r w:rsidR="00343D24" w:rsidRPr="009C05B4">
        <w:rPr>
          <w:noProof/>
        </w:rPr>
        <w:t xml:space="preserve"> The action shall be proportionate to the significance and scale of the adverse impact and to the contribution of the company’s conduct to the </w:t>
      </w:r>
      <w:r w:rsidR="008B4472">
        <w:rPr>
          <w:noProof/>
        </w:rPr>
        <w:t>adverse impact</w:t>
      </w:r>
      <w:r w:rsidR="00343D24" w:rsidRPr="009C05B4">
        <w:rPr>
          <w:noProof/>
        </w:rPr>
        <w:t>;</w:t>
      </w:r>
    </w:p>
    <w:p w14:paraId="1BEFC88C" w14:textId="77777777" w:rsidR="00343D24" w:rsidRPr="009C05B4" w:rsidRDefault="009C05B4" w:rsidP="009C05B4">
      <w:pPr>
        <w:pStyle w:val="Point1"/>
        <w:rPr>
          <w:noProof/>
        </w:rPr>
      </w:pPr>
      <w:r>
        <w:rPr>
          <w:noProof/>
        </w:rPr>
        <w:t>(b)</w:t>
      </w:r>
      <w:r w:rsidR="00343D24" w:rsidRPr="009C05B4">
        <w:rPr>
          <w:noProof/>
        </w:rPr>
        <w:tab/>
        <w:t>where necessary due to the fact that the adverse impact cannot be immediately brought to an end, develop and implement a corrective action plan with reasonable and clearly defined timelines for action and qualitative and quantitative indicators for measuring improvement. Where relevant, the corrective action plan shall be developed in consultation with stakeholders;</w:t>
      </w:r>
    </w:p>
    <w:p w14:paraId="58ED68EB" w14:textId="77777777" w:rsidR="00343D24" w:rsidRPr="009C05B4" w:rsidRDefault="009C05B4" w:rsidP="009C05B4">
      <w:pPr>
        <w:pStyle w:val="Point1"/>
        <w:rPr>
          <w:noProof/>
        </w:rPr>
      </w:pPr>
      <w:r>
        <w:rPr>
          <w:noProof/>
        </w:rPr>
        <w:t>(c)</w:t>
      </w:r>
      <w:r w:rsidR="00343D24" w:rsidRPr="009C05B4">
        <w:rPr>
          <w:noProof/>
        </w:rPr>
        <w:tab/>
      </w:r>
      <w:r w:rsidR="0063365F">
        <w:rPr>
          <w:noProof/>
        </w:rPr>
        <w:t>seek</w:t>
      </w:r>
      <w:r w:rsidR="00343D24" w:rsidRPr="009C05B4" w:rsidDel="00EF4FBE">
        <w:rPr>
          <w:noProof/>
        </w:rPr>
        <w:t xml:space="preserve"> </w:t>
      </w:r>
      <w:r w:rsidR="00343D24" w:rsidRPr="009C05B4">
        <w:rPr>
          <w:noProof/>
        </w:rPr>
        <w:t xml:space="preserve">contractual assurances from </w:t>
      </w:r>
      <w:r w:rsidR="00D35F10" w:rsidRPr="009C05B4">
        <w:rPr>
          <w:noProof/>
        </w:rPr>
        <w:t xml:space="preserve">a direct </w:t>
      </w:r>
      <w:r w:rsidR="00343D24" w:rsidRPr="009C05B4">
        <w:rPr>
          <w:noProof/>
        </w:rPr>
        <w:t>partner with whom it has a</w:t>
      </w:r>
      <w:r w:rsidR="00D35F10" w:rsidRPr="009C05B4">
        <w:rPr>
          <w:noProof/>
        </w:rPr>
        <w:t>n established</w:t>
      </w:r>
      <w:r w:rsidR="00343D24" w:rsidRPr="009C05B4">
        <w:rPr>
          <w:noProof/>
        </w:rPr>
        <w:t xml:space="preserve"> business relationship that it will ensure compliance with the code of conduct and, as necessary, </w:t>
      </w:r>
      <w:r w:rsidR="00D35F10" w:rsidRPr="009C05B4">
        <w:rPr>
          <w:noProof/>
        </w:rPr>
        <w:t xml:space="preserve">a </w:t>
      </w:r>
      <w:r w:rsidR="00343D24" w:rsidRPr="009C05B4">
        <w:rPr>
          <w:noProof/>
        </w:rPr>
        <w:t xml:space="preserve">corrective action plan, including by </w:t>
      </w:r>
      <w:r w:rsidR="00343D24" w:rsidRPr="009C05B4" w:rsidDel="007E497A">
        <w:rPr>
          <w:noProof/>
        </w:rPr>
        <w:t>seeking</w:t>
      </w:r>
      <w:r w:rsidR="00343D24" w:rsidRPr="009C05B4">
        <w:rPr>
          <w:noProof/>
        </w:rPr>
        <w:t xml:space="preserve"> corresponding contractual assurances from its partners, to the extent that they are part of the value chain (contractual </w:t>
      </w:r>
      <w:r w:rsidR="00343D24" w:rsidRPr="00B33335">
        <w:rPr>
          <w:noProof/>
        </w:rPr>
        <w:t xml:space="preserve">cascading). </w:t>
      </w:r>
      <w:r w:rsidR="009D5CBD" w:rsidRPr="00B33335">
        <w:rPr>
          <w:noProof/>
        </w:rPr>
        <w:t>When such contractual assurances are obtained, paragraph 5 shall apply.</w:t>
      </w:r>
    </w:p>
    <w:p w14:paraId="26DED2D8" w14:textId="77777777" w:rsidR="00343D24" w:rsidRPr="009C05B4" w:rsidRDefault="009C05B4" w:rsidP="009C05B4">
      <w:pPr>
        <w:pStyle w:val="Point1"/>
        <w:rPr>
          <w:noProof/>
        </w:rPr>
      </w:pPr>
      <w:r>
        <w:rPr>
          <w:noProof/>
        </w:rPr>
        <w:t>(d)</w:t>
      </w:r>
      <w:r w:rsidR="00343D24" w:rsidRPr="009C05B4">
        <w:rPr>
          <w:noProof/>
        </w:rPr>
        <w:tab/>
        <w:t>make</w:t>
      </w:r>
      <w:r w:rsidR="00D35F10" w:rsidRPr="009C05B4">
        <w:rPr>
          <w:noProof/>
        </w:rPr>
        <w:t xml:space="preserve"> necessary</w:t>
      </w:r>
      <w:r w:rsidR="00343D24" w:rsidRPr="009C05B4">
        <w:rPr>
          <w:noProof/>
        </w:rPr>
        <w:t xml:space="preserve"> investments, such as into management or production processes and infrastructures to comply with paragraphs 1</w:t>
      </w:r>
      <w:r w:rsidR="00F963BF">
        <w:rPr>
          <w:noProof/>
        </w:rPr>
        <w:t>,</w:t>
      </w:r>
      <w:r w:rsidR="00343D24" w:rsidRPr="009C05B4">
        <w:rPr>
          <w:noProof/>
        </w:rPr>
        <w:t xml:space="preserve"> 2 and </w:t>
      </w:r>
      <w:r w:rsidR="00F963BF">
        <w:rPr>
          <w:noProof/>
        </w:rPr>
        <w:t>3</w:t>
      </w:r>
      <w:r w:rsidR="00343D24" w:rsidRPr="009C05B4">
        <w:rPr>
          <w:noProof/>
        </w:rPr>
        <w:t>;</w:t>
      </w:r>
    </w:p>
    <w:p w14:paraId="4D4B6948" w14:textId="77777777" w:rsidR="00512CCA" w:rsidRPr="009C05B4" w:rsidRDefault="009C05B4" w:rsidP="009C05B4">
      <w:pPr>
        <w:pStyle w:val="Point1"/>
        <w:rPr>
          <w:noProof/>
        </w:rPr>
      </w:pPr>
      <w:r>
        <w:rPr>
          <w:noProof/>
        </w:rPr>
        <w:t>(e)</w:t>
      </w:r>
      <w:r w:rsidR="00343D24" w:rsidRPr="009C05B4">
        <w:rPr>
          <w:noProof/>
        </w:rPr>
        <w:tab/>
      </w:r>
      <w:r w:rsidR="00512CCA" w:rsidRPr="009C05B4">
        <w:rPr>
          <w:noProof/>
        </w:rPr>
        <w:tab/>
        <w:t xml:space="preserve">provide targeted and proportionate support for an SME with which the company has an established business relationship, where compliance </w:t>
      </w:r>
      <w:r w:rsidR="00512CCA" w:rsidRPr="009C05B4">
        <w:rPr>
          <w:noProof/>
        </w:rPr>
        <w:tab/>
      </w:r>
      <w:r w:rsidR="00512CCA" w:rsidRPr="009C05B4">
        <w:rPr>
          <w:noProof/>
        </w:rPr>
        <w:tab/>
      </w:r>
      <w:r w:rsidR="00512CCA" w:rsidRPr="009C05B4">
        <w:rPr>
          <w:noProof/>
        </w:rPr>
        <w:tab/>
        <w:t>with the code of conduct or the corrective action plan would jeopardise the viability of the SME;</w:t>
      </w:r>
    </w:p>
    <w:p w14:paraId="6112CD90" w14:textId="77777777" w:rsidR="00343D24" w:rsidRPr="009C05B4" w:rsidRDefault="009C05B4" w:rsidP="009C05B4">
      <w:pPr>
        <w:pStyle w:val="Point1"/>
        <w:rPr>
          <w:noProof/>
        </w:rPr>
      </w:pPr>
      <w:r>
        <w:rPr>
          <w:noProof/>
        </w:rPr>
        <w:t>(f)</w:t>
      </w:r>
      <w:r>
        <w:rPr>
          <w:noProof/>
        </w:rPr>
        <w:tab/>
      </w:r>
      <w:r w:rsidR="00343D24" w:rsidRPr="009C05B4">
        <w:rPr>
          <w:noProof/>
        </w:rPr>
        <w:t xml:space="preserve">in compliance with </w:t>
      </w:r>
      <w:r w:rsidR="00C42337">
        <w:rPr>
          <w:noProof/>
        </w:rPr>
        <w:t>Union</w:t>
      </w:r>
      <w:r w:rsidR="00343D24" w:rsidRPr="009C05B4">
        <w:rPr>
          <w:noProof/>
        </w:rPr>
        <w:t xml:space="preserve"> law including competition law, collaborate with other entities, including, where relevant, to increase the company’s ability to bring the adverse impact to an end, in particular where no other action is suitable or effective.</w:t>
      </w:r>
    </w:p>
    <w:p w14:paraId="2965086C" w14:textId="0DAC1E79" w:rsidR="00BE6805" w:rsidRPr="00BE6805" w:rsidRDefault="00822875" w:rsidP="00822875">
      <w:pPr>
        <w:pStyle w:val="ManualNumPar1"/>
        <w:rPr>
          <w:noProof/>
        </w:rPr>
      </w:pPr>
      <w:r w:rsidRPr="00822875">
        <w:t>4.</w:t>
      </w:r>
      <w:r w:rsidRPr="00822875">
        <w:tab/>
      </w:r>
      <w:r w:rsidR="00343D24">
        <w:rPr>
          <w:noProof/>
        </w:rPr>
        <w:t xml:space="preserve">As regards actual adverse impacts that could not be brought to an end or adequately mitigated by the measures in paragraph 3, the company may seek to conclude a contract with a partner with whom it has an indirect relationship, with a view to achieving compliance with the company’s code of conduct or a corrective action plan.  </w:t>
      </w:r>
      <w:r w:rsidR="00BE6805" w:rsidRPr="00021ADA">
        <w:rPr>
          <w:noProof/>
        </w:rPr>
        <w:t>When such a contract is concluded, paragraph 5 shall apply.</w:t>
      </w:r>
    </w:p>
    <w:p w14:paraId="24A3D6A5" w14:textId="7B6931E5" w:rsidR="00EC2340" w:rsidRPr="00C109C7" w:rsidRDefault="00822875" w:rsidP="00822875">
      <w:pPr>
        <w:pStyle w:val="ManualNumPar1"/>
        <w:rPr>
          <w:noProof/>
        </w:rPr>
      </w:pPr>
      <w:r w:rsidRPr="00822875">
        <w:t>5.</w:t>
      </w:r>
      <w:r w:rsidRPr="00822875">
        <w:tab/>
      </w:r>
      <w:r w:rsidR="00BE6805" w:rsidRPr="00BE6805">
        <w:rPr>
          <w:noProof/>
        </w:rPr>
        <w:tab/>
      </w:r>
      <w:r w:rsidR="00BE6805" w:rsidRPr="00C109C7">
        <w:rPr>
          <w:noProof/>
        </w:rPr>
        <w:t>The contractual assurances or the contract shall be accompanied by the appropriate measures to verify compliance. For the purposes of verifying compliance, the company may refer to suitable industry initiatives or independent third-party verification</w:t>
      </w:r>
      <w:r w:rsidR="00343D24" w:rsidRPr="00C109C7">
        <w:rPr>
          <w:noProof/>
        </w:rPr>
        <w:t>.</w:t>
      </w:r>
      <w:r w:rsidR="00BE6805" w:rsidRPr="00C109C7">
        <w:rPr>
          <w:noProof/>
        </w:rPr>
        <w:t xml:space="preserve"> </w:t>
      </w:r>
    </w:p>
    <w:p w14:paraId="2400DB6C" w14:textId="3F4E84EF" w:rsidR="00343D24" w:rsidRDefault="009F2510" w:rsidP="00C1099F">
      <w:pPr>
        <w:pStyle w:val="Text1"/>
        <w:rPr>
          <w:noProof/>
        </w:rPr>
      </w:pPr>
      <w:r w:rsidRPr="00C109C7">
        <w:rPr>
          <w:noProof/>
        </w:rPr>
        <w:t xml:space="preserve">When contractual assurances are obtained from, or a contract is entered into, with an SME, the terms used shall be fair, reasonable and non-discriminatory. </w:t>
      </w:r>
      <w:r w:rsidR="00BE6805" w:rsidRPr="00C109C7">
        <w:rPr>
          <w:noProof/>
        </w:rPr>
        <w:t>Where</w:t>
      </w:r>
      <w:r w:rsidRPr="00C109C7">
        <w:rPr>
          <w:noProof/>
        </w:rPr>
        <w:t xml:space="preserve"> measures to verify compliance</w:t>
      </w:r>
      <w:r w:rsidR="00BE6805" w:rsidRPr="00C109C7">
        <w:rPr>
          <w:noProof/>
        </w:rPr>
        <w:t xml:space="preserve"> are carried out</w:t>
      </w:r>
      <w:r w:rsidRPr="00C109C7">
        <w:rPr>
          <w:noProof/>
        </w:rPr>
        <w:t xml:space="preserve"> in relation to SMEs</w:t>
      </w:r>
      <w:r w:rsidR="00BE6805" w:rsidRPr="00C109C7">
        <w:rPr>
          <w:noProof/>
        </w:rPr>
        <w:t xml:space="preserve">, the company </w:t>
      </w:r>
      <w:r w:rsidR="00EC2340" w:rsidRPr="00C109C7">
        <w:rPr>
          <w:noProof/>
        </w:rPr>
        <w:t xml:space="preserve">shall </w:t>
      </w:r>
      <w:r w:rsidR="00BE6805" w:rsidRPr="00C109C7">
        <w:rPr>
          <w:noProof/>
        </w:rPr>
        <w:t>bear the cost of the independent third-party verification.</w:t>
      </w:r>
    </w:p>
    <w:p w14:paraId="4FEE7CF3" w14:textId="4E99C00A" w:rsidR="00343D24" w:rsidRPr="00A67199" w:rsidRDefault="00822875" w:rsidP="00822875">
      <w:pPr>
        <w:pStyle w:val="ManualNumPar1"/>
        <w:rPr>
          <w:noProof/>
        </w:rPr>
      </w:pPr>
      <w:r w:rsidRPr="00822875">
        <w:t>6.</w:t>
      </w:r>
      <w:r w:rsidRPr="00822875">
        <w:tab/>
      </w:r>
      <w:r w:rsidR="00343D24">
        <w:rPr>
          <w:noProof/>
        </w:rPr>
        <w:t xml:space="preserve">As regards actual adverse impacts </w:t>
      </w:r>
      <w:r w:rsidR="00D35F10">
        <w:rPr>
          <w:noProof/>
        </w:rPr>
        <w:t xml:space="preserve">within the meaning of paragraph 1 </w:t>
      </w:r>
      <w:r w:rsidR="00343D24">
        <w:rPr>
          <w:noProof/>
        </w:rPr>
        <w:t xml:space="preserve">that could not be brought to an end or </w:t>
      </w:r>
      <w:r w:rsidR="003F270D">
        <w:rPr>
          <w:noProof/>
        </w:rPr>
        <w:t>the extent of which could not be minimised</w:t>
      </w:r>
      <w:r w:rsidR="00343D24">
        <w:rPr>
          <w:noProof/>
        </w:rPr>
        <w:t xml:space="preserve"> by </w:t>
      </w:r>
      <w:r w:rsidR="00343D24" w:rsidRPr="00777C19">
        <w:rPr>
          <w:noProof/>
        </w:rPr>
        <w:t xml:space="preserve">the measures </w:t>
      </w:r>
      <w:r w:rsidR="00343D24">
        <w:rPr>
          <w:noProof/>
        </w:rPr>
        <w:t>provided for in paragraphs 3</w:t>
      </w:r>
      <w:r w:rsidR="000B40FB">
        <w:rPr>
          <w:noProof/>
        </w:rPr>
        <w:t>,</w:t>
      </w:r>
      <w:r w:rsidR="00343D24">
        <w:rPr>
          <w:noProof/>
        </w:rPr>
        <w:t xml:space="preserve"> 4</w:t>
      </w:r>
      <w:r w:rsidR="00F963BF">
        <w:rPr>
          <w:noProof/>
        </w:rPr>
        <w:t xml:space="preserve"> and 5</w:t>
      </w:r>
      <w:r w:rsidR="00343D24">
        <w:rPr>
          <w:noProof/>
        </w:rPr>
        <w:t xml:space="preserve">, </w:t>
      </w:r>
      <w:r w:rsidR="00343D24" w:rsidRPr="00777C19">
        <w:rPr>
          <w:noProof/>
        </w:rPr>
        <w:t xml:space="preserve">the company </w:t>
      </w:r>
      <w:r w:rsidR="00343D24">
        <w:rPr>
          <w:noProof/>
        </w:rPr>
        <w:t xml:space="preserve">shall refrain from entering into new or extending existing relations with the partner </w:t>
      </w:r>
      <w:r w:rsidR="00EF4FBE">
        <w:rPr>
          <w:noProof/>
        </w:rPr>
        <w:t xml:space="preserve">in connection to or in </w:t>
      </w:r>
      <w:r w:rsidR="002526DB">
        <w:rPr>
          <w:noProof/>
        </w:rPr>
        <w:t xml:space="preserve">the </w:t>
      </w:r>
      <w:r w:rsidR="00EF4FBE">
        <w:rPr>
          <w:noProof/>
        </w:rPr>
        <w:t xml:space="preserve">value chain of which the impact has arisen </w:t>
      </w:r>
      <w:r w:rsidR="00343D24">
        <w:rPr>
          <w:noProof/>
        </w:rPr>
        <w:t xml:space="preserve">and </w:t>
      </w:r>
      <w:r w:rsidR="00343D24" w:rsidRPr="00A67199">
        <w:rPr>
          <w:noProof/>
        </w:rPr>
        <w:t>shall</w:t>
      </w:r>
      <w:r w:rsidR="00343D24">
        <w:rPr>
          <w:noProof/>
        </w:rPr>
        <w:t>, where the law governing their relations so entitles them to,</w:t>
      </w:r>
      <w:r w:rsidR="00343D24" w:rsidRPr="00A67199">
        <w:rPr>
          <w:noProof/>
        </w:rPr>
        <w:t xml:space="preserve"> </w:t>
      </w:r>
      <w:r w:rsidR="00343D24">
        <w:rPr>
          <w:noProof/>
        </w:rPr>
        <w:t>take one of the following actions:</w:t>
      </w:r>
    </w:p>
    <w:p w14:paraId="0B3C5165" w14:textId="77777777" w:rsidR="00343D24" w:rsidRDefault="00343D24" w:rsidP="00343D24">
      <w:pPr>
        <w:pStyle w:val="Point1"/>
        <w:rPr>
          <w:noProof/>
        </w:rPr>
      </w:pPr>
      <w:r>
        <w:rPr>
          <w:noProof/>
        </w:rPr>
        <w:t>(a)</w:t>
      </w:r>
      <w:r>
        <w:rPr>
          <w:noProof/>
        </w:rPr>
        <w:tab/>
      </w:r>
      <w:r w:rsidRPr="00A67199">
        <w:rPr>
          <w:noProof/>
        </w:rPr>
        <w:t xml:space="preserve">temporarily suspend commercial relationships with the </w:t>
      </w:r>
      <w:r>
        <w:rPr>
          <w:noProof/>
        </w:rPr>
        <w:t>partner in question</w:t>
      </w:r>
      <w:r w:rsidRPr="00A67199">
        <w:rPr>
          <w:noProof/>
        </w:rPr>
        <w:t xml:space="preserve">, while pursuing </w:t>
      </w:r>
      <w:r>
        <w:rPr>
          <w:noProof/>
        </w:rPr>
        <w:t xml:space="preserve">efforts to bring to an end or minimise the </w:t>
      </w:r>
      <w:r w:rsidR="003F270D">
        <w:rPr>
          <w:noProof/>
        </w:rPr>
        <w:t xml:space="preserve">extent of </w:t>
      </w:r>
      <w:r>
        <w:rPr>
          <w:noProof/>
        </w:rPr>
        <w:t>the adverse impact</w:t>
      </w:r>
      <w:r w:rsidRPr="00A67199">
        <w:rPr>
          <w:noProof/>
        </w:rPr>
        <w:t>, or</w:t>
      </w:r>
    </w:p>
    <w:p w14:paraId="240B3E60" w14:textId="77777777" w:rsidR="00343D24" w:rsidRDefault="00343D24" w:rsidP="00343D24">
      <w:pPr>
        <w:pStyle w:val="Point1"/>
        <w:rPr>
          <w:noProof/>
        </w:rPr>
      </w:pPr>
      <w:r>
        <w:rPr>
          <w:noProof/>
        </w:rPr>
        <w:t>(b)</w:t>
      </w:r>
      <w:r>
        <w:rPr>
          <w:noProof/>
        </w:rPr>
        <w:tab/>
        <w:t>terminate</w:t>
      </w:r>
      <w:r w:rsidRPr="00A67199">
        <w:rPr>
          <w:noProof/>
        </w:rPr>
        <w:t xml:space="preserve"> the business relationship</w:t>
      </w:r>
      <w:r>
        <w:rPr>
          <w:noProof/>
        </w:rPr>
        <w:t xml:space="preserve"> with respect to the activities concerned</w:t>
      </w:r>
      <w:r w:rsidRPr="00777C19">
        <w:rPr>
          <w:noProof/>
        </w:rPr>
        <w:t xml:space="preserve">, if the </w:t>
      </w:r>
      <w:r w:rsidRPr="0095774B">
        <w:rPr>
          <w:noProof/>
        </w:rPr>
        <w:t>adverse impact is considered severe</w:t>
      </w:r>
      <w:r>
        <w:rPr>
          <w:noProof/>
        </w:rPr>
        <w:t>.</w:t>
      </w:r>
    </w:p>
    <w:p w14:paraId="5E64A291" w14:textId="77777777" w:rsidR="00343D24" w:rsidRDefault="00343D24" w:rsidP="00343D24">
      <w:pPr>
        <w:pStyle w:val="Text1"/>
        <w:rPr>
          <w:noProof/>
        </w:rPr>
      </w:pPr>
      <w:r>
        <w:rPr>
          <w:noProof/>
        </w:rPr>
        <w:t>Member States shall provide for the availability of an option to terminate the business relationship in contracts governed by their laws.</w:t>
      </w:r>
    </w:p>
    <w:p w14:paraId="55BD8FA2" w14:textId="14A9BBE3" w:rsidR="003F2B7E" w:rsidRPr="002B67C0" w:rsidRDefault="00822875" w:rsidP="00822875">
      <w:pPr>
        <w:pStyle w:val="ManualNumPar1"/>
        <w:rPr>
          <w:noProof/>
        </w:rPr>
      </w:pPr>
      <w:r w:rsidRPr="00822875">
        <w:t>7.</w:t>
      </w:r>
      <w:r w:rsidRPr="00822875">
        <w:tab/>
      </w:r>
      <w:r w:rsidR="00D933D4">
        <w:rPr>
          <w:noProof/>
        </w:rPr>
        <w:t>By way of derogation from paragraph 6, point (b), when c</w:t>
      </w:r>
      <w:r w:rsidR="00D933D4" w:rsidRPr="00D933D4">
        <w:rPr>
          <w:noProof/>
        </w:rPr>
        <w:t xml:space="preserve">ompanies referred to in Article 3, point (a)(iv), provide credit, loan or other financial services, </w:t>
      </w:r>
      <w:r w:rsidR="00D933D4">
        <w:rPr>
          <w:noProof/>
        </w:rPr>
        <w:t xml:space="preserve">they </w:t>
      </w:r>
      <w:r w:rsidR="00D933D4" w:rsidRPr="00D933D4">
        <w:rPr>
          <w:noProof/>
        </w:rPr>
        <w:t>shall not be required to terminate the credit, loa</w:t>
      </w:r>
      <w:r w:rsidR="00D933D4">
        <w:rPr>
          <w:noProof/>
        </w:rPr>
        <w:t>n</w:t>
      </w:r>
      <w:r w:rsidR="00D933D4" w:rsidRPr="00D933D4">
        <w:rPr>
          <w:noProof/>
        </w:rPr>
        <w:t xml:space="preserve"> or o</w:t>
      </w:r>
      <w:r w:rsidR="00D933D4">
        <w:rPr>
          <w:noProof/>
        </w:rPr>
        <w:t xml:space="preserve">ther financial service contract, </w:t>
      </w:r>
      <w:r w:rsidR="00D933D4" w:rsidRPr="00D933D4">
        <w:rPr>
          <w:noProof/>
        </w:rPr>
        <w:t>when this can be reasonably expected to cause substantial prejudice to the entity to whom that service is being provided.</w:t>
      </w:r>
    </w:p>
    <w:p w14:paraId="643C1676" w14:textId="77777777" w:rsidR="00343D24" w:rsidRPr="005F0117" w:rsidRDefault="00343D24" w:rsidP="00343D24">
      <w:pPr>
        <w:pStyle w:val="Titrearticle"/>
        <w:rPr>
          <w:noProof/>
        </w:rPr>
      </w:pPr>
      <w:r>
        <w:rPr>
          <w:noProof/>
        </w:rPr>
        <w:t xml:space="preserve">Article </w:t>
      </w:r>
      <w:r w:rsidR="008873E6">
        <w:rPr>
          <w:noProof/>
        </w:rPr>
        <w:t>9</w:t>
      </w:r>
    </w:p>
    <w:p w14:paraId="70369A2F" w14:textId="15239CDC" w:rsidR="00343D24" w:rsidRPr="005F0117" w:rsidRDefault="00343D24" w:rsidP="00343D24">
      <w:pPr>
        <w:pStyle w:val="Articletitle"/>
        <w:rPr>
          <w:noProof/>
        </w:rPr>
      </w:pPr>
      <w:r>
        <w:rPr>
          <w:noProof/>
        </w:rPr>
        <w:t>C</w:t>
      </w:r>
      <w:r w:rsidRPr="005F0117">
        <w:rPr>
          <w:noProof/>
        </w:rPr>
        <w:t>omplaints procedure</w:t>
      </w:r>
    </w:p>
    <w:p w14:paraId="79C5FDCC" w14:textId="0BB0B202" w:rsidR="00343D24" w:rsidRPr="005F0117" w:rsidRDefault="00822875" w:rsidP="00822875">
      <w:pPr>
        <w:pStyle w:val="ManualNumPar1"/>
        <w:rPr>
          <w:noProof/>
        </w:rPr>
      </w:pPr>
      <w:r w:rsidRPr="00822875">
        <w:t>1.</w:t>
      </w:r>
      <w:r w:rsidRPr="00822875">
        <w:tab/>
      </w:r>
      <w:r w:rsidR="00343D24">
        <w:rPr>
          <w:noProof/>
        </w:rPr>
        <w:t>Member States shall ensure that c</w:t>
      </w:r>
      <w:r w:rsidR="00343D24" w:rsidRPr="005F0117">
        <w:rPr>
          <w:noProof/>
        </w:rPr>
        <w:t xml:space="preserve">ompanies </w:t>
      </w:r>
      <w:r w:rsidR="00343D24">
        <w:rPr>
          <w:noProof/>
        </w:rPr>
        <w:t>provide the possibility for</w:t>
      </w:r>
      <w:r w:rsidR="00343D24" w:rsidRPr="005F0117">
        <w:rPr>
          <w:noProof/>
        </w:rPr>
        <w:t xml:space="preserve"> persons and</w:t>
      </w:r>
      <w:r w:rsidR="00343D24" w:rsidRPr="000D60AB">
        <w:rPr>
          <w:noProof/>
        </w:rPr>
        <w:t xml:space="preserve"> organisations</w:t>
      </w:r>
      <w:r w:rsidR="00343D24" w:rsidRPr="005F0117">
        <w:rPr>
          <w:noProof/>
        </w:rPr>
        <w:t xml:space="preserve"> </w:t>
      </w:r>
      <w:r w:rsidR="00343D24">
        <w:rPr>
          <w:noProof/>
        </w:rPr>
        <w:t>listed</w:t>
      </w:r>
      <w:r w:rsidR="00343D24" w:rsidRPr="005F0117">
        <w:rPr>
          <w:noProof/>
        </w:rPr>
        <w:t xml:space="preserve"> in paragraph 2 to </w:t>
      </w:r>
      <w:r w:rsidR="00343D24">
        <w:rPr>
          <w:noProof/>
        </w:rPr>
        <w:t xml:space="preserve">submit </w:t>
      </w:r>
      <w:r w:rsidR="00D35F10" w:rsidRPr="005F0117">
        <w:rPr>
          <w:noProof/>
        </w:rPr>
        <w:t xml:space="preserve">complaints </w:t>
      </w:r>
      <w:r w:rsidR="00343D24">
        <w:rPr>
          <w:noProof/>
        </w:rPr>
        <w:t>to them where they have legitimate concerns regarding</w:t>
      </w:r>
      <w:r w:rsidR="00343D24" w:rsidRPr="005F0117">
        <w:rPr>
          <w:noProof/>
        </w:rPr>
        <w:t xml:space="preserve"> </w:t>
      </w:r>
      <w:r w:rsidR="00343D24">
        <w:rPr>
          <w:noProof/>
        </w:rPr>
        <w:t xml:space="preserve">actual or </w:t>
      </w:r>
      <w:r w:rsidR="00343D24" w:rsidRPr="005F0117">
        <w:rPr>
          <w:noProof/>
        </w:rPr>
        <w:t xml:space="preserve">potential </w:t>
      </w:r>
      <w:r w:rsidR="00D35F10">
        <w:rPr>
          <w:noProof/>
        </w:rPr>
        <w:t>adverse</w:t>
      </w:r>
      <w:r w:rsidR="00343D24" w:rsidRPr="005F0117">
        <w:rPr>
          <w:noProof/>
        </w:rPr>
        <w:t xml:space="preserve"> </w:t>
      </w:r>
      <w:r w:rsidR="00343D24">
        <w:rPr>
          <w:noProof/>
        </w:rPr>
        <w:t xml:space="preserve">human rights </w:t>
      </w:r>
      <w:r w:rsidR="00D35F10">
        <w:rPr>
          <w:noProof/>
        </w:rPr>
        <w:t>impacts</w:t>
      </w:r>
      <w:r w:rsidR="00343D24">
        <w:rPr>
          <w:noProof/>
        </w:rPr>
        <w:t xml:space="preserve"> and </w:t>
      </w:r>
      <w:r w:rsidR="00D35F10">
        <w:rPr>
          <w:noProof/>
        </w:rPr>
        <w:t>adverse</w:t>
      </w:r>
      <w:r w:rsidR="00343D24">
        <w:rPr>
          <w:noProof/>
        </w:rPr>
        <w:t xml:space="preserve"> environmental </w:t>
      </w:r>
      <w:r w:rsidR="00343D24" w:rsidRPr="005F0117">
        <w:rPr>
          <w:noProof/>
        </w:rPr>
        <w:t>impacts</w:t>
      </w:r>
      <w:r w:rsidR="00343D24">
        <w:rPr>
          <w:noProof/>
        </w:rPr>
        <w:t xml:space="preserve"> with respect to their own operations, the operations of their subsidiaries and the</w:t>
      </w:r>
      <w:r w:rsidR="00D35F10">
        <w:rPr>
          <w:noProof/>
        </w:rPr>
        <w:t>ir</w:t>
      </w:r>
      <w:r w:rsidR="00343D24">
        <w:rPr>
          <w:noProof/>
        </w:rPr>
        <w:t xml:space="preserve"> value chain</w:t>
      </w:r>
      <w:r w:rsidR="00D35F10">
        <w:rPr>
          <w:noProof/>
        </w:rPr>
        <w:t>s</w:t>
      </w:r>
      <w:r w:rsidR="00343D24">
        <w:rPr>
          <w:noProof/>
        </w:rPr>
        <w:t>.</w:t>
      </w:r>
    </w:p>
    <w:p w14:paraId="3BA67DB6" w14:textId="7685F263" w:rsidR="00343D24" w:rsidRDefault="00822875" w:rsidP="00822875">
      <w:pPr>
        <w:pStyle w:val="ManualNumPar1"/>
        <w:rPr>
          <w:noProof/>
        </w:rPr>
      </w:pPr>
      <w:r w:rsidRPr="00822875">
        <w:t>2.</w:t>
      </w:r>
      <w:r w:rsidRPr="00822875">
        <w:tab/>
      </w:r>
      <w:r w:rsidR="00343D24">
        <w:rPr>
          <w:noProof/>
        </w:rPr>
        <w:t>Member States shall ensure that t</w:t>
      </w:r>
      <w:r w:rsidR="00343D24" w:rsidRPr="005F0117">
        <w:rPr>
          <w:noProof/>
        </w:rPr>
        <w:t xml:space="preserve">he complaints </w:t>
      </w:r>
      <w:r w:rsidR="00343D24">
        <w:rPr>
          <w:noProof/>
        </w:rPr>
        <w:t>may be submitted by:</w:t>
      </w:r>
    </w:p>
    <w:p w14:paraId="7D3179AB" w14:textId="77777777" w:rsidR="00343D24" w:rsidRDefault="00343D24" w:rsidP="00343D24">
      <w:pPr>
        <w:pStyle w:val="Point1"/>
        <w:rPr>
          <w:noProof/>
        </w:rPr>
      </w:pPr>
      <w:r>
        <w:rPr>
          <w:noProof/>
        </w:rPr>
        <w:t>(a)</w:t>
      </w:r>
      <w:r>
        <w:rPr>
          <w:noProof/>
        </w:rPr>
        <w:tab/>
        <w:t xml:space="preserve">persons who are </w:t>
      </w:r>
      <w:r w:rsidRPr="005F0117">
        <w:rPr>
          <w:noProof/>
        </w:rPr>
        <w:t xml:space="preserve">affected or </w:t>
      </w:r>
      <w:r>
        <w:rPr>
          <w:noProof/>
        </w:rPr>
        <w:t xml:space="preserve">have reasonable grounds to believe that </w:t>
      </w:r>
      <w:r w:rsidRPr="00E57219">
        <w:rPr>
          <w:noProof/>
        </w:rPr>
        <w:t xml:space="preserve">they might be affected by an adverse impact, </w:t>
      </w:r>
    </w:p>
    <w:p w14:paraId="6E158B0E" w14:textId="77777777" w:rsidR="00343D24" w:rsidRDefault="00343D24" w:rsidP="00343D24">
      <w:pPr>
        <w:pStyle w:val="Point1"/>
        <w:rPr>
          <w:noProof/>
        </w:rPr>
      </w:pPr>
      <w:r>
        <w:rPr>
          <w:noProof/>
        </w:rPr>
        <w:t>(b)</w:t>
      </w:r>
      <w:r>
        <w:rPr>
          <w:noProof/>
        </w:rPr>
        <w:tab/>
      </w:r>
      <w:r w:rsidRPr="00E57219">
        <w:rPr>
          <w:noProof/>
        </w:rPr>
        <w:t>trade unions</w:t>
      </w:r>
      <w:r>
        <w:rPr>
          <w:noProof/>
        </w:rPr>
        <w:t xml:space="preserve"> and </w:t>
      </w:r>
      <w:r w:rsidRPr="00470268">
        <w:rPr>
          <w:noProof/>
        </w:rPr>
        <w:t>other worker</w:t>
      </w:r>
      <w:r>
        <w:rPr>
          <w:noProof/>
        </w:rPr>
        <w:t>s’</w:t>
      </w:r>
      <w:r w:rsidRPr="00470268">
        <w:rPr>
          <w:noProof/>
        </w:rPr>
        <w:t xml:space="preserve"> representatives</w:t>
      </w:r>
      <w:r>
        <w:rPr>
          <w:noProof/>
        </w:rPr>
        <w:t xml:space="preserve"> representing individuals working in the value chain concerned, </w:t>
      </w:r>
    </w:p>
    <w:p w14:paraId="4B8494B1" w14:textId="77777777" w:rsidR="00343D24" w:rsidRPr="005F0117" w:rsidRDefault="00343D24" w:rsidP="00343D24">
      <w:pPr>
        <w:pStyle w:val="Point1"/>
        <w:rPr>
          <w:noProof/>
        </w:rPr>
      </w:pPr>
      <w:r>
        <w:rPr>
          <w:noProof/>
        </w:rPr>
        <w:t>(c)</w:t>
      </w:r>
      <w:r>
        <w:rPr>
          <w:noProof/>
        </w:rPr>
        <w:tab/>
      </w:r>
      <w:r w:rsidRPr="00E57219">
        <w:rPr>
          <w:noProof/>
        </w:rPr>
        <w:t>civil society organisations</w:t>
      </w:r>
      <w:r>
        <w:rPr>
          <w:noProof/>
        </w:rPr>
        <w:t xml:space="preserve"> active in the areas related to the value chain concerned</w:t>
      </w:r>
      <w:r w:rsidRPr="005F0117">
        <w:rPr>
          <w:noProof/>
        </w:rPr>
        <w:t xml:space="preserve">. </w:t>
      </w:r>
    </w:p>
    <w:p w14:paraId="384926D7" w14:textId="62E7ED42" w:rsidR="00343D24" w:rsidRDefault="00822875" w:rsidP="00822875">
      <w:pPr>
        <w:pStyle w:val="ManualNumPar1"/>
        <w:rPr>
          <w:noProof/>
        </w:rPr>
      </w:pPr>
      <w:r w:rsidRPr="00822875">
        <w:t>3.</w:t>
      </w:r>
      <w:r w:rsidRPr="00822875">
        <w:tab/>
      </w:r>
      <w:r w:rsidR="00343D24">
        <w:rPr>
          <w:noProof/>
        </w:rPr>
        <w:t>Member States shall ensure that t</w:t>
      </w:r>
      <w:r w:rsidR="00343D24" w:rsidRPr="005F0117">
        <w:rPr>
          <w:noProof/>
        </w:rPr>
        <w:t>he compan</w:t>
      </w:r>
      <w:r w:rsidR="00343D24">
        <w:rPr>
          <w:noProof/>
        </w:rPr>
        <w:t>ies</w:t>
      </w:r>
      <w:r w:rsidR="00343D24" w:rsidRPr="005F0117" w:rsidDel="00C31D9A">
        <w:rPr>
          <w:noProof/>
        </w:rPr>
        <w:t xml:space="preserve"> </w:t>
      </w:r>
      <w:r w:rsidR="00343D24" w:rsidRPr="005F0117">
        <w:rPr>
          <w:noProof/>
        </w:rPr>
        <w:t>establish</w:t>
      </w:r>
      <w:r w:rsidR="00343D24">
        <w:rPr>
          <w:noProof/>
        </w:rPr>
        <w:t xml:space="preserve"> a procedure for dealing with complaints referred to in paragraph 1, including a procedure whe</w:t>
      </w:r>
      <w:r w:rsidR="00D35F10">
        <w:rPr>
          <w:noProof/>
        </w:rPr>
        <w:t>n</w:t>
      </w:r>
      <w:r w:rsidR="00343D24">
        <w:rPr>
          <w:noProof/>
        </w:rPr>
        <w:t xml:space="preserve"> the company considers the complaint to be unfounded, and inform the relevant workers and trade unions of those procedures</w:t>
      </w:r>
      <w:r w:rsidR="00343D24" w:rsidRPr="005F0117">
        <w:rPr>
          <w:noProof/>
        </w:rPr>
        <w:t>.</w:t>
      </w:r>
      <w:r w:rsidR="00F52751">
        <w:rPr>
          <w:noProof/>
        </w:rPr>
        <w:t xml:space="preserve"> </w:t>
      </w:r>
      <w:r w:rsidR="00343D24">
        <w:rPr>
          <w:noProof/>
        </w:rPr>
        <w:t xml:space="preserve">Member States shall ensure that where the complaint is well-founded, the adverse impact that is the subject matter of the complaint is deemed to be identified within the meaning of </w:t>
      </w:r>
      <w:r w:rsidR="00A74CB4">
        <w:rPr>
          <w:noProof/>
        </w:rPr>
        <w:t>Article 6</w:t>
      </w:r>
      <w:r w:rsidR="00343D24">
        <w:rPr>
          <w:noProof/>
        </w:rPr>
        <w:t xml:space="preserve">. </w:t>
      </w:r>
    </w:p>
    <w:p w14:paraId="6963C618" w14:textId="2B9DE1B0" w:rsidR="00343D24" w:rsidRPr="00F218A3" w:rsidRDefault="00822875" w:rsidP="00822875">
      <w:pPr>
        <w:pStyle w:val="ManualNumPar1"/>
        <w:rPr>
          <w:noProof/>
        </w:rPr>
      </w:pPr>
      <w:r w:rsidRPr="00822875">
        <w:t>4.</w:t>
      </w:r>
      <w:r w:rsidRPr="00822875">
        <w:tab/>
      </w:r>
      <w:r w:rsidR="00343D24" w:rsidRPr="009F679C">
        <w:rPr>
          <w:noProof/>
        </w:rPr>
        <w:t xml:space="preserve">Member States shall ensure that </w:t>
      </w:r>
      <w:r w:rsidR="00343D24">
        <w:rPr>
          <w:noProof/>
        </w:rPr>
        <w:t>complain</w:t>
      </w:r>
      <w:r w:rsidR="00FC730B">
        <w:rPr>
          <w:noProof/>
        </w:rPr>
        <w:t>an</w:t>
      </w:r>
      <w:r w:rsidR="00343D24">
        <w:rPr>
          <w:noProof/>
        </w:rPr>
        <w:t xml:space="preserve">ts </w:t>
      </w:r>
      <w:r w:rsidR="00343D24" w:rsidRPr="009F679C">
        <w:rPr>
          <w:noProof/>
        </w:rPr>
        <w:t xml:space="preserve">are </w:t>
      </w:r>
      <w:r w:rsidR="00343D24">
        <w:rPr>
          <w:noProof/>
        </w:rPr>
        <w:t>entitled</w:t>
      </w:r>
    </w:p>
    <w:p w14:paraId="33B36534" w14:textId="77777777" w:rsidR="00343D24" w:rsidRDefault="0064483E" w:rsidP="0064483E">
      <w:pPr>
        <w:pStyle w:val="Point1"/>
        <w:rPr>
          <w:noProof/>
        </w:rPr>
      </w:pPr>
      <w:r>
        <w:rPr>
          <w:noProof/>
        </w:rPr>
        <w:t>(a)</w:t>
      </w:r>
      <w:r>
        <w:rPr>
          <w:noProof/>
        </w:rPr>
        <w:tab/>
      </w:r>
      <w:r w:rsidR="00343D24" w:rsidRPr="007E49F9">
        <w:rPr>
          <w:noProof/>
        </w:rPr>
        <w:t>to</w:t>
      </w:r>
      <w:r w:rsidR="00343D24" w:rsidRPr="009F679C">
        <w:rPr>
          <w:noProof/>
        </w:rPr>
        <w:t xml:space="preserve"> request </w:t>
      </w:r>
      <w:r w:rsidR="00D35F10">
        <w:rPr>
          <w:noProof/>
        </w:rPr>
        <w:t>appropriate</w:t>
      </w:r>
      <w:r w:rsidR="00D35F10" w:rsidRPr="009F679C">
        <w:rPr>
          <w:noProof/>
        </w:rPr>
        <w:t xml:space="preserve"> </w:t>
      </w:r>
      <w:r w:rsidR="00D35F10">
        <w:rPr>
          <w:noProof/>
        </w:rPr>
        <w:t>follow-up on the complaint</w:t>
      </w:r>
      <w:r w:rsidR="00D35F10" w:rsidRPr="009F679C">
        <w:rPr>
          <w:noProof/>
        </w:rPr>
        <w:t xml:space="preserve"> </w:t>
      </w:r>
      <w:r w:rsidR="00343D24" w:rsidRPr="009F679C">
        <w:rPr>
          <w:noProof/>
        </w:rPr>
        <w:t xml:space="preserve">from the company </w:t>
      </w:r>
      <w:r w:rsidR="00343D24">
        <w:rPr>
          <w:noProof/>
        </w:rPr>
        <w:t>with which they have filed a complaint pursuant to paragraph 1</w:t>
      </w:r>
      <w:r w:rsidR="00D35F10">
        <w:rPr>
          <w:noProof/>
        </w:rPr>
        <w:t>,</w:t>
      </w:r>
      <w:r w:rsidR="00343D24">
        <w:rPr>
          <w:noProof/>
        </w:rPr>
        <w:t xml:space="preserve"> and </w:t>
      </w:r>
    </w:p>
    <w:p w14:paraId="043E579B" w14:textId="77777777" w:rsidR="00343D24" w:rsidRPr="002673FE" w:rsidRDefault="0064483E" w:rsidP="00752916">
      <w:pPr>
        <w:pStyle w:val="Point1"/>
        <w:rPr>
          <w:noProof/>
        </w:rPr>
      </w:pPr>
      <w:r>
        <w:rPr>
          <w:noProof/>
        </w:rPr>
        <w:t>(b)</w:t>
      </w:r>
      <w:r>
        <w:rPr>
          <w:noProof/>
        </w:rPr>
        <w:tab/>
      </w:r>
      <w:r w:rsidR="00343D24">
        <w:rPr>
          <w:noProof/>
        </w:rPr>
        <w:t xml:space="preserve">to </w:t>
      </w:r>
      <w:r w:rsidR="00343D24" w:rsidRPr="007E49F9">
        <w:rPr>
          <w:noProof/>
        </w:rPr>
        <w:t xml:space="preserve">meet with </w:t>
      </w:r>
      <w:r w:rsidR="00343D24">
        <w:rPr>
          <w:noProof/>
        </w:rPr>
        <w:t>the company’s representatives at an appropriate level</w:t>
      </w:r>
      <w:r w:rsidR="00343D24" w:rsidRPr="007E49F9">
        <w:rPr>
          <w:noProof/>
        </w:rPr>
        <w:t xml:space="preserve"> to discuss potential or actual severe adverse impacts that are the subject matter of the complaint.</w:t>
      </w:r>
      <w:r w:rsidR="00343D24" w:rsidRPr="009F679C">
        <w:rPr>
          <w:noProof/>
        </w:rPr>
        <w:t xml:space="preserve"> </w:t>
      </w:r>
    </w:p>
    <w:p w14:paraId="66B3955F" w14:textId="77777777" w:rsidR="00343D24" w:rsidRPr="005F0117" w:rsidRDefault="00343D24" w:rsidP="00343D24">
      <w:pPr>
        <w:pStyle w:val="Titrearticle"/>
        <w:rPr>
          <w:noProof/>
        </w:rPr>
      </w:pPr>
      <w:r>
        <w:rPr>
          <w:noProof/>
        </w:rPr>
        <w:t xml:space="preserve">Article </w:t>
      </w:r>
      <w:r w:rsidR="008873E6">
        <w:rPr>
          <w:noProof/>
        </w:rPr>
        <w:t>10</w:t>
      </w:r>
    </w:p>
    <w:p w14:paraId="127642F8" w14:textId="0B2DBF19" w:rsidR="00343D24" w:rsidRPr="005F0117" w:rsidRDefault="00343D24" w:rsidP="00343D24">
      <w:pPr>
        <w:pStyle w:val="Articletitle"/>
        <w:rPr>
          <w:noProof/>
        </w:rPr>
      </w:pPr>
      <w:r>
        <w:rPr>
          <w:noProof/>
        </w:rPr>
        <w:t xml:space="preserve">Monitoring </w:t>
      </w:r>
    </w:p>
    <w:p w14:paraId="5DF3D552" w14:textId="647F5140" w:rsidR="00343D24" w:rsidRDefault="00343D24" w:rsidP="00752916">
      <w:pPr>
        <w:rPr>
          <w:noProof/>
        </w:rPr>
      </w:pPr>
      <w:r>
        <w:rPr>
          <w:noProof/>
        </w:rPr>
        <w:t>Member States shall ensure that c</w:t>
      </w:r>
      <w:r w:rsidRPr="002673FE">
        <w:rPr>
          <w:noProof/>
        </w:rPr>
        <w:t xml:space="preserve">ompanies carry out periodic assessments of </w:t>
      </w:r>
      <w:r>
        <w:rPr>
          <w:noProof/>
        </w:rPr>
        <w:t>their</w:t>
      </w:r>
      <w:r w:rsidRPr="002673FE">
        <w:rPr>
          <w:noProof/>
        </w:rPr>
        <w:t xml:space="preserve"> </w:t>
      </w:r>
      <w:r>
        <w:rPr>
          <w:noProof/>
        </w:rPr>
        <w:t>own operations and measures</w:t>
      </w:r>
      <w:r w:rsidRPr="002673FE">
        <w:rPr>
          <w:noProof/>
        </w:rPr>
        <w:t xml:space="preserve">, </w:t>
      </w:r>
      <w:r>
        <w:rPr>
          <w:noProof/>
        </w:rPr>
        <w:t xml:space="preserve">those of their </w:t>
      </w:r>
      <w:r w:rsidRPr="002673FE">
        <w:rPr>
          <w:noProof/>
        </w:rPr>
        <w:t>subsidiaries and</w:t>
      </w:r>
      <w:r>
        <w:rPr>
          <w:noProof/>
        </w:rPr>
        <w:t>, where related to the value chains of the company,</w:t>
      </w:r>
      <w:r w:rsidRPr="002673FE">
        <w:rPr>
          <w:noProof/>
        </w:rPr>
        <w:t xml:space="preserve"> </w:t>
      </w:r>
      <w:r>
        <w:rPr>
          <w:noProof/>
        </w:rPr>
        <w:t>those of their</w:t>
      </w:r>
      <w:r w:rsidRPr="002673FE">
        <w:rPr>
          <w:noProof/>
        </w:rPr>
        <w:t xml:space="preserve"> </w:t>
      </w:r>
      <w:r>
        <w:rPr>
          <w:noProof/>
        </w:rPr>
        <w:t xml:space="preserve">established </w:t>
      </w:r>
      <w:r w:rsidRPr="002673FE">
        <w:rPr>
          <w:noProof/>
        </w:rPr>
        <w:t xml:space="preserve">business relationships, to </w:t>
      </w:r>
      <w:r>
        <w:rPr>
          <w:noProof/>
        </w:rPr>
        <w:t xml:space="preserve">monitor the effectiveness of the identification, prevention, </w:t>
      </w:r>
      <w:r w:rsidR="00177A25">
        <w:rPr>
          <w:noProof/>
        </w:rPr>
        <w:t>mitigation</w:t>
      </w:r>
      <w:r>
        <w:rPr>
          <w:noProof/>
        </w:rPr>
        <w:t xml:space="preserve">, bringing </w:t>
      </w:r>
      <w:r w:rsidR="00BE5BFF">
        <w:rPr>
          <w:noProof/>
        </w:rPr>
        <w:t xml:space="preserve">to an end </w:t>
      </w:r>
      <w:r>
        <w:rPr>
          <w:noProof/>
        </w:rPr>
        <w:t xml:space="preserve">and </w:t>
      </w:r>
      <w:r w:rsidR="00177A25">
        <w:rPr>
          <w:noProof/>
        </w:rPr>
        <w:t xml:space="preserve">minimisation </w:t>
      </w:r>
      <w:r w:rsidR="00320022">
        <w:rPr>
          <w:noProof/>
        </w:rPr>
        <w:t xml:space="preserve">of the extent </w:t>
      </w:r>
      <w:r>
        <w:rPr>
          <w:noProof/>
        </w:rPr>
        <w:t>of human rights and environmental</w:t>
      </w:r>
      <w:r w:rsidRPr="002673FE">
        <w:rPr>
          <w:noProof/>
        </w:rPr>
        <w:t xml:space="preserve"> adverse impacts. Such assessments </w:t>
      </w:r>
      <w:r>
        <w:rPr>
          <w:noProof/>
        </w:rPr>
        <w:t xml:space="preserve">shall </w:t>
      </w:r>
      <w:r w:rsidRPr="002673FE">
        <w:rPr>
          <w:noProof/>
        </w:rPr>
        <w:t>be</w:t>
      </w:r>
      <w:r>
        <w:rPr>
          <w:noProof/>
        </w:rPr>
        <w:t xml:space="preserve"> based, where appropriate, on qualitative and quantitative indicators and be</w:t>
      </w:r>
      <w:r w:rsidRPr="002673FE">
        <w:rPr>
          <w:noProof/>
        </w:rPr>
        <w:t xml:space="preserve"> carried out at least every 12 months and </w:t>
      </w:r>
      <w:r>
        <w:rPr>
          <w:noProof/>
        </w:rPr>
        <w:t>whenever</w:t>
      </w:r>
      <w:r w:rsidRPr="002673FE">
        <w:rPr>
          <w:noProof/>
        </w:rPr>
        <w:t xml:space="preserve"> there are reasonable grounds to believe that significant new risks of </w:t>
      </w:r>
      <w:r>
        <w:rPr>
          <w:noProof/>
        </w:rPr>
        <w:t xml:space="preserve">the occurrence of those </w:t>
      </w:r>
      <w:r w:rsidRPr="002673FE">
        <w:rPr>
          <w:noProof/>
        </w:rPr>
        <w:t>adverse impact</w:t>
      </w:r>
      <w:r>
        <w:rPr>
          <w:noProof/>
        </w:rPr>
        <w:t>s</w:t>
      </w:r>
      <w:r w:rsidRPr="002673FE">
        <w:rPr>
          <w:noProof/>
        </w:rPr>
        <w:t xml:space="preserve"> may arise.</w:t>
      </w:r>
      <w:r>
        <w:rPr>
          <w:noProof/>
        </w:rPr>
        <w:t xml:space="preserve"> The due diligence policy shall be updated in accordance with the outcome of those assessments.</w:t>
      </w:r>
      <w:r w:rsidRPr="002673FE">
        <w:rPr>
          <w:noProof/>
        </w:rPr>
        <w:t xml:space="preserve"> </w:t>
      </w:r>
    </w:p>
    <w:p w14:paraId="6E4B9197" w14:textId="77777777" w:rsidR="00343D24" w:rsidRDefault="00343D24" w:rsidP="00343D24">
      <w:pPr>
        <w:pStyle w:val="Titrearticle"/>
        <w:rPr>
          <w:noProof/>
        </w:rPr>
      </w:pPr>
      <w:r>
        <w:rPr>
          <w:noProof/>
        </w:rPr>
        <w:t xml:space="preserve">Article </w:t>
      </w:r>
      <w:r w:rsidR="00570A0D">
        <w:rPr>
          <w:noProof/>
        </w:rPr>
        <w:t>11</w:t>
      </w:r>
    </w:p>
    <w:p w14:paraId="641D2FC9" w14:textId="700C7413" w:rsidR="00343D24" w:rsidRDefault="00343D24" w:rsidP="00343D24">
      <w:pPr>
        <w:pStyle w:val="Articletitle"/>
        <w:rPr>
          <w:noProof/>
        </w:rPr>
      </w:pPr>
      <w:r>
        <w:rPr>
          <w:noProof/>
        </w:rPr>
        <w:t>Communicating</w:t>
      </w:r>
    </w:p>
    <w:p w14:paraId="4EBF1B71" w14:textId="77777777" w:rsidR="00343D24" w:rsidRDefault="00343D24" w:rsidP="00343D24">
      <w:pPr>
        <w:rPr>
          <w:noProof/>
        </w:rPr>
      </w:pPr>
      <w:r>
        <w:rPr>
          <w:noProof/>
        </w:rPr>
        <w:t>Member States shall ensure that c</w:t>
      </w:r>
      <w:r w:rsidRPr="00033689">
        <w:rPr>
          <w:noProof/>
        </w:rPr>
        <w:t xml:space="preserve">ompanies that are not subject to reporting requirements under Articles 19a and 29a of </w:t>
      </w:r>
      <w:r w:rsidRPr="0082142E">
        <w:rPr>
          <w:noProof/>
        </w:rPr>
        <w:t>Directive 2013/34/EU</w:t>
      </w:r>
      <w:r w:rsidRPr="00033689">
        <w:rPr>
          <w:noProof/>
        </w:rPr>
        <w:t xml:space="preserve"> </w:t>
      </w:r>
      <w:r w:rsidR="009C6D94">
        <w:rPr>
          <w:noProof/>
        </w:rPr>
        <w:t xml:space="preserve">report on the matters covered by this Directive by </w:t>
      </w:r>
      <w:r w:rsidRPr="00033689">
        <w:rPr>
          <w:noProof/>
        </w:rPr>
        <w:t>publish</w:t>
      </w:r>
      <w:r w:rsidR="009C6D94">
        <w:rPr>
          <w:noProof/>
        </w:rPr>
        <w:t>ing</w:t>
      </w:r>
      <w:r w:rsidRPr="00033689">
        <w:rPr>
          <w:noProof/>
        </w:rPr>
        <w:t xml:space="preserve"> on their website an annual statement in a language customary in the sphere of international business. The statement shall be published by 30 April each year, covering the previous calendar year.</w:t>
      </w:r>
    </w:p>
    <w:p w14:paraId="148CADB2" w14:textId="49DAF35E" w:rsidR="005009E6" w:rsidRPr="006128A2" w:rsidDel="001B5C94" w:rsidRDefault="005009E6" w:rsidP="00890A71">
      <w:pPr>
        <w:rPr>
          <w:noProof/>
        </w:rPr>
      </w:pPr>
      <w:r w:rsidRPr="00ED6BE3">
        <w:rPr>
          <w:noProof/>
        </w:rPr>
        <w:t xml:space="preserve">The Commission shall adopt </w:t>
      </w:r>
      <w:r w:rsidR="00890A71">
        <w:rPr>
          <w:noProof/>
        </w:rPr>
        <w:t xml:space="preserve">delegated acts in accordance with Article </w:t>
      </w:r>
      <w:r w:rsidR="00D34D75">
        <w:rPr>
          <w:noProof/>
        </w:rPr>
        <w:t xml:space="preserve">28 </w:t>
      </w:r>
      <w:r w:rsidR="00890A71">
        <w:rPr>
          <w:noProof/>
        </w:rPr>
        <w:t xml:space="preserve">concerning the content and </w:t>
      </w:r>
      <w:r w:rsidRPr="00ED6BE3">
        <w:rPr>
          <w:noProof/>
        </w:rPr>
        <w:t>criteria for such reporting</w:t>
      </w:r>
      <w:r w:rsidR="00890A71">
        <w:rPr>
          <w:noProof/>
        </w:rPr>
        <w:t xml:space="preserve"> under paragraph 1, specifying</w:t>
      </w:r>
      <w:r w:rsidR="00BA1CBC">
        <w:rPr>
          <w:noProof/>
        </w:rPr>
        <w:t xml:space="preserve"> information on the </w:t>
      </w:r>
      <w:r w:rsidRPr="00ED6BE3">
        <w:rPr>
          <w:noProof/>
        </w:rPr>
        <w:t>description of due diligence, potential and actual adverse impacts and actions taken on those</w:t>
      </w:r>
      <w:r w:rsidR="00F75FD6" w:rsidRPr="00ED6BE3">
        <w:rPr>
          <w:noProof/>
        </w:rPr>
        <w:t>.</w:t>
      </w:r>
      <w:r w:rsidRPr="00ED6BE3">
        <w:rPr>
          <w:noProof/>
        </w:rPr>
        <w:t xml:space="preserve"> </w:t>
      </w:r>
    </w:p>
    <w:p w14:paraId="73F051DD" w14:textId="77777777" w:rsidR="00E15135" w:rsidRDefault="00E15135" w:rsidP="00E15135">
      <w:pPr>
        <w:pStyle w:val="Titrearticle"/>
        <w:rPr>
          <w:noProof/>
        </w:rPr>
      </w:pPr>
      <w:r>
        <w:rPr>
          <w:noProof/>
        </w:rPr>
        <w:t xml:space="preserve">Article </w:t>
      </w:r>
      <w:r w:rsidR="00583B67">
        <w:rPr>
          <w:noProof/>
        </w:rPr>
        <w:t>12</w:t>
      </w:r>
    </w:p>
    <w:p w14:paraId="65818112" w14:textId="7EFB6301" w:rsidR="00E15135" w:rsidRDefault="00E15135" w:rsidP="00E15135">
      <w:pPr>
        <w:pStyle w:val="Articletitle"/>
        <w:rPr>
          <w:noProof/>
        </w:rPr>
      </w:pPr>
      <w:r>
        <w:rPr>
          <w:noProof/>
        </w:rPr>
        <w:t>Model contractual clauses</w:t>
      </w:r>
    </w:p>
    <w:p w14:paraId="34417E0F" w14:textId="77777777" w:rsidR="00BC6E3D" w:rsidRDefault="00E15135" w:rsidP="00FB63A0">
      <w:pPr>
        <w:rPr>
          <w:noProof/>
        </w:rPr>
      </w:pPr>
      <w:r w:rsidRPr="00D646FB">
        <w:rPr>
          <w:noProof/>
        </w:rPr>
        <w:t>In order to provide support</w:t>
      </w:r>
      <w:r>
        <w:rPr>
          <w:noProof/>
        </w:rPr>
        <w:t xml:space="preserve"> to companies to facilitate their compliance with Article </w:t>
      </w:r>
      <w:r w:rsidR="00AB337D">
        <w:rPr>
          <w:noProof/>
        </w:rPr>
        <w:t>7</w:t>
      </w:r>
      <w:r>
        <w:rPr>
          <w:noProof/>
        </w:rPr>
        <w:t>(2)</w:t>
      </w:r>
      <w:r w:rsidR="004E22FE">
        <w:rPr>
          <w:noProof/>
        </w:rPr>
        <w:t>,</w:t>
      </w:r>
      <w:r>
        <w:rPr>
          <w:noProof/>
        </w:rPr>
        <w:t xml:space="preserve"> point (b)</w:t>
      </w:r>
      <w:r w:rsidR="004E22FE">
        <w:rPr>
          <w:noProof/>
        </w:rPr>
        <w:t>,</w:t>
      </w:r>
      <w:r>
        <w:rPr>
          <w:noProof/>
        </w:rPr>
        <w:t xml:space="preserve"> and </w:t>
      </w:r>
      <w:r w:rsidR="00AB337D">
        <w:rPr>
          <w:noProof/>
        </w:rPr>
        <w:t xml:space="preserve">Article </w:t>
      </w:r>
      <w:r w:rsidR="004E22FE">
        <w:rPr>
          <w:noProof/>
        </w:rPr>
        <w:t>8</w:t>
      </w:r>
      <w:r>
        <w:rPr>
          <w:noProof/>
        </w:rPr>
        <w:t>(</w:t>
      </w:r>
      <w:r w:rsidR="00AB337D">
        <w:rPr>
          <w:noProof/>
        </w:rPr>
        <w:t>3</w:t>
      </w:r>
      <w:r>
        <w:rPr>
          <w:noProof/>
        </w:rPr>
        <w:t>)</w:t>
      </w:r>
      <w:r w:rsidR="004E22FE">
        <w:rPr>
          <w:noProof/>
        </w:rPr>
        <w:t>,</w:t>
      </w:r>
      <w:r>
        <w:rPr>
          <w:noProof/>
        </w:rPr>
        <w:t xml:space="preserve"> point </w:t>
      </w:r>
      <w:r w:rsidR="00583B67">
        <w:rPr>
          <w:noProof/>
        </w:rPr>
        <w:t>(</w:t>
      </w:r>
      <w:r>
        <w:rPr>
          <w:noProof/>
        </w:rPr>
        <w:t>c</w:t>
      </w:r>
      <w:r w:rsidR="00583B67">
        <w:rPr>
          <w:noProof/>
        </w:rPr>
        <w:t>)</w:t>
      </w:r>
      <w:r>
        <w:rPr>
          <w:noProof/>
        </w:rPr>
        <w:t xml:space="preserve">, the Commission </w:t>
      </w:r>
      <w:r w:rsidRPr="00A67199">
        <w:rPr>
          <w:noProof/>
        </w:rPr>
        <w:t>shall</w:t>
      </w:r>
      <w:r>
        <w:rPr>
          <w:noProof/>
        </w:rPr>
        <w:t xml:space="preserve"> adopt guidance about voluntary model contract clauses.</w:t>
      </w:r>
    </w:p>
    <w:p w14:paraId="4F8DDC37" w14:textId="77777777" w:rsidR="00BC6E3D" w:rsidRPr="00BC6E3D" w:rsidRDefault="00BC6E3D" w:rsidP="00DA7CC6">
      <w:pPr>
        <w:pStyle w:val="Titrearticle"/>
        <w:rPr>
          <w:i w:val="0"/>
          <w:noProof/>
        </w:rPr>
      </w:pPr>
      <w:r w:rsidRPr="00BC6E3D">
        <w:rPr>
          <w:noProof/>
        </w:rPr>
        <w:t>Article 13</w:t>
      </w:r>
    </w:p>
    <w:p w14:paraId="104610DC" w14:textId="09E2C290" w:rsidR="00BC6E3D" w:rsidRPr="00BC6E3D" w:rsidRDefault="00BC6E3D" w:rsidP="00DA7CC6">
      <w:pPr>
        <w:pStyle w:val="Articletitle"/>
        <w:rPr>
          <w:b w:val="0"/>
          <w:bCs w:val="0"/>
          <w:noProof/>
        </w:rPr>
      </w:pPr>
      <w:r w:rsidRPr="00BC6E3D">
        <w:rPr>
          <w:noProof/>
        </w:rPr>
        <w:t>Guidelines</w:t>
      </w:r>
    </w:p>
    <w:p w14:paraId="6B018A75" w14:textId="77777777" w:rsidR="00BC6E3D" w:rsidRPr="00BC6E3D" w:rsidRDefault="00BC6E3D" w:rsidP="00BC6E3D">
      <w:pPr>
        <w:rPr>
          <w:noProof/>
        </w:rPr>
      </w:pPr>
      <w:r w:rsidRPr="00BC6E3D">
        <w:rPr>
          <w:noProof/>
        </w:rPr>
        <w:t>In order to provide</w:t>
      </w:r>
      <w:r w:rsidRPr="00BC6E3D" w:rsidDel="00CC15DD">
        <w:rPr>
          <w:noProof/>
        </w:rPr>
        <w:t xml:space="preserve"> </w:t>
      </w:r>
      <w:r w:rsidRPr="00BC6E3D">
        <w:rPr>
          <w:noProof/>
        </w:rPr>
        <w:t xml:space="preserve">support to companies or to Member State authorities on how companies should fulfil their due diligence obligations, the Commission, in consultation with </w:t>
      </w:r>
      <w:r w:rsidR="00D97817">
        <w:rPr>
          <w:noProof/>
        </w:rPr>
        <w:t>Member Stat</w:t>
      </w:r>
      <w:r w:rsidR="001B38AF">
        <w:rPr>
          <w:noProof/>
        </w:rPr>
        <w:t>e</w:t>
      </w:r>
      <w:r w:rsidR="00D97817">
        <w:rPr>
          <w:noProof/>
        </w:rPr>
        <w:t xml:space="preserve">s and stakeholders, </w:t>
      </w:r>
      <w:r w:rsidRPr="001D5BE3">
        <w:rPr>
          <w:noProof/>
        </w:rPr>
        <w:t xml:space="preserve">the European Union Agency for Fundamental Rights, the European Environment Agency, </w:t>
      </w:r>
      <w:r w:rsidRPr="00BC6E3D">
        <w:rPr>
          <w:noProof/>
        </w:rPr>
        <w:t>and where appropriate with international bodies having expertise in due diligence,</w:t>
      </w:r>
      <w:r w:rsidRPr="00BC6E3D" w:rsidDel="00CC15DD">
        <w:rPr>
          <w:noProof/>
        </w:rPr>
        <w:t xml:space="preserve"> </w:t>
      </w:r>
      <w:r w:rsidRPr="00BC6E3D">
        <w:rPr>
          <w:noProof/>
        </w:rPr>
        <w:t xml:space="preserve">may issue guidelines, </w:t>
      </w:r>
      <w:r w:rsidR="007076D8">
        <w:rPr>
          <w:noProof/>
        </w:rPr>
        <w:t>including</w:t>
      </w:r>
      <w:r w:rsidR="0058124C">
        <w:rPr>
          <w:noProof/>
        </w:rPr>
        <w:t xml:space="preserve"> </w:t>
      </w:r>
      <w:r w:rsidRPr="00BC6E3D">
        <w:rPr>
          <w:noProof/>
        </w:rPr>
        <w:t>for specific sectors or specific adverse impacts.</w:t>
      </w:r>
    </w:p>
    <w:p w14:paraId="35298FBC" w14:textId="77777777" w:rsidR="00BC6E3D" w:rsidRPr="00BC6E3D" w:rsidRDefault="00BC6E3D" w:rsidP="00DA7CC6">
      <w:pPr>
        <w:pStyle w:val="Titrearticle"/>
        <w:rPr>
          <w:i w:val="0"/>
          <w:noProof/>
        </w:rPr>
      </w:pPr>
      <w:r w:rsidRPr="00BC6E3D">
        <w:rPr>
          <w:noProof/>
        </w:rPr>
        <w:t>Article 14</w:t>
      </w:r>
    </w:p>
    <w:p w14:paraId="167BE210" w14:textId="789546BB" w:rsidR="00BC6E3D" w:rsidRPr="00BC6E3D" w:rsidRDefault="00BC6E3D" w:rsidP="00DA7CC6">
      <w:pPr>
        <w:pStyle w:val="Articletitle"/>
        <w:rPr>
          <w:b w:val="0"/>
          <w:bCs w:val="0"/>
          <w:noProof/>
        </w:rPr>
      </w:pPr>
      <w:r w:rsidRPr="00BC6E3D">
        <w:rPr>
          <w:noProof/>
        </w:rPr>
        <w:t>Accompanying measures</w:t>
      </w:r>
    </w:p>
    <w:p w14:paraId="299C2D39" w14:textId="5658E6DF" w:rsidR="00BC6E3D" w:rsidRPr="00BC6E3D" w:rsidRDefault="00822875" w:rsidP="00822875">
      <w:pPr>
        <w:pStyle w:val="ManualNumPar1"/>
        <w:rPr>
          <w:noProof/>
        </w:rPr>
      </w:pPr>
      <w:r w:rsidRPr="00822875">
        <w:t>1.</w:t>
      </w:r>
      <w:r w:rsidRPr="00822875">
        <w:tab/>
      </w:r>
      <w:r w:rsidR="00BC6E3D" w:rsidRPr="00BC6E3D">
        <w:rPr>
          <w:noProof/>
        </w:rPr>
        <w:t>Member States shall, in order to provide information and support to companies and the partners with whom they have established business relationships in their value chains in their efforts to fulfil the obligations resulting from this Directive, set up and operate individually or jointly dedicated websites, platforms or portals. Specific consideration shall be given, in that respect, to the SMEs that are present in the value chains of companies.</w:t>
      </w:r>
    </w:p>
    <w:p w14:paraId="677F9A07" w14:textId="7B325E4F" w:rsidR="00BC6E3D" w:rsidRPr="00BC6E3D" w:rsidRDefault="00822875" w:rsidP="00822875">
      <w:pPr>
        <w:pStyle w:val="ManualNumPar1"/>
        <w:rPr>
          <w:noProof/>
        </w:rPr>
      </w:pPr>
      <w:r w:rsidRPr="00822875">
        <w:t>2.</w:t>
      </w:r>
      <w:r w:rsidRPr="00822875">
        <w:tab/>
      </w:r>
      <w:r w:rsidR="00BC6E3D" w:rsidRPr="00BC6E3D">
        <w:rPr>
          <w:noProof/>
        </w:rPr>
        <w:t>Without prejudice to applicable State aid rules, Member States may financially support SMEs.</w:t>
      </w:r>
    </w:p>
    <w:p w14:paraId="2544F2D5" w14:textId="274E201A" w:rsidR="00BC6E3D" w:rsidRPr="00CB4421" w:rsidRDefault="00822875" w:rsidP="00822875">
      <w:pPr>
        <w:pStyle w:val="ManualNumPar1"/>
        <w:rPr>
          <w:noProof/>
        </w:rPr>
      </w:pPr>
      <w:r w:rsidRPr="00822875">
        <w:t>3.</w:t>
      </w:r>
      <w:r w:rsidRPr="00822875">
        <w:tab/>
      </w:r>
      <w:r w:rsidR="00BC6E3D" w:rsidRPr="00CB4421">
        <w:rPr>
          <w:noProof/>
        </w:rPr>
        <w:t xml:space="preserve">The Commission may complement Member States’ support measures building on existing Union action to support due diligence in the Union and in third countries and </w:t>
      </w:r>
      <w:r w:rsidR="00D75511" w:rsidRPr="00CB4421">
        <w:rPr>
          <w:noProof/>
        </w:rPr>
        <w:t xml:space="preserve">may </w:t>
      </w:r>
      <w:r w:rsidR="00BC6E3D" w:rsidRPr="00CB4421">
        <w:rPr>
          <w:noProof/>
        </w:rPr>
        <w:t>devis</w:t>
      </w:r>
      <w:r w:rsidR="00D75511" w:rsidRPr="00CB4421">
        <w:rPr>
          <w:noProof/>
        </w:rPr>
        <w:t>e</w:t>
      </w:r>
      <w:r w:rsidR="00BC6E3D" w:rsidRPr="00CB4421">
        <w:rPr>
          <w:noProof/>
        </w:rPr>
        <w:t xml:space="preserve"> new measures, including facilitation of joint stakeholder initiatives to help companies fulfil their obligations. </w:t>
      </w:r>
    </w:p>
    <w:p w14:paraId="6124AB9F" w14:textId="3DBD6EBD" w:rsidR="00BC6E3D" w:rsidRDefault="00822875" w:rsidP="00822875">
      <w:pPr>
        <w:pStyle w:val="ManualNumPar1"/>
        <w:rPr>
          <w:noProof/>
        </w:rPr>
      </w:pPr>
      <w:r w:rsidRPr="00822875">
        <w:t>4.</w:t>
      </w:r>
      <w:r w:rsidRPr="00822875">
        <w:tab/>
      </w:r>
      <w:r w:rsidR="00BC6E3D" w:rsidRPr="00B61C51">
        <w:rPr>
          <w:noProof/>
        </w:rPr>
        <w:t>Companies may rely on industry schemes and multi-stakeholder initiatives to support the implementation of their obligations referred to in Articles 5 to 11 of this Directive to the extent that such schemes and initiatives are appropriate to support the fulfilment of those obligations. The Commission and the Member States may facilitate the dissemination of information on such schemes or initiatives and their outcome. The Commission, in collaboration with Member States, may issue guidance for assessing the fitness of industry schemes and multi-stakeholder initiatives.</w:t>
      </w:r>
    </w:p>
    <w:p w14:paraId="56D8CF39" w14:textId="77777777" w:rsidR="00384CCC" w:rsidRPr="00BC6E3D" w:rsidRDefault="00384CCC" w:rsidP="00384CCC">
      <w:pPr>
        <w:pStyle w:val="Titrearticle"/>
        <w:rPr>
          <w:i w:val="0"/>
          <w:noProof/>
        </w:rPr>
      </w:pPr>
      <w:r w:rsidRPr="00BC6E3D">
        <w:rPr>
          <w:noProof/>
        </w:rPr>
        <w:t>Article 1</w:t>
      </w:r>
      <w:r>
        <w:rPr>
          <w:noProof/>
        </w:rPr>
        <w:t>5</w:t>
      </w:r>
    </w:p>
    <w:p w14:paraId="52D7AAB6" w14:textId="2B4F196F" w:rsidR="00E01ED1" w:rsidRDefault="00EB6190" w:rsidP="00A00866">
      <w:pPr>
        <w:pStyle w:val="Articletitle"/>
        <w:rPr>
          <w:noProof/>
        </w:rPr>
      </w:pPr>
      <w:r>
        <w:rPr>
          <w:noProof/>
        </w:rPr>
        <w:t>Combating climate change</w:t>
      </w:r>
    </w:p>
    <w:p w14:paraId="56929D17" w14:textId="274C8600" w:rsidR="009A64AB" w:rsidRPr="004A596E" w:rsidRDefault="00822875" w:rsidP="00822875">
      <w:pPr>
        <w:pStyle w:val="ManualNumPar1"/>
        <w:rPr>
          <w:noProof/>
        </w:rPr>
      </w:pPr>
      <w:r w:rsidRPr="00822875">
        <w:t>1.</w:t>
      </w:r>
      <w:r w:rsidRPr="00822875">
        <w:tab/>
      </w:r>
      <w:r w:rsidR="009A64AB" w:rsidRPr="004A596E">
        <w:rPr>
          <w:noProof/>
        </w:rPr>
        <w:t>Member States shall ensure that companies referred to in Article 2(1), point (a), and Article 2(2), point (a), shall adopt a plan to ensure that the business model and strategy of the company are compatible with the transition to a sustainable economy and with the limiting of global warming to 1.5</w:t>
      </w:r>
      <w:r w:rsidR="00E64110" w:rsidRPr="004A596E">
        <w:rPr>
          <w:noProof/>
        </w:rPr>
        <w:t> </w:t>
      </w:r>
      <w:r w:rsidR="009A64AB" w:rsidRPr="004A596E">
        <w:rPr>
          <w:noProof/>
        </w:rPr>
        <w:t>°C in line with the Paris Agreement. This plan shall, in particular, identify, on the basis of information reasonably available to the company, the extent to which climate change is a risk for, or an impact of, the company’s operations.</w:t>
      </w:r>
    </w:p>
    <w:p w14:paraId="51A15DF6" w14:textId="40917544" w:rsidR="00563A53" w:rsidRPr="004A596E" w:rsidRDefault="00822875" w:rsidP="00822875">
      <w:pPr>
        <w:pStyle w:val="ManualNumPar1"/>
        <w:rPr>
          <w:noProof/>
        </w:rPr>
      </w:pPr>
      <w:r w:rsidRPr="00822875">
        <w:t>2.</w:t>
      </w:r>
      <w:r w:rsidRPr="00822875">
        <w:tab/>
      </w:r>
      <w:r w:rsidR="009A64AB" w:rsidRPr="004A596E">
        <w:rPr>
          <w:noProof/>
        </w:rPr>
        <w:t>Member States shall ensure that, in case climate change is or should have been identified as a principal risk for, or a principal impact of, the company’s operations, the company includes emission reduction objectives in its plan</w:t>
      </w:r>
      <w:r w:rsidR="009C0054" w:rsidRPr="004A596E">
        <w:rPr>
          <w:noProof/>
        </w:rPr>
        <w:t>.</w:t>
      </w:r>
    </w:p>
    <w:p w14:paraId="369E81B5" w14:textId="229EC8FE" w:rsidR="009A64AB" w:rsidRPr="00334F49" w:rsidDel="00CD0104" w:rsidRDefault="00822875" w:rsidP="00822875">
      <w:pPr>
        <w:pStyle w:val="ManualNumPar1"/>
        <w:rPr>
          <w:noProof/>
        </w:rPr>
      </w:pPr>
      <w:r w:rsidRPr="00822875">
        <w:t>3.</w:t>
      </w:r>
      <w:r w:rsidRPr="00822875">
        <w:tab/>
      </w:r>
      <w:r w:rsidR="009A64AB" w:rsidRPr="00C6766B">
        <w:rPr>
          <w:noProof/>
        </w:rPr>
        <w:t xml:space="preserve">Member States shall ensure that companies duly take into account the fulfilment of the </w:t>
      </w:r>
      <w:r w:rsidR="009A64AB" w:rsidRPr="00334F49">
        <w:rPr>
          <w:noProof/>
        </w:rPr>
        <w:t>obligations referred to in paragraphs 1 and 2 when setting variable remuneration</w:t>
      </w:r>
      <w:r w:rsidR="001873B0" w:rsidRPr="00334F49">
        <w:rPr>
          <w:noProof/>
        </w:rPr>
        <w:t>, if variable remuneration is</w:t>
      </w:r>
      <w:r w:rsidR="009A64AB" w:rsidRPr="00334F49">
        <w:rPr>
          <w:noProof/>
        </w:rPr>
        <w:t xml:space="preserve"> linked to the contribution of a director to the company’s business strategy and long-term interests and sustainability.</w:t>
      </w:r>
    </w:p>
    <w:p w14:paraId="79E2C056" w14:textId="77777777" w:rsidR="00BC6E3D" w:rsidRPr="00BC6E3D" w:rsidRDefault="00BC6E3D" w:rsidP="00DA7CC6">
      <w:pPr>
        <w:pStyle w:val="Titrearticle"/>
        <w:rPr>
          <w:i w:val="0"/>
          <w:noProof/>
        </w:rPr>
      </w:pPr>
      <w:r w:rsidRPr="00BC6E3D">
        <w:rPr>
          <w:noProof/>
        </w:rPr>
        <w:t>Article 1</w:t>
      </w:r>
      <w:r w:rsidR="00C124EC">
        <w:rPr>
          <w:noProof/>
        </w:rPr>
        <w:t>6</w:t>
      </w:r>
    </w:p>
    <w:p w14:paraId="0AF99D4E" w14:textId="5E06A060" w:rsidR="00BC6E3D" w:rsidRPr="00BC6E3D" w:rsidRDefault="00BC6E3D" w:rsidP="00DA7CC6">
      <w:pPr>
        <w:pStyle w:val="Articletitle"/>
        <w:rPr>
          <w:b w:val="0"/>
          <w:bCs w:val="0"/>
          <w:noProof/>
        </w:rPr>
      </w:pPr>
      <w:r w:rsidRPr="00BC6E3D">
        <w:rPr>
          <w:noProof/>
        </w:rPr>
        <w:t>Authorised representative</w:t>
      </w:r>
    </w:p>
    <w:p w14:paraId="251468C4" w14:textId="272DC9AD" w:rsidR="00BC6E3D" w:rsidRPr="00BC6E3D" w:rsidRDefault="00822875" w:rsidP="00822875">
      <w:pPr>
        <w:pStyle w:val="ManualNumPar1"/>
        <w:rPr>
          <w:noProof/>
        </w:rPr>
      </w:pPr>
      <w:r w:rsidRPr="00822875">
        <w:t>1.</w:t>
      </w:r>
      <w:r w:rsidRPr="00822875">
        <w:tab/>
      </w:r>
      <w:r w:rsidR="00BC6E3D" w:rsidRPr="00BC6E3D">
        <w:rPr>
          <w:noProof/>
        </w:rPr>
        <w:t>Member States shall ensure that each company referred to in</w:t>
      </w:r>
      <w:r w:rsidR="00BC6E3D" w:rsidRPr="00BC6E3D" w:rsidDel="000B2CD1">
        <w:rPr>
          <w:noProof/>
        </w:rPr>
        <w:t xml:space="preserve"> </w:t>
      </w:r>
      <w:r w:rsidR="00BC6E3D" w:rsidRPr="00BC6E3D">
        <w:rPr>
          <w:noProof/>
        </w:rPr>
        <w:t>Article 2(2) designates a legal or natural person as its authorised representative, established or domiciled in one of the Member States where it operates. The designation shall be valid when confirmed as accepted by the authorised representative.</w:t>
      </w:r>
    </w:p>
    <w:p w14:paraId="1B040038" w14:textId="78491815" w:rsidR="00BC6E3D" w:rsidRPr="00BC6E3D" w:rsidRDefault="00822875" w:rsidP="00822875">
      <w:pPr>
        <w:pStyle w:val="ManualNumPar1"/>
        <w:rPr>
          <w:noProof/>
        </w:rPr>
      </w:pPr>
      <w:r w:rsidRPr="00822875">
        <w:t>2.</w:t>
      </w:r>
      <w:r w:rsidRPr="00822875">
        <w:tab/>
      </w:r>
      <w:r w:rsidR="00BC6E3D" w:rsidRPr="00BC6E3D">
        <w:rPr>
          <w:noProof/>
        </w:rPr>
        <w:t>Member States shall ensure that the name, address, electronic mail address and telephone number of the authorised representative is notified to a supervisory authority in the Member State where the authorised representative is domiciled or established</w:t>
      </w:r>
      <w:r w:rsidR="00BC6E3D" w:rsidRPr="00BC6E3D" w:rsidDel="000E35CA">
        <w:rPr>
          <w:noProof/>
        </w:rPr>
        <w:t>.</w:t>
      </w:r>
      <w:r w:rsidR="00BC6E3D" w:rsidRPr="00BC6E3D">
        <w:rPr>
          <w:noProof/>
        </w:rPr>
        <w:t xml:space="preserve"> Member States shall ensure that the authorised representative is obliged to provide, upon request, a copy of the designation in an official language of a Member State to any of the supervisory authorities.</w:t>
      </w:r>
    </w:p>
    <w:p w14:paraId="03893618" w14:textId="648C5FEE" w:rsidR="00BC6E3D" w:rsidRPr="00BC6E3D" w:rsidRDefault="00822875" w:rsidP="00822875">
      <w:pPr>
        <w:pStyle w:val="ManualNumPar1"/>
        <w:rPr>
          <w:noProof/>
        </w:rPr>
      </w:pPr>
      <w:r w:rsidRPr="00822875">
        <w:t>3.</w:t>
      </w:r>
      <w:r w:rsidRPr="00822875">
        <w:tab/>
      </w:r>
      <w:r w:rsidR="00BC6E3D" w:rsidRPr="00BC6E3D">
        <w:rPr>
          <w:noProof/>
        </w:rPr>
        <w:t>Member States shall ensure that a supervisory authority in the Member State where the authorised representative is domiciled or established and, where it is different, a supervisory authority in the Member State in which the company generated most of its net turnover</w:t>
      </w:r>
      <w:r w:rsidR="00BC6E3D" w:rsidRPr="00BC6E3D" w:rsidDel="00B72E49">
        <w:rPr>
          <w:noProof/>
        </w:rPr>
        <w:t xml:space="preserve"> </w:t>
      </w:r>
      <w:r w:rsidR="00BC6E3D" w:rsidRPr="00BC6E3D">
        <w:rPr>
          <w:noProof/>
        </w:rPr>
        <w:t xml:space="preserve">in the Union in the financial year preceding the last financial year are informed that the company is a company within the meaning of Article 2(2). </w:t>
      </w:r>
    </w:p>
    <w:p w14:paraId="41ECF0B7" w14:textId="7A9295DE" w:rsidR="00607B0D" w:rsidRDefault="00822875" w:rsidP="00822875">
      <w:pPr>
        <w:pStyle w:val="ManualNumPar1"/>
        <w:rPr>
          <w:noProof/>
        </w:rPr>
      </w:pPr>
      <w:r w:rsidRPr="00822875">
        <w:t>4.</w:t>
      </w:r>
      <w:r w:rsidRPr="00822875">
        <w:tab/>
      </w:r>
      <w:r w:rsidR="00BC6E3D" w:rsidRPr="00BC6E3D">
        <w:rPr>
          <w:noProof/>
        </w:rPr>
        <w:t xml:space="preserve">Member States shall ensure that each company empowers its authorised representative to receive communications from supervisory authorities on all matters necessary for compliance with and enforcement of national provisions transposing this Directive. Companies shall be required to provide their authorised representative with the necessary powers and resources to cooperate with supervisory authorities. </w:t>
      </w:r>
    </w:p>
    <w:p w14:paraId="30FB549F" w14:textId="77777777" w:rsidR="00BC6E3D" w:rsidRPr="00BC6E3D" w:rsidRDefault="00BC6E3D" w:rsidP="00F452CF">
      <w:pPr>
        <w:pStyle w:val="Titrearticle"/>
        <w:rPr>
          <w:i w:val="0"/>
          <w:noProof/>
        </w:rPr>
      </w:pPr>
      <w:r w:rsidRPr="00BC6E3D">
        <w:rPr>
          <w:noProof/>
        </w:rPr>
        <w:t xml:space="preserve">Article </w:t>
      </w:r>
      <w:r w:rsidR="00C124EC" w:rsidRPr="00BC6E3D">
        <w:rPr>
          <w:noProof/>
        </w:rPr>
        <w:t>1</w:t>
      </w:r>
      <w:r w:rsidR="00C124EC">
        <w:rPr>
          <w:noProof/>
        </w:rPr>
        <w:t>7</w:t>
      </w:r>
    </w:p>
    <w:p w14:paraId="34EA2038" w14:textId="1781FC0F" w:rsidR="00BC6E3D" w:rsidRPr="00BC6E3D" w:rsidRDefault="00BC6E3D" w:rsidP="00F452CF">
      <w:pPr>
        <w:pStyle w:val="Articletitle"/>
        <w:rPr>
          <w:b w:val="0"/>
          <w:bCs w:val="0"/>
          <w:noProof/>
        </w:rPr>
      </w:pPr>
      <w:r w:rsidRPr="00BC6E3D">
        <w:rPr>
          <w:noProof/>
        </w:rPr>
        <w:t>Supervisory Authorities</w:t>
      </w:r>
    </w:p>
    <w:p w14:paraId="14E2D0A0" w14:textId="584217A9" w:rsidR="00C07B49" w:rsidRPr="00C6766B" w:rsidRDefault="00822875" w:rsidP="00822875">
      <w:pPr>
        <w:pStyle w:val="ManualNumPar1"/>
        <w:rPr>
          <w:noProof/>
        </w:rPr>
      </w:pPr>
      <w:r w:rsidRPr="00822875">
        <w:t>1.</w:t>
      </w:r>
      <w:r w:rsidRPr="00822875">
        <w:tab/>
      </w:r>
      <w:r w:rsidR="00C07B49" w:rsidRPr="00C6766B">
        <w:rPr>
          <w:noProof/>
        </w:rPr>
        <w:t xml:space="preserve">Each Member State shall designate one or more supervisory authorities to supervise compliance with the obligations laid down in national provisions adopted pursuant to Articles 6 to 11 </w:t>
      </w:r>
      <w:r w:rsidR="00D415A1" w:rsidRPr="00C6766B">
        <w:rPr>
          <w:noProof/>
        </w:rPr>
        <w:t xml:space="preserve">and Article 15(1) and (2) </w:t>
      </w:r>
      <w:r w:rsidR="00C07B49" w:rsidRPr="00C6766B">
        <w:rPr>
          <w:noProof/>
        </w:rPr>
        <w:t xml:space="preserve">(‘supervisory authority’). </w:t>
      </w:r>
    </w:p>
    <w:p w14:paraId="5C6A3A27" w14:textId="6A8054CC" w:rsidR="00BC6E3D" w:rsidRPr="00BC6E3D" w:rsidRDefault="00822875" w:rsidP="00822875">
      <w:pPr>
        <w:pStyle w:val="ManualNumPar1"/>
        <w:rPr>
          <w:noProof/>
        </w:rPr>
      </w:pPr>
      <w:r w:rsidRPr="00822875">
        <w:t>2.</w:t>
      </w:r>
      <w:r w:rsidRPr="00822875">
        <w:tab/>
      </w:r>
      <w:r w:rsidR="00BC6E3D" w:rsidRPr="00BC6E3D">
        <w:rPr>
          <w:noProof/>
        </w:rPr>
        <w:t xml:space="preserve">As regards the companies referred to in Article 2(1), the competent supervisory authority shall be that of the Member State in which the company has its registered office. </w:t>
      </w:r>
    </w:p>
    <w:p w14:paraId="7245D490" w14:textId="00AF91FD" w:rsidR="00BC6E3D" w:rsidRPr="00BC6E3D" w:rsidRDefault="00822875" w:rsidP="00822875">
      <w:pPr>
        <w:pStyle w:val="ManualNumPar1"/>
        <w:rPr>
          <w:noProof/>
        </w:rPr>
      </w:pPr>
      <w:r w:rsidRPr="00822875">
        <w:t>3.</w:t>
      </w:r>
      <w:r w:rsidRPr="00822875">
        <w:tab/>
      </w:r>
      <w:r w:rsidR="00BC6E3D" w:rsidRPr="00BC6E3D">
        <w:rPr>
          <w:noProof/>
        </w:rPr>
        <w:t xml:space="preserve">As regards companies referred to in Article 2(2), the competent supervisory authority shall be that of the Member State in which the company has a branch. If the company does not have a branch in any Member State, or has branches located in different Member States, the competent supervisory authority shall be the supervisory authority of the Member State in which the company generated most of its net turnover in the Union in the financial year preceding the last financial year before the date indicated in Article </w:t>
      </w:r>
      <w:r w:rsidR="00A9504B">
        <w:rPr>
          <w:noProof/>
        </w:rPr>
        <w:t>30</w:t>
      </w:r>
      <w:r w:rsidR="00BC6E3D" w:rsidRPr="00BC6E3D">
        <w:rPr>
          <w:noProof/>
        </w:rPr>
        <w:t xml:space="preserve"> or the date on which the company first fulfils the criteria laid down in Article 2(2), whichever comes last. </w:t>
      </w:r>
    </w:p>
    <w:p w14:paraId="7BF895D0" w14:textId="77777777" w:rsidR="00BC6E3D" w:rsidRPr="00BC6E3D" w:rsidRDefault="00BC6E3D" w:rsidP="00BB7394">
      <w:pPr>
        <w:pStyle w:val="Text1"/>
        <w:rPr>
          <w:noProof/>
        </w:rPr>
      </w:pPr>
      <w:r w:rsidRPr="00BC6E3D">
        <w:rPr>
          <w:noProof/>
        </w:rPr>
        <w:t>Companies referred to in Article 2(2) may, on the basis of a change in circumstances leading to it generating most of its turnover in the Union in a different Member State, make a duly reasoned request to change the supervisory authority that is competent to regulate matters covered in this Directive in respect of that company.</w:t>
      </w:r>
    </w:p>
    <w:p w14:paraId="0A98565C" w14:textId="25D893EC" w:rsidR="00BC6E3D" w:rsidRPr="00BC6E3D" w:rsidRDefault="00822875" w:rsidP="00822875">
      <w:pPr>
        <w:pStyle w:val="ManualNumPar1"/>
        <w:rPr>
          <w:noProof/>
        </w:rPr>
      </w:pPr>
      <w:r w:rsidRPr="00822875">
        <w:t>4.</w:t>
      </w:r>
      <w:r w:rsidRPr="00822875">
        <w:tab/>
      </w:r>
      <w:r w:rsidR="00BC6E3D" w:rsidRPr="00BC6E3D">
        <w:rPr>
          <w:noProof/>
        </w:rPr>
        <w:t xml:space="preserve">Where a Member State designates more than one supervisory authority, it shall ensure that the respective competences of those authorities are clearly defined and that they cooperate closely and effectively with each other. </w:t>
      </w:r>
    </w:p>
    <w:p w14:paraId="41504710" w14:textId="7567B005" w:rsidR="00FC730B" w:rsidRPr="00C6766B" w:rsidRDefault="00822875" w:rsidP="00822875">
      <w:pPr>
        <w:pStyle w:val="ManualNumPar1"/>
        <w:rPr>
          <w:noProof/>
        </w:rPr>
      </w:pPr>
      <w:r w:rsidRPr="00822875">
        <w:t>5.</w:t>
      </w:r>
      <w:r w:rsidRPr="00822875">
        <w:tab/>
      </w:r>
      <w:r w:rsidR="00FC730B" w:rsidRPr="00C6766B">
        <w:rPr>
          <w:noProof/>
        </w:rPr>
        <w:t>Member States may designate the authorities for the supervision of regulated financial undertakings also as supervisory authorities for the purposes of this Directive.</w:t>
      </w:r>
    </w:p>
    <w:p w14:paraId="1135BC66" w14:textId="569035AA" w:rsidR="00BC6E3D" w:rsidRPr="0023237C" w:rsidRDefault="00822875" w:rsidP="00822875">
      <w:pPr>
        <w:pStyle w:val="ManualNumPar1"/>
        <w:rPr>
          <w:noProof/>
        </w:rPr>
      </w:pPr>
      <w:r w:rsidRPr="00822875">
        <w:t>6.</w:t>
      </w:r>
      <w:r w:rsidRPr="00822875">
        <w:tab/>
      </w:r>
      <w:r w:rsidR="00BC6E3D" w:rsidRPr="0023237C">
        <w:rPr>
          <w:noProof/>
        </w:rPr>
        <w:t xml:space="preserve">By the date indicated in Article </w:t>
      </w:r>
      <w:r w:rsidR="00A9504B" w:rsidRPr="0023237C">
        <w:rPr>
          <w:noProof/>
        </w:rPr>
        <w:t>30</w:t>
      </w:r>
      <w:r w:rsidR="00045DB3" w:rsidRPr="0023237C">
        <w:rPr>
          <w:noProof/>
        </w:rPr>
        <w:t>(</w:t>
      </w:r>
      <w:r w:rsidR="00462502" w:rsidRPr="0023237C">
        <w:rPr>
          <w:noProof/>
        </w:rPr>
        <w:t>1</w:t>
      </w:r>
      <w:r w:rsidR="00045DB3" w:rsidRPr="0023237C">
        <w:rPr>
          <w:noProof/>
        </w:rPr>
        <w:t>)</w:t>
      </w:r>
      <w:r w:rsidR="0046361C" w:rsidRPr="0023237C">
        <w:rPr>
          <w:noProof/>
        </w:rPr>
        <w:t>, point</w:t>
      </w:r>
      <w:r w:rsidR="00462502" w:rsidRPr="0023237C">
        <w:rPr>
          <w:noProof/>
        </w:rPr>
        <w:t xml:space="preserve"> </w:t>
      </w:r>
      <w:r w:rsidR="0046361C" w:rsidRPr="0023237C">
        <w:rPr>
          <w:noProof/>
        </w:rPr>
        <w:t>(</w:t>
      </w:r>
      <w:r w:rsidR="00462502" w:rsidRPr="0023237C">
        <w:rPr>
          <w:noProof/>
        </w:rPr>
        <w:t>a</w:t>
      </w:r>
      <w:r w:rsidR="0046361C" w:rsidRPr="0023237C">
        <w:rPr>
          <w:noProof/>
        </w:rPr>
        <w:t>),</w:t>
      </w:r>
      <w:r w:rsidR="00BC6E3D" w:rsidRPr="0023237C">
        <w:rPr>
          <w:noProof/>
        </w:rPr>
        <w:t xml:space="preserve"> Member States shall inform the Commission of the names and contact details of the supervisory authorities designated pursuant to this Article, as well as of their respective competence where there are several designated supervisory authorities. They shall inform the Commission of any changes thereto.</w:t>
      </w:r>
    </w:p>
    <w:p w14:paraId="558958A4" w14:textId="3741135A" w:rsidR="00BC6E3D" w:rsidRPr="0023237C" w:rsidRDefault="00822875" w:rsidP="00822875">
      <w:pPr>
        <w:pStyle w:val="ManualNumPar1"/>
        <w:rPr>
          <w:noProof/>
        </w:rPr>
      </w:pPr>
      <w:r w:rsidRPr="00822875">
        <w:t>7.</w:t>
      </w:r>
      <w:r w:rsidRPr="00822875">
        <w:tab/>
      </w:r>
      <w:r w:rsidR="00BC6E3D" w:rsidRPr="0023237C">
        <w:rPr>
          <w:noProof/>
        </w:rPr>
        <w:t>The Commission shall make publicly available, including on its website, a list of the supervisory authorities. The Commission shall regularly update the list on the basis of the information received from the Member States.</w:t>
      </w:r>
    </w:p>
    <w:p w14:paraId="111A5F47" w14:textId="256BE51B" w:rsidR="00BC6E3D" w:rsidRPr="00BC6E3D" w:rsidRDefault="00822875" w:rsidP="00822875">
      <w:pPr>
        <w:pStyle w:val="ManualNumPar1"/>
        <w:rPr>
          <w:noProof/>
        </w:rPr>
      </w:pPr>
      <w:r w:rsidRPr="00822875">
        <w:t>8.</w:t>
      </w:r>
      <w:r w:rsidRPr="00822875">
        <w:tab/>
      </w:r>
      <w:r w:rsidR="00BC6E3D" w:rsidRPr="0023237C">
        <w:rPr>
          <w:noProof/>
        </w:rPr>
        <w:t>Member States shall guarantee the independence of the supervisory authorities and shall ensure</w:t>
      </w:r>
      <w:r w:rsidR="00BC6E3D" w:rsidRPr="00BC6E3D">
        <w:rPr>
          <w:noProof/>
        </w:rPr>
        <w:t xml:space="preserve"> that they, and all persons working for or who have worked for them and auditors or experts acting on their behalf, exercise their powers impartially, transparently and with due respect for obligations of professional secrecy. In particular, Member States shall ensure that the authority is legally and functionally independent from the companies falling within the scope of this Directive or other market interests, that its staff and the persons responsible for its management are free of conflicts of interest, subject to confidentiality requirements, and that they refrain from any action incompatible with their duties.</w:t>
      </w:r>
    </w:p>
    <w:p w14:paraId="3BC5D626" w14:textId="77777777" w:rsidR="00BC6E3D" w:rsidRPr="00BC6E3D" w:rsidRDefault="00BC6E3D" w:rsidP="00F452CF">
      <w:pPr>
        <w:pStyle w:val="Titrearticle"/>
        <w:rPr>
          <w:i w:val="0"/>
          <w:noProof/>
        </w:rPr>
      </w:pPr>
      <w:r w:rsidRPr="00BC6E3D">
        <w:rPr>
          <w:noProof/>
        </w:rPr>
        <w:t xml:space="preserve">Article </w:t>
      </w:r>
      <w:r w:rsidR="00C124EC" w:rsidRPr="00BC6E3D">
        <w:rPr>
          <w:noProof/>
        </w:rPr>
        <w:t>1</w:t>
      </w:r>
      <w:r w:rsidR="00C124EC">
        <w:rPr>
          <w:noProof/>
        </w:rPr>
        <w:t>8</w:t>
      </w:r>
    </w:p>
    <w:p w14:paraId="2FB541DA" w14:textId="19402947" w:rsidR="00BC6E3D" w:rsidRPr="00BC6E3D" w:rsidRDefault="00BC6E3D" w:rsidP="00F452CF">
      <w:pPr>
        <w:pStyle w:val="Articletitle"/>
        <w:rPr>
          <w:b w:val="0"/>
          <w:bCs w:val="0"/>
          <w:noProof/>
        </w:rPr>
      </w:pPr>
      <w:r w:rsidRPr="00BC6E3D">
        <w:rPr>
          <w:noProof/>
        </w:rPr>
        <w:t>Powers of supervisory authorities</w:t>
      </w:r>
    </w:p>
    <w:p w14:paraId="57AC1E10" w14:textId="5A19A8C1" w:rsidR="00BC6E3D" w:rsidRPr="00BC6E3D" w:rsidRDefault="00822875" w:rsidP="00822875">
      <w:pPr>
        <w:pStyle w:val="ManualNumPar1"/>
        <w:rPr>
          <w:noProof/>
        </w:rPr>
      </w:pPr>
      <w:r w:rsidRPr="00822875">
        <w:t>1.</w:t>
      </w:r>
      <w:r w:rsidRPr="00822875">
        <w:tab/>
      </w:r>
      <w:r w:rsidR="00BC6E3D" w:rsidRPr="00BC6E3D">
        <w:rPr>
          <w:noProof/>
        </w:rPr>
        <w:t xml:space="preserve">Member States shall ensure that the supervisory authorities have adequate powers and resources to carry out the tasks assigned to them under this Directive, including the power to request information and carry out investigations related to compliance with the obligations set out in this Directive. </w:t>
      </w:r>
    </w:p>
    <w:p w14:paraId="47A9A324" w14:textId="0A076E28" w:rsidR="000D4029" w:rsidRDefault="00822875" w:rsidP="00822875">
      <w:pPr>
        <w:pStyle w:val="ManualNumPar1"/>
        <w:rPr>
          <w:noProof/>
        </w:rPr>
      </w:pPr>
      <w:r w:rsidRPr="00822875">
        <w:t>2.</w:t>
      </w:r>
      <w:r w:rsidRPr="00822875">
        <w:tab/>
      </w:r>
      <w:r w:rsidR="00BC6E3D" w:rsidRPr="00BC6E3D">
        <w:rPr>
          <w:noProof/>
        </w:rPr>
        <w:t>A supervisory authority may initiate an investigation on its own motion or as a result of substantiated concerns communicated to it pursuant to Article </w:t>
      </w:r>
      <w:r w:rsidR="000D124B" w:rsidRPr="00BC6E3D">
        <w:rPr>
          <w:noProof/>
        </w:rPr>
        <w:t>1</w:t>
      </w:r>
      <w:r w:rsidR="000D124B">
        <w:rPr>
          <w:noProof/>
        </w:rPr>
        <w:t>9</w:t>
      </w:r>
      <w:r w:rsidR="00BC6E3D" w:rsidRPr="00BC6E3D">
        <w:rPr>
          <w:noProof/>
        </w:rPr>
        <w:t>, where it considers that it has sufficient information indicating a possible breach by a company of the obligations provided for in the national provisions adopted pursuant to this Directive.</w:t>
      </w:r>
    </w:p>
    <w:p w14:paraId="7E3EFEBB" w14:textId="2AA7FFA7" w:rsidR="00BC6E3D" w:rsidRPr="00BC6E3D" w:rsidRDefault="00822875" w:rsidP="00822875">
      <w:pPr>
        <w:pStyle w:val="ManualNumPar1"/>
        <w:rPr>
          <w:noProof/>
        </w:rPr>
      </w:pPr>
      <w:r w:rsidRPr="00822875">
        <w:t>3.</w:t>
      </w:r>
      <w:r w:rsidRPr="00822875">
        <w:tab/>
      </w:r>
      <w:r w:rsidR="00BC6E3D" w:rsidRPr="00BC6E3D">
        <w:rPr>
          <w:noProof/>
        </w:rPr>
        <w:t>Inspections shall be conducted in compliance with the national law of the Member State in which the inspection is carried out and with prior warning to the company, except where prior notification hinders the effectiveness of the inspection. Where, as part of its investigation, a supervisory authority wishes to carry out an inspection on the territory of a Member State other than its own, it shall seek assistance from the supervisory authority in that Member State pursuant to Article </w:t>
      </w:r>
      <w:r w:rsidR="000D124B" w:rsidRPr="00BC6E3D">
        <w:rPr>
          <w:noProof/>
        </w:rPr>
        <w:t>2</w:t>
      </w:r>
      <w:r w:rsidR="000D124B">
        <w:rPr>
          <w:noProof/>
        </w:rPr>
        <w:t>1</w:t>
      </w:r>
      <w:r w:rsidR="00BC6E3D" w:rsidRPr="00BC6E3D">
        <w:rPr>
          <w:noProof/>
        </w:rPr>
        <w:t>(2).</w:t>
      </w:r>
    </w:p>
    <w:p w14:paraId="51BF5308" w14:textId="5E1A1BC3" w:rsidR="00BC6E3D" w:rsidRPr="00BC6E3D" w:rsidRDefault="00822875" w:rsidP="00822875">
      <w:pPr>
        <w:pStyle w:val="ManualNumPar1"/>
        <w:rPr>
          <w:noProof/>
        </w:rPr>
      </w:pPr>
      <w:r w:rsidRPr="00822875">
        <w:t>4.</w:t>
      </w:r>
      <w:r w:rsidRPr="00822875">
        <w:tab/>
      </w:r>
      <w:r w:rsidR="00BC6E3D" w:rsidRPr="00BC6E3D">
        <w:rPr>
          <w:noProof/>
        </w:rPr>
        <w:t xml:space="preserve">If, as a result of the actions taken pursuant to paragraphs 1 and 2, a supervisory authority identifies a failure to comply with national provisions adopted pursuant to this Directive, it shall grant the company concerned an appropriate period of time to take remedial action, if such action is possible. </w:t>
      </w:r>
    </w:p>
    <w:p w14:paraId="33E12C1B" w14:textId="1F66B306" w:rsidR="00BC6E3D" w:rsidRPr="00BC6E3D" w:rsidRDefault="00BC6E3D" w:rsidP="00BB7394">
      <w:pPr>
        <w:pStyle w:val="Text1"/>
        <w:rPr>
          <w:noProof/>
        </w:rPr>
      </w:pPr>
      <w:r w:rsidRPr="00BC6E3D">
        <w:rPr>
          <w:noProof/>
        </w:rPr>
        <w:t xml:space="preserve">Taking remedial action does not preclude the imposition of administrative sanctions or the triggering of civil liability in case of damages, in accordance with Articles </w:t>
      </w:r>
      <w:r w:rsidR="000D124B">
        <w:rPr>
          <w:noProof/>
        </w:rPr>
        <w:t>20</w:t>
      </w:r>
      <w:r w:rsidR="000D124B" w:rsidRPr="00BC6E3D">
        <w:rPr>
          <w:noProof/>
        </w:rPr>
        <w:t xml:space="preserve"> </w:t>
      </w:r>
      <w:r w:rsidRPr="00BC6E3D">
        <w:rPr>
          <w:noProof/>
        </w:rPr>
        <w:t xml:space="preserve">and </w:t>
      </w:r>
      <w:r w:rsidR="00AD7C38">
        <w:rPr>
          <w:noProof/>
        </w:rPr>
        <w:t>22</w:t>
      </w:r>
      <w:r w:rsidRPr="00BC6E3D">
        <w:rPr>
          <w:noProof/>
        </w:rPr>
        <w:t>, respectively.</w:t>
      </w:r>
    </w:p>
    <w:p w14:paraId="6065C540" w14:textId="7C68DE03" w:rsidR="00BC6E3D" w:rsidRPr="00BC6E3D" w:rsidRDefault="00822875" w:rsidP="00822875">
      <w:pPr>
        <w:pStyle w:val="ManualNumPar1"/>
        <w:rPr>
          <w:noProof/>
        </w:rPr>
      </w:pPr>
      <w:r w:rsidRPr="00822875">
        <w:t>5.</w:t>
      </w:r>
      <w:r w:rsidRPr="00822875">
        <w:tab/>
      </w:r>
      <w:r w:rsidR="00BC6E3D" w:rsidRPr="00BC6E3D">
        <w:rPr>
          <w:noProof/>
        </w:rPr>
        <w:t>When carrying out their tasks, supervisory authorities shall have at least the following powers:</w:t>
      </w:r>
    </w:p>
    <w:p w14:paraId="3B4CFFFE" w14:textId="77777777" w:rsidR="00BC6E3D" w:rsidRPr="00BC6E3D" w:rsidRDefault="00BC6E3D" w:rsidP="00377D93">
      <w:pPr>
        <w:pStyle w:val="Point1"/>
        <w:rPr>
          <w:noProof/>
        </w:rPr>
      </w:pPr>
      <w:r w:rsidRPr="00BC6E3D">
        <w:rPr>
          <w:noProof/>
        </w:rPr>
        <w:t>(a)</w:t>
      </w:r>
      <w:r w:rsidRPr="00BC6E3D">
        <w:rPr>
          <w:noProof/>
        </w:rPr>
        <w:tab/>
        <w:t>to order the cessation of infringements of the national provisions adopted pursuant to this Directive, abstention</w:t>
      </w:r>
      <w:r w:rsidRPr="00BC6E3D" w:rsidDel="005F1A5D">
        <w:rPr>
          <w:noProof/>
        </w:rPr>
        <w:t xml:space="preserve"> from any repetition of </w:t>
      </w:r>
      <w:r w:rsidRPr="00BC6E3D">
        <w:rPr>
          <w:noProof/>
        </w:rPr>
        <w:t>the relevant</w:t>
      </w:r>
      <w:r w:rsidRPr="00BC6E3D" w:rsidDel="005F1A5D">
        <w:rPr>
          <w:noProof/>
        </w:rPr>
        <w:t xml:space="preserve"> conduct</w:t>
      </w:r>
      <w:r w:rsidRPr="00BC6E3D">
        <w:rPr>
          <w:noProof/>
        </w:rPr>
        <w:t xml:space="preserve"> and, where appropriate, remedial action proportionate to the infringement and necessary to bring it to an end;</w:t>
      </w:r>
    </w:p>
    <w:p w14:paraId="140581A7" w14:textId="77777777" w:rsidR="00BC6E3D" w:rsidRPr="00BC6E3D" w:rsidRDefault="00BC6E3D" w:rsidP="00377D93">
      <w:pPr>
        <w:pStyle w:val="Point1"/>
        <w:rPr>
          <w:noProof/>
        </w:rPr>
      </w:pPr>
      <w:r w:rsidRPr="00BC6E3D">
        <w:rPr>
          <w:noProof/>
        </w:rPr>
        <w:t>(b)</w:t>
      </w:r>
      <w:r w:rsidRPr="00BC6E3D">
        <w:rPr>
          <w:noProof/>
        </w:rPr>
        <w:tab/>
        <w:t>to impose pecuniary sanctions in accordance with Article </w:t>
      </w:r>
      <w:r w:rsidR="000D124B">
        <w:rPr>
          <w:noProof/>
        </w:rPr>
        <w:t>20</w:t>
      </w:r>
      <w:r w:rsidRPr="00BC6E3D">
        <w:rPr>
          <w:noProof/>
        </w:rPr>
        <w:t>;</w:t>
      </w:r>
    </w:p>
    <w:p w14:paraId="324B96FF" w14:textId="77777777" w:rsidR="00BC6E3D" w:rsidRPr="00BC6E3D" w:rsidRDefault="00BC6E3D" w:rsidP="00377D93">
      <w:pPr>
        <w:pStyle w:val="Point1"/>
        <w:rPr>
          <w:noProof/>
        </w:rPr>
      </w:pPr>
      <w:r w:rsidRPr="00BC6E3D">
        <w:rPr>
          <w:noProof/>
        </w:rPr>
        <w:t>(c)</w:t>
      </w:r>
      <w:r w:rsidRPr="00BC6E3D">
        <w:rPr>
          <w:noProof/>
        </w:rPr>
        <w:tab/>
        <w:t xml:space="preserve">to adopt interim measures to avoid the risk of severe and irreparable harm. </w:t>
      </w:r>
    </w:p>
    <w:p w14:paraId="18EC7860" w14:textId="607B7CA0" w:rsidR="00BC6E3D" w:rsidRPr="00BC6E3D" w:rsidRDefault="00822875" w:rsidP="00822875">
      <w:pPr>
        <w:pStyle w:val="ManualNumPar1"/>
        <w:rPr>
          <w:noProof/>
        </w:rPr>
      </w:pPr>
      <w:r w:rsidRPr="00822875">
        <w:t>6.</w:t>
      </w:r>
      <w:r w:rsidRPr="00822875">
        <w:tab/>
      </w:r>
      <w:r w:rsidR="00BC6E3D" w:rsidRPr="00BC6E3D">
        <w:rPr>
          <w:noProof/>
        </w:rPr>
        <w:t>Where the legal system of the Member State does not provide for administrative sanctions, this Article and Article </w:t>
      </w:r>
      <w:r w:rsidR="000D124B">
        <w:rPr>
          <w:noProof/>
        </w:rPr>
        <w:t>20</w:t>
      </w:r>
      <w:r w:rsidR="000D124B" w:rsidRPr="00BC6E3D">
        <w:rPr>
          <w:noProof/>
        </w:rPr>
        <w:t xml:space="preserve"> </w:t>
      </w:r>
      <w:r w:rsidR="00BC6E3D" w:rsidRPr="00BC6E3D">
        <w:rPr>
          <w:noProof/>
        </w:rPr>
        <w:t xml:space="preserve">may be </w:t>
      </w:r>
      <w:r w:rsidR="000D4029">
        <w:rPr>
          <w:noProof/>
        </w:rPr>
        <w:t>implemented</w:t>
      </w:r>
      <w:r w:rsidR="000D4029" w:rsidRPr="00BC6E3D">
        <w:rPr>
          <w:noProof/>
        </w:rPr>
        <w:t xml:space="preserve"> </w:t>
      </w:r>
      <w:r w:rsidR="00BC6E3D" w:rsidRPr="00BC6E3D">
        <w:rPr>
          <w:noProof/>
        </w:rPr>
        <w:t>in such a manner that the sanction is initiated by the competent supervisory authority and imposed by the competent national courts, while ensuring that those legal remedies are effective and have an equivalent effect to the administrative sanctions imposed by supervisory authorities.</w:t>
      </w:r>
    </w:p>
    <w:p w14:paraId="42D2B625" w14:textId="19AB6CD9" w:rsidR="00BC6E3D" w:rsidRPr="00BC6E3D" w:rsidRDefault="00822875" w:rsidP="00822875">
      <w:pPr>
        <w:pStyle w:val="ManualNumPar1"/>
        <w:rPr>
          <w:noProof/>
        </w:rPr>
      </w:pPr>
      <w:r w:rsidRPr="00822875">
        <w:t>7.</w:t>
      </w:r>
      <w:r w:rsidRPr="00822875">
        <w:tab/>
      </w:r>
      <w:r w:rsidR="00BC6E3D" w:rsidRPr="00BC6E3D">
        <w:rPr>
          <w:noProof/>
        </w:rPr>
        <w:t>Member States shall ensure that each natural or legal person has the right to an effective judicial remedy against a legally binding decision by a supervisory authority concerning them.</w:t>
      </w:r>
    </w:p>
    <w:p w14:paraId="28A276EB" w14:textId="77777777" w:rsidR="00BC6E3D" w:rsidRPr="00BC6E3D" w:rsidRDefault="00BC6E3D" w:rsidP="00F452CF">
      <w:pPr>
        <w:pStyle w:val="Titrearticle"/>
        <w:rPr>
          <w:i w:val="0"/>
          <w:noProof/>
        </w:rPr>
      </w:pPr>
      <w:r w:rsidRPr="00BC6E3D">
        <w:rPr>
          <w:noProof/>
        </w:rPr>
        <w:t xml:space="preserve">Article </w:t>
      </w:r>
      <w:r w:rsidR="00C124EC" w:rsidRPr="008B4B1F">
        <w:rPr>
          <w:noProof/>
        </w:rPr>
        <w:t>1</w:t>
      </w:r>
      <w:r w:rsidR="00C124EC">
        <w:rPr>
          <w:noProof/>
        </w:rPr>
        <w:t>9</w:t>
      </w:r>
    </w:p>
    <w:p w14:paraId="7BB8E82A" w14:textId="35BE8B19" w:rsidR="00BC6E3D" w:rsidRPr="00BC6E3D" w:rsidRDefault="00BC6E3D" w:rsidP="00F452CF">
      <w:pPr>
        <w:pStyle w:val="Articletitle"/>
        <w:rPr>
          <w:b w:val="0"/>
          <w:bCs w:val="0"/>
          <w:noProof/>
        </w:rPr>
      </w:pPr>
      <w:r w:rsidRPr="00BC6E3D">
        <w:rPr>
          <w:noProof/>
        </w:rPr>
        <w:t>Substantiated concerns</w:t>
      </w:r>
    </w:p>
    <w:p w14:paraId="7FAF8871" w14:textId="51969A54" w:rsidR="00BC6E3D" w:rsidRPr="00832F22" w:rsidRDefault="00822875" w:rsidP="00822875">
      <w:pPr>
        <w:pStyle w:val="ManualNumPar1"/>
        <w:rPr>
          <w:noProof/>
        </w:rPr>
      </w:pPr>
      <w:r w:rsidRPr="00822875">
        <w:t>1.</w:t>
      </w:r>
      <w:r w:rsidRPr="00822875">
        <w:tab/>
      </w:r>
      <w:r w:rsidR="00BC6E3D" w:rsidRPr="00832F22">
        <w:rPr>
          <w:noProof/>
        </w:rPr>
        <w:t>Member States shall ensure that natural and legal persons are entitled to submit substantiated concerns to any supervisory authority when they have reasons to believe, on the basis of objective circumstances, that a company is failing to comply with the national provisions adopted pursuant to this Directive (‘substantiated concerns’).</w:t>
      </w:r>
    </w:p>
    <w:p w14:paraId="0C125A8E" w14:textId="05A97914" w:rsidR="00BC6E3D" w:rsidRPr="00832F22" w:rsidRDefault="00822875" w:rsidP="00822875">
      <w:pPr>
        <w:pStyle w:val="ManualNumPar1"/>
        <w:rPr>
          <w:noProof/>
        </w:rPr>
      </w:pPr>
      <w:r w:rsidRPr="00822875">
        <w:t>2.</w:t>
      </w:r>
      <w:r w:rsidRPr="00822875">
        <w:tab/>
      </w:r>
      <w:r w:rsidR="00BC6E3D" w:rsidRPr="00832F22">
        <w:rPr>
          <w:noProof/>
        </w:rPr>
        <w:t>Where the substantiated concern falls under the competence of another supervisory authority, the authority receiving the concern shall transmit it to that authority.</w:t>
      </w:r>
    </w:p>
    <w:p w14:paraId="3728A4AC" w14:textId="079F4F14" w:rsidR="00BC6E3D" w:rsidRPr="00832F22" w:rsidRDefault="00822875" w:rsidP="00822875">
      <w:pPr>
        <w:pStyle w:val="ManualNumPar1"/>
        <w:rPr>
          <w:noProof/>
        </w:rPr>
      </w:pPr>
      <w:r w:rsidRPr="00822875">
        <w:t>3.</w:t>
      </w:r>
      <w:r w:rsidRPr="00822875">
        <w:tab/>
      </w:r>
      <w:r w:rsidR="00BC6E3D" w:rsidRPr="00832F22">
        <w:rPr>
          <w:noProof/>
        </w:rPr>
        <w:t>Member States shall ensure that supervisory authorities assess the substantiated concerns and, where appropriate, exercise their powers as referred to in Article </w:t>
      </w:r>
      <w:r w:rsidR="00AD7C38" w:rsidRPr="00832F22">
        <w:rPr>
          <w:noProof/>
        </w:rPr>
        <w:t>1</w:t>
      </w:r>
      <w:r w:rsidR="00AD7C38">
        <w:rPr>
          <w:noProof/>
        </w:rPr>
        <w:t>8</w:t>
      </w:r>
      <w:r w:rsidR="00BC6E3D" w:rsidRPr="00832F22">
        <w:rPr>
          <w:noProof/>
        </w:rPr>
        <w:t xml:space="preserve">. </w:t>
      </w:r>
    </w:p>
    <w:p w14:paraId="2D421EF8" w14:textId="3E3B6505" w:rsidR="00BC6E3D" w:rsidRPr="00832F22" w:rsidRDefault="00822875" w:rsidP="00822875">
      <w:pPr>
        <w:pStyle w:val="ManualNumPar1"/>
        <w:rPr>
          <w:noProof/>
        </w:rPr>
      </w:pPr>
      <w:r w:rsidRPr="00822875">
        <w:t>4.</w:t>
      </w:r>
      <w:r w:rsidRPr="00822875">
        <w:tab/>
      </w:r>
      <w:r w:rsidR="00BC6E3D" w:rsidRPr="00832F22">
        <w:rPr>
          <w:noProof/>
        </w:rPr>
        <w:t>The supervisory authority shall, as soon as possible and in accordance with the relevant provisions of national law and in compliance with Union law, inform the person referred to in paragraph 1 of the result of the assessment of their substantiated concern and shall provide the reasoning for it.</w:t>
      </w:r>
    </w:p>
    <w:p w14:paraId="5CAAEAAE" w14:textId="2AA605DB" w:rsidR="00BC6E3D" w:rsidRPr="00BC6E3D" w:rsidRDefault="00822875" w:rsidP="00822875">
      <w:pPr>
        <w:pStyle w:val="ManualNumPar1"/>
        <w:rPr>
          <w:noProof/>
        </w:rPr>
      </w:pPr>
      <w:r w:rsidRPr="00822875">
        <w:t>5.</w:t>
      </w:r>
      <w:r w:rsidRPr="00822875">
        <w:tab/>
      </w:r>
      <w:r w:rsidR="00BC6E3D" w:rsidRPr="00832F22">
        <w:rPr>
          <w:noProof/>
        </w:rPr>
        <w:t>Member States shall ensure that the persons submitting the substantiated concern according to this Article and having, in accordance with national law, a legitimate interest in the matter have access to a court or other independent and impartial public body competent to review the procedural and substantive legality of the decisions, acts or failure to act</w:t>
      </w:r>
      <w:r w:rsidR="00BC6E3D" w:rsidRPr="00BC6E3D">
        <w:rPr>
          <w:noProof/>
        </w:rPr>
        <w:t xml:space="preserve"> of the supervisory authority.</w:t>
      </w:r>
    </w:p>
    <w:p w14:paraId="23FA0634" w14:textId="77777777" w:rsidR="00BC6E3D" w:rsidRPr="00BC6E3D" w:rsidRDefault="00BC6E3D" w:rsidP="00F452CF">
      <w:pPr>
        <w:pStyle w:val="Titrearticle"/>
        <w:rPr>
          <w:i w:val="0"/>
          <w:noProof/>
        </w:rPr>
      </w:pPr>
      <w:r w:rsidRPr="00BC6E3D">
        <w:rPr>
          <w:noProof/>
        </w:rPr>
        <w:t xml:space="preserve">Article </w:t>
      </w:r>
      <w:r w:rsidR="00C124EC">
        <w:rPr>
          <w:noProof/>
        </w:rPr>
        <w:t>20</w:t>
      </w:r>
    </w:p>
    <w:p w14:paraId="49CCCF6F" w14:textId="778C323C" w:rsidR="00BC6E3D" w:rsidRPr="00BC6E3D" w:rsidRDefault="00BC6E3D" w:rsidP="00F452CF">
      <w:pPr>
        <w:pStyle w:val="Articletitle"/>
        <w:rPr>
          <w:b w:val="0"/>
          <w:bCs w:val="0"/>
          <w:noProof/>
        </w:rPr>
      </w:pPr>
      <w:r w:rsidRPr="00BC6E3D">
        <w:rPr>
          <w:noProof/>
        </w:rPr>
        <w:t>Sanctions</w:t>
      </w:r>
    </w:p>
    <w:p w14:paraId="513EA74C" w14:textId="41D88653" w:rsidR="00BC6E3D" w:rsidRPr="00BB68F5" w:rsidRDefault="00822875" w:rsidP="00822875">
      <w:pPr>
        <w:pStyle w:val="ManualNumPar1"/>
        <w:rPr>
          <w:noProof/>
        </w:rPr>
      </w:pPr>
      <w:r w:rsidRPr="00822875">
        <w:t>1.</w:t>
      </w:r>
      <w:r w:rsidRPr="00822875">
        <w:tab/>
      </w:r>
      <w:r w:rsidR="00BC6E3D" w:rsidRPr="00BC6E3D">
        <w:rPr>
          <w:noProof/>
        </w:rPr>
        <w:t>Member States shall lay down the rules on sanctions applicable to infringements of national provisions adopted pursuant to this Directive,</w:t>
      </w:r>
      <w:r w:rsidR="00BC6E3D" w:rsidRPr="00BC6E3D" w:rsidDel="00906403">
        <w:rPr>
          <w:noProof/>
        </w:rPr>
        <w:t xml:space="preserve"> a</w:t>
      </w:r>
      <w:r w:rsidR="00BC6E3D" w:rsidRPr="00BC6E3D">
        <w:rPr>
          <w:noProof/>
        </w:rPr>
        <w:t xml:space="preserve">nd shall take all measures necessary to ensure that they are implemented. </w:t>
      </w:r>
      <w:r w:rsidR="00BC6E3D" w:rsidRPr="00BB68F5">
        <w:rPr>
          <w:noProof/>
        </w:rPr>
        <w:t>The sanctions provided for shall be effective, proportionate and dissuasive.</w:t>
      </w:r>
    </w:p>
    <w:p w14:paraId="6BA4DD82" w14:textId="23F9D120" w:rsidR="00BC6E3D" w:rsidRPr="00BC6E3D" w:rsidRDefault="00822875" w:rsidP="00822875">
      <w:pPr>
        <w:pStyle w:val="ManualNumPar1"/>
        <w:rPr>
          <w:noProof/>
        </w:rPr>
      </w:pPr>
      <w:r w:rsidRPr="00822875">
        <w:t>2.</w:t>
      </w:r>
      <w:r w:rsidRPr="00822875">
        <w:tab/>
      </w:r>
      <w:r w:rsidR="00BC6E3D" w:rsidRPr="00BC6E3D">
        <w:rPr>
          <w:noProof/>
        </w:rPr>
        <w:t>In deciding whether to impose sanctions and, if so, in determining their nature and appropriate level, due account shall be taken of the company’s efforts to comply with any remedial action required of them by a supervisory authority, any investments made and any targeted support provided pursuant to</w:t>
      </w:r>
      <w:r w:rsidR="00BC6E3D" w:rsidRPr="00BC6E3D" w:rsidDel="0007547F">
        <w:rPr>
          <w:noProof/>
        </w:rPr>
        <w:t xml:space="preserve"> </w:t>
      </w:r>
      <w:r w:rsidR="00BC6E3D" w:rsidRPr="00BC6E3D">
        <w:rPr>
          <w:noProof/>
        </w:rPr>
        <w:t xml:space="preserve">Articles 7 </w:t>
      </w:r>
      <w:r w:rsidR="00BC6E3D" w:rsidRPr="00930139">
        <w:rPr>
          <w:noProof/>
        </w:rPr>
        <w:t>and 8</w:t>
      </w:r>
      <w:r w:rsidR="00BC6E3D" w:rsidRPr="00BC6E3D">
        <w:rPr>
          <w:noProof/>
        </w:rPr>
        <w:t>, as well as collaboration with other entities to address adverse impacts in its value chains, as the case may be.</w:t>
      </w:r>
    </w:p>
    <w:p w14:paraId="2ED2A855" w14:textId="56BCCC63" w:rsidR="00BC6E3D" w:rsidRPr="00BC6E3D" w:rsidRDefault="00822875" w:rsidP="00822875">
      <w:pPr>
        <w:pStyle w:val="ManualNumPar1"/>
        <w:rPr>
          <w:noProof/>
        </w:rPr>
      </w:pPr>
      <w:r w:rsidRPr="00822875">
        <w:t>3.</w:t>
      </w:r>
      <w:r w:rsidRPr="00822875">
        <w:tab/>
      </w:r>
      <w:r w:rsidR="00BC6E3D" w:rsidRPr="00BC6E3D">
        <w:rPr>
          <w:noProof/>
        </w:rPr>
        <w:t>When pecuniary sanctions are imposed, they shall be based on the company’s turnover.</w:t>
      </w:r>
    </w:p>
    <w:p w14:paraId="62909221" w14:textId="4E4F6404" w:rsidR="00BC6E3D" w:rsidRPr="00BC6E3D" w:rsidRDefault="00822875" w:rsidP="00822875">
      <w:pPr>
        <w:pStyle w:val="ManualNumPar1"/>
        <w:rPr>
          <w:noProof/>
        </w:rPr>
      </w:pPr>
      <w:r w:rsidRPr="00822875">
        <w:t>4.</w:t>
      </w:r>
      <w:r w:rsidRPr="00822875">
        <w:tab/>
      </w:r>
      <w:r w:rsidR="00BC6E3D" w:rsidRPr="00BC6E3D">
        <w:rPr>
          <w:noProof/>
        </w:rPr>
        <w:t xml:space="preserve">Member </w:t>
      </w:r>
      <w:r w:rsidR="00DC67B4">
        <w:rPr>
          <w:noProof/>
        </w:rPr>
        <w:t>S</w:t>
      </w:r>
      <w:r w:rsidR="00BC6E3D" w:rsidRPr="00BC6E3D">
        <w:rPr>
          <w:noProof/>
        </w:rPr>
        <w:t xml:space="preserve">tates shall ensure that </w:t>
      </w:r>
      <w:r w:rsidR="007F7A0A">
        <w:rPr>
          <w:noProof/>
        </w:rPr>
        <w:t xml:space="preserve">any </w:t>
      </w:r>
      <w:r w:rsidR="00BC6E3D" w:rsidRPr="00BC6E3D">
        <w:rPr>
          <w:noProof/>
        </w:rPr>
        <w:t xml:space="preserve">decision of the supervisory authorities containing sanctions related to the breach of the provisions of this directive </w:t>
      </w:r>
      <w:r w:rsidR="007F7A0A">
        <w:rPr>
          <w:noProof/>
        </w:rPr>
        <w:t>is</w:t>
      </w:r>
      <w:r w:rsidR="00BC6E3D" w:rsidRPr="00BC6E3D">
        <w:rPr>
          <w:noProof/>
        </w:rPr>
        <w:t xml:space="preserve"> published. </w:t>
      </w:r>
    </w:p>
    <w:p w14:paraId="5F42E03E" w14:textId="77777777" w:rsidR="00BC6E3D" w:rsidRPr="00BC6E3D" w:rsidRDefault="00BC6E3D" w:rsidP="00F452CF">
      <w:pPr>
        <w:pStyle w:val="Titrearticle"/>
        <w:rPr>
          <w:i w:val="0"/>
          <w:noProof/>
        </w:rPr>
      </w:pPr>
      <w:r w:rsidRPr="00BC6E3D">
        <w:rPr>
          <w:noProof/>
        </w:rPr>
        <w:t xml:space="preserve">Article </w:t>
      </w:r>
      <w:r w:rsidR="00C124EC" w:rsidRPr="00BC6E3D">
        <w:rPr>
          <w:noProof/>
        </w:rPr>
        <w:t>2</w:t>
      </w:r>
      <w:r w:rsidR="00C124EC">
        <w:rPr>
          <w:noProof/>
        </w:rPr>
        <w:t>1</w:t>
      </w:r>
    </w:p>
    <w:p w14:paraId="23A185B7" w14:textId="622894D5" w:rsidR="00BC6E3D" w:rsidRPr="00BC6E3D" w:rsidRDefault="00BC6E3D" w:rsidP="00F452CF">
      <w:pPr>
        <w:pStyle w:val="Articletitle"/>
        <w:rPr>
          <w:b w:val="0"/>
          <w:bCs w:val="0"/>
          <w:noProof/>
        </w:rPr>
      </w:pPr>
      <w:r w:rsidRPr="00BC6E3D">
        <w:rPr>
          <w:noProof/>
        </w:rPr>
        <w:t>European Network of Supervisory Authorities</w:t>
      </w:r>
    </w:p>
    <w:p w14:paraId="06937322" w14:textId="5883AB4C" w:rsidR="00BC6E3D" w:rsidRPr="00BC6E3D" w:rsidRDefault="00822875" w:rsidP="00822875">
      <w:pPr>
        <w:pStyle w:val="ManualNumPar1"/>
        <w:rPr>
          <w:noProof/>
        </w:rPr>
      </w:pPr>
      <w:r w:rsidRPr="00822875">
        <w:t>1.</w:t>
      </w:r>
      <w:r w:rsidRPr="00822875">
        <w:tab/>
      </w:r>
      <w:r w:rsidR="00BC6E3D" w:rsidRPr="00BC6E3D">
        <w:rPr>
          <w:noProof/>
        </w:rPr>
        <w:t xml:space="preserve">The Commission shall set up a European Network of Supervisory Authorities, composed of representatives of the supervisory authorities. The Network shall facilitate the cooperation of the supervisory authorities and the coordination and alignment of regulatory, investigative, sanctioning and supervisory practices of the supervisory authorities and, as appropriate, sharing of information among them. </w:t>
      </w:r>
    </w:p>
    <w:p w14:paraId="61B494EC" w14:textId="77777777" w:rsidR="00BC6E3D" w:rsidRPr="006D1201" w:rsidRDefault="00BC6E3D" w:rsidP="006D1201">
      <w:pPr>
        <w:pStyle w:val="Text1"/>
        <w:rPr>
          <w:noProof/>
        </w:rPr>
      </w:pPr>
      <w:r w:rsidRPr="006D1201">
        <w:rPr>
          <w:noProof/>
        </w:rPr>
        <w:t xml:space="preserve">The Commission may invite Union agencies with relevant expertise in the areas covered by this Directive to join the European Network of Supervisory Authorities.  </w:t>
      </w:r>
    </w:p>
    <w:p w14:paraId="67C21D10" w14:textId="44C51A02" w:rsidR="00E10567" w:rsidRDefault="00822875" w:rsidP="00822875">
      <w:pPr>
        <w:pStyle w:val="ManualNumPar1"/>
        <w:rPr>
          <w:noProof/>
        </w:rPr>
      </w:pPr>
      <w:r w:rsidRPr="00822875">
        <w:t>2.</w:t>
      </w:r>
      <w:r w:rsidRPr="00822875">
        <w:tab/>
      </w:r>
      <w:r w:rsidR="00BC6E3D" w:rsidRPr="00BC6E3D">
        <w:rPr>
          <w:noProof/>
        </w:rPr>
        <w:t>Supervisory authorities shall provide each other with relevant information and mutual assistance in carrying out their duties and shall put in place measures for effective cooperation with each other. Mutual assistance shall include collaboration with a view to the exercise of the powers referred to in Article </w:t>
      </w:r>
      <w:r w:rsidR="00AD7C38" w:rsidRPr="00BC6E3D">
        <w:rPr>
          <w:noProof/>
        </w:rPr>
        <w:t>1</w:t>
      </w:r>
      <w:r w:rsidR="00AD7C38">
        <w:rPr>
          <w:noProof/>
        </w:rPr>
        <w:t>8</w:t>
      </w:r>
      <w:r w:rsidR="00BC6E3D" w:rsidRPr="00BC6E3D">
        <w:rPr>
          <w:noProof/>
        </w:rPr>
        <w:t>, including in relation to inspections</w:t>
      </w:r>
      <w:r w:rsidR="00CA19E9">
        <w:rPr>
          <w:noProof/>
        </w:rPr>
        <w:t xml:space="preserve"> and information requests</w:t>
      </w:r>
      <w:r w:rsidR="00BC6E3D" w:rsidRPr="00BC6E3D">
        <w:rPr>
          <w:noProof/>
        </w:rPr>
        <w:t xml:space="preserve">. </w:t>
      </w:r>
    </w:p>
    <w:p w14:paraId="1CE1EE45" w14:textId="23566749" w:rsidR="00E10567" w:rsidRDefault="00822875" w:rsidP="00822875">
      <w:pPr>
        <w:pStyle w:val="ManualNumPar1"/>
        <w:rPr>
          <w:noProof/>
        </w:rPr>
      </w:pPr>
      <w:r w:rsidRPr="00822875">
        <w:t>3.</w:t>
      </w:r>
      <w:r w:rsidRPr="00822875">
        <w:tab/>
      </w:r>
      <w:r w:rsidR="00BC6E3D" w:rsidRPr="00E10567">
        <w:rPr>
          <w:noProof/>
        </w:rPr>
        <w:t>Supervisory authorities shall take all appropriate steps needed to reply to a request for assistance by another supervisory authority without undue delay and no later than 1 month after receiving the request. Such steps may include, in particular, the transmission of relevant information on the conduct of an investigation.</w:t>
      </w:r>
    </w:p>
    <w:p w14:paraId="227E7F6C" w14:textId="0AC0D920" w:rsidR="00E10567" w:rsidRDefault="00822875" w:rsidP="00822875">
      <w:pPr>
        <w:pStyle w:val="ManualNumPar1"/>
        <w:rPr>
          <w:noProof/>
        </w:rPr>
      </w:pPr>
      <w:r w:rsidRPr="00822875">
        <w:t>4.</w:t>
      </w:r>
      <w:r w:rsidRPr="00822875">
        <w:tab/>
      </w:r>
      <w:r w:rsidR="00BC6E3D" w:rsidRPr="00BC6E3D">
        <w:rPr>
          <w:noProof/>
        </w:rPr>
        <w:t>Requests for assistance shall contain all the necessary information, including the purpose of and reasons for the request. Supervisory authorities shall only use the information received through a request for assistance for the purpose for which it was requested.</w:t>
      </w:r>
    </w:p>
    <w:p w14:paraId="69EB081B" w14:textId="23B8FCA4" w:rsidR="00E10567" w:rsidRDefault="00822875" w:rsidP="00822875">
      <w:pPr>
        <w:pStyle w:val="ManualNumPar1"/>
        <w:rPr>
          <w:noProof/>
        </w:rPr>
      </w:pPr>
      <w:r w:rsidRPr="00822875">
        <w:t>5.</w:t>
      </w:r>
      <w:r w:rsidRPr="00822875">
        <w:tab/>
      </w:r>
      <w:r w:rsidR="00BC6E3D" w:rsidRPr="00BC6E3D">
        <w:rPr>
          <w:noProof/>
        </w:rPr>
        <w:t>The requested supervisory authority shall inform the requesting supervisory authority of the results or, as the case may be, of the progress regarding the measures to be taken in order to respond to the request for assistance.</w:t>
      </w:r>
    </w:p>
    <w:p w14:paraId="78A2E4A6" w14:textId="39343A9A" w:rsidR="00BC6E3D" w:rsidRPr="00BC6E3D" w:rsidRDefault="00822875" w:rsidP="00822875">
      <w:pPr>
        <w:pStyle w:val="ManualNumPar1"/>
        <w:rPr>
          <w:noProof/>
        </w:rPr>
      </w:pPr>
      <w:r w:rsidRPr="00822875">
        <w:t>6.</w:t>
      </w:r>
      <w:r w:rsidRPr="00822875">
        <w:tab/>
      </w:r>
      <w:r w:rsidR="00BC6E3D" w:rsidRPr="00BC6E3D">
        <w:rPr>
          <w:noProof/>
        </w:rPr>
        <w:t>Supervisory authorities shall not charge each other</w:t>
      </w:r>
      <w:r w:rsidR="00BC6E3D" w:rsidRPr="00BC6E3D" w:rsidDel="00626BAC">
        <w:rPr>
          <w:noProof/>
        </w:rPr>
        <w:t xml:space="preserve"> </w:t>
      </w:r>
      <w:r w:rsidR="00BC6E3D" w:rsidRPr="00BC6E3D">
        <w:rPr>
          <w:noProof/>
        </w:rPr>
        <w:t xml:space="preserve">fees for actions and measures taken pursuant to a request for assistance. </w:t>
      </w:r>
    </w:p>
    <w:p w14:paraId="1C2AA347" w14:textId="77777777" w:rsidR="00E10567" w:rsidRDefault="00BC6E3D" w:rsidP="00E10567">
      <w:pPr>
        <w:pStyle w:val="Text1"/>
        <w:rPr>
          <w:noProof/>
        </w:rPr>
      </w:pPr>
      <w:r w:rsidRPr="00E10567">
        <w:rPr>
          <w:noProof/>
        </w:rPr>
        <w:t>However, supervisory authorities may agree on rules to indemnify each other for specific expenditure arising from the provision of assistance in exceptional cases.</w:t>
      </w:r>
    </w:p>
    <w:p w14:paraId="2AC68EB8" w14:textId="5295002A" w:rsidR="00E10567" w:rsidRDefault="00822875" w:rsidP="00822875">
      <w:pPr>
        <w:pStyle w:val="ManualNumPar1"/>
        <w:rPr>
          <w:noProof/>
        </w:rPr>
      </w:pPr>
      <w:r w:rsidRPr="00822875">
        <w:t>7.</w:t>
      </w:r>
      <w:r w:rsidRPr="00822875">
        <w:tab/>
      </w:r>
      <w:r w:rsidR="00BC6E3D" w:rsidRPr="00BC6E3D">
        <w:rPr>
          <w:noProof/>
        </w:rPr>
        <w:t>The supervisory authority that is competent pursuant to Article 1</w:t>
      </w:r>
      <w:r w:rsidR="00AD7C38">
        <w:rPr>
          <w:noProof/>
        </w:rPr>
        <w:t>7</w:t>
      </w:r>
      <w:r w:rsidR="00BC6E3D" w:rsidRPr="00BC6E3D">
        <w:rPr>
          <w:noProof/>
        </w:rPr>
        <w:t xml:space="preserve">(3) shall inform the European Network of Supervisory Authorities of that fact and of any request to change the competent supervisory authority. </w:t>
      </w:r>
    </w:p>
    <w:p w14:paraId="1E5DFDF7" w14:textId="2B36061B" w:rsidR="00BC6E3D" w:rsidRPr="00BC6E3D" w:rsidRDefault="00822875" w:rsidP="00822875">
      <w:pPr>
        <w:pStyle w:val="ManualNumPar1"/>
        <w:rPr>
          <w:noProof/>
        </w:rPr>
      </w:pPr>
      <w:r w:rsidRPr="00822875">
        <w:t>8.</w:t>
      </w:r>
      <w:r w:rsidRPr="00822875">
        <w:tab/>
      </w:r>
      <w:r w:rsidR="00BC6E3D" w:rsidRPr="00BC6E3D">
        <w:rPr>
          <w:noProof/>
        </w:rPr>
        <w:t xml:space="preserve">When doubts exist as to the attribution of competence, the information on which that attribution is based will be shared with the European Network of Supervisory Authorities, which may coordinate efforts to find a solution. </w:t>
      </w:r>
    </w:p>
    <w:p w14:paraId="16E4AD65" w14:textId="77777777" w:rsidR="00BC6E3D" w:rsidRPr="00BC6E3D" w:rsidRDefault="00BC6E3D" w:rsidP="00F452CF">
      <w:pPr>
        <w:pStyle w:val="Titrearticle"/>
        <w:rPr>
          <w:noProof/>
        </w:rPr>
      </w:pPr>
      <w:r>
        <w:rPr>
          <w:noProof/>
        </w:rPr>
        <w:t xml:space="preserve">Article </w:t>
      </w:r>
      <w:r w:rsidR="00C124EC">
        <w:rPr>
          <w:noProof/>
        </w:rPr>
        <w:t>22</w:t>
      </w:r>
    </w:p>
    <w:p w14:paraId="5DDCCC2A" w14:textId="13385533" w:rsidR="00BC6E3D" w:rsidRPr="00BC6E3D" w:rsidRDefault="00BC6E3D" w:rsidP="00F452CF">
      <w:pPr>
        <w:pStyle w:val="Articletitle"/>
        <w:rPr>
          <w:b w:val="0"/>
          <w:bCs w:val="0"/>
          <w:noProof/>
        </w:rPr>
      </w:pPr>
      <w:r w:rsidRPr="00BC6E3D">
        <w:rPr>
          <w:noProof/>
        </w:rPr>
        <w:t>Civil liability</w:t>
      </w:r>
    </w:p>
    <w:p w14:paraId="7A91443E" w14:textId="72511240" w:rsidR="00BC6E3D" w:rsidRPr="00BC6E3D" w:rsidRDefault="00822875" w:rsidP="00822875">
      <w:pPr>
        <w:pStyle w:val="ManualNumPar1"/>
        <w:rPr>
          <w:noProof/>
        </w:rPr>
      </w:pPr>
      <w:r w:rsidRPr="00822875">
        <w:t>1.</w:t>
      </w:r>
      <w:r w:rsidRPr="00822875">
        <w:tab/>
      </w:r>
      <w:r w:rsidR="00BC6E3D" w:rsidRPr="00BC6E3D">
        <w:rPr>
          <w:noProof/>
        </w:rPr>
        <w:t xml:space="preserve">Member States shall ensure that companies are liable for damages if: </w:t>
      </w:r>
    </w:p>
    <w:p w14:paraId="31F3E853" w14:textId="77777777" w:rsidR="00BC6E3D" w:rsidRPr="004165CA" w:rsidRDefault="00BC6E3D" w:rsidP="00E31C2E">
      <w:pPr>
        <w:pStyle w:val="Point1"/>
        <w:rPr>
          <w:noProof/>
        </w:rPr>
      </w:pPr>
      <w:r w:rsidRPr="00BC6E3D">
        <w:rPr>
          <w:noProof/>
        </w:rPr>
        <w:t>(a)</w:t>
      </w:r>
      <w:r w:rsidRPr="00BC6E3D">
        <w:rPr>
          <w:noProof/>
        </w:rPr>
        <w:tab/>
      </w:r>
      <w:r w:rsidRPr="004165CA">
        <w:rPr>
          <w:noProof/>
        </w:rPr>
        <w:t xml:space="preserve">they failed to comply with the obligations laid down in Articles 7 </w:t>
      </w:r>
      <w:r w:rsidR="004E7EE8" w:rsidRPr="004165CA">
        <w:rPr>
          <w:noProof/>
        </w:rPr>
        <w:t>and</w:t>
      </w:r>
      <w:r w:rsidRPr="004165CA">
        <w:rPr>
          <w:noProof/>
        </w:rPr>
        <w:t xml:space="preserve"> 8 and; </w:t>
      </w:r>
    </w:p>
    <w:p w14:paraId="75247DE8" w14:textId="0C76A84A" w:rsidR="00BC6E3D" w:rsidRPr="004165CA" w:rsidRDefault="00BC6E3D" w:rsidP="00E31C2E">
      <w:pPr>
        <w:pStyle w:val="Point1"/>
        <w:rPr>
          <w:noProof/>
        </w:rPr>
      </w:pPr>
      <w:r w:rsidRPr="004165CA">
        <w:rPr>
          <w:noProof/>
        </w:rPr>
        <w:t>(b)</w:t>
      </w:r>
      <w:r w:rsidRPr="004165CA">
        <w:rPr>
          <w:noProof/>
        </w:rPr>
        <w:tab/>
        <w:t xml:space="preserve">as a result of this failure an adverse impact that should have been identified, prevented, </w:t>
      </w:r>
      <w:r w:rsidR="009D3DC6">
        <w:rPr>
          <w:noProof/>
        </w:rPr>
        <w:t>mitigated</w:t>
      </w:r>
      <w:r w:rsidRPr="004165CA">
        <w:rPr>
          <w:noProof/>
        </w:rPr>
        <w:t xml:space="preserve">, brought to an end or </w:t>
      </w:r>
      <w:r w:rsidR="006B4E30" w:rsidRPr="004165CA">
        <w:rPr>
          <w:noProof/>
        </w:rPr>
        <w:t xml:space="preserve">its extent </w:t>
      </w:r>
      <w:r w:rsidR="009D3DC6">
        <w:rPr>
          <w:noProof/>
        </w:rPr>
        <w:t>minimised</w:t>
      </w:r>
      <w:r w:rsidR="009D3DC6" w:rsidRPr="004165CA">
        <w:rPr>
          <w:noProof/>
        </w:rPr>
        <w:t xml:space="preserve"> </w:t>
      </w:r>
      <w:r w:rsidRPr="004165CA">
        <w:rPr>
          <w:noProof/>
        </w:rPr>
        <w:t xml:space="preserve">through the appropriate measures laid down in Articles 7 and 8 occurred and led to damage. </w:t>
      </w:r>
    </w:p>
    <w:p w14:paraId="13FF319C" w14:textId="32369078" w:rsidR="00BC6E3D" w:rsidRPr="00BC6E3D" w:rsidRDefault="00822875" w:rsidP="00822875">
      <w:pPr>
        <w:pStyle w:val="ManualNumPar1"/>
        <w:rPr>
          <w:noProof/>
        </w:rPr>
      </w:pPr>
      <w:r w:rsidRPr="00822875">
        <w:t>2.</w:t>
      </w:r>
      <w:r w:rsidRPr="00822875">
        <w:tab/>
      </w:r>
      <w:r w:rsidR="00BC6E3D" w:rsidRPr="004165CA">
        <w:rPr>
          <w:noProof/>
        </w:rPr>
        <w:t>Notwithstanding paragraph 1, Member States shall ensure that where a company has</w:t>
      </w:r>
      <w:r w:rsidR="00BC6E3D" w:rsidRPr="00BC6E3D">
        <w:rPr>
          <w:noProof/>
        </w:rPr>
        <w:t xml:space="preserve"> taken the actions referred to in </w:t>
      </w:r>
      <w:r w:rsidR="00BC6E3D" w:rsidRPr="00712B0A">
        <w:rPr>
          <w:noProof/>
        </w:rPr>
        <w:t>Article 7</w:t>
      </w:r>
      <w:r w:rsidR="00045DB3" w:rsidRPr="00712B0A">
        <w:rPr>
          <w:noProof/>
        </w:rPr>
        <w:t>(</w:t>
      </w:r>
      <w:r w:rsidR="00BC6E3D" w:rsidRPr="00712B0A">
        <w:rPr>
          <w:noProof/>
        </w:rPr>
        <w:t>2</w:t>
      </w:r>
      <w:r w:rsidR="00045DB3" w:rsidRPr="00712B0A">
        <w:rPr>
          <w:noProof/>
        </w:rPr>
        <w:t>)</w:t>
      </w:r>
      <w:r w:rsidR="00053D77" w:rsidRPr="00712B0A">
        <w:rPr>
          <w:noProof/>
        </w:rPr>
        <w:t>,</w:t>
      </w:r>
      <w:r w:rsidR="00BE0B7E" w:rsidRPr="00712B0A">
        <w:rPr>
          <w:noProof/>
        </w:rPr>
        <w:t xml:space="preserve"> point (</w:t>
      </w:r>
      <w:r w:rsidR="00BC6E3D" w:rsidRPr="00712B0A">
        <w:rPr>
          <w:noProof/>
        </w:rPr>
        <w:t>b</w:t>
      </w:r>
      <w:r w:rsidR="00BE0B7E" w:rsidRPr="00712B0A">
        <w:rPr>
          <w:noProof/>
        </w:rPr>
        <w:t>)</w:t>
      </w:r>
      <w:r w:rsidR="00BC6E3D" w:rsidRPr="00712B0A">
        <w:rPr>
          <w:noProof/>
        </w:rPr>
        <w:t xml:space="preserve"> and Article </w:t>
      </w:r>
      <w:r w:rsidR="00053D77" w:rsidRPr="00712B0A">
        <w:rPr>
          <w:noProof/>
        </w:rPr>
        <w:t>7</w:t>
      </w:r>
      <w:r w:rsidR="00045DB3" w:rsidRPr="00712B0A">
        <w:rPr>
          <w:noProof/>
        </w:rPr>
        <w:t>(</w:t>
      </w:r>
      <w:r w:rsidR="00053D77" w:rsidRPr="00712B0A">
        <w:rPr>
          <w:noProof/>
        </w:rPr>
        <w:t>4</w:t>
      </w:r>
      <w:r w:rsidR="00045DB3" w:rsidRPr="00712B0A">
        <w:rPr>
          <w:noProof/>
        </w:rPr>
        <w:t>)</w:t>
      </w:r>
      <w:r w:rsidR="00053D77" w:rsidRPr="00712B0A">
        <w:rPr>
          <w:noProof/>
        </w:rPr>
        <w:t xml:space="preserve">, </w:t>
      </w:r>
      <w:r w:rsidR="0032212A" w:rsidRPr="00712B0A">
        <w:rPr>
          <w:noProof/>
        </w:rPr>
        <w:t xml:space="preserve">or </w:t>
      </w:r>
      <w:r w:rsidR="00BC6E3D" w:rsidRPr="00712B0A">
        <w:rPr>
          <w:noProof/>
        </w:rPr>
        <w:t>Article 8</w:t>
      </w:r>
      <w:r w:rsidR="00045DB3" w:rsidRPr="00712B0A">
        <w:rPr>
          <w:noProof/>
        </w:rPr>
        <w:t>(</w:t>
      </w:r>
      <w:r w:rsidR="00BC6E3D" w:rsidRPr="00712B0A">
        <w:rPr>
          <w:noProof/>
        </w:rPr>
        <w:t>3</w:t>
      </w:r>
      <w:r w:rsidR="00045DB3" w:rsidRPr="00712B0A">
        <w:rPr>
          <w:noProof/>
        </w:rPr>
        <w:t>)</w:t>
      </w:r>
      <w:r w:rsidR="00053D77" w:rsidRPr="00712B0A">
        <w:rPr>
          <w:noProof/>
        </w:rPr>
        <w:t>,</w:t>
      </w:r>
      <w:r w:rsidR="00BE0B7E" w:rsidRPr="00712B0A">
        <w:rPr>
          <w:noProof/>
        </w:rPr>
        <w:t xml:space="preserve"> point (</w:t>
      </w:r>
      <w:r w:rsidR="00BC6E3D" w:rsidRPr="00712B0A">
        <w:rPr>
          <w:noProof/>
        </w:rPr>
        <w:t>c</w:t>
      </w:r>
      <w:r w:rsidR="00BE0B7E" w:rsidRPr="00712B0A">
        <w:rPr>
          <w:noProof/>
        </w:rPr>
        <w:t>)</w:t>
      </w:r>
      <w:r w:rsidR="00BC6E3D" w:rsidRPr="00712B0A">
        <w:rPr>
          <w:noProof/>
        </w:rPr>
        <w:t xml:space="preserve">, </w:t>
      </w:r>
      <w:r w:rsidR="00053D77" w:rsidRPr="00712B0A">
        <w:rPr>
          <w:noProof/>
        </w:rPr>
        <w:t>and Article 8</w:t>
      </w:r>
      <w:r w:rsidR="00045DB3" w:rsidRPr="00712B0A">
        <w:rPr>
          <w:noProof/>
        </w:rPr>
        <w:t>(</w:t>
      </w:r>
      <w:r w:rsidR="00053D77" w:rsidRPr="00712B0A">
        <w:rPr>
          <w:noProof/>
        </w:rPr>
        <w:t>5</w:t>
      </w:r>
      <w:r w:rsidR="00045DB3" w:rsidRPr="00712B0A">
        <w:rPr>
          <w:noProof/>
        </w:rPr>
        <w:t>)</w:t>
      </w:r>
      <w:r w:rsidR="00CA19E9">
        <w:rPr>
          <w:noProof/>
        </w:rPr>
        <w:t>,</w:t>
      </w:r>
      <w:r w:rsidR="00BC6E3D" w:rsidRPr="00E971A6">
        <w:rPr>
          <w:noProof/>
        </w:rPr>
        <w:t xml:space="preserve"> </w:t>
      </w:r>
      <w:r w:rsidR="00BC6E3D" w:rsidRPr="00BC6E3D">
        <w:rPr>
          <w:noProof/>
        </w:rPr>
        <w:t xml:space="preserve">it shall not be liable for damages caused by an adverse impact arising as a result of the activities of an indirect partner with whom it has an established business relationship, </w:t>
      </w:r>
      <w:r w:rsidR="00BC6E3D" w:rsidRPr="00BC6E3D" w:rsidDel="5F98D755">
        <w:rPr>
          <w:noProof/>
        </w:rPr>
        <w:t>unless</w:t>
      </w:r>
      <w:r w:rsidR="00BC6E3D" w:rsidRPr="00A1011D">
        <w:rPr>
          <w:noProof/>
        </w:rPr>
        <w:t xml:space="preserve"> </w:t>
      </w:r>
      <w:r w:rsidR="00BC6E3D" w:rsidRPr="00BC6E3D" w:rsidDel="5F98D755">
        <w:rPr>
          <w:noProof/>
        </w:rPr>
        <w:t>it was unreasonable</w:t>
      </w:r>
      <w:r w:rsidR="00BC6E3D" w:rsidRPr="00BC6E3D">
        <w:rPr>
          <w:noProof/>
        </w:rPr>
        <w:t>, in the circumstances of the case,</w:t>
      </w:r>
      <w:r w:rsidR="00BC6E3D" w:rsidRPr="00BC6E3D" w:rsidDel="5F98D755">
        <w:rPr>
          <w:noProof/>
        </w:rPr>
        <w:t xml:space="preserve"> to expect that </w:t>
      </w:r>
      <w:r w:rsidR="00BC6E3D" w:rsidRPr="00BC6E3D">
        <w:rPr>
          <w:noProof/>
        </w:rPr>
        <w:t>the action actually taken, including as regards verifying compliance,</w:t>
      </w:r>
      <w:r w:rsidR="00BC6E3D" w:rsidRPr="00BC6E3D" w:rsidDel="5F98D755">
        <w:rPr>
          <w:noProof/>
        </w:rPr>
        <w:t xml:space="preserve"> would</w:t>
      </w:r>
      <w:r w:rsidR="00BC6E3D" w:rsidRPr="00BC6E3D">
        <w:rPr>
          <w:noProof/>
        </w:rPr>
        <w:t xml:space="preserve"> </w:t>
      </w:r>
      <w:r w:rsidR="00BC6E3D" w:rsidRPr="00BC6E3D" w:rsidDel="5F98D755">
        <w:rPr>
          <w:noProof/>
        </w:rPr>
        <w:t>be adequate to</w:t>
      </w:r>
      <w:r w:rsidR="00BC6E3D" w:rsidRPr="00BC6E3D">
        <w:rPr>
          <w:noProof/>
        </w:rPr>
        <w:t xml:space="preserve"> prevent, </w:t>
      </w:r>
      <w:r w:rsidR="003F270D">
        <w:rPr>
          <w:noProof/>
        </w:rPr>
        <w:t>mitigate</w:t>
      </w:r>
      <w:r w:rsidR="00BC6E3D" w:rsidRPr="00BC6E3D">
        <w:rPr>
          <w:noProof/>
        </w:rPr>
        <w:t xml:space="preserve">, bring to an end or </w:t>
      </w:r>
      <w:r w:rsidR="003F270D">
        <w:rPr>
          <w:noProof/>
        </w:rPr>
        <w:t xml:space="preserve">minimise the extent of </w:t>
      </w:r>
      <w:r w:rsidR="00BC6E3D" w:rsidRPr="00BC6E3D">
        <w:rPr>
          <w:noProof/>
        </w:rPr>
        <w:t>the adverse impact.</w:t>
      </w:r>
    </w:p>
    <w:p w14:paraId="401ED8C2" w14:textId="77777777" w:rsidR="00BC6E3D" w:rsidRPr="00BC6E3D" w:rsidRDefault="00BC6E3D" w:rsidP="00BB7394">
      <w:pPr>
        <w:pStyle w:val="Text1"/>
        <w:rPr>
          <w:noProof/>
        </w:rPr>
      </w:pPr>
      <w:r w:rsidRPr="00BC6E3D">
        <w:rPr>
          <w:noProof/>
        </w:rPr>
        <w:t>In the assessment of the existence and extent of liability under this paragraph, due account shall be taken of the company’s efforts, insofar as they relate directly to the damage in question, to comply with any remedial action required of them by a supervisory authority, any investments made and any targeted support provided pursuant to</w:t>
      </w:r>
      <w:r w:rsidRPr="00BC6E3D" w:rsidDel="0007547F">
        <w:rPr>
          <w:noProof/>
        </w:rPr>
        <w:t xml:space="preserve"> </w:t>
      </w:r>
      <w:r w:rsidRPr="00BC6E3D">
        <w:rPr>
          <w:noProof/>
        </w:rPr>
        <w:t xml:space="preserve">Articles 7 </w:t>
      </w:r>
      <w:r w:rsidRPr="004165CA">
        <w:rPr>
          <w:noProof/>
        </w:rPr>
        <w:t>and 8</w:t>
      </w:r>
      <w:r w:rsidRPr="00BC6E3D">
        <w:rPr>
          <w:noProof/>
        </w:rPr>
        <w:t>, as well as any collaboration with other entities to address adverse impacts in its value chains.</w:t>
      </w:r>
    </w:p>
    <w:p w14:paraId="7A6E4EF5" w14:textId="6CAC89FD" w:rsidR="00BC6E3D" w:rsidRPr="00BC6E3D" w:rsidRDefault="00822875" w:rsidP="00822875">
      <w:pPr>
        <w:pStyle w:val="ManualNumPar1"/>
        <w:rPr>
          <w:noProof/>
        </w:rPr>
      </w:pPr>
      <w:r w:rsidRPr="00822875">
        <w:t>3.</w:t>
      </w:r>
      <w:r w:rsidRPr="00822875">
        <w:tab/>
      </w:r>
      <w:r w:rsidR="00BC6E3D" w:rsidRPr="00BC6E3D">
        <w:rPr>
          <w:noProof/>
        </w:rPr>
        <w:t>The civil liability of a company for damages arising under this provision shall be without prejudice to the civil liability of its subsidiaries or of any direct and indirect business partners in the value chain.</w:t>
      </w:r>
    </w:p>
    <w:p w14:paraId="74D80DF4" w14:textId="3B05E846" w:rsidR="00BC6E3D" w:rsidRDefault="00822875" w:rsidP="00822875">
      <w:pPr>
        <w:pStyle w:val="ManualNumPar1"/>
        <w:rPr>
          <w:noProof/>
        </w:rPr>
      </w:pPr>
      <w:r w:rsidRPr="00822875">
        <w:t>4.</w:t>
      </w:r>
      <w:r w:rsidRPr="00822875">
        <w:tab/>
      </w:r>
      <w:r w:rsidR="00BC6E3D" w:rsidRPr="00BC6E3D">
        <w:rPr>
          <w:noProof/>
        </w:rPr>
        <w:t xml:space="preserve">The civil liability rules under this Directive shall be without prejudice to </w:t>
      </w:r>
      <w:r w:rsidR="007F7A0A">
        <w:rPr>
          <w:noProof/>
        </w:rPr>
        <w:t>Union or national rules on</w:t>
      </w:r>
      <w:r w:rsidR="007F7A0A" w:rsidRPr="00BC6E3D">
        <w:rPr>
          <w:noProof/>
        </w:rPr>
        <w:t xml:space="preserve"> </w:t>
      </w:r>
      <w:r w:rsidR="00BC6E3D" w:rsidRPr="00BC6E3D">
        <w:rPr>
          <w:noProof/>
        </w:rPr>
        <w:t xml:space="preserve">civil liability related to adverse </w:t>
      </w:r>
      <w:r w:rsidR="007C721E" w:rsidRPr="00733133">
        <w:rPr>
          <w:noProof/>
        </w:rPr>
        <w:t xml:space="preserve">human rights </w:t>
      </w:r>
      <w:r w:rsidR="00BC6E3D" w:rsidRPr="00BC6E3D">
        <w:rPr>
          <w:noProof/>
        </w:rPr>
        <w:t xml:space="preserve">impacts or to adverse </w:t>
      </w:r>
      <w:r w:rsidR="007C721E" w:rsidRPr="00733133">
        <w:rPr>
          <w:noProof/>
        </w:rPr>
        <w:t xml:space="preserve">environmental </w:t>
      </w:r>
      <w:r w:rsidR="00BC6E3D" w:rsidRPr="00BC6E3D">
        <w:rPr>
          <w:noProof/>
        </w:rPr>
        <w:t xml:space="preserve">impacts </w:t>
      </w:r>
      <w:r w:rsidR="007F7A0A">
        <w:rPr>
          <w:noProof/>
        </w:rPr>
        <w:t xml:space="preserve">that provide for liability in situations not covered by </w:t>
      </w:r>
      <w:r w:rsidR="007C721E" w:rsidRPr="00733133">
        <w:rPr>
          <w:noProof/>
        </w:rPr>
        <w:t xml:space="preserve">or providing for stricter liability than </w:t>
      </w:r>
      <w:r w:rsidR="007F7A0A">
        <w:rPr>
          <w:noProof/>
        </w:rPr>
        <w:t>this Directive</w:t>
      </w:r>
      <w:r w:rsidR="00BC6E3D" w:rsidRPr="00BC6E3D">
        <w:rPr>
          <w:noProof/>
        </w:rPr>
        <w:t>.</w:t>
      </w:r>
    </w:p>
    <w:p w14:paraId="1F9C3AB6" w14:textId="3DB3EFDE" w:rsidR="000905C3" w:rsidRPr="000905C3" w:rsidRDefault="00822875" w:rsidP="00822875">
      <w:pPr>
        <w:pStyle w:val="ManualNumPar1"/>
        <w:rPr>
          <w:noProof/>
        </w:rPr>
      </w:pPr>
      <w:r w:rsidRPr="00822875">
        <w:t>5.</w:t>
      </w:r>
      <w:r w:rsidRPr="00822875">
        <w:tab/>
      </w:r>
      <w:r w:rsidR="00D372D3" w:rsidRPr="00A1011D" w:rsidDel="5F98D755">
        <w:rPr>
          <w:noProof/>
        </w:rPr>
        <w:t xml:space="preserve">Member States shall ensure that </w:t>
      </w:r>
      <w:r w:rsidR="00D372D3" w:rsidRPr="00A1011D">
        <w:rPr>
          <w:noProof/>
        </w:rPr>
        <w:t xml:space="preserve">the liability provided for in </w:t>
      </w:r>
      <w:r w:rsidR="007F7A0A" w:rsidRPr="00A1011D">
        <w:rPr>
          <w:noProof/>
        </w:rPr>
        <w:t xml:space="preserve">provisions of national law transposing this Article is of overriding mandatory application in cases where the law applicable to claims to that effect is not the law of a Member </w:t>
      </w:r>
      <w:r w:rsidR="004D1237">
        <w:rPr>
          <w:noProof/>
        </w:rPr>
        <w:t>State</w:t>
      </w:r>
      <w:r w:rsidR="00D372D3" w:rsidDel="5F98D755">
        <w:rPr>
          <w:noProof/>
        </w:rPr>
        <w:t>.</w:t>
      </w:r>
    </w:p>
    <w:p w14:paraId="47850F57" w14:textId="77777777" w:rsidR="00BC6E3D" w:rsidRPr="00BC6E3D" w:rsidRDefault="00BC6E3D" w:rsidP="00F452CF">
      <w:pPr>
        <w:pStyle w:val="Titrearticle"/>
        <w:rPr>
          <w:i w:val="0"/>
          <w:noProof/>
        </w:rPr>
      </w:pPr>
      <w:r w:rsidRPr="004165CA">
        <w:rPr>
          <w:noProof/>
        </w:rPr>
        <w:t xml:space="preserve">Article </w:t>
      </w:r>
      <w:r w:rsidR="00C124EC" w:rsidRPr="004165CA">
        <w:rPr>
          <w:noProof/>
        </w:rPr>
        <w:t>2</w:t>
      </w:r>
      <w:r w:rsidR="00C124EC">
        <w:rPr>
          <w:noProof/>
        </w:rPr>
        <w:t>3</w:t>
      </w:r>
    </w:p>
    <w:p w14:paraId="56AA516C" w14:textId="105FC2D2" w:rsidR="00BC6E3D" w:rsidRPr="00BC6E3D" w:rsidRDefault="00BC6E3D" w:rsidP="00F452CF">
      <w:pPr>
        <w:pStyle w:val="Articletitle"/>
        <w:rPr>
          <w:b w:val="0"/>
          <w:bCs w:val="0"/>
          <w:noProof/>
        </w:rPr>
      </w:pPr>
      <w:r w:rsidRPr="00BC6E3D">
        <w:rPr>
          <w:noProof/>
        </w:rPr>
        <w:t>Reporting of breaches and protection of reporting persons</w:t>
      </w:r>
    </w:p>
    <w:p w14:paraId="47DF2E1D" w14:textId="77777777" w:rsidR="0051288A" w:rsidRPr="00D507AE" w:rsidRDefault="00BC6E3D" w:rsidP="00D507AE">
      <w:pPr>
        <w:rPr>
          <w:noProof/>
          <w:lang w:val="en-IE"/>
        </w:rPr>
      </w:pPr>
      <w:r w:rsidRPr="00D507AE">
        <w:rPr>
          <w:noProof/>
          <w:lang w:val="en-IE"/>
        </w:rPr>
        <w:t>Directive (EU) 2019/1937 shall apply to the reporting of all breaches of this Directive and the protection of persons reporting such breaches.</w:t>
      </w:r>
    </w:p>
    <w:p w14:paraId="5F028DC0" w14:textId="14276F22" w:rsidR="00BC6E3D" w:rsidRPr="00BC6E3D" w:rsidRDefault="00BC6E3D" w:rsidP="00F452CF">
      <w:pPr>
        <w:pStyle w:val="Titrearticle"/>
        <w:rPr>
          <w:i w:val="0"/>
          <w:noProof/>
        </w:rPr>
      </w:pPr>
      <w:r w:rsidRPr="00BC6E3D">
        <w:rPr>
          <w:noProof/>
        </w:rPr>
        <w:t xml:space="preserve">Article </w:t>
      </w:r>
      <w:r w:rsidR="00917374" w:rsidRPr="00BC6E3D">
        <w:rPr>
          <w:noProof/>
        </w:rPr>
        <w:t>2</w:t>
      </w:r>
      <w:r w:rsidR="00917374">
        <w:rPr>
          <w:noProof/>
        </w:rPr>
        <w:t>4</w:t>
      </w:r>
    </w:p>
    <w:p w14:paraId="0004DFB6" w14:textId="56E6C082" w:rsidR="00BC6E3D" w:rsidRPr="00BC6E3D" w:rsidRDefault="00BC6E3D" w:rsidP="00F452CF">
      <w:pPr>
        <w:pStyle w:val="Articletitle"/>
        <w:rPr>
          <w:b w:val="0"/>
          <w:bCs w:val="0"/>
          <w:i/>
          <w:noProof/>
          <w:lang w:val="en-IE"/>
        </w:rPr>
      </w:pPr>
      <w:r w:rsidRPr="00BC6E3D">
        <w:rPr>
          <w:noProof/>
          <w:lang w:val="en-IE"/>
        </w:rPr>
        <w:t xml:space="preserve">Public </w:t>
      </w:r>
      <w:r w:rsidRPr="004E7D81">
        <w:rPr>
          <w:bCs w:val="0"/>
          <w:noProof/>
        </w:rPr>
        <w:t>support</w:t>
      </w:r>
    </w:p>
    <w:p w14:paraId="5606FE3E" w14:textId="77777777" w:rsidR="00BC6E3D" w:rsidRPr="00BC6E3D" w:rsidRDefault="00BC6E3D" w:rsidP="00BC6E3D">
      <w:pPr>
        <w:rPr>
          <w:noProof/>
          <w:lang w:val="en-IE"/>
        </w:rPr>
      </w:pPr>
      <w:r w:rsidRPr="00BC6E3D">
        <w:rPr>
          <w:noProof/>
          <w:lang w:val="en-IE"/>
        </w:rPr>
        <w:t xml:space="preserve">Member States shall ensure that companies applying for public support </w:t>
      </w:r>
      <w:r w:rsidR="004578BD">
        <w:rPr>
          <w:noProof/>
          <w:lang w:val="en-IE"/>
        </w:rPr>
        <w:t xml:space="preserve">certify </w:t>
      </w:r>
      <w:r w:rsidRPr="00BC6E3D">
        <w:rPr>
          <w:noProof/>
          <w:lang w:val="en-IE"/>
        </w:rPr>
        <w:t xml:space="preserve">that </w:t>
      </w:r>
      <w:r w:rsidR="004578BD">
        <w:rPr>
          <w:noProof/>
          <w:lang w:val="en-IE"/>
        </w:rPr>
        <w:t xml:space="preserve">no sanctions have been imposed on them </w:t>
      </w:r>
      <w:r w:rsidRPr="00BC6E3D">
        <w:rPr>
          <w:noProof/>
          <w:lang w:val="en-IE"/>
        </w:rPr>
        <w:t xml:space="preserve">for a failure to comply with the obligations of this Directive. </w:t>
      </w:r>
    </w:p>
    <w:p w14:paraId="6554620B" w14:textId="77777777" w:rsidR="00BC6E3D" w:rsidRPr="00BC6E3D" w:rsidRDefault="00BC6E3D" w:rsidP="00F452CF">
      <w:pPr>
        <w:pStyle w:val="Titrearticle"/>
        <w:rPr>
          <w:i w:val="0"/>
          <w:noProof/>
          <w:szCs w:val="24"/>
        </w:rPr>
      </w:pPr>
      <w:r w:rsidRPr="00BC6E3D">
        <w:rPr>
          <w:noProof/>
        </w:rPr>
        <w:t xml:space="preserve">Article </w:t>
      </w:r>
      <w:r w:rsidR="00917374" w:rsidRPr="00BC6E3D">
        <w:rPr>
          <w:noProof/>
        </w:rPr>
        <w:t>2</w:t>
      </w:r>
      <w:r w:rsidR="00917374">
        <w:rPr>
          <w:noProof/>
        </w:rPr>
        <w:t>5</w:t>
      </w:r>
    </w:p>
    <w:p w14:paraId="71423FAC" w14:textId="1AEB6CBF" w:rsidR="00BC6E3D" w:rsidRPr="00BC6E3D" w:rsidRDefault="00BC6E3D" w:rsidP="00F452CF">
      <w:pPr>
        <w:pStyle w:val="Articletitle"/>
        <w:rPr>
          <w:b w:val="0"/>
          <w:bCs w:val="0"/>
          <w:noProof/>
          <w:lang w:val="en-IE"/>
        </w:rPr>
      </w:pPr>
      <w:r w:rsidRPr="00BC6E3D">
        <w:rPr>
          <w:noProof/>
          <w:lang w:val="en-IE"/>
        </w:rPr>
        <w:t xml:space="preserve">Directors’ duty of care </w:t>
      </w:r>
    </w:p>
    <w:p w14:paraId="1591971B" w14:textId="1CC7F2A2" w:rsidR="005E5B18" w:rsidRPr="00D07262" w:rsidRDefault="00822875" w:rsidP="00822875">
      <w:pPr>
        <w:pStyle w:val="ManualNumPar1"/>
        <w:rPr>
          <w:noProof/>
        </w:rPr>
      </w:pPr>
      <w:r w:rsidRPr="00822875">
        <w:t>1.</w:t>
      </w:r>
      <w:r w:rsidRPr="00822875">
        <w:tab/>
      </w:r>
      <w:r w:rsidR="005B3488" w:rsidRPr="00D07262">
        <w:rPr>
          <w:noProof/>
        </w:rPr>
        <w:t xml:space="preserve">Member States shall ensure that, when fulfilling their duty to act in the best interest of the company, directors of companies referred to in Article 2(1) take into account the </w:t>
      </w:r>
      <w:r w:rsidR="005E5B18" w:rsidRPr="00D07262">
        <w:rPr>
          <w:noProof/>
        </w:rPr>
        <w:t xml:space="preserve">consequences of their decisions for sustainability matters, </w:t>
      </w:r>
      <w:r w:rsidR="00D13F6B" w:rsidRPr="001F03EF">
        <w:rPr>
          <w:noProof/>
        </w:rPr>
        <w:t>including, where applicable,</w:t>
      </w:r>
      <w:r w:rsidR="00D13F6B" w:rsidRPr="00D07262">
        <w:rPr>
          <w:noProof/>
        </w:rPr>
        <w:t xml:space="preserve"> </w:t>
      </w:r>
      <w:r w:rsidR="005B3488" w:rsidRPr="00D07262">
        <w:rPr>
          <w:noProof/>
        </w:rPr>
        <w:t xml:space="preserve">human rights, climate </w:t>
      </w:r>
      <w:r w:rsidR="00D13F6B" w:rsidRPr="00D07262">
        <w:rPr>
          <w:noProof/>
        </w:rPr>
        <w:t>change</w:t>
      </w:r>
      <w:r w:rsidR="00291461" w:rsidRPr="00D07262">
        <w:rPr>
          <w:noProof/>
        </w:rPr>
        <w:t xml:space="preserve"> </w:t>
      </w:r>
      <w:r w:rsidR="005B3488" w:rsidRPr="00D07262">
        <w:rPr>
          <w:noProof/>
        </w:rPr>
        <w:t xml:space="preserve">and environmental consequences, including in the </w:t>
      </w:r>
      <w:r w:rsidR="00D13F6B" w:rsidRPr="00D07262">
        <w:rPr>
          <w:noProof/>
        </w:rPr>
        <w:t xml:space="preserve">short, medium and </w:t>
      </w:r>
      <w:r w:rsidR="005B3488" w:rsidRPr="00D07262">
        <w:rPr>
          <w:noProof/>
        </w:rPr>
        <w:t>long term.</w:t>
      </w:r>
    </w:p>
    <w:p w14:paraId="0D5EB6C3" w14:textId="1415A0D6" w:rsidR="00BC6E3D" w:rsidRPr="00F0430A" w:rsidRDefault="00822875" w:rsidP="00822875">
      <w:pPr>
        <w:pStyle w:val="ManualNumPar1"/>
        <w:rPr>
          <w:noProof/>
        </w:rPr>
      </w:pPr>
      <w:r w:rsidRPr="00822875">
        <w:t>2.</w:t>
      </w:r>
      <w:r w:rsidRPr="00822875">
        <w:tab/>
      </w:r>
      <w:r w:rsidR="00BC6E3D" w:rsidRPr="00F0430A">
        <w:rPr>
          <w:noProof/>
        </w:rPr>
        <w:t xml:space="preserve">Member States shall ensure that their laws, regulations and administrative provisions providing for a breach of directors’ duties apply also to the provisions of this Article. </w:t>
      </w:r>
    </w:p>
    <w:p w14:paraId="0596030D" w14:textId="77777777" w:rsidR="00BC6E3D" w:rsidRPr="00BC6E3D" w:rsidRDefault="00BC6E3D" w:rsidP="00F452CF">
      <w:pPr>
        <w:pStyle w:val="Titrearticle"/>
        <w:rPr>
          <w:i w:val="0"/>
          <w:noProof/>
          <w:szCs w:val="24"/>
        </w:rPr>
      </w:pPr>
      <w:r w:rsidRPr="00BC6E3D">
        <w:rPr>
          <w:noProof/>
        </w:rPr>
        <w:t xml:space="preserve">Article </w:t>
      </w:r>
      <w:r w:rsidR="00917374" w:rsidRPr="00BC6E3D">
        <w:rPr>
          <w:noProof/>
        </w:rPr>
        <w:t>2</w:t>
      </w:r>
      <w:r w:rsidR="00917374">
        <w:rPr>
          <w:noProof/>
        </w:rPr>
        <w:t>6</w:t>
      </w:r>
    </w:p>
    <w:p w14:paraId="66FFC3A4" w14:textId="20AB8910" w:rsidR="00BC6E3D" w:rsidRPr="00BC6E3D" w:rsidRDefault="00BC6E3D" w:rsidP="00F452CF">
      <w:pPr>
        <w:pStyle w:val="Articletitle"/>
        <w:rPr>
          <w:b w:val="0"/>
          <w:bCs w:val="0"/>
          <w:noProof/>
          <w:szCs w:val="24"/>
          <w:lang w:val="en-IE"/>
        </w:rPr>
      </w:pPr>
      <w:r w:rsidRPr="00BC6E3D">
        <w:rPr>
          <w:noProof/>
          <w:lang w:val="en-IE"/>
        </w:rPr>
        <w:t xml:space="preserve">Setting up and overseeing due diligence </w:t>
      </w:r>
    </w:p>
    <w:p w14:paraId="7D015413" w14:textId="379CC3F0" w:rsidR="00BC6E3D" w:rsidRPr="00A34643" w:rsidRDefault="00822875" w:rsidP="00822875">
      <w:pPr>
        <w:pStyle w:val="ManualNumPar1"/>
        <w:rPr>
          <w:noProof/>
        </w:rPr>
      </w:pPr>
      <w:r w:rsidRPr="00822875">
        <w:t>1.</w:t>
      </w:r>
      <w:r w:rsidRPr="00822875">
        <w:tab/>
      </w:r>
      <w:r w:rsidR="00BC6E3D" w:rsidRPr="00512EDF">
        <w:rPr>
          <w:noProof/>
        </w:rPr>
        <w:t xml:space="preserve">Member States shall ensure that directors of companies referred to in Article 2(1) are responsible for putting in place and overseeing the due diligence actions referred to in Article 4 and in particular the due diligence policy referred to in </w:t>
      </w:r>
      <w:r w:rsidR="00BC6E3D" w:rsidRPr="00764F90">
        <w:rPr>
          <w:noProof/>
        </w:rPr>
        <w:t xml:space="preserve">Article 5, with due consideration for relevant input from stakeholders and </w:t>
      </w:r>
      <w:r w:rsidR="00BC6E3D" w:rsidRPr="00A34643">
        <w:rPr>
          <w:noProof/>
        </w:rPr>
        <w:t>civil society organisations. The directors shall report to the board of directors in that respect.</w:t>
      </w:r>
    </w:p>
    <w:p w14:paraId="37035384" w14:textId="7098F931" w:rsidR="00BC6E3D" w:rsidRPr="00BC6E3D" w:rsidRDefault="00822875" w:rsidP="00822875">
      <w:pPr>
        <w:pStyle w:val="ManualNumPar1"/>
        <w:rPr>
          <w:noProof/>
        </w:rPr>
      </w:pPr>
      <w:r w:rsidRPr="00822875">
        <w:t>2.</w:t>
      </w:r>
      <w:r w:rsidRPr="00822875">
        <w:tab/>
      </w:r>
      <w:r w:rsidR="00BC6E3D" w:rsidRPr="00B4066E">
        <w:rPr>
          <w:noProof/>
          <w:szCs w:val="24"/>
        </w:rPr>
        <w:t>Member</w:t>
      </w:r>
      <w:r w:rsidR="00BC6E3D" w:rsidRPr="00BC6E3D">
        <w:rPr>
          <w:noProof/>
        </w:rPr>
        <w:t xml:space="preserve"> States shall ensure that directors take steps to adapt the corporate strategy to take into account the actual and potential adverse impacts identified pursuant to Article 6 and any measures taken pursuant to Articles 7 to 9. </w:t>
      </w:r>
    </w:p>
    <w:p w14:paraId="0BEA7BCF" w14:textId="5DDCD787" w:rsidR="00BC6E3D" w:rsidRPr="00BC6E3D" w:rsidRDefault="00BC6E3D" w:rsidP="00F452CF">
      <w:pPr>
        <w:pStyle w:val="Titrearticle"/>
        <w:rPr>
          <w:i w:val="0"/>
          <w:noProof/>
        </w:rPr>
      </w:pPr>
      <w:r w:rsidRPr="00BC6E3D">
        <w:rPr>
          <w:noProof/>
        </w:rPr>
        <w:t xml:space="preserve">Article </w:t>
      </w:r>
      <w:r w:rsidR="00C2076B" w:rsidRPr="00BC6E3D">
        <w:rPr>
          <w:noProof/>
        </w:rPr>
        <w:t>2</w:t>
      </w:r>
      <w:r w:rsidR="00C2076B">
        <w:rPr>
          <w:noProof/>
        </w:rPr>
        <w:t>7</w:t>
      </w:r>
    </w:p>
    <w:p w14:paraId="3D9C679A" w14:textId="05D53DDA" w:rsidR="00BC6E3D" w:rsidRPr="00BC6E3D" w:rsidRDefault="00BC6E3D" w:rsidP="00F452CF">
      <w:pPr>
        <w:pStyle w:val="Articletitle"/>
        <w:rPr>
          <w:b w:val="0"/>
          <w:bCs w:val="0"/>
          <w:noProof/>
        </w:rPr>
      </w:pPr>
      <w:r w:rsidRPr="00BC6E3D">
        <w:rPr>
          <w:noProof/>
        </w:rPr>
        <w:t>Amendment to Directive (EU) No 2019/1937</w:t>
      </w:r>
    </w:p>
    <w:p w14:paraId="343F49A6" w14:textId="77777777" w:rsidR="00BC6E3D" w:rsidRPr="00BC6E3D" w:rsidRDefault="00BC6E3D" w:rsidP="00BC6E3D">
      <w:pPr>
        <w:rPr>
          <w:noProof/>
        </w:rPr>
      </w:pPr>
      <w:r w:rsidRPr="00BC6E3D">
        <w:rPr>
          <w:noProof/>
        </w:rPr>
        <w:t>In Point E.2</w:t>
      </w:r>
      <w:r w:rsidRPr="00BC6E3D" w:rsidDel="003A193F">
        <w:rPr>
          <w:noProof/>
        </w:rPr>
        <w:t xml:space="preserve"> </w:t>
      </w:r>
      <w:r w:rsidRPr="00BC6E3D">
        <w:rPr>
          <w:noProof/>
        </w:rPr>
        <w:t xml:space="preserve">of Part I of the Annex to Directive (EU) No 2019/1937, the following point is added: </w:t>
      </w:r>
    </w:p>
    <w:p w14:paraId="7AF942D0" w14:textId="77777777" w:rsidR="00BC6E3D" w:rsidRPr="00BC6E3D" w:rsidRDefault="00BC6E3D" w:rsidP="00BC6E3D">
      <w:pPr>
        <w:rPr>
          <w:noProof/>
        </w:rPr>
      </w:pPr>
      <w:r w:rsidRPr="00BC6E3D">
        <w:rPr>
          <w:noProof/>
        </w:rPr>
        <w:t>‘(vi) [Directive … of the European Parliament and of the Council of … on Corporate Sustainability</w:t>
      </w:r>
      <w:r w:rsidRPr="00BC6E3D" w:rsidDel="002E0470">
        <w:rPr>
          <w:noProof/>
        </w:rPr>
        <w:t xml:space="preserve"> </w:t>
      </w:r>
      <w:r w:rsidRPr="00BC6E3D">
        <w:rPr>
          <w:noProof/>
        </w:rPr>
        <w:t>Due Diligence and amending Directive (EU) 2019/1937</w:t>
      </w:r>
      <w:r w:rsidRPr="00BC6E3D">
        <w:rPr>
          <w:noProof/>
          <w:vertAlign w:val="superscript"/>
        </w:rPr>
        <w:t>*</w:t>
      </w:r>
      <w:r w:rsidRPr="00BC6E3D">
        <w:rPr>
          <w:noProof/>
          <w:vertAlign w:val="superscript"/>
        </w:rPr>
        <w:footnoteReference w:customMarkFollows="1" w:id="131"/>
        <w:t>+</w:t>
      </w:r>
      <w:r w:rsidRPr="00BC6E3D">
        <w:rPr>
          <w:noProof/>
          <w:lang w:val="en-IE"/>
        </w:rPr>
        <w:t>]</w:t>
      </w:r>
      <w:r w:rsidRPr="00BC6E3D">
        <w:rPr>
          <w:noProof/>
        </w:rPr>
        <w:t>’</w:t>
      </w:r>
    </w:p>
    <w:p w14:paraId="583AB6A4" w14:textId="0963F393" w:rsidR="00BC6E3D" w:rsidRPr="004165CA" w:rsidRDefault="00BC6E3D" w:rsidP="00F452CF">
      <w:pPr>
        <w:pStyle w:val="Titrearticle"/>
        <w:rPr>
          <w:i w:val="0"/>
          <w:noProof/>
        </w:rPr>
      </w:pPr>
      <w:r w:rsidRPr="004165CA">
        <w:rPr>
          <w:noProof/>
        </w:rPr>
        <w:t xml:space="preserve">Article </w:t>
      </w:r>
      <w:r w:rsidR="00C2076B" w:rsidRPr="004165CA">
        <w:rPr>
          <w:noProof/>
        </w:rPr>
        <w:t>2</w:t>
      </w:r>
      <w:r w:rsidR="00C2076B">
        <w:rPr>
          <w:noProof/>
        </w:rPr>
        <w:t>8</w:t>
      </w:r>
    </w:p>
    <w:p w14:paraId="5F7D9921" w14:textId="3C1CE261" w:rsidR="00E30BED" w:rsidRPr="00E30BED" w:rsidRDefault="00E30BED" w:rsidP="00E30BED">
      <w:pPr>
        <w:pStyle w:val="Articletitle"/>
        <w:rPr>
          <w:noProof/>
        </w:rPr>
      </w:pPr>
      <w:r w:rsidRPr="00E30BED">
        <w:rPr>
          <w:noProof/>
        </w:rPr>
        <w:t>Exercise of the delegation</w:t>
      </w:r>
    </w:p>
    <w:p w14:paraId="510DD981" w14:textId="402F45E3" w:rsidR="00681648" w:rsidRDefault="00822875" w:rsidP="00822875">
      <w:pPr>
        <w:pStyle w:val="ManualNumPar1"/>
        <w:rPr>
          <w:noProof/>
          <w:lang w:eastAsia="fr-BE"/>
        </w:rPr>
      </w:pPr>
      <w:r w:rsidRPr="00822875">
        <w:t>1.</w:t>
      </w:r>
      <w:r w:rsidRPr="00822875">
        <w:tab/>
      </w:r>
      <w:r w:rsidR="00E30BED" w:rsidRPr="00E30BED">
        <w:rPr>
          <w:noProof/>
          <w:lang w:eastAsia="fr-BE"/>
        </w:rPr>
        <w:t>The power to adopt delegated acts is conferred on the Commission subject to the conditions laid down in this Article.</w:t>
      </w:r>
    </w:p>
    <w:p w14:paraId="6F7FB4E0" w14:textId="363F9476" w:rsidR="00E30BED" w:rsidRPr="00681648" w:rsidRDefault="00822875" w:rsidP="00822875">
      <w:pPr>
        <w:pStyle w:val="ManualNumPar1"/>
        <w:rPr>
          <w:noProof/>
          <w:lang w:eastAsia="fr-BE"/>
        </w:rPr>
      </w:pPr>
      <w:r w:rsidRPr="00822875">
        <w:t>2.</w:t>
      </w:r>
      <w:r w:rsidRPr="00822875">
        <w:tab/>
      </w:r>
      <w:r w:rsidR="00E30BED" w:rsidRPr="00E30BED">
        <w:rPr>
          <w:noProof/>
          <w:lang w:eastAsia="fr-BE"/>
        </w:rPr>
        <w:t>The power to adopt delegated acts referred to in Article</w:t>
      </w:r>
      <w:r w:rsidR="00E30BED">
        <w:rPr>
          <w:noProof/>
          <w:lang w:eastAsia="fr-BE"/>
        </w:rPr>
        <w:t xml:space="preserve"> 11 </w:t>
      </w:r>
      <w:r w:rsidR="00E30BED" w:rsidRPr="00E30BED">
        <w:rPr>
          <w:noProof/>
          <w:lang w:eastAsia="fr-BE"/>
        </w:rPr>
        <w:t>shall be conferred</w:t>
      </w:r>
      <w:r w:rsidR="00E30BED" w:rsidRPr="00681648">
        <w:rPr>
          <w:b/>
          <w:noProof/>
          <w:lang w:eastAsia="fr-BE"/>
        </w:rPr>
        <w:t xml:space="preserve"> </w:t>
      </w:r>
      <w:r w:rsidR="00E30BED" w:rsidRPr="00E30BED">
        <w:rPr>
          <w:noProof/>
          <w:lang w:eastAsia="fr-BE"/>
        </w:rPr>
        <w:t>on the Commission for an indeterminate period of time</w:t>
      </w:r>
      <w:r w:rsidR="00E30BED" w:rsidRPr="00681648">
        <w:rPr>
          <w:noProof/>
          <w:spacing w:val="-1"/>
          <w:lang w:eastAsia="fr-BE"/>
        </w:rPr>
        <w:t>.</w:t>
      </w:r>
    </w:p>
    <w:p w14:paraId="15971C81" w14:textId="5E59CDF8" w:rsidR="00363796" w:rsidRDefault="00822875" w:rsidP="00822875">
      <w:pPr>
        <w:pStyle w:val="ManualNumPar1"/>
        <w:rPr>
          <w:noProof/>
          <w:lang w:eastAsia="fr-BE"/>
        </w:rPr>
      </w:pPr>
      <w:r w:rsidRPr="00822875">
        <w:t>3.</w:t>
      </w:r>
      <w:r w:rsidRPr="00822875">
        <w:tab/>
      </w:r>
      <w:r w:rsidR="00E30BED" w:rsidRPr="00E30BED">
        <w:rPr>
          <w:noProof/>
          <w:lang w:eastAsia="fr-BE"/>
        </w:rPr>
        <w:t>The delegation of power referred to in Article</w:t>
      </w:r>
      <w:r w:rsidR="00E30BED">
        <w:rPr>
          <w:noProof/>
          <w:lang w:eastAsia="fr-BE"/>
        </w:rPr>
        <w:t xml:space="preserve"> 11</w:t>
      </w:r>
      <w:r w:rsidR="00E30BED" w:rsidRPr="00E30BED">
        <w:rPr>
          <w:noProof/>
          <w:lang w:eastAsia="fr-BE"/>
        </w:rPr>
        <w:t xml:space="preserve"> may be revoked at any time by the European Parliament or by the Council. A decision to revoke shall put an end to the delegation of the power specified in that decision. It shall take effect the day following the publication of the decision in the </w:t>
      </w:r>
      <w:r w:rsidR="00E30BED" w:rsidRPr="00E30BED">
        <w:rPr>
          <w:i/>
          <w:noProof/>
          <w:lang w:eastAsia="fr-BE"/>
        </w:rPr>
        <w:t>Official Journal</w:t>
      </w:r>
      <w:r w:rsidR="00E30BED" w:rsidRPr="00E30BED">
        <w:rPr>
          <w:noProof/>
          <w:lang w:eastAsia="fr-BE"/>
        </w:rPr>
        <w:t xml:space="preserve"> </w:t>
      </w:r>
      <w:r w:rsidR="00E30BED" w:rsidRPr="00E30BED">
        <w:rPr>
          <w:i/>
          <w:noProof/>
          <w:lang w:eastAsia="fr-BE"/>
        </w:rPr>
        <w:t xml:space="preserve">of the European Union </w:t>
      </w:r>
      <w:r w:rsidR="00E30BED" w:rsidRPr="00E30BED">
        <w:rPr>
          <w:noProof/>
          <w:lang w:eastAsia="fr-BE"/>
        </w:rPr>
        <w:t>or at a later date specified therein. It shall not affect the validity of any delegated acts already in force.</w:t>
      </w:r>
    </w:p>
    <w:p w14:paraId="5931E873" w14:textId="35B43B75" w:rsidR="00363796" w:rsidRDefault="00822875" w:rsidP="00822875">
      <w:pPr>
        <w:pStyle w:val="ManualNumPar1"/>
        <w:rPr>
          <w:noProof/>
          <w:lang w:eastAsia="fr-BE"/>
        </w:rPr>
      </w:pPr>
      <w:r w:rsidRPr="00822875">
        <w:t>4.</w:t>
      </w:r>
      <w:r w:rsidRPr="00822875">
        <w:tab/>
      </w:r>
      <w:r w:rsidR="00E30BED" w:rsidRPr="00E30BED">
        <w:rPr>
          <w:noProof/>
          <w:spacing w:val="-1"/>
          <w:lang w:eastAsia="fr-BE"/>
        </w:rPr>
        <w:t>Before</w:t>
      </w:r>
      <w:r w:rsidR="00E30BED" w:rsidRPr="00E30BED">
        <w:rPr>
          <w:noProof/>
          <w:lang w:eastAsia="fr-BE"/>
        </w:rPr>
        <w:t xml:space="preserve"> adopting a delegated act, the Commission shall consult experts designated by each Member State in accordance with the principles laid down in the Interinstitutional Agreement of 13 April 2016 on Better Law-Making.</w:t>
      </w:r>
    </w:p>
    <w:p w14:paraId="25CF4ED1" w14:textId="51D00DF4" w:rsidR="00E30BED" w:rsidRPr="00363796" w:rsidRDefault="00822875" w:rsidP="00822875">
      <w:pPr>
        <w:pStyle w:val="ManualNumPar1"/>
        <w:rPr>
          <w:noProof/>
          <w:lang w:eastAsia="fr-BE"/>
        </w:rPr>
      </w:pPr>
      <w:r w:rsidRPr="00822875">
        <w:t>5.</w:t>
      </w:r>
      <w:r w:rsidRPr="00822875">
        <w:tab/>
      </w:r>
      <w:r w:rsidR="00E30BED" w:rsidRPr="00E30BED">
        <w:rPr>
          <w:noProof/>
          <w:lang w:eastAsia="fr-BE"/>
        </w:rPr>
        <w:t>As soon as it adopts a delegated act, the Commission shall notify it simultaneously to the European Parliament and to the Council</w:t>
      </w:r>
      <w:r w:rsidR="00E30BED" w:rsidRPr="00E30BED">
        <w:rPr>
          <w:noProof/>
          <w:spacing w:val="-1"/>
          <w:lang w:eastAsia="fr-BE"/>
        </w:rPr>
        <w:t>.</w:t>
      </w:r>
    </w:p>
    <w:p w14:paraId="1D0F5BDB" w14:textId="0E93A93C" w:rsidR="00E30BED" w:rsidRPr="00E30BED" w:rsidRDefault="00822875" w:rsidP="00822875">
      <w:pPr>
        <w:pStyle w:val="ManualNumPar1"/>
        <w:rPr>
          <w:noProof/>
          <w:lang w:eastAsia="fr-BE"/>
        </w:rPr>
      </w:pPr>
      <w:r w:rsidRPr="00822875">
        <w:t>6.</w:t>
      </w:r>
      <w:r w:rsidRPr="00822875">
        <w:tab/>
      </w:r>
      <w:r w:rsidR="00E30BED" w:rsidRPr="00E30BED">
        <w:rPr>
          <w:noProof/>
          <w:lang w:eastAsia="fr-BE"/>
        </w:rPr>
        <w:t>A delegated act adopted pursuant to Article</w:t>
      </w:r>
      <w:r w:rsidR="00E30BED">
        <w:rPr>
          <w:noProof/>
          <w:lang w:eastAsia="fr-BE"/>
        </w:rPr>
        <w:t xml:space="preserve"> 11 </w:t>
      </w:r>
      <w:r w:rsidR="00E30BED" w:rsidRPr="00E30BED">
        <w:rPr>
          <w:noProof/>
          <w:lang w:eastAsia="fr-BE"/>
        </w:rPr>
        <w:t>shall enter into force only if no objection has been expressed either by the European Parliament or th</w:t>
      </w:r>
      <w:r w:rsidR="00E30BED">
        <w:rPr>
          <w:noProof/>
          <w:lang w:eastAsia="fr-BE"/>
        </w:rPr>
        <w:t xml:space="preserve">e Council within a period of </w:t>
      </w:r>
      <w:r w:rsidR="00E30BED" w:rsidRPr="00E30BED">
        <w:rPr>
          <w:noProof/>
          <w:lang w:eastAsia="fr-BE"/>
        </w:rPr>
        <w:t>t</w:t>
      </w:r>
      <w:r w:rsidR="00E30BED">
        <w:rPr>
          <w:noProof/>
          <w:lang w:eastAsia="fr-BE"/>
        </w:rPr>
        <w:t>wo months</w:t>
      </w:r>
      <w:r w:rsidR="00E30BED" w:rsidRPr="00E30BED">
        <w:rPr>
          <w:noProof/>
          <w:lang w:eastAsia="fr-BE"/>
        </w:rPr>
        <w:t xml:space="preserve"> of notification of that act to the European Parliament and the Council or if, </w:t>
      </w:r>
      <w:r w:rsidR="00E30BED" w:rsidRPr="00E30BED">
        <w:rPr>
          <w:noProof/>
          <w:lang w:eastAsia="cs-CZ"/>
        </w:rPr>
        <w:t>before the expiry of that period, t</w:t>
      </w:r>
      <w:r w:rsidR="00E30BED" w:rsidRPr="00E30BED">
        <w:rPr>
          <w:noProof/>
          <w:lang w:eastAsia="fr-BE"/>
        </w:rPr>
        <w:t>he European Parliament and the Council have both informed the Commission that they will not object.</w:t>
      </w:r>
      <w:r w:rsidR="00E30BED" w:rsidRPr="00E30BED">
        <w:rPr>
          <w:i/>
          <w:noProof/>
          <w:lang w:eastAsia="fr-BE"/>
        </w:rPr>
        <w:t xml:space="preserve"> </w:t>
      </w:r>
      <w:r w:rsidR="00E30BED" w:rsidRPr="00E30BED">
        <w:rPr>
          <w:noProof/>
          <w:lang w:eastAsia="fr-BE"/>
        </w:rPr>
        <w:t>Th</w:t>
      </w:r>
      <w:r w:rsidR="00E30BED">
        <w:rPr>
          <w:noProof/>
          <w:lang w:eastAsia="fr-BE"/>
        </w:rPr>
        <w:t>at period shall be extended by two months</w:t>
      </w:r>
      <w:r w:rsidR="00E30BED" w:rsidRPr="00E30BED">
        <w:rPr>
          <w:noProof/>
          <w:lang w:eastAsia="fr-BE"/>
        </w:rPr>
        <w:t xml:space="preserve"> at the initiative of the European Parliament or of the Council."</w:t>
      </w:r>
    </w:p>
    <w:p w14:paraId="71439AD0" w14:textId="5A83F97C" w:rsidR="00BC6E3D" w:rsidRPr="00BC6E3D" w:rsidRDefault="00BC6E3D" w:rsidP="00F452CF">
      <w:pPr>
        <w:pStyle w:val="Titrearticle"/>
        <w:rPr>
          <w:i w:val="0"/>
          <w:noProof/>
        </w:rPr>
      </w:pPr>
      <w:r w:rsidRPr="00BC6E3D">
        <w:rPr>
          <w:noProof/>
        </w:rPr>
        <w:t xml:space="preserve">Article </w:t>
      </w:r>
      <w:r w:rsidR="00C2076B">
        <w:rPr>
          <w:noProof/>
        </w:rPr>
        <w:t>29</w:t>
      </w:r>
    </w:p>
    <w:p w14:paraId="4997133D" w14:textId="2A36232E" w:rsidR="00BC6E3D" w:rsidRPr="00BC6E3D" w:rsidRDefault="00BC6E3D" w:rsidP="00F452CF">
      <w:pPr>
        <w:pStyle w:val="Articletitle"/>
        <w:rPr>
          <w:b w:val="0"/>
          <w:bCs w:val="0"/>
          <w:noProof/>
        </w:rPr>
      </w:pPr>
      <w:r w:rsidRPr="00BC6E3D">
        <w:rPr>
          <w:noProof/>
        </w:rPr>
        <w:t>Review</w:t>
      </w:r>
    </w:p>
    <w:p w14:paraId="43C9DC28" w14:textId="77777777" w:rsidR="00BC6E3D" w:rsidRPr="00BC6E3D" w:rsidRDefault="00BC6E3D" w:rsidP="00BC6E3D">
      <w:pPr>
        <w:rPr>
          <w:noProof/>
        </w:rPr>
      </w:pPr>
      <w:r w:rsidRPr="00BC6E3D">
        <w:rPr>
          <w:noProof/>
        </w:rPr>
        <w:t>No later than … [</w:t>
      </w:r>
      <w:r w:rsidRPr="00BC6E3D">
        <w:rPr>
          <w:i/>
          <w:iCs/>
          <w:noProof/>
        </w:rPr>
        <w:t>OP please insert the date = 7 years after the date of entry into force of this Directive]</w:t>
      </w:r>
      <w:r w:rsidRPr="00BC6E3D">
        <w:rPr>
          <w:noProof/>
        </w:rPr>
        <w:t>, the Commission shall submit a report to the European Parliament and to the Council on the implementation of this Directive. The report shall evaluate the effectiveness of this Directive in reaching its objectives and assess the following issues:</w:t>
      </w:r>
      <w:r w:rsidRPr="00BC6E3D" w:rsidDel="004B6990">
        <w:rPr>
          <w:noProof/>
        </w:rPr>
        <w:t xml:space="preserve"> </w:t>
      </w:r>
    </w:p>
    <w:p w14:paraId="320FD1EF" w14:textId="77777777" w:rsidR="00BC6E3D" w:rsidRPr="00BC6E3D" w:rsidRDefault="00BC6E3D" w:rsidP="00A660F3">
      <w:pPr>
        <w:pStyle w:val="Point0"/>
        <w:rPr>
          <w:noProof/>
        </w:rPr>
      </w:pPr>
      <w:r w:rsidRPr="00BC6E3D">
        <w:rPr>
          <w:noProof/>
        </w:rPr>
        <w:t>(a)</w:t>
      </w:r>
      <w:r w:rsidRPr="00BC6E3D">
        <w:rPr>
          <w:noProof/>
        </w:rPr>
        <w:tab/>
        <w:t>whether the thresholds regarding the number of employees and net turnover laid down in Article 2(1) need to be lowered;</w:t>
      </w:r>
    </w:p>
    <w:p w14:paraId="23F58AC7" w14:textId="77777777" w:rsidR="00065DDC" w:rsidRDefault="00BC6E3D" w:rsidP="00A660F3">
      <w:pPr>
        <w:pStyle w:val="Point0"/>
        <w:rPr>
          <w:noProof/>
        </w:rPr>
      </w:pPr>
      <w:r w:rsidRPr="00BC6E3D">
        <w:rPr>
          <w:noProof/>
        </w:rPr>
        <w:t>(b)</w:t>
      </w:r>
      <w:r w:rsidRPr="00BC6E3D">
        <w:rPr>
          <w:noProof/>
        </w:rPr>
        <w:tab/>
        <w:t>whether the list of sectors in Article 2(1), point (b), needs to be changed, including in order to align it to guidance from the Organisation for Economic Cooperation and Development</w:t>
      </w:r>
      <w:r w:rsidR="0074483A">
        <w:rPr>
          <w:noProof/>
        </w:rPr>
        <w:t>;</w:t>
      </w:r>
    </w:p>
    <w:p w14:paraId="4201CC75" w14:textId="5C46EC29" w:rsidR="00353700" w:rsidRDefault="00E47D4D" w:rsidP="00A660F3">
      <w:pPr>
        <w:pStyle w:val="Point0"/>
        <w:rPr>
          <w:noProof/>
        </w:rPr>
      </w:pPr>
      <w:r>
        <w:rPr>
          <w:noProof/>
        </w:rPr>
        <w:t>(</w:t>
      </w:r>
      <w:r w:rsidR="00065DDC" w:rsidRPr="00921BEE">
        <w:rPr>
          <w:noProof/>
        </w:rPr>
        <w:t>c)</w:t>
      </w:r>
      <w:r w:rsidR="00065DDC" w:rsidRPr="00CC447E">
        <w:rPr>
          <w:noProof/>
        </w:rPr>
        <w:tab/>
      </w:r>
      <w:r w:rsidR="0074483A" w:rsidRPr="00921BEE">
        <w:rPr>
          <w:noProof/>
        </w:rPr>
        <w:t xml:space="preserve">whether </w:t>
      </w:r>
      <w:r w:rsidR="00065DDC" w:rsidRPr="00921BEE">
        <w:rPr>
          <w:noProof/>
        </w:rPr>
        <w:t xml:space="preserve">the Annex </w:t>
      </w:r>
      <w:r w:rsidR="0074483A" w:rsidRPr="00921BEE">
        <w:rPr>
          <w:noProof/>
        </w:rPr>
        <w:t xml:space="preserve">needs to be </w:t>
      </w:r>
      <w:r w:rsidR="00EC1EB0">
        <w:rPr>
          <w:noProof/>
        </w:rPr>
        <w:t>modified</w:t>
      </w:r>
      <w:r w:rsidR="00712B0A">
        <w:rPr>
          <w:noProof/>
        </w:rPr>
        <w:t>,</w:t>
      </w:r>
      <w:r w:rsidR="00EC1EB0">
        <w:rPr>
          <w:noProof/>
        </w:rPr>
        <w:t xml:space="preserve"> </w:t>
      </w:r>
      <w:r w:rsidR="00DC4DA6">
        <w:rPr>
          <w:noProof/>
        </w:rPr>
        <w:t>including</w:t>
      </w:r>
      <w:r w:rsidR="00EC1EB0">
        <w:rPr>
          <w:noProof/>
        </w:rPr>
        <w:t xml:space="preserve"> </w:t>
      </w:r>
      <w:r w:rsidR="00EB6190" w:rsidRPr="007A5451">
        <w:rPr>
          <w:noProof/>
        </w:rPr>
        <w:t>in light of international developments</w:t>
      </w:r>
    </w:p>
    <w:p w14:paraId="1DD9BCAD" w14:textId="6277DB03" w:rsidR="00BC6E3D" w:rsidRPr="00BC6E3D" w:rsidRDefault="00353700" w:rsidP="00A660F3">
      <w:pPr>
        <w:pStyle w:val="Point0"/>
        <w:rPr>
          <w:noProof/>
        </w:rPr>
      </w:pPr>
      <w:r w:rsidRPr="00C6766B">
        <w:rPr>
          <w:noProof/>
        </w:rPr>
        <w:t>(d)</w:t>
      </w:r>
      <w:r w:rsidRPr="00C6766B">
        <w:rPr>
          <w:noProof/>
        </w:rPr>
        <w:tab/>
      </w:r>
      <w:r w:rsidR="00624809" w:rsidRPr="00C6766B">
        <w:rPr>
          <w:noProof/>
        </w:rPr>
        <w:t>whether Articles 4 to 14 should be extended to adverse climate impacts.</w:t>
      </w:r>
    </w:p>
    <w:p w14:paraId="4527FE28" w14:textId="69EDCFC7" w:rsidR="00BC6E3D" w:rsidRPr="00BC6E3D" w:rsidRDefault="00BC6E3D" w:rsidP="00F452CF">
      <w:pPr>
        <w:pStyle w:val="Titrearticle"/>
        <w:rPr>
          <w:i w:val="0"/>
          <w:noProof/>
        </w:rPr>
      </w:pPr>
      <w:r w:rsidRPr="00BC6E3D">
        <w:rPr>
          <w:noProof/>
        </w:rPr>
        <w:t xml:space="preserve">Article </w:t>
      </w:r>
      <w:r w:rsidR="00C2076B">
        <w:rPr>
          <w:noProof/>
        </w:rPr>
        <w:t>30</w:t>
      </w:r>
    </w:p>
    <w:p w14:paraId="2A4E1F0C" w14:textId="139370AE" w:rsidR="00BC6E3D" w:rsidRPr="00BC6E3D" w:rsidRDefault="00BC6E3D" w:rsidP="00F452CF">
      <w:pPr>
        <w:pStyle w:val="Articletitle"/>
        <w:rPr>
          <w:b w:val="0"/>
          <w:bCs w:val="0"/>
          <w:noProof/>
        </w:rPr>
      </w:pPr>
      <w:r w:rsidRPr="00BC6E3D">
        <w:rPr>
          <w:noProof/>
        </w:rPr>
        <w:t>Transposition</w:t>
      </w:r>
    </w:p>
    <w:p w14:paraId="1209D306" w14:textId="5D9DECD6" w:rsidR="00BC6E3D" w:rsidRPr="00BC6E3D" w:rsidRDefault="00822875" w:rsidP="00822875">
      <w:pPr>
        <w:pStyle w:val="ManualNumPar1"/>
        <w:rPr>
          <w:noProof/>
        </w:rPr>
      </w:pPr>
      <w:r w:rsidRPr="00822875">
        <w:t>1.</w:t>
      </w:r>
      <w:r w:rsidRPr="00822875">
        <w:tab/>
      </w:r>
      <w:r w:rsidR="00BC6E3D" w:rsidRPr="00BC6E3D">
        <w:rPr>
          <w:noProof/>
        </w:rPr>
        <w:t>Member States shall adopt and publish, by … [</w:t>
      </w:r>
      <w:r w:rsidR="00BC6E3D" w:rsidRPr="00512EDF">
        <w:rPr>
          <w:i/>
          <w:noProof/>
        </w:rPr>
        <w:t xml:space="preserve">OJ to insert: 2 years from the entry into force of this Directive] </w:t>
      </w:r>
      <w:r w:rsidR="00BC6E3D" w:rsidRPr="00BC6E3D">
        <w:rPr>
          <w:noProof/>
        </w:rPr>
        <w:t xml:space="preserve">at the latest, regulations and administrative provisions necessary to comply with this Directive. They shall forthwith communicate to the Commission the text of those provisions. </w:t>
      </w:r>
    </w:p>
    <w:p w14:paraId="1DF1417B" w14:textId="77777777" w:rsidR="00437AA2" w:rsidRDefault="00BC6E3D" w:rsidP="00F452CF">
      <w:pPr>
        <w:pStyle w:val="Text1"/>
        <w:rPr>
          <w:noProof/>
        </w:rPr>
      </w:pPr>
      <w:r w:rsidRPr="00BC6E3D">
        <w:rPr>
          <w:noProof/>
        </w:rPr>
        <w:t>They shall apply those provisions</w:t>
      </w:r>
      <w:r w:rsidR="00437AA2">
        <w:rPr>
          <w:noProof/>
        </w:rPr>
        <w:t xml:space="preserve"> as follows:</w:t>
      </w:r>
      <w:r w:rsidRPr="00BC6E3D">
        <w:rPr>
          <w:noProof/>
        </w:rPr>
        <w:t xml:space="preserve"> </w:t>
      </w:r>
    </w:p>
    <w:p w14:paraId="4B69DD48" w14:textId="77777777" w:rsidR="00BC6E3D" w:rsidRPr="00BC6E3D" w:rsidRDefault="00130BF7" w:rsidP="00130BF7">
      <w:pPr>
        <w:pStyle w:val="Text1"/>
        <w:ind w:left="1418" w:hanging="568"/>
        <w:rPr>
          <w:noProof/>
        </w:rPr>
      </w:pPr>
      <w:r>
        <w:rPr>
          <w:noProof/>
        </w:rPr>
        <w:t>(a)</w:t>
      </w:r>
      <w:r>
        <w:rPr>
          <w:noProof/>
        </w:rPr>
        <w:tab/>
      </w:r>
      <w:r w:rsidR="00437AA2">
        <w:rPr>
          <w:noProof/>
        </w:rPr>
        <w:t>from… [OJ to insert: 2</w:t>
      </w:r>
      <w:r w:rsidR="00BC6E3D" w:rsidRPr="00BC6E3D">
        <w:rPr>
          <w:noProof/>
        </w:rPr>
        <w:t xml:space="preserve"> years from the entry into force of this Directive]</w:t>
      </w:r>
      <w:r w:rsidR="00437AA2">
        <w:rPr>
          <w:noProof/>
        </w:rPr>
        <w:t xml:space="preserve"> </w:t>
      </w:r>
      <w:r w:rsidR="00437AA2" w:rsidRPr="00437AA2">
        <w:rPr>
          <w:noProof/>
        </w:rPr>
        <w:t>as regards companies referred to in Article 2(1), point (a), and Article 2(2), point (a);</w:t>
      </w:r>
    </w:p>
    <w:p w14:paraId="375AE594" w14:textId="77777777" w:rsidR="00437AA2" w:rsidRPr="00BC6E3D" w:rsidRDefault="00130BF7" w:rsidP="00130BF7">
      <w:pPr>
        <w:pStyle w:val="Text1"/>
        <w:ind w:left="1418" w:hanging="568"/>
        <w:rPr>
          <w:noProof/>
        </w:rPr>
      </w:pPr>
      <w:r>
        <w:rPr>
          <w:noProof/>
        </w:rPr>
        <w:t>(b)</w:t>
      </w:r>
      <w:r>
        <w:rPr>
          <w:noProof/>
        </w:rPr>
        <w:tab/>
      </w:r>
      <w:r w:rsidR="00437AA2" w:rsidRPr="00437AA2">
        <w:rPr>
          <w:noProof/>
        </w:rPr>
        <w:t xml:space="preserve">from … [OJ to insert: </w:t>
      </w:r>
      <w:r w:rsidR="00E22014">
        <w:rPr>
          <w:noProof/>
        </w:rPr>
        <w:t>4</w:t>
      </w:r>
      <w:r w:rsidR="00437AA2" w:rsidRPr="00437AA2">
        <w:rPr>
          <w:noProof/>
        </w:rPr>
        <w:t xml:space="preserve"> years from the entry into force of this Directive] as regards companies referred to in Article 2(1), point (b), and Article 2(2), point (b).</w:t>
      </w:r>
    </w:p>
    <w:p w14:paraId="3526311D" w14:textId="77777777" w:rsidR="00BC6E3D" w:rsidRPr="00BC6E3D" w:rsidRDefault="00BC6E3D" w:rsidP="00F452CF">
      <w:pPr>
        <w:pStyle w:val="Text1"/>
        <w:rPr>
          <w:noProof/>
        </w:rPr>
      </w:pPr>
      <w:r w:rsidRPr="00BC6E3D">
        <w:rPr>
          <w:noProof/>
        </w:rPr>
        <w:t>When Member States adopt those provisions, they shall contain a reference to this Directive or be accompanied by such a reference on the occasion of their official publication. Member States shall determine how such reference is to be made.</w:t>
      </w:r>
    </w:p>
    <w:p w14:paraId="1536F0EA" w14:textId="4FD29B55" w:rsidR="00BC6E3D" w:rsidRPr="00AD1550" w:rsidRDefault="00822875" w:rsidP="00822875">
      <w:pPr>
        <w:pStyle w:val="ManualNumPar1"/>
        <w:rPr>
          <w:noProof/>
        </w:rPr>
      </w:pPr>
      <w:r w:rsidRPr="00822875">
        <w:t>2.</w:t>
      </w:r>
      <w:r w:rsidRPr="00822875">
        <w:tab/>
      </w:r>
      <w:r w:rsidR="00BC6E3D" w:rsidRPr="00AD1550">
        <w:rPr>
          <w:noProof/>
        </w:rPr>
        <w:t>Member States shall communicate to the Commission the text of the main provisions of national law which they adopt in the field covered by this Directive.</w:t>
      </w:r>
    </w:p>
    <w:p w14:paraId="77C51081" w14:textId="011D2511" w:rsidR="0080592F" w:rsidRPr="00774962" w:rsidRDefault="00B70AD0" w:rsidP="007A50EE">
      <w:pPr>
        <w:pStyle w:val="Titrearticle"/>
        <w:rPr>
          <w:noProof/>
        </w:rPr>
      </w:pPr>
      <w:r>
        <w:rPr>
          <w:noProof/>
        </w:rPr>
        <w:t xml:space="preserve">Article </w:t>
      </w:r>
      <w:r w:rsidR="00C2076B">
        <w:rPr>
          <w:noProof/>
        </w:rPr>
        <w:t>31</w:t>
      </w:r>
    </w:p>
    <w:p w14:paraId="5E171A59" w14:textId="04D1700F" w:rsidR="00241878" w:rsidRPr="00135B83" w:rsidRDefault="00241878" w:rsidP="008A767D">
      <w:pPr>
        <w:pStyle w:val="Articletitle"/>
        <w:rPr>
          <w:noProof/>
        </w:rPr>
      </w:pPr>
      <w:r w:rsidRPr="00EB26A3">
        <w:rPr>
          <w:noProof/>
        </w:rPr>
        <w:t>Entry into force</w:t>
      </w:r>
    </w:p>
    <w:p w14:paraId="375AC158" w14:textId="77777777" w:rsidR="0080592F" w:rsidRPr="00AC7E92" w:rsidRDefault="0080592F" w:rsidP="00370814">
      <w:pPr>
        <w:rPr>
          <w:noProof/>
        </w:rPr>
      </w:pPr>
      <w:r w:rsidRPr="00AC7E92">
        <w:rPr>
          <w:noProof/>
        </w:rPr>
        <w:t xml:space="preserve">This Directive shall enter into force on the </w:t>
      </w:r>
      <w:r w:rsidR="008C630D" w:rsidRPr="00CB62B3">
        <w:rPr>
          <w:noProof/>
        </w:rPr>
        <w:t>twentieth</w:t>
      </w:r>
      <w:r w:rsidRPr="00CB62B3">
        <w:rPr>
          <w:noProof/>
        </w:rPr>
        <w:t xml:space="preserve"> </w:t>
      </w:r>
      <w:r w:rsidRPr="00AC7E92">
        <w:rPr>
          <w:noProof/>
        </w:rPr>
        <w:t xml:space="preserve">day following that of its publication in the </w:t>
      </w:r>
      <w:r w:rsidRPr="00EB26A3">
        <w:rPr>
          <w:i/>
          <w:iCs/>
          <w:noProof/>
        </w:rPr>
        <w:t>Official Journal of the European Union</w:t>
      </w:r>
      <w:r w:rsidRPr="00AC7E92">
        <w:rPr>
          <w:noProof/>
        </w:rPr>
        <w:t>.</w:t>
      </w:r>
    </w:p>
    <w:p w14:paraId="2FB80DDC" w14:textId="310EF5EC" w:rsidR="0080592F" w:rsidRPr="00774962" w:rsidRDefault="00B70AD0" w:rsidP="007A50EE">
      <w:pPr>
        <w:pStyle w:val="Titrearticle"/>
        <w:rPr>
          <w:noProof/>
        </w:rPr>
      </w:pPr>
      <w:r>
        <w:rPr>
          <w:noProof/>
        </w:rPr>
        <w:t xml:space="preserve">Article </w:t>
      </w:r>
      <w:r w:rsidR="00C2076B">
        <w:rPr>
          <w:noProof/>
        </w:rPr>
        <w:t>32</w:t>
      </w:r>
    </w:p>
    <w:p w14:paraId="42F86FF0" w14:textId="1E637E84" w:rsidR="006E4927" w:rsidRPr="00135B83" w:rsidRDefault="006E4927" w:rsidP="008A767D">
      <w:pPr>
        <w:pStyle w:val="Articletitle"/>
        <w:rPr>
          <w:noProof/>
        </w:rPr>
      </w:pPr>
      <w:r w:rsidRPr="00EB26A3">
        <w:rPr>
          <w:noProof/>
        </w:rPr>
        <w:t>Addressees</w:t>
      </w:r>
    </w:p>
    <w:p w14:paraId="4FEB1ACF" w14:textId="77777777" w:rsidR="0080592F" w:rsidRDefault="0080592F" w:rsidP="00BA3125">
      <w:pPr>
        <w:keepNext/>
        <w:keepLines/>
        <w:rPr>
          <w:noProof/>
        </w:rPr>
      </w:pPr>
      <w:r w:rsidRPr="00AC7E92">
        <w:rPr>
          <w:noProof/>
        </w:rPr>
        <w:t>This Directive is addressed to the Member States.</w:t>
      </w:r>
    </w:p>
    <w:p w14:paraId="09706220" w14:textId="493D1983" w:rsidR="0080592F" w:rsidRDefault="003B3A9A" w:rsidP="000E6D9D">
      <w:pPr>
        <w:pStyle w:val="Fait"/>
        <w:rPr>
          <w:noProof/>
        </w:rPr>
      </w:pPr>
      <w:r w:rsidRPr="003B3A9A">
        <w:t>Done at Brussels,</w:t>
      </w:r>
    </w:p>
    <w:p w14:paraId="377120D2" w14:textId="77777777" w:rsidR="0080592F" w:rsidRDefault="0080592F" w:rsidP="000E6D9D">
      <w:pPr>
        <w:pStyle w:val="Institutionquisigne"/>
        <w:rPr>
          <w:noProof/>
        </w:rPr>
      </w:pPr>
      <w:r w:rsidRPr="0080592F">
        <w:rPr>
          <w:noProof/>
        </w:rPr>
        <w:t>For the European Parliament</w:t>
      </w:r>
      <w:r w:rsidRPr="0080592F">
        <w:rPr>
          <w:noProof/>
        </w:rPr>
        <w:tab/>
        <w:t>For the Council</w:t>
      </w:r>
    </w:p>
    <w:p w14:paraId="0A04DECD" w14:textId="77777777" w:rsidR="00693E58" w:rsidRPr="0001144E" w:rsidRDefault="0080592F" w:rsidP="007A50EE">
      <w:pPr>
        <w:pStyle w:val="Personnequisigne"/>
        <w:rPr>
          <w:noProof/>
          <w:lang w:val="en-US"/>
        </w:rPr>
      </w:pPr>
      <w:r w:rsidRPr="0080592F">
        <w:rPr>
          <w:noProof/>
        </w:rPr>
        <w:t>The President</w:t>
      </w:r>
      <w:r w:rsidRPr="0080592F">
        <w:rPr>
          <w:noProof/>
        </w:rPr>
        <w:tab/>
        <w:t>The President</w:t>
      </w:r>
    </w:p>
    <w:sectPr w:rsidR="00693E58" w:rsidRPr="0001144E" w:rsidSect="00F50C0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A25BE" w14:textId="77777777" w:rsidR="0061532C" w:rsidRDefault="0061532C" w:rsidP="0080592F">
      <w:pPr>
        <w:spacing w:before="0" w:after="0"/>
      </w:pPr>
      <w:r>
        <w:separator/>
      </w:r>
    </w:p>
    <w:p w14:paraId="7746C6C8" w14:textId="77777777" w:rsidR="0061532C" w:rsidRDefault="0061532C"/>
    <w:p w14:paraId="7144E1E9" w14:textId="77777777" w:rsidR="0061532C" w:rsidRDefault="0061532C"/>
    <w:p w14:paraId="7A9BA033" w14:textId="77777777" w:rsidR="0061532C" w:rsidRDefault="0061532C"/>
    <w:p w14:paraId="267DB2AD" w14:textId="77777777" w:rsidR="00874860" w:rsidRDefault="00874860"/>
  </w:endnote>
  <w:endnote w:type="continuationSeparator" w:id="0">
    <w:p w14:paraId="0CD23A5B" w14:textId="77777777" w:rsidR="0061532C" w:rsidRDefault="0061532C" w:rsidP="0080592F">
      <w:pPr>
        <w:spacing w:before="0" w:after="0"/>
      </w:pPr>
      <w:r>
        <w:continuationSeparator/>
      </w:r>
    </w:p>
    <w:p w14:paraId="78155FEA" w14:textId="77777777" w:rsidR="0061532C" w:rsidRDefault="0061532C"/>
    <w:p w14:paraId="670D9050" w14:textId="77777777" w:rsidR="0061532C" w:rsidRDefault="0061532C"/>
    <w:p w14:paraId="0E663418" w14:textId="77777777" w:rsidR="0061532C" w:rsidRDefault="0061532C"/>
    <w:p w14:paraId="4CE36350" w14:textId="77777777" w:rsidR="00874860" w:rsidRDefault="00874860"/>
  </w:endnote>
  <w:endnote w:type="continuationNotice" w:id="1">
    <w:p w14:paraId="68837000" w14:textId="77777777" w:rsidR="0061532C" w:rsidRDefault="0061532C">
      <w:pPr>
        <w:spacing w:before="0" w:after="0"/>
      </w:pPr>
    </w:p>
    <w:p w14:paraId="156C99CE" w14:textId="77777777" w:rsidR="0061532C" w:rsidRDefault="0061532C"/>
    <w:p w14:paraId="02552A3D" w14:textId="77777777" w:rsidR="0061532C" w:rsidRDefault="0061532C"/>
    <w:p w14:paraId="184214B2" w14:textId="77777777" w:rsidR="0061532C" w:rsidRDefault="0061532C"/>
    <w:p w14:paraId="4FD602F4" w14:textId="77777777" w:rsidR="00874860" w:rsidRDefault="00874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62803" w14:textId="1280DC89" w:rsidR="00244CA3" w:rsidRPr="00F50C02" w:rsidRDefault="00F50C02" w:rsidP="00F50C02">
    <w:pPr>
      <w:pStyle w:val="Jalus"/>
      <w:rPr>
        <w:rFonts w:ascii="Arial" w:hAnsi="Arial" w:cs="Arial"/>
        <w:b/>
        <w:sz w:val="48"/>
      </w:rPr>
    </w:pPr>
    <w:r w:rsidRPr="00F50C02">
      <w:rPr>
        <w:rFonts w:ascii="Arial" w:hAnsi="Arial" w:cs="Arial"/>
        <w:b/>
        <w:sz w:val="48"/>
      </w:rPr>
      <w:t>EN</w:t>
    </w:r>
    <w:r w:rsidRPr="00F50C02">
      <w:rPr>
        <w:rFonts w:ascii="Arial" w:hAnsi="Arial" w:cs="Arial"/>
        <w:b/>
        <w:sz w:val="48"/>
      </w:rPr>
      <w:tab/>
    </w:r>
    <w:r w:rsidRPr="00F50C02">
      <w:rPr>
        <w:rFonts w:ascii="Arial" w:hAnsi="Arial" w:cs="Arial"/>
        <w:b/>
        <w:sz w:val="48"/>
      </w:rPr>
      <w:tab/>
    </w:r>
    <w:r w:rsidRPr="00F50C02">
      <w:tab/>
    </w:r>
    <w:r w:rsidRPr="00F50C02">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62B01" w14:textId="6F46303F" w:rsidR="00F50C02" w:rsidRPr="00F50C02" w:rsidRDefault="00F50C02" w:rsidP="00F50C02">
    <w:pPr>
      <w:pStyle w:val="Jalus"/>
      <w:rPr>
        <w:rFonts w:ascii="Arial" w:hAnsi="Arial" w:cs="Arial"/>
        <w:b/>
        <w:sz w:val="48"/>
      </w:rPr>
    </w:pPr>
    <w:r w:rsidRPr="00F50C02">
      <w:rPr>
        <w:rFonts w:ascii="Arial" w:hAnsi="Arial" w:cs="Arial"/>
        <w:b/>
        <w:sz w:val="48"/>
      </w:rPr>
      <w:t>EN</w:t>
    </w:r>
    <w:r w:rsidRPr="00F50C02">
      <w:rPr>
        <w:rFonts w:ascii="Arial" w:hAnsi="Arial" w:cs="Arial"/>
        <w:b/>
        <w:sz w:val="48"/>
      </w:rPr>
      <w:tab/>
    </w:r>
    <w:r>
      <w:fldChar w:fldCharType="begin"/>
    </w:r>
    <w:r>
      <w:instrText xml:space="preserve"> PAGE  \* MERGEFORMAT </w:instrText>
    </w:r>
    <w:r>
      <w:fldChar w:fldCharType="separate"/>
    </w:r>
    <w:r w:rsidR="0068671D">
      <w:rPr>
        <w:noProof/>
      </w:rPr>
      <w:t>20</w:t>
    </w:r>
    <w:r>
      <w:fldChar w:fldCharType="end"/>
    </w:r>
    <w:r>
      <w:tab/>
    </w:r>
    <w:r w:rsidRPr="00F50C02">
      <w:tab/>
    </w:r>
    <w:r w:rsidRPr="00F50C02">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7D001" w14:textId="77777777" w:rsidR="00F50C02" w:rsidRPr="00F50C02" w:rsidRDefault="00F50C02" w:rsidP="00F50C02">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FC774" w14:textId="77777777" w:rsidR="0061532C" w:rsidRDefault="0061532C">
      <w:r>
        <w:separator/>
      </w:r>
    </w:p>
    <w:p w14:paraId="1FF92C31" w14:textId="77777777" w:rsidR="00874860" w:rsidRDefault="00874860"/>
  </w:footnote>
  <w:footnote w:type="continuationSeparator" w:id="0">
    <w:p w14:paraId="201B17A1" w14:textId="77777777" w:rsidR="0061532C" w:rsidRDefault="0061532C">
      <w:r>
        <w:continuationSeparator/>
      </w:r>
    </w:p>
    <w:p w14:paraId="435791E3" w14:textId="77777777" w:rsidR="00874860" w:rsidRDefault="00874860"/>
  </w:footnote>
  <w:footnote w:type="continuationNotice" w:id="1">
    <w:p w14:paraId="4E6F1C87" w14:textId="77777777" w:rsidR="0061532C" w:rsidRDefault="0061532C"/>
    <w:p w14:paraId="668B1B3F" w14:textId="77777777" w:rsidR="00874860" w:rsidRDefault="00874860"/>
  </w:footnote>
  <w:footnote w:id="2">
    <w:p w14:paraId="3E039E1E" w14:textId="77777777" w:rsidR="0061532C" w:rsidRPr="00911267" w:rsidRDefault="0061532C" w:rsidP="001859C1">
      <w:pPr>
        <w:pStyle w:val="Allmrkusetekst"/>
      </w:pPr>
      <w:r w:rsidRPr="00AB0B10">
        <w:rPr>
          <w:rStyle w:val="Allmrkuseviide"/>
        </w:rPr>
        <w:footnoteRef/>
      </w:r>
      <w:r>
        <w:tab/>
      </w:r>
      <w:r w:rsidRPr="00A140B9">
        <w:t xml:space="preserve">Regulation (EU) 2021/1119 of the European Parliament and of the Council of 30 June 2021 establishing the framework for achieving climate neutrality and amending Regulations (EC) </w:t>
      </w:r>
      <w:r>
        <w:t>No 401/2009 and (EU) 2018/1999 (‘European Climate Law’)</w:t>
      </w:r>
      <w:r w:rsidRPr="00B66AD8">
        <w:t xml:space="preserve">, </w:t>
      </w:r>
      <w:r>
        <w:t xml:space="preserve">which also includes </w:t>
      </w:r>
      <w:r w:rsidRPr="00B66AD8">
        <w:t>a binding target to cut dom</w:t>
      </w:r>
      <w:r>
        <w:t>estic net greenhouse gas emissions by at least 55% compared to 1990 levels by 2030.</w:t>
      </w:r>
    </w:p>
  </w:footnote>
  <w:footnote w:id="3">
    <w:p w14:paraId="2BD5C6C2" w14:textId="77777777" w:rsidR="0061532C" w:rsidRPr="00F8340F" w:rsidRDefault="0061532C" w:rsidP="006746C9">
      <w:pPr>
        <w:pStyle w:val="Allmrkusetekst"/>
      </w:pPr>
      <w:r w:rsidRPr="00AB0B10">
        <w:rPr>
          <w:rStyle w:val="Allmrkuseviide"/>
        </w:rPr>
        <w:footnoteRef/>
      </w:r>
      <w:r>
        <w:tab/>
      </w:r>
      <w:r w:rsidRPr="00BE7CDA">
        <w:t>Communic</w:t>
      </w:r>
      <w:r w:rsidRPr="006746C9">
        <w:t>a</w:t>
      </w:r>
      <w:r>
        <w:t>tion from the Commission on the European Green Deal, COM/2019/640 final</w:t>
      </w:r>
      <w:r w:rsidRPr="00F8340F">
        <w:t>.</w:t>
      </w:r>
    </w:p>
  </w:footnote>
  <w:footnote w:id="4">
    <w:p w14:paraId="4336BC7F" w14:textId="77777777" w:rsidR="0061532C" w:rsidRPr="0078470C" w:rsidRDefault="0061532C">
      <w:pPr>
        <w:pStyle w:val="Allmrkusetekst"/>
      </w:pPr>
      <w:r w:rsidRPr="00AB0B10">
        <w:rPr>
          <w:rStyle w:val="Allmrkuseviide"/>
        </w:rPr>
        <w:footnoteRef/>
      </w:r>
      <w:r>
        <w:tab/>
      </w:r>
      <w:r w:rsidRPr="00367AC0">
        <w:t xml:space="preserve">So far France </w:t>
      </w:r>
      <w:r>
        <w:t>(</w:t>
      </w:r>
      <w:r w:rsidRPr="00E83F54">
        <w:rPr>
          <w:i/>
        </w:rPr>
        <w:t>L</w:t>
      </w:r>
      <w:r w:rsidRPr="00464373">
        <w:rPr>
          <w:i/>
        </w:rPr>
        <w:t xml:space="preserve">oi </w:t>
      </w:r>
      <w:r w:rsidRPr="00464373">
        <w:rPr>
          <w:i/>
          <w:lang w:val="en-IE"/>
        </w:rPr>
        <w:t>relative au devoir de vigilance</w:t>
      </w:r>
      <w:r>
        <w:rPr>
          <w:i/>
          <w:lang w:val="en-IE"/>
        </w:rPr>
        <w:t>, 2017)</w:t>
      </w:r>
      <w:r>
        <w:t xml:space="preserve"> </w:t>
      </w:r>
      <w:r w:rsidRPr="00367AC0">
        <w:t xml:space="preserve">and Germany </w:t>
      </w:r>
      <w:r>
        <w:t>(</w:t>
      </w:r>
      <w:r w:rsidRPr="00464373">
        <w:rPr>
          <w:i/>
        </w:rPr>
        <w:t>Sorgfaltspflichtengesetz</w:t>
      </w:r>
      <w:r>
        <w:rPr>
          <w:i/>
        </w:rPr>
        <w:t>, 2021)</w:t>
      </w:r>
      <w:r w:rsidRPr="00E24634">
        <w:t xml:space="preserve"> </w:t>
      </w:r>
      <w:r w:rsidRPr="00367AC0">
        <w:t>have introduced a horizontal due diligence law, other Member States (Belgium, the Netherlands, Luxembourg and Sweden) are planning to do so in the near future, and the Netherlands has introduced a more targeted law on child labour</w:t>
      </w:r>
      <w:r>
        <w:t xml:space="preserve"> (</w:t>
      </w:r>
      <w:r w:rsidRPr="007662FF">
        <w:rPr>
          <w:i/>
        </w:rPr>
        <w:t>Wet zorgplicht kinderarbeid</w:t>
      </w:r>
      <w:r>
        <w:rPr>
          <w:i/>
        </w:rPr>
        <w:t>m 2019)</w:t>
      </w:r>
      <w:r w:rsidRPr="00367AC0">
        <w:t>.</w:t>
      </w:r>
    </w:p>
  </w:footnote>
  <w:footnote w:id="5">
    <w:p w14:paraId="25EA1A92" w14:textId="77777777" w:rsidR="0061532C" w:rsidRPr="00F126C6" w:rsidRDefault="0061532C" w:rsidP="005F6A53">
      <w:pPr>
        <w:pStyle w:val="Allmrkusetekst"/>
      </w:pPr>
      <w:r w:rsidRPr="00AB0B10">
        <w:rPr>
          <w:rStyle w:val="Allmrkuseviide"/>
        </w:rPr>
        <w:footnoteRef/>
      </w:r>
      <w:r>
        <w:tab/>
      </w:r>
      <w:r w:rsidRPr="006746C9">
        <w:t>European Parliament resolution of 10 March 2021 with recommendations to the Commission on corporate due diligence and corporate accountability</w:t>
      </w:r>
      <w:r w:rsidRPr="00F126C6">
        <w:t xml:space="preserve"> (</w:t>
      </w:r>
      <w:hyperlink r:id="rId1" w:history="1">
        <w:r w:rsidRPr="00F126C6">
          <w:t>2020/2129(INL)</w:t>
        </w:r>
      </w:hyperlink>
      <w:r>
        <w:t xml:space="preserve">); </w:t>
      </w:r>
      <w:r w:rsidRPr="006746C9">
        <w:t>Council Conclusions on Human Rights and Decent Work in Global Supply Chains</w:t>
      </w:r>
      <w:r>
        <w:t xml:space="preserve"> of 1 December 2020 (13512/20).</w:t>
      </w:r>
    </w:p>
  </w:footnote>
  <w:footnote w:id="6">
    <w:p w14:paraId="210A22FD" w14:textId="367E6ABD" w:rsidR="0061532C" w:rsidRPr="00DF1E68" w:rsidRDefault="0061532C" w:rsidP="0078470C">
      <w:pPr>
        <w:pStyle w:val="Allmrkusetekst"/>
        <w:rPr>
          <w:lang w:val="en-IE"/>
        </w:rPr>
      </w:pPr>
      <w:r w:rsidRPr="00AB0B10">
        <w:rPr>
          <w:rStyle w:val="Allmrkuseviide"/>
        </w:rPr>
        <w:footnoteRef/>
      </w:r>
      <w:r>
        <w:rPr>
          <w:lang w:val="en-IE"/>
        </w:rPr>
        <w:tab/>
      </w:r>
      <w:r w:rsidRPr="00646D67">
        <w:t>Joint declaration of the European Parliament, the Council of the European Union and the European Commission on EU Legislative Priorities for 2022</w:t>
      </w:r>
      <w:r>
        <w:t xml:space="preserve"> (</w:t>
      </w:r>
      <w:r w:rsidRPr="005F6A53">
        <w:t>OJ C 514I, 21.12.2021, p. 1</w:t>
      </w:r>
      <w:r>
        <w:t>)</w:t>
      </w:r>
      <w:r w:rsidRPr="00646D67">
        <w:t>.</w:t>
      </w:r>
      <w:r w:rsidRPr="00F03BA4">
        <w:rPr>
          <w:lang w:val="en-IE"/>
        </w:rPr>
        <w:t xml:space="preserve"> </w:t>
      </w:r>
    </w:p>
  </w:footnote>
  <w:footnote w:id="7">
    <w:p w14:paraId="1CED167C" w14:textId="013BA492" w:rsidR="0061532C" w:rsidRDefault="0061532C" w:rsidP="001859C1">
      <w:pPr>
        <w:pStyle w:val="Allmrkusetekst"/>
      </w:pPr>
      <w:r w:rsidRPr="00AB0B10">
        <w:rPr>
          <w:rStyle w:val="Allmrkuseviide"/>
        </w:rPr>
        <w:footnoteRef/>
      </w:r>
      <w:r>
        <w:tab/>
      </w:r>
      <w:r w:rsidRPr="00936D22">
        <w:t xml:space="preserve">United Nations’ </w:t>
      </w:r>
      <w:r>
        <w:t>“Guiding Principles on Business and Human Rights: Implementing the United Nations ‘Protect, Respect and Remedy’ Framework” (2011),</w:t>
      </w:r>
      <w:r w:rsidRPr="00936D22">
        <w:t xml:space="preserve"> available at </w:t>
      </w:r>
      <w:hyperlink r:id="rId2" w:history="1">
        <w:r w:rsidRPr="005A1F11">
          <w:rPr>
            <w:rStyle w:val="Hperlink"/>
          </w:rPr>
          <w:t>https://www.ohchr.org/Documents/Publications/GuidingPrinciplesBusinessHR_EN.pdf</w:t>
        </w:r>
      </w:hyperlink>
      <w:r>
        <w:t>.</w:t>
      </w:r>
    </w:p>
    <w:p w14:paraId="4E844CF7" w14:textId="77777777" w:rsidR="0061532C" w:rsidRDefault="0061532C" w:rsidP="00021ADA">
      <w:pPr>
        <w:pStyle w:val="Allmrkusetekst"/>
        <w:ind w:hanging="717"/>
      </w:pPr>
      <w:r w:rsidRPr="00F8340F">
        <w:tab/>
      </w:r>
      <w:r w:rsidRPr="00E05B13">
        <w:t>OECD Guidelines</w:t>
      </w:r>
      <w:r>
        <w:t xml:space="preserve"> </w:t>
      </w:r>
      <w:r w:rsidRPr="00EF052A">
        <w:t xml:space="preserve">for Multinational Enterprises </w:t>
      </w:r>
      <w:r>
        <w:t xml:space="preserve">(2011 update), available at: </w:t>
      </w:r>
      <w:hyperlink r:id="rId3" w:history="1">
        <w:r w:rsidRPr="005A1F11">
          <w:rPr>
            <w:rStyle w:val="Hperlink"/>
            <w:lang w:val="pl-PL"/>
          </w:rPr>
          <w:t>https://doi.org/10.1787/9789264115415-en</w:t>
        </w:r>
      </w:hyperlink>
      <w:r>
        <w:t>,</w:t>
      </w:r>
      <w:r w:rsidRPr="00F8340F">
        <w:t xml:space="preserve"> with set of recommendations on responsible business conduct</w:t>
      </w:r>
      <w:r>
        <w:t>,</w:t>
      </w:r>
      <w:r w:rsidRPr="00F8340F">
        <w:t xml:space="preserve"> as well as specific </w:t>
      </w:r>
      <w:r w:rsidRPr="00666393">
        <w:t>OECD Due Diligence Guidance for Responsible Business Conduct</w:t>
      </w:r>
      <w:r>
        <w:t xml:space="preserve"> (2018)</w:t>
      </w:r>
      <w:r w:rsidRPr="00666393">
        <w:t xml:space="preserve"> </w:t>
      </w:r>
      <w:r w:rsidRPr="00F8340F">
        <w:t>and</w:t>
      </w:r>
      <w:r>
        <w:t xml:space="preserve"> OECD</w:t>
      </w:r>
      <w:r w:rsidRPr="00F8340F">
        <w:t xml:space="preserve"> </w:t>
      </w:r>
      <w:r w:rsidRPr="00367B2A">
        <w:t>sectoral guidance</w:t>
      </w:r>
      <w:r>
        <w:t>, available at:</w:t>
      </w:r>
      <w:r w:rsidRPr="00B36307">
        <w:t xml:space="preserve"> </w:t>
      </w:r>
      <w:hyperlink r:id="rId4" w:history="1">
        <w:r w:rsidRPr="005A1F11">
          <w:rPr>
            <w:rStyle w:val="Hperlink"/>
          </w:rPr>
          <w:t>https://mneguidelines.oecd.org/mneguidelines/</w:t>
        </w:r>
      </w:hyperlink>
      <w:r w:rsidRPr="00936D22">
        <w:t>.</w:t>
      </w:r>
    </w:p>
  </w:footnote>
  <w:footnote w:id="8">
    <w:p w14:paraId="4489893B" w14:textId="77777777" w:rsidR="0061532C" w:rsidRPr="00697C7B" w:rsidRDefault="0061532C" w:rsidP="001859C1">
      <w:pPr>
        <w:pStyle w:val="Allmrkusetekst"/>
      </w:pPr>
      <w:r w:rsidRPr="00AB0B10">
        <w:rPr>
          <w:rStyle w:val="Allmrkuseviide"/>
        </w:rPr>
        <w:footnoteRef/>
      </w:r>
      <w:r>
        <w:tab/>
        <w:t xml:space="preserve">See Impact Assessment </w:t>
      </w:r>
      <w:r w:rsidRPr="00EF052A">
        <w:t>accompanying this proposal</w:t>
      </w:r>
      <w:r>
        <w:t>, p. 15, 23.</w:t>
      </w:r>
    </w:p>
  </w:footnote>
  <w:footnote w:id="9">
    <w:p w14:paraId="6B626CAE" w14:textId="07009200" w:rsidR="0061532C" w:rsidRPr="00626D40" w:rsidRDefault="0061532C" w:rsidP="001859C1">
      <w:pPr>
        <w:pStyle w:val="Allmrkusetekst"/>
      </w:pPr>
      <w:r w:rsidRPr="00AB0B10">
        <w:rPr>
          <w:rStyle w:val="Allmrkuseviide"/>
        </w:rPr>
        <w:footnoteRef/>
      </w:r>
      <w:r>
        <w:tab/>
        <w:t xml:space="preserve">The Study on due diligence, </w:t>
      </w:r>
      <w:r w:rsidRPr="00BA0239">
        <w:t xml:space="preserve">European Commission, Directorate-General for Justice and Consumers, Smit, L., Bright, C., et al., Study on due diligence requirements through the supply chain: final report, Publications Office, 2020, </w:t>
      </w:r>
      <w:hyperlink r:id="rId5" w:history="1">
        <w:r w:rsidRPr="00BA0239">
          <w:rPr>
            <w:rStyle w:val="Hperlink"/>
          </w:rPr>
          <w:t>https://data.europa.eu/doi/10.2838/39830</w:t>
        </w:r>
      </w:hyperlink>
      <w:r>
        <w:t>,</w:t>
      </w:r>
      <w:r w:rsidRPr="00BA0239">
        <w:t xml:space="preserve"> </w:t>
      </w:r>
      <w:r w:rsidRPr="003118CC">
        <w:t>p. 221</w:t>
      </w:r>
      <w:r>
        <w:t>,</w:t>
      </w:r>
      <w:r w:rsidRPr="00EF052A">
        <w:t xml:space="preserve"> </w:t>
      </w:r>
      <w:r w:rsidRPr="003118CC">
        <w:t xml:space="preserve">indicates </w:t>
      </w:r>
      <w:r>
        <w:t>that</w:t>
      </w:r>
      <w:r w:rsidRPr="003118CC">
        <w:t xml:space="preserve"> corporate risk assessment processes </w:t>
      </w:r>
      <w:r>
        <w:t xml:space="preserve">continue to </w:t>
      </w:r>
      <w:r w:rsidRPr="003118CC">
        <w:t>focus on the materiality of the risks to the company, despite international guidance (UNGP</w:t>
      </w:r>
      <w:r>
        <w:t>s</w:t>
      </w:r>
      <w:r w:rsidRPr="003118CC">
        <w:t xml:space="preserve">, OECD) which clarifies that the relevant risks </w:t>
      </w:r>
      <w:r>
        <w:t xml:space="preserve">for due diligence </w:t>
      </w:r>
      <w:r w:rsidRPr="003118CC">
        <w:t>must extend beyond the risks of the company to those who are affected (the</w:t>
      </w:r>
      <w:r>
        <w:t xml:space="preserve"> rights-holders). Negative corporate impacts</w:t>
      </w:r>
      <w:r w:rsidRPr="005C0328">
        <w:t xml:space="preserve"> </w:t>
      </w:r>
      <w:r>
        <w:t>as a consequence of globalisation</w:t>
      </w:r>
      <w:r w:rsidRPr="00850993">
        <w:t xml:space="preserve"> </w:t>
      </w:r>
      <w:r>
        <w:t>and</w:t>
      </w:r>
      <w:r w:rsidRPr="00850993">
        <w:t xml:space="preserve"> failure to undertake due diligence</w:t>
      </w:r>
      <w:r>
        <w:t xml:space="preserve">, ranging from </w:t>
      </w:r>
      <w:r w:rsidRPr="0081686D">
        <w:t>environmental disasters</w:t>
      </w:r>
      <w:r>
        <w:t xml:space="preserve"> (see at </w:t>
      </w:r>
      <w:hyperlink r:id="rId6" w:history="1">
        <w:r w:rsidRPr="00437C26">
          <w:rPr>
            <w:rStyle w:val="Hperlink"/>
          </w:rPr>
          <w:t>https://www.business-humanrights.org/en/blog/brumadinho-dam-collapse-lessons-in-corporate-due-diligence-and-remedy-for-harm-done/</w:t>
        </w:r>
      </w:hyperlink>
      <w:r>
        <w:t xml:space="preserve">) and </w:t>
      </w:r>
      <w:r w:rsidRPr="0081686D">
        <w:t>land grabbing</w:t>
      </w:r>
      <w:r>
        <w:t xml:space="preserve"> (see at </w:t>
      </w:r>
      <w:hyperlink r:id="rId7" w:history="1">
        <w:r w:rsidRPr="00437C26">
          <w:rPr>
            <w:rStyle w:val="Hperlink"/>
          </w:rPr>
          <w:t>https://www.europarl.europa.eu/RegData/etudes/STUD/2016/578007/EXPO_STU(2016)578007_EN.pdf</w:t>
        </w:r>
      </w:hyperlink>
      <w:r>
        <w:t xml:space="preserve">)  to serious </w:t>
      </w:r>
      <w:r w:rsidRPr="0081686D">
        <w:t>violations of labour and human rights</w:t>
      </w:r>
      <w:r>
        <w:t xml:space="preserve">, (see at </w:t>
      </w:r>
      <w:hyperlink r:id="rId8" w:history="1">
        <w:r w:rsidRPr="006E2447">
          <w:rPr>
            <w:rStyle w:val="Hperlink"/>
          </w:rPr>
          <w:t>https://www.europarl.europa.eu/RegData/etudes/BRIE/2014/538222/EPRS_BRI(2014)538222_REV1_EN.pdf</w:t>
        </w:r>
        <w:r w:rsidRPr="00437C26">
          <w:rPr>
            <w:rStyle w:val="Hperlink"/>
          </w:rPr>
          <w:t>)</w:t>
        </w:r>
      </w:hyperlink>
      <w:r>
        <w:t xml:space="preserve"> are well documented. </w:t>
      </w:r>
    </w:p>
  </w:footnote>
  <w:footnote w:id="10">
    <w:p w14:paraId="39F03DA8" w14:textId="77777777" w:rsidR="0061532C" w:rsidRDefault="0061532C" w:rsidP="001859C1">
      <w:pPr>
        <w:pStyle w:val="Allmrkusetekst"/>
        <w:ind w:left="709" w:hanging="707"/>
      </w:pPr>
      <w:r>
        <w:rPr>
          <w:rStyle w:val="Allmrkuseviide"/>
        </w:rPr>
        <w:footnoteRef/>
      </w:r>
      <w:r>
        <w:tab/>
        <w:t xml:space="preserve">See footnote </w:t>
      </w:r>
      <w:r>
        <w:fldChar w:fldCharType="begin"/>
      </w:r>
      <w:r>
        <w:instrText xml:space="preserve"> NOTEREF _Ref96003663 \h </w:instrText>
      </w:r>
      <w:r>
        <w:fldChar w:fldCharType="separate"/>
      </w:r>
      <w:r>
        <w:t>3</w:t>
      </w:r>
      <w:r>
        <w:fldChar w:fldCharType="end"/>
      </w:r>
      <w:r>
        <w:t>.</w:t>
      </w:r>
    </w:p>
  </w:footnote>
  <w:footnote w:id="11">
    <w:p w14:paraId="507A25FB" w14:textId="77777777" w:rsidR="0061532C" w:rsidRPr="00AF3BC1" w:rsidRDefault="0061532C">
      <w:pPr>
        <w:pStyle w:val="Allmrkusetekst"/>
      </w:pPr>
      <w:r>
        <w:rPr>
          <w:rStyle w:val="Allmrkuseviide"/>
        </w:rPr>
        <w:footnoteRef/>
      </w:r>
      <w:r>
        <w:tab/>
        <w:t>Directive</w:t>
      </w:r>
      <w:r w:rsidRPr="00AF3BC1">
        <w:t xml:space="preserve"> 2014/95/EU amending </w:t>
      </w:r>
      <w:r>
        <w:t>Directive</w:t>
      </w:r>
      <w:r w:rsidRPr="00AF3BC1">
        <w:t xml:space="preserve"> 2013/34/EU as regards disclosure of non-financial and diversity information by certain large undertakings and groups</w:t>
      </w:r>
      <w:r>
        <w:t xml:space="preserve"> (</w:t>
      </w:r>
      <w:r w:rsidRPr="004E3609">
        <w:t>OJ L 330, 15.11.2014, p. 1–9</w:t>
      </w:r>
      <w:r>
        <w:t xml:space="preserve">). </w:t>
      </w:r>
      <w:r w:rsidRPr="004D0BB0">
        <w:t xml:space="preserve">The NFRD is therefore an amendment of the Accounting </w:t>
      </w:r>
      <w:r>
        <w:t>Directive, i.e. of Directive</w:t>
      </w:r>
      <w:r w:rsidRPr="004D0BB0">
        <w:t xml:space="preserve"> 2013/34/EU on the annual financial statements, consolidated financial statements and related reports of certain types of undertakings, amending </w:t>
      </w:r>
      <w:r>
        <w:t>Directive</w:t>
      </w:r>
      <w:r w:rsidRPr="004D0BB0">
        <w:t xml:space="preserve"> 2006/43/EC and repealing Council </w:t>
      </w:r>
      <w:r>
        <w:t>Directive</w:t>
      </w:r>
      <w:r w:rsidRPr="004D0BB0">
        <w:t>s 78/660/EEC and 83/349/EEC</w:t>
      </w:r>
      <w:r>
        <w:t xml:space="preserve"> (</w:t>
      </w:r>
      <w:r w:rsidRPr="00CD0197">
        <w:t>OJ L 182, 29.6.2013</w:t>
      </w:r>
      <w:r>
        <w:t>).</w:t>
      </w:r>
    </w:p>
  </w:footnote>
  <w:footnote w:id="12">
    <w:p w14:paraId="790FE0C0" w14:textId="77777777" w:rsidR="0061532C" w:rsidRPr="00C852ED" w:rsidRDefault="0061532C" w:rsidP="001859C1">
      <w:pPr>
        <w:pStyle w:val="Allmrkusetekst"/>
      </w:pPr>
      <w:r w:rsidRPr="00AB0B10">
        <w:rPr>
          <w:rStyle w:val="Allmrkuseviide"/>
        </w:rPr>
        <w:footnoteRef/>
      </w:r>
      <w:r>
        <w:tab/>
        <w:t xml:space="preserve">Large public-interest entities that have more than 500 employees (and the balance sheet total or net turnover of which exceeds the Accounting Directive’s threshold for large enterprises), including listed companies, banks and insurance companies. See </w:t>
      </w:r>
      <w:r w:rsidRPr="006E2447">
        <w:t>CEPS’ Study on the Non-Financial Reporting Directive</w:t>
      </w:r>
      <w:r w:rsidRPr="00926F8E">
        <w:t>, prepared for the European Commission to support the review of the NFRD, November 2020</w:t>
      </w:r>
      <w:r>
        <w:t>,</w:t>
      </w:r>
      <w:r w:rsidRPr="006E2447">
        <w:t xml:space="preserve"> </w:t>
      </w:r>
      <w:r>
        <w:t xml:space="preserve">available at </w:t>
      </w:r>
      <w:hyperlink r:id="rId9" w:history="1">
        <w:r w:rsidRPr="00437C26">
          <w:rPr>
            <w:rStyle w:val="Hperlink"/>
          </w:rPr>
          <w:t>https://op.europa.eu/en/publication-detail/-/publication/1ef8fe0e-98e1-11eb-b85c-01aa75ed71a1/language-en</w:t>
        </w:r>
      </w:hyperlink>
      <w:hyperlink r:id="rId10" w:history="1"/>
      <w:r>
        <w:t xml:space="preserve">. </w:t>
      </w:r>
    </w:p>
  </w:footnote>
  <w:footnote w:id="13">
    <w:p w14:paraId="712E2C65" w14:textId="77777777" w:rsidR="0061532C" w:rsidRPr="00E6578C" w:rsidRDefault="0061532C" w:rsidP="001859C1">
      <w:pPr>
        <w:pStyle w:val="Allmrkusetekst"/>
      </w:pPr>
      <w:r w:rsidRPr="00AB0B10">
        <w:rPr>
          <w:rStyle w:val="Allmrkuseviide"/>
        </w:rPr>
        <w:footnoteRef/>
      </w:r>
      <w:r>
        <w:tab/>
      </w:r>
      <w:r w:rsidRPr="005416F3">
        <w:t>See also</w:t>
      </w:r>
      <w:r>
        <w:t xml:space="preserve"> </w:t>
      </w:r>
      <w:r w:rsidRPr="005416F3">
        <w:t xml:space="preserve">some </w:t>
      </w:r>
      <w:r>
        <w:t xml:space="preserve">provisions of </w:t>
      </w:r>
      <w:r w:rsidRPr="005416F3">
        <w:t>SRD</w:t>
      </w:r>
      <w:r>
        <w:t> </w:t>
      </w:r>
      <w:r w:rsidRPr="005416F3">
        <w:t>II</w:t>
      </w:r>
      <w:r>
        <w:t>,</w:t>
      </w:r>
      <w:r w:rsidRPr="00741F39">
        <w:t xml:space="preserve"> </w:t>
      </w:r>
      <w:r>
        <w:t xml:space="preserve">i.e. </w:t>
      </w:r>
      <w:r w:rsidRPr="00741F39">
        <w:t>Directive (EU) 2017/828 amending Directive 2007/36/EC as regards the encouragement of long-ter</w:t>
      </w:r>
      <w:r>
        <w:t>m shareholder engagement (</w:t>
      </w:r>
      <w:r w:rsidRPr="00741F39">
        <w:t>OJ L 132, 20.5.2017, p. 1–25</w:t>
      </w:r>
      <w:r>
        <w:t>).</w:t>
      </w:r>
    </w:p>
  </w:footnote>
  <w:footnote w:id="14">
    <w:p w14:paraId="136A0845" w14:textId="2ACA9C7E" w:rsidR="0061532C" w:rsidRPr="008272BF" w:rsidRDefault="0061532C" w:rsidP="00144DC4">
      <w:pPr>
        <w:pStyle w:val="Allmrkusetekst"/>
      </w:pPr>
      <w:r w:rsidRPr="00AB0B10">
        <w:rPr>
          <w:rStyle w:val="Allmrkuseviide"/>
        </w:rPr>
        <w:footnoteRef/>
      </w:r>
      <w:r>
        <w:tab/>
        <w:t xml:space="preserve">The Impact Assessment accompanying the Commission’s proposal for the Corporate Sustainability Reporting Directive (SWD/2021/150 final) </w:t>
      </w:r>
      <w:r w:rsidRPr="00A321F5">
        <w:t xml:space="preserve">and the </w:t>
      </w:r>
      <w:r w:rsidRPr="00F16F54">
        <w:t>CEPS’ Study on the Non-Financial Reporting Directive</w:t>
      </w:r>
      <w:r w:rsidDel="00E05B13">
        <w:t xml:space="preserve"> </w:t>
      </w:r>
      <w:r w:rsidRPr="00965C27">
        <w:t>(section 2)</w:t>
      </w:r>
      <w:r>
        <w:t xml:space="preserve"> found a </w:t>
      </w:r>
      <w:r w:rsidRPr="00A321F5">
        <w:t xml:space="preserve">limited change in </w:t>
      </w:r>
      <w:r>
        <w:t xml:space="preserve">corporate </w:t>
      </w:r>
      <w:r w:rsidRPr="00A321F5">
        <w:t xml:space="preserve">policies </w:t>
      </w:r>
      <w:r>
        <w:t xml:space="preserve">as a result of the </w:t>
      </w:r>
      <w:r w:rsidRPr="00A321F5">
        <w:t>NFRD</w:t>
      </w:r>
      <w:r>
        <w:t xml:space="preserve">, consistent with the </w:t>
      </w:r>
      <w:r w:rsidRPr="00A321F5">
        <w:t xml:space="preserve">perception of main stakeholders who could not identify a clear pattern of change in </w:t>
      </w:r>
      <w:r>
        <w:t>corporate</w:t>
      </w:r>
      <w:r w:rsidRPr="00A321F5">
        <w:t xml:space="preserve"> behaviour </w:t>
      </w:r>
      <w:r>
        <w:t>driven by these reporting rules</w:t>
      </w:r>
      <w:r w:rsidRPr="008272BF">
        <w:t>.</w:t>
      </w:r>
      <w:r>
        <w:t xml:space="preserve"> </w:t>
      </w:r>
    </w:p>
  </w:footnote>
  <w:footnote w:id="15">
    <w:p w14:paraId="65CBEFFE" w14:textId="77777777" w:rsidR="0061532C" w:rsidRPr="008A4E68" w:rsidRDefault="0061532C">
      <w:pPr>
        <w:pStyle w:val="Allmrkusetekst"/>
      </w:pPr>
      <w:r w:rsidRPr="00AB0B10">
        <w:rPr>
          <w:rStyle w:val="Allmrkuseviide"/>
        </w:rPr>
        <w:footnoteRef/>
      </w:r>
      <w:r>
        <w:tab/>
      </w:r>
      <w:r w:rsidRPr="008A4E68">
        <w:t xml:space="preserve">Proposal for a </w:t>
      </w:r>
      <w:r>
        <w:t>Directive</w:t>
      </w:r>
      <w:r w:rsidRPr="008A4E68">
        <w:t xml:space="preserve"> </w:t>
      </w:r>
      <w:r>
        <w:t xml:space="preserve">of the European Parliament and of the Council </w:t>
      </w:r>
      <w:r w:rsidRPr="008A4E68">
        <w:t xml:space="preserve">amending </w:t>
      </w:r>
      <w:r>
        <w:t>Directive</w:t>
      </w:r>
      <w:r w:rsidRPr="008A4E68">
        <w:t xml:space="preserve"> 2013/34/EU, </w:t>
      </w:r>
      <w:r>
        <w:t>Directive</w:t>
      </w:r>
      <w:r w:rsidRPr="008A4E68">
        <w:t xml:space="preserve"> 2004/109/EC, </w:t>
      </w:r>
      <w:r>
        <w:t>Directive</w:t>
      </w:r>
      <w:r w:rsidRPr="008A4E68">
        <w:t xml:space="preserve"> 2006/43/EC and Regulation (EU) No 537/2014, as regards corporate sustainability reporting</w:t>
      </w:r>
      <w:r>
        <w:t xml:space="preserve"> (</w:t>
      </w:r>
      <w:r w:rsidRPr="00897118">
        <w:t>COM/2021/189 final</w:t>
      </w:r>
      <w:r>
        <w:t>).</w:t>
      </w:r>
    </w:p>
  </w:footnote>
  <w:footnote w:id="16">
    <w:p w14:paraId="5BC2D490" w14:textId="77777777" w:rsidR="0061532C" w:rsidRPr="005E6FFE" w:rsidRDefault="0061532C" w:rsidP="001859C1">
      <w:pPr>
        <w:pStyle w:val="Allmrkusetekst"/>
      </w:pPr>
      <w:r w:rsidRPr="00AB0B10">
        <w:rPr>
          <w:rStyle w:val="Allmrkuseviide"/>
        </w:rPr>
        <w:footnoteRef/>
      </w:r>
      <w:r>
        <w:tab/>
        <w:t>The sustainability reporting obligation would apply to all large companies as defined by the Accounting Directive (which the CSRD would amend) and, as of 2026, to companies (including non-EU companies but excluding all micro enterprises) listed on EU regulated markets.</w:t>
      </w:r>
    </w:p>
  </w:footnote>
  <w:footnote w:id="17">
    <w:p w14:paraId="5C618ABA" w14:textId="77777777" w:rsidR="0061532C" w:rsidRPr="009643E6" w:rsidRDefault="0061532C" w:rsidP="00386920">
      <w:pPr>
        <w:pStyle w:val="Allmrkusetekst"/>
      </w:pPr>
      <w:r w:rsidRPr="00AB0B10">
        <w:rPr>
          <w:rStyle w:val="Allmrkuseviide"/>
        </w:rPr>
        <w:footnoteRef/>
      </w:r>
      <w:r>
        <w:tab/>
        <w:t>T</w:t>
      </w:r>
      <w:r w:rsidRPr="009643E6">
        <w:t xml:space="preserve">he elaboration of draft sustainability </w:t>
      </w:r>
      <w:r>
        <w:t>re</w:t>
      </w:r>
      <w:r w:rsidRPr="009643E6">
        <w:t xml:space="preserve">porting standards </w:t>
      </w:r>
      <w:r>
        <w:t xml:space="preserve">started </w:t>
      </w:r>
      <w:r w:rsidRPr="009643E6">
        <w:t xml:space="preserve">in parallel </w:t>
      </w:r>
      <w:r>
        <w:t xml:space="preserve">with </w:t>
      </w:r>
      <w:r w:rsidRPr="009643E6">
        <w:t xml:space="preserve">the legislative process </w:t>
      </w:r>
      <w:r>
        <w:t xml:space="preserve">in a </w:t>
      </w:r>
      <w:r w:rsidRPr="00570769">
        <w:t>project task force</w:t>
      </w:r>
      <w:r>
        <w:t xml:space="preserve"> established by the </w:t>
      </w:r>
      <w:r w:rsidRPr="007655D4">
        <w:t>European Financial Reporting Advisory Group</w:t>
      </w:r>
      <w:r>
        <w:t xml:space="preserve"> (EFRAG) at the request of the Commission. </w:t>
      </w:r>
    </w:p>
  </w:footnote>
  <w:footnote w:id="18">
    <w:p w14:paraId="2513E96C" w14:textId="77777777" w:rsidR="0061532C" w:rsidRPr="00537C9B" w:rsidRDefault="0061532C" w:rsidP="00443987">
      <w:pPr>
        <w:pStyle w:val="Allmrkusetekst"/>
      </w:pPr>
      <w:r w:rsidRPr="00AB0B10">
        <w:rPr>
          <w:rStyle w:val="Allmrkuseviide"/>
        </w:rPr>
        <w:footnoteRef/>
      </w:r>
      <w:r>
        <w:tab/>
      </w:r>
      <w:r w:rsidRPr="00537C9B">
        <w:t>Regulation (EU) 2019/2088 of the European Parliament and of the Council of 27 November 2019 on sustainability‐related disclosures in the financial services sector</w:t>
      </w:r>
      <w:r>
        <w:t xml:space="preserve"> (</w:t>
      </w:r>
      <w:r w:rsidRPr="003E7477">
        <w:t>OJ L 317, 9.12.2019, p. 1–16</w:t>
      </w:r>
      <w:r>
        <w:t>).</w:t>
      </w:r>
    </w:p>
  </w:footnote>
  <w:footnote w:id="19">
    <w:p w14:paraId="07EEA4A3" w14:textId="77777777" w:rsidR="0061532C" w:rsidRPr="009643E6" w:rsidRDefault="0061532C" w:rsidP="00443987">
      <w:pPr>
        <w:pStyle w:val="Allmrkusetekst"/>
      </w:pPr>
      <w:r w:rsidRPr="00AB0B10">
        <w:rPr>
          <w:rStyle w:val="Allmrkuseviide"/>
        </w:rPr>
        <w:footnoteRef/>
      </w:r>
      <w:r>
        <w:tab/>
      </w:r>
      <w:r w:rsidRPr="009643E6">
        <w:t xml:space="preserve">The three European Supervisory Authorities published </w:t>
      </w:r>
      <w:r>
        <w:t xml:space="preserve">on </w:t>
      </w:r>
      <w:r w:rsidRPr="00042B7D">
        <w:t>4 February 2021</w:t>
      </w:r>
      <w:r>
        <w:t xml:space="preserve"> </w:t>
      </w:r>
      <w:r w:rsidRPr="009643E6">
        <w:t xml:space="preserve">their </w:t>
      </w:r>
      <w:r w:rsidRPr="00021ADA">
        <w:t>Final Report</w:t>
      </w:r>
      <w:r>
        <w:t xml:space="preserve"> (available at</w:t>
      </w:r>
      <w:r w:rsidRPr="006E2447">
        <w:t xml:space="preserve"> </w:t>
      </w:r>
      <w:hyperlink r:id="rId11" w:history="1">
        <w:r w:rsidRPr="00437C26">
          <w:rPr>
            <w:rStyle w:val="Hperlink"/>
          </w:rPr>
          <w:t>https://www.esma.europa.eu/press-news/esma-news/three-european-supervisory-authorities-publish-final-report-and-draft-rts</w:t>
        </w:r>
      </w:hyperlink>
      <w:r>
        <w:t>) to</w:t>
      </w:r>
      <w:r w:rsidRPr="00A20265">
        <w:t xml:space="preserve"> the Commission, including the draft regulatory technical standards on disclosures under</w:t>
      </w:r>
      <w:r>
        <w:t xml:space="preserve"> the</w:t>
      </w:r>
      <w:r w:rsidRPr="00A20265">
        <w:t xml:space="preserve"> SFDR</w:t>
      </w:r>
      <w:r>
        <w:t>.</w:t>
      </w:r>
    </w:p>
  </w:footnote>
  <w:footnote w:id="20">
    <w:p w14:paraId="692EB0DE" w14:textId="77777777" w:rsidR="0061532C" w:rsidRPr="00580037" w:rsidRDefault="0061532C">
      <w:pPr>
        <w:pStyle w:val="Allmrkusetekst"/>
      </w:pPr>
      <w:r w:rsidRPr="00AB0B10">
        <w:rPr>
          <w:rStyle w:val="Allmrkuseviide"/>
        </w:rPr>
        <w:footnoteRef/>
      </w:r>
      <w:r>
        <w:tab/>
      </w:r>
      <w:r w:rsidRPr="00580037">
        <w:t>Regulation (EU) 2020/852 of the European Parliament and of the Council of 18 June 2020 on the establishment of a framework to facilitate sustainable investment, and amending Regulation (EU) 2019/2088</w:t>
      </w:r>
      <w:r>
        <w:t xml:space="preserve"> (</w:t>
      </w:r>
      <w:r w:rsidRPr="00580037">
        <w:t>OJ L 198, 22.6.2020, p. 13–43</w:t>
      </w:r>
      <w:r>
        <w:t>).</w:t>
      </w:r>
    </w:p>
  </w:footnote>
  <w:footnote w:id="21">
    <w:p w14:paraId="3F442292" w14:textId="77777777" w:rsidR="0061532C" w:rsidRPr="008272BF" w:rsidRDefault="0061532C" w:rsidP="001859C1">
      <w:pPr>
        <w:pStyle w:val="Allmrkusetekst"/>
      </w:pPr>
      <w:r w:rsidRPr="00AB0B10">
        <w:rPr>
          <w:rStyle w:val="Allmrkuseviide"/>
        </w:rPr>
        <w:footnoteRef/>
      </w:r>
      <w:r>
        <w:tab/>
        <w:t>The Taxonomy will be developed gradually. Minimum social safeguards apply to all Taxonomy-eligible investments.</w:t>
      </w:r>
    </w:p>
  </w:footnote>
  <w:footnote w:id="22">
    <w:p w14:paraId="33EF006C" w14:textId="77777777" w:rsidR="0061532C" w:rsidRPr="00020A7C" w:rsidRDefault="0061532C" w:rsidP="004B7B2F">
      <w:pPr>
        <w:pStyle w:val="Allmrkusetekst"/>
      </w:pPr>
      <w:r w:rsidRPr="00AB0B10">
        <w:rPr>
          <w:rStyle w:val="Allmrkuseviide"/>
        </w:rPr>
        <w:footnoteRef/>
      </w:r>
      <w:r>
        <w:tab/>
        <w:t>Directive 2011/36/EU of the European Parliament and of the Council of 5 April 2011 on preventing and combating trafficking in human beings and protecting its victims, and replacing Council Framework Decision 2002/629/JHA (OJ L 101, 15 April 2011, p.1).</w:t>
      </w:r>
    </w:p>
  </w:footnote>
  <w:footnote w:id="23">
    <w:p w14:paraId="72F010B7" w14:textId="77777777" w:rsidR="0061532C" w:rsidRPr="00E337F0" w:rsidRDefault="0061532C" w:rsidP="004B7B2F">
      <w:pPr>
        <w:pStyle w:val="Allmrkusetekst"/>
      </w:pPr>
      <w:r w:rsidRPr="00AB0B10">
        <w:rPr>
          <w:rStyle w:val="Allmrkuseviide"/>
        </w:rPr>
        <w:footnoteRef/>
      </w:r>
      <w:r>
        <w:tab/>
        <w:t>Directive 2009/52/EC of the European Parliament and of the Council of 18 June 2009 providing for minimum standards on sanctions and measures against employers of illegally staying third-country nationals (OJ L 168, 30. June 2009).</w:t>
      </w:r>
    </w:p>
  </w:footnote>
  <w:footnote w:id="24">
    <w:p w14:paraId="7EBE2261" w14:textId="77777777" w:rsidR="0061532C" w:rsidRPr="00B029EB" w:rsidRDefault="0061532C" w:rsidP="001859C1">
      <w:pPr>
        <w:pStyle w:val="Allmrkusetekst"/>
        <w:rPr>
          <w:lang w:val="hu-HU"/>
        </w:rPr>
      </w:pPr>
      <w:r w:rsidRPr="00AB0B10">
        <w:rPr>
          <w:rStyle w:val="Allmrkuseviide"/>
        </w:rPr>
        <w:footnoteRef/>
      </w:r>
      <w:r>
        <w:tab/>
      </w:r>
      <w:r w:rsidRPr="00CF342A">
        <w:t xml:space="preserve">Regulation (EU) 2017/821 of the European Parliament and of the Council of 17 May 2017 laying down supply chain due diligence obligations for Union </w:t>
      </w:r>
      <w:r w:rsidRPr="006A06F9">
        <w:t>importers of tin, tantalum and tungsten, their ores, and gold originating from conflict-affected and high-risk areas</w:t>
      </w:r>
      <w:r w:rsidRPr="00021ADA">
        <w:t xml:space="preserve"> </w:t>
      </w:r>
      <w:r>
        <w:t>(</w:t>
      </w:r>
      <w:r w:rsidRPr="00021ADA">
        <w:t>OJ L 130, 19.5.2017, p. 1–20</w:t>
      </w:r>
      <w:r>
        <w:t>)</w:t>
      </w:r>
      <w:r w:rsidRPr="00021ADA">
        <w:t>.</w:t>
      </w:r>
    </w:p>
  </w:footnote>
  <w:footnote w:id="25">
    <w:p w14:paraId="5F39E4A3" w14:textId="77777777" w:rsidR="0061532C" w:rsidRPr="00EB3E01" w:rsidRDefault="0061532C" w:rsidP="001859C1">
      <w:pPr>
        <w:pStyle w:val="Allmrkusetekst"/>
      </w:pPr>
      <w:r w:rsidRPr="00AB0B10">
        <w:rPr>
          <w:rStyle w:val="Allmrkuseviide"/>
        </w:rPr>
        <w:footnoteRef/>
      </w:r>
      <w:r>
        <w:tab/>
        <w:t>Proposal for a Regulation of the European Parliament and of the Council on the making available on the Union market as well as export from the Union of certain commodities and products associated with deforestation and forest degradation and repealing Regulation (EU) No 995/2010 (COM(2021) 706 final).</w:t>
      </w:r>
    </w:p>
  </w:footnote>
  <w:footnote w:id="26">
    <w:p w14:paraId="4B0535BA" w14:textId="77777777" w:rsidR="0061532C" w:rsidRPr="00A41FAB" w:rsidRDefault="0061532C" w:rsidP="009D63D0">
      <w:pPr>
        <w:pStyle w:val="Allmrkusetekst"/>
      </w:pPr>
      <w:r w:rsidRPr="00AB0B10">
        <w:rPr>
          <w:rStyle w:val="Allmrkuseviide"/>
        </w:rPr>
        <w:footnoteRef/>
      </w:r>
      <w:r>
        <w:rPr>
          <w:lang w:val="en-IE"/>
        </w:rPr>
        <w:tab/>
      </w:r>
      <w:r>
        <w:t>Proposal for a Regulation of the European Parliament and of the Council concerning batteries and waste batteries, repealing Directive 2006/66/EC and amending Regulation (EU) No 2019/1020 (</w:t>
      </w:r>
      <w:r w:rsidRPr="009D63D0">
        <w:t>COM/2020/798 final</w:t>
      </w:r>
      <w:r>
        <w:t xml:space="preserve">). </w:t>
      </w:r>
    </w:p>
  </w:footnote>
  <w:footnote w:id="27">
    <w:p w14:paraId="21EB0BB8" w14:textId="77777777" w:rsidR="0061532C" w:rsidRPr="00084142" w:rsidRDefault="0061532C" w:rsidP="001859C1">
      <w:pPr>
        <w:pStyle w:val="Allmrkusetekst"/>
      </w:pPr>
      <w:r w:rsidRPr="00AB0B10">
        <w:rPr>
          <w:rStyle w:val="Allmrkuseviide"/>
        </w:rPr>
        <w:footnoteRef/>
      </w:r>
      <w:r>
        <w:tab/>
        <w:t>Directive</w:t>
      </w:r>
      <w:r w:rsidRPr="00084142">
        <w:t xml:space="preserve"> 2009/125/EC of the European Parliament and of the Council of 21 October 2009 establishing a framework for the setting of ecodesign requirements for energy-related products</w:t>
      </w:r>
      <w:r>
        <w:t xml:space="preserve"> (OJ L 285, 31.10.2009, p. 10).</w:t>
      </w:r>
    </w:p>
  </w:footnote>
  <w:footnote w:id="28">
    <w:p w14:paraId="5E70009A" w14:textId="31F1D75D" w:rsidR="0061532C" w:rsidRPr="00E16B80" w:rsidRDefault="0061532C">
      <w:pPr>
        <w:pStyle w:val="Allmrkusetekst"/>
      </w:pPr>
      <w:r w:rsidRPr="00246E3B">
        <w:rPr>
          <w:rStyle w:val="Allmrkuseviide"/>
        </w:rPr>
        <w:footnoteRef/>
      </w:r>
      <w:r w:rsidR="00246E3B">
        <w:tab/>
      </w:r>
      <w:r w:rsidRPr="00E16B80">
        <w:t>Communication from the Commission to the European Parliament, the Council and the European Economic and Social Committee on decent work worldwide for a global just transition and a sustainable recovery, COM(2022) 66 final.</w:t>
      </w:r>
    </w:p>
  </w:footnote>
  <w:footnote w:id="29">
    <w:p w14:paraId="512D61F1" w14:textId="77777777" w:rsidR="0061532C" w:rsidRPr="005D513F" w:rsidRDefault="0061532C" w:rsidP="001859C1">
      <w:pPr>
        <w:pStyle w:val="Allmrkusetekst"/>
      </w:pPr>
      <w:r w:rsidRPr="00AB0B10">
        <w:rPr>
          <w:rStyle w:val="Allmrkuseviide"/>
        </w:rPr>
        <w:footnoteRef/>
      </w:r>
      <w:r>
        <w:tab/>
      </w:r>
      <w:r w:rsidRPr="005D513F">
        <w:t>For example it introduces limitations on the release of some pollutants, defines EU goals (such</w:t>
      </w:r>
      <w:r>
        <w:t xml:space="preserve"> as</w:t>
      </w:r>
      <w:r w:rsidRPr="005D513F">
        <w:t xml:space="preserve"> the European Climate Law) or sets targets for Member States (such as for energy efficiency), defines obligations for Member States (e.g. on protection of natural habitats), establishes minimum content in authorisation procedures for some economic activities (e.g. Environmental Impact Assessment), etc.</w:t>
      </w:r>
    </w:p>
  </w:footnote>
  <w:footnote w:id="30">
    <w:p w14:paraId="55133B0F" w14:textId="77777777" w:rsidR="0061532C" w:rsidRPr="00DD497A" w:rsidRDefault="0061532C">
      <w:pPr>
        <w:pStyle w:val="Allmrkusetekst"/>
      </w:pPr>
      <w:r w:rsidRPr="00AB0B10">
        <w:rPr>
          <w:rStyle w:val="Allmrkuseviide"/>
        </w:rPr>
        <w:footnoteRef/>
      </w:r>
      <w:r>
        <w:tab/>
      </w:r>
      <w:r w:rsidRPr="006C26FB">
        <w:t>See</w:t>
      </w:r>
      <w:r>
        <w:t xml:space="preserve"> e.g. Jungmichel, Norbert, Christina Schampel and Daniel Weiss (2017): Atlas on Environmental Impacts - Supply Chains – Environmental Impacts and Hot Spots in the Supply Chain, Adephi/Systain, available at </w:t>
      </w:r>
      <w:hyperlink r:id="rId12" w:history="1">
        <w:r w:rsidRPr="00BD77D3">
          <w:rPr>
            <w:rStyle w:val="Hperlink"/>
          </w:rPr>
          <w:t>https://www.adelphi.de/en/system/files/mediathek/bilder/Umweltatlas%20Lieferkette%20-%20adelphi-Systain-englisch.pdf</w:t>
        </w:r>
      </w:hyperlink>
      <w:r>
        <w:t>.</w:t>
      </w:r>
    </w:p>
  </w:footnote>
  <w:footnote w:id="31">
    <w:p w14:paraId="5DCD867D" w14:textId="77777777" w:rsidR="0061532C" w:rsidRPr="00BE1A5C" w:rsidRDefault="0061532C">
      <w:pPr>
        <w:pStyle w:val="Allmrkusetekst"/>
      </w:pPr>
      <w:r w:rsidRPr="00AB0B10">
        <w:rPr>
          <w:rStyle w:val="Allmrkuseviide"/>
        </w:rPr>
        <w:footnoteRef/>
      </w:r>
      <w:r>
        <w:tab/>
      </w:r>
      <w:r w:rsidRPr="00BE1A5C">
        <w:t>Directive 2004/35/CE of the European Parliament and of the Council of 21 April 2004 on environmental liability with regard to the prevention and remedying of environmental damage</w:t>
      </w:r>
      <w:r>
        <w:t xml:space="preserve"> (</w:t>
      </w:r>
      <w:r w:rsidRPr="00BE1A5C">
        <w:t>OJ L 143, 30.4.2004, p. 56–75</w:t>
      </w:r>
      <w:r>
        <w:t>).</w:t>
      </w:r>
    </w:p>
  </w:footnote>
  <w:footnote w:id="32">
    <w:p w14:paraId="30AD53A9" w14:textId="77777777" w:rsidR="0061532C" w:rsidRPr="0054342D" w:rsidRDefault="0061532C" w:rsidP="0054342D">
      <w:pPr>
        <w:pStyle w:val="Allmrkusetekst"/>
      </w:pPr>
      <w:r w:rsidRPr="00AB0B10">
        <w:rPr>
          <w:rStyle w:val="Allmrkuseviide"/>
        </w:rPr>
        <w:footnoteRef/>
      </w:r>
      <w:r>
        <w:tab/>
        <w:t xml:space="preserve">The </w:t>
      </w:r>
      <w:r w:rsidRPr="0054342D">
        <w:t>“Fit for 55” Package</w:t>
      </w:r>
      <w:r>
        <w:t xml:space="preserve"> is a series</w:t>
      </w:r>
      <w:r w:rsidRPr="0054342D">
        <w:t xml:space="preserve"> of proposals </w:t>
      </w:r>
      <w:r>
        <w:t xml:space="preserve">adopted by </w:t>
      </w:r>
      <w:r w:rsidRPr="0054342D">
        <w:t xml:space="preserve">the Commission </w:t>
      </w:r>
      <w:r>
        <w:t xml:space="preserve">on </w:t>
      </w:r>
      <w:r w:rsidRPr="00D73098">
        <w:t xml:space="preserve">14 July 2021 </w:t>
      </w:r>
      <w:r>
        <w:t xml:space="preserve">aiming </w:t>
      </w:r>
      <w:r w:rsidRPr="0054342D">
        <w:t>to make the EU's climate, energy, land use, transport and taxation policies fit for reducing net greenhouse gas emissions by at least 55% by 2030, compared to 1990 levels.</w:t>
      </w:r>
    </w:p>
  </w:footnote>
  <w:footnote w:id="33">
    <w:p w14:paraId="046F439A" w14:textId="77777777" w:rsidR="0061532C" w:rsidRPr="007F5D1D" w:rsidRDefault="0061532C">
      <w:pPr>
        <w:pStyle w:val="Allmrkusetekst"/>
      </w:pPr>
      <w:r w:rsidRPr="00AB0B10">
        <w:rPr>
          <w:rStyle w:val="Allmrkuseviide"/>
        </w:rPr>
        <w:footnoteRef/>
      </w:r>
      <w:r>
        <w:tab/>
      </w:r>
      <w:r w:rsidRPr="007F5D1D">
        <w:t xml:space="preserve">Proposal for a </w:t>
      </w:r>
      <w:r>
        <w:t>Directive</w:t>
      </w:r>
      <w:r w:rsidRPr="007F5D1D">
        <w:t xml:space="preserve"> </w:t>
      </w:r>
      <w:r w:rsidRPr="00B56151">
        <w:t>of the European Parliament and of the Council</w:t>
      </w:r>
      <w:r>
        <w:t xml:space="preserve"> </w:t>
      </w:r>
      <w:r w:rsidRPr="007F5D1D">
        <w:t>amending Directive 2003/87/EC establishing a system for greenhouse gas emission allowance trading within the Union, Decision (EU) 2015/1814 concerning the establishment and operation of a market stability reserve for the Union greenhouse gas emission trading scheme and Regulation (EU) 2015/757</w:t>
      </w:r>
      <w:r>
        <w:t xml:space="preserve"> (</w:t>
      </w:r>
      <w:r w:rsidRPr="007F5D1D">
        <w:t>COM/2021/551 final</w:t>
      </w:r>
      <w:r>
        <w:t>).</w:t>
      </w:r>
    </w:p>
  </w:footnote>
  <w:footnote w:id="34">
    <w:p w14:paraId="3B81302E" w14:textId="77777777" w:rsidR="0061532C" w:rsidRPr="00B56151" w:rsidRDefault="0061532C" w:rsidP="00B56151">
      <w:pPr>
        <w:pStyle w:val="Allmrkusetekst"/>
      </w:pPr>
      <w:r w:rsidRPr="00AB0B10">
        <w:rPr>
          <w:rStyle w:val="Allmrkuseviide"/>
        </w:rPr>
        <w:footnoteRef/>
      </w:r>
      <w:r>
        <w:tab/>
        <w:t xml:space="preserve">Proposal for a Regulation </w:t>
      </w:r>
      <w:r w:rsidRPr="00B56151">
        <w:t>of the European Parliament and of the Council</w:t>
      </w:r>
      <w:r>
        <w:t xml:space="preserve"> establishing a carbon border adjustment mechanism (</w:t>
      </w:r>
      <w:r w:rsidRPr="00B56151">
        <w:t>COM(2021) 564 final</w:t>
      </w:r>
      <w:r>
        <w:t>).</w:t>
      </w:r>
    </w:p>
  </w:footnote>
  <w:footnote w:id="35">
    <w:p w14:paraId="66222841" w14:textId="77777777" w:rsidR="0061532C" w:rsidRPr="00751BF0" w:rsidRDefault="0061532C" w:rsidP="001859C1">
      <w:pPr>
        <w:pStyle w:val="Allmrkusetekst"/>
      </w:pPr>
      <w:r w:rsidRPr="00AB0B10">
        <w:rPr>
          <w:rStyle w:val="Allmrkuseviide"/>
        </w:rPr>
        <w:footnoteRef/>
      </w:r>
      <w:r>
        <w:tab/>
        <w:t xml:space="preserve">“Carbon leakage” resulting from the increased EU climate ambition could lead to increase total global emissions. The CBAM carbon adjustment price </w:t>
      </w:r>
      <w:r w:rsidRPr="004C4D82">
        <w:t xml:space="preserve">on </w:t>
      </w:r>
      <w:r>
        <w:t xml:space="preserve">selected types of </w:t>
      </w:r>
      <w:r w:rsidRPr="004C4D82">
        <w:t>imported products</w:t>
      </w:r>
      <w:r>
        <w:t xml:space="preserve"> in the iron steel, aluminium, cement, electricity, fertilizers sectors would level</w:t>
      </w:r>
      <w:r w:rsidRPr="004C4D82">
        <w:t xml:space="preserve"> the playing field between EU and </w:t>
      </w:r>
      <w:r>
        <w:t xml:space="preserve">imported </w:t>
      </w:r>
      <w:r w:rsidRPr="004C4D82">
        <w:t>products</w:t>
      </w:r>
      <w:r>
        <w:t xml:space="preserve">. </w:t>
      </w:r>
    </w:p>
  </w:footnote>
  <w:footnote w:id="36">
    <w:p w14:paraId="476F33C2" w14:textId="77777777" w:rsidR="0061532C" w:rsidRPr="00411F93" w:rsidRDefault="0061532C" w:rsidP="001859C1">
      <w:pPr>
        <w:pStyle w:val="Allmrkusetekst"/>
      </w:pPr>
      <w:r w:rsidRPr="00AB0B10">
        <w:rPr>
          <w:rStyle w:val="Allmrkuseviide"/>
        </w:rPr>
        <w:footnoteRef/>
      </w:r>
      <w:r>
        <w:tab/>
        <w:t>U</w:t>
      </w:r>
      <w:r w:rsidRPr="00DC6F84">
        <w:t xml:space="preserve">nder EU law, </w:t>
      </w:r>
      <w:r>
        <w:t>e</w:t>
      </w:r>
      <w:r w:rsidRPr="00DC6F84">
        <w:t>very EU worker has certain minimum rights relating to protection against discrimination based on sex, race, religion, age, disability and sexual orientation, labour law (part-time work, fixed-term contracts, working hours, informing and consulting employees)</w:t>
      </w:r>
      <w:r>
        <w:t>. A</w:t>
      </w:r>
      <w:r w:rsidRPr="005F61A0">
        <w:t xml:space="preserve"> summary</w:t>
      </w:r>
      <w:r>
        <w:t xml:space="preserve"> is available at </w:t>
      </w:r>
      <w:hyperlink r:id="rId13" w:history="1">
        <w:r w:rsidRPr="00437C26">
          <w:rPr>
            <w:rStyle w:val="Hperlink"/>
          </w:rPr>
          <w:t>https://eur-lex.europa.eu/summary/chapter/employment_and_social_policy.html?root_default=SUM_1_CODED%3D17&amp;locale=en</w:t>
        </w:r>
      </w:hyperlink>
      <w:r w:rsidRPr="00457530" w:rsidDel="005C7981">
        <w:t>.</w:t>
      </w:r>
    </w:p>
  </w:footnote>
  <w:footnote w:id="37">
    <w:p w14:paraId="102173C5" w14:textId="77777777" w:rsidR="0061532C" w:rsidRPr="00C83EF7" w:rsidRDefault="0061532C">
      <w:pPr>
        <w:pStyle w:val="Allmrkusetekst"/>
      </w:pPr>
      <w:r w:rsidRPr="00AB0B10">
        <w:rPr>
          <w:rStyle w:val="Allmrkuseviide"/>
        </w:rPr>
        <w:footnoteRef/>
      </w:r>
      <w:r>
        <w:tab/>
      </w:r>
      <w:r w:rsidRPr="00701B70">
        <w:t>Joint Communication to the European Parliament and the Council on the EU Action Plan on Human Rights and Democracy 2020-2024</w:t>
      </w:r>
      <w:r>
        <w:t xml:space="preserve"> </w:t>
      </w:r>
      <w:r w:rsidRPr="00701B70">
        <w:t>(JOIN/2020/5 fina</w:t>
      </w:r>
      <w:r>
        <w:t>l).</w:t>
      </w:r>
    </w:p>
  </w:footnote>
  <w:footnote w:id="38">
    <w:p w14:paraId="6E62FB52" w14:textId="77777777" w:rsidR="0061532C" w:rsidRPr="003248AF" w:rsidRDefault="0061532C">
      <w:pPr>
        <w:pStyle w:val="Allmrkusetekst"/>
      </w:pPr>
      <w:r w:rsidRPr="00AB0B10">
        <w:rPr>
          <w:rStyle w:val="Allmrkuseviide"/>
        </w:rPr>
        <w:footnoteRef/>
      </w:r>
      <w:r>
        <w:tab/>
      </w:r>
      <w:r w:rsidRPr="003248AF">
        <w:t>Communication from the Commission on the EU strategy on the rights of the child (COM/2021/142 final).</w:t>
      </w:r>
    </w:p>
  </w:footnote>
  <w:footnote w:id="39">
    <w:p w14:paraId="66505FD0" w14:textId="77777777" w:rsidR="0061532C" w:rsidRPr="003248AF" w:rsidRDefault="0061532C" w:rsidP="003248AF">
      <w:pPr>
        <w:pStyle w:val="Allmrkusetekst"/>
        <w:jc w:val="left"/>
      </w:pPr>
      <w:r w:rsidRPr="00AB0B10">
        <w:rPr>
          <w:rStyle w:val="Allmrkuseviide"/>
        </w:rPr>
        <w:footnoteRef/>
      </w:r>
      <w:r>
        <w:tab/>
      </w:r>
      <w:r w:rsidRPr="003248AF">
        <w:t>Communication from the Commission on the EU Strategy on Combatting Trafficking in Human Beings 2021- 2025 (COM(2021) 171 final).</w:t>
      </w:r>
    </w:p>
  </w:footnote>
  <w:footnote w:id="40">
    <w:p w14:paraId="1B94EAEA" w14:textId="153C4EE0" w:rsidR="0061532C" w:rsidRPr="00180133" w:rsidRDefault="0061532C">
      <w:pPr>
        <w:pStyle w:val="Allmrkusetekst"/>
        <w:rPr>
          <w:lang w:val="en-IE"/>
        </w:rPr>
      </w:pPr>
      <w:r w:rsidRPr="00246E3B">
        <w:rPr>
          <w:rStyle w:val="Allmrkuseviide"/>
        </w:rPr>
        <w:footnoteRef/>
      </w:r>
      <w:r w:rsidR="00246E3B">
        <w:tab/>
      </w:r>
      <w:r>
        <w:t>(</w:t>
      </w:r>
      <w:r w:rsidRPr="003A35AA">
        <w:rPr>
          <w:lang w:val="en-IE"/>
        </w:rPr>
        <w:t>COM(2022)66</w:t>
      </w:r>
      <w:r>
        <w:rPr>
          <w:lang w:val="en-IE"/>
        </w:rPr>
        <w:t xml:space="preserve"> final).</w:t>
      </w:r>
    </w:p>
  </w:footnote>
  <w:footnote w:id="41">
    <w:p w14:paraId="3478A57A" w14:textId="77777777" w:rsidR="0061532C" w:rsidRPr="009B007D" w:rsidRDefault="0061532C" w:rsidP="00111230">
      <w:pPr>
        <w:pStyle w:val="Allmrkusetekst"/>
      </w:pPr>
      <w:r w:rsidRPr="00AB0B10">
        <w:rPr>
          <w:rStyle w:val="Allmrkuseviide"/>
        </w:rPr>
        <w:footnoteRef/>
      </w:r>
      <w:r>
        <w:tab/>
      </w:r>
      <w:r w:rsidRPr="009B007D">
        <w:t>E.g. Pillar 10 of European Pillar of Social Rights on healthy, safe and well-adapted work environment and Art</w:t>
      </w:r>
      <w:r>
        <w:t>icle </w:t>
      </w:r>
      <w:r w:rsidRPr="009B007D">
        <w:t xml:space="preserve">7(b) International Covenant on Economic, Social and Cultural Rights (see annex of this </w:t>
      </w:r>
      <w:r>
        <w:t>Directive</w:t>
      </w:r>
      <w:r w:rsidRPr="009B007D">
        <w:t>) on just and favourable conditions at work including safe and healthy working conditions.</w:t>
      </w:r>
    </w:p>
  </w:footnote>
  <w:footnote w:id="42">
    <w:p w14:paraId="1370F6EA" w14:textId="77777777" w:rsidR="0061532C" w:rsidRPr="00FD0CD4" w:rsidRDefault="0061532C" w:rsidP="00A72440">
      <w:pPr>
        <w:pStyle w:val="Allmrkusetekst"/>
      </w:pPr>
      <w:r w:rsidRPr="00AB0B10">
        <w:rPr>
          <w:rStyle w:val="Allmrkuseviide"/>
        </w:rPr>
        <w:footnoteRef/>
      </w:r>
      <w:r>
        <w:tab/>
        <w:t>It is recalled that as regards corporate governance measures, the EU has already legislated based on the same legal basis, e.g. Shareholders Rights Directives I and II.</w:t>
      </w:r>
    </w:p>
  </w:footnote>
  <w:footnote w:id="43">
    <w:p w14:paraId="6FBD2E52" w14:textId="77777777" w:rsidR="0061532C" w:rsidRDefault="0061532C" w:rsidP="00A72440">
      <w:pPr>
        <w:pStyle w:val="Allmrkusetekst"/>
      </w:pPr>
      <w:r w:rsidRPr="00AB0B10">
        <w:rPr>
          <w:rStyle w:val="Allmrkuseviide"/>
        </w:rPr>
        <w:footnoteRef/>
      </w:r>
      <w:r>
        <w:tab/>
        <w:t xml:space="preserve">See e.g. </w:t>
      </w:r>
      <w:r w:rsidRPr="005A7480">
        <w:t xml:space="preserve">Case C 380/03 Germany v Parliament and Council </w:t>
      </w:r>
      <w:r>
        <w:t>[2006] ECR I-11573, paragraph 38</w:t>
      </w:r>
      <w:r w:rsidRPr="005A7480">
        <w:t xml:space="preserve"> and the case-law cited</w:t>
      </w:r>
      <w:r>
        <w:t>.</w:t>
      </w:r>
    </w:p>
  </w:footnote>
  <w:footnote w:id="44">
    <w:p w14:paraId="47A6EC49" w14:textId="77777777" w:rsidR="0061532C" w:rsidRDefault="0061532C" w:rsidP="00A72440">
      <w:pPr>
        <w:pStyle w:val="Allmrkusetekst"/>
      </w:pPr>
      <w:r w:rsidRPr="00AB0B10">
        <w:rPr>
          <w:rStyle w:val="Allmrkuseviide"/>
        </w:rPr>
        <w:footnoteRef/>
      </w:r>
      <w:r>
        <w:tab/>
        <w:t xml:space="preserve">See footnote </w:t>
      </w:r>
      <w:r>
        <w:fldChar w:fldCharType="begin"/>
      </w:r>
      <w:r>
        <w:instrText xml:space="preserve"> NOTEREF _Ref96003663 \h </w:instrText>
      </w:r>
      <w:r>
        <w:fldChar w:fldCharType="separate"/>
      </w:r>
      <w:r>
        <w:t>3</w:t>
      </w:r>
      <w:r>
        <w:fldChar w:fldCharType="end"/>
      </w:r>
      <w:r>
        <w:t>. As regards EEA countries, Norway has adopted due diligence legislation.</w:t>
      </w:r>
    </w:p>
  </w:footnote>
  <w:footnote w:id="45">
    <w:p w14:paraId="69C386F5" w14:textId="77777777" w:rsidR="0061532C" w:rsidRPr="00205ABE" w:rsidRDefault="0061532C" w:rsidP="00A72440">
      <w:pPr>
        <w:pStyle w:val="Allmrkusetekst"/>
      </w:pPr>
      <w:r w:rsidRPr="00AB0B10">
        <w:rPr>
          <w:rStyle w:val="Allmrkuseviide"/>
        </w:rPr>
        <w:footnoteRef/>
      </w:r>
      <w:r>
        <w:tab/>
        <w:t>Austria, Belgium, Denmark, Finland, Italy, Luxembourg, the Netherlands (regarding broader legislation on responsible business conduct). There are civil society campaigns in favour of introducing due diligence legislation ongoing in Ireland, Spain and Sweden. Annex 8 of the Impact Assessment accompanying this proposal provides a detailed overview on Member State/EEA laws and initiatives.</w:t>
      </w:r>
    </w:p>
  </w:footnote>
  <w:footnote w:id="46">
    <w:p w14:paraId="0D1D4810" w14:textId="77777777" w:rsidR="0061532C" w:rsidRPr="00711CE5" w:rsidRDefault="0061532C" w:rsidP="00A72440">
      <w:pPr>
        <w:pStyle w:val="Allmrkusetekst"/>
        <w:rPr>
          <w:lang w:val="en-IE"/>
        </w:rPr>
      </w:pPr>
      <w:r w:rsidRPr="00AB0B10">
        <w:rPr>
          <w:rStyle w:val="Allmrkuseviide"/>
        </w:rPr>
        <w:footnoteRef/>
      </w:r>
      <w:r>
        <w:tab/>
      </w:r>
      <w:r w:rsidRPr="00711CE5">
        <w:rPr>
          <w:lang w:val="en-IE"/>
        </w:rPr>
        <w:t xml:space="preserve">French </w:t>
      </w:r>
      <w:r w:rsidRPr="00450E31">
        <w:rPr>
          <w:i/>
          <w:lang w:val="en-IE"/>
        </w:rPr>
        <w:t>Loi Pacte</w:t>
      </w:r>
      <w:r>
        <w:rPr>
          <w:lang w:val="en-IE"/>
        </w:rPr>
        <w:t>.</w:t>
      </w:r>
    </w:p>
  </w:footnote>
  <w:footnote w:id="47">
    <w:p w14:paraId="3762463C" w14:textId="77777777" w:rsidR="0061532C" w:rsidRPr="00711CE5" w:rsidRDefault="0061532C" w:rsidP="00A72440">
      <w:pPr>
        <w:pStyle w:val="Allmrkusetekst"/>
        <w:rPr>
          <w:lang w:val="en-IE"/>
        </w:rPr>
      </w:pPr>
      <w:r w:rsidRPr="00AB0B10">
        <w:rPr>
          <w:rStyle w:val="Allmrkuseviide"/>
        </w:rPr>
        <w:footnoteRef/>
      </w:r>
      <w:r>
        <w:tab/>
        <w:t xml:space="preserve">For example the </w:t>
      </w:r>
      <w:r w:rsidRPr="00711CE5">
        <w:rPr>
          <w:lang w:val="en-IE"/>
        </w:rPr>
        <w:t>Netherlands</w:t>
      </w:r>
      <w:r>
        <w:rPr>
          <w:lang w:val="en-IE"/>
        </w:rPr>
        <w:t>.</w:t>
      </w:r>
    </w:p>
  </w:footnote>
  <w:footnote w:id="48">
    <w:p w14:paraId="502D3D05" w14:textId="77777777" w:rsidR="0061532C" w:rsidRPr="00021ADA" w:rsidRDefault="0061532C" w:rsidP="00A72440">
      <w:pPr>
        <w:pStyle w:val="Allmrkusetekst"/>
      </w:pPr>
      <w:r w:rsidRPr="00AB0B10">
        <w:rPr>
          <w:rStyle w:val="Allmrkuseviide"/>
        </w:rPr>
        <w:footnoteRef/>
      </w:r>
      <w:r>
        <w:tab/>
      </w:r>
      <w:r w:rsidRPr="00274737">
        <w:t xml:space="preserve">See the </w:t>
      </w:r>
      <w:r w:rsidRPr="00021ADA">
        <w:t xml:space="preserve">German </w:t>
      </w:r>
      <w:r w:rsidRPr="00274737">
        <w:rPr>
          <w:i/>
        </w:rPr>
        <w:t>Sorgfaltspflichtengesetz</w:t>
      </w:r>
      <w:r w:rsidRPr="00021ADA">
        <w:t xml:space="preserve">). </w:t>
      </w:r>
    </w:p>
  </w:footnote>
  <w:footnote w:id="49">
    <w:p w14:paraId="728ABEC2" w14:textId="77777777" w:rsidR="0061532C" w:rsidRDefault="0061532C" w:rsidP="00A72440">
      <w:pPr>
        <w:pStyle w:val="Allmrkusetekst"/>
      </w:pPr>
      <w:r w:rsidRPr="00AB0B10">
        <w:rPr>
          <w:rStyle w:val="Allmrkuseviide"/>
        </w:rPr>
        <w:footnoteRef/>
      </w:r>
      <w:r>
        <w:tab/>
        <w:t xml:space="preserve">For instance, </w:t>
      </w:r>
      <w:r w:rsidRPr="008804AF">
        <w:t xml:space="preserve">the Dutch law </w:t>
      </w:r>
      <w:r>
        <w:t xml:space="preserve">referred to above </w:t>
      </w:r>
      <w:r w:rsidRPr="008804AF">
        <w:t>set</w:t>
      </w:r>
      <w:r>
        <w:t>s</w:t>
      </w:r>
      <w:r w:rsidRPr="008804AF">
        <w:t xml:space="preserve"> up horizontal mandatory due diligence for child labour concerns through the whole value chain. I</w:t>
      </w:r>
      <w:r>
        <w:t>n Aust</w:t>
      </w:r>
      <w:r w:rsidRPr="008804AF">
        <w:t>ria, a</w:t>
      </w:r>
      <w:r>
        <w:t xml:space="preserve"> </w:t>
      </w:r>
      <w:r w:rsidRPr="008804AF">
        <w:t>political party referred a draft bill on social responsibility regarding forced and child labour in the garment sector</w:t>
      </w:r>
      <w:r>
        <w:t>.</w:t>
      </w:r>
    </w:p>
  </w:footnote>
  <w:footnote w:id="50">
    <w:p w14:paraId="4FC4FF6D" w14:textId="77777777" w:rsidR="0061532C" w:rsidRDefault="0061532C" w:rsidP="00A72440">
      <w:pPr>
        <w:pStyle w:val="Allmrkusetekst"/>
      </w:pPr>
      <w:r w:rsidRPr="00AB0B10">
        <w:rPr>
          <w:rStyle w:val="Allmrkuseviide"/>
        </w:rPr>
        <w:footnoteRef/>
      </w:r>
      <w:r>
        <w:tab/>
        <w:t xml:space="preserve">The French </w:t>
      </w:r>
      <w:r>
        <w:rPr>
          <w:i/>
        </w:rPr>
        <w:t>L</w:t>
      </w:r>
      <w:r w:rsidRPr="00464373">
        <w:rPr>
          <w:i/>
        </w:rPr>
        <w:t xml:space="preserve">oi </w:t>
      </w:r>
      <w:r w:rsidRPr="00464373">
        <w:rPr>
          <w:i/>
          <w:lang w:val="en-IE"/>
        </w:rPr>
        <w:t>relative au devoir de vigilance</w:t>
      </w:r>
      <w:r>
        <w:t xml:space="preserve"> and the German </w:t>
      </w:r>
      <w:r w:rsidRPr="00464373">
        <w:rPr>
          <w:i/>
        </w:rPr>
        <w:t>Sorgfaltspflichtengesetz</w:t>
      </w:r>
      <w:r>
        <w:t xml:space="preserve"> differ considerably in terms of personal scope material requirements and enforcement regime.</w:t>
      </w:r>
    </w:p>
  </w:footnote>
  <w:footnote w:id="51">
    <w:p w14:paraId="5387E89D" w14:textId="77777777" w:rsidR="0061532C" w:rsidRPr="00147A00" w:rsidRDefault="0061532C" w:rsidP="00A72440">
      <w:pPr>
        <w:pStyle w:val="Allmrkusetekst"/>
      </w:pPr>
      <w:r w:rsidRPr="00AB0B10">
        <w:rPr>
          <w:rStyle w:val="Allmrkuseviide"/>
        </w:rPr>
        <w:footnoteRef/>
      </w:r>
      <w:r>
        <w:tab/>
        <w:t xml:space="preserve">For instance, pursuant to the German </w:t>
      </w:r>
      <w:r w:rsidRPr="00A57A8C">
        <w:rPr>
          <w:i/>
        </w:rPr>
        <w:t>Sorgfaltspflichtengesetz</w:t>
      </w:r>
      <w:r>
        <w:t>, any company with a branch office and at least 3000 employees in Germany (1000 as from 2024) fall within the scope of the law.</w:t>
      </w:r>
    </w:p>
  </w:footnote>
  <w:footnote w:id="52">
    <w:p w14:paraId="1FF3BE15" w14:textId="30F86B88" w:rsidR="0061532C" w:rsidRDefault="0061532C" w:rsidP="00A72440">
      <w:pPr>
        <w:pStyle w:val="Allmrkusetekst"/>
      </w:pPr>
      <w:r w:rsidRPr="00AB0B10">
        <w:rPr>
          <w:rStyle w:val="Allmrkuseviide"/>
        </w:rPr>
        <w:footnoteRef/>
      </w:r>
      <w:r>
        <w:rPr>
          <w:lang w:val="fr-FR"/>
        </w:rPr>
        <w:tab/>
      </w:r>
      <w:r w:rsidRPr="00464373">
        <w:rPr>
          <w:lang w:val="fr-FR"/>
        </w:rPr>
        <w:t xml:space="preserve">The French </w:t>
      </w:r>
      <w:r>
        <w:rPr>
          <w:i/>
          <w:lang w:val="fr-FR"/>
        </w:rPr>
        <w:t>L</w:t>
      </w:r>
      <w:r w:rsidRPr="00464373">
        <w:rPr>
          <w:i/>
          <w:lang w:val="fr-FR"/>
        </w:rPr>
        <w:t>oi relative au devoir de vigilance</w:t>
      </w:r>
      <w:r w:rsidRPr="00464373">
        <w:rPr>
          <w:lang w:val="fr-FR"/>
        </w:rPr>
        <w:t xml:space="preserve"> </w:t>
      </w:r>
      <w:r w:rsidRPr="006F16AA">
        <w:rPr>
          <w:lang w:val="fr-BE"/>
        </w:rPr>
        <w:t>includes a provision on civil liability</w:t>
      </w:r>
      <w:r w:rsidRPr="00464373">
        <w:rPr>
          <w:lang w:val="fr-FR"/>
        </w:rPr>
        <w:t xml:space="preserve">. </w:t>
      </w:r>
      <w:r>
        <w:t>The</w:t>
      </w:r>
      <w:r w:rsidRPr="005A7480">
        <w:t xml:space="preserve"> German </w:t>
      </w:r>
      <w:r w:rsidRPr="00464373">
        <w:rPr>
          <w:i/>
        </w:rPr>
        <w:t>Sorgfaltspflichtengesetz</w:t>
      </w:r>
      <w:r>
        <w:t xml:space="preserve"> clarifies that a violation of an obligation under the law does not give rise to any civil liability while general liability rules remain unaffected. Moreover national civil liability legislations are not harmonized.</w:t>
      </w:r>
    </w:p>
  </w:footnote>
  <w:footnote w:id="53">
    <w:p w14:paraId="64CFE672" w14:textId="77777777" w:rsidR="0061532C" w:rsidRPr="00433759" w:rsidRDefault="0061532C">
      <w:pPr>
        <w:pStyle w:val="Allmrkusetekst"/>
      </w:pPr>
      <w:r w:rsidRPr="00AB0B10">
        <w:rPr>
          <w:rStyle w:val="Allmrkuseviide"/>
        </w:rPr>
        <w:footnoteRef/>
      </w:r>
      <w:r>
        <w:tab/>
      </w:r>
      <w:r w:rsidRPr="003C4326">
        <w:t>United Nations Framework Convention on Climate Change</w:t>
      </w:r>
    </w:p>
  </w:footnote>
  <w:footnote w:id="54">
    <w:p w14:paraId="16C893CF" w14:textId="77777777" w:rsidR="0061532C" w:rsidRPr="003118CC" w:rsidRDefault="0061532C" w:rsidP="001859C1">
      <w:pPr>
        <w:pStyle w:val="Allmrkusetekst"/>
        <w:rPr>
          <w:lang w:val="en-IE"/>
        </w:rPr>
      </w:pPr>
      <w:r w:rsidRPr="00AB0B10">
        <w:rPr>
          <w:rStyle w:val="Allmrkuseviide"/>
        </w:rPr>
        <w:footnoteRef/>
      </w:r>
      <w:r>
        <w:tab/>
      </w:r>
      <w:r w:rsidRPr="003118CC">
        <w:rPr>
          <w:lang w:val="en-IE"/>
        </w:rPr>
        <w:t xml:space="preserve">This number comes from the Impact Assessment of the Shareholders </w:t>
      </w:r>
      <w:r>
        <w:rPr>
          <w:lang w:val="en-IE"/>
        </w:rPr>
        <w:t>R</w:t>
      </w:r>
      <w:r w:rsidRPr="003118CC">
        <w:rPr>
          <w:lang w:val="en-IE"/>
        </w:rPr>
        <w:t xml:space="preserve">ights </w:t>
      </w:r>
      <w:r>
        <w:rPr>
          <w:lang w:val="en-IE"/>
        </w:rPr>
        <w:t>Directive</w:t>
      </w:r>
      <w:r w:rsidRPr="003118CC">
        <w:rPr>
          <w:lang w:val="en-IE"/>
        </w:rPr>
        <w:t xml:space="preserve"> II.</w:t>
      </w:r>
    </w:p>
  </w:footnote>
  <w:footnote w:id="55">
    <w:p w14:paraId="27DB315C" w14:textId="77777777" w:rsidR="0061532C" w:rsidRPr="003B774D" w:rsidRDefault="0061532C" w:rsidP="001859C1">
      <w:pPr>
        <w:pStyle w:val="Allmrkusetekst"/>
      </w:pPr>
      <w:r w:rsidRPr="00AB0B10">
        <w:rPr>
          <w:rStyle w:val="Allmrkuseviide"/>
        </w:rPr>
        <w:footnoteRef/>
      </w:r>
      <w:r>
        <w:tab/>
        <w:t xml:space="preserve">E.g. food producer Danone has recently been forced to cut costs by investors on grounds of lack of short-term profitability, see article </w:t>
      </w:r>
      <w:r w:rsidRPr="00444021">
        <w:rPr>
          <w:i/>
        </w:rPr>
        <w:t>Can Anglo-Saxon activist investors whip Danone into shape?</w:t>
      </w:r>
      <w:r>
        <w:t xml:space="preserve">, available at </w:t>
      </w:r>
      <w:hyperlink r:id="rId14" w:history="1">
        <w:r w:rsidRPr="00437C26">
          <w:rPr>
            <w:rStyle w:val="Hperlink"/>
          </w:rPr>
          <w:t>https://www.economist.com/business/2021/02/20/can-anglo-saxon-activist-investors-whip-danone-into-shape</w:t>
        </w:r>
      </w:hyperlink>
      <w:r>
        <w:t>.</w:t>
      </w:r>
      <w:r w:rsidDel="00D35424">
        <w:t xml:space="preserve"> </w:t>
      </w:r>
    </w:p>
  </w:footnote>
  <w:footnote w:id="56">
    <w:p w14:paraId="1F016300" w14:textId="77777777" w:rsidR="0061532C" w:rsidRPr="00D90BBB" w:rsidRDefault="0061532C" w:rsidP="001859C1">
      <w:pPr>
        <w:pStyle w:val="Allmrkusetekst"/>
      </w:pPr>
      <w:r w:rsidRPr="00AB0B10">
        <w:rPr>
          <w:rStyle w:val="Allmrkuseviide"/>
        </w:rPr>
        <w:footnoteRef/>
      </w:r>
      <w:r>
        <w:tab/>
      </w:r>
      <w:r w:rsidRPr="000315AD">
        <w:t xml:space="preserve">See footnote </w:t>
      </w:r>
      <w:r>
        <w:rPr>
          <w:lang w:val="de-DE"/>
        </w:rPr>
        <w:fldChar w:fldCharType="begin"/>
      </w:r>
      <w:r w:rsidRPr="00D90BBB">
        <w:instrText xml:space="preserve"> NOTEREF _Ref96003663 \h </w:instrText>
      </w:r>
      <w:r>
        <w:rPr>
          <w:lang w:val="de-DE"/>
        </w:rPr>
      </w:r>
      <w:r>
        <w:rPr>
          <w:lang w:val="de-DE"/>
        </w:rPr>
        <w:fldChar w:fldCharType="separate"/>
      </w:r>
      <w:r w:rsidRPr="000315AD">
        <w:t>3</w:t>
      </w:r>
      <w:r>
        <w:rPr>
          <w:lang w:val="de-DE"/>
        </w:rPr>
        <w:fldChar w:fldCharType="end"/>
      </w:r>
      <w:r w:rsidRPr="00D90BBB">
        <w:t>.</w:t>
      </w:r>
    </w:p>
  </w:footnote>
  <w:footnote w:id="57">
    <w:p w14:paraId="133FC2E8" w14:textId="77777777" w:rsidR="0061532C" w:rsidRPr="000315AD" w:rsidRDefault="0061532C" w:rsidP="001859C1">
      <w:pPr>
        <w:pStyle w:val="Allmrkusetekst"/>
      </w:pPr>
      <w:r w:rsidRPr="00AB0B10">
        <w:rPr>
          <w:rStyle w:val="Allmrkuseviide"/>
        </w:rPr>
        <w:footnoteRef/>
      </w:r>
      <w:r>
        <w:tab/>
      </w:r>
      <w:r w:rsidRPr="00FE613E">
        <w:t xml:space="preserve">See footnote </w:t>
      </w:r>
      <w:r>
        <w:rPr>
          <w:lang w:val="de-DE"/>
        </w:rPr>
        <w:fldChar w:fldCharType="begin"/>
      </w:r>
      <w:r w:rsidRPr="00D90BBB">
        <w:instrText xml:space="preserve"> NOTEREF _Ref96009997 \h </w:instrText>
      </w:r>
      <w:r>
        <w:rPr>
          <w:lang w:val="de-DE"/>
        </w:rPr>
      </w:r>
      <w:r>
        <w:rPr>
          <w:lang w:val="de-DE"/>
        </w:rPr>
        <w:fldChar w:fldCharType="separate"/>
      </w:r>
      <w:r w:rsidRPr="000315AD">
        <w:t>48</w:t>
      </w:r>
      <w:r>
        <w:rPr>
          <w:lang w:val="de-DE"/>
        </w:rPr>
        <w:fldChar w:fldCharType="end"/>
      </w:r>
      <w:r w:rsidRPr="00D90BBB">
        <w:t>.</w:t>
      </w:r>
      <w:r w:rsidRPr="000315AD">
        <w:t xml:space="preserve"> </w:t>
      </w:r>
    </w:p>
  </w:footnote>
  <w:footnote w:id="58">
    <w:p w14:paraId="1024F1D6" w14:textId="77777777" w:rsidR="0061532C" w:rsidRPr="003118CC" w:rsidRDefault="0061532C" w:rsidP="001859C1">
      <w:pPr>
        <w:pStyle w:val="Allmrkusetekst"/>
      </w:pPr>
      <w:r w:rsidRPr="00AB0B10">
        <w:rPr>
          <w:rStyle w:val="Allmrkuseviide"/>
        </w:rPr>
        <w:footnoteRef/>
      </w:r>
      <w:r>
        <w:tab/>
      </w:r>
      <w:r w:rsidRPr="003118CC">
        <w:t xml:space="preserve">In 2014, the UN Human Rights Council </w:t>
      </w:r>
      <w:hyperlink r:id="rId15" w:history="1">
        <w:r w:rsidRPr="00B960E5">
          <w:t>decided</w:t>
        </w:r>
      </w:hyperlink>
      <w:r w:rsidRPr="003118CC">
        <w:t xml:space="preserve"> to establish an open-ended intergovernmental working group (OEIGWG) on transnational corporations and other business enterprises with respect to human rights, whose mandate shall be to elaborate an international legally binding instrument (LBI) to regulate, in international human rights law, the activities of transnational corporations and other business enterprises. In 2021, the OEIGWG released </w:t>
      </w:r>
      <w:hyperlink r:id="rId16" w:history="1">
        <w:r w:rsidRPr="003118CC">
          <w:t>a third revised draft LBI on business activities and human rights</w:t>
        </w:r>
      </w:hyperlink>
      <w:r w:rsidRPr="003118CC">
        <w:t>, including due diligence measures and corporate liability for human rights abuses.</w:t>
      </w:r>
    </w:p>
  </w:footnote>
  <w:footnote w:id="59">
    <w:p w14:paraId="745E5104" w14:textId="77777777" w:rsidR="0061532C" w:rsidRPr="00C6772E" w:rsidRDefault="0061532C">
      <w:pPr>
        <w:pStyle w:val="Allmrkusetekst"/>
      </w:pPr>
      <w:r w:rsidRPr="00AB0B10">
        <w:rPr>
          <w:rStyle w:val="Allmrkuseviide"/>
        </w:rPr>
        <w:footnoteRef/>
      </w:r>
      <w:r>
        <w:tab/>
        <w:t>Large limited liability companies with more than 500 employees and a net turnover of more than EUR 150 million.</w:t>
      </w:r>
    </w:p>
  </w:footnote>
  <w:footnote w:id="60">
    <w:p w14:paraId="61570215" w14:textId="77777777" w:rsidR="0061532C" w:rsidRDefault="0061532C" w:rsidP="001859C1">
      <w:pPr>
        <w:pStyle w:val="Allmrkusetekst"/>
      </w:pPr>
      <w:r w:rsidRPr="00AB0B10">
        <w:rPr>
          <w:rStyle w:val="Allmrkuseviide"/>
        </w:rPr>
        <w:footnoteRef/>
      </w:r>
      <w:r>
        <w:tab/>
        <w:t>L</w:t>
      </w:r>
      <w:r w:rsidRPr="00C74B7E">
        <w:t xml:space="preserve">arge </w:t>
      </w:r>
      <w:r>
        <w:t xml:space="preserve">limited liability </w:t>
      </w:r>
      <w:r w:rsidRPr="00C74B7E">
        <w:t xml:space="preserve">companies </w:t>
      </w:r>
      <w:r>
        <w:t xml:space="preserve">with more than </w:t>
      </w:r>
      <w:r w:rsidRPr="00C74B7E">
        <w:t xml:space="preserve">250 employees </w:t>
      </w:r>
      <w:r>
        <w:t xml:space="preserve">and a net turnover of more than EUR 40 million but not simultaneously exceeding both the 500 employee and the net turnover EUR 150 million net turnover thresholds, as well as third-country companies </w:t>
      </w:r>
      <w:r w:rsidRPr="00DD1A72">
        <w:t>of a comparable legal form</w:t>
      </w:r>
      <w:r>
        <w:t xml:space="preserve"> with</w:t>
      </w:r>
      <w:r w:rsidRPr="002C0ED7">
        <w:t xml:space="preserve"> </w:t>
      </w:r>
      <w:r>
        <w:t>a net EU turnover of EUR 40 to 150 million.</w:t>
      </w:r>
    </w:p>
  </w:footnote>
  <w:footnote w:id="61">
    <w:p w14:paraId="61F7D4BD" w14:textId="77777777" w:rsidR="0061532C" w:rsidRPr="00914811" w:rsidRDefault="0061532C" w:rsidP="001859C1">
      <w:pPr>
        <w:pStyle w:val="Allmrkusetekst"/>
      </w:pPr>
      <w:r w:rsidRPr="00AB0B10">
        <w:rPr>
          <w:rStyle w:val="Allmrkuseviide"/>
        </w:rPr>
        <w:footnoteRef/>
      </w:r>
      <w:r>
        <w:tab/>
        <w:t>T</w:t>
      </w:r>
      <w:r w:rsidRPr="00935902">
        <w:t xml:space="preserve">he OECD developed </w:t>
      </w:r>
      <w:r>
        <w:t xml:space="preserve">such </w:t>
      </w:r>
      <w:r w:rsidRPr="00935902">
        <w:t xml:space="preserve">sectoral guidance </w:t>
      </w:r>
      <w:r>
        <w:t>i</w:t>
      </w:r>
      <w:r w:rsidRPr="00935902">
        <w:t>n order to promote the effective observance of OECD Guidelines on Multinational Enterprises</w:t>
      </w:r>
      <w:r>
        <w:t xml:space="preserve">. See the list of sectoral guidance documents at: </w:t>
      </w:r>
      <w:r w:rsidRPr="00935902">
        <w:t>http://mneguidelines.oecd.org/sectors/</w:t>
      </w:r>
      <w:r>
        <w:t>.</w:t>
      </w:r>
    </w:p>
  </w:footnote>
  <w:footnote w:id="62">
    <w:p w14:paraId="7BA95330" w14:textId="77777777" w:rsidR="0061532C" w:rsidRPr="00D07262" w:rsidRDefault="0061532C">
      <w:pPr>
        <w:pStyle w:val="Allmrkusetekst"/>
        <w:rPr>
          <w:lang w:val="en-IE"/>
        </w:rPr>
      </w:pPr>
      <w:r w:rsidRPr="002C2AA5">
        <w:rPr>
          <w:rStyle w:val="Allmrkuseviide"/>
        </w:rPr>
        <w:footnoteRef/>
      </w:r>
      <w:r>
        <w:tab/>
      </w:r>
      <w:r>
        <w:rPr>
          <w:lang w:val="en-IE"/>
        </w:rPr>
        <w:t>For the Union s</w:t>
      </w:r>
      <w:r w:rsidRPr="00D07262">
        <w:rPr>
          <w:lang w:val="en-IE"/>
        </w:rPr>
        <w:t xml:space="preserve">ee for example </w:t>
      </w:r>
      <w:r>
        <w:rPr>
          <w:lang w:val="en-IE"/>
        </w:rPr>
        <w:t>Article 5 of the Commission Recommendation of 6 May 2003 concerning the definition of micro, small and medium-sized companies (2003/361/EC) (OJ L 124, 20.5.2003, p. 36).</w:t>
      </w:r>
    </w:p>
  </w:footnote>
  <w:footnote w:id="63">
    <w:p w14:paraId="29E9544C" w14:textId="77777777" w:rsidR="0061532C" w:rsidRPr="00A34BB6" w:rsidRDefault="0061532C">
      <w:pPr>
        <w:pStyle w:val="Allmrkusetekst"/>
      </w:pPr>
      <w:r w:rsidRPr="00AB0B10">
        <w:rPr>
          <w:rStyle w:val="Allmrkuseviide"/>
        </w:rPr>
        <w:footnoteRef/>
      </w:r>
      <w:r>
        <w:tab/>
        <w:t>In group 1: 9 400 companies, in group 2: 3 400 companies.</w:t>
      </w:r>
    </w:p>
  </w:footnote>
  <w:footnote w:id="64">
    <w:p w14:paraId="7753A4D3" w14:textId="77777777" w:rsidR="0061532C" w:rsidRPr="00A3434D" w:rsidRDefault="0061532C" w:rsidP="00021ADA">
      <w:pPr>
        <w:pStyle w:val="Allmrkusetekst"/>
        <w:ind w:hanging="719"/>
        <w:rPr>
          <w:lang w:val="en-IE"/>
        </w:rPr>
      </w:pPr>
      <w:r w:rsidRPr="00AB0B10">
        <w:rPr>
          <w:rStyle w:val="Allmrkuseviide"/>
        </w:rPr>
        <w:footnoteRef/>
      </w:r>
      <w:r>
        <w:tab/>
      </w:r>
      <w:r w:rsidRPr="00A3434D">
        <w:rPr>
          <w:lang w:val="en-IE"/>
        </w:rPr>
        <w:t>In group 1: 2</w:t>
      </w:r>
      <w:r>
        <w:rPr>
          <w:lang w:val="en-IE"/>
        </w:rPr>
        <w:t> </w:t>
      </w:r>
      <w:r w:rsidRPr="00A3434D">
        <w:rPr>
          <w:lang w:val="en-IE"/>
        </w:rPr>
        <w:t>600 companies, in group 2: 1</w:t>
      </w:r>
      <w:r>
        <w:rPr>
          <w:lang w:val="en-IE"/>
        </w:rPr>
        <w:t> </w:t>
      </w:r>
      <w:r w:rsidRPr="00A3434D">
        <w:rPr>
          <w:lang w:val="en-IE"/>
        </w:rPr>
        <w:t>400 companies.</w:t>
      </w:r>
      <w:r>
        <w:rPr>
          <w:lang w:val="en-IE"/>
        </w:rPr>
        <w:t xml:space="preserve"> The methodology used for calculating the number of third-country companies is explained in the accompanying Staff Working Document.</w:t>
      </w:r>
    </w:p>
  </w:footnote>
  <w:footnote w:id="65">
    <w:p w14:paraId="5EE71BDA" w14:textId="77777777" w:rsidR="0061532C" w:rsidRPr="00E9486D" w:rsidRDefault="0061532C" w:rsidP="001859C1">
      <w:pPr>
        <w:pStyle w:val="Allmrkusetekst"/>
      </w:pPr>
      <w:r w:rsidRPr="00AB0B10">
        <w:rPr>
          <w:rStyle w:val="Allmrkuseviide"/>
        </w:rPr>
        <w:footnoteRef/>
      </w:r>
      <w:r>
        <w:tab/>
      </w:r>
      <w:r w:rsidRPr="00021ADA">
        <w:t>Summary of the open public consultation</w:t>
      </w:r>
      <w:r>
        <w:t xml:space="preserve"> for the initiative on sustainable corporate governance, available at</w:t>
      </w:r>
      <w:r w:rsidRPr="00943EBF">
        <w:t xml:space="preserve"> </w:t>
      </w:r>
      <w:hyperlink r:id="rId17" w:history="1">
        <w:r w:rsidRPr="00437C26">
          <w:rPr>
            <w:rStyle w:val="Hperlink"/>
          </w:rPr>
          <w:t>https://ec.europa.eu/info/law/better-regulation/have-your-say/initiatives/12548-Sustainable-corporate-governance/public-consultation_en</w:t>
        </w:r>
      </w:hyperlink>
      <w:r>
        <w:t>.</w:t>
      </w:r>
    </w:p>
  </w:footnote>
  <w:footnote w:id="66">
    <w:p w14:paraId="632454EF" w14:textId="77777777" w:rsidR="0061532C" w:rsidRPr="00E9486D" w:rsidRDefault="0061532C" w:rsidP="001859C1">
      <w:pPr>
        <w:pStyle w:val="Allmrkusetekst"/>
      </w:pPr>
      <w:r w:rsidRPr="00AB0B10">
        <w:rPr>
          <w:rStyle w:val="Allmrkuseviide"/>
        </w:rPr>
        <w:footnoteRef/>
      </w:r>
      <w:r>
        <w:tab/>
        <w:t xml:space="preserve">For instance, in response to the open public consultation, </w:t>
      </w:r>
      <w:r w:rsidRPr="001B0C52">
        <w:t>NGOs supported the need for action with 95.9%,</w:t>
      </w:r>
      <w:r>
        <w:t xml:space="preserve"> </w:t>
      </w:r>
      <w:r w:rsidRPr="001B0C52">
        <w:t xml:space="preserve">companies with 68.4% </w:t>
      </w:r>
      <w:r>
        <w:t xml:space="preserve">(large companies with 75.5%, SMEs with 58.7 %) </w:t>
      </w:r>
      <w:r w:rsidRPr="001B0C52">
        <w:t>and business associations with 59.6 %.</w:t>
      </w:r>
    </w:p>
  </w:footnote>
  <w:footnote w:id="67">
    <w:p w14:paraId="03DB2D65" w14:textId="77777777" w:rsidR="0061532C" w:rsidRPr="00877B52" w:rsidRDefault="0061532C" w:rsidP="001859C1">
      <w:pPr>
        <w:pStyle w:val="Allmrkusetekst"/>
      </w:pPr>
      <w:r w:rsidRPr="00AB0B10">
        <w:rPr>
          <w:rStyle w:val="Allmrkuseviide"/>
        </w:rPr>
        <w:footnoteRef/>
      </w:r>
      <w:r>
        <w:tab/>
      </w:r>
      <w:r w:rsidRPr="00794C17">
        <w:t xml:space="preserve">While 97.2% of NGOs preferred a horizontal approach, overall companies did so with 86.8%, including SMEs (81.8%), as well as business association (85.3%). This is true also for Member States respondents. </w:t>
      </w:r>
      <w:r>
        <w:t xml:space="preserve"> </w:t>
      </w:r>
    </w:p>
  </w:footnote>
  <w:footnote w:id="68">
    <w:p w14:paraId="0A6923A2" w14:textId="77777777" w:rsidR="0061532C" w:rsidRPr="000C58F1" w:rsidRDefault="0061532C" w:rsidP="001859C1">
      <w:pPr>
        <w:pStyle w:val="Allmrkusetekst"/>
      </w:pPr>
      <w:r w:rsidRPr="00AB0B10">
        <w:rPr>
          <w:rStyle w:val="Allmrkuseviide"/>
        </w:rPr>
        <w:footnoteRef/>
      </w:r>
      <w:r>
        <w:tab/>
        <w:t>97 % of respondents agreed to this statement (</w:t>
      </w:r>
      <w:r w:rsidRPr="000C58F1">
        <w:t>NGOs 96</w:t>
      </w:r>
      <w:r>
        <w:t>.</w:t>
      </w:r>
      <w:r w:rsidRPr="000C58F1">
        <w:t xml:space="preserve">1%, business associations 96.5%, companies 93.8%, including </w:t>
      </w:r>
      <w:r>
        <w:t xml:space="preserve">SMEs </w:t>
      </w:r>
      <w:r w:rsidRPr="000C58F1">
        <w:t>86.4%). All Member State respondents agree with this statement as well.</w:t>
      </w:r>
    </w:p>
  </w:footnote>
  <w:footnote w:id="69">
    <w:p w14:paraId="7E88AA35" w14:textId="77777777" w:rsidR="0061532C" w:rsidRDefault="0061532C" w:rsidP="001859C1">
      <w:pPr>
        <w:pStyle w:val="Allmrkusetekst"/>
      </w:pPr>
      <w:r w:rsidRPr="00AB0B10">
        <w:rPr>
          <w:rStyle w:val="Allmrkuseviide"/>
        </w:rPr>
        <w:footnoteRef/>
      </w:r>
      <w:r>
        <w:tab/>
        <w:t>It was followed by the option of judicial enforcement with liability (49%) and supervision by competent national authorities based on complaints about non-compliance with effective sanctions (44%).</w:t>
      </w:r>
    </w:p>
  </w:footnote>
  <w:footnote w:id="70">
    <w:p w14:paraId="5BF6A179" w14:textId="266AAF50" w:rsidR="0061532C" w:rsidRPr="00A3718C" w:rsidRDefault="0061532C">
      <w:pPr>
        <w:pStyle w:val="Allmrkusetekst"/>
      </w:pPr>
      <w:r w:rsidRPr="00AB0B10">
        <w:rPr>
          <w:rStyle w:val="Allmrkuseviide"/>
        </w:rPr>
        <w:footnoteRef/>
      </w:r>
      <w:r>
        <w:tab/>
        <w:t xml:space="preserve">See reference in footnote 8. </w:t>
      </w:r>
    </w:p>
  </w:footnote>
  <w:footnote w:id="71">
    <w:p w14:paraId="1F9D804B" w14:textId="77777777" w:rsidR="0061532C" w:rsidRPr="00A3718C" w:rsidRDefault="0061532C">
      <w:pPr>
        <w:pStyle w:val="Allmrkusetekst"/>
      </w:pPr>
      <w:r w:rsidRPr="00AB0B10">
        <w:rPr>
          <w:rStyle w:val="Allmrkuseviide"/>
        </w:rPr>
        <w:footnoteRef/>
      </w:r>
      <w:r>
        <w:tab/>
      </w:r>
      <w:r w:rsidRPr="002B71C7">
        <w:t xml:space="preserve">European Commission, Directorate-General for Justice and Consumers, Study on directors’ duties and sustainable corporate governance: final report, Publications Office, 2020, </w:t>
      </w:r>
      <w:hyperlink r:id="rId18" w:history="1">
        <w:r w:rsidRPr="00437C26">
          <w:rPr>
            <w:rStyle w:val="Hperlink"/>
          </w:rPr>
          <w:t>https://data.europa.eu/doi/10.2838/472901</w:t>
        </w:r>
      </w:hyperlink>
      <w:r>
        <w:t xml:space="preserve">. </w:t>
      </w:r>
      <w:r w:rsidRPr="00021ADA">
        <w:rPr>
          <w:rStyle w:val="Hperlink"/>
        </w:rPr>
        <w:t>https://data.europa.eu/doi/10.2838/472901</w:t>
      </w:r>
      <w:r>
        <w:t xml:space="preserve">. </w:t>
      </w:r>
    </w:p>
  </w:footnote>
  <w:footnote w:id="72">
    <w:p w14:paraId="784F6ED8" w14:textId="77777777" w:rsidR="0061532C" w:rsidRPr="00857BA7" w:rsidRDefault="0061532C">
      <w:pPr>
        <w:pStyle w:val="Allmrkusetekst"/>
      </w:pPr>
      <w:r>
        <w:rPr>
          <w:rStyle w:val="Allmrkuseviide"/>
        </w:rPr>
        <w:footnoteRef/>
      </w:r>
      <w:r w:rsidRPr="00AF5EFA">
        <w:tab/>
      </w:r>
      <w:r>
        <w:t>SEC(2022)95</w:t>
      </w:r>
    </w:p>
  </w:footnote>
  <w:footnote w:id="73">
    <w:p w14:paraId="1A5C5E1D" w14:textId="77777777" w:rsidR="0061532C" w:rsidRPr="00365FFC" w:rsidRDefault="0061532C" w:rsidP="00E16026">
      <w:pPr>
        <w:pStyle w:val="Allmrkusetekst"/>
      </w:pPr>
      <w:r w:rsidRPr="007A2068">
        <w:rPr>
          <w:rStyle w:val="Allmrkuseviide"/>
        </w:rPr>
        <w:footnoteRef/>
      </w:r>
      <w:r>
        <w:tab/>
        <w:t xml:space="preserve">See footnote </w:t>
      </w:r>
      <w:r>
        <w:fldChar w:fldCharType="begin"/>
      </w:r>
      <w:r>
        <w:instrText xml:space="preserve"> NOTEREF _Ref96025026 \h </w:instrText>
      </w:r>
      <w:r>
        <w:fldChar w:fldCharType="separate"/>
      </w:r>
      <w:r>
        <w:t>6</w:t>
      </w:r>
      <w:r>
        <w:fldChar w:fldCharType="end"/>
      </w:r>
      <w:r>
        <w:t>.</w:t>
      </w:r>
    </w:p>
  </w:footnote>
  <w:footnote w:id="74">
    <w:p w14:paraId="64934BEF" w14:textId="62045FD4" w:rsidR="0061532C" w:rsidRPr="008A622F" w:rsidRDefault="0061532C" w:rsidP="00BA3125">
      <w:pPr>
        <w:pStyle w:val="Allmrkusetekst"/>
        <w:rPr>
          <w:lang w:val="fi-FI"/>
        </w:rPr>
      </w:pPr>
      <w:r>
        <w:rPr>
          <w:rStyle w:val="Allmrkuseviide"/>
        </w:rPr>
        <w:footnoteRef/>
      </w:r>
      <w:r w:rsidRPr="008A622F">
        <w:rPr>
          <w:lang w:val="fi-FI"/>
        </w:rPr>
        <w:tab/>
        <w:t>OJ C , , p. .</w:t>
      </w:r>
    </w:p>
  </w:footnote>
  <w:footnote w:id="75">
    <w:p w14:paraId="01D50205" w14:textId="22ABEC01" w:rsidR="0061532C" w:rsidRPr="00FF0C2E" w:rsidRDefault="0061532C">
      <w:pPr>
        <w:pStyle w:val="Allmrkusetekst"/>
        <w:rPr>
          <w:lang w:val="fi-FI"/>
        </w:rPr>
      </w:pPr>
      <w:r w:rsidRPr="002C2AA5">
        <w:rPr>
          <w:rStyle w:val="Allmrkuseviide"/>
        </w:rPr>
        <w:footnoteRef/>
      </w:r>
      <w:r>
        <w:rPr>
          <w:lang w:val="fi-FI"/>
        </w:rPr>
        <w:tab/>
      </w:r>
      <w:r>
        <w:t>Communication from the Commission to the European Parliament the European Council, the Council, the European Economic and Social Committee and the Committee of the Region “The European Green Deal” (COM/2019/640 final)</w:t>
      </w:r>
      <w:r w:rsidRPr="00FF0C2E">
        <w:rPr>
          <w:lang w:val="fi-FI"/>
        </w:rPr>
        <w:t>.</w:t>
      </w:r>
    </w:p>
  </w:footnote>
  <w:footnote w:id="76">
    <w:p w14:paraId="63BB2666" w14:textId="77777777" w:rsidR="0061532C" w:rsidRPr="00021ADA" w:rsidRDefault="0061532C" w:rsidP="00776FF8">
      <w:pPr>
        <w:pStyle w:val="Allmrkusetekst"/>
        <w:rPr>
          <w:lang w:val="en-IE"/>
        </w:rPr>
      </w:pPr>
      <w:r>
        <w:rPr>
          <w:rStyle w:val="Allmrkuseviide"/>
        </w:rPr>
        <w:footnoteRef/>
      </w:r>
      <w:r w:rsidRPr="00021ADA">
        <w:rPr>
          <w:lang w:val="en-IE"/>
        </w:rPr>
        <w:tab/>
      </w:r>
      <w:r w:rsidRPr="00074480">
        <w:t>Communication from the Commission to the European Parliament, the Council, the European Economic and Social Committee and the Committee of the Regions – A Strong Social Europe for Just Transitions</w:t>
      </w:r>
      <w:r>
        <w:t xml:space="preserve"> (</w:t>
      </w:r>
      <w:r w:rsidRPr="00074480">
        <w:t>COM/2020/14 final</w:t>
      </w:r>
      <w:r>
        <w:t>).</w:t>
      </w:r>
    </w:p>
  </w:footnote>
  <w:footnote w:id="77">
    <w:p w14:paraId="1DBCF3D2" w14:textId="062ACBAF" w:rsidR="0061532C" w:rsidRPr="00021ADA" w:rsidRDefault="0061532C">
      <w:pPr>
        <w:pStyle w:val="Allmrkusetekst"/>
        <w:rPr>
          <w:lang w:val="en-IE"/>
        </w:rPr>
      </w:pPr>
      <w:r>
        <w:rPr>
          <w:rStyle w:val="Allmrkuseviide"/>
        </w:rPr>
        <w:footnoteRef/>
      </w:r>
      <w:r>
        <w:tab/>
      </w:r>
      <w:r w:rsidRPr="00021ADA">
        <w:rPr>
          <w:lang w:val="en-IE"/>
        </w:rPr>
        <w:t xml:space="preserve">Communication from the Commission to the European Parliament, the Council and the European Economic </w:t>
      </w:r>
      <w:r w:rsidRPr="00EB5D2C">
        <w:rPr>
          <w:lang w:val="en-IE"/>
        </w:rPr>
        <w:t>and Social Committee on decent work worldwide for a global just transition and a sustainable recovery</w:t>
      </w:r>
      <w:r>
        <w:rPr>
          <w:lang w:val="en-IE"/>
        </w:rPr>
        <w:t xml:space="preserve">, </w:t>
      </w:r>
      <w:r w:rsidRPr="00B644A6">
        <w:rPr>
          <w:lang w:val="en-IE"/>
        </w:rPr>
        <w:t>COM(</w:t>
      </w:r>
      <w:r>
        <w:rPr>
          <w:lang w:val="en-IE"/>
        </w:rPr>
        <w:t>2022</w:t>
      </w:r>
      <w:r w:rsidRPr="00B644A6">
        <w:rPr>
          <w:lang w:val="en-IE"/>
        </w:rPr>
        <w:t xml:space="preserve">) </w:t>
      </w:r>
      <w:r>
        <w:rPr>
          <w:lang w:val="en-IE"/>
        </w:rPr>
        <w:t>66</w:t>
      </w:r>
      <w:r w:rsidRPr="00B644A6">
        <w:rPr>
          <w:lang w:val="en-IE"/>
        </w:rPr>
        <w:t xml:space="preserve"> final</w:t>
      </w:r>
      <w:r w:rsidRPr="00C175BF">
        <w:rPr>
          <w:lang w:val="en-IE"/>
        </w:rPr>
        <w:t>.</w:t>
      </w:r>
    </w:p>
  </w:footnote>
  <w:footnote w:id="78">
    <w:p w14:paraId="74E284D2" w14:textId="77777777" w:rsidR="0061532C" w:rsidRPr="00021ADA" w:rsidRDefault="0061532C" w:rsidP="008067EA">
      <w:pPr>
        <w:pStyle w:val="Allmrkusetekst"/>
        <w:rPr>
          <w:lang w:val="en-IE"/>
        </w:rPr>
      </w:pPr>
      <w:r>
        <w:rPr>
          <w:rStyle w:val="Allmrkuseviide"/>
        </w:rPr>
        <w:footnoteRef/>
      </w:r>
      <w:r w:rsidRPr="00021ADA">
        <w:rPr>
          <w:lang w:val="en-IE"/>
        </w:rPr>
        <w:tab/>
      </w:r>
      <w:r>
        <w:rPr>
          <w:lang w:val="en-IE"/>
        </w:rPr>
        <w:t>‘</w:t>
      </w:r>
      <w:r w:rsidRPr="00021ADA">
        <w:rPr>
          <w:lang w:val="en-IE"/>
        </w:rPr>
        <w:t>Enterprise Models and the EU agenda</w:t>
      </w:r>
      <w:r>
        <w:rPr>
          <w:lang w:val="en-IE"/>
        </w:rPr>
        <w:t xml:space="preserve">’, </w:t>
      </w:r>
      <w:r w:rsidRPr="00021ADA">
        <w:rPr>
          <w:i/>
          <w:lang w:val="en-IE"/>
        </w:rPr>
        <w:t>CEPS Policy Insights</w:t>
      </w:r>
      <w:r>
        <w:rPr>
          <w:lang w:val="en-IE"/>
        </w:rPr>
        <w:t xml:space="preserve">, </w:t>
      </w:r>
      <w:r w:rsidRPr="00057DA5">
        <w:rPr>
          <w:lang w:val="en-IE"/>
        </w:rPr>
        <w:t xml:space="preserve">No PI2021-02/ </w:t>
      </w:r>
      <w:r>
        <w:rPr>
          <w:lang w:val="en-IE"/>
        </w:rPr>
        <w:t>January</w:t>
      </w:r>
      <w:r w:rsidRPr="00057DA5">
        <w:rPr>
          <w:lang w:val="en-IE"/>
        </w:rPr>
        <w:t xml:space="preserve"> 2021</w:t>
      </w:r>
      <w:r w:rsidRPr="00021ADA">
        <w:rPr>
          <w:lang w:val="en-IE"/>
        </w:rPr>
        <w:t>.</w:t>
      </w:r>
    </w:p>
  </w:footnote>
  <w:footnote w:id="79">
    <w:p w14:paraId="310E5BB5" w14:textId="77777777" w:rsidR="0061532C" w:rsidRPr="00021ADA" w:rsidRDefault="0061532C" w:rsidP="008067EA">
      <w:pPr>
        <w:pStyle w:val="Allmrkusetekst"/>
        <w:rPr>
          <w:lang w:val="en-IE"/>
        </w:rPr>
      </w:pPr>
      <w:r>
        <w:rPr>
          <w:rStyle w:val="Allmrkuseviide"/>
        </w:rPr>
        <w:footnoteRef/>
      </w:r>
      <w:r w:rsidRPr="00021ADA">
        <w:rPr>
          <w:lang w:val="en-IE"/>
        </w:rPr>
        <w:tab/>
      </w:r>
      <w:r>
        <w:rPr>
          <w:lang w:val="en-IE"/>
        </w:rPr>
        <w:t xml:space="preserve">E.g. </w:t>
      </w:r>
      <w:hyperlink r:id="rId19" w:history="1">
        <w:r w:rsidRPr="00021ADA">
          <w:rPr>
            <w:rStyle w:val="Hperlink"/>
            <w:lang w:val="en-IE"/>
          </w:rPr>
          <w:t>https://www.economie.gouv.fr/entreprises/societe-mission</w:t>
        </w:r>
      </w:hyperlink>
      <w:r w:rsidRPr="00021ADA">
        <w:rPr>
          <w:lang w:val="en-IE"/>
        </w:rPr>
        <w:t xml:space="preserve"> </w:t>
      </w:r>
    </w:p>
  </w:footnote>
  <w:footnote w:id="80">
    <w:p w14:paraId="0EE10C7E" w14:textId="77777777" w:rsidR="0061532C" w:rsidRPr="009F0667" w:rsidRDefault="0061532C" w:rsidP="00ED3016">
      <w:pPr>
        <w:pStyle w:val="Allmrkusetekst"/>
      </w:pPr>
      <w:r>
        <w:rPr>
          <w:rStyle w:val="Allmrkuseviide"/>
        </w:rPr>
        <w:footnoteRef/>
      </w:r>
      <w:r w:rsidRPr="00AF2A09">
        <w:rPr>
          <w:lang w:val="pl-PL"/>
        </w:rPr>
        <w:tab/>
      </w:r>
      <w:r w:rsidRPr="009F0667">
        <w:t>United Nations’ “Guiding Principles on Business and Human Rights: Implementing the United Nations ‘Protect, Respect and Remedy’ Framework”</w:t>
      </w:r>
      <w:r>
        <w:t>,</w:t>
      </w:r>
      <w:r w:rsidRPr="009F0667">
        <w:t xml:space="preserve"> 2011</w:t>
      </w:r>
      <w:r>
        <w:t xml:space="preserve">, available at </w:t>
      </w:r>
      <w:hyperlink r:id="rId20" w:history="1">
        <w:r w:rsidRPr="00CD5FCC">
          <w:rPr>
            <w:rStyle w:val="Hperlink"/>
          </w:rPr>
          <w:t>https://www.ohchr.org/documents/publications/guidingprinciplesbusinesshr_en.pdf</w:t>
        </w:r>
      </w:hyperlink>
      <w:r w:rsidRPr="009F0667">
        <w:t>.</w:t>
      </w:r>
    </w:p>
  </w:footnote>
  <w:footnote w:id="81">
    <w:p w14:paraId="6AA8FA2A" w14:textId="77777777" w:rsidR="0061532C" w:rsidRPr="009F0667" w:rsidRDefault="0061532C" w:rsidP="005731C2">
      <w:pPr>
        <w:pStyle w:val="Allmrkusetekst"/>
      </w:pPr>
      <w:r>
        <w:rPr>
          <w:rStyle w:val="Allmrkuseviide"/>
        </w:rPr>
        <w:footnoteRef/>
      </w:r>
      <w:r w:rsidRPr="009F0667">
        <w:tab/>
        <w:t>OECD Guidelines for Multinational Enterprises</w:t>
      </w:r>
      <w:r>
        <w:t xml:space="preserve">, </w:t>
      </w:r>
      <w:r w:rsidRPr="009F0667">
        <w:t>2011 update</w:t>
      </w:r>
      <w:r>
        <w:t xml:space="preserve">d edition, available at </w:t>
      </w:r>
      <w:r w:rsidRPr="006F363E">
        <w:t>http://mneguidelines.oecd.org/guidelines/</w:t>
      </w:r>
      <w:r>
        <w:t>.</w:t>
      </w:r>
      <w:r w:rsidRPr="00021ADA">
        <w:fldChar w:fldCharType="begin"/>
      </w:r>
      <w:r w:rsidRPr="009F0667">
        <w:instrText xml:space="preserve">https://mneguidelines.oecd.org/mneguidelines/" </w:instrText>
      </w:r>
      <w:r w:rsidRPr="00021ADA">
        <w:fldChar w:fldCharType="separate"/>
      </w:r>
      <w:r w:rsidRPr="009F0667">
        <w:rPr>
          <w:rStyle w:val="Hperlink"/>
        </w:rPr>
        <w:t>https://mneguidelines.oecd.org/mneguidelines/</w:t>
      </w:r>
      <w:r w:rsidRPr="00021ADA">
        <w:fldChar w:fldCharType="end"/>
      </w:r>
    </w:p>
  </w:footnote>
  <w:footnote w:id="82">
    <w:p w14:paraId="6F920688" w14:textId="77777777" w:rsidR="0061532C" w:rsidRPr="001A7911" w:rsidRDefault="0061532C">
      <w:pPr>
        <w:pStyle w:val="Allmrkusetekst"/>
      </w:pPr>
      <w:r>
        <w:rPr>
          <w:rStyle w:val="Allmrkuseviide"/>
        </w:rPr>
        <w:footnoteRef/>
      </w:r>
      <w:r>
        <w:tab/>
      </w:r>
      <w:r w:rsidRPr="005731C2">
        <w:t>OECD</w:t>
      </w:r>
      <w:r w:rsidRPr="006327DF">
        <w:t xml:space="preserve"> Guidance on Responsible Business Conduct</w:t>
      </w:r>
      <w:r>
        <w:t xml:space="preserve">, 2018, and sector-specific guidance, available at </w:t>
      </w:r>
      <w:hyperlink r:id="rId21" w:history="1">
        <w:r w:rsidRPr="00B66702">
          <w:rPr>
            <w:rStyle w:val="Hperlink"/>
          </w:rPr>
          <w:t>https://www.oecd.org/investment/due-diligence-guidance-for-responsible-business-conduct.htm</w:t>
        </w:r>
      </w:hyperlink>
      <w:r>
        <w:t>.</w:t>
      </w:r>
    </w:p>
  </w:footnote>
  <w:footnote w:id="83">
    <w:p w14:paraId="5011711D" w14:textId="77777777" w:rsidR="0061532C" w:rsidRPr="006E0F32" w:rsidRDefault="0061532C" w:rsidP="00ED3016">
      <w:pPr>
        <w:pStyle w:val="Allmrkusetekst"/>
      </w:pPr>
      <w:r>
        <w:rPr>
          <w:rStyle w:val="Allmrkuseviide"/>
        </w:rPr>
        <w:footnoteRef/>
      </w:r>
      <w:r>
        <w:tab/>
        <w:t xml:space="preserve">The International Labour Organisation’s </w:t>
      </w:r>
      <w:r>
        <w:rPr>
          <w:rFonts w:cstheme="minorBidi"/>
        </w:rPr>
        <w:t>“</w:t>
      </w:r>
      <w:r w:rsidRPr="000D38BD">
        <w:rPr>
          <w:rFonts w:cstheme="minorBidi"/>
        </w:rPr>
        <w:t>Tripartite Declaration of Principles concerning Multinational Enterprises and Social Policy</w:t>
      </w:r>
      <w:r>
        <w:rPr>
          <w:rFonts w:cstheme="minorBidi"/>
        </w:rPr>
        <w:t xml:space="preserve">, </w:t>
      </w:r>
      <w:r w:rsidRPr="00B53667">
        <w:rPr>
          <w:rFonts w:cstheme="minorBidi"/>
        </w:rPr>
        <w:t>Fifth Edition</w:t>
      </w:r>
      <w:r>
        <w:rPr>
          <w:rFonts w:cstheme="minorBidi"/>
        </w:rPr>
        <w:t>,</w:t>
      </w:r>
      <w:r w:rsidRPr="00B53667">
        <w:rPr>
          <w:rFonts w:cstheme="minorBidi"/>
        </w:rPr>
        <w:t xml:space="preserve"> 2017</w:t>
      </w:r>
      <w:r>
        <w:rPr>
          <w:rFonts w:cstheme="minorBidi"/>
        </w:rPr>
        <w:t xml:space="preserve">, available at: </w:t>
      </w:r>
      <w:hyperlink r:id="rId22" w:history="1">
        <w:r w:rsidRPr="005A1F11">
          <w:rPr>
            <w:rStyle w:val="Hperlink"/>
            <w:rFonts w:cstheme="minorBidi"/>
          </w:rPr>
          <w:t>https://www.ilo.org/empent/Publications/WCMS_094386/lang--en/index.htm</w:t>
        </w:r>
      </w:hyperlink>
      <w:r>
        <w:rPr>
          <w:rFonts w:cstheme="minorBidi"/>
        </w:rPr>
        <w:t>.</w:t>
      </w:r>
    </w:p>
  </w:footnote>
  <w:footnote w:id="84">
    <w:p w14:paraId="482D39FB" w14:textId="77777777" w:rsidR="0061532C" w:rsidRPr="0074270A" w:rsidRDefault="0061532C" w:rsidP="00ED3016">
      <w:pPr>
        <w:pStyle w:val="Allmrkusetekst"/>
      </w:pPr>
      <w:r>
        <w:rPr>
          <w:rStyle w:val="Allmrkuseviide"/>
        </w:rPr>
        <w:footnoteRef/>
      </w:r>
      <w:r>
        <w:tab/>
      </w:r>
      <w:hyperlink r:id="rId23" w:history="1">
        <w:r w:rsidRPr="006116ED">
          <w:rPr>
            <w:rStyle w:val="Hperlink"/>
          </w:rPr>
          <w:t>https://www.un.org/ga/search/view_doc.asp?symbol=A/RES/70/1&amp;Lang=E</w:t>
        </w:r>
      </w:hyperlink>
      <w:r>
        <w:rPr>
          <w:rStyle w:val="Hperlink"/>
        </w:rPr>
        <w:t>.</w:t>
      </w:r>
      <w:r>
        <w:t xml:space="preserve">  </w:t>
      </w:r>
    </w:p>
  </w:footnote>
  <w:footnote w:id="85">
    <w:p w14:paraId="0A1620DD" w14:textId="77777777" w:rsidR="0061532C" w:rsidRPr="005940D3" w:rsidRDefault="0061532C">
      <w:pPr>
        <w:pStyle w:val="Allmrkusetekst"/>
      </w:pPr>
      <w:r>
        <w:rPr>
          <w:rStyle w:val="Allmrkuseviide"/>
        </w:rPr>
        <w:footnoteRef/>
      </w:r>
      <w:r>
        <w:tab/>
      </w:r>
      <w:hyperlink r:id="rId24" w:history="1">
        <w:r w:rsidRPr="00F77DC0">
          <w:rPr>
            <w:rStyle w:val="Hperlink"/>
          </w:rPr>
          <w:t>https://unfccc.int/files/essential_background/convention/application/pdf/english_paris_agreement.pdf</w:t>
        </w:r>
      </w:hyperlink>
      <w:r>
        <w:t>.</w:t>
      </w:r>
    </w:p>
  </w:footnote>
  <w:footnote w:id="86">
    <w:p w14:paraId="0DF76720" w14:textId="77777777" w:rsidR="0061532C" w:rsidRPr="00CC7E70" w:rsidRDefault="0061532C">
      <w:pPr>
        <w:pStyle w:val="Allmrkusetekst"/>
      </w:pPr>
      <w:r>
        <w:rPr>
          <w:rStyle w:val="Allmrkuseviide"/>
        </w:rPr>
        <w:footnoteRef/>
      </w:r>
      <w:r>
        <w:tab/>
      </w:r>
      <w:r w:rsidRPr="009C6FF4">
        <w:t xml:space="preserve">Glasgow Climate Pact, adopted on 13 November 2021 at COP26 in Glasgow, </w:t>
      </w:r>
      <w:hyperlink r:id="rId25" w:history="1">
        <w:r w:rsidRPr="00F77DC0">
          <w:rPr>
            <w:rStyle w:val="Hperlink"/>
          </w:rPr>
          <w:t>https://unfccc.int/sites/default/files/resource/cma2021_L16_adv.pdf</w:t>
        </w:r>
      </w:hyperlink>
      <w:r>
        <w:t>.</w:t>
      </w:r>
      <w:r w:rsidRPr="00021ADA">
        <w:rPr>
          <w:rStyle w:val="Hperlink"/>
        </w:rPr>
        <w:t>https://unfccc.int/sites/default/files/resource/cma2021_L16_adv.pdf</w:t>
      </w:r>
      <w:r>
        <w:t>.</w:t>
      </w:r>
    </w:p>
  </w:footnote>
  <w:footnote w:id="87">
    <w:p w14:paraId="673BE9E0" w14:textId="7B6A2FAE" w:rsidR="0061532C" w:rsidRPr="0074270A" w:rsidRDefault="0061532C" w:rsidP="00ED3016">
      <w:pPr>
        <w:pStyle w:val="Normaallaadveeb"/>
        <w:shd w:val="clear" w:color="auto" w:fill="FFFFFF" w:themeFill="background1"/>
        <w:spacing w:before="0" w:beforeAutospacing="0" w:after="0" w:afterAutospacing="0"/>
        <w:ind w:left="709" w:hanging="709"/>
        <w:jc w:val="both"/>
      </w:pPr>
      <w:r w:rsidRPr="00263D48">
        <w:rPr>
          <w:rStyle w:val="Allmrkuseviide"/>
        </w:rPr>
        <w:footnoteRef/>
      </w:r>
      <w:r>
        <w:tab/>
      </w:r>
      <w:r w:rsidRPr="00BE7930">
        <w:rPr>
          <w:sz w:val="20"/>
          <w:szCs w:val="20"/>
        </w:rPr>
        <w:t>Regulation (EU) 2021/1119 of the European Parliament and of the Council of 30 June 2021 establishing the framework for achieving climate neutrality and amending Regulations (EC) No 401/2009 and (EU) 2018/1999 (‘European Climate Law’) PE/27/2021/REV/1 (OJ L 243, 9.7.2021, p. 1)</w:t>
      </w:r>
      <w:r>
        <w:rPr>
          <w:sz w:val="20"/>
          <w:szCs w:val="20"/>
        </w:rPr>
        <w:t>.</w:t>
      </w:r>
    </w:p>
  </w:footnote>
  <w:footnote w:id="88">
    <w:p w14:paraId="00881982" w14:textId="77777777" w:rsidR="0061532C" w:rsidRDefault="0061532C">
      <w:pPr>
        <w:pStyle w:val="Allmrkusetekst"/>
      </w:pPr>
      <w:r w:rsidRPr="004F31C7">
        <w:rPr>
          <w:rStyle w:val="Allmrkuseviide"/>
        </w:rPr>
        <w:footnoteRef/>
      </w:r>
      <w:r>
        <w:tab/>
      </w:r>
      <w:r w:rsidRPr="00431692">
        <w:t>SWD/2020/176 final</w:t>
      </w:r>
      <w:r>
        <w:t>.</w:t>
      </w:r>
    </w:p>
  </w:footnote>
  <w:footnote w:id="89">
    <w:p w14:paraId="00474F9F" w14:textId="508F409E" w:rsidR="0061532C" w:rsidRPr="0007664B" w:rsidRDefault="0061532C" w:rsidP="001570E0">
      <w:pPr>
        <w:pStyle w:val="Allmrkusetekst"/>
        <w:ind w:left="709" w:hanging="709"/>
      </w:pPr>
      <w:r w:rsidRPr="00263D48">
        <w:rPr>
          <w:rStyle w:val="Allmrkuseviide"/>
        </w:rPr>
        <w:footnoteRef/>
      </w:r>
      <w:r>
        <w:tab/>
      </w:r>
      <w:r w:rsidRPr="000035CB">
        <w:t>COM</w:t>
      </w:r>
      <w:r>
        <w:t>/</w:t>
      </w:r>
      <w:r w:rsidRPr="000035CB">
        <w:t>2019</w:t>
      </w:r>
      <w:r>
        <w:t>/</w:t>
      </w:r>
      <w:r w:rsidRPr="000035CB">
        <w:t xml:space="preserve">640 final. </w:t>
      </w:r>
    </w:p>
  </w:footnote>
  <w:footnote w:id="90">
    <w:p w14:paraId="4AC62D80" w14:textId="77777777" w:rsidR="0061532C" w:rsidRDefault="0061532C">
      <w:pPr>
        <w:pStyle w:val="Allmrkusetekst"/>
      </w:pPr>
      <w:r w:rsidRPr="002C2AA5">
        <w:rPr>
          <w:rStyle w:val="Allmrkuseviide"/>
        </w:rPr>
        <w:footnoteRef/>
      </w:r>
      <w:r>
        <w:tab/>
      </w:r>
      <w:r w:rsidRPr="00CF1796">
        <w:t>Communication from the Commission to the European Parliament, the Council, the European Economic and Social Committee and the Committee of the Regions</w:t>
      </w:r>
      <w:r>
        <w:t xml:space="preserve"> on </w:t>
      </w:r>
      <w:r w:rsidRPr="00CF1796">
        <w:t xml:space="preserve">Forging a climate-resilient Europe </w:t>
      </w:r>
      <w:r>
        <w:t>–</w:t>
      </w:r>
      <w:r w:rsidRPr="00CF1796">
        <w:t xml:space="preserve"> the new EU Strategy on Adaptation to Climate Change </w:t>
      </w:r>
      <w:r>
        <w:t xml:space="preserve">(COM/2021/82 final), available at </w:t>
      </w:r>
      <w:r w:rsidRPr="0016037D">
        <w:t>https://eur-lex.europa.eu/legal-content/EN/TXT/?uri=COM:2021:82:FIN</w:t>
      </w:r>
      <w:r>
        <w:t>.</w:t>
      </w:r>
    </w:p>
  </w:footnote>
  <w:footnote w:id="91">
    <w:p w14:paraId="2FCC6951" w14:textId="77777777" w:rsidR="0061532C" w:rsidRPr="00CC7E70" w:rsidRDefault="0061532C">
      <w:pPr>
        <w:pStyle w:val="Allmrkusetekst"/>
      </w:pPr>
      <w:r>
        <w:rPr>
          <w:rStyle w:val="Allmrkuseviide"/>
        </w:rPr>
        <w:footnoteRef/>
      </w:r>
      <w:r>
        <w:tab/>
      </w:r>
      <w:r w:rsidRPr="00A14D4B">
        <w:t>OJ C […], […], p. […].</w:t>
      </w:r>
    </w:p>
  </w:footnote>
  <w:footnote w:id="92">
    <w:p w14:paraId="4FF12663" w14:textId="77777777" w:rsidR="0061532C" w:rsidRPr="00BC2AC0" w:rsidRDefault="0061532C" w:rsidP="00ED3016">
      <w:pPr>
        <w:pStyle w:val="Normaallaadveeb"/>
        <w:shd w:val="clear" w:color="auto" w:fill="FFFFFF" w:themeFill="background1"/>
        <w:spacing w:before="0" w:beforeAutospacing="0" w:after="0" w:afterAutospacing="0"/>
        <w:ind w:left="709" w:hanging="709"/>
        <w:jc w:val="both"/>
      </w:pPr>
      <w:r w:rsidRPr="00246E3B">
        <w:rPr>
          <w:rStyle w:val="Allmrkuseviide"/>
        </w:rPr>
        <w:footnoteRef/>
      </w:r>
      <w:r w:rsidRPr="00BC2AC0">
        <w:rPr>
          <w:sz w:val="20"/>
          <w:szCs w:val="20"/>
        </w:rPr>
        <w:tab/>
      </w:r>
      <w:r w:rsidRPr="001D5825">
        <w:rPr>
          <w:sz w:val="20"/>
          <w:szCs w:val="20"/>
        </w:rPr>
        <w:t>Communication from the Commission to the European Parliament, the Council, the European Economic and Social Committee and the Committee of the Regions on</w:t>
      </w:r>
      <w:r>
        <w:rPr>
          <w:sz w:val="20"/>
          <w:szCs w:val="20"/>
        </w:rPr>
        <w:t xml:space="preserve"> </w:t>
      </w:r>
      <w:r w:rsidRPr="00BE7930">
        <w:rPr>
          <w:sz w:val="20"/>
          <w:szCs w:val="20"/>
        </w:rPr>
        <w:t>A new Circular Economy Action Plan For a cleaner and more competitive Europe</w:t>
      </w:r>
      <w:r>
        <w:rPr>
          <w:sz w:val="20"/>
          <w:szCs w:val="20"/>
        </w:rPr>
        <w:t xml:space="preserve"> (</w:t>
      </w:r>
      <w:r w:rsidRPr="00BE7930">
        <w:rPr>
          <w:sz w:val="20"/>
          <w:szCs w:val="20"/>
        </w:rPr>
        <w:t>COM/2020/98 final</w:t>
      </w:r>
      <w:r>
        <w:rPr>
          <w:sz w:val="20"/>
          <w:szCs w:val="20"/>
        </w:rPr>
        <w:t>).</w:t>
      </w:r>
    </w:p>
  </w:footnote>
  <w:footnote w:id="93">
    <w:p w14:paraId="715A7542" w14:textId="77777777" w:rsidR="0061532C" w:rsidRPr="00BE7930" w:rsidRDefault="0061532C" w:rsidP="00ED3016">
      <w:pPr>
        <w:pStyle w:val="Normaallaadveeb"/>
        <w:shd w:val="clear" w:color="auto" w:fill="FFFFFF" w:themeFill="background1"/>
        <w:spacing w:before="0" w:beforeAutospacing="0" w:after="0" w:afterAutospacing="0"/>
        <w:ind w:left="709" w:hanging="709"/>
        <w:jc w:val="both"/>
      </w:pPr>
      <w:r w:rsidRPr="00246E3B">
        <w:rPr>
          <w:rStyle w:val="Allmrkuseviide"/>
        </w:rPr>
        <w:footnoteRef/>
      </w:r>
      <w:r w:rsidRPr="00BE7930">
        <w:rPr>
          <w:sz w:val="20"/>
          <w:szCs w:val="20"/>
        </w:rPr>
        <w:tab/>
      </w:r>
      <w:r w:rsidRPr="008D015B">
        <w:rPr>
          <w:sz w:val="20"/>
          <w:szCs w:val="20"/>
        </w:rPr>
        <w:t>Communication from the Commission to the European Parliament, the Council, the European Economic and Social Committee and the Committee of the Regions on</w:t>
      </w:r>
      <w:r>
        <w:rPr>
          <w:sz w:val="20"/>
          <w:szCs w:val="20"/>
        </w:rPr>
        <w:t xml:space="preserve"> the </w:t>
      </w:r>
      <w:r w:rsidRPr="00BE7930">
        <w:rPr>
          <w:sz w:val="20"/>
          <w:szCs w:val="20"/>
        </w:rPr>
        <w:t>EU Biodiversity Strategy for 2030</w:t>
      </w:r>
      <w:r>
        <w:rPr>
          <w:sz w:val="20"/>
          <w:szCs w:val="20"/>
        </w:rPr>
        <w:t xml:space="preserve"> </w:t>
      </w:r>
      <w:r w:rsidRPr="00BE7930">
        <w:rPr>
          <w:sz w:val="20"/>
          <w:szCs w:val="20"/>
        </w:rPr>
        <w:t xml:space="preserve">Bringing nature back into our lives </w:t>
      </w:r>
      <w:r>
        <w:rPr>
          <w:sz w:val="20"/>
          <w:szCs w:val="20"/>
        </w:rPr>
        <w:t>(</w:t>
      </w:r>
      <w:r w:rsidRPr="00BE7930">
        <w:rPr>
          <w:sz w:val="20"/>
          <w:szCs w:val="20"/>
        </w:rPr>
        <w:t>COM/2020/380 final</w:t>
      </w:r>
      <w:r>
        <w:rPr>
          <w:sz w:val="20"/>
          <w:szCs w:val="20"/>
        </w:rPr>
        <w:t>).</w:t>
      </w:r>
    </w:p>
  </w:footnote>
  <w:footnote w:id="94">
    <w:p w14:paraId="36516840" w14:textId="77777777" w:rsidR="0061532C" w:rsidRPr="00BC2AC0" w:rsidRDefault="0061532C" w:rsidP="00ED3016">
      <w:pPr>
        <w:pStyle w:val="Normaallaadveeb"/>
        <w:shd w:val="clear" w:color="auto" w:fill="FFFFFF" w:themeFill="background1"/>
        <w:spacing w:before="0" w:beforeAutospacing="0" w:after="0" w:afterAutospacing="0"/>
        <w:ind w:left="709" w:hanging="709"/>
        <w:jc w:val="both"/>
      </w:pPr>
      <w:r w:rsidRPr="00246E3B">
        <w:rPr>
          <w:rStyle w:val="Allmrkuseviide"/>
        </w:rPr>
        <w:footnoteRef/>
      </w:r>
      <w:r>
        <w:rPr>
          <w:sz w:val="20"/>
          <w:szCs w:val="20"/>
          <w:vertAlign w:val="subscript"/>
        </w:rPr>
        <w:tab/>
      </w:r>
      <w:r w:rsidRPr="008D015B">
        <w:rPr>
          <w:sz w:val="20"/>
          <w:szCs w:val="20"/>
        </w:rPr>
        <w:t>Communication from the Commission to the European Parliament, the Council, the European Economic and Social Committee and the Committee of the Regions on</w:t>
      </w:r>
      <w:r>
        <w:rPr>
          <w:sz w:val="20"/>
          <w:szCs w:val="20"/>
        </w:rPr>
        <w:t xml:space="preserve"> </w:t>
      </w:r>
      <w:r w:rsidRPr="00BE7930">
        <w:rPr>
          <w:sz w:val="20"/>
          <w:szCs w:val="20"/>
        </w:rPr>
        <w:t>A Farm to Fork Strategy for a fair, healthy and environmentally-friendly food system</w:t>
      </w:r>
      <w:r>
        <w:rPr>
          <w:sz w:val="20"/>
          <w:szCs w:val="20"/>
        </w:rPr>
        <w:t xml:space="preserve"> (</w:t>
      </w:r>
      <w:r w:rsidRPr="00BE7930">
        <w:rPr>
          <w:sz w:val="20"/>
          <w:szCs w:val="20"/>
        </w:rPr>
        <w:t>COM/2020/381 final</w:t>
      </w:r>
      <w:r>
        <w:rPr>
          <w:sz w:val="20"/>
          <w:szCs w:val="20"/>
        </w:rPr>
        <w:t>).</w:t>
      </w:r>
    </w:p>
  </w:footnote>
  <w:footnote w:id="95">
    <w:p w14:paraId="6C194214" w14:textId="77777777" w:rsidR="0061532C" w:rsidRPr="00BE043F" w:rsidRDefault="0061532C" w:rsidP="00ED3016">
      <w:pPr>
        <w:pStyle w:val="Normaallaadveeb"/>
        <w:shd w:val="clear" w:color="auto" w:fill="FFFFFF" w:themeFill="background1"/>
        <w:spacing w:before="0" w:beforeAutospacing="0" w:after="0" w:afterAutospacing="0"/>
        <w:ind w:left="709" w:hanging="709"/>
        <w:jc w:val="both"/>
      </w:pPr>
      <w:r w:rsidRPr="00246E3B">
        <w:rPr>
          <w:rStyle w:val="Allmrkuseviide"/>
        </w:rPr>
        <w:footnoteRef/>
      </w:r>
      <w:r w:rsidRPr="00376D03">
        <w:rPr>
          <w:sz w:val="20"/>
          <w:szCs w:val="20"/>
        </w:rPr>
        <w:tab/>
      </w:r>
      <w:r w:rsidRPr="00CA0519">
        <w:rPr>
          <w:sz w:val="20"/>
          <w:szCs w:val="20"/>
        </w:rPr>
        <w:t>Communication from the Commission to the European Parliament, the Council, the European Economic and Social Committee and the Committee of the Regions on</w:t>
      </w:r>
      <w:r>
        <w:rPr>
          <w:sz w:val="20"/>
          <w:szCs w:val="20"/>
        </w:rPr>
        <w:t xml:space="preserve"> the </w:t>
      </w:r>
      <w:r w:rsidRPr="00376D03">
        <w:rPr>
          <w:sz w:val="20"/>
          <w:szCs w:val="20"/>
        </w:rPr>
        <w:tab/>
      </w:r>
      <w:r w:rsidRPr="00BE7930">
        <w:rPr>
          <w:sz w:val="20"/>
          <w:szCs w:val="20"/>
        </w:rPr>
        <w:t>Chemicals Strategy for Sustainability Towards a Toxic-Free Environment</w:t>
      </w:r>
      <w:r>
        <w:rPr>
          <w:sz w:val="20"/>
          <w:szCs w:val="20"/>
        </w:rPr>
        <w:t xml:space="preserve"> (</w:t>
      </w:r>
      <w:r w:rsidRPr="00BE7930">
        <w:rPr>
          <w:sz w:val="20"/>
          <w:szCs w:val="20"/>
        </w:rPr>
        <w:t>COM/2020/667 final</w:t>
      </w:r>
      <w:r>
        <w:rPr>
          <w:sz w:val="20"/>
          <w:szCs w:val="20"/>
        </w:rPr>
        <w:t>).</w:t>
      </w:r>
    </w:p>
  </w:footnote>
  <w:footnote w:id="96">
    <w:p w14:paraId="2008E983" w14:textId="77777777" w:rsidR="0061532C" w:rsidRPr="009B115E" w:rsidRDefault="0061532C" w:rsidP="00ED3016">
      <w:pPr>
        <w:pStyle w:val="Allmrkusetekst"/>
      </w:pPr>
      <w:r w:rsidRPr="00263D48">
        <w:rPr>
          <w:rStyle w:val="Allmrkuseviide"/>
        </w:rPr>
        <w:footnoteRef/>
      </w:r>
      <w:r>
        <w:tab/>
      </w:r>
      <w:r w:rsidRPr="00F165FF">
        <w:t>Communication from the Commission to the European Parliament, the Council, the European Economic and Social Committee and the Committee of the Regions on</w:t>
      </w:r>
      <w:r w:rsidRPr="00F165FF">
        <w:rPr>
          <w:rStyle w:val="Hperlink"/>
          <w:color w:val="auto"/>
          <w:u w:val="none"/>
        </w:rPr>
        <w:t xml:space="preserve"> Updating the 2020 New Industrial Strategy:</w:t>
      </w:r>
      <w:r>
        <w:rPr>
          <w:rStyle w:val="Hperlink"/>
          <w:color w:val="auto"/>
          <w:u w:val="none"/>
        </w:rPr>
        <w:t xml:space="preserve"> </w:t>
      </w:r>
      <w:r w:rsidRPr="00F165FF">
        <w:rPr>
          <w:rStyle w:val="Hperlink"/>
          <w:color w:val="auto"/>
          <w:u w:val="none"/>
        </w:rPr>
        <w:t>Building a stronger Sing</w:t>
      </w:r>
      <w:r>
        <w:rPr>
          <w:rStyle w:val="Hperlink"/>
          <w:color w:val="auto"/>
          <w:u w:val="none"/>
        </w:rPr>
        <w:t>le Market for Europe’s recovery (COM/2021/350 final).</w:t>
      </w:r>
    </w:p>
  </w:footnote>
  <w:footnote w:id="97">
    <w:p w14:paraId="10F2FDF7" w14:textId="77777777" w:rsidR="0061532C" w:rsidRPr="001B5A8E" w:rsidRDefault="0061532C" w:rsidP="0006227E">
      <w:pPr>
        <w:pStyle w:val="Allmrkusetekst"/>
      </w:pPr>
      <w:r>
        <w:rPr>
          <w:rStyle w:val="Allmrkuseviide"/>
        </w:rPr>
        <w:footnoteRef/>
      </w:r>
      <w:r>
        <w:tab/>
        <w:t xml:space="preserve">Industry 5.0; </w:t>
      </w:r>
      <w:r w:rsidRPr="00212E23">
        <w:rPr>
          <w:rStyle w:val="Hperlink"/>
        </w:rPr>
        <w:t>https://ec.europa.eu/info/research-and-innovation/research-area/industrial-research-and-innovation/industry-50_en</w:t>
      </w:r>
    </w:p>
  </w:footnote>
  <w:footnote w:id="98">
    <w:p w14:paraId="5505A91F" w14:textId="77777777" w:rsidR="0061532C" w:rsidRPr="00876C21" w:rsidRDefault="0061532C" w:rsidP="000F3391">
      <w:pPr>
        <w:pStyle w:val="Allmrkusetekst"/>
      </w:pPr>
      <w:r>
        <w:rPr>
          <w:rStyle w:val="Allmrkuseviide"/>
        </w:rPr>
        <w:footnoteRef/>
      </w:r>
      <w:r>
        <w:tab/>
      </w:r>
      <w:hyperlink r:id="rId26" w:history="1">
        <w:r w:rsidRPr="005A6F4B">
          <w:rPr>
            <w:rStyle w:val="Hperlink"/>
          </w:rPr>
          <w:t>https://op.europa.eu/webpub/empl/european-pillar-of-social-rights/en/</w:t>
        </w:r>
      </w:hyperlink>
      <w:r>
        <w:t xml:space="preserve"> </w:t>
      </w:r>
    </w:p>
  </w:footnote>
  <w:footnote w:id="99">
    <w:p w14:paraId="5535F389" w14:textId="77777777" w:rsidR="0061532C" w:rsidRDefault="0061532C">
      <w:pPr>
        <w:pStyle w:val="Allmrkusetekst"/>
      </w:pPr>
      <w:r w:rsidRPr="002C2AA5">
        <w:rPr>
          <w:rStyle w:val="Allmrkuseviide"/>
        </w:rPr>
        <w:footnoteRef/>
      </w:r>
      <w:r>
        <w:tab/>
      </w:r>
      <w:r w:rsidRPr="008D015B">
        <w:t>Communication from the Commission to the European Parliament, the Council, the European Economic and Social Committee and the Committee</w:t>
      </w:r>
      <w:r>
        <w:t xml:space="preserve"> of the Regions, </w:t>
      </w:r>
      <w:r w:rsidRPr="00B63539">
        <w:t xml:space="preserve">Trade Policy Review </w:t>
      </w:r>
      <w:r>
        <w:t>–</w:t>
      </w:r>
      <w:r w:rsidRPr="00B63539">
        <w:t xml:space="preserve"> An Open, Sustainable and Assertive Trade Policy</w:t>
      </w:r>
      <w:r>
        <w:t xml:space="preserve"> (COM/2021/66/final).</w:t>
      </w:r>
    </w:p>
  </w:footnote>
  <w:footnote w:id="100">
    <w:p w14:paraId="11CCB07B" w14:textId="77777777" w:rsidR="0061532C" w:rsidRPr="000B50D7" w:rsidRDefault="0061532C">
      <w:pPr>
        <w:pStyle w:val="Allmrkusetekst"/>
      </w:pPr>
      <w:r>
        <w:rPr>
          <w:rStyle w:val="Allmrkuseviide"/>
        </w:rPr>
        <w:footnoteRef/>
      </w:r>
      <w:r>
        <w:tab/>
        <w:t xml:space="preserve">Joint Communication to the European Parliament and the Council on the EU Action Plan on Human Rights and Democracy 2020-2024 (JOIN/2020/5 final). </w:t>
      </w:r>
    </w:p>
  </w:footnote>
  <w:footnote w:id="101">
    <w:p w14:paraId="749B0CC3" w14:textId="77777777" w:rsidR="0061532C" w:rsidRDefault="0061532C" w:rsidP="00ED3016">
      <w:pPr>
        <w:pStyle w:val="Allmrkusetekst"/>
      </w:pPr>
      <w:r>
        <w:rPr>
          <w:rStyle w:val="Allmrkuseviide"/>
        </w:rPr>
        <w:footnoteRef/>
      </w:r>
      <w:r>
        <w:tab/>
      </w:r>
      <w:r w:rsidRPr="000B50D7">
        <w:t>European Parliament resolution of 10 March 2021 with recommendations to the Commission on corporate due diligence and corporate accountability (</w:t>
      </w:r>
      <w:r w:rsidRPr="00021ADA">
        <w:t>2020/2129(INL)</w:t>
      </w:r>
      <w:r w:rsidRPr="000B50D7">
        <w:t>),</w:t>
      </w:r>
      <w:r>
        <w:rPr>
          <w:b/>
          <w:bCs/>
        </w:rPr>
        <w:t xml:space="preserve"> </w:t>
      </w:r>
      <w:r w:rsidRPr="000B50D7">
        <w:t>P9_TA(2021)0073</w:t>
      </w:r>
      <w:r>
        <w:t xml:space="preserve">, available at </w:t>
      </w:r>
      <w:hyperlink r:id="rId27" w:history="1">
        <w:r w:rsidRPr="00FF621A">
          <w:rPr>
            <w:rStyle w:val="Hperlink"/>
          </w:rPr>
          <w:t>https://oeil.secure.europarl.europa.eu/oeil/popups/ficheprocedure.do?lang=en&amp;reference=2020/2129(INL)</w:t>
        </w:r>
      </w:hyperlink>
      <w:r w:rsidRPr="000B50D7">
        <w:t>.</w:t>
      </w:r>
      <w:r>
        <w:rPr>
          <w:b/>
          <w:bCs/>
        </w:rPr>
        <w:t xml:space="preserve"> </w:t>
      </w:r>
    </w:p>
  </w:footnote>
  <w:footnote w:id="102">
    <w:p w14:paraId="7B4589E0" w14:textId="77777777" w:rsidR="0061532C" w:rsidRPr="00021ADA" w:rsidRDefault="0061532C" w:rsidP="00ED3016">
      <w:pPr>
        <w:pStyle w:val="Allmrkusetekst"/>
      </w:pPr>
      <w:r>
        <w:rPr>
          <w:rStyle w:val="Allmrkuseviide"/>
        </w:rPr>
        <w:footnoteRef/>
      </w:r>
      <w:r w:rsidRPr="00021ADA">
        <w:rPr>
          <w:lang w:val="en-IE"/>
        </w:rPr>
        <w:tab/>
      </w:r>
      <w:r w:rsidRPr="006A3141">
        <w:rPr>
          <w:lang w:val="en-IE"/>
        </w:rPr>
        <w:t xml:space="preserve">Council Conclusions on Human Rights and Decent Work in Global Supply </w:t>
      </w:r>
      <w:r w:rsidRPr="006A3141">
        <w:t>Chains</w:t>
      </w:r>
      <w:r>
        <w:t xml:space="preserve">, </w:t>
      </w:r>
      <w:r w:rsidRPr="006A3141">
        <w:t>1 December 2020</w:t>
      </w:r>
      <w:r>
        <w:t xml:space="preserve"> (13512/20).</w:t>
      </w:r>
      <w:r w:rsidRPr="00882ACF">
        <w:t xml:space="preserve"> </w:t>
      </w:r>
    </w:p>
  </w:footnote>
  <w:footnote w:id="103">
    <w:p w14:paraId="35C74C17" w14:textId="77777777" w:rsidR="0061532C" w:rsidRPr="00DF1E68" w:rsidRDefault="0061532C" w:rsidP="00ED3016">
      <w:pPr>
        <w:pStyle w:val="Allmrkusetekst"/>
        <w:rPr>
          <w:lang w:val="en-IE"/>
        </w:rPr>
      </w:pPr>
      <w:r>
        <w:rPr>
          <w:rStyle w:val="Allmrkuseviide"/>
        </w:rPr>
        <w:footnoteRef/>
      </w:r>
      <w:r w:rsidRPr="00A24370">
        <w:rPr>
          <w:lang w:val="en-IE"/>
        </w:rPr>
        <w:tab/>
      </w:r>
      <w:r w:rsidRPr="00021ADA">
        <w:t>Joint declaration of the European Parliament, the Council of the European Union and the European Commission on EU Legislative Priorities for 2022</w:t>
      </w:r>
      <w:r>
        <w:rPr>
          <w:lang w:val="en-IE"/>
        </w:rPr>
        <w:t xml:space="preserve">, available at </w:t>
      </w:r>
      <w:hyperlink r:id="rId28" w:history="1">
        <w:r w:rsidRPr="00FF621A">
          <w:rPr>
            <w:rStyle w:val="Hperlink"/>
            <w:lang w:val="en-IE"/>
          </w:rPr>
          <w:t>https://ec.europa.eu/info/sites/default/files/joint_declaration_2022.pdf</w:t>
        </w:r>
      </w:hyperlink>
      <w:r>
        <w:rPr>
          <w:lang w:val="en-IE"/>
        </w:rPr>
        <w:t>.</w:t>
      </w:r>
    </w:p>
  </w:footnote>
  <w:footnote w:id="104">
    <w:p w14:paraId="39BECF9E" w14:textId="77777777" w:rsidR="0061532C" w:rsidRPr="00833A76" w:rsidRDefault="0061532C" w:rsidP="00AF58E9">
      <w:pPr>
        <w:pStyle w:val="Allmrkusetekst"/>
        <w:rPr>
          <w:lang w:val="et-EE"/>
        </w:rPr>
      </w:pPr>
      <w:r>
        <w:rPr>
          <w:rStyle w:val="Allmrkuseviide"/>
        </w:rPr>
        <w:footnoteRef/>
      </w:r>
      <w:r>
        <w:rPr>
          <w:lang w:val="en-IE"/>
        </w:rPr>
        <w:tab/>
      </w:r>
      <w:r w:rsidRPr="00A36985">
        <w:rPr>
          <w:lang w:val="en-IE"/>
        </w:rPr>
        <w:t>Directive (EU) 2018/957 of the European Parliament and of the Council of 28 June 2018 amending Directive 96/71/EC concerning the posting of workers in the framework of the provision of services (OJ L 173, 9.7.2018, p. 16)</w:t>
      </w:r>
      <w:r>
        <w:rPr>
          <w:lang w:val="en-IE"/>
        </w:rPr>
        <w:t>.</w:t>
      </w:r>
    </w:p>
  </w:footnote>
  <w:footnote w:id="105">
    <w:p w14:paraId="682FC241" w14:textId="77777777" w:rsidR="0061532C" w:rsidRPr="004C6956" w:rsidRDefault="0061532C" w:rsidP="00ED3016">
      <w:pPr>
        <w:pStyle w:val="Allmrkusetekst"/>
        <w:rPr>
          <w:lang w:val="et-EE"/>
        </w:rPr>
      </w:pPr>
      <w:r>
        <w:rPr>
          <w:rStyle w:val="Allmrkuseviide"/>
        </w:rPr>
        <w:footnoteRef/>
      </w:r>
      <w:r w:rsidRPr="004C6956">
        <w:rPr>
          <w:lang w:val="et-EE"/>
        </w:rPr>
        <w:tab/>
      </w:r>
      <w:hyperlink w:history="1"/>
      <w:hyperlink r:id="rId29" w:history="1">
        <w:r w:rsidRPr="004C6956">
          <w:rPr>
            <w:rStyle w:val="Hperlink"/>
            <w:lang w:val="et-EE"/>
          </w:rPr>
          <w:t>https://www.ungpreporting.org/wp-content/uploads/UNGPReportingFramework_withguidance2017.pdf</w:t>
        </w:r>
      </w:hyperlink>
      <w:r w:rsidRPr="004C6956">
        <w:rPr>
          <w:rStyle w:val="Hperlink"/>
          <w:lang w:val="et-EE"/>
        </w:rPr>
        <w:t>.</w:t>
      </w:r>
      <w:r w:rsidRPr="004C6956">
        <w:rPr>
          <w:lang w:val="et-EE"/>
        </w:rPr>
        <w:t xml:space="preserve"> </w:t>
      </w:r>
    </w:p>
  </w:footnote>
  <w:footnote w:id="106">
    <w:p w14:paraId="0B3C19FF" w14:textId="77777777" w:rsidR="0061532C" w:rsidRPr="004C6956" w:rsidRDefault="0061532C">
      <w:pPr>
        <w:pStyle w:val="Allmrkusetekst"/>
        <w:rPr>
          <w:lang w:val="et-EE"/>
        </w:rPr>
      </w:pPr>
      <w:r>
        <w:rPr>
          <w:rStyle w:val="Allmrkuseviide"/>
        </w:rPr>
        <w:footnoteRef/>
      </w:r>
      <w:r w:rsidRPr="004C6956">
        <w:rPr>
          <w:lang w:val="et-EE"/>
        </w:rPr>
        <w:tab/>
      </w:r>
      <w:hyperlink r:id="rId30" w:history="1">
        <w:r w:rsidRPr="004C6956">
          <w:rPr>
            <w:rStyle w:val="Hperlink"/>
            <w:lang w:val="et-EE"/>
          </w:rPr>
          <w:t>https://www.ohchr.org/Documents/Issues/Business/RtRInterpretativeGuide.pdf</w:t>
        </w:r>
      </w:hyperlink>
      <w:r w:rsidRPr="004C6956">
        <w:rPr>
          <w:lang w:val="et-EE"/>
        </w:rPr>
        <w:t>.</w:t>
      </w:r>
      <w:r w:rsidRPr="004C6956">
        <w:rPr>
          <w:rStyle w:val="Hperlink"/>
          <w:lang w:val="et-EE"/>
        </w:rPr>
        <w:t>https://www.ohchr.org/Documents/Issues/Business/RtRInterpretativeGuide.pdf</w:t>
      </w:r>
      <w:r w:rsidRPr="004C6956">
        <w:rPr>
          <w:lang w:val="et-EE"/>
        </w:rPr>
        <w:t>.</w:t>
      </w:r>
    </w:p>
  </w:footnote>
  <w:footnote w:id="107">
    <w:p w14:paraId="1BBE1212" w14:textId="77777777" w:rsidR="0061532C" w:rsidRPr="00764CC4" w:rsidRDefault="0061532C" w:rsidP="00B87765">
      <w:pPr>
        <w:pStyle w:val="Allmrkusetekst"/>
        <w:rPr>
          <w:lang w:val="en-IE"/>
        </w:rPr>
      </w:pPr>
      <w:r>
        <w:rPr>
          <w:rStyle w:val="Allmrkuseviide"/>
        </w:rPr>
        <w:footnoteRef/>
      </w:r>
      <w:r>
        <w:tab/>
        <w:t>Directive</w:t>
      </w:r>
      <w:r w:rsidRPr="00671821">
        <w:t xml:space="preserve"> (EU) 2019/1937 of the European Parliament and of the Council of 23 October 2019 on the protection of persons who report breaches of Union law</w:t>
      </w:r>
      <w:r>
        <w:t xml:space="preserve"> (</w:t>
      </w:r>
      <w:r w:rsidRPr="00230F4F">
        <w:t>OJ L 305, 26.11.2019, p. 17).</w:t>
      </w:r>
    </w:p>
  </w:footnote>
  <w:footnote w:id="108">
    <w:p w14:paraId="6F2B18BA" w14:textId="77777777" w:rsidR="0061532C" w:rsidRPr="00461081" w:rsidRDefault="0061532C">
      <w:pPr>
        <w:pStyle w:val="Allmrkusetekst"/>
        <w:rPr>
          <w:lang w:val="en-IE"/>
        </w:rPr>
      </w:pPr>
      <w:r w:rsidRPr="002C2AA5">
        <w:rPr>
          <w:rStyle w:val="Allmrkuseviide"/>
        </w:rPr>
        <w:footnoteRef/>
      </w:r>
      <w:r>
        <w:tab/>
      </w:r>
      <w:r w:rsidRPr="00A64533">
        <w:t>OJ L 123, 12.5.2016, p. 1</w:t>
      </w:r>
      <w:r>
        <w:t>.</w:t>
      </w:r>
    </w:p>
  </w:footnote>
  <w:footnote w:id="109">
    <w:p w14:paraId="63608E2E" w14:textId="77777777" w:rsidR="0061532C" w:rsidRPr="009775B9" w:rsidRDefault="0061532C" w:rsidP="00963225">
      <w:pPr>
        <w:pStyle w:val="Allmrkusetekst"/>
        <w:rPr>
          <w:lang w:val="en-IE"/>
        </w:rPr>
      </w:pPr>
      <w:r>
        <w:rPr>
          <w:rStyle w:val="Allmrkuseviide"/>
        </w:rPr>
        <w:footnoteRef/>
      </w:r>
      <w:r>
        <w:tab/>
      </w:r>
      <w:r w:rsidRPr="009775B9">
        <w:t xml:space="preserve">Regulation (EU) 2016/679 of the European Parliament and of the Council of 27 April 2016 on the protection of natural persons with regard to the processing of personal data and on the free movement of such data, and repealing </w:t>
      </w:r>
      <w:r>
        <w:t>Directive</w:t>
      </w:r>
      <w:r w:rsidRPr="009775B9">
        <w:t xml:space="preserve"> 95/46/EC (General Data Protection Regulation) OJ L 119, 4.5.2016, p. 1–88.</w:t>
      </w:r>
    </w:p>
  </w:footnote>
  <w:footnote w:id="110">
    <w:p w14:paraId="0A3B693C" w14:textId="77777777" w:rsidR="0061532C" w:rsidRPr="00B57CA3" w:rsidRDefault="0061532C" w:rsidP="00963225">
      <w:pPr>
        <w:pStyle w:val="Allmrkusetekst"/>
        <w:rPr>
          <w:lang w:val="en-IE"/>
        </w:rPr>
      </w:pPr>
      <w:r>
        <w:rPr>
          <w:rStyle w:val="Allmrkuseviide"/>
        </w:rPr>
        <w:footnoteRef/>
      </w:r>
      <w:r>
        <w:tab/>
      </w:r>
      <w:r w:rsidRPr="00B57CA3">
        <w:t>Regulation (EU) 2018/1725 of the European Parliament and of the Council of 23 October 2018 on the protection of natural persons with regard to the processing of personal data by the Union institutions, bodies, offices and agencies and on the free movement of such data</w:t>
      </w:r>
      <w:r>
        <w:t xml:space="preserve"> (OJ L 295, 21.11.2018, p. 39).</w:t>
      </w:r>
    </w:p>
  </w:footnote>
  <w:footnote w:id="111">
    <w:p w14:paraId="65F33267" w14:textId="77777777" w:rsidR="0061532C" w:rsidRPr="005E4CE1" w:rsidRDefault="0061532C" w:rsidP="00343D24">
      <w:pPr>
        <w:pStyle w:val="Allmrkusetekst"/>
      </w:pPr>
      <w:r w:rsidRPr="00263D48">
        <w:rPr>
          <w:rStyle w:val="Allmrkuseviide"/>
        </w:rPr>
        <w:footnoteRef/>
      </w:r>
      <w:r>
        <w:tab/>
      </w:r>
      <w:r w:rsidRPr="0095628B">
        <w:t xml:space="preserve">Directive 2013/34/EU of the European Parliament and of the Council of 26 June 2013 on the annual financial statements, consolidated financial statements and related reports of certain types of undertakings (OJ L </w:t>
      </w:r>
      <w:r w:rsidRPr="0095628B">
        <w:rPr>
          <w:rFonts w:hint="eastAsia"/>
        </w:rPr>
        <w:t>182</w:t>
      </w:r>
      <w:r w:rsidRPr="0095628B">
        <w:t>,</w:t>
      </w:r>
      <w:r w:rsidRPr="0095628B">
        <w:rPr>
          <w:rFonts w:hint="eastAsia"/>
        </w:rPr>
        <w:t xml:space="preserve"> 29.6.2013, p. 19</w:t>
      </w:r>
      <w:r>
        <w:t>).</w:t>
      </w:r>
    </w:p>
  </w:footnote>
  <w:footnote w:id="112">
    <w:p w14:paraId="3DE18251" w14:textId="77777777" w:rsidR="0061532C" w:rsidRDefault="0061532C" w:rsidP="00DA20CC">
      <w:pPr>
        <w:pStyle w:val="Allmrkusetekst"/>
      </w:pPr>
      <w:r w:rsidRPr="009A39C9">
        <w:rPr>
          <w:rStyle w:val="Allmrkuseviide"/>
        </w:rPr>
        <w:footnoteRef/>
      </w:r>
      <w:r>
        <w:tab/>
      </w:r>
      <w:r w:rsidRPr="00AB35F9">
        <w:t>Regulation (EU) No 575/2013 of the European Parliament and of the Council of 26 June 2013 on prudential requirements for credit institutions and investment firms and amending Regulation (EU) No 648/2012 (OJ L 176, 27.6.2013, p. 1).</w:t>
      </w:r>
    </w:p>
  </w:footnote>
  <w:footnote w:id="113">
    <w:p w14:paraId="0F5142A8" w14:textId="77777777" w:rsidR="0061532C" w:rsidRDefault="0061532C" w:rsidP="00DA20CC">
      <w:pPr>
        <w:pStyle w:val="Allmrkusetekst"/>
      </w:pPr>
      <w:r w:rsidRPr="009A39C9">
        <w:rPr>
          <w:rStyle w:val="Allmrkuseviide"/>
        </w:rPr>
        <w:footnoteRef/>
      </w:r>
      <w:r>
        <w:tab/>
      </w:r>
      <w:r w:rsidRPr="00AB35F9">
        <w:t>Directive 2014/65/EU of the European Parliament and of the Council of 15 May 2014 on markets in financial instruments and amending Directive 2002/92/EC and Directive 2011/61/EU (OJ L 173, 12.6.2014, p. 349).</w:t>
      </w:r>
    </w:p>
  </w:footnote>
  <w:footnote w:id="114">
    <w:p w14:paraId="3B76E9B8" w14:textId="77777777" w:rsidR="0061532C" w:rsidRDefault="0061532C" w:rsidP="00DA20CC">
      <w:pPr>
        <w:pStyle w:val="Allmrkusetekst"/>
      </w:pPr>
      <w:r w:rsidRPr="009A39C9">
        <w:rPr>
          <w:rStyle w:val="Allmrkuseviide"/>
        </w:rPr>
        <w:footnoteRef/>
      </w:r>
      <w:r>
        <w:tab/>
      </w:r>
      <w:r w:rsidRPr="00AB35F9">
        <w:t>Regulation (EU) No 345/2013 of the European Parliament and of the Council of 17 April 2013 on European venture capital funds (OJ L 115, 25.4.2013, p. 1).</w:t>
      </w:r>
    </w:p>
  </w:footnote>
  <w:footnote w:id="115">
    <w:p w14:paraId="5BF104A5" w14:textId="77777777" w:rsidR="0061532C" w:rsidRDefault="0061532C" w:rsidP="00DA20CC">
      <w:pPr>
        <w:pStyle w:val="Allmrkusetekst"/>
      </w:pPr>
      <w:r w:rsidRPr="009A39C9">
        <w:rPr>
          <w:rStyle w:val="Allmrkuseviide"/>
        </w:rPr>
        <w:footnoteRef/>
      </w:r>
      <w:r>
        <w:tab/>
      </w:r>
      <w:r w:rsidRPr="00AB35F9">
        <w:t>Regulation (EU) No 346/2013 of the European Parliament and of the Council of 17 April 2013 on European social entrepreneurship funds (OJ L 115, 25.4.2013, p. 18).</w:t>
      </w:r>
    </w:p>
  </w:footnote>
  <w:footnote w:id="116">
    <w:p w14:paraId="484C0EC0" w14:textId="77777777" w:rsidR="0061532C" w:rsidRDefault="0061532C" w:rsidP="00DA20CC">
      <w:pPr>
        <w:pStyle w:val="Allmrkusetekst"/>
      </w:pPr>
      <w:r w:rsidRPr="009A39C9">
        <w:rPr>
          <w:rStyle w:val="Allmrkuseviide"/>
        </w:rPr>
        <w:footnoteRef/>
      </w:r>
      <w:r>
        <w:tab/>
      </w:r>
      <w:r w:rsidRPr="00AB35F9">
        <w:t>Regulation (EU) 2015/760 of the European Parliament and of the Council of 29 April 2015 on European long-term investment funds (OJ L 123, 19.5.2015, p. 98).</w:t>
      </w:r>
    </w:p>
  </w:footnote>
  <w:footnote w:id="117">
    <w:p w14:paraId="28DEA94D" w14:textId="77777777" w:rsidR="0061532C" w:rsidRDefault="0061532C" w:rsidP="00DA20CC">
      <w:pPr>
        <w:pStyle w:val="Allmrkusetekst"/>
      </w:pPr>
      <w:r w:rsidRPr="009A39C9">
        <w:rPr>
          <w:rStyle w:val="Allmrkuseviide"/>
        </w:rPr>
        <w:footnoteRef/>
      </w:r>
      <w:r>
        <w:tab/>
      </w:r>
      <w:r w:rsidRPr="00AB35F9">
        <w:t>Directive 2009/65/EC of the European Parliament and of the Council of 13 July 2009 on the coordination of laws, regulations and administrative provisions relating to undertakings for collective investment in transferable securities (UCITS) (OJ L 302, 17.11.2009, p. 32).</w:t>
      </w:r>
    </w:p>
  </w:footnote>
  <w:footnote w:id="118">
    <w:p w14:paraId="0111C8BE" w14:textId="77777777" w:rsidR="0061532C" w:rsidRPr="00AB35F9" w:rsidRDefault="0061532C" w:rsidP="00DA20CC">
      <w:pPr>
        <w:pStyle w:val="Allmrkusetekst"/>
        <w:rPr>
          <w:lang w:val="ro-RO"/>
        </w:rPr>
      </w:pPr>
      <w:r w:rsidRPr="009A39C9">
        <w:rPr>
          <w:rStyle w:val="Allmrkuseviide"/>
        </w:rPr>
        <w:footnoteRef/>
      </w:r>
      <w:r>
        <w:tab/>
      </w:r>
      <w:r w:rsidRPr="00AB35F9">
        <w:t>Directive 2009/138/EC of the European Parliament and of the Council of 25 November 2009 on the taking-up and pursuit of the business of Insurance and Reinsurance (Solvency II) (OJ L 335, 17.12.2009, p. 1).</w:t>
      </w:r>
    </w:p>
  </w:footnote>
  <w:footnote w:id="119">
    <w:p w14:paraId="224EC55E" w14:textId="77777777" w:rsidR="0061532C" w:rsidRPr="00715B8D" w:rsidRDefault="0061532C" w:rsidP="00DA20CC">
      <w:pPr>
        <w:pStyle w:val="Allmrkusetekst"/>
      </w:pPr>
      <w:r w:rsidRPr="009A39C9">
        <w:rPr>
          <w:rStyle w:val="Allmrkuseviide"/>
        </w:rPr>
        <w:footnoteRef/>
      </w:r>
      <w:r>
        <w:tab/>
      </w:r>
      <w:r w:rsidRPr="00AB35F9">
        <w:t>Directive (EU) 2016/2341 of the European Parliament and of the Council of 14 December 2016 on the activities and supervision of institutions for occupational retirement provision (IORPs) (OJ L 354, 23.12.2016, p. 37).</w:t>
      </w:r>
    </w:p>
  </w:footnote>
  <w:footnote w:id="120">
    <w:p w14:paraId="42F65E4C" w14:textId="77777777" w:rsidR="0061532C" w:rsidRPr="00AB35F9" w:rsidRDefault="0061532C" w:rsidP="00DA20CC">
      <w:pPr>
        <w:pStyle w:val="Allmrkusetekst"/>
        <w:rPr>
          <w:lang w:val="ro-RO"/>
        </w:rPr>
      </w:pPr>
      <w:r w:rsidRPr="009A39C9">
        <w:rPr>
          <w:rStyle w:val="Allmrkuseviide"/>
        </w:rPr>
        <w:footnoteRef/>
      </w:r>
      <w:r>
        <w:tab/>
      </w:r>
      <w:r w:rsidRPr="00AB35F9">
        <w:t>Regulation (EC) No 883/2004 of the European Parliament and of the Council of 29 April 2004 on the coordination of social security systems (OJ L 166, 30.4.2004, p. 1).</w:t>
      </w:r>
    </w:p>
  </w:footnote>
  <w:footnote w:id="121">
    <w:p w14:paraId="008C62F7" w14:textId="77777777" w:rsidR="0061532C" w:rsidRPr="00715B8D" w:rsidRDefault="0061532C" w:rsidP="00DA20CC">
      <w:pPr>
        <w:pStyle w:val="Allmrkusetekst"/>
      </w:pPr>
      <w:r w:rsidRPr="009A39C9">
        <w:rPr>
          <w:rStyle w:val="Allmrkuseviide"/>
        </w:rPr>
        <w:footnoteRef/>
      </w:r>
      <w:r>
        <w:tab/>
      </w:r>
      <w:r w:rsidRPr="00AB35F9">
        <w:t>Regulation (EC) No 987/2009 of the European Parliament and of the Council of 16 September 2009 laying down the procedure for implementing Regulation (EC) No 883/2004 on the coordination of social security systems (OJ L 284, 30.10.2009, p. 1).</w:t>
      </w:r>
    </w:p>
  </w:footnote>
  <w:footnote w:id="122">
    <w:p w14:paraId="24BD5554" w14:textId="77777777" w:rsidR="0061532C" w:rsidRPr="004E2506" w:rsidRDefault="0061532C" w:rsidP="00DA20CC">
      <w:pPr>
        <w:pStyle w:val="Allmrkusetekst"/>
      </w:pPr>
      <w:r w:rsidRPr="009A39C9">
        <w:rPr>
          <w:rStyle w:val="Allmrkuseviide"/>
        </w:rPr>
        <w:footnoteRef/>
      </w:r>
      <w:r>
        <w:tab/>
      </w:r>
      <w:r w:rsidRPr="007007C8">
        <w:t>Regulation (EU) No 648/2012 of the European Parliament and of the Council of 4 July 2012 on OTC derivatives, central counterparties and trade repositories (OJ L 201, 27.7.2012, p. 1</w:t>
      </w:r>
      <w:r w:rsidRPr="004E2506">
        <w:t>).</w:t>
      </w:r>
    </w:p>
  </w:footnote>
  <w:footnote w:id="123">
    <w:p w14:paraId="0E7F48D1" w14:textId="77777777" w:rsidR="0061532C" w:rsidRPr="007007C8" w:rsidRDefault="0061532C" w:rsidP="00DA20CC">
      <w:pPr>
        <w:pStyle w:val="Allmrkusetekst"/>
      </w:pPr>
      <w:r w:rsidRPr="009A39C9">
        <w:rPr>
          <w:rStyle w:val="Allmrkuseviide"/>
        </w:rPr>
        <w:footnoteRef/>
      </w:r>
      <w:r>
        <w:tab/>
      </w:r>
      <w:r w:rsidRPr="00AB35F9">
        <w:t>Regulation (EU) No 909/2014 of the European Parliament and of the Council of 23 July 2014 on improving securities settlement in the European Union and on central securities depositories and amending Directives 98/26/EC and 2014/65/EU and Regulation (EU) No 236/2012 (OJ L 257, 28.8.2014, p. 1).</w:t>
      </w:r>
    </w:p>
  </w:footnote>
  <w:footnote w:id="124">
    <w:p w14:paraId="44193BFA" w14:textId="77777777" w:rsidR="0061532C" w:rsidRPr="00715B8D" w:rsidRDefault="0061532C" w:rsidP="00DA20CC">
      <w:pPr>
        <w:pStyle w:val="Allmrkusetekst"/>
      </w:pPr>
      <w:r w:rsidRPr="009A39C9">
        <w:rPr>
          <w:rStyle w:val="Allmrkuseviide"/>
        </w:rPr>
        <w:footnoteRef/>
      </w:r>
      <w:r>
        <w:tab/>
      </w:r>
      <w:r w:rsidRPr="00AB35F9">
        <w:t>Regulation (EU) 2017/2402 of the European Parliament and of the Council of 12 December 2017 laying down a general framework for securitisation and creating a specific framework for simple, transparent and standardised securitisation, and amending Directives 2009/65/EC, 2009/138/EC and 2011/61/EU and Regulations (EC) No 1060/2009 and (EU) No 648/2012 (OJ L 347, 28.12.2017, p. 35).</w:t>
      </w:r>
    </w:p>
  </w:footnote>
  <w:footnote w:id="125">
    <w:p w14:paraId="171EB0F0" w14:textId="77777777" w:rsidR="0061532C" w:rsidRPr="00BC7E90" w:rsidRDefault="0061532C" w:rsidP="00DA20CC">
      <w:pPr>
        <w:pStyle w:val="Allmrkusetekst"/>
        <w:rPr>
          <w:lang w:val="en-IE"/>
        </w:rPr>
      </w:pPr>
      <w:r w:rsidRPr="002946F3">
        <w:rPr>
          <w:rStyle w:val="Allmrkuseviide"/>
        </w:rPr>
        <w:footnoteRef/>
      </w:r>
      <w:r>
        <w:tab/>
      </w:r>
      <w:r w:rsidRPr="00BC7E90">
        <w:t>Directive (EU) 2015/2366 of the European Parliament and of the Council of 25 November 2015 on payment services in the internal market, amending Directives 2002/65/EC, 2009/110/EC and 2013/36/EU and Regulation (EU) No 1093/2010, and repealing Directive 2007/64/EC</w:t>
      </w:r>
      <w:r>
        <w:t xml:space="preserve"> (OJ L 337, 23.12.2015, p. 35).</w:t>
      </w:r>
    </w:p>
  </w:footnote>
  <w:footnote w:id="126">
    <w:p w14:paraId="0F76B185" w14:textId="77777777" w:rsidR="0061532C" w:rsidRPr="00BC7E90" w:rsidRDefault="0061532C" w:rsidP="00DA20CC">
      <w:pPr>
        <w:pStyle w:val="Allmrkusetekst"/>
        <w:rPr>
          <w:lang w:val="en-IE"/>
        </w:rPr>
      </w:pPr>
      <w:r w:rsidRPr="002946F3">
        <w:rPr>
          <w:rStyle w:val="Allmrkuseviide"/>
        </w:rPr>
        <w:footnoteRef/>
      </w:r>
      <w:r>
        <w:tab/>
        <w:t>Directive 2009/110/EC of the European Parliament and of the Council of 16 September 2009 on the taking up, pursuit and prudential supervision of the business of electronic money institutions amending Directives 2005/60/EC and 2006/48/EC and repealing Directive 2000/46/EC (OJ L 267, 10.10.2009, p. 7).</w:t>
      </w:r>
    </w:p>
  </w:footnote>
  <w:footnote w:id="127">
    <w:p w14:paraId="5784F5FC" w14:textId="77777777" w:rsidR="0061532C" w:rsidRPr="00BC7E90" w:rsidRDefault="0061532C" w:rsidP="00DA20CC">
      <w:pPr>
        <w:pStyle w:val="Allmrkusetekst"/>
        <w:rPr>
          <w:lang w:val="en-IE"/>
        </w:rPr>
      </w:pPr>
      <w:r w:rsidRPr="002946F3">
        <w:rPr>
          <w:rStyle w:val="Allmrkuseviide"/>
        </w:rPr>
        <w:footnoteRef/>
      </w:r>
      <w:r>
        <w:tab/>
        <w:t>Regulation (EU) 2020/1503 of the European Parliament and of the Council of 7 October 2020 on European crowdfunding service providers for business, and amending Regulation (EU) 2017/1129 and Directive (EU) 2019/1937 (</w:t>
      </w:r>
      <w:r w:rsidRPr="00BC7E90">
        <w:t>OJ L 347, 20.10.2020, p. 1</w:t>
      </w:r>
      <w:r>
        <w:t>).</w:t>
      </w:r>
    </w:p>
  </w:footnote>
  <w:footnote w:id="128">
    <w:p w14:paraId="22DDA701" w14:textId="77777777" w:rsidR="0061532C" w:rsidRDefault="0061532C" w:rsidP="00DA20CC">
      <w:pPr>
        <w:pStyle w:val="Allmrkusetekst"/>
      </w:pPr>
      <w:r w:rsidRPr="002946F3">
        <w:rPr>
          <w:rStyle w:val="Allmrkuseviide"/>
        </w:rPr>
        <w:footnoteRef/>
      </w:r>
      <w:r>
        <w:tab/>
      </w:r>
      <w:r w:rsidRPr="004329B1">
        <w:t>COM/2020/593 final</w:t>
      </w:r>
      <w:r>
        <w:t>.</w:t>
      </w:r>
    </w:p>
  </w:footnote>
  <w:footnote w:id="129">
    <w:p w14:paraId="2C5C9EC4" w14:textId="77777777" w:rsidR="0061532C" w:rsidRPr="009530A3" w:rsidRDefault="0061532C" w:rsidP="00343D24">
      <w:pPr>
        <w:pStyle w:val="Allmrkusetekst"/>
        <w:rPr>
          <w:lang w:val="hu-HU"/>
        </w:rPr>
      </w:pPr>
      <w:r>
        <w:rPr>
          <w:rStyle w:val="Allmrkuseviide"/>
        </w:rPr>
        <w:footnoteRef/>
      </w:r>
      <w:r>
        <w:rPr>
          <w:lang w:val="hu-HU"/>
        </w:rPr>
        <w:tab/>
      </w:r>
      <w:r>
        <w:rPr>
          <w:shd w:val="clear" w:color="auto" w:fill="FFFFFF"/>
        </w:rPr>
        <w:t>Directive</w:t>
      </w:r>
      <w:r w:rsidRPr="002E2D2C">
        <w:rPr>
          <w:shd w:val="clear" w:color="auto" w:fill="FFFFFF"/>
        </w:rPr>
        <w:t xml:space="preserve"> 2004/109/EC of the European Parliament and of the Council of 15 December 2004 on the harmonisation of transparency requirements in relation to information about issuers whose securities are admitted to trading on a regulated market and amending </w:t>
      </w:r>
      <w:r>
        <w:rPr>
          <w:shd w:val="clear" w:color="auto" w:fill="FFFFFF"/>
        </w:rPr>
        <w:t>Directive</w:t>
      </w:r>
      <w:r w:rsidRPr="002E2D2C">
        <w:rPr>
          <w:shd w:val="clear" w:color="auto" w:fill="FFFFFF"/>
        </w:rPr>
        <w:t xml:space="preserve"> 2001/34/EC (</w:t>
      </w:r>
      <w:r w:rsidRPr="00AC62DB">
        <w:t>OJ L 390, 31.12.2004, p. 38)</w:t>
      </w:r>
      <w:r>
        <w:t>.</w:t>
      </w:r>
    </w:p>
  </w:footnote>
  <w:footnote w:id="130">
    <w:p w14:paraId="78439107" w14:textId="77777777" w:rsidR="0061532C" w:rsidRPr="00D46184" w:rsidRDefault="0061532C" w:rsidP="00343D24">
      <w:pPr>
        <w:pStyle w:val="Allmrkusetekst"/>
        <w:rPr>
          <w:lang w:val="en-IE"/>
        </w:rPr>
      </w:pPr>
      <w:r w:rsidRPr="00263D48">
        <w:rPr>
          <w:rStyle w:val="Allmrkuseviide"/>
        </w:rPr>
        <w:footnoteRef/>
      </w:r>
      <w:r>
        <w:tab/>
      </w:r>
      <w:r w:rsidRPr="00F009CD">
        <w:rPr>
          <w:lang w:val="en-IE"/>
        </w:rPr>
        <w:t>Regulation (EC) No 1606/2002 of the European Parliament and of the Council of 19 Ju</w:t>
      </w:r>
      <w:r w:rsidRPr="00BE7846">
        <w:rPr>
          <w:lang w:val="en-IE"/>
        </w:rPr>
        <w:t>ly 2002</w:t>
      </w:r>
      <w:r>
        <w:rPr>
          <w:b/>
          <w:bCs/>
          <w:lang w:val="en-IE"/>
        </w:rPr>
        <w:t xml:space="preserve"> </w:t>
      </w:r>
      <w:r w:rsidRPr="00F52751">
        <w:rPr>
          <w:lang w:val="en-IE"/>
        </w:rPr>
        <w:t>on the application of international accounting standards</w:t>
      </w:r>
      <w:r w:rsidRPr="00D46184">
        <w:rPr>
          <w:lang w:val="en-IE"/>
        </w:rPr>
        <w:t xml:space="preserve"> (OJ L 243, 11.9.2002, p.1)</w:t>
      </w:r>
      <w:r>
        <w:rPr>
          <w:lang w:val="en-IE"/>
        </w:rPr>
        <w:t>.</w:t>
      </w:r>
    </w:p>
  </w:footnote>
  <w:footnote w:id="131">
    <w:p w14:paraId="531FB2DA" w14:textId="77777777" w:rsidR="0061532C" w:rsidRPr="007D2404" w:rsidRDefault="0061532C" w:rsidP="00BC6E3D">
      <w:pPr>
        <w:pStyle w:val="Allmrkusetekst"/>
        <w:rPr>
          <w:lang w:val="lt-LT"/>
        </w:rPr>
      </w:pPr>
      <w:r>
        <w:rPr>
          <w:rStyle w:val="Allmrkuseviide"/>
        </w:rPr>
        <w:t>+</w:t>
      </w:r>
      <w:r>
        <w:t xml:space="preserve"> </w:t>
      </w:r>
      <w:r>
        <w:rPr>
          <w:lang w:val="lt-LT"/>
        </w:rPr>
        <w:tab/>
      </w:r>
      <w:r w:rsidRPr="00500091">
        <w:rPr>
          <w:lang w:val="lt-LT"/>
        </w:rPr>
        <w:t xml:space="preserve">OJ: Please insert in the text the number </w:t>
      </w:r>
      <w:r>
        <w:rPr>
          <w:lang w:val="lt-LT"/>
        </w:rPr>
        <w:t xml:space="preserve">and the date </w:t>
      </w:r>
      <w:r w:rsidRPr="00500091">
        <w:rPr>
          <w:lang w:val="lt-LT"/>
        </w:rPr>
        <w:t xml:space="preserve">of the Directive contained in document </w:t>
      </w:r>
      <w:r>
        <w:rPr>
          <w:lang w:val="lt-LT"/>
        </w:rPr>
        <w:t>...</w:t>
      </w:r>
      <w:r w:rsidRPr="00500091">
        <w:rPr>
          <w:lang w:val="lt-LT"/>
        </w:rPr>
        <w:t xml:space="preserve"> and insert the OJ reference of that Directive in the footnote.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1E0C184"/>
    <w:lvl w:ilvl="0">
      <w:start w:val="1"/>
      <w:numFmt w:val="decimal"/>
      <w:pStyle w:val="Loendinumber3"/>
      <w:lvlText w:val="%1."/>
      <w:lvlJc w:val="left"/>
      <w:pPr>
        <w:tabs>
          <w:tab w:val="num" w:pos="926"/>
        </w:tabs>
        <w:ind w:left="926" w:hanging="360"/>
      </w:pPr>
    </w:lvl>
  </w:abstractNum>
  <w:abstractNum w:abstractNumId="1" w15:restartNumberingAfterBreak="0">
    <w:nsid w:val="FFFFFF7F"/>
    <w:multiLevelType w:val="singleLevel"/>
    <w:tmpl w:val="755A95C6"/>
    <w:lvl w:ilvl="0">
      <w:start w:val="1"/>
      <w:numFmt w:val="decimal"/>
      <w:pStyle w:val="Loendinumber2"/>
      <w:lvlText w:val="%1."/>
      <w:lvlJc w:val="left"/>
      <w:pPr>
        <w:tabs>
          <w:tab w:val="num" w:pos="643"/>
        </w:tabs>
        <w:ind w:left="643" w:hanging="360"/>
      </w:pPr>
    </w:lvl>
  </w:abstractNum>
  <w:abstractNum w:abstractNumId="2" w15:restartNumberingAfterBreak="0">
    <w:nsid w:val="FFFFFF83"/>
    <w:multiLevelType w:val="singleLevel"/>
    <w:tmpl w:val="1336669C"/>
    <w:lvl w:ilvl="0">
      <w:start w:val="1"/>
      <w:numFmt w:val="bullet"/>
      <w:pStyle w:val="Loenditpp2"/>
      <w:lvlText w:val=""/>
      <w:lvlJc w:val="left"/>
      <w:pPr>
        <w:tabs>
          <w:tab w:val="num" w:pos="-3610"/>
        </w:tabs>
        <w:ind w:left="-3610" w:hanging="360"/>
      </w:pPr>
      <w:rPr>
        <w:rFonts w:ascii="Symbol" w:hAnsi="Symbol" w:hint="default"/>
      </w:rPr>
    </w:lvl>
  </w:abstractNum>
  <w:abstractNum w:abstractNumId="3" w15:restartNumberingAfterBreak="0">
    <w:nsid w:val="FFFFFF89"/>
    <w:multiLevelType w:val="singleLevel"/>
    <w:tmpl w:val="E6889022"/>
    <w:lvl w:ilvl="0">
      <w:start w:val="1"/>
      <w:numFmt w:val="bullet"/>
      <w:pStyle w:val="Loenditpp"/>
      <w:lvlText w:val=""/>
      <w:lvlJc w:val="left"/>
      <w:pPr>
        <w:tabs>
          <w:tab w:val="num" w:pos="360"/>
        </w:tabs>
        <w:ind w:left="360" w:hanging="360"/>
      </w:pPr>
      <w:rPr>
        <w:rFonts w:ascii="Symbol" w:hAnsi="Symbol" w:hint="default"/>
      </w:rPr>
    </w:lvl>
  </w:abstractNum>
  <w:abstractNum w:abstractNumId="4" w15:restartNumberingAfterBreak="0">
    <w:nsid w:val="02291ABB"/>
    <w:multiLevelType w:val="hybridMultilevel"/>
    <w:tmpl w:val="16700468"/>
    <w:lvl w:ilvl="0" w:tplc="1E2CE05C">
      <w:start w:val="1"/>
      <w:numFmt w:val="lowerLetter"/>
      <w:pStyle w:val="Point1letterautonumber"/>
      <w:lvlText w:val="(%1)"/>
      <w:lvlJc w:val="left"/>
      <w:pPr>
        <w:ind w:left="1778" w:hanging="360"/>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C0019" w:tentative="1">
      <w:start w:val="1"/>
      <w:numFmt w:val="lowerLetter"/>
      <w:lvlText w:val="%2."/>
      <w:lvlJc w:val="left"/>
      <w:pPr>
        <w:ind w:left="1931" w:hanging="360"/>
      </w:pPr>
    </w:lvl>
    <w:lvl w:ilvl="2" w:tplc="080C001B" w:tentative="1">
      <w:start w:val="1"/>
      <w:numFmt w:val="lowerRoman"/>
      <w:lvlText w:val="%3."/>
      <w:lvlJc w:val="right"/>
      <w:pPr>
        <w:ind w:left="2651" w:hanging="180"/>
      </w:pPr>
    </w:lvl>
    <w:lvl w:ilvl="3" w:tplc="080C000F" w:tentative="1">
      <w:start w:val="1"/>
      <w:numFmt w:val="decimal"/>
      <w:lvlText w:val="%4."/>
      <w:lvlJc w:val="left"/>
      <w:pPr>
        <w:ind w:left="3371" w:hanging="360"/>
      </w:pPr>
    </w:lvl>
    <w:lvl w:ilvl="4" w:tplc="080C0019" w:tentative="1">
      <w:start w:val="1"/>
      <w:numFmt w:val="lowerLetter"/>
      <w:lvlText w:val="%5."/>
      <w:lvlJc w:val="left"/>
      <w:pPr>
        <w:ind w:left="4091" w:hanging="360"/>
      </w:pPr>
    </w:lvl>
    <w:lvl w:ilvl="5" w:tplc="080C001B" w:tentative="1">
      <w:start w:val="1"/>
      <w:numFmt w:val="lowerRoman"/>
      <w:lvlText w:val="%6."/>
      <w:lvlJc w:val="right"/>
      <w:pPr>
        <w:ind w:left="4811" w:hanging="180"/>
      </w:pPr>
    </w:lvl>
    <w:lvl w:ilvl="6" w:tplc="080C000F" w:tentative="1">
      <w:start w:val="1"/>
      <w:numFmt w:val="decimal"/>
      <w:lvlText w:val="%7."/>
      <w:lvlJc w:val="left"/>
      <w:pPr>
        <w:ind w:left="5531" w:hanging="360"/>
      </w:pPr>
    </w:lvl>
    <w:lvl w:ilvl="7" w:tplc="080C0019" w:tentative="1">
      <w:start w:val="1"/>
      <w:numFmt w:val="lowerLetter"/>
      <w:lvlText w:val="%8."/>
      <w:lvlJc w:val="left"/>
      <w:pPr>
        <w:ind w:left="6251" w:hanging="360"/>
      </w:pPr>
    </w:lvl>
    <w:lvl w:ilvl="8" w:tplc="080C001B" w:tentative="1">
      <w:start w:val="1"/>
      <w:numFmt w:val="lowerRoman"/>
      <w:lvlText w:val="%9."/>
      <w:lvlJc w:val="right"/>
      <w:pPr>
        <w:ind w:left="6971" w:hanging="180"/>
      </w:pPr>
    </w:lvl>
  </w:abstractNum>
  <w:abstractNum w:abstractNumId="5"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15:restartNumberingAfterBreak="0">
    <w:nsid w:val="2E1C2AE5"/>
    <w:multiLevelType w:val="hybridMultilevel"/>
    <w:tmpl w:val="D8061BDA"/>
    <w:lvl w:ilvl="0" w:tplc="D29EABA4">
      <w:start w:val="1"/>
      <w:numFmt w:val="decimal"/>
      <w:pStyle w:val="Loendinumber"/>
      <w:lvlText w:val="%1."/>
      <w:lvlJc w:val="left"/>
      <w:pPr>
        <w:ind w:left="720" w:hanging="360"/>
      </w:pPr>
      <w:rPr>
        <w:rFonts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30283C29"/>
    <w:multiLevelType w:val="multilevel"/>
    <w:tmpl w:val="080C001D"/>
    <w:styleLink w:val="ListstyleSCGpoin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lvl w:ilvl="0">
      <w:start w:val="1"/>
      <w:numFmt w:val="decimal"/>
      <w:lvlRestart w:val="0"/>
      <w:pStyle w:val="Pealkiri1"/>
      <w:lvlText w:val="%1."/>
      <w:lvlJc w:val="left"/>
      <w:pPr>
        <w:tabs>
          <w:tab w:val="num" w:pos="850"/>
        </w:tabs>
        <w:ind w:left="850" w:hanging="850"/>
      </w:pPr>
    </w:lvl>
    <w:lvl w:ilvl="1">
      <w:start w:val="1"/>
      <w:numFmt w:val="decimal"/>
      <w:pStyle w:val="Pealkiri2"/>
      <w:lvlText w:val="%1.%2."/>
      <w:lvlJc w:val="left"/>
      <w:pPr>
        <w:tabs>
          <w:tab w:val="num" w:pos="850"/>
        </w:tabs>
        <w:ind w:left="850" w:hanging="850"/>
      </w:pPr>
    </w:lvl>
    <w:lvl w:ilvl="2">
      <w:start w:val="1"/>
      <w:numFmt w:val="decimal"/>
      <w:pStyle w:val="Pealkiri3"/>
      <w:lvlText w:val="%1.%2.%3."/>
      <w:lvlJc w:val="left"/>
      <w:pPr>
        <w:tabs>
          <w:tab w:val="num" w:pos="850"/>
        </w:tabs>
        <w:ind w:left="850" w:hanging="850"/>
      </w:pPr>
    </w:lvl>
    <w:lvl w:ilvl="3">
      <w:start w:val="1"/>
      <w:numFmt w:val="decimal"/>
      <w:pStyle w:val="Pealkiri4"/>
      <w:lvlText w:val="%1.%2.%3.%4."/>
      <w:lvlJc w:val="left"/>
      <w:pPr>
        <w:tabs>
          <w:tab w:val="num" w:pos="850"/>
        </w:tabs>
        <w:ind w:left="850" w:hanging="850"/>
      </w:pPr>
    </w:lvl>
    <w:lvl w:ilvl="4">
      <w:start w:val="1"/>
      <w:numFmt w:val="decimal"/>
      <w:pStyle w:val="Pealkiri5"/>
      <w:lvlText w:val="%1.%2.%3.%4.%5."/>
      <w:lvlJc w:val="left"/>
      <w:pPr>
        <w:tabs>
          <w:tab w:val="num" w:pos="1417"/>
        </w:tabs>
        <w:ind w:left="1417" w:hanging="1417"/>
      </w:pPr>
    </w:lvl>
    <w:lvl w:ilvl="5">
      <w:start w:val="1"/>
      <w:numFmt w:val="decimal"/>
      <w:pStyle w:val="Pealkiri6"/>
      <w:lvlText w:val="%1.%2.%3.%4.%5.%6."/>
      <w:lvlJc w:val="left"/>
      <w:pPr>
        <w:tabs>
          <w:tab w:val="num" w:pos="1417"/>
        </w:tabs>
        <w:ind w:left="1417" w:hanging="1417"/>
      </w:pPr>
    </w:lvl>
    <w:lvl w:ilvl="6">
      <w:start w:val="1"/>
      <w:numFmt w:val="decimal"/>
      <w:pStyle w:val="Pealkiri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num>
  <w:num w:numId="28">
    <w:abstractNumId w:val="21"/>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1"/>
  </w:num>
  <w:num w:numId="42">
    <w:abstractNumId w:val="20"/>
  </w:num>
  <w:num w:numId="43">
    <w:abstractNumId w:val="8"/>
  </w:num>
  <w:num w:numId="44">
    <w:abstractNumId w:val="12"/>
  </w:num>
  <w:num w:numId="45">
    <w:abstractNumId w:val="6"/>
  </w:num>
  <w:num w:numId="46">
    <w:abstractNumId w:val="19"/>
  </w:num>
  <w:num w:numId="47">
    <w:abstractNumId w:val="5"/>
  </w:num>
  <w:num w:numId="48">
    <w:abstractNumId w:val="14"/>
  </w:num>
  <w:num w:numId="49">
    <w:abstractNumId w:val="16"/>
  </w:num>
  <w:num w:numId="50">
    <w:abstractNumId w:val="17"/>
  </w:num>
  <w:num w:numId="51">
    <w:abstractNumId w:val="7"/>
  </w:num>
  <w:num w:numId="52">
    <w:abstractNumId w:val="15"/>
  </w:num>
  <w:num w:numId="53">
    <w:abstractNumId w:val="21"/>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num>
  <w:num w:numId="56">
    <w:abstractNumId w:val="19"/>
  </w:num>
  <w:num w:numId="57">
    <w:abstractNumId w:val="19"/>
  </w:num>
  <w:num w:numId="58">
    <w:abstractNumId w:val="13"/>
  </w:num>
  <w:num w:numId="59">
    <w:abstractNumId w:val="6"/>
  </w:num>
  <w:num w:numId="60">
    <w:abstractNumId w:val="6"/>
  </w:num>
  <w:num w:numId="61">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oNotDisplayPageBoundaries/>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de-DE" w:vendorID="64" w:dllVersion="131078" w:nlCheck="1" w:checkStyle="0"/>
  <w:activeWritingStyle w:appName="MSWord" w:lang="fr-FR" w:vendorID="64" w:dllVersion="131078" w:nlCheck="1" w:checkStyle="0"/>
  <w:activeWritingStyle w:appName="MSWord" w:lang="en-AU" w:vendorID="64" w:dllVersion="131078" w:nlCheck="1" w:checkStyle="1"/>
  <w:activeWritingStyle w:appName="MSWord" w:lang="es-ES_tradnl" w:vendorID="64" w:dllVersion="131078" w:nlCheck="1" w:checkStyle="0"/>
  <w:activeWritingStyle w:appName="MSWord" w:lang="es-ES" w:vendorID="64" w:dllVersion="131078" w:nlCheck="1" w:checkStyle="0"/>
  <w:activeWritingStyle w:appName="MSWord" w:lang="it-IT" w:vendorID="64" w:dllVersion="131078" w:nlCheck="1" w:checkStyle="0"/>
  <w:activeWritingStyle w:appName="MSWord" w:lang="fi-FI" w:vendorID="64" w:dllVersion="131078" w:nlCheck="1" w:checkStyle="0"/>
  <w:attachedTemplate r:id="rId1"/>
  <w:defaultTabStop w:val="0"/>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2-02-22 14:47:48"/>
    <w:docVar w:name="DQCNUMB_12" w:val="390"/>
    <w:docVar w:name="DQCNUMB_13" w:val="391"/>
    <w:docVar w:name="DQCNUMB_14" w:val="392"/>
    <w:docVar w:name="DQCNUMB_15" w:val="396"/>
    <w:docVar w:name="DQCNUMB_16" w:val="397"/>
    <w:docVar w:name="DQCNUMB_17" w:val="399"/>
    <w:docVar w:name="DQCNUMB_18" w:val="400"/>
    <w:docVar w:name="DQCNUMB_19" w:val="401"/>
    <w:docVar w:name="DQCNUMB_20" w:val="402"/>
    <w:docVar w:name="DQCNUMB_21" w:val="408"/>
    <w:docVar w:name="DQCNUMB_22" w:val="410"/>
    <w:docVar w:name="DQCNUMB_23" w:val="414"/>
    <w:docVar w:name="DQCNUMB_24" w:val="415"/>
    <w:docVar w:name="DQCNUMB_25" w:val="419"/>
    <w:docVar w:name="DQCNUMB_26" w:val="420"/>
    <w:docVar w:name="DQCNUMB_27" w:val="421"/>
    <w:docVar w:name="DQCNUMB_28" w:val="422"/>
    <w:docVar w:name="DQCNUMB_29" w:val="425"/>
    <w:docVar w:name="DQCNUMB_30" w:val="426"/>
    <w:docVar w:name="DQCNUMB_31" w:val="428"/>
    <w:docVar w:name="DQCNUMB_32" w:val="429"/>
    <w:docVar w:name="DQCNUMB_33" w:val="434"/>
    <w:docVar w:name="DQCNUMB_34" w:val="435"/>
    <w:docVar w:name="DQCNUMB_35" w:val="436"/>
    <w:docVar w:name="DQCNUMB_36" w:val="437"/>
    <w:docVar w:name="DQCNUMB_37" w:val="438"/>
    <w:docVar w:name="DQCNUMB_38" w:val="440"/>
    <w:docVar w:name="DQCNUMB_39" w:val="441"/>
    <w:docVar w:name="DQCNUMB_40" w:val="447"/>
    <w:docVar w:name="DQCNUMB_41" w:val="449"/>
    <w:docVar w:name="DQCNUMB_42" w:val="450"/>
    <w:docVar w:name="DQCNUMB_43" w:val="461"/>
    <w:docVar w:name="DQCNUMB_44" w:val="462"/>
    <w:docVar w:name="DQCNUMB_45" w:val="463"/>
    <w:docVar w:name="DQCNUMB_46" w:val="464"/>
    <w:docVar w:name="DQCNUMB_47" w:val="468"/>
    <w:docVar w:name="DQCNUMB_48" w:val="476"/>
    <w:docVar w:name="DQCResult_Distribution" w:val="0;1"/>
    <w:docVar w:name="DQCResult_DocumentContent" w:val="0;0"/>
    <w:docVar w:name="DQCResult_DocumentSize" w:val="0;0"/>
    <w:docVar w:name="DQCResult_DocumentVersions" w:val="0;0"/>
    <w:docVar w:name="DQCResult_InvalidFootnotes" w:val="0;1"/>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46"/>
    <w:docVar w:name="DQCResult_UnknownFonts" w:val="0;0"/>
    <w:docVar w:name="DQCResult_UnknownStyles" w:val="0;37"/>
    <w:docVar w:name="DQCStatus" w:val="Yellow"/>
    <w:docVar w:name="DQCVersion" w:val="3"/>
    <w:docVar w:name="DQCWithWarnings" w:val="0"/>
    <w:docVar w:name="LW_CORRIGENDUM" w:val="&lt;UNUSED&gt;"/>
    <w:docVar w:name="LW_COVERPAGE_EXISTS" w:val="True"/>
    <w:docVar w:name="LW_COVERPAGE_GUID" w:val="22DB5614-79FB-4E2A-B60C-9AB440EF2B23"/>
    <w:docVar w:name="LW_COVERPAGE_TYPE" w:val="1"/>
    <w:docVar w:name="LW_CROSSREFERENCE" w:val="{SEC(2022) 95 final} - {SWD(2022) 38 final} - {SWD(2022) 39 final} - {SWD(2022) 42 final} - {SWD(2022) 43 final}"/>
    <w:docVar w:name="LW_DocType" w:val="COM"/>
    <w:docVar w:name="LW_EMISSION" w:val="23.2.2022"/>
    <w:docVar w:name="LW_EMISSION_ISODATE" w:val="2022-02-23"/>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51"/>
    <w:docVar w:name="LW_REF.II.NEW.CP_YEAR" w:val="2022"/>
    <w:docVar w:name="LW_REF.INST.NEW" w:val="COM"/>
    <w:docVar w:name="LW_REF.INST.NEW_ADOPTED" w:val="final"/>
    <w:docVar w:name="LW_REF.INST.NEW_TEXT" w:val="(2022) 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Corporate Sustainability Due Diligence and amending Directive (EU) 2019/1937"/>
    <w:docVar w:name="LW_TYPE.DOC.CP" w:val="DIRECTIVE OF THE EUROPEAN PARLIAMENT AND OF THE COUNCIL"/>
    <w:docVar w:name="LwApiVersions" w:val="LW4CoDe 1.23.2.0; LW 8.0, Build 20211117"/>
  </w:docVars>
  <w:rsids>
    <w:rsidRoot w:val="0080592F"/>
    <w:rsid w:val="000000A0"/>
    <w:rsid w:val="000000AC"/>
    <w:rsid w:val="0000031C"/>
    <w:rsid w:val="000003B7"/>
    <w:rsid w:val="0000065B"/>
    <w:rsid w:val="00000710"/>
    <w:rsid w:val="0000080E"/>
    <w:rsid w:val="00000973"/>
    <w:rsid w:val="00000A80"/>
    <w:rsid w:val="00000BE4"/>
    <w:rsid w:val="00000BF8"/>
    <w:rsid w:val="00000CA8"/>
    <w:rsid w:val="000011D0"/>
    <w:rsid w:val="000019FA"/>
    <w:rsid w:val="00001A98"/>
    <w:rsid w:val="00001CE7"/>
    <w:rsid w:val="00001F04"/>
    <w:rsid w:val="0000213C"/>
    <w:rsid w:val="000021DB"/>
    <w:rsid w:val="0000249B"/>
    <w:rsid w:val="0000267E"/>
    <w:rsid w:val="00002810"/>
    <w:rsid w:val="0000293B"/>
    <w:rsid w:val="00002A90"/>
    <w:rsid w:val="00002B60"/>
    <w:rsid w:val="00002C43"/>
    <w:rsid w:val="00003255"/>
    <w:rsid w:val="00003319"/>
    <w:rsid w:val="00003399"/>
    <w:rsid w:val="000033A4"/>
    <w:rsid w:val="0000354B"/>
    <w:rsid w:val="000035CB"/>
    <w:rsid w:val="00003677"/>
    <w:rsid w:val="000037A9"/>
    <w:rsid w:val="00003B7D"/>
    <w:rsid w:val="00003C0A"/>
    <w:rsid w:val="00003C4A"/>
    <w:rsid w:val="00003E04"/>
    <w:rsid w:val="00003EFA"/>
    <w:rsid w:val="00003FF3"/>
    <w:rsid w:val="000040CD"/>
    <w:rsid w:val="0000465B"/>
    <w:rsid w:val="00004914"/>
    <w:rsid w:val="0000494D"/>
    <w:rsid w:val="0000513E"/>
    <w:rsid w:val="0000527D"/>
    <w:rsid w:val="000052CE"/>
    <w:rsid w:val="000053F1"/>
    <w:rsid w:val="0000542D"/>
    <w:rsid w:val="000054F6"/>
    <w:rsid w:val="00005508"/>
    <w:rsid w:val="00005516"/>
    <w:rsid w:val="00005735"/>
    <w:rsid w:val="00006378"/>
    <w:rsid w:val="000063AE"/>
    <w:rsid w:val="00006799"/>
    <w:rsid w:val="000069CA"/>
    <w:rsid w:val="00006AA4"/>
    <w:rsid w:val="00006C5D"/>
    <w:rsid w:val="00006D10"/>
    <w:rsid w:val="00006F22"/>
    <w:rsid w:val="00006F6D"/>
    <w:rsid w:val="00007041"/>
    <w:rsid w:val="000070BC"/>
    <w:rsid w:val="000070FF"/>
    <w:rsid w:val="00007728"/>
    <w:rsid w:val="00007B37"/>
    <w:rsid w:val="00007F93"/>
    <w:rsid w:val="0001015E"/>
    <w:rsid w:val="0001020C"/>
    <w:rsid w:val="00010287"/>
    <w:rsid w:val="000102DF"/>
    <w:rsid w:val="000104F6"/>
    <w:rsid w:val="00010B8F"/>
    <w:rsid w:val="00010BAE"/>
    <w:rsid w:val="00010E60"/>
    <w:rsid w:val="00010F64"/>
    <w:rsid w:val="000110C0"/>
    <w:rsid w:val="000111AF"/>
    <w:rsid w:val="000112B7"/>
    <w:rsid w:val="000113AF"/>
    <w:rsid w:val="0001144E"/>
    <w:rsid w:val="000119F2"/>
    <w:rsid w:val="00011C44"/>
    <w:rsid w:val="00011C46"/>
    <w:rsid w:val="00011C7B"/>
    <w:rsid w:val="000120B2"/>
    <w:rsid w:val="0001232C"/>
    <w:rsid w:val="00012725"/>
    <w:rsid w:val="00012878"/>
    <w:rsid w:val="0001296F"/>
    <w:rsid w:val="00012F6A"/>
    <w:rsid w:val="0001342D"/>
    <w:rsid w:val="00013794"/>
    <w:rsid w:val="00013A55"/>
    <w:rsid w:val="00013A5F"/>
    <w:rsid w:val="00013D83"/>
    <w:rsid w:val="000140FF"/>
    <w:rsid w:val="000141C3"/>
    <w:rsid w:val="00014433"/>
    <w:rsid w:val="00014836"/>
    <w:rsid w:val="00014C19"/>
    <w:rsid w:val="00014CEC"/>
    <w:rsid w:val="00014D3E"/>
    <w:rsid w:val="00014E6D"/>
    <w:rsid w:val="00015026"/>
    <w:rsid w:val="00015088"/>
    <w:rsid w:val="000150BE"/>
    <w:rsid w:val="000151E3"/>
    <w:rsid w:val="00015210"/>
    <w:rsid w:val="0001592D"/>
    <w:rsid w:val="000159B4"/>
    <w:rsid w:val="000159E5"/>
    <w:rsid w:val="0001600B"/>
    <w:rsid w:val="0001620D"/>
    <w:rsid w:val="00016785"/>
    <w:rsid w:val="00016C5A"/>
    <w:rsid w:val="00016E65"/>
    <w:rsid w:val="00017006"/>
    <w:rsid w:val="0001708F"/>
    <w:rsid w:val="000171D3"/>
    <w:rsid w:val="0001736E"/>
    <w:rsid w:val="000175BC"/>
    <w:rsid w:val="00017648"/>
    <w:rsid w:val="00017923"/>
    <w:rsid w:val="00017A7D"/>
    <w:rsid w:val="00017AEE"/>
    <w:rsid w:val="00017B27"/>
    <w:rsid w:val="00017DA9"/>
    <w:rsid w:val="00020085"/>
    <w:rsid w:val="0002008F"/>
    <w:rsid w:val="0002020D"/>
    <w:rsid w:val="00020478"/>
    <w:rsid w:val="00020655"/>
    <w:rsid w:val="00020780"/>
    <w:rsid w:val="000207B8"/>
    <w:rsid w:val="00020850"/>
    <w:rsid w:val="000208A8"/>
    <w:rsid w:val="0002091B"/>
    <w:rsid w:val="00020A8B"/>
    <w:rsid w:val="00020CD3"/>
    <w:rsid w:val="00020EFA"/>
    <w:rsid w:val="00020F4A"/>
    <w:rsid w:val="00020F85"/>
    <w:rsid w:val="00021139"/>
    <w:rsid w:val="00021629"/>
    <w:rsid w:val="00021ADA"/>
    <w:rsid w:val="000221F9"/>
    <w:rsid w:val="00022265"/>
    <w:rsid w:val="0002244E"/>
    <w:rsid w:val="0002256A"/>
    <w:rsid w:val="00022588"/>
    <w:rsid w:val="00022947"/>
    <w:rsid w:val="00022B45"/>
    <w:rsid w:val="00022B65"/>
    <w:rsid w:val="0002305C"/>
    <w:rsid w:val="00023453"/>
    <w:rsid w:val="000238D3"/>
    <w:rsid w:val="00023AC7"/>
    <w:rsid w:val="00023AED"/>
    <w:rsid w:val="00023AF5"/>
    <w:rsid w:val="00023F12"/>
    <w:rsid w:val="0002418C"/>
    <w:rsid w:val="000243B3"/>
    <w:rsid w:val="00024655"/>
    <w:rsid w:val="000247D5"/>
    <w:rsid w:val="00024875"/>
    <w:rsid w:val="00024A41"/>
    <w:rsid w:val="00024B1A"/>
    <w:rsid w:val="00024B7F"/>
    <w:rsid w:val="00024EAA"/>
    <w:rsid w:val="000253B4"/>
    <w:rsid w:val="000254C1"/>
    <w:rsid w:val="0002554F"/>
    <w:rsid w:val="00025713"/>
    <w:rsid w:val="00025743"/>
    <w:rsid w:val="000257E8"/>
    <w:rsid w:val="000259BB"/>
    <w:rsid w:val="00025B8B"/>
    <w:rsid w:val="00025BB7"/>
    <w:rsid w:val="00025D3E"/>
    <w:rsid w:val="00025FD3"/>
    <w:rsid w:val="00026355"/>
    <w:rsid w:val="0002648E"/>
    <w:rsid w:val="00026AC7"/>
    <w:rsid w:val="00026B2F"/>
    <w:rsid w:val="00026C6B"/>
    <w:rsid w:val="00026C72"/>
    <w:rsid w:val="00026CC4"/>
    <w:rsid w:val="00027530"/>
    <w:rsid w:val="0002780B"/>
    <w:rsid w:val="00027B02"/>
    <w:rsid w:val="00027F00"/>
    <w:rsid w:val="00027FF8"/>
    <w:rsid w:val="000300D6"/>
    <w:rsid w:val="000304CB"/>
    <w:rsid w:val="00030519"/>
    <w:rsid w:val="000306B1"/>
    <w:rsid w:val="000306E0"/>
    <w:rsid w:val="00030932"/>
    <w:rsid w:val="00030A8C"/>
    <w:rsid w:val="00030BE2"/>
    <w:rsid w:val="00030D79"/>
    <w:rsid w:val="00030DA6"/>
    <w:rsid w:val="00030EDD"/>
    <w:rsid w:val="00030FCA"/>
    <w:rsid w:val="00031385"/>
    <w:rsid w:val="0003147B"/>
    <w:rsid w:val="000315AD"/>
    <w:rsid w:val="00031801"/>
    <w:rsid w:val="000319CF"/>
    <w:rsid w:val="000319D3"/>
    <w:rsid w:val="00031A3D"/>
    <w:rsid w:val="00031C22"/>
    <w:rsid w:val="00031CC7"/>
    <w:rsid w:val="00031D3F"/>
    <w:rsid w:val="00031F1A"/>
    <w:rsid w:val="00031F44"/>
    <w:rsid w:val="000320E4"/>
    <w:rsid w:val="00032E23"/>
    <w:rsid w:val="0003308B"/>
    <w:rsid w:val="00033689"/>
    <w:rsid w:val="0003384A"/>
    <w:rsid w:val="000338CB"/>
    <w:rsid w:val="00033965"/>
    <w:rsid w:val="00033994"/>
    <w:rsid w:val="000339E5"/>
    <w:rsid w:val="00033C0E"/>
    <w:rsid w:val="00033C87"/>
    <w:rsid w:val="00033F70"/>
    <w:rsid w:val="000341F3"/>
    <w:rsid w:val="00034260"/>
    <w:rsid w:val="00034726"/>
    <w:rsid w:val="00034744"/>
    <w:rsid w:val="000349C3"/>
    <w:rsid w:val="00034A0F"/>
    <w:rsid w:val="00034AD0"/>
    <w:rsid w:val="00034AFF"/>
    <w:rsid w:val="00034B0C"/>
    <w:rsid w:val="00034CF1"/>
    <w:rsid w:val="00034DC7"/>
    <w:rsid w:val="00034EC8"/>
    <w:rsid w:val="00034EF1"/>
    <w:rsid w:val="000350F2"/>
    <w:rsid w:val="0003523E"/>
    <w:rsid w:val="000352D2"/>
    <w:rsid w:val="000353C6"/>
    <w:rsid w:val="000357D5"/>
    <w:rsid w:val="00035970"/>
    <w:rsid w:val="00035CD2"/>
    <w:rsid w:val="00035DC9"/>
    <w:rsid w:val="00035EB3"/>
    <w:rsid w:val="00036119"/>
    <w:rsid w:val="0003617B"/>
    <w:rsid w:val="00036218"/>
    <w:rsid w:val="00036272"/>
    <w:rsid w:val="0003666F"/>
    <w:rsid w:val="00036777"/>
    <w:rsid w:val="00036824"/>
    <w:rsid w:val="0003685A"/>
    <w:rsid w:val="000369B9"/>
    <w:rsid w:val="00036BE1"/>
    <w:rsid w:val="00036F5A"/>
    <w:rsid w:val="00036F6E"/>
    <w:rsid w:val="000372BC"/>
    <w:rsid w:val="000372D0"/>
    <w:rsid w:val="00037448"/>
    <w:rsid w:val="00037593"/>
    <w:rsid w:val="00037635"/>
    <w:rsid w:val="0003799E"/>
    <w:rsid w:val="000379AD"/>
    <w:rsid w:val="00037EAC"/>
    <w:rsid w:val="00037F9E"/>
    <w:rsid w:val="0004030F"/>
    <w:rsid w:val="00040359"/>
    <w:rsid w:val="00040BB8"/>
    <w:rsid w:val="00040D4A"/>
    <w:rsid w:val="00040F32"/>
    <w:rsid w:val="00040F70"/>
    <w:rsid w:val="00041875"/>
    <w:rsid w:val="00041913"/>
    <w:rsid w:val="00041951"/>
    <w:rsid w:val="000419DA"/>
    <w:rsid w:val="00041CDA"/>
    <w:rsid w:val="00041D2C"/>
    <w:rsid w:val="00041DB5"/>
    <w:rsid w:val="000422FB"/>
    <w:rsid w:val="00042386"/>
    <w:rsid w:val="000426F4"/>
    <w:rsid w:val="000428AE"/>
    <w:rsid w:val="00042905"/>
    <w:rsid w:val="00042A8C"/>
    <w:rsid w:val="00042B0A"/>
    <w:rsid w:val="00042B7D"/>
    <w:rsid w:val="00043249"/>
    <w:rsid w:val="000436C4"/>
    <w:rsid w:val="000438B8"/>
    <w:rsid w:val="00043980"/>
    <w:rsid w:val="000442E9"/>
    <w:rsid w:val="000446EB"/>
    <w:rsid w:val="00044742"/>
    <w:rsid w:val="0004483E"/>
    <w:rsid w:val="000448FC"/>
    <w:rsid w:val="00044BA2"/>
    <w:rsid w:val="00044CF7"/>
    <w:rsid w:val="00044E12"/>
    <w:rsid w:val="0004527D"/>
    <w:rsid w:val="00045800"/>
    <w:rsid w:val="00045940"/>
    <w:rsid w:val="00045AFD"/>
    <w:rsid w:val="00045DB3"/>
    <w:rsid w:val="00045E64"/>
    <w:rsid w:val="00045FA8"/>
    <w:rsid w:val="00046021"/>
    <w:rsid w:val="0004606B"/>
    <w:rsid w:val="00046098"/>
    <w:rsid w:val="0004653C"/>
    <w:rsid w:val="000466FD"/>
    <w:rsid w:val="0004677F"/>
    <w:rsid w:val="000468ED"/>
    <w:rsid w:val="00046945"/>
    <w:rsid w:val="000469C4"/>
    <w:rsid w:val="00046A4F"/>
    <w:rsid w:val="00046A5B"/>
    <w:rsid w:val="00046AC6"/>
    <w:rsid w:val="00046E0B"/>
    <w:rsid w:val="00046E52"/>
    <w:rsid w:val="00046FEE"/>
    <w:rsid w:val="00047010"/>
    <w:rsid w:val="000470A3"/>
    <w:rsid w:val="000474CC"/>
    <w:rsid w:val="000476E2"/>
    <w:rsid w:val="00047899"/>
    <w:rsid w:val="00047ED6"/>
    <w:rsid w:val="000505A2"/>
    <w:rsid w:val="000505B2"/>
    <w:rsid w:val="0005060F"/>
    <w:rsid w:val="000506FE"/>
    <w:rsid w:val="000509BC"/>
    <w:rsid w:val="00050E29"/>
    <w:rsid w:val="00050FA3"/>
    <w:rsid w:val="00050FC9"/>
    <w:rsid w:val="000510AA"/>
    <w:rsid w:val="0005121B"/>
    <w:rsid w:val="000512E1"/>
    <w:rsid w:val="00051599"/>
    <w:rsid w:val="000516E8"/>
    <w:rsid w:val="000516FB"/>
    <w:rsid w:val="000519BF"/>
    <w:rsid w:val="000519FA"/>
    <w:rsid w:val="00051C9D"/>
    <w:rsid w:val="000525A2"/>
    <w:rsid w:val="0005268E"/>
    <w:rsid w:val="00052B91"/>
    <w:rsid w:val="00052DE0"/>
    <w:rsid w:val="00052EEA"/>
    <w:rsid w:val="00052F42"/>
    <w:rsid w:val="00052FA8"/>
    <w:rsid w:val="000532D0"/>
    <w:rsid w:val="00053310"/>
    <w:rsid w:val="00053380"/>
    <w:rsid w:val="000534A7"/>
    <w:rsid w:val="0005383C"/>
    <w:rsid w:val="00053C6E"/>
    <w:rsid w:val="00053D77"/>
    <w:rsid w:val="00053E9B"/>
    <w:rsid w:val="00054036"/>
    <w:rsid w:val="00054139"/>
    <w:rsid w:val="00054411"/>
    <w:rsid w:val="000544AA"/>
    <w:rsid w:val="00054515"/>
    <w:rsid w:val="0005452C"/>
    <w:rsid w:val="00054697"/>
    <w:rsid w:val="000546FC"/>
    <w:rsid w:val="00054B3A"/>
    <w:rsid w:val="00054B5D"/>
    <w:rsid w:val="00054C91"/>
    <w:rsid w:val="00054CF8"/>
    <w:rsid w:val="0005509A"/>
    <w:rsid w:val="0005525A"/>
    <w:rsid w:val="00055377"/>
    <w:rsid w:val="000554B9"/>
    <w:rsid w:val="00055561"/>
    <w:rsid w:val="0005559D"/>
    <w:rsid w:val="00055760"/>
    <w:rsid w:val="00055B41"/>
    <w:rsid w:val="00055BE7"/>
    <w:rsid w:val="00055D48"/>
    <w:rsid w:val="0005636F"/>
    <w:rsid w:val="00056CA2"/>
    <w:rsid w:val="00056D04"/>
    <w:rsid w:val="00056DFF"/>
    <w:rsid w:val="0005709E"/>
    <w:rsid w:val="000572C8"/>
    <w:rsid w:val="000573DD"/>
    <w:rsid w:val="0005752A"/>
    <w:rsid w:val="0005752B"/>
    <w:rsid w:val="0005754C"/>
    <w:rsid w:val="00057D7D"/>
    <w:rsid w:val="00057DA5"/>
    <w:rsid w:val="00060324"/>
    <w:rsid w:val="00060632"/>
    <w:rsid w:val="00060958"/>
    <w:rsid w:val="00060A60"/>
    <w:rsid w:val="00060D53"/>
    <w:rsid w:val="00060DF0"/>
    <w:rsid w:val="00060E0F"/>
    <w:rsid w:val="000611D1"/>
    <w:rsid w:val="0006166A"/>
    <w:rsid w:val="00061677"/>
    <w:rsid w:val="000616A0"/>
    <w:rsid w:val="0006173E"/>
    <w:rsid w:val="00061CEB"/>
    <w:rsid w:val="0006227E"/>
    <w:rsid w:val="0006231E"/>
    <w:rsid w:val="0006254D"/>
    <w:rsid w:val="000626A1"/>
    <w:rsid w:val="00062843"/>
    <w:rsid w:val="00062947"/>
    <w:rsid w:val="00062D80"/>
    <w:rsid w:val="00062E78"/>
    <w:rsid w:val="0006303C"/>
    <w:rsid w:val="00063062"/>
    <w:rsid w:val="000630AF"/>
    <w:rsid w:val="000630C2"/>
    <w:rsid w:val="00063170"/>
    <w:rsid w:val="00063373"/>
    <w:rsid w:val="000634FF"/>
    <w:rsid w:val="00063ED4"/>
    <w:rsid w:val="0006406C"/>
    <w:rsid w:val="0006450B"/>
    <w:rsid w:val="0006451D"/>
    <w:rsid w:val="00064CCC"/>
    <w:rsid w:val="00064DE2"/>
    <w:rsid w:val="00064F20"/>
    <w:rsid w:val="00064F76"/>
    <w:rsid w:val="00064F9A"/>
    <w:rsid w:val="000650BE"/>
    <w:rsid w:val="00065167"/>
    <w:rsid w:val="00065177"/>
    <w:rsid w:val="00065246"/>
    <w:rsid w:val="00065781"/>
    <w:rsid w:val="00065992"/>
    <w:rsid w:val="00065B11"/>
    <w:rsid w:val="00065D2F"/>
    <w:rsid w:val="00065D63"/>
    <w:rsid w:val="00065DDC"/>
    <w:rsid w:val="00065E44"/>
    <w:rsid w:val="00065F17"/>
    <w:rsid w:val="00065FEE"/>
    <w:rsid w:val="0006606C"/>
    <w:rsid w:val="000663E8"/>
    <w:rsid w:val="00066564"/>
    <w:rsid w:val="0006686F"/>
    <w:rsid w:val="000669C1"/>
    <w:rsid w:val="00066B76"/>
    <w:rsid w:val="00066D82"/>
    <w:rsid w:val="00066E00"/>
    <w:rsid w:val="00066F4A"/>
    <w:rsid w:val="0006721E"/>
    <w:rsid w:val="000674E1"/>
    <w:rsid w:val="000677D8"/>
    <w:rsid w:val="00067832"/>
    <w:rsid w:val="00067C5E"/>
    <w:rsid w:val="0007017A"/>
    <w:rsid w:val="0007033D"/>
    <w:rsid w:val="00070489"/>
    <w:rsid w:val="0007058B"/>
    <w:rsid w:val="000705CF"/>
    <w:rsid w:val="000707D0"/>
    <w:rsid w:val="00070850"/>
    <w:rsid w:val="000709A3"/>
    <w:rsid w:val="00070A59"/>
    <w:rsid w:val="00070AB9"/>
    <w:rsid w:val="00070B44"/>
    <w:rsid w:val="00070B66"/>
    <w:rsid w:val="00070D10"/>
    <w:rsid w:val="00070E4E"/>
    <w:rsid w:val="000711CE"/>
    <w:rsid w:val="0007129C"/>
    <w:rsid w:val="00071580"/>
    <w:rsid w:val="0007164D"/>
    <w:rsid w:val="000716C1"/>
    <w:rsid w:val="0007170C"/>
    <w:rsid w:val="000718C4"/>
    <w:rsid w:val="00071A43"/>
    <w:rsid w:val="00071BB3"/>
    <w:rsid w:val="00071C79"/>
    <w:rsid w:val="0007207E"/>
    <w:rsid w:val="000720ED"/>
    <w:rsid w:val="000724B4"/>
    <w:rsid w:val="00072961"/>
    <w:rsid w:val="00072A06"/>
    <w:rsid w:val="00072A29"/>
    <w:rsid w:val="00072ADA"/>
    <w:rsid w:val="00072CF9"/>
    <w:rsid w:val="00072D2B"/>
    <w:rsid w:val="00072EE1"/>
    <w:rsid w:val="00073046"/>
    <w:rsid w:val="0007321B"/>
    <w:rsid w:val="00073443"/>
    <w:rsid w:val="00073F57"/>
    <w:rsid w:val="00074206"/>
    <w:rsid w:val="00074230"/>
    <w:rsid w:val="000742D1"/>
    <w:rsid w:val="000743B2"/>
    <w:rsid w:val="00074480"/>
    <w:rsid w:val="000744FF"/>
    <w:rsid w:val="00074501"/>
    <w:rsid w:val="000747D1"/>
    <w:rsid w:val="00074933"/>
    <w:rsid w:val="00074E93"/>
    <w:rsid w:val="00075065"/>
    <w:rsid w:val="0007519F"/>
    <w:rsid w:val="0007547F"/>
    <w:rsid w:val="000754EE"/>
    <w:rsid w:val="00075568"/>
    <w:rsid w:val="000755E2"/>
    <w:rsid w:val="00075862"/>
    <w:rsid w:val="00075B21"/>
    <w:rsid w:val="00075B5F"/>
    <w:rsid w:val="00075BF9"/>
    <w:rsid w:val="00075E07"/>
    <w:rsid w:val="000760ED"/>
    <w:rsid w:val="000762AD"/>
    <w:rsid w:val="000763E8"/>
    <w:rsid w:val="00076418"/>
    <w:rsid w:val="000767DE"/>
    <w:rsid w:val="00076938"/>
    <w:rsid w:val="00076A7B"/>
    <w:rsid w:val="00076B4C"/>
    <w:rsid w:val="00076E4A"/>
    <w:rsid w:val="0007701A"/>
    <w:rsid w:val="00077056"/>
    <w:rsid w:val="00077127"/>
    <w:rsid w:val="000771AC"/>
    <w:rsid w:val="00077222"/>
    <w:rsid w:val="00077304"/>
    <w:rsid w:val="00077386"/>
    <w:rsid w:val="00077474"/>
    <w:rsid w:val="000779DA"/>
    <w:rsid w:val="00077C01"/>
    <w:rsid w:val="00077D1C"/>
    <w:rsid w:val="00077FD7"/>
    <w:rsid w:val="000802D6"/>
    <w:rsid w:val="000802EF"/>
    <w:rsid w:val="0008086B"/>
    <w:rsid w:val="000809F2"/>
    <w:rsid w:val="00080D5E"/>
    <w:rsid w:val="00080F2E"/>
    <w:rsid w:val="00080F48"/>
    <w:rsid w:val="00081023"/>
    <w:rsid w:val="00081226"/>
    <w:rsid w:val="000812C0"/>
    <w:rsid w:val="000812E8"/>
    <w:rsid w:val="000815D2"/>
    <w:rsid w:val="00081644"/>
    <w:rsid w:val="00081999"/>
    <w:rsid w:val="00081B1A"/>
    <w:rsid w:val="00081C7E"/>
    <w:rsid w:val="00082467"/>
    <w:rsid w:val="00082570"/>
    <w:rsid w:val="000828D5"/>
    <w:rsid w:val="00082A70"/>
    <w:rsid w:val="00082B21"/>
    <w:rsid w:val="00082B41"/>
    <w:rsid w:val="00082BAD"/>
    <w:rsid w:val="00082D7F"/>
    <w:rsid w:val="00083030"/>
    <w:rsid w:val="00083500"/>
    <w:rsid w:val="0008388E"/>
    <w:rsid w:val="00083972"/>
    <w:rsid w:val="00083996"/>
    <w:rsid w:val="000839FA"/>
    <w:rsid w:val="00083B60"/>
    <w:rsid w:val="00083C69"/>
    <w:rsid w:val="00083E10"/>
    <w:rsid w:val="00083EFE"/>
    <w:rsid w:val="00084312"/>
    <w:rsid w:val="0008455C"/>
    <w:rsid w:val="00084570"/>
    <w:rsid w:val="000849B4"/>
    <w:rsid w:val="00084F6F"/>
    <w:rsid w:val="00085035"/>
    <w:rsid w:val="00085074"/>
    <w:rsid w:val="000851D8"/>
    <w:rsid w:val="000859C3"/>
    <w:rsid w:val="000859FE"/>
    <w:rsid w:val="00085C00"/>
    <w:rsid w:val="00085DC3"/>
    <w:rsid w:val="00085EF5"/>
    <w:rsid w:val="00086169"/>
    <w:rsid w:val="000861F0"/>
    <w:rsid w:val="0008668D"/>
    <w:rsid w:val="00086A86"/>
    <w:rsid w:val="00086C24"/>
    <w:rsid w:val="00087378"/>
    <w:rsid w:val="000873D9"/>
    <w:rsid w:val="00087456"/>
    <w:rsid w:val="000874FF"/>
    <w:rsid w:val="00087756"/>
    <w:rsid w:val="00087767"/>
    <w:rsid w:val="00087841"/>
    <w:rsid w:val="00087926"/>
    <w:rsid w:val="00087E59"/>
    <w:rsid w:val="00087FAF"/>
    <w:rsid w:val="00090053"/>
    <w:rsid w:val="000900E1"/>
    <w:rsid w:val="00090116"/>
    <w:rsid w:val="000905C3"/>
    <w:rsid w:val="000908E3"/>
    <w:rsid w:val="00090A95"/>
    <w:rsid w:val="00090C5A"/>
    <w:rsid w:val="00090DDB"/>
    <w:rsid w:val="000910B7"/>
    <w:rsid w:val="000910D7"/>
    <w:rsid w:val="000912F4"/>
    <w:rsid w:val="0009142A"/>
    <w:rsid w:val="00091633"/>
    <w:rsid w:val="000916A6"/>
    <w:rsid w:val="00091886"/>
    <w:rsid w:val="00091DB3"/>
    <w:rsid w:val="00091EB5"/>
    <w:rsid w:val="00091F12"/>
    <w:rsid w:val="000925F0"/>
    <w:rsid w:val="00092680"/>
    <w:rsid w:val="00093191"/>
    <w:rsid w:val="00093360"/>
    <w:rsid w:val="0009347B"/>
    <w:rsid w:val="000934E7"/>
    <w:rsid w:val="00093624"/>
    <w:rsid w:val="00093770"/>
    <w:rsid w:val="00093A8A"/>
    <w:rsid w:val="00093B20"/>
    <w:rsid w:val="00093BB0"/>
    <w:rsid w:val="00093BF4"/>
    <w:rsid w:val="00093C2D"/>
    <w:rsid w:val="00093CD8"/>
    <w:rsid w:val="00093E2C"/>
    <w:rsid w:val="00093F05"/>
    <w:rsid w:val="00094029"/>
    <w:rsid w:val="0009460A"/>
    <w:rsid w:val="0009464E"/>
    <w:rsid w:val="0009472B"/>
    <w:rsid w:val="000949D8"/>
    <w:rsid w:val="00094C8F"/>
    <w:rsid w:val="00094D62"/>
    <w:rsid w:val="00094E86"/>
    <w:rsid w:val="000950AE"/>
    <w:rsid w:val="00095117"/>
    <w:rsid w:val="00095175"/>
    <w:rsid w:val="00095322"/>
    <w:rsid w:val="00095593"/>
    <w:rsid w:val="00095705"/>
    <w:rsid w:val="00095AF8"/>
    <w:rsid w:val="00096174"/>
    <w:rsid w:val="0009628C"/>
    <w:rsid w:val="0009665F"/>
    <w:rsid w:val="00096786"/>
    <w:rsid w:val="000968FE"/>
    <w:rsid w:val="00096EE3"/>
    <w:rsid w:val="00097076"/>
    <w:rsid w:val="0009714F"/>
    <w:rsid w:val="000972FB"/>
    <w:rsid w:val="00097418"/>
    <w:rsid w:val="00097729"/>
    <w:rsid w:val="0009774D"/>
    <w:rsid w:val="00097838"/>
    <w:rsid w:val="00097A32"/>
    <w:rsid w:val="00097C2D"/>
    <w:rsid w:val="00097D61"/>
    <w:rsid w:val="00097F84"/>
    <w:rsid w:val="000A0053"/>
    <w:rsid w:val="000A0304"/>
    <w:rsid w:val="000A05D0"/>
    <w:rsid w:val="000A08E6"/>
    <w:rsid w:val="000A0C86"/>
    <w:rsid w:val="000A0EE8"/>
    <w:rsid w:val="000A0F10"/>
    <w:rsid w:val="000A0F62"/>
    <w:rsid w:val="000A110F"/>
    <w:rsid w:val="000A1350"/>
    <w:rsid w:val="000A141D"/>
    <w:rsid w:val="000A1747"/>
    <w:rsid w:val="000A19A8"/>
    <w:rsid w:val="000A19C7"/>
    <w:rsid w:val="000A1FAA"/>
    <w:rsid w:val="000A20DA"/>
    <w:rsid w:val="000A236C"/>
    <w:rsid w:val="000A23D9"/>
    <w:rsid w:val="000A2528"/>
    <w:rsid w:val="000A2537"/>
    <w:rsid w:val="000A275B"/>
    <w:rsid w:val="000A2872"/>
    <w:rsid w:val="000A29C4"/>
    <w:rsid w:val="000A2AE9"/>
    <w:rsid w:val="000A2BAE"/>
    <w:rsid w:val="000A2BD3"/>
    <w:rsid w:val="000A2C46"/>
    <w:rsid w:val="000A2FBF"/>
    <w:rsid w:val="000A32B0"/>
    <w:rsid w:val="000A33FE"/>
    <w:rsid w:val="000A345E"/>
    <w:rsid w:val="000A34C2"/>
    <w:rsid w:val="000A34D6"/>
    <w:rsid w:val="000A3515"/>
    <w:rsid w:val="000A389E"/>
    <w:rsid w:val="000A3BD7"/>
    <w:rsid w:val="000A42DD"/>
    <w:rsid w:val="000A4383"/>
    <w:rsid w:val="000A4482"/>
    <w:rsid w:val="000A46DD"/>
    <w:rsid w:val="000A4736"/>
    <w:rsid w:val="000A497F"/>
    <w:rsid w:val="000A49E8"/>
    <w:rsid w:val="000A49FA"/>
    <w:rsid w:val="000A4C7B"/>
    <w:rsid w:val="000A4DE9"/>
    <w:rsid w:val="000A4E30"/>
    <w:rsid w:val="000A4FAE"/>
    <w:rsid w:val="000A50DD"/>
    <w:rsid w:val="000A5909"/>
    <w:rsid w:val="000A5A48"/>
    <w:rsid w:val="000A5B45"/>
    <w:rsid w:val="000A5E48"/>
    <w:rsid w:val="000A5E8C"/>
    <w:rsid w:val="000A6001"/>
    <w:rsid w:val="000A60AA"/>
    <w:rsid w:val="000A60CF"/>
    <w:rsid w:val="000A62C4"/>
    <w:rsid w:val="000A637E"/>
    <w:rsid w:val="000A64D6"/>
    <w:rsid w:val="000A6909"/>
    <w:rsid w:val="000A6937"/>
    <w:rsid w:val="000A6964"/>
    <w:rsid w:val="000A6B58"/>
    <w:rsid w:val="000A6B8F"/>
    <w:rsid w:val="000A6C6F"/>
    <w:rsid w:val="000A70AE"/>
    <w:rsid w:val="000A736F"/>
    <w:rsid w:val="000A7372"/>
    <w:rsid w:val="000A7452"/>
    <w:rsid w:val="000A7517"/>
    <w:rsid w:val="000A7580"/>
    <w:rsid w:val="000A7687"/>
    <w:rsid w:val="000A775E"/>
    <w:rsid w:val="000A7C7E"/>
    <w:rsid w:val="000A7CA1"/>
    <w:rsid w:val="000A7CA5"/>
    <w:rsid w:val="000A7CF7"/>
    <w:rsid w:val="000A7ECA"/>
    <w:rsid w:val="000A7F07"/>
    <w:rsid w:val="000B017F"/>
    <w:rsid w:val="000B023B"/>
    <w:rsid w:val="000B05A0"/>
    <w:rsid w:val="000B0A03"/>
    <w:rsid w:val="000B0B90"/>
    <w:rsid w:val="000B0BE1"/>
    <w:rsid w:val="000B0F6A"/>
    <w:rsid w:val="000B1911"/>
    <w:rsid w:val="000B1969"/>
    <w:rsid w:val="000B1A9D"/>
    <w:rsid w:val="000B1B53"/>
    <w:rsid w:val="000B1B96"/>
    <w:rsid w:val="000B1D99"/>
    <w:rsid w:val="000B1E94"/>
    <w:rsid w:val="000B2095"/>
    <w:rsid w:val="000B20B6"/>
    <w:rsid w:val="000B20BB"/>
    <w:rsid w:val="000B2514"/>
    <w:rsid w:val="000B27A9"/>
    <w:rsid w:val="000B28C0"/>
    <w:rsid w:val="000B28C2"/>
    <w:rsid w:val="000B2B57"/>
    <w:rsid w:val="000B2CD1"/>
    <w:rsid w:val="000B2D1B"/>
    <w:rsid w:val="000B2E3B"/>
    <w:rsid w:val="000B2EFF"/>
    <w:rsid w:val="000B3120"/>
    <w:rsid w:val="000B314C"/>
    <w:rsid w:val="000B3437"/>
    <w:rsid w:val="000B36CB"/>
    <w:rsid w:val="000B3745"/>
    <w:rsid w:val="000B37C4"/>
    <w:rsid w:val="000B3AE5"/>
    <w:rsid w:val="000B3D7A"/>
    <w:rsid w:val="000B3D9B"/>
    <w:rsid w:val="000B3E33"/>
    <w:rsid w:val="000B40FB"/>
    <w:rsid w:val="000B4139"/>
    <w:rsid w:val="000B41E0"/>
    <w:rsid w:val="000B4204"/>
    <w:rsid w:val="000B42E7"/>
    <w:rsid w:val="000B4309"/>
    <w:rsid w:val="000B436B"/>
    <w:rsid w:val="000B44BE"/>
    <w:rsid w:val="000B469D"/>
    <w:rsid w:val="000B476A"/>
    <w:rsid w:val="000B484C"/>
    <w:rsid w:val="000B48CA"/>
    <w:rsid w:val="000B49A5"/>
    <w:rsid w:val="000B4B79"/>
    <w:rsid w:val="000B5045"/>
    <w:rsid w:val="000B50D7"/>
    <w:rsid w:val="000B547C"/>
    <w:rsid w:val="000B589A"/>
    <w:rsid w:val="000B5A60"/>
    <w:rsid w:val="000B5B03"/>
    <w:rsid w:val="000B6166"/>
    <w:rsid w:val="000B6458"/>
    <w:rsid w:val="000B6472"/>
    <w:rsid w:val="000B67B7"/>
    <w:rsid w:val="000B68C2"/>
    <w:rsid w:val="000B6C01"/>
    <w:rsid w:val="000B6E56"/>
    <w:rsid w:val="000B6EBD"/>
    <w:rsid w:val="000B6F6B"/>
    <w:rsid w:val="000B7214"/>
    <w:rsid w:val="000B7225"/>
    <w:rsid w:val="000B7317"/>
    <w:rsid w:val="000B73A3"/>
    <w:rsid w:val="000B7416"/>
    <w:rsid w:val="000B7438"/>
    <w:rsid w:val="000B74FC"/>
    <w:rsid w:val="000B75DF"/>
    <w:rsid w:val="000B769C"/>
    <w:rsid w:val="000B7BD0"/>
    <w:rsid w:val="000B7EB6"/>
    <w:rsid w:val="000B7FD3"/>
    <w:rsid w:val="000C0011"/>
    <w:rsid w:val="000C0177"/>
    <w:rsid w:val="000C0474"/>
    <w:rsid w:val="000C04E2"/>
    <w:rsid w:val="000C0593"/>
    <w:rsid w:val="000C0876"/>
    <w:rsid w:val="000C08B3"/>
    <w:rsid w:val="000C0A5F"/>
    <w:rsid w:val="000C0A6D"/>
    <w:rsid w:val="000C1214"/>
    <w:rsid w:val="000C173F"/>
    <w:rsid w:val="000C1759"/>
    <w:rsid w:val="000C2025"/>
    <w:rsid w:val="000C23D6"/>
    <w:rsid w:val="000C244F"/>
    <w:rsid w:val="000C2454"/>
    <w:rsid w:val="000C2476"/>
    <w:rsid w:val="000C2932"/>
    <w:rsid w:val="000C2957"/>
    <w:rsid w:val="000C29E6"/>
    <w:rsid w:val="000C3094"/>
    <w:rsid w:val="000C35BD"/>
    <w:rsid w:val="000C3679"/>
    <w:rsid w:val="000C3885"/>
    <w:rsid w:val="000C3A56"/>
    <w:rsid w:val="000C3A7F"/>
    <w:rsid w:val="000C3ACE"/>
    <w:rsid w:val="000C3CE5"/>
    <w:rsid w:val="000C3E5F"/>
    <w:rsid w:val="000C40B0"/>
    <w:rsid w:val="000C41A5"/>
    <w:rsid w:val="000C45B0"/>
    <w:rsid w:val="000C48D3"/>
    <w:rsid w:val="000C48E1"/>
    <w:rsid w:val="000C4913"/>
    <w:rsid w:val="000C4AFB"/>
    <w:rsid w:val="000C4C6E"/>
    <w:rsid w:val="000C51BB"/>
    <w:rsid w:val="000C5326"/>
    <w:rsid w:val="000C557A"/>
    <w:rsid w:val="000C55AE"/>
    <w:rsid w:val="000C55ED"/>
    <w:rsid w:val="000C577E"/>
    <w:rsid w:val="000C58F1"/>
    <w:rsid w:val="000C5942"/>
    <w:rsid w:val="000C59E2"/>
    <w:rsid w:val="000C5EC5"/>
    <w:rsid w:val="000C5FBD"/>
    <w:rsid w:val="000C614D"/>
    <w:rsid w:val="000C6398"/>
    <w:rsid w:val="000C64E3"/>
    <w:rsid w:val="000C6636"/>
    <w:rsid w:val="000C6970"/>
    <w:rsid w:val="000C6F97"/>
    <w:rsid w:val="000C6FE9"/>
    <w:rsid w:val="000C7165"/>
    <w:rsid w:val="000C71E0"/>
    <w:rsid w:val="000C7500"/>
    <w:rsid w:val="000C762C"/>
    <w:rsid w:val="000C7639"/>
    <w:rsid w:val="000C7AE1"/>
    <w:rsid w:val="000C7BA4"/>
    <w:rsid w:val="000C7C06"/>
    <w:rsid w:val="000C7CAE"/>
    <w:rsid w:val="000C7D10"/>
    <w:rsid w:val="000C7D51"/>
    <w:rsid w:val="000D0075"/>
    <w:rsid w:val="000D0616"/>
    <w:rsid w:val="000D0E13"/>
    <w:rsid w:val="000D0F73"/>
    <w:rsid w:val="000D0FBC"/>
    <w:rsid w:val="000D124B"/>
    <w:rsid w:val="000D13C2"/>
    <w:rsid w:val="000D19D6"/>
    <w:rsid w:val="000D1D95"/>
    <w:rsid w:val="000D2173"/>
    <w:rsid w:val="000D26DE"/>
    <w:rsid w:val="000D2913"/>
    <w:rsid w:val="000D2958"/>
    <w:rsid w:val="000D2A6C"/>
    <w:rsid w:val="000D2D40"/>
    <w:rsid w:val="000D2DB8"/>
    <w:rsid w:val="000D2DFF"/>
    <w:rsid w:val="000D2E8A"/>
    <w:rsid w:val="000D30DF"/>
    <w:rsid w:val="000D3153"/>
    <w:rsid w:val="000D327D"/>
    <w:rsid w:val="000D35CF"/>
    <w:rsid w:val="000D382C"/>
    <w:rsid w:val="000D38BD"/>
    <w:rsid w:val="000D3D85"/>
    <w:rsid w:val="000D3E5C"/>
    <w:rsid w:val="000D4029"/>
    <w:rsid w:val="000D41C8"/>
    <w:rsid w:val="000D4352"/>
    <w:rsid w:val="000D4A1E"/>
    <w:rsid w:val="000D4C45"/>
    <w:rsid w:val="000D4EE6"/>
    <w:rsid w:val="000D4F64"/>
    <w:rsid w:val="000D551E"/>
    <w:rsid w:val="000D5667"/>
    <w:rsid w:val="000D585D"/>
    <w:rsid w:val="000D59BD"/>
    <w:rsid w:val="000D5A11"/>
    <w:rsid w:val="000D5AE9"/>
    <w:rsid w:val="000D60AB"/>
    <w:rsid w:val="000D675B"/>
    <w:rsid w:val="000D6B83"/>
    <w:rsid w:val="000D6FBB"/>
    <w:rsid w:val="000D73C7"/>
    <w:rsid w:val="000D7529"/>
    <w:rsid w:val="000D7ADE"/>
    <w:rsid w:val="000D7D4B"/>
    <w:rsid w:val="000D7E7D"/>
    <w:rsid w:val="000E006B"/>
    <w:rsid w:val="000E0076"/>
    <w:rsid w:val="000E01C0"/>
    <w:rsid w:val="000E0207"/>
    <w:rsid w:val="000E03E6"/>
    <w:rsid w:val="000E04B6"/>
    <w:rsid w:val="000E06E1"/>
    <w:rsid w:val="000E0A1D"/>
    <w:rsid w:val="000E0A99"/>
    <w:rsid w:val="000E0ABC"/>
    <w:rsid w:val="000E0ADA"/>
    <w:rsid w:val="000E0B99"/>
    <w:rsid w:val="000E0C66"/>
    <w:rsid w:val="000E0D2B"/>
    <w:rsid w:val="000E0D7D"/>
    <w:rsid w:val="000E0F5E"/>
    <w:rsid w:val="000E1171"/>
    <w:rsid w:val="000E11BF"/>
    <w:rsid w:val="000E1557"/>
    <w:rsid w:val="000E1588"/>
    <w:rsid w:val="000E15D7"/>
    <w:rsid w:val="000E198E"/>
    <w:rsid w:val="000E1A07"/>
    <w:rsid w:val="000E1A37"/>
    <w:rsid w:val="000E1AF9"/>
    <w:rsid w:val="000E1BC0"/>
    <w:rsid w:val="000E1C80"/>
    <w:rsid w:val="000E1DD2"/>
    <w:rsid w:val="000E1FAC"/>
    <w:rsid w:val="000E2346"/>
    <w:rsid w:val="000E2537"/>
    <w:rsid w:val="000E2630"/>
    <w:rsid w:val="000E29A7"/>
    <w:rsid w:val="000E2BDC"/>
    <w:rsid w:val="000E2C4F"/>
    <w:rsid w:val="000E2C5C"/>
    <w:rsid w:val="000E2CC6"/>
    <w:rsid w:val="000E2EB9"/>
    <w:rsid w:val="000E330E"/>
    <w:rsid w:val="000E342E"/>
    <w:rsid w:val="000E35CA"/>
    <w:rsid w:val="000E3D09"/>
    <w:rsid w:val="000E3DDC"/>
    <w:rsid w:val="000E3E0B"/>
    <w:rsid w:val="000E3E88"/>
    <w:rsid w:val="000E432E"/>
    <w:rsid w:val="000E4353"/>
    <w:rsid w:val="000E448F"/>
    <w:rsid w:val="000E4760"/>
    <w:rsid w:val="000E4A4A"/>
    <w:rsid w:val="000E4E53"/>
    <w:rsid w:val="000E4F85"/>
    <w:rsid w:val="000E5486"/>
    <w:rsid w:val="000E54B9"/>
    <w:rsid w:val="000E583F"/>
    <w:rsid w:val="000E58D0"/>
    <w:rsid w:val="000E58EF"/>
    <w:rsid w:val="000E5B2A"/>
    <w:rsid w:val="000E5BD6"/>
    <w:rsid w:val="000E5BD7"/>
    <w:rsid w:val="000E5DD6"/>
    <w:rsid w:val="000E5EE2"/>
    <w:rsid w:val="000E6094"/>
    <w:rsid w:val="000E62FE"/>
    <w:rsid w:val="000E6307"/>
    <w:rsid w:val="000E63B2"/>
    <w:rsid w:val="000E65D9"/>
    <w:rsid w:val="000E6662"/>
    <w:rsid w:val="000E6CB8"/>
    <w:rsid w:val="000E6D9D"/>
    <w:rsid w:val="000E72E0"/>
    <w:rsid w:val="000E745C"/>
    <w:rsid w:val="000E7715"/>
    <w:rsid w:val="000E799E"/>
    <w:rsid w:val="000E7D7E"/>
    <w:rsid w:val="000F007F"/>
    <w:rsid w:val="000F0284"/>
    <w:rsid w:val="000F02D2"/>
    <w:rsid w:val="000F04A4"/>
    <w:rsid w:val="000F051E"/>
    <w:rsid w:val="000F06AF"/>
    <w:rsid w:val="000F0BDD"/>
    <w:rsid w:val="000F12A4"/>
    <w:rsid w:val="000F1327"/>
    <w:rsid w:val="000F1385"/>
    <w:rsid w:val="000F14CE"/>
    <w:rsid w:val="000F1A18"/>
    <w:rsid w:val="000F1BE2"/>
    <w:rsid w:val="000F1CE6"/>
    <w:rsid w:val="000F1CFA"/>
    <w:rsid w:val="000F1E79"/>
    <w:rsid w:val="000F1FC0"/>
    <w:rsid w:val="000F2204"/>
    <w:rsid w:val="000F2548"/>
    <w:rsid w:val="000F2955"/>
    <w:rsid w:val="000F298B"/>
    <w:rsid w:val="000F2ABE"/>
    <w:rsid w:val="000F2C3A"/>
    <w:rsid w:val="000F2E35"/>
    <w:rsid w:val="000F2ED4"/>
    <w:rsid w:val="000F2F50"/>
    <w:rsid w:val="000F2FEE"/>
    <w:rsid w:val="000F3047"/>
    <w:rsid w:val="000F3053"/>
    <w:rsid w:val="000F30D2"/>
    <w:rsid w:val="000F314F"/>
    <w:rsid w:val="000F31DB"/>
    <w:rsid w:val="000F3277"/>
    <w:rsid w:val="000F3391"/>
    <w:rsid w:val="000F359A"/>
    <w:rsid w:val="000F37EE"/>
    <w:rsid w:val="000F3890"/>
    <w:rsid w:val="000F3AD0"/>
    <w:rsid w:val="000F3B2F"/>
    <w:rsid w:val="000F3EBB"/>
    <w:rsid w:val="000F40D5"/>
    <w:rsid w:val="000F42FD"/>
    <w:rsid w:val="000F4371"/>
    <w:rsid w:val="000F4487"/>
    <w:rsid w:val="000F4864"/>
    <w:rsid w:val="000F4935"/>
    <w:rsid w:val="000F4B7B"/>
    <w:rsid w:val="000F4D2F"/>
    <w:rsid w:val="000F4E17"/>
    <w:rsid w:val="000F4E9E"/>
    <w:rsid w:val="000F4F18"/>
    <w:rsid w:val="000F4F4C"/>
    <w:rsid w:val="000F4FA5"/>
    <w:rsid w:val="000F5227"/>
    <w:rsid w:val="000F58FD"/>
    <w:rsid w:val="000F5A36"/>
    <w:rsid w:val="000F5A4A"/>
    <w:rsid w:val="000F5A75"/>
    <w:rsid w:val="000F5DCC"/>
    <w:rsid w:val="000F5EF4"/>
    <w:rsid w:val="000F6135"/>
    <w:rsid w:val="000F6247"/>
    <w:rsid w:val="000F630B"/>
    <w:rsid w:val="000F65CA"/>
    <w:rsid w:val="000F6782"/>
    <w:rsid w:val="000F692E"/>
    <w:rsid w:val="000F6DE0"/>
    <w:rsid w:val="000F6E01"/>
    <w:rsid w:val="000F73C5"/>
    <w:rsid w:val="000F7648"/>
    <w:rsid w:val="000F7799"/>
    <w:rsid w:val="000F77D5"/>
    <w:rsid w:val="000F79F3"/>
    <w:rsid w:val="000F7A8A"/>
    <w:rsid w:val="0010020B"/>
    <w:rsid w:val="0010032C"/>
    <w:rsid w:val="00100375"/>
    <w:rsid w:val="001003B5"/>
    <w:rsid w:val="001003EA"/>
    <w:rsid w:val="001003FC"/>
    <w:rsid w:val="00100BD0"/>
    <w:rsid w:val="00100E53"/>
    <w:rsid w:val="00101146"/>
    <w:rsid w:val="00101345"/>
    <w:rsid w:val="00101630"/>
    <w:rsid w:val="00101972"/>
    <w:rsid w:val="00101BD0"/>
    <w:rsid w:val="00101C41"/>
    <w:rsid w:val="00101C4D"/>
    <w:rsid w:val="00101D0D"/>
    <w:rsid w:val="00101DD1"/>
    <w:rsid w:val="0010244E"/>
    <w:rsid w:val="001026EC"/>
    <w:rsid w:val="00102708"/>
    <w:rsid w:val="0010294A"/>
    <w:rsid w:val="00102A25"/>
    <w:rsid w:val="00102A67"/>
    <w:rsid w:val="00102A9D"/>
    <w:rsid w:val="00102CDC"/>
    <w:rsid w:val="00103919"/>
    <w:rsid w:val="00103DDD"/>
    <w:rsid w:val="00103F78"/>
    <w:rsid w:val="001042BF"/>
    <w:rsid w:val="001042C6"/>
    <w:rsid w:val="001043FB"/>
    <w:rsid w:val="00104489"/>
    <w:rsid w:val="00104648"/>
    <w:rsid w:val="00104814"/>
    <w:rsid w:val="00104D44"/>
    <w:rsid w:val="00104F72"/>
    <w:rsid w:val="001052AD"/>
    <w:rsid w:val="00105ABA"/>
    <w:rsid w:val="00105FFA"/>
    <w:rsid w:val="001063D8"/>
    <w:rsid w:val="0010655E"/>
    <w:rsid w:val="00106B90"/>
    <w:rsid w:val="00106C6E"/>
    <w:rsid w:val="00106DA2"/>
    <w:rsid w:val="00106E29"/>
    <w:rsid w:val="00106F92"/>
    <w:rsid w:val="00106FCA"/>
    <w:rsid w:val="0010743B"/>
    <w:rsid w:val="0010747E"/>
    <w:rsid w:val="001074E9"/>
    <w:rsid w:val="0010795B"/>
    <w:rsid w:val="00107DA9"/>
    <w:rsid w:val="00107F12"/>
    <w:rsid w:val="00110010"/>
    <w:rsid w:val="001101C1"/>
    <w:rsid w:val="001101F2"/>
    <w:rsid w:val="001104DD"/>
    <w:rsid w:val="001106D4"/>
    <w:rsid w:val="00110789"/>
    <w:rsid w:val="00110796"/>
    <w:rsid w:val="00110C41"/>
    <w:rsid w:val="00110C9D"/>
    <w:rsid w:val="00110E68"/>
    <w:rsid w:val="001111E7"/>
    <w:rsid w:val="001111F8"/>
    <w:rsid w:val="00111230"/>
    <w:rsid w:val="001113D8"/>
    <w:rsid w:val="00111436"/>
    <w:rsid w:val="0011143D"/>
    <w:rsid w:val="00111532"/>
    <w:rsid w:val="0011176A"/>
    <w:rsid w:val="00111980"/>
    <w:rsid w:val="00111AAF"/>
    <w:rsid w:val="00111E3C"/>
    <w:rsid w:val="00111F1D"/>
    <w:rsid w:val="001120BB"/>
    <w:rsid w:val="001122AD"/>
    <w:rsid w:val="00112326"/>
    <w:rsid w:val="00112360"/>
    <w:rsid w:val="0011238D"/>
    <w:rsid w:val="00112619"/>
    <w:rsid w:val="001127E7"/>
    <w:rsid w:val="001128A8"/>
    <w:rsid w:val="001129DF"/>
    <w:rsid w:val="00112C05"/>
    <w:rsid w:val="00112E4A"/>
    <w:rsid w:val="00112EE9"/>
    <w:rsid w:val="00113141"/>
    <w:rsid w:val="0011315B"/>
    <w:rsid w:val="00113218"/>
    <w:rsid w:val="00113398"/>
    <w:rsid w:val="001138F6"/>
    <w:rsid w:val="00113A10"/>
    <w:rsid w:val="001140B2"/>
    <w:rsid w:val="00114118"/>
    <w:rsid w:val="001141BB"/>
    <w:rsid w:val="001142EC"/>
    <w:rsid w:val="00114F3E"/>
    <w:rsid w:val="00114FCD"/>
    <w:rsid w:val="001151EC"/>
    <w:rsid w:val="00115317"/>
    <w:rsid w:val="0011537E"/>
    <w:rsid w:val="00115424"/>
    <w:rsid w:val="001155A4"/>
    <w:rsid w:val="00115748"/>
    <w:rsid w:val="00115DDE"/>
    <w:rsid w:val="00115DFB"/>
    <w:rsid w:val="00116767"/>
    <w:rsid w:val="001169F0"/>
    <w:rsid w:val="00116ABC"/>
    <w:rsid w:val="00116C69"/>
    <w:rsid w:val="0011712C"/>
    <w:rsid w:val="00117191"/>
    <w:rsid w:val="00117466"/>
    <w:rsid w:val="001178EF"/>
    <w:rsid w:val="00117ABD"/>
    <w:rsid w:val="00117ADB"/>
    <w:rsid w:val="00117D3C"/>
    <w:rsid w:val="001205C9"/>
    <w:rsid w:val="0012063B"/>
    <w:rsid w:val="0012077E"/>
    <w:rsid w:val="001209BC"/>
    <w:rsid w:val="00120B48"/>
    <w:rsid w:val="00121012"/>
    <w:rsid w:val="0012110C"/>
    <w:rsid w:val="00121171"/>
    <w:rsid w:val="00121274"/>
    <w:rsid w:val="001216F4"/>
    <w:rsid w:val="0012183C"/>
    <w:rsid w:val="00121958"/>
    <w:rsid w:val="00121B19"/>
    <w:rsid w:val="00121CC6"/>
    <w:rsid w:val="00121E6D"/>
    <w:rsid w:val="00121FA7"/>
    <w:rsid w:val="00122403"/>
    <w:rsid w:val="00122574"/>
    <w:rsid w:val="00122842"/>
    <w:rsid w:val="0012296B"/>
    <w:rsid w:val="00122DAB"/>
    <w:rsid w:val="00122DB4"/>
    <w:rsid w:val="001235B8"/>
    <w:rsid w:val="001237E2"/>
    <w:rsid w:val="00123BD5"/>
    <w:rsid w:val="00124008"/>
    <w:rsid w:val="00124161"/>
    <w:rsid w:val="0012423D"/>
    <w:rsid w:val="00124253"/>
    <w:rsid w:val="00124271"/>
    <w:rsid w:val="00124660"/>
    <w:rsid w:val="00124A49"/>
    <w:rsid w:val="00124D64"/>
    <w:rsid w:val="00124F14"/>
    <w:rsid w:val="0012505D"/>
    <w:rsid w:val="00125088"/>
    <w:rsid w:val="001250EF"/>
    <w:rsid w:val="0012524B"/>
    <w:rsid w:val="00125337"/>
    <w:rsid w:val="00125696"/>
    <w:rsid w:val="00125705"/>
    <w:rsid w:val="00125929"/>
    <w:rsid w:val="00125C02"/>
    <w:rsid w:val="00125DFB"/>
    <w:rsid w:val="00125E26"/>
    <w:rsid w:val="00125EF8"/>
    <w:rsid w:val="00125F6B"/>
    <w:rsid w:val="001260AD"/>
    <w:rsid w:val="0012612A"/>
    <w:rsid w:val="00126157"/>
    <w:rsid w:val="0012629A"/>
    <w:rsid w:val="00126358"/>
    <w:rsid w:val="00126395"/>
    <w:rsid w:val="0012642A"/>
    <w:rsid w:val="001265C0"/>
    <w:rsid w:val="00126660"/>
    <w:rsid w:val="00126683"/>
    <w:rsid w:val="001267FA"/>
    <w:rsid w:val="001268A6"/>
    <w:rsid w:val="00126BFF"/>
    <w:rsid w:val="00126C26"/>
    <w:rsid w:val="00126EEE"/>
    <w:rsid w:val="00126F6A"/>
    <w:rsid w:val="00127102"/>
    <w:rsid w:val="00127360"/>
    <w:rsid w:val="00127373"/>
    <w:rsid w:val="001275C4"/>
    <w:rsid w:val="001277DC"/>
    <w:rsid w:val="001278FC"/>
    <w:rsid w:val="00127EE7"/>
    <w:rsid w:val="00127F4F"/>
    <w:rsid w:val="00130039"/>
    <w:rsid w:val="001300B5"/>
    <w:rsid w:val="0013020D"/>
    <w:rsid w:val="00130465"/>
    <w:rsid w:val="001304A3"/>
    <w:rsid w:val="001304C4"/>
    <w:rsid w:val="0013069A"/>
    <w:rsid w:val="00130BF7"/>
    <w:rsid w:val="00130E92"/>
    <w:rsid w:val="00130F5E"/>
    <w:rsid w:val="0013109D"/>
    <w:rsid w:val="00131168"/>
    <w:rsid w:val="001312CB"/>
    <w:rsid w:val="00131335"/>
    <w:rsid w:val="001315C3"/>
    <w:rsid w:val="00131817"/>
    <w:rsid w:val="00131ABB"/>
    <w:rsid w:val="00131BF5"/>
    <w:rsid w:val="00131DC6"/>
    <w:rsid w:val="00131F21"/>
    <w:rsid w:val="00131FD6"/>
    <w:rsid w:val="00131FEA"/>
    <w:rsid w:val="0013223E"/>
    <w:rsid w:val="0013247B"/>
    <w:rsid w:val="0013251F"/>
    <w:rsid w:val="00132893"/>
    <w:rsid w:val="00132A02"/>
    <w:rsid w:val="00132C18"/>
    <w:rsid w:val="00132C8E"/>
    <w:rsid w:val="00132D19"/>
    <w:rsid w:val="0013343B"/>
    <w:rsid w:val="001336F8"/>
    <w:rsid w:val="0013373E"/>
    <w:rsid w:val="00133844"/>
    <w:rsid w:val="001338DC"/>
    <w:rsid w:val="00133D8D"/>
    <w:rsid w:val="00133DE0"/>
    <w:rsid w:val="00133E14"/>
    <w:rsid w:val="00133E29"/>
    <w:rsid w:val="00133FED"/>
    <w:rsid w:val="00134209"/>
    <w:rsid w:val="0013426F"/>
    <w:rsid w:val="001343E8"/>
    <w:rsid w:val="00134456"/>
    <w:rsid w:val="00134649"/>
    <w:rsid w:val="0013490B"/>
    <w:rsid w:val="00134991"/>
    <w:rsid w:val="00134B87"/>
    <w:rsid w:val="00134B9D"/>
    <w:rsid w:val="00134BD6"/>
    <w:rsid w:val="00134C39"/>
    <w:rsid w:val="00135075"/>
    <w:rsid w:val="00135186"/>
    <w:rsid w:val="001351F5"/>
    <w:rsid w:val="00135396"/>
    <w:rsid w:val="00135532"/>
    <w:rsid w:val="001358C5"/>
    <w:rsid w:val="00135A01"/>
    <w:rsid w:val="00135B83"/>
    <w:rsid w:val="00135CCF"/>
    <w:rsid w:val="00135CE3"/>
    <w:rsid w:val="00135E5B"/>
    <w:rsid w:val="00135F4E"/>
    <w:rsid w:val="00135F5B"/>
    <w:rsid w:val="00135FA3"/>
    <w:rsid w:val="0013615B"/>
    <w:rsid w:val="00136349"/>
    <w:rsid w:val="0013649C"/>
    <w:rsid w:val="001364D4"/>
    <w:rsid w:val="001365F4"/>
    <w:rsid w:val="001366C1"/>
    <w:rsid w:val="001369DD"/>
    <w:rsid w:val="00136E23"/>
    <w:rsid w:val="001370F9"/>
    <w:rsid w:val="00137179"/>
    <w:rsid w:val="0013721F"/>
    <w:rsid w:val="0013724D"/>
    <w:rsid w:val="00137355"/>
    <w:rsid w:val="00137382"/>
    <w:rsid w:val="0013763F"/>
    <w:rsid w:val="0013776B"/>
    <w:rsid w:val="001378D3"/>
    <w:rsid w:val="00137AC3"/>
    <w:rsid w:val="00137AD5"/>
    <w:rsid w:val="00137D31"/>
    <w:rsid w:val="00137DE5"/>
    <w:rsid w:val="00140088"/>
    <w:rsid w:val="0014018C"/>
    <w:rsid w:val="001406A1"/>
    <w:rsid w:val="00140A1D"/>
    <w:rsid w:val="00140BF4"/>
    <w:rsid w:val="00140CF5"/>
    <w:rsid w:val="00140D99"/>
    <w:rsid w:val="0014106B"/>
    <w:rsid w:val="00141107"/>
    <w:rsid w:val="00141269"/>
    <w:rsid w:val="0014131A"/>
    <w:rsid w:val="00141969"/>
    <w:rsid w:val="00141A0F"/>
    <w:rsid w:val="00141A74"/>
    <w:rsid w:val="00141BE0"/>
    <w:rsid w:val="00142031"/>
    <w:rsid w:val="001426AF"/>
    <w:rsid w:val="0014273C"/>
    <w:rsid w:val="00142875"/>
    <w:rsid w:val="00142998"/>
    <w:rsid w:val="00142C17"/>
    <w:rsid w:val="00142D1D"/>
    <w:rsid w:val="00142D55"/>
    <w:rsid w:val="00142E68"/>
    <w:rsid w:val="001430F7"/>
    <w:rsid w:val="001431C6"/>
    <w:rsid w:val="001432C0"/>
    <w:rsid w:val="0014337D"/>
    <w:rsid w:val="00143380"/>
    <w:rsid w:val="001438BE"/>
    <w:rsid w:val="00143900"/>
    <w:rsid w:val="0014392D"/>
    <w:rsid w:val="00143964"/>
    <w:rsid w:val="00143CB0"/>
    <w:rsid w:val="00143E27"/>
    <w:rsid w:val="00143FFC"/>
    <w:rsid w:val="00144071"/>
    <w:rsid w:val="00144297"/>
    <w:rsid w:val="00144415"/>
    <w:rsid w:val="0014483D"/>
    <w:rsid w:val="00144997"/>
    <w:rsid w:val="00144A7D"/>
    <w:rsid w:val="00144B99"/>
    <w:rsid w:val="00144C02"/>
    <w:rsid w:val="00144DC4"/>
    <w:rsid w:val="00145069"/>
    <w:rsid w:val="001452C5"/>
    <w:rsid w:val="001452E9"/>
    <w:rsid w:val="001453B2"/>
    <w:rsid w:val="0014541A"/>
    <w:rsid w:val="00145933"/>
    <w:rsid w:val="00145934"/>
    <w:rsid w:val="00145B4B"/>
    <w:rsid w:val="00145BF0"/>
    <w:rsid w:val="001462C6"/>
    <w:rsid w:val="0014671A"/>
    <w:rsid w:val="0014682B"/>
    <w:rsid w:val="00146EFB"/>
    <w:rsid w:val="00146F0C"/>
    <w:rsid w:val="00147070"/>
    <w:rsid w:val="001470F5"/>
    <w:rsid w:val="00147316"/>
    <w:rsid w:val="00147393"/>
    <w:rsid w:val="0014740A"/>
    <w:rsid w:val="00147439"/>
    <w:rsid w:val="001476EF"/>
    <w:rsid w:val="001478EB"/>
    <w:rsid w:val="0014794D"/>
    <w:rsid w:val="00147AEA"/>
    <w:rsid w:val="00147D14"/>
    <w:rsid w:val="00150828"/>
    <w:rsid w:val="001509FB"/>
    <w:rsid w:val="00150C20"/>
    <w:rsid w:val="00150CB2"/>
    <w:rsid w:val="00151039"/>
    <w:rsid w:val="00151075"/>
    <w:rsid w:val="00151092"/>
    <w:rsid w:val="0015118A"/>
    <w:rsid w:val="001513D7"/>
    <w:rsid w:val="00151447"/>
    <w:rsid w:val="0015183F"/>
    <w:rsid w:val="0015187A"/>
    <w:rsid w:val="00151CAA"/>
    <w:rsid w:val="00151E1B"/>
    <w:rsid w:val="001524C7"/>
    <w:rsid w:val="0015251C"/>
    <w:rsid w:val="001525B8"/>
    <w:rsid w:val="00152808"/>
    <w:rsid w:val="00152B38"/>
    <w:rsid w:val="00152BBC"/>
    <w:rsid w:val="00152F60"/>
    <w:rsid w:val="00153299"/>
    <w:rsid w:val="001535A9"/>
    <w:rsid w:val="00153887"/>
    <w:rsid w:val="001539C5"/>
    <w:rsid w:val="00153B5E"/>
    <w:rsid w:val="00153E1A"/>
    <w:rsid w:val="00153E7D"/>
    <w:rsid w:val="00153F1C"/>
    <w:rsid w:val="001544D5"/>
    <w:rsid w:val="001546C7"/>
    <w:rsid w:val="0015486D"/>
    <w:rsid w:val="00154C34"/>
    <w:rsid w:val="00154DA0"/>
    <w:rsid w:val="0015505E"/>
    <w:rsid w:val="00155085"/>
    <w:rsid w:val="001551C2"/>
    <w:rsid w:val="001551FD"/>
    <w:rsid w:val="00155354"/>
    <w:rsid w:val="001553CE"/>
    <w:rsid w:val="0015540F"/>
    <w:rsid w:val="0015568C"/>
    <w:rsid w:val="00156128"/>
    <w:rsid w:val="0015616F"/>
    <w:rsid w:val="00156276"/>
    <w:rsid w:val="001565C8"/>
    <w:rsid w:val="00156699"/>
    <w:rsid w:val="001567E0"/>
    <w:rsid w:val="0015686D"/>
    <w:rsid w:val="00156AE7"/>
    <w:rsid w:val="00156AE8"/>
    <w:rsid w:val="00156DE2"/>
    <w:rsid w:val="001570E0"/>
    <w:rsid w:val="0015715F"/>
    <w:rsid w:val="00157179"/>
    <w:rsid w:val="001571C9"/>
    <w:rsid w:val="001571CD"/>
    <w:rsid w:val="001573B1"/>
    <w:rsid w:val="00157427"/>
    <w:rsid w:val="001575AF"/>
    <w:rsid w:val="00157659"/>
    <w:rsid w:val="00157684"/>
    <w:rsid w:val="001577E5"/>
    <w:rsid w:val="00160116"/>
    <w:rsid w:val="0016037D"/>
    <w:rsid w:val="00160846"/>
    <w:rsid w:val="00160867"/>
    <w:rsid w:val="001609C3"/>
    <w:rsid w:val="001609E1"/>
    <w:rsid w:val="00160A8F"/>
    <w:rsid w:val="00160DB1"/>
    <w:rsid w:val="00160E1A"/>
    <w:rsid w:val="001614FB"/>
    <w:rsid w:val="00161508"/>
    <w:rsid w:val="0016168E"/>
    <w:rsid w:val="0016169D"/>
    <w:rsid w:val="00161A3C"/>
    <w:rsid w:val="00161C3D"/>
    <w:rsid w:val="00161CB9"/>
    <w:rsid w:val="001620FA"/>
    <w:rsid w:val="00162163"/>
    <w:rsid w:val="00162470"/>
    <w:rsid w:val="00162550"/>
    <w:rsid w:val="001625A1"/>
    <w:rsid w:val="00162796"/>
    <w:rsid w:val="00162DB7"/>
    <w:rsid w:val="00163040"/>
    <w:rsid w:val="00163467"/>
    <w:rsid w:val="00163620"/>
    <w:rsid w:val="00163698"/>
    <w:rsid w:val="001637D8"/>
    <w:rsid w:val="0016395B"/>
    <w:rsid w:val="00163B5B"/>
    <w:rsid w:val="00163CEE"/>
    <w:rsid w:val="00163E0E"/>
    <w:rsid w:val="00163F69"/>
    <w:rsid w:val="00164117"/>
    <w:rsid w:val="0016414B"/>
    <w:rsid w:val="0016421C"/>
    <w:rsid w:val="001644CA"/>
    <w:rsid w:val="0016475A"/>
    <w:rsid w:val="00164949"/>
    <w:rsid w:val="00164B43"/>
    <w:rsid w:val="00164C7B"/>
    <w:rsid w:val="00164D65"/>
    <w:rsid w:val="00164EEF"/>
    <w:rsid w:val="00165018"/>
    <w:rsid w:val="001653BF"/>
    <w:rsid w:val="001655F1"/>
    <w:rsid w:val="00165958"/>
    <w:rsid w:val="00165A56"/>
    <w:rsid w:val="00165E17"/>
    <w:rsid w:val="00165EFF"/>
    <w:rsid w:val="00165FD0"/>
    <w:rsid w:val="0016605E"/>
    <w:rsid w:val="0016622D"/>
    <w:rsid w:val="001664AA"/>
    <w:rsid w:val="0016666E"/>
    <w:rsid w:val="0016687C"/>
    <w:rsid w:val="00166918"/>
    <w:rsid w:val="00166CBD"/>
    <w:rsid w:val="001671E0"/>
    <w:rsid w:val="00167335"/>
    <w:rsid w:val="00167463"/>
    <w:rsid w:val="0016751D"/>
    <w:rsid w:val="0016759B"/>
    <w:rsid w:val="00167ABB"/>
    <w:rsid w:val="00167E3F"/>
    <w:rsid w:val="00167E86"/>
    <w:rsid w:val="00167F17"/>
    <w:rsid w:val="0017005F"/>
    <w:rsid w:val="001700F4"/>
    <w:rsid w:val="00170289"/>
    <w:rsid w:val="00170693"/>
    <w:rsid w:val="0017107D"/>
    <w:rsid w:val="00171233"/>
    <w:rsid w:val="00171240"/>
    <w:rsid w:val="001715AB"/>
    <w:rsid w:val="001717B6"/>
    <w:rsid w:val="001717D9"/>
    <w:rsid w:val="001718A8"/>
    <w:rsid w:val="0017190A"/>
    <w:rsid w:val="0017195A"/>
    <w:rsid w:val="00171ACF"/>
    <w:rsid w:val="00171B3B"/>
    <w:rsid w:val="00171B75"/>
    <w:rsid w:val="00172016"/>
    <w:rsid w:val="00172425"/>
    <w:rsid w:val="001725AC"/>
    <w:rsid w:val="00172653"/>
    <w:rsid w:val="00172728"/>
    <w:rsid w:val="00172883"/>
    <w:rsid w:val="0017291C"/>
    <w:rsid w:val="00172BBE"/>
    <w:rsid w:val="00172C0C"/>
    <w:rsid w:val="0017351E"/>
    <w:rsid w:val="00173D7F"/>
    <w:rsid w:val="00173F8D"/>
    <w:rsid w:val="001741AC"/>
    <w:rsid w:val="001744D4"/>
    <w:rsid w:val="00174618"/>
    <w:rsid w:val="00174629"/>
    <w:rsid w:val="00174662"/>
    <w:rsid w:val="001747D7"/>
    <w:rsid w:val="00174842"/>
    <w:rsid w:val="001749C4"/>
    <w:rsid w:val="00174A61"/>
    <w:rsid w:val="00174B3B"/>
    <w:rsid w:val="00174D70"/>
    <w:rsid w:val="001751AA"/>
    <w:rsid w:val="00175218"/>
    <w:rsid w:val="0017529D"/>
    <w:rsid w:val="001756E2"/>
    <w:rsid w:val="001758B1"/>
    <w:rsid w:val="00175948"/>
    <w:rsid w:val="00175A76"/>
    <w:rsid w:val="00175B32"/>
    <w:rsid w:val="00175B85"/>
    <w:rsid w:val="001760C0"/>
    <w:rsid w:val="00176143"/>
    <w:rsid w:val="00176236"/>
    <w:rsid w:val="00176346"/>
    <w:rsid w:val="0017638E"/>
    <w:rsid w:val="001763F8"/>
    <w:rsid w:val="00176750"/>
    <w:rsid w:val="00176812"/>
    <w:rsid w:val="00176828"/>
    <w:rsid w:val="00176902"/>
    <w:rsid w:val="00176AF5"/>
    <w:rsid w:val="00176BF3"/>
    <w:rsid w:val="00176EB3"/>
    <w:rsid w:val="00176EE2"/>
    <w:rsid w:val="00177105"/>
    <w:rsid w:val="001771C7"/>
    <w:rsid w:val="001771EE"/>
    <w:rsid w:val="0017726B"/>
    <w:rsid w:val="00177581"/>
    <w:rsid w:val="00177745"/>
    <w:rsid w:val="001779DC"/>
    <w:rsid w:val="00177A25"/>
    <w:rsid w:val="00177AE7"/>
    <w:rsid w:val="00177B0F"/>
    <w:rsid w:val="00177B8A"/>
    <w:rsid w:val="00177D6C"/>
    <w:rsid w:val="00177FBD"/>
    <w:rsid w:val="0018006D"/>
    <w:rsid w:val="00180071"/>
    <w:rsid w:val="00180133"/>
    <w:rsid w:val="001802AB"/>
    <w:rsid w:val="00180391"/>
    <w:rsid w:val="0018058C"/>
    <w:rsid w:val="00180842"/>
    <w:rsid w:val="001809FA"/>
    <w:rsid w:val="00180E19"/>
    <w:rsid w:val="00180EC1"/>
    <w:rsid w:val="001813F2"/>
    <w:rsid w:val="00181681"/>
    <w:rsid w:val="001817DF"/>
    <w:rsid w:val="00181859"/>
    <w:rsid w:val="00181A97"/>
    <w:rsid w:val="001821A9"/>
    <w:rsid w:val="001825BB"/>
    <w:rsid w:val="00182682"/>
    <w:rsid w:val="0018275B"/>
    <w:rsid w:val="001827A0"/>
    <w:rsid w:val="00182843"/>
    <w:rsid w:val="001828A1"/>
    <w:rsid w:val="00182BF4"/>
    <w:rsid w:val="00182C3F"/>
    <w:rsid w:val="00182D10"/>
    <w:rsid w:val="00182EC0"/>
    <w:rsid w:val="00182EF1"/>
    <w:rsid w:val="00183122"/>
    <w:rsid w:val="00183249"/>
    <w:rsid w:val="001832F7"/>
    <w:rsid w:val="0018344E"/>
    <w:rsid w:val="001836B8"/>
    <w:rsid w:val="001837B8"/>
    <w:rsid w:val="00183D84"/>
    <w:rsid w:val="00183EF9"/>
    <w:rsid w:val="00183FA9"/>
    <w:rsid w:val="0018444F"/>
    <w:rsid w:val="00184D10"/>
    <w:rsid w:val="00184DBD"/>
    <w:rsid w:val="00185011"/>
    <w:rsid w:val="00185041"/>
    <w:rsid w:val="0018542E"/>
    <w:rsid w:val="00185476"/>
    <w:rsid w:val="001855CF"/>
    <w:rsid w:val="001856FC"/>
    <w:rsid w:val="00185836"/>
    <w:rsid w:val="001859C1"/>
    <w:rsid w:val="00185A7A"/>
    <w:rsid w:val="00185B3E"/>
    <w:rsid w:val="00185BB7"/>
    <w:rsid w:val="00185C65"/>
    <w:rsid w:val="00185CB2"/>
    <w:rsid w:val="001861E0"/>
    <w:rsid w:val="0018627E"/>
    <w:rsid w:val="001864D1"/>
    <w:rsid w:val="00186822"/>
    <w:rsid w:val="00186A01"/>
    <w:rsid w:val="00186A24"/>
    <w:rsid w:val="00186A8C"/>
    <w:rsid w:val="00186BF8"/>
    <w:rsid w:val="00186FC0"/>
    <w:rsid w:val="00187023"/>
    <w:rsid w:val="0018702A"/>
    <w:rsid w:val="001871CD"/>
    <w:rsid w:val="0018725B"/>
    <w:rsid w:val="001873B0"/>
    <w:rsid w:val="00187503"/>
    <w:rsid w:val="00187929"/>
    <w:rsid w:val="00187BBC"/>
    <w:rsid w:val="00187D94"/>
    <w:rsid w:val="0019018D"/>
    <w:rsid w:val="001901E0"/>
    <w:rsid w:val="00190515"/>
    <w:rsid w:val="0019064D"/>
    <w:rsid w:val="001908F7"/>
    <w:rsid w:val="00190DB7"/>
    <w:rsid w:val="00191615"/>
    <w:rsid w:val="00191670"/>
    <w:rsid w:val="00191A48"/>
    <w:rsid w:val="00191EE3"/>
    <w:rsid w:val="00191F2A"/>
    <w:rsid w:val="001920C7"/>
    <w:rsid w:val="0019222D"/>
    <w:rsid w:val="001926F3"/>
    <w:rsid w:val="001929B2"/>
    <w:rsid w:val="00192A78"/>
    <w:rsid w:val="00192CE7"/>
    <w:rsid w:val="00192D88"/>
    <w:rsid w:val="00192E92"/>
    <w:rsid w:val="00192FF5"/>
    <w:rsid w:val="001936BE"/>
    <w:rsid w:val="001936D8"/>
    <w:rsid w:val="001937DA"/>
    <w:rsid w:val="001938DC"/>
    <w:rsid w:val="00193A79"/>
    <w:rsid w:val="00193C2B"/>
    <w:rsid w:val="00193C6B"/>
    <w:rsid w:val="00193CE8"/>
    <w:rsid w:val="00193E23"/>
    <w:rsid w:val="00193E5E"/>
    <w:rsid w:val="00193E95"/>
    <w:rsid w:val="0019442F"/>
    <w:rsid w:val="00194519"/>
    <w:rsid w:val="00194821"/>
    <w:rsid w:val="00194974"/>
    <w:rsid w:val="001949B1"/>
    <w:rsid w:val="00194B73"/>
    <w:rsid w:val="00194B93"/>
    <w:rsid w:val="00194B9A"/>
    <w:rsid w:val="00194BC8"/>
    <w:rsid w:val="00194C36"/>
    <w:rsid w:val="001950D3"/>
    <w:rsid w:val="00195127"/>
    <w:rsid w:val="00195433"/>
    <w:rsid w:val="001955A4"/>
    <w:rsid w:val="00195652"/>
    <w:rsid w:val="00195A47"/>
    <w:rsid w:val="00195E03"/>
    <w:rsid w:val="00195F24"/>
    <w:rsid w:val="0019603C"/>
    <w:rsid w:val="00196166"/>
    <w:rsid w:val="00196170"/>
    <w:rsid w:val="001963AA"/>
    <w:rsid w:val="001964A9"/>
    <w:rsid w:val="0019694B"/>
    <w:rsid w:val="001969F5"/>
    <w:rsid w:val="00196AEA"/>
    <w:rsid w:val="00196B14"/>
    <w:rsid w:val="00196B4C"/>
    <w:rsid w:val="00196BC0"/>
    <w:rsid w:val="00196E64"/>
    <w:rsid w:val="00197085"/>
    <w:rsid w:val="001971C5"/>
    <w:rsid w:val="0019766E"/>
    <w:rsid w:val="0019788E"/>
    <w:rsid w:val="00197A1C"/>
    <w:rsid w:val="00197B92"/>
    <w:rsid w:val="00197C09"/>
    <w:rsid w:val="001A0071"/>
    <w:rsid w:val="001A047C"/>
    <w:rsid w:val="001A055C"/>
    <w:rsid w:val="001A06F7"/>
    <w:rsid w:val="001A0937"/>
    <w:rsid w:val="001A0CD4"/>
    <w:rsid w:val="001A0DC5"/>
    <w:rsid w:val="001A1129"/>
    <w:rsid w:val="001A1968"/>
    <w:rsid w:val="001A1A4D"/>
    <w:rsid w:val="001A1C8C"/>
    <w:rsid w:val="001A1D96"/>
    <w:rsid w:val="001A1E41"/>
    <w:rsid w:val="001A1F8F"/>
    <w:rsid w:val="001A2140"/>
    <w:rsid w:val="001A24FD"/>
    <w:rsid w:val="001A2888"/>
    <w:rsid w:val="001A2A49"/>
    <w:rsid w:val="001A2A95"/>
    <w:rsid w:val="001A2D6F"/>
    <w:rsid w:val="001A2E0A"/>
    <w:rsid w:val="001A2E25"/>
    <w:rsid w:val="001A2FEA"/>
    <w:rsid w:val="001A33C2"/>
    <w:rsid w:val="001A37B8"/>
    <w:rsid w:val="001A3F69"/>
    <w:rsid w:val="001A3FAD"/>
    <w:rsid w:val="001A43F1"/>
    <w:rsid w:val="001A44DA"/>
    <w:rsid w:val="001A45DE"/>
    <w:rsid w:val="001A46C6"/>
    <w:rsid w:val="001A49D6"/>
    <w:rsid w:val="001A4A2E"/>
    <w:rsid w:val="001A4CD3"/>
    <w:rsid w:val="001A4F33"/>
    <w:rsid w:val="001A5227"/>
    <w:rsid w:val="001A5629"/>
    <w:rsid w:val="001A596A"/>
    <w:rsid w:val="001A5AF7"/>
    <w:rsid w:val="001A5CD7"/>
    <w:rsid w:val="001A5E1A"/>
    <w:rsid w:val="001A6303"/>
    <w:rsid w:val="001A66C9"/>
    <w:rsid w:val="001A6700"/>
    <w:rsid w:val="001A670A"/>
    <w:rsid w:val="001A670C"/>
    <w:rsid w:val="001A68A0"/>
    <w:rsid w:val="001A6AED"/>
    <w:rsid w:val="001A6BA3"/>
    <w:rsid w:val="001A6D4D"/>
    <w:rsid w:val="001A6E21"/>
    <w:rsid w:val="001A7701"/>
    <w:rsid w:val="001A77A2"/>
    <w:rsid w:val="001A77DF"/>
    <w:rsid w:val="001A7884"/>
    <w:rsid w:val="001A78BC"/>
    <w:rsid w:val="001A7911"/>
    <w:rsid w:val="001A7C93"/>
    <w:rsid w:val="001A7D49"/>
    <w:rsid w:val="001B0152"/>
    <w:rsid w:val="001B034F"/>
    <w:rsid w:val="001B0532"/>
    <w:rsid w:val="001B05EF"/>
    <w:rsid w:val="001B0677"/>
    <w:rsid w:val="001B09BD"/>
    <w:rsid w:val="001B0AC0"/>
    <w:rsid w:val="001B0CD4"/>
    <w:rsid w:val="001B0F0C"/>
    <w:rsid w:val="001B1246"/>
    <w:rsid w:val="001B12CB"/>
    <w:rsid w:val="001B14D9"/>
    <w:rsid w:val="001B16C7"/>
    <w:rsid w:val="001B1D57"/>
    <w:rsid w:val="001B1E16"/>
    <w:rsid w:val="001B1FF5"/>
    <w:rsid w:val="001B21FF"/>
    <w:rsid w:val="001B221F"/>
    <w:rsid w:val="001B2306"/>
    <w:rsid w:val="001B2323"/>
    <w:rsid w:val="001B23B4"/>
    <w:rsid w:val="001B271A"/>
    <w:rsid w:val="001B29A0"/>
    <w:rsid w:val="001B2C5F"/>
    <w:rsid w:val="001B2CEF"/>
    <w:rsid w:val="001B2E45"/>
    <w:rsid w:val="001B2FBE"/>
    <w:rsid w:val="001B328D"/>
    <w:rsid w:val="001B3419"/>
    <w:rsid w:val="001B37F3"/>
    <w:rsid w:val="001B38AF"/>
    <w:rsid w:val="001B3984"/>
    <w:rsid w:val="001B3B9A"/>
    <w:rsid w:val="001B3C75"/>
    <w:rsid w:val="001B3E6E"/>
    <w:rsid w:val="001B3E73"/>
    <w:rsid w:val="001B4280"/>
    <w:rsid w:val="001B42A4"/>
    <w:rsid w:val="001B468C"/>
    <w:rsid w:val="001B46A9"/>
    <w:rsid w:val="001B47D6"/>
    <w:rsid w:val="001B4A94"/>
    <w:rsid w:val="001B4AAE"/>
    <w:rsid w:val="001B4DD7"/>
    <w:rsid w:val="001B4EC7"/>
    <w:rsid w:val="001B5313"/>
    <w:rsid w:val="001B5756"/>
    <w:rsid w:val="001B585B"/>
    <w:rsid w:val="001B5901"/>
    <w:rsid w:val="001B5BB4"/>
    <w:rsid w:val="001B5C94"/>
    <w:rsid w:val="001B5D91"/>
    <w:rsid w:val="001B5DE4"/>
    <w:rsid w:val="001B5DF8"/>
    <w:rsid w:val="001B5F72"/>
    <w:rsid w:val="001B5FE7"/>
    <w:rsid w:val="001B629D"/>
    <w:rsid w:val="001B6A85"/>
    <w:rsid w:val="001B6D3D"/>
    <w:rsid w:val="001B6EF0"/>
    <w:rsid w:val="001B72EB"/>
    <w:rsid w:val="001B7443"/>
    <w:rsid w:val="001B76BD"/>
    <w:rsid w:val="001B777E"/>
    <w:rsid w:val="001B7AC1"/>
    <w:rsid w:val="001B7AFB"/>
    <w:rsid w:val="001B7E3A"/>
    <w:rsid w:val="001C002B"/>
    <w:rsid w:val="001C0174"/>
    <w:rsid w:val="001C03F5"/>
    <w:rsid w:val="001C05C1"/>
    <w:rsid w:val="001C069B"/>
    <w:rsid w:val="001C079C"/>
    <w:rsid w:val="001C07DB"/>
    <w:rsid w:val="001C0973"/>
    <w:rsid w:val="001C0A49"/>
    <w:rsid w:val="001C0B00"/>
    <w:rsid w:val="001C0D91"/>
    <w:rsid w:val="001C0E25"/>
    <w:rsid w:val="001C1602"/>
    <w:rsid w:val="001C1639"/>
    <w:rsid w:val="001C17B0"/>
    <w:rsid w:val="001C18BF"/>
    <w:rsid w:val="001C1900"/>
    <w:rsid w:val="001C1938"/>
    <w:rsid w:val="001C1BA8"/>
    <w:rsid w:val="001C1CC2"/>
    <w:rsid w:val="001C2048"/>
    <w:rsid w:val="001C2471"/>
    <w:rsid w:val="001C24AA"/>
    <w:rsid w:val="001C2816"/>
    <w:rsid w:val="001C2C84"/>
    <w:rsid w:val="001C2D53"/>
    <w:rsid w:val="001C2D7D"/>
    <w:rsid w:val="001C2DEF"/>
    <w:rsid w:val="001C2F15"/>
    <w:rsid w:val="001C3378"/>
    <w:rsid w:val="001C3594"/>
    <w:rsid w:val="001C36C4"/>
    <w:rsid w:val="001C38D5"/>
    <w:rsid w:val="001C3B0C"/>
    <w:rsid w:val="001C3DD1"/>
    <w:rsid w:val="001C3F2A"/>
    <w:rsid w:val="001C4112"/>
    <w:rsid w:val="001C43C7"/>
    <w:rsid w:val="001C4694"/>
    <w:rsid w:val="001C4870"/>
    <w:rsid w:val="001C4AF9"/>
    <w:rsid w:val="001C4E07"/>
    <w:rsid w:val="001C4FA2"/>
    <w:rsid w:val="001C5084"/>
    <w:rsid w:val="001C5175"/>
    <w:rsid w:val="001C52AE"/>
    <w:rsid w:val="001C5302"/>
    <w:rsid w:val="001C5740"/>
    <w:rsid w:val="001C580F"/>
    <w:rsid w:val="001C5981"/>
    <w:rsid w:val="001C5D37"/>
    <w:rsid w:val="001C6533"/>
    <w:rsid w:val="001C678F"/>
    <w:rsid w:val="001C6953"/>
    <w:rsid w:val="001C6A81"/>
    <w:rsid w:val="001C6D21"/>
    <w:rsid w:val="001C6F1F"/>
    <w:rsid w:val="001C70CD"/>
    <w:rsid w:val="001C74DB"/>
    <w:rsid w:val="001C7562"/>
    <w:rsid w:val="001C7A3B"/>
    <w:rsid w:val="001C7AD8"/>
    <w:rsid w:val="001C7DCC"/>
    <w:rsid w:val="001D05E9"/>
    <w:rsid w:val="001D0924"/>
    <w:rsid w:val="001D0B27"/>
    <w:rsid w:val="001D0CE6"/>
    <w:rsid w:val="001D0E0E"/>
    <w:rsid w:val="001D0F31"/>
    <w:rsid w:val="001D137D"/>
    <w:rsid w:val="001D15F7"/>
    <w:rsid w:val="001D1739"/>
    <w:rsid w:val="001D1978"/>
    <w:rsid w:val="001D1AD0"/>
    <w:rsid w:val="001D1AED"/>
    <w:rsid w:val="001D1B14"/>
    <w:rsid w:val="001D1D30"/>
    <w:rsid w:val="001D207B"/>
    <w:rsid w:val="001D20D9"/>
    <w:rsid w:val="001D2301"/>
    <w:rsid w:val="001D241F"/>
    <w:rsid w:val="001D2467"/>
    <w:rsid w:val="001D2907"/>
    <w:rsid w:val="001D2A53"/>
    <w:rsid w:val="001D2D08"/>
    <w:rsid w:val="001D2F75"/>
    <w:rsid w:val="001D334D"/>
    <w:rsid w:val="001D34E7"/>
    <w:rsid w:val="001D35FB"/>
    <w:rsid w:val="001D3849"/>
    <w:rsid w:val="001D3BC2"/>
    <w:rsid w:val="001D3C37"/>
    <w:rsid w:val="001D3DEE"/>
    <w:rsid w:val="001D3E80"/>
    <w:rsid w:val="001D3F2E"/>
    <w:rsid w:val="001D3F3C"/>
    <w:rsid w:val="001D42E7"/>
    <w:rsid w:val="001D46F8"/>
    <w:rsid w:val="001D475C"/>
    <w:rsid w:val="001D47A0"/>
    <w:rsid w:val="001D4859"/>
    <w:rsid w:val="001D4892"/>
    <w:rsid w:val="001D51F0"/>
    <w:rsid w:val="001D54D3"/>
    <w:rsid w:val="001D5532"/>
    <w:rsid w:val="001D553B"/>
    <w:rsid w:val="001D5606"/>
    <w:rsid w:val="001D5684"/>
    <w:rsid w:val="001D5792"/>
    <w:rsid w:val="001D5825"/>
    <w:rsid w:val="001D5AAC"/>
    <w:rsid w:val="001D5BE3"/>
    <w:rsid w:val="001D5EE4"/>
    <w:rsid w:val="001D6040"/>
    <w:rsid w:val="001D60CC"/>
    <w:rsid w:val="001D6113"/>
    <w:rsid w:val="001D616B"/>
    <w:rsid w:val="001D6577"/>
    <w:rsid w:val="001D6AE7"/>
    <w:rsid w:val="001D6B08"/>
    <w:rsid w:val="001D6F7E"/>
    <w:rsid w:val="001D70C1"/>
    <w:rsid w:val="001D737F"/>
    <w:rsid w:val="001D743C"/>
    <w:rsid w:val="001D77BA"/>
    <w:rsid w:val="001D7A74"/>
    <w:rsid w:val="001D7BB5"/>
    <w:rsid w:val="001D7E59"/>
    <w:rsid w:val="001E0185"/>
    <w:rsid w:val="001E06FB"/>
    <w:rsid w:val="001E0B77"/>
    <w:rsid w:val="001E0F8F"/>
    <w:rsid w:val="001E1159"/>
    <w:rsid w:val="001E1220"/>
    <w:rsid w:val="001E1468"/>
    <w:rsid w:val="001E198D"/>
    <w:rsid w:val="001E1ABF"/>
    <w:rsid w:val="001E1D45"/>
    <w:rsid w:val="001E1D54"/>
    <w:rsid w:val="001E1E53"/>
    <w:rsid w:val="001E1EE7"/>
    <w:rsid w:val="001E2612"/>
    <w:rsid w:val="001E2ADE"/>
    <w:rsid w:val="001E2D8D"/>
    <w:rsid w:val="001E2E71"/>
    <w:rsid w:val="001E31FD"/>
    <w:rsid w:val="001E3425"/>
    <w:rsid w:val="001E3A75"/>
    <w:rsid w:val="001E3C90"/>
    <w:rsid w:val="001E3CA7"/>
    <w:rsid w:val="001E3D37"/>
    <w:rsid w:val="001E407B"/>
    <w:rsid w:val="001E40FD"/>
    <w:rsid w:val="001E42B5"/>
    <w:rsid w:val="001E44D1"/>
    <w:rsid w:val="001E4698"/>
    <w:rsid w:val="001E4AAC"/>
    <w:rsid w:val="001E4C65"/>
    <w:rsid w:val="001E4D73"/>
    <w:rsid w:val="001E4F80"/>
    <w:rsid w:val="001E5002"/>
    <w:rsid w:val="001E5044"/>
    <w:rsid w:val="001E50B1"/>
    <w:rsid w:val="001E50C3"/>
    <w:rsid w:val="001E50C6"/>
    <w:rsid w:val="001E5628"/>
    <w:rsid w:val="001E570C"/>
    <w:rsid w:val="001E5A1A"/>
    <w:rsid w:val="001E5E16"/>
    <w:rsid w:val="001E6037"/>
    <w:rsid w:val="001E6096"/>
    <w:rsid w:val="001E619B"/>
    <w:rsid w:val="001E6373"/>
    <w:rsid w:val="001E64E8"/>
    <w:rsid w:val="001E6622"/>
    <w:rsid w:val="001E6B21"/>
    <w:rsid w:val="001E6B5E"/>
    <w:rsid w:val="001E6E79"/>
    <w:rsid w:val="001E6EF4"/>
    <w:rsid w:val="001E702D"/>
    <w:rsid w:val="001E73A7"/>
    <w:rsid w:val="001E7447"/>
    <w:rsid w:val="001E746C"/>
    <w:rsid w:val="001E74AF"/>
    <w:rsid w:val="001E7508"/>
    <w:rsid w:val="001E759E"/>
    <w:rsid w:val="001E75F7"/>
    <w:rsid w:val="001E78E1"/>
    <w:rsid w:val="001E7B2F"/>
    <w:rsid w:val="001E7D32"/>
    <w:rsid w:val="001F013B"/>
    <w:rsid w:val="001F029D"/>
    <w:rsid w:val="001F03EF"/>
    <w:rsid w:val="001F045C"/>
    <w:rsid w:val="001F0502"/>
    <w:rsid w:val="001F0793"/>
    <w:rsid w:val="001F0A3F"/>
    <w:rsid w:val="001F0CBF"/>
    <w:rsid w:val="001F10A1"/>
    <w:rsid w:val="001F10DF"/>
    <w:rsid w:val="001F10E9"/>
    <w:rsid w:val="001F12C3"/>
    <w:rsid w:val="001F1411"/>
    <w:rsid w:val="001F169A"/>
    <w:rsid w:val="001F1734"/>
    <w:rsid w:val="001F17DE"/>
    <w:rsid w:val="001F1878"/>
    <w:rsid w:val="001F18D7"/>
    <w:rsid w:val="001F1922"/>
    <w:rsid w:val="001F1995"/>
    <w:rsid w:val="001F1A81"/>
    <w:rsid w:val="001F1B4A"/>
    <w:rsid w:val="001F1B4E"/>
    <w:rsid w:val="001F1CB5"/>
    <w:rsid w:val="001F1E9D"/>
    <w:rsid w:val="001F1F72"/>
    <w:rsid w:val="001F2029"/>
    <w:rsid w:val="001F20CC"/>
    <w:rsid w:val="001F23CC"/>
    <w:rsid w:val="001F258B"/>
    <w:rsid w:val="001F278D"/>
    <w:rsid w:val="001F2C0F"/>
    <w:rsid w:val="001F2F67"/>
    <w:rsid w:val="001F2F6D"/>
    <w:rsid w:val="001F2F73"/>
    <w:rsid w:val="001F3228"/>
    <w:rsid w:val="001F377F"/>
    <w:rsid w:val="001F3907"/>
    <w:rsid w:val="001F3998"/>
    <w:rsid w:val="001F39FA"/>
    <w:rsid w:val="001F3C42"/>
    <w:rsid w:val="001F4012"/>
    <w:rsid w:val="001F40C3"/>
    <w:rsid w:val="001F4188"/>
    <w:rsid w:val="001F44DC"/>
    <w:rsid w:val="001F47C1"/>
    <w:rsid w:val="001F488B"/>
    <w:rsid w:val="001F4CF5"/>
    <w:rsid w:val="001F4F3C"/>
    <w:rsid w:val="001F52AC"/>
    <w:rsid w:val="001F562B"/>
    <w:rsid w:val="001F572B"/>
    <w:rsid w:val="001F57E6"/>
    <w:rsid w:val="001F590C"/>
    <w:rsid w:val="001F593A"/>
    <w:rsid w:val="001F5FCC"/>
    <w:rsid w:val="001F6097"/>
    <w:rsid w:val="001F62B6"/>
    <w:rsid w:val="001F62FF"/>
    <w:rsid w:val="001F63D6"/>
    <w:rsid w:val="001F6617"/>
    <w:rsid w:val="001F66BF"/>
    <w:rsid w:val="001F695B"/>
    <w:rsid w:val="001F6C11"/>
    <w:rsid w:val="001F6C8C"/>
    <w:rsid w:val="001F6CD5"/>
    <w:rsid w:val="001F6F32"/>
    <w:rsid w:val="001F7003"/>
    <w:rsid w:val="001F7054"/>
    <w:rsid w:val="001F7132"/>
    <w:rsid w:val="001F72ED"/>
    <w:rsid w:val="001F79D1"/>
    <w:rsid w:val="002001A4"/>
    <w:rsid w:val="002001D3"/>
    <w:rsid w:val="002003B4"/>
    <w:rsid w:val="00200460"/>
    <w:rsid w:val="00200730"/>
    <w:rsid w:val="002007A5"/>
    <w:rsid w:val="00200A9D"/>
    <w:rsid w:val="00200AB8"/>
    <w:rsid w:val="00200C77"/>
    <w:rsid w:val="00201007"/>
    <w:rsid w:val="002012FA"/>
    <w:rsid w:val="002013B7"/>
    <w:rsid w:val="002013DA"/>
    <w:rsid w:val="002014C0"/>
    <w:rsid w:val="00201600"/>
    <w:rsid w:val="00201626"/>
    <w:rsid w:val="00201B95"/>
    <w:rsid w:val="00201BF3"/>
    <w:rsid w:val="00201CBE"/>
    <w:rsid w:val="00201F51"/>
    <w:rsid w:val="00202029"/>
    <w:rsid w:val="0020211A"/>
    <w:rsid w:val="002022D1"/>
    <w:rsid w:val="0020270D"/>
    <w:rsid w:val="002027B9"/>
    <w:rsid w:val="0020298C"/>
    <w:rsid w:val="00202C6F"/>
    <w:rsid w:val="00202D84"/>
    <w:rsid w:val="00202DF4"/>
    <w:rsid w:val="00202E12"/>
    <w:rsid w:val="00202EDF"/>
    <w:rsid w:val="00202F25"/>
    <w:rsid w:val="0020328C"/>
    <w:rsid w:val="00203544"/>
    <w:rsid w:val="0020365A"/>
    <w:rsid w:val="00203C18"/>
    <w:rsid w:val="00203CCC"/>
    <w:rsid w:val="00203CD1"/>
    <w:rsid w:val="00203DAA"/>
    <w:rsid w:val="00203F42"/>
    <w:rsid w:val="0020402B"/>
    <w:rsid w:val="00204377"/>
    <w:rsid w:val="002043D1"/>
    <w:rsid w:val="002047B8"/>
    <w:rsid w:val="00204854"/>
    <w:rsid w:val="00204BC8"/>
    <w:rsid w:val="00204E2D"/>
    <w:rsid w:val="00204F60"/>
    <w:rsid w:val="002050E3"/>
    <w:rsid w:val="002051CC"/>
    <w:rsid w:val="00205466"/>
    <w:rsid w:val="00205565"/>
    <w:rsid w:val="00205586"/>
    <w:rsid w:val="0020559D"/>
    <w:rsid w:val="002055B9"/>
    <w:rsid w:val="002055DA"/>
    <w:rsid w:val="0020560A"/>
    <w:rsid w:val="00205655"/>
    <w:rsid w:val="00205696"/>
    <w:rsid w:val="002056F0"/>
    <w:rsid w:val="00205766"/>
    <w:rsid w:val="002057AF"/>
    <w:rsid w:val="00205ABE"/>
    <w:rsid w:val="00205ACF"/>
    <w:rsid w:val="00206256"/>
    <w:rsid w:val="00206667"/>
    <w:rsid w:val="00206830"/>
    <w:rsid w:val="00206C20"/>
    <w:rsid w:val="00206D79"/>
    <w:rsid w:val="00206EAC"/>
    <w:rsid w:val="0020708C"/>
    <w:rsid w:val="00207311"/>
    <w:rsid w:val="00207530"/>
    <w:rsid w:val="00207538"/>
    <w:rsid w:val="0020763D"/>
    <w:rsid w:val="00207691"/>
    <w:rsid w:val="00207CC6"/>
    <w:rsid w:val="00207D0E"/>
    <w:rsid w:val="00207D50"/>
    <w:rsid w:val="00207D67"/>
    <w:rsid w:val="00207F12"/>
    <w:rsid w:val="00210157"/>
    <w:rsid w:val="002104E8"/>
    <w:rsid w:val="00210698"/>
    <w:rsid w:val="0021094B"/>
    <w:rsid w:val="00210DAC"/>
    <w:rsid w:val="00210FC7"/>
    <w:rsid w:val="002114D7"/>
    <w:rsid w:val="0021192F"/>
    <w:rsid w:val="00211AAD"/>
    <w:rsid w:val="00211B7A"/>
    <w:rsid w:val="00211E74"/>
    <w:rsid w:val="002121E2"/>
    <w:rsid w:val="00212453"/>
    <w:rsid w:val="0021256E"/>
    <w:rsid w:val="0021266F"/>
    <w:rsid w:val="00212689"/>
    <w:rsid w:val="002129B5"/>
    <w:rsid w:val="00212E23"/>
    <w:rsid w:val="00212F36"/>
    <w:rsid w:val="00212FD3"/>
    <w:rsid w:val="002130E4"/>
    <w:rsid w:val="00213174"/>
    <w:rsid w:val="002131B0"/>
    <w:rsid w:val="002132BF"/>
    <w:rsid w:val="0021330A"/>
    <w:rsid w:val="0021378F"/>
    <w:rsid w:val="00213D1A"/>
    <w:rsid w:val="00213D97"/>
    <w:rsid w:val="00213EB8"/>
    <w:rsid w:val="00213F6E"/>
    <w:rsid w:val="002142DF"/>
    <w:rsid w:val="002148F5"/>
    <w:rsid w:val="00214938"/>
    <w:rsid w:val="00214B01"/>
    <w:rsid w:val="00214C06"/>
    <w:rsid w:val="00214DAF"/>
    <w:rsid w:val="00215089"/>
    <w:rsid w:val="00215098"/>
    <w:rsid w:val="00215311"/>
    <w:rsid w:val="00215316"/>
    <w:rsid w:val="00215802"/>
    <w:rsid w:val="0021593A"/>
    <w:rsid w:val="00215BF5"/>
    <w:rsid w:val="00215E1A"/>
    <w:rsid w:val="00215F9F"/>
    <w:rsid w:val="0021624B"/>
    <w:rsid w:val="00216354"/>
    <w:rsid w:val="0021635F"/>
    <w:rsid w:val="00216652"/>
    <w:rsid w:val="0021712B"/>
    <w:rsid w:val="00217267"/>
    <w:rsid w:val="00217409"/>
    <w:rsid w:val="00217509"/>
    <w:rsid w:val="0021752D"/>
    <w:rsid w:val="00217546"/>
    <w:rsid w:val="002178DB"/>
    <w:rsid w:val="002178E1"/>
    <w:rsid w:val="00217A02"/>
    <w:rsid w:val="00217BB6"/>
    <w:rsid w:val="00217C8D"/>
    <w:rsid w:val="00217E33"/>
    <w:rsid w:val="00220103"/>
    <w:rsid w:val="00220343"/>
    <w:rsid w:val="002203B6"/>
    <w:rsid w:val="00220865"/>
    <w:rsid w:val="00220C51"/>
    <w:rsid w:val="00220CF1"/>
    <w:rsid w:val="00220F9A"/>
    <w:rsid w:val="00221002"/>
    <w:rsid w:val="00221243"/>
    <w:rsid w:val="002212B3"/>
    <w:rsid w:val="002213E1"/>
    <w:rsid w:val="0022149E"/>
    <w:rsid w:val="0022169C"/>
    <w:rsid w:val="0022174F"/>
    <w:rsid w:val="00221A7A"/>
    <w:rsid w:val="00221A96"/>
    <w:rsid w:val="00221D8A"/>
    <w:rsid w:val="00221ECF"/>
    <w:rsid w:val="002221F6"/>
    <w:rsid w:val="0022224B"/>
    <w:rsid w:val="002222D1"/>
    <w:rsid w:val="002223B1"/>
    <w:rsid w:val="00222503"/>
    <w:rsid w:val="0022260B"/>
    <w:rsid w:val="002226A0"/>
    <w:rsid w:val="00222C00"/>
    <w:rsid w:val="0022335C"/>
    <w:rsid w:val="0022338B"/>
    <w:rsid w:val="002233E3"/>
    <w:rsid w:val="002238CB"/>
    <w:rsid w:val="00223A45"/>
    <w:rsid w:val="00223E45"/>
    <w:rsid w:val="00223E56"/>
    <w:rsid w:val="002240BA"/>
    <w:rsid w:val="0022428B"/>
    <w:rsid w:val="002245D3"/>
    <w:rsid w:val="002247B9"/>
    <w:rsid w:val="00224A1D"/>
    <w:rsid w:val="00224D87"/>
    <w:rsid w:val="00224DDB"/>
    <w:rsid w:val="00224F80"/>
    <w:rsid w:val="00225364"/>
    <w:rsid w:val="00225C94"/>
    <w:rsid w:val="00225D7E"/>
    <w:rsid w:val="00225DCE"/>
    <w:rsid w:val="00225EEF"/>
    <w:rsid w:val="00226160"/>
    <w:rsid w:val="002264C3"/>
    <w:rsid w:val="00226B24"/>
    <w:rsid w:val="0022708D"/>
    <w:rsid w:val="002270D0"/>
    <w:rsid w:val="0022715C"/>
    <w:rsid w:val="00227382"/>
    <w:rsid w:val="00227388"/>
    <w:rsid w:val="00227397"/>
    <w:rsid w:val="0022756A"/>
    <w:rsid w:val="002275E7"/>
    <w:rsid w:val="00227C15"/>
    <w:rsid w:val="002300C7"/>
    <w:rsid w:val="002304C1"/>
    <w:rsid w:val="00230618"/>
    <w:rsid w:val="002307ED"/>
    <w:rsid w:val="00230C86"/>
    <w:rsid w:val="00230E50"/>
    <w:rsid w:val="00230F4F"/>
    <w:rsid w:val="00231729"/>
    <w:rsid w:val="0023192E"/>
    <w:rsid w:val="00231A8A"/>
    <w:rsid w:val="00231D36"/>
    <w:rsid w:val="00231EAF"/>
    <w:rsid w:val="00232254"/>
    <w:rsid w:val="002322FC"/>
    <w:rsid w:val="00232352"/>
    <w:rsid w:val="0023237C"/>
    <w:rsid w:val="002328DB"/>
    <w:rsid w:val="00232B18"/>
    <w:rsid w:val="00232BBA"/>
    <w:rsid w:val="00232D33"/>
    <w:rsid w:val="00232E98"/>
    <w:rsid w:val="00232F66"/>
    <w:rsid w:val="00233174"/>
    <w:rsid w:val="002331F8"/>
    <w:rsid w:val="00233237"/>
    <w:rsid w:val="002335A0"/>
    <w:rsid w:val="002335EA"/>
    <w:rsid w:val="0023396B"/>
    <w:rsid w:val="002339AF"/>
    <w:rsid w:val="002339F0"/>
    <w:rsid w:val="00233CBA"/>
    <w:rsid w:val="00233D3B"/>
    <w:rsid w:val="00233EDD"/>
    <w:rsid w:val="00233FFD"/>
    <w:rsid w:val="00234014"/>
    <w:rsid w:val="002340CE"/>
    <w:rsid w:val="00234172"/>
    <w:rsid w:val="002341F9"/>
    <w:rsid w:val="0023439C"/>
    <w:rsid w:val="002344A9"/>
    <w:rsid w:val="0023453B"/>
    <w:rsid w:val="002345E2"/>
    <w:rsid w:val="00234650"/>
    <w:rsid w:val="002349BE"/>
    <w:rsid w:val="00234BE3"/>
    <w:rsid w:val="00234E77"/>
    <w:rsid w:val="00235492"/>
    <w:rsid w:val="00235536"/>
    <w:rsid w:val="002355FA"/>
    <w:rsid w:val="00235681"/>
    <w:rsid w:val="002359E0"/>
    <w:rsid w:val="00235D50"/>
    <w:rsid w:val="002363F7"/>
    <w:rsid w:val="002363FE"/>
    <w:rsid w:val="00236837"/>
    <w:rsid w:val="002368CB"/>
    <w:rsid w:val="00236B40"/>
    <w:rsid w:val="00236BB5"/>
    <w:rsid w:val="002370CA"/>
    <w:rsid w:val="002372C4"/>
    <w:rsid w:val="002373AA"/>
    <w:rsid w:val="00237B94"/>
    <w:rsid w:val="00237F68"/>
    <w:rsid w:val="002400F4"/>
    <w:rsid w:val="00240196"/>
    <w:rsid w:val="002406E0"/>
    <w:rsid w:val="00240A5F"/>
    <w:rsid w:val="00240AFD"/>
    <w:rsid w:val="00240DAA"/>
    <w:rsid w:val="0024113B"/>
    <w:rsid w:val="00241878"/>
    <w:rsid w:val="00241A14"/>
    <w:rsid w:val="00241B01"/>
    <w:rsid w:val="00241D0D"/>
    <w:rsid w:val="00241D49"/>
    <w:rsid w:val="00241D57"/>
    <w:rsid w:val="00241E55"/>
    <w:rsid w:val="00241F5B"/>
    <w:rsid w:val="002424C0"/>
    <w:rsid w:val="0024253D"/>
    <w:rsid w:val="00242724"/>
    <w:rsid w:val="002428EE"/>
    <w:rsid w:val="00242AA0"/>
    <w:rsid w:val="00242B78"/>
    <w:rsid w:val="00242E79"/>
    <w:rsid w:val="00242F8C"/>
    <w:rsid w:val="00243145"/>
    <w:rsid w:val="00243542"/>
    <w:rsid w:val="00243637"/>
    <w:rsid w:val="0024374A"/>
    <w:rsid w:val="0024385A"/>
    <w:rsid w:val="00243BD0"/>
    <w:rsid w:val="00243DE0"/>
    <w:rsid w:val="00243F18"/>
    <w:rsid w:val="00243F92"/>
    <w:rsid w:val="00244188"/>
    <w:rsid w:val="00244410"/>
    <w:rsid w:val="002444E1"/>
    <w:rsid w:val="00244522"/>
    <w:rsid w:val="0024471B"/>
    <w:rsid w:val="002447C4"/>
    <w:rsid w:val="00244807"/>
    <w:rsid w:val="00244931"/>
    <w:rsid w:val="00244BB9"/>
    <w:rsid w:val="00244CA3"/>
    <w:rsid w:val="00244CB5"/>
    <w:rsid w:val="00244DCE"/>
    <w:rsid w:val="00244F63"/>
    <w:rsid w:val="0024534B"/>
    <w:rsid w:val="002457E7"/>
    <w:rsid w:val="002459A0"/>
    <w:rsid w:val="00245B20"/>
    <w:rsid w:val="00245B87"/>
    <w:rsid w:val="00245C5A"/>
    <w:rsid w:val="00245C6B"/>
    <w:rsid w:val="00245FF9"/>
    <w:rsid w:val="00246278"/>
    <w:rsid w:val="0024629A"/>
    <w:rsid w:val="00246602"/>
    <w:rsid w:val="00246695"/>
    <w:rsid w:val="002467CA"/>
    <w:rsid w:val="00246944"/>
    <w:rsid w:val="002469C9"/>
    <w:rsid w:val="00246E3B"/>
    <w:rsid w:val="002470E0"/>
    <w:rsid w:val="0024749C"/>
    <w:rsid w:val="0024755A"/>
    <w:rsid w:val="002477B7"/>
    <w:rsid w:val="00247914"/>
    <w:rsid w:val="00247BD3"/>
    <w:rsid w:val="00247C20"/>
    <w:rsid w:val="00247CD3"/>
    <w:rsid w:val="00247FB3"/>
    <w:rsid w:val="002500D7"/>
    <w:rsid w:val="002503E6"/>
    <w:rsid w:val="002505E6"/>
    <w:rsid w:val="0025062D"/>
    <w:rsid w:val="00250719"/>
    <w:rsid w:val="00250A53"/>
    <w:rsid w:val="00250CD8"/>
    <w:rsid w:val="00250D57"/>
    <w:rsid w:val="00250D58"/>
    <w:rsid w:val="00250EC3"/>
    <w:rsid w:val="00250F74"/>
    <w:rsid w:val="002511E0"/>
    <w:rsid w:val="002512B3"/>
    <w:rsid w:val="0025131C"/>
    <w:rsid w:val="00251324"/>
    <w:rsid w:val="00251832"/>
    <w:rsid w:val="00251C75"/>
    <w:rsid w:val="00251CCD"/>
    <w:rsid w:val="002521D1"/>
    <w:rsid w:val="0025240E"/>
    <w:rsid w:val="00252447"/>
    <w:rsid w:val="00252470"/>
    <w:rsid w:val="00252571"/>
    <w:rsid w:val="002526DB"/>
    <w:rsid w:val="002527C1"/>
    <w:rsid w:val="00252C0B"/>
    <w:rsid w:val="00252D20"/>
    <w:rsid w:val="00252ECE"/>
    <w:rsid w:val="0025315E"/>
    <w:rsid w:val="002531EC"/>
    <w:rsid w:val="002533FC"/>
    <w:rsid w:val="002538A9"/>
    <w:rsid w:val="00253A95"/>
    <w:rsid w:val="00253AE7"/>
    <w:rsid w:val="00253C49"/>
    <w:rsid w:val="00253C6A"/>
    <w:rsid w:val="00254422"/>
    <w:rsid w:val="002545B6"/>
    <w:rsid w:val="00254617"/>
    <w:rsid w:val="00254910"/>
    <w:rsid w:val="0025496C"/>
    <w:rsid w:val="0025498D"/>
    <w:rsid w:val="00255299"/>
    <w:rsid w:val="002552FC"/>
    <w:rsid w:val="00255374"/>
    <w:rsid w:val="002554AE"/>
    <w:rsid w:val="002554B4"/>
    <w:rsid w:val="00255512"/>
    <w:rsid w:val="002557FA"/>
    <w:rsid w:val="0025598E"/>
    <w:rsid w:val="0025634C"/>
    <w:rsid w:val="00256669"/>
    <w:rsid w:val="002566FA"/>
    <w:rsid w:val="00256888"/>
    <w:rsid w:val="00256889"/>
    <w:rsid w:val="00256A1E"/>
    <w:rsid w:val="00256A71"/>
    <w:rsid w:val="00256B39"/>
    <w:rsid w:val="00256B91"/>
    <w:rsid w:val="00256FD4"/>
    <w:rsid w:val="00257043"/>
    <w:rsid w:val="002570CD"/>
    <w:rsid w:val="002573E8"/>
    <w:rsid w:val="00257638"/>
    <w:rsid w:val="00257A96"/>
    <w:rsid w:val="00257B5F"/>
    <w:rsid w:val="00257CAB"/>
    <w:rsid w:val="00257D58"/>
    <w:rsid w:val="00257F74"/>
    <w:rsid w:val="0026002F"/>
    <w:rsid w:val="0026032A"/>
    <w:rsid w:val="0026042F"/>
    <w:rsid w:val="002605D6"/>
    <w:rsid w:val="0026081E"/>
    <w:rsid w:val="002609A4"/>
    <w:rsid w:val="00260D66"/>
    <w:rsid w:val="00260EAA"/>
    <w:rsid w:val="00261223"/>
    <w:rsid w:val="0026122F"/>
    <w:rsid w:val="002613FE"/>
    <w:rsid w:val="00261433"/>
    <w:rsid w:val="00261635"/>
    <w:rsid w:val="00261C3D"/>
    <w:rsid w:val="00261FEA"/>
    <w:rsid w:val="0026200A"/>
    <w:rsid w:val="0026207B"/>
    <w:rsid w:val="002621E6"/>
    <w:rsid w:val="0026224D"/>
    <w:rsid w:val="002623B5"/>
    <w:rsid w:val="002624E5"/>
    <w:rsid w:val="00262A1F"/>
    <w:rsid w:val="00262ABE"/>
    <w:rsid w:val="00262AD6"/>
    <w:rsid w:val="00262B8F"/>
    <w:rsid w:val="00262CE8"/>
    <w:rsid w:val="00262DE6"/>
    <w:rsid w:val="00262F94"/>
    <w:rsid w:val="00263009"/>
    <w:rsid w:val="0026319E"/>
    <w:rsid w:val="00263268"/>
    <w:rsid w:val="002632AD"/>
    <w:rsid w:val="002632DD"/>
    <w:rsid w:val="0026333F"/>
    <w:rsid w:val="0026336D"/>
    <w:rsid w:val="002633D1"/>
    <w:rsid w:val="002635A0"/>
    <w:rsid w:val="00263788"/>
    <w:rsid w:val="00263884"/>
    <w:rsid w:val="00263923"/>
    <w:rsid w:val="00263AD9"/>
    <w:rsid w:val="00263D48"/>
    <w:rsid w:val="00263E33"/>
    <w:rsid w:val="00264572"/>
    <w:rsid w:val="002645D2"/>
    <w:rsid w:val="00264888"/>
    <w:rsid w:val="00264B3A"/>
    <w:rsid w:val="00264FCF"/>
    <w:rsid w:val="002650E6"/>
    <w:rsid w:val="00265185"/>
    <w:rsid w:val="002652D2"/>
    <w:rsid w:val="00265471"/>
    <w:rsid w:val="002655F6"/>
    <w:rsid w:val="00265980"/>
    <w:rsid w:val="00265C0E"/>
    <w:rsid w:val="00265C52"/>
    <w:rsid w:val="00265C63"/>
    <w:rsid w:val="00265CA4"/>
    <w:rsid w:val="00265D15"/>
    <w:rsid w:val="0026606F"/>
    <w:rsid w:val="00266125"/>
    <w:rsid w:val="002669C0"/>
    <w:rsid w:val="00266D95"/>
    <w:rsid w:val="00266DBE"/>
    <w:rsid w:val="00266FB1"/>
    <w:rsid w:val="002670A1"/>
    <w:rsid w:val="002673FE"/>
    <w:rsid w:val="00267638"/>
    <w:rsid w:val="0026775D"/>
    <w:rsid w:val="00267B97"/>
    <w:rsid w:val="00267BBD"/>
    <w:rsid w:val="002704C4"/>
    <w:rsid w:val="00270687"/>
    <w:rsid w:val="00270A2B"/>
    <w:rsid w:val="00270A7B"/>
    <w:rsid w:val="00270AF4"/>
    <w:rsid w:val="00270ECD"/>
    <w:rsid w:val="00270FE5"/>
    <w:rsid w:val="00271425"/>
    <w:rsid w:val="00271438"/>
    <w:rsid w:val="0027150C"/>
    <w:rsid w:val="00271601"/>
    <w:rsid w:val="0027178F"/>
    <w:rsid w:val="002717EC"/>
    <w:rsid w:val="00271E0C"/>
    <w:rsid w:val="00271EE0"/>
    <w:rsid w:val="0027244A"/>
    <w:rsid w:val="002724FE"/>
    <w:rsid w:val="00272730"/>
    <w:rsid w:val="002727A1"/>
    <w:rsid w:val="00272CF4"/>
    <w:rsid w:val="0027304E"/>
    <w:rsid w:val="0027305B"/>
    <w:rsid w:val="00273068"/>
    <w:rsid w:val="002732A9"/>
    <w:rsid w:val="00273570"/>
    <w:rsid w:val="002737C2"/>
    <w:rsid w:val="00273998"/>
    <w:rsid w:val="002739C4"/>
    <w:rsid w:val="00273AD7"/>
    <w:rsid w:val="00273CCB"/>
    <w:rsid w:val="00273D3E"/>
    <w:rsid w:val="00273E62"/>
    <w:rsid w:val="00273EED"/>
    <w:rsid w:val="00273F16"/>
    <w:rsid w:val="002740A5"/>
    <w:rsid w:val="00274160"/>
    <w:rsid w:val="0027449C"/>
    <w:rsid w:val="0027472F"/>
    <w:rsid w:val="00274737"/>
    <w:rsid w:val="002747B4"/>
    <w:rsid w:val="0027498D"/>
    <w:rsid w:val="00274A0F"/>
    <w:rsid w:val="00274CF3"/>
    <w:rsid w:val="0027523C"/>
    <w:rsid w:val="00275269"/>
    <w:rsid w:val="00275292"/>
    <w:rsid w:val="002756A4"/>
    <w:rsid w:val="0027594E"/>
    <w:rsid w:val="00275BAF"/>
    <w:rsid w:val="00275CEC"/>
    <w:rsid w:val="00275D00"/>
    <w:rsid w:val="00275D5D"/>
    <w:rsid w:val="00275EF5"/>
    <w:rsid w:val="00276072"/>
    <w:rsid w:val="00276302"/>
    <w:rsid w:val="0027636F"/>
    <w:rsid w:val="002769B4"/>
    <w:rsid w:val="00276D97"/>
    <w:rsid w:val="0027778A"/>
    <w:rsid w:val="002777F7"/>
    <w:rsid w:val="00277A66"/>
    <w:rsid w:val="00277BF9"/>
    <w:rsid w:val="00277DA5"/>
    <w:rsid w:val="002803B8"/>
    <w:rsid w:val="002805F9"/>
    <w:rsid w:val="00280912"/>
    <w:rsid w:val="00280920"/>
    <w:rsid w:val="0028094B"/>
    <w:rsid w:val="00280B19"/>
    <w:rsid w:val="00280DA6"/>
    <w:rsid w:val="00280DEF"/>
    <w:rsid w:val="00280F07"/>
    <w:rsid w:val="002810D3"/>
    <w:rsid w:val="002812E5"/>
    <w:rsid w:val="0028141D"/>
    <w:rsid w:val="00281438"/>
    <w:rsid w:val="00281759"/>
    <w:rsid w:val="002819D6"/>
    <w:rsid w:val="00281A04"/>
    <w:rsid w:val="00281ADA"/>
    <w:rsid w:val="00281B97"/>
    <w:rsid w:val="00281C82"/>
    <w:rsid w:val="00281D06"/>
    <w:rsid w:val="00281D07"/>
    <w:rsid w:val="0028203A"/>
    <w:rsid w:val="0028204E"/>
    <w:rsid w:val="0028223A"/>
    <w:rsid w:val="00282295"/>
    <w:rsid w:val="00282755"/>
    <w:rsid w:val="00282E63"/>
    <w:rsid w:val="00282EE4"/>
    <w:rsid w:val="00282FF3"/>
    <w:rsid w:val="0028320C"/>
    <w:rsid w:val="0028326C"/>
    <w:rsid w:val="00283310"/>
    <w:rsid w:val="002839EB"/>
    <w:rsid w:val="00283AB6"/>
    <w:rsid w:val="00283DC1"/>
    <w:rsid w:val="002841F0"/>
    <w:rsid w:val="0028436A"/>
    <w:rsid w:val="002846E4"/>
    <w:rsid w:val="002849AE"/>
    <w:rsid w:val="00284AE1"/>
    <w:rsid w:val="00284FA0"/>
    <w:rsid w:val="002850CE"/>
    <w:rsid w:val="002854AD"/>
    <w:rsid w:val="002855BF"/>
    <w:rsid w:val="002855D3"/>
    <w:rsid w:val="0028571F"/>
    <w:rsid w:val="00285C21"/>
    <w:rsid w:val="00285CE3"/>
    <w:rsid w:val="002861C5"/>
    <w:rsid w:val="00286515"/>
    <w:rsid w:val="002865CA"/>
    <w:rsid w:val="002866F9"/>
    <w:rsid w:val="00286989"/>
    <w:rsid w:val="00286ACF"/>
    <w:rsid w:val="00286B53"/>
    <w:rsid w:val="00286DF6"/>
    <w:rsid w:val="00286F77"/>
    <w:rsid w:val="0028722D"/>
    <w:rsid w:val="002873B2"/>
    <w:rsid w:val="002876DD"/>
    <w:rsid w:val="002877BF"/>
    <w:rsid w:val="002878D1"/>
    <w:rsid w:val="00287C49"/>
    <w:rsid w:val="00287DC7"/>
    <w:rsid w:val="0029008A"/>
    <w:rsid w:val="002901FD"/>
    <w:rsid w:val="00290342"/>
    <w:rsid w:val="00290378"/>
    <w:rsid w:val="002903C4"/>
    <w:rsid w:val="00291095"/>
    <w:rsid w:val="00291461"/>
    <w:rsid w:val="00291893"/>
    <w:rsid w:val="00292010"/>
    <w:rsid w:val="00292028"/>
    <w:rsid w:val="00292241"/>
    <w:rsid w:val="00292593"/>
    <w:rsid w:val="00292D01"/>
    <w:rsid w:val="00292D88"/>
    <w:rsid w:val="00293257"/>
    <w:rsid w:val="002933DF"/>
    <w:rsid w:val="00293529"/>
    <w:rsid w:val="002939D0"/>
    <w:rsid w:val="00293A90"/>
    <w:rsid w:val="00293A9C"/>
    <w:rsid w:val="00293BD6"/>
    <w:rsid w:val="00293F6A"/>
    <w:rsid w:val="0029435E"/>
    <w:rsid w:val="0029453C"/>
    <w:rsid w:val="002945A0"/>
    <w:rsid w:val="00294874"/>
    <w:rsid w:val="00294D9F"/>
    <w:rsid w:val="00294ECD"/>
    <w:rsid w:val="00294F95"/>
    <w:rsid w:val="0029526F"/>
    <w:rsid w:val="0029528F"/>
    <w:rsid w:val="002954B3"/>
    <w:rsid w:val="0029556C"/>
    <w:rsid w:val="002955E2"/>
    <w:rsid w:val="002957F5"/>
    <w:rsid w:val="00295871"/>
    <w:rsid w:val="002959B5"/>
    <w:rsid w:val="002959D9"/>
    <w:rsid w:val="00295A0B"/>
    <w:rsid w:val="00295AF8"/>
    <w:rsid w:val="00295BA4"/>
    <w:rsid w:val="00295D0D"/>
    <w:rsid w:val="00295DF0"/>
    <w:rsid w:val="00295E69"/>
    <w:rsid w:val="00295EF1"/>
    <w:rsid w:val="002965DE"/>
    <w:rsid w:val="0029669D"/>
    <w:rsid w:val="002969C2"/>
    <w:rsid w:val="002969C3"/>
    <w:rsid w:val="00296FAE"/>
    <w:rsid w:val="0029700A"/>
    <w:rsid w:val="00297094"/>
    <w:rsid w:val="002971EA"/>
    <w:rsid w:val="0029727A"/>
    <w:rsid w:val="00297426"/>
    <w:rsid w:val="002974FD"/>
    <w:rsid w:val="00297761"/>
    <w:rsid w:val="002977D3"/>
    <w:rsid w:val="00297ADD"/>
    <w:rsid w:val="00297F35"/>
    <w:rsid w:val="002A0331"/>
    <w:rsid w:val="002A05BF"/>
    <w:rsid w:val="002A0766"/>
    <w:rsid w:val="002A08C1"/>
    <w:rsid w:val="002A0988"/>
    <w:rsid w:val="002A0B25"/>
    <w:rsid w:val="002A0B93"/>
    <w:rsid w:val="002A0E44"/>
    <w:rsid w:val="002A1018"/>
    <w:rsid w:val="002A1143"/>
    <w:rsid w:val="002A1269"/>
    <w:rsid w:val="002A13EE"/>
    <w:rsid w:val="002A1764"/>
    <w:rsid w:val="002A176D"/>
    <w:rsid w:val="002A184D"/>
    <w:rsid w:val="002A19FE"/>
    <w:rsid w:val="002A1AAA"/>
    <w:rsid w:val="002A1B73"/>
    <w:rsid w:val="002A1C00"/>
    <w:rsid w:val="002A1DB1"/>
    <w:rsid w:val="002A1DFB"/>
    <w:rsid w:val="002A219E"/>
    <w:rsid w:val="002A220F"/>
    <w:rsid w:val="002A26E4"/>
    <w:rsid w:val="002A27DC"/>
    <w:rsid w:val="002A2B81"/>
    <w:rsid w:val="002A2C42"/>
    <w:rsid w:val="002A2D97"/>
    <w:rsid w:val="002A2F1D"/>
    <w:rsid w:val="002A2F25"/>
    <w:rsid w:val="002A2FBB"/>
    <w:rsid w:val="002A30C9"/>
    <w:rsid w:val="002A30E5"/>
    <w:rsid w:val="002A3105"/>
    <w:rsid w:val="002A31F1"/>
    <w:rsid w:val="002A3448"/>
    <w:rsid w:val="002A37A7"/>
    <w:rsid w:val="002A37C7"/>
    <w:rsid w:val="002A3894"/>
    <w:rsid w:val="002A3A70"/>
    <w:rsid w:val="002A3F1C"/>
    <w:rsid w:val="002A3FEF"/>
    <w:rsid w:val="002A43D8"/>
    <w:rsid w:val="002A4646"/>
    <w:rsid w:val="002A4988"/>
    <w:rsid w:val="002A4B07"/>
    <w:rsid w:val="002A4BA9"/>
    <w:rsid w:val="002A4F2F"/>
    <w:rsid w:val="002A4F6E"/>
    <w:rsid w:val="002A4FBF"/>
    <w:rsid w:val="002A50D3"/>
    <w:rsid w:val="002A580A"/>
    <w:rsid w:val="002A5D55"/>
    <w:rsid w:val="002A5E25"/>
    <w:rsid w:val="002A5E5B"/>
    <w:rsid w:val="002A60F1"/>
    <w:rsid w:val="002A6669"/>
    <w:rsid w:val="002A6F1B"/>
    <w:rsid w:val="002A7336"/>
    <w:rsid w:val="002A73D7"/>
    <w:rsid w:val="002A7427"/>
    <w:rsid w:val="002A74AD"/>
    <w:rsid w:val="002A75BB"/>
    <w:rsid w:val="002A7605"/>
    <w:rsid w:val="002A77D4"/>
    <w:rsid w:val="002B0131"/>
    <w:rsid w:val="002B08B3"/>
    <w:rsid w:val="002B0C34"/>
    <w:rsid w:val="002B0C57"/>
    <w:rsid w:val="002B0CC6"/>
    <w:rsid w:val="002B0F7C"/>
    <w:rsid w:val="002B11B6"/>
    <w:rsid w:val="002B130C"/>
    <w:rsid w:val="002B1451"/>
    <w:rsid w:val="002B15FA"/>
    <w:rsid w:val="002B174F"/>
    <w:rsid w:val="002B1801"/>
    <w:rsid w:val="002B197C"/>
    <w:rsid w:val="002B1D22"/>
    <w:rsid w:val="002B1F35"/>
    <w:rsid w:val="002B22F5"/>
    <w:rsid w:val="002B25B6"/>
    <w:rsid w:val="002B26A5"/>
    <w:rsid w:val="002B2724"/>
    <w:rsid w:val="002B2750"/>
    <w:rsid w:val="002B289F"/>
    <w:rsid w:val="002B2996"/>
    <w:rsid w:val="002B2CC1"/>
    <w:rsid w:val="002B30ED"/>
    <w:rsid w:val="002B333A"/>
    <w:rsid w:val="002B33C0"/>
    <w:rsid w:val="002B39AE"/>
    <w:rsid w:val="002B3FCE"/>
    <w:rsid w:val="002B3FDB"/>
    <w:rsid w:val="002B4267"/>
    <w:rsid w:val="002B444F"/>
    <w:rsid w:val="002B4856"/>
    <w:rsid w:val="002B4896"/>
    <w:rsid w:val="002B48C1"/>
    <w:rsid w:val="002B48CB"/>
    <w:rsid w:val="002B49EA"/>
    <w:rsid w:val="002B4CF2"/>
    <w:rsid w:val="002B5186"/>
    <w:rsid w:val="002B51FA"/>
    <w:rsid w:val="002B52EE"/>
    <w:rsid w:val="002B5338"/>
    <w:rsid w:val="002B5AAD"/>
    <w:rsid w:val="002B5C0E"/>
    <w:rsid w:val="002B5DD8"/>
    <w:rsid w:val="002B5DF1"/>
    <w:rsid w:val="002B5E8C"/>
    <w:rsid w:val="002B6082"/>
    <w:rsid w:val="002B628B"/>
    <w:rsid w:val="002B65EE"/>
    <w:rsid w:val="002B66BD"/>
    <w:rsid w:val="002B6AD9"/>
    <w:rsid w:val="002B6ADA"/>
    <w:rsid w:val="002B6EAB"/>
    <w:rsid w:val="002B6EE6"/>
    <w:rsid w:val="002B71C7"/>
    <w:rsid w:val="002B7354"/>
    <w:rsid w:val="002B74AB"/>
    <w:rsid w:val="002B755C"/>
    <w:rsid w:val="002B7627"/>
    <w:rsid w:val="002B7987"/>
    <w:rsid w:val="002B7A20"/>
    <w:rsid w:val="002B7B21"/>
    <w:rsid w:val="002B7B4F"/>
    <w:rsid w:val="002B7FC4"/>
    <w:rsid w:val="002C03F5"/>
    <w:rsid w:val="002C0473"/>
    <w:rsid w:val="002C04E0"/>
    <w:rsid w:val="002C057A"/>
    <w:rsid w:val="002C05BC"/>
    <w:rsid w:val="002C05D3"/>
    <w:rsid w:val="002C0859"/>
    <w:rsid w:val="002C0945"/>
    <w:rsid w:val="002C0A8B"/>
    <w:rsid w:val="002C0AA9"/>
    <w:rsid w:val="002C0D11"/>
    <w:rsid w:val="002C0ED7"/>
    <w:rsid w:val="002C13D7"/>
    <w:rsid w:val="002C13E8"/>
    <w:rsid w:val="002C14B9"/>
    <w:rsid w:val="002C14FD"/>
    <w:rsid w:val="002C162E"/>
    <w:rsid w:val="002C1821"/>
    <w:rsid w:val="002C1A76"/>
    <w:rsid w:val="002C1A80"/>
    <w:rsid w:val="002C1B11"/>
    <w:rsid w:val="002C1CB9"/>
    <w:rsid w:val="002C1D45"/>
    <w:rsid w:val="002C210A"/>
    <w:rsid w:val="002C2156"/>
    <w:rsid w:val="002C2227"/>
    <w:rsid w:val="002C2267"/>
    <w:rsid w:val="002C2448"/>
    <w:rsid w:val="002C25E8"/>
    <w:rsid w:val="002C28D2"/>
    <w:rsid w:val="002C2A34"/>
    <w:rsid w:val="002C2AA5"/>
    <w:rsid w:val="002C2BBA"/>
    <w:rsid w:val="002C2BC8"/>
    <w:rsid w:val="002C2BE2"/>
    <w:rsid w:val="002C2BF3"/>
    <w:rsid w:val="002C2C7E"/>
    <w:rsid w:val="002C2F43"/>
    <w:rsid w:val="002C2F9F"/>
    <w:rsid w:val="002C3105"/>
    <w:rsid w:val="002C3173"/>
    <w:rsid w:val="002C31FC"/>
    <w:rsid w:val="002C35AC"/>
    <w:rsid w:val="002C35CA"/>
    <w:rsid w:val="002C378E"/>
    <w:rsid w:val="002C3914"/>
    <w:rsid w:val="002C3A20"/>
    <w:rsid w:val="002C3A5B"/>
    <w:rsid w:val="002C3B87"/>
    <w:rsid w:val="002C3DE9"/>
    <w:rsid w:val="002C3F4C"/>
    <w:rsid w:val="002C405C"/>
    <w:rsid w:val="002C4582"/>
    <w:rsid w:val="002C4843"/>
    <w:rsid w:val="002C4851"/>
    <w:rsid w:val="002C4A4A"/>
    <w:rsid w:val="002C4BD5"/>
    <w:rsid w:val="002C4E7E"/>
    <w:rsid w:val="002C4F99"/>
    <w:rsid w:val="002C5024"/>
    <w:rsid w:val="002C52CF"/>
    <w:rsid w:val="002C52D2"/>
    <w:rsid w:val="002C5398"/>
    <w:rsid w:val="002C5671"/>
    <w:rsid w:val="002C5722"/>
    <w:rsid w:val="002C574C"/>
    <w:rsid w:val="002C5EE6"/>
    <w:rsid w:val="002C5F4B"/>
    <w:rsid w:val="002C5FBC"/>
    <w:rsid w:val="002C5FDF"/>
    <w:rsid w:val="002C6293"/>
    <w:rsid w:val="002C629D"/>
    <w:rsid w:val="002C63EC"/>
    <w:rsid w:val="002C6479"/>
    <w:rsid w:val="002C65D7"/>
    <w:rsid w:val="002C6E0C"/>
    <w:rsid w:val="002C6FAD"/>
    <w:rsid w:val="002C70DC"/>
    <w:rsid w:val="002C72FE"/>
    <w:rsid w:val="002C7712"/>
    <w:rsid w:val="002C79A4"/>
    <w:rsid w:val="002C7B5C"/>
    <w:rsid w:val="002C7D45"/>
    <w:rsid w:val="002D03CE"/>
    <w:rsid w:val="002D04FB"/>
    <w:rsid w:val="002D0916"/>
    <w:rsid w:val="002D0A8D"/>
    <w:rsid w:val="002D0C3F"/>
    <w:rsid w:val="002D0E2F"/>
    <w:rsid w:val="002D115A"/>
    <w:rsid w:val="002D1191"/>
    <w:rsid w:val="002D154A"/>
    <w:rsid w:val="002D15C6"/>
    <w:rsid w:val="002D1769"/>
    <w:rsid w:val="002D1939"/>
    <w:rsid w:val="002D1E25"/>
    <w:rsid w:val="002D1F13"/>
    <w:rsid w:val="002D1F52"/>
    <w:rsid w:val="002D1F8A"/>
    <w:rsid w:val="002D20DB"/>
    <w:rsid w:val="002D2291"/>
    <w:rsid w:val="002D2340"/>
    <w:rsid w:val="002D2689"/>
    <w:rsid w:val="002D29B8"/>
    <w:rsid w:val="002D2A93"/>
    <w:rsid w:val="002D2EC1"/>
    <w:rsid w:val="002D2F41"/>
    <w:rsid w:val="002D34E2"/>
    <w:rsid w:val="002D384E"/>
    <w:rsid w:val="002D3A65"/>
    <w:rsid w:val="002D3B89"/>
    <w:rsid w:val="002D3E04"/>
    <w:rsid w:val="002D3F12"/>
    <w:rsid w:val="002D4047"/>
    <w:rsid w:val="002D4328"/>
    <w:rsid w:val="002D4596"/>
    <w:rsid w:val="002D4637"/>
    <w:rsid w:val="002D4680"/>
    <w:rsid w:val="002D4690"/>
    <w:rsid w:val="002D4B08"/>
    <w:rsid w:val="002D4B5A"/>
    <w:rsid w:val="002D4F8B"/>
    <w:rsid w:val="002D5057"/>
    <w:rsid w:val="002D55C2"/>
    <w:rsid w:val="002D5602"/>
    <w:rsid w:val="002D576D"/>
    <w:rsid w:val="002D5AF6"/>
    <w:rsid w:val="002D5B1C"/>
    <w:rsid w:val="002D5B41"/>
    <w:rsid w:val="002D5CCA"/>
    <w:rsid w:val="002D613F"/>
    <w:rsid w:val="002D6154"/>
    <w:rsid w:val="002D62C7"/>
    <w:rsid w:val="002D62D9"/>
    <w:rsid w:val="002D6420"/>
    <w:rsid w:val="002D6AA5"/>
    <w:rsid w:val="002D6C22"/>
    <w:rsid w:val="002D6C61"/>
    <w:rsid w:val="002D6D13"/>
    <w:rsid w:val="002D6DC9"/>
    <w:rsid w:val="002D6F8C"/>
    <w:rsid w:val="002D6FAA"/>
    <w:rsid w:val="002D73EC"/>
    <w:rsid w:val="002D75A3"/>
    <w:rsid w:val="002D78BD"/>
    <w:rsid w:val="002D7B5F"/>
    <w:rsid w:val="002D7E2E"/>
    <w:rsid w:val="002D7F7C"/>
    <w:rsid w:val="002E01FB"/>
    <w:rsid w:val="002E0470"/>
    <w:rsid w:val="002E054A"/>
    <w:rsid w:val="002E0908"/>
    <w:rsid w:val="002E0A7B"/>
    <w:rsid w:val="002E0C58"/>
    <w:rsid w:val="002E0D60"/>
    <w:rsid w:val="002E0FCA"/>
    <w:rsid w:val="002E11F5"/>
    <w:rsid w:val="002E1248"/>
    <w:rsid w:val="002E15D0"/>
    <w:rsid w:val="002E1842"/>
    <w:rsid w:val="002E199C"/>
    <w:rsid w:val="002E1C64"/>
    <w:rsid w:val="002E1E52"/>
    <w:rsid w:val="002E1EF0"/>
    <w:rsid w:val="002E2374"/>
    <w:rsid w:val="002E2529"/>
    <w:rsid w:val="002E2578"/>
    <w:rsid w:val="002E27A3"/>
    <w:rsid w:val="002E2A7F"/>
    <w:rsid w:val="002E2B49"/>
    <w:rsid w:val="002E2D2C"/>
    <w:rsid w:val="002E2DEA"/>
    <w:rsid w:val="002E2E83"/>
    <w:rsid w:val="002E31E9"/>
    <w:rsid w:val="002E32EF"/>
    <w:rsid w:val="002E33A9"/>
    <w:rsid w:val="002E34CF"/>
    <w:rsid w:val="002E3511"/>
    <w:rsid w:val="002E3897"/>
    <w:rsid w:val="002E38C4"/>
    <w:rsid w:val="002E3CE1"/>
    <w:rsid w:val="002E3DA8"/>
    <w:rsid w:val="002E3DCB"/>
    <w:rsid w:val="002E40E1"/>
    <w:rsid w:val="002E42B0"/>
    <w:rsid w:val="002E42CD"/>
    <w:rsid w:val="002E46EF"/>
    <w:rsid w:val="002E4719"/>
    <w:rsid w:val="002E4975"/>
    <w:rsid w:val="002E4BCC"/>
    <w:rsid w:val="002E4C80"/>
    <w:rsid w:val="002E4DDD"/>
    <w:rsid w:val="002E51C4"/>
    <w:rsid w:val="002E5272"/>
    <w:rsid w:val="002E55EB"/>
    <w:rsid w:val="002E5630"/>
    <w:rsid w:val="002E578A"/>
    <w:rsid w:val="002E5873"/>
    <w:rsid w:val="002E58F2"/>
    <w:rsid w:val="002E599B"/>
    <w:rsid w:val="002E5AC1"/>
    <w:rsid w:val="002E6190"/>
    <w:rsid w:val="002E685D"/>
    <w:rsid w:val="002E6A37"/>
    <w:rsid w:val="002E6AFA"/>
    <w:rsid w:val="002E6C3D"/>
    <w:rsid w:val="002E6D60"/>
    <w:rsid w:val="002E736A"/>
    <w:rsid w:val="002E741A"/>
    <w:rsid w:val="002E76B3"/>
    <w:rsid w:val="002F0139"/>
    <w:rsid w:val="002F022D"/>
    <w:rsid w:val="002F03CB"/>
    <w:rsid w:val="002F05D2"/>
    <w:rsid w:val="002F0632"/>
    <w:rsid w:val="002F0B65"/>
    <w:rsid w:val="002F0CF5"/>
    <w:rsid w:val="002F0D52"/>
    <w:rsid w:val="002F0D9B"/>
    <w:rsid w:val="002F0EF5"/>
    <w:rsid w:val="002F12C8"/>
    <w:rsid w:val="002F1410"/>
    <w:rsid w:val="002F162A"/>
    <w:rsid w:val="002F184C"/>
    <w:rsid w:val="002F1AF5"/>
    <w:rsid w:val="002F1BD7"/>
    <w:rsid w:val="002F1C20"/>
    <w:rsid w:val="002F1D7C"/>
    <w:rsid w:val="002F1E48"/>
    <w:rsid w:val="002F2074"/>
    <w:rsid w:val="002F20C5"/>
    <w:rsid w:val="002F216D"/>
    <w:rsid w:val="002F2447"/>
    <w:rsid w:val="002F24F3"/>
    <w:rsid w:val="002F27BD"/>
    <w:rsid w:val="002F2890"/>
    <w:rsid w:val="002F28E2"/>
    <w:rsid w:val="002F36CD"/>
    <w:rsid w:val="002F3774"/>
    <w:rsid w:val="002F3ACC"/>
    <w:rsid w:val="002F3B69"/>
    <w:rsid w:val="002F3BC7"/>
    <w:rsid w:val="002F3BDF"/>
    <w:rsid w:val="002F3D30"/>
    <w:rsid w:val="002F3F9D"/>
    <w:rsid w:val="002F483B"/>
    <w:rsid w:val="002F485D"/>
    <w:rsid w:val="002F4D23"/>
    <w:rsid w:val="002F4D9D"/>
    <w:rsid w:val="002F5031"/>
    <w:rsid w:val="002F5200"/>
    <w:rsid w:val="002F529C"/>
    <w:rsid w:val="002F52E3"/>
    <w:rsid w:val="002F5600"/>
    <w:rsid w:val="002F5687"/>
    <w:rsid w:val="002F56C7"/>
    <w:rsid w:val="002F56E3"/>
    <w:rsid w:val="002F598A"/>
    <w:rsid w:val="002F59BF"/>
    <w:rsid w:val="002F5ACF"/>
    <w:rsid w:val="002F5AE8"/>
    <w:rsid w:val="002F5DAB"/>
    <w:rsid w:val="002F5FE5"/>
    <w:rsid w:val="002F6211"/>
    <w:rsid w:val="002F626E"/>
    <w:rsid w:val="002F649C"/>
    <w:rsid w:val="002F687B"/>
    <w:rsid w:val="002F6979"/>
    <w:rsid w:val="002F6DB4"/>
    <w:rsid w:val="002F6FC3"/>
    <w:rsid w:val="002F732E"/>
    <w:rsid w:val="002F73D0"/>
    <w:rsid w:val="002F76CA"/>
    <w:rsid w:val="002F773F"/>
    <w:rsid w:val="002F7954"/>
    <w:rsid w:val="002F7BE0"/>
    <w:rsid w:val="002F7C95"/>
    <w:rsid w:val="002F7C9B"/>
    <w:rsid w:val="00300236"/>
    <w:rsid w:val="003003CD"/>
    <w:rsid w:val="0030067B"/>
    <w:rsid w:val="00300992"/>
    <w:rsid w:val="003009E4"/>
    <w:rsid w:val="00300B5F"/>
    <w:rsid w:val="00300B8F"/>
    <w:rsid w:val="00300BE9"/>
    <w:rsid w:val="00300D4C"/>
    <w:rsid w:val="00300D91"/>
    <w:rsid w:val="003012AB"/>
    <w:rsid w:val="00301461"/>
    <w:rsid w:val="00301480"/>
    <w:rsid w:val="003015AA"/>
    <w:rsid w:val="003016CA"/>
    <w:rsid w:val="0030185F"/>
    <w:rsid w:val="00301CDB"/>
    <w:rsid w:val="00301F57"/>
    <w:rsid w:val="00302290"/>
    <w:rsid w:val="00302321"/>
    <w:rsid w:val="003024A4"/>
    <w:rsid w:val="003026D1"/>
    <w:rsid w:val="0030281A"/>
    <w:rsid w:val="00302A1E"/>
    <w:rsid w:val="00302ECE"/>
    <w:rsid w:val="0030306A"/>
    <w:rsid w:val="003032DE"/>
    <w:rsid w:val="0030351B"/>
    <w:rsid w:val="0030354D"/>
    <w:rsid w:val="003036C4"/>
    <w:rsid w:val="0030379F"/>
    <w:rsid w:val="00303B1E"/>
    <w:rsid w:val="00303B8D"/>
    <w:rsid w:val="00304028"/>
    <w:rsid w:val="00304327"/>
    <w:rsid w:val="00304470"/>
    <w:rsid w:val="003044CD"/>
    <w:rsid w:val="0030488A"/>
    <w:rsid w:val="00304A08"/>
    <w:rsid w:val="00304ACD"/>
    <w:rsid w:val="00304BC4"/>
    <w:rsid w:val="00305092"/>
    <w:rsid w:val="0030509F"/>
    <w:rsid w:val="00305179"/>
    <w:rsid w:val="0030534D"/>
    <w:rsid w:val="003055C5"/>
    <w:rsid w:val="00305A80"/>
    <w:rsid w:val="00305BC2"/>
    <w:rsid w:val="00305EC8"/>
    <w:rsid w:val="00305F23"/>
    <w:rsid w:val="00306295"/>
    <w:rsid w:val="00306741"/>
    <w:rsid w:val="00306F68"/>
    <w:rsid w:val="00307331"/>
    <w:rsid w:val="0030737A"/>
    <w:rsid w:val="00307639"/>
    <w:rsid w:val="00307957"/>
    <w:rsid w:val="00307E27"/>
    <w:rsid w:val="00307F36"/>
    <w:rsid w:val="00307FAE"/>
    <w:rsid w:val="00310054"/>
    <w:rsid w:val="00310070"/>
    <w:rsid w:val="0031019E"/>
    <w:rsid w:val="003102A5"/>
    <w:rsid w:val="003104AD"/>
    <w:rsid w:val="003104FA"/>
    <w:rsid w:val="00310532"/>
    <w:rsid w:val="00310652"/>
    <w:rsid w:val="0031071B"/>
    <w:rsid w:val="003108BD"/>
    <w:rsid w:val="00310CCD"/>
    <w:rsid w:val="00311112"/>
    <w:rsid w:val="0031122A"/>
    <w:rsid w:val="00311239"/>
    <w:rsid w:val="003113A8"/>
    <w:rsid w:val="00311407"/>
    <w:rsid w:val="00311D38"/>
    <w:rsid w:val="00312090"/>
    <w:rsid w:val="00312521"/>
    <w:rsid w:val="003125BF"/>
    <w:rsid w:val="003128B3"/>
    <w:rsid w:val="003128C8"/>
    <w:rsid w:val="00312903"/>
    <w:rsid w:val="003129EF"/>
    <w:rsid w:val="00312B2B"/>
    <w:rsid w:val="00312D6D"/>
    <w:rsid w:val="00312F1E"/>
    <w:rsid w:val="00312F8E"/>
    <w:rsid w:val="00312FA9"/>
    <w:rsid w:val="00312FB6"/>
    <w:rsid w:val="00313497"/>
    <w:rsid w:val="00313AF1"/>
    <w:rsid w:val="00313B6A"/>
    <w:rsid w:val="00313C2E"/>
    <w:rsid w:val="00313D84"/>
    <w:rsid w:val="00314384"/>
    <w:rsid w:val="0031448F"/>
    <w:rsid w:val="00314514"/>
    <w:rsid w:val="0031467F"/>
    <w:rsid w:val="00314A7B"/>
    <w:rsid w:val="00314AAD"/>
    <w:rsid w:val="00314BDC"/>
    <w:rsid w:val="00314CCC"/>
    <w:rsid w:val="003150BC"/>
    <w:rsid w:val="00315225"/>
    <w:rsid w:val="0031561F"/>
    <w:rsid w:val="0031596A"/>
    <w:rsid w:val="003159CF"/>
    <w:rsid w:val="00315DD7"/>
    <w:rsid w:val="0031608D"/>
    <w:rsid w:val="003162C5"/>
    <w:rsid w:val="00316303"/>
    <w:rsid w:val="00316553"/>
    <w:rsid w:val="003165CF"/>
    <w:rsid w:val="00316713"/>
    <w:rsid w:val="003168EC"/>
    <w:rsid w:val="00316988"/>
    <w:rsid w:val="00316A3E"/>
    <w:rsid w:val="00316BBB"/>
    <w:rsid w:val="00316E08"/>
    <w:rsid w:val="00316E68"/>
    <w:rsid w:val="00316FE2"/>
    <w:rsid w:val="00317440"/>
    <w:rsid w:val="003175B5"/>
    <w:rsid w:val="003175D9"/>
    <w:rsid w:val="00317601"/>
    <w:rsid w:val="00317771"/>
    <w:rsid w:val="003179E7"/>
    <w:rsid w:val="00320022"/>
    <w:rsid w:val="003200B2"/>
    <w:rsid w:val="00320119"/>
    <w:rsid w:val="003204D4"/>
    <w:rsid w:val="00320533"/>
    <w:rsid w:val="003206C0"/>
    <w:rsid w:val="00320773"/>
    <w:rsid w:val="00320A28"/>
    <w:rsid w:val="00320B8F"/>
    <w:rsid w:val="00320B9C"/>
    <w:rsid w:val="00320C99"/>
    <w:rsid w:val="0032118E"/>
    <w:rsid w:val="00321324"/>
    <w:rsid w:val="00321367"/>
    <w:rsid w:val="0032154A"/>
    <w:rsid w:val="00321669"/>
    <w:rsid w:val="00321939"/>
    <w:rsid w:val="0032199C"/>
    <w:rsid w:val="00321AA7"/>
    <w:rsid w:val="00321C03"/>
    <w:rsid w:val="00321D4C"/>
    <w:rsid w:val="00321F09"/>
    <w:rsid w:val="0032212A"/>
    <w:rsid w:val="00322232"/>
    <w:rsid w:val="0032259D"/>
    <w:rsid w:val="003226C7"/>
    <w:rsid w:val="0032273E"/>
    <w:rsid w:val="00322BFA"/>
    <w:rsid w:val="00322C3E"/>
    <w:rsid w:val="00322EBB"/>
    <w:rsid w:val="00323011"/>
    <w:rsid w:val="003232AE"/>
    <w:rsid w:val="003234D2"/>
    <w:rsid w:val="003237BA"/>
    <w:rsid w:val="00323B39"/>
    <w:rsid w:val="00323C90"/>
    <w:rsid w:val="00323D77"/>
    <w:rsid w:val="00323EC3"/>
    <w:rsid w:val="00324308"/>
    <w:rsid w:val="00324309"/>
    <w:rsid w:val="00324446"/>
    <w:rsid w:val="0032444C"/>
    <w:rsid w:val="003246C2"/>
    <w:rsid w:val="003248AF"/>
    <w:rsid w:val="003248C0"/>
    <w:rsid w:val="003249FF"/>
    <w:rsid w:val="00324A71"/>
    <w:rsid w:val="00324AE0"/>
    <w:rsid w:val="00324B51"/>
    <w:rsid w:val="00324BEF"/>
    <w:rsid w:val="00324C11"/>
    <w:rsid w:val="00324D3F"/>
    <w:rsid w:val="00324D42"/>
    <w:rsid w:val="00324DEC"/>
    <w:rsid w:val="00324FC6"/>
    <w:rsid w:val="0032562C"/>
    <w:rsid w:val="003258A4"/>
    <w:rsid w:val="00325CC5"/>
    <w:rsid w:val="0032608F"/>
    <w:rsid w:val="003260C1"/>
    <w:rsid w:val="00326649"/>
    <w:rsid w:val="00326F7B"/>
    <w:rsid w:val="00327062"/>
    <w:rsid w:val="00327178"/>
    <w:rsid w:val="0032722B"/>
    <w:rsid w:val="003275C7"/>
    <w:rsid w:val="003276D0"/>
    <w:rsid w:val="00327719"/>
    <w:rsid w:val="00327B8F"/>
    <w:rsid w:val="00327B9D"/>
    <w:rsid w:val="003301D2"/>
    <w:rsid w:val="003302A6"/>
    <w:rsid w:val="0033045C"/>
    <w:rsid w:val="00330612"/>
    <w:rsid w:val="00330B04"/>
    <w:rsid w:val="00330D90"/>
    <w:rsid w:val="003314D7"/>
    <w:rsid w:val="00331565"/>
    <w:rsid w:val="00331648"/>
    <w:rsid w:val="00331684"/>
    <w:rsid w:val="00331703"/>
    <w:rsid w:val="00331728"/>
    <w:rsid w:val="0033176B"/>
    <w:rsid w:val="003318C4"/>
    <w:rsid w:val="00331A8B"/>
    <w:rsid w:val="00331C9B"/>
    <w:rsid w:val="003320A3"/>
    <w:rsid w:val="003328F2"/>
    <w:rsid w:val="00332A06"/>
    <w:rsid w:val="00332B06"/>
    <w:rsid w:val="00332B21"/>
    <w:rsid w:val="00332C21"/>
    <w:rsid w:val="0033315B"/>
    <w:rsid w:val="003332AF"/>
    <w:rsid w:val="003334B1"/>
    <w:rsid w:val="0033393B"/>
    <w:rsid w:val="00333A71"/>
    <w:rsid w:val="00333B01"/>
    <w:rsid w:val="00333BDC"/>
    <w:rsid w:val="00333E62"/>
    <w:rsid w:val="00333F15"/>
    <w:rsid w:val="00334011"/>
    <w:rsid w:val="00334238"/>
    <w:rsid w:val="00334239"/>
    <w:rsid w:val="003342B9"/>
    <w:rsid w:val="00334645"/>
    <w:rsid w:val="003348AA"/>
    <w:rsid w:val="00334C9B"/>
    <w:rsid w:val="00334D46"/>
    <w:rsid w:val="00334F49"/>
    <w:rsid w:val="00334F97"/>
    <w:rsid w:val="00335000"/>
    <w:rsid w:val="00335269"/>
    <w:rsid w:val="003352FC"/>
    <w:rsid w:val="0033542B"/>
    <w:rsid w:val="00335634"/>
    <w:rsid w:val="00335C62"/>
    <w:rsid w:val="0033608A"/>
    <w:rsid w:val="0033639D"/>
    <w:rsid w:val="0033651D"/>
    <w:rsid w:val="0033667B"/>
    <w:rsid w:val="003368EB"/>
    <w:rsid w:val="00336A96"/>
    <w:rsid w:val="00336A9A"/>
    <w:rsid w:val="00336BE6"/>
    <w:rsid w:val="00336C63"/>
    <w:rsid w:val="00336D3C"/>
    <w:rsid w:val="00337147"/>
    <w:rsid w:val="00337249"/>
    <w:rsid w:val="00337514"/>
    <w:rsid w:val="003375F9"/>
    <w:rsid w:val="00337A85"/>
    <w:rsid w:val="00337C77"/>
    <w:rsid w:val="00337C8E"/>
    <w:rsid w:val="00337CE7"/>
    <w:rsid w:val="00337EE0"/>
    <w:rsid w:val="00337F3D"/>
    <w:rsid w:val="0034088D"/>
    <w:rsid w:val="00340A7D"/>
    <w:rsid w:val="00340BB4"/>
    <w:rsid w:val="00340D72"/>
    <w:rsid w:val="00340D76"/>
    <w:rsid w:val="00340F94"/>
    <w:rsid w:val="00340FAB"/>
    <w:rsid w:val="00341054"/>
    <w:rsid w:val="0034114D"/>
    <w:rsid w:val="003412E7"/>
    <w:rsid w:val="00341768"/>
    <w:rsid w:val="00341A79"/>
    <w:rsid w:val="00341A85"/>
    <w:rsid w:val="00341C09"/>
    <w:rsid w:val="00341CEA"/>
    <w:rsid w:val="00342509"/>
    <w:rsid w:val="00342813"/>
    <w:rsid w:val="00342823"/>
    <w:rsid w:val="00342889"/>
    <w:rsid w:val="003428B2"/>
    <w:rsid w:val="003428E0"/>
    <w:rsid w:val="00342B0A"/>
    <w:rsid w:val="00342DB7"/>
    <w:rsid w:val="00342E11"/>
    <w:rsid w:val="00342FF8"/>
    <w:rsid w:val="00343090"/>
    <w:rsid w:val="003432A6"/>
    <w:rsid w:val="003432FD"/>
    <w:rsid w:val="00343570"/>
    <w:rsid w:val="003435B1"/>
    <w:rsid w:val="0034374B"/>
    <w:rsid w:val="00343D24"/>
    <w:rsid w:val="00343EFE"/>
    <w:rsid w:val="00344199"/>
    <w:rsid w:val="00344353"/>
    <w:rsid w:val="003444F7"/>
    <w:rsid w:val="00344506"/>
    <w:rsid w:val="003445F8"/>
    <w:rsid w:val="00344700"/>
    <w:rsid w:val="0034495C"/>
    <w:rsid w:val="00344B7C"/>
    <w:rsid w:val="00344E83"/>
    <w:rsid w:val="00344FFD"/>
    <w:rsid w:val="003450AA"/>
    <w:rsid w:val="003453E1"/>
    <w:rsid w:val="00345534"/>
    <w:rsid w:val="0034558F"/>
    <w:rsid w:val="0034565C"/>
    <w:rsid w:val="00345794"/>
    <w:rsid w:val="00345974"/>
    <w:rsid w:val="00345AF7"/>
    <w:rsid w:val="00345B17"/>
    <w:rsid w:val="00345C51"/>
    <w:rsid w:val="00345DA6"/>
    <w:rsid w:val="003461C6"/>
    <w:rsid w:val="00346698"/>
    <w:rsid w:val="00346760"/>
    <w:rsid w:val="003467B2"/>
    <w:rsid w:val="00346AEB"/>
    <w:rsid w:val="00346BB3"/>
    <w:rsid w:val="00346C1A"/>
    <w:rsid w:val="00346C1F"/>
    <w:rsid w:val="00346FBE"/>
    <w:rsid w:val="003470AB"/>
    <w:rsid w:val="003471D6"/>
    <w:rsid w:val="003473F1"/>
    <w:rsid w:val="00347400"/>
    <w:rsid w:val="00347638"/>
    <w:rsid w:val="003476D0"/>
    <w:rsid w:val="0034787B"/>
    <w:rsid w:val="0034799F"/>
    <w:rsid w:val="00347B03"/>
    <w:rsid w:val="00347BDD"/>
    <w:rsid w:val="00347E56"/>
    <w:rsid w:val="00350BD1"/>
    <w:rsid w:val="00350DB2"/>
    <w:rsid w:val="00350E5D"/>
    <w:rsid w:val="00350E98"/>
    <w:rsid w:val="00351003"/>
    <w:rsid w:val="00351251"/>
    <w:rsid w:val="003512A0"/>
    <w:rsid w:val="003517AC"/>
    <w:rsid w:val="00351B3F"/>
    <w:rsid w:val="00351C8A"/>
    <w:rsid w:val="00352005"/>
    <w:rsid w:val="00352007"/>
    <w:rsid w:val="003523F0"/>
    <w:rsid w:val="00352468"/>
    <w:rsid w:val="00352534"/>
    <w:rsid w:val="00352607"/>
    <w:rsid w:val="003527CC"/>
    <w:rsid w:val="00352A92"/>
    <w:rsid w:val="00352DB1"/>
    <w:rsid w:val="00352F50"/>
    <w:rsid w:val="00353700"/>
    <w:rsid w:val="00353C2E"/>
    <w:rsid w:val="00353DA9"/>
    <w:rsid w:val="00353FA4"/>
    <w:rsid w:val="00354207"/>
    <w:rsid w:val="003542F7"/>
    <w:rsid w:val="0035459D"/>
    <w:rsid w:val="0035480B"/>
    <w:rsid w:val="00354A0F"/>
    <w:rsid w:val="00354B8C"/>
    <w:rsid w:val="00354C7A"/>
    <w:rsid w:val="0035509D"/>
    <w:rsid w:val="003553F0"/>
    <w:rsid w:val="003556D4"/>
    <w:rsid w:val="00355714"/>
    <w:rsid w:val="0035597B"/>
    <w:rsid w:val="00355A8D"/>
    <w:rsid w:val="00355D04"/>
    <w:rsid w:val="00355DDE"/>
    <w:rsid w:val="00355E15"/>
    <w:rsid w:val="00356361"/>
    <w:rsid w:val="00356423"/>
    <w:rsid w:val="003564B7"/>
    <w:rsid w:val="003565E0"/>
    <w:rsid w:val="003569D7"/>
    <w:rsid w:val="00356C31"/>
    <w:rsid w:val="00356EC7"/>
    <w:rsid w:val="00356F2A"/>
    <w:rsid w:val="003570FF"/>
    <w:rsid w:val="003572BC"/>
    <w:rsid w:val="0035731A"/>
    <w:rsid w:val="00357628"/>
    <w:rsid w:val="003579F5"/>
    <w:rsid w:val="00357A5C"/>
    <w:rsid w:val="00357AA4"/>
    <w:rsid w:val="00357D83"/>
    <w:rsid w:val="00357E70"/>
    <w:rsid w:val="00357E8E"/>
    <w:rsid w:val="00360277"/>
    <w:rsid w:val="00360596"/>
    <w:rsid w:val="0036068D"/>
    <w:rsid w:val="00360840"/>
    <w:rsid w:val="0036084B"/>
    <w:rsid w:val="00360887"/>
    <w:rsid w:val="003609A6"/>
    <w:rsid w:val="00360A3A"/>
    <w:rsid w:val="00360D66"/>
    <w:rsid w:val="00360FBA"/>
    <w:rsid w:val="003617F6"/>
    <w:rsid w:val="00361D86"/>
    <w:rsid w:val="003620C6"/>
    <w:rsid w:val="003624B4"/>
    <w:rsid w:val="0036283D"/>
    <w:rsid w:val="0036292D"/>
    <w:rsid w:val="00362B34"/>
    <w:rsid w:val="00362CAB"/>
    <w:rsid w:val="00362DFC"/>
    <w:rsid w:val="00362F5A"/>
    <w:rsid w:val="00362FC5"/>
    <w:rsid w:val="00363362"/>
    <w:rsid w:val="00363375"/>
    <w:rsid w:val="00363796"/>
    <w:rsid w:val="00363826"/>
    <w:rsid w:val="00363B90"/>
    <w:rsid w:val="00363CC0"/>
    <w:rsid w:val="00363CD6"/>
    <w:rsid w:val="00363DF5"/>
    <w:rsid w:val="00363E78"/>
    <w:rsid w:val="003646A7"/>
    <w:rsid w:val="00364A57"/>
    <w:rsid w:val="00364F23"/>
    <w:rsid w:val="00365221"/>
    <w:rsid w:val="00365352"/>
    <w:rsid w:val="003653D1"/>
    <w:rsid w:val="0036553E"/>
    <w:rsid w:val="00365939"/>
    <w:rsid w:val="00365B83"/>
    <w:rsid w:val="00365C7F"/>
    <w:rsid w:val="00365D1F"/>
    <w:rsid w:val="00365F67"/>
    <w:rsid w:val="0036652B"/>
    <w:rsid w:val="003665AA"/>
    <w:rsid w:val="00366911"/>
    <w:rsid w:val="00366A66"/>
    <w:rsid w:val="00366AFC"/>
    <w:rsid w:val="00366B06"/>
    <w:rsid w:val="00366C85"/>
    <w:rsid w:val="0036715C"/>
    <w:rsid w:val="003671D2"/>
    <w:rsid w:val="0036725A"/>
    <w:rsid w:val="003672BD"/>
    <w:rsid w:val="0036760D"/>
    <w:rsid w:val="00367726"/>
    <w:rsid w:val="003679AC"/>
    <w:rsid w:val="00367A5B"/>
    <w:rsid w:val="00367AC0"/>
    <w:rsid w:val="00367B2A"/>
    <w:rsid w:val="003701D4"/>
    <w:rsid w:val="003702FC"/>
    <w:rsid w:val="003707B7"/>
    <w:rsid w:val="00370814"/>
    <w:rsid w:val="0037086D"/>
    <w:rsid w:val="00370B42"/>
    <w:rsid w:val="00370F07"/>
    <w:rsid w:val="00370F3D"/>
    <w:rsid w:val="00371000"/>
    <w:rsid w:val="003713B0"/>
    <w:rsid w:val="003713E1"/>
    <w:rsid w:val="003718A3"/>
    <w:rsid w:val="00371C09"/>
    <w:rsid w:val="00371D08"/>
    <w:rsid w:val="00371D4F"/>
    <w:rsid w:val="00371D83"/>
    <w:rsid w:val="00371F76"/>
    <w:rsid w:val="00371F9C"/>
    <w:rsid w:val="003724C2"/>
    <w:rsid w:val="00372793"/>
    <w:rsid w:val="0037298F"/>
    <w:rsid w:val="003729EA"/>
    <w:rsid w:val="00372ADE"/>
    <w:rsid w:val="00372B8E"/>
    <w:rsid w:val="00372FEB"/>
    <w:rsid w:val="00373087"/>
    <w:rsid w:val="003732B1"/>
    <w:rsid w:val="0037330D"/>
    <w:rsid w:val="00373335"/>
    <w:rsid w:val="00373980"/>
    <w:rsid w:val="00373AC3"/>
    <w:rsid w:val="00373CAC"/>
    <w:rsid w:val="00373CE2"/>
    <w:rsid w:val="00373EDB"/>
    <w:rsid w:val="00374336"/>
    <w:rsid w:val="00374710"/>
    <w:rsid w:val="00374808"/>
    <w:rsid w:val="00374941"/>
    <w:rsid w:val="00374949"/>
    <w:rsid w:val="0037495E"/>
    <w:rsid w:val="00374AD0"/>
    <w:rsid w:val="00374C41"/>
    <w:rsid w:val="00374E1B"/>
    <w:rsid w:val="00374F91"/>
    <w:rsid w:val="00375088"/>
    <w:rsid w:val="003752D7"/>
    <w:rsid w:val="003753A8"/>
    <w:rsid w:val="003755D3"/>
    <w:rsid w:val="003756EE"/>
    <w:rsid w:val="00375E7C"/>
    <w:rsid w:val="00375E80"/>
    <w:rsid w:val="00375F29"/>
    <w:rsid w:val="00376431"/>
    <w:rsid w:val="00376642"/>
    <w:rsid w:val="00376B31"/>
    <w:rsid w:val="00376B9E"/>
    <w:rsid w:val="00376D03"/>
    <w:rsid w:val="00376D07"/>
    <w:rsid w:val="00376DC7"/>
    <w:rsid w:val="00376FEC"/>
    <w:rsid w:val="00377293"/>
    <w:rsid w:val="0037732D"/>
    <w:rsid w:val="003774F1"/>
    <w:rsid w:val="00377D93"/>
    <w:rsid w:val="00377DE3"/>
    <w:rsid w:val="00377F65"/>
    <w:rsid w:val="00380173"/>
    <w:rsid w:val="003804F9"/>
    <w:rsid w:val="0038079A"/>
    <w:rsid w:val="0038084E"/>
    <w:rsid w:val="00380B23"/>
    <w:rsid w:val="00380B50"/>
    <w:rsid w:val="00380C76"/>
    <w:rsid w:val="00380D02"/>
    <w:rsid w:val="003810D2"/>
    <w:rsid w:val="0038117E"/>
    <w:rsid w:val="0038121B"/>
    <w:rsid w:val="0038154D"/>
    <w:rsid w:val="003815EB"/>
    <w:rsid w:val="0038195E"/>
    <w:rsid w:val="00381A7E"/>
    <w:rsid w:val="00381C99"/>
    <w:rsid w:val="00381CAA"/>
    <w:rsid w:val="00381F4C"/>
    <w:rsid w:val="00382005"/>
    <w:rsid w:val="003824DC"/>
    <w:rsid w:val="003826ED"/>
    <w:rsid w:val="003827A0"/>
    <w:rsid w:val="00382A87"/>
    <w:rsid w:val="00382F14"/>
    <w:rsid w:val="0038301B"/>
    <w:rsid w:val="0038316A"/>
    <w:rsid w:val="00383497"/>
    <w:rsid w:val="0038357F"/>
    <w:rsid w:val="003835F7"/>
    <w:rsid w:val="00383602"/>
    <w:rsid w:val="00383903"/>
    <w:rsid w:val="00383A09"/>
    <w:rsid w:val="00383B58"/>
    <w:rsid w:val="00383C3B"/>
    <w:rsid w:val="00383D36"/>
    <w:rsid w:val="00383E12"/>
    <w:rsid w:val="00383EBC"/>
    <w:rsid w:val="00383EC0"/>
    <w:rsid w:val="003846F8"/>
    <w:rsid w:val="003848B6"/>
    <w:rsid w:val="00384B93"/>
    <w:rsid w:val="00384CCC"/>
    <w:rsid w:val="00384EF6"/>
    <w:rsid w:val="00384FC8"/>
    <w:rsid w:val="003850E7"/>
    <w:rsid w:val="0038545D"/>
    <w:rsid w:val="00385477"/>
    <w:rsid w:val="0038548A"/>
    <w:rsid w:val="00385795"/>
    <w:rsid w:val="00385ACB"/>
    <w:rsid w:val="00385CA9"/>
    <w:rsid w:val="00385D0F"/>
    <w:rsid w:val="00385EC4"/>
    <w:rsid w:val="003862D4"/>
    <w:rsid w:val="00386683"/>
    <w:rsid w:val="003867FB"/>
    <w:rsid w:val="00386831"/>
    <w:rsid w:val="00386854"/>
    <w:rsid w:val="003868DB"/>
    <w:rsid w:val="00386920"/>
    <w:rsid w:val="00386C7A"/>
    <w:rsid w:val="00386CBC"/>
    <w:rsid w:val="00386D50"/>
    <w:rsid w:val="00386EAA"/>
    <w:rsid w:val="00386F66"/>
    <w:rsid w:val="00387041"/>
    <w:rsid w:val="0038723E"/>
    <w:rsid w:val="00387445"/>
    <w:rsid w:val="00387A97"/>
    <w:rsid w:val="00387ABE"/>
    <w:rsid w:val="00387B8F"/>
    <w:rsid w:val="00387C20"/>
    <w:rsid w:val="00387F9E"/>
    <w:rsid w:val="00390047"/>
    <w:rsid w:val="003901FE"/>
    <w:rsid w:val="003902CF"/>
    <w:rsid w:val="00390793"/>
    <w:rsid w:val="003907D0"/>
    <w:rsid w:val="00390800"/>
    <w:rsid w:val="0039082F"/>
    <w:rsid w:val="003909A2"/>
    <w:rsid w:val="00390C77"/>
    <w:rsid w:val="00390DC3"/>
    <w:rsid w:val="00390DCF"/>
    <w:rsid w:val="00390F61"/>
    <w:rsid w:val="00391010"/>
    <w:rsid w:val="00391293"/>
    <w:rsid w:val="00391353"/>
    <w:rsid w:val="0039138A"/>
    <w:rsid w:val="003914D1"/>
    <w:rsid w:val="003918F7"/>
    <w:rsid w:val="0039190C"/>
    <w:rsid w:val="00391B39"/>
    <w:rsid w:val="00391B55"/>
    <w:rsid w:val="00391B93"/>
    <w:rsid w:val="00391DF5"/>
    <w:rsid w:val="00391F24"/>
    <w:rsid w:val="0039216C"/>
    <w:rsid w:val="003923DB"/>
    <w:rsid w:val="0039251A"/>
    <w:rsid w:val="0039289E"/>
    <w:rsid w:val="003928B8"/>
    <w:rsid w:val="00392B21"/>
    <w:rsid w:val="00392BF0"/>
    <w:rsid w:val="00392ED7"/>
    <w:rsid w:val="00393110"/>
    <w:rsid w:val="0039316C"/>
    <w:rsid w:val="00393192"/>
    <w:rsid w:val="003933E2"/>
    <w:rsid w:val="003934AB"/>
    <w:rsid w:val="003935E4"/>
    <w:rsid w:val="003937BB"/>
    <w:rsid w:val="00393922"/>
    <w:rsid w:val="00393A35"/>
    <w:rsid w:val="00393D38"/>
    <w:rsid w:val="0039404E"/>
    <w:rsid w:val="003940BE"/>
    <w:rsid w:val="0039444C"/>
    <w:rsid w:val="00394527"/>
    <w:rsid w:val="003945B6"/>
    <w:rsid w:val="003948AF"/>
    <w:rsid w:val="003949CC"/>
    <w:rsid w:val="00394B23"/>
    <w:rsid w:val="00394E5B"/>
    <w:rsid w:val="00395477"/>
    <w:rsid w:val="003955D4"/>
    <w:rsid w:val="00395671"/>
    <w:rsid w:val="00395862"/>
    <w:rsid w:val="0039589B"/>
    <w:rsid w:val="003958EE"/>
    <w:rsid w:val="00395962"/>
    <w:rsid w:val="00395A9F"/>
    <w:rsid w:val="00395D81"/>
    <w:rsid w:val="00395D88"/>
    <w:rsid w:val="00395DF0"/>
    <w:rsid w:val="0039611C"/>
    <w:rsid w:val="00396864"/>
    <w:rsid w:val="003968B5"/>
    <w:rsid w:val="003969BC"/>
    <w:rsid w:val="00396A2E"/>
    <w:rsid w:val="00396FBB"/>
    <w:rsid w:val="0039706E"/>
    <w:rsid w:val="00397117"/>
    <w:rsid w:val="0039727E"/>
    <w:rsid w:val="0039751A"/>
    <w:rsid w:val="003975AB"/>
    <w:rsid w:val="00397E41"/>
    <w:rsid w:val="00397ED2"/>
    <w:rsid w:val="00397FC9"/>
    <w:rsid w:val="003A004B"/>
    <w:rsid w:val="003A0093"/>
    <w:rsid w:val="003A03BB"/>
    <w:rsid w:val="003A0A3F"/>
    <w:rsid w:val="003A0A54"/>
    <w:rsid w:val="003A0D6D"/>
    <w:rsid w:val="003A12E7"/>
    <w:rsid w:val="003A17D7"/>
    <w:rsid w:val="003A17DE"/>
    <w:rsid w:val="003A1848"/>
    <w:rsid w:val="003A193F"/>
    <w:rsid w:val="003A24A6"/>
    <w:rsid w:val="003A28B6"/>
    <w:rsid w:val="003A2B6B"/>
    <w:rsid w:val="003A2C87"/>
    <w:rsid w:val="003A2EFF"/>
    <w:rsid w:val="003A31BA"/>
    <w:rsid w:val="003A3403"/>
    <w:rsid w:val="003A34F3"/>
    <w:rsid w:val="003A35AA"/>
    <w:rsid w:val="003A35C8"/>
    <w:rsid w:val="003A3AA5"/>
    <w:rsid w:val="003A4375"/>
    <w:rsid w:val="003A4504"/>
    <w:rsid w:val="003A474F"/>
    <w:rsid w:val="003A478D"/>
    <w:rsid w:val="003A4A32"/>
    <w:rsid w:val="003A4B6D"/>
    <w:rsid w:val="003A4BF1"/>
    <w:rsid w:val="003A4CA7"/>
    <w:rsid w:val="003A4D83"/>
    <w:rsid w:val="003A4DD7"/>
    <w:rsid w:val="003A4F99"/>
    <w:rsid w:val="003A505A"/>
    <w:rsid w:val="003A5110"/>
    <w:rsid w:val="003A522E"/>
    <w:rsid w:val="003A555E"/>
    <w:rsid w:val="003A56E7"/>
    <w:rsid w:val="003A5E09"/>
    <w:rsid w:val="003A6892"/>
    <w:rsid w:val="003A697F"/>
    <w:rsid w:val="003A6A18"/>
    <w:rsid w:val="003A72ED"/>
    <w:rsid w:val="003A74BD"/>
    <w:rsid w:val="003A7930"/>
    <w:rsid w:val="003A7A0A"/>
    <w:rsid w:val="003A7BCD"/>
    <w:rsid w:val="003A7CFE"/>
    <w:rsid w:val="003A7DAD"/>
    <w:rsid w:val="003A7E04"/>
    <w:rsid w:val="003B00F0"/>
    <w:rsid w:val="003B01E5"/>
    <w:rsid w:val="003B022D"/>
    <w:rsid w:val="003B049B"/>
    <w:rsid w:val="003B05A3"/>
    <w:rsid w:val="003B0744"/>
    <w:rsid w:val="003B074B"/>
    <w:rsid w:val="003B07ED"/>
    <w:rsid w:val="003B08B0"/>
    <w:rsid w:val="003B106B"/>
    <w:rsid w:val="003B1112"/>
    <w:rsid w:val="003B12F0"/>
    <w:rsid w:val="003B13EF"/>
    <w:rsid w:val="003B1751"/>
    <w:rsid w:val="003B1785"/>
    <w:rsid w:val="003B1C91"/>
    <w:rsid w:val="003B1D63"/>
    <w:rsid w:val="003B1E27"/>
    <w:rsid w:val="003B1F43"/>
    <w:rsid w:val="003B2195"/>
    <w:rsid w:val="003B244C"/>
    <w:rsid w:val="003B2578"/>
    <w:rsid w:val="003B25C1"/>
    <w:rsid w:val="003B27F4"/>
    <w:rsid w:val="003B2805"/>
    <w:rsid w:val="003B2EC8"/>
    <w:rsid w:val="003B311C"/>
    <w:rsid w:val="003B34B2"/>
    <w:rsid w:val="003B34B4"/>
    <w:rsid w:val="003B36BA"/>
    <w:rsid w:val="003B3737"/>
    <w:rsid w:val="003B3A9A"/>
    <w:rsid w:val="003B3C0B"/>
    <w:rsid w:val="003B3D24"/>
    <w:rsid w:val="003B3DA7"/>
    <w:rsid w:val="003B3F57"/>
    <w:rsid w:val="003B3F89"/>
    <w:rsid w:val="003B415F"/>
    <w:rsid w:val="003B484C"/>
    <w:rsid w:val="003B4CD6"/>
    <w:rsid w:val="003B5271"/>
    <w:rsid w:val="003B52AC"/>
    <w:rsid w:val="003B5958"/>
    <w:rsid w:val="003B5EF6"/>
    <w:rsid w:val="003B656F"/>
    <w:rsid w:val="003B65A5"/>
    <w:rsid w:val="003B69E7"/>
    <w:rsid w:val="003B7142"/>
    <w:rsid w:val="003B71CD"/>
    <w:rsid w:val="003B729C"/>
    <w:rsid w:val="003B746C"/>
    <w:rsid w:val="003B76A3"/>
    <w:rsid w:val="003B7B6B"/>
    <w:rsid w:val="003B7DCE"/>
    <w:rsid w:val="003B7E76"/>
    <w:rsid w:val="003B7EDD"/>
    <w:rsid w:val="003B7F72"/>
    <w:rsid w:val="003C0313"/>
    <w:rsid w:val="003C059D"/>
    <w:rsid w:val="003C0608"/>
    <w:rsid w:val="003C061C"/>
    <w:rsid w:val="003C0B89"/>
    <w:rsid w:val="003C0BD6"/>
    <w:rsid w:val="003C0F69"/>
    <w:rsid w:val="003C0FAB"/>
    <w:rsid w:val="003C10A5"/>
    <w:rsid w:val="003C116F"/>
    <w:rsid w:val="003C118B"/>
    <w:rsid w:val="003C11FA"/>
    <w:rsid w:val="003C132A"/>
    <w:rsid w:val="003C143C"/>
    <w:rsid w:val="003C158A"/>
    <w:rsid w:val="003C1819"/>
    <w:rsid w:val="003C198A"/>
    <w:rsid w:val="003C2275"/>
    <w:rsid w:val="003C23CA"/>
    <w:rsid w:val="003C26C5"/>
    <w:rsid w:val="003C27E5"/>
    <w:rsid w:val="003C29D8"/>
    <w:rsid w:val="003C2B6E"/>
    <w:rsid w:val="003C2D6B"/>
    <w:rsid w:val="003C33A6"/>
    <w:rsid w:val="003C36A6"/>
    <w:rsid w:val="003C39EC"/>
    <w:rsid w:val="003C3AFD"/>
    <w:rsid w:val="003C3E11"/>
    <w:rsid w:val="003C3EC4"/>
    <w:rsid w:val="003C4326"/>
    <w:rsid w:val="003C43B5"/>
    <w:rsid w:val="003C45D0"/>
    <w:rsid w:val="003C45EE"/>
    <w:rsid w:val="003C4625"/>
    <w:rsid w:val="003C47BE"/>
    <w:rsid w:val="003C490B"/>
    <w:rsid w:val="003C4BC3"/>
    <w:rsid w:val="003C4DA7"/>
    <w:rsid w:val="003C5083"/>
    <w:rsid w:val="003C5617"/>
    <w:rsid w:val="003C60C8"/>
    <w:rsid w:val="003C64E2"/>
    <w:rsid w:val="003C6907"/>
    <w:rsid w:val="003C69A3"/>
    <w:rsid w:val="003C6A08"/>
    <w:rsid w:val="003C6B0F"/>
    <w:rsid w:val="003C703A"/>
    <w:rsid w:val="003C738A"/>
    <w:rsid w:val="003C739B"/>
    <w:rsid w:val="003C73BD"/>
    <w:rsid w:val="003C7573"/>
    <w:rsid w:val="003C75D0"/>
    <w:rsid w:val="003C75E3"/>
    <w:rsid w:val="003C7981"/>
    <w:rsid w:val="003C7AB9"/>
    <w:rsid w:val="003C7C85"/>
    <w:rsid w:val="003C7D10"/>
    <w:rsid w:val="003C7FD1"/>
    <w:rsid w:val="003D0510"/>
    <w:rsid w:val="003D0C5E"/>
    <w:rsid w:val="003D0C6B"/>
    <w:rsid w:val="003D0F42"/>
    <w:rsid w:val="003D109F"/>
    <w:rsid w:val="003D1113"/>
    <w:rsid w:val="003D12F2"/>
    <w:rsid w:val="003D14AB"/>
    <w:rsid w:val="003D153F"/>
    <w:rsid w:val="003D15E9"/>
    <w:rsid w:val="003D1723"/>
    <w:rsid w:val="003D1874"/>
    <w:rsid w:val="003D1896"/>
    <w:rsid w:val="003D1A53"/>
    <w:rsid w:val="003D1C49"/>
    <w:rsid w:val="003D1E88"/>
    <w:rsid w:val="003D1ED3"/>
    <w:rsid w:val="003D1FCC"/>
    <w:rsid w:val="003D1FFF"/>
    <w:rsid w:val="003D235D"/>
    <w:rsid w:val="003D2509"/>
    <w:rsid w:val="003D26D4"/>
    <w:rsid w:val="003D2718"/>
    <w:rsid w:val="003D3068"/>
    <w:rsid w:val="003D3789"/>
    <w:rsid w:val="003D38AC"/>
    <w:rsid w:val="003D399A"/>
    <w:rsid w:val="003D3AED"/>
    <w:rsid w:val="003D3F17"/>
    <w:rsid w:val="003D3F51"/>
    <w:rsid w:val="003D40EA"/>
    <w:rsid w:val="003D4365"/>
    <w:rsid w:val="003D4981"/>
    <w:rsid w:val="003D4998"/>
    <w:rsid w:val="003D4A58"/>
    <w:rsid w:val="003D4C18"/>
    <w:rsid w:val="003D4C48"/>
    <w:rsid w:val="003D4FCE"/>
    <w:rsid w:val="003D509F"/>
    <w:rsid w:val="003D539E"/>
    <w:rsid w:val="003D54D6"/>
    <w:rsid w:val="003D5631"/>
    <w:rsid w:val="003D580D"/>
    <w:rsid w:val="003D5C27"/>
    <w:rsid w:val="003D5C58"/>
    <w:rsid w:val="003D5CF6"/>
    <w:rsid w:val="003D5F5C"/>
    <w:rsid w:val="003D611C"/>
    <w:rsid w:val="003D61C8"/>
    <w:rsid w:val="003D62EC"/>
    <w:rsid w:val="003D6393"/>
    <w:rsid w:val="003D643B"/>
    <w:rsid w:val="003D6491"/>
    <w:rsid w:val="003D658D"/>
    <w:rsid w:val="003D67B0"/>
    <w:rsid w:val="003D68C8"/>
    <w:rsid w:val="003D6F2B"/>
    <w:rsid w:val="003D6FC6"/>
    <w:rsid w:val="003D72CC"/>
    <w:rsid w:val="003D7418"/>
    <w:rsid w:val="003D777B"/>
    <w:rsid w:val="003D7AF1"/>
    <w:rsid w:val="003D7CA0"/>
    <w:rsid w:val="003D7D8A"/>
    <w:rsid w:val="003E024D"/>
    <w:rsid w:val="003E0293"/>
    <w:rsid w:val="003E02CD"/>
    <w:rsid w:val="003E03C7"/>
    <w:rsid w:val="003E05E5"/>
    <w:rsid w:val="003E0639"/>
    <w:rsid w:val="003E0B23"/>
    <w:rsid w:val="003E0BFF"/>
    <w:rsid w:val="003E0C5F"/>
    <w:rsid w:val="003E0C87"/>
    <w:rsid w:val="003E0CC0"/>
    <w:rsid w:val="003E100D"/>
    <w:rsid w:val="003E1295"/>
    <w:rsid w:val="003E129E"/>
    <w:rsid w:val="003E155D"/>
    <w:rsid w:val="003E1589"/>
    <w:rsid w:val="003E1752"/>
    <w:rsid w:val="003E1789"/>
    <w:rsid w:val="003E18A6"/>
    <w:rsid w:val="003E190E"/>
    <w:rsid w:val="003E1B27"/>
    <w:rsid w:val="003E1B63"/>
    <w:rsid w:val="003E1CAA"/>
    <w:rsid w:val="003E1DE4"/>
    <w:rsid w:val="003E2146"/>
    <w:rsid w:val="003E21EC"/>
    <w:rsid w:val="003E2289"/>
    <w:rsid w:val="003E2577"/>
    <w:rsid w:val="003E2604"/>
    <w:rsid w:val="003E26D4"/>
    <w:rsid w:val="003E2782"/>
    <w:rsid w:val="003E284F"/>
    <w:rsid w:val="003E2A9A"/>
    <w:rsid w:val="003E2BFB"/>
    <w:rsid w:val="003E2D48"/>
    <w:rsid w:val="003E2EBA"/>
    <w:rsid w:val="003E31B7"/>
    <w:rsid w:val="003E3202"/>
    <w:rsid w:val="003E320A"/>
    <w:rsid w:val="003E3260"/>
    <w:rsid w:val="003E36B2"/>
    <w:rsid w:val="003E3B0F"/>
    <w:rsid w:val="003E3DF4"/>
    <w:rsid w:val="003E3E97"/>
    <w:rsid w:val="003E4388"/>
    <w:rsid w:val="003E47EC"/>
    <w:rsid w:val="003E4CE3"/>
    <w:rsid w:val="003E5706"/>
    <w:rsid w:val="003E5A8B"/>
    <w:rsid w:val="003E5C79"/>
    <w:rsid w:val="003E60B8"/>
    <w:rsid w:val="003E6793"/>
    <w:rsid w:val="003E67CE"/>
    <w:rsid w:val="003E695B"/>
    <w:rsid w:val="003E6BB4"/>
    <w:rsid w:val="003E6D8D"/>
    <w:rsid w:val="003E6F87"/>
    <w:rsid w:val="003E7146"/>
    <w:rsid w:val="003E73B0"/>
    <w:rsid w:val="003E7477"/>
    <w:rsid w:val="003E76F1"/>
    <w:rsid w:val="003E7B4C"/>
    <w:rsid w:val="003E7BF6"/>
    <w:rsid w:val="003E7E89"/>
    <w:rsid w:val="003E7EE2"/>
    <w:rsid w:val="003F0112"/>
    <w:rsid w:val="003F0130"/>
    <w:rsid w:val="003F0686"/>
    <w:rsid w:val="003F06DB"/>
    <w:rsid w:val="003F0928"/>
    <w:rsid w:val="003F09F9"/>
    <w:rsid w:val="003F0DB0"/>
    <w:rsid w:val="003F0E26"/>
    <w:rsid w:val="003F0E6B"/>
    <w:rsid w:val="003F0E9B"/>
    <w:rsid w:val="003F0FC9"/>
    <w:rsid w:val="003F11C2"/>
    <w:rsid w:val="003F1350"/>
    <w:rsid w:val="003F15DB"/>
    <w:rsid w:val="003F1648"/>
    <w:rsid w:val="003F179C"/>
    <w:rsid w:val="003F18FC"/>
    <w:rsid w:val="003F1AB8"/>
    <w:rsid w:val="003F1BAC"/>
    <w:rsid w:val="003F1C75"/>
    <w:rsid w:val="003F1ED9"/>
    <w:rsid w:val="003F1F2F"/>
    <w:rsid w:val="003F1F67"/>
    <w:rsid w:val="003F2139"/>
    <w:rsid w:val="003F2249"/>
    <w:rsid w:val="003F24C8"/>
    <w:rsid w:val="003F2522"/>
    <w:rsid w:val="003F270D"/>
    <w:rsid w:val="003F2732"/>
    <w:rsid w:val="003F27B4"/>
    <w:rsid w:val="003F27E6"/>
    <w:rsid w:val="003F2901"/>
    <w:rsid w:val="003F2907"/>
    <w:rsid w:val="003F2B7E"/>
    <w:rsid w:val="003F2F44"/>
    <w:rsid w:val="003F2FA2"/>
    <w:rsid w:val="003F313E"/>
    <w:rsid w:val="003F31BD"/>
    <w:rsid w:val="003F38F8"/>
    <w:rsid w:val="003F3A53"/>
    <w:rsid w:val="003F3BAF"/>
    <w:rsid w:val="003F3D3E"/>
    <w:rsid w:val="003F3DDA"/>
    <w:rsid w:val="003F4078"/>
    <w:rsid w:val="003F426F"/>
    <w:rsid w:val="003F4402"/>
    <w:rsid w:val="003F444E"/>
    <w:rsid w:val="003F4460"/>
    <w:rsid w:val="003F4562"/>
    <w:rsid w:val="003F46BB"/>
    <w:rsid w:val="003F4A3B"/>
    <w:rsid w:val="003F4B6A"/>
    <w:rsid w:val="003F4EDA"/>
    <w:rsid w:val="003F4F57"/>
    <w:rsid w:val="003F50D3"/>
    <w:rsid w:val="003F534E"/>
    <w:rsid w:val="003F59BC"/>
    <w:rsid w:val="003F59D7"/>
    <w:rsid w:val="003F5B30"/>
    <w:rsid w:val="003F6059"/>
    <w:rsid w:val="003F6100"/>
    <w:rsid w:val="003F6368"/>
    <w:rsid w:val="003F64A6"/>
    <w:rsid w:val="003F6776"/>
    <w:rsid w:val="003F6BB0"/>
    <w:rsid w:val="003F715B"/>
    <w:rsid w:val="003F730C"/>
    <w:rsid w:val="003F74EA"/>
    <w:rsid w:val="003F7698"/>
    <w:rsid w:val="003F7840"/>
    <w:rsid w:val="003F7993"/>
    <w:rsid w:val="003F7A98"/>
    <w:rsid w:val="003F7AAC"/>
    <w:rsid w:val="003F7F78"/>
    <w:rsid w:val="0040015D"/>
    <w:rsid w:val="00400487"/>
    <w:rsid w:val="004004B2"/>
    <w:rsid w:val="00400738"/>
    <w:rsid w:val="00400D57"/>
    <w:rsid w:val="00400FAC"/>
    <w:rsid w:val="00401216"/>
    <w:rsid w:val="00401279"/>
    <w:rsid w:val="004012D1"/>
    <w:rsid w:val="004015F7"/>
    <w:rsid w:val="00401890"/>
    <w:rsid w:val="004019A4"/>
    <w:rsid w:val="00401B2E"/>
    <w:rsid w:val="00401C29"/>
    <w:rsid w:val="00401FCD"/>
    <w:rsid w:val="0040237E"/>
    <w:rsid w:val="0040263A"/>
    <w:rsid w:val="004026CC"/>
    <w:rsid w:val="00402894"/>
    <w:rsid w:val="00402C2F"/>
    <w:rsid w:val="00402C34"/>
    <w:rsid w:val="00402D9E"/>
    <w:rsid w:val="00402E3C"/>
    <w:rsid w:val="00403110"/>
    <w:rsid w:val="0040333E"/>
    <w:rsid w:val="00403471"/>
    <w:rsid w:val="0040353F"/>
    <w:rsid w:val="00403542"/>
    <w:rsid w:val="00403680"/>
    <w:rsid w:val="004038F6"/>
    <w:rsid w:val="00403A24"/>
    <w:rsid w:val="00403E0A"/>
    <w:rsid w:val="00403E6E"/>
    <w:rsid w:val="00403F9C"/>
    <w:rsid w:val="00404035"/>
    <w:rsid w:val="00404128"/>
    <w:rsid w:val="004041D1"/>
    <w:rsid w:val="004041EE"/>
    <w:rsid w:val="00404341"/>
    <w:rsid w:val="004043B5"/>
    <w:rsid w:val="00404459"/>
    <w:rsid w:val="004045C9"/>
    <w:rsid w:val="004047DA"/>
    <w:rsid w:val="004048A2"/>
    <w:rsid w:val="00404E21"/>
    <w:rsid w:val="00405107"/>
    <w:rsid w:val="00405134"/>
    <w:rsid w:val="00405136"/>
    <w:rsid w:val="004051EB"/>
    <w:rsid w:val="0040521B"/>
    <w:rsid w:val="0040540F"/>
    <w:rsid w:val="004055D0"/>
    <w:rsid w:val="00405601"/>
    <w:rsid w:val="004056B5"/>
    <w:rsid w:val="00405ABB"/>
    <w:rsid w:val="00405AE5"/>
    <w:rsid w:val="00405B26"/>
    <w:rsid w:val="00405B5A"/>
    <w:rsid w:val="00405DEB"/>
    <w:rsid w:val="00405F11"/>
    <w:rsid w:val="00405F41"/>
    <w:rsid w:val="00405FB0"/>
    <w:rsid w:val="00406344"/>
    <w:rsid w:val="00406452"/>
    <w:rsid w:val="0040659D"/>
    <w:rsid w:val="004066D6"/>
    <w:rsid w:val="004067EE"/>
    <w:rsid w:val="0040682C"/>
    <w:rsid w:val="00406C50"/>
    <w:rsid w:val="00406C66"/>
    <w:rsid w:val="00406C9C"/>
    <w:rsid w:val="00406D5B"/>
    <w:rsid w:val="00406DAD"/>
    <w:rsid w:val="00406EFD"/>
    <w:rsid w:val="00407087"/>
    <w:rsid w:val="00407341"/>
    <w:rsid w:val="00407516"/>
    <w:rsid w:val="0040754A"/>
    <w:rsid w:val="00407619"/>
    <w:rsid w:val="004079C1"/>
    <w:rsid w:val="00407C01"/>
    <w:rsid w:val="00407C49"/>
    <w:rsid w:val="00407F0F"/>
    <w:rsid w:val="004102A2"/>
    <w:rsid w:val="00410318"/>
    <w:rsid w:val="004103F3"/>
    <w:rsid w:val="00410425"/>
    <w:rsid w:val="00410591"/>
    <w:rsid w:val="00410935"/>
    <w:rsid w:val="00410BEC"/>
    <w:rsid w:val="00410D8F"/>
    <w:rsid w:val="00411180"/>
    <w:rsid w:val="0041164D"/>
    <w:rsid w:val="00411660"/>
    <w:rsid w:val="0041188F"/>
    <w:rsid w:val="004119CE"/>
    <w:rsid w:val="00411B78"/>
    <w:rsid w:val="00412103"/>
    <w:rsid w:val="004121DE"/>
    <w:rsid w:val="0041220E"/>
    <w:rsid w:val="0041231B"/>
    <w:rsid w:val="0041238B"/>
    <w:rsid w:val="0041270E"/>
    <w:rsid w:val="004129C7"/>
    <w:rsid w:val="004129E1"/>
    <w:rsid w:val="004129E5"/>
    <w:rsid w:val="00412A39"/>
    <w:rsid w:val="00412A74"/>
    <w:rsid w:val="00412D71"/>
    <w:rsid w:val="00412EAB"/>
    <w:rsid w:val="00412F0F"/>
    <w:rsid w:val="004131EA"/>
    <w:rsid w:val="004133C8"/>
    <w:rsid w:val="0041398F"/>
    <w:rsid w:val="00413C88"/>
    <w:rsid w:val="00414075"/>
    <w:rsid w:val="00414156"/>
    <w:rsid w:val="004143F9"/>
    <w:rsid w:val="00414641"/>
    <w:rsid w:val="004146CA"/>
    <w:rsid w:val="00414843"/>
    <w:rsid w:val="00414F7B"/>
    <w:rsid w:val="00415145"/>
    <w:rsid w:val="0041521C"/>
    <w:rsid w:val="00415418"/>
    <w:rsid w:val="00415427"/>
    <w:rsid w:val="004154DC"/>
    <w:rsid w:val="004155B0"/>
    <w:rsid w:val="0041586C"/>
    <w:rsid w:val="00415A6B"/>
    <w:rsid w:val="00415B54"/>
    <w:rsid w:val="00415B82"/>
    <w:rsid w:val="00415BFF"/>
    <w:rsid w:val="00415CC6"/>
    <w:rsid w:val="00415CFF"/>
    <w:rsid w:val="00415D61"/>
    <w:rsid w:val="00415D80"/>
    <w:rsid w:val="00415EF6"/>
    <w:rsid w:val="00415FC0"/>
    <w:rsid w:val="00416182"/>
    <w:rsid w:val="00416248"/>
    <w:rsid w:val="00416361"/>
    <w:rsid w:val="004165CA"/>
    <w:rsid w:val="004165F2"/>
    <w:rsid w:val="00416743"/>
    <w:rsid w:val="0041674F"/>
    <w:rsid w:val="00416E0E"/>
    <w:rsid w:val="00416FCD"/>
    <w:rsid w:val="00417556"/>
    <w:rsid w:val="004175DC"/>
    <w:rsid w:val="004178B1"/>
    <w:rsid w:val="0041791F"/>
    <w:rsid w:val="00417E4B"/>
    <w:rsid w:val="00420173"/>
    <w:rsid w:val="004205EF"/>
    <w:rsid w:val="004206E0"/>
    <w:rsid w:val="00420D86"/>
    <w:rsid w:val="00420E69"/>
    <w:rsid w:val="00421073"/>
    <w:rsid w:val="004212C8"/>
    <w:rsid w:val="00421314"/>
    <w:rsid w:val="0042148E"/>
    <w:rsid w:val="004217D9"/>
    <w:rsid w:val="00421ADC"/>
    <w:rsid w:val="00421B6A"/>
    <w:rsid w:val="00421BA5"/>
    <w:rsid w:val="00421D18"/>
    <w:rsid w:val="004220BA"/>
    <w:rsid w:val="004221EF"/>
    <w:rsid w:val="0042239E"/>
    <w:rsid w:val="00422531"/>
    <w:rsid w:val="0042254A"/>
    <w:rsid w:val="004229B1"/>
    <w:rsid w:val="00422D14"/>
    <w:rsid w:val="00422D17"/>
    <w:rsid w:val="00422D24"/>
    <w:rsid w:val="00422D5D"/>
    <w:rsid w:val="00423328"/>
    <w:rsid w:val="004233B4"/>
    <w:rsid w:val="0042360E"/>
    <w:rsid w:val="004236C8"/>
    <w:rsid w:val="0042382E"/>
    <w:rsid w:val="00423A77"/>
    <w:rsid w:val="00423DCC"/>
    <w:rsid w:val="0042426C"/>
    <w:rsid w:val="004245AF"/>
    <w:rsid w:val="004247EF"/>
    <w:rsid w:val="004249F4"/>
    <w:rsid w:val="00424D96"/>
    <w:rsid w:val="00424DB3"/>
    <w:rsid w:val="00424DDD"/>
    <w:rsid w:val="004251A1"/>
    <w:rsid w:val="00425291"/>
    <w:rsid w:val="0042558C"/>
    <w:rsid w:val="00425625"/>
    <w:rsid w:val="00425B02"/>
    <w:rsid w:val="00426098"/>
    <w:rsid w:val="00426298"/>
    <w:rsid w:val="004262DE"/>
    <w:rsid w:val="004265A3"/>
    <w:rsid w:val="0042661D"/>
    <w:rsid w:val="00426A3D"/>
    <w:rsid w:val="00426C6F"/>
    <w:rsid w:val="00426D71"/>
    <w:rsid w:val="00426EAD"/>
    <w:rsid w:val="00426F6F"/>
    <w:rsid w:val="0042729A"/>
    <w:rsid w:val="00427346"/>
    <w:rsid w:val="0042750F"/>
    <w:rsid w:val="0042760E"/>
    <w:rsid w:val="00427927"/>
    <w:rsid w:val="00427F56"/>
    <w:rsid w:val="00427FC4"/>
    <w:rsid w:val="004300E2"/>
    <w:rsid w:val="00430557"/>
    <w:rsid w:val="004305A9"/>
    <w:rsid w:val="004306B6"/>
    <w:rsid w:val="00430833"/>
    <w:rsid w:val="004308AF"/>
    <w:rsid w:val="00430B1C"/>
    <w:rsid w:val="00430C72"/>
    <w:rsid w:val="00430FF9"/>
    <w:rsid w:val="004310AF"/>
    <w:rsid w:val="004311C3"/>
    <w:rsid w:val="0043149B"/>
    <w:rsid w:val="00431620"/>
    <w:rsid w:val="00431692"/>
    <w:rsid w:val="004316EF"/>
    <w:rsid w:val="0043183A"/>
    <w:rsid w:val="00431A46"/>
    <w:rsid w:val="00431B3D"/>
    <w:rsid w:val="00431D37"/>
    <w:rsid w:val="00432179"/>
    <w:rsid w:val="004322A6"/>
    <w:rsid w:val="0043245B"/>
    <w:rsid w:val="00432470"/>
    <w:rsid w:val="004325E0"/>
    <w:rsid w:val="004327A1"/>
    <w:rsid w:val="004327E6"/>
    <w:rsid w:val="0043284B"/>
    <w:rsid w:val="00432A0E"/>
    <w:rsid w:val="004330FD"/>
    <w:rsid w:val="00433388"/>
    <w:rsid w:val="00433759"/>
    <w:rsid w:val="00433773"/>
    <w:rsid w:val="004338B7"/>
    <w:rsid w:val="0043398E"/>
    <w:rsid w:val="00433B61"/>
    <w:rsid w:val="00433C2F"/>
    <w:rsid w:val="00433C4E"/>
    <w:rsid w:val="00433CDA"/>
    <w:rsid w:val="00433DFF"/>
    <w:rsid w:val="00433E76"/>
    <w:rsid w:val="00433EB4"/>
    <w:rsid w:val="004342F6"/>
    <w:rsid w:val="0043452F"/>
    <w:rsid w:val="00434757"/>
    <w:rsid w:val="0043479F"/>
    <w:rsid w:val="0043486D"/>
    <w:rsid w:val="00434B8E"/>
    <w:rsid w:val="00435410"/>
    <w:rsid w:val="00435679"/>
    <w:rsid w:val="004356B1"/>
    <w:rsid w:val="004356B3"/>
    <w:rsid w:val="00435838"/>
    <w:rsid w:val="00435865"/>
    <w:rsid w:val="00435940"/>
    <w:rsid w:val="00435948"/>
    <w:rsid w:val="00435D6D"/>
    <w:rsid w:val="00435F36"/>
    <w:rsid w:val="004360C8"/>
    <w:rsid w:val="004361D1"/>
    <w:rsid w:val="0043667F"/>
    <w:rsid w:val="0043673E"/>
    <w:rsid w:val="00437007"/>
    <w:rsid w:val="0043709E"/>
    <w:rsid w:val="00437294"/>
    <w:rsid w:val="004376A2"/>
    <w:rsid w:val="00437AA2"/>
    <w:rsid w:val="00437FE0"/>
    <w:rsid w:val="004400E2"/>
    <w:rsid w:val="00440719"/>
    <w:rsid w:val="0044072F"/>
    <w:rsid w:val="00440C0E"/>
    <w:rsid w:val="00440C1C"/>
    <w:rsid w:val="00440FCE"/>
    <w:rsid w:val="00441415"/>
    <w:rsid w:val="004414FF"/>
    <w:rsid w:val="004418FD"/>
    <w:rsid w:val="00441958"/>
    <w:rsid w:val="00441DA1"/>
    <w:rsid w:val="00441FAF"/>
    <w:rsid w:val="004422B6"/>
    <w:rsid w:val="00442340"/>
    <w:rsid w:val="004426CE"/>
    <w:rsid w:val="00442BBC"/>
    <w:rsid w:val="00442C70"/>
    <w:rsid w:val="00442E57"/>
    <w:rsid w:val="00443660"/>
    <w:rsid w:val="004437FC"/>
    <w:rsid w:val="004438C4"/>
    <w:rsid w:val="00443987"/>
    <w:rsid w:val="00443B12"/>
    <w:rsid w:val="00443C96"/>
    <w:rsid w:val="00443CE9"/>
    <w:rsid w:val="00443FB0"/>
    <w:rsid w:val="00444021"/>
    <w:rsid w:val="00444648"/>
    <w:rsid w:val="004446EC"/>
    <w:rsid w:val="00444838"/>
    <w:rsid w:val="0044489D"/>
    <w:rsid w:val="00444920"/>
    <w:rsid w:val="00444BEC"/>
    <w:rsid w:val="00444DF3"/>
    <w:rsid w:val="0044540D"/>
    <w:rsid w:val="00445497"/>
    <w:rsid w:val="00445581"/>
    <w:rsid w:val="00445615"/>
    <w:rsid w:val="00445876"/>
    <w:rsid w:val="004458CA"/>
    <w:rsid w:val="004459AB"/>
    <w:rsid w:val="00445B0B"/>
    <w:rsid w:val="00445B25"/>
    <w:rsid w:val="00445CAE"/>
    <w:rsid w:val="004460BE"/>
    <w:rsid w:val="004463DD"/>
    <w:rsid w:val="00446528"/>
    <w:rsid w:val="0044653B"/>
    <w:rsid w:val="00446783"/>
    <w:rsid w:val="004467D5"/>
    <w:rsid w:val="00446C5E"/>
    <w:rsid w:val="00446C6C"/>
    <w:rsid w:val="00446FD3"/>
    <w:rsid w:val="00447018"/>
    <w:rsid w:val="004473B3"/>
    <w:rsid w:val="00447811"/>
    <w:rsid w:val="00447C32"/>
    <w:rsid w:val="00450190"/>
    <w:rsid w:val="00450242"/>
    <w:rsid w:val="004502F9"/>
    <w:rsid w:val="004504D6"/>
    <w:rsid w:val="00450518"/>
    <w:rsid w:val="0045054C"/>
    <w:rsid w:val="004506C3"/>
    <w:rsid w:val="0045098A"/>
    <w:rsid w:val="00450ADC"/>
    <w:rsid w:val="00450C4F"/>
    <w:rsid w:val="00450E31"/>
    <w:rsid w:val="0045117D"/>
    <w:rsid w:val="00451270"/>
    <w:rsid w:val="0045152B"/>
    <w:rsid w:val="00451A0B"/>
    <w:rsid w:val="00451B9B"/>
    <w:rsid w:val="0045246D"/>
    <w:rsid w:val="004525AC"/>
    <w:rsid w:val="004526CD"/>
    <w:rsid w:val="0045296F"/>
    <w:rsid w:val="0045297B"/>
    <w:rsid w:val="00452DF1"/>
    <w:rsid w:val="00453263"/>
    <w:rsid w:val="0045359F"/>
    <w:rsid w:val="004535C7"/>
    <w:rsid w:val="00453877"/>
    <w:rsid w:val="004538C1"/>
    <w:rsid w:val="00453B47"/>
    <w:rsid w:val="004541D7"/>
    <w:rsid w:val="00454289"/>
    <w:rsid w:val="00454313"/>
    <w:rsid w:val="00454695"/>
    <w:rsid w:val="004547F0"/>
    <w:rsid w:val="0045483F"/>
    <w:rsid w:val="00454FFD"/>
    <w:rsid w:val="00455211"/>
    <w:rsid w:val="004552EB"/>
    <w:rsid w:val="00455573"/>
    <w:rsid w:val="00455630"/>
    <w:rsid w:val="004556A2"/>
    <w:rsid w:val="004556A5"/>
    <w:rsid w:val="0045596A"/>
    <w:rsid w:val="00455EDB"/>
    <w:rsid w:val="00455FB8"/>
    <w:rsid w:val="004561CF"/>
    <w:rsid w:val="0045670C"/>
    <w:rsid w:val="00456713"/>
    <w:rsid w:val="00456A36"/>
    <w:rsid w:val="00457125"/>
    <w:rsid w:val="00457141"/>
    <w:rsid w:val="0045727E"/>
    <w:rsid w:val="004572BE"/>
    <w:rsid w:val="0045749F"/>
    <w:rsid w:val="004577D6"/>
    <w:rsid w:val="004578AD"/>
    <w:rsid w:val="004578BD"/>
    <w:rsid w:val="00457942"/>
    <w:rsid w:val="00457CA3"/>
    <w:rsid w:val="00457D19"/>
    <w:rsid w:val="00457D23"/>
    <w:rsid w:val="0046034E"/>
    <w:rsid w:val="0046049D"/>
    <w:rsid w:val="004604D7"/>
    <w:rsid w:val="004608B6"/>
    <w:rsid w:val="00460DC8"/>
    <w:rsid w:val="00460EC2"/>
    <w:rsid w:val="0046106C"/>
    <w:rsid w:val="00461081"/>
    <w:rsid w:val="004610E1"/>
    <w:rsid w:val="004611FA"/>
    <w:rsid w:val="00461272"/>
    <w:rsid w:val="0046134D"/>
    <w:rsid w:val="0046139A"/>
    <w:rsid w:val="00461526"/>
    <w:rsid w:val="0046158E"/>
    <w:rsid w:val="00461636"/>
    <w:rsid w:val="0046190E"/>
    <w:rsid w:val="00461E60"/>
    <w:rsid w:val="00461E9E"/>
    <w:rsid w:val="00461F19"/>
    <w:rsid w:val="00462140"/>
    <w:rsid w:val="00462241"/>
    <w:rsid w:val="0046227C"/>
    <w:rsid w:val="0046240D"/>
    <w:rsid w:val="00462502"/>
    <w:rsid w:val="0046277B"/>
    <w:rsid w:val="00462BD0"/>
    <w:rsid w:val="00462C69"/>
    <w:rsid w:val="00462CA3"/>
    <w:rsid w:val="00462CAE"/>
    <w:rsid w:val="00462DF2"/>
    <w:rsid w:val="00463110"/>
    <w:rsid w:val="00463118"/>
    <w:rsid w:val="004631DB"/>
    <w:rsid w:val="00463205"/>
    <w:rsid w:val="0046326F"/>
    <w:rsid w:val="0046361C"/>
    <w:rsid w:val="00463756"/>
    <w:rsid w:val="004637C2"/>
    <w:rsid w:val="00463996"/>
    <w:rsid w:val="00463AF4"/>
    <w:rsid w:val="00463BA1"/>
    <w:rsid w:val="00463CAC"/>
    <w:rsid w:val="00464544"/>
    <w:rsid w:val="0046475D"/>
    <w:rsid w:val="0046479E"/>
    <w:rsid w:val="0046485D"/>
    <w:rsid w:val="00464957"/>
    <w:rsid w:val="00464971"/>
    <w:rsid w:val="00464F15"/>
    <w:rsid w:val="00464FF3"/>
    <w:rsid w:val="00465086"/>
    <w:rsid w:val="0046551E"/>
    <w:rsid w:val="00465822"/>
    <w:rsid w:val="00465850"/>
    <w:rsid w:val="00465C4A"/>
    <w:rsid w:val="00465EE5"/>
    <w:rsid w:val="00465FC4"/>
    <w:rsid w:val="0046658D"/>
    <w:rsid w:val="004667C9"/>
    <w:rsid w:val="0046683F"/>
    <w:rsid w:val="00466C91"/>
    <w:rsid w:val="0046700A"/>
    <w:rsid w:val="00467068"/>
    <w:rsid w:val="0046748C"/>
    <w:rsid w:val="00467543"/>
    <w:rsid w:val="004675A5"/>
    <w:rsid w:val="004675C3"/>
    <w:rsid w:val="004676DB"/>
    <w:rsid w:val="004676F8"/>
    <w:rsid w:val="00467718"/>
    <w:rsid w:val="004677AB"/>
    <w:rsid w:val="004677CA"/>
    <w:rsid w:val="0046782D"/>
    <w:rsid w:val="004678B4"/>
    <w:rsid w:val="0046799B"/>
    <w:rsid w:val="00467C9D"/>
    <w:rsid w:val="00470039"/>
    <w:rsid w:val="004700F4"/>
    <w:rsid w:val="0047033E"/>
    <w:rsid w:val="0047036A"/>
    <w:rsid w:val="00470649"/>
    <w:rsid w:val="004707B2"/>
    <w:rsid w:val="004708C4"/>
    <w:rsid w:val="00470C3D"/>
    <w:rsid w:val="00470ED0"/>
    <w:rsid w:val="00471231"/>
    <w:rsid w:val="00471492"/>
    <w:rsid w:val="004715E7"/>
    <w:rsid w:val="004717AC"/>
    <w:rsid w:val="00471A45"/>
    <w:rsid w:val="00471AFB"/>
    <w:rsid w:val="00472170"/>
    <w:rsid w:val="004721A2"/>
    <w:rsid w:val="004722C2"/>
    <w:rsid w:val="0047287B"/>
    <w:rsid w:val="00472DD1"/>
    <w:rsid w:val="00472F7F"/>
    <w:rsid w:val="004732EA"/>
    <w:rsid w:val="00473323"/>
    <w:rsid w:val="004735F3"/>
    <w:rsid w:val="004738CA"/>
    <w:rsid w:val="00473AA4"/>
    <w:rsid w:val="004740B9"/>
    <w:rsid w:val="0047410F"/>
    <w:rsid w:val="004742EE"/>
    <w:rsid w:val="0047436D"/>
    <w:rsid w:val="004744E0"/>
    <w:rsid w:val="00474652"/>
    <w:rsid w:val="004746BC"/>
    <w:rsid w:val="00474794"/>
    <w:rsid w:val="00474C3D"/>
    <w:rsid w:val="00474D1B"/>
    <w:rsid w:val="00475051"/>
    <w:rsid w:val="00475630"/>
    <w:rsid w:val="004759FC"/>
    <w:rsid w:val="00475C08"/>
    <w:rsid w:val="00475E78"/>
    <w:rsid w:val="00475F3A"/>
    <w:rsid w:val="0047608B"/>
    <w:rsid w:val="0047610B"/>
    <w:rsid w:val="00476315"/>
    <w:rsid w:val="00476363"/>
    <w:rsid w:val="004763F8"/>
    <w:rsid w:val="00476429"/>
    <w:rsid w:val="00476526"/>
    <w:rsid w:val="00476947"/>
    <w:rsid w:val="00476AB6"/>
    <w:rsid w:val="00476C60"/>
    <w:rsid w:val="00476D1E"/>
    <w:rsid w:val="004772CD"/>
    <w:rsid w:val="00477397"/>
    <w:rsid w:val="0047778C"/>
    <w:rsid w:val="00477BDD"/>
    <w:rsid w:val="00477D2E"/>
    <w:rsid w:val="00477FA1"/>
    <w:rsid w:val="00480067"/>
    <w:rsid w:val="004801CD"/>
    <w:rsid w:val="0048039F"/>
    <w:rsid w:val="004804F4"/>
    <w:rsid w:val="0048101F"/>
    <w:rsid w:val="00481174"/>
    <w:rsid w:val="00481339"/>
    <w:rsid w:val="00481AB3"/>
    <w:rsid w:val="00481C13"/>
    <w:rsid w:val="00481F50"/>
    <w:rsid w:val="004820CB"/>
    <w:rsid w:val="004821CC"/>
    <w:rsid w:val="00482453"/>
    <w:rsid w:val="004828A0"/>
    <w:rsid w:val="004829E6"/>
    <w:rsid w:val="00482C8D"/>
    <w:rsid w:val="004830CC"/>
    <w:rsid w:val="00483296"/>
    <w:rsid w:val="004832D0"/>
    <w:rsid w:val="00483751"/>
    <w:rsid w:val="00483869"/>
    <w:rsid w:val="00483C86"/>
    <w:rsid w:val="00483F6E"/>
    <w:rsid w:val="00484069"/>
    <w:rsid w:val="00484216"/>
    <w:rsid w:val="004846D4"/>
    <w:rsid w:val="00484800"/>
    <w:rsid w:val="0048493F"/>
    <w:rsid w:val="00484B21"/>
    <w:rsid w:val="00484C8D"/>
    <w:rsid w:val="00484D9F"/>
    <w:rsid w:val="00484DAD"/>
    <w:rsid w:val="00484E8F"/>
    <w:rsid w:val="0048508F"/>
    <w:rsid w:val="00485425"/>
    <w:rsid w:val="0048548F"/>
    <w:rsid w:val="00485D00"/>
    <w:rsid w:val="00485E9B"/>
    <w:rsid w:val="00485F41"/>
    <w:rsid w:val="00486395"/>
    <w:rsid w:val="0048644A"/>
    <w:rsid w:val="00486A06"/>
    <w:rsid w:val="00486F95"/>
    <w:rsid w:val="00487225"/>
    <w:rsid w:val="00487246"/>
    <w:rsid w:val="00487433"/>
    <w:rsid w:val="0048745F"/>
    <w:rsid w:val="004876EB"/>
    <w:rsid w:val="00487C97"/>
    <w:rsid w:val="00487D73"/>
    <w:rsid w:val="00487D88"/>
    <w:rsid w:val="00487FE2"/>
    <w:rsid w:val="004905CE"/>
    <w:rsid w:val="00490647"/>
    <w:rsid w:val="00490A11"/>
    <w:rsid w:val="00490B49"/>
    <w:rsid w:val="00491155"/>
    <w:rsid w:val="0049121B"/>
    <w:rsid w:val="0049126A"/>
    <w:rsid w:val="00491309"/>
    <w:rsid w:val="00491829"/>
    <w:rsid w:val="00491C2D"/>
    <w:rsid w:val="00491C9A"/>
    <w:rsid w:val="00491CAD"/>
    <w:rsid w:val="00491CD3"/>
    <w:rsid w:val="00491D23"/>
    <w:rsid w:val="00491E0B"/>
    <w:rsid w:val="00491F7C"/>
    <w:rsid w:val="00491FEC"/>
    <w:rsid w:val="00492134"/>
    <w:rsid w:val="004921D1"/>
    <w:rsid w:val="00492305"/>
    <w:rsid w:val="0049249D"/>
    <w:rsid w:val="004929C4"/>
    <w:rsid w:val="00492E81"/>
    <w:rsid w:val="004930DF"/>
    <w:rsid w:val="0049311C"/>
    <w:rsid w:val="004932F1"/>
    <w:rsid w:val="00493415"/>
    <w:rsid w:val="004936A4"/>
    <w:rsid w:val="004936F4"/>
    <w:rsid w:val="00493723"/>
    <w:rsid w:val="00493846"/>
    <w:rsid w:val="00493A10"/>
    <w:rsid w:val="00493AD8"/>
    <w:rsid w:val="00493C30"/>
    <w:rsid w:val="00493DFB"/>
    <w:rsid w:val="00493E80"/>
    <w:rsid w:val="00494025"/>
    <w:rsid w:val="0049441D"/>
    <w:rsid w:val="00494A97"/>
    <w:rsid w:val="00494E4C"/>
    <w:rsid w:val="00494F1B"/>
    <w:rsid w:val="00495077"/>
    <w:rsid w:val="0049510C"/>
    <w:rsid w:val="004953F8"/>
    <w:rsid w:val="004958FB"/>
    <w:rsid w:val="004959FD"/>
    <w:rsid w:val="00495A60"/>
    <w:rsid w:val="00495AD0"/>
    <w:rsid w:val="00495B4B"/>
    <w:rsid w:val="00495BCB"/>
    <w:rsid w:val="00495C80"/>
    <w:rsid w:val="00495CA3"/>
    <w:rsid w:val="00495F48"/>
    <w:rsid w:val="0049602A"/>
    <w:rsid w:val="004960D9"/>
    <w:rsid w:val="00496187"/>
    <w:rsid w:val="004961E1"/>
    <w:rsid w:val="004966B5"/>
    <w:rsid w:val="00496892"/>
    <w:rsid w:val="0049695F"/>
    <w:rsid w:val="00496D31"/>
    <w:rsid w:val="00496D7D"/>
    <w:rsid w:val="00496E3F"/>
    <w:rsid w:val="00496F93"/>
    <w:rsid w:val="0049728E"/>
    <w:rsid w:val="004972A4"/>
    <w:rsid w:val="00497363"/>
    <w:rsid w:val="004974E2"/>
    <w:rsid w:val="0049750F"/>
    <w:rsid w:val="0049769B"/>
    <w:rsid w:val="0049774F"/>
    <w:rsid w:val="00497A4B"/>
    <w:rsid w:val="00497CAB"/>
    <w:rsid w:val="00497E75"/>
    <w:rsid w:val="00497EE8"/>
    <w:rsid w:val="00497FB0"/>
    <w:rsid w:val="004A0049"/>
    <w:rsid w:val="004A034A"/>
    <w:rsid w:val="004A041C"/>
    <w:rsid w:val="004A05D2"/>
    <w:rsid w:val="004A08B7"/>
    <w:rsid w:val="004A0C9F"/>
    <w:rsid w:val="004A1180"/>
    <w:rsid w:val="004A1370"/>
    <w:rsid w:val="004A1581"/>
    <w:rsid w:val="004A1856"/>
    <w:rsid w:val="004A1978"/>
    <w:rsid w:val="004A198B"/>
    <w:rsid w:val="004A1EA9"/>
    <w:rsid w:val="004A1F08"/>
    <w:rsid w:val="004A2017"/>
    <w:rsid w:val="004A2291"/>
    <w:rsid w:val="004A2AA2"/>
    <w:rsid w:val="004A2B7A"/>
    <w:rsid w:val="004A2EE5"/>
    <w:rsid w:val="004A2FDC"/>
    <w:rsid w:val="004A314D"/>
    <w:rsid w:val="004A317E"/>
    <w:rsid w:val="004A32B7"/>
    <w:rsid w:val="004A32D4"/>
    <w:rsid w:val="004A339D"/>
    <w:rsid w:val="004A363E"/>
    <w:rsid w:val="004A3854"/>
    <w:rsid w:val="004A388C"/>
    <w:rsid w:val="004A38FB"/>
    <w:rsid w:val="004A4082"/>
    <w:rsid w:val="004A40FD"/>
    <w:rsid w:val="004A46E2"/>
    <w:rsid w:val="004A47EB"/>
    <w:rsid w:val="004A4999"/>
    <w:rsid w:val="004A4B1E"/>
    <w:rsid w:val="004A50AA"/>
    <w:rsid w:val="004A5578"/>
    <w:rsid w:val="004A5642"/>
    <w:rsid w:val="004A56E3"/>
    <w:rsid w:val="004A57A1"/>
    <w:rsid w:val="004A57EE"/>
    <w:rsid w:val="004A58EF"/>
    <w:rsid w:val="004A596E"/>
    <w:rsid w:val="004A5C52"/>
    <w:rsid w:val="004A5D2F"/>
    <w:rsid w:val="004A5DA8"/>
    <w:rsid w:val="004A613B"/>
    <w:rsid w:val="004A6166"/>
    <w:rsid w:val="004A65AD"/>
    <w:rsid w:val="004A6847"/>
    <w:rsid w:val="004A6891"/>
    <w:rsid w:val="004A6C6E"/>
    <w:rsid w:val="004A6D7F"/>
    <w:rsid w:val="004A706F"/>
    <w:rsid w:val="004A7162"/>
    <w:rsid w:val="004A721A"/>
    <w:rsid w:val="004A7431"/>
    <w:rsid w:val="004A79F6"/>
    <w:rsid w:val="004A7A90"/>
    <w:rsid w:val="004A7BD9"/>
    <w:rsid w:val="004A7C6E"/>
    <w:rsid w:val="004A7E2F"/>
    <w:rsid w:val="004A7ED5"/>
    <w:rsid w:val="004B0398"/>
    <w:rsid w:val="004B03EF"/>
    <w:rsid w:val="004B05DD"/>
    <w:rsid w:val="004B0ADA"/>
    <w:rsid w:val="004B0D3F"/>
    <w:rsid w:val="004B1108"/>
    <w:rsid w:val="004B1271"/>
    <w:rsid w:val="004B1387"/>
    <w:rsid w:val="004B13D5"/>
    <w:rsid w:val="004B143D"/>
    <w:rsid w:val="004B15DA"/>
    <w:rsid w:val="004B1696"/>
    <w:rsid w:val="004B195A"/>
    <w:rsid w:val="004B19DD"/>
    <w:rsid w:val="004B1E1C"/>
    <w:rsid w:val="004B1F26"/>
    <w:rsid w:val="004B2099"/>
    <w:rsid w:val="004B27B9"/>
    <w:rsid w:val="004B28FA"/>
    <w:rsid w:val="004B29F5"/>
    <w:rsid w:val="004B2A14"/>
    <w:rsid w:val="004B2C75"/>
    <w:rsid w:val="004B2F08"/>
    <w:rsid w:val="004B2F11"/>
    <w:rsid w:val="004B2F5E"/>
    <w:rsid w:val="004B2F68"/>
    <w:rsid w:val="004B316D"/>
    <w:rsid w:val="004B319B"/>
    <w:rsid w:val="004B3323"/>
    <w:rsid w:val="004B33A2"/>
    <w:rsid w:val="004B35A4"/>
    <w:rsid w:val="004B36F9"/>
    <w:rsid w:val="004B3747"/>
    <w:rsid w:val="004B3999"/>
    <w:rsid w:val="004B3CA8"/>
    <w:rsid w:val="004B3CDE"/>
    <w:rsid w:val="004B3E15"/>
    <w:rsid w:val="004B3E3C"/>
    <w:rsid w:val="004B3FBE"/>
    <w:rsid w:val="004B4377"/>
    <w:rsid w:val="004B4492"/>
    <w:rsid w:val="004B463C"/>
    <w:rsid w:val="004B46DB"/>
    <w:rsid w:val="004B4712"/>
    <w:rsid w:val="004B4AED"/>
    <w:rsid w:val="004B4DE8"/>
    <w:rsid w:val="004B4E34"/>
    <w:rsid w:val="004B5048"/>
    <w:rsid w:val="004B5095"/>
    <w:rsid w:val="004B522D"/>
    <w:rsid w:val="004B54DC"/>
    <w:rsid w:val="004B582D"/>
    <w:rsid w:val="004B5863"/>
    <w:rsid w:val="004B58FC"/>
    <w:rsid w:val="004B595B"/>
    <w:rsid w:val="004B599F"/>
    <w:rsid w:val="004B59FC"/>
    <w:rsid w:val="004B5C6D"/>
    <w:rsid w:val="004B5EDE"/>
    <w:rsid w:val="004B5F26"/>
    <w:rsid w:val="004B63E1"/>
    <w:rsid w:val="004B68BA"/>
    <w:rsid w:val="004B6990"/>
    <w:rsid w:val="004B6D9E"/>
    <w:rsid w:val="004B6DB1"/>
    <w:rsid w:val="004B6EC6"/>
    <w:rsid w:val="004B6EED"/>
    <w:rsid w:val="004B728C"/>
    <w:rsid w:val="004B72D4"/>
    <w:rsid w:val="004B7566"/>
    <w:rsid w:val="004B7652"/>
    <w:rsid w:val="004B768D"/>
    <w:rsid w:val="004B796E"/>
    <w:rsid w:val="004B7B2F"/>
    <w:rsid w:val="004B7B37"/>
    <w:rsid w:val="004B7B84"/>
    <w:rsid w:val="004B7D59"/>
    <w:rsid w:val="004B7E30"/>
    <w:rsid w:val="004C0317"/>
    <w:rsid w:val="004C042D"/>
    <w:rsid w:val="004C0542"/>
    <w:rsid w:val="004C07E7"/>
    <w:rsid w:val="004C0855"/>
    <w:rsid w:val="004C090E"/>
    <w:rsid w:val="004C0C3A"/>
    <w:rsid w:val="004C0E39"/>
    <w:rsid w:val="004C0F06"/>
    <w:rsid w:val="004C0F85"/>
    <w:rsid w:val="004C0FAE"/>
    <w:rsid w:val="004C11FB"/>
    <w:rsid w:val="004C1255"/>
    <w:rsid w:val="004C1529"/>
    <w:rsid w:val="004C16A3"/>
    <w:rsid w:val="004C16EB"/>
    <w:rsid w:val="004C1717"/>
    <w:rsid w:val="004C188D"/>
    <w:rsid w:val="004C189B"/>
    <w:rsid w:val="004C1E0A"/>
    <w:rsid w:val="004C1FE6"/>
    <w:rsid w:val="004C2046"/>
    <w:rsid w:val="004C2274"/>
    <w:rsid w:val="004C277D"/>
    <w:rsid w:val="004C28CC"/>
    <w:rsid w:val="004C2A0E"/>
    <w:rsid w:val="004C2C0D"/>
    <w:rsid w:val="004C2E79"/>
    <w:rsid w:val="004C33A9"/>
    <w:rsid w:val="004C3582"/>
    <w:rsid w:val="004C3635"/>
    <w:rsid w:val="004C3A67"/>
    <w:rsid w:val="004C3E31"/>
    <w:rsid w:val="004C400D"/>
    <w:rsid w:val="004C4197"/>
    <w:rsid w:val="004C41A7"/>
    <w:rsid w:val="004C41D9"/>
    <w:rsid w:val="004C47BC"/>
    <w:rsid w:val="004C4DEB"/>
    <w:rsid w:val="004C4FA7"/>
    <w:rsid w:val="004C51FB"/>
    <w:rsid w:val="004C5348"/>
    <w:rsid w:val="004C54E4"/>
    <w:rsid w:val="004C5576"/>
    <w:rsid w:val="004C5577"/>
    <w:rsid w:val="004C5580"/>
    <w:rsid w:val="004C55C3"/>
    <w:rsid w:val="004C55F3"/>
    <w:rsid w:val="004C5632"/>
    <w:rsid w:val="004C5788"/>
    <w:rsid w:val="004C5A65"/>
    <w:rsid w:val="004C5B73"/>
    <w:rsid w:val="004C5BDA"/>
    <w:rsid w:val="004C5C23"/>
    <w:rsid w:val="004C5C94"/>
    <w:rsid w:val="004C5D6C"/>
    <w:rsid w:val="004C6109"/>
    <w:rsid w:val="004C610E"/>
    <w:rsid w:val="004C628F"/>
    <w:rsid w:val="004C6733"/>
    <w:rsid w:val="004C6956"/>
    <w:rsid w:val="004C6A6A"/>
    <w:rsid w:val="004C6B2A"/>
    <w:rsid w:val="004C6D15"/>
    <w:rsid w:val="004C6DE1"/>
    <w:rsid w:val="004C6FDC"/>
    <w:rsid w:val="004C6FE5"/>
    <w:rsid w:val="004C7486"/>
    <w:rsid w:val="004C791B"/>
    <w:rsid w:val="004C7BAA"/>
    <w:rsid w:val="004D00FA"/>
    <w:rsid w:val="004D0145"/>
    <w:rsid w:val="004D031D"/>
    <w:rsid w:val="004D0733"/>
    <w:rsid w:val="004D0763"/>
    <w:rsid w:val="004D0BB0"/>
    <w:rsid w:val="004D0E1E"/>
    <w:rsid w:val="004D0E86"/>
    <w:rsid w:val="004D0EDD"/>
    <w:rsid w:val="004D0F07"/>
    <w:rsid w:val="004D1237"/>
    <w:rsid w:val="004D1409"/>
    <w:rsid w:val="004D14E7"/>
    <w:rsid w:val="004D16FE"/>
    <w:rsid w:val="004D1789"/>
    <w:rsid w:val="004D17DD"/>
    <w:rsid w:val="004D1998"/>
    <w:rsid w:val="004D1A36"/>
    <w:rsid w:val="004D1C2C"/>
    <w:rsid w:val="004D1CA3"/>
    <w:rsid w:val="004D1CA8"/>
    <w:rsid w:val="004D21E1"/>
    <w:rsid w:val="004D263C"/>
    <w:rsid w:val="004D279A"/>
    <w:rsid w:val="004D2A8A"/>
    <w:rsid w:val="004D2D14"/>
    <w:rsid w:val="004D2DCA"/>
    <w:rsid w:val="004D2E22"/>
    <w:rsid w:val="004D2E80"/>
    <w:rsid w:val="004D3021"/>
    <w:rsid w:val="004D30E6"/>
    <w:rsid w:val="004D321C"/>
    <w:rsid w:val="004D368B"/>
    <w:rsid w:val="004D3709"/>
    <w:rsid w:val="004D397E"/>
    <w:rsid w:val="004D3A3D"/>
    <w:rsid w:val="004D3B41"/>
    <w:rsid w:val="004D3BDC"/>
    <w:rsid w:val="004D3D79"/>
    <w:rsid w:val="004D411D"/>
    <w:rsid w:val="004D428E"/>
    <w:rsid w:val="004D4316"/>
    <w:rsid w:val="004D4D29"/>
    <w:rsid w:val="004D4D95"/>
    <w:rsid w:val="004D508C"/>
    <w:rsid w:val="004D5357"/>
    <w:rsid w:val="004D5411"/>
    <w:rsid w:val="004D5A20"/>
    <w:rsid w:val="004D5F45"/>
    <w:rsid w:val="004D6247"/>
    <w:rsid w:val="004D63DB"/>
    <w:rsid w:val="004D63DE"/>
    <w:rsid w:val="004D65BE"/>
    <w:rsid w:val="004D675A"/>
    <w:rsid w:val="004D680A"/>
    <w:rsid w:val="004D6813"/>
    <w:rsid w:val="004D6994"/>
    <w:rsid w:val="004D6CE2"/>
    <w:rsid w:val="004D6F69"/>
    <w:rsid w:val="004D72D8"/>
    <w:rsid w:val="004D72FA"/>
    <w:rsid w:val="004D75A7"/>
    <w:rsid w:val="004D7935"/>
    <w:rsid w:val="004D797B"/>
    <w:rsid w:val="004E0077"/>
    <w:rsid w:val="004E027C"/>
    <w:rsid w:val="004E053A"/>
    <w:rsid w:val="004E05EE"/>
    <w:rsid w:val="004E0855"/>
    <w:rsid w:val="004E0BA5"/>
    <w:rsid w:val="004E0BC3"/>
    <w:rsid w:val="004E1366"/>
    <w:rsid w:val="004E13A8"/>
    <w:rsid w:val="004E13E4"/>
    <w:rsid w:val="004E1513"/>
    <w:rsid w:val="004E183D"/>
    <w:rsid w:val="004E1941"/>
    <w:rsid w:val="004E1958"/>
    <w:rsid w:val="004E1B65"/>
    <w:rsid w:val="004E1E1A"/>
    <w:rsid w:val="004E1F77"/>
    <w:rsid w:val="004E22FE"/>
    <w:rsid w:val="004E232F"/>
    <w:rsid w:val="004E2CBA"/>
    <w:rsid w:val="004E301A"/>
    <w:rsid w:val="004E30BE"/>
    <w:rsid w:val="004E30EF"/>
    <w:rsid w:val="004E3123"/>
    <w:rsid w:val="004E3609"/>
    <w:rsid w:val="004E36C2"/>
    <w:rsid w:val="004E3880"/>
    <w:rsid w:val="004E389A"/>
    <w:rsid w:val="004E3937"/>
    <w:rsid w:val="004E394F"/>
    <w:rsid w:val="004E3AB6"/>
    <w:rsid w:val="004E3BF6"/>
    <w:rsid w:val="004E3C5D"/>
    <w:rsid w:val="004E3FC3"/>
    <w:rsid w:val="004E41C0"/>
    <w:rsid w:val="004E4592"/>
    <w:rsid w:val="004E46AB"/>
    <w:rsid w:val="004E4718"/>
    <w:rsid w:val="004E4A66"/>
    <w:rsid w:val="004E4B20"/>
    <w:rsid w:val="004E4D95"/>
    <w:rsid w:val="004E4F0B"/>
    <w:rsid w:val="004E4F0F"/>
    <w:rsid w:val="004E5425"/>
    <w:rsid w:val="004E5529"/>
    <w:rsid w:val="004E5AC0"/>
    <w:rsid w:val="004E5F8D"/>
    <w:rsid w:val="004E635A"/>
    <w:rsid w:val="004E63F0"/>
    <w:rsid w:val="004E67B5"/>
    <w:rsid w:val="004E683B"/>
    <w:rsid w:val="004E6975"/>
    <w:rsid w:val="004E6B90"/>
    <w:rsid w:val="004E6DCF"/>
    <w:rsid w:val="004E6F90"/>
    <w:rsid w:val="004E73A6"/>
    <w:rsid w:val="004E79BB"/>
    <w:rsid w:val="004E7A68"/>
    <w:rsid w:val="004E7A76"/>
    <w:rsid w:val="004E7A7B"/>
    <w:rsid w:val="004E7AE6"/>
    <w:rsid w:val="004E7BD2"/>
    <w:rsid w:val="004E7D81"/>
    <w:rsid w:val="004E7DFD"/>
    <w:rsid w:val="004E7E4B"/>
    <w:rsid w:val="004E7EE8"/>
    <w:rsid w:val="004E7FC4"/>
    <w:rsid w:val="004F01B8"/>
    <w:rsid w:val="004F0287"/>
    <w:rsid w:val="004F02FE"/>
    <w:rsid w:val="004F053A"/>
    <w:rsid w:val="004F06A9"/>
    <w:rsid w:val="004F07F9"/>
    <w:rsid w:val="004F0A37"/>
    <w:rsid w:val="004F0A8A"/>
    <w:rsid w:val="004F0AD1"/>
    <w:rsid w:val="004F0F75"/>
    <w:rsid w:val="004F1309"/>
    <w:rsid w:val="004F161A"/>
    <w:rsid w:val="004F16AA"/>
    <w:rsid w:val="004F1739"/>
    <w:rsid w:val="004F17DC"/>
    <w:rsid w:val="004F1A07"/>
    <w:rsid w:val="004F1D05"/>
    <w:rsid w:val="004F2593"/>
    <w:rsid w:val="004F2601"/>
    <w:rsid w:val="004F2680"/>
    <w:rsid w:val="004F2851"/>
    <w:rsid w:val="004F2A20"/>
    <w:rsid w:val="004F2A57"/>
    <w:rsid w:val="004F2A7F"/>
    <w:rsid w:val="004F2AD5"/>
    <w:rsid w:val="004F2BCB"/>
    <w:rsid w:val="004F2BEA"/>
    <w:rsid w:val="004F2C96"/>
    <w:rsid w:val="004F2D4C"/>
    <w:rsid w:val="004F2E09"/>
    <w:rsid w:val="004F2FD1"/>
    <w:rsid w:val="004F2FD2"/>
    <w:rsid w:val="004F31C6"/>
    <w:rsid w:val="004F31C7"/>
    <w:rsid w:val="004F346E"/>
    <w:rsid w:val="004F349F"/>
    <w:rsid w:val="004F356E"/>
    <w:rsid w:val="004F36A6"/>
    <w:rsid w:val="004F3756"/>
    <w:rsid w:val="004F381D"/>
    <w:rsid w:val="004F3AA6"/>
    <w:rsid w:val="004F3AFF"/>
    <w:rsid w:val="004F4440"/>
    <w:rsid w:val="004F463F"/>
    <w:rsid w:val="004F466A"/>
    <w:rsid w:val="004F4B81"/>
    <w:rsid w:val="004F4DF9"/>
    <w:rsid w:val="004F50D6"/>
    <w:rsid w:val="004F52BA"/>
    <w:rsid w:val="004F53FA"/>
    <w:rsid w:val="004F5415"/>
    <w:rsid w:val="004F55F1"/>
    <w:rsid w:val="004F5939"/>
    <w:rsid w:val="004F5B95"/>
    <w:rsid w:val="004F5C06"/>
    <w:rsid w:val="004F5C15"/>
    <w:rsid w:val="004F5C52"/>
    <w:rsid w:val="004F5CF1"/>
    <w:rsid w:val="004F5DC2"/>
    <w:rsid w:val="004F5FAB"/>
    <w:rsid w:val="004F6136"/>
    <w:rsid w:val="004F62B8"/>
    <w:rsid w:val="004F630E"/>
    <w:rsid w:val="004F6434"/>
    <w:rsid w:val="004F65B7"/>
    <w:rsid w:val="004F66D0"/>
    <w:rsid w:val="004F672A"/>
    <w:rsid w:val="004F676B"/>
    <w:rsid w:val="004F69EA"/>
    <w:rsid w:val="004F6A49"/>
    <w:rsid w:val="004F6A60"/>
    <w:rsid w:val="004F6ADE"/>
    <w:rsid w:val="004F6B02"/>
    <w:rsid w:val="004F7175"/>
    <w:rsid w:val="004F7322"/>
    <w:rsid w:val="004F7650"/>
    <w:rsid w:val="004F78FF"/>
    <w:rsid w:val="004F79C5"/>
    <w:rsid w:val="004F7B37"/>
    <w:rsid w:val="004F7BE1"/>
    <w:rsid w:val="004F7C27"/>
    <w:rsid w:val="004F7C2A"/>
    <w:rsid w:val="004F7C48"/>
    <w:rsid w:val="004F7C49"/>
    <w:rsid w:val="004F7C99"/>
    <w:rsid w:val="004F7D8E"/>
    <w:rsid w:val="004F7E86"/>
    <w:rsid w:val="004F7F53"/>
    <w:rsid w:val="004F7F64"/>
    <w:rsid w:val="004F7FC5"/>
    <w:rsid w:val="00500036"/>
    <w:rsid w:val="005003FC"/>
    <w:rsid w:val="005006B2"/>
    <w:rsid w:val="00500828"/>
    <w:rsid w:val="0050088A"/>
    <w:rsid w:val="005009E6"/>
    <w:rsid w:val="00500B83"/>
    <w:rsid w:val="00500F17"/>
    <w:rsid w:val="00501190"/>
    <w:rsid w:val="005013D9"/>
    <w:rsid w:val="00501430"/>
    <w:rsid w:val="005019EE"/>
    <w:rsid w:val="00501C33"/>
    <w:rsid w:val="00501C4F"/>
    <w:rsid w:val="00501DA1"/>
    <w:rsid w:val="0050264A"/>
    <w:rsid w:val="00502721"/>
    <w:rsid w:val="0050275B"/>
    <w:rsid w:val="005028FD"/>
    <w:rsid w:val="005029AE"/>
    <w:rsid w:val="00502B30"/>
    <w:rsid w:val="00502D7B"/>
    <w:rsid w:val="00502E58"/>
    <w:rsid w:val="00503147"/>
    <w:rsid w:val="00503218"/>
    <w:rsid w:val="0050342E"/>
    <w:rsid w:val="005034D5"/>
    <w:rsid w:val="00503565"/>
    <w:rsid w:val="005035D6"/>
    <w:rsid w:val="0050363F"/>
    <w:rsid w:val="00503718"/>
    <w:rsid w:val="00503741"/>
    <w:rsid w:val="00503C04"/>
    <w:rsid w:val="00503EDB"/>
    <w:rsid w:val="00503EE0"/>
    <w:rsid w:val="00503F28"/>
    <w:rsid w:val="00503FCE"/>
    <w:rsid w:val="0050402D"/>
    <w:rsid w:val="00504412"/>
    <w:rsid w:val="005044BC"/>
    <w:rsid w:val="005044D5"/>
    <w:rsid w:val="0050474D"/>
    <w:rsid w:val="00504863"/>
    <w:rsid w:val="00504A47"/>
    <w:rsid w:val="005050B6"/>
    <w:rsid w:val="00505146"/>
    <w:rsid w:val="005052F9"/>
    <w:rsid w:val="00505397"/>
    <w:rsid w:val="00505747"/>
    <w:rsid w:val="00505D8D"/>
    <w:rsid w:val="00505D90"/>
    <w:rsid w:val="00505F69"/>
    <w:rsid w:val="005062F0"/>
    <w:rsid w:val="0050632B"/>
    <w:rsid w:val="0050633B"/>
    <w:rsid w:val="00506477"/>
    <w:rsid w:val="00506566"/>
    <w:rsid w:val="005065A0"/>
    <w:rsid w:val="00506607"/>
    <w:rsid w:val="00506663"/>
    <w:rsid w:val="005068CE"/>
    <w:rsid w:val="00506A69"/>
    <w:rsid w:val="00506DA7"/>
    <w:rsid w:val="00507068"/>
    <w:rsid w:val="00507250"/>
    <w:rsid w:val="00507550"/>
    <w:rsid w:val="0050766E"/>
    <w:rsid w:val="00507A71"/>
    <w:rsid w:val="00507FEB"/>
    <w:rsid w:val="0051024E"/>
    <w:rsid w:val="00510AAB"/>
    <w:rsid w:val="00510B3D"/>
    <w:rsid w:val="00510B63"/>
    <w:rsid w:val="00510BA6"/>
    <w:rsid w:val="00510BD7"/>
    <w:rsid w:val="00510D37"/>
    <w:rsid w:val="00510EA1"/>
    <w:rsid w:val="0051166F"/>
    <w:rsid w:val="00511E96"/>
    <w:rsid w:val="00512091"/>
    <w:rsid w:val="005120F8"/>
    <w:rsid w:val="005125EB"/>
    <w:rsid w:val="0051264E"/>
    <w:rsid w:val="005126B5"/>
    <w:rsid w:val="0051288A"/>
    <w:rsid w:val="005128AD"/>
    <w:rsid w:val="0051297A"/>
    <w:rsid w:val="005129AA"/>
    <w:rsid w:val="005129F1"/>
    <w:rsid w:val="00512CCA"/>
    <w:rsid w:val="00512EDF"/>
    <w:rsid w:val="0051303D"/>
    <w:rsid w:val="005130B1"/>
    <w:rsid w:val="00513156"/>
    <w:rsid w:val="00513706"/>
    <w:rsid w:val="005139DC"/>
    <w:rsid w:val="00513BC3"/>
    <w:rsid w:val="00513D77"/>
    <w:rsid w:val="00513F00"/>
    <w:rsid w:val="005142CD"/>
    <w:rsid w:val="005143E0"/>
    <w:rsid w:val="00514411"/>
    <w:rsid w:val="00514709"/>
    <w:rsid w:val="0051473C"/>
    <w:rsid w:val="005147F9"/>
    <w:rsid w:val="0051493D"/>
    <w:rsid w:val="0051498D"/>
    <w:rsid w:val="00514B4A"/>
    <w:rsid w:val="00514CBA"/>
    <w:rsid w:val="00514F85"/>
    <w:rsid w:val="00515038"/>
    <w:rsid w:val="00515754"/>
    <w:rsid w:val="0051584F"/>
    <w:rsid w:val="00515B99"/>
    <w:rsid w:val="00515C2E"/>
    <w:rsid w:val="00515F51"/>
    <w:rsid w:val="00515FBD"/>
    <w:rsid w:val="005160A1"/>
    <w:rsid w:val="00516389"/>
    <w:rsid w:val="005164BB"/>
    <w:rsid w:val="00516786"/>
    <w:rsid w:val="005167D3"/>
    <w:rsid w:val="005169F9"/>
    <w:rsid w:val="00516A90"/>
    <w:rsid w:val="00516AF3"/>
    <w:rsid w:val="00516C70"/>
    <w:rsid w:val="00516D33"/>
    <w:rsid w:val="00516F8C"/>
    <w:rsid w:val="005171A4"/>
    <w:rsid w:val="0051772F"/>
    <w:rsid w:val="005177DD"/>
    <w:rsid w:val="00517850"/>
    <w:rsid w:val="005179BF"/>
    <w:rsid w:val="00517B07"/>
    <w:rsid w:val="00517FC5"/>
    <w:rsid w:val="00520199"/>
    <w:rsid w:val="00520247"/>
    <w:rsid w:val="005202CE"/>
    <w:rsid w:val="005202CF"/>
    <w:rsid w:val="005203AE"/>
    <w:rsid w:val="00520488"/>
    <w:rsid w:val="005207FA"/>
    <w:rsid w:val="005208F0"/>
    <w:rsid w:val="00520AA2"/>
    <w:rsid w:val="00520AE0"/>
    <w:rsid w:val="00520CFD"/>
    <w:rsid w:val="00520DD1"/>
    <w:rsid w:val="00521000"/>
    <w:rsid w:val="00521165"/>
    <w:rsid w:val="0052126D"/>
    <w:rsid w:val="005213D0"/>
    <w:rsid w:val="0052152A"/>
    <w:rsid w:val="005216D7"/>
    <w:rsid w:val="00521A9A"/>
    <w:rsid w:val="00522192"/>
    <w:rsid w:val="0052222B"/>
    <w:rsid w:val="0052225A"/>
    <w:rsid w:val="005224AF"/>
    <w:rsid w:val="00522B74"/>
    <w:rsid w:val="00522D25"/>
    <w:rsid w:val="005231C0"/>
    <w:rsid w:val="0052335A"/>
    <w:rsid w:val="00523634"/>
    <w:rsid w:val="0052375D"/>
    <w:rsid w:val="00523980"/>
    <w:rsid w:val="00523B3E"/>
    <w:rsid w:val="00523BC8"/>
    <w:rsid w:val="00523F16"/>
    <w:rsid w:val="0052400E"/>
    <w:rsid w:val="005244A8"/>
    <w:rsid w:val="0052456E"/>
    <w:rsid w:val="005247EF"/>
    <w:rsid w:val="005248B3"/>
    <w:rsid w:val="00524A78"/>
    <w:rsid w:val="00524B65"/>
    <w:rsid w:val="00524C40"/>
    <w:rsid w:val="00524CEC"/>
    <w:rsid w:val="00525294"/>
    <w:rsid w:val="005254B1"/>
    <w:rsid w:val="005255C6"/>
    <w:rsid w:val="005255E6"/>
    <w:rsid w:val="0052562C"/>
    <w:rsid w:val="00525751"/>
    <w:rsid w:val="005257AD"/>
    <w:rsid w:val="00525837"/>
    <w:rsid w:val="00525882"/>
    <w:rsid w:val="00525AF6"/>
    <w:rsid w:val="00526047"/>
    <w:rsid w:val="0052607C"/>
    <w:rsid w:val="0052621C"/>
    <w:rsid w:val="005262A6"/>
    <w:rsid w:val="005263C7"/>
    <w:rsid w:val="0052678B"/>
    <w:rsid w:val="00526B76"/>
    <w:rsid w:val="00526B9A"/>
    <w:rsid w:val="00526D32"/>
    <w:rsid w:val="00527561"/>
    <w:rsid w:val="00527BE6"/>
    <w:rsid w:val="00527CA5"/>
    <w:rsid w:val="00527F8E"/>
    <w:rsid w:val="00530139"/>
    <w:rsid w:val="00530142"/>
    <w:rsid w:val="0053031A"/>
    <w:rsid w:val="005306CF"/>
    <w:rsid w:val="005308CE"/>
    <w:rsid w:val="0053098A"/>
    <w:rsid w:val="00530BA0"/>
    <w:rsid w:val="00530DFB"/>
    <w:rsid w:val="00530F71"/>
    <w:rsid w:val="00530F77"/>
    <w:rsid w:val="00530FA7"/>
    <w:rsid w:val="005311FD"/>
    <w:rsid w:val="00531523"/>
    <w:rsid w:val="00531A02"/>
    <w:rsid w:val="00531BEC"/>
    <w:rsid w:val="00531C6D"/>
    <w:rsid w:val="00531CFD"/>
    <w:rsid w:val="00531F3C"/>
    <w:rsid w:val="00532426"/>
    <w:rsid w:val="005325FF"/>
    <w:rsid w:val="00532679"/>
    <w:rsid w:val="00532895"/>
    <w:rsid w:val="00532A59"/>
    <w:rsid w:val="00532D5C"/>
    <w:rsid w:val="00532EDE"/>
    <w:rsid w:val="00532F07"/>
    <w:rsid w:val="00532FA8"/>
    <w:rsid w:val="0053324F"/>
    <w:rsid w:val="0053356D"/>
    <w:rsid w:val="0053360D"/>
    <w:rsid w:val="0053367A"/>
    <w:rsid w:val="00533878"/>
    <w:rsid w:val="005338D1"/>
    <w:rsid w:val="005339E9"/>
    <w:rsid w:val="00533D03"/>
    <w:rsid w:val="00533E80"/>
    <w:rsid w:val="00533EB1"/>
    <w:rsid w:val="005341B9"/>
    <w:rsid w:val="005343BA"/>
    <w:rsid w:val="00534582"/>
    <w:rsid w:val="00534821"/>
    <w:rsid w:val="00534BD3"/>
    <w:rsid w:val="00534D1E"/>
    <w:rsid w:val="00534D75"/>
    <w:rsid w:val="00535024"/>
    <w:rsid w:val="0053502C"/>
    <w:rsid w:val="00535089"/>
    <w:rsid w:val="00535163"/>
    <w:rsid w:val="005353B7"/>
    <w:rsid w:val="00535470"/>
    <w:rsid w:val="00535613"/>
    <w:rsid w:val="00535624"/>
    <w:rsid w:val="00535912"/>
    <w:rsid w:val="0053593C"/>
    <w:rsid w:val="00535A56"/>
    <w:rsid w:val="00535B93"/>
    <w:rsid w:val="00535C48"/>
    <w:rsid w:val="00535DD7"/>
    <w:rsid w:val="00535FD8"/>
    <w:rsid w:val="00536234"/>
    <w:rsid w:val="005363D8"/>
    <w:rsid w:val="0053645F"/>
    <w:rsid w:val="00536765"/>
    <w:rsid w:val="0053692B"/>
    <w:rsid w:val="0053695A"/>
    <w:rsid w:val="00536B21"/>
    <w:rsid w:val="00536B30"/>
    <w:rsid w:val="00536BBB"/>
    <w:rsid w:val="00536CA7"/>
    <w:rsid w:val="00536EC8"/>
    <w:rsid w:val="005370D6"/>
    <w:rsid w:val="0053749C"/>
    <w:rsid w:val="005375AB"/>
    <w:rsid w:val="005375EB"/>
    <w:rsid w:val="005377B1"/>
    <w:rsid w:val="00537862"/>
    <w:rsid w:val="00537AB7"/>
    <w:rsid w:val="00537C57"/>
    <w:rsid w:val="00537CB9"/>
    <w:rsid w:val="00537F3A"/>
    <w:rsid w:val="0054036C"/>
    <w:rsid w:val="0054046A"/>
    <w:rsid w:val="00540786"/>
    <w:rsid w:val="005408E0"/>
    <w:rsid w:val="005408F9"/>
    <w:rsid w:val="00540900"/>
    <w:rsid w:val="00541331"/>
    <w:rsid w:val="0054142E"/>
    <w:rsid w:val="005419BD"/>
    <w:rsid w:val="00541AD7"/>
    <w:rsid w:val="00541D98"/>
    <w:rsid w:val="00541E28"/>
    <w:rsid w:val="0054205E"/>
    <w:rsid w:val="00542094"/>
    <w:rsid w:val="005421F6"/>
    <w:rsid w:val="00542484"/>
    <w:rsid w:val="00542487"/>
    <w:rsid w:val="00542874"/>
    <w:rsid w:val="00542CB6"/>
    <w:rsid w:val="00542F08"/>
    <w:rsid w:val="00542FAC"/>
    <w:rsid w:val="005431CB"/>
    <w:rsid w:val="0054342D"/>
    <w:rsid w:val="0054359B"/>
    <w:rsid w:val="0054371B"/>
    <w:rsid w:val="0054388B"/>
    <w:rsid w:val="00543985"/>
    <w:rsid w:val="00543AF5"/>
    <w:rsid w:val="005440FA"/>
    <w:rsid w:val="00544166"/>
    <w:rsid w:val="005441E0"/>
    <w:rsid w:val="005442C1"/>
    <w:rsid w:val="005443A1"/>
    <w:rsid w:val="005443BA"/>
    <w:rsid w:val="005443FD"/>
    <w:rsid w:val="005445B5"/>
    <w:rsid w:val="00544797"/>
    <w:rsid w:val="005450D0"/>
    <w:rsid w:val="005451DF"/>
    <w:rsid w:val="00545342"/>
    <w:rsid w:val="0054545D"/>
    <w:rsid w:val="00545716"/>
    <w:rsid w:val="0054575E"/>
    <w:rsid w:val="00545B53"/>
    <w:rsid w:val="00545B90"/>
    <w:rsid w:val="00545DC9"/>
    <w:rsid w:val="00546145"/>
    <w:rsid w:val="00546486"/>
    <w:rsid w:val="005464AB"/>
    <w:rsid w:val="00546640"/>
    <w:rsid w:val="005469BE"/>
    <w:rsid w:val="00546C42"/>
    <w:rsid w:val="00546D13"/>
    <w:rsid w:val="00546F35"/>
    <w:rsid w:val="00546FF1"/>
    <w:rsid w:val="00547194"/>
    <w:rsid w:val="005472E2"/>
    <w:rsid w:val="00547518"/>
    <w:rsid w:val="0054776D"/>
    <w:rsid w:val="0054785F"/>
    <w:rsid w:val="00547B04"/>
    <w:rsid w:val="00547BC0"/>
    <w:rsid w:val="00547D47"/>
    <w:rsid w:val="00550020"/>
    <w:rsid w:val="005501B9"/>
    <w:rsid w:val="005502F1"/>
    <w:rsid w:val="0055041D"/>
    <w:rsid w:val="00550458"/>
    <w:rsid w:val="00550519"/>
    <w:rsid w:val="005506DB"/>
    <w:rsid w:val="00550A83"/>
    <w:rsid w:val="00550BB3"/>
    <w:rsid w:val="00550D63"/>
    <w:rsid w:val="00550F00"/>
    <w:rsid w:val="00550F0C"/>
    <w:rsid w:val="00550FA7"/>
    <w:rsid w:val="00550FD1"/>
    <w:rsid w:val="00550FD6"/>
    <w:rsid w:val="00551348"/>
    <w:rsid w:val="00551736"/>
    <w:rsid w:val="00551775"/>
    <w:rsid w:val="005518E4"/>
    <w:rsid w:val="00551DE4"/>
    <w:rsid w:val="00552224"/>
    <w:rsid w:val="00552281"/>
    <w:rsid w:val="00552584"/>
    <w:rsid w:val="00552957"/>
    <w:rsid w:val="00552AB7"/>
    <w:rsid w:val="00552BAD"/>
    <w:rsid w:val="00552CF6"/>
    <w:rsid w:val="0055301B"/>
    <w:rsid w:val="00553096"/>
    <w:rsid w:val="0055326E"/>
    <w:rsid w:val="00553359"/>
    <w:rsid w:val="0055337E"/>
    <w:rsid w:val="005533C3"/>
    <w:rsid w:val="00553461"/>
    <w:rsid w:val="005536EF"/>
    <w:rsid w:val="005537AF"/>
    <w:rsid w:val="00553987"/>
    <w:rsid w:val="005539A4"/>
    <w:rsid w:val="00553B30"/>
    <w:rsid w:val="00553BAF"/>
    <w:rsid w:val="00553F04"/>
    <w:rsid w:val="0055418C"/>
    <w:rsid w:val="00554407"/>
    <w:rsid w:val="005545B9"/>
    <w:rsid w:val="005546E2"/>
    <w:rsid w:val="00554716"/>
    <w:rsid w:val="005547D7"/>
    <w:rsid w:val="00554968"/>
    <w:rsid w:val="00554BFE"/>
    <w:rsid w:val="00554C58"/>
    <w:rsid w:val="00554D65"/>
    <w:rsid w:val="00554E0B"/>
    <w:rsid w:val="00554FCE"/>
    <w:rsid w:val="00555002"/>
    <w:rsid w:val="005550AD"/>
    <w:rsid w:val="00555104"/>
    <w:rsid w:val="00555124"/>
    <w:rsid w:val="00555291"/>
    <w:rsid w:val="00555335"/>
    <w:rsid w:val="005553B8"/>
    <w:rsid w:val="00555640"/>
    <w:rsid w:val="005557A3"/>
    <w:rsid w:val="005558E9"/>
    <w:rsid w:val="00555AC0"/>
    <w:rsid w:val="00555AF9"/>
    <w:rsid w:val="00555E1B"/>
    <w:rsid w:val="005562E1"/>
    <w:rsid w:val="0055667D"/>
    <w:rsid w:val="00556850"/>
    <w:rsid w:val="00556A10"/>
    <w:rsid w:val="00556F22"/>
    <w:rsid w:val="00557089"/>
    <w:rsid w:val="0055726F"/>
    <w:rsid w:val="0055763E"/>
    <w:rsid w:val="0055773D"/>
    <w:rsid w:val="00557818"/>
    <w:rsid w:val="00557A74"/>
    <w:rsid w:val="00557C53"/>
    <w:rsid w:val="00557CC3"/>
    <w:rsid w:val="00557E33"/>
    <w:rsid w:val="0056007D"/>
    <w:rsid w:val="005600AF"/>
    <w:rsid w:val="005602AC"/>
    <w:rsid w:val="005605FA"/>
    <w:rsid w:val="0056069D"/>
    <w:rsid w:val="00560797"/>
    <w:rsid w:val="00560A33"/>
    <w:rsid w:val="00560AF2"/>
    <w:rsid w:val="00560E12"/>
    <w:rsid w:val="00561068"/>
    <w:rsid w:val="005611AB"/>
    <w:rsid w:val="005615BD"/>
    <w:rsid w:val="0056186B"/>
    <w:rsid w:val="005619C5"/>
    <w:rsid w:val="00561E99"/>
    <w:rsid w:val="00561ECC"/>
    <w:rsid w:val="00561F67"/>
    <w:rsid w:val="00562124"/>
    <w:rsid w:val="00562258"/>
    <w:rsid w:val="005622BE"/>
    <w:rsid w:val="0056251F"/>
    <w:rsid w:val="0056273D"/>
    <w:rsid w:val="00562779"/>
    <w:rsid w:val="00562CEA"/>
    <w:rsid w:val="00562F96"/>
    <w:rsid w:val="0056303C"/>
    <w:rsid w:val="00563454"/>
    <w:rsid w:val="0056388E"/>
    <w:rsid w:val="00563939"/>
    <w:rsid w:val="00563A53"/>
    <w:rsid w:val="00563B11"/>
    <w:rsid w:val="00563F14"/>
    <w:rsid w:val="00564030"/>
    <w:rsid w:val="00564154"/>
    <w:rsid w:val="005642E7"/>
    <w:rsid w:val="0056437B"/>
    <w:rsid w:val="00564746"/>
    <w:rsid w:val="00564A61"/>
    <w:rsid w:val="00564BB6"/>
    <w:rsid w:val="00564C1D"/>
    <w:rsid w:val="00564D4C"/>
    <w:rsid w:val="00564EB2"/>
    <w:rsid w:val="00564EBF"/>
    <w:rsid w:val="00565350"/>
    <w:rsid w:val="005654C4"/>
    <w:rsid w:val="00565641"/>
    <w:rsid w:val="00565673"/>
    <w:rsid w:val="00565706"/>
    <w:rsid w:val="005658EF"/>
    <w:rsid w:val="00565A7E"/>
    <w:rsid w:val="00565ED0"/>
    <w:rsid w:val="00565EDB"/>
    <w:rsid w:val="00565EE1"/>
    <w:rsid w:val="005662F9"/>
    <w:rsid w:val="00566531"/>
    <w:rsid w:val="005668BF"/>
    <w:rsid w:val="005668E0"/>
    <w:rsid w:val="00566CC7"/>
    <w:rsid w:val="00567199"/>
    <w:rsid w:val="005674CA"/>
    <w:rsid w:val="005677BA"/>
    <w:rsid w:val="00567B4F"/>
    <w:rsid w:val="00567B8A"/>
    <w:rsid w:val="00570088"/>
    <w:rsid w:val="00570241"/>
    <w:rsid w:val="005703AA"/>
    <w:rsid w:val="00570416"/>
    <w:rsid w:val="0057067E"/>
    <w:rsid w:val="00570769"/>
    <w:rsid w:val="00570846"/>
    <w:rsid w:val="00570A0D"/>
    <w:rsid w:val="00570A9F"/>
    <w:rsid w:val="00570B81"/>
    <w:rsid w:val="00570BEB"/>
    <w:rsid w:val="00570C80"/>
    <w:rsid w:val="00570C8D"/>
    <w:rsid w:val="00570CBD"/>
    <w:rsid w:val="00570D26"/>
    <w:rsid w:val="00570DB1"/>
    <w:rsid w:val="00570EA7"/>
    <w:rsid w:val="00570EF6"/>
    <w:rsid w:val="005712C2"/>
    <w:rsid w:val="0057145C"/>
    <w:rsid w:val="005715AD"/>
    <w:rsid w:val="005716C1"/>
    <w:rsid w:val="00571914"/>
    <w:rsid w:val="00571BDE"/>
    <w:rsid w:val="00571D35"/>
    <w:rsid w:val="00571F98"/>
    <w:rsid w:val="0057203A"/>
    <w:rsid w:val="00572045"/>
    <w:rsid w:val="00572523"/>
    <w:rsid w:val="00572ED2"/>
    <w:rsid w:val="0057308F"/>
    <w:rsid w:val="005730FB"/>
    <w:rsid w:val="005731C2"/>
    <w:rsid w:val="005732AA"/>
    <w:rsid w:val="00573ADF"/>
    <w:rsid w:val="00573E82"/>
    <w:rsid w:val="0057416C"/>
    <w:rsid w:val="00574352"/>
    <w:rsid w:val="00574357"/>
    <w:rsid w:val="005744DB"/>
    <w:rsid w:val="005745A8"/>
    <w:rsid w:val="00574DD5"/>
    <w:rsid w:val="00574F76"/>
    <w:rsid w:val="00575122"/>
    <w:rsid w:val="005751F5"/>
    <w:rsid w:val="005751FC"/>
    <w:rsid w:val="0057530B"/>
    <w:rsid w:val="00575312"/>
    <w:rsid w:val="00575590"/>
    <w:rsid w:val="00575936"/>
    <w:rsid w:val="00575A63"/>
    <w:rsid w:val="00575AE0"/>
    <w:rsid w:val="005761D3"/>
    <w:rsid w:val="005763BA"/>
    <w:rsid w:val="00576469"/>
    <w:rsid w:val="00576488"/>
    <w:rsid w:val="00576FB1"/>
    <w:rsid w:val="00577043"/>
    <w:rsid w:val="0057732B"/>
    <w:rsid w:val="005776AD"/>
    <w:rsid w:val="00577708"/>
    <w:rsid w:val="0057778B"/>
    <w:rsid w:val="005778D3"/>
    <w:rsid w:val="00577925"/>
    <w:rsid w:val="00577BC2"/>
    <w:rsid w:val="00577E02"/>
    <w:rsid w:val="00577E91"/>
    <w:rsid w:val="00577EFD"/>
    <w:rsid w:val="00580037"/>
    <w:rsid w:val="005800E5"/>
    <w:rsid w:val="00580286"/>
    <w:rsid w:val="0058060C"/>
    <w:rsid w:val="005806D2"/>
    <w:rsid w:val="005808F1"/>
    <w:rsid w:val="0058096D"/>
    <w:rsid w:val="00580A22"/>
    <w:rsid w:val="00580C02"/>
    <w:rsid w:val="00580C10"/>
    <w:rsid w:val="00580C35"/>
    <w:rsid w:val="0058124C"/>
    <w:rsid w:val="00581352"/>
    <w:rsid w:val="0058140C"/>
    <w:rsid w:val="005814AB"/>
    <w:rsid w:val="0058161E"/>
    <w:rsid w:val="00581807"/>
    <w:rsid w:val="00581A3A"/>
    <w:rsid w:val="00581A61"/>
    <w:rsid w:val="00581B4D"/>
    <w:rsid w:val="00581B50"/>
    <w:rsid w:val="00581C44"/>
    <w:rsid w:val="00581CD4"/>
    <w:rsid w:val="00581D0A"/>
    <w:rsid w:val="00581ED7"/>
    <w:rsid w:val="00582055"/>
    <w:rsid w:val="00582233"/>
    <w:rsid w:val="0058242E"/>
    <w:rsid w:val="005825BE"/>
    <w:rsid w:val="00582734"/>
    <w:rsid w:val="00582C4C"/>
    <w:rsid w:val="00582FED"/>
    <w:rsid w:val="00583202"/>
    <w:rsid w:val="0058324C"/>
    <w:rsid w:val="00583585"/>
    <w:rsid w:val="00583587"/>
    <w:rsid w:val="00583A3E"/>
    <w:rsid w:val="00583B67"/>
    <w:rsid w:val="00583FDE"/>
    <w:rsid w:val="00584034"/>
    <w:rsid w:val="005842B9"/>
    <w:rsid w:val="005842CB"/>
    <w:rsid w:val="0058461A"/>
    <w:rsid w:val="005846FD"/>
    <w:rsid w:val="0058470A"/>
    <w:rsid w:val="005847D6"/>
    <w:rsid w:val="005849CD"/>
    <w:rsid w:val="00584B03"/>
    <w:rsid w:val="00584C6C"/>
    <w:rsid w:val="00585035"/>
    <w:rsid w:val="0058573D"/>
    <w:rsid w:val="00585AA6"/>
    <w:rsid w:val="00585AB9"/>
    <w:rsid w:val="00585B23"/>
    <w:rsid w:val="00585C61"/>
    <w:rsid w:val="00585D39"/>
    <w:rsid w:val="00585E61"/>
    <w:rsid w:val="005862B5"/>
    <w:rsid w:val="0058644D"/>
    <w:rsid w:val="0058648C"/>
    <w:rsid w:val="0058683B"/>
    <w:rsid w:val="00586A8D"/>
    <w:rsid w:val="00586BC6"/>
    <w:rsid w:val="00586DC0"/>
    <w:rsid w:val="0058700B"/>
    <w:rsid w:val="0058701D"/>
    <w:rsid w:val="005872F5"/>
    <w:rsid w:val="00587358"/>
    <w:rsid w:val="0058735E"/>
    <w:rsid w:val="0058764D"/>
    <w:rsid w:val="00587695"/>
    <w:rsid w:val="005876B9"/>
    <w:rsid w:val="00587D93"/>
    <w:rsid w:val="005901A5"/>
    <w:rsid w:val="00590454"/>
    <w:rsid w:val="005905E7"/>
    <w:rsid w:val="00590738"/>
    <w:rsid w:val="005907E9"/>
    <w:rsid w:val="0059080B"/>
    <w:rsid w:val="00590820"/>
    <w:rsid w:val="00590953"/>
    <w:rsid w:val="005909FB"/>
    <w:rsid w:val="005912A1"/>
    <w:rsid w:val="0059137B"/>
    <w:rsid w:val="0059138E"/>
    <w:rsid w:val="00591506"/>
    <w:rsid w:val="005916E1"/>
    <w:rsid w:val="00591901"/>
    <w:rsid w:val="00591F80"/>
    <w:rsid w:val="00591FBA"/>
    <w:rsid w:val="0059205D"/>
    <w:rsid w:val="005922CD"/>
    <w:rsid w:val="005922D5"/>
    <w:rsid w:val="0059241D"/>
    <w:rsid w:val="0059259F"/>
    <w:rsid w:val="005925B6"/>
    <w:rsid w:val="005927EF"/>
    <w:rsid w:val="00592A38"/>
    <w:rsid w:val="00592D10"/>
    <w:rsid w:val="00592EA6"/>
    <w:rsid w:val="0059321B"/>
    <w:rsid w:val="005936DA"/>
    <w:rsid w:val="005938FF"/>
    <w:rsid w:val="005939F2"/>
    <w:rsid w:val="00593AE3"/>
    <w:rsid w:val="00593D98"/>
    <w:rsid w:val="00594062"/>
    <w:rsid w:val="005940D3"/>
    <w:rsid w:val="00594491"/>
    <w:rsid w:val="005945BC"/>
    <w:rsid w:val="00594604"/>
    <w:rsid w:val="005946F1"/>
    <w:rsid w:val="00594814"/>
    <w:rsid w:val="00594D63"/>
    <w:rsid w:val="005950D8"/>
    <w:rsid w:val="00595199"/>
    <w:rsid w:val="00595378"/>
    <w:rsid w:val="00595550"/>
    <w:rsid w:val="00595683"/>
    <w:rsid w:val="00595696"/>
    <w:rsid w:val="00595709"/>
    <w:rsid w:val="0059573D"/>
    <w:rsid w:val="0059576A"/>
    <w:rsid w:val="0059598B"/>
    <w:rsid w:val="00595995"/>
    <w:rsid w:val="00595CDF"/>
    <w:rsid w:val="00595D3C"/>
    <w:rsid w:val="00595EA0"/>
    <w:rsid w:val="0059612B"/>
    <w:rsid w:val="0059646A"/>
    <w:rsid w:val="005969E9"/>
    <w:rsid w:val="00596BE6"/>
    <w:rsid w:val="00596C59"/>
    <w:rsid w:val="00596DC6"/>
    <w:rsid w:val="00596E69"/>
    <w:rsid w:val="00596E88"/>
    <w:rsid w:val="00596EED"/>
    <w:rsid w:val="005971B5"/>
    <w:rsid w:val="0059729A"/>
    <w:rsid w:val="00597418"/>
    <w:rsid w:val="00597609"/>
    <w:rsid w:val="00597862"/>
    <w:rsid w:val="00597996"/>
    <w:rsid w:val="00597A3D"/>
    <w:rsid w:val="00597C16"/>
    <w:rsid w:val="005A0002"/>
    <w:rsid w:val="005A02BE"/>
    <w:rsid w:val="005A081C"/>
    <w:rsid w:val="005A083A"/>
    <w:rsid w:val="005A0BAB"/>
    <w:rsid w:val="005A0C94"/>
    <w:rsid w:val="005A0CA3"/>
    <w:rsid w:val="005A0CCF"/>
    <w:rsid w:val="005A0D96"/>
    <w:rsid w:val="005A0DCC"/>
    <w:rsid w:val="005A0F28"/>
    <w:rsid w:val="005A0F36"/>
    <w:rsid w:val="005A12FE"/>
    <w:rsid w:val="005A13B8"/>
    <w:rsid w:val="005A18D2"/>
    <w:rsid w:val="005A195B"/>
    <w:rsid w:val="005A19CC"/>
    <w:rsid w:val="005A1A73"/>
    <w:rsid w:val="005A1B9F"/>
    <w:rsid w:val="005A1BA2"/>
    <w:rsid w:val="005A1C0D"/>
    <w:rsid w:val="005A1C64"/>
    <w:rsid w:val="005A1F19"/>
    <w:rsid w:val="005A2053"/>
    <w:rsid w:val="005A221B"/>
    <w:rsid w:val="005A22DC"/>
    <w:rsid w:val="005A26E2"/>
    <w:rsid w:val="005A2A45"/>
    <w:rsid w:val="005A2AB7"/>
    <w:rsid w:val="005A33C5"/>
    <w:rsid w:val="005A35EF"/>
    <w:rsid w:val="005A3623"/>
    <w:rsid w:val="005A3B9E"/>
    <w:rsid w:val="005A3D5E"/>
    <w:rsid w:val="005A3E2F"/>
    <w:rsid w:val="005A438D"/>
    <w:rsid w:val="005A4476"/>
    <w:rsid w:val="005A461F"/>
    <w:rsid w:val="005A4938"/>
    <w:rsid w:val="005A49B5"/>
    <w:rsid w:val="005A49D0"/>
    <w:rsid w:val="005A4A45"/>
    <w:rsid w:val="005A4C9F"/>
    <w:rsid w:val="005A5683"/>
    <w:rsid w:val="005A568F"/>
    <w:rsid w:val="005A599B"/>
    <w:rsid w:val="005A5E8B"/>
    <w:rsid w:val="005A5F77"/>
    <w:rsid w:val="005A615E"/>
    <w:rsid w:val="005A6403"/>
    <w:rsid w:val="005A6426"/>
    <w:rsid w:val="005A6627"/>
    <w:rsid w:val="005A66A4"/>
    <w:rsid w:val="005A6B45"/>
    <w:rsid w:val="005A6B52"/>
    <w:rsid w:val="005A6E3A"/>
    <w:rsid w:val="005A721F"/>
    <w:rsid w:val="005A72C4"/>
    <w:rsid w:val="005A7372"/>
    <w:rsid w:val="005A7525"/>
    <w:rsid w:val="005A7529"/>
    <w:rsid w:val="005A756C"/>
    <w:rsid w:val="005A77C7"/>
    <w:rsid w:val="005A79C0"/>
    <w:rsid w:val="005A7D2B"/>
    <w:rsid w:val="005A7EF8"/>
    <w:rsid w:val="005B0266"/>
    <w:rsid w:val="005B061C"/>
    <w:rsid w:val="005B0A37"/>
    <w:rsid w:val="005B0E07"/>
    <w:rsid w:val="005B0FC0"/>
    <w:rsid w:val="005B1115"/>
    <w:rsid w:val="005B12E7"/>
    <w:rsid w:val="005B1443"/>
    <w:rsid w:val="005B16F4"/>
    <w:rsid w:val="005B17BE"/>
    <w:rsid w:val="005B1926"/>
    <w:rsid w:val="005B1976"/>
    <w:rsid w:val="005B19BF"/>
    <w:rsid w:val="005B19EC"/>
    <w:rsid w:val="005B1B70"/>
    <w:rsid w:val="005B1FC0"/>
    <w:rsid w:val="005B25A7"/>
    <w:rsid w:val="005B265D"/>
    <w:rsid w:val="005B269C"/>
    <w:rsid w:val="005B2871"/>
    <w:rsid w:val="005B2AC3"/>
    <w:rsid w:val="005B2E4B"/>
    <w:rsid w:val="005B32CF"/>
    <w:rsid w:val="005B32D9"/>
    <w:rsid w:val="005B333C"/>
    <w:rsid w:val="005B3488"/>
    <w:rsid w:val="005B3542"/>
    <w:rsid w:val="005B35E2"/>
    <w:rsid w:val="005B36E7"/>
    <w:rsid w:val="005B36FB"/>
    <w:rsid w:val="005B3737"/>
    <w:rsid w:val="005B3753"/>
    <w:rsid w:val="005B3A62"/>
    <w:rsid w:val="005B3CCC"/>
    <w:rsid w:val="005B3CE2"/>
    <w:rsid w:val="005B3E24"/>
    <w:rsid w:val="005B404E"/>
    <w:rsid w:val="005B4086"/>
    <w:rsid w:val="005B408B"/>
    <w:rsid w:val="005B416D"/>
    <w:rsid w:val="005B42A5"/>
    <w:rsid w:val="005B47EF"/>
    <w:rsid w:val="005B4A26"/>
    <w:rsid w:val="005B4D5B"/>
    <w:rsid w:val="005B4F38"/>
    <w:rsid w:val="005B53CC"/>
    <w:rsid w:val="005B53EF"/>
    <w:rsid w:val="005B547B"/>
    <w:rsid w:val="005B55A5"/>
    <w:rsid w:val="005B595B"/>
    <w:rsid w:val="005B5A3C"/>
    <w:rsid w:val="005B5A8C"/>
    <w:rsid w:val="005B5B74"/>
    <w:rsid w:val="005B5F1C"/>
    <w:rsid w:val="005B62C9"/>
    <w:rsid w:val="005B640B"/>
    <w:rsid w:val="005B65FC"/>
    <w:rsid w:val="005B6C32"/>
    <w:rsid w:val="005B6CE8"/>
    <w:rsid w:val="005B6DCE"/>
    <w:rsid w:val="005B6FDA"/>
    <w:rsid w:val="005B70D6"/>
    <w:rsid w:val="005B724A"/>
    <w:rsid w:val="005B725B"/>
    <w:rsid w:val="005B7385"/>
    <w:rsid w:val="005B7A3C"/>
    <w:rsid w:val="005B7C3E"/>
    <w:rsid w:val="005B7CEF"/>
    <w:rsid w:val="005B7D46"/>
    <w:rsid w:val="005C0114"/>
    <w:rsid w:val="005C0148"/>
    <w:rsid w:val="005C015E"/>
    <w:rsid w:val="005C05FB"/>
    <w:rsid w:val="005C0656"/>
    <w:rsid w:val="005C06AB"/>
    <w:rsid w:val="005C0774"/>
    <w:rsid w:val="005C09E3"/>
    <w:rsid w:val="005C0B7C"/>
    <w:rsid w:val="005C0BE6"/>
    <w:rsid w:val="005C0ED0"/>
    <w:rsid w:val="005C0FE6"/>
    <w:rsid w:val="005C10D3"/>
    <w:rsid w:val="005C10E7"/>
    <w:rsid w:val="005C11FB"/>
    <w:rsid w:val="005C1468"/>
    <w:rsid w:val="005C1D4E"/>
    <w:rsid w:val="005C1E6A"/>
    <w:rsid w:val="005C20EE"/>
    <w:rsid w:val="005C2151"/>
    <w:rsid w:val="005C2376"/>
    <w:rsid w:val="005C260B"/>
    <w:rsid w:val="005C2828"/>
    <w:rsid w:val="005C2977"/>
    <w:rsid w:val="005C2A9D"/>
    <w:rsid w:val="005C2C0F"/>
    <w:rsid w:val="005C2F0B"/>
    <w:rsid w:val="005C36A5"/>
    <w:rsid w:val="005C3785"/>
    <w:rsid w:val="005C3C66"/>
    <w:rsid w:val="005C3CDD"/>
    <w:rsid w:val="005C40AC"/>
    <w:rsid w:val="005C412D"/>
    <w:rsid w:val="005C434B"/>
    <w:rsid w:val="005C45AC"/>
    <w:rsid w:val="005C47D4"/>
    <w:rsid w:val="005C5341"/>
    <w:rsid w:val="005C54F3"/>
    <w:rsid w:val="005C5560"/>
    <w:rsid w:val="005C5949"/>
    <w:rsid w:val="005C59B4"/>
    <w:rsid w:val="005C5BC1"/>
    <w:rsid w:val="005C5D82"/>
    <w:rsid w:val="005C5F07"/>
    <w:rsid w:val="005C62FD"/>
    <w:rsid w:val="005C6348"/>
    <w:rsid w:val="005C6418"/>
    <w:rsid w:val="005C6482"/>
    <w:rsid w:val="005C66D5"/>
    <w:rsid w:val="005C677D"/>
    <w:rsid w:val="005C6791"/>
    <w:rsid w:val="005C6837"/>
    <w:rsid w:val="005C685F"/>
    <w:rsid w:val="005C68DF"/>
    <w:rsid w:val="005C6A7C"/>
    <w:rsid w:val="005C6B5F"/>
    <w:rsid w:val="005C6CCD"/>
    <w:rsid w:val="005C6DDD"/>
    <w:rsid w:val="005C7079"/>
    <w:rsid w:val="005C74CE"/>
    <w:rsid w:val="005C75C4"/>
    <w:rsid w:val="005C780C"/>
    <w:rsid w:val="005C78C7"/>
    <w:rsid w:val="005C7AC1"/>
    <w:rsid w:val="005C7AD0"/>
    <w:rsid w:val="005C7BA9"/>
    <w:rsid w:val="005C7CEB"/>
    <w:rsid w:val="005D002A"/>
    <w:rsid w:val="005D0133"/>
    <w:rsid w:val="005D051F"/>
    <w:rsid w:val="005D06D4"/>
    <w:rsid w:val="005D06F1"/>
    <w:rsid w:val="005D08AE"/>
    <w:rsid w:val="005D0A0E"/>
    <w:rsid w:val="005D0C99"/>
    <w:rsid w:val="005D0DB9"/>
    <w:rsid w:val="005D0DCA"/>
    <w:rsid w:val="005D0F15"/>
    <w:rsid w:val="005D0FCF"/>
    <w:rsid w:val="005D10F1"/>
    <w:rsid w:val="005D12CB"/>
    <w:rsid w:val="005D1367"/>
    <w:rsid w:val="005D13A8"/>
    <w:rsid w:val="005D1636"/>
    <w:rsid w:val="005D1879"/>
    <w:rsid w:val="005D1BA8"/>
    <w:rsid w:val="005D1E1C"/>
    <w:rsid w:val="005D2185"/>
    <w:rsid w:val="005D2541"/>
    <w:rsid w:val="005D2876"/>
    <w:rsid w:val="005D2BBF"/>
    <w:rsid w:val="005D2E07"/>
    <w:rsid w:val="005D2EF7"/>
    <w:rsid w:val="005D304D"/>
    <w:rsid w:val="005D328D"/>
    <w:rsid w:val="005D3395"/>
    <w:rsid w:val="005D3527"/>
    <w:rsid w:val="005D3A0B"/>
    <w:rsid w:val="005D3C50"/>
    <w:rsid w:val="005D3C87"/>
    <w:rsid w:val="005D3C95"/>
    <w:rsid w:val="005D3E12"/>
    <w:rsid w:val="005D3E76"/>
    <w:rsid w:val="005D3EDB"/>
    <w:rsid w:val="005D45E6"/>
    <w:rsid w:val="005D45FC"/>
    <w:rsid w:val="005D46CB"/>
    <w:rsid w:val="005D475E"/>
    <w:rsid w:val="005D49B5"/>
    <w:rsid w:val="005D49D2"/>
    <w:rsid w:val="005D4A3D"/>
    <w:rsid w:val="005D4ADB"/>
    <w:rsid w:val="005D4AED"/>
    <w:rsid w:val="005D4BF9"/>
    <w:rsid w:val="005D5110"/>
    <w:rsid w:val="005D5227"/>
    <w:rsid w:val="005D5248"/>
    <w:rsid w:val="005D5937"/>
    <w:rsid w:val="005D5990"/>
    <w:rsid w:val="005D59DF"/>
    <w:rsid w:val="005D5BB9"/>
    <w:rsid w:val="005D5C8B"/>
    <w:rsid w:val="005D5DB0"/>
    <w:rsid w:val="005D5E57"/>
    <w:rsid w:val="005D5F03"/>
    <w:rsid w:val="005D5F67"/>
    <w:rsid w:val="005D5F77"/>
    <w:rsid w:val="005D64AE"/>
    <w:rsid w:val="005D656A"/>
    <w:rsid w:val="005D6C3F"/>
    <w:rsid w:val="005D6D5B"/>
    <w:rsid w:val="005D6DC8"/>
    <w:rsid w:val="005D6DE7"/>
    <w:rsid w:val="005D6FD5"/>
    <w:rsid w:val="005D7023"/>
    <w:rsid w:val="005D718C"/>
    <w:rsid w:val="005D7238"/>
    <w:rsid w:val="005D7486"/>
    <w:rsid w:val="005D74A5"/>
    <w:rsid w:val="005D75F9"/>
    <w:rsid w:val="005D77B0"/>
    <w:rsid w:val="005D7AA4"/>
    <w:rsid w:val="005D7BBF"/>
    <w:rsid w:val="005D7CE5"/>
    <w:rsid w:val="005D7D8E"/>
    <w:rsid w:val="005D7F10"/>
    <w:rsid w:val="005E002D"/>
    <w:rsid w:val="005E01D5"/>
    <w:rsid w:val="005E0486"/>
    <w:rsid w:val="005E04BA"/>
    <w:rsid w:val="005E04DC"/>
    <w:rsid w:val="005E069C"/>
    <w:rsid w:val="005E06A4"/>
    <w:rsid w:val="005E06E2"/>
    <w:rsid w:val="005E0EBA"/>
    <w:rsid w:val="005E0F92"/>
    <w:rsid w:val="005E10C1"/>
    <w:rsid w:val="005E12B0"/>
    <w:rsid w:val="005E1470"/>
    <w:rsid w:val="005E14DC"/>
    <w:rsid w:val="005E1503"/>
    <w:rsid w:val="005E1611"/>
    <w:rsid w:val="005E184A"/>
    <w:rsid w:val="005E1C92"/>
    <w:rsid w:val="005E1EF9"/>
    <w:rsid w:val="005E210A"/>
    <w:rsid w:val="005E2172"/>
    <w:rsid w:val="005E2225"/>
    <w:rsid w:val="005E222E"/>
    <w:rsid w:val="005E23E0"/>
    <w:rsid w:val="005E244E"/>
    <w:rsid w:val="005E26C2"/>
    <w:rsid w:val="005E2AB4"/>
    <w:rsid w:val="005E2AC3"/>
    <w:rsid w:val="005E2BFF"/>
    <w:rsid w:val="005E2E30"/>
    <w:rsid w:val="005E2FC6"/>
    <w:rsid w:val="005E3010"/>
    <w:rsid w:val="005E32C1"/>
    <w:rsid w:val="005E38E1"/>
    <w:rsid w:val="005E391A"/>
    <w:rsid w:val="005E3A3C"/>
    <w:rsid w:val="005E3AB8"/>
    <w:rsid w:val="005E3B0D"/>
    <w:rsid w:val="005E40E9"/>
    <w:rsid w:val="005E41B5"/>
    <w:rsid w:val="005E4317"/>
    <w:rsid w:val="005E45B3"/>
    <w:rsid w:val="005E46A0"/>
    <w:rsid w:val="005E4847"/>
    <w:rsid w:val="005E4B75"/>
    <w:rsid w:val="005E5369"/>
    <w:rsid w:val="005E5A05"/>
    <w:rsid w:val="005E5B18"/>
    <w:rsid w:val="005E5DBC"/>
    <w:rsid w:val="005E5FD8"/>
    <w:rsid w:val="005E64D8"/>
    <w:rsid w:val="005E674C"/>
    <w:rsid w:val="005E691B"/>
    <w:rsid w:val="005E69CF"/>
    <w:rsid w:val="005E6A2F"/>
    <w:rsid w:val="005E6B62"/>
    <w:rsid w:val="005E6BBF"/>
    <w:rsid w:val="005E6C9E"/>
    <w:rsid w:val="005E6E89"/>
    <w:rsid w:val="005E6ED2"/>
    <w:rsid w:val="005E7233"/>
    <w:rsid w:val="005E7783"/>
    <w:rsid w:val="005E799F"/>
    <w:rsid w:val="005E7AE7"/>
    <w:rsid w:val="005E7B4B"/>
    <w:rsid w:val="005F00B8"/>
    <w:rsid w:val="005F0117"/>
    <w:rsid w:val="005F0120"/>
    <w:rsid w:val="005F0205"/>
    <w:rsid w:val="005F0314"/>
    <w:rsid w:val="005F036E"/>
    <w:rsid w:val="005F03B0"/>
    <w:rsid w:val="005F045E"/>
    <w:rsid w:val="005F06F1"/>
    <w:rsid w:val="005F0738"/>
    <w:rsid w:val="005F0760"/>
    <w:rsid w:val="005F0A5B"/>
    <w:rsid w:val="005F0B14"/>
    <w:rsid w:val="005F0BAE"/>
    <w:rsid w:val="005F0FD7"/>
    <w:rsid w:val="005F11DA"/>
    <w:rsid w:val="005F1322"/>
    <w:rsid w:val="005F17AC"/>
    <w:rsid w:val="005F19B3"/>
    <w:rsid w:val="005F1A5D"/>
    <w:rsid w:val="005F1AB9"/>
    <w:rsid w:val="005F1FB8"/>
    <w:rsid w:val="005F2010"/>
    <w:rsid w:val="005F21E3"/>
    <w:rsid w:val="005F21EF"/>
    <w:rsid w:val="005F22CD"/>
    <w:rsid w:val="005F28FB"/>
    <w:rsid w:val="005F299E"/>
    <w:rsid w:val="005F2A5B"/>
    <w:rsid w:val="005F2D61"/>
    <w:rsid w:val="005F2DD9"/>
    <w:rsid w:val="005F2DF5"/>
    <w:rsid w:val="005F352E"/>
    <w:rsid w:val="005F3584"/>
    <w:rsid w:val="005F3822"/>
    <w:rsid w:val="005F3A54"/>
    <w:rsid w:val="005F3C78"/>
    <w:rsid w:val="005F41B2"/>
    <w:rsid w:val="005F4237"/>
    <w:rsid w:val="005F437B"/>
    <w:rsid w:val="005F450D"/>
    <w:rsid w:val="005F4612"/>
    <w:rsid w:val="005F4B00"/>
    <w:rsid w:val="005F4D8F"/>
    <w:rsid w:val="005F4F4A"/>
    <w:rsid w:val="005F5035"/>
    <w:rsid w:val="005F51EE"/>
    <w:rsid w:val="005F579E"/>
    <w:rsid w:val="005F5AA5"/>
    <w:rsid w:val="005F5F1B"/>
    <w:rsid w:val="005F61C6"/>
    <w:rsid w:val="005F637E"/>
    <w:rsid w:val="005F6395"/>
    <w:rsid w:val="005F6A53"/>
    <w:rsid w:val="005F6B10"/>
    <w:rsid w:val="005F6E41"/>
    <w:rsid w:val="005F6FBB"/>
    <w:rsid w:val="005F7325"/>
    <w:rsid w:val="005F7332"/>
    <w:rsid w:val="005F78F3"/>
    <w:rsid w:val="005F798B"/>
    <w:rsid w:val="005F7DB0"/>
    <w:rsid w:val="006000A2"/>
    <w:rsid w:val="006001BC"/>
    <w:rsid w:val="0060030F"/>
    <w:rsid w:val="006003A7"/>
    <w:rsid w:val="0060045D"/>
    <w:rsid w:val="006006EB"/>
    <w:rsid w:val="00600A8F"/>
    <w:rsid w:val="00600CCF"/>
    <w:rsid w:val="00600D35"/>
    <w:rsid w:val="00600D7E"/>
    <w:rsid w:val="0060164F"/>
    <w:rsid w:val="00601668"/>
    <w:rsid w:val="0060169C"/>
    <w:rsid w:val="00601867"/>
    <w:rsid w:val="0060188F"/>
    <w:rsid w:val="00601912"/>
    <w:rsid w:val="00601AEB"/>
    <w:rsid w:val="00601C5B"/>
    <w:rsid w:val="00601DB1"/>
    <w:rsid w:val="00602067"/>
    <w:rsid w:val="00602299"/>
    <w:rsid w:val="006023E4"/>
    <w:rsid w:val="00602437"/>
    <w:rsid w:val="006025B7"/>
    <w:rsid w:val="0060267D"/>
    <w:rsid w:val="0060270A"/>
    <w:rsid w:val="00602954"/>
    <w:rsid w:val="00602A18"/>
    <w:rsid w:val="00602C59"/>
    <w:rsid w:val="00602F50"/>
    <w:rsid w:val="00602FD7"/>
    <w:rsid w:val="00603126"/>
    <w:rsid w:val="00603243"/>
    <w:rsid w:val="006037AB"/>
    <w:rsid w:val="006037F6"/>
    <w:rsid w:val="00603990"/>
    <w:rsid w:val="00603A82"/>
    <w:rsid w:val="00603E81"/>
    <w:rsid w:val="006041A7"/>
    <w:rsid w:val="0060434F"/>
    <w:rsid w:val="006043FD"/>
    <w:rsid w:val="0060444D"/>
    <w:rsid w:val="00604474"/>
    <w:rsid w:val="0060450C"/>
    <w:rsid w:val="00604624"/>
    <w:rsid w:val="0060477B"/>
    <w:rsid w:val="0060494B"/>
    <w:rsid w:val="00604CC8"/>
    <w:rsid w:val="0060514A"/>
    <w:rsid w:val="006053B4"/>
    <w:rsid w:val="0060542F"/>
    <w:rsid w:val="00605A36"/>
    <w:rsid w:val="00605A49"/>
    <w:rsid w:val="00605BB1"/>
    <w:rsid w:val="00605BC5"/>
    <w:rsid w:val="00605C1C"/>
    <w:rsid w:val="00605C71"/>
    <w:rsid w:val="00605FAD"/>
    <w:rsid w:val="006061A6"/>
    <w:rsid w:val="006061A9"/>
    <w:rsid w:val="006067E0"/>
    <w:rsid w:val="00606B0D"/>
    <w:rsid w:val="00606C46"/>
    <w:rsid w:val="00606E22"/>
    <w:rsid w:val="00606E6B"/>
    <w:rsid w:val="00606EBA"/>
    <w:rsid w:val="00606EFD"/>
    <w:rsid w:val="00607019"/>
    <w:rsid w:val="0060743C"/>
    <w:rsid w:val="0060745D"/>
    <w:rsid w:val="00607601"/>
    <w:rsid w:val="00607ACE"/>
    <w:rsid w:val="00607B0D"/>
    <w:rsid w:val="00607BA8"/>
    <w:rsid w:val="00607C76"/>
    <w:rsid w:val="00607F94"/>
    <w:rsid w:val="00610302"/>
    <w:rsid w:val="0061049E"/>
    <w:rsid w:val="00610555"/>
    <w:rsid w:val="006105F2"/>
    <w:rsid w:val="0061066F"/>
    <w:rsid w:val="00610790"/>
    <w:rsid w:val="0061095E"/>
    <w:rsid w:val="00610A41"/>
    <w:rsid w:val="00610AF4"/>
    <w:rsid w:val="00610E72"/>
    <w:rsid w:val="00610E82"/>
    <w:rsid w:val="0061123B"/>
    <w:rsid w:val="0061149D"/>
    <w:rsid w:val="00611A68"/>
    <w:rsid w:val="00611C23"/>
    <w:rsid w:val="00611C75"/>
    <w:rsid w:val="00611F32"/>
    <w:rsid w:val="00612288"/>
    <w:rsid w:val="00612772"/>
    <w:rsid w:val="00612917"/>
    <w:rsid w:val="00612A99"/>
    <w:rsid w:val="00612CE4"/>
    <w:rsid w:val="00613114"/>
    <w:rsid w:val="00613288"/>
    <w:rsid w:val="0061374E"/>
    <w:rsid w:val="0061379A"/>
    <w:rsid w:val="006137B2"/>
    <w:rsid w:val="00613964"/>
    <w:rsid w:val="00613B89"/>
    <w:rsid w:val="00613F94"/>
    <w:rsid w:val="006143CA"/>
    <w:rsid w:val="00614862"/>
    <w:rsid w:val="006148AE"/>
    <w:rsid w:val="00614A17"/>
    <w:rsid w:val="00614DFE"/>
    <w:rsid w:val="00614EA4"/>
    <w:rsid w:val="00614F49"/>
    <w:rsid w:val="0061528A"/>
    <w:rsid w:val="006152C9"/>
    <w:rsid w:val="0061532C"/>
    <w:rsid w:val="0061591F"/>
    <w:rsid w:val="00615AAC"/>
    <w:rsid w:val="0061611B"/>
    <w:rsid w:val="006163D7"/>
    <w:rsid w:val="00616713"/>
    <w:rsid w:val="00616737"/>
    <w:rsid w:val="0061675E"/>
    <w:rsid w:val="0061677B"/>
    <w:rsid w:val="006168D6"/>
    <w:rsid w:val="00616E4D"/>
    <w:rsid w:val="006172B2"/>
    <w:rsid w:val="00617480"/>
    <w:rsid w:val="00617481"/>
    <w:rsid w:val="00617585"/>
    <w:rsid w:val="006176B8"/>
    <w:rsid w:val="00617856"/>
    <w:rsid w:val="00617B29"/>
    <w:rsid w:val="00617D6D"/>
    <w:rsid w:val="006202E7"/>
    <w:rsid w:val="00620350"/>
    <w:rsid w:val="00620351"/>
    <w:rsid w:val="0062062B"/>
    <w:rsid w:val="00620811"/>
    <w:rsid w:val="00620964"/>
    <w:rsid w:val="00620A37"/>
    <w:rsid w:val="00620ACD"/>
    <w:rsid w:val="00620D6C"/>
    <w:rsid w:val="00620E57"/>
    <w:rsid w:val="00621515"/>
    <w:rsid w:val="0062166E"/>
    <w:rsid w:val="006216C1"/>
    <w:rsid w:val="006219DA"/>
    <w:rsid w:val="00621BC6"/>
    <w:rsid w:val="00621FA2"/>
    <w:rsid w:val="00622054"/>
    <w:rsid w:val="006220F6"/>
    <w:rsid w:val="00622244"/>
    <w:rsid w:val="006222E1"/>
    <w:rsid w:val="0062239F"/>
    <w:rsid w:val="006223F3"/>
    <w:rsid w:val="006228D1"/>
    <w:rsid w:val="00622B28"/>
    <w:rsid w:val="00622CF6"/>
    <w:rsid w:val="00622E86"/>
    <w:rsid w:val="00623383"/>
    <w:rsid w:val="00623404"/>
    <w:rsid w:val="006234FB"/>
    <w:rsid w:val="00623A27"/>
    <w:rsid w:val="00623ACC"/>
    <w:rsid w:val="00623D37"/>
    <w:rsid w:val="00623DC2"/>
    <w:rsid w:val="00623E5D"/>
    <w:rsid w:val="00624024"/>
    <w:rsid w:val="006241DE"/>
    <w:rsid w:val="0062453F"/>
    <w:rsid w:val="0062469D"/>
    <w:rsid w:val="00624809"/>
    <w:rsid w:val="0062482F"/>
    <w:rsid w:val="006249C5"/>
    <w:rsid w:val="00624B60"/>
    <w:rsid w:val="00624E2C"/>
    <w:rsid w:val="00624E5C"/>
    <w:rsid w:val="00625003"/>
    <w:rsid w:val="00625104"/>
    <w:rsid w:val="00625240"/>
    <w:rsid w:val="006254C1"/>
    <w:rsid w:val="00625AD3"/>
    <w:rsid w:val="00625B4E"/>
    <w:rsid w:val="00625CC7"/>
    <w:rsid w:val="00625D31"/>
    <w:rsid w:val="00625FB3"/>
    <w:rsid w:val="006261F8"/>
    <w:rsid w:val="0062659E"/>
    <w:rsid w:val="00626771"/>
    <w:rsid w:val="006268C7"/>
    <w:rsid w:val="00626A48"/>
    <w:rsid w:val="00626BAC"/>
    <w:rsid w:val="00627498"/>
    <w:rsid w:val="00627518"/>
    <w:rsid w:val="00627603"/>
    <w:rsid w:val="006277E0"/>
    <w:rsid w:val="00627BE3"/>
    <w:rsid w:val="00627C0E"/>
    <w:rsid w:val="00627CBA"/>
    <w:rsid w:val="00627DCF"/>
    <w:rsid w:val="00627F30"/>
    <w:rsid w:val="00627F71"/>
    <w:rsid w:val="0062DB16"/>
    <w:rsid w:val="00630163"/>
    <w:rsid w:val="0063028D"/>
    <w:rsid w:val="00630290"/>
    <w:rsid w:val="006303BA"/>
    <w:rsid w:val="0063071D"/>
    <w:rsid w:val="00630CA2"/>
    <w:rsid w:val="00630D4F"/>
    <w:rsid w:val="006312A3"/>
    <w:rsid w:val="00631767"/>
    <w:rsid w:val="0063190F"/>
    <w:rsid w:val="00631957"/>
    <w:rsid w:val="00631A0A"/>
    <w:rsid w:val="00631A42"/>
    <w:rsid w:val="00631B82"/>
    <w:rsid w:val="00631FD2"/>
    <w:rsid w:val="0063219A"/>
    <w:rsid w:val="006322A9"/>
    <w:rsid w:val="006323EB"/>
    <w:rsid w:val="00632568"/>
    <w:rsid w:val="006329C8"/>
    <w:rsid w:val="00632BE5"/>
    <w:rsid w:val="00632D4B"/>
    <w:rsid w:val="0063311F"/>
    <w:rsid w:val="006333BC"/>
    <w:rsid w:val="0063365F"/>
    <w:rsid w:val="0063373E"/>
    <w:rsid w:val="006338AE"/>
    <w:rsid w:val="00633CEE"/>
    <w:rsid w:val="00633F07"/>
    <w:rsid w:val="006340A7"/>
    <w:rsid w:val="0063423C"/>
    <w:rsid w:val="006342A3"/>
    <w:rsid w:val="006343CF"/>
    <w:rsid w:val="00634421"/>
    <w:rsid w:val="006345B5"/>
    <w:rsid w:val="006348BC"/>
    <w:rsid w:val="006348F7"/>
    <w:rsid w:val="00634BEE"/>
    <w:rsid w:val="00634C62"/>
    <w:rsid w:val="00634D5F"/>
    <w:rsid w:val="00635244"/>
    <w:rsid w:val="00635262"/>
    <w:rsid w:val="006356B3"/>
    <w:rsid w:val="006358E1"/>
    <w:rsid w:val="006359A8"/>
    <w:rsid w:val="00635FC8"/>
    <w:rsid w:val="0063604D"/>
    <w:rsid w:val="00636054"/>
    <w:rsid w:val="00636393"/>
    <w:rsid w:val="00636688"/>
    <w:rsid w:val="006367DC"/>
    <w:rsid w:val="0063690D"/>
    <w:rsid w:val="006369C5"/>
    <w:rsid w:val="00636B1E"/>
    <w:rsid w:val="00636B60"/>
    <w:rsid w:val="00636D26"/>
    <w:rsid w:val="0063700E"/>
    <w:rsid w:val="006373A9"/>
    <w:rsid w:val="00637449"/>
    <w:rsid w:val="00637484"/>
    <w:rsid w:val="006377C5"/>
    <w:rsid w:val="006378F4"/>
    <w:rsid w:val="00637905"/>
    <w:rsid w:val="00637F16"/>
    <w:rsid w:val="00640167"/>
    <w:rsid w:val="00640175"/>
    <w:rsid w:val="0064020D"/>
    <w:rsid w:val="006404E7"/>
    <w:rsid w:val="0064059A"/>
    <w:rsid w:val="00640A47"/>
    <w:rsid w:val="00640BD3"/>
    <w:rsid w:val="00640C85"/>
    <w:rsid w:val="00640E5E"/>
    <w:rsid w:val="006410F4"/>
    <w:rsid w:val="00641155"/>
    <w:rsid w:val="0064142D"/>
    <w:rsid w:val="0064170B"/>
    <w:rsid w:val="0064170F"/>
    <w:rsid w:val="00641A4B"/>
    <w:rsid w:val="00642382"/>
    <w:rsid w:val="006424F6"/>
    <w:rsid w:val="006427CB"/>
    <w:rsid w:val="00642A68"/>
    <w:rsid w:val="00642BEB"/>
    <w:rsid w:val="00642E5D"/>
    <w:rsid w:val="00642F58"/>
    <w:rsid w:val="006431B7"/>
    <w:rsid w:val="0064335B"/>
    <w:rsid w:val="00643456"/>
    <w:rsid w:val="00643522"/>
    <w:rsid w:val="006436DF"/>
    <w:rsid w:val="006437B7"/>
    <w:rsid w:val="00643936"/>
    <w:rsid w:val="006439CB"/>
    <w:rsid w:val="00643A0B"/>
    <w:rsid w:val="00643A1F"/>
    <w:rsid w:val="00643A5E"/>
    <w:rsid w:val="00643C08"/>
    <w:rsid w:val="00643DD2"/>
    <w:rsid w:val="0064408E"/>
    <w:rsid w:val="006443D3"/>
    <w:rsid w:val="0064483E"/>
    <w:rsid w:val="006448CD"/>
    <w:rsid w:val="00644B7A"/>
    <w:rsid w:val="00644BC4"/>
    <w:rsid w:val="00644C85"/>
    <w:rsid w:val="00644D54"/>
    <w:rsid w:val="00644FB3"/>
    <w:rsid w:val="0064532A"/>
    <w:rsid w:val="006453AF"/>
    <w:rsid w:val="00645C5F"/>
    <w:rsid w:val="00645FD1"/>
    <w:rsid w:val="00646069"/>
    <w:rsid w:val="006461F9"/>
    <w:rsid w:val="00646441"/>
    <w:rsid w:val="00646457"/>
    <w:rsid w:val="00646985"/>
    <w:rsid w:val="00646B1A"/>
    <w:rsid w:val="00646C92"/>
    <w:rsid w:val="00646CC3"/>
    <w:rsid w:val="00646D67"/>
    <w:rsid w:val="00647209"/>
    <w:rsid w:val="006472DF"/>
    <w:rsid w:val="006474FE"/>
    <w:rsid w:val="006475F5"/>
    <w:rsid w:val="00647698"/>
    <w:rsid w:val="006478ED"/>
    <w:rsid w:val="00647AB1"/>
    <w:rsid w:val="00647AD5"/>
    <w:rsid w:val="00650262"/>
    <w:rsid w:val="006503B5"/>
    <w:rsid w:val="006505F1"/>
    <w:rsid w:val="00650655"/>
    <w:rsid w:val="00650B01"/>
    <w:rsid w:val="00650CEC"/>
    <w:rsid w:val="0065111F"/>
    <w:rsid w:val="006513B0"/>
    <w:rsid w:val="006518B5"/>
    <w:rsid w:val="00651925"/>
    <w:rsid w:val="00651DC7"/>
    <w:rsid w:val="00651EE2"/>
    <w:rsid w:val="00651FD2"/>
    <w:rsid w:val="0065204A"/>
    <w:rsid w:val="00652079"/>
    <w:rsid w:val="006522BE"/>
    <w:rsid w:val="0065233C"/>
    <w:rsid w:val="006523BF"/>
    <w:rsid w:val="006527F8"/>
    <w:rsid w:val="00652860"/>
    <w:rsid w:val="006529AB"/>
    <w:rsid w:val="00652A8C"/>
    <w:rsid w:val="0065304B"/>
    <w:rsid w:val="00653248"/>
    <w:rsid w:val="00653888"/>
    <w:rsid w:val="0065398E"/>
    <w:rsid w:val="00653B13"/>
    <w:rsid w:val="00653DC9"/>
    <w:rsid w:val="00653DE9"/>
    <w:rsid w:val="00653F81"/>
    <w:rsid w:val="00654155"/>
    <w:rsid w:val="0065429A"/>
    <w:rsid w:val="006542FC"/>
    <w:rsid w:val="006544D4"/>
    <w:rsid w:val="0065456C"/>
    <w:rsid w:val="006546D3"/>
    <w:rsid w:val="00654971"/>
    <w:rsid w:val="006550B4"/>
    <w:rsid w:val="00655110"/>
    <w:rsid w:val="006552FE"/>
    <w:rsid w:val="00655779"/>
    <w:rsid w:val="006557F9"/>
    <w:rsid w:val="006558D1"/>
    <w:rsid w:val="006560AB"/>
    <w:rsid w:val="006561DF"/>
    <w:rsid w:val="006561E1"/>
    <w:rsid w:val="00656B22"/>
    <w:rsid w:val="00656B50"/>
    <w:rsid w:val="006570A2"/>
    <w:rsid w:val="006570FD"/>
    <w:rsid w:val="00657328"/>
    <w:rsid w:val="0065741D"/>
    <w:rsid w:val="006575A4"/>
    <w:rsid w:val="0065776A"/>
    <w:rsid w:val="00657A2E"/>
    <w:rsid w:val="00657ADD"/>
    <w:rsid w:val="00657DC9"/>
    <w:rsid w:val="006601D6"/>
    <w:rsid w:val="006602FE"/>
    <w:rsid w:val="00660325"/>
    <w:rsid w:val="006609AB"/>
    <w:rsid w:val="00660C11"/>
    <w:rsid w:val="006612E0"/>
    <w:rsid w:val="0066145C"/>
    <w:rsid w:val="0066160B"/>
    <w:rsid w:val="00661820"/>
    <w:rsid w:val="006618E9"/>
    <w:rsid w:val="00661993"/>
    <w:rsid w:val="00661AAD"/>
    <w:rsid w:val="00661B4A"/>
    <w:rsid w:val="00661BDB"/>
    <w:rsid w:val="00661D40"/>
    <w:rsid w:val="00661DDE"/>
    <w:rsid w:val="00661E81"/>
    <w:rsid w:val="00661FC9"/>
    <w:rsid w:val="0066239B"/>
    <w:rsid w:val="006624F7"/>
    <w:rsid w:val="006626E4"/>
    <w:rsid w:val="00662B79"/>
    <w:rsid w:val="00662BDE"/>
    <w:rsid w:val="00662D30"/>
    <w:rsid w:val="00662EA2"/>
    <w:rsid w:val="00663001"/>
    <w:rsid w:val="006631F5"/>
    <w:rsid w:val="00663362"/>
    <w:rsid w:val="006638E2"/>
    <w:rsid w:val="00663D7B"/>
    <w:rsid w:val="00663DC8"/>
    <w:rsid w:val="00663F2E"/>
    <w:rsid w:val="006642A7"/>
    <w:rsid w:val="006642D5"/>
    <w:rsid w:val="006644B5"/>
    <w:rsid w:val="00664767"/>
    <w:rsid w:val="00664A5A"/>
    <w:rsid w:val="00664C37"/>
    <w:rsid w:val="00664C49"/>
    <w:rsid w:val="00664D4D"/>
    <w:rsid w:val="00665230"/>
    <w:rsid w:val="006652BB"/>
    <w:rsid w:val="00665386"/>
    <w:rsid w:val="00665526"/>
    <w:rsid w:val="00665A74"/>
    <w:rsid w:val="00665BF7"/>
    <w:rsid w:val="00666278"/>
    <w:rsid w:val="00666279"/>
    <w:rsid w:val="00666302"/>
    <w:rsid w:val="00666393"/>
    <w:rsid w:val="006663D8"/>
    <w:rsid w:val="00666570"/>
    <w:rsid w:val="006666BD"/>
    <w:rsid w:val="00666766"/>
    <w:rsid w:val="006669E6"/>
    <w:rsid w:val="00666B4C"/>
    <w:rsid w:val="00666D6C"/>
    <w:rsid w:val="00666ED3"/>
    <w:rsid w:val="00666F9E"/>
    <w:rsid w:val="0066711A"/>
    <w:rsid w:val="00667666"/>
    <w:rsid w:val="00667787"/>
    <w:rsid w:val="00667990"/>
    <w:rsid w:val="00667AC9"/>
    <w:rsid w:val="00667BAC"/>
    <w:rsid w:val="00667CDC"/>
    <w:rsid w:val="00667F6F"/>
    <w:rsid w:val="00670519"/>
    <w:rsid w:val="006707B7"/>
    <w:rsid w:val="0067084E"/>
    <w:rsid w:val="00670C0A"/>
    <w:rsid w:val="00670E91"/>
    <w:rsid w:val="006710F3"/>
    <w:rsid w:val="0067131F"/>
    <w:rsid w:val="006716FE"/>
    <w:rsid w:val="00671930"/>
    <w:rsid w:val="00671AB6"/>
    <w:rsid w:val="00671B14"/>
    <w:rsid w:val="00671DDF"/>
    <w:rsid w:val="00671EB0"/>
    <w:rsid w:val="0067204F"/>
    <w:rsid w:val="006721EE"/>
    <w:rsid w:val="00672306"/>
    <w:rsid w:val="0067263E"/>
    <w:rsid w:val="0067270A"/>
    <w:rsid w:val="00672871"/>
    <w:rsid w:val="00672D45"/>
    <w:rsid w:val="0067317F"/>
    <w:rsid w:val="0067324F"/>
    <w:rsid w:val="00673662"/>
    <w:rsid w:val="00673845"/>
    <w:rsid w:val="0067399B"/>
    <w:rsid w:val="00673B4A"/>
    <w:rsid w:val="00673D45"/>
    <w:rsid w:val="00673E06"/>
    <w:rsid w:val="00674335"/>
    <w:rsid w:val="0067462E"/>
    <w:rsid w:val="006746C9"/>
    <w:rsid w:val="00674894"/>
    <w:rsid w:val="00674A37"/>
    <w:rsid w:val="00674B5A"/>
    <w:rsid w:val="00674BBA"/>
    <w:rsid w:val="00674D00"/>
    <w:rsid w:val="00674DCC"/>
    <w:rsid w:val="006751E4"/>
    <w:rsid w:val="00675273"/>
    <w:rsid w:val="006753C5"/>
    <w:rsid w:val="006754FC"/>
    <w:rsid w:val="0067573F"/>
    <w:rsid w:val="00675855"/>
    <w:rsid w:val="006759B9"/>
    <w:rsid w:val="00675A26"/>
    <w:rsid w:val="00675B5F"/>
    <w:rsid w:val="00675C11"/>
    <w:rsid w:val="00676082"/>
    <w:rsid w:val="006760F5"/>
    <w:rsid w:val="00676145"/>
    <w:rsid w:val="00676255"/>
    <w:rsid w:val="0067636A"/>
    <w:rsid w:val="00676411"/>
    <w:rsid w:val="0067654E"/>
    <w:rsid w:val="006766F3"/>
    <w:rsid w:val="0067692B"/>
    <w:rsid w:val="0067695F"/>
    <w:rsid w:val="00676E85"/>
    <w:rsid w:val="006770E5"/>
    <w:rsid w:val="006773DD"/>
    <w:rsid w:val="006776E0"/>
    <w:rsid w:val="0067776F"/>
    <w:rsid w:val="00677E96"/>
    <w:rsid w:val="00680371"/>
    <w:rsid w:val="006808F4"/>
    <w:rsid w:val="006809B9"/>
    <w:rsid w:val="00680EC8"/>
    <w:rsid w:val="00681607"/>
    <w:rsid w:val="00681648"/>
    <w:rsid w:val="00681851"/>
    <w:rsid w:val="00681AE3"/>
    <w:rsid w:val="00681B7B"/>
    <w:rsid w:val="00681C42"/>
    <w:rsid w:val="00681DE8"/>
    <w:rsid w:val="00681E63"/>
    <w:rsid w:val="00681E8F"/>
    <w:rsid w:val="00681F26"/>
    <w:rsid w:val="00682589"/>
    <w:rsid w:val="0068295C"/>
    <w:rsid w:val="00682C7F"/>
    <w:rsid w:val="00682D49"/>
    <w:rsid w:val="00682D97"/>
    <w:rsid w:val="00682E60"/>
    <w:rsid w:val="006835BF"/>
    <w:rsid w:val="0068368B"/>
    <w:rsid w:val="006836BC"/>
    <w:rsid w:val="00683742"/>
    <w:rsid w:val="00683795"/>
    <w:rsid w:val="006837BB"/>
    <w:rsid w:val="00683849"/>
    <w:rsid w:val="0068392B"/>
    <w:rsid w:val="00683ADA"/>
    <w:rsid w:val="00683B40"/>
    <w:rsid w:val="00683EDD"/>
    <w:rsid w:val="00683F08"/>
    <w:rsid w:val="00683F7C"/>
    <w:rsid w:val="00684070"/>
    <w:rsid w:val="00684111"/>
    <w:rsid w:val="00684123"/>
    <w:rsid w:val="006841D7"/>
    <w:rsid w:val="00684329"/>
    <w:rsid w:val="0068432D"/>
    <w:rsid w:val="006843DE"/>
    <w:rsid w:val="006844FE"/>
    <w:rsid w:val="0068482C"/>
    <w:rsid w:val="00684C76"/>
    <w:rsid w:val="00684C99"/>
    <w:rsid w:val="00684EA0"/>
    <w:rsid w:val="00685082"/>
    <w:rsid w:val="0068509D"/>
    <w:rsid w:val="0068517E"/>
    <w:rsid w:val="006852FC"/>
    <w:rsid w:val="006855E4"/>
    <w:rsid w:val="0068563A"/>
    <w:rsid w:val="00685742"/>
    <w:rsid w:val="006857A9"/>
    <w:rsid w:val="00685935"/>
    <w:rsid w:val="00685A06"/>
    <w:rsid w:val="00685A1B"/>
    <w:rsid w:val="00685C39"/>
    <w:rsid w:val="00685E54"/>
    <w:rsid w:val="00685F7F"/>
    <w:rsid w:val="00686114"/>
    <w:rsid w:val="00686360"/>
    <w:rsid w:val="006863CF"/>
    <w:rsid w:val="0068646A"/>
    <w:rsid w:val="0068671D"/>
    <w:rsid w:val="0068679A"/>
    <w:rsid w:val="00686912"/>
    <w:rsid w:val="00686BB4"/>
    <w:rsid w:val="0068727A"/>
    <w:rsid w:val="006872F1"/>
    <w:rsid w:val="006874FF"/>
    <w:rsid w:val="00687ACC"/>
    <w:rsid w:val="00687B0E"/>
    <w:rsid w:val="00687BC8"/>
    <w:rsid w:val="00687C65"/>
    <w:rsid w:val="00687F5C"/>
    <w:rsid w:val="00690003"/>
    <w:rsid w:val="0069019F"/>
    <w:rsid w:val="006901A7"/>
    <w:rsid w:val="0069028F"/>
    <w:rsid w:val="00690521"/>
    <w:rsid w:val="0069062B"/>
    <w:rsid w:val="00690875"/>
    <w:rsid w:val="006909B1"/>
    <w:rsid w:val="00690D31"/>
    <w:rsid w:val="00690D94"/>
    <w:rsid w:val="00690E4F"/>
    <w:rsid w:val="00690E56"/>
    <w:rsid w:val="00690F15"/>
    <w:rsid w:val="00690F57"/>
    <w:rsid w:val="00690FBE"/>
    <w:rsid w:val="0069104C"/>
    <w:rsid w:val="006912FC"/>
    <w:rsid w:val="006913F1"/>
    <w:rsid w:val="0069145D"/>
    <w:rsid w:val="006914AA"/>
    <w:rsid w:val="0069156B"/>
    <w:rsid w:val="006916D6"/>
    <w:rsid w:val="00691859"/>
    <w:rsid w:val="00691954"/>
    <w:rsid w:val="00691CA8"/>
    <w:rsid w:val="00691D34"/>
    <w:rsid w:val="00691D7E"/>
    <w:rsid w:val="00691E54"/>
    <w:rsid w:val="00691E5C"/>
    <w:rsid w:val="006924CC"/>
    <w:rsid w:val="006924EE"/>
    <w:rsid w:val="006927AC"/>
    <w:rsid w:val="006927C4"/>
    <w:rsid w:val="00692D03"/>
    <w:rsid w:val="006934EE"/>
    <w:rsid w:val="00693923"/>
    <w:rsid w:val="00693D5A"/>
    <w:rsid w:val="00693E58"/>
    <w:rsid w:val="0069426D"/>
    <w:rsid w:val="006942CA"/>
    <w:rsid w:val="006943BB"/>
    <w:rsid w:val="0069461F"/>
    <w:rsid w:val="006946C3"/>
    <w:rsid w:val="006947DD"/>
    <w:rsid w:val="006949C3"/>
    <w:rsid w:val="00694A5C"/>
    <w:rsid w:val="00695643"/>
    <w:rsid w:val="006956B1"/>
    <w:rsid w:val="006957B2"/>
    <w:rsid w:val="00695B76"/>
    <w:rsid w:val="00695B8A"/>
    <w:rsid w:val="00695E88"/>
    <w:rsid w:val="00695F97"/>
    <w:rsid w:val="00696197"/>
    <w:rsid w:val="0069666E"/>
    <w:rsid w:val="006967F5"/>
    <w:rsid w:val="006968F7"/>
    <w:rsid w:val="00696D79"/>
    <w:rsid w:val="00696E67"/>
    <w:rsid w:val="006971BE"/>
    <w:rsid w:val="00697460"/>
    <w:rsid w:val="00697519"/>
    <w:rsid w:val="006978FF"/>
    <w:rsid w:val="00697971"/>
    <w:rsid w:val="00697A11"/>
    <w:rsid w:val="00697A60"/>
    <w:rsid w:val="00697C7B"/>
    <w:rsid w:val="00697D62"/>
    <w:rsid w:val="00697F35"/>
    <w:rsid w:val="006A001C"/>
    <w:rsid w:val="006A0245"/>
    <w:rsid w:val="006A03AF"/>
    <w:rsid w:val="006A049E"/>
    <w:rsid w:val="006A06F9"/>
    <w:rsid w:val="006A0771"/>
    <w:rsid w:val="006A0C76"/>
    <w:rsid w:val="006A0C7D"/>
    <w:rsid w:val="006A0D56"/>
    <w:rsid w:val="006A0E14"/>
    <w:rsid w:val="006A1038"/>
    <w:rsid w:val="006A1066"/>
    <w:rsid w:val="006A130A"/>
    <w:rsid w:val="006A1367"/>
    <w:rsid w:val="006A13AE"/>
    <w:rsid w:val="006A147C"/>
    <w:rsid w:val="006A156D"/>
    <w:rsid w:val="006A1605"/>
    <w:rsid w:val="006A1730"/>
    <w:rsid w:val="006A1B41"/>
    <w:rsid w:val="006A1F38"/>
    <w:rsid w:val="006A20A3"/>
    <w:rsid w:val="006A22C4"/>
    <w:rsid w:val="006A2D0B"/>
    <w:rsid w:val="006A2D4C"/>
    <w:rsid w:val="006A2E26"/>
    <w:rsid w:val="006A3141"/>
    <w:rsid w:val="006A3279"/>
    <w:rsid w:val="006A340B"/>
    <w:rsid w:val="006A3891"/>
    <w:rsid w:val="006A3899"/>
    <w:rsid w:val="006A3946"/>
    <w:rsid w:val="006A3A0C"/>
    <w:rsid w:val="006A3D58"/>
    <w:rsid w:val="006A3E98"/>
    <w:rsid w:val="006A3FA1"/>
    <w:rsid w:val="006A41E6"/>
    <w:rsid w:val="006A4383"/>
    <w:rsid w:val="006A449D"/>
    <w:rsid w:val="006A48D7"/>
    <w:rsid w:val="006A4975"/>
    <w:rsid w:val="006A497F"/>
    <w:rsid w:val="006A4A58"/>
    <w:rsid w:val="006A4B2D"/>
    <w:rsid w:val="006A4C6C"/>
    <w:rsid w:val="006A4CB4"/>
    <w:rsid w:val="006A55AE"/>
    <w:rsid w:val="006A57AC"/>
    <w:rsid w:val="006A5863"/>
    <w:rsid w:val="006A58B2"/>
    <w:rsid w:val="006A58DE"/>
    <w:rsid w:val="006A5C66"/>
    <w:rsid w:val="006A5CB4"/>
    <w:rsid w:val="006A5FAE"/>
    <w:rsid w:val="006A60C6"/>
    <w:rsid w:val="006A61D9"/>
    <w:rsid w:val="006A64F8"/>
    <w:rsid w:val="006A67FB"/>
    <w:rsid w:val="006A697F"/>
    <w:rsid w:val="006A6B9F"/>
    <w:rsid w:val="006A6DEF"/>
    <w:rsid w:val="006A6F29"/>
    <w:rsid w:val="006A7278"/>
    <w:rsid w:val="006A72F9"/>
    <w:rsid w:val="006A7357"/>
    <w:rsid w:val="006A7445"/>
    <w:rsid w:val="006A7914"/>
    <w:rsid w:val="006A7A81"/>
    <w:rsid w:val="006A7B54"/>
    <w:rsid w:val="006A7C0A"/>
    <w:rsid w:val="006A7D11"/>
    <w:rsid w:val="006A7F22"/>
    <w:rsid w:val="006A7FC3"/>
    <w:rsid w:val="006B0051"/>
    <w:rsid w:val="006B01CC"/>
    <w:rsid w:val="006B04AB"/>
    <w:rsid w:val="006B0605"/>
    <w:rsid w:val="006B06A4"/>
    <w:rsid w:val="006B07EA"/>
    <w:rsid w:val="006B08F4"/>
    <w:rsid w:val="006B0B9E"/>
    <w:rsid w:val="006B0BD2"/>
    <w:rsid w:val="006B0C34"/>
    <w:rsid w:val="006B0CC0"/>
    <w:rsid w:val="006B0D9B"/>
    <w:rsid w:val="006B0E44"/>
    <w:rsid w:val="006B0FF8"/>
    <w:rsid w:val="006B1172"/>
    <w:rsid w:val="006B1203"/>
    <w:rsid w:val="006B1444"/>
    <w:rsid w:val="006B15DF"/>
    <w:rsid w:val="006B185D"/>
    <w:rsid w:val="006B19D7"/>
    <w:rsid w:val="006B1B11"/>
    <w:rsid w:val="006B1C64"/>
    <w:rsid w:val="006B1FA4"/>
    <w:rsid w:val="006B1FCB"/>
    <w:rsid w:val="006B201D"/>
    <w:rsid w:val="006B20E0"/>
    <w:rsid w:val="006B22C5"/>
    <w:rsid w:val="006B2415"/>
    <w:rsid w:val="006B24A2"/>
    <w:rsid w:val="006B25AD"/>
    <w:rsid w:val="006B28FA"/>
    <w:rsid w:val="006B2940"/>
    <w:rsid w:val="006B297A"/>
    <w:rsid w:val="006B2C5B"/>
    <w:rsid w:val="006B2C65"/>
    <w:rsid w:val="006B2D36"/>
    <w:rsid w:val="006B2D78"/>
    <w:rsid w:val="006B2DD5"/>
    <w:rsid w:val="006B2E3B"/>
    <w:rsid w:val="006B2F71"/>
    <w:rsid w:val="006B2FBD"/>
    <w:rsid w:val="006B3140"/>
    <w:rsid w:val="006B32D6"/>
    <w:rsid w:val="006B33A1"/>
    <w:rsid w:val="006B3687"/>
    <w:rsid w:val="006B383F"/>
    <w:rsid w:val="006B393B"/>
    <w:rsid w:val="006B3A3F"/>
    <w:rsid w:val="006B3D65"/>
    <w:rsid w:val="006B473C"/>
    <w:rsid w:val="006B4802"/>
    <w:rsid w:val="006B491D"/>
    <w:rsid w:val="006B4A76"/>
    <w:rsid w:val="006B4CBD"/>
    <w:rsid w:val="006B4D60"/>
    <w:rsid w:val="006B4E30"/>
    <w:rsid w:val="006B4F5A"/>
    <w:rsid w:val="006B4F73"/>
    <w:rsid w:val="006B51AE"/>
    <w:rsid w:val="006B5430"/>
    <w:rsid w:val="006B5573"/>
    <w:rsid w:val="006B55EE"/>
    <w:rsid w:val="006B585E"/>
    <w:rsid w:val="006B59C7"/>
    <w:rsid w:val="006B5D6F"/>
    <w:rsid w:val="006B629F"/>
    <w:rsid w:val="006B645C"/>
    <w:rsid w:val="006B66E4"/>
    <w:rsid w:val="006B67CA"/>
    <w:rsid w:val="006B67DA"/>
    <w:rsid w:val="006B6823"/>
    <w:rsid w:val="006B68DA"/>
    <w:rsid w:val="006B68F0"/>
    <w:rsid w:val="006B6A26"/>
    <w:rsid w:val="006B6C02"/>
    <w:rsid w:val="006B6C48"/>
    <w:rsid w:val="006B6E37"/>
    <w:rsid w:val="006B6E71"/>
    <w:rsid w:val="006B7016"/>
    <w:rsid w:val="006B7141"/>
    <w:rsid w:val="006B73D2"/>
    <w:rsid w:val="006B7619"/>
    <w:rsid w:val="006B7680"/>
    <w:rsid w:val="006B7A69"/>
    <w:rsid w:val="006B7CEF"/>
    <w:rsid w:val="006B7E97"/>
    <w:rsid w:val="006C017F"/>
    <w:rsid w:val="006C028F"/>
    <w:rsid w:val="006C03F0"/>
    <w:rsid w:val="006C0435"/>
    <w:rsid w:val="006C0694"/>
    <w:rsid w:val="006C07C5"/>
    <w:rsid w:val="006C087F"/>
    <w:rsid w:val="006C0929"/>
    <w:rsid w:val="006C09B9"/>
    <w:rsid w:val="006C0AB0"/>
    <w:rsid w:val="006C0C35"/>
    <w:rsid w:val="006C10E1"/>
    <w:rsid w:val="006C134C"/>
    <w:rsid w:val="006C1467"/>
    <w:rsid w:val="006C15BD"/>
    <w:rsid w:val="006C17E2"/>
    <w:rsid w:val="006C1C99"/>
    <w:rsid w:val="006C1D1F"/>
    <w:rsid w:val="006C1DBF"/>
    <w:rsid w:val="006C2131"/>
    <w:rsid w:val="006C22F7"/>
    <w:rsid w:val="006C2308"/>
    <w:rsid w:val="006C230E"/>
    <w:rsid w:val="006C26FB"/>
    <w:rsid w:val="006C2DB0"/>
    <w:rsid w:val="006C2DEE"/>
    <w:rsid w:val="006C30D3"/>
    <w:rsid w:val="006C33C1"/>
    <w:rsid w:val="006C3B2C"/>
    <w:rsid w:val="006C3B41"/>
    <w:rsid w:val="006C3CA9"/>
    <w:rsid w:val="006C3EFA"/>
    <w:rsid w:val="006C4031"/>
    <w:rsid w:val="006C41B6"/>
    <w:rsid w:val="006C4293"/>
    <w:rsid w:val="006C44A3"/>
    <w:rsid w:val="006C44CC"/>
    <w:rsid w:val="006C46DD"/>
    <w:rsid w:val="006C47AF"/>
    <w:rsid w:val="006C4A85"/>
    <w:rsid w:val="006C4BC2"/>
    <w:rsid w:val="006C4C02"/>
    <w:rsid w:val="006C4E41"/>
    <w:rsid w:val="006C50B1"/>
    <w:rsid w:val="006C5101"/>
    <w:rsid w:val="006C52A3"/>
    <w:rsid w:val="006C52CB"/>
    <w:rsid w:val="006C52DE"/>
    <w:rsid w:val="006C5372"/>
    <w:rsid w:val="006C5537"/>
    <w:rsid w:val="006C56BE"/>
    <w:rsid w:val="006C578D"/>
    <w:rsid w:val="006C5856"/>
    <w:rsid w:val="006C59B1"/>
    <w:rsid w:val="006C59E0"/>
    <w:rsid w:val="006C5B3F"/>
    <w:rsid w:val="006C5D0A"/>
    <w:rsid w:val="006C5F2E"/>
    <w:rsid w:val="006C6191"/>
    <w:rsid w:val="006C680E"/>
    <w:rsid w:val="006C69DE"/>
    <w:rsid w:val="006C6F11"/>
    <w:rsid w:val="006C718E"/>
    <w:rsid w:val="006C72B1"/>
    <w:rsid w:val="006C72CC"/>
    <w:rsid w:val="006C7642"/>
    <w:rsid w:val="006C78D6"/>
    <w:rsid w:val="006C7D6D"/>
    <w:rsid w:val="006C7D9F"/>
    <w:rsid w:val="006C7EC5"/>
    <w:rsid w:val="006D0475"/>
    <w:rsid w:val="006D0845"/>
    <w:rsid w:val="006D085C"/>
    <w:rsid w:val="006D0881"/>
    <w:rsid w:val="006D08D8"/>
    <w:rsid w:val="006D0AD2"/>
    <w:rsid w:val="006D0B36"/>
    <w:rsid w:val="006D11A9"/>
    <w:rsid w:val="006D1201"/>
    <w:rsid w:val="006D146A"/>
    <w:rsid w:val="006D1676"/>
    <w:rsid w:val="006D1678"/>
    <w:rsid w:val="006D1A7B"/>
    <w:rsid w:val="006D1C96"/>
    <w:rsid w:val="006D1D43"/>
    <w:rsid w:val="006D1D96"/>
    <w:rsid w:val="006D200D"/>
    <w:rsid w:val="006D243D"/>
    <w:rsid w:val="006D2896"/>
    <w:rsid w:val="006D29D9"/>
    <w:rsid w:val="006D2F6C"/>
    <w:rsid w:val="006D30DD"/>
    <w:rsid w:val="006D3485"/>
    <w:rsid w:val="006D3657"/>
    <w:rsid w:val="006D368D"/>
    <w:rsid w:val="006D36AC"/>
    <w:rsid w:val="006D37F6"/>
    <w:rsid w:val="006D385A"/>
    <w:rsid w:val="006D39FE"/>
    <w:rsid w:val="006D3B19"/>
    <w:rsid w:val="006D3C11"/>
    <w:rsid w:val="006D3E7F"/>
    <w:rsid w:val="006D3F44"/>
    <w:rsid w:val="006D4082"/>
    <w:rsid w:val="006D41FA"/>
    <w:rsid w:val="006D44BF"/>
    <w:rsid w:val="006D4532"/>
    <w:rsid w:val="006D476D"/>
    <w:rsid w:val="006D4DD1"/>
    <w:rsid w:val="006D4F4F"/>
    <w:rsid w:val="006D4FD3"/>
    <w:rsid w:val="006D50A1"/>
    <w:rsid w:val="006D50FB"/>
    <w:rsid w:val="006D53FF"/>
    <w:rsid w:val="006D58B6"/>
    <w:rsid w:val="006D58CF"/>
    <w:rsid w:val="006D5A1A"/>
    <w:rsid w:val="006D5AAB"/>
    <w:rsid w:val="006D5CD8"/>
    <w:rsid w:val="006D5DF6"/>
    <w:rsid w:val="006D618A"/>
    <w:rsid w:val="006D6390"/>
    <w:rsid w:val="006D63CB"/>
    <w:rsid w:val="006D655D"/>
    <w:rsid w:val="006D6BCA"/>
    <w:rsid w:val="006D6E3F"/>
    <w:rsid w:val="006D715B"/>
    <w:rsid w:val="006D72F8"/>
    <w:rsid w:val="006D7441"/>
    <w:rsid w:val="006D74F1"/>
    <w:rsid w:val="006D7565"/>
    <w:rsid w:val="006D7569"/>
    <w:rsid w:val="006D7636"/>
    <w:rsid w:val="006D763D"/>
    <w:rsid w:val="006D76EC"/>
    <w:rsid w:val="006D7850"/>
    <w:rsid w:val="006D7903"/>
    <w:rsid w:val="006D7C2C"/>
    <w:rsid w:val="006D7C70"/>
    <w:rsid w:val="006D7D2C"/>
    <w:rsid w:val="006E0169"/>
    <w:rsid w:val="006E0554"/>
    <w:rsid w:val="006E0BE4"/>
    <w:rsid w:val="006E14BC"/>
    <w:rsid w:val="006E1786"/>
    <w:rsid w:val="006E1B7A"/>
    <w:rsid w:val="006E1DE4"/>
    <w:rsid w:val="006E1F42"/>
    <w:rsid w:val="006E1F97"/>
    <w:rsid w:val="006E20EB"/>
    <w:rsid w:val="006E2432"/>
    <w:rsid w:val="006E2447"/>
    <w:rsid w:val="006E250B"/>
    <w:rsid w:val="006E26E4"/>
    <w:rsid w:val="006E2E1C"/>
    <w:rsid w:val="006E301A"/>
    <w:rsid w:val="006E30F9"/>
    <w:rsid w:val="006E3451"/>
    <w:rsid w:val="006E3563"/>
    <w:rsid w:val="006E36BB"/>
    <w:rsid w:val="006E3721"/>
    <w:rsid w:val="006E38BC"/>
    <w:rsid w:val="006E393D"/>
    <w:rsid w:val="006E396F"/>
    <w:rsid w:val="006E3D00"/>
    <w:rsid w:val="006E3D76"/>
    <w:rsid w:val="006E3E74"/>
    <w:rsid w:val="006E4321"/>
    <w:rsid w:val="006E4461"/>
    <w:rsid w:val="006E460B"/>
    <w:rsid w:val="006E4927"/>
    <w:rsid w:val="006E4955"/>
    <w:rsid w:val="006E49BD"/>
    <w:rsid w:val="006E4A50"/>
    <w:rsid w:val="006E4C56"/>
    <w:rsid w:val="006E4E70"/>
    <w:rsid w:val="006E4EA7"/>
    <w:rsid w:val="006E53E6"/>
    <w:rsid w:val="006E54E0"/>
    <w:rsid w:val="006E573D"/>
    <w:rsid w:val="006E5B6A"/>
    <w:rsid w:val="006E61A0"/>
    <w:rsid w:val="006E61C4"/>
    <w:rsid w:val="006E634A"/>
    <w:rsid w:val="006E6C27"/>
    <w:rsid w:val="006E6D7F"/>
    <w:rsid w:val="006E6E51"/>
    <w:rsid w:val="006E6F02"/>
    <w:rsid w:val="006E6FF6"/>
    <w:rsid w:val="006E7397"/>
    <w:rsid w:val="006E73E3"/>
    <w:rsid w:val="006E78F9"/>
    <w:rsid w:val="006E7B55"/>
    <w:rsid w:val="006E7F80"/>
    <w:rsid w:val="006F00FA"/>
    <w:rsid w:val="006F0216"/>
    <w:rsid w:val="006F023B"/>
    <w:rsid w:val="006F04C2"/>
    <w:rsid w:val="006F0927"/>
    <w:rsid w:val="006F0948"/>
    <w:rsid w:val="006F0C35"/>
    <w:rsid w:val="006F0ED3"/>
    <w:rsid w:val="006F12CA"/>
    <w:rsid w:val="006F1546"/>
    <w:rsid w:val="006F15A0"/>
    <w:rsid w:val="006F169E"/>
    <w:rsid w:val="006F16AA"/>
    <w:rsid w:val="006F1815"/>
    <w:rsid w:val="006F18EA"/>
    <w:rsid w:val="006F19A2"/>
    <w:rsid w:val="006F1A1B"/>
    <w:rsid w:val="006F1AC4"/>
    <w:rsid w:val="006F1E2A"/>
    <w:rsid w:val="006F20DE"/>
    <w:rsid w:val="006F22C7"/>
    <w:rsid w:val="006F26A8"/>
    <w:rsid w:val="006F26B8"/>
    <w:rsid w:val="006F2812"/>
    <w:rsid w:val="006F2896"/>
    <w:rsid w:val="006F2899"/>
    <w:rsid w:val="006F2992"/>
    <w:rsid w:val="006F29D5"/>
    <w:rsid w:val="006F2AA8"/>
    <w:rsid w:val="006F2AE8"/>
    <w:rsid w:val="006F2FF7"/>
    <w:rsid w:val="006F301A"/>
    <w:rsid w:val="006F3276"/>
    <w:rsid w:val="006F3498"/>
    <w:rsid w:val="006F34D8"/>
    <w:rsid w:val="006F363E"/>
    <w:rsid w:val="006F3932"/>
    <w:rsid w:val="006F3C68"/>
    <w:rsid w:val="006F3DD9"/>
    <w:rsid w:val="006F400F"/>
    <w:rsid w:val="006F42FC"/>
    <w:rsid w:val="006F45BB"/>
    <w:rsid w:val="006F45DE"/>
    <w:rsid w:val="006F47D6"/>
    <w:rsid w:val="006F4BF8"/>
    <w:rsid w:val="006F4CEB"/>
    <w:rsid w:val="006F4D42"/>
    <w:rsid w:val="006F4F96"/>
    <w:rsid w:val="006F51CB"/>
    <w:rsid w:val="006F51FF"/>
    <w:rsid w:val="006F5393"/>
    <w:rsid w:val="006F5482"/>
    <w:rsid w:val="006F5547"/>
    <w:rsid w:val="006F5680"/>
    <w:rsid w:val="006F58DC"/>
    <w:rsid w:val="006F592A"/>
    <w:rsid w:val="006F5E3F"/>
    <w:rsid w:val="006F5E98"/>
    <w:rsid w:val="006F5E9B"/>
    <w:rsid w:val="006F6215"/>
    <w:rsid w:val="006F6295"/>
    <w:rsid w:val="006F7587"/>
    <w:rsid w:val="006F763F"/>
    <w:rsid w:val="006F7672"/>
    <w:rsid w:val="006F7B98"/>
    <w:rsid w:val="007001A9"/>
    <w:rsid w:val="007005F1"/>
    <w:rsid w:val="00700694"/>
    <w:rsid w:val="007007FB"/>
    <w:rsid w:val="0070088F"/>
    <w:rsid w:val="00700AAD"/>
    <w:rsid w:val="007011D2"/>
    <w:rsid w:val="0070128F"/>
    <w:rsid w:val="007013C1"/>
    <w:rsid w:val="007013C5"/>
    <w:rsid w:val="00701484"/>
    <w:rsid w:val="00701500"/>
    <w:rsid w:val="007016C6"/>
    <w:rsid w:val="00701732"/>
    <w:rsid w:val="00701AB8"/>
    <w:rsid w:val="00701B70"/>
    <w:rsid w:val="00701FAF"/>
    <w:rsid w:val="00702179"/>
    <w:rsid w:val="007022B5"/>
    <w:rsid w:val="00702391"/>
    <w:rsid w:val="00702827"/>
    <w:rsid w:val="007029D1"/>
    <w:rsid w:val="00702BE0"/>
    <w:rsid w:val="00702C67"/>
    <w:rsid w:val="00702D29"/>
    <w:rsid w:val="00702DDC"/>
    <w:rsid w:val="00702DE9"/>
    <w:rsid w:val="00703418"/>
    <w:rsid w:val="00703582"/>
    <w:rsid w:val="0070387A"/>
    <w:rsid w:val="00703AA4"/>
    <w:rsid w:val="00703F2F"/>
    <w:rsid w:val="007040B9"/>
    <w:rsid w:val="007041F3"/>
    <w:rsid w:val="00704498"/>
    <w:rsid w:val="0070484B"/>
    <w:rsid w:val="00704DC1"/>
    <w:rsid w:val="00704F3E"/>
    <w:rsid w:val="00705120"/>
    <w:rsid w:val="00705385"/>
    <w:rsid w:val="0070540E"/>
    <w:rsid w:val="00705517"/>
    <w:rsid w:val="0070558E"/>
    <w:rsid w:val="0070582A"/>
    <w:rsid w:val="007058C0"/>
    <w:rsid w:val="00705CE4"/>
    <w:rsid w:val="00705D13"/>
    <w:rsid w:val="00705FA6"/>
    <w:rsid w:val="00705FC4"/>
    <w:rsid w:val="0070639C"/>
    <w:rsid w:val="00706513"/>
    <w:rsid w:val="00706575"/>
    <w:rsid w:val="00706717"/>
    <w:rsid w:val="0070694A"/>
    <w:rsid w:val="007069B1"/>
    <w:rsid w:val="007069E1"/>
    <w:rsid w:val="00706B3A"/>
    <w:rsid w:val="0070719B"/>
    <w:rsid w:val="00707389"/>
    <w:rsid w:val="0070743F"/>
    <w:rsid w:val="00707448"/>
    <w:rsid w:val="0070753C"/>
    <w:rsid w:val="0070768A"/>
    <w:rsid w:val="007076D8"/>
    <w:rsid w:val="00707728"/>
    <w:rsid w:val="007077FF"/>
    <w:rsid w:val="00707C95"/>
    <w:rsid w:val="00707D1F"/>
    <w:rsid w:val="00707D81"/>
    <w:rsid w:val="00707F1E"/>
    <w:rsid w:val="007105E0"/>
    <w:rsid w:val="00710920"/>
    <w:rsid w:val="00710D63"/>
    <w:rsid w:val="00710E31"/>
    <w:rsid w:val="00710FF7"/>
    <w:rsid w:val="007114DF"/>
    <w:rsid w:val="007117AA"/>
    <w:rsid w:val="0071192E"/>
    <w:rsid w:val="00711A73"/>
    <w:rsid w:val="00711C96"/>
    <w:rsid w:val="00711DAA"/>
    <w:rsid w:val="00712208"/>
    <w:rsid w:val="007122E0"/>
    <w:rsid w:val="00712352"/>
    <w:rsid w:val="00712555"/>
    <w:rsid w:val="007127CA"/>
    <w:rsid w:val="0071299D"/>
    <w:rsid w:val="007129B1"/>
    <w:rsid w:val="00712B0A"/>
    <w:rsid w:val="00712E3C"/>
    <w:rsid w:val="00712E9B"/>
    <w:rsid w:val="00713496"/>
    <w:rsid w:val="00713918"/>
    <w:rsid w:val="00713BF1"/>
    <w:rsid w:val="00713E13"/>
    <w:rsid w:val="00714696"/>
    <w:rsid w:val="00714799"/>
    <w:rsid w:val="0071481F"/>
    <w:rsid w:val="0071494D"/>
    <w:rsid w:val="00714B41"/>
    <w:rsid w:val="00714BE6"/>
    <w:rsid w:val="00714E54"/>
    <w:rsid w:val="00714EA6"/>
    <w:rsid w:val="0071515E"/>
    <w:rsid w:val="007153DB"/>
    <w:rsid w:val="007153E4"/>
    <w:rsid w:val="00715470"/>
    <w:rsid w:val="00715592"/>
    <w:rsid w:val="00715946"/>
    <w:rsid w:val="00715ABF"/>
    <w:rsid w:val="00715B96"/>
    <w:rsid w:val="00715C97"/>
    <w:rsid w:val="00715EB1"/>
    <w:rsid w:val="0071625B"/>
    <w:rsid w:val="00716588"/>
    <w:rsid w:val="007165FF"/>
    <w:rsid w:val="007166E8"/>
    <w:rsid w:val="0071675B"/>
    <w:rsid w:val="007168FC"/>
    <w:rsid w:val="00716AAC"/>
    <w:rsid w:val="00716B23"/>
    <w:rsid w:val="00716DAE"/>
    <w:rsid w:val="00716E6B"/>
    <w:rsid w:val="00716FA2"/>
    <w:rsid w:val="0071701D"/>
    <w:rsid w:val="007170B4"/>
    <w:rsid w:val="007170DE"/>
    <w:rsid w:val="00717443"/>
    <w:rsid w:val="007174EC"/>
    <w:rsid w:val="0071752C"/>
    <w:rsid w:val="0071753D"/>
    <w:rsid w:val="00717735"/>
    <w:rsid w:val="00717956"/>
    <w:rsid w:val="00717AB0"/>
    <w:rsid w:val="00720006"/>
    <w:rsid w:val="007200E4"/>
    <w:rsid w:val="007202C1"/>
    <w:rsid w:val="0072038F"/>
    <w:rsid w:val="00720701"/>
    <w:rsid w:val="0072072F"/>
    <w:rsid w:val="00720750"/>
    <w:rsid w:val="0072076C"/>
    <w:rsid w:val="007207F5"/>
    <w:rsid w:val="00720888"/>
    <w:rsid w:val="00720AF9"/>
    <w:rsid w:val="00720C0E"/>
    <w:rsid w:val="00720C6A"/>
    <w:rsid w:val="00721062"/>
    <w:rsid w:val="00721206"/>
    <w:rsid w:val="007215C2"/>
    <w:rsid w:val="0072168A"/>
    <w:rsid w:val="007216C7"/>
    <w:rsid w:val="007218EA"/>
    <w:rsid w:val="00721903"/>
    <w:rsid w:val="00721FEF"/>
    <w:rsid w:val="00721FF9"/>
    <w:rsid w:val="00722097"/>
    <w:rsid w:val="0072224C"/>
    <w:rsid w:val="007222B9"/>
    <w:rsid w:val="007222CF"/>
    <w:rsid w:val="007223B8"/>
    <w:rsid w:val="00722581"/>
    <w:rsid w:val="00722655"/>
    <w:rsid w:val="00722B23"/>
    <w:rsid w:val="00722E04"/>
    <w:rsid w:val="00722E9C"/>
    <w:rsid w:val="0072325D"/>
    <w:rsid w:val="00723359"/>
    <w:rsid w:val="00723487"/>
    <w:rsid w:val="007234F3"/>
    <w:rsid w:val="00723687"/>
    <w:rsid w:val="007236E1"/>
    <w:rsid w:val="007238E5"/>
    <w:rsid w:val="00723960"/>
    <w:rsid w:val="00723B82"/>
    <w:rsid w:val="00723DAC"/>
    <w:rsid w:val="00723E36"/>
    <w:rsid w:val="00723EA8"/>
    <w:rsid w:val="00723F4F"/>
    <w:rsid w:val="007240C2"/>
    <w:rsid w:val="0072410A"/>
    <w:rsid w:val="00724232"/>
    <w:rsid w:val="007242DC"/>
    <w:rsid w:val="00724544"/>
    <w:rsid w:val="007245ED"/>
    <w:rsid w:val="007248D6"/>
    <w:rsid w:val="00724B37"/>
    <w:rsid w:val="00724EBC"/>
    <w:rsid w:val="0072520D"/>
    <w:rsid w:val="007253CD"/>
    <w:rsid w:val="007257C3"/>
    <w:rsid w:val="00725AA5"/>
    <w:rsid w:val="00725B18"/>
    <w:rsid w:val="00725B46"/>
    <w:rsid w:val="00725E3F"/>
    <w:rsid w:val="00726414"/>
    <w:rsid w:val="00726BC6"/>
    <w:rsid w:val="00726BE1"/>
    <w:rsid w:val="00726E09"/>
    <w:rsid w:val="0072702F"/>
    <w:rsid w:val="00727273"/>
    <w:rsid w:val="007276E5"/>
    <w:rsid w:val="00727C0C"/>
    <w:rsid w:val="00730044"/>
    <w:rsid w:val="00730134"/>
    <w:rsid w:val="007302CC"/>
    <w:rsid w:val="00730326"/>
    <w:rsid w:val="00730647"/>
    <w:rsid w:val="0073068C"/>
    <w:rsid w:val="00730892"/>
    <w:rsid w:val="007308E0"/>
    <w:rsid w:val="0073090B"/>
    <w:rsid w:val="00730B94"/>
    <w:rsid w:val="00730C21"/>
    <w:rsid w:val="00730C40"/>
    <w:rsid w:val="00730FB6"/>
    <w:rsid w:val="00731025"/>
    <w:rsid w:val="007311BA"/>
    <w:rsid w:val="0073143B"/>
    <w:rsid w:val="00731C43"/>
    <w:rsid w:val="00731C83"/>
    <w:rsid w:val="00731C8B"/>
    <w:rsid w:val="00731F73"/>
    <w:rsid w:val="00731FA8"/>
    <w:rsid w:val="00731FAB"/>
    <w:rsid w:val="00732670"/>
    <w:rsid w:val="00732682"/>
    <w:rsid w:val="00732736"/>
    <w:rsid w:val="00732FC6"/>
    <w:rsid w:val="00733025"/>
    <w:rsid w:val="00733133"/>
    <w:rsid w:val="00733140"/>
    <w:rsid w:val="00733201"/>
    <w:rsid w:val="00733349"/>
    <w:rsid w:val="00733525"/>
    <w:rsid w:val="007337AE"/>
    <w:rsid w:val="00733EED"/>
    <w:rsid w:val="00733F4D"/>
    <w:rsid w:val="00734212"/>
    <w:rsid w:val="0073442B"/>
    <w:rsid w:val="007344E6"/>
    <w:rsid w:val="0073456E"/>
    <w:rsid w:val="0073478A"/>
    <w:rsid w:val="00734812"/>
    <w:rsid w:val="00734943"/>
    <w:rsid w:val="00734949"/>
    <w:rsid w:val="00734D11"/>
    <w:rsid w:val="00735621"/>
    <w:rsid w:val="007358F4"/>
    <w:rsid w:val="00735A86"/>
    <w:rsid w:val="00735ABA"/>
    <w:rsid w:val="00735BF8"/>
    <w:rsid w:val="00735F63"/>
    <w:rsid w:val="0073633E"/>
    <w:rsid w:val="007367E0"/>
    <w:rsid w:val="00736AA4"/>
    <w:rsid w:val="00736DA8"/>
    <w:rsid w:val="00736E35"/>
    <w:rsid w:val="007370FE"/>
    <w:rsid w:val="0073740A"/>
    <w:rsid w:val="0073780E"/>
    <w:rsid w:val="007379B4"/>
    <w:rsid w:val="00737BC1"/>
    <w:rsid w:val="00737CC9"/>
    <w:rsid w:val="007401F3"/>
    <w:rsid w:val="0074027D"/>
    <w:rsid w:val="007402EA"/>
    <w:rsid w:val="0074041B"/>
    <w:rsid w:val="00740807"/>
    <w:rsid w:val="00740882"/>
    <w:rsid w:val="0074096B"/>
    <w:rsid w:val="007409A9"/>
    <w:rsid w:val="00740BB9"/>
    <w:rsid w:val="0074104E"/>
    <w:rsid w:val="007415EE"/>
    <w:rsid w:val="007416AC"/>
    <w:rsid w:val="00741774"/>
    <w:rsid w:val="00741A8B"/>
    <w:rsid w:val="00741F39"/>
    <w:rsid w:val="007420BB"/>
    <w:rsid w:val="007420EE"/>
    <w:rsid w:val="00742207"/>
    <w:rsid w:val="0074270A"/>
    <w:rsid w:val="00742874"/>
    <w:rsid w:val="00742882"/>
    <w:rsid w:val="0074292D"/>
    <w:rsid w:val="00742953"/>
    <w:rsid w:val="00742C29"/>
    <w:rsid w:val="00743639"/>
    <w:rsid w:val="0074367C"/>
    <w:rsid w:val="007436A8"/>
    <w:rsid w:val="00743791"/>
    <w:rsid w:val="007438A1"/>
    <w:rsid w:val="00743A1E"/>
    <w:rsid w:val="00743A55"/>
    <w:rsid w:val="00743AE7"/>
    <w:rsid w:val="00743E88"/>
    <w:rsid w:val="007440F5"/>
    <w:rsid w:val="00744190"/>
    <w:rsid w:val="007442B9"/>
    <w:rsid w:val="007443B9"/>
    <w:rsid w:val="0074483A"/>
    <w:rsid w:val="00744956"/>
    <w:rsid w:val="00744C7D"/>
    <w:rsid w:val="00744E1B"/>
    <w:rsid w:val="00744EB9"/>
    <w:rsid w:val="0074532B"/>
    <w:rsid w:val="0074536C"/>
    <w:rsid w:val="00745390"/>
    <w:rsid w:val="0074546F"/>
    <w:rsid w:val="0074566C"/>
    <w:rsid w:val="007459C0"/>
    <w:rsid w:val="00745A38"/>
    <w:rsid w:val="00745B61"/>
    <w:rsid w:val="00745B80"/>
    <w:rsid w:val="00746287"/>
    <w:rsid w:val="007463BA"/>
    <w:rsid w:val="007465DC"/>
    <w:rsid w:val="00746681"/>
    <w:rsid w:val="007466DF"/>
    <w:rsid w:val="007467B7"/>
    <w:rsid w:val="0074689B"/>
    <w:rsid w:val="007468B7"/>
    <w:rsid w:val="007468C6"/>
    <w:rsid w:val="00746D4D"/>
    <w:rsid w:val="00746E83"/>
    <w:rsid w:val="00746F89"/>
    <w:rsid w:val="00747130"/>
    <w:rsid w:val="0074732B"/>
    <w:rsid w:val="00747441"/>
    <w:rsid w:val="0074745F"/>
    <w:rsid w:val="00747800"/>
    <w:rsid w:val="007479CC"/>
    <w:rsid w:val="00747ACC"/>
    <w:rsid w:val="00747FF5"/>
    <w:rsid w:val="0075024E"/>
    <w:rsid w:val="007503A8"/>
    <w:rsid w:val="00750501"/>
    <w:rsid w:val="0075069E"/>
    <w:rsid w:val="007506A5"/>
    <w:rsid w:val="0075080C"/>
    <w:rsid w:val="007509FA"/>
    <w:rsid w:val="00750A2E"/>
    <w:rsid w:val="00750B97"/>
    <w:rsid w:val="0075101C"/>
    <w:rsid w:val="00751090"/>
    <w:rsid w:val="00751405"/>
    <w:rsid w:val="007515B4"/>
    <w:rsid w:val="00751633"/>
    <w:rsid w:val="007516E3"/>
    <w:rsid w:val="007518E0"/>
    <w:rsid w:val="007518EB"/>
    <w:rsid w:val="00751B5A"/>
    <w:rsid w:val="00751B74"/>
    <w:rsid w:val="00751CFC"/>
    <w:rsid w:val="00751D68"/>
    <w:rsid w:val="00751EBA"/>
    <w:rsid w:val="00751F7A"/>
    <w:rsid w:val="00751FF1"/>
    <w:rsid w:val="00752095"/>
    <w:rsid w:val="0075221C"/>
    <w:rsid w:val="00752467"/>
    <w:rsid w:val="0075246C"/>
    <w:rsid w:val="0075256A"/>
    <w:rsid w:val="00752916"/>
    <w:rsid w:val="00752993"/>
    <w:rsid w:val="00752AC1"/>
    <w:rsid w:val="00752AE4"/>
    <w:rsid w:val="00752B06"/>
    <w:rsid w:val="00752B44"/>
    <w:rsid w:val="00752EC5"/>
    <w:rsid w:val="0075330E"/>
    <w:rsid w:val="0075374F"/>
    <w:rsid w:val="00753799"/>
    <w:rsid w:val="007538E5"/>
    <w:rsid w:val="00753CBD"/>
    <w:rsid w:val="00753D9F"/>
    <w:rsid w:val="00753DC0"/>
    <w:rsid w:val="0075420E"/>
    <w:rsid w:val="00754312"/>
    <w:rsid w:val="0075459C"/>
    <w:rsid w:val="007545FA"/>
    <w:rsid w:val="0075467D"/>
    <w:rsid w:val="0075471C"/>
    <w:rsid w:val="00754B48"/>
    <w:rsid w:val="00754D6A"/>
    <w:rsid w:val="00754F65"/>
    <w:rsid w:val="0075550A"/>
    <w:rsid w:val="00755BD8"/>
    <w:rsid w:val="00755CD6"/>
    <w:rsid w:val="00755D4D"/>
    <w:rsid w:val="0075654B"/>
    <w:rsid w:val="00756686"/>
    <w:rsid w:val="00756753"/>
    <w:rsid w:val="0075681E"/>
    <w:rsid w:val="00756A0E"/>
    <w:rsid w:val="00756A50"/>
    <w:rsid w:val="00756C4A"/>
    <w:rsid w:val="00757207"/>
    <w:rsid w:val="0075736C"/>
    <w:rsid w:val="00757401"/>
    <w:rsid w:val="007575E5"/>
    <w:rsid w:val="007577FE"/>
    <w:rsid w:val="00757BAE"/>
    <w:rsid w:val="00757DC9"/>
    <w:rsid w:val="00757F2D"/>
    <w:rsid w:val="00760036"/>
    <w:rsid w:val="007600E4"/>
    <w:rsid w:val="00760126"/>
    <w:rsid w:val="007602DB"/>
    <w:rsid w:val="0076049A"/>
    <w:rsid w:val="007605F7"/>
    <w:rsid w:val="00760669"/>
    <w:rsid w:val="00760728"/>
    <w:rsid w:val="007607D4"/>
    <w:rsid w:val="00760B65"/>
    <w:rsid w:val="00760C67"/>
    <w:rsid w:val="00760C85"/>
    <w:rsid w:val="00760D7C"/>
    <w:rsid w:val="00761595"/>
    <w:rsid w:val="007615A5"/>
    <w:rsid w:val="00761774"/>
    <w:rsid w:val="00761BAF"/>
    <w:rsid w:val="00761E4D"/>
    <w:rsid w:val="007620B4"/>
    <w:rsid w:val="007620EC"/>
    <w:rsid w:val="00762760"/>
    <w:rsid w:val="00762803"/>
    <w:rsid w:val="0076291E"/>
    <w:rsid w:val="00762B73"/>
    <w:rsid w:val="00762BC1"/>
    <w:rsid w:val="00762C42"/>
    <w:rsid w:val="00762D59"/>
    <w:rsid w:val="0076316C"/>
    <w:rsid w:val="0076335A"/>
    <w:rsid w:val="007633D2"/>
    <w:rsid w:val="007636AE"/>
    <w:rsid w:val="007636F6"/>
    <w:rsid w:val="00763A4C"/>
    <w:rsid w:val="00763B25"/>
    <w:rsid w:val="007641A9"/>
    <w:rsid w:val="00764214"/>
    <w:rsid w:val="007642DA"/>
    <w:rsid w:val="00764456"/>
    <w:rsid w:val="00764472"/>
    <w:rsid w:val="00764781"/>
    <w:rsid w:val="0076481E"/>
    <w:rsid w:val="00764949"/>
    <w:rsid w:val="00764D5E"/>
    <w:rsid w:val="00764E10"/>
    <w:rsid w:val="00764EBC"/>
    <w:rsid w:val="00764F90"/>
    <w:rsid w:val="0076507C"/>
    <w:rsid w:val="007652DE"/>
    <w:rsid w:val="00765319"/>
    <w:rsid w:val="0076599E"/>
    <w:rsid w:val="00765B12"/>
    <w:rsid w:val="00765D15"/>
    <w:rsid w:val="00765F0C"/>
    <w:rsid w:val="007660CA"/>
    <w:rsid w:val="007662A4"/>
    <w:rsid w:val="007662FE"/>
    <w:rsid w:val="007662FF"/>
    <w:rsid w:val="00766590"/>
    <w:rsid w:val="00766753"/>
    <w:rsid w:val="007667BC"/>
    <w:rsid w:val="00766805"/>
    <w:rsid w:val="00766873"/>
    <w:rsid w:val="00766BF1"/>
    <w:rsid w:val="00766C8C"/>
    <w:rsid w:val="0076709D"/>
    <w:rsid w:val="00767370"/>
    <w:rsid w:val="007673BF"/>
    <w:rsid w:val="007674BA"/>
    <w:rsid w:val="0076792A"/>
    <w:rsid w:val="00767C09"/>
    <w:rsid w:val="007705DD"/>
    <w:rsid w:val="00770754"/>
    <w:rsid w:val="00770AE0"/>
    <w:rsid w:val="00770DE3"/>
    <w:rsid w:val="00770E43"/>
    <w:rsid w:val="00770EA9"/>
    <w:rsid w:val="00771373"/>
    <w:rsid w:val="007716B2"/>
    <w:rsid w:val="007716F2"/>
    <w:rsid w:val="00771B83"/>
    <w:rsid w:val="00771E6F"/>
    <w:rsid w:val="007722C3"/>
    <w:rsid w:val="0077241A"/>
    <w:rsid w:val="00772588"/>
    <w:rsid w:val="0077287D"/>
    <w:rsid w:val="00772960"/>
    <w:rsid w:val="00772DBE"/>
    <w:rsid w:val="0077318C"/>
    <w:rsid w:val="00773315"/>
    <w:rsid w:val="0077332B"/>
    <w:rsid w:val="0077347E"/>
    <w:rsid w:val="00773779"/>
    <w:rsid w:val="0077387D"/>
    <w:rsid w:val="00773BB4"/>
    <w:rsid w:val="00773C5D"/>
    <w:rsid w:val="00773EAF"/>
    <w:rsid w:val="00773F23"/>
    <w:rsid w:val="007740DC"/>
    <w:rsid w:val="0077414B"/>
    <w:rsid w:val="00774336"/>
    <w:rsid w:val="00774543"/>
    <w:rsid w:val="0077458E"/>
    <w:rsid w:val="00774962"/>
    <w:rsid w:val="00774C17"/>
    <w:rsid w:val="00774C55"/>
    <w:rsid w:val="00774C9A"/>
    <w:rsid w:val="00775127"/>
    <w:rsid w:val="00775403"/>
    <w:rsid w:val="0077548F"/>
    <w:rsid w:val="00775532"/>
    <w:rsid w:val="00775688"/>
    <w:rsid w:val="007757F6"/>
    <w:rsid w:val="0077590C"/>
    <w:rsid w:val="00775A94"/>
    <w:rsid w:val="00775A97"/>
    <w:rsid w:val="00775D95"/>
    <w:rsid w:val="00776832"/>
    <w:rsid w:val="00776862"/>
    <w:rsid w:val="007768C1"/>
    <w:rsid w:val="00776EB2"/>
    <w:rsid w:val="00776FF8"/>
    <w:rsid w:val="007771AE"/>
    <w:rsid w:val="007771D1"/>
    <w:rsid w:val="0077728E"/>
    <w:rsid w:val="00777414"/>
    <w:rsid w:val="007775DE"/>
    <w:rsid w:val="007776EA"/>
    <w:rsid w:val="00777773"/>
    <w:rsid w:val="0077780A"/>
    <w:rsid w:val="00777A05"/>
    <w:rsid w:val="00777A95"/>
    <w:rsid w:val="00777C19"/>
    <w:rsid w:val="00777D42"/>
    <w:rsid w:val="00777F1F"/>
    <w:rsid w:val="00777F67"/>
    <w:rsid w:val="00777FB1"/>
    <w:rsid w:val="00780143"/>
    <w:rsid w:val="00780157"/>
    <w:rsid w:val="007801BE"/>
    <w:rsid w:val="00780358"/>
    <w:rsid w:val="007806A2"/>
    <w:rsid w:val="007806A5"/>
    <w:rsid w:val="007808E0"/>
    <w:rsid w:val="00780BFD"/>
    <w:rsid w:val="00780D63"/>
    <w:rsid w:val="00780DDB"/>
    <w:rsid w:val="00780F5D"/>
    <w:rsid w:val="00781009"/>
    <w:rsid w:val="00781064"/>
    <w:rsid w:val="0078122E"/>
    <w:rsid w:val="00781253"/>
    <w:rsid w:val="007813E7"/>
    <w:rsid w:val="00781593"/>
    <w:rsid w:val="00781630"/>
    <w:rsid w:val="00781854"/>
    <w:rsid w:val="00781983"/>
    <w:rsid w:val="00781B91"/>
    <w:rsid w:val="00781BBE"/>
    <w:rsid w:val="00781D29"/>
    <w:rsid w:val="0078208D"/>
    <w:rsid w:val="00782806"/>
    <w:rsid w:val="007829CD"/>
    <w:rsid w:val="00782A3B"/>
    <w:rsid w:val="00782A6F"/>
    <w:rsid w:val="00782AF9"/>
    <w:rsid w:val="00782E10"/>
    <w:rsid w:val="00782EBC"/>
    <w:rsid w:val="00782F38"/>
    <w:rsid w:val="00782FBD"/>
    <w:rsid w:val="00783498"/>
    <w:rsid w:val="007839C5"/>
    <w:rsid w:val="0078414C"/>
    <w:rsid w:val="0078470C"/>
    <w:rsid w:val="00784ADF"/>
    <w:rsid w:val="00784EE1"/>
    <w:rsid w:val="00784F9C"/>
    <w:rsid w:val="0078540A"/>
    <w:rsid w:val="00785A14"/>
    <w:rsid w:val="00785AC0"/>
    <w:rsid w:val="00786373"/>
    <w:rsid w:val="00786456"/>
    <w:rsid w:val="00786500"/>
    <w:rsid w:val="00786686"/>
    <w:rsid w:val="007867BE"/>
    <w:rsid w:val="007867F2"/>
    <w:rsid w:val="00786892"/>
    <w:rsid w:val="00786C5D"/>
    <w:rsid w:val="00786DDD"/>
    <w:rsid w:val="00786E08"/>
    <w:rsid w:val="00786ECC"/>
    <w:rsid w:val="00787064"/>
    <w:rsid w:val="007871B8"/>
    <w:rsid w:val="007871F6"/>
    <w:rsid w:val="00787339"/>
    <w:rsid w:val="0078742C"/>
    <w:rsid w:val="0078745A"/>
    <w:rsid w:val="0078750B"/>
    <w:rsid w:val="00787572"/>
    <w:rsid w:val="00787599"/>
    <w:rsid w:val="007876C2"/>
    <w:rsid w:val="0078778C"/>
    <w:rsid w:val="00787821"/>
    <w:rsid w:val="00787A1E"/>
    <w:rsid w:val="00787CA9"/>
    <w:rsid w:val="00787E21"/>
    <w:rsid w:val="00787E4D"/>
    <w:rsid w:val="00787FED"/>
    <w:rsid w:val="00790254"/>
    <w:rsid w:val="007903AF"/>
    <w:rsid w:val="007907E6"/>
    <w:rsid w:val="007908EA"/>
    <w:rsid w:val="00790979"/>
    <w:rsid w:val="007909ED"/>
    <w:rsid w:val="00790C85"/>
    <w:rsid w:val="007911B7"/>
    <w:rsid w:val="0079194B"/>
    <w:rsid w:val="0079197D"/>
    <w:rsid w:val="00791B7F"/>
    <w:rsid w:val="00791BBE"/>
    <w:rsid w:val="00791CFA"/>
    <w:rsid w:val="00791E01"/>
    <w:rsid w:val="00791ED4"/>
    <w:rsid w:val="007921FA"/>
    <w:rsid w:val="007922FC"/>
    <w:rsid w:val="007929C3"/>
    <w:rsid w:val="00792AB3"/>
    <w:rsid w:val="00792C7E"/>
    <w:rsid w:val="00792CE8"/>
    <w:rsid w:val="007935AE"/>
    <w:rsid w:val="007937B3"/>
    <w:rsid w:val="0079381D"/>
    <w:rsid w:val="00793B9B"/>
    <w:rsid w:val="00793E1A"/>
    <w:rsid w:val="00793E7D"/>
    <w:rsid w:val="00793FCA"/>
    <w:rsid w:val="00793FFE"/>
    <w:rsid w:val="00794025"/>
    <w:rsid w:val="00794363"/>
    <w:rsid w:val="0079450C"/>
    <w:rsid w:val="007948DF"/>
    <w:rsid w:val="00794C17"/>
    <w:rsid w:val="00794C6F"/>
    <w:rsid w:val="00794DB4"/>
    <w:rsid w:val="00794DC7"/>
    <w:rsid w:val="00794E3C"/>
    <w:rsid w:val="00794F11"/>
    <w:rsid w:val="00794F5E"/>
    <w:rsid w:val="00794FD5"/>
    <w:rsid w:val="00795053"/>
    <w:rsid w:val="007950A4"/>
    <w:rsid w:val="00795251"/>
    <w:rsid w:val="007952C2"/>
    <w:rsid w:val="0079545C"/>
    <w:rsid w:val="007955A6"/>
    <w:rsid w:val="007955E2"/>
    <w:rsid w:val="007956AE"/>
    <w:rsid w:val="00795705"/>
    <w:rsid w:val="0079589E"/>
    <w:rsid w:val="00795903"/>
    <w:rsid w:val="0079595D"/>
    <w:rsid w:val="00795B9A"/>
    <w:rsid w:val="00795BFE"/>
    <w:rsid w:val="00795F25"/>
    <w:rsid w:val="0079608F"/>
    <w:rsid w:val="00796254"/>
    <w:rsid w:val="007964BA"/>
    <w:rsid w:val="0079660B"/>
    <w:rsid w:val="0079663E"/>
    <w:rsid w:val="00796E05"/>
    <w:rsid w:val="00796FBE"/>
    <w:rsid w:val="00797261"/>
    <w:rsid w:val="0079728F"/>
    <w:rsid w:val="00797640"/>
    <w:rsid w:val="00797749"/>
    <w:rsid w:val="00797962"/>
    <w:rsid w:val="00797C2F"/>
    <w:rsid w:val="00797D2B"/>
    <w:rsid w:val="00797DB3"/>
    <w:rsid w:val="00797E3D"/>
    <w:rsid w:val="00797F61"/>
    <w:rsid w:val="007A00A7"/>
    <w:rsid w:val="007A0275"/>
    <w:rsid w:val="007A02E8"/>
    <w:rsid w:val="007A0409"/>
    <w:rsid w:val="007A06D8"/>
    <w:rsid w:val="007A089C"/>
    <w:rsid w:val="007A08A5"/>
    <w:rsid w:val="007A0A15"/>
    <w:rsid w:val="007A0B0D"/>
    <w:rsid w:val="007A0CB3"/>
    <w:rsid w:val="007A0E64"/>
    <w:rsid w:val="007A0F2A"/>
    <w:rsid w:val="007A0FE3"/>
    <w:rsid w:val="007A1003"/>
    <w:rsid w:val="007A127B"/>
    <w:rsid w:val="007A12B5"/>
    <w:rsid w:val="007A15F9"/>
    <w:rsid w:val="007A1621"/>
    <w:rsid w:val="007A1B52"/>
    <w:rsid w:val="007A1B95"/>
    <w:rsid w:val="007A1CF5"/>
    <w:rsid w:val="007A1CF8"/>
    <w:rsid w:val="007A2009"/>
    <w:rsid w:val="007A2068"/>
    <w:rsid w:val="007A22AD"/>
    <w:rsid w:val="007A2337"/>
    <w:rsid w:val="007A24CF"/>
    <w:rsid w:val="007A2513"/>
    <w:rsid w:val="007A2595"/>
    <w:rsid w:val="007A259A"/>
    <w:rsid w:val="007A276D"/>
    <w:rsid w:val="007A2974"/>
    <w:rsid w:val="007A29EA"/>
    <w:rsid w:val="007A2ADC"/>
    <w:rsid w:val="007A2FEA"/>
    <w:rsid w:val="007A3641"/>
    <w:rsid w:val="007A366F"/>
    <w:rsid w:val="007A3834"/>
    <w:rsid w:val="007A388F"/>
    <w:rsid w:val="007A3CF4"/>
    <w:rsid w:val="007A3D2F"/>
    <w:rsid w:val="007A4406"/>
    <w:rsid w:val="007A458F"/>
    <w:rsid w:val="007A46B5"/>
    <w:rsid w:val="007A4826"/>
    <w:rsid w:val="007A491F"/>
    <w:rsid w:val="007A4A6C"/>
    <w:rsid w:val="007A4B67"/>
    <w:rsid w:val="007A4CD3"/>
    <w:rsid w:val="007A5067"/>
    <w:rsid w:val="007A5084"/>
    <w:rsid w:val="007A50EE"/>
    <w:rsid w:val="007A5166"/>
    <w:rsid w:val="007A521F"/>
    <w:rsid w:val="007A53D3"/>
    <w:rsid w:val="007A5447"/>
    <w:rsid w:val="007A5451"/>
    <w:rsid w:val="007A5671"/>
    <w:rsid w:val="007A569A"/>
    <w:rsid w:val="007A5E97"/>
    <w:rsid w:val="007A5EC0"/>
    <w:rsid w:val="007A6607"/>
    <w:rsid w:val="007A66A9"/>
    <w:rsid w:val="007A6982"/>
    <w:rsid w:val="007A6A06"/>
    <w:rsid w:val="007A6AF9"/>
    <w:rsid w:val="007A6BFE"/>
    <w:rsid w:val="007A6DF4"/>
    <w:rsid w:val="007A6E90"/>
    <w:rsid w:val="007A744F"/>
    <w:rsid w:val="007A756C"/>
    <w:rsid w:val="007A7A87"/>
    <w:rsid w:val="007A7B8C"/>
    <w:rsid w:val="007A7BE1"/>
    <w:rsid w:val="007A7E57"/>
    <w:rsid w:val="007A7E83"/>
    <w:rsid w:val="007B013E"/>
    <w:rsid w:val="007B0343"/>
    <w:rsid w:val="007B06E7"/>
    <w:rsid w:val="007B0722"/>
    <w:rsid w:val="007B0C49"/>
    <w:rsid w:val="007B11D6"/>
    <w:rsid w:val="007B1827"/>
    <w:rsid w:val="007B19FB"/>
    <w:rsid w:val="007B1EB7"/>
    <w:rsid w:val="007B1FB0"/>
    <w:rsid w:val="007B1FBE"/>
    <w:rsid w:val="007B211F"/>
    <w:rsid w:val="007B27AF"/>
    <w:rsid w:val="007B2901"/>
    <w:rsid w:val="007B2A04"/>
    <w:rsid w:val="007B2F6F"/>
    <w:rsid w:val="007B33AC"/>
    <w:rsid w:val="007B37B5"/>
    <w:rsid w:val="007B385D"/>
    <w:rsid w:val="007B3AD2"/>
    <w:rsid w:val="007B3C5D"/>
    <w:rsid w:val="007B3CC3"/>
    <w:rsid w:val="007B3CDF"/>
    <w:rsid w:val="007B4318"/>
    <w:rsid w:val="007B4522"/>
    <w:rsid w:val="007B461F"/>
    <w:rsid w:val="007B4659"/>
    <w:rsid w:val="007B471B"/>
    <w:rsid w:val="007B4B86"/>
    <w:rsid w:val="007B4D20"/>
    <w:rsid w:val="007B4E6E"/>
    <w:rsid w:val="007B4F42"/>
    <w:rsid w:val="007B4FB9"/>
    <w:rsid w:val="007B534B"/>
    <w:rsid w:val="007B53E0"/>
    <w:rsid w:val="007B594B"/>
    <w:rsid w:val="007B5C1C"/>
    <w:rsid w:val="007B5C3D"/>
    <w:rsid w:val="007B5D91"/>
    <w:rsid w:val="007B604F"/>
    <w:rsid w:val="007B67BE"/>
    <w:rsid w:val="007B6941"/>
    <w:rsid w:val="007B69D9"/>
    <w:rsid w:val="007B6A1D"/>
    <w:rsid w:val="007B718B"/>
    <w:rsid w:val="007B7278"/>
    <w:rsid w:val="007B73DB"/>
    <w:rsid w:val="007B745A"/>
    <w:rsid w:val="007B753C"/>
    <w:rsid w:val="007B7669"/>
    <w:rsid w:val="007B771D"/>
    <w:rsid w:val="007B7934"/>
    <w:rsid w:val="007B7D61"/>
    <w:rsid w:val="007C032D"/>
    <w:rsid w:val="007C06F6"/>
    <w:rsid w:val="007C0997"/>
    <w:rsid w:val="007C09BB"/>
    <w:rsid w:val="007C0F29"/>
    <w:rsid w:val="007C0FA7"/>
    <w:rsid w:val="007C109B"/>
    <w:rsid w:val="007C1115"/>
    <w:rsid w:val="007C12DD"/>
    <w:rsid w:val="007C13F4"/>
    <w:rsid w:val="007C1552"/>
    <w:rsid w:val="007C15E5"/>
    <w:rsid w:val="007C17D1"/>
    <w:rsid w:val="007C1924"/>
    <w:rsid w:val="007C1981"/>
    <w:rsid w:val="007C1BF0"/>
    <w:rsid w:val="007C1C61"/>
    <w:rsid w:val="007C1E76"/>
    <w:rsid w:val="007C1F58"/>
    <w:rsid w:val="007C25E0"/>
    <w:rsid w:val="007C26F3"/>
    <w:rsid w:val="007C282C"/>
    <w:rsid w:val="007C2A53"/>
    <w:rsid w:val="007C2AF1"/>
    <w:rsid w:val="007C2BDC"/>
    <w:rsid w:val="007C3322"/>
    <w:rsid w:val="007C35AB"/>
    <w:rsid w:val="007C3736"/>
    <w:rsid w:val="007C37BE"/>
    <w:rsid w:val="007C3929"/>
    <w:rsid w:val="007C3CC7"/>
    <w:rsid w:val="007C3D7D"/>
    <w:rsid w:val="007C3FBB"/>
    <w:rsid w:val="007C4068"/>
    <w:rsid w:val="007C40AD"/>
    <w:rsid w:val="007C4188"/>
    <w:rsid w:val="007C4394"/>
    <w:rsid w:val="007C43FE"/>
    <w:rsid w:val="007C4426"/>
    <w:rsid w:val="007C44FA"/>
    <w:rsid w:val="007C47D6"/>
    <w:rsid w:val="007C4956"/>
    <w:rsid w:val="007C49F0"/>
    <w:rsid w:val="007C4B11"/>
    <w:rsid w:val="007C4B6B"/>
    <w:rsid w:val="007C4B76"/>
    <w:rsid w:val="007C5127"/>
    <w:rsid w:val="007C51E1"/>
    <w:rsid w:val="007C5402"/>
    <w:rsid w:val="007C55AA"/>
    <w:rsid w:val="007C56D8"/>
    <w:rsid w:val="007C578E"/>
    <w:rsid w:val="007C5911"/>
    <w:rsid w:val="007C5E48"/>
    <w:rsid w:val="007C67C5"/>
    <w:rsid w:val="007C684B"/>
    <w:rsid w:val="007C6878"/>
    <w:rsid w:val="007C6A6D"/>
    <w:rsid w:val="007C6A9E"/>
    <w:rsid w:val="007C6AA5"/>
    <w:rsid w:val="007C6C11"/>
    <w:rsid w:val="007C6F83"/>
    <w:rsid w:val="007C7045"/>
    <w:rsid w:val="007C721E"/>
    <w:rsid w:val="007C726D"/>
    <w:rsid w:val="007C742A"/>
    <w:rsid w:val="007C7571"/>
    <w:rsid w:val="007C7855"/>
    <w:rsid w:val="007C7970"/>
    <w:rsid w:val="007C7B44"/>
    <w:rsid w:val="007C7CAE"/>
    <w:rsid w:val="007C7DA9"/>
    <w:rsid w:val="007C7E16"/>
    <w:rsid w:val="007C7E39"/>
    <w:rsid w:val="007C7E89"/>
    <w:rsid w:val="007D006E"/>
    <w:rsid w:val="007D042C"/>
    <w:rsid w:val="007D09CD"/>
    <w:rsid w:val="007D0D76"/>
    <w:rsid w:val="007D100A"/>
    <w:rsid w:val="007D1170"/>
    <w:rsid w:val="007D1332"/>
    <w:rsid w:val="007D1384"/>
    <w:rsid w:val="007D13B3"/>
    <w:rsid w:val="007D13C7"/>
    <w:rsid w:val="007D13F4"/>
    <w:rsid w:val="007D1426"/>
    <w:rsid w:val="007D1509"/>
    <w:rsid w:val="007D155B"/>
    <w:rsid w:val="007D1757"/>
    <w:rsid w:val="007D1847"/>
    <w:rsid w:val="007D1970"/>
    <w:rsid w:val="007D1A42"/>
    <w:rsid w:val="007D1B56"/>
    <w:rsid w:val="007D1D6D"/>
    <w:rsid w:val="007D1E4B"/>
    <w:rsid w:val="007D1F1D"/>
    <w:rsid w:val="007D21F7"/>
    <w:rsid w:val="007D2285"/>
    <w:rsid w:val="007D250D"/>
    <w:rsid w:val="007D27CA"/>
    <w:rsid w:val="007D2BC4"/>
    <w:rsid w:val="007D3368"/>
    <w:rsid w:val="007D33AB"/>
    <w:rsid w:val="007D3486"/>
    <w:rsid w:val="007D34E0"/>
    <w:rsid w:val="007D355C"/>
    <w:rsid w:val="007D359E"/>
    <w:rsid w:val="007D3756"/>
    <w:rsid w:val="007D379A"/>
    <w:rsid w:val="007D3A9E"/>
    <w:rsid w:val="007D3B66"/>
    <w:rsid w:val="007D3CBC"/>
    <w:rsid w:val="007D3D3E"/>
    <w:rsid w:val="007D3F3A"/>
    <w:rsid w:val="007D4092"/>
    <w:rsid w:val="007D4164"/>
    <w:rsid w:val="007D43E4"/>
    <w:rsid w:val="007D44FA"/>
    <w:rsid w:val="007D45D7"/>
    <w:rsid w:val="007D49AC"/>
    <w:rsid w:val="007D4B92"/>
    <w:rsid w:val="007D4DB6"/>
    <w:rsid w:val="007D4DCF"/>
    <w:rsid w:val="007D4F4A"/>
    <w:rsid w:val="007D4FA4"/>
    <w:rsid w:val="007D51EA"/>
    <w:rsid w:val="007D5207"/>
    <w:rsid w:val="007D5512"/>
    <w:rsid w:val="007D552D"/>
    <w:rsid w:val="007D554C"/>
    <w:rsid w:val="007D5732"/>
    <w:rsid w:val="007D579D"/>
    <w:rsid w:val="007D57C2"/>
    <w:rsid w:val="007D5901"/>
    <w:rsid w:val="007D5970"/>
    <w:rsid w:val="007D5B9C"/>
    <w:rsid w:val="007D5D13"/>
    <w:rsid w:val="007D5ECD"/>
    <w:rsid w:val="007D5F27"/>
    <w:rsid w:val="007D5F55"/>
    <w:rsid w:val="007D6068"/>
    <w:rsid w:val="007D61CA"/>
    <w:rsid w:val="007D627B"/>
    <w:rsid w:val="007D631D"/>
    <w:rsid w:val="007D6352"/>
    <w:rsid w:val="007D642C"/>
    <w:rsid w:val="007D660A"/>
    <w:rsid w:val="007D6799"/>
    <w:rsid w:val="007D6BFF"/>
    <w:rsid w:val="007D6DD3"/>
    <w:rsid w:val="007D72E2"/>
    <w:rsid w:val="007D733A"/>
    <w:rsid w:val="007D74D2"/>
    <w:rsid w:val="007D7548"/>
    <w:rsid w:val="007D7570"/>
    <w:rsid w:val="007D764F"/>
    <w:rsid w:val="007D782A"/>
    <w:rsid w:val="007D7DA1"/>
    <w:rsid w:val="007E0071"/>
    <w:rsid w:val="007E069D"/>
    <w:rsid w:val="007E0AAA"/>
    <w:rsid w:val="007E0BBF"/>
    <w:rsid w:val="007E0CDB"/>
    <w:rsid w:val="007E1058"/>
    <w:rsid w:val="007E126D"/>
    <w:rsid w:val="007E16EE"/>
    <w:rsid w:val="007E1C6D"/>
    <w:rsid w:val="007E1DAC"/>
    <w:rsid w:val="007E1ED9"/>
    <w:rsid w:val="007E211B"/>
    <w:rsid w:val="007E2660"/>
    <w:rsid w:val="007E2773"/>
    <w:rsid w:val="007E28C8"/>
    <w:rsid w:val="007E296A"/>
    <w:rsid w:val="007E29C6"/>
    <w:rsid w:val="007E29CA"/>
    <w:rsid w:val="007E2DD4"/>
    <w:rsid w:val="007E2EAE"/>
    <w:rsid w:val="007E2F62"/>
    <w:rsid w:val="007E3016"/>
    <w:rsid w:val="007E30F7"/>
    <w:rsid w:val="007E3105"/>
    <w:rsid w:val="007E3352"/>
    <w:rsid w:val="007E3658"/>
    <w:rsid w:val="007E36B3"/>
    <w:rsid w:val="007E3A1C"/>
    <w:rsid w:val="007E3A5C"/>
    <w:rsid w:val="007E3FE7"/>
    <w:rsid w:val="007E3FF9"/>
    <w:rsid w:val="007E4198"/>
    <w:rsid w:val="007E44E3"/>
    <w:rsid w:val="007E4728"/>
    <w:rsid w:val="007E48D7"/>
    <w:rsid w:val="007E497A"/>
    <w:rsid w:val="007E49F9"/>
    <w:rsid w:val="007E4B44"/>
    <w:rsid w:val="007E4F98"/>
    <w:rsid w:val="007E5046"/>
    <w:rsid w:val="007E51C9"/>
    <w:rsid w:val="007E523F"/>
    <w:rsid w:val="007E56D3"/>
    <w:rsid w:val="007E5737"/>
    <w:rsid w:val="007E5939"/>
    <w:rsid w:val="007E5BB4"/>
    <w:rsid w:val="007E5E56"/>
    <w:rsid w:val="007E5E92"/>
    <w:rsid w:val="007E613D"/>
    <w:rsid w:val="007E6498"/>
    <w:rsid w:val="007E66A1"/>
    <w:rsid w:val="007E66F5"/>
    <w:rsid w:val="007E6728"/>
    <w:rsid w:val="007E674B"/>
    <w:rsid w:val="007E683A"/>
    <w:rsid w:val="007E698A"/>
    <w:rsid w:val="007E6AED"/>
    <w:rsid w:val="007E6B2F"/>
    <w:rsid w:val="007E6C7C"/>
    <w:rsid w:val="007E6DC2"/>
    <w:rsid w:val="007E6F73"/>
    <w:rsid w:val="007E7089"/>
    <w:rsid w:val="007E70F4"/>
    <w:rsid w:val="007E719A"/>
    <w:rsid w:val="007E71FC"/>
    <w:rsid w:val="007E72D3"/>
    <w:rsid w:val="007E754F"/>
    <w:rsid w:val="007E773E"/>
    <w:rsid w:val="007E7FB4"/>
    <w:rsid w:val="007F0225"/>
    <w:rsid w:val="007F048F"/>
    <w:rsid w:val="007F04D7"/>
    <w:rsid w:val="007F050D"/>
    <w:rsid w:val="007F05B5"/>
    <w:rsid w:val="007F0657"/>
    <w:rsid w:val="007F0A5D"/>
    <w:rsid w:val="007F0CFA"/>
    <w:rsid w:val="007F0D6A"/>
    <w:rsid w:val="007F0E2E"/>
    <w:rsid w:val="007F0E7A"/>
    <w:rsid w:val="007F0EDE"/>
    <w:rsid w:val="007F101E"/>
    <w:rsid w:val="007F11E2"/>
    <w:rsid w:val="007F1220"/>
    <w:rsid w:val="007F1280"/>
    <w:rsid w:val="007F13F0"/>
    <w:rsid w:val="007F1854"/>
    <w:rsid w:val="007F19A5"/>
    <w:rsid w:val="007F1D57"/>
    <w:rsid w:val="007F1DC8"/>
    <w:rsid w:val="007F21B0"/>
    <w:rsid w:val="007F24AD"/>
    <w:rsid w:val="007F27DA"/>
    <w:rsid w:val="007F28E8"/>
    <w:rsid w:val="007F2915"/>
    <w:rsid w:val="007F298D"/>
    <w:rsid w:val="007F2B73"/>
    <w:rsid w:val="007F319E"/>
    <w:rsid w:val="007F34FD"/>
    <w:rsid w:val="007F3B0E"/>
    <w:rsid w:val="007F3CEF"/>
    <w:rsid w:val="007F3FAF"/>
    <w:rsid w:val="007F422D"/>
    <w:rsid w:val="007F4563"/>
    <w:rsid w:val="007F4592"/>
    <w:rsid w:val="007F4614"/>
    <w:rsid w:val="007F4928"/>
    <w:rsid w:val="007F4AC8"/>
    <w:rsid w:val="007F4D68"/>
    <w:rsid w:val="007F4E23"/>
    <w:rsid w:val="007F4E28"/>
    <w:rsid w:val="007F51E5"/>
    <w:rsid w:val="007F5322"/>
    <w:rsid w:val="007F5340"/>
    <w:rsid w:val="007F5358"/>
    <w:rsid w:val="007F57B7"/>
    <w:rsid w:val="007F593E"/>
    <w:rsid w:val="007F5B8E"/>
    <w:rsid w:val="007F5D01"/>
    <w:rsid w:val="007F5D0D"/>
    <w:rsid w:val="007F5D1D"/>
    <w:rsid w:val="007F5F2B"/>
    <w:rsid w:val="007F6237"/>
    <w:rsid w:val="007F6262"/>
    <w:rsid w:val="007F635E"/>
    <w:rsid w:val="007F63C6"/>
    <w:rsid w:val="007F6A05"/>
    <w:rsid w:val="007F6C8A"/>
    <w:rsid w:val="007F6DE0"/>
    <w:rsid w:val="007F6EEE"/>
    <w:rsid w:val="007F703E"/>
    <w:rsid w:val="007F7306"/>
    <w:rsid w:val="007F7950"/>
    <w:rsid w:val="007F7A0A"/>
    <w:rsid w:val="007F7A20"/>
    <w:rsid w:val="007F7E4B"/>
    <w:rsid w:val="007F7EED"/>
    <w:rsid w:val="007F7FF7"/>
    <w:rsid w:val="008001C0"/>
    <w:rsid w:val="0080061C"/>
    <w:rsid w:val="008006D0"/>
    <w:rsid w:val="0080085E"/>
    <w:rsid w:val="008009C1"/>
    <w:rsid w:val="00800CEA"/>
    <w:rsid w:val="00800E78"/>
    <w:rsid w:val="00800E9E"/>
    <w:rsid w:val="00801027"/>
    <w:rsid w:val="008010FC"/>
    <w:rsid w:val="00801189"/>
    <w:rsid w:val="00801222"/>
    <w:rsid w:val="00801262"/>
    <w:rsid w:val="008012DD"/>
    <w:rsid w:val="00801327"/>
    <w:rsid w:val="00801456"/>
    <w:rsid w:val="00801738"/>
    <w:rsid w:val="0080176E"/>
    <w:rsid w:val="00801840"/>
    <w:rsid w:val="008018BD"/>
    <w:rsid w:val="00801BA8"/>
    <w:rsid w:val="00801D26"/>
    <w:rsid w:val="00801D90"/>
    <w:rsid w:val="00801FE2"/>
    <w:rsid w:val="0080214A"/>
    <w:rsid w:val="00802236"/>
    <w:rsid w:val="0080242A"/>
    <w:rsid w:val="008025A9"/>
    <w:rsid w:val="00802650"/>
    <w:rsid w:val="0080288D"/>
    <w:rsid w:val="00802B0B"/>
    <w:rsid w:val="00802E43"/>
    <w:rsid w:val="008030C0"/>
    <w:rsid w:val="008032EB"/>
    <w:rsid w:val="008034DD"/>
    <w:rsid w:val="0080357A"/>
    <w:rsid w:val="00803AD8"/>
    <w:rsid w:val="00803B21"/>
    <w:rsid w:val="00803F63"/>
    <w:rsid w:val="00803FEC"/>
    <w:rsid w:val="008040FA"/>
    <w:rsid w:val="008041B3"/>
    <w:rsid w:val="00804336"/>
    <w:rsid w:val="008045CB"/>
    <w:rsid w:val="0080475F"/>
    <w:rsid w:val="00804EB2"/>
    <w:rsid w:val="00805243"/>
    <w:rsid w:val="008053BB"/>
    <w:rsid w:val="0080546C"/>
    <w:rsid w:val="0080592F"/>
    <w:rsid w:val="00805AF0"/>
    <w:rsid w:val="00805DDA"/>
    <w:rsid w:val="00805E47"/>
    <w:rsid w:val="00805F46"/>
    <w:rsid w:val="0080638C"/>
    <w:rsid w:val="00806528"/>
    <w:rsid w:val="00806719"/>
    <w:rsid w:val="008067EA"/>
    <w:rsid w:val="00806FF8"/>
    <w:rsid w:val="0080717B"/>
    <w:rsid w:val="008072AE"/>
    <w:rsid w:val="0080731B"/>
    <w:rsid w:val="008076C7"/>
    <w:rsid w:val="00807BD2"/>
    <w:rsid w:val="00807C60"/>
    <w:rsid w:val="00807E57"/>
    <w:rsid w:val="00810050"/>
    <w:rsid w:val="00810077"/>
    <w:rsid w:val="008100AA"/>
    <w:rsid w:val="00810B49"/>
    <w:rsid w:val="00810C04"/>
    <w:rsid w:val="00810EC8"/>
    <w:rsid w:val="008115D6"/>
    <w:rsid w:val="008118CA"/>
    <w:rsid w:val="00811C94"/>
    <w:rsid w:val="00811E58"/>
    <w:rsid w:val="00811F07"/>
    <w:rsid w:val="00811FF4"/>
    <w:rsid w:val="00812091"/>
    <w:rsid w:val="0081209F"/>
    <w:rsid w:val="008121CD"/>
    <w:rsid w:val="008122C5"/>
    <w:rsid w:val="0081271B"/>
    <w:rsid w:val="00812905"/>
    <w:rsid w:val="00812997"/>
    <w:rsid w:val="00812B42"/>
    <w:rsid w:val="00812BD5"/>
    <w:rsid w:val="00812E0B"/>
    <w:rsid w:val="00812E8C"/>
    <w:rsid w:val="00812ED6"/>
    <w:rsid w:val="0081351D"/>
    <w:rsid w:val="00813586"/>
    <w:rsid w:val="00813F0D"/>
    <w:rsid w:val="00813FEB"/>
    <w:rsid w:val="008140BB"/>
    <w:rsid w:val="008141FE"/>
    <w:rsid w:val="00814220"/>
    <w:rsid w:val="008144AC"/>
    <w:rsid w:val="0081466B"/>
    <w:rsid w:val="00814A68"/>
    <w:rsid w:val="00814D14"/>
    <w:rsid w:val="0081547F"/>
    <w:rsid w:val="008156C9"/>
    <w:rsid w:val="0081576F"/>
    <w:rsid w:val="00815BD5"/>
    <w:rsid w:val="00815C0B"/>
    <w:rsid w:val="00815C5D"/>
    <w:rsid w:val="00815CC4"/>
    <w:rsid w:val="008163F1"/>
    <w:rsid w:val="008166E1"/>
    <w:rsid w:val="0081686D"/>
    <w:rsid w:val="00816954"/>
    <w:rsid w:val="00816BD3"/>
    <w:rsid w:val="00816CA4"/>
    <w:rsid w:val="00816F2D"/>
    <w:rsid w:val="008172F1"/>
    <w:rsid w:val="008173A9"/>
    <w:rsid w:val="0081797D"/>
    <w:rsid w:val="00820033"/>
    <w:rsid w:val="00820209"/>
    <w:rsid w:val="008205CD"/>
    <w:rsid w:val="0082080A"/>
    <w:rsid w:val="00820812"/>
    <w:rsid w:val="0082090B"/>
    <w:rsid w:val="00820B52"/>
    <w:rsid w:val="00820F8E"/>
    <w:rsid w:val="008212F1"/>
    <w:rsid w:val="00821387"/>
    <w:rsid w:val="008213C0"/>
    <w:rsid w:val="0082142E"/>
    <w:rsid w:val="00821707"/>
    <w:rsid w:val="00821754"/>
    <w:rsid w:val="00821944"/>
    <w:rsid w:val="008219E2"/>
    <w:rsid w:val="00821B0B"/>
    <w:rsid w:val="00821FA3"/>
    <w:rsid w:val="008220AE"/>
    <w:rsid w:val="0082248C"/>
    <w:rsid w:val="008225FA"/>
    <w:rsid w:val="00822737"/>
    <w:rsid w:val="00822875"/>
    <w:rsid w:val="00822A1A"/>
    <w:rsid w:val="00822C63"/>
    <w:rsid w:val="0082309C"/>
    <w:rsid w:val="008230A4"/>
    <w:rsid w:val="008230BA"/>
    <w:rsid w:val="008231C0"/>
    <w:rsid w:val="0082324C"/>
    <w:rsid w:val="008232EE"/>
    <w:rsid w:val="00823509"/>
    <w:rsid w:val="00823580"/>
    <w:rsid w:val="008235EB"/>
    <w:rsid w:val="0082361A"/>
    <w:rsid w:val="00823862"/>
    <w:rsid w:val="00823A92"/>
    <w:rsid w:val="00823AE3"/>
    <w:rsid w:val="00823C37"/>
    <w:rsid w:val="00823D03"/>
    <w:rsid w:val="00823EAA"/>
    <w:rsid w:val="00824128"/>
    <w:rsid w:val="008241C5"/>
    <w:rsid w:val="00824210"/>
    <w:rsid w:val="00824451"/>
    <w:rsid w:val="008244DB"/>
    <w:rsid w:val="008247C2"/>
    <w:rsid w:val="008248DB"/>
    <w:rsid w:val="008248F4"/>
    <w:rsid w:val="008248F8"/>
    <w:rsid w:val="0082490E"/>
    <w:rsid w:val="0082494D"/>
    <w:rsid w:val="00824CCD"/>
    <w:rsid w:val="00824D63"/>
    <w:rsid w:val="008251AE"/>
    <w:rsid w:val="0082526B"/>
    <w:rsid w:val="008253D3"/>
    <w:rsid w:val="00825756"/>
    <w:rsid w:val="00825E8C"/>
    <w:rsid w:val="00825ED3"/>
    <w:rsid w:val="00826207"/>
    <w:rsid w:val="0082622A"/>
    <w:rsid w:val="008262E2"/>
    <w:rsid w:val="00826565"/>
    <w:rsid w:val="008265BD"/>
    <w:rsid w:val="008268A1"/>
    <w:rsid w:val="00826C4B"/>
    <w:rsid w:val="00826C94"/>
    <w:rsid w:val="00826D2D"/>
    <w:rsid w:val="00826D9E"/>
    <w:rsid w:val="0082735E"/>
    <w:rsid w:val="008273C0"/>
    <w:rsid w:val="008273E1"/>
    <w:rsid w:val="008274BA"/>
    <w:rsid w:val="008274EA"/>
    <w:rsid w:val="00827500"/>
    <w:rsid w:val="008276D5"/>
    <w:rsid w:val="00827720"/>
    <w:rsid w:val="00827908"/>
    <w:rsid w:val="00827A54"/>
    <w:rsid w:val="00827B78"/>
    <w:rsid w:val="00827F1A"/>
    <w:rsid w:val="00830040"/>
    <w:rsid w:val="00830268"/>
    <w:rsid w:val="0083044C"/>
    <w:rsid w:val="00830600"/>
    <w:rsid w:val="00830818"/>
    <w:rsid w:val="00830989"/>
    <w:rsid w:val="00830D7E"/>
    <w:rsid w:val="00830DE7"/>
    <w:rsid w:val="00830DEB"/>
    <w:rsid w:val="00830FA6"/>
    <w:rsid w:val="008310B4"/>
    <w:rsid w:val="00831385"/>
    <w:rsid w:val="0083195C"/>
    <w:rsid w:val="00831AE6"/>
    <w:rsid w:val="00831C94"/>
    <w:rsid w:val="00831E1A"/>
    <w:rsid w:val="00832234"/>
    <w:rsid w:val="00832403"/>
    <w:rsid w:val="008326AA"/>
    <w:rsid w:val="00832944"/>
    <w:rsid w:val="00832B34"/>
    <w:rsid w:val="00832B66"/>
    <w:rsid w:val="00832F22"/>
    <w:rsid w:val="0083319B"/>
    <w:rsid w:val="008331C8"/>
    <w:rsid w:val="008331FE"/>
    <w:rsid w:val="00833243"/>
    <w:rsid w:val="0083333B"/>
    <w:rsid w:val="008333A6"/>
    <w:rsid w:val="00833534"/>
    <w:rsid w:val="008335E5"/>
    <w:rsid w:val="0083374B"/>
    <w:rsid w:val="0083395F"/>
    <w:rsid w:val="00833983"/>
    <w:rsid w:val="00833B0E"/>
    <w:rsid w:val="00833B33"/>
    <w:rsid w:val="00833C08"/>
    <w:rsid w:val="00833E84"/>
    <w:rsid w:val="00834004"/>
    <w:rsid w:val="00834083"/>
    <w:rsid w:val="008345C2"/>
    <w:rsid w:val="00834DDB"/>
    <w:rsid w:val="00834EE1"/>
    <w:rsid w:val="008351AF"/>
    <w:rsid w:val="0083580C"/>
    <w:rsid w:val="0083584E"/>
    <w:rsid w:val="00835A0A"/>
    <w:rsid w:val="00835A1C"/>
    <w:rsid w:val="00835E10"/>
    <w:rsid w:val="00835E31"/>
    <w:rsid w:val="00836021"/>
    <w:rsid w:val="008361D8"/>
    <w:rsid w:val="00836323"/>
    <w:rsid w:val="00836353"/>
    <w:rsid w:val="00836365"/>
    <w:rsid w:val="008366D3"/>
    <w:rsid w:val="00836A66"/>
    <w:rsid w:val="00836AA9"/>
    <w:rsid w:val="00836E91"/>
    <w:rsid w:val="00837556"/>
    <w:rsid w:val="008376E8"/>
    <w:rsid w:val="00837756"/>
    <w:rsid w:val="008378D0"/>
    <w:rsid w:val="00837CDE"/>
    <w:rsid w:val="00837CF7"/>
    <w:rsid w:val="00837DA9"/>
    <w:rsid w:val="00840102"/>
    <w:rsid w:val="00840188"/>
    <w:rsid w:val="008404BE"/>
    <w:rsid w:val="00840858"/>
    <w:rsid w:val="00840891"/>
    <w:rsid w:val="00840AB7"/>
    <w:rsid w:val="00840CE5"/>
    <w:rsid w:val="00840FB3"/>
    <w:rsid w:val="00841046"/>
    <w:rsid w:val="00841077"/>
    <w:rsid w:val="0084122C"/>
    <w:rsid w:val="00841504"/>
    <w:rsid w:val="008415FA"/>
    <w:rsid w:val="00841851"/>
    <w:rsid w:val="00841B48"/>
    <w:rsid w:val="00841CDA"/>
    <w:rsid w:val="00841DAE"/>
    <w:rsid w:val="00841EE7"/>
    <w:rsid w:val="00841F0E"/>
    <w:rsid w:val="00842572"/>
    <w:rsid w:val="00842640"/>
    <w:rsid w:val="00842B8B"/>
    <w:rsid w:val="00842C31"/>
    <w:rsid w:val="00842D16"/>
    <w:rsid w:val="00842DBA"/>
    <w:rsid w:val="00843016"/>
    <w:rsid w:val="00843091"/>
    <w:rsid w:val="00843112"/>
    <w:rsid w:val="00843363"/>
    <w:rsid w:val="00843442"/>
    <w:rsid w:val="008436AF"/>
    <w:rsid w:val="008436CE"/>
    <w:rsid w:val="00843977"/>
    <w:rsid w:val="00843BC5"/>
    <w:rsid w:val="00843E81"/>
    <w:rsid w:val="008441C6"/>
    <w:rsid w:val="00844509"/>
    <w:rsid w:val="008446A2"/>
    <w:rsid w:val="0084496A"/>
    <w:rsid w:val="00844A72"/>
    <w:rsid w:val="00844C91"/>
    <w:rsid w:val="00844D47"/>
    <w:rsid w:val="00844E8A"/>
    <w:rsid w:val="008450F1"/>
    <w:rsid w:val="008451CC"/>
    <w:rsid w:val="00845205"/>
    <w:rsid w:val="008454A8"/>
    <w:rsid w:val="008458C4"/>
    <w:rsid w:val="0084591F"/>
    <w:rsid w:val="00845B68"/>
    <w:rsid w:val="00845DF6"/>
    <w:rsid w:val="00845E1C"/>
    <w:rsid w:val="00845F5E"/>
    <w:rsid w:val="008462AF"/>
    <w:rsid w:val="00846399"/>
    <w:rsid w:val="008466E3"/>
    <w:rsid w:val="0084692E"/>
    <w:rsid w:val="00846A1C"/>
    <w:rsid w:val="0084732D"/>
    <w:rsid w:val="00847B16"/>
    <w:rsid w:val="00847C86"/>
    <w:rsid w:val="00847DEF"/>
    <w:rsid w:val="00847F82"/>
    <w:rsid w:val="008503B5"/>
    <w:rsid w:val="008504D4"/>
    <w:rsid w:val="00850551"/>
    <w:rsid w:val="00850A80"/>
    <w:rsid w:val="00850AA4"/>
    <w:rsid w:val="00850C2C"/>
    <w:rsid w:val="00850DD7"/>
    <w:rsid w:val="008510D3"/>
    <w:rsid w:val="00851393"/>
    <w:rsid w:val="008513B3"/>
    <w:rsid w:val="00851608"/>
    <w:rsid w:val="008516CE"/>
    <w:rsid w:val="008518E0"/>
    <w:rsid w:val="00851B26"/>
    <w:rsid w:val="00851C7B"/>
    <w:rsid w:val="00851DBD"/>
    <w:rsid w:val="008520B0"/>
    <w:rsid w:val="00852143"/>
    <w:rsid w:val="00852B01"/>
    <w:rsid w:val="00852D32"/>
    <w:rsid w:val="00852EB7"/>
    <w:rsid w:val="00852EEB"/>
    <w:rsid w:val="00852FCE"/>
    <w:rsid w:val="00853047"/>
    <w:rsid w:val="008532EE"/>
    <w:rsid w:val="008534B8"/>
    <w:rsid w:val="008535C5"/>
    <w:rsid w:val="008537D2"/>
    <w:rsid w:val="00853997"/>
    <w:rsid w:val="00853B35"/>
    <w:rsid w:val="00853D54"/>
    <w:rsid w:val="00853DC1"/>
    <w:rsid w:val="00853E54"/>
    <w:rsid w:val="00853FF0"/>
    <w:rsid w:val="008542B8"/>
    <w:rsid w:val="0085449A"/>
    <w:rsid w:val="00854635"/>
    <w:rsid w:val="00854738"/>
    <w:rsid w:val="008549B0"/>
    <w:rsid w:val="00854CBF"/>
    <w:rsid w:val="00854E7F"/>
    <w:rsid w:val="00855197"/>
    <w:rsid w:val="0085532E"/>
    <w:rsid w:val="0085535C"/>
    <w:rsid w:val="0085564A"/>
    <w:rsid w:val="008557CE"/>
    <w:rsid w:val="008557E5"/>
    <w:rsid w:val="00855BB5"/>
    <w:rsid w:val="00855E7A"/>
    <w:rsid w:val="00855F00"/>
    <w:rsid w:val="008560E4"/>
    <w:rsid w:val="008561A9"/>
    <w:rsid w:val="00856328"/>
    <w:rsid w:val="00856410"/>
    <w:rsid w:val="00856713"/>
    <w:rsid w:val="00856A4D"/>
    <w:rsid w:val="00856FBB"/>
    <w:rsid w:val="008573F1"/>
    <w:rsid w:val="00857547"/>
    <w:rsid w:val="0085759E"/>
    <w:rsid w:val="00857705"/>
    <w:rsid w:val="008577D6"/>
    <w:rsid w:val="00857A12"/>
    <w:rsid w:val="00857BA7"/>
    <w:rsid w:val="00857BC1"/>
    <w:rsid w:val="00857BFB"/>
    <w:rsid w:val="0086022F"/>
    <w:rsid w:val="0086023A"/>
    <w:rsid w:val="00860252"/>
    <w:rsid w:val="00860283"/>
    <w:rsid w:val="00860312"/>
    <w:rsid w:val="0086042D"/>
    <w:rsid w:val="0086043C"/>
    <w:rsid w:val="0086064A"/>
    <w:rsid w:val="0086080B"/>
    <w:rsid w:val="00860986"/>
    <w:rsid w:val="00860DAA"/>
    <w:rsid w:val="00861504"/>
    <w:rsid w:val="00861A2E"/>
    <w:rsid w:val="0086204F"/>
    <w:rsid w:val="0086210E"/>
    <w:rsid w:val="008621E8"/>
    <w:rsid w:val="008622D1"/>
    <w:rsid w:val="008623E6"/>
    <w:rsid w:val="008624DC"/>
    <w:rsid w:val="008626B5"/>
    <w:rsid w:val="008626FA"/>
    <w:rsid w:val="0086287B"/>
    <w:rsid w:val="00862941"/>
    <w:rsid w:val="00862A79"/>
    <w:rsid w:val="00862B0B"/>
    <w:rsid w:val="00862BC8"/>
    <w:rsid w:val="00862C3A"/>
    <w:rsid w:val="00862D70"/>
    <w:rsid w:val="00862D78"/>
    <w:rsid w:val="00862D99"/>
    <w:rsid w:val="00862EE2"/>
    <w:rsid w:val="00862F42"/>
    <w:rsid w:val="00863164"/>
    <w:rsid w:val="0086326B"/>
    <w:rsid w:val="00863594"/>
    <w:rsid w:val="00863634"/>
    <w:rsid w:val="0086369A"/>
    <w:rsid w:val="00863890"/>
    <w:rsid w:val="00864356"/>
    <w:rsid w:val="00864925"/>
    <w:rsid w:val="00864B53"/>
    <w:rsid w:val="0086501A"/>
    <w:rsid w:val="0086507B"/>
    <w:rsid w:val="00865578"/>
    <w:rsid w:val="00865659"/>
    <w:rsid w:val="00865E58"/>
    <w:rsid w:val="00865FCA"/>
    <w:rsid w:val="00866099"/>
    <w:rsid w:val="00866146"/>
    <w:rsid w:val="008662CF"/>
    <w:rsid w:val="00866390"/>
    <w:rsid w:val="00866413"/>
    <w:rsid w:val="008666EC"/>
    <w:rsid w:val="00866C81"/>
    <w:rsid w:val="00866D92"/>
    <w:rsid w:val="00866E0C"/>
    <w:rsid w:val="00867262"/>
    <w:rsid w:val="00867324"/>
    <w:rsid w:val="00867FBD"/>
    <w:rsid w:val="00870197"/>
    <w:rsid w:val="008701E9"/>
    <w:rsid w:val="008702D2"/>
    <w:rsid w:val="00870309"/>
    <w:rsid w:val="0087033B"/>
    <w:rsid w:val="008704B6"/>
    <w:rsid w:val="0087056F"/>
    <w:rsid w:val="008707B9"/>
    <w:rsid w:val="00870976"/>
    <w:rsid w:val="00870A17"/>
    <w:rsid w:val="00870CF3"/>
    <w:rsid w:val="00870F2D"/>
    <w:rsid w:val="0087111A"/>
    <w:rsid w:val="0087120C"/>
    <w:rsid w:val="0087121D"/>
    <w:rsid w:val="00871692"/>
    <w:rsid w:val="00871BCA"/>
    <w:rsid w:val="00871C1B"/>
    <w:rsid w:val="00871EBC"/>
    <w:rsid w:val="00872088"/>
    <w:rsid w:val="0087209E"/>
    <w:rsid w:val="0087222E"/>
    <w:rsid w:val="00872778"/>
    <w:rsid w:val="008729C5"/>
    <w:rsid w:val="00872A44"/>
    <w:rsid w:val="00872A8E"/>
    <w:rsid w:val="00872DD7"/>
    <w:rsid w:val="00872E55"/>
    <w:rsid w:val="00872E95"/>
    <w:rsid w:val="00872ED5"/>
    <w:rsid w:val="00872F1A"/>
    <w:rsid w:val="00872F53"/>
    <w:rsid w:val="008730F1"/>
    <w:rsid w:val="0087313E"/>
    <w:rsid w:val="008731CC"/>
    <w:rsid w:val="00873281"/>
    <w:rsid w:val="008735EE"/>
    <w:rsid w:val="0087375C"/>
    <w:rsid w:val="00873A18"/>
    <w:rsid w:val="00873E42"/>
    <w:rsid w:val="00874152"/>
    <w:rsid w:val="00874282"/>
    <w:rsid w:val="008742F1"/>
    <w:rsid w:val="00874417"/>
    <w:rsid w:val="008744F5"/>
    <w:rsid w:val="0087474A"/>
    <w:rsid w:val="0087478D"/>
    <w:rsid w:val="00874860"/>
    <w:rsid w:val="00874B70"/>
    <w:rsid w:val="00874BA7"/>
    <w:rsid w:val="00874E8B"/>
    <w:rsid w:val="00875225"/>
    <w:rsid w:val="00875274"/>
    <w:rsid w:val="00875387"/>
    <w:rsid w:val="008753C6"/>
    <w:rsid w:val="008753F7"/>
    <w:rsid w:val="0087552C"/>
    <w:rsid w:val="008755B9"/>
    <w:rsid w:val="00875614"/>
    <w:rsid w:val="008756A2"/>
    <w:rsid w:val="008757B3"/>
    <w:rsid w:val="008759CD"/>
    <w:rsid w:val="00875BA4"/>
    <w:rsid w:val="00875C00"/>
    <w:rsid w:val="00875E25"/>
    <w:rsid w:val="00875E52"/>
    <w:rsid w:val="008761B5"/>
    <w:rsid w:val="008763B8"/>
    <w:rsid w:val="008764EB"/>
    <w:rsid w:val="00876573"/>
    <w:rsid w:val="008765AA"/>
    <w:rsid w:val="0087673D"/>
    <w:rsid w:val="008767E9"/>
    <w:rsid w:val="00876886"/>
    <w:rsid w:val="0087688D"/>
    <w:rsid w:val="00876900"/>
    <w:rsid w:val="00876C09"/>
    <w:rsid w:val="00876D6A"/>
    <w:rsid w:val="00876DAD"/>
    <w:rsid w:val="00876DB3"/>
    <w:rsid w:val="0087745A"/>
    <w:rsid w:val="008774FC"/>
    <w:rsid w:val="008775F7"/>
    <w:rsid w:val="00877616"/>
    <w:rsid w:val="00877A39"/>
    <w:rsid w:val="00877B41"/>
    <w:rsid w:val="00877B52"/>
    <w:rsid w:val="00877C36"/>
    <w:rsid w:val="00877F70"/>
    <w:rsid w:val="008800FE"/>
    <w:rsid w:val="00880167"/>
    <w:rsid w:val="00880179"/>
    <w:rsid w:val="0088036A"/>
    <w:rsid w:val="0088042B"/>
    <w:rsid w:val="008804FC"/>
    <w:rsid w:val="0088097B"/>
    <w:rsid w:val="00880993"/>
    <w:rsid w:val="00880AA1"/>
    <w:rsid w:val="00880ACF"/>
    <w:rsid w:val="00880E11"/>
    <w:rsid w:val="00880F06"/>
    <w:rsid w:val="00880F10"/>
    <w:rsid w:val="00880F36"/>
    <w:rsid w:val="008812A2"/>
    <w:rsid w:val="008813E8"/>
    <w:rsid w:val="0088140C"/>
    <w:rsid w:val="0088178B"/>
    <w:rsid w:val="00882159"/>
    <w:rsid w:val="008821B5"/>
    <w:rsid w:val="00882249"/>
    <w:rsid w:val="00882293"/>
    <w:rsid w:val="00882763"/>
    <w:rsid w:val="008827D5"/>
    <w:rsid w:val="0088290E"/>
    <w:rsid w:val="00882ACF"/>
    <w:rsid w:val="00882BC7"/>
    <w:rsid w:val="00882DE9"/>
    <w:rsid w:val="00882F05"/>
    <w:rsid w:val="00882F38"/>
    <w:rsid w:val="00883098"/>
    <w:rsid w:val="00883235"/>
    <w:rsid w:val="008832B0"/>
    <w:rsid w:val="008837C9"/>
    <w:rsid w:val="0088385F"/>
    <w:rsid w:val="0088391F"/>
    <w:rsid w:val="00883A62"/>
    <w:rsid w:val="00884049"/>
    <w:rsid w:val="0088422A"/>
    <w:rsid w:val="0088464A"/>
    <w:rsid w:val="00884EC0"/>
    <w:rsid w:val="00885349"/>
    <w:rsid w:val="00885469"/>
    <w:rsid w:val="008856C4"/>
    <w:rsid w:val="008857AD"/>
    <w:rsid w:val="00885A03"/>
    <w:rsid w:val="00885A34"/>
    <w:rsid w:val="00885BD4"/>
    <w:rsid w:val="00885D5E"/>
    <w:rsid w:val="00885DAF"/>
    <w:rsid w:val="00885DBF"/>
    <w:rsid w:val="00885E1A"/>
    <w:rsid w:val="00886014"/>
    <w:rsid w:val="0088604C"/>
    <w:rsid w:val="008862C8"/>
    <w:rsid w:val="008868FB"/>
    <w:rsid w:val="00886963"/>
    <w:rsid w:val="00886A83"/>
    <w:rsid w:val="00886BF3"/>
    <w:rsid w:val="00886D48"/>
    <w:rsid w:val="00886E64"/>
    <w:rsid w:val="008870EA"/>
    <w:rsid w:val="00887117"/>
    <w:rsid w:val="008871EC"/>
    <w:rsid w:val="008873E6"/>
    <w:rsid w:val="0088745D"/>
    <w:rsid w:val="008877A0"/>
    <w:rsid w:val="008877E3"/>
    <w:rsid w:val="0088785B"/>
    <w:rsid w:val="00887933"/>
    <w:rsid w:val="00887D4A"/>
    <w:rsid w:val="00887D9F"/>
    <w:rsid w:val="00887EED"/>
    <w:rsid w:val="008900C3"/>
    <w:rsid w:val="00890379"/>
    <w:rsid w:val="0089043B"/>
    <w:rsid w:val="0089067B"/>
    <w:rsid w:val="00890898"/>
    <w:rsid w:val="0089099B"/>
    <w:rsid w:val="00890A71"/>
    <w:rsid w:val="00890D59"/>
    <w:rsid w:val="0089187E"/>
    <w:rsid w:val="00891903"/>
    <w:rsid w:val="008919F9"/>
    <w:rsid w:val="00891A2A"/>
    <w:rsid w:val="00891EB1"/>
    <w:rsid w:val="00891F1E"/>
    <w:rsid w:val="00891F3D"/>
    <w:rsid w:val="00891FE5"/>
    <w:rsid w:val="008922BE"/>
    <w:rsid w:val="00892327"/>
    <w:rsid w:val="00892414"/>
    <w:rsid w:val="008924AF"/>
    <w:rsid w:val="0089257C"/>
    <w:rsid w:val="008925EC"/>
    <w:rsid w:val="008928BA"/>
    <w:rsid w:val="00892C56"/>
    <w:rsid w:val="00892D53"/>
    <w:rsid w:val="00892EA8"/>
    <w:rsid w:val="00892F0F"/>
    <w:rsid w:val="00892FE9"/>
    <w:rsid w:val="00893358"/>
    <w:rsid w:val="0089354C"/>
    <w:rsid w:val="008936AA"/>
    <w:rsid w:val="008939D2"/>
    <w:rsid w:val="008939FD"/>
    <w:rsid w:val="00893A50"/>
    <w:rsid w:val="00893F1E"/>
    <w:rsid w:val="00893FFA"/>
    <w:rsid w:val="00894233"/>
    <w:rsid w:val="0089456D"/>
    <w:rsid w:val="00894749"/>
    <w:rsid w:val="00894752"/>
    <w:rsid w:val="008947D6"/>
    <w:rsid w:val="00894AE8"/>
    <w:rsid w:val="0089504E"/>
    <w:rsid w:val="008950F3"/>
    <w:rsid w:val="00895244"/>
    <w:rsid w:val="008952B4"/>
    <w:rsid w:val="00895399"/>
    <w:rsid w:val="00895597"/>
    <w:rsid w:val="00895C63"/>
    <w:rsid w:val="00895CD2"/>
    <w:rsid w:val="00895CF7"/>
    <w:rsid w:val="008964DB"/>
    <w:rsid w:val="0089652C"/>
    <w:rsid w:val="0089666D"/>
    <w:rsid w:val="00896755"/>
    <w:rsid w:val="008968D1"/>
    <w:rsid w:val="00896915"/>
    <w:rsid w:val="0089693C"/>
    <w:rsid w:val="00896C13"/>
    <w:rsid w:val="00896F06"/>
    <w:rsid w:val="00897118"/>
    <w:rsid w:val="0089712E"/>
    <w:rsid w:val="00897278"/>
    <w:rsid w:val="008972C0"/>
    <w:rsid w:val="008976E4"/>
    <w:rsid w:val="00897EAD"/>
    <w:rsid w:val="00897F0F"/>
    <w:rsid w:val="00897FEE"/>
    <w:rsid w:val="008A0113"/>
    <w:rsid w:val="008A0A04"/>
    <w:rsid w:val="008A0B97"/>
    <w:rsid w:val="008A0E0B"/>
    <w:rsid w:val="008A0E37"/>
    <w:rsid w:val="008A0EAF"/>
    <w:rsid w:val="008A0FF7"/>
    <w:rsid w:val="008A115E"/>
    <w:rsid w:val="008A173E"/>
    <w:rsid w:val="008A1BBA"/>
    <w:rsid w:val="008A1E8A"/>
    <w:rsid w:val="008A1EE0"/>
    <w:rsid w:val="008A1FF9"/>
    <w:rsid w:val="008A22E1"/>
    <w:rsid w:val="008A2366"/>
    <w:rsid w:val="008A2419"/>
    <w:rsid w:val="008A246E"/>
    <w:rsid w:val="008A2819"/>
    <w:rsid w:val="008A295E"/>
    <w:rsid w:val="008A2AE4"/>
    <w:rsid w:val="008A2C6D"/>
    <w:rsid w:val="008A2D05"/>
    <w:rsid w:val="008A2EF4"/>
    <w:rsid w:val="008A312B"/>
    <w:rsid w:val="008A37D7"/>
    <w:rsid w:val="008A3883"/>
    <w:rsid w:val="008A38D3"/>
    <w:rsid w:val="008A3C61"/>
    <w:rsid w:val="008A3CD0"/>
    <w:rsid w:val="008A3FA6"/>
    <w:rsid w:val="008A3FDB"/>
    <w:rsid w:val="008A4033"/>
    <w:rsid w:val="008A420A"/>
    <w:rsid w:val="008A42CC"/>
    <w:rsid w:val="008A45A2"/>
    <w:rsid w:val="008A49C1"/>
    <w:rsid w:val="008A4D1E"/>
    <w:rsid w:val="008A4DB9"/>
    <w:rsid w:val="008A4E68"/>
    <w:rsid w:val="008A4ECF"/>
    <w:rsid w:val="008A5105"/>
    <w:rsid w:val="008A53AD"/>
    <w:rsid w:val="008A543B"/>
    <w:rsid w:val="008A5471"/>
    <w:rsid w:val="008A5489"/>
    <w:rsid w:val="008A55DD"/>
    <w:rsid w:val="008A56E4"/>
    <w:rsid w:val="008A5AF0"/>
    <w:rsid w:val="008A5C26"/>
    <w:rsid w:val="008A5C9A"/>
    <w:rsid w:val="008A5F2B"/>
    <w:rsid w:val="008A622F"/>
    <w:rsid w:val="008A6383"/>
    <w:rsid w:val="008A6638"/>
    <w:rsid w:val="008A66BE"/>
    <w:rsid w:val="008A6758"/>
    <w:rsid w:val="008A693E"/>
    <w:rsid w:val="008A6A5E"/>
    <w:rsid w:val="008A6CE4"/>
    <w:rsid w:val="008A73BC"/>
    <w:rsid w:val="008A7400"/>
    <w:rsid w:val="008A754C"/>
    <w:rsid w:val="008A763F"/>
    <w:rsid w:val="008A767D"/>
    <w:rsid w:val="008A78BA"/>
    <w:rsid w:val="008A7DC4"/>
    <w:rsid w:val="008B055E"/>
    <w:rsid w:val="008B0BBD"/>
    <w:rsid w:val="008B0CF2"/>
    <w:rsid w:val="008B104D"/>
    <w:rsid w:val="008B1367"/>
    <w:rsid w:val="008B14C8"/>
    <w:rsid w:val="008B19A4"/>
    <w:rsid w:val="008B1A9E"/>
    <w:rsid w:val="008B1CC7"/>
    <w:rsid w:val="008B1D71"/>
    <w:rsid w:val="008B1DD2"/>
    <w:rsid w:val="008B1E0A"/>
    <w:rsid w:val="008B2165"/>
    <w:rsid w:val="008B21FA"/>
    <w:rsid w:val="008B233F"/>
    <w:rsid w:val="008B23C8"/>
    <w:rsid w:val="008B2447"/>
    <w:rsid w:val="008B261C"/>
    <w:rsid w:val="008B270B"/>
    <w:rsid w:val="008B27C6"/>
    <w:rsid w:val="008B2E01"/>
    <w:rsid w:val="008B31C5"/>
    <w:rsid w:val="008B3223"/>
    <w:rsid w:val="008B3961"/>
    <w:rsid w:val="008B39EC"/>
    <w:rsid w:val="008B3B7B"/>
    <w:rsid w:val="008B3BAB"/>
    <w:rsid w:val="008B3E22"/>
    <w:rsid w:val="008B4091"/>
    <w:rsid w:val="008B438B"/>
    <w:rsid w:val="008B4400"/>
    <w:rsid w:val="008B4472"/>
    <w:rsid w:val="008B4741"/>
    <w:rsid w:val="008B47C1"/>
    <w:rsid w:val="008B4A2F"/>
    <w:rsid w:val="008B4AA8"/>
    <w:rsid w:val="008B4ACD"/>
    <w:rsid w:val="008B4B18"/>
    <w:rsid w:val="008B4B1F"/>
    <w:rsid w:val="008B4C9F"/>
    <w:rsid w:val="008B5154"/>
    <w:rsid w:val="008B51D4"/>
    <w:rsid w:val="008B53D6"/>
    <w:rsid w:val="008B5654"/>
    <w:rsid w:val="008B58D7"/>
    <w:rsid w:val="008B58FE"/>
    <w:rsid w:val="008B5A52"/>
    <w:rsid w:val="008B5B6D"/>
    <w:rsid w:val="008B5DA9"/>
    <w:rsid w:val="008B5F13"/>
    <w:rsid w:val="008B61A4"/>
    <w:rsid w:val="008B6265"/>
    <w:rsid w:val="008B62F5"/>
    <w:rsid w:val="008B6467"/>
    <w:rsid w:val="008B64F4"/>
    <w:rsid w:val="008B65DD"/>
    <w:rsid w:val="008B65FE"/>
    <w:rsid w:val="008B693F"/>
    <w:rsid w:val="008B69A1"/>
    <w:rsid w:val="008B6B6C"/>
    <w:rsid w:val="008B6CBA"/>
    <w:rsid w:val="008B6E52"/>
    <w:rsid w:val="008B6ECE"/>
    <w:rsid w:val="008B7080"/>
    <w:rsid w:val="008B70BF"/>
    <w:rsid w:val="008B713B"/>
    <w:rsid w:val="008B71A2"/>
    <w:rsid w:val="008B7586"/>
    <w:rsid w:val="008B7857"/>
    <w:rsid w:val="008B786A"/>
    <w:rsid w:val="008B79AC"/>
    <w:rsid w:val="008B7FC0"/>
    <w:rsid w:val="008C0241"/>
    <w:rsid w:val="008C02A9"/>
    <w:rsid w:val="008C03FD"/>
    <w:rsid w:val="008C0538"/>
    <w:rsid w:val="008C07C3"/>
    <w:rsid w:val="008C0956"/>
    <w:rsid w:val="008C10EC"/>
    <w:rsid w:val="008C186F"/>
    <w:rsid w:val="008C1C14"/>
    <w:rsid w:val="008C1DCC"/>
    <w:rsid w:val="008C2118"/>
    <w:rsid w:val="008C21BF"/>
    <w:rsid w:val="008C22BF"/>
    <w:rsid w:val="008C235E"/>
    <w:rsid w:val="008C2597"/>
    <w:rsid w:val="008C2717"/>
    <w:rsid w:val="008C2758"/>
    <w:rsid w:val="008C2772"/>
    <w:rsid w:val="008C2B1B"/>
    <w:rsid w:val="008C2F5A"/>
    <w:rsid w:val="008C335E"/>
    <w:rsid w:val="008C346B"/>
    <w:rsid w:val="008C35A7"/>
    <w:rsid w:val="008C35D2"/>
    <w:rsid w:val="008C373A"/>
    <w:rsid w:val="008C379A"/>
    <w:rsid w:val="008C3AC6"/>
    <w:rsid w:val="008C3B99"/>
    <w:rsid w:val="008C3BDA"/>
    <w:rsid w:val="008C3CCB"/>
    <w:rsid w:val="008C3E47"/>
    <w:rsid w:val="008C3FE9"/>
    <w:rsid w:val="008C40D1"/>
    <w:rsid w:val="008C40DC"/>
    <w:rsid w:val="008C4105"/>
    <w:rsid w:val="008C4392"/>
    <w:rsid w:val="008C44AA"/>
    <w:rsid w:val="008C4698"/>
    <w:rsid w:val="008C47F1"/>
    <w:rsid w:val="008C489B"/>
    <w:rsid w:val="008C4A06"/>
    <w:rsid w:val="008C4ACF"/>
    <w:rsid w:val="008C4CE7"/>
    <w:rsid w:val="008C4EC5"/>
    <w:rsid w:val="008C51F3"/>
    <w:rsid w:val="008C5244"/>
    <w:rsid w:val="008C52B3"/>
    <w:rsid w:val="008C530B"/>
    <w:rsid w:val="008C53F8"/>
    <w:rsid w:val="008C5458"/>
    <w:rsid w:val="008C5649"/>
    <w:rsid w:val="008C5828"/>
    <w:rsid w:val="008C596D"/>
    <w:rsid w:val="008C5CE1"/>
    <w:rsid w:val="008C5D05"/>
    <w:rsid w:val="008C5F0C"/>
    <w:rsid w:val="008C5F5D"/>
    <w:rsid w:val="008C5F8A"/>
    <w:rsid w:val="008C6107"/>
    <w:rsid w:val="008C62D8"/>
    <w:rsid w:val="008C630D"/>
    <w:rsid w:val="008C6340"/>
    <w:rsid w:val="008C64C3"/>
    <w:rsid w:val="008C6DA4"/>
    <w:rsid w:val="008C6DAB"/>
    <w:rsid w:val="008C6DB6"/>
    <w:rsid w:val="008C7372"/>
    <w:rsid w:val="008C74E5"/>
    <w:rsid w:val="008C758A"/>
    <w:rsid w:val="008C77E9"/>
    <w:rsid w:val="008C7AB7"/>
    <w:rsid w:val="008C7CC7"/>
    <w:rsid w:val="008C7D68"/>
    <w:rsid w:val="008C7EAE"/>
    <w:rsid w:val="008D00A6"/>
    <w:rsid w:val="008D00D4"/>
    <w:rsid w:val="008D015B"/>
    <w:rsid w:val="008D04B4"/>
    <w:rsid w:val="008D04F9"/>
    <w:rsid w:val="008D0884"/>
    <w:rsid w:val="008D0B24"/>
    <w:rsid w:val="008D0DD8"/>
    <w:rsid w:val="008D1486"/>
    <w:rsid w:val="008D14BA"/>
    <w:rsid w:val="008D19CB"/>
    <w:rsid w:val="008D23D3"/>
    <w:rsid w:val="008D2472"/>
    <w:rsid w:val="008D25CA"/>
    <w:rsid w:val="008D2971"/>
    <w:rsid w:val="008D2AA2"/>
    <w:rsid w:val="008D2D43"/>
    <w:rsid w:val="008D2DE2"/>
    <w:rsid w:val="008D2F2E"/>
    <w:rsid w:val="008D3212"/>
    <w:rsid w:val="008D324F"/>
    <w:rsid w:val="008D36FD"/>
    <w:rsid w:val="008D3707"/>
    <w:rsid w:val="008D383C"/>
    <w:rsid w:val="008D398E"/>
    <w:rsid w:val="008D39B8"/>
    <w:rsid w:val="008D3A44"/>
    <w:rsid w:val="008D3F91"/>
    <w:rsid w:val="008D4089"/>
    <w:rsid w:val="008D4185"/>
    <w:rsid w:val="008D4306"/>
    <w:rsid w:val="008D43B0"/>
    <w:rsid w:val="008D4413"/>
    <w:rsid w:val="008D4435"/>
    <w:rsid w:val="008D48FC"/>
    <w:rsid w:val="008D4B52"/>
    <w:rsid w:val="008D4D37"/>
    <w:rsid w:val="008D5300"/>
    <w:rsid w:val="008D5355"/>
    <w:rsid w:val="008D555F"/>
    <w:rsid w:val="008D5671"/>
    <w:rsid w:val="008D56F0"/>
    <w:rsid w:val="008D5722"/>
    <w:rsid w:val="008D5DED"/>
    <w:rsid w:val="008D5E5B"/>
    <w:rsid w:val="008D5E9F"/>
    <w:rsid w:val="008D5EB9"/>
    <w:rsid w:val="008D61B9"/>
    <w:rsid w:val="008D61E3"/>
    <w:rsid w:val="008D6271"/>
    <w:rsid w:val="008D632E"/>
    <w:rsid w:val="008D6346"/>
    <w:rsid w:val="008D658F"/>
    <w:rsid w:val="008D663C"/>
    <w:rsid w:val="008D66FA"/>
    <w:rsid w:val="008D672D"/>
    <w:rsid w:val="008D6860"/>
    <w:rsid w:val="008D6A91"/>
    <w:rsid w:val="008D718C"/>
    <w:rsid w:val="008D7878"/>
    <w:rsid w:val="008D78B3"/>
    <w:rsid w:val="008D7B64"/>
    <w:rsid w:val="008D7C82"/>
    <w:rsid w:val="008D7D1F"/>
    <w:rsid w:val="008D7D71"/>
    <w:rsid w:val="008E0175"/>
    <w:rsid w:val="008E0211"/>
    <w:rsid w:val="008E054A"/>
    <w:rsid w:val="008E07B4"/>
    <w:rsid w:val="008E0865"/>
    <w:rsid w:val="008E0925"/>
    <w:rsid w:val="008E0958"/>
    <w:rsid w:val="008E0BF9"/>
    <w:rsid w:val="008E0DDE"/>
    <w:rsid w:val="008E1238"/>
    <w:rsid w:val="008E12D0"/>
    <w:rsid w:val="008E135A"/>
    <w:rsid w:val="008E1440"/>
    <w:rsid w:val="008E1775"/>
    <w:rsid w:val="008E18E3"/>
    <w:rsid w:val="008E1909"/>
    <w:rsid w:val="008E1A4C"/>
    <w:rsid w:val="008E1FE8"/>
    <w:rsid w:val="008E22CF"/>
    <w:rsid w:val="008E2352"/>
    <w:rsid w:val="008E24A4"/>
    <w:rsid w:val="008E2505"/>
    <w:rsid w:val="008E25B6"/>
    <w:rsid w:val="008E25C5"/>
    <w:rsid w:val="008E2626"/>
    <w:rsid w:val="008E2643"/>
    <w:rsid w:val="008E26A8"/>
    <w:rsid w:val="008E2A07"/>
    <w:rsid w:val="008E2A7C"/>
    <w:rsid w:val="008E2B4F"/>
    <w:rsid w:val="008E2F7B"/>
    <w:rsid w:val="008E32ED"/>
    <w:rsid w:val="008E3BDF"/>
    <w:rsid w:val="008E4245"/>
    <w:rsid w:val="008E432C"/>
    <w:rsid w:val="008E4502"/>
    <w:rsid w:val="008E4528"/>
    <w:rsid w:val="008E4BD3"/>
    <w:rsid w:val="008E4F09"/>
    <w:rsid w:val="008E4F9A"/>
    <w:rsid w:val="008E4FCA"/>
    <w:rsid w:val="008E5012"/>
    <w:rsid w:val="008E535C"/>
    <w:rsid w:val="008E5935"/>
    <w:rsid w:val="008E5B64"/>
    <w:rsid w:val="008E5BEA"/>
    <w:rsid w:val="008E5BF5"/>
    <w:rsid w:val="008E6117"/>
    <w:rsid w:val="008E633B"/>
    <w:rsid w:val="008E63C5"/>
    <w:rsid w:val="008E6487"/>
    <w:rsid w:val="008E671A"/>
    <w:rsid w:val="008E6AFD"/>
    <w:rsid w:val="008E6BD5"/>
    <w:rsid w:val="008E6C8D"/>
    <w:rsid w:val="008E6DDA"/>
    <w:rsid w:val="008E6E2F"/>
    <w:rsid w:val="008E705A"/>
    <w:rsid w:val="008E7144"/>
    <w:rsid w:val="008E738F"/>
    <w:rsid w:val="008E744C"/>
    <w:rsid w:val="008E76CF"/>
    <w:rsid w:val="008E7733"/>
    <w:rsid w:val="008E7901"/>
    <w:rsid w:val="008E795A"/>
    <w:rsid w:val="008E7C50"/>
    <w:rsid w:val="008E7CB8"/>
    <w:rsid w:val="008F02DF"/>
    <w:rsid w:val="008F04F9"/>
    <w:rsid w:val="008F0868"/>
    <w:rsid w:val="008F08EB"/>
    <w:rsid w:val="008F0D84"/>
    <w:rsid w:val="008F1140"/>
    <w:rsid w:val="008F11D3"/>
    <w:rsid w:val="008F13A9"/>
    <w:rsid w:val="008F1611"/>
    <w:rsid w:val="008F176D"/>
    <w:rsid w:val="008F1DD8"/>
    <w:rsid w:val="008F1E8E"/>
    <w:rsid w:val="008F2087"/>
    <w:rsid w:val="008F2326"/>
    <w:rsid w:val="008F23AE"/>
    <w:rsid w:val="008F262A"/>
    <w:rsid w:val="008F26D3"/>
    <w:rsid w:val="008F2765"/>
    <w:rsid w:val="008F28B0"/>
    <w:rsid w:val="008F2CCC"/>
    <w:rsid w:val="008F2EF9"/>
    <w:rsid w:val="008F307B"/>
    <w:rsid w:val="008F3105"/>
    <w:rsid w:val="008F33A3"/>
    <w:rsid w:val="008F358E"/>
    <w:rsid w:val="008F38DF"/>
    <w:rsid w:val="008F3A41"/>
    <w:rsid w:val="008F3CBB"/>
    <w:rsid w:val="008F3E10"/>
    <w:rsid w:val="008F3F30"/>
    <w:rsid w:val="008F3F5E"/>
    <w:rsid w:val="008F4065"/>
    <w:rsid w:val="008F406C"/>
    <w:rsid w:val="008F4070"/>
    <w:rsid w:val="008F412F"/>
    <w:rsid w:val="008F414C"/>
    <w:rsid w:val="008F43B8"/>
    <w:rsid w:val="008F47AB"/>
    <w:rsid w:val="008F483B"/>
    <w:rsid w:val="008F4AC3"/>
    <w:rsid w:val="008F4BB7"/>
    <w:rsid w:val="008F4C5D"/>
    <w:rsid w:val="008F50BE"/>
    <w:rsid w:val="008F5101"/>
    <w:rsid w:val="008F532C"/>
    <w:rsid w:val="008F5FC6"/>
    <w:rsid w:val="008F62E4"/>
    <w:rsid w:val="008F6551"/>
    <w:rsid w:val="008F687D"/>
    <w:rsid w:val="008F68C4"/>
    <w:rsid w:val="008F6A57"/>
    <w:rsid w:val="008F6E06"/>
    <w:rsid w:val="008F6E8B"/>
    <w:rsid w:val="008F7084"/>
    <w:rsid w:val="008F71F9"/>
    <w:rsid w:val="008F74E7"/>
    <w:rsid w:val="008F7526"/>
    <w:rsid w:val="008F75B9"/>
    <w:rsid w:val="008F799F"/>
    <w:rsid w:val="008F7CC3"/>
    <w:rsid w:val="008F7EF0"/>
    <w:rsid w:val="00900182"/>
    <w:rsid w:val="00900211"/>
    <w:rsid w:val="00900265"/>
    <w:rsid w:val="009002C0"/>
    <w:rsid w:val="009005B9"/>
    <w:rsid w:val="0090064C"/>
    <w:rsid w:val="009009EE"/>
    <w:rsid w:val="00900BA6"/>
    <w:rsid w:val="00900DFA"/>
    <w:rsid w:val="00900EE0"/>
    <w:rsid w:val="0090112D"/>
    <w:rsid w:val="00901196"/>
    <w:rsid w:val="0090126C"/>
    <w:rsid w:val="00901420"/>
    <w:rsid w:val="00901427"/>
    <w:rsid w:val="009014D7"/>
    <w:rsid w:val="009015CB"/>
    <w:rsid w:val="00901852"/>
    <w:rsid w:val="009018BB"/>
    <w:rsid w:val="00901A79"/>
    <w:rsid w:val="00901B3D"/>
    <w:rsid w:val="00901E02"/>
    <w:rsid w:val="00901E05"/>
    <w:rsid w:val="00902030"/>
    <w:rsid w:val="009021AB"/>
    <w:rsid w:val="009021AC"/>
    <w:rsid w:val="0090246C"/>
    <w:rsid w:val="009024B9"/>
    <w:rsid w:val="009024E8"/>
    <w:rsid w:val="009025D7"/>
    <w:rsid w:val="009028F4"/>
    <w:rsid w:val="00902913"/>
    <w:rsid w:val="0090294E"/>
    <w:rsid w:val="009029EC"/>
    <w:rsid w:val="00902B75"/>
    <w:rsid w:val="00902C74"/>
    <w:rsid w:val="00902E1A"/>
    <w:rsid w:val="0090352F"/>
    <w:rsid w:val="00903599"/>
    <w:rsid w:val="009035E5"/>
    <w:rsid w:val="00903899"/>
    <w:rsid w:val="00903AB4"/>
    <w:rsid w:val="00903AEC"/>
    <w:rsid w:val="00903C4F"/>
    <w:rsid w:val="00903E9E"/>
    <w:rsid w:val="00904350"/>
    <w:rsid w:val="009043CB"/>
    <w:rsid w:val="0090464D"/>
    <w:rsid w:val="0090471D"/>
    <w:rsid w:val="009047C1"/>
    <w:rsid w:val="00904A85"/>
    <w:rsid w:val="00904B94"/>
    <w:rsid w:val="00904D54"/>
    <w:rsid w:val="00904DAC"/>
    <w:rsid w:val="00904FB0"/>
    <w:rsid w:val="00905042"/>
    <w:rsid w:val="009051D7"/>
    <w:rsid w:val="009059AF"/>
    <w:rsid w:val="00905FCE"/>
    <w:rsid w:val="00906276"/>
    <w:rsid w:val="009062B7"/>
    <w:rsid w:val="00906403"/>
    <w:rsid w:val="0090688B"/>
    <w:rsid w:val="00906CDA"/>
    <w:rsid w:val="00906F2F"/>
    <w:rsid w:val="00906F33"/>
    <w:rsid w:val="00907167"/>
    <w:rsid w:val="009073FD"/>
    <w:rsid w:val="009076B9"/>
    <w:rsid w:val="00907889"/>
    <w:rsid w:val="00907893"/>
    <w:rsid w:val="009078CB"/>
    <w:rsid w:val="00907AD4"/>
    <w:rsid w:val="00907AD9"/>
    <w:rsid w:val="00907B02"/>
    <w:rsid w:val="00907B5C"/>
    <w:rsid w:val="0091008E"/>
    <w:rsid w:val="009100D7"/>
    <w:rsid w:val="00910589"/>
    <w:rsid w:val="0091090B"/>
    <w:rsid w:val="00910F5C"/>
    <w:rsid w:val="0091119D"/>
    <w:rsid w:val="0091121A"/>
    <w:rsid w:val="009113DE"/>
    <w:rsid w:val="00911623"/>
    <w:rsid w:val="009116E8"/>
    <w:rsid w:val="009119DF"/>
    <w:rsid w:val="00911A00"/>
    <w:rsid w:val="00911B66"/>
    <w:rsid w:val="00911EBF"/>
    <w:rsid w:val="00912242"/>
    <w:rsid w:val="009124C8"/>
    <w:rsid w:val="009128A1"/>
    <w:rsid w:val="00912A2F"/>
    <w:rsid w:val="00912ABE"/>
    <w:rsid w:val="00913234"/>
    <w:rsid w:val="00913640"/>
    <w:rsid w:val="009136D3"/>
    <w:rsid w:val="0091389D"/>
    <w:rsid w:val="00913B2C"/>
    <w:rsid w:val="00913BBF"/>
    <w:rsid w:val="00913E5D"/>
    <w:rsid w:val="009140F4"/>
    <w:rsid w:val="009142BC"/>
    <w:rsid w:val="00914A12"/>
    <w:rsid w:val="00914C64"/>
    <w:rsid w:val="00914EBB"/>
    <w:rsid w:val="00915234"/>
    <w:rsid w:val="00915346"/>
    <w:rsid w:val="0091545A"/>
    <w:rsid w:val="009158A4"/>
    <w:rsid w:val="00915BCF"/>
    <w:rsid w:val="00915D04"/>
    <w:rsid w:val="00915E8A"/>
    <w:rsid w:val="00915F1E"/>
    <w:rsid w:val="00916725"/>
    <w:rsid w:val="00916750"/>
    <w:rsid w:val="00916757"/>
    <w:rsid w:val="00916AA0"/>
    <w:rsid w:val="00916FDF"/>
    <w:rsid w:val="0091721E"/>
    <w:rsid w:val="00917331"/>
    <w:rsid w:val="00917374"/>
    <w:rsid w:val="00917766"/>
    <w:rsid w:val="00917825"/>
    <w:rsid w:val="009178BE"/>
    <w:rsid w:val="00917DE1"/>
    <w:rsid w:val="00917E8E"/>
    <w:rsid w:val="00917F29"/>
    <w:rsid w:val="009200A9"/>
    <w:rsid w:val="0092024B"/>
    <w:rsid w:val="00920399"/>
    <w:rsid w:val="009204F7"/>
    <w:rsid w:val="00920559"/>
    <w:rsid w:val="00920A74"/>
    <w:rsid w:val="00920CC9"/>
    <w:rsid w:val="00920E7B"/>
    <w:rsid w:val="00920FFF"/>
    <w:rsid w:val="0092158B"/>
    <w:rsid w:val="009215B9"/>
    <w:rsid w:val="00921630"/>
    <w:rsid w:val="00921B85"/>
    <w:rsid w:val="00921BEE"/>
    <w:rsid w:val="00921CDA"/>
    <w:rsid w:val="00921D5B"/>
    <w:rsid w:val="00922040"/>
    <w:rsid w:val="009222E7"/>
    <w:rsid w:val="00922D33"/>
    <w:rsid w:val="00922DC6"/>
    <w:rsid w:val="009234EC"/>
    <w:rsid w:val="0092365F"/>
    <w:rsid w:val="009239C8"/>
    <w:rsid w:val="009239F4"/>
    <w:rsid w:val="00923A7B"/>
    <w:rsid w:val="00923B77"/>
    <w:rsid w:val="00923BE8"/>
    <w:rsid w:val="00923F67"/>
    <w:rsid w:val="00923F74"/>
    <w:rsid w:val="00923F8A"/>
    <w:rsid w:val="00924079"/>
    <w:rsid w:val="00924331"/>
    <w:rsid w:val="009244F1"/>
    <w:rsid w:val="009245EE"/>
    <w:rsid w:val="0092489D"/>
    <w:rsid w:val="009248B1"/>
    <w:rsid w:val="00924981"/>
    <w:rsid w:val="00924B73"/>
    <w:rsid w:val="00924E3A"/>
    <w:rsid w:val="00924EB3"/>
    <w:rsid w:val="0092514D"/>
    <w:rsid w:val="0092517E"/>
    <w:rsid w:val="00925257"/>
    <w:rsid w:val="00925592"/>
    <w:rsid w:val="0092560C"/>
    <w:rsid w:val="0092573B"/>
    <w:rsid w:val="0092577B"/>
    <w:rsid w:val="00925B5C"/>
    <w:rsid w:val="0092619F"/>
    <w:rsid w:val="009262A3"/>
    <w:rsid w:val="009263B6"/>
    <w:rsid w:val="00926788"/>
    <w:rsid w:val="009267A3"/>
    <w:rsid w:val="0092694A"/>
    <w:rsid w:val="00926956"/>
    <w:rsid w:val="00926DE6"/>
    <w:rsid w:val="00926EF0"/>
    <w:rsid w:val="00926F8E"/>
    <w:rsid w:val="00926FD3"/>
    <w:rsid w:val="00927056"/>
    <w:rsid w:val="00927111"/>
    <w:rsid w:val="00927334"/>
    <w:rsid w:val="0092733E"/>
    <w:rsid w:val="009277B3"/>
    <w:rsid w:val="00927BFD"/>
    <w:rsid w:val="00927CA7"/>
    <w:rsid w:val="00927D1A"/>
    <w:rsid w:val="00927F98"/>
    <w:rsid w:val="00930139"/>
    <w:rsid w:val="00930A2B"/>
    <w:rsid w:val="00930CA8"/>
    <w:rsid w:val="00931123"/>
    <w:rsid w:val="0093136F"/>
    <w:rsid w:val="0093144C"/>
    <w:rsid w:val="0093146E"/>
    <w:rsid w:val="0093151C"/>
    <w:rsid w:val="009316BB"/>
    <w:rsid w:val="00931A24"/>
    <w:rsid w:val="00931B9E"/>
    <w:rsid w:val="00931DA0"/>
    <w:rsid w:val="009320F1"/>
    <w:rsid w:val="00932280"/>
    <w:rsid w:val="009322DF"/>
    <w:rsid w:val="0093262C"/>
    <w:rsid w:val="00932891"/>
    <w:rsid w:val="00932A66"/>
    <w:rsid w:val="00932ED4"/>
    <w:rsid w:val="00932F63"/>
    <w:rsid w:val="00932FE6"/>
    <w:rsid w:val="00933059"/>
    <w:rsid w:val="0093334B"/>
    <w:rsid w:val="009334B6"/>
    <w:rsid w:val="00933527"/>
    <w:rsid w:val="0093370C"/>
    <w:rsid w:val="009339C4"/>
    <w:rsid w:val="00933C1C"/>
    <w:rsid w:val="00933CC9"/>
    <w:rsid w:val="0093471A"/>
    <w:rsid w:val="0093477F"/>
    <w:rsid w:val="00934B5B"/>
    <w:rsid w:val="00934D76"/>
    <w:rsid w:val="00934F5A"/>
    <w:rsid w:val="009355D2"/>
    <w:rsid w:val="00935650"/>
    <w:rsid w:val="0093577A"/>
    <w:rsid w:val="0093581B"/>
    <w:rsid w:val="00935902"/>
    <w:rsid w:val="00935D41"/>
    <w:rsid w:val="00935DF5"/>
    <w:rsid w:val="009361E6"/>
    <w:rsid w:val="00936337"/>
    <w:rsid w:val="009363A8"/>
    <w:rsid w:val="0093667B"/>
    <w:rsid w:val="00936720"/>
    <w:rsid w:val="0093678C"/>
    <w:rsid w:val="009369A2"/>
    <w:rsid w:val="00936D22"/>
    <w:rsid w:val="00936D35"/>
    <w:rsid w:val="00936D76"/>
    <w:rsid w:val="00936EFD"/>
    <w:rsid w:val="0093746B"/>
    <w:rsid w:val="009376F4"/>
    <w:rsid w:val="00937707"/>
    <w:rsid w:val="00937803"/>
    <w:rsid w:val="00937B70"/>
    <w:rsid w:val="00937EFB"/>
    <w:rsid w:val="0094062F"/>
    <w:rsid w:val="00940757"/>
    <w:rsid w:val="00940831"/>
    <w:rsid w:val="00940865"/>
    <w:rsid w:val="00940A80"/>
    <w:rsid w:val="00940BCA"/>
    <w:rsid w:val="00940C67"/>
    <w:rsid w:val="00940CA6"/>
    <w:rsid w:val="00940E2F"/>
    <w:rsid w:val="00941214"/>
    <w:rsid w:val="0094128B"/>
    <w:rsid w:val="009414CF"/>
    <w:rsid w:val="00941636"/>
    <w:rsid w:val="0094163B"/>
    <w:rsid w:val="009416BD"/>
    <w:rsid w:val="0094174D"/>
    <w:rsid w:val="00941AF1"/>
    <w:rsid w:val="00941B66"/>
    <w:rsid w:val="00941CA2"/>
    <w:rsid w:val="00941DD4"/>
    <w:rsid w:val="00941DE4"/>
    <w:rsid w:val="00942427"/>
    <w:rsid w:val="00942626"/>
    <w:rsid w:val="009426B1"/>
    <w:rsid w:val="00942968"/>
    <w:rsid w:val="00942986"/>
    <w:rsid w:val="00942EEF"/>
    <w:rsid w:val="00942FD4"/>
    <w:rsid w:val="00943647"/>
    <w:rsid w:val="009438BA"/>
    <w:rsid w:val="009438C6"/>
    <w:rsid w:val="00943A2A"/>
    <w:rsid w:val="00943B9A"/>
    <w:rsid w:val="00943C47"/>
    <w:rsid w:val="00943CCA"/>
    <w:rsid w:val="00943D24"/>
    <w:rsid w:val="00943D6F"/>
    <w:rsid w:val="00943DD6"/>
    <w:rsid w:val="00943EBF"/>
    <w:rsid w:val="00944059"/>
    <w:rsid w:val="00944216"/>
    <w:rsid w:val="009443A5"/>
    <w:rsid w:val="009443B9"/>
    <w:rsid w:val="009443F2"/>
    <w:rsid w:val="009446D9"/>
    <w:rsid w:val="00944A38"/>
    <w:rsid w:val="00944D5D"/>
    <w:rsid w:val="00944DC6"/>
    <w:rsid w:val="00944F02"/>
    <w:rsid w:val="0094507D"/>
    <w:rsid w:val="00945131"/>
    <w:rsid w:val="00945428"/>
    <w:rsid w:val="0094581A"/>
    <w:rsid w:val="009458A3"/>
    <w:rsid w:val="00945AA8"/>
    <w:rsid w:val="00945C54"/>
    <w:rsid w:val="00945C88"/>
    <w:rsid w:val="009460FE"/>
    <w:rsid w:val="00946265"/>
    <w:rsid w:val="0094631F"/>
    <w:rsid w:val="00946667"/>
    <w:rsid w:val="009469D5"/>
    <w:rsid w:val="009469ED"/>
    <w:rsid w:val="009470B9"/>
    <w:rsid w:val="009471B5"/>
    <w:rsid w:val="00947565"/>
    <w:rsid w:val="0094782A"/>
    <w:rsid w:val="0094785C"/>
    <w:rsid w:val="0094799C"/>
    <w:rsid w:val="00947B11"/>
    <w:rsid w:val="00947CBA"/>
    <w:rsid w:val="00947CCE"/>
    <w:rsid w:val="00947CD1"/>
    <w:rsid w:val="0095002B"/>
    <w:rsid w:val="00950127"/>
    <w:rsid w:val="0095018D"/>
    <w:rsid w:val="0095020D"/>
    <w:rsid w:val="00950224"/>
    <w:rsid w:val="00950328"/>
    <w:rsid w:val="00950419"/>
    <w:rsid w:val="0095065E"/>
    <w:rsid w:val="009506A1"/>
    <w:rsid w:val="00950BD4"/>
    <w:rsid w:val="00950C27"/>
    <w:rsid w:val="00950C78"/>
    <w:rsid w:val="00950DA7"/>
    <w:rsid w:val="00950F52"/>
    <w:rsid w:val="00950F6A"/>
    <w:rsid w:val="0095104A"/>
    <w:rsid w:val="00951231"/>
    <w:rsid w:val="00951383"/>
    <w:rsid w:val="00951594"/>
    <w:rsid w:val="00951614"/>
    <w:rsid w:val="0095161D"/>
    <w:rsid w:val="00951694"/>
    <w:rsid w:val="0095196F"/>
    <w:rsid w:val="00951992"/>
    <w:rsid w:val="00951A74"/>
    <w:rsid w:val="00951B2C"/>
    <w:rsid w:val="00951B35"/>
    <w:rsid w:val="00951BB0"/>
    <w:rsid w:val="00951DC0"/>
    <w:rsid w:val="00951FE3"/>
    <w:rsid w:val="0095210D"/>
    <w:rsid w:val="00952112"/>
    <w:rsid w:val="00952154"/>
    <w:rsid w:val="00952450"/>
    <w:rsid w:val="009524CA"/>
    <w:rsid w:val="00952520"/>
    <w:rsid w:val="009525B1"/>
    <w:rsid w:val="009528B9"/>
    <w:rsid w:val="00952A55"/>
    <w:rsid w:val="00952AD8"/>
    <w:rsid w:val="00952BE6"/>
    <w:rsid w:val="00952DD3"/>
    <w:rsid w:val="009530A3"/>
    <w:rsid w:val="009534F5"/>
    <w:rsid w:val="0095376F"/>
    <w:rsid w:val="00953845"/>
    <w:rsid w:val="0095394A"/>
    <w:rsid w:val="00953A2A"/>
    <w:rsid w:val="00953B1F"/>
    <w:rsid w:val="00953B47"/>
    <w:rsid w:val="00953C63"/>
    <w:rsid w:val="00953CF9"/>
    <w:rsid w:val="00953EBB"/>
    <w:rsid w:val="00954068"/>
    <w:rsid w:val="00954384"/>
    <w:rsid w:val="009546C4"/>
    <w:rsid w:val="009548A9"/>
    <w:rsid w:val="00954C52"/>
    <w:rsid w:val="00954D07"/>
    <w:rsid w:val="00954DEB"/>
    <w:rsid w:val="00954E87"/>
    <w:rsid w:val="00955078"/>
    <w:rsid w:val="009550E7"/>
    <w:rsid w:val="009550FD"/>
    <w:rsid w:val="009552F8"/>
    <w:rsid w:val="009556C2"/>
    <w:rsid w:val="00955884"/>
    <w:rsid w:val="00955A65"/>
    <w:rsid w:val="00955FBB"/>
    <w:rsid w:val="0095628B"/>
    <w:rsid w:val="0095642F"/>
    <w:rsid w:val="00956578"/>
    <w:rsid w:val="00956658"/>
    <w:rsid w:val="009566F3"/>
    <w:rsid w:val="0095680E"/>
    <w:rsid w:val="00956995"/>
    <w:rsid w:val="00956BAD"/>
    <w:rsid w:val="00957022"/>
    <w:rsid w:val="009571EC"/>
    <w:rsid w:val="00957204"/>
    <w:rsid w:val="00957352"/>
    <w:rsid w:val="00957776"/>
    <w:rsid w:val="009578D1"/>
    <w:rsid w:val="009578DC"/>
    <w:rsid w:val="00957AF3"/>
    <w:rsid w:val="00957CB9"/>
    <w:rsid w:val="00957F64"/>
    <w:rsid w:val="009600B3"/>
    <w:rsid w:val="00960430"/>
    <w:rsid w:val="009608B4"/>
    <w:rsid w:val="00960965"/>
    <w:rsid w:val="00960997"/>
    <w:rsid w:val="00960A75"/>
    <w:rsid w:val="00960B2D"/>
    <w:rsid w:val="00960D2E"/>
    <w:rsid w:val="00960F38"/>
    <w:rsid w:val="00961180"/>
    <w:rsid w:val="0096128D"/>
    <w:rsid w:val="009616DF"/>
    <w:rsid w:val="00961726"/>
    <w:rsid w:val="009617C8"/>
    <w:rsid w:val="00961848"/>
    <w:rsid w:val="00961CB4"/>
    <w:rsid w:val="00961CE5"/>
    <w:rsid w:val="00961E25"/>
    <w:rsid w:val="00962043"/>
    <w:rsid w:val="00962149"/>
    <w:rsid w:val="00962A17"/>
    <w:rsid w:val="00962B88"/>
    <w:rsid w:val="00962DAA"/>
    <w:rsid w:val="00962F6B"/>
    <w:rsid w:val="00962FD5"/>
    <w:rsid w:val="00962FFC"/>
    <w:rsid w:val="00963225"/>
    <w:rsid w:val="0096336C"/>
    <w:rsid w:val="0096337F"/>
    <w:rsid w:val="00963437"/>
    <w:rsid w:val="009638FC"/>
    <w:rsid w:val="00963A02"/>
    <w:rsid w:val="00963C2C"/>
    <w:rsid w:val="00964012"/>
    <w:rsid w:val="00964244"/>
    <w:rsid w:val="009643EE"/>
    <w:rsid w:val="00964590"/>
    <w:rsid w:val="00964608"/>
    <w:rsid w:val="009646F2"/>
    <w:rsid w:val="009647EA"/>
    <w:rsid w:val="0096488E"/>
    <w:rsid w:val="00964904"/>
    <w:rsid w:val="00964FFC"/>
    <w:rsid w:val="00965054"/>
    <w:rsid w:val="009658FA"/>
    <w:rsid w:val="00965ABC"/>
    <w:rsid w:val="00965C27"/>
    <w:rsid w:val="00965C80"/>
    <w:rsid w:val="00965E65"/>
    <w:rsid w:val="00965EA5"/>
    <w:rsid w:val="00966122"/>
    <w:rsid w:val="0096626E"/>
    <w:rsid w:val="009662F6"/>
    <w:rsid w:val="00966460"/>
    <w:rsid w:val="00966487"/>
    <w:rsid w:val="00966495"/>
    <w:rsid w:val="009665DB"/>
    <w:rsid w:val="00966600"/>
    <w:rsid w:val="009666EA"/>
    <w:rsid w:val="0096699F"/>
    <w:rsid w:val="00966A0E"/>
    <w:rsid w:val="00966DEE"/>
    <w:rsid w:val="00966E7E"/>
    <w:rsid w:val="00966F01"/>
    <w:rsid w:val="00966FA5"/>
    <w:rsid w:val="009670BA"/>
    <w:rsid w:val="00967170"/>
    <w:rsid w:val="00967179"/>
    <w:rsid w:val="009673AC"/>
    <w:rsid w:val="00967481"/>
    <w:rsid w:val="009675FC"/>
    <w:rsid w:val="00967737"/>
    <w:rsid w:val="00967881"/>
    <w:rsid w:val="00967C3C"/>
    <w:rsid w:val="00967C3D"/>
    <w:rsid w:val="00967CE0"/>
    <w:rsid w:val="00967D6D"/>
    <w:rsid w:val="00967F35"/>
    <w:rsid w:val="009700F8"/>
    <w:rsid w:val="00970126"/>
    <w:rsid w:val="00970415"/>
    <w:rsid w:val="0097046D"/>
    <w:rsid w:val="0097055B"/>
    <w:rsid w:val="00970A5F"/>
    <w:rsid w:val="00970AA1"/>
    <w:rsid w:val="00970CCD"/>
    <w:rsid w:val="00971073"/>
    <w:rsid w:val="00971075"/>
    <w:rsid w:val="0097132B"/>
    <w:rsid w:val="00971395"/>
    <w:rsid w:val="009713D9"/>
    <w:rsid w:val="00971492"/>
    <w:rsid w:val="00971587"/>
    <w:rsid w:val="009718A0"/>
    <w:rsid w:val="00971A16"/>
    <w:rsid w:val="00971BFA"/>
    <w:rsid w:val="00971D7B"/>
    <w:rsid w:val="00971E1D"/>
    <w:rsid w:val="00971E22"/>
    <w:rsid w:val="009720C5"/>
    <w:rsid w:val="0097234D"/>
    <w:rsid w:val="009724E9"/>
    <w:rsid w:val="00972733"/>
    <w:rsid w:val="00972B16"/>
    <w:rsid w:val="00972BAF"/>
    <w:rsid w:val="00972C66"/>
    <w:rsid w:val="00972EB6"/>
    <w:rsid w:val="009730A3"/>
    <w:rsid w:val="00973362"/>
    <w:rsid w:val="00973363"/>
    <w:rsid w:val="0097356D"/>
    <w:rsid w:val="009736DC"/>
    <w:rsid w:val="0097375D"/>
    <w:rsid w:val="00973CE4"/>
    <w:rsid w:val="00973DCC"/>
    <w:rsid w:val="00973F32"/>
    <w:rsid w:val="0097405F"/>
    <w:rsid w:val="0097446C"/>
    <w:rsid w:val="009744D1"/>
    <w:rsid w:val="00974726"/>
    <w:rsid w:val="009747F1"/>
    <w:rsid w:val="009749E0"/>
    <w:rsid w:val="00974BD4"/>
    <w:rsid w:val="00974E3A"/>
    <w:rsid w:val="00974F48"/>
    <w:rsid w:val="00975077"/>
    <w:rsid w:val="0097586C"/>
    <w:rsid w:val="0097589D"/>
    <w:rsid w:val="00975978"/>
    <w:rsid w:val="00975CD9"/>
    <w:rsid w:val="00976047"/>
    <w:rsid w:val="009763CF"/>
    <w:rsid w:val="0097644D"/>
    <w:rsid w:val="009771B0"/>
    <w:rsid w:val="00977207"/>
    <w:rsid w:val="009772EB"/>
    <w:rsid w:val="009773B0"/>
    <w:rsid w:val="009775B9"/>
    <w:rsid w:val="009777E5"/>
    <w:rsid w:val="009778BF"/>
    <w:rsid w:val="00977BF4"/>
    <w:rsid w:val="00980429"/>
    <w:rsid w:val="00980442"/>
    <w:rsid w:val="0098045E"/>
    <w:rsid w:val="00980633"/>
    <w:rsid w:val="00980826"/>
    <w:rsid w:val="009808CB"/>
    <w:rsid w:val="009810AC"/>
    <w:rsid w:val="00981283"/>
    <w:rsid w:val="009813F3"/>
    <w:rsid w:val="0098153E"/>
    <w:rsid w:val="009817A4"/>
    <w:rsid w:val="009818D6"/>
    <w:rsid w:val="00981CD2"/>
    <w:rsid w:val="00981EF5"/>
    <w:rsid w:val="00981F77"/>
    <w:rsid w:val="00982766"/>
    <w:rsid w:val="009827A9"/>
    <w:rsid w:val="009829DE"/>
    <w:rsid w:val="00982B0A"/>
    <w:rsid w:val="00982B23"/>
    <w:rsid w:val="00982CFD"/>
    <w:rsid w:val="00982D20"/>
    <w:rsid w:val="009831BA"/>
    <w:rsid w:val="00983220"/>
    <w:rsid w:val="009833D4"/>
    <w:rsid w:val="009835A7"/>
    <w:rsid w:val="00983602"/>
    <w:rsid w:val="00983794"/>
    <w:rsid w:val="009837EA"/>
    <w:rsid w:val="009838FD"/>
    <w:rsid w:val="0098395C"/>
    <w:rsid w:val="00983C7D"/>
    <w:rsid w:val="00983CBA"/>
    <w:rsid w:val="00983E41"/>
    <w:rsid w:val="00983E76"/>
    <w:rsid w:val="00983FC8"/>
    <w:rsid w:val="00984084"/>
    <w:rsid w:val="009841CA"/>
    <w:rsid w:val="0098424B"/>
    <w:rsid w:val="00984285"/>
    <w:rsid w:val="00984395"/>
    <w:rsid w:val="00984605"/>
    <w:rsid w:val="00984966"/>
    <w:rsid w:val="00984B94"/>
    <w:rsid w:val="00984BC5"/>
    <w:rsid w:val="00984F56"/>
    <w:rsid w:val="0098513A"/>
    <w:rsid w:val="00985289"/>
    <w:rsid w:val="0098532A"/>
    <w:rsid w:val="00985B06"/>
    <w:rsid w:val="00985BD2"/>
    <w:rsid w:val="00985CA6"/>
    <w:rsid w:val="00985CF8"/>
    <w:rsid w:val="00985D9D"/>
    <w:rsid w:val="00985E2F"/>
    <w:rsid w:val="00986359"/>
    <w:rsid w:val="0098644B"/>
    <w:rsid w:val="00986644"/>
    <w:rsid w:val="00986654"/>
    <w:rsid w:val="0098689F"/>
    <w:rsid w:val="009869C9"/>
    <w:rsid w:val="00986B2F"/>
    <w:rsid w:val="00986B33"/>
    <w:rsid w:val="00986C3F"/>
    <w:rsid w:val="00986CE9"/>
    <w:rsid w:val="00986ED7"/>
    <w:rsid w:val="009870E9"/>
    <w:rsid w:val="00987113"/>
    <w:rsid w:val="0098729A"/>
    <w:rsid w:val="009876F9"/>
    <w:rsid w:val="00987AD5"/>
    <w:rsid w:val="00987B37"/>
    <w:rsid w:val="00987F28"/>
    <w:rsid w:val="00990038"/>
    <w:rsid w:val="00990102"/>
    <w:rsid w:val="00990156"/>
    <w:rsid w:val="00990192"/>
    <w:rsid w:val="00990432"/>
    <w:rsid w:val="00990451"/>
    <w:rsid w:val="00990501"/>
    <w:rsid w:val="009905AA"/>
    <w:rsid w:val="009905BC"/>
    <w:rsid w:val="0099065F"/>
    <w:rsid w:val="00990887"/>
    <w:rsid w:val="009908DE"/>
    <w:rsid w:val="00990966"/>
    <w:rsid w:val="00990F61"/>
    <w:rsid w:val="00991315"/>
    <w:rsid w:val="009917F2"/>
    <w:rsid w:val="00991860"/>
    <w:rsid w:val="00991A7F"/>
    <w:rsid w:val="00991AC2"/>
    <w:rsid w:val="00991F9D"/>
    <w:rsid w:val="00992105"/>
    <w:rsid w:val="009921A0"/>
    <w:rsid w:val="009921A2"/>
    <w:rsid w:val="009923F4"/>
    <w:rsid w:val="0099268A"/>
    <w:rsid w:val="0099277D"/>
    <w:rsid w:val="0099287D"/>
    <w:rsid w:val="00992896"/>
    <w:rsid w:val="009929C0"/>
    <w:rsid w:val="009929F8"/>
    <w:rsid w:val="00992DC6"/>
    <w:rsid w:val="00992EE7"/>
    <w:rsid w:val="0099316A"/>
    <w:rsid w:val="00993419"/>
    <w:rsid w:val="00993580"/>
    <w:rsid w:val="009935F6"/>
    <w:rsid w:val="00993830"/>
    <w:rsid w:val="00993C1F"/>
    <w:rsid w:val="009940BA"/>
    <w:rsid w:val="00994156"/>
    <w:rsid w:val="009941A6"/>
    <w:rsid w:val="0099442F"/>
    <w:rsid w:val="0099447F"/>
    <w:rsid w:val="00994747"/>
    <w:rsid w:val="00994777"/>
    <w:rsid w:val="009948A0"/>
    <w:rsid w:val="0099499D"/>
    <w:rsid w:val="00994DB8"/>
    <w:rsid w:val="00994DE8"/>
    <w:rsid w:val="00994F73"/>
    <w:rsid w:val="009950E6"/>
    <w:rsid w:val="00995403"/>
    <w:rsid w:val="00995972"/>
    <w:rsid w:val="00995BBE"/>
    <w:rsid w:val="00995D4C"/>
    <w:rsid w:val="00995DBB"/>
    <w:rsid w:val="00995F33"/>
    <w:rsid w:val="0099638F"/>
    <w:rsid w:val="009963C6"/>
    <w:rsid w:val="009966FB"/>
    <w:rsid w:val="00996A3D"/>
    <w:rsid w:val="00996A94"/>
    <w:rsid w:val="00996C03"/>
    <w:rsid w:val="00996C70"/>
    <w:rsid w:val="00996ECB"/>
    <w:rsid w:val="00997046"/>
    <w:rsid w:val="00997149"/>
    <w:rsid w:val="0099724A"/>
    <w:rsid w:val="00997491"/>
    <w:rsid w:val="009976C8"/>
    <w:rsid w:val="00997750"/>
    <w:rsid w:val="009979BB"/>
    <w:rsid w:val="00997B5D"/>
    <w:rsid w:val="00997D7B"/>
    <w:rsid w:val="00997D7C"/>
    <w:rsid w:val="009A0094"/>
    <w:rsid w:val="009A026B"/>
    <w:rsid w:val="009A03B0"/>
    <w:rsid w:val="009A0403"/>
    <w:rsid w:val="009A06FB"/>
    <w:rsid w:val="009A0804"/>
    <w:rsid w:val="009A0995"/>
    <w:rsid w:val="009A0CE8"/>
    <w:rsid w:val="009A0E62"/>
    <w:rsid w:val="009A0E69"/>
    <w:rsid w:val="009A10CC"/>
    <w:rsid w:val="009A1145"/>
    <w:rsid w:val="009A139C"/>
    <w:rsid w:val="009A13BC"/>
    <w:rsid w:val="009A1771"/>
    <w:rsid w:val="009A1A54"/>
    <w:rsid w:val="009A1B4F"/>
    <w:rsid w:val="009A1BA0"/>
    <w:rsid w:val="009A1D1C"/>
    <w:rsid w:val="009A1D70"/>
    <w:rsid w:val="009A2068"/>
    <w:rsid w:val="009A216A"/>
    <w:rsid w:val="009A2175"/>
    <w:rsid w:val="009A219E"/>
    <w:rsid w:val="009A2340"/>
    <w:rsid w:val="009A2424"/>
    <w:rsid w:val="009A27BF"/>
    <w:rsid w:val="009A28F0"/>
    <w:rsid w:val="009A2A01"/>
    <w:rsid w:val="009A2A73"/>
    <w:rsid w:val="009A2B37"/>
    <w:rsid w:val="009A2C1D"/>
    <w:rsid w:val="009A2EB2"/>
    <w:rsid w:val="009A2EDB"/>
    <w:rsid w:val="009A2F03"/>
    <w:rsid w:val="009A2F04"/>
    <w:rsid w:val="009A34E8"/>
    <w:rsid w:val="009A367E"/>
    <w:rsid w:val="009A397E"/>
    <w:rsid w:val="009A3A7F"/>
    <w:rsid w:val="009A3F3C"/>
    <w:rsid w:val="009A42A4"/>
    <w:rsid w:val="009A43E6"/>
    <w:rsid w:val="009A449D"/>
    <w:rsid w:val="009A45F7"/>
    <w:rsid w:val="009A4B95"/>
    <w:rsid w:val="009A4BA6"/>
    <w:rsid w:val="009A4BFB"/>
    <w:rsid w:val="009A4C87"/>
    <w:rsid w:val="009A4DC8"/>
    <w:rsid w:val="009A4DF3"/>
    <w:rsid w:val="009A4F17"/>
    <w:rsid w:val="009A536A"/>
    <w:rsid w:val="009A56D1"/>
    <w:rsid w:val="009A5805"/>
    <w:rsid w:val="009A5A0B"/>
    <w:rsid w:val="009A5B19"/>
    <w:rsid w:val="009A5CBF"/>
    <w:rsid w:val="009A5F8F"/>
    <w:rsid w:val="009A608C"/>
    <w:rsid w:val="009A6158"/>
    <w:rsid w:val="009A6184"/>
    <w:rsid w:val="009A635F"/>
    <w:rsid w:val="009A63F4"/>
    <w:rsid w:val="009A64AB"/>
    <w:rsid w:val="009A64B5"/>
    <w:rsid w:val="009A661E"/>
    <w:rsid w:val="009A676E"/>
    <w:rsid w:val="009A6802"/>
    <w:rsid w:val="009A689A"/>
    <w:rsid w:val="009A68DA"/>
    <w:rsid w:val="009A6BDD"/>
    <w:rsid w:val="009A6D62"/>
    <w:rsid w:val="009A6EA5"/>
    <w:rsid w:val="009A6F64"/>
    <w:rsid w:val="009A7059"/>
    <w:rsid w:val="009A7101"/>
    <w:rsid w:val="009A71CB"/>
    <w:rsid w:val="009A71DB"/>
    <w:rsid w:val="009A73E3"/>
    <w:rsid w:val="009A73F0"/>
    <w:rsid w:val="009A760F"/>
    <w:rsid w:val="009A7B30"/>
    <w:rsid w:val="009A7DF3"/>
    <w:rsid w:val="009A7F74"/>
    <w:rsid w:val="009B0596"/>
    <w:rsid w:val="009B08E9"/>
    <w:rsid w:val="009B0963"/>
    <w:rsid w:val="009B09E3"/>
    <w:rsid w:val="009B0B58"/>
    <w:rsid w:val="009B0BB7"/>
    <w:rsid w:val="009B0D2D"/>
    <w:rsid w:val="009B0D9D"/>
    <w:rsid w:val="009B0F90"/>
    <w:rsid w:val="009B10ED"/>
    <w:rsid w:val="009B11B9"/>
    <w:rsid w:val="009B12C7"/>
    <w:rsid w:val="009B146B"/>
    <w:rsid w:val="009B1524"/>
    <w:rsid w:val="009B1615"/>
    <w:rsid w:val="009B17CC"/>
    <w:rsid w:val="009B19C7"/>
    <w:rsid w:val="009B1A5B"/>
    <w:rsid w:val="009B1C06"/>
    <w:rsid w:val="009B1E47"/>
    <w:rsid w:val="009B212E"/>
    <w:rsid w:val="009B2342"/>
    <w:rsid w:val="009B23DF"/>
    <w:rsid w:val="009B24A7"/>
    <w:rsid w:val="009B24B7"/>
    <w:rsid w:val="009B260C"/>
    <w:rsid w:val="009B26A9"/>
    <w:rsid w:val="009B26DC"/>
    <w:rsid w:val="009B26E4"/>
    <w:rsid w:val="009B2813"/>
    <w:rsid w:val="009B2816"/>
    <w:rsid w:val="009B2E56"/>
    <w:rsid w:val="009B2E76"/>
    <w:rsid w:val="009B30D4"/>
    <w:rsid w:val="009B30F1"/>
    <w:rsid w:val="009B32F0"/>
    <w:rsid w:val="009B35F4"/>
    <w:rsid w:val="009B3986"/>
    <w:rsid w:val="009B3E5A"/>
    <w:rsid w:val="009B3EF9"/>
    <w:rsid w:val="009B3FAD"/>
    <w:rsid w:val="009B407A"/>
    <w:rsid w:val="009B4097"/>
    <w:rsid w:val="009B419B"/>
    <w:rsid w:val="009B445D"/>
    <w:rsid w:val="009B458B"/>
    <w:rsid w:val="009B4836"/>
    <w:rsid w:val="009B49B5"/>
    <w:rsid w:val="009B4CA0"/>
    <w:rsid w:val="009B5599"/>
    <w:rsid w:val="009B5A20"/>
    <w:rsid w:val="009B5F64"/>
    <w:rsid w:val="009B5FAA"/>
    <w:rsid w:val="009B5FBA"/>
    <w:rsid w:val="009B6132"/>
    <w:rsid w:val="009B6265"/>
    <w:rsid w:val="009B64F7"/>
    <w:rsid w:val="009B6521"/>
    <w:rsid w:val="009B68C9"/>
    <w:rsid w:val="009B697A"/>
    <w:rsid w:val="009B6BCB"/>
    <w:rsid w:val="009B6BD7"/>
    <w:rsid w:val="009B6D88"/>
    <w:rsid w:val="009B6F64"/>
    <w:rsid w:val="009B6FD3"/>
    <w:rsid w:val="009B7138"/>
    <w:rsid w:val="009B75B2"/>
    <w:rsid w:val="009B76AB"/>
    <w:rsid w:val="009B793A"/>
    <w:rsid w:val="009B7C28"/>
    <w:rsid w:val="009B7DED"/>
    <w:rsid w:val="009C004D"/>
    <w:rsid w:val="009C0054"/>
    <w:rsid w:val="009C0125"/>
    <w:rsid w:val="009C025D"/>
    <w:rsid w:val="009C05B4"/>
    <w:rsid w:val="009C05D5"/>
    <w:rsid w:val="009C06B1"/>
    <w:rsid w:val="009C0A6D"/>
    <w:rsid w:val="009C0ABF"/>
    <w:rsid w:val="009C0CA3"/>
    <w:rsid w:val="009C0CC3"/>
    <w:rsid w:val="009C0EE1"/>
    <w:rsid w:val="009C114E"/>
    <w:rsid w:val="009C141F"/>
    <w:rsid w:val="009C174E"/>
    <w:rsid w:val="009C175C"/>
    <w:rsid w:val="009C1ADE"/>
    <w:rsid w:val="009C1B62"/>
    <w:rsid w:val="009C1E50"/>
    <w:rsid w:val="009C1E6A"/>
    <w:rsid w:val="009C1EC1"/>
    <w:rsid w:val="009C1ED7"/>
    <w:rsid w:val="009C2163"/>
    <w:rsid w:val="009C2287"/>
    <w:rsid w:val="009C233A"/>
    <w:rsid w:val="009C266A"/>
    <w:rsid w:val="009C26FC"/>
    <w:rsid w:val="009C26FD"/>
    <w:rsid w:val="009C285C"/>
    <w:rsid w:val="009C2973"/>
    <w:rsid w:val="009C2EB3"/>
    <w:rsid w:val="009C312B"/>
    <w:rsid w:val="009C3597"/>
    <w:rsid w:val="009C3635"/>
    <w:rsid w:val="009C3834"/>
    <w:rsid w:val="009C3990"/>
    <w:rsid w:val="009C3A99"/>
    <w:rsid w:val="009C3B68"/>
    <w:rsid w:val="009C3E0A"/>
    <w:rsid w:val="009C4103"/>
    <w:rsid w:val="009C4486"/>
    <w:rsid w:val="009C44DD"/>
    <w:rsid w:val="009C47BE"/>
    <w:rsid w:val="009C4BCB"/>
    <w:rsid w:val="009C4D8E"/>
    <w:rsid w:val="009C4D9E"/>
    <w:rsid w:val="009C4EC1"/>
    <w:rsid w:val="009C5084"/>
    <w:rsid w:val="009C5260"/>
    <w:rsid w:val="009C5529"/>
    <w:rsid w:val="009C562D"/>
    <w:rsid w:val="009C569A"/>
    <w:rsid w:val="009C58B2"/>
    <w:rsid w:val="009C5A7F"/>
    <w:rsid w:val="009C5B3A"/>
    <w:rsid w:val="009C5B7B"/>
    <w:rsid w:val="009C5D67"/>
    <w:rsid w:val="009C5D90"/>
    <w:rsid w:val="009C60B9"/>
    <w:rsid w:val="009C60C4"/>
    <w:rsid w:val="009C654E"/>
    <w:rsid w:val="009C66F8"/>
    <w:rsid w:val="009C68AB"/>
    <w:rsid w:val="009C695C"/>
    <w:rsid w:val="009C6A7E"/>
    <w:rsid w:val="009C6AAE"/>
    <w:rsid w:val="009C6B46"/>
    <w:rsid w:val="009C6C31"/>
    <w:rsid w:val="009C6CFF"/>
    <w:rsid w:val="009C6D94"/>
    <w:rsid w:val="009C6FF4"/>
    <w:rsid w:val="009C71E2"/>
    <w:rsid w:val="009C7399"/>
    <w:rsid w:val="009C7413"/>
    <w:rsid w:val="009C756F"/>
    <w:rsid w:val="009C75AF"/>
    <w:rsid w:val="009C76EB"/>
    <w:rsid w:val="009C7748"/>
    <w:rsid w:val="009C7876"/>
    <w:rsid w:val="009C7A2C"/>
    <w:rsid w:val="009C7A5C"/>
    <w:rsid w:val="009C7FE7"/>
    <w:rsid w:val="009D011B"/>
    <w:rsid w:val="009D0301"/>
    <w:rsid w:val="009D0497"/>
    <w:rsid w:val="009D07B1"/>
    <w:rsid w:val="009D0809"/>
    <w:rsid w:val="009D09F3"/>
    <w:rsid w:val="009D0CC8"/>
    <w:rsid w:val="009D0D79"/>
    <w:rsid w:val="009D0DA4"/>
    <w:rsid w:val="009D0E3E"/>
    <w:rsid w:val="009D0E45"/>
    <w:rsid w:val="009D1228"/>
    <w:rsid w:val="009D1286"/>
    <w:rsid w:val="009D16FC"/>
    <w:rsid w:val="009D19C1"/>
    <w:rsid w:val="009D1B1E"/>
    <w:rsid w:val="009D1C4D"/>
    <w:rsid w:val="009D1C5D"/>
    <w:rsid w:val="009D1CC6"/>
    <w:rsid w:val="009D1CCC"/>
    <w:rsid w:val="009D1D53"/>
    <w:rsid w:val="009D24E1"/>
    <w:rsid w:val="009D2534"/>
    <w:rsid w:val="009D2BF5"/>
    <w:rsid w:val="009D2DC3"/>
    <w:rsid w:val="009D3020"/>
    <w:rsid w:val="009D3DC6"/>
    <w:rsid w:val="009D3E9E"/>
    <w:rsid w:val="009D3ED1"/>
    <w:rsid w:val="009D3F4B"/>
    <w:rsid w:val="009D3F66"/>
    <w:rsid w:val="009D4000"/>
    <w:rsid w:val="009D404D"/>
    <w:rsid w:val="009D40B7"/>
    <w:rsid w:val="009D42C1"/>
    <w:rsid w:val="009D450F"/>
    <w:rsid w:val="009D4605"/>
    <w:rsid w:val="009D46E3"/>
    <w:rsid w:val="009D4909"/>
    <w:rsid w:val="009D490E"/>
    <w:rsid w:val="009D4930"/>
    <w:rsid w:val="009D497C"/>
    <w:rsid w:val="009D4DDB"/>
    <w:rsid w:val="009D4E44"/>
    <w:rsid w:val="009D4EBE"/>
    <w:rsid w:val="009D5017"/>
    <w:rsid w:val="009D5080"/>
    <w:rsid w:val="009D50A7"/>
    <w:rsid w:val="009D514E"/>
    <w:rsid w:val="009D520A"/>
    <w:rsid w:val="009D588C"/>
    <w:rsid w:val="009D5962"/>
    <w:rsid w:val="009D5BEC"/>
    <w:rsid w:val="009D5CBD"/>
    <w:rsid w:val="009D5D8F"/>
    <w:rsid w:val="009D5E6B"/>
    <w:rsid w:val="009D6069"/>
    <w:rsid w:val="009D61EF"/>
    <w:rsid w:val="009D63D0"/>
    <w:rsid w:val="009D64C8"/>
    <w:rsid w:val="009D68E2"/>
    <w:rsid w:val="009D6C3F"/>
    <w:rsid w:val="009D6EFA"/>
    <w:rsid w:val="009D6F1B"/>
    <w:rsid w:val="009D70D8"/>
    <w:rsid w:val="009D71D9"/>
    <w:rsid w:val="009D7392"/>
    <w:rsid w:val="009D7783"/>
    <w:rsid w:val="009D7CF1"/>
    <w:rsid w:val="009D7D6F"/>
    <w:rsid w:val="009D7DD9"/>
    <w:rsid w:val="009E00F6"/>
    <w:rsid w:val="009E011B"/>
    <w:rsid w:val="009E02EC"/>
    <w:rsid w:val="009E0343"/>
    <w:rsid w:val="009E047F"/>
    <w:rsid w:val="009E06A0"/>
    <w:rsid w:val="009E0B03"/>
    <w:rsid w:val="009E0DE7"/>
    <w:rsid w:val="009E0EB1"/>
    <w:rsid w:val="009E0EE8"/>
    <w:rsid w:val="009E0F1C"/>
    <w:rsid w:val="009E1849"/>
    <w:rsid w:val="009E1947"/>
    <w:rsid w:val="009E1F77"/>
    <w:rsid w:val="009E206B"/>
    <w:rsid w:val="009E2403"/>
    <w:rsid w:val="009E25E5"/>
    <w:rsid w:val="009E278B"/>
    <w:rsid w:val="009E283A"/>
    <w:rsid w:val="009E298E"/>
    <w:rsid w:val="009E2E88"/>
    <w:rsid w:val="009E2F14"/>
    <w:rsid w:val="009E2F4F"/>
    <w:rsid w:val="009E317D"/>
    <w:rsid w:val="009E3314"/>
    <w:rsid w:val="009E359E"/>
    <w:rsid w:val="009E35E9"/>
    <w:rsid w:val="009E3695"/>
    <w:rsid w:val="009E3826"/>
    <w:rsid w:val="009E38C0"/>
    <w:rsid w:val="009E3ECB"/>
    <w:rsid w:val="009E3F63"/>
    <w:rsid w:val="009E41A0"/>
    <w:rsid w:val="009E429B"/>
    <w:rsid w:val="009E4302"/>
    <w:rsid w:val="009E453B"/>
    <w:rsid w:val="009E494C"/>
    <w:rsid w:val="009E4A11"/>
    <w:rsid w:val="009E5171"/>
    <w:rsid w:val="009E584A"/>
    <w:rsid w:val="009E5CE4"/>
    <w:rsid w:val="009E5DE9"/>
    <w:rsid w:val="009E6392"/>
    <w:rsid w:val="009E6B95"/>
    <w:rsid w:val="009E6C52"/>
    <w:rsid w:val="009E6CEC"/>
    <w:rsid w:val="009E6E46"/>
    <w:rsid w:val="009E72F2"/>
    <w:rsid w:val="009E74AF"/>
    <w:rsid w:val="009E773F"/>
    <w:rsid w:val="009E7747"/>
    <w:rsid w:val="009E78A5"/>
    <w:rsid w:val="009E7AA0"/>
    <w:rsid w:val="009E7ABB"/>
    <w:rsid w:val="009E7D10"/>
    <w:rsid w:val="009E7D7B"/>
    <w:rsid w:val="009E7E85"/>
    <w:rsid w:val="009E7EDE"/>
    <w:rsid w:val="009E7FA0"/>
    <w:rsid w:val="009F029E"/>
    <w:rsid w:val="009F03BF"/>
    <w:rsid w:val="009F04A9"/>
    <w:rsid w:val="009F0667"/>
    <w:rsid w:val="009F0705"/>
    <w:rsid w:val="009F0727"/>
    <w:rsid w:val="009F0BC6"/>
    <w:rsid w:val="009F0DC2"/>
    <w:rsid w:val="009F0E98"/>
    <w:rsid w:val="009F0FCE"/>
    <w:rsid w:val="009F100C"/>
    <w:rsid w:val="009F1238"/>
    <w:rsid w:val="009F14C0"/>
    <w:rsid w:val="009F178D"/>
    <w:rsid w:val="009F1DF4"/>
    <w:rsid w:val="009F212D"/>
    <w:rsid w:val="009F219C"/>
    <w:rsid w:val="009F2348"/>
    <w:rsid w:val="009F249E"/>
    <w:rsid w:val="009F250C"/>
    <w:rsid w:val="009F2510"/>
    <w:rsid w:val="009F2B3C"/>
    <w:rsid w:val="009F2FC5"/>
    <w:rsid w:val="009F2FF6"/>
    <w:rsid w:val="009F30FD"/>
    <w:rsid w:val="009F3513"/>
    <w:rsid w:val="009F36FA"/>
    <w:rsid w:val="009F3EE8"/>
    <w:rsid w:val="009F41A1"/>
    <w:rsid w:val="009F4497"/>
    <w:rsid w:val="009F4917"/>
    <w:rsid w:val="009F4B0D"/>
    <w:rsid w:val="009F4C6F"/>
    <w:rsid w:val="009F4DB4"/>
    <w:rsid w:val="009F4DCB"/>
    <w:rsid w:val="009F4F1E"/>
    <w:rsid w:val="009F4F4A"/>
    <w:rsid w:val="009F5348"/>
    <w:rsid w:val="009F544C"/>
    <w:rsid w:val="009F547C"/>
    <w:rsid w:val="009F54F4"/>
    <w:rsid w:val="009F5759"/>
    <w:rsid w:val="009F5971"/>
    <w:rsid w:val="009F5ECB"/>
    <w:rsid w:val="009F5FF1"/>
    <w:rsid w:val="009F5FF6"/>
    <w:rsid w:val="009F6891"/>
    <w:rsid w:val="009F6A65"/>
    <w:rsid w:val="009F6C2C"/>
    <w:rsid w:val="009F6E89"/>
    <w:rsid w:val="009F7071"/>
    <w:rsid w:val="009F736D"/>
    <w:rsid w:val="009F74EE"/>
    <w:rsid w:val="009F7614"/>
    <w:rsid w:val="009F7799"/>
    <w:rsid w:val="009F7A28"/>
    <w:rsid w:val="009F7BAC"/>
    <w:rsid w:val="009F7E64"/>
    <w:rsid w:val="00A0001A"/>
    <w:rsid w:val="00A00190"/>
    <w:rsid w:val="00A003B7"/>
    <w:rsid w:val="00A007AC"/>
    <w:rsid w:val="00A00866"/>
    <w:rsid w:val="00A00AE5"/>
    <w:rsid w:val="00A00BC1"/>
    <w:rsid w:val="00A00C95"/>
    <w:rsid w:val="00A00CBD"/>
    <w:rsid w:val="00A00DDF"/>
    <w:rsid w:val="00A00EF2"/>
    <w:rsid w:val="00A00F6A"/>
    <w:rsid w:val="00A0106A"/>
    <w:rsid w:val="00A015E2"/>
    <w:rsid w:val="00A01841"/>
    <w:rsid w:val="00A0198F"/>
    <w:rsid w:val="00A02000"/>
    <w:rsid w:val="00A0219B"/>
    <w:rsid w:val="00A02353"/>
    <w:rsid w:val="00A02466"/>
    <w:rsid w:val="00A02533"/>
    <w:rsid w:val="00A025F8"/>
    <w:rsid w:val="00A027BC"/>
    <w:rsid w:val="00A02C22"/>
    <w:rsid w:val="00A02CEC"/>
    <w:rsid w:val="00A02EB5"/>
    <w:rsid w:val="00A03012"/>
    <w:rsid w:val="00A035EA"/>
    <w:rsid w:val="00A035FC"/>
    <w:rsid w:val="00A0368F"/>
    <w:rsid w:val="00A03A1D"/>
    <w:rsid w:val="00A03B63"/>
    <w:rsid w:val="00A03D6B"/>
    <w:rsid w:val="00A03DC4"/>
    <w:rsid w:val="00A03E5F"/>
    <w:rsid w:val="00A04149"/>
    <w:rsid w:val="00A041BC"/>
    <w:rsid w:val="00A04356"/>
    <w:rsid w:val="00A04366"/>
    <w:rsid w:val="00A04565"/>
    <w:rsid w:val="00A046CD"/>
    <w:rsid w:val="00A047B6"/>
    <w:rsid w:val="00A0494A"/>
    <w:rsid w:val="00A049A5"/>
    <w:rsid w:val="00A04AF0"/>
    <w:rsid w:val="00A04B4C"/>
    <w:rsid w:val="00A04DFC"/>
    <w:rsid w:val="00A052B1"/>
    <w:rsid w:val="00A05360"/>
    <w:rsid w:val="00A0573B"/>
    <w:rsid w:val="00A05803"/>
    <w:rsid w:val="00A05975"/>
    <w:rsid w:val="00A05A16"/>
    <w:rsid w:val="00A05BBD"/>
    <w:rsid w:val="00A0603B"/>
    <w:rsid w:val="00A0610D"/>
    <w:rsid w:val="00A0654E"/>
    <w:rsid w:val="00A06B0B"/>
    <w:rsid w:val="00A06CFA"/>
    <w:rsid w:val="00A07238"/>
    <w:rsid w:val="00A0736D"/>
    <w:rsid w:val="00A073BE"/>
    <w:rsid w:val="00A07700"/>
    <w:rsid w:val="00A07A30"/>
    <w:rsid w:val="00A07C1E"/>
    <w:rsid w:val="00A07C8D"/>
    <w:rsid w:val="00A07CA8"/>
    <w:rsid w:val="00A07D06"/>
    <w:rsid w:val="00A07EDB"/>
    <w:rsid w:val="00A100BB"/>
    <w:rsid w:val="00A1011D"/>
    <w:rsid w:val="00A1040B"/>
    <w:rsid w:val="00A10908"/>
    <w:rsid w:val="00A1093A"/>
    <w:rsid w:val="00A10C01"/>
    <w:rsid w:val="00A10E76"/>
    <w:rsid w:val="00A1101D"/>
    <w:rsid w:val="00A11215"/>
    <w:rsid w:val="00A1132C"/>
    <w:rsid w:val="00A11565"/>
    <w:rsid w:val="00A117A0"/>
    <w:rsid w:val="00A11B8F"/>
    <w:rsid w:val="00A11EC4"/>
    <w:rsid w:val="00A12086"/>
    <w:rsid w:val="00A122A4"/>
    <w:rsid w:val="00A123EE"/>
    <w:rsid w:val="00A128FF"/>
    <w:rsid w:val="00A12AF7"/>
    <w:rsid w:val="00A12D50"/>
    <w:rsid w:val="00A12E2D"/>
    <w:rsid w:val="00A130BD"/>
    <w:rsid w:val="00A1317A"/>
    <w:rsid w:val="00A13260"/>
    <w:rsid w:val="00A1326B"/>
    <w:rsid w:val="00A13352"/>
    <w:rsid w:val="00A133AE"/>
    <w:rsid w:val="00A1359F"/>
    <w:rsid w:val="00A13610"/>
    <w:rsid w:val="00A1371B"/>
    <w:rsid w:val="00A1393B"/>
    <w:rsid w:val="00A13A47"/>
    <w:rsid w:val="00A13EEC"/>
    <w:rsid w:val="00A140B9"/>
    <w:rsid w:val="00A14160"/>
    <w:rsid w:val="00A141A7"/>
    <w:rsid w:val="00A14384"/>
    <w:rsid w:val="00A14414"/>
    <w:rsid w:val="00A145CA"/>
    <w:rsid w:val="00A1490D"/>
    <w:rsid w:val="00A14943"/>
    <w:rsid w:val="00A149BA"/>
    <w:rsid w:val="00A149C0"/>
    <w:rsid w:val="00A14D4B"/>
    <w:rsid w:val="00A14E67"/>
    <w:rsid w:val="00A150BF"/>
    <w:rsid w:val="00A15367"/>
    <w:rsid w:val="00A15384"/>
    <w:rsid w:val="00A156C8"/>
    <w:rsid w:val="00A15938"/>
    <w:rsid w:val="00A15DBA"/>
    <w:rsid w:val="00A15DFC"/>
    <w:rsid w:val="00A160A2"/>
    <w:rsid w:val="00A1614D"/>
    <w:rsid w:val="00A16277"/>
    <w:rsid w:val="00A163C2"/>
    <w:rsid w:val="00A166BC"/>
    <w:rsid w:val="00A1671D"/>
    <w:rsid w:val="00A16762"/>
    <w:rsid w:val="00A16C39"/>
    <w:rsid w:val="00A16F1B"/>
    <w:rsid w:val="00A17113"/>
    <w:rsid w:val="00A17159"/>
    <w:rsid w:val="00A17191"/>
    <w:rsid w:val="00A17661"/>
    <w:rsid w:val="00A178D4"/>
    <w:rsid w:val="00A178D7"/>
    <w:rsid w:val="00A17A94"/>
    <w:rsid w:val="00A17BD0"/>
    <w:rsid w:val="00A17BFC"/>
    <w:rsid w:val="00A17F2A"/>
    <w:rsid w:val="00A17F55"/>
    <w:rsid w:val="00A17FBE"/>
    <w:rsid w:val="00A202C9"/>
    <w:rsid w:val="00A20323"/>
    <w:rsid w:val="00A20336"/>
    <w:rsid w:val="00A2073B"/>
    <w:rsid w:val="00A2094A"/>
    <w:rsid w:val="00A20ABC"/>
    <w:rsid w:val="00A20AE3"/>
    <w:rsid w:val="00A20B52"/>
    <w:rsid w:val="00A20BB6"/>
    <w:rsid w:val="00A20BBE"/>
    <w:rsid w:val="00A20D06"/>
    <w:rsid w:val="00A20F08"/>
    <w:rsid w:val="00A20F11"/>
    <w:rsid w:val="00A21170"/>
    <w:rsid w:val="00A211F1"/>
    <w:rsid w:val="00A21204"/>
    <w:rsid w:val="00A214C4"/>
    <w:rsid w:val="00A219D9"/>
    <w:rsid w:val="00A21AF6"/>
    <w:rsid w:val="00A21B51"/>
    <w:rsid w:val="00A21BF5"/>
    <w:rsid w:val="00A22309"/>
    <w:rsid w:val="00A2264D"/>
    <w:rsid w:val="00A2268C"/>
    <w:rsid w:val="00A226A0"/>
    <w:rsid w:val="00A22A5F"/>
    <w:rsid w:val="00A22A86"/>
    <w:rsid w:val="00A22C66"/>
    <w:rsid w:val="00A22F25"/>
    <w:rsid w:val="00A22FB8"/>
    <w:rsid w:val="00A2333B"/>
    <w:rsid w:val="00A234B7"/>
    <w:rsid w:val="00A24128"/>
    <w:rsid w:val="00A241FD"/>
    <w:rsid w:val="00A24370"/>
    <w:rsid w:val="00A24569"/>
    <w:rsid w:val="00A2477F"/>
    <w:rsid w:val="00A24B64"/>
    <w:rsid w:val="00A24BE8"/>
    <w:rsid w:val="00A24D64"/>
    <w:rsid w:val="00A24E7C"/>
    <w:rsid w:val="00A25446"/>
    <w:rsid w:val="00A25641"/>
    <w:rsid w:val="00A25810"/>
    <w:rsid w:val="00A25C68"/>
    <w:rsid w:val="00A25CA4"/>
    <w:rsid w:val="00A25F55"/>
    <w:rsid w:val="00A26267"/>
    <w:rsid w:val="00A2629F"/>
    <w:rsid w:val="00A262D3"/>
    <w:rsid w:val="00A26552"/>
    <w:rsid w:val="00A2659B"/>
    <w:rsid w:val="00A2660C"/>
    <w:rsid w:val="00A2672C"/>
    <w:rsid w:val="00A26741"/>
    <w:rsid w:val="00A267A2"/>
    <w:rsid w:val="00A269EB"/>
    <w:rsid w:val="00A26CED"/>
    <w:rsid w:val="00A26F38"/>
    <w:rsid w:val="00A2717B"/>
    <w:rsid w:val="00A27C9A"/>
    <w:rsid w:val="00A27EB8"/>
    <w:rsid w:val="00A27EEF"/>
    <w:rsid w:val="00A3019A"/>
    <w:rsid w:val="00A303DF"/>
    <w:rsid w:val="00A30469"/>
    <w:rsid w:val="00A305A5"/>
    <w:rsid w:val="00A308F5"/>
    <w:rsid w:val="00A30935"/>
    <w:rsid w:val="00A309CF"/>
    <w:rsid w:val="00A30AF7"/>
    <w:rsid w:val="00A30C56"/>
    <w:rsid w:val="00A30D3E"/>
    <w:rsid w:val="00A30D4B"/>
    <w:rsid w:val="00A30DB6"/>
    <w:rsid w:val="00A311CB"/>
    <w:rsid w:val="00A311D2"/>
    <w:rsid w:val="00A3145B"/>
    <w:rsid w:val="00A314EE"/>
    <w:rsid w:val="00A315CC"/>
    <w:rsid w:val="00A315F0"/>
    <w:rsid w:val="00A3181E"/>
    <w:rsid w:val="00A31820"/>
    <w:rsid w:val="00A31930"/>
    <w:rsid w:val="00A31F00"/>
    <w:rsid w:val="00A3201A"/>
    <w:rsid w:val="00A3292D"/>
    <w:rsid w:val="00A32C16"/>
    <w:rsid w:val="00A32FDB"/>
    <w:rsid w:val="00A33071"/>
    <w:rsid w:val="00A33184"/>
    <w:rsid w:val="00A33521"/>
    <w:rsid w:val="00A33855"/>
    <w:rsid w:val="00A3389B"/>
    <w:rsid w:val="00A338FB"/>
    <w:rsid w:val="00A33CF4"/>
    <w:rsid w:val="00A33EEB"/>
    <w:rsid w:val="00A34093"/>
    <w:rsid w:val="00A3434D"/>
    <w:rsid w:val="00A3438D"/>
    <w:rsid w:val="00A344E0"/>
    <w:rsid w:val="00A34643"/>
    <w:rsid w:val="00A346B8"/>
    <w:rsid w:val="00A3471A"/>
    <w:rsid w:val="00A34AE7"/>
    <w:rsid w:val="00A34BB6"/>
    <w:rsid w:val="00A34FB1"/>
    <w:rsid w:val="00A350EC"/>
    <w:rsid w:val="00A3531E"/>
    <w:rsid w:val="00A35650"/>
    <w:rsid w:val="00A35A00"/>
    <w:rsid w:val="00A35BC9"/>
    <w:rsid w:val="00A35D9F"/>
    <w:rsid w:val="00A35FC8"/>
    <w:rsid w:val="00A361C6"/>
    <w:rsid w:val="00A366C3"/>
    <w:rsid w:val="00A36985"/>
    <w:rsid w:val="00A36B40"/>
    <w:rsid w:val="00A36B7B"/>
    <w:rsid w:val="00A36D4D"/>
    <w:rsid w:val="00A36EF5"/>
    <w:rsid w:val="00A36FBA"/>
    <w:rsid w:val="00A37061"/>
    <w:rsid w:val="00A3718C"/>
    <w:rsid w:val="00A372B8"/>
    <w:rsid w:val="00A37420"/>
    <w:rsid w:val="00A377E0"/>
    <w:rsid w:val="00A378FD"/>
    <w:rsid w:val="00A3793E"/>
    <w:rsid w:val="00A37FC6"/>
    <w:rsid w:val="00A40210"/>
    <w:rsid w:val="00A40304"/>
    <w:rsid w:val="00A4043D"/>
    <w:rsid w:val="00A40629"/>
    <w:rsid w:val="00A40DE1"/>
    <w:rsid w:val="00A40E54"/>
    <w:rsid w:val="00A40E99"/>
    <w:rsid w:val="00A40FD3"/>
    <w:rsid w:val="00A41150"/>
    <w:rsid w:val="00A413CE"/>
    <w:rsid w:val="00A413F7"/>
    <w:rsid w:val="00A41516"/>
    <w:rsid w:val="00A418CE"/>
    <w:rsid w:val="00A42131"/>
    <w:rsid w:val="00A42536"/>
    <w:rsid w:val="00A425AB"/>
    <w:rsid w:val="00A42B32"/>
    <w:rsid w:val="00A42BCC"/>
    <w:rsid w:val="00A42BFE"/>
    <w:rsid w:val="00A42F04"/>
    <w:rsid w:val="00A43297"/>
    <w:rsid w:val="00A433C7"/>
    <w:rsid w:val="00A4365E"/>
    <w:rsid w:val="00A43805"/>
    <w:rsid w:val="00A439B3"/>
    <w:rsid w:val="00A43C73"/>
    <w:rsid w:val="00A43D1A"/>
    <w:rsid w:val="00A43F5B"/>
    <w:rsid w:val="00A43F6D"/>
    <w:rsid w:val="00A4412D"/>
    <w:rsid w:val="00A444DA"/>
    <w:rsid w:val="00A444FE"/>
    <w:rsid w:val="00A450E2"/>
    <w:rsid w:val="00A45498"/>
    <w:rsid w:val="00A4592F"/>
    <w:rsid w:val="00A4596E"/>
    <w:rsid w:val="00A45A39"/>
    <w:rsid w:val="00A45AC9"/>
    <w:rsid w:val="00A45EAC"/>
    <w:rsid w:val="00A45EE0"/>
    <w:rsid w:val="00A45F68"/>
    <w:rsid w:val="00A45FD8"/>
    <w:rsid w:val="00A4612D"/>
    <w:rsid w:val="00A46240"/>
    <w:rsid w:val="00A463E6"/>
    <w:rsid w:val="00A4673B"/>
    <w:rsid w:val="00A467D3"/>
    <w:rsid w:val="00A47063"/>
    <w:rsid w:val="00A47367"/>
    <w:rsid w:val="00A47542"/>
    <w:rsid w:val="00A47642"/>
    <w:rsid w:val="00A4790F"/>
    <w:rsid w:val="00A479C0"/>
    <w:rsid w:val="00A47C2A"/>
    <w:rsid w:val="00A47CCD"/>
    <w:rsid w:val="00A47FAF"/>
    <w:rsid w:val="00A5007A"/>
    <w:rsid w:val="00A500E8"/>
    <w:rsid w:val="00A501A0"/>
    <w:rsid w:val="00A50208"/>
    <w:rsid w:val="00A5039E"/>
    <w:rsid w:val="00A505D7"/>
    <w:rsid w:val="00A508E8"/>
    <w:rsid w:val="00A50D46"/>
    <w:rsid w:val="00A50EB9"/>
    <w:rsid w:val="00A50F43"/>
    <w:rsid w:val="00A50FB2"/>
    <w:rsid w:val="00A51009"/>
    <w:rsid w:val="00A513D3"/>
    <w:rsid w:val="00A51570"/>
    <w:rsid w:val="00A51588"/>
    <w:rsid w:val="00A518ED"/>
    <w:rsid w:val="00A51A4D"/>
    <w:rsid w:val="00A51F5D"/>
    <w:rsid w:val="00A521B3"/>
    <w:rsid w:val="00A521B6"/>
    <w:rsid w:val="00A521E5"/>
    <w:rsid w:val="00A5226D"/>
    <w:rsid w:val="00A523A7"/>
    <w:rsid w:val="00A52407"/>
    <w:rsid w:val="00A5298A"/>
    <w:rsid w:val="00A52DA0"/>
    <w:rsid w:val="00A52DC8"/>
    <w:rsid w:val="00A52F45"/>
    <w:rsid w:val="00A530EB"/>
    <w:rsid w:val="00A534E1"/>
    <w:rsid w:val="00A5382F"/>
    <w:rsid w:val="00A539EA"/>
    <w:rsid w:val="00A53A34"/>
    <w:rsid w:val="00A53CFF"/>
    <w:rsid w:val="00A541C5"/>
    <w:rsid w:val="00A5433F"/>
    <w:rsid w:val="00A5450D"/>
    <w:rsid w:val="00A545EB"/>
    <w:rsid w:val="00A546E7"/>
    <w:rsid w:val="00A547AB"/>
    <w:rsid w:val="00A54A25"/>
    <w:rsid w:val="00A54AFD"/>
    <w:rsid w:val="00A54DCF"/>
    <w:rsid w:val="00A55224"/>
    <w:rsid w:val="00A55225"/>
    <w:rsid w:val="00A5548A"/>
    <w:rsid w:val="00A5578E"/>
    <w:rsid w:val="00A55D3B"/>
    <w:rsid w:val="00A56166"/>
    <w:rsid w:val="00A56282"/>
    <w:rsid w:val="00A56358"/>
    <w:rsid w:val="00A5645B"/>
    <w:rsid w:val="00A56723"/>
    <w:rsid w:val="00A5690E"/>
    <w:rsid w:val="00A56939"/>
    <w:rsid w:val="00A569E3"/>
    <w:rsid w:val="00A56C8A"/>
    <w:rsid w:val="00A56CD5"/>
    <w:rsid w:val="00A56D10"/>
    <w:rsid w:val="00A57067"/>
    <w:rsid w:val="00A5706E"/>
    <w:rsid w:val="00A57633"/>
    <w:rsid w:val="00A578D1"/>
    <w:rsid w:val="00A57A8C"/>
    <w:rsid w:val="00A57C60"/>
    <w:rsid w:val="00A57DB7"/>
    <w:rsid w:val="00A57EE7"/>
    <w:rsid w:val="00A60055"/>
    <w:rsid w:val="00A60212"/>
    <w:rsid w:val="00A603B3"/>
    <w:rsid w:val="00A60564"/>
    <w:rsid w:val="00A606AC"/>
    <w:rsid w:val="00A608B5"/>
    <w:rsid w:val="00A61122"/>
    <w:rsid w:val="00A61186"/>
    <w:rsid w:val="00A613BC"/>
    <w:rsid w:val="00A6172F"/>
    <w:rsid w:val="00A61810"/>
    <w:rsid w:val="00A61852"/>
    <w:rsid w:val="00A6189D"/>
    <w:rsid w:val="00A619A8"/>
    <w:rsid w:val="00A61A55"/>
    <w:rsid w:val="00A61CF0"/>
    <w:rsid w:val="00A61D43"/>
    <w:rsid w:val="00A62065"/>
    <w:rsid w:val="00A621B2"/>
    <w:rsid w:val="00A622C0"/>
    <w:rsid w:val="00A623DE"/>
    <w:rsid w:val="00A6253C"/>
    <w:rsid w:val="00A625B5"/>
    <w:rsid w:val="00A627F9"/>
    <w:rsid w:val="00A6291D"/>
    <w:rsid w:val="00A62D3A"/>
    <w:rsid w:val="00A633AA"/>
    <w:rsid w:val="00A63863"/>
    <w:rsid w:val="00A63A93"/>
    <w:rsid w:val="00A63B9D"/>
    <w:rsid w:val="00A63BF4"/>
    <w:rsid w:val="00A64122"/>
    <w:rsid w:val="00A64533"/>
    <w:rsid w:val="00A64556"/>
    <w:rsid w:val="00A645AF"/>
    <w:rsid w:val="00A64666"/>
    <w:rsid w:val="00A646A0"/>
    <w:rsid w:val="00A64C51"/>
    <w:rsid w:val="00A64D5D"/>
    <w:rsid w:val="00A64D97"/>
    <w:rsid w:val="00A64E92"/>
    <w:rsid w:val="00A651D5"/>
    <w:rsid w:val="00A653F9"/>
    <w:rsid w:val="00A65519"/>
    <w:rsid w:val="00A65635"/>
    <w:rsid w:val="00A65D3A"/>
    <w:rsid w:val="00A65D61"/>
    <w:rsid w:val="00A66029"/>
    <w:rsid w:val="00A660F3"/>
    <w:rsid w:val="00A664F0"/>
    <w:rsid w:val="00A66CF3"/>
    <w:rsid w:val="00A66F14"/>
    <w:rsid w:val="00A66F37"/>
    <w:rsid w:val="00A670A5"/>
    <w:rsid w:val="00A67107"/>
    <w:rsid w:val="00A67199"/>
    <w:rsid w:val="00A6721A"/>
    <w:rsid w:val="00A67370"/>
    <w:rsid w:val="00A67423"/>
    <w:rsid w:val="00A6767F"/>
    <w:rsid w:val="00A67B47"/>
    <w:rsid w:val="00A70112"/>
    <w:rsid w:val="00A705D6"/>
    <w:rsid w:val="00A706FE"/>
    <w:rsid w:val="00A7079C"/>
    <w:rsid w:val="00A70BDA"/>
    <w:rsid w:val="00A70FE7"/>
    <w:rsid w:val="00A7115F"/>
    <w:rsid w:val="00A711AC"/>
    <w:rsid w:val="00A7131D"/>
    <w:rsid w:val="00A71533"/>
    <w:rsid w:val="00A7153D"/>
    <w:rsid w:val="00A716F8"/>
    <w:rsid w:val="00A71CA7"/>
    <w:rsid w:val="00A72009"/>
    <w:rsid w:val="00A72020"/>
    <w:rsid w:val="00A720BA"/>
    <w:rsid w:val="00A72162"/>
    <w:rsid w:val="00A722BA"/>
    <w:rsid w:val="00A72440"/>
    <w:rsid w:val="00A724C4"/>
    <w:rsid w:val="00A72A12"/>
    <w:rsid w:val="00A72DD6"/>
    <w:rsid w:val="00A72F1A"/>
    <w:rsid w:val="00A730ED"/>
    <w:rsid w:val="00A7347E"/>
    <w:rsid w:val="00A734D8"/>
    <w:rsid w:val="00A73528"/>
    <w:rsid w:val="00A73726"/>
    <w:rsid w:val="00A73992"/>
    <w:rsid w:val="00A73E38"/>
    <w:rsid w:val="00A73E97"/>
    <w:rsid w:val="00A74179"/>
    <w:rsid w:val="00A74662"/>
    <w:rsid w:val="00A74790"/>
    <w:rsid w:val="00A74CB4"/>
    <w:rsid w:val="00A74CD6"/>
    <w:rsid w:val="00A74FB4"/>
    <w:rsid w:val="00A75156"/>
    <w:rsid w:val="00A7521D"/>
    <w:rsid w:val="00A752FB"/>
    <w:rsid w:val="00A75B75"/>
    <w:rsid w:val="00A75D1D"/>
    <w:rsid w:val="00A75E22"/>
    <w:rsid w:val="00A7667A"/>
    <w:rsid w:val="00A76884"/>
    <w:rsid w:val="00A768EC"/>
    <w:rsid w:val="00A7691B"/>
    <w:rsid w:val="00A76961"/>
    <w:rsid w:val="00A769F6"/>
    <w:rsid w:val="00A76AC8"/>
    <w:rsid w:val="00A76D2F"/>
    <w:rsid w:val="00A76E9D"/>
    <w:rsid w:val="00A77049"/>
    <w:rsid w:val="00A77165"/>
    <w:rsid w:val="00A771A6"/>
    <w:rsid w:val="00A771BB"/>
    <w:rsid w:val="00A7738B"/>
    <w:rsid w:val="00A7782D"/>
    <w:rsid w:val="00A77868"/>
    <w:rsid w:val="00A779CB"/>
    <w:rsid w:val="00A77EC7"/>
    <w:rsid w:val="00A77F65"/>
    <w:rsid w:val="00A8001F"/>
    <w:rsid w:val="00A800C4"/>
    <w:rsid w:val="00A8014F"/>
    <w:rsid w:val="00A80872"/>
    <w:rsid w:val="00A808E6"/>
    <w:rsid w:val="00A80A16"/>
    <w:rsid w:val="00A80A8D"/>
    <w:rsid w:val="00A80A9D"/>
    <w:rsid w:val="00A80E5B"/>
    <w:rsid w:val="00A81349"/>
    <w:rsid w:val="00A8136B"/>
    <w:rsid w:val="00A81694"/>
    <w:rsid w:val="00A81798"/>
    <w:rsid w:val="00A81ACC"/>
    <w:rsid w:val="00A81AE6"/>
    <w:rsid w:val="00A81B54"/>
    <w:rsid w:val="00A81C84"/>
    <w:rsid w:val="00A81DB4"/>
    <w:rsid w:val="00A81DBE"/>
    <w:rsid w:val="00A81EFC"/>
    <w:rsid w:val="00A81FD1"/>
    <w:rsid w:val="00A82397"/>
    <w:rsid w:val="00A82472"/>
    <w:rsid w:val="00A828B9"/>
    <w:rsid w:val="00A82924"/>
    <w:rsid w:val="00A82943"/>
    <w:rsid w:val="00A8297F"/>
    <w:rsid w:val="00A82ADB"/>
    <w:rsid w:val="00A82D86"/>
    <w:rsid w:val="00A82DFD"/>
    <w:rsid w:val="00A83304"/>
    <w:rsid w:val="00A83380"/>
    <w:rsid w:val="00A838B4"/>
    <w:rsid w:val="00A83D60"/>
    <w:rsid w:val="00A84122"/>
    <w:rsid w:val="00A8423B"/>
    <w:rsid w:val="00A84323"/>
    <w:rsid w:val="00A843DE"/>
    <w:rsid w:val="00A84738"/>
    <w:rsid w:val="00A84A64"/>
    <w:rsid w:val="00A85388"/>
    <w:rsid w:val="00A853C3"/>
    <w:rsid w:val="00A85F79"/>
    <w:rsid w:val="00A86141"/>
    <w:rsid w:val="00A861C5"/>
    <w:rsid w:val="00A864C8"/>
    <w:rsid w:val="00A86518"/>
    <w:rsid w:val="00A8685E"/>
    <w:rsid w:val="00A869D8"/>
    <w:rsid w:val="00A86BC7"/>
    <w:rsid w:val="00A87130"/>
    <w:rsid w:val="00A8715C"/>
    <w:rsid w:val="00A871B0"/>
    <w:rsid w:val="00A874CB"/>
    <w:rsid w:val="00A87564"/>
    <w:rsid w:val="00A876A4"/>
    <w:rsid w:val="00A876BE"/>
    <w:rsid w:val="00A876F8"/>
    <w:rsid w:val="00A87903"/>
    <w:rsid w:val="00A87A66"/>
    <w:rsid w:val="00A87C2C"/>
    <w:rsid w:val="00A87C54"/>
    <w:rsid w:val="00A87D88"/>
    <w:rsid w:val="00A87DED"/>
    <w:rsid w:val="00A87FFA"/>
    <w:rsid w:val="00A90250"/>
    <w:rsid w:val="00A9048B"/>
    <w:rsid w:val="00A906BE"/>
    <w:rsid w:val="00A90744"/>
    <w:rsid w:val="00A908D8"/>
    <w:rsid w:val="00A908E9"/>
    <w:rsid w:val="00A90B49"/>
    <w:rsid w:val="00A90C36"/>
    <w:rsid w:val="00A90D38"/>
    <w:rsid w:val="00A90DF2"/>
    <w:rsid w:val="00A90E1D"/>
    <w:rsid w:val="00A910FB"/>
    <w:rsid w:val="00A913D3"/>
    <w:rsid w:val="00A91441"/>
    <w:rsid w:val="00A91450"/>
    <w:rsid w:val="00A9150B"/>
    <w:rsid w:val="00A915E4"/>
    <w:rsid w:val="00A9161A"/>
    <w:rsid w:val="00A91E8C"/>
    <w:rsid w:val="00A9239C"/>
    <w:rsid w:val="00A925AC"/>
    <w:rsid w:val="00A9266F"/>
    <w:rsid w:val="00A9269D"/>
    <w:rsid w:val="00A926F0"/>
    <w:rsid w:val="00A92B1D"/>
    <w:rsid w:val="00A92BA8"/>
    <w:rsid w:val="00A92BCE"/>
    <w:rsid w:val="00A92C0C"/>
    <w:rsid w:val="00A92E39"/>
    <w:rsid w:val="00A92F50"/>
    <w:rsid w:val="00A93217"/>
    <w:rsid w:val="00A93E7B"/>
    <w:rsid w:val="00A9426B"/>
    <w:rsid w:val="00A942CD"/>
    <w:rsid w:val="00A94334"/>
    <w:rsid w:val="00A946D5"/>
    <w:rsid w:val="00A9470A"/>
    <w:rsid w:val="00A94959"/>
    <w:rsid w:val="00A94B4E"/>
    <w:rsid w:val="00A94B5F"/>
    <w:rsid w:val="00A94C3E"/>
    <w:rsid w:val="00A94C73"/>
    <w:rsid w:val="00A94DCE"/>
    <w:rsid w:val="00A9504B"/>
    <w:rsid w:val="00A9516C"/>
    <w:rsid w:val="00A952BF"/>
    <w:rsid w:val="00A95338"/>
    <w:rsid w:val="00A95498"/>
    <w:rsid w:val="00A955BC"/>
    <w:rsid w:val="00A9574D"/>
    <w:rsid w:val="00A95812"/>
    <w:rsid w:val="00A958DE"/>
    <w:rsid w:val="00A95D09"/>
    <w:rsid w:val="00A95E07"/>
    <w:rsid w:val="00A95EA5"/>
    <w:rsid w:val="00A964C5"/>
    <w:rsid w:val="00A96551"/>
    <w:rsid w:val="00A965E0"/>
    <w:rsid w:val="00A96983"/>
    <w:rsid w:val="00A96B46"/>
    <w:rsid w:val="00A96DB3"/>
    <w:rsid w:val="00A96E5B"/>
    <w:rsid w:val="00A96E71"/>
    <w:rsid w:val="00A96ECB"/>
    <w:rsid w:val="00A970C9"/>
    <w:rsid w:val="00A972D6"/>
    <w:rsid w:val="00A9742C"/>
    <w:rsid w:val="00A974A3"/>
    <w:rsid w:val="00A975C5"/>
    <w:rsid w:val="00A9764D"/>
    <w:rsid w:val="00A977E5"/>
    <w:rsid w:val="00A97C75"/>
    <w:rsid w:val="00AA00B6"/>
    <w:rsid w:val="00AA0789"/>
    <w:rsid w:val="00AA084A"/>
    <w:rsid w:val="00AA0938"/>
    <w:rsid w:val="00AA09B3"/>
    <w:rsid w:val="00AA11B4"/>
    <w:rsid w:val="00AA1588"/>
    <w:rsid w:val="00AA1685"/>
    <w:rsid w:val="00AA1733"/>
    <w:rsid w:val="00AA1785"/>
    <w:rsid w:val="00AA18E0"/>
    <w:rsid w:val="00AA1938"/>
    <w:rsid w:val="00AA1CCE"/>
    <w:rsid w:val="00AA20A9"/>
    <w:rsid w:val="00AA20AD"/>
    <w:rsid w:val="00AA231E"/>
    <w:rsid w:val="00AA2856"/>
    <w:rsid w:val="00AA2991"/>
    <w:rsid w:val="00AA29F7"/>
    <w:rsid w:val="00AA2AA0"/>
    <w:rsid w:val="00AA35C5"/>
    <w:rsid w:val="00AA367B"/>
    <w:rsid w:val="00AA36A7"/>
    <w:rsid w:val="00AA37D2"/>
    <w:rsid w:val="00AA3900"/>
    <w:rsid w:val="00AA3A03"/>
    <w:rsid w:val="00AA3CC9"/>
    <w:rsid w:val="00AA3E92"/>
    <w:rsid w:val="00AA41F2"/>
    <w:rsid w:val="00AA448B"/>
    <w:rsid w:val="00AA449A"/>
    <w:rsid w:val="00AA4646"/>
    <w:rsid w:val="00AA47D0"/>
    <w:rsid w:val="00AA4804"/>
    <w:rsid w:val="00AA4889"/>
    <w:rsid w:val="00AA48C8"/>
    <w:rsid w:val="00AA4D29"/>
    <w:rsid w:val="00AA4E34"/>
    <w:rsid w:val="00AA5142"/>
    <w:rsid w:val="00AA5222"/>
    <w:rsid w:val="00AA5325"/>
    <w:rsid w:val="00AA55A7"/>
    <w:rsid w:val="00AA59D8"/>
    <w:rsid w:val="00AA5A3B"/>
    <w:rsid w:val="00AA5F61"/>
    <w:rsid w:val="00AA60CD"/>
    <w:rsid w:val="00AA6220"/>
    <w:rsid w:val="00AA64D0"/>
    <w:rsid w:val="00AA6945"/>
    <w:rsid w:val="00AA6CA0"/>
    <w:rsid w:val="00AA6CB8"/>
    <w:rsid w:val="00AA6E0E"/>
    <w:rsid w:val="00AA7124"/>
    <w:rsid w:val="00AA7264"/>
    <w:rsid w:val="00AA76B1"/>
    <w:rsid w:val="00AA774E"/>
    <w:rsid w:val="00AA7980"/>
    <w:rsid w:val="00AA7D7D"/>
    <w:rsid w:val="00AA7EC7"/>
    <w:rsid w:val="00AA7F78"/>
    <w:rsid w:val="00AA7F8B"/>
    <w:rsid w:val="00AB0526"/>
    <w:rsid w:val="00AB06C4"/>
    <w:rsid w:val="00AB071A"/>
    <w:rsid w:val="00AB090B"/>
    <w:rsid w:val="00AB0923"/>
    <w:rsid w:val="00AB0B10"/>
    <w:rsid w:val="00AB0D08"/>
    <w:rsid w:val="00AB0DF8"/>
    <w:rsid w:val="00AB0E8B"/>
    <w:rsid w:val="00AB0EA8"/>
    <w:rsid w:val="00AB1035"/>
    <w:rsid w:val="00AB10AC"/>
    <w:rsid w:val="00AB11E1"/>
    <w:rsid w:val="00AB1235"/>
    <w:rsid w:val="00AB123A"/>
    <w:rsid w:val="00AB13B6"/>
    <w:rsid w:val="00AB14DC"/>
    <w:rsid w:val="00AB16FD"/>
    <w:rsid w:val="00AB1AE9"/>
    <w:rsid w:val="00AB1BFA"/>
    <w:rsid w:val="00AB2063"/>
    <w:rsid w:val="00AB20DF"/>
    <w:rsid w:val="00AB22BC"/>
    <w:rsid w:val="00AB22DB"/>
    <w:rsid w:val="00AB22E5"/>
    <w:rsid w:val="00AB2484"/>
    <w:rsid w:val="00AB26EF"/>
    <w:rsid w:val="00AB272A"/>
    <w:rsid w:val="00AB27E9"/>
    <w:rsid w:val="00AB31B7"/>
    <w:rsid w:val="00AB32AA"/>
    <w:rsid w:val="00AB32E1"/>
    <w:rsid w:val="00AB337D"/>
    <w:rsid w:val="00AB3598"/>
    <w:rsid w:val="00AB36A6"/>
    <w:rsid w:val="00AB36E3"/>
    <w:rsid w:val="00AB3754"/>
    <w:rsid w:val="00AB388C"/>
    <w:rsid w:val="00AB38F1"/>
    <w:rsid w:val="00AB39C4"/>
    <w:rsid w:val="00AB3ACA"/>
    <w:rsid w:val="00AB3EBB"/>
    <w:rsid w:val="00AB419C"/>
    <w:rsid w:val="00AB437A"/>
    <w:rsid w:val="00AB4554"/>
    <w:rsid w:val="00AB46FA"/>
    <w:rsid w:val="00AB474A"/>
    <w:rsid w:val="00AB4C0D"/>
    <w:rsid w:val="00AB4CEA"/>
    <w:rsid w:val="00AB4E5E"/>
    <w:rsid w:val="00AB50FC"/>
    <w:rsid w:val="00AB52A6"/>
    <w:rsid w:val="00AB539A"/>
    <w:rsid w:val="00AB546C"/>
    <w:rsid w:val="00AB5480"/>
    <w:rsid w:val="00AB5500"/>
    <w:rsid w:val="00AB5577"/>
    <w:rsid w:val="00AB57F0"/>
    <w:rsid w:val="00AB5816"/>
    <w:rsid w:val="00AB62DD"/>
    <w:rsid w:val="00AB63E9"/>
    <w:rsid w:val="00AB64AC"/>
    <w:rsid w:val="00AB66F1"/>
    <w:rsid w:val="00AB6E61"/>
    <w:rsid w:val="00AB7237"/>
    <w:rsid w:val="00AB7348"/>
    <w:rsid w:val="00AB7401"/>
    <w:rsid w:val="00AB76E4"/>
    <w:rsid w:val="00AB7716"/>
    <w:rsid w:val="00AB7765"/>
    <w:rsid w:val="00AB7830"/>
    <w:rsid w:val="00AB7970"/>
    <w:rsid w:val="00AB799A"/>
    <w:rsid w:val="00AB7A9F"/>
    <w:rsid w:val="00AB7AE5"/>
    <w:rsid w:val="00AB7BD2"/>
    <w:rsid w:val="00AB7D1D"/>
    <w:rsid w:val="00AB7D38"/>
    <w:rsid w:val="00AB7DF1"/>
    <w:rsid w:val="00AC0308"/>
    <w:rsid w:val="00AC0DB0"/>
    <w:rsid w:val="00AC0E1D"/>
    <w:rsid w:val="00AC0FF0"/>
    <w:rsid w:val="00AC16AD"/>
    <w:rsid w:val="00AC16BE"/>
    <w:rsid w:val="00AC1715"/>
    <w:rsid w:val="00AC1727"/>
    <w:rsid w:val="00AC1748"/>
    <w:rsid w:val="00AC1844"/>
    <w:rsid w:val="00AC1C14"/>
    <w:rsid w:val="00AC1D05"/>
    <w:rsid w:val="00AC2131"/>
    <w:rsid w:val="00AC2402"/>
    <w:rsid w:val="00AC253C"/>
    <w:rsid w:val="00AC2803"/>
    <w:rsid w:val="00AC28E7"/>
    <w:rsid w:val="00AC2A65"/>
    <w:rsid w:val="00AC2A71"/>
    <w:rsid w:val="00AC2B69"/>
    <w:rsid w:val="00AC2BA4"/>
    <w:rsid w:val="00AC2E13"/>
    <w:rsid w:val="00AC311C"/>
    <w:rsid w:val="00AC3449"/>
    <w:rsid w:val="00AC34C5"/>
    <w:rsid w:val="00AC34E1"/>
    <w:rsid w:val="00AC36EF"/>
    <w:rsid w:val="00AC3743"/>
    <w:rsid w:val="00AC39D4"/>
    <w:rsid w:val="00AC3AC6"/>
    <w:rsid w:val="00AC40A7"/>
    <w:rsid w:val="00AC4149"/>
    <w:rsid w:val="00AC45F1"/>
    <w:rsid w:val="00AC46B6"/>
    <w:rsid w:val="00AC48CC"/>
    <w:rsid w:val="00AC4C25"/>
    <w:rsid w:val="00AC5A6F"/>
    <w:rsid w:val="00AC5B1D"/>
    <w:rsid w:val="00AC5C58"/>
    <w:rsid w:val="00AC5DBE"/>
    <w:rsid w:val="00AC5EA5"/>
    <w:rsid w:val="00AC5F14"/>
    <w:rsid w:val="00AC5F79"/>
    <w:rsid w:val="00AC5F8A"/>
    <w:rsid w:val="00AC62DB"/>
    <w:rsid w:val="00AC630D"/>
    <w:rsid w:val="00AC63AB"/>
    <w:rsid w:val="00AC63C6"/>
    <w:rsid w:val="00AC654E"/>
    <w:rsid w:val="00AC6CB4"/>
    <w:rsid w:val="00AC6F2B"/>
    <w:rsid w:val="00AC7062"/>
    <w:rsid w:val="00AC70D4"/>
    <w:rsid w:val="00AC77AE"/>
    <w:rsid w:val="00AC7CA7"/>
    <w:rsid w:val="00AC7CB2"/>
    <w:rsid w:val="00AC7D50"/>
    <w:rsid w:val="00AC7F14"/>
    <w:rsid w:val="00AD005A"/>
    <w:rsid w:val="00AD0087"/>
    <w:rsid w:val="00AD00A0"/>
    <w:rsid w:val="00AD0383"/>
    <w:rsid w:val="00AD03DA"/>
    <w:rsid w:val="00AD04E3"/>
    <w:rsid w:val="00AD07B3"/>
    <w:rsid w:val="00AD0C16"/>
    <w:rsid w:val="00AD11FB"/>
    <w:rsid w:val="00AD1315"/>
    <w:rsid w:val="00AD135E"/>
    <w:rsid w:val="00AD1550"/>
    <w:rsid w:val="00AD1586"/>
    <w:rsid w:val="00AD177C"/>
    <w:rsid w:val="00AD1816"/>
    <w:rsid w:val="00AD18DC"/>
    <w:rsid w:val="00AD1DA6"/>
    <w:rsid w:val="00AD1E17"/>
    <w:rsid w:val="00AD1E8A"/>
    <w:rsid w:val="00AD1EA5"/>
    <w:rsid w:val="00AD1F1A"/>
    <w:rsid w:val="00AD2291"/>
    <w:rsid w:val="00AD23C7"/>
    <w:rsid w:val="00AD2424"/>
    <w:rsid w:val="00AD243E"/>
    <w:rsid w:val="00AD2464"/>
    <w:rsid w:val="00AD2596"/>
    <w:rsid w:val="00AD25D1"/>
    <w:rsid w:val="00AD2A34"/>
    <w:rsid w:val="00AD2CB0"/>
    <w:rsid w:val="00AD3707"/>
    <w:rsid w:val="00AD3781"/>
    <w:rsid w:val="00AD38F9"/>
    <w:rsid w:val="00AD3B0F"/>
    <w:rsid w:val="00AD3B8C"/>
    <w:rsid w:val="00AD3D0F"/>
    <w:rsid w:val="00AD3D3F"/>
    <w:rsid w:val="00AD42EF"/>
    <w:rsid w:val="00AD4380"/>
    <w:rsid w:val="00AD43A3"/>
    <w:rsid w:val="00AD4471"/>
    <w:rsid w:val="00AD4485"/>
    <w:rsid w:val="00AD4CD6"/>
    <w:rsid w:val="00AD4E14"/>
    <w:rsid w:val="00AD5274"/>
    <w:rsid w:val="00AD5491"/>
    <w:rsid w:val="00AD5511"/>
    <w:rsid w:val="00AD5567"/>
    <w:rsid w:val="00AD562D"/>
    <w:rsid w:val="00AD58CF"/>
    <w:rsid w:val="00AD59CD"/>
    <w:rsid w:val="00AD65B3"/>
    <w:rsid w:val="00AD65EF"/>
    <w:rsid w:val="00AD666B"/>
    <w:rsid w:val="00AD66EB"/>
    <w:rsid w:val="00AD6807"/>
    <w:rsid w:val="00AD6849"/>
    <w:rsid w:val="00AD687A"/>
    <w:rsid w:val="00AD69BF"/>
    <w:rsid w:val="00AD6DEE"/>
    <w:rsid w:val="00AD6E81"/>
    <w:rsid w:val="00AD6EEE"/>
    <w:rsid w:val="00AD71B2"/>
    <w:rsid w:val="00AD7460"/>
    <w:rsid w:val="00AD74E6"/>
    <w:rsid w:val="00AD775F"/>
    <w:rsid w:val="00AD799E"/>
    <w:rsid w:val="00AD7A3D"/>
    <w:rsid w:val="00AD7A8F"/>
    <w:rsid w:val="00AD7C38"/>
    <w:rsid w:val="00AD7CC7"/>
    <w:rsid w:val="00AD7CE6"/>
    <w:rsid w:val="00AE035F"/>
    <w:rsid w:val="00AE050B"/>
    <w:rsid w:val="00AE06A8"/>
    <w:rsid w:val="00AE0748"/>
    <w:rsid w:val="00AE078B"/>
    <w:rsid w:val="00AE0894"/>
    <w:rsid w:val="00AE0896"/>
    <w:rsid w:val="00AE0A9D"/>
    <w:rsid w:val="00AE0B45"/>
    <w:rsid w:val="00AE0EA0"/>
    <w:rsid w:val="00AE111E"/>
    <w:rsid w:val="00AE118E"/>
    <w:rsid w:val="00AE1202"/>
    <w:rsid w:val="00AE13AB"/>
    <w:rsid w:val="00AE15BD"/>
    <w:rsid w:val="00AE1758"/>
    <w:rsid w:val="00AE1883"/>
    <w:rsid w:val="00AE1C5E"/>
    <w:rsid w:val="00AE1E6B"/>
    <w:rsid w:val="00AE2480"/>
    <w:rsid w:val="00AE282C"/>
    <w:rsid w:val="00AE2A71"/>
    <w:rsid w:val="00AE2B4B"/>
    <w:rsid w:val="00AE2CB8"/>
    <w:rsid w:val="00AE2DBC"/>
    <w:rsid w:val="00AE2F4E"/>
    <w:rsid w:val="00AE319C"/>
    <w:rsid w:val="00AE370A"/>
    <w:rsid w:val="00AE3735"/>
    <w:rsid w:val="00AE383E"/>
    <w:rsid w:val="00AE3BD9"/>
    <w:rsid w:val="00AE3E1A"/>
    <w:rsid w:val="00AE3E6A"/>
    <w:rsid w:val="00AE3EBD"/>
    <w:rsid w:val="00AE42A3"/>
    <w:rsid w:val="00AE4426"/>
    <w:rsid w:val="00AE4590"/>
    <w:rsid w:val="00AE45C4"/>
    <w:rsid w:val="00AE4B4A"/>
    <w:rsid w:val="00AE4DBA"/>
    <w:rsid w:val="00AE503B"/>
    <w:rsid w:val="00AE5066"/>
    <w:rsid w:val="00AE5118"/>
    <w:rsid w:val="00AE51B5"/>
    <w:rsid w:val="00AE53B6"/>
    <w:rsid w:val="00AE540C"/>
    <w:rsid w:val="00AE571D"/>
    <w:rsid w:val="00AE57FE"/>
    <w:rsid w:val="00AE5B72"/>
    <w:rsid w:val="00AE5D55"/>
    <w:rsid w:val="00AE63D2"/>
    <w:rsid w:val="00AE63ED"/>
    <w:rsid w:val="00AE63EF"/>
    <w:rsid w:val="00AE66E0"/>
    <w:rsid w:val="00AE6762"/>
    <w:rsid w:val="00AE6D7B"/>
    <w:rsid w:val="00AE7116"/>
    <w:rsid w:val="00AE7185"/>
    <w:rsid w:val="00AE7258"/>
    <w:rsid w:val="00AE7492"/>
    <w:rsid w:val="00AE7530"/>
    <w:rsid w:val="00AE75B6"/>
    <w:rsid w:val="00AE78DE"/>
    <w:rsid w:val="00AE7902"/>
    <w:rsid w:val="00AE7A8C"/>
    <w:rsid w:val="00AE7D50"/>
    <w:rsid w:val="00AE7E96"/>
    <w:rsid w:val="00AF0345"/>
    <w:rsid w:val="00AF0535"/>
    <w:rsid w:val="00AF0688"/>
    <w:rsid w:val="00AF0907"/>
    <w:rsid w:val="00AF0ABF"/>
    <w:rsid w:val="00AF0ECF"/>
    <w:rsid w:val="00AF0ED4"/>
    <w:rsid w:val="00AF1003"/>
    <w:rsid w:val="00AF1388"/>
    <w:rsid w:val="00AF1506"/>
    <w:rsid w:val="00AF1956"/>
    <w:rsid w:val="00AF1AC6"/>
    <w:rsid w:val="00AF1E33"/>
    <w:rsid w:val="00AF1F3F"/>
    <w:rsid w:val="00AF2233"/>
    <w:rsid w:val="00AF224D"/>
    <w:rsid w:val="00AF23CE"/>
    <w:rsid w:val="00AF26A2"/>
    <w:rsid w:val="00AF292D"/>
    <w:rsid w:val="00AF29BC"/>
    <w:rsid w:val="00AF29E1"/>
    <w:rsid w:val="00AF2A09"/>
    <w:rsid w:val="00AF2BB4"/>
    <w:rsid w:val="00AF2D2E"/>
    <w:rsid w:val="00AF3023"/>
    <w:rsid w:val="00AF31F9"/>
    <w:rsid w:val="00AF3323"/>
    <w:rsid w:val="00AF33A4"/>
    <w:rsid w:val="00AF3632"/>
    <w:rsid w:val="00AF37FC"/>
    <w:rsid w:val="00AF38F5"/>
    <w:rsid w:val="00AF39D1"/>
    <w:rsid w:val="00AF3B30"/>
    <w:rsid w:val="00AF3BC1"/>
    <w:rsid w:val="00AF3D4B"/>
    <w:rsid w:val="00AF3E23"/>
    <w:rsid w:val="00AF3EAC"/>
    <w:rsid w:val="00AF3EDB"/>
    <w:rsid w:val="00AF3FBD"/>
    <w:rsid w:val="00AF4105"/>
    <w:rsid w:val="00AF411C"/>
    <w:rsid w:val="00AF422C"/>
    <w:rsid w:val="00AF427F"/>
    <w:rsid w:val="00AF4537"/>
    <w:rsid w:val="00AF4573"/>
    <w:rsid w:val="00AF46B1"/>
    <w:rsid w:val="00AF4781"/>
    <w:rsid w:val="00AF4798"/>
    <w:rsid w:val="00AF480C"/>
    <w:rsid w:val="00AF48E8"/>
    <w:rsid w:val="00AF49F4"/>
    <w:rsid w:val="00AF4E36"/>
    <w:rsid w:val="00AF4EF3"/>
    <w:rsid w:val="00AF4F97"/>
    <w:rsid w:val="00AF550C"/>
    <w:rsid w:val="00AF55BF"/>
    <w:rsid w:val="00AF55C6"/>
    <w:rsid w:val="00AF58E9"/>
    <w:rsid w:val="00AF5BA5"/>
    <w:rsid w:val="00AF5D30"/>
    <w:rsid w:val="00AF5EFA"/>
    <w:rsid w:val="00AF647E"/>
    <w:rsid w:val="00AF64F2"/>
    <w:rsid w:val="00AF6AC2"/>
    <w:rsid w:val="00AF6C34"/>
    <w:rsid w:val="00AF71D6"/>
    <w:rsid w:val="00AF7603"/>
    <w:rsid w:val="00AF76B9"/>
    <w:rsid w:val="00AF77C8"/>
    <w:rsid w:val="00AF783A"/>
    <w:rsid w:val="00AF78C1"/>
    <w:rsid w:val="00AF78E0"/>
    <w:rsid w:val="00AF7958"/>
    <w:rsid w:val="00AF7A34"/>
    <w:rsid w:val="00AF7AD7"/>
    <w:rsid w:val="00AF7C29"/>
    <w:rsid w:val="00AF7E80"/>
    <w:rsid w:val="00AF7F58"/>
    <w:rsid w:val="00B00265"/>
    <w:rsid w:val="00B0029F"/>
    <w:rsid w:val="00B007D0"/>
    <w:rsid w:val="00B00ACC"/>
    <w:rsid w:val="00B00C63"/>
    <w:rsid w:val="00B00CB9"/>
    <w:rsid w:val="00B00EB8"/>
    <w:rsid w:val="00B00F34"/>
    <w:rsid w:val="00B0105E"/>
    <w:rsid w:val="00B01313"/>
    <w:rsid w:val="00B013A0"/>
    <w:rsid w:val="00B013AA"/>
    <w:rsid w:val="00B01922"/>
    <w:rsid w:val="00B01B7C"/>
    <w:rsid w:val="00B01C38"/>
    <w:rsid w:val="00B01EAB"/>
    <w:rsid w:val="00B01F04"/>
    <w:rsid w:val="00B0226C"/>
    <w:rsid w:val="00B025A9"/>
    <w:rsid w:val="00B027D7"/>
    <w:rsid w:val="00B02809"/>
    <w:rsid w:val="00B02880"/>
    <w:rsid w:val="00B0291C"/>
    <w:rsid w:val="00B02A10"/>
    <w:rsid w:val="00B02A86"/>
    <w:rsid w:val="00B02B3D"/>
    <w:rsid w:val="00B02C0C"/>
    <w:rsid w:val="00B02C73"/>
    <w:rsid w:val="00B02CC5"/>
    <w:rsid w:val="00B02D17"/>
    <w:rsid w:val="00B02F20"/>
    <w:rsid w:val="00B0305A"/>
    <w:rsid w:val="00B030C0"/>
    <w:rsid w:val="00B03225"/>
    <w:rsid w:val="00B034FB"/>
    <w:rsid w:val="00B03681"/>
    <w:rsid w:val="00B038BD"/>
    <w:rsid w:val="00B03958"/>
    <w:rsid w:val="00B03B10"/>
    <w:rsid w:val="00B03B8D"/>
    <w:rsid w:val="00B03ECF"/>
    <w:rsid w:val="00B04042"/>
    <w:rsid w:val="00B04135"/>
    <w:rsid w:val="00B04345"/>
    <w:rsid w:val="00B04364"/>
    <w:rsid w:val="00B04499"/>
    <w:rsid w:val="00B04AB3"/>
    <w:rsid w:val="00B04AD5"/>
    <w:rsid w:val="00B04E88"/>
    <w:rsid w:val="00B04F0F"/>
    <w:rsid w:val="00B04F32"/>
    <w:rsid w:val="00B052CE"/>
    <w:rsid w:val="00B05442"/>
    <w:rsid w:val="00B05815"/>
    <w:rsid w:val="00B058F7"/>
    <w:rsid w:val="00B05963"/>
    <w:rsid w:val="00B05DE3"/>
    <w:rsid w:val="00B05E5D"/>
    <w:rsid w:val="00B0605B"/>
    <w:rsid w:val="00B06151"/>
    <w:rsid w:val="00B0617C"/>
    <w:rsid w:val="00B06368"/>
    <w:rsid w:val="00B063AD"/>
    <w:rsid w:val="00B063D0"/>
    <w:rsid w:val="00B064C3"/>
    <w:rsid w:val="00B06609"/>
    <w:rsid w:val="00B06A2B"/>
    <w:rsid w:val="00B06A3F"/>
    <w:rsid w:val="00B06B36"/>
    <w:rsid w:val="00B06B8F"/>
    <w:rsid w:val="00B06C4C"/>
    <w:rsid w:val="00B06F2E"/>
    <w:rsid w:val="00B06F81"/>
    <w:rsid w:val="00B070E8"/>
    <w:rsid w:val="00B071A1"/>
    <w:rsid w:val="00B0744C"/>
    <w:rsid w:val="00B075F6"/>
    <w:rsid w:val="00B077E6"/>
    <w:rsid w:val="00B07D38"/>
    <w:rsid w:val="00B07E19"/>
    <w:rsid w:val="00B1028A"/>
    <w:rsid w:val="00B103DD"/>
    <w:rsid w:val="00B10529"/>
    <w:rsid w:val="00B1096D"/>
    <w:rsid w:val="00B10989"/>
    <w:rsid w:val="00B10FC3"/>
    <w:rsid w:val="00B1126F"/>
    <w:rsid w:val="00B113DF"/>
    <w:rsid w:val="00B11A01"/>
    <w:rsid w:val="00B11B89"/>
    <w:rsid w:val="00B11EB2"/>
    <w:rsid w:val="00B11ED1"/>
    <w:rsid w:val="00B121CC"/>
    <w:rsid w:val="00B1221B"/>
    <w:rsid w:val="00B123A8"/>
    <w:rsid w:val="00B12416"/>
    <w:rsid w:val="00B12453"/>
    <w:rsid w:val="00B12650"/>
    <w:rsid w:val="00B127A9"/>
    <w:rsid w:val="00B1284C"/>
    <w:rsid w:val="00B12904"/>
    <w:rsid w:val="00B12987"/>
    <w:rsid w:val="00B12BAD"/>
    <w:rsid w:val="00B12BDF"/>
    <w:rsid w:val="00B12C0B"/>
    <w:rsid w:val="00B13248"/>
    <w:rsid w:val="00B133CC"/>
    <w:rsid w:val="00B13424"/>
    <w:rsid w:val="00B134BF"/>
    <w:rsid w:val="00B13590"/>
    <w:rsid w:val="00B13802"/>
    <w:rsid w:val="00B139FA"/>
    <w:rsid w:val="00B13B62"/>
    <w:rsid w:val="00B13C9B"/>
    <w:rsid w:val="00B13D90"/>
    <w:rsid w:val="00B13E3C"/>
    <w:rsid w:val="00B14720"/>
    <w:rsid w:val="00B14854"/>
    <w:rsid w:val="00B149CF"/>
    <w:rsid w:val="00B14BFA"/>
    <w:rsid w:val="00B14D09"/>
    <w:rsid w:val="00B14EE6"/>
    <w:rsid w:val="00B15232"/>
    <w:rsid w:val="00B153CC"/>
    <w:rsid w:val="00B158FC"/>
    <w:rsid w:val="00B1591B"/>
    <w:rsid w:val="00B15B7F"/>
    <w:rsid w:val="00B15C7E"/>
    <w:rsid w:val="00B160D6"/>
    <w:rsid w:val="00B1622F"/>
    <w:rsid w:val="00B16483"/>
    <w:rsid w:val="00B1658A"/>
    <w:rsid w:val="00B16675"/>
    <w:rsid w:val="00B16787"/>
    <w:rsid w:val="00B16C63"/>
    <w:rsid w:val="00B16C85"/>
    <w:rsid w:val="00B17084"/>
    <w:rsid w:val="00B17199"/>
    <w:rsid w:val="00B17225"/>
    <w:rsid w:val="00B1739F"/>
    <w:rsid w:val="00B17579"/>
    <w:rsid w:val="00B17A5F"/>
    <w:rsid w:val="00B17B2E"/>
    <w:rsid w:val="00B17D66"/>
    <w:rsid w:val="00B17DA8"/>
    <w:rsid w:val="00B17FD4"/>
    <w:rsid w:val="00B2007E"/>
    <w:rsid w:val="00B20357"/>
    <w:rsid w:val="00B204F6"/>
    <w:rsid w:val="00B20526"/>
    <w:rsid w:val="00B20786"/>
    <w:rsid w:val="00B207A5"/>
    <w:rsid w:val="00B2099E"/>
    <w:rsid w:val="00B209FF"/>
    <w:rsid w:val="00B20A78"/>
    <w:rsid w:val="00B20CE8"/>
    <w:rsid w:val="00B20F1F"/>
    <w:rsid w:val="00B2104E"/>
    <w:rsid w:val="00B2113F"/>
    <w:rsid w:val="00B2126C"/>
    <w:rsid w:val="00B2136D"/>
    <w:rsid w:val="00B2153C"/>
    <w:rsid w:val="00B21569"/>
    <w:rsid w:val="00B21A32"/>
    <w:rsid w:val="00B21A34"/>
    <w:rsid w:val="00B21CC7"/>
    <w:rsid w:val="00B21FB9"/>
    <w:rsid w:val="00B2255D"/>
    <w:rsid w:val="00B22776"/>
    <w:rsid w:val="00B22879"/>
    <w:rsid w:val="00B2299C"/>
    <w:rsid w:val="00B22A19"/>
    <w:rsid w:val="00B22BEB"/>
    <w:rsid w:val="00B22C63"/>
    <w:rsid w:val="00B22C88"/>
    <w:rsid w:val="00B22E10"/>
    <w:rsid w:val="00B23216"/>
    <w:rsid w:val="00B234E2"/>
    <w:rsid w:val="00B2368F"/>
    <w:rsid w:val="00B237F3"/>
    <w:rsid w:val="00B23D11"/>
    <w:rsid w:val="00B23F71"/>
    <w:rsid w:val="00B24029"/>
    <w:rsid w:val="00B240B7"/>
    <w:rsid w:val="00B241B4"/>
    <w:rsid w:val="00B242D6"/>
    <w:rsid w:val="00B245BE"/>
    <w:rsid w:val="00B246DB"/>
    <w:rsid w:val="00B24846"/>
    <w:rsid w:val="00B24A35"/>
    <w:rsid w:val="00B24B0E"/>
    <w:rsid w:val="00B24B5E"/>
    <w:rsid w:val="00B24EAE"/>
    <w:rsid w:val="00B24FFF"/>
    <w:rsid w:val="00B25032"/>
    <w:rsid w:val="00B255B9"/>
    <w:rsid w:val="00B257E3"/>
    <w:rsid w:val="00B25BDF"/>
    <w:rsid w:val="00B25F32"/>
    <w:rsid w:val="00B2602E"/>
    <w:rsid w:val="00B26113"/>
    <w:rsid w:val="00B26208"/>
    <w:rsid w:val="00B2623C"/>
    <w:rsid w:val="00B262F8"/>
    <w:rsid w:val="00B2633D"/>
    <w:rsid w:val="00B2642E"/>
    <w:rsid w:val="00B2643A"/>
    <w:rsid w:val="00B264BE"/>
    <w:rsid w:val="00B2668C"/>
    <w:rsid w:val="00B268DE"/>
    <w:rsid w:val="00B26A09"/>
    <w:rsid w:val="00B26DA2"/>
    <w:rsid w:val="00B26E86"/>
    <w:rsid w:val="00B27116"/>
    <w:rsid w:val="00B27132"/>
    <w:rsid w:val="00B2716E"/>
    <w:rsid w:val="00B27415"/>
    <w:rsid w:val="00B27479"/>
    <w:rsid w:val="00B275CB"/>
    <w:rsid w:val="00B27881"/>
    <w:rsid w:val="00B27A63"/>
    <w:rsid w:val="00B27BE0"/>
    <w:rsid w:val="00B27F4C"/>
    <w:rsid w:val="00B305C5"/>
    <w:rsid w:val="00B3061A"/>
    <w:rsid w:val="00B3073C"/>
    <w:rsid w:val="00B30BC1"/>
    <w:rsid w:val="00B30FF9"/>
    <w:rsid w:val="00B3118F"/>
    <w:rsid w:val="00B31460"/>
    <w:rsid w:val="00B3152C"/>
    <w:rsid w:val="00B318A2"/>
    <w:rsid w:val="00B31AB5"/>
    <w:rsid w:val="00B31B69"/>
    <w:rsid w:val="00B31BBC"/>
    <w:rsid w:val="00B31E06"/>
    <w:rsid w:val="00B3235C"/>
    <w:rsid w:val="00B325E2"/>
    <w:rsid w:val="00B326FB"/>
    <w:rsid w:val="00B32D5A"/>
    <w:rsid w:val="00B32EB3"/>
    <w:rsid w:val="00B33058"/>
    <w:rsid w:val="00B3322A"/>
    <w:rsid w:val="00B33335"/>
    <w:rsid w:val="00B3333F"/>
    <w:rsid w:val="00B33881"/>
    <w:rsid w:val="00B33BC8"/>
    <w:rsid w:val="00B3402B"/>
    <w:rsid w:val="00B34107"/>
    <w:rsid w:val="00B34562"/>
    <w:rsid w:val="00B34592"/>
    <w:rsid w:val="00B34666"/>
    <w:rsid w:val="00B34676"/>
    <w:rsid w:val="00B3494A"/>
    <w:rsid w:val="00B34C2E"/>
    <w:rsid w:val="00B34C47"/>
    <w:rsid w:val="00B350DE"/>
    <w:rsid w:val="00B35196"/>
    <w:rsid w:val="00B3536D"/>
    <w:rsid w:val="00B354C8"/>
    <w:rsid w:val="00B354F1"/>
    <w:rsid w:val="00B35E03"/>
    <w:rsid w:val="00B3608B"/>
    <w:rsid w:val="00B36307"/>
    <w:rsid w:val="00B363C1"/>
    <w:rsid w:val="00B365DF"/>
    <w:rsid w:val="00B36E25"/>
    <w:rsid w:val="00B37066"/>
    <w:rsid w:val="00B37A05"/>
    <w:rsid w:val="00B37AD2"/>
    <w:rsid w:val="00B37B42"/>
    <w:rsid w:val="00B37FBC"/>
    <w:rsid w:val="00B400F4"/>
    <w:rsid w:val="00B40545"/>
    <w:rsid w:val="00B4066E"/>
    <w:rsid w:val="00B40702"/>
    <w:rsid w:val="00B40ABB"/>
    <w:rsid w:val="00B40CEA"/>
    <w:rsid w:val="00B40D54"/>
    <w:rsid w:val="00B40D5A"/>
    <w:rsid w:val="00B40DB6"/>
    <w:rsid w:val="00B41121"/>
    <w:rsid w:val="00B411AD"/>
    <w:rsid w:val="00B41292"/>
    <w:rsid w:val="00B41572"/>
    <w:rsid w:val="00B41CD5"/>
    <w:rsid w:val="00B41ED7"/>
    <w:rsid w:val="00B42003"/>
    <w:rsid w:val="00B42305"/>
    <w:rsid w:val="00B42394"/>
    <w:rsid w:val="00B425C0"/>
    <w:rsid w:val="00B42BDB"/>
    <w:rsid w:val="00B42DC6"/>
    <w:rsid w:val="00B42E6A"/>
    <w:rsid w:val="00B433AA"/>
    <w:rsid w:val="00B43438"/>
    <w:rsid w:val="00B434D3"/>
    <w:rsid w:val="00B43506"/>
    <w:rsid w:val="00B4352F"/>
    <w:rsid w:val="00B435E9"/>
    <w:rsid w:val="00B43A24"/>
    <w:rsid w:val="00B43A46"/>
    <w:rsid w:val="00B4400B"/>
    <w:rsid w:val="00B4403B"/>
    <w:rsid w:val="00B440A6"/>
    <w:rsid w:val="00B44710"/>
    <w:rsid w:val="00B44795"/>
    <w:rsid w:val="00B44969"/>
    <w:rsid w:val="00B449DA"/>
    <w:rsid w:val="00B44A39"/>
    <w:rsid w:val="00B44AD8"/>
    <w:rsid w:val="00B44C58"/>
    <w:rsid w:val="00B44C82"/>
    <w:rsid w:val="00B44E3A"/>
    <w:rsid w:val="00B44FB3"/>
    <w:rsid w:val="00B45067"/>
    <w:rsid w:val="00B45362"/>
    <w:rsid w:val="00B455B6"/>
    <w:rsid w:val="00B456A0"/>
    <w:rsid w:val="00B458AC"/>
    <w:rsid w:val="00B45B31"/>
    <w:rsid w:val="00B45B8A"/>
    <w:rsid w:val="00B45E57"/>
    <w:rsid w:val="00B45F2D"/>
    <w:rsid w:val="00B45F8E"/>
    <w:rsid w:val="00B46080"/>
    <w:rsid w:val="00B46193"/>
    <w:rsid w:val="00B461E7"/>
    <w:rsid w:val="00B46285"/>
    <w:rsid w:val="00B464B9"/>
    <w:rsid w:val="00B464F6"/>
    <w:rsid w:val="00B46AE8"/>
    <w:rsid w:val="00B46BF5"/>
    <w:rsid w:val="00B46FA1"/>
    <w:rsid w:val="00B470AF"/>
    <w:rsid w:val="00B47298"/>
    <w:rsid w:val="00B47AAD"/>
    <w:rsid w:val="00B47ACD"/>
    <w:rsid w:val="00B47DCE"/>
    <w:rsid w:val="00B47F94"/>
    <w:rsid w:val="00B47FBC"/>
    <w:rsid w:val="00B500B0"/>
    <w:rsid w:val="00B50252"/>
    <w:rsid w:val="00B502A0"/>
    <w:rsid w:val="00B50352"/>
    <w:rsid w:val="00B5045E"/>
    <w:rsid w:val="00B50466"/>
    <w:rsid w:val="00B50492"/>
    <w:rsid w:val="00B50653"/>
    <w:rsid w:val="00B50718"/>
    <w:rsid w:val="00B508F3"/>
    <w:rsid w:val="00B50B38"/>
    <w:rsid w:val="00B50D59"/>
    <w:rsid w:val="00B50D5D"/>
    <w:rsid w:val="00B51023"/>
    <w:rsid w:val="00B516E2"/>
    <w:rsid w:val="00B51871"/>
    <w:rsid w:val="00B51920"/>
    <w:rsid w:val="00B519F8"/>
    <w:rsid w:val="00B51A18"/>
    <w:rsid w:val="00B51F48"/>
    <w:rsid w:val="00B520A7"/>
    <w:rsid w:val="00B520B9"/>
    <w:rsid w:val="00B521C6"/>
    <w:rsid w:val="00B52837"/>
    <w:rsid w:val="00B5285B"/>
    <w:rsid w:val="00B5303D"/>
    <w:rsid w:val="00B530CC"/>
    <w:rsid w:val="00B53166"/>
    <w:rsid w:val="00B535E5"/>
    <w:rsid w:val="00B5360B"/>
    <w:rsid w:val="00B53667"/>
    <w:rsid w:val="00B53B11"/>
    <w:rsid w:val="00B53B6D"/>
    <w:rsid w:val="00B53D08"/>
    <w:rsid w:val="00B53E03"/>
    <w:rsid w:val="00B53E1A"/>
    <w:rsid w:val="00B53E92"/>
    <w:rsid w:val="00B541BF"/>
    <w:rsid w:val="00B541D1"/>
    <w:rsid w:val="00B543D0"/>
    <w:rsid w:val="00B5442C"/>
    <w:rsid w:val="00B546F3"/>
    <w:rsid w:val="00B549E5"/>
    <w:rsid w:val="00B54B43"/>
    <w:rsid w:val="00B54BFF"/>
    <w:rsid w:val="00B54F94"/>
    <w:rsid w:val="00B55427"/>
    <w:rsid w:val="00B554B1"/>
    <w:rsid w:val="00B55797"/>
    <w:rsid w:val="00B5580D"/>
    <w:rsid w:val="00B5594C"/>
    <w:rsid w:val="00B55AE6"/>
    <w:rsid w:val="00B55C5A"/>
    <w:rsid w:val="00B55C9C"/>
    <w:rsid w:val="00B55E58"/>
    <w:rsid w:val="00B55EBB"/>
    <w:rsid w:val="00B56023"/>
    <w:rsid w:val="00B560B4"/>
    <w:rsid w:val="00B56151"/>
    <w:rsid w:val="00B56604"/>
    <w:rsid w:val="00B5670F"/>
    <w:rsid w:val="00B5678A"/>
    <w:rsid w:val="00B56792"/>
    <w:rsid w:val="00B569DF"/>
    <w:rsid w:val="00B569E8"/>
    <w:rsid w:val="00B56D26"/>
    <w:rsid w:val="00B56DF7"/>
    <w:rsid w:val="00B56E3F"/>
    <w:rsid w:val="00B56F44"/>
    <w:rsid w:val="00B57150"/>
    <w:rsid w:val="00B57715"/>
    <w:rsid w:val="00B5771B"/>
    <w:rsid w:val="00B579AA"/>
    <w:rsid w:val="00B57AFF"/>
    <w:rsid w:val="00B57C71"/>
    <w:rsid w:val="00B57CA3"/>
    <w:rsid w:val="00B602D8"/>
    <w:rsid w:val="00B603B3"/>
    <w:rsid w:val="00B604C1"/>
    <w:rsid w:val="00B60629"/>
    <w:rsid w:val="00B60CA2"/>
    <w:rsid w:val="00B60DE2"/>
    <w:rsid w:val="00B60F72"/>
    <w:rsid w:val="00B61094"/>
    <w:rsid w:val="00B610C1"/>
    <w:rsid w:val="00B61134"/>
    <w:rsid w:val="00B61361"/>
    <w:rsid w:val="00B615ED"/>
    <w:rsid w:val="00B61A93"/>
    <w:rsid w:val="00B61C51"/>
    <w:rsid w:val="00B61DFB"/>
    <w:rsid w:val="00B61E04"/>
    <w:rsid w:val="00B61E92"/>
    <w:rsid w:val="00B61F81"/>
    <w:rsid w:val="00B62055"/>
    <w:rsid w:val="00B62EC9"/>
    <w:rsid w:val="00B63024"/>
    <w:rsid w:val="00B63539"/>
    <w:rsid w:val="00B63B83"/>
    <w:rsid w:val="00B63BCF"/>
    <w:rsid w:val="00B63E50"/>
    <w:rsid w:val="00B63F97"/>
    <w:rsid w:val="00B63FF3"/>
    <w:rsid w:val="00B64054"/>
    <w:rsid w:val="00B64069"/>
    <w:rsid w:val="00B6407F"/>
    <w:rsid w:val="00B640CF"/>
    <w:rsid w:val="00B6411C"/>
    <w:rsid w:val="00B64122"/>
    <w:rsid w:val="00B641A5"/>
    <w:rsid w:val="00B64471"/>
    <w:rsid w:val="00B644A6"/>
    <w:rsid w:val="00B644B7"/>
    <w:rsid w:val="00B64742"/>
    <w:rsid w:val="00B647E3"/>
    <w:rsid w:val="00B64A22"/>
    <w:rsid w:val="00B64CC6"/>
    <w:rsid w:val="00B64DED"/>
    <w:rsid w:val="00B6512A"/>
    <w:rsid w:val="00B651EB"/>
    <w:rsid w:val="00B65275"/>
    <w:rsid w:val="00B6540D"/>
    <w:rsid w:val="00B6596C"/>
    <w:rsid w:val="00B65B27"/>
    <w:rsid w:val="00B65C7F"/>
    <w:rsid w:val="00B65EA5"/>
    <w:rsid w:val="00B66031"/>
    <w:rsid w:val="00B665CB"/>
    <w:rsid w:val="00B6661C"/>
    <w:rsid w:val="00B66745"/>
    <w:rsid w:val="00B6674E"/>
    <w:rsid w:val="00B668A8"/>
    <w:rsid w:val="00B66B0B"/>
    <w:rsid w:val="00B66BED"/>
    <w:rsid w:val="00B66C69"/>
    <w:rsid w:val="00B67183"/>
    <w:rsid w:val="00B67199"/>
    <w:rsid w:val="00B671F3"/>
    <w:rsid w:val="00B6736D"/>
    <w:rsid w:val="00B67718"/>
    <w:rsid w:val="00B6782A"/>
    <w:rsid w:val="00B67A5A"/>
    <w:rsid w:val="00B67B3C"/>
    <w:rsid w:val="00B67C7C"/>
    <w:rsid w:val="00B67F8F"/>
    <w:rsid w:val="00B70149"/>
    <w:rsid w:val="00B702A6"/>
    <w:rsid w:val="00B7042D"/>
    <w:rsid w:val="00B70653"/>
    <w:rsid w:val="00B708A7"/>
    <w:rsid w:val="00B708F8"/>
    <w:rsid w:val="00B709A6"/>
    <w:rsid w:val="00B70A54"/>
    <w:rsid w:val="00B70AD0"/>
    <w:rsid w:val="00B70AFA"/>
    <w:rsid w:val="00B70BB1"/>
    <w:rsid w:val="00B70BE8"/>
    <w:rsid w:val="00B70D78"/>
    <w:rsid w:val="00B71241"/>
    <w:rsid w:val="00B71968"/>
    <w:rsid w:val="00B719FB"/>
    <w:rsid w:val="00B71C28"/>
    <w:rsid w:val="00B71D0F"/>
    <w:rsid w:val="00B71E21"/>
    <w:rsid w:val="00B71EC5"/>
    <w:rsid w:val="00B71FD6"/>
    <w:rsid w:val="00B721BA"/>
    <w:rsid w:val="00B7240C"/>
    <w:rsid w:val="00B7268C"/>
    <w:rsid w:val="00B72842"/>
    <w:rsid w:val="00B72BF2"/>
    <w:rsid w:val="00B72D88"/>
    <w:rsid w:val="00B72E49"/>
    <w:rsid w:val="00B72E56"/>
    <w:rsid w:val="00B72E5A"/>
    <w:rsid w:val="00B72E6E"/>
    <w:rsid w:val="00B72F31"/>
    <w:rsid w:val="00B72F45"/>
    <w:rsid w:val="00B73055"/>
    <w:rsid w:val="00B73081"/>
    <w:rsid w:val="00B73101"/>
    <w:rsid w:val="00B73169"/>
    <w:rsid w:val="00B73300"/>
    <w:rsid w:val="00B735D2"/>
    <w:rsid w:val="00B738C4"/>
    <w:rsid w:val="00B739F3"/>
    <w:rsid w:val="00B73C7B"/>
    <w:rsid w:val="00B73C8A"/>
    <w:rsid w:val="00B742D7"/>
    <w:rsid w:val="00B74898"/>
    <w:rsid w:val="00B74AB4"/>
    <w:rsid w:val="00B74AD2"/>
    <w:rsid w:val="00B74ADF"/>
    <w:rsid w:val="00B74C00"/>
    <w:rsid w:val="00B74DCA"/>
    <w:rsid w:val="00B74DD6"/>
    <w:rsid w:val="00B7508C"/>
    <w:rsid w:val="00B7527F"/>
    <w:rsid w:val="00B7528E"/>
    <w:rsid w:val="00B7533F"/>
    <w:rsid w:val="00B75590"/>
    <w:rsid w:val="00B75672"/>
    <w:rsid w:val="00B756D3"/>
    <w:rsid w:val="00B75728"/>
    <w:rsid w:val="00B75856"/>
    <w:rsid w:val="00B759BD"/>
    <w:rsid w:val="00B75CE0"/>
    <w:rsid w:val="00B76083"/>
    <w:rsid w:val="00B76241"/>
    <w:rsid w:val="00B762E1"/>
    <w:rsid w:val="00B763AA"/>
    <w:rsid w:val="00B764AE"/>
    <w:rsid w:val="00B7653F"/>
    <w:rsid w:val="00B767A7"/>
    <w:rsid w:val="00B76864"/>
    <w:rsid w:val="00B76DDC"/>
    <w:rsid w:val="00B76F46"/>
    <w:rsid w:val="00B76FDA"/>
    <w:rsid w:val="00B772D6"/>
    <w:rsid w:val="00B7744C"/>
    <w:rsid w:val="00B776AD"/>
    <w:rsid w:val="00B7781F"/>
    <w:rsid w:val="00B77D28"/>
    <w:rsid w:val="00B77E47"/>
    <w:rsid w:val="00B800C1"/>
    <w:rsid w:val="00B8029B"/>
    <w:rsid w:val="00B80348"/>
    <w:rsid w:val="00B8041E"/>
    <w:rsid w:val="00B80BD7"/>
    <w:rsid w:val="00B80E45"/>
    <w:rsid w:val="00B80FED"/>
    <w:rsid w:val="00B812DA"/>
    <w:rsid w:val="00B812E6"/>
    <w:rsid w:val="00B81379"/>
    <w:rsid w:val="00B815E8"/>
    <w:rsid w:val="00B8191F"/>
    <w:rsid w:val="00B8198E"/>
    <w:rsid w:val="00B81A6D"/>
    <w:rsid w:val="00B81AD6"/>
    <w:rsid w:val="00B81B38"/>
    <w:rsid w:val="00B81C9E"/>
    <w:rsid w:val="00B81E40"/>
    <w:rsid w:val="00B820FC"/>
    <w:rsid w:val="00B82220"/>
    <w:rsid w:val="00B825EC"/>
    <w:rsid w:val="00B829F4"/>
    <w:rsid w:val="00B82E9B"/>
    <w:rsid w:val="00B834BE"/>
    <w:rsid w:val="00B834D5"/>
    <w:rsid w:val="00B83801"/>
    <w:rsid w:val="00B839E4"/>
    <w:rsid w:val="00B83B26"/>
    <w:rsid w:val="00B83B5E"/>
    <w:rsid w:val="00B83D84"/>
    <w:rsid w:val="00B8428D"/>
    <w:rsid w:val="00B8485C"/>
    <w:rsid w:val="00B8496D"/>
    <w:rsid w:val="00B84AC0"/>
    <w:rsid w:val="00B84DA4"/>
    <w:rsid w:val="00B84DE9"/>
    <w:rsid w:val="00B85CCF"/>
    <w:rsid w:val="00B85CE4"/>
    <w:rsid w:val="00B85EFB"/>
    <w:rsid w:val="00B86071"/>
    <w:rsid w:val="00B86657"/>
    <w:rsid w:val="00B869A7"/>
    <w:rsid w:val="00B86C04"/>
    <w:rsid w:val="00B8701C"/>
    <w:rsid w:val="00B87077"/>
    <w:rsid w:val="00B87098"/>
    <w:rsid w:val="00B87192"/>
    <w:rsid w:val="00B87431"/>
    <w:rsid w:val="00B875C6"/>
    <w:rsid w:val="00B875DE"/>
    <w:rsid w:val="00B87765"/>
    <w:rsid w:val="00B877A3"/>
    <w:rsid w:val="00B87B0B"/>
    <w:rsid w:val="00B90040"/>
    <w:rsid w:val="00B90311"/>
    <w:rsid w:val="00B90414"/>
    <w:rsid w:val="00B90419"/>
    <w:rsid w:val="00B904EB"/>
    <w:rsid w:val="00B90A09"/>
    <w:rsid w:val="00B90A0D"/>
    <w:rsid w:val="00B90BFD"/>
    <w:rsid w:val="00B90C93"/>
    <w:rsid w:val="00B90D78"/>
    <w:rsid w:val="00B90D8A"/>
    <w:rsid w:val="00B90E79"/>
    <w:rsid w:val="00B90F36"/>
    <w:rsid w:val="00B90FDE"/>
    <w:rsid w:val="00B9105E"/>
    <w:rsid w:val="00B91134"/>
    <w:rsid w:val="00B915DE"/>
    <w:rsid w:val="00B9167F"/>
    <w:rsid w:val="00B91870"/>
    <w:rsid w:val="00B91982"/>
    <w:rsid w:val="00B91A21"/>
    <w:rsid w:val="00B91AAA"/>
    <w:rsid w:val="00B91DFD"/>
    <w:rsid w:val="00B921E1"/>
    <w:rsid w:val="00B922B3"/>
    <w:rsid w:val="00B92411"/>
    <w:rsid w:val="00B92500"/>
    <w:rsid w:val="00B92574"/>
    <w:rsid w:val="00B9274D"/>
    <w:rsid w:val="00B928FB"/>
    <w:rsid w:val="00B92BE5"/>
    <w:rsid w:val="00B92EB2"/>
    <w:rsid w:val="00B93D8C"/>
    <w:rsid w:val="00B93EC5"/>
    <w:rsid w:val="00B9435E"/>
    <w:rsid w:val="00B9451F"/>
    <w:rsid w:val="00B94833"/>
    <w:rsid w:val="00B94876"/>
    <w:rsid w:val="00B94C9E"/>
    <w:rsid w:val="00B94CD7"/>
    <w:rsid w:val="00B94D26"/>
    <w:rsid w:val="00B950B9"/>
    <w:rsid w:val="00B951F7"/>
    <w:rsid w:val="00B95243"/>
    <w:rsid w:val="00B9566C"/>
    <w:rsid w:val="00B95717"/>
    <w:rsid w:val="00B95848"/>
    <w:rsid w:val="00B95BF0"/>
    <w:rsid w:val="00B95F1F"/>
    <w:rsid w:val="00B960BB"/>
    <w:rsid w:val="00B96418"/>
    <w:rsid w:val="00B967A9"/>
    <w:rsid w:val="00B96A7B"/>
    <w:rsid w:val="00B96B72"/>
    <w:rsid w:val="00B96BCC"/>
    <w:rsid w:val="00B96BEA"/>
    <w:rsid w:val="00B97052"/>
    <w:rsid w:val="00B97129"/>
    <w:rsid w:val="00B9722E"/>
    <w:rsid w:val="00B9726D"/>
    <w:rsid w:val="00B97374"/>
    <w:rsid w:val="00B97382"/>
    <w:rsid w:val="00B97395"/>
    <w:rsid w:val="00B97412"/>
    <w:rsid w:val="00B97452"/>
    <w:rsid w:val="00B97667"/>
    <w:rsid w:val="00B976EF"/>
    <w:rsid w:val="00B97FB1"/>
    <w:rsid w:val="00BA0239"/>
    <w:rsid w:val="00BA0429"/>
    <w:rsid w:val="00BA04E0"/>
    <w:rsid w:val="00BA051F"/>
    <w:rsid w:val="00BA05A2"/>
    <w:rsid w:val="00BA0B22"/>
    <w:rsid w:val="00BA0E91"/>
    <w:rsid w:val="00BA103F"/>
    <w:rsid w:val="00BA1235"/>
    <w:rsid w:val="00BA149E"/>
    <w:rsid w:val="00BA1540"/>
    <w:rsid w:val="00BA15DA"/>
    <w:rsid w:val="00BA176C"/>
    <w:rsid w:val="00BA1821"/>
    <w:rsid w:val="00BA1875"/>
    <w:rsid w:val="00BA194F"/>
    <w:rsid w:val="00BA1A01"/>
    <w:rsid w:val="00BA1A5C"/>
    <w:rsid w:val="00BA1BFF"/>
    <w:rsid w:val="00BA1CBC"/>
    <w:rsid w:val="00BA23DB"/>
    <w:rsid w:val="00BA24A5"/>
    <w:rsid w:val="00BA2991"/>
    <w:rsid w:val="00BA2BC8"/>
    <w:rsid w:val="00BA30AA"/>
    <w:rsid w:val="00BA3125"/>
    <w:rsid w:val="00BA39D6"/>
    <w:rsid w:val="00BA3B1A"/>
    <w:rsid w:val="00BA3D1B"/>
    <w:rsid w:val="00BA4399"/>
    <w:rsid w:val="00BA43CA"/>
    <w:rsid w:val="00BA4728"/>
    <w:rsid w:val="00BA47B8"/>
    <w:rsid w:val="00BA4E1C"/>
    <w:rsid w:val="00BA5042"/>
    <w:rsid w:val="00BA5696"/>
    <w:rsid w:val="00BA571F"/>
    <w:rsid w:val="00BA5824"/>
    <w:rsid w:val="00BA58E6"/>
    <w:rsid w:val="00BA5990"/>
    <w:rsid w:val="00BA5CCE"/>
    <w:rsid w:val="00BA5CD8"/>
    <w:rsid w:val="00BA5D89"/>
    <w:rsid w:val="00BA6020"/>
    <w:rsid w:val="00BA62EE"/>
    <w:rsid w:val="00BA68D8"/>
    <w:rsid w:val="00BA6911"/>
    <w:rsid w:val="00BA6B16"/>
    <w:rsid w:val="00BA6CCE"/>
    <w:rsid w:val="00BA6F62"/>
    <w:rsid w:val="00BA7128"/>
    <w:rsid w:val="00BA7544"/>
    <w:rsid w:val="00BA7609"/>
    <w:rsid w:val="00BA767A"/>
    <w:rsid w:val="00BA776E"/>
    <w:rsid w:val="00BA77EF"/>
    <w:rsid w:val="00BA7A82"/>
    <w:rsid w:val="00BA7E34"/>
    <w:rsid w:val="00BB0047"/>
    <w:rsid w:val="00BB0262"/>
    <w:rsid w:val="00BB03E4"/>
    <w:rsid w:val="00BB05F4"/>
    <w:rsid w:val="00BB06B4"/>
    <w:rsid w:val="00BB073A"/>
    <w:rsid w:val="00BB089D"/>
    <w:rsid w:val="00BB099A"/>
    <w:rsid w:val="00BB11F0"/>
    <w:rsid w:val="00BB127B"/>
    <w:rsid w:val="00BB1573"/>
    <w:rsid w:val="00BB1695"/>
    <w:rsid w:val="00BB1981"/>
    <w:rsid w:val="00BB1A13"/>
    <w:rsid w:val="00BB22B7"/>
    <w:rsid w:val="00BB22EE"/>
    <w:rsid w:val="00BB2421"/>
    <w:rsid w:val="00BB27CF"/>
    <w:rsid w:val="00BB2847"/>
    <w:rsid w:val="00BB2993"/>
    <w:rsid w:val="00BB2AE1"/>
    <w:rsid w:val="00BB2B94"/>
    <w:rsid w:val="00BB2C23"/>
    <w:rsid w:val="00BB2D1D"/>
    <w:rsid w:val="00BB2D89"/>
    <w:rsid w:val="00BB2FA7"/>
    <w:rsid w:val="00BB3F5F"/>
    <w:rsid w:val="00BB4148"/>
    <w:rsid w:val="00BB4337"/>
    <w:rsid w:val="00BB4463"/>
    <w:rsid w:val="00BB4763"/>
    <w:rsid w:val="00BB4953"/>
    <w:rsid w:val="00BB4FD9"/>
    <w:rsid w:val="00BB5059"/>
    <w:rsid w:val="00BB50C5"/>
    <w:rsid w:val="00BB5182"/>
    <w:rsid w:val="00BB5511"/>
    <w:rsid w:val="00BB5CB0"/>
    <w:rsid w:val="00BB5D6B"/>
    <w:rsid w:val="00BB5D8B"/>
    <w:rsid w:val="00BB5F5F"/>
    <w:rsid w:val="00BB6162"/>
    <w:rsid w:val="00BB6540"/>
    <w:rsid w:val="00BB6585"/>
    <w:rsid w:val="00BB68F5"/>
    <w:rsid w:val="00BB69C8"/>
    <w:rsid w:val="00BB6AA7"/>
    <w:rsid w:val="00BB6D1D"/>
    <w:rsid w:val="00BB6DB1"/>
    <w:rsid w:val="00BB6E81"/>
    <w:rsid w:val="00BB6F2A"/>
    <w:rsid w:val="00BB70DD"/>
    <w:rsid w:val="00BB7394"/>
    <w:rsid w:val="00BB73CB"/>
    <w:rsid w:val="00BB73ED"/>
    <w:rsid w:val="00BB746B"/>
    <w:rsid w:val="00BB75EB"/>
    <w:rsid w:val="00BB76C0"/>
    <w:rsid w:val="00BB7EDD"/>
    <w:rsid w:val="00BB7F69"/>
    <w:rsid w:val="00BC024F"/>
    <w:rsid w:val="00BC03C3"/>
    <w:rsid w:val="00BC0402"/>
    <w:rsid w:val="00BC050A"/>
    <w:rsid w:val="00BC072A"/>
    <w:rsid w:val="00BC0E8D"/>
    <w:rsid w:val="00BC0FC3"/>
    <w:rsid w:val="00BC129C"/>
    <w:rsid w:val="00BC1842"/>
    <w:rsid w:val="00BC1AC0"/>
    <w:rsid w:val="00BC1B97"/>
    <w:rsid w:val="00BC1C02"/>
    <w:rsid w:val="00BC1F50"/>
    <w:rsid w:val="00BC1F85"/>
    <w:rsid w:val="00BC1FA1"/>
    <w:rsid w:val="00BC26D4"/>
    <w:rsid w:val="00BC29E8"/>
    <w:rsid w:val="00BC2AC0"/>
    <w:rsid w:val="00BC2EC3"/>
    <w:rsid w:val="00BC2EEE"/>
    <w:rsid w:val="00BC3457"/>
    <w:rsid w:val="00BC37D4"/>
    <w:rsid w:val="00BC384E"/>
    <w:rsid w:val="00BC39E0"/>
    <w:rsid w:val="00BC4088"/>
    <w:rsid w:val="00BC430B"/>
    <w:rsid w:val="00BC450D"/>
    <w:rsid w:val="00BC4ABB"/>
    <w:rsid w:val="00BC4C4E"/>
    <w:rsid w:val="00BC4C6A"/>
    <w:rsid w:val="00BC5275"/>
    <w:rsid w:val="00BC52AB"/>
    <w:rsid w:val="00BC53EE"/>
    <w:rsid w:val="00BC5542"/>
    <w:rsid w:val="00BC563B"/>
    <w:rsid w:val="00BC5741"/>
    <w:rsid w:val="00BC58B4"/>
    <w:rsid w:val="00BC5A18"/>
    <w:rsid w:val="00BC5A33"/>
    <w:rsid w:val="00BC5C22"/>
    <w:rsid w:val="00BC5E76"/>
    <w:rsid w:val="00BC5EDF"/>
    <w:rsid w:val="00BC60D4"/>
    <w:rsid w:val="00BC63DC"/>
    <w:rsid w:val="00BC6DF7"/>
    <w:rsid w:val="00BC6E3D"/>
    <w:rsid w:val="00BC740C"/>
    <w:rsid w:val="00BC752F"/>
    <w:rsid w:val="00BC759E"/>
    <w:rsid w:val="00BC761D"/>
    <w:rsid w:val="00BC784C"/>
    <w:rsid w:val="00BC7B62"/>
    <w:rsid w:val="00BC7D01"/>
    <w:rsid w:val="00BD0013"/>
    <w:rsid w:val="00BD0266"/>
    <w:rsid w:val="00BD030E"/>
    <w:rsid w:val="00BD032F"/>
    <w:rsid w:val="00BD045B"/>
    <w:rsid w:val="00BD0479"/>
    <w:rsid w:val="00BD0484"/>
    <w:rsid w:val="00BD0D2F"/>
    <w:rsid w:val="00BD0D4F"/>
    <w:rsid w:val="00BD0DF6"/>
    <w:rsid w:val="00BD136A"/>
    <w:rsid w:val="00BD13BE"/>
    <w:rsid w:val="00BD13D3"/>
    <w:rsid w:val="00BD156C"/>
    <w:rsid w:val="00BD157A"/>
    <w:rsid w:val="00BD15A2"/>
    <w:rsid w:val="00BD1889"/>
    <w:rsid w:val="00BD19DD"/>
    <w:rsid w:val="00BD1A9A"/>
    <w:rsid w:val="00BD1B8E"/>
    <w:rsid w:val="00BD1C4F"/>
    <w:rsid w:val="00BD21DD"/>
    <w:rsid w:val="00BD2308"/>
    <w:rsid w:val="00BD2496"/>
    <w:rsid w:val="00BD24ED"/>
    <w:rsid w:val="00BD26CF"/>
    <w:rsid w:val="00BD2AF3"/>
    <w:rsid w:val="00BD2D19"/>
    <w:rsid w:val="00BD3155"/>
    <w:rsid w:val="00BD316B"/>
    <w:rsid w:val="00BD3304"/>
    <w:rsid w:val="00BD332B"/>
    <w:rsid w:val="00BD3500"/>
    <w:rsid w:val="00BD3527"/>
    <w:rsid w:val="00BD36A7"/>
    <w:rsid w:val="00BD3761"/>
    <w:rsid w:val="00BD3795"/>
    <w:rsid w:val="00BD3A87"/>
    <w:rsid w:val="00BD3B04"/>
    <w:rsid w:val="00BD3C52"/>
    <w:rsid w:val="00BD3E37"/>
    <w:rsid w:val="00BD3FD3"/>
    <w:rsid w:val="00BD411A"/>
    <w:rsid w:val="00BD411D"/>
    <w:rsid w:val="00BD45F0"/>
    <w:rsid w:val="00BD4702"/>
    <w:rsid w:val="00BD4753"/>
    <w:rsid w:val="00BD48E9"/>
    <w:rsid w:val="00BD4B05"/>
    <w:rsid w:val="00BD4B78"/>
    <w:rsid w:val="00BD4D53"/>
    <w:rsid w:val="00BD4F7E"/>
    <w:rsid w:val="00BD51AD"/>
    <w:rsid w:val="00BD51D6"/>
    <w:rsid w:val="00BD5351"/>
    <w:rsid w:val="00BD580B"/>
    <w:rsid w:val="00BD5812"/>
    <w:rsid w:val="00BD591B"/>
    <w:rsid w:val="00BD5B7F"/>
    <w:rsid w:val="00BD5DCA"/>
    <w:rsid w:val="00BD5F2B"/>
    <w:rsid w:val="00BD5FA2"/>
    <w:rsid w:val="00BD5FB0"/>
    <w:rsid w:val="00BD64C1"/>
    <w:rsid w:val="00BD64EB"/>
    <w:rsid w:val="00BD6675"/>
    <w:rsid w:val="00BD6875"/>
    <w:rsid w:val="00BD69B8"/>
    <w:rsid w:val="00BD6A7D"/>
    <w:rsid w:val="00BD72FC"/>
    <w:rsid w:val="00BD73D0"/>
    <w:rsid w:val="00BD7568"/>
    <w:rsid w:val="00BD79A4"/>
    <w:rsid w:val="00BD7A16"/>
    <w:rsid w:val="00BD7C31"/>
    <w:rsid w:val="00BD7CAA"/>
    <w:rsid w:val="00BD7EA9"/>
    <w:rsid w:val="00BD7F2D"/>
    <w:rsid w:val="00BE043F"/>
    <w:rsid w:val="00BE044B"/>
    <w:rsid w:val="00BE080B"/>
    <w:rsid w:val="00BE0816"/>
    <w:rsid w:val="00BE0988"/>
    <w:rsid w:val="00BE0A62"/>
    <w:rsid w:val="00BE0AC4"/>
    <w:rsid w:val="00BE0B7E"/>
    <w:rsid w:val="00BE1330"/>
    <w:rsid w:val="00BE14D7"/>
    <w:rsid w:val="00BE1556"/>
    <w:rsid w:val="00BE172B"/>
    <w:rsid w:val="00BE17A6"/>
    <w:rsid w:val="00BE1861"/>
    <w:rsid w:val="00BE1A5C"/>
    <w:rsid w:val="00BE1AF1"/>
    <w:rsid w:val="00BE215B"/>
    <w:rsid w:val="00BE21A2"/>
    <w:rsid w:val="00BE23E0"/>
    <w:rsid w:val="00BE246D"/>
    <w:rsid w:val="00BE2607"/>
    <w:rsid w:val="00BE260D"/>
    <w:rsid w:val="00BE266F"/>
    <w:rsid w:val="00BE2808"/>
    <w:rsid w:val="00BE289D"/>
    <w:rsid w:val="00BE293E"/>
    <w:rsid w:val="00BE2CC7"/>
    <w:rsid w:val="00BE2F2C"/>
    <w:rsid w:val="00BE3172"/>
    <w:rsid w:val="00BE334F"/>
    <w:rsid w:val="00BE3463"/>
    <w:rsid w:val="00BE3501"/>
    <w:rsid w:val="00BE359B"/>
    <w:rsid w:val="00BE364C"/>
    <w:rsid w:val="00BE365F"/>
    <w:rsid w:val="00BE367B"/>
    <w:rsid w:val="00BE36E1"/>
    <w:rsid w:val="00BE3866"/>
    <w:rsid w:val="00BE3C1B"/>
    <w:rsid w:val="00BE3F71"/>
    <w:rsid w:val="00BE4014"/>
    <w:rsid w:val="00BE4057"/>
    <w:rsid w:val="00BE40AD"/>
    <w:rsid w:val="00BE4222"/>
    <w:rsid w:val="00BE4660"/>
    <w:rsid w:val="00BE46BD"/>
    <w:rsid w:val="00BE4B28"/>
    <w:rsid w:val="00BE4F26"/>
    <w:rsid w:val="00BE5046"/>
    <w:rsid w:val="00BE504A"/>
    <w:rsid w:val="00BE512C"/>
    <w:rsid w:val="00BE5235"/>
    <w:rsid w:val="00BE531E"/>
    <w:rsid w:val="00BE532D"/>
    <w:rsid w:val="00BE55DB"/>
    <w:rsid w:val="00BE564D"/>
    <w:rsid w:val="00BE59FB"/>
    <w:rsid w:val="00BE5BFF"/>
    <w:rsid w:val="00BE5C53"/>
    <w:rsid w:val="00BE5DB7"/>
    <w:rsid w:val="00BE5FCD"/>
    <w:rsid w:val="00BE62B9"/>
    <w:rsid w:val="00BE657D"/>
    <w:rsid w:val="00BE67BC"/>
    <w:rsid w:val="00BE6805"/>
    <w:rsid w:val="00BE6D9B"/>
    <w:rsid w:val="00BE7018"/>
    <w:rsid w:val="00BE717B"/>
    <w:rsid w:val="00BE72DA"/>
    <w:rsid w:val="00BE73A4"/>
    <w:rsid w:val="00BE742F"/>
    <w:rsid w:val="00BE74EF"/>
    <w:rsid w:val="00BE7846"/>
    <w:rsid w:val="00BE79E0"/>
    <w:rsid w:val="00BE7CDA"/>
    <w:rsid w:val="00BE7F68"/>
    <w:rsid w:val="00BE7FB5"/>
    <w:rsid w:val="00BF0126"/>
    <w:rsid w:val="00BF01C5"/>
    <w:rsid w:val="00BF0283"/>
    <w:rsid w:val="00BF035B"/>
    <w:rsid w:val="00BF036C"/>
    <w:rsid w:val="00BF037A"/>
    <w:rsid w:val="00BF04BD"/>
    <w:rsid w:val="00BF0983"/>
    <w:rsid w:val="00BF09F0"/>
    <w:rsid w:val="00BF0AA2"/>
    <w:rsid w:val="00BF1194"/>
    <w:rsid w:val="00BF11E6"/>
    <w:rsid w:val="00BF169E"/>
    <w:rsid w:val="00BF16EA"/>
    <w:rsid w:val="00BF1770"/>
    <w:rsid w:val="00BF17AA"/>
    <w:rsid w:val="00BF1A12"/>
    <w:rsid w:val="00BF1A24"/>
    <w:rsid w:val="00BF1C37"/>
    <w:rsid w:val="00BF1EAF"/>
    <w:rsid w:val="00BF202A"/>
    <w:rsid w:val="00BF2171"/>
    <w:rsid w:val="00BF236F"/>
    <w:rsid w:val="00BF23D6"/>
    <w:rsid w:val="00BF275B"/>
    <w:rsid w:val="00BF2888"/>
    <w:rsid w:val="00BF28E1"/>
    <w:rsid w:val="00BF2A94"/>
    <w:rsid w:val="00BF2B5F"/>
    <w:rsid w:val="00BF2DCF"/>
    <w:rsid w:val="00BF2E83"/>
    <w:rsid w:val="00BF3004"/>
    <w:rsid w:val="00BF33FB"/>
    <w:rsid w:val="00BF34C1"/>
    <w:rsid w:val="00BF3C7E"/>
    <w:rsid w:val="00BF3DC1"/>
    <w:rsid w:val="00BF3F03"/>
    <w:rsid w:val="00BF3F1D"/>
    <w:rsid w:val="00BF41DE"/>
    <w:rsid w:val="00BF420D"/>
    <w:rsid w:val="00BF4498"/>
    <w:rsid w:val="00BF48A6"/>
    <w:rsid w:val="00BF4DAD"/>
    <w:rsid w:val="00BF4E00"/>
    <w:rsid w:val="00BF52E6"/>
    <w:rsid w:val="00BF538E"/>
    <w:rsid w:val="00BF5C6A"/>
    <w:rsid w:val="00BF5CB9"/>
    <w:rsid w:val="00BF5DE8"/>
    <w:rsid w:val="00BF6362"/>
    <w:rsid w:val="00BF68E1"/>
    <w:rsid w:val="00BF695E"/>
    <w:rsid w:val="00BF6DB1"/>
    <w:rsid w:val="00BF6E95"/>
    <w:rsid w:val="00BF70E6"/>
    <w:rsid w:val="00BF71BC"/>
    <w:rsid w:val="00BF723D"/>
    <w:rsid w:val="00BF7676"/>
    <w:rsid w:val="00BF77F2"/>
    <w:rsid w:val="00BF7812"/>
    <w:rsid w:val="00BF79E6"/>
    <w:rsid w:val="00BF7C92"/>
    <w:rsid w:val="00BF7FBB"/>
    <w:rsid w:val="00C001AD"/>
    <w:rsid w:val="00C001C1"/>
    <w:rsid w:val="00C0045F"/>
    <w:rsid w:val="00C007D6"/>
    <w:rsid w:val="00C007DC"/>
    <w:rsid w:val="00C00863"/>
    <w:rsid w:val="00C008FD"/>
    <w:rsid w:val="00C00B81"/>
    <w:rsid w:val="00C00C99"/>
    <w:rsid w:val="00C00F03"/>
    <w:rsid w:val="00C013AB"/>
    <w:rsid w:val="00C01403"/>
    <w:rsid w:val="00C0165A"/>
    <w:rsid w:val="00C01B1B"/>
    <w:rsid w:val="00C01B1E"/>
    <w:rsid w:val="00C01D07"/>
    <w:rsid w:val="00C01DB7"/>
    <w:rsid w:val="00C01EDF"/>
    <w:rsid w:val="00C02123"/>
    <w:rsid w:val="00C025E3"/>
    <w:rsid w:val="00C02643"/>
    <w:rsid w:val="00C02650"/>
    <w:rsid w:val="00C02734"/>
    <w:rsid w:val="00C028D3"/>
    <w:rsid w:val="00C02B29"/>
    <w:rsid w:val="00C03002"/>
    <w:rsid w:val="00C03017"/>
    <w:rsid w:val="00C03401"/>
    <w:rsid w:val="00C03656"/>
    <w:rsid w:val="00C03B98"/>
    <w:rsid w:val="00C03CF5"/>
    <w:rsid w:val="00C03E63"/>
    <w:rsid w:val="00C03F0B"/>
    <w:rsid w:val="00C044E6"/>
    <w:rsid w:val="00C04667"/>
    <w:rsid w:val="00C04830"/>
    <w:rsid w:val="00C0491E"/>
    <w:rsid w:val="00C04AD9"/>
    <w:rsid w:val="00C0519A"/>
    <w:rsid w:val="00C0527C"/>
    <w:rsid w:val="00C0550D"/>
    <w:rsid w:val="00C058C7"/>
    <w:rsid w:val="00C059CB"/>
    <w:rsid w:val="00C0609D"/>
    <w:rsid w:val="00C0619D"/>
    <w:rsid w:val="00C061BA"/>
    <w:rsid w:val="00C06269"/>
    <w:rsid w:val="00C06536"/>
    <w:rsid w:val="00C065B4"/>
    <w:rsid w:val="00C06868"/>
    <w:rsid w:val="00C06AF7"/>
    <w:rsid w:val="00C06B1C"/>
    <w:rsid w:val="00C0738F"/>
    <w:rsid w:val="00C07537"/>
    <w:rsid w:val="00C0756D"/>
    <w:rsid w:val="00C076C0"/>
    <w:rsid w:val="00C079A9"/>
    <w:rsid w:val="00C07B49"/>
    <w:rsid w:val="00C07DC7"/>
    <w:rsid w:val="00C07FB3"/>
    <w:rsid w:val="00C10000"/>
    <w:rsid w:val="00C10116"/>
    <w:rsid w:val="00C10253"/>
    <w:rsid w:val="00C10300"/>
    <w:rsid w:val="00C103A3"/>
    <w:rsid w:val="00C103E6"/>
    <w:rsid w:val="00C10449"/>
    <w:rsid w:val="00C1099F"/>
    <w:rsid w:val="00C109C7"/>
    <w:rsid w:val="00C11179"/>
    <w:rsid w:val="00C1123E"/>
    <w:rsid w:val="00C11395"/>
    <w:rsid w:val="00C114FB"/>
    <w:rsid w:val="00C1165A"/>
    <w:rsid w:val="00C11727"/>
    <w:rsid w:val="00C118F4"/>
    <w:rsid w:val="00C1199B"/>
    <w:rsid w:val="00C11AB2"/>
    <w:rsid w:val="00C11B16"/>
    <w:rsid w:val="00C11B29"/>
    <w:rsid w:val="00C11CCD"/>
    <w:rsid w:val="00C12015"/>
    <w:rsid w:val="00C1210D"/>
    <w:rsid w:val="00C123F8"/>
    <w:rsid w:val="00C124EC"/>
    <w:rsid w:val="00C12509"/>
    <w:rsid w:val="00C1256F"/>
    <w:rsid w:val="00C12699"/>
    <w:rsid w:val="00C12A5D"/>
    <w:rsid w:val="00C12AED"/>
    <w:rsid w:val="00C12CA7"/>
    <w:rsid w:val="00C12D3B"/>
    <w:rsid w:val="00C1304C"/>
    <w:rsid w:val="00C13112"/>
    <w:rsid w:val="00C133BD"/>
    <w:rsid w:val="00C136BE"/>
    <w:rsid w:val="00C13ACB"/>
    <w:rsid w:val="00C13BAE"/>
    <w:rsid w:val="00C13CB0"/>
    <w:rsid w:val="00C13E7D"/>
    <w:rsid w:val="00C13FEE"/>
    <w:rsid w:val="00C14128"/>
    <w:rsid w:val="00C143FB"/>
    <w:rsid w:val="00C14607"/>
    <w:rsid w:val="00C14823"/>
    <w:rsid w:val="00C14911"/>
    <w:rsid w:val="00C14AC9"/>
    <w:rsid w:val="00C14FD2"/>
    <w:rsid w:val="00C15026"/>
    <w:rsid w:val="00C152B7"/>
    <w:rsid w:val="00C152DD"/>
    <w:rsid w:val="00C15358"/>
    <w:rsid w:val="00C15370"/>
    <w:rsid w:val="00C156C6"/>
    <w:rsid w:val="00C15BCE"/>
    <w:rsid w:val="00C15E2A"/>
    <w:rsid w:val="00C15E84"/>
    <w:rsid w:val="00C160C4"/>
    <w:rsid w:val="00C1629A"/>
    <w:rsid w:val="00C16A2D"/>
    <w:rsid w:val="00C16BE6"/>
    <w:rsid w:val="00C16D9E"/>
    <w:rsid w:val="00C16DBC"/>
    <w:rsid w:val="00C17263"/>
    <w:rsid w:val="00C17346"/>
    <w:rsid w:val="00C17399"/>
    <w:rsid w:val="00C175BF"/>
    <w:rsid w:val="00C1783A"/>
    <w:rsid w:val="00C178C3"/>
    <w:rsid w:val="00C17BF6"/>
    <w:rsid w:val="00C17CB0"/>
    <w:rsid w:val="00C17CF1"/>
    <w:rsid w:val="00C17E48"/>
    <w:rsid w:val="00C20327"/>
    <w:rsid w:val="00C204A5"/>
    <w:rsid w:val="00C204AD"/>
    <w:rsid w:val="00C20618"/>
    <w:rsid w:val="00C2076B"/>
    <w:rsid w:val="00C20A85"/>
    <w:rsid w:val="00C20A91"/>
    <w:rsid w:val="00C20CEF"/>
    <w:rsid w:val="00C21246"/>
    <w:rsid w:val="00C21508"/>
    <w:rsid w:val="00C21688"/>
    <w:rsid w:val="00C21728"/>
    <w:rsid w:val="00C219C5"/>
    <w:rsid w:val="00C21D7E"/>
    <w:rsid w:val="00C21DA1"/>
    <w:rsid w:val="00C223FD"/>
    <w:rsid w:val="00C2240E"/>
    <w:rsid w:val="00C22DDC"/>
    <w:rsid w:val="00C2301A"/>
    <w:rsid w:val="00C230E9"/>
    <w:rsid w:val="00C23142"/>
    <w:rsid w:val="00C232CC"/>
    <w:rsid w:val="00C23737"/>
    <w:rsid w:val="00C23AF7"/>
    <w:rsid w:val="00C23B43"/>
    <w:rsid w:val="00C23C04"/>
    <w:rsid w:val="00C243A6"/>
    <w:rsid w:val="00C24556"/>
    <w:rsid w:val="00C249C7"/>
    <w:rsid w:val="00C24A99"/>
    <w:rsid w:val="00C24EE4"/>
    <w:rsid w:val="00C25109"/>
    <w:rsid w:val="00C2535E"/>
    <w:rsid w:val="00C25662"/>
    <w:rsid w:val="00C2567C"/>
    <w:rsid w:val="00C2567F"/>
    <w:rsid w:val="00C25776"/>
    <w:rsid w:val="00C25969"/>
    <w:rsid w:val="00C25C4F"/>
    <w:rsid w:val="00C25F0A"/>
    <w:rsid w:val="00C260AB"/>
    <w:rsid w:val="00C263A3"/>
    <w:rsid w:val="00C26454"/>
    <w:rsid w:val="00C2662B"/>
    <w:rsid w:val="00C26CEF"/>
    <w:rsid w:val="00C26DB5"/>
    <w:rsid w:val="00C2707C"/>
    <w:rsid w:val="00C2717D"/>
    <w:rsid w:val="00C272D8"/>
    <w:rsid w:val="00C277CD"/>
    <w:rsid w:val="00C27865"/>
    <w:rsid w:val="00C27BF0"/>
    <w:rsid w:val="00C27D97"/>
    <w:rsid w:val="00C27F61"/>
    <w:rsid w:val="00C301C9"/>
    <w:rsid w:val="00C303C9"/>
    <w:rsid w:val="00C30579"/>
    <w:rsid w:val="00C306FD"/>
    <w:rsid w:val="00C307DD"/>
    <w:rsid w:val="00C30891"/>
    <w:rsid w:val="00C308EA"/>
    <w:rsid w:val="00C30B55"/>
    <w:rsid w:val="00C30C53"/>
    <w:rsid w:val="00C30C90"/>
    <w:rsid w:val="00C30D52"/>
    <w:rsid w:val="00C30E8D"/>
    <w:rsid w:val="00C30F35"/>
    <w:rsid w:val="00C30F5B"/>
    <w:rsid w:val="00C312BD"/>
    <w:rsid w:val="00C31393"/>
    <w:rsid w:val="00C3147F"/>
    <w:rsid w:val="00C317D7"/>
    <w:rsid w:val="00C3190D"/>
    <w:rsid w:val="00C31C99"/>
    <w:rsid w:val="00C31D92"/>
    <w:rsid w:val="00C31D9A"/>
    <w:rsid w:val="00C31E56"/>
    <w:rsid w:val="00C320F8"/>
    <w:rsid w:val="00C32102"/>
    <w:rsid w:val="00C32178"/>
    <w:rsid w:val="00C32234"/>
    <w:rsid w:val="00C3248A"/>
    <w:rsid w:val="00C328C2"/>
    <w:rsid w:val="00C329F6"/>
    <w:rsid w:val="00C32A18"/>
    <w:rsid w:val="00C32ABD"/>
    <w:rsid w:val="00C32C85"/>
    <w:rsid w:val="00C32FA1"/>
    <w:rsid w:val="00C333C1"/>
    <w:rsid w:val="00C334CB"/>
    <w:rsid w:val="00C33540"/>
    <w:rsid w:val="00C3358E"/>
    <w:rsid w:val="00C3364E"/>
    <w:rsid w:val="00C33C7A"/>
    <w:rsid w:val="00C341C2"/>
    <w:rsid w:val="00C341E2"/>
    <w:rsid w:val="00C34565"/>
    <w:rsid w:val="00C3458D"/>
    <w:rsid w:val="00C3462D"/>
    <w:rsid w:val="00C34AE7"/>
    <w:rsid w:val="00C34C07"/>
    <w:rsid w:val="00C34CD0"/>
    <w:rsid w:val="00C34CE9"/>
    <w:rsid w:val="00C34F01"/>
    <w:rsid w:val="00C34F41"/>
    <w:rsid w:val="00C351FE"/>
    <w:rsid w:val="00C35246"/>
    <w:rsid w:val="00C3542D"/>
    <w:rsid w:val="00C3572E"/>
    <w:rsid w:val="00C359D4"/>
    <w:rsid w:val="00C35B49"/>
    <w:rsid w:val="00C35D51"/>
    <w:rsid w:val="00C360EE"/>
    <w:rsid w:val="00C36133"/>
    <w:rsid w:val="00C36575"/>
    <w:rsid w:val="00C36810"/>
    <w:rsid w:val="00C36827"/>
    <w:rsid w:val="00C36F9E"/>
    <w:rsid w:val="00C370AE"/>
    <w:rsid w:val="00C370F4"/>
    <w:rsid w:val="00C37165"/>
    <w:rsid w:val="00C371E0"/>
    <w:rsid w:val="00C373AC"/>
    <w:rsid w:val="00C37581"/>
    <w:rsid w:val="00C376DE"/>
    <w:rsid w:val="00C378A5"/>
    <w:rsid w:val="00C37A8F"/>
    <w:rsid w:val="00C37AF5"/>
    <w:rsid w:val="00C37D06"/>
    <w:rsid w:val="00C37D6E"/>
    <w:rsid w:val="00C37D72"/>
    <w:rsid w:val="00C37DA5"/>
    <w:rsid w:val="00C37F55"/>
    <w:rsid w:val="00C401DF"/>
    <w:rsid w:val="00C406F6"/>
    <w:rsid w:val="00C40713"/>
    <w:rsid w:val="00C40735"/>
    <w:rsid w:val="00C408C4"/>
    <w:rsid w:val="00C40B2A"/>
    <w:rsid w:val="00C40B97"/>
    <w:rsid w:val="00C40CE7"/>
    <w:rsid w:val="00C40DAF"/>
    <w:rsid w:val="00C40ECD"/>
    <w:rsid w:val="00C40FF9"/>
    <w:rsid w:val="00C4107F"/>
    <w:rsid w:val="00C4113D"/>
    <w:rsid w:val="00C41204"/>
    <w:rsid w:val="00C412BA"/>
    <w:rsid w:val="00C41806"/>
    <w:rsid w:val="00C41CA7"/>
    <w:rsid w:val="00C41D25"/>
    <w:rsid w:val="00C4204F"/>
    <w:rsid w:val="00C42337"/>
    <w:rsid w:val="00C423BF"/>
    <w:rsid w:val="00C424B1"/>
    <w:rsid w:val="00C42666"/>
    <w:rsid w:val="00C427EB"/>
    <w:rsid w:val="00C42870"/>
    <w:rsid w:val="00C4289A"/>
    <w:rsid w:val="00C42A4E"/>
    <w:rsid w:val="00C42B23"/>
    <w:rsid w:val="00C42DA6"/>
    <w:rsid w:val="00C43297"/>
    <w:rsid w:val="00C432E7"/>
    <w:rsid w:val="00C437C8"/>
    <w:rsid w:val="00C4385E"/>
    <w:rsid w:val="00C43A8B"/>
    <w:rsid w:val="00C43BE7"/>
    <w:rsid w:val="00C43D06"/>
    <w:rsid w:val="00C43D33"/>
    <w:rsid w:val="00C441C9"/>
    <w:rsid w:val="00C44586"/>
    <w:rsid w:val="00C4463F"/>
    <w:rsid w:val="00C447CA"/>
    <w:rsid w:val="00C44977"/>
    <w:rsid w:val="00C449EF"/>
    <w:rsid w:val="00C44AD1"/>
    <w:rsid w:val="00C44B8C"/>
    <w:rsid w:val="00C44F25"/>
    <w:rsid w:val="00C44F80"/>
    <w:rsid w:val="00C44F90"/>
    <w:rsid w:val="00C455AC"/>
    <w:rsid w:val="00C45649"/>
    <w:rsid w:val="00C457DF"/>
    <w:rsid w:val="00C458CE"/>
    <w:rsid w:val="00C45979"/>
    <w:rsid w:val="00C459CE"/>
    <w:rsid w:val="00C45A14"/>
    <w:rsid w:val="00C45C01"/>
    <w:rsid w:val="00C45DE4"/>
    <w:rsid w:val="00C46116"/>
    <w:rsid w:val="00C461AA"/>
    <w:rsid w:val="00C4646A"/>
    <w:rsid w:val="00C464FD"/>
    <w:rsid w:val="00C46567"/>
    <w:rsid w:val="00C465DD"/>
    <w:rsid w:val="00C467D4"/>
    <w:rsid w:val="00C468D5"/>
    <w:rsid w:val="00C4729E"/>
    <w:rsid w:val="00C47378"/>
    <w:rsid w:val="00C47AC3"/>
    <w:rsid w:val="00C47ACA"/>
    <w:rsid w:val="00C500B6"/>
    <w:rsid w:val="00C502B0"/>
    <w:rsid w:val="00C504CC"/>
    <w:rsid w:val="00C5087D"/>
    <w:rsid w:val="00C5088D"/>
    <w:rsid w:val="00C50BC9"/>
    <w:rsid w:val="00C50F96"/>
    <w:rsid w:val="00C50FC4"/>
    <w:rsid w:val="00C5112B"/>
    <w:rsid w:val="00C51236"/>
    <w:rsid w:val="00C51290"/>
    <w:rsid w:val="00C51A8D"/>
    <w:rsid w:val="00C5225C"/>
    <w:rsid w:val="00C52289"/>
    <w:rsid w:val="00C522E4"/>
    <w:rsid w:val="00C5277E"/>
    <w:rsid w:val="00C52B2D"/>
    <w:rsid w:val="00C52B6D"/>
    <w:rsid w:val="00C52D3A"/>
    <w:rsid w:val="00C5304B"/>
    <w:rsid w:val="00C531D2"/>
    <w:rsid w:val="00C53257"/>
    <w:rsid w:val="00C532AB"/>
    <w:rsid w:val="00C532FD"/>
    <w:rsid w:val="00C534E6"/>
    <w:rsid w:val="00C534F0"/>
    <w:rsid w:val="00C53730"/>
    <w:rsid w:val="00C53ABE"/>
    <w:rsid w:val="00C53C62"/>
    <w:rsid w:val="00C54514"/>
    <w:rsid w:val="00C54835"/>
    <w:rsid w:val="00C54A03"/>
    <w:rsid w:val="00C54AB6"/>
    <w:rsid w:val="00C54FBE"/>
    <w:rsid w:val="00C556EB"/>
    <w:rsid w:val="00C55883"/>
    <w:rsid w:val="00C559EE"/>
    <w:rsid w:val="00C562CA"/>
    <w:rsid w:val="00C56AD1"/>
    <w:rsid w:val="00C56BFC"/>
    <w:rsid w:val="00C56CDE"/>
    <w:rsid w:val="00C56D0E"/>
    <w:rsid w:val="00C56D33"/>
    <w:rsid w:val="00C56F81"/>
    <w:rsid w:val="00C57000"/>
    <w:rsid w:val="00C5702D"/>
    <w:rsid w:val="00C57068"/>
    <w:rsid w:val="00C57220"/>
    <w:rsid w:val="00C572E9"/>
    <w:rsid w:val="00C5739A"/>
    <w:rsid w:val="00C575BC"/>
    <w:rsid w:val="00C576DA"/>
    <w:rsid w:val="00C5784E"/>
    <w:rsid w:val="00C57D24"/>
    <w:rsid w:val="00C57DDA"/>
    <w:rsid w:val="00C601EC"/>
    <w:rsid w:val="00C602F2"/>
    <w:rsid w:val="00C60415"/>
    <w:rsid w:val="00C60463"/>
    <w:rsid w:val="00C604E7"/>
    <w:rsid w:val="00C6098B"/>
    <w:rsid w:val="00C60A71"/>
    <w:rsid w:val="00C60B0F"/>
    <w:rsid w:val="00C60B5C"/>
    <w:rsid w:val="00C60E65"/>
    <w:rsid w:val="00C60EB3"/>
    <w:rsid w:val="00C60EE4"/>
    <w:rsid w:val="00C60F57"/>
    <w:rsid w:val="00C61132"/>
    <w:rsid w:val="00C61486"/>
    <w:rsid w:val="00C61541"/>
    <w:rsid w:val="00C615AA"/>
    <w:rsid w:val="00C61611"/>
    <w:rsid w:val="00C616CB"/>
    <w:rsid w:val="00C617AD"/>
    <w:rsid w:val="00C6192E"/>
    <w:rsid w:val="00C619AA"/>
    <w:rsid w:val="00C61F35"/>
    <w:rsid w:val="00C61F7B"/>
    <w:rsid w:val="00C62246"/>
    <w:rsid w:val="00C622E2"/>
    <w:rsid w:val="00C623DB"/>
    <w:rsid w:val="00C62634"/>
    <w:rsid w:val="00C626EE"/>
    <w:rsid w:val="00C62719"/>
    <w:rsid w:val="00C62725"/>
    <w:rsid w:val="00C62AE0"/>
    <w:rsid w:val="00C62BAC"/>
    <w:rsid w:val="00C62DB4"/>
    <w:rsid w:val="00C632B9"/>
    <w:rsid w:val="00C6342C"/>
    <w:rsid w:val="00C6346A"/>
    <w:rsid w:val="00C63F9C"/>
    <w:rsid w:val="00C641F1"/>
    <w:rsid w:val="00C642BC"/>
    <w:rsid w:val="00C643DA"/>
    <w:rsid w:val="00C643DF"/>
    <w:rsid w:val="00C64978"/>
    <w:rsid w:val="00C64E1B"/>
    <w:rsid w:val="00C64E44"/>
    <w:rsid w:val="00C64ECD"/>
    <w:rsid w:val="00C64FDD"/>
    <w:rsid w:val="00C651B5"/>
    <w:rsid w:val="00C656B6"/>
    <w:rsid w:val="00C656F7"/>
    <w:rsid w:val="00C6575A"/>
    <w:rsid w:val="00C6580D"/>
    <w:rsid w:val="00C6589A"/>
    <w:rsid w:val="00C65B02"/>
    <w:rsid w:val="00C65BE6"/>
    <w:rsid w:val="00C66028"/>
    <w:rsid w:val="00C66173"/>
    <w:rsid w:val="00C66226"/>
    <w:rsid w:val="00C66227"/>
    <w:rsid w:val="00C66682"/>
    <w:rsid w:val="00C66ACC"/>
    <w:rsid w:val="00C670EB"/>
    <w:rsid w:val="00C671C0"/>
    <w:rsid w:val="00C6766B"/>
    <w:rsid w:val="00C676EE"/>
    <w:rsid w:val="00C6772E"/>
    <w:rsid w:val="00C677B4"/>
    <w:rsid w:val="00C67A17"/>
    <w:rsid w:val="00C67AB5"/>
    <w:rsid w:val="00C67BB6"/>
    <w:rsid w:val="00C67C56"/>
    <w:rsid w:val="00C67F66"/>
    <w:rsid w:val="00C70058"/>
    <w:rsid w:val="00C700E4"/>
    <w:rsid w:val="00C70438"/>
    <w:rsid w:val="00C70509"/>
    <w:rsid w:val="00C70830"/>
    <w:rsid w:val="00C70939"/>
    <w:rsid w:val="00C70ED9"/>
    <w:rsid w:val="00C7109F"/>
    <w:rsid w:val="00C713C5"/>
    <w:rsid w:val="00C718CE"/>
    <w:rsid w:val="00C71AA3"/>
    <w:rsid w:val="00C71AC4"/>
    <w:rsid w:val="00C71CC2"/>
    <w:rsid w:val="00C71EB0"/>
    <w:rsid w:val="00C71EF4"/>
    <w:rsid w:val="00C72011"/>
    <w:rsid w:val="00C72341"/>
    <w:rsid w:val="00C7266A"/>
    <w:rsid w:val="00C7276E"/>
    <w:rsid w:val="00C72799"/>
    <w:rsid w:val="00C7298D"/>
    <w:rsid w:val="00C72AF2"/>
    <w:rsid w:val="00C72D70"/>
    <w:rsid w:val="00C72E6B"/>
    <w:rsid w:val="00C739CB"/>
    <w:rsid w:val="00C73A67"/>
    <w:rsid w:val="00C73C10"/>
    <w:rsid w:val="00C73CD0"/>
    <w:rsid w:val="00C746BE"/>
    <w:rsid w:val="00C74709"/>
    <w:rsid w:val="00C74729"/>
    <w:rsid w:val="00C7491F"/>
    <w:rsid w:val="00C74EB2"/>
    <w:rsid w:val="00C7511F"/>
    <w:rsid w:val="00C75361"/>
    <w:rsid w:val="00C753A8"/>
    <w:rsid w:val="00C754BB"/>
    <w:rsid w:val="00C755A5"/>
    <w:rsid w:val="00C7566F"/>
    <w:rsid w:val="00C75744"/>
    <w:rsid w:val="00C75A72"/>
    <w:rsid w:val="00C75A7A"/>
    <w:rsid w:val="00C75BF5"/>
    <w:rsid w:val="00C75CEC"/>
    <w:rsid w:val="00C75D45"/>
    <w:rsid w:val="00C760A6"/>
    <w:rsid w:val="00C762D9"/>
    <w:rsid w:val="00C763E4"/>
    <w:rsid w:val="00C76597"/>
    <w:rsid w:val="00C76880"/>
    <w:rsid w:val="00C76A0B"/>
    <w:rsid w:val="00C76E9B"/>
    <w:rsid w:val="00C76EC5"/>
    <w:rsid w:val="00C775A1"/>
    <w:rsid w:val="00C7787D"/>
    <w:rsid w:val="00C77E83"/>
    <w:rsid w:val="00C80114"/>
    <w:rsid w:val="00C8051D"/>
    <w:rsid w:val="00C80556"/>
    <w:rsid w:val="00C805B7"/>
    <w:rsid w:val="00C80826"/>
    <w:rsid w:val="00C80BD9"/>
    <w:rsid w:val="00C80E84"/>
    <w:rsid w:val="00C810AA"/>
    <w:rsid w:val="00C811B1"/>
    <w:rsid w:val="00C814E9"/>
    <w:rsid w:val="00C81777"/>
    <w:rsid w:val="00C817FC"/>
    <w:rsid w:val="00C8183C"/>
    <w:rsid w:val="00C81DA9"/>
    <w:rsid w:val="00C81DB4"/>
    <w:rsid w:val="00C82278"/>
    <w:rsid w:val="00C82477"/>
    <w:rsid w:val="00C82689"/>
    <w:rsid w:val="00C8268B"/>
    <w:rsid w:val="00C826C0"/>
    <w:rsid w:val="00C827F6"/>
    <w:rsid w:val="00C82C1C"/>
    <w:rsid w:val="00C82EF8"/>
    <w:rsid w:val="00C831EE"/>
    <w:rsid w:val="00C833E2"/>
    <w:rsid w:val="00C83593"/>
    <w:rsid w:val="00C839B2"/>
    <w:rsid w:val="00C83CA1"/>
    <w:rsid w:val="00C83EF7"/>
    <w:rsid w:val="00C83F6C"/>
    <w:rsid w:val="00C83FF8"/>
    <w:rsid w:val="00C841DC"/>
    <w:rsid w:val="00C841E8"/>
    <w:rsid w:val="00C842C4"/>
    <w:rsid w:val="00C84328"/>
    <w:rsid w:val="00C8450D"/>
    <w:rsid w:val="00C84545"/>
    <w:rsid w:val="00C84697"/>
    <w:rsid w:val="00C848D4"/>
    <w:rsid w:val="00C84988"/>
    <w:rsid w:val="00C849BD"/>
    <w:rsid w:val="00C84B63"/>
    <w:rsid w:val="00C84CC4"/>
    <w:rsid w:val="00C84E73"/>
    <w:rsid w:val="00C8536B"/>
    <w:rsid w:val="00C854B9"/>
    <w:rsid w:val="00C8573E"/>
    <w:rsid w:val="00C857F0"/>
    <w:rsid w:val="00C858B4"/>
    <w:rsid w:val="00C85A04"/>
    <w:rsid w:val="00C85A0D"/>
    <w:rsid w:val="00C85A58"/>
    <w:rsid w:val="00C85A80"/>
    <w:rsid w:val="00C85AEB"/>
    <w:rsid w:val="00C85DAA"/>
    <w:rsid w:val="00C85E40"/>
    <w:rsid w:val="00C85FCB"/>
    <w:rsid w:val="00C863BC"/>
    <w:rsid w:val="00C86615"/>
    <w:rsid w:val="00C86845"/>
    <w:rsid w:val="00C86874"/>
    <w:rsid w:val="00C86B13"/>
    <w:rsid w:val="00C86B96"/>
    <w:rsid w:val="00C86C0C"/>
    <w:rsid w:val="00C86F20"/>
    <w:rsid w:val="00C87121"/>
    <w:rsid w:val="00C871A3"/>
    <w:rsid w:val="00C871E4"/>
    <w:rsid w:val="00C874FB"/>
    <w:rsid w:val="00C8767A"/>
    <w:rsid w:val="00C87AA3"/>
    <w:rsid w:val="00C87B70"/>
    <w:rsid w:val="00C87CE3"/>
    <w:rsid w:val="00C90246"/>
    <w:rsid w:val="00C9055E"/>
    <w:rsid w:val="00C90671"/>
    <w:rsid w:val="00C908BA"/>
    <w:rsid w:val="00C908E6"/>
    <w:rsid w:val="00C90A1D"/>
    <w:rsid w:val="00C911BB"/>
    <w:rsid w:val="00C9128E"/>
    <w:rsid w:val="00C9133F"/>
    <w:rsid w:val="00C91603"/>
    <w:rsid w:val="00C91B81"/>
    <w:rsid w:val="00C91BC9"/>
    <w:rsid w:val="00C91C8C"/>
    <w:rsid w:val="00C91E30"/>
    <w:rsid w:val="00C91F3B"/>
    <w:rsid w:val="00C920B9"/>
    <w:rsid w:val="00C924B0"/>
    <w:rsid w:val="00C92505"/>
    <w:rsid w:val="00C92F1C"/>
    <w:rsid w:val="00C92F96"/>
    <w:rsid w:val="00C931AC"/>
    <w:rsid w:val="00C93279"/>
    <w:rsid w:val="00C936ED"/>
    <w:rsid w:val="00C93834"/>
    <w:rsid w:val="00C93849"/>
    <w:rsid w:val="00C93850"/>
    <w:rsid w:val="00C93A40"/>
    <w:rsid w:val="00C93AF6"/>
    <w:rsid w:val="00C93C8A"/>
    <w:rsid w:val="00C93CA5"/>
    <w:rsid w:val="00C93E1D"/>
    <w:rsid w:val="00C93EE8"/>
    <w:rsid w:val="00C93FC9"/>
    <w:rsid w:val="00C93FCA"/>
    <w:rsid w:val="00C94151"/>
    <w:rsid w:val="00C94A58"/>
    <w:rsid w:val="00C94BA1"/>
    <w:rsid w:val="00C952A0"/>
    <w:rsid w:val="00C9531A"/>
    <w:rsid w:val="00C954B7"/>
    <w:rsid w:val="00C95569"/>
    <w:rsid w:val="00C9578B"/>
    <w:rsid w:val="00C959AF"/>
    <w:rsid w:val="00C95A17"/>
    <w:rsid w:val="00C95A68"/>
    <w:rsid w:val="00C95C54"/>
    <w:rsid w:val="00C95DE3"/>
    <w:rsid w:val="00C95E60"/>
    <w:rsid w:val="00C960A0"/>
    <w:rsid w:val="00C961EE"/>
    <w:rsid w:val="00C96534"/>
    <w:rsid w:val="00C967E1"/>
    <w:rsid w:val="00C967E6"/>
    <w:rsid w:val="00C96A10"/>
    <w:rsid w:val="00C96AB2"/>
    <w:rsid w:val="00C96AB9"/>
    <w:rsid w:val="00C96AD2"/>
    <w:rsid w:val="00C96B7A"/>
    <w:rsid w:val="00C96C71"/>
    <w:rsid w:val="00C96C98"/>
    <w:rsid w:val="00C96FBC"/>
    <w:rsid w:val="00C97227"/>
    <w:rsid w:val="00C972C5"/>
    <w:rsid w:val="00C973E8"/>
    <w:rsid w:val="00C975D6"/>
    <w:rsid w:val="00C9762C"/>
    <w:rsid w:val="00C97A7F"/>
    <w:rsid w:val="00C97A8E"/>
    <w:rsid w:val="00C97E61"/>
    <w:rsid w:val="00CA00D7"/>
    <w:rsid w:val="00CA03B5"/>
    <w:rsid w:val="00CA04B3"/>
    <w:rsid w:val="00CA0519"/>
    <w:rsid w:val="00CA0559"/>
    <w:rsid w:val="00CA0704"/>
    <w:rsid w:val="00CA0A5C"/>
    <w:rsid w:val="00CA0AAB"/>
    <w:rsid w:val="00CA0BB3"/>
    <w:rsid w:val="00CA1276"/>
    <w:rsid w:val="00CA136C"/>
    <w:rsid w:val="00CA1393"/>
    <w:rsid w:val="00CA14A0"/>
    <w:rsid w:val="00CA1569"/>
    <w:rsid w:val="00CA1671"/>
    <w:rsid w:val="00CA19E9"/>
    <w:rsid w:val="00CA1A0D"/>
    <w:rsid w:val="00CA1B35"/>
    <w:rsid w:val="00CA1D98"/>
    <w:rsid w:val="00CA1DB0"/>
    <w:rsid w:val="00CA1E5E"/>
    <w:rsid w:val="00CA1E9A"/>
    <w:rsid w:val="00CA1EF4"/>
    <w:rsid w:val="00CA1F27"/>
    <w:rsid w:val="00CA210D"/>
    <w:rsid w:val="00CA2248"/>
    <w:rsid w:val="00CA23A9"/>
    <w:rsid w:val="00CA257B"/>
    <w:rsid w:val="00CA2762"/>
    <w:rsid w:val="00CA2832"/>
    <w:rsid w:val="00CA28C7"/>
    <w:rsid w:val="00CA2993"/>
    <w:rsid w:val="00CA2A31"/>
    <w:rsid w:val="00CA2AAA"/>
    <w:rsid w:val="00CA2BEB"/>
    <w:rsid w:val="00CA2C15"/>
    <w:rsid w:val="00CA3073"/>
    <w:rsid w:val="00CA30C8"/>
    <w:rsid w:val="00CA3135"/>
    <w:rsid w:val="00CA3319"/>
    <w:rsid w:val="00CA34ED"/>
    <w:rsid w:val="00CA3A73"/>
    <w:rsid w:val="00CA3ABD"/>
    <w:rsid w:val="00CA3AE8"/>
    <w:rsid w:val="00CA3B27"/>
    <w:rsid w:val="00CA3C90"/>
    <w:rsid w:val="00CA3CA9"/>
    <w:rsid w:val="00CA3D55"/>
    <w:rsid w:val="00CA3E0D"/>
    <w:rsid w:val="00CA3E6C"/>
    <w:rsid w:val="00CA4343"/>
    <w:rsid w:val="00CA4348"/>
    <w:rsid w:val="00CA435D"/>
    <w:rsid w:val="00CA4459"/>
    <w:rsid w:val="00CA46E0"/>
    <w:rsid w:val="00CA4891"/>
    <w:rsid w:val="00CA4B6A"/>
    <w:rsid w:val="00CA4B8E"/>
    <w:rsid w:val="00CA4EB6"/>
    <w:rsid w:val="00CA510E"/>
    <w:rsid w:val="00CA528A"/>
    <w:rsid w:val="00CA53CC"/>
    <w:rsid w:val="00CA5405"/>
    <w:rsid w:val="00CA55D4"/>
    <w:rsid w:val="00CA5615"/>
    <w:rsid w:val="00CA567F"/>
    <w:rsid w:val="00CA56BE"/>
    <w:rsid w:val="00CA56D7"/>
    <w:rsid w:val="00CA56E4"/>
    <w:rsid w:val="00CA5708"/>
    <w:rsid w:val="00CA577E"/>
    <w:rsid w:val="00CA5B5F"/>
    <w:rsid w:val="00CA5B76"/>
    <w:rsid w:val="00CA5BAA"/>
    <w:rsid w:val="00CA5E9B"/>
    <w:rsid w:val="00CA61AB"/>
    <w:rsid w:val="00CA650F"/>
    <w:rsid w:val="00CA6A98"/>
    <w:rsid w:val="00CA6ED2"/>
    <w:rsid w:val="00CA6EF5"/>
    <w:rsid w:val="00CA6EFD"/>
    <w:rsid w:val="00CA6F06"/>
    <w:rsid w:val="00CA6F5D"/>
    <w:rsid w:val="00CA73B3"/>
    <w:rsid w:val="00CA74B6"/>
    <w:rsid w:val="00CA75D8"/>
    <w:rsid w:val="00CA75F3"/>
    <w:rsid w:val="00CB048E"/>
    <w:rsid w:val="00CB073B"/>
    <w:rsid w:val="00CB0AEE"/>
    <w:rsid w:val="00CB0DAD"/>
    <w:rsid w:val="00CB0DCB"/>
    <w:rsid w:val="00CB1009"/>
    <w:rsid w:val="00CB111A"/>
    <w:rsid w:val="00CB1139"/>
    <w:rsid w:val="00CB14A2"/>
    <w:rsid w:val="00CB17BF"/>
    <w:rsid w:val="00CB1907"/>
    <w:rsid w:val="00CB1A94"/>
    <w:rsid w:val="00CB1EBB"/>
    <w:rsid w:val="00CB1EBF"/>
    <w:rsid w:val="00CB2071"/>
    <w:rsid w:val="00CB2411"/>
    <w:rsid w:val="00CB2504"/>
    <w:rsid w:val="00CB2745"/>
    <w:rsid w:val="00CB30A1"/>
    <w:rsid w:val="00CB31B7"/>
    <w:rsid w:val="00CB33E7"/>
    <w:rsid w:val="00CB37B3"/>
    <w:rsid w:val="00CB3AC1"/>
    <w:rsid w:val="00CB3D33"/>
    <w:rsid w:val="00CB3D59"/>
    <w:rsid w:val="00CB3E74"/>
    <w:rsid w:val="00CB404A"/>
    <w:rsid w:val="00CB40CE"/>
    <w:rsid w:val="00CB41CB"/>
    <w:rsid w:val="00CB424B"/>
    <w:rsid w:val="00CB4421"/>
    <w:rsid w:val="00CB4567"/>
    <w:rsid w:val="00CB463E"/>
    <w:rsid w:val="00CB466F"/>
    <w:rsid w:val="00CB46C2"/>
    <w:rsid w:val="00CB480C"/>
    <w:rsid w:val="00CB4CCF"/>
    <w:rsid w:val="00CB5264"/>
    <w:rsid w:val="00CB53EE"/>
    <w:rsid w:val="00CB5BC2"/>
    <w:rsid w:val="00CB5C77"/>
    <w:rsid w:val="00CB5D0B"/>
    <w:rsid w:val="00CB60D8"/>
    <w:rsid w:val="00CB6138"/>
    <w:rsid w:val="00CB6193"/>
    <w:rsid w:val="00CB61A3"/>
    <w:rsid w:val="00CB6201"/>
    <w:rsid w:val="00CB62B3"/>
    <w:rsid w:val="00CB6663"/>
    <w:rsid w:val="00CB673A"/>
    <w:rsid w:val="00CB675A"/>
    <w:rsid w:val="00CB69F3"/>
    <w:rsid w:val="00CB6A7C"/>
    <w:rsid w:val="00CB6D7C"/>
    <w:rsid w:val="00CB6DBF"/>
    <w:rsid w:val="00CB73BE"/>
    <w:rsid w:val="00CB7416"/>
    <w:rsid w:val="00CB768C"/>
    <w:rsid w:val="00CB76B9"/>
    <w:rsid w:val="00CB782B"/>
    <w:rsid w:val="00CB788A"/>
    <w:rsid w:val="00CB7911"/>
    <w:rsid w:val="00CB79C4"/>
    <w:rsid w:val="00CB7C87"/>
    <w:rsid w:val="00CB7D44"/>
    <w:rsid w:val="00CB7DB9"/>
    <w:rsid w:val="00CB7DBD"/>
    <w:rsid w:val="00CC0306"/>
    <w:rsid w:val="00CC0325"/>
    <w:rsid w:val="00CC0374"/>
    <w:rsid w:val="00CC038E"/>
    <w:rsid w:val="00CC03AF"/>
    <w:rsid w:val="00CC044A"/>
    <w:rsid w:val="00CC06A1"/>
    <w:rsid w:val="00CC06AF"/>
    <w:rsid w:val="00CC089D"/>
    <w:rsid w:val="00CC0A2D"/>
    <w:rsid w:val="00CC0A6D"/>
    <w:rsid w:val="00CC0AF5"/>
    <w:rsid w:val="00CC0B32"/>
    <w:rsid w:val="00CC0C38"/>
    <w:rsid w:val="00CC0F35"/>
    <w:rsid w:val="00CC0F6C"/>
    <w:rsid w:val="00CC0FD9"/>
    <w:rsid w:val="00CC1067"/>
    <w:rsid w:val="00CC10B8"/>
    <w:rsid w:val="00CC15CD"/>
    <w:rsid w:val="00CC15DD"/>
    <w:rsid w:val="00CC2125"/>
    <w:rsid w:val="00CC2425"/>
    <w:rsid w:val="00CC2733"/>
    <w:rsid w:val="00CC2814"/>
    <w:rsid w:val="00CC2C81"/>
    <w:rsid w:val="00CC2CA3"/>
    <w:rsid w:val="00CC2E23"/>
    <w:rsid w:val="00CC2E46"/>
    <w:rsid w:val="00CC2ED5"/>
    <w:rsid w:val="00CC2EDC"/>
    <w:rsid w:val="00CC30E0"/>
    <w:rsid w:val="00CC333A"/>
    <w:rsid w:val="00CC34F1"/>
    <w:rsid w:val="00CC3582"/>
    <w:rsid w:val="00CC3BDC"/>
    <w:rsid w:val="00CC3DCE"/>
    <w:rsid w:val="00CC3E73"/>
    <w:rsid w:val="00CC3FEE"/>
    <w:rsid w:val="00CC4145"/>
    <w:rsid w:val="00CC41F6"/>
    <w:rsid w:val="00CC4318"/>
    <w:rsid w:val="00CC43F5"/>
    <w:rsid w:val="00CC447E"/>
    <w:rsid w:val="00CC44C1"/>
    <w:rsid w:val="00CC455C"/>
    <w:rsid w:val="00CC46C6"/>
    <w:rsid w:val="00CC4A57"/>
    <w:rsid w:val="00CC4E41"/>
    <w:rsid w:val="00CC4F55"/>
    <w:rsid w:val="00CC51D0"/>
    <w:rsid w:val="00CC543D"/>
    <w:rsid w:val="00CC55F3"/>
    <w:rsid w:val="00CC627D"/>
    <w:rsid w:val="00CC62BA"/>
    <w:rsid w:val="00CC6364"/>
    <w:rsid w:val="00CC699B"/>
    <w:rsid w:val="00CC6B14"/>
    <w:rsid w:val="00CC6B2B"/>
    <w:rsid w:val="00CC6B83"/>
    <w:rsid w:val="00CC70FC"/>
    <w:rsid w:val="00CC722B"/>
    <w:rsid w:val="00CC75E8"/>
    <w:rsid w:val="00CC7657"/>
    <w:rsid w:val="00CC79D1"/>
    <w:rsid w:val="00CC7C24"/>
    <w:rsid w:val="00CC7E70"/>
    <w:rsid w:val="00CC7E96"/>
    <w:rsid w:val="00CC7EF7"/>
    <w:rsid w:val="00CC7F74"/>
    <w:rsid w:val="00CC7FB7"/>
    <w:rsid w:val="00CD0104"/>
    <w:rsid w:val="00CD0197"/>
    <w:rsid w:val="00CD0285"/>
    <w:rsid w:val="00CD02B3"/>
    <w:rsid w:val="00CD02CC"/>
    <w:rsid w:val="00CD071A"/>
    <w:rsid w:val="00CD07F9"/>
    <w:rsid w:val="00CD0AC1"/>
    <w:rsid w:val="00CD0AFD"/>
    <w:rsid w:val="00CD0D01"/>
    <w:rsid w:val="00CD0D36"/>
    <w:rsid w:val="00CD0E7A"/>
    <w:rsid w:val="00CD1226"/>
    <w:rsid w:val="00CD163F"/>
    <w:rsid w:val="00CD1903"/>
    <w:rsid w:val="00CD22D8"/>
    <w:rsid w:val="00CD23A6"/>
    <w:rsid w:val="00CD2551"/>
    <w:rsid w:val="00CD2747"/>
    <w:rsid w:val="00CD2D38"/>
    <w:rsid w:val="00CD2D6A"/>
    <w:rsid w:val="00CD2DFA"/>
    <w:rsid w:val="00CD3079"/>
    <w:rsid w:val="00CD30E2"/>
    <w:rsid w:val="00CD32B6"/>
    <w:rsid w:val="00CD33E2"/>
    <w:rsid w:val="00CD3526"/>
    <w:rsid w:val="00CD3CFB"/>
    <w:rsid w:val="00CD3F4F"/>
    <w:rsid w:val="00CD3F68"/>
    <w:rsid w:val="00CD44FB"/>
    <w:rsid w:val="00CD4A67"/>
    <w:rsid w:val="00CD4B7F"/>
    <w:rsid w:val="00CD4D01"/>
    <w:rsid w:val="00CD4E3F"/>
    <w:rsid w:val="00CD4EAE"/>
    <w:rsid w:val="00CD5060"/>
    <w:rsid w:val="00CD5088"/>
    <w:rsid w:val="00CD5101"/>
    <w:rsid w:val="00CD51E6"/>
    <w:rsid w:val="00CD549D"/>
    <w:rsid w:val="00CD5833"/>
    <w:rsid w:val="00CD5A33"/>
    <w:rsid w:val="00CD5C44"/>
    <w:rsid w:val="00CD5D3C"/>
    <w:rsid w:val="00CD5D85"/>
    <w:rsid w:val="00CD5EE3"/>
    <w:rsid w:val="00CD5FCC"/>
    <w:rsid w:val="00CD635A"/>
    <w:rsid w:val="00CD6409"/>
    <w:rsid w:val="00CD679D"/>
    <w:rsid w:val="00CD6975"/>
    <w:rsid w:val="00CD6AB9"/>
    <w:rsid w:val="00CD6B5E"/>
    <w:rsid w:val="00CD6DF7"/>
    <w:rsid w:val="00CD73E8"/>
    <w:rsid w:val="00CD7736"/>
    <w:rsid w:val="00CD7BA4"/>
    <w:rsid w:val="00CD7C12"/>
    <w:rsid w:val="00CD7CA3"/>
    <w:rsid w:val="00CE00C8"/>
    <w:rsid w:val="00CE00CC"/>
    <w:rsid w:val="00CE022C"/>
    <w:rsid w:val="00CE04A5"/>
    <w:rsid w:val="00CE068B"/>
    <w:rsid w:val="00CE07AA"/>
    <w:rsid w:val="00CE085D"/>
    <w:rsid w:val="00CE0A34"/>
    <w:rsid w:val="00CE0A48"/>
    <w:rsid w:val="00CE0FA1"/>
    <w:rsid w:val="00CE1108"/>
    <w:rsid w:val="00CE11BC"/>
    <w:rsid w:val="00CE12EA"/>
    <w:rsid w:val="00CE1455"/>
    <w:rsid w:val="00CE1466"/>
    <w:rsid w:val="00CE15A0"/>
    <w:rsid w:val="00CE19EE"/>
    <w:rsid w:val="00CE1C34"/>
    <w:rsid w:val="00CE215A"/>
    <w:rsid w:val="00CE2905"/>
    <w:rsid w:val="00CE29F2"/>
    <w:rsid w:val="00CE2C9B"/>
    <w:rsid w:val="00CE2FF1"/>
    <w:rsid w:val="00CE3191"/>
    <w:rsid w:val="00CE3659"/>
    <w:rsid w:val="00CE37EA"/>
    <w:rsid w:val="00CE385B"/>
    <w:rsid w:val="00CE392F"/>
    <w:rsid w:val="00CE3C6F"/>
    <w:rsid w:val="00CE3D18"/>
    <w:rsid w:val="00CE416C"/>
    <w:rsid w:val="00CE41E8"/>
    <w:rsid w:val="00CE4204"/>
    <w:rsid w:val="00CE4261"/>
    <w:rsid w:val="00CE44B0"/>
    <w:rsid w:val="00CE4B2E"/>
    <w:rsid w:val="00CE4B6F"/>
    <w:rsid w:val="00CE4B72"/>
    <w:rsid w:val="00CE4CA7"/>
    <w:rsid w:val="00CE519F"/>
    <w:rsid w:val="00CE5297"/>
    <w:rsid w:val="00CE53D5"/>
    <w:rsid w:val="00CE559E"/>
    <w:rsid w:val="00CE567D"/>
    <w:rsid w:val="00CE5946"/>
    <w:rsid w:val="00CE5AF8"/>
    <w:rsid w:val="00CE5B58"/>
    <w:rsid w:val="00CE5C61"/>
    <w:rsid w:val="00CE5D07"/>
    <w:rsid w:val="00CE5F85"/>
    <w:rsid w:val="00CE6164"/>
    <w:rsid w:val="00CE647D"/>
    <w:rsid w:val="00CE66CB"/>
    <w:rsid w:val="00CE677E"/>
    <w:rsid w:val="00CE69E9"/>
    <w:rsid w:val="00CE6CDD"/>
    <w:rsid w:val="00CE6D5F"/>
    <w:rsid w:val="00CE6F17"/>
    <w:rsid w:val="00CE7422"/>
    <w:rsid w:val="00CE7892"/>
    <w:rsid w:val="00CE7949"/>
    <w:rsid w:val="00CE7B28"/>
    <w:rsid w:val="00CE7BAA"/>
    <w:rsid w:val="00CE7FE0"/>
    <w:rsid w:val="00CF014A"/>
    <w:rsid w:val="00CF0800"/>
    <w:rsid w:val="00CF086C"/>
    <w:rsid w:val="00CF09F7"/>
    <w:rsid w:val="00CF11E1"/>
    <w:rsid w:val="00CF1422"/>
    <w:rsid w:val="00CF1796"/>
    <w:rsid w:val="00CF18C4"/>
    <w:rsid w:val="00CF18EE"/>
    <w:rsid w:val="00CF1CB8"/>
    <w:rsid w:val="00CF1F33"/>
    <w:rsid w:val="00CF1F5D"/>
    <w:rsid w:val="00CF1F7A"/>
    <w:rsid w:val="00CF2059"/>
    <w:rsid w:val="00CF21F5"/>
    <w:rsid w:val="00CF26AF"/>
    <w:rsid w:val="00CF2869"/>
    <w:rsid w:val="00CF2E5A"/>
    <w:rsid w:val="00CF2EBB"/>
    <w:rsid w:val="00CF342A"/>
    <w:rsid w:val="00CF343D"/>
    <w:rsid w:val="00CF3E1A"/>
    <w:rsid w:val="00CF45A0"/>
    <w:rsid w:val="00CF4877"/>
    <w:rsid w:val="00CF48C9"/>
    <w:rsid w:val="00CF4AFE"/>
    <w:rsid w:val="00CF4BC1"/>
    <w:rsid w:val="00CF5063"/>
    <w:rsid w:val="00CF579B"/>
    <w:rsid w:val="00CF58AE"/>
    <w:rsid w:val="00CF5A73"/>
    <w:rsid w:val="00CF5B35"/>
    <w:rsid w:val="00CF5BD3"/>
    <w:rsid w:val="00CF5EF5"/>
    <w:rsid w:val="00CF6280"/>
    <w:rsid w:val="00CF62DD"/>
    <w:rsid w:val="00CF6651"/>
    <w:rsid w:val="00CF667B"/>
    <w:rsid w:val="00CF6712"/>
    <w:rsid w:val="00CF68E9"/>
    <w:rsid w:val="00CF6B7F"/>
    <w:rsid w:val="00CF6CF9"/>
    <w:rsid w:val="00CF703E"/>
    <w:rsid w:val="00CF7053"/>
    <w:rsid w:val="00CF7699"/>
    <w:rsid w:val="00CF7B08"/>
    <w:rsid w:val="00CF7BBB"/>
    <w:rsid w:val="00CF7FBF"/>
    <w:rsid w:val="00D002CC"/>
    <w:rsid w:val="00D0040D"/>
    <w:rsid w:val="00D00440"/>
    <w:rsid w:val="00D006EC"/>
    <w:rsid w:val="00D00762"/>
    <w:rsid w:val="00D0080F"/>
    <w:rsid w:val="00D00924"/>
    <w:rsid w:val="00D009C8"/>
    <w:rsid w:val="00D009CE"/>
    <w:rsid w:val="00D00A73"/>
    <w:rsid w:val="00D00B12"/>
    <w:rsid w:val="00D00BFE"/>
    <w:rsid w:val="00D00F29"/>
    <w:rsid w:val="00D01252"/>
    <w:rsid w:val="00D013CA"/>
    <w:rsid w:val="00D014D0"/>
    <w:rsid w:val="00D01676"/>
    <w:rsid w:val="00D01AB5"/>
    <w:rsid w:val="00D01BEB"/>
    <w:rsid w:val="00D01D77"/>
    <w:rsid w:val="00D02056"/>
    <w:rsid w:val="00D020A0"/>
    <w:rsid w:val="00D021EA"/>
    <w:rsid w:val="00D02641"/>
    <w:rsid w:val="00D0264D"/>
    <w:rsid w:val="00D02904"/>
    <w:rsid w:val="00D02997"/>
    <w:rsid w:val="00D02BE9"/>
    <w:rsid w:val="00D02D4B"/>
    <w:rsid w:val="00D02E53"/>
    <w:rsid w:val="00D02EF8"/>
    <w:rsid w:val="00D0324E"/>
    <w:rsid w:val="00D0339C"/>
    <w:rsid w:val="00D03981"/>
    <w:rsid w:val="00D04001"/>
    <w:rsid w:val="00D0413B"/>
    <w:rsid w:val="00D0420B"/>
    <w:rsid w:val="00D04474"/>
    <w:rsid w:val="00D0453F"/>
    <w:rsid w:val="00D045B8"/>
    <w:rsid w:val="00D045E3"/>
    <w:rsid w:val="00D046C6"/>
    <w:rsid w:val="00D047D1"/>
    <w:rsid w:val="00D047DB"/>
    <w:rsid w:val="00D049CD"/>
    <w:rsid w:val="00D04A4B"/>
    <w:rsid w:val="00D04C6B"/>
    <w:rsid w:val="00D050B1"/>
    <w:rsid w:val="00D0573A"/>
    <w:rsid w:val="00D058B1"/>
    <w:rsid w:val="00D0595E"/>
    <w:rsid w:val="00D05A36"/>
    <w:rsid w:val="00D05A9D"/>
    <w:rsid w:val="00D05C54"/>
    <w:rsid w:val="00D05D0C"/>
    <w:rsid w:val="00D0648A"/>
    <w:rsid w:val="00D06FA6"/>
    <w:rsid w:val="00D07262"/>
    <w:rsid w:val="00D072A0"/>
    <w:rsid w:val="00D0760B"/>
    <w:rsid w:val="00D0761C"/>
    <w:rsid w:val="00D07934"/>
    <w:rsid w:val="00D07B97"/>
    <w:rsid w:val="00D07BBF"/>
    <w:rsid w:val="00D07C56"/>
    <w:rsid w:val="00D1049C"/>
    <w:rsid w:val="00D1051A"/>
    <w:rsid w:val="00D10B42"/>
    <w:rsid w:val="00D10BAF"/>
    <w:rsid w:val="00D10DF6"/>
    <w:rsid w:val="00D11305"/>
    <w:rsid w:val="00D115B0"/>
    <w:rsid w:val="00D11727"/>
    <w:rsid w:val="00D119BB"/>
    <w:rsid w:val="00D11B67"/>
    <w:rsid w:val="00D11C4F"/>
    <w:rsid w:val="00D11DBC"/>
    <w:rsid w:val="00D11F62"/>
    <w:rsid w:val="00D11F88"/>
    <w:rsid w:val="00D122C6"/>
    <w:rsid w:val="00D123B4"/>
    <w:rsid w:val="00D12486"/>
    <w:rsid w:val="00D12607"/>
    <w:rsid w:val="00D12644"/>
    <w:rsid w:val="00D126D7"/>
    <w:rsid w:val="00D126E0"/>
    <w:rsid w:val="00D12713"/>
    <w:rsid w:val="00D1292B"/>
    <w:rsid w:val="00D12937"/>
    <w:rsid w:val="00D12A38"/>
    <w:rsid w:val="00D12CBD"/>
    <w:rsid w:val="00D12E9E"/>
    <w:rsid w:val="00D13395"/>
    <w:rsid w:val="00D135A2"/>
    <w:rsid w:val="00D136BB"/>
    <w:rsid w:val="00D13884"/>
    <w:rsid w:val="00D13C3B"/>
    <w:rsid w:val="00D13F6B"/>
    <w:rsid w:val="00D14109"/>
    <w:rsid w:val="00D141FD"/>
    <w:rsid w:val="00D145AD"/>
    <w:rsid w:val="00D14641"/>
    <w:rsid w:val="00D146BA"/>
    <w:rsid w:val="00D14741"/>
    <w:rsid w:val="00D14AAD"/>
    <w:rsid w:val="00D14B8A"/>
    <w:rsid w:val="00D14D6F"/>
    <w:rsid w:val="00D14EB9"/>
    <w:rsid w:val="00D14F76"/>
    <w:rsid w:val="00D152F6"/>
    <w:rsid w:val="00D153BA"/>
    <w:rsid w:val="00D15527"/>
    <w:rsid w:val="00D15654"/>
    <w:rsid w:val="00D156EB"/>
    <w:rsid w:val="00D1585D"/>
    <w:rsid w:val="00D158DA"/>
    <w:rsid w:val="00D15B7D"/>
    <w:rsid w:val="00D16337"/>
    <w:rsid w:val="00D16479"/>
    <w:rsid w:val="00D16551"/>
    <w:rsid w:val="00D1676A"/>
    <w:rsid w:val="00D16A79"/>
    <w:rsid w:val="00D16B6C"/>
    <w:rsid w:val="00D16DF6"/>
    <w:rsid w:val="00D16FDD"/>
    <w:rsid w:val="00D17337"/>
    <w:rsid w:val="00D179BA"/>
    <w:rsid w:val="00D17A45"/>
    <w:rsid w:val="00D17B40"/>
    <w:rsid w:val="00D17D16"/>
    <w:rsid w:val="00D201F0"/>
    <w:rsid w:val="00D2036E"/>
    <w:rsid w:val="00D2044A"/>
    <w:rsid w:val="00D20560"/>
    <w:rsid w:val="00D206E0"/>
    <w:rsid w:val="00D20771"/>
    <w:rsid w:val="00D20846"/>
    <w:rsid w:val="00D20F8C"/>
    <w:rsid w:val="00D21046"/>
    <w:rsid w:val="00D21305"/>
    <w:rsid w:val="00D21541"/>
    <w:rsid w:val="00D21553"/>
    <w:rsid w:val="00D216CB"/>
    <w:rsid w:val="00D21B90"/>
    <w:rsid w:val="00D21BC9"/>
    <w:rsid w:val="00D21FC1"/>
    <w:rsid w:val="00D2201D"/>
    <w:rsid w:val="00D22051"/>
    <w:rsid w:val="00D22062"/>
    <w:rsid w:val="00D220E7"/>
    <w:rsid w:val="00D221CA"/>
    <w:rsid w:val="00D2224D"/>
    <w:rsid w:val="00D2236E"/>
    <w:rsid w:val="00D22463"/>
    <w:rsid w:val="00D22E37"/>
    <w:rsid w:val="00D22E45"/>
    <w:rsid w:val="00D22E70"/>
    <w:rsid w:val="00D231CA"/>
    <w:rsid w:val="00D23450"/>
    <w:rsid w:val="00D2350B"/>
    <w:rsid w:val="00D236E3"/>
    <w:rsid w:val="00D23718"/>
    <w:rsid w:val="00D23BA5"/>
    <w:rsid w:val="00D23E7D"/>
    <w:rsid w:val="00D23EBC"/>
    <w:rsid w:val="00D2406F"/>
    <w:rsid w:val="00D2425C"/>
    <w:rsid w:val="00D243C7"/>
    <w:rsid w:val="00D245A1"/>
    <w:rsid w:val="00D245B6"/>
    <w:rsid w:val="00D2477F"/>
    <w:rsid w:val="00D249FB"/>
    <w:rsid w:val="00D24D0B"/>
    <w:rsid w:val="00D24DAB"/>
    <w:rsid w:val="00D24E87"/>
    <w:rsid w:val="00D24ECA"/>
    <w:rsid w:val="00D24EDA"/>
    <w:rsid w:val="00D25220"/>
    <w:rsid w:val="00D25927"/>
    <w:rsid w:val="00D25979"/>
    <w:rsid w:val="00D25E71"/>
    <w:rsid w:val="00D26028"/>
    <w:rsid w:val="00D261DB"/>
    <w:rsid w:val="00D261F5"/>
    <w:rsid w:val="00D262A8"/>
    <w:rsid w:val="00D2632F"/>
    <w:rsid w:val="00D263FD"/>
    <w:rsid w:val="00D263FE"/>
    <w:rsid w:val="00D2675E"/>
    <w:rsid w:val="00D26818"/>
    <w:rsid w:val="00D268A5"/>
    <w:rsid w:val="00D269A8"/>
    <w:rsid w:val="00D26A69"/>
    <w:rsid w:val="00D26BA9"/>
    <w:rsid w:val="00D2700E"/>
    <w:rsid w:val="00D27022"/>
    <w:rsid w:val="00D27031"/>
    <w:rsid w:val="00D273BA"/>
    <w:rsid w:val="00D27454"/>
    <w:rsid w:val="00D275E9"/>
    <w:rsid w:val="00D27823"/>
    <w:rsid w:val="00D278EC"/>
    <w:rsid w:val="00D279F9"/>
    <w:rsid w:val="00D27A95"/>
    <w:rsid w:val="00D27B6A"/>
    <w:rsid w:val="00D27BFF"/>
    <w:rsid w:val="00D30031"/>
    <w:rsid w:val="00D30058"/>
    <w:rsid w:val="00D30223"/>
    <w:rsid w:val="00D3049F"/>
    <w:rsid w:val="00D306A5"/>
    <w:rsid w:val="00D30855"/>
    <w:rsid w:val="00D308CF"/>
    <w:rsid w:val="00D30B74"/>
    <w:rsid w:val="00D3114B"/>
    <w:rsid w:val="00D3151B"/>
    <w:rsid w:val="00D315A6"/>
    <w:rsid w:val="00D3174E"/>
    <w:rsid w:val="00D31809"/>
    <w:rsid w:val="00D31974"/>
    <w:rsid w:val="00D31DC5"/>
    <w:rsid w:val="00D3250F"/>
    <w:rsid w:val="00D32705"/>
    <w:rsid w:val="00D32D07"/>
    <w:rsid w:val="00D330DD"/>
    <w:rsid w:val="00D33254"/>
    <w:rsid w:val="00D33917"/>
    <w:rsid w:val="00D33D71"/>
    <w:rsid w:val="00D33E58"/>
    <w:rsid w:val="00D340BE"/>
    <w:rsid w:val="00D34339"/>
    <w:rsid w:val="00D3469C"/>
    <w:rsid w:val="00D34746"/>
    <w:rsid w:val="00D34772"/>
    <w:rsid w:val="00D347E3"/>
    <w:rsid w:val="00D34A3B"/>
    <w:rsid w:val="00D34D75"/>
    <w:rsid w:val="00D34E5E"/>
    <w:rsid w:val="00D352EC"/>
    <w:rsid w:val="00D35823"/>
    <w:rsid w:val="00D35AA6"/>
    <w:rsid w:val="00D35ADD"/>
    <w:rsid w:val="00D35B7F"/>
    <w:rsid w:val="00D35D86"/>
    <w:rsid w:val="00D35F10"/>
    <w:rsid w:val="00D36209"/>
    <w:rsid w:val="00D3627B"/>
    <w:rsid w:val="00D367AB"/>
    <w:rsid w:val="00D36C10"/>
    <w:rsid w:val="00D372D3"/>
    <w:rsid w:val="00D372DB"/>
    <w:rsid w:val="00D37343"/>
    <w:rsid w:val="00D373BA"/>
    <w:rsid w:val="00D37736"/>
    <w:rsid w:val="00D377CB"/>
    <w:rsid w:val="00D37B0B"/>
    <w:rsid w:val="00D37B66"/>
    <w:rsid w:val="00D37C38"/>
    <w:rsid w:val="00D37D8F"/>
    <w:rsid w:val="00D4020C"/>
    <w:rsid w:val="00D40558"/>
    <w:rsid w:val="00D405D8"/>
    <w:rsid w:val="00D406B2"/>
    <w:rsid w:val="00D407C7"/>
    <w:rsid w:val="00D40807"/>
    <w:rsid w:val="00D40A9D"/>
    <w:rsid w:val="00D40DA2"/>
    <w:rsid w:val="00D40E74"/>
    <w:rsid w:val="00D40F44"/>
    <w:rsid w:val="00D4110D"/>
    <w:rsid w:val="00D415A1"/>
    <w:rsid w:val="00D41640"/>
    <w:rsid w:val="00D41755"/>
    <w:rsid w:val="00D41C04"/>
    <w:rsid w:val="00D41D75"/>
    <w:rsid w:val="00D41D8B"/>
    <w:rsid w:val="00D42120"/>
    <w:rsid w:val="00D4243D"/>
    <w:rsid w:val="00D42506"/>
    <w:rsid w:val="00D426CD"/>
    <w:rsid w:val="00D427A2"/>
    <w:rsid w:val="00D427B7"/>
    <w:rsid w:val="00D42AA2"/>
    <w:rsid w:val="00D42D71"/>
    <w:rsid w:val="00D42D9B"/>
    <w:rsid w:val="00D42E1F"/>
    <w:rsid w:val="00D43329"/>
    <w:rsid w:val="00D4343C"/>
    <w:rsid w:val="00D434D6"/>
    <w:rsid w:val="00D4364E"/>
    <w:rsid w:val="00D4367D"/>
    <w:rsid w:val="00D43695"/>
    <w:rsid w:val="00D436F2"/>
    <w:rsid w:val="00D43B90"/>
    <w:rsid w:val="00D43D10"/>
    <w:rsid w:val="00D4402F"/>
    <w:rsid w:val="00D44101"/>
    <w:rsid w:val="00D44144"/>
    <w:rsid w:val="00D44161"/>
    <w:rsid w:val="00D444BF"/>
    <w:rsid w:val="00D4479C"/>
    <w:rsid w:val="00D44A53"/>
    <w:rsid w:val="00D44BE3"/>
    <w:rsid w:val="00D44BEA"/>
    <w:rsid w:val="00D44C75"/>
    <w:rsid w:val="00D44D10"/>
    <w:rsid w:val="00D45125"/>
    <w:rsid w:val="00D4540C"/>
    <w:rsid w:val="00D4545B"/>
    <w:rsid w:val="00D454DC"/>
    <w:rsid w:val="00D45906"/>
    <w:rsid w:val="00D45978"/>
    <w:rsid w:val="00D45CCE"/>
    <w:rsid w:val="00D45CF1"/>
    <w:rsid w:val="00D45E8F"/>
    <w:rsid w:val="00D45EC9"/>
    <w:rsid w:val="00D45F71"/>
    <w:rsid w:val="00D46178"/>
    <w:rsid w:val="00D46184"/>
    <w:rsid w:val="00D46312"/>
    <w:rsid w:val="00D4687B"/>
    <w:rsid w:val="00D468C5"/>
    <w:rsid w:val="00D46B80"/>
    <w:rsid w:val="00D46C51"/>
    <w:rsid w:val="00D46D36"/>
    <w:rsid w:val="00D46D62"/>
    <w:rsid w:val="00D46E9E"/>
    <w:rsid w:val="00D46F7B"/>
    <w:rsid w:val="00D46F94"/>
    <w:rsid w:val="00D47004"/>
    <w:rsid w:val="00D471E5"/>
    <w:rsid w:val="00D4735F"/>
    <w:rsid w:val="00D47505"/>
    <w:rsid w:val="00D47538"/>
    <w:rsid w:val="00D477DC"/>
    <w:rsid w:val="00D478CF"/>
    <w:rsid w:val="00D47A14"/>
    <w:rsid w:val="00D47F91"/>
    <w:rsid w:val="00D5004C"/>
    <w:rsid w:val="00D500D5"/>
    <w:rsid w:val="00D50117"/>
    <w:rsid w:val="00D50192"/>
    <w:rsid w:val="00D50285"/>
    <w:rsid w:val="00D50375"/>
    <w:rsid w:val="00D5043C"/>
    <w:rsid w:val="00D50448"/>
    <w:rsid w:val="00D50547"/>
    <w:rsid w:val="00D50577"/>
    <w:rsid w:val="00D506DA"/>
    <w:rsid w:val="00D507AE"/>
    <w:rsid w:val="00D50ABF"/>
    <w:rsid w:val="00D50E2F"/>
    <w:rsid w:val="00D50FB0"/>
    <w:rsid w:val="00D516E4"/>
    <w:rsid w:val="00D51897"/>
    <w:rsid w:val="00D51C74"/>
    <w:rsid w:val="00D52171"/>
    <w:rsid w:val="00D522DB"/>
    <w:rsid w:val="00D523AE"/>
    <w:rsid w:val="00D52559"/>
    <w:rsid w:val="00D5286C"/>
    <w:rsid w:val="00D5288E"/>
    <w:rsid w:val="00D529FB"/>
    <w:rsid w:val="00D52B63"/>
    <w:rsid w:val="00D52D4A"/>
    <w:rsid w:val="00D52D7D"/>
    <w:rsid w:val="00D5310A"/>
    <w:rsid w:val="00D53397"/>
    <w:rsid w:val="00D53803"/>
    <w:rsid w:val="00D53867"/>
    <w:rsid w:val="00D538E2"/>
    <w:rsid w:val="00D53A9E"/>
    <w:rsid w:val="00D53B08"/>
    <w:rsid w:val="00D53C54"/>
    <w:rsid w:val="00D540D7"/>
    <w:rsid w:val="00D540F6"/>
    <w:rsid w:val="00D54106"/>
    <w:rsid w:val="00D541AD"/>
    <w:rsid w:val="00D54233"/>
    <w:rsid w:val="00D54422"/>
    <w:rsid w:val="00D54529"/>
    <w:rsid w:val="00D546D7"/>
    <w:rsid w:val="00D54935"/>
    <w:rsid w:val="00D54B7A"/>
    <w:rsid w:val="00D55006"/>
    <w:rsid w:val="00D55723"/>
    <w:rsid w:val="00D5594C"/>
    <w:rsid w:val="00D559B0"/>
    <w:rsid w:val="00D55A61"/>
    <w:rsid w:val="00D55A7A"/>
    <w:rsid w:val="00D55B50"/>
    <w:rsid w:val="00D55C58"/>
    <w:rsid w:val="00D55CF7"/>
    <w:rsid w:val="00D562E7"/>
    <w:rsid w:val="00D564C2"/>
    <w:rsid w:val="00D567E0"/>
    <w:rsid w:val="00D56A2C"/>
    <w:rsid w:val="00D56AD1"/>
    <w:rsid w:val="00D56C9B"/>
    <w:rsid w:val="00D56CA2"/>
    <w:rsid w:val="00D56D7C"/>
    <w:rsid w:val="00D56E5E"/>
    <w:rsid w:val="00D56EA4"/>
    <w:rsid w:val="00D57054"/>
    <w:rsid w:val="00D57329"/>
    <w:rsid w:val="00D5765A"/>
    <w:rsid w:val="00D578C1"/>
    <w:rsid w:val="00D578EE"/>
    <w:rsid w:val="00D578F6"/>
    <w:rsid w:val="00D57ECF"/>
    <w:rsid w:val="00D601EF"/>
    <w:rsid w:val="00D6020E"/>
    <w:rsid w:val="00D60378"/>
    <w:rsid w:val="00D60492"/>
    <w:rsid w:val="00D60586"/>
    <w:rsid w:val="00D6069C"/>
    <w:rsid w:val="00D607A8"/>
    <w:rsid w:val="00D607B8"/>
    <w:rsid w:val="00D607D7"/>
    <w:rsid w:val="00D60956"/>
    <w:rsid w:val="00D60993"/>
    <w:rsid w:val="00D60ED5"/>
    <w:rsid w:val="00D61085"/>
    <w:rsid w:val="00D61095"/>
    <w:rsid w:val="00D613C1"/>
    <w:rsid w:val="00D61493"/>
    <w:rsid w:val="00D618F2"/>
    <w:rsid w:val="00D61A8D"/>
    <w:rsid w:val="00D61E73"/>
    <w:rsid w:val="00D61E81"/>
    <w:rsid w:val="00D61F45"/>
    <w:rsid w:val="00D61F4A"/>
    <w:rsid w:val="00D62015"/>
    <w:rsid w:val="00D623CE"/>
    <w:rsid w:val="00D624A8"/>
    <w:rsid w:val="00D626E7"/>
    <w:rsid w:val="00D62A7A"/>
    <w:rsid w:val="00D62DAB"/>
    <w:rsid w:val="00D62E14"/>
    <w:rsid w:val="00D63171"/>
    <w:rsid w:val="00D63182"/>
    <w:rsid w:val="00D639CE"/>
    <w:rsid w:val="00D63B6F"/>
    <w:rsid w:val="00D63D19"/>
    <w:rsid w:val="00D63E2A"/>
    <w:rsid w:val="00D63F21"/>
    <w:rsid w:val="00D63F55"/>
    <w:rsid w:val="00D64416"/>
    <w:rsid w:val="00D6445B"/>
    <w:rsid w:val="00D64560"/>
    <w:rsid w:val="00D646FB"/>
    <w:rsid w:val="00D64C2C"/>
    <w:rsid w:val="00D64CC2"/>
    <w:rsid w:val="00D64E4A"/>
    <w:rsid w:val="00D653B2"/>
    <w:rsid w:val="00D65884"/>
    <w:rsid w:val="00D658DD"/>
    <w:rsid w:val="00D659D2"/>
    <w:rsid w:val="00D659FC"/>
    <w:rsid w:val="00D65BA0"/>
    <w:rsid w:val="00D65CCB"/>
    <w:rsid w:val="00D65CE3"/>
    <w:rsid w:val="00D65D19"/>
    <w:rsid w:val="00D65ED3"/>
    <w:rsid w:val="00D65F63"/>
    <w:rsid w:val="00D6644C"/>
    <w:rsid w:val="00D66511"/>
    <w:rsid w:val="00D66597"/>
    <w:rsid w:val="00D66B8B"/>
    <w:rsid w:val="00D66C5D"/>
    <w:rsid w:val="00D66E23"/>
    <w:rsid w:val="00D66F4C"/>
    <w:rsid w:val="00D6701B"/>
    <w:rsid w:val="00D671BB"/>
    <w:rsid w:val="00D67392"/>
    <w:rsid w:val="00D676CE"/>
    <w:rsid w:val="00D679C9"/>
    <w:rsid w:val="00D67AA7"/>
    <w:rsid w:val="00D67CCA"/>
    <w:rsid w:val="00D67E8D"/>
    <w:rsid w:val="00D67F9A"/>
    <w:rsid w:val="00D68D59"/>
    <w:rsid w:val="00D70440"/>
    <w:rsid w:val="00D70C4B"/>
    <w:rsid w:val="00D70CE0"/>
    <w:rsid w:val="00D71039"/>
    <w:rsid w:val="00D71534"/>
    <w:rsid w:val="00D7167B"/>
    <w:rsid w:val="00D71706"/>
    <w:rsid w:val="00D7181F"/>
    <w:rsid w:val="00D718E0"/>
    <w:rsid w:val="00D7196F"/>
    <w:rsid w:val="00D71A69"/>
    <w:rsid w:val="00D71BD3"/>
    <w:rsid w:val="00D71DE6"/>
    <w:rsid w:val="00D71EEA"/>
    <w:rsid w:val="00D72035"/>
    <w:rsid w:val="00D720F9"/>
    <w:rsid w:val="00D726DB"/>
    <w:rsid w:val="00D728A8"/>
    <w:rsid w:val="00D72D09"/>
    <w:rsid w:val="00D73098"/>
    <w:rsid w:val="00D732A9"/>
    <w:rsid w:val="00D73339"/>
    <w:rsid w:val="00D734EE"/>
    <w:rsid w:val="00D73777"/>
    <w:rsid w:val="00D73781"/>
    <w:rsid w:val="00D73A20"/>
    <w:rsid w:val="00D73A3D"/>
    <w:rsid w:val="00D73C98"/>
    <w:rsid w:val="00D73DE6"/>
    <w:rsid w:val="00D7413E"/>
    <w:rsid w:val="00D744AD"/>
    <w:rsid w:val="00D74593"/>
    <w:rsid w:val="00D7466A"/>
    <w:rsid w:val="00D749B6"/>
    <w:rsid w:val="00D74AC1"/>
    <w:rsid w:val="00D74E77"/>
    <w:rsid w:val="00D7509E"/>
    <w:rsid w:val="00D75368"/>
    <w:rsid w:val="00D75483"/>
    <w:rsid w:val="00D75511"/>
    <w:rsid w:val="00D7588D"/>
    <w:rsid w:val="00D75B04"/>
    <w:rsid w:val="00D75BCB"/>
    <w:rsid w:val="00D763FD"/>
    <w:rsid w:val="00D764D1"/>
    <w:rsid w:val="00D76647"/>
    <w:rsid w:val="00D7673F"/>
    <w:rsid w:val="00D76830"/>
    <w:rsid w:val="00D76858"/>
    <w:rsid w:val="00D7687A"/>
    <w:rsid w:val="00D76A5A"/>
    <w:rsid w:val="00D76B78"/>
    <w:rsid w:val="00D76E12"/>
    <w:rsid w:val="00D76F94"/>
    <w:rsid w:val="00D7710D"/>
    <w:rsid w:val="00D772B3"/>
    <w:rsid w:val="00D7744B"/>
    <w:rsid w:val="00D779E4"/>
    <w:rsid w:val="00D77BDF"/>
    <w:rsid w:val="00D77C6E"/>
    <w:rsid w:val="00D77DF5"/>
    <w:rsid w:val="00D77F8A"/>
    <w:rsid w:val="00D80372"/>
    <w:rsid w:val="00D80807"/>
    <w:rsid w:val="00D80B78"/>
    <w:rsid w:val="00D80BBF"/>
    <w:rsid w:val="00D80CB9"/>
    <w:rsid w:val="00D80F94"/>
    <w:rsid w:val="00D810C2"/>
    <w:rsid w:val="00D81444"/>
    <w:rsid w:val="00D8168D"/>
    <w:rsid w:val="00D8175E"/>
    <w:rsid w:val="00D81A12"/>
    <w:rsid w:val="00D81AE1"/>
    <w:rsid w:val="00D81B65"/>
    <w:rsid w:val="00D81C5B"/>
    <w:rsid w:val="00D82151"/>
    <w:rsid w:val="00D821B6"/>
    <w:rsid w:val="00D82310"/>
    <w:rsid w:val="00D82402"/>
    <w:rsid w:val="00D82474"/>
    <w:rsid w:val="00D8263E"/>
    <w:rsid w:val="00D8296D"/>
    <w:rsid w:val="00D829BA"/>
    <w:rsid w:val="00D82CAB"/>
    <w:rsid w:val="00D82E75"/>
    <w:rsid w:val="00D83144"/>
    <w:rsid w:val="00D8325D"/>
    <w:rsid w:val="00D83690"/>
    <w:rsid w:val="00D836EB"/>
    <w:rsid w:val="00D8377E"/>
    <w:rsid w:val="00D837A6"/>
    <w:rsid w:val="00D83959"/>
    <w:rsid w:val="00D83C26"/>
    <w:rsid w:val="00D83E4F"/>
    <w:rsid w:val="00D841B7"/>
    <w:rsid w:val="00D84C56"/>
    <w:rsid w:val="00D84E4E"/>
    <w:rsid w:val="00D850D0"/>
    <w:rsid w:val="00D852EB"/>
    <w:rsid w:val="00D853CC"/>
    <w:rsid w:val="00D85436"/>
    <w:rsid w:val="00D85A49"/>
    <w:rsid w:val="00D85A9C"/>
    <w:rsid w:val="00D85BC6"/>
    <w:rsid w:val="00D85BE2"/>
    <w:rsid w:val="00D85F53"/>
    <w:rsid w:val="00D8617C"/>
    <w:rsid w:val="00D86243"/>
    <w:rsid w:val="00D862E6"/>
    <w:rsid w:val="00D86323"/>
    <w:rsid w:val="00D8639F"/>
    <w:rsid w:val="00D863E0"/>
    <w:rsid w:val="00D86878"/>
    <w:rsid w:val="00D868CD"/>
    <w:rsid w:val="00D86A70"/>
    <w:rsid w:val="00D86BB8"/>
    <w:rsid w:val="00D86BC2"/>
    <w:rsid w:val="00D86D08"/>
    <w:rsid w:val="00D86F19"/>
    <w:rsid w:val="00D86FBA"/>
    <w:rsid w:val="00D87348"/>
    <w:rsid w:val="00D87459"/>
    <w:rsid w:val="00D874A0"/>
    <w:rsid w:val="00D8771D"/>
    <w:rsid w:val="00D878EE"/>
    <w:rsid w:val="00D87EE0"/>
    <w:rsid w:val="00D9017B"/>
    <w:rsid w:val="00D9073A"/>
    <w:rsid w:val="00D90875"/>
    <w:rsid w:val="00D90B9D"/>
    <w:rsid w:val="00D90BBB"/>
    <w:rsid w:val="00D90C40"/>
    <w:rsid w:val="00D90C66"/>
    <w:rsid w:val="00D90C96"/>
    <w:rsid w:val="00D90E1E"/>
    <w:rsid w:val="00D90F9C"/>
    <w:rsid w:val="00D9101B"/>
    <w:rsid w:val="00D91038"/>
    <w:rsid w:val="00D9113C"/>
    <w:rsid w:val="00D91458"/>
    <w:rsid w:val="00D91AFF"/>
    <w:rsid w:val="00D91E39"/>
    <w:rsid w:val="00D91F96"/>
    <w:rsid w:val="00D9224E"/>
    <w:rsid w:val="00D9230C"/>
    <w:rsid w:val="00D923BC"/>
    <w:rsid w:val="00D923DB"/>
    <w:rsid w:val="00D92639"/>
    <w:rsid w:val="00D92967"/>
    <w:rsid w:val="00D92B37"/>
    <w:rsid w:val="00D92C7E"/>
    <w:rsid w:val="00D92D98"/>
    <w:rsid w:val="00D9314F"/>
    <w:rsid w:val="00D93241"/>
    <w:rsid w:val="00D933D4"/>
    <w:rsid w:val="00D9386D"/>
    <w:rsid w:val="00D93927"/>
    <w:rsid w:val="00D93B9B"/>
    <w:rsid w:val="00D93BF0"/>
    <w:rsid w:val="00D93CA3"/>
    <w:rsid w:val="00D93E7C"/>
    <w:rsid w:val="00D93E90"/>
    <w:rsid w:val="00D9430F"/>
    <w:rsid w:val="00D943A4"/>
    <w:rsid w:val="00D9459D"/>
    <w:rsid w:val="00D945F7"/>
    <w:rsid w:val="00D94A66"/>
    <w:rsid w:val="00D94A77"/>
    <w:rsid w:val="00D94B16"/>
    <w:rsid w:val="00D95007"/>
    <w:rsid w:val="00D95160"/>
    <w:rsid w:val="00D95510"/>
    <w:rsid w:val="00D95555"/>
    <w:rsid w:val="00D95806"/>
    <w:rsid w:val="00D95DF1"/>
    <w:rsid w:val="00D95E75"/>
    <w:rsid w:val="00D960F8"/>
    <w:rsid w:val="00D96490"/>
    <w:rsid w:val="00D965DD"/>
    <w:rsid w:val="00D9673E"/>
    <w:rsid w:val="00D96A2D"/>
    <w:rsid w:val="00D96A31"/>
    <w:rsid w:val="00D96C26"/>
    <w:rsid w:val="00D96C3B"/>
    <w:rsid w:val="00D96CC6"/>
    <w:rsid w:val="00D96D2D"/>
    <w:rsid w:val="00D96EA7"/>
    <w:rsid w:val="00D973C1"/>
    <w:rsid w:val="00D974B1"/>
    <w:rsid w:val="00D9773A"/>
    <w:rsid w:val="00D97755"/>
    <w:rsid w:val="00D97817"/>
    <w:rsid w:val="00D978A1"/>
    <w:rsid w:val="00D979B2"/>
    <w:rsid w:val="00D97A49"/>
    <w:rsid w:val="00D97A4C"/>
    <w:rsid w:val="00D97B2E"/>
    <w:rsid w:val="00D97C21"/>
    <w:rsid w:val="00D97CFB"/>
    <w:rsid w:val="00D97DF1"/>
    <w:rsid w:val="00DA0019"/>
    <w:rsid w:val="00DA0052"/>
    <w:rsid w:val="00DA0643"/>
    <w:rsid w:val="00DA0824"/>
    <w:rsid w:val="00DA08FB"/>
    <w:rsid w:val="00DA0928"/>
    <w:rsid w:val="00DA0BE1"/>
    <w:rsid w:val="00DA0C28"/>
    <w:rsid w:val="00DA0CAE"/>
    <w:rsid w:val="00DA10DD"/>
    <w:rsid w:val="00DA15A0"/>
    <w:rsid w:val="00DA16E9"/>
    <w:rsid w:val="00DA1B1D"/>
    <w:rsid w:val="00DA1BFB"/>
    <w:rsid w:val="00DA1C9C"/>
    <w:rsid w:val="00DA1E9E"/>
    <w:rsid w:val="00DA1EFF"/>
    <w:rsid w:val="00DA1F08"/>
    <w:rsid w:val="00DA20CC"/>
    <w:rsid w:val="00DA21C9"/>
    <w:rsid w:val="00DA21FC"/>
    <w:rsid w:val="00DA22FF"/>
    <w:rsid w:val="00DA231F"/>
    <w:rsid w:val="00DA240F"/>
    <w:rsid w:val="00DA24D5"/>
    <w:rsid w:val="00DA25AA"/>
    <w:rsid w:val="00DA2683"/>
    <w:rsid w:val="00DA2ADB"/>
    <w:rsid w:val="00DA2B99"/>
    <w:rsid w:val="00DA3076"/>
    <w:rsid w:val="00DA30F0"/>
    <w:rsid w:val="00DA32F5"/>
    <w:rsid w:val="00DA3633"/>
    <w:rsid w:val="00DA3837"/>
    <w:rsid w:val="00DA39CB"/>
    <w:rsid w:val="00DA3B44"/>
    <w:rsid w:val="00DA3B5C"/>
    <w:rsid w:val="00DA3E06"/>
    <w:rsid w:val="00DA3F72"/>
    <w:rsid w:val="00DA3F82"/>
    <w:rsid w:val="00DA4123"/>
    <w:rsid w:val="00DA429F"/>
    <w:rsid w:val="00DA4543"/>
    <w:rsid w:val="00DA4607"/>
    <w:rsid w:val="00DA4631"/>
    <w:rsid w:val="00DA4792"/>
    <w:rsid w:val="00DA48C7"/>
    <w:rsid w:val="00DA4961"/>
    <w:rsid w:val="00DA4A45"/>
    <w:rsid w:val="00DA4AE2"/>
    <w:rsid w:val="00DA4B84"/>
    <w:rsid w:val="00DA4EFE"/>
    <w:rsid w:val="00DA4F0E"/>
    <w:rsid w:val="00DA4FD6"/>
    <w:rsid w:val="00DA5151"/>
    <w:rsid w:val="00DA51F7"/>
    <w:rsid w:val="00DA523F"/>
    <w:rsid w:val="00DA54F3"/>
    <w:rsid w:val="00DA5CF2"/>
    <w:rsid w:val="00DA5E34"/>
    <w:rsid w:val="00DA5E35"/>
    <w:rsid w:val="00DA602D"/>
    <w:rsid w:val="00DA61C6"/>
    <w:rsid w:val="00DA61E1"/>
    <w:rsid w:val="00DA6444"/>
    <w:rsid w:val="00DA69F5"/>
    <w:rsid w:val="00DA6B94"/>
    <w:rsid w:val="00DA6D1C"/>
    <w:rsid w:val="00DA702A"/>
    <w:rsid w:val="00DA7102"/>
    <w:rsid w:val="00DA71DD"/>
    <w:rsid w:val="00DA74DD"/>
    <w:rsid w:val="00DA74F3"/>
    <w:rsid w:val="00DA7A01"/>
    <w:rsid w:val="00DA7CC6"/>
    <w:rsid w:val="00DA7CFE"/>
    <w:rsid w:val="00DA7E10"/>
    <w:rsid w:val="00DA7E3E"/>
    <w:rsid w:val="00DA7E4D"/>
    <w:rsid w:val="00DA7FCE"/>
    <w:rsid w:val="00DB01DA"/>
    <w:rsid w:val="00DB05A7"/>
    <w:rsid w:val="00DB068A"/>
    <w:rsid w:val="00DB0719"/>
    <w:rsid w:val="00DB0788"/>
    <w:rsid w:val="00DB0967"/>
    <w:rsid w:val="00DB0972"/>
    <w:rsid w:val="00DB0A07"/>
    <w:rsid w:val="00DB0B3D"/>
    <w:rsid w:val="00DB0F0E"/>
    <w:rsid w:val="00DB155E"/>
    <w:rsid w:val="00DB1886"/>
    <w:rsid w:val="00DB18B9"/>
    <w:rsid w:val="00DB1989"/>
    <w:rsid w:val="00DB1A15"/>
    <w:rsid w:val="00DB1A98"/>
    <w:rsid w:val="00DB1AA6"/>
    <w:rsid w:val="00DB1F41"/>
    <w:rsid w:val="00DB1F8A"/>
    <w:rsid w:val="00DB21A6"/>
    <w:rsid w:val="00DB23FC"/>
    <w:rsid w:val="00DB2406"/>
    <w:rsid w:val="00DB27AC"/>
    <w:rsid w:val="00DB27DF"/>
    <w:rsid w:val="00DB29F5"/>
    <w:rsid w:val="00DB2A6B"/>
    <w:rsid w:val="00DB2B49"/>
    <w:rsid w:val="00DB2DE4"/>
    <w:rsid w:val="00DB2DE6"/>
    <w:rsid w:val="00DB2E2C"/>
    <w:rsid w:val="00DB2E85"/>
    <w:rsid w:val="00DB2F69"/>
    <w:rsid w:val="00DB305B"/>
    <w:rsid w:val="00DB3293"/>
    <w:rsid w:val="00DB3610"/>
    <w:rsid w:val="00DB3693"/>
    <w:rsid w:val="00DB3784"/>
    <w:rsid w:val="00DB3872"/>
    <w:rsid w:val="00DB38B4"/>
    <w:rsid w:val="00DB395E"/>
    <w:rsid w:val="00DB3A94"/>
    <w:rsid w:val="00DB3C2B"/>
    <w:rsid w:val="00DB3CEF"/>
    <w:rsid w:val="00DB3D63"/>
    <w:rsid w:val="00DB415D"/>
    <w:rsid w:val="00DB4201"/>
    <w:rsid w:val="00DB4219"/>
    <w:rsid w:val="00DB4227"/>
    <w:rsid w:val="00DB4375"/>
    <w:rsid w:val="00DB472D"/>
    <w:rsid w:val="00DB4941"/>
    <w:rsid w:val="00DB4AF9"/>
    <w:rsid w:val="00DB4B63"/>
    <w:rsid w:val="00DB4BEC"/>
    <w:rsid w:val="00DB4E93"/>
    <w:rsid w:val="00DB507B"/>
    <w:rsid w:val="00DB522E"/>
    <w:rsid w:val="00DB5233"/>
    <w:rsid w:val="00DB5B1C"/>
    <w:rsid w:val="00DB5B98"/>
    <w:rsid w:val="00DB5E82"/>
    <w:rsid w:val="00DB63B8"/>
    <w:rsid w:val="00DB675F"/>
    <w:rsid w:val="00DB6B79"/>
    <w:rsid w:val="00DB6B89"/>
    <w:rsid w:val="00DB6C5E"/>
    <w:rsid w:val="00DB6CCC"/>
    <w:rsid w:val="00DB70B2"/>
    <w:rsid w:val="00DB70C6"/>
    <w:rsid w:val="00DB7603"/>
    <w:rsid w:val="00DB7650"/>
    <w:rsid w:val="00DB7921"/>
    <w:rsid w:val="00DB792B"/>
    <w:rsid w:val="00DB7A2A"/>
    <w:rsid w:val="00DB7CF6"/>
    <w:rsid w:val="00DB7E0B"/>
    <w:rsid w:val="00DB7E37"/>
    <w:rsid w:val="00DB7F59"/>
    <w:rsid w:val="00DC019F"/>
    <w:rsid w:val="00DC0458"/>
    <w:rsid w:val="00DC06AB"/>
    <w:rsid w:val="00DC0751"/>
    <w:rsid w:val="00DC0F93"/>
    <w:rsid w:val="00DC1020"/>
    <w:rsid w:val="00DC1024"/>
    <w:rsid w:val="00DC1030"/>
    <w:rsid w:val="00DC1132"/>
    <w:rsid w:val="00DC1212"/>
    <w:rsid w:val="00DC13CE"/>
    <w:rsid w:val="00DC1489"/>
    <w:rsid w:val="00DC17BA"/>
    <w:rsid w:val="00DC1B13"/>
    <w:rsid w:val="00DC1C51"/>
    <w:rsid w:val="00DC1D9E"/>
    <w:rsid w:val="00DC1F3D"/>
    <w:rsid w:val="00DC2269"/>
    <w:rsid w:val="00DC235A"/>
    <w:rsid w:val="00DC244E"/>
    <w:rsid w:val="00DC2499"/>
    <w:rsid w:val="00DC24D7"/>
    <w:rsid w:val="00DC29BC"/>
    <w:rsid w:val="00DC2D0A"/>
    <w:rsid w:val="00DC2EB6"/>
    <w:rsid w:val="00DC2F45"/>
    <w:rsid w:val="00DC2FA9"/>
    <w:rsid w:val="00DC314A"/>
    <w:rsid w:val="00DC33F0"/>
    <w:rsid w:val="00DC35CC"/>
    <w:rsid w:val="00DC377B"/>
    <w:rsid w:val="00DC3B99"/>
    <w:rsid w:val="00DC3DD9"/>
    <w:rsid w:val="00DC41B0"/>
    <w:rsid w:val="00DC465C"/>
    <w:rsid w:val="00DC4669"/>
    <w:rsid w:val="00DC46B2"/>
    <w:rsid w:val="00DC4ADC"/>
    <w:rsid w:val="00DC4BEC"/>
    <w:rsid w:val="00DC4DA6"/>
    <w:rsid w:val="00DC4F9D"/>
    <w:rsid w:val="00DC500B"/>
    <w:rsid w:val="00DC5085"/>
    <w:rsid w:val="00DC50B3"/>
    <w:rsid w:val="00DC50FA"/>
    <w:rsid w:val="00DC51AC"/>
    <w:rsid w:val="00DC5357"/>
    <w:rsid w:val="00DC591C"/>
    <w:rsid w:val="00DC5A4B"/>
    <w:rsid w:val="00DC5BB1"/>
    <w:rsid w:val="00DC5CCB"/>
    <w:rsid w:val="00DC5E71"/>
    <w:rsid w:val="00DC5F6A"/>
    <w:rsid w:val="00DC600D"/>
    <w:rsid w:val="00DC63B1"/>
    <w:rsid w:val="00DC64CE"/>
    <w:rsid w:val="00DC6617"/>
    <w:rsid w:val="00DC67B4"/>
    <w:rsid w:val="00DC6C94"/>
    <w:rsid w:val="00DC6DCB"/>
    <w:rsid w:val="00DC7097"/>
    <w:rsid w:val="00DC71F2"/>
    <w:rsid w:val="00DC772F"/>
    <w:rsid w:val="00DC7852"/>
    <w:rsid w:val="00DC7A4F"/>
    <w:rsid w:val="00DC7C19"/>
    <w:rsid w:val="00DC7F03"/>
    <w:rsid w:val="00DC7F7E"/>
    <w:rsid w:val="00DD008E"/>
    <w:rsid w:val="00DD0150"/>
    <w:rsid w:val="00DD05E4"/>
    <w:rsid w:val="00DD063B"/>
    <w:rsid w:val="00DD07F8"/>
    <w:rsid w:val="00DD0ABD"/>
    <w:rsid w:val="00DD0BBC"/>
    <w:rsid w:val="00DD0D3B"/>
    <w:rsid w:val="00DD0EF3"/>
    <w:rsid w:val="00DD1070"/>
    <w:rsid w:val="00DD115D"/>
    <w:rsid w:val="00DD1591"/>
    <w:rsid w:val="00DD194D"/>
    <w:rsid w:val="00DD1A72"/>
    <w:rsid w:val="00DD1AC0"/>
    <w:rsid w:val="00DD1C90"/>
    <w:rsid w:val="00DD1F06"/>
    <w:rsid w:val="00DD1F27"/>
    <w:rsid w:val="00DD2412"/>
    <w:rsid w:val="00DD26BD"/>
    <w:rsid w:val="00DD2811"/>
    <w:rsid w:val="00DD2931"/>
    <w:rsid w:val="00DD2A95"/>
    <w:rsid w:val="00DD2BAF"/>
    <w:rsid w:val="00DD2DCC"/>
    <w:rsid w:val="00DD2E91"/>
    <w:rsid w:val="00DD2EC8"/>
    <w:rsid w:val="00DD2FA0"/>
    <w:rsid w:val="00DD3249"/>
    <w:rsid w:val="00DD3535"/>
    <w:rsid w:val="00DD379D"/>
    <w:rsid w:val="00DD37D0"/>
    <w:rsid w:val="00DD3F9E"/>
    <w:rsid w:val="00DD3F9F"/>
    <w:rsid w:val="00DD4305"/>
    <w:rsid w:val="00DD432C"/>
    <w:rsid w:val="00DD47A8"/>
    <w:rsid w:val="00DD497A"/>
    <w:rsid w:val="00DD4C9C"/>
    <w:rsid w:val="00DD4CA7"/>
    <w:rsid w:val="00DD4E8B"/>
    <w:rsid w:val="00DD537A"/>
    <w:rsid w:val="00DD55A1"/>
    <w:rsid w:val="00DD56BD"/>
    <w:rsid w:val="00DD5A60"/>
    <w:rsid w:val="00DD5B31"/>
    <w:rsid w:val="00DD5BC9"/>
    <w:rsid w:val="00DD5DC3"/>
    <w:rsid w:val="00DD5DCD"/>
    <w:rsid w:val="00DD5E9A"/>
    <w:rsid w:val="00DD60C8"/>
    <w:rsid w:val="00DD6321"/>
    <w:rsid w:val="00DD63A5"/>
    <w:rsid w:val="00DD66DA"/>
    <w:rsid w:val="00DD6E02"/>
    <w:rsid w:val="00DD6FB8"/>
    <w:rsid w:val="00DD732F"/>
    <w:rsid w:val="00DD73B6"/>
    <w:rsid w:val="00DD7848"/>
    <w:rsid w:val="00DD79ED"/>
    <w:rsid w:val="00DD7A9B"/>
    <w:rsid w:val="00DD7B73"/>
    <w:rsid w:val="00DD7DE0"/>
    <w:rsid w:val="00DD7E5E"/>
    <w:rsid w:val="00DD7E60"/>
    <w:rsid w:val="00DD7EFA"/>
    <w:rsid w:val="00DD7F7D"/>
    <w:rsid w:val="00DE03E1"/>
    <w:rsid w:val="00DE06E4"/>
    <w:rsid w:val="00DE07A1"/>
    <w:rsid w:val="00DE07A2"/>
    <w:rsid w:val="00DE08A1"/>
    <w:rsid w:val="00DE0F5C"/>
    <w:rsid w:val="00DE1035"/>
    <w:rsid w:val="00DE12C1"/>
    <w:rsid w:val="00DE1681"/>
    <w:rsid w:val="00DE16FD"/>
    <w:rsid w:val="00DE1780"/>
    <w:rsid w:val="00DE1E59"/>
    <w:rsid w:val="00DE2343"/>
    <w:rsid w:val="00DE281A"/>
    <w:rsid w:val="00DE290A"/>
    <w:rsid w:val="00DE2A19"/>
    <w:rsid w:val="00DE2CE6"/>
    <w:rsid w:val="00DE2D82"/>
    <w:rsid w:val="00DE2EF3"/>
    <w:rsid w:val="00DE308C"/>
    <w:rsid w:val="00DE30AE"/>
    <w:rsid w:val="00DE31A2"/>
    <w:rsid w:val="00DE347B"/>
    <w:rsid w:val="00DE3492"/>
    <w:rsid w:val="00DE3629"/>
    <w:rsid w:val="00DE3697"/>
    <w:rsid w:val="00DE36B0"/>
    <w:rsid w:val="00DE384D"/>
    <w:rsid w:val="00DE3924"/>
    <w:rsid w:val="00DE3B82"/>
    <w:rsid w:val="00DE3E45"/>
    <w:rsid w:val="00DE3F06"/>
    <w:rsid w:val="00DE41E3"/>
    <w:rsid w:val="00DE43CB"/>
    <w:rsid w:val="00DE46D5"/>
    <w:rsid w:val="00DE488F"/>
    <w:rsid w:val="00DE49DC"/>
    <w:rsid w:val="00DE49FE"/>
    <w:rsid w:val="00DE5336"/>
    <w:rsid w:val="00DE5346"/>
    <w:rsid w:val="00DE535E"/>
    <w:rsid w:val="00DE5713"/>
    <w:rsid w:val="00DE5806"/>
    <w:rsid w:val="00DE59D4"/>
    <w:rsid w:val="00DE5A2A"/>
    <w:rsid w:val="00DE67AD"/>
    <w:rsid w:val="00DE6BC3"/>
    <w:rsid w:val="00DE6C92"/>
    <w:rsid w:val="00DE6F5D"/>
    <w:rsid w:val="00DE6FE8"/>
    <w:rsid w:val="00DE72B8"/>
    <w:rsid w:val="00DE737F"/>
    <w:rsid w:val="00DE790A"/>
    <w:rsid w:val="00DE7923"/>
    <w:rsid w:val="00DE7D85"/>
    <w:rsid w:val="00DE7FE2"/>
    <w:rsid w:val="00DF0062"/>
    <w:rsid w:val="00DF04EC"/>
    <w:rsid w:val="00DF085A"/>
    <w:rsid w:val="00DF0DBE"/>
    <w:rsid w:val="00DF14CE"/>
    <w:rsid w:val="00DF1CC7"/>
    <w:rsid w:val="00DF1CE4"/>
    <w:rsid w:val="00DF1E68"/>
    <w:rsid w:val="00DF1EA2"/>
    <w:rsid w:val="00DF2254"/>
    <w:rsid w:val="00DF2265"/>
    <w:rsid w:val="00DF2291"/>
    <w:rsid w:val="00DF22CA"/>
    <w:rsid w:val="00DF2501"/>
    <w:rsid w:val="00DF2514"/>
    <w:rsid w:val="00DF252A"/>
    <w:rsid w:val="00DF259A"/>
    <w:rsid w:val="00DF2C6A"/>
    <w:rsid w:val="00DF2E3D"/>
    <w:rsid w:val="00DF2EFB"/>
    <w:rsid w:val="00DF32B7"/>
    <w:rsid w:val="00DF3EAA"/>
    <w:rsid w:val="00DF3EB6"/>
    <w:rsid w:val="00DF41E3"/>
    <w:rsid w:val="00DF43D2"/>
    <w:rsid w:val="00DF4442"/>
    <w:rsid w:val="00DF466C"/>
    <w:rsid w:val="00DF4B9A"/>
    <w:rsid w:val="00DF4E14"/>
    <w:rsid w:val="00DF4F19"/>
    <w:rsid w:val="00DF505A"/>
    <w:rsid w:val="00DF54B0"/>
    <w:rsid w:val="00DF562C"/>
    <w:rsid w:val="00DF56A3"/>
    <w:rsid w:val="00DF5B23"/>
    <w:rsid w:val="00DF5C37"/>
    <w:rsid w:val="00DF5F51"/>
    <w:rsid w:val="00DF63B9"/>
    <w:rsid w:val="00DF66D7"/>
    <w:rsid w:val="00DF66F0"/>
    <w:rsid w:val="00DF6D9E"/>
    <w:rsid w:val="00DF7154"/>
    <w:rsid w:val="00DF72E8"/>
    <w:rsid w:val="00DF759E"/>
    <w:rsid w:val="00DF7690"/>
    <w:rsid w:val="00DF77ED"/>
    <w:rsid w:val="00DF787A"/>
    <w:rsid w:val="00DF7A50"/>
    <w:rsid w:val="00DF7A85"/>
    <w:rsid w:val="00DF7F59"/>
    <w:rsid w:val="00E00054"/>
    <w:rsid w:val="00E00153"/>
    <w:rsid w:val="00E00419"/>
    <w:rsid w:val="00E006AA"/>
    <w:rsid w:val="00E0095A"/>
    <w:rsid w:val="00E00B7F"/>
    <w:rsid w:val="00E00D3F"/>
    <w:rsid w:val="00E00E37"/>
    <w:rsid w:val="00E00EF9"/>
    <w:rsid w:val="00E011B0"/>
    <w:rsid w:val="00E01B1D"/>
    <w:rsid w:val="00E01C60"/>
    <w:rsid w:val="00E01ED1"/>
    <w:rsid w:val="00E01FB9"/>
    <w:rsid w:val="00E02331"/>
    <w:rsid w:val="00E023D8"/>
    <w:rsid w:val="00E024A2"/>
    <w:rsid w:val="00E0250C"/>
    <w:rsid w:val="00E02891"/>
    <w:rsid w:val="00E0290D"/>
    <w:rsid w:val="00E02C2E"/>
    <w:rsid w:val="00E02E50"/>
    <w:rsid w:val="00E02F22"/>
    <w:rsid w:val="00E0331B"/>
    <w:rsid w:val="00E03B3F"/>
    <w:rsid w:val="00E03C92"/>
    <w:rsid w:val="00E03CB0"/>
    <w:rsid w:val="00E03ECF"/>
    <w:rsid w:val="00E03ED3"/>
    <w:rsid w:val="00E03FF1"/>
    <w:rsid w:val="00E040B0"/>
    <w:rsid w:val="00E0411F"/>
    <w:rsid w:val="00E042C0"/>
    <w:rsid w:val="00E042C7"/>
    <w:rsid w:val="00E043C9"/>
    <w:rsid w:val="00E0447D"/>
    <w:rsid w:val="00E045E9"/>
    <w:rsid w:val="00E0462E"/>
    <w:rsid w:val="00E04689"/>
    <w:rsid w:val="00E04B64"/>
    <w:rsid w:val="00E04B9B"/>
    <w:rsid w:val="00E04BC2"/>
    <w:rsid w:val="00E04E09"/>
    <w:rsid w:val="00E04FAC"/>
    <w:rsid w:val="00E051DB"/>
    <w:rsid w:val="00E05438"/>
    <w:rsid w:val="00E05600"/>
    <w:rsid w:val="00E057AB"/>
    <w:rsid w:val="00E059F3"/>
    <w:rsid w:val="00E05B13"/>
    <w:rsid w:val="00E05D36"/>
    <w:rsid w:val="00E05D56"/>
    <w:rsid w:val="00E06059"/>
    <w:rsid w:val="00E060AE"/>
    <w:rsid w:val="00E06566"/>
    <w:rsid w:val="00E06567"/>
    <w:rsid w:val="00E0664F"/>
    <w:rsid w:val="00E0677F"/>
    <w:rsid w:val="00E067D3"/>
    <w:rsid w:val="00E06995"/>
    <w:rsid w:val="00E06DC7"/>
    <w:rsid w:val="00E06E37"/>
    <w:rsid w:val="00E06F04"/>
    <w:rsid w:val="00E06F45"/>
    <w:rsid w:val="00E07100"/>
    <w:rsid w:val="00E07264"/>
    <w:rsid w:val="00E07411"/>
    <w:rsid w:val="00E074AE"/>
    <w:rsid w:val="00E07519"/>
    <w:rsid w:val="00E07624"/>
    <w:rsid w:val="00E076F1"/>
    <w:rsid w:val="00E0788C"/>
    <w:rsid w:val="00E078AD"/>
    <w:rsid w:val="00E07B42"/>
    <w:rsid w:val="00E07CBF"/>
    <w:rsid w:val="00E07D51"/>
    <w:rsid w:val="00E07EFE"/>
    <w:rsid w:val="00E10520"/>
    <w:rsid w:val="00E10567"/>
    <w:rsid w:val="00E1087B"/>
    <w:rsid w:val="00E10A42"/>
    <w:rsid w:val="00E10AE2"/>
    <w:rsid w:val="00E10E3C"/>
    <w:rsid w:val="00E10F75"/>
    <w:rsid w:val="00E10F7F"/>
    <w:rsid w:val="00E11231"/>
    <w:rsid w:val="00E114C9"/>
    <w:rsid w:val="00E11718"/>
    <w:rsid w:val="00E11CE0"/>
    <w:rsid w:val="00E11D34"/>
    <w:rsid w:val="00E11D79"/>
    <w:rsid w:val="00E11EF2"/>
    <w:rsid w:val="00E125E8"/>
    <w:rsid w:val="00E12751"/>
    <w:rsid w:val="00E128E1"/>
    <w:rsid w:val="00E12D21"/>
    <w:rsid w:val="00E12E0A"/>
    <w:rsid w:val="00E12F17"/>
    <w:rsid w:val="00E12F3B"/>
    <w:rsid w:val="00E12F80"/>
    <w:rsid w:val="00E13008"/>
    <w:rsid w:val="00E13299"/>
    <w:rsid w:val="00E136CF"/>
    <w:rsid w:val="00E13779"/>
    <w:rsid w:val="00E1386A"/>
    <w:rsid w:val="00E138B8"/>
    <w:rsid w:val="00E138E4"/>
    <w:rsid w:val="00E13B9A"/>
    <w:rsid w:val="00E13C88"/>
    <w:rsid w:val="00E13CB4"/>
    <w:rsid w:val="00E1400F"/>
    <w:rsid w:val="00E1402D"/>
    <w:rsid w:val="00E14092"/>
    <w:rsid w:val="00E140C4"/>
    <w:rsid w:val="00E14188"/>
    <w:rsid w:val="00E141BC"/>
    <w:rsid w:val="00E14828"/>
    <w:rsid w:val="00E148C2"/>
    <w:rsid w:val="00E14AC9"/>
    <w:rsid w:val="00E14AD1"/>
    <w:rsid w:val="00E14E26"/>
    <w:rsid w:val="00E15009"/>
    <w:rsid w:val="00E15135"/>
    <w:rsid w:val="00E1524F"/>
    <w:rsid w:val="00E152FE"/>
    <w:rsid w:val="00E15727"/>
    <w:rsid w:val="00E158F4"/>
    <w:rsid w:val="00E15A50"/>
    <w:rsid w:val="00E15A5F"/>
    <w:rsid w:val="00E15AA1"/>
    <w:rsid w:val="00E15C9C"/>
    <w:rsid w:val="00E15F06"/>
    <w:rsid w:val="00E16026"/>
    <w:rsid w:val="00E164DB"/>
    <w:rsid w:val="00E1667F"/>
    <w:rsid w:val="00E166A1"/>
    <w:rsid w:val="00E1679B"/>
    <w:rsid w:val="00E167D2"/>
    <w:rsid w:val="00E167DA"/>
    <w:rsid w:val="00E16B52"/>
    <w:rsid w:val="00E16B80"/>
    <w:rsid w:val="00E16CD2"/>
    <w:rsid w:val="00E16E43"/>
    <w:rsid w:val="00E16E6E"/>
    <w:rsid w:val="00E16E79"/>
    <w:rsid w:val="00E16F23"/>
    <w:rsid w:val="00E1726D"/>
    <w:rsid w:val="00E17441"/>
    <w:rsid w:val="00E17523"/>
    <w:rsid w:val="00E1756A"/>
    <w:rsid w:val="00E175F7"/>
    <w:rsid w:val="00E1762F"/>
    <w:rsid w:val="00E176F3"/>
    <w:rsid w:val="00E179DC"/>
    <w:rsid w:val="00E17AFC"/>
    <w:rsid w:val="00E17DDA"/>
    <w:rsid w:val="00E20036"/>
    <w:rsid w:val="00E201F0"/>
    <w:rsid w:val="00E2036A"/>
    <w:rsid w:val="00E203F1"/>
    <w:rsid w:val="00E204F6"/>
    <w:rsid w:val="00E205D2"/>
    <w:rsid w:val="00E2065E"/>
    <w:rsid w:val="00E20738"/>
    <w:rsid w:val="00E20760"/>
    <w:rsid w:val="00E2086B"/>
    <w:rsid w:val="00E208FD"/>
    <w:rsid w:val="00E20B1D"/>
    <w:rsid w:val="00E20B96"/>
    <w:rsid w:val="00E20D1A"/>
    <w:rsid w:val="00E20D51"/>
    <w:rsid w:val="00E20DBE"/>
    <w:rsid w:val="00E2105B"/>
    <w:rsid w:val="00E21344"/>
    <w:rsid w:val="00E214B6"/>
    <w:rsid w:val="00E21565"/>
    <w:rsid w:val="00E21727"/>
    <w:rsid w:val="00E219A8"/>
    <w:rsid w:val="00E21AAB"/>
    <w:rsid w:val="00E21AB7"/>
    <w:rsid w:val="00E21B38"/>
    <w:rsid w:val="00E21DEE"/>
    <w:rsid w:val="00E21E46"/>
    <w:rsid w:val="00E22014"/>
    <w:rsid w:val="00E220BC"/>
    <w:rsid w:val="00E22144"/>
    <w:rsid w:val="00E22331"/>
    <w:rsid w:val="00E22348"/>
    <w:rsid w:val="00E22419"/>
    <w:rsid w:val="00E228EC"/>
    <w:rsid w:val="00E22C8C"/>
    <w:rsid w:val="00E22FAC"/>
    <w:rsid w:val="00E23159"/>
    <w:rsid w:val="00E237C9"/>
    <w:rsid w:val="00E239E7"/>
    <w:rsid w:val="00E23B26"/>
    <w:rsid w:val="00E23BA2"/>
    <w:rsid w:val="00E2427D"/>
    <w:rsid w:val="00E24490"/>
    <w:rsid w:val="00E24634"/>
    <w:rsid w:val="00E2468D"/>
    <w:rsid w:val="00E2472C"/>
    <w:rsid w:val="00E24EDA"/>
    <w:rsid w:val="00E24F03"/>
    <w:rsid w:val="00E24F57"/>
    <w:rsid w:val="00E24FCB"/>
    <w:rsid w:val="00E25357"/>
    <w:rsid w:val="00E25411"/>
    <w:rsid w:val="00E25577"/>
    <w:rsid w:val="00E2596B"/>
    <w:rsid w:val="00E25B72"/>
    <w:rsid w:val="00E25D25"/>
    <w:rsid w:val="00E26166"/>
    <w:rsid w:val="00E261D7"/>
    <w:rsid w:val="00E2626F"/>
    <w:rsid w:val="00E266CF"/>
    <w:rsid w:val="00E267F0"/>
    <w:rsid w:val="00E268B0"/>
    <w:rsid w:val="00E26D07"/>
    <w:rsid w:val="00E272B2"/>
    <w:rsid w:val="00E27472"/>
    <w:rsid w:val="00E2769B"/>
    <w:rsid w:val="00E27726"/>
    <w:rsid w:val="00E27F78"/>
    <w:rsid w:val="00E27FB8"/>
    <w:rsid w:val="00E302BD"/>
    <w:rsid w:val="00E308AB"/>
    <w:rsid w:val="00E30BED"/>
    <w:rsid w:val="00E30C95"/>
    <w:rsid w:val="00E30D45"/>
    <w:rsid w:val="00E310B5"/>
    <w:rsid w:val="00E31279"/>
    <w:rsid w:val="00E31338"/>
    <w:rsid w:val="00E315BB"/>
    <w:rsid w:val="00E31626"/>
    <w:rsid w:val="00E31C2E"/>
    <w:rsid w:val="00E31DC3"/>
    <w:rsid w:val="00E31E60"/>
    <w:rsid w:val="00E31EC1"/>
    <w:rsid w:val="00E3207E"/>
    <w:rsid w:val="00E32097"/>
    <w:rsid w:val="00E32118"/>
    <w:rsid w:val="00E32396"/>
    <w:rsid w:val="00E32523"/>
    <w:rsid w:val="00E327D0"/>
    <w:rsid w:val="00E329F1"/>
    <w:rsid w:val="00E32C9C"/>
    <w:rsid w:val="00E32E0F"/>
    <w:rsid w:val="00E3311B"/>
    <w:rsid w:val="00E33134"/>
    <w:rsid w:val="00E3336E"/>
    <w:rsid w:val="00E338E2"/>
    <w:rsid w:val="00E33ACE"/>
    <w:rsid w:val="00E33B89"/>
    <w:rsid w:val="00E33CEE"/>
    <w:rsid w:val="00E33E79"/>
    <w:rsid w:val="00E33FBC"/>
    <w:rsid w:val="00E341AF"/>
    <w:rsid w:val="00E34264"/>
    <w:rsid w:val="00E343EE"/>
    <w:rsid w:val="00E3446A"/>
    <w:rsid w:val="00E344D6"/>
    <w:rsid w:val="00E34B65"/>
    <w:rsid w:val="00E34F15"/>
    <w:rsid w:val="00E350AD"/>
    <w:rsid w:val="00E3523A"/>
    <w:rsid w:val="00E353FB"/>
    <w:rsid w:val="00E35C61"/>
    <w:rsid w:val="00E35CB1"/>
    <w:rsid w:val="00E35CE9"/>
    <w:rsid w:val="00E35DB9"/>
    <w:rsid w:val="00E35EA7"/>
    <w:rsid w:val="00E35ED2"/>
    <w:rsid w:val="00E3616A"/>
    <w:rsid w:val="00E361DE"/>
    <w:rsid w:val="00E36208"/>
    <w:rsid w:val="00E36A9E"/>
    <w:rsid w:val="00E36C0D"/>
    <w:rsid w:val="00E36C4D"/>
    <w:rsid w:val="00E36C65"/>
    <w:rsid w:val="00E36DE8"/>
    <w:rsid w:val="00E3722A"/>
    <w:rsid w:val="00E3727C"/>
    <w:rsid w:val="00E3745A"/>
    <w:rsid w:val="00E376E9"/>
    <w:rsid w:val="00E37B80"/>
    <w:rsid w:val="00E37C1F"/>
    <w:rsid w:val="00E37CA9"/>
    <w:rsid w:val="00E37EF1"/>
    <w:rsid w:val="00E40065"/>
    <w:rsid w:val="00E401B0"/>
    <w:rsid w:val="00E402EB"/>
    <w:rsid w:val="00E4031B"/>
    <w:rsid w:val="00E40355"/>
    <w:rsid w:val="00E40646"/>
    <w:rsid w:val="00E406E3"/>
    <w:rsid w:val="00E4072D"/>
    <w:rsid w:val="00E407FA"/>
    <w:rsid w:val="00E40824"/>
    <w:rsid w:val="00E40E32"/>
    <w:rsid w:val="00E40ECF"/>
    <w:rsid w:val="00E41002"/>
    <w:rsid w:val="00E4105F"/>
    <w:rsid w:val="00E410A9"/>
    <w:rsid w:val="00E41173"/>
    <w:rsid w:val="00E412F1"/>
    <w:rsid w:val="00E419A8"/>
    <w:rsid w:val="00E41A6D"/>
    <w:rsid w:val="00E41A72"/>
    <w:rsid w:val="00E41BD7"/>
    <w:rsid w:val="00E41C02"/>
    <w:rsid w:val="00E41DE6"/>
    <w:rsid w:val="00E41FD4"/>
    <w:rsid w:val="00E42348"/>
    <w:rsid w:val="00E42682"/>
    <w:rsid w:val="00E4278B"/>
    <w:rsid w:val="00E429DF"/>
    <w:rsid w:val="00E429F0"/>
    <w:rsid w:val="00E429FA"/>
    <w:rsid w:val="00E42A3A"/>
    <w:rsid w:val="00E4326C"/>
    <w:rsid w:val="00E4335C"/>
    <w:rsid w:val="00E43384"/>
    <w:rsid w:val="00E43683"/>
    <w:rsid w:val="00E4375A"/>
    <w:rsid w:val="00E437C9"/>
    <w:rsid w:val="00E4391E"/>
    <w:rsid w:val="00E43955"/>
    <w:rsid w:val="00E43AAE"/>
    <w:rsid w:val="00E43B3D"/>
    <w:rsid w:val="00E43EF1"/>
    <w:rsid w:val="00E442B3"/>
    <w:rsid w:val="00E443EC"/>
    <w:rsid w:val="00E4464C"/>
    <w:rsid w:val="00E4470A"/>
    <w:rsid w:val="00E4491B"/>
    <w:rsid w:val="00E4498B"/>
    <w:rsid w:val="00E44A18"/>
    <w:rsid w:val="00E44AD8"/>
    <w:rsid w:val="00E44B14"/>
    <w:rsid w:val="00E44C08"/>
    <w:rsid w:val="00E44C30"/>
    <w:rsid w:val="00E44F1C"/>
    <w:rsid w:val="00E4539C"/>
    <w:rsid w:val="00E45453"/>
    <w:rsid w:val="00E45513"/>
    <w:rsid w:val="00E456BF"/>
    <w:rsid w:val="00E457EF"/>
    <w:rsid w:val="00E45882"/>
    <w:rsid w:val="00E459E6"/>
    <w:rsid w:val="00E45E32"/>
    <w:rsid w:val="00E46215"/>
    <w:rsid w:val="00E4646E"/>
    <w:rsid w:val="00E467DC"/>
    <w:rsid w:val="00E468BE"/>
    <w:rsid w:val="00E46982"/>
    <w:rsid w:val="00E46A04"/>
    <w:rsid w:val="00E46A27"/>
    <w:rsid w:val="00E46A92"/>
    <w:rsid w:val="00E46B2C"/>
    <w:rsid w:val="00E46CC0"/>
    <w:rsid w:val="00E46E13"/>
    <w:rsid w:val="00E46F8F"/>
    <w:rsid w:val="00E46FA3"/>
    <w:rsid w:val="00E47509"/>
    <w:rsid w:val="00E4750C"/>
    <w:rsid w:val="00E47869"/>
    <w:rsid w:val="00E478EB"/>
    <w:rsid w:val="00E47D4D"/>
    <w:rsid w:val="00E47D8F"/>
    <w:rsid w:val="00E50189"/>
    <w:rsid w:val="00E50352"/>
    <w:rsid w:val="00E50460"/>
    <w:rsid w:val="00E50652"/>
    <w:rsid w:val="00E5093A"/>
    <w:rsid w:val="00E509D3"/>
    <w:rsid w:val="00E50BF0"/>
    <w:rsid w:val="00E51190"/>
    <w:rsid w:val="00E5148B"/>
    <w:rsid w:val="00E514DB"/>
    <w:rsid w:val="00E515C9"/>
    <w:rsid w:val="00E517F8"/>
    <w:rsid w:val="00E518D1"/>
    <w:rsid w:val="00E5191F"/>
    <w:rsid w:val="00E519C9"/>
    <w:rsid w:val="00E51C1C"/>
    <w:rsid w:val="00E52032"/>
    <w:rsid w:val="00E52049"/>
    <w:rsid w:val="00E521C5"/>
    <w:rsid w:val="00E522C4"/>
    <w:rsid w:val="00E5255D"/>
    <w:rsid w:val="00E5264D"/>
    <w:rsid w:val="00E5266D"/>
    <w:rsid w:val="00E527DD"/>
    <w:rsid w:val="00E52820"/>
    <w:rsid w:val="00E52857"/>
    <w:rsid w:val="00E52B77"/>
    <w:rsid w:val="00E52BBD"/>
    <w:rsid w:val="00E52C8B"/>
    <w:rsid w:val="00E5367F"/>
    <w:rsid w:val="00E53719"/>
    <w:rsid w:val="00E537AB"/>
    <w:rsid w:val="00E53BEE"/>
    <w:rsid w:val="00E53C26"/>
    <w:rsid w:val="00E53EC1"/>
    <w:rsid w:val="00E5421A"/>
    <w:rsid w:val="00E54312"/>
    <w:rsid w:val="00E54457"/>
    <w:rsid w:val="00E544FA"/>
    <w:rsid w:val="00E545EB"/>
    <w:rsid w:val="00E54713"/>
    <w:rsid w:val="00E54834"/>
    <w:rsid w:val="00E548CB"/>
    <w:rsid w:val="00E548F5"/>
    <w:rsid w:val="00E54B3F"/>
    <w:rsid w:val="00E54B54"/>
    <w:rsid w:val="00E54C64"/>
    <w:rsid w:val="00E54D36"/>
    <w:rsid w:val="00E54D93"/>
    <w:rsid w:val="00E551FE"/>
    <w:rsid w:val="00E552E5"/>
    <w:rsid w:val="00E5536F"/>
    <w:rsid w:val="00E553C0"/>
    <w:rsid w:val="00E5558C"/>
    <w:rsid w:val="00E556B7"/>
    <w:rsid w:val="00E556D5"/>
    <w:rsid w:val="00E55745"/>
    <w:rsid w:val="00E55844"/>
    <w:rsid w:val="00E55B8A"/>
    <w:rsid w:val="00E55DFF"/>
    <w:rsid w:val="00E56027"/>
    <w:rsid w:val="00E56207"/>
    <w:rsid w:val="00E56229"/>
    <w:rsid w:val="00E562E1"/>
    <w:rsid w:val="00E564EF"/>
    <w:rsid w:val="00E565E6"/>
    <w:rsid w:val="00E566C8"/>
    <w:rsid w:val="00E566DF"/>
    <w:rsid w:val="00E56B33"/>
    <w:rsid w:val="00E56C1E"/>
    <w:rsid w:val="00E56C5C"/>
    <w:rsid w:val="00E56C5F"/>
    <w:rsid w:val="00E56CD7"/>
    <w:rsid w:val="00E57112"/>
    <w:rsid w:val="00E57219"/>
    <w:rsid w:val="00E57285"/>
    <w:rsid w:val="00E57306"/>
    <w:rsid w:val="00E5733C"/>
    <w:rsid w:val="00E5736C"/>
    <w:rsid w:val="00E573D7"/>
    <w:rsid w:val="00E5741E"/>
    <w:rsid w:val="00E5748F"/>
    <w:rsid w:val="00E57652"/>
    <w:rsid w:val="00E57911"/>
    <w:rsid w:val="00E57A3F"/>
    <w:rsid w:val="00E57B08"/>
    <w:rsid w:val="00E57DAC"/>
    <w:rsid w:val="00E57FCA"/>
    <w:rsid w:val="00E603AB"/>
    <w:rsid w:val="00E60505"/>
    <w:rsid w:val="00E60736"/>
    <w:rsid w:val="00E6080F"/>
    <w:rsid w:val="00E608F3"/>
    <w:rsid w:val="00E60C90"/>
    <w:rsid w:val="00E60D4D"/>
    <w:rsid w:val="00E61027"/>
    <w:rsid w:val="00E6116D"/>
    <w:rsid w:val="00E617E2"/>
    <w:rsid w:val="00E6193F"/>
    <w:rsid w:val="00E619E5"/>
    <w:rsid w:val="00E61AF7"/>
    <w:rsid w:val="00E61EC9"/>
    <w:rsid w:val="00E61F7D"/>
    <w:rsid w:val="00E622CE"/>
    <w:rsid w:val="00E62335"/>
    <w:rsid w:val="00E625AB"/>
    <w:rsid w:val="00E628BE"/>
    <w:rsid w:val="00E62BA5"/>
    <w:rsid w:val="00E62C0E"/>
    <w:rsid w:val="00E62D5B"/>
    <w:rsid w:val="00E62DE4"/>
    <w:rsid w:val="00E62EC8"/>
    <w:rsid w:val="00E62EDA"/>
    <w:rsid w:val="00E62FE3"/>
    <w:rsid w:val="00E6327B"/>
    <w:rsid w:val="00E6395F"/>
    <w:rsid w:val="00E64022"/>
    <w:rsid w:val="00E640C0"/>
    <w:rsid w:val="00E64110"/>
    <w:rsid w:val="00E6416A"/>
    <w:rsid w:val="00E6436D"/>
    <w:rsid w:val="00E64512"/>
    <w:rsid w:val="00E645D0"/>
    <w:rsid w:val="00E6470F"/>
    <w:rsid w:val="00E64819"/>
    <w:rsid w:val="00E64E11"/>
    <w:rsid w:val="00E64FF4"/>
    <w:rsid w:val="00E650F1"/>
    <w:rsid w:val="00E651ED"/>
    <w:rsid w:val="00E65879"/>
    <w:rsid w:val="00E65963"/>
    <w:rsid w:val="00E65CCF"/>
    <w:rsid w:val="00E65E4E"/>
    <w:rsid w:val="00E65EAB"/>
    <w:rsid w:val="00E66024"/>
    <w:rsid w:val="00E660F1"/>
    <w:rsid w:val="00E66439"/>
    <w:rsid w:val="00E666AE"/>
    <w:rsid w:val="00E667BA"/>
    <w:rsid w:val="00E66A9B"/>
    <w:rsid w:val="00E66B14"/>
    <w:rsid w:val="00E66C8D"/>
    <w:rsid w:val="00E66F39"/>
    <w:rsid w:val="00E6700C"/>
    <w:rsid w:val="00E6726A"/>
    <w:rsid w:val="00E67349"/>
    <w:rsid w:val="00E67367"/>
    <w:rsid w:val="00E6749C"/>
    <w:rsid w:val="00E675B5"/>
    <w:rsid w:val="00E675F6"/>
    <w:rsid w:val="00E67657"/>
    <w:rsid w:val="00E67681"/>
    <w:rsid w:val="00E677DA"/>
    <w:rsid w:val="00E67935"/>
    <w:rsid w:val="00E67983"/>
    <w:rsid w:val="00E67A46"/>
    <w:rsid w:val="00E67E8C"/>
    <w:rsid w:val="00E700EE"/>
    <w:rsid w:val="00E700F2"/>
    <w:rsid w:val="00E70282"/>
    <w:rsid w:val="00E70365"/>
    <w:rsid w:val="00E704E9"/>
    <w:rsid w:val="00E706CA"/>
    <w:rsid w:val="00E708AA"/>
    <w:rsid w:val="00E70921"/>
    <w:rsid w:val="00E70A20"/>
    <w:rsid w:val="00E70A5C"/>
    <w:rsid w:val="00E70D8E"/>
    <w:rsid w:val="00E7118D"/>
    <w:rsid w:val="00E71358"/>
    <w:rsid w:val="00E71A8E"/>
    <w:rsid w:val="00E71B03"/>
    <w:rsid w:val="00E71BD3"/>
    <w:rsid w:val="00E71D2D"/>
    <w:rsid w:val="00E7222F"/>
    <w:rsid w:val="00E722EE"/>
    <w:rsid w:val="00E72AE4"/>
    <w:rsid w:val="00E72AE9"/>
    <w:rsid w:val="00E72EF0"/>
    <w:rsid w:val="00E732DA"/>
    <w:rsid w:val="00E735AA"/>
    <w:rsid w:val="00E7374F"/>
    <w:rsid w:val="00E73759"/>
    <w:rsid w:val="00E737E0"/>
    <w:rsid w:val="00E7399A"/>
    <w:rsid w:val="00E73AC6"/>
    <w:rsid w:val="00E73B73"/>
    <w:rsid w:val="00E73CE4"/>
    <w:rsid w:val="00E73E6C"/>
    <w:rsid w:val="00E741EC"/>
    <w:rsid w:val="00E74254"/>
    <w:rsid w:val="00E74417"/>
    <w:rsid w:val="00E7459D"/>
    <w:rsid w:val="00E74766"/>
    <w:rsid w:val="00E74B1B"/>
    <w:rsid w:val="00E74BCD"/>
    <w:rsid w:val="00E74D29"/>
    <w:rsid w:val="00E74E37"/>
    <w:rsid w:val="00E7500D"/>
    <w:rsid w:val="00E7506D"/>
    <w:rsid w:val="00E753C0"/>
    <w:rsid w:val="00E7568A"/>
    <w:rsid w:val="00E756C8"/>
    <w:rsid w:val="00E75778"/>
    <w:rsid w:val="00E75878"/>
    <w:rsid w:val="00E75AA6"/>
    <w:rsid w:val="00E75EE6"/>
    <w:rsid w:val="00E75FB7"/>
    <w:rsid w:val="00E76046"/>
    <w:rsid w:val="00E7619D"/>
    <w:rsid w:val="00E7622B"/>
    <w:rsid w:val="00E76395"/>
    <w:rsid w:val="00E7644E"/>
    <w:rsid w:val="00E76492"/>
    <w:rsid w:val="00E766E6"/>
    <w:rsid w:val="00E7688B"/>
    <w:rsid w:val="00E76DDD"/>
    <w:rsid w:val="00E76E5E"/>
    <w:rsid w:val="00E76FE2"/>
    <w:rsid w:val="00E7700A"/>
    <w:rsid w:val="00E772AE"/>
    <w:rsid w:val="00E7740A"/>
    <w:rsid w:val="00E774E5"/>
    <w:rsid w:val="00E775CC"/>
    <w:rsid w:val="00E7773B"/>
    <w:rsid w:val="00E77DE9"/>
    <w:rsid w:val="00E804A0"/>
    <w:rsid w:val="00E80B00"/>
    <w:rsid w:val="00E80B93"/>
    <w:rsid w:val="00E80DE7"/>
    <w:rsid w:val="00E80E23"/>
    <w:rsid w:val="00E810C3"/>
    <w:rsid w:val="00E812F3"/>
    <w:rsid w:val="00E8147F"/>
    <w:rsid w:val="00E81543"/>
    <w:rsid w:val="00E8157F"/>
    <w:rsid w:val="00E817B0"/>
    <w:rsid w:val="00E81A00"/>
    <w:rsid w:val="00E81BC5"/>
    <w:rsid w:val="00E81D0C"/>
    <w:rsid w:val="00E82015"/>
    <w:rsid w:val="00E82534"/>
    <w:rsid w:val="00E82947"/>
    <w:rsid w:val="00E82DF0"/>
    <w:rsid w:val="00E8353D"/>
    <w:rsid w:val="00E8353E"/>
    <w:rsid w:val="00E83606"/>
    <w:rsid w:val="00E83746"/>
    <w:rsid w:val="00E83844"/>
    <w:rsid w:val="00E83C12"/>
    <w:rsid w:val="00E83E51"/>
    <w:rsid w:val="00E83F54"/>
    <w:rsid w:val="00E840A0"/>
    <w:rsid w:val="00E84224"/>
    <w:rsid w:val="00E84778"/>
    <w:rsid w:val="00E848EC"/>
    <w:rsid w:val="00E84A3C"/>
    <w:rsid w:val="00E84A41"/>
    <w:rsid w:val="00E84AE6"/>
    <w:rsid w:val="00E84CD8"/>
    <w:rsid w:val="00E84D50"/>
    <w:rsid w:val="00E84FB5"/>
    <w:rsid w:val="00E850C3"/>
    <w:rsid w:val="00E85168"/>
    <w:rsid w:val="00E852F8"/>
    <w:rsid w:val="00E857C2"/>
    <w:rsid w:val="00E85858"/>
    <w:rsid w:val="00E85B55"/>
    <w:rsid w:val="00E85BF2"/>
    <w:rsid w:val="00E85D2E"/>
    <w:rsid w:val="00E85E08"/>
    <w:rsid w:val="00E85E10"/>
    <w:rsid w:val="00E863E7"/>
    <w:rsid w:val="00E8693B"/>
    <w:rsid w:val="00E86B8A"/>
    <w:rsid w:val="00E86D54"/>
    <w:rsid w:val="00E86E8C"/>
    <w:rsid w:val="00E8700D"/>
    <w:rsid w:val="00E8712C"/>
    <w:rsid w:val="00E87438"/>
    <w:rsid w:val="00E8743D"/>
    <w:rsid w:val="00E87641"/>
    <w:rsid w:val="00E876D2"/>
    <w:rsid w:val="00E8777D"/>
    <w:rsid w:val="00E8781B"/>
    <w:rsid w:val="00E8798D"/>
    <w:rsid w:val="00E87C6A"/>
    <w:rsid w:val="00E87CE6"/>
    <w:rsid w:val="00E90154"/>
    <w:rsid w:val="00E902D3"/>
    <w:rsid w:val="00E9038E"/>
    <w:rsid w:val="00E90490"/>
    <w:rsid w:val="00E905DF"/>
    <w:rsid w:val="00E907E4"/>
    <w:rsid w:val="00E9082E"/>
    <w:rsid w:val="00E908C8"/>
    <w:rsid w:val="00E90BC7"/>
    <w:rsid w:val="00E90D0D"/>
    <w:rsid w:val="00E90F68"/>
    <w:rsid w:val="00E91099"/>
    <w:rsid w:val="00E910FA"/>
    <w:rsid w:val="00E91260"/>
    <w:rsid w:val="00E917F2"/>
    <w:rsid w:val="00E9186E"/>
    <w:rsid w:val="00E91904"/>
    <w:rsid w:val="00E91924"/>
    <w:rsid w:val="00E91976"/>
    <w:rsid w:val="00E91AB3"/>
    <w:rsid w:val="00E91C82"/>
    <w:rsid w:val="00E91CE2"/>
    <w:rsid w:val="00E91F3A"/>
    <w:rsid w:val="00E924DA"/>
    <w:rsid w:val="00E92B67"/>
    <w:rsid w:val="00E92CA7"/>
    <w:rsid w:val="00E92D57"/>
    <w:rsid w:val="00E92EEC"/>
    <w:rsid w:val="00E92FA8"/>
    <w:rsid w:val="00E93509"/>
    <w:rsid w:val="00E93673"/>
    <w:rsid w:val="00E936C1"/>
    <w:rsid w:val="00E9372A"/>
    <w:rsid w:val="00E93C63"/>
    <w:rsid w:val="00E93ED8"/>
    <w:rsid w:val="00E9441D"/>
    <w:rsid w:val="00E946CF"/>
    <w:rsid w:val="00E94ABA"/>
    <w:rsid w:val="00E94B33"/>
    <w:rsid w:val="00E94BC0"/>
    <w:rsid w:val="00E94EF6"/>
    <w:rsid w:val="00E951AC"/>
    <w:rsid w:val="00E952A0"/>
    <w:rsid w:val="00E9535C"/>
    <w:rsid w:val="00E95738"/>
    <w:rsid w:val="00E957CA"/>
    <w:rsid w:val="00E95924"/>
    <w:rsid w:val="00E95BD6"/>
    <w:rsid w:val="00E95DC4"/>
    <w:rsid w:val="00E95E72"/>
    <w:rsid w:val="00E96085"/>
    <w:rsid w:val="00E96AA6"/>
    <w:rsid w:val="00E97017"/>
    <w:rsid w:val="00E97044"/>
    <w:rsid w:val="00E971A6"/>
    <w:rsid w:val="00E9733E"/>
    <w:rsid w:val="00E97498"/>
    <w:rsid w:val="00E9754A"/>
    <w:rsid w:val="00E97900"/>
    <w:rsid w:val="00E979A6"/>
    <w:rsid w:val="00E97A86"/>
    <w:rsid w:val="00E97ACA"/>
    <w:rsid w:val="00E97C07"/>
    <w:rsid w:val="00E97E63"/>
    <w:rsid w:val="00EA03AC"/>
    <w:rsid w:val="00EA0514"/>
    <w:rsid w:val="00EA05CE"/>
    <w:rsid w:val="00EA0B75"/>
    <w:rsid w:val="00EA0C02"/>
    <w:rsid w:val="00EA0EE8"/>
    <w:rsid w:val="00EA116F"/>
    <w:rsid w:val="00EA11B0"/>
    <w:rsid w:val="00EA13A1"/>
    <w:rsid w:val="00EA1A35"/>
    <w:rsid w:val="00EA1A9C"/>
    <w:rsid w:val="00EA1B24"/>
    <w:rsid w:val="00EA1DCD"/>
    <w:rsid w:val="00EA1F4D"/>
    <w:rsid w:val="00EA257F"/>
    <w:rsid w:val="00EA2808"/>
    <w:rsid w:val="00EA28A8"/>
    <w:rsid w:val="00EA29DE"/>
    <w:rsid w:val="00EA29F7"/>
    <w:rsid w:val="00EA2D3E"/>
    <w:rsid w:val="00EA2D8A"/>
    <w:rsid w:val="00EA2E42"/>
    <w:rsid w:val="00EA2EF4"/>
    <w:rsid w:val="00EA32D5"/>
    <w:rsid w:val="00EA35D3"/>
    <w:rsid w:val="00EA3A1C"/>
    <w:rsid w:val="00EA3B5D"/>
    <w:rsid w:val="00EA3DC8"/>
    <w:rsid w:val="00EA40A4"/>
    <w:rsid w:val="00EA42AD"/>
    <w:rsid w:val="00EA4392"/>
    <w:rsid w:val="00EA443F"/>
    <w:rsid w:val="00EA4494"/>
    <w:rsid w:val="00EA45C3"/>
    <w:rsid w:val="00EA45E3"/>
    <w:rsid w:val="00EA4F77"/>
    <w:rsid w:val="00EA5284"/>
    <w:rsid w:val="00EA53F9"/>
    <w:rsid w:val="00EA58D3"/>
    <w:rsid w:val="00EA5989"/>
    <w:rsid w:val="00EA6276"/>
    <w:rsid w:val="00EA63E4"/>
    <w:rsid w:val="00EA64FD"/>
    <w:rsid w:val="00EA653C"/>
    <w:rsid w:val="00EA6591"/>
    <w:rsid w:val="00EA67B7"/>
    <w:rsid w:val="00EA6926"/>
    <w:rsid w:val="00EA6AC0"/>
    <w:rsid w:val="00EA6BAB"/>
    <w:rsid w:val="00EA6F8E"/>
    <w:rsid w:val="00EA6FD8"/>
    <w:rsid w:val="00EA7156"/>
    <w:rsid w:val="00EA71A4"/>
    <w:rsid w:val="00EA7341"/>
    <w:rsid w:val="00EA7513"/>
    <w:rsid w:val="00EA763E"/>
    <w:rsid w:val="00EA7917"/>
    <w:rsid w:val="00EA7A12"/>
    <w:rsid w:val="00EA7A6D"/>
    <w:rsid w:val="00EA7C59"/>
    <w:rsid w:val="00EA7E2D"/>
    <w:rsid w:val="00EA7F86"/>
    <w:rsid w:val="00EB01B9"/>
    <w:rsid w:val="00EB01CE"/>
    <w:rsid w:val="00EB034E"/>
    <w:rsid w:val="00EB06B5"/>
    <w:rsid w:val="00EB06B7"/>
    <w:rsid w:val="00EB0C10"/>
    <w:rsid w:val="00EB0D00"/>
    <w:rsid w:val="00EB0DF5"/>
    <w:rsid w:val="00EB1127"/>
    <w:rsid w:val="00EB12E5"/>
    <w:rsid w:val="00EB1449"/>
    <w:rsid w:val="00EB158D"/>
    <w:rsid w:val="00EB1652"/>
    <w:rsid w:val="00EB167C"/>
    <w:rsid w:val="00EB1748"/>
    <w:rsid w:val="00EB1818"/>
    <w:rsid w:val="00EB18EF"/>
    <w:rsid w:val="00EB1B47"/>
    <w:rsid w:val="00EB260F"/>
    <w:rsid w:val="00EB262C"/>
    <w:rsid w:val="00EB2650"/>
    <w:rsid w:val="00EB26A3"/>
    <w:rsid w:val="00EB2AE0"/>
    <w:rsid w:val="00EB2C3F"/>
    <w:rsid w:val="00EB3329"/>
    <w:rsid w:val="00EB350F"/>
    <w:rsid w:val="00EB3925"/>
    <w:rsid w:val="00EB3958"/>
    <w:rsid w:val="00EB39C3"/>
    <w:rsid w:val="00EB3F95"/>
    <w:rsid w:val="00EB414C"/>
    <w:rsid w:val="00EB4197"/>
    <w:rsid w:val="00EB4401"/>
    <w:rsid w:val="00EB460C"/>
    <w:rsid w:val="00EB480B"/>
    <w:rsid w:val="00EB4A46"/>
    <w:rsid w:val="00EB4A95"/>
    <w:rsid w:val="00EB4ABC"/>
    <w:rsid w:val="00EB4B17"/>
    <w:rsid w:val="00EB4C4D"/>
    <w:rsid w:val="00EB4DA0"/>
    <w:rsid w:val="00EB5330"/>
    <w:rsid w:val="00EB5380"/>
    <w:rsid w:val="00EB5392"/>
    <w:rsid w:val="00EB5468"/>
    <w:rsid w:val="00EB5538"/>
    <w:rsid w:val="00EB57B1"/>
    <w:rsid w:val="00EB5A0D"/>
    <w:rsid w:val="00EB5D2C"/>
    <w:rsid w:val="00EB5D91"/>
    <w:rsid w:val="00EB6190"/>
    <w:rsid w:val="00EB6650"/>
    <w:rsid w:val="00EB66E4"/>
    <w:rsid w:val="00EB6759"/>
    <w:rsid w:val="00EB6C55"/>
    <w:rsid w:val="00EB6F94"/>
    <w:rsid w:val="00EB7032"/>
    <w:rsid w:val="00EB760F"/>
    <w:rsid w:val="00EB791F"/>
    <w:rsid w:val="00EB792E"/>
    <w:rsid w:val="00EB7A24"/>
    <w:rsid w:val="00EB7E9C"/>
    <w:rsid w:val="00EB7F6D"/>
    <w:rsid w:val="00EC01D8"/>
    <w:rsid w:val="00EC03B5"/>
    <w:rsid w:val="00EC05F0"/>
    <w:rsid w:val="00EC0693"/>
    <w:rsid w:val="00EC06A1"/>
    <w:rsid w:val="00EC07DF"/>
    <w:rsid w:val="00EC086A"/>
    <w:rsid w:val="00EC08EF"/>
    <w:rsid w:val="00EC09DC"/>
    <w:rsid w:val="00EC0C07"/>
    <w:rsid w:val="00EC0E82"/>
    <w:rsid w:val="00EC0FB8"/>
    <w:rsid w:val="00EC14BC"/>
    <w:rsid w:val="00EC1752"/>
    <w:rsid w:val="00EC1A58"/>
    <w:rsid w:val="00EC1AD6"/>
    <w:rsid w:val="00EC1EB0"/>
    <w:rsid w:val="00EC1F90"/>
    <w:rsid w:val="00EC2052"/>
    <w:rsid w:val="00EC2131"/>
    <w:rsid w:val="00EC2340"/>
    <w:rsid w:val="00EC2403"/>
    <w:rsid w:val="00EC2429"/>
    <w:rsid w:val="00EC24BD"/>
    <w:rsid w:val="00EC26CC"/>
    <w:rsid w:val="00EC2789"/>
    <w:rsid w:val="00EC2818"/>
    <w:rsid w:val="00EC292E"/>
    <w:rsid w:val="00EC2B41"/>
    <w:rsid w:val="00EC2D68"/>
    <w:rsid w:val="00EC2FF5"/>
    <w:rsid w:val="00EC3155"/>
    <w:rsid w:val="00EC3900"/>
    <w:rsid w:val="00EC3AF9"/>
    <w:rsid w:val="00EC3BD8"/>
    <w:rsid w:val="00EC3C35"/>
    <w:rsid w:val="00EC3ED4"/>
    <w:rsid w:val="00EC3EEA"/>
    <w:rsid w:val="00EC3FD8"/>
    <w:rsid w:val="00EC418A"/>
    <w:rsid w:val="00EC4232"/>
    <w:rsid w:val="00EC43F9"/>
    <w:rsid w:val="00EC44EF"/>
    <w:rsid w:val="00EC46F4"/>
    <w:rsid w:val="00EC47E9"/>
    <w:rsid w:val="00EC4B15"/>
    <w:rsid w:val="00EC4CCC"/>
    <w:rsid w:val="00EC4D73"/>
    <w:rsid w:val="00EC500A"/>
    <w:rsid w:val="00EC50F8"/>
    <w:rsid w:val="00EC537A"/>
    <w:rsid w:val="00EC54BE"/>
    <w:rsid w:val="00EC54C5"/>
    <w:rsid w:val="00EC5A74"/>
    <w:rsid w:val="00EC5BA3"/>
    <w:rsid w:val="00EC5F31"/>
    <w:rsid w:val="00EC5FA4"/>
    <w:rsid w:val="00EC5FC8"/>
    <w:rsid w:val="00EC61C3"/>
    <w:rsid w:val="00EC6264"/>
    <w:rsid w:val="00EC62C5"/>
    <w:rsid w:val="00EC648B"/>
    <w:rsid w:val="00EC6564"/>
    <w:rsid w:val="00EC661B"/>
    <w:rsid w:val="00EC66E0"/>
    <w:rsid w:val="00EC673F"/>
    <w:rsid w:val="00EC6B6C"/>
    <w:rsid w:val="00EC6BC5"/>
    <w:rsid w:val="00EC6C08"/>
    <w:rsid w:val="00EC6CFA"/>
    <w:rsid w:val="00EC6E08"/>
    <w:rsid w:val="00EC6EDC"/>
    <w:rsid w:val="00EC6F39"/>
    <w:rsid w:val="00EC7008"/>
    <w:rsid w:val="00EC70BB"/>
    <w:rsid w:val="00EC739F"/>
    <w:rsid w:val="00EC73FE"/>
    <w:rsid w:val="00EC7610"/>
    <w:rsid w:val="00EC79EC"/>
    <w:rsid w:val="00EC7AEA"/>
    <w:rsid w:val="00EC7D58"/>
    <w:rsid w:val="00ED00CA"/>
    <w:rsid w:val="00ED0144"/>
    <w:rsid w:val="00ED01BD"/>
    <w:rsid w:val="00ED0228"/>
    <w:rsid w:val="00ED0436"/>
    <w:rsid w:val="00ED06A1"/>
    <w:rsid w:val="00ED0997"/>
    <w:rsid w:val="00ED0A3E"/>
    <w:rsid w:val="00ED0D04"/>
    <w:rsid w:val="00ED0D5B"/>
    <w:rsid w:val="00ED0DB0"/>
    <w:rsid w:val="00ED101B"/>
    <w:rsid w:val="00ED1325"/>
    <w:rsid w:val="00ED14A2"/>
    <w:rsid w:val="00ED1747"/>
    <w:rsid w:val="00ED18F7"/>
    <w:rsid w:val="00ED1C31"/>
    <w:rsid w:val="00ED1C72"/>
    <w:rsid w:val="00ED1EC6"/>
    <w:rsid w:val="00ED2523"/>
    <w:rsid w:val="00ED25FB"/>
    <w:rsid w:val="00ED297B"/>
    <w:rsid w:val="00ED2D44"/>
    <w:rsid w:val="00ED2E1A"/>
    <w:rsid w:val="00ED2E9C"/>
    <w:rsid w:val="00ED3016"/>
    <w:rsid w:val="00ED3238"/>
    <w:rsid w:val="00ED32CD"/>
    <w:rsid w:val="00ED37FD"/>
    <w:rsid w:val="00ED3891"/>
    <w:rsid w:val="00ED3B22"/>
    <w:rsid w:val="00ED3E68"/>
    <w:rsid w:val="00ED3FF6"/>
    <w:rsid w:val="00ED43A4"/>
    <w:rsid w:val="00ED461B"/>
    <w:rsid w:val="00ED48B5"/>
    <w:rsid w:val="00ED497B"/>
    <w:rsid w:val="00ED4B1A"/>
    <w:rsid w:val="00ED50E9"/>
    <w:rsid w:val="00ED5157"/>
    <w:rsid w:val="00ED5246"/>
    <w:rsid w:val="00ED53B8"/>
    <w:rsid w:val="00ED545E"/>
    <w:rsid w:val="00ED55B4"/>
    <w:rsid w:val="00ED55D0"/>
    <w:rsid w:val="00ED5667"/>
    <w:rsid w:val="00ED585D"/>
    <w:rsid w:val="00ED5982"/>
    <w:rsid w:val="00ED59D6"/>
    <w:rsid w:val="00ED5B80"/>
    <w:rsid w:val="00ED62E6"/>
    <w:rsid w:val="00ED6371"/>
    <w:rsid w:val="00ED63BB"/>
    <w:rsid w:val="00ED64BC"/>
    <w:rsid w:val="00ED6531"/>
    <w:rsid w:val="00ED6640"/>
    <w:rsid w:val="00ED66AD"/>
    <w:rsid w:val="00ED6B28"/>
    <w:rsid w:val="00ED6BE3"/>
    <w:rsid w:val="00ED6C7B"/>
    <w:rsid w:val="00ED6F1D"/>
    <w:rsid w:val="00ED6FD4"/>
    <w:rsid w:val="00ED7617"/>
    <w:rsid w:val="00ED7A2E"/>
    <w:rsid w:val="00ED7A6B"/>
    <w:rsid w:val="00ED7A90"/>
    <w:rsid w:val="00ED7BD2"/>
    <w:rsid w:val="00EE0235"/>
    <w:rsid w:val="00EE0434"/>
    <w:rsid w:val="00EE04E2"/>
    <w:rsid w:val="00EE07E7"/>
    <w:rsid w:val="00EE098A"/>
    <w:rsid w:val="00EE0A39"/>
    <w:rsid w:val="00EE0C4A"/>
    <w:rsid w:val="00EE0D34"/>
    <w:rsid w:val="00EE0EFF"/>
    <w:rsid w:val="00EE0F08"/>
    <w:rsid w:val="00EE0F99"/>
    <w:rsid w:val="00EE1077"/>
    <w:rsid w:val="00EE1177"/>
    <w:rsid w:val="00EE165D"/>
    <w:rsid w:val="00EE1BBD"/>
    <w:rsid w:val="00EE1E6A"/>
    <w:rsid w:val="00EE1F0B"/>
    <w:rsid w:val="00EE1F30"/>
    <w:rsid w:val="00EE1F56"/>
    <w:rsid w:val="00EE2224"/>
    <w:rsid w:val="00EE229E"/>
    <w:rsid w:val="00EE22D7"/>
    <w:rsid w:val="00EE2AC5"/>
    <w:rsid w:val="00EE2AF0"/>
    <w:rsid w:val="00EE2CF2"/>
    <w:rsid w:val="00EE3100"/>
    <w:rsid w:val="00EE3E11"/>
    <w:rsid w:val="00EE3F61"/>
    <w:rsid w:val="00EE426C"/>
    <w:rsid w:val="00EE42C8"/>
    <w:rsid w:val="00EE455F"/>
    <w:rsid w:val="00EE4585"/>
    <w:rsid w:val="00EE4600"/>
    <w:rsid w:val="00EE46AE"/>
    <w:rsid w:val="00EE4A9F"/>
    <w:rsid w:val="00EE4C15"/>
    <w:rsid w:val="00EE5499"/>
    <w:rsid w:val="00EE571D"/>
    <w:rsid w:val="00EE5808"/>
    <w:rsid w:val="00EE5863"/>
    <w:rsid w:val="00EE58D0"/>
    <w:rsid w:val="00EE597C"/>
    <w:rsid w:val="00EE5A57"/>
    <w:rsid w:val="00EE5B49"/>
    <w:rsid w:val="00EE5B95"/>
    <w:rsid w:val="00EE5BBC"/>
    <w:rsid w:val="00EE64E2"/>
    <w:rsid w:val="00EE65A5"/>
    <w:rsid w:val="00EE6655"/>
    <w:rsid w:val="00EE66C0"/>
    <w:rsid w:val="00EE67C3"/>
    <w:rsid w:val="00EE6822"/>
    <w:rsid w:val="00EE694B"/>
    <w:rsid w:val="00EE6CD8"/>
    <w:rsid w:val="00EE6CE5"/>
    <w:rsid w:val="00EE6D84"/>
    <w:rsid w:val="00EE6DF7"/>
    <w:rsid w:val="00EE6F52"/>
    <w:rsid w:val="00EE7287"/>
    <w:rsid w:val="00EE73D9"/>
    <w:rsid w:val="00EE782A"/>
    <w:rsid w:val="00EE7BAA"/>
    <w:rsid w:val="00EF0203"/>
    <w:rsid w:val="00EF02BC"/>
    <w:rsid w:val="00EF052A"/>
    <w:rsid w:val="00EF0637"/>
    <w:rsid w:val="00EF07C0"/>
    <w:rsid w:val="00EF08D5"/>
    <w:rsid w:val="00EF0A16"/>
    <w:rsid w:val="00EF0DF8"/>
    <w:rsid w:val="00EF109A"/>
    <w:rsid w:val="00EF1193"/>
    <w:rsid w:val="00EF11BC"/>
    <w:rsid w:val="00EF1356"/>
    <w:rsid w:val="00EF13A6"/>
    <w:rsid w:val="00EF144E"/>
    <w:rsid w:val="00EF15E4"/>
    <w:rsid w:val="00EF1701"/>
    <w:rsid w:val="00EF1866"/>
    <w:rsid w:val="00EF19A6"/>
    <w:rsid w:val="00EF19E8"/>
    <w:rsid w:val="00EF1AB7"/>
    <w:rsid w:val="00EF1B2C"/>
    <w:rsid w:val="00EF1BAB"/>
    <w:rsid w:val="00EF2042"/>
    <w:rsid w:val="00EF234C"/>
    <w:rsid w:val="00EF2360"/>
    <w:rsid w:val="00EF273D"/>
    <w:rsid w:val="00EF2987"/>
    <w:rsid w:val="00EF2B16"/>
    <w:rsid w:val="00EF2B8D"/>
    <w:rsid w:val="00EF2CBE"/>
    <w:rsid w:val="00EF2E8C"/>
    <w:rsid w:val="00EF2E90"/>
    <w:rsid w:val="00EF3021"/>
    <w:rsid w:val="00EF324E"/>
    <w:rsid w:val="00EF3368"/>
    <w:rsid w:val="00EF340B"/>
    <w:rsid w:val="00EF35E0"/>
    <w:rsid w:val="00EF38E4"/>
    <w:rsid w:val="00EF3A22"/>
    <w:rsid w:val="00EF3DE7"/>
    <w:rsid w:val="00EF3DE8"/>
    <w:rsid w:val="00EF3E14"/>
    <w:rsid w:val="00EF3E4D"/>
    <w:rsid w:val="00EF40F3"/>
    <w:rsid w:val="00EF43D3"/>
    <w:rsid w:val="00EF44FA"/>
    <w:rsid w:val="00EF48D8"/>
    <w:rsid w:val="00EF4C0E"/>
    <w:rsid w:val="00EF4D7C"/>
    <w:rsid w:val="00EF4DC3"/>
    <w:rsid w:val="00EF4F53"/>
    <w:rsid w:val="00EF4FBE"/>
    <w:rsid w:val="00EF504A"/>
    <w:rsid w:val="00EF50BA"/>
    <w:rsid w:val="00EF515D"/>
    <w:rsid w:val="00EF519D"/>
    <w:rsid w:val="00EF54E4"/>
    <w:rsid w:val="00EF5617"/>
    <w:rsid w:val="00EF577D"/>
    <w:rsid w:val="00EF58CB"/>
    <w:rsid w:val="00EF591C"/>
    <w:rsid w:val="00EF592B"/>
    <w:rsid w:val="00EF5ECA"/>
    <w:rsid w:val="00EF6075"/>
    <w:rsid w:val="00EF616F"/>
    <w:rsid w:val="00EF638C"/>
    <w:rsid w:val="00EF6462"/>
    <w:rsid w:val="00EF6909"/>
    <w:rsid w:val="00EF6F09"/>
    <w:rsid w:val="00EF704D"/>
    <w:rsid w:val="00EF715E"/>
    <w:rsid w:val="00EF726D"/>
    <w:rsid w:val="00EF743C"/>
    <w:rsid w:val="00EF75E9"/>
    <w:rsid w:val="00EF7914"/>
    <w:rsid w:val="00EF79D9"/>
    <w:rsid w:val="00EF7E69"/>
    <w:rsid w:val="00EF7E72"/>
    <w:rsid w:val="00EF7FF7"/>
    <w:rsid w:val="00F0009E"/>
    <w:rsid w:val="00F002A2"/>
    <w:rsid w:val="00F00497"/>
    <w:rsid w:val="00F009AB"/>
    <w:rsid w:val="00F009CD"/>
    <w:rsid w:val="00F00AA5"/>
    <w:rsid w:val="00F00B7C"/>
    <w:rsid w:val="00F00B9C"/>
    <w:rsid w:val="00F010D3"/>
    <w:rsid w:val="00F011AE"/>
    <w:rsid w:val="00F01404"/>
    <w:rsid w:val="00F015EC"/>
    <w:rsid w:val="00F01802"/>
    <w:rsid w:val="00F019FA"/>
    <w:rsid w:val="00F02190"/>
    <w:rsid w:val="00F022EE"/>
    <w:rsid w:val="00F023D2"/>
    <w:rsid w:val="00F0243D"/>
    <w:rsid w:val="00F02602"/>
    <w:rsid w:val="00F026ED"/>
    <w:rsid w:val="00F02892"/>
    <w:rsid w:val="00F02934"/>
    <w:rsid w:val="00F02E62"/>
    <w:rsid w:val="00F02F92"/>
    <w:rsid w:val="00F03044"/>
    <w:rsid w:val="00F03112"/>
    <w:rsid w:val="00F03461"/>
    <w:rsid w:val="00F0373C"/>
    <w:rsid w:val="00F03BA4"/>
    <w:rsid w:val="00F0403D"/>
    <w:rsid w:val="00F04261"/>
    <w:rsid w:val="00F0430A"/>
    <w:rsid w:val="00F045BC"/>
    <w:rsid w:val="00F0475D"/>
    <w:rsid w:val="00F047B9"/>
    <w:rsid w:val="00F04A63"/>
    <w:rsid w:val="00F04AC6"/>
    <w:rsid w:val="00F04AEE"/>
    <w:rsid w:val="00F04EE2"/>
    <w:rsid w:val="00F0518F"/>
    <w:rsid w:val="00F053EA"/>
    <w:rsid w:val="00F05454"/>
    <w:rsid w:val="00F055B1"/>
    <w:rsid w:val="00F057BF"/>
    <w:rsid w:val="00F05E30"/>
    <w:rsid w:val="00F0631D"/>
    <w:rsid w:val="00F063DE"/>
    <w:rsid w:val="00F0668E"/>
    <w:rsid w:val="00F067F5"/>
    <w:rsid w:val="00F06BDE"/>
    <w:rsid w:val="00F06C94"/>
    <w:rsid w:val="00F06D62"/>
    <w:rsid w:val="00F07077"/>
    <w:rsid w:val="00F073A4"/>
    <w:rsid w:val="00F0741A"/>
    <w:rsid w:val="00F07460"/>
    <w:rsid w:val="00F0766E"/>
    <w:rsid w:val="00F0777D"/>
    <w:rsid w:val="00F07D90"/>
    <w:rsid w:val="00F07DE6"/>
    <w:rsid w:val="00F1003D"/>
    <w:rsid w:val="00F100C5"/>
    <w:rsid w:val="00F100EE"/>
    <w:rsid w:val="00F100F2"/>
    <w:rsid w:val="00F105B6"/>
    <w:rsid w:val="00F1064C"/>
    <w:rsid w:val="00F10E6C"/>
    <w:rsid w:val="00F11093"/>
    <w:rsid w:val="00F112A4"/>
    <w:rsid w:val="00F119A1"/>
    <w:rsid w:val="00F11A6F"/>
    <w:rsid w:val="00F11B3B"/>
    <w:rsid w:val="00F11C0E"/>
    <w:rsid w:val="00F11C1F"/>
    <w:rsid w:val="00F11EFB"/>
    <w:rsid w:val="00F11EFE"/>
    <w:rsid w:val="00F12516"/>
    <w:rsid w:val="00F126BE"/>
    <w:rsid w:val="00F128E0"/>
    <w:rsid w:val="00F12A2E"/>
    <w:rsid w:val="00F12C98"/>
    <w:rsid w:val="00F12CBF"/>
    <w:rsid w:val="00F12E24"/>
    <w:rsid w:val="00F12FAC"/>
    <w:rsid w:val="00F13457"/>
    <w:rsid w:val="00F13516"/>
    <w:rsid w:val="00F136F8"/>
    <w:rsid w:val="00F1371F"/>
    <w:rsid w:val="00F13AB1"/>
    <w:rsid w:val="00F13F2B"/>
    <w:rsid w:val="00F14229"/>
    <w:rsid w:val="00F14316"/>
    <w:rsid w:val="00F14335"/>
    <w:rsid w:val="00F144F7"/>
    <w:rsid w:val="00F14559"/>
    <w:rsid w:val="00F1475E"/>
    <w:rsid w:val="00F14A9A"/>
    <w:rsid w:val="00F14EA4"/>
    <w:rsid w:val="00F14F23"/>
    <w:rsid w:val="00F151FA"/>
    <w:rsid w:val="00F15291"/>
    <w:rsid w:val="00F15309"/>
    <w:rsid w:val="00F153A0"/>
    <w:rsid w:val="00F156A3"/>
    <w:rsid w:val="00F15A6C"/>
    <w:rsid w:val="00F15A80"/>
    <w:rsid w:val="00F15B59"/>
    <w:rsid w:val="00F15E9F"/>
    <w:rsid w:val="00F15F85"/>
    <w:rsid w:val="00F160B8"/>
    <w:rsid w:val="00F16268"/>
    <w:rsid w:val="00F164D1"/>
    <w:rsid w:val="00F1650D"/>
    <w:rsid w:val="00F165FF"/>
    <w:rsid w:val="00F16764"/>
    <w:rsid w:val="00F168BD"/>
    <w:rsid w:val="00F16A36"/>
    <w:rsid w:val="00F16A75"/>
    <w:rsid w:val="00F16ABE"/>
    <w:rsid w:val="00F16BBA"/>
    <w:rsid w:val="00F16D39"/>
    <w:rsid w:val="00F16DA8"/>
    <w:rsid w:val="00F16EA1"/>
    <w:rsid w:val="00F16F54"/>
    <w:rsid w:val="00F17325"/>
    <w:rsid w:val="00F17390"/>
    <w:rsid w:val="00F17734"/>
    <w:rsid w:val="00F17777"/>
    <w:rsid w:val="00F17907"/>
    <w:rsid w:val="00F17AFE"/>
    <w:rsid w:val="00F17B2E"/>
    <w:rsid w:val="00F17C07"/>
    <w:rsid w:val="00F17E38"/>
    <w:rsid w:val="00F20062"/>
    <w:rsid w:val="00F20270"/>
    <w:rsid w:val="00F20331"/>
    <w:rsid w:val="00F20345"/>
    <w:rsid w:val="00F2052B"/>
    <w:rsid w:val="00F206AA"/>
    <w:rsid w:val="00F2073B"/>
    <w:rsid w:val="00F20760"/>
    <w:rsid w:val="00F209B6"/>
    <w:rsid w:val="00F20A78"/>
    <w:rsid w:val="00F20DF4"/>
    <w:rsid w:val="00F20EE8"/>
    <w:rsid w:val="00F20F1E"/>
    <w:rsid w:val="00F21180"/>
    <w:rsid w:val="00F213AE"/>
    <w:rsid w:val="00F214DD"/>
    <w:rsid w:val="00F2158F"/>
    <w:rsid w:val="00F21752"/>
    <w:rsid w:val="00F218A3"/>
    <w:rsid w:val="00F21AAC"/>
    <w:rsid w:val="00F21B56"/>
    <w:rsid w:val="00F21EBB"/>
    <w:rsid w:val="00F21F86"/>
    <w:rsid w:val="00F222AB"/>
    <w:rsid w:val="00F222FD"/>
    <w:rsid w:val="00F22440"/>
    <w:rsid w:val="00F2258D"/>
    <w:rsid w:val="00F22900"/>
    <w:rsid w:val="00F22B89"/>
    <w:rsid w:val="00F22E3A"/>
    <w:rsid w:val="00F22ED6"/>
    <w:rsid w:val="00F23357"/>
    <w:rsid w:val="00F233E7"/>
    <w:rsid w:val="00F23421"/>
    <w:rsid w:val="00F23469"/>
    <w:rsid w:val="00F239B6"/>
    <w:rsid w:val="00F23B45"/>
    <w:rsid w:val="00F23BE5"/>
    <w:rsid w:val="00F23FE7"/>
    <w:rsid w:val="00F2401C"/>
    <w:rsid w:val="00F2455A"/>
    <w:rsid w:val="00F245C2"/>
    <w:rsid w:val="00F24659"/>
    <w:rsid w:val="00F246D3"/>
    <w:rsid w:val="00F24C6B"/>
    <w:rsid w:val="00F24C92"/>
    <w:rsid w:val="00F24DBD"/>
    <w:rsid w:val="00F24E83"/>
    <w:rsid w:val="00F24EF4"/>
    <w:rsid w:val="00F25197"/>
    <w:rsid w:val="00F25348"/>
    <w:rsid w:val="00F25420"/>
    <w:rsid w:val="00F255D3"/>
    <w:rsid w:val="00F25B48"/>
    <w:rsid w:val="00F25B7A"/>
    <w:rsid w:val="00F25E01"/>
    <w:rsid w:val="00F260CA"/>
    <w:rsid w:val="00F26143"/>
    <w:rsid w:val="00F26194"/>
    <w:rsid w:val="00F26824"/>
    <w:rsid w:val="00F2682C"/>
    <w:rsid w:val="00F26A4D"/>
    <w:rsid w:val="00F26A83"/>
    <w:rsid w:val="00F26B37"/>
    <w:rsid w:val="00F26BD6"/>
    <w:rsid w:val="00F2708C"/>
    <w:rsid w:val="00F27493"/>
    <w:rsid w:val="00F277C1"/>
    <w:rsid w:val="00F277DC"/>
    <w:rsid w:val="00F27AAF"/>
    <w:rsid w:val="00F27C1A"/>
    <w:rsid w:val="00F3006A"/>
    <w:rsid w:val="00F301E4"/>
    <w:rsid w:val="00F3038C"/>
    <w:rsid w:val="00F30550"/>
    <w:rsid w:val="00F305E2"/>
    <w:rsid w:val="00F3060F"/>
    <w:rsid w:val="00F30623"/>
    <w:rsid w:val="00F30700"/>
    <w:rsid w:val="00F309E6"/>
    <w:rsid w:val="00F30BD5"/>
    <w:rsid w:val="00F30C2A"/>
    <w:rsid w:val="00F30CA9"/>
    <w:rsid w:val="00F31138"/>
    <w:rsid w:val="00F3115C"/>
    <w:rsid w:val="00F311B2"/>
    <w:rsid w:val="00F31348"/>
    <w:rsid w:val="00F31448"/>
    <w:rsid w:val="00F31496"/>
    <w:rsid w:val="00F31518"/>
    <w:rsid w:val="00F3153F"/>
    <w:rsid w:val="00F3165F"/>
    <w:rsid w:val="00F31913"/>
    <w:rsid w:val="00F325B7"/>
    <w:rsid w:val="00F325D4"/>
    <w:rsid w:val="00F3262D"/>
    <w:rsid w:val="00F32690"/>
    <w:rsid w:val="00F326F7"/>
    <w:rsid w:val="00F327FB"/>
    <w:rsid w:val="00F3291B"/>
    <w:rsid w:val="00F32A26"/>
    <w:rsid w:val="00F32A73"/>
    <w:rsid w:val="00F32C40"/>
    <w:rsid w:val="00F32D0B"/>
    <w:rsid w:val="00F32D99"/>
    <w:rsid w:val="00F32DD5"/>
    <w:rsid w:val="00F32F6C"/>
    <w:rsid w:val="00F33037"/>
    <w:rsid w:val="00F330E4"/>
    <w:rsid w:val="00F33288"/>
    <w:rsid w:val="00F3381F"/>
    <w:rsid w:val="00F3386E"/>
    <w:rsid w:val="00F33875"/>
    <w:rsid w:val="00F33AFE"/>
    <w:rsid w:val="00F33BC4"/>
    <w:rsid w:val="00F33F97"/>
    <w:rsid w:val="00F33FEB"/>
    <w:rsid w:val="00F34234"/>
    <w:rsid w:val="00F346CA"/>
    <w:rsid w:val="00F3479D"/>
    <w:rsid w:val="00F347DC"/>
    <w:rsid w:val="00F3485F"/>
    <w:rsid w:val="00F348C1"/>
    <w:rsid w:val="00F34906"/>
    <w:rsid w:val="00F34B1E"/>
    <w:rsid w:val="00F34E67"/>
    <w:rsid w:val="00F35186"/>
    <w:rsid w:val="00F351E2"/>
    <w:rsid w:val="00F3532A"/>
    <w:rsid w:val="00F35FF5"/>
    <w:rsid w:val="00F36261"/>
    <w:rsid w:val="00F3665D"/>
    <w:rsid w:val="00F36694"/>
    <w:rsid w:val="00F366D9"/>
    <w:rsid w:val="00F36783"/>
    <w:rsid w:val="00F36901"/>
    <w:rsid w:val="00F36CF6"/>
    <w:rsid w:val="00F371D0"/>
    <w:rsid w:val="00F3728D"/>
    <w:rsid w:val="00F37326"/>
    <w:rsid w:val="00F3749F"/>
    <w:rsid w:val="00F37534"/>
    <w:rsid w:val="00F375DE"/>
    <w:rsid w:val="00F37EBF"/>
    <w:rsid w:val="00F400EB"/>
    <w:rsid w:val="00F40387"/>
    <w:rsid w:val="00F4064B"/>
    <w:rsid w:val="00F4078E"/>
    <w:rsid w:val="00F4082A"/>
    <w:rsid w:val="00F4085B"/>
    <w:rsid w:val="00F40AA7"/>
    <w:rsid w:val="00F40D93"/>
    <w:rsid w:val="00F40F90"/>
    <w:rsid w:val="00F40FD0"/>
    <w:rsid w:val="00F410A4"/>
    <w:rsid w:val="00F4110B"/>
    <w:rsid w:val="00F41135"/>
    <w:rsid w:val="00F41180"/>
    <w:rsid w:val="00F415B9"/>
    <w:rsid w:val="00F415EF"/>
    <w:rsid w:val="00F41693"/>
    <w:rsid w:val="00F41812"/>
    <w:rsid w:val="00F41A4C"/>
    <w:rsid w:val="00F41AD6"/>
    <w:rsid w:val="00F42018"/>
    <w:rsid w:val="00F42059"/>
    <w:rsid w:val="00F422F0"/>
    <w:rsid w:val="00F4256F"/>
    <w:rsid w:val="00F42730"/>
    <w:rsid w:val="00F42FD8"/>
    <w:rsid w:val="00F4313F"/>
    <w:rsid w:val="00F43416"/>
    <w:rsid w:val="00F43654"/>
    <w:rsid w:val="00F43DF6"/>
    <w:rsid w:val="00F44180"/>
    <w:rsid w:val="00F442A2"/>
    <w:rsid w:val="00F44E3E"/>
    <w:rsid w:val="00F44E61"/>
    <w:rsid w:val="00F44F20"/>
    <w:rsid w:val="00F44F80"/>
    <w:rsid w:val="00F45001"/>
    <w:rsid w:val="00F45060"/>
    <w:rsid w:val="00F4515D"/>
    <w:rsid w:val="00F4524D"/>
    <w:rsid w:val="00F452CF"/>
    <w:rsid w:val="00F45338"/>
    <w:rsid w:val="00F453B6"/>
    <w:rsid w:val="00F4543E"/>
    <w:rsid w:val="00F454AC"/>
    <w:rsid w:val="00F4568A"/>
    <w:rsid w:val="00F4577C"/>
    <w:rsid w:val="00F45792"/>
    <w:rsid w:val="00F457C8"/>
    <w:rsid w:val="00F45E2C"/>
    <w:rsid w:val="00F45F02"/>
    <w:rsid w:val="00F4620B"/>
    <w:rsid w:val="00F46251"/>
    <w:rsid w:val="00F463D0"/>
    <w:rsid w:val="00F46B40"/>
    <w:rsid w:val="00F46C65"/>
    <w:rsid w:val="00F46D45"/>
    <w:rsid w:val="00F46FEE"/>
    <w:rsid w:val="00F470B5"/>
    <w:rsid w:val="00F471D4"/>
    <w:rsid w:val="00F472F7"/>
    <w:rsid w:val="00F47501"/>
    <w:rsid w:val="00F475B3"/>
    <w:rsid w:val="00F479FB"/>
    <w:rsid w:val="00F47F50"/>
    <w:rsid w:val="00F500A8"/>
    <w:rsid w:val="00F5018B"/>
    <w:rsid w:val="00F50229"/>
    <w:rsid w:val="00F502E3"/>
    <w:rsid w:val="00F50938"/>
    <w:rsid w:val="00F50ACE"/>
    <w:rsid w:val="00F50C02"/>
    <w:rsid w:val="00F50CF5"/>
    <w:rsid w:val="00F50D32"/>
    <w:rsid w:val="00F50DD8"/>
    <w:rsid w:val="00F50EED"/>
    <w:rsid w:val="00F50FBD"/>
    <w:rsid w:val="00F5102E"/>
    <w:rsid w:val="00F512BA"/>
    <w:rsid w:val="00F513EC"/>
    <w:rsid w:val="00F514D5"/>
    <w:rsid w:val="00F515A0"/>
    <w:rsid w:val="00F5175A"/>
    <w:rsid w:val="00F51918"/>
    <w:rsid w:val="00F51C2C"/>
    <w:rsid w:val="00F51D57"/>
    <w:rsid w:val="00F51F84"/>
    <w:rsid w:val="00F51F8D"/>
    <w:rsid w:val="00F5253A"/>
    <w:rsid w:val="00F52599"/>
    <w:rsid w:val="00F526A9"/>
    <w:rsid w:val="00F52751"/>
    <w:rsid w:val="00F52925"/>
    <w:rsid w:val="00F52958"/>
    <w:rsid w:val="00F52E9D"/>
    <w:rsid w:val="00F52EB7"/>
    <w:rsid w:val="00F53012"/>
    <w:rsid w:val="00F53026"/>
    <w:rsid w:val="00F531AC"/>
    <w:rsid w:val="00F53382"/>
    <w:rsid w:val="00F534FB"/>
    <w:rsid w:val="00F5367A"/>
    <w:rsid w:val="00F5396C"/>
    <w:rsid w:val="00F53B23"/>
    <w:rsid w:val="00F53D1A"/>
    <w:rsid w:val="00F53D93"/>
    <w:rsid w:val="00F53D97"/>
    <w:rsid w:val="00F53DD3"/>
    <w:rsid w:val="00F53F49"/>
    <w:rsid w:val="00F5406D"/>
    <w:rsid w:val="00F54141"/>
    <w:rsid w:val="00F541B2"/>
    <w:rsid w:val="00F542C7"/>
    <w:rsid w:val="00F54659"/>
    <w:rsid w:val="00F547DB"/>
    <w:rsid w:val="00F547EF"/>
    <w:rsid w:val="00F5490E"/>
    <w:rsid w:val="00F54AC2"/>
    <w:rsid w:val="00F54BC9"/>
    <w:rsid w:val="00F54C44"/>
    <w:rsid w:val="00F54CB7"/>
    <w:rsid w:val="00F5501C"/>
    <w:rsid w:val="00F553FC"/>
    <w:rsid w:val="00F55401"/>
    <w:rsid w:val="00F556BF"/>
    <w:rsid w:val="00F557C9"/>
    <w:rsid w:val="00F55876"/>
    <w:rsid w:val="00F558A4"/>
    <w:rsid w:val="00F558F1"/>
    <w:rsid w:val="00F55A0B"/>
    <w:rsid w:val="00F55B22"/>
    <w:rsid w:val="00F55CE9"/>
    <w:rsid w:val="00F55F3B"/>
    <w:rsid w:val="00F55F63"/>
    <w:rsid w:val="00F56126"/>
    <w:rsid w:val="00F5637C"/>
    <w:rsid w:val="00F566DF"/>
    <w:rsid w:val="00F5692B"/>
    <w:rsid w:val="00F5693E"/>
    <w:rsid w:val="00F56A52"/>
    <w:rsid w:val="00F56A91"/>
    <w:rsid w:val="00F56BC0"/>
    <w:rsid w:val="00F56BE0"/>
    <w:rsid w:val="00F56C8D"/>
    <w:rsid w:val="00F56D26"/>
    <w:rsid w:val="00F57017"/>
    <w:rsid w:val="00F57464"/>
    <w:rsid w:val="00F57578"/>
    <w:rsid w:val="00F575EF"/>
    <w:rsid w:val="00F5774B"/>
    <w:rsid w:val="00F5794C"/>
    <w:rsid w:val="00F57B83"/>
    <w:rsid w:val="00F57BDD"/>
    <w:rsid w:val="00F57D94"/>
    <w:rsid w:val="00F57FF8"/>
    <w:rsid w:val="00F600D2"/>
    <w:rsid w:val="00F60471"/>
    <w:rsid w:val="00F607F8"/>
    <w:rsid w:val="00F60C50"/>
    <w:rsid w:val="00F60C57"/>
    <w:rsid w:val="00F60D22"/>
    <w:rsid w:val="00F60F00"/>
    <w:rsid w:val="00F60F78"/>
    <w:rsid w:val="00F610FC"/>
    <w:rsid w:val="00F61268"/>
    <w:rsid w:val="00F61424"/>
    <w:rsid w:val="00F618FA"/>
    <w:rsid w:val="00F61A6F"/>
    <w:rsid w:val="00F61DAD"/>
    <w:rsid w:val="00F620A4"/>
    <w:rsid w:val="00F625FA"/>
    <w:rsid w:val="00F6273B"/>
    <w:rsid w:val="00F6277C"/>
    <w:rsid w:val="00F62F5D"/>
    <w:rsid w:val="00F630A9"/>
    <w:rsid w:val="00F6318B"/>
    <w:rsid w:val="00F63214"/>
    <w:rsid w:val="00F63223"/>
    <w:rsid w:val="00F633F7"/>
    <w:rsid w:val="00F636C5"/>
    <w:rsid w:val="00F6386A"/>
    <w:rsid w:val="00F63C9E"/>
    <w:rsid w:val="00F63CDE"/>
    <w:rsid w:val="00F63F8D"/>
    <w:rsid w:val="00F643AD"/>
    <w:rsid w:val="00F64437"/>
    <w:rsid w:val="00F64554"/>
    <w:rsid w:val="00F646A0"/>
    <w:rsid w:val="00F64713"/>
    <w:rsid w:val="00F647A3"/>
    <w:rsid w:val="00F647E8"/>
    <w:rsid w:val="00F64F91"/>
    <w:rsid w:val="00F6511F"/>
    <w:rsid w:val="00F65223"/>
    <w:rsid w:val="00F6542B"/>
    <w:rsid w:val="00F6579B"/>
    <w:rsid w:val="00F65858"/>
    <w:rsid w:val="00F65939"/>
    <w:rsid w:val="00F6599F"/>
    <w:rsid w:val="00F65B45"/>
    <w:rsid w:val="00F65E67"/>
    <w:rsid w:val="00F65EF8"/>
    <w:rsid w:val="00F661FB"/>
    <w:rsid w:val="00F66225"/>
    <w:rsid w:val="00F665F9"/>
    <w:rsid w:val="00F6669B"/>
    <w:rsid w:val="00F66840"/>
    <w:rsid w:val="00F668A1"/>
    <w:rsid w:val="00F66AF1"/>
    <w:rsid w:val="00F66BF9"/>
    <w:rsid w:val="00F66C23"/>
    <w:rsid w:val="00F66C43"/>
    <w:rsid w:val="00F66D45"/>
    <w:rsid w:val="00F66E66"/>
    <w:rsid w:val="00F66F52"/>
    <w:rsid w:val="00F67093"/>
    <w:rsid w:val="00F6718C"/>
    <w:rsid w:val="00F672B0"/>
    <w:rsid w:val="00F675BF"/>
    <w:rsid w:val="00F67AFC"/>
    <w:rsid w:val="00F67BC8"/>
    <w:rsid w:val="00F67D1F"/>
    <w:rsid w:val="00F67D74"/>
    <w:rsid w:val="00F67E6E"/>
    <w:rsid w:val="00F70679"/>
    <w:rsid w:val="00F709D2"/>
    <w:rsid w:val="00F70AE4"/>
    <w:rsid w:val="00F70C28"/>
    <w:rsid w:val="00F7100D"/>
    <w:rsid w:val="00F710A2"/>
    <w:rsid w:val="00F713DD"/>
    <w:rsid w:val="00F7144F"/>
    <w:rsid w:val="00F7147A"/>
    <w:rsid w:val="00F71482"/>
    <w:rsid w:val="00F7153D"/>
    <w:rsid w:val="00F71648"/>
    <w:rsid w:val="00F71EA5"/>
    <w:rsid w:val="00F71F15"/>
    <w:rsid w:val="00F71F79"/>
    <w:rsid w:val="00F71FDC"/>
    <w:rsid w:val="00F7217C"/>
    <w:rsid w:val="00F72187"/>
    <w:rsid w:val="00F72426"/>
    <w:rsid w:val="00F725A4"/>
    <w:rsid w:val="00F7276A"/>
    <w:rsid w:val="00F7288D"/>
    <w:rsid w:val="00F72984"/>
    <w:rsid w:val="00F729A4"/>
    <w:rsid w:val="00F7309A"/>
    <w:rsid w:val="00F73425"/>
    <w:rsid w:val="00F73721"/>
    <w:rsid w:val="00F73818"/>
    <w:rsid w:val="00F739AB"/>
    <w:rsid w:val="00F73A07"/>
    <w:rsid w:val="00F73EFA"/>
    <w:rsid w:val="00F740B3"/>
    <w:rsid w:val="00F745C2"/>
    <w:rsid w:val="00F74738"/>
    <w:rsid w:val="00F7492E"/>
    <w:rsid w:val="00F74CED"/>
    <w:rsid w:val="00F74DD6"/>
    <w:rsid w:val="00F74E42"/>
    <w:rsid w:val="00F74EC0"/>
    <w:rsid w:val="00F75002"/>
    <w:rsid w:val="00F75208"/>
    <w:rsid w:val="00F75333"/>
    <w:rsid w:val="00F755B9"/>
    <w:rsid w:val="00F75B29"/>
    <w:rsid w:val="00F75C58"/>
    <w:rsid w:val="00F75FD6"/>
    <w:rsid w:val="00F76224"/>
    <w:rsid w:val="00F7643F"/>
    <w:rsid w:val="00F7657E"/>
    <w:rsid w:val="00F76901"/>
    <w:rsid w:val="00F76CB7"/>
    <w:rsid w:val="00F76D77"/>
    <w:rsid w:val="00F76ECC"/>
    <w:rsid w:val="00F770C1"/>
    <w:rsid w:val="00F771CD"/>
    <w:rsid w:val="00F772EF"/>
    <w:rsid w:val="00F7758A"/>
    <w:rsid w:val="00F777F5"/>
    <w:rsid w:val="00F77B9F"/>
    <w:rsid w:val="00F77E71"/>
    <w:rsid w:val="00F801C2"/>
    <w:rsid w:val="00F80259"/>
    <w:rsid w:val="00F803E7"/>
    <w:rsid w:val="00F80690"/>
    <w:rsid w:val="00F80694"/>
    <w:rsid w:val="00F8072F"/>
    <w:rsid w:val="00F80B71"/>
    <w:rsid w:val="00F80BC4"/>
    <w:rsid w:val="00F80C84"/>
    <w:rsid w:val="00F80E03"/>
    <w:rsid w:val="00F812CA"/>
    <w:rsid w:val="00F81327"/>
    <w:rsid w:val="00F814A9"/>
    <w:rsid w:val="00F818A0"/>
    <w:rsid w:val="00F81A03"/>
    <w:rsid w:val="00F81AE6"/>
    <w:rsid w:val="00F81D00"/>
    <w:rsid w:val="00F81FA1"/>
    <w:rsid w:val="00F81FC6"/>
    <w:rsid w:val="00F8233C"/>
    <w:rsid w:val="00F8237F"/>
    <w:rsid w:val="00F8254C"/>
    <w:rsid w:val="00F82709"/>
    <w:rsid w:val="00F82875"/>
    <w:rsid w:val="00F8289C"/>
    <w:rsid w:val="00F8290A"/>
    <w:rsid w:val="00F82C93"/>
    <w:rsid w:val="00F82CD3"/>
    <w:rsid w:val="00F83262"/>
    <w:rsid w:val="00F83375"/>
    <w:rsid w:val="00F833A4"/>
    <w:rsid w:val="00F8340F"/>
    <w:rsid w:val="00F83525"/>
    <w:rsid w:val="00F836C7"/>
    <w:rsid w:val="00F83837"/>
    <w:rsid w:val="00F8398F"/>
    <w:rsid w:val="00F83A6D"/>
    <w:rsid w:val="00F83AE3"/>
    <w:rsid w:val="00F83C1C"/>
    <w:rsid w:val="00F83DA6"/>
    <w:rsid w:val="00F83DEE"/>
    <w:rsid w:val="00F8451B"/>
    <w:rsid w:val="00F84763"/>
    <w:rsid w:val="00F847D3"/>
    <w:rsid w:val="00F84A08"/>
    <w:rsid w:val="00F84E8D"/>
    <w:rsid w:val="00F8515F"/>
    <w:rsid w:val="00F852E7"/>
    <w:rsid w:val="00F853DE"/>
    <w:rsid w:val="00F8564D"/>
    <w:rsid w:val="00F856F8"/>
    <w:rsid w:val="00F858F6"/>
    <w:rsid w:val="00F86000"/>
    <w:rsid w:val="00F8602D"/>
    <w:rsid w:val="00F86257"/>
    <w:rsid w:val="00F8626F"/>
    <w:rsid w:val="00F86486"/>
    <w:rsid w:val="00F8663A"/>
    <w:rsid w:val="00F866A9"/>
    <w:rsid w:val="00F866FD"/>
    <w:rsid w:val="00F8692A"/>
    <w:rsid w:val="00F869E7"/>
    <w:rsid w:val="00F869FB"/>
    <w:rsid w:val="00F86CB8"/>
    <w:rsid w:val="00F87063"/>
    <w:rsid w:val="00F8710A"/>
    <w:rsid w:val="00F876C6"/>
    <w:rsid w:val="00F877CD"/>
    <w:rsid w:val="00F8790E"/>
    <w:rsid w:val="00F87DF2"/>
    <w:rsid w:val="00F87EEF"/>
    <w:rsid w:val="00F87F42"/>
    <w:rsid w:val="00F904B3"/>
    <w:rsid w:val="00F907B7"/>
    <w:rsid w:val="00F9093D"/>
    <w:rsid w:val="00F9099B"/>
    <w:rsid w:val="00F90AB2"/>
    <w:rsid w:val="00F90C5E"/>
    <w:rsid w:val="00F90CAB"/>
    <w:rsid w:val="00F90DAE"/>
    <w:rsid w:val="00F90FBD"/>
    <w:rsid w:val="00F91437"/>
    <w:rsid w:val="00F91618"/>
    <w:rsid w:val="00F91836"/>
    <w:rsid w:val="00F91855"/>
    <w:rsid w:val="00F918BE"/>
    <w:rsid w:val="00F91EAF"/>
    <w:rsid w:val="00F924B4"/>
    <w:rsid w:val="00F924E0"/>
    <w:rsid w:val="00F925B3"/>
    <w:rsid w:val="00F9263A"/>
    <w:rsid w:val="00F92642"/>
    <w:rsid w:val="00F929CB"/>
    <w:rsid w:val="00F92A10"/>
    <w:rsid w:val="00F92CAC"/>
    <w:rsid w:val="00F92D30"/>
    <w:rsid w:val="00F92FC1"/>
    <w:rsid w:val="00F93291"/>
    <w:rsid w:val="00F933A7"/>
    <w:rsid w:val="00F933D1"/>
    <w:rsid w:val="00F93749"/>
    <w:rsid w:val="00F93A02"/>
    <w:rsid w:val="00F93A09"/>
    <w:rsid w:val="00F93D03"/>
    <w:rsid w:val="00F93D28"/>
    <w:rsid w:val="00F93F10"/>
    <w:rsid w:val="00F93F8B"/>
    <w:rsid w:val="00F94015"/>
    <w:rsid w:val="00F941AD"/>
    <w:rsid w:val="00F94353"/>
    <w:rsid w:val="00F9442F"/>
    <w:rsid w:val="00F9457D"/>
    <w:rsid w:val="00F94682"/>
    <w:rsid w:val="00F94905"/>
    <w:rsid w:val="00F94920"/>
    <w:rsid w:val="00F949E8"/>
    <w:rsid w:val="00F94A0F"/>
    <w:rsid w:val="00F94A16"/>
    <w:rsid w:val="00F94A4B"/>
    <w:rsid w:val="00F94A73"/>
    <w:rsid w:val="00F94D48"/>
    <w:rsid w:val="00F94E55"/>
    <w:rsid w:val="00F94F9C"/>
    <w:rsid w:val="00F95063"/>
    <w:rsid w:val="00F95099"/>
    <w:rsid w:val="00F955F3"/>
    <w:rsid w:val="00F95758"/>
    <w:rsid w:val="00F958C4"/>
    <w:rsid w:val="00F95AB1"/>
    <w:rsid w:val="00F95B26"/>
    <w:rsid w:val="00F96292"/>
    <w:rsid w:val="00F962F9"/>
    <w:rsid w:val="00F963BF"/>
    <w:rsid w:val="00F96418"/>
    <w:rsid w:val="00F96823"/>
    <w:rsid w:val="00F96AD6"/>
    <w:rsid w:val="00F96AE7"/>
    <w:rsid w:val="00F96B95"/>
    <w:rsid w:val="00F96E3B"/>
    <w:rsid w:val="00F970E1"/>
    <w:rsid w:val="00F97147"/>
    <w:rsid w:val="00F9750E"/>
    <w:rsid w:val="00F975E8"/>
    <w:rsid w:val="00F97979"/>
    <w:rsid w:val="00F97BB0"/>
    <w:rsid w:val="00F97F37"/>
    <w:rsid w:val="00FA0115"/>
    <w:rsid w:val="00FA0569"/>
    <w:rsid w:val="00FA0A74"/>
    <w:rsid w:val="00FA0A9F"/>
    <w:rsid w:val="00FA0CBB"/>
    <w:rsid w:val="00FA0F90"/>
    <w:rsid w:val="00FA0FF5"/>
    <w:rsid w:val="00FA11ED"/>
    <w:rsid w:val="00FA15B5"/>
    <w:rsid w:val="00FA177E"/>
    <w:rsid w:val="00FA186B"/>
    <w:rsid w:val="00FA18BB"/>
    <w:rsid w:val="00FA193D"/>
    <w:rsid w:val="00FA1B8D"/>
    <w:rsid w:val="00FA1EBB"/>
    <w:rsid w:val="00FA205F"/>
    <w:rsid w:val="00FA2498"/>
    <w:rsid w:val="00FA24E6"/>
    <w:rsid w:val="00FA2528"/>
    <w:rsid w:val="00FA26E4"/>
    <w:rsid w:val="00FA2865"/>
    <w:rsid w:val="00FA2BCF"/>
    <w:rsid w:val="00FA2ED6"/>
    <w:rsid w:val="00FA2F22"/>
    <w:rsid w:val="00FA31AD"/>
    <w:rsid w:val="00FA33D4"/>
    <w:rsid w:val="00FA352A"/>
    <w:rsid w:val="00FA3668"/>
    <w:rsid w:val="00FA3936"/>
    <w:rsid w:val="00FA3BC4"/>
    <w:rsid w:val="00FA3C5F"/>
    <w:rsid w:val="00FA3D96"/>
    <w:rsid w:val="00FA4104"/>
    <w:rsid w:val="00FA4152"/>
    <w:rsid w:val="00FA4548"/>
    <w:rsid w:val="00FA45F0"/>
    <w:rsid w:val="00FA461B"/>
    <w:rsid w:val="00FA4681"/>
    <w:rsid w:val="00FA4B0F"/>
    <w:rsid w:val="00FA4B1A"/>
    <w:rsid w:val="00FA4DFB"/>
    <w:rsid w:val="00FA4E73"/>
    <w:rsid w:val="00FA51EE"/>
    <w:rsid w:val="00FA52C1"/>
    <w:rsid w:val="00FA5375"/>
    <w:rsid w:val="00FA5432"/>
    <w:rsid w:val="00FA559E"/>
    <w:rsid w:val="00FA56ED"/>
    <w:rsid w:val="00FA56FD"/>
    <w:rsid w:val="00FA57A9"/>
    <w:rsid w:val="00FA5844"/>
    <w:rsid w:val="00FA5B38"/>
    <w:rsid w:val="00FA5CBB"/>
    <w:rsid w:val="00FA5FA8"/>
    <w:rsid w:val="00FA64FF"/>
    <w:rsid w:val="00FA66D3"/>
    <w:rsid w:val="00FA6723"/>
    <w:rsid w:val="00FA681B"/>
    <w:rsid w:val="00FA69DB"/>
    <w:rsid w:val="00FA6FC2"/>
    <w:rsid w:val="00FA722E"/>
    <w:rsid w:val="00FA73AB"/>
    <w:rsid w:val="00FA76A5"/>
    <w:rsid w:val="00FA7B9B"/>
    <w:rsid w:val="00FA7C34"/>
    <w:rsid w:val="00FB004B"/>
    <w:rsid w:val="00FB0450"/>
    <w:rsid w:val="00FB04C5"/>
    <w:rsid w:val="00FB0A65"/>
    <w:rsid w:val="00FB0AE6"/>
    <w:rsid w:val="00FB0B13"/>
    <w:rsid w:val="00FB0D43"/>
    <w:rsid w:val="00FB0E01"/>
    <w:rsid w:val="00FB1243"/>
    <w:rsid w:val="00FB15E2"/>
    <w:rsid w:val="00FB16C7"/>
    <w:rsid w:val="00FB195B"/>
    <w:rsid w:val="00FB1A10"/>
    <w:rsid w:val="00FB1BBC"/>
    <w:rsid w:val="00FB1D3C"/>
    <w:rsid w:val="00FB22EB"/>
    <w:rsid w:val="00FB23A8"/>
    <w:rsid w:val="00FB24E2"/>
    <w:rsid w:val="00FB2530"/>
    <w:rsid w:val="00FB2595"/>
    <w:rsid w:val="00FB2865"/>
    <w:rsid w:val="00FB2904"/>
    <w:rsid w:val="00FB2CF8"/>
    <w:rsid w:val="00FB2EFE"/>
    <w:rsid w:val="00FB2F4B"/>
    <w:rsid w:val="00FB31B6"/>
    <w:rsid w:val="00FB3503"/>
    <w:rsid w:val="00FB36A7"/>
    <w:rsid w:val="00FB3CA2"/>
    <w:rsid w:val="00FB3D25"/>
    <w:rsid w:val="00FB3D9B"/>
    <w:rsid w:val="00FB42A0"/>
    <w:rsid w:val="00FB44B8"/>
    <w:rsid w:val="00FB46ED"/>
    <w:rsid w:val="00FB47D6"/>
    <w:rsid w:val="00FB47E4"/>
    <w:rsid w:val="00FB48D1"/>
    <w:rsid w:val="00FB48DA"/>
    <w:rsid w:val="00FB4B87"/>
    <w:rsid w:val="00FB4D52"/>
    <w:rsid w:val="00FB4D86"/>
    <w:rsid w:val="00FB50AB"/>
    <w:rsid w:val="00FB51F5"/>
    <w:rsid w:val="00FB5388"/>
    <w:rsid w:val="00FB5408"/>
    <w:rsid w:val="00FB5699"/>
    <w:rsid w:val="00FB5AC9"/>
    <w:rsid w:val="00FB5C39"/>
    <w:rsid w:val="00FB5DF0"/>
    <w:rsid w:val="00FB5F1A"/>
    <w:rsid w:val="00FB6227"/>
    <w:rsid w:val="00FB63A0"/>
    <w:rsid w:val="00FB63F9"/>
    <w:rsid w:val="00FB66B6"/>
    <w:rsid w:val="00FB686D"/>
    <w:rsid w:val="00FB6D2C"/>
    <w:rsid w:val="00FB6D77"/>
    <w:rsid w:val="00FB724E"/>
    <w:rsid w:val="00FB72DD"/>
    <w:rsid w:val="00FB730C"/>
    <w:rsid w:val="00FB738C"/>
    <w:rsid w:val="00FB75C3"/>
    <w:rsid w:val="00FB79D3"/>
    <w:rsid w:val="00FB7ABD"/>
    <w:rsid w:val="00FB7C8A"/>
    <w:rsid w:val="00FB7FD3"/>
    <w:rsid w:val="00FC005C"/>
    <w:rsid w:val="00FC017C"/>
    <w:rsid w:val="00FC01A6"/>
    <w:rsid w:val="00FC04FA"/>
    <w:rsid w:val="00FC05E7"/>
    <w:rsid w:val="00FC06D0"/>
    <w:rsid w:val="00FC0723"/>
    <w:rsid w:val="00FC0FE0"/>
    <w:rsid w:val="00FC1023"/>
    <w:rsid w:val="00FC1089"/>
    <w:rsid w:val="00FC12B0"/>
    <w:rsid w:val="00FC1503"/>
    <w:rsid w:val="00FC16BA"/>
    <w:rsid w:val="00FC16CF"/>
    <w:rsid w:val="00FC1790"/>
    <w:rsid w:val="00FC1999"/>
    <w:rsid w:val="00FC1C2B"/>
    <w:rsid w:val="00FC1CC7"/>
    <w:rsid w:val="00FC1F11"/>
    <w:rsid w:val="00FC2283"/>
    <w:rsid w:val="00FC2326"/>
    <w:rsid w:val="00FC23D8"/>
    <w:rsid w:val="00FC2B0B"/>
    <w:rsid w:val="00FC2DE9"/>
    <w:rsid w:val="00FC3351"/>
    <w:rsid w:val="00FC36CD"/>
    <w:rsid w:val="00FC3804"/>
    <w:rsid w:val="00FC38C0"/>
    <w:rsid w:val="00FC38D9"/>
    <w:rsid w:val="00FC38FE"/>
    <w:rsid w:val="00FC3901"/>
    <w:rsid w:val="00FC3B43"/>
    <w:rsid w:val="00FC4114"/>
    <w:rsid w:val="00FC41D9"/>
    <w:rsid w:val="00FC4326"/>
    <w:rsid w:val="00FC4597"/>
    <w:rsid w:val="00FC4787"/>
    <w:rsid w:val="00FC4941"/>
    <w:rsid w:val="00FC4AC4"/>
    <w:rsid w:val="00FC4B69"/>
    <w:rsid w:val="00FC4E54"/>
    <w:rsid w:val="00FC4EBB"/>
    <w:rsid w:val="00FC4F5D"/>
    <w:rsid w:val="00FC57B4"/>
    <w:rsid w:val="00FC58E0"/>
    <w:rsid w:val="00FC5A40"/>
    <w:rsid w:val="00FC5B6C"/>
    <w:rsid w:val="00FC5B87"/>
    <w:rsid w:val="00FC5E28"/>
    <w:rsid w:val="00FC5EA2"/>
    <w:rsid w:val="00FC5ED2"/>
    <w:rsid w:val="00FC5F6B"/>
    <w:rsid w:val="00FC604C"/>
    <w:rsid w:val="00FC61FB"/>
    <w:rsid w:val="00FC6259"/>
    <w:rsid w:val="00FC63CD"/>
    <w:rsid w:val="00FC6454"/>
    <w:rsid w:val="00FC672C"/>
    <w:rsid w:val="00FC6940"/>
    <w:rsid w:val="00FC6ABB"/>
    <w:rsid w:val="00FC7194"/>
    <w:rsid w:val="00FC730B"/>
    <w:rsid w:val="00FC730F"/>
    <w:rsid w:val="00FC7534"/>
    <w:rsid w:val="00FC7664"/>
    <w:rsid w:val="00FC76F9"/>
    <w:rsid w:val="00FC7932"/>
    <w:rsid w:val="00FC7A94"/>
    <w:rsid w:val="00FC7BD9"/>
    <w:rsid w:val="00FC7FAD"/>
    <w:rsid w:val="00FD001F"/>
    <w:rsid w:val="00FD01A6"/>
    <w:rsid w:val="00FD03C9"/>
    <w:rsid w:val="00FD053D"/>
    <w:rsid w:val="00FD0667"/>
    <w:rsid w:val="00FD0891"/>
    <w:rsid w:val="00FD08A8"/>
    <w:rsid w:val="00FD09C8"/>
    <w:rsid w:val="00FD0A25"/>
    <w:rsid w:val="00FD0C72"/>
    <w:rsid w:val="00FD0D8E"/>
    <w:rsid w:val="00FD0DE6"/>
    <w:rsid w:val="00FD0E72"/>
    <w:rsid w:val="00FD14E7"/>
    <w:rsid w:val="00FD18B8"/>
    <w:rsid w:val="00FD18D6"/>
    <w:rsid w:val="00FD19B1"/>
    <w:rsid w:val="00FD1A1D"/>
    <w:rsid w:val="00FD1A8D"/>
    <w:rsid w:val="00FD1F79"/>
    <w:rsid w:val="00FD23EA"/>
    <w:rsid w:val="00FD250C"/>
    <w:rsid w:val="00FD25FC"/>
    <w:rsid w:val="00FD271D"/>
    <w:rsid w:val="00FD2891"/>
    <w:rsid w:val="00FD2895"/>
    <w:rsid w:val="00FD2C09"/>
    <w:rsid w:val="00FD314A"/>
    <w:rsid w:val="00FD350C"/>
    <w:rsid w:val="00FD361E"/>
    <w:rsid w:val="00FD3772"/>
    <w:rsid w:val="00FD3E7A"/>
    <w:rsid w:val="00FD4065"/>
    <w:rsid w:val="00FD416B"/>
    <w:rsid w:val="00FD43F0"/>
    <w:rsid w:val="00FD485A"/>
    <w:rsid w:val="00FD4965"/>
    <w:rsid w:val="00FD49F5"/>
    <w:rsid w:val="00FD4B75"/>
    <w:rsid w:val="00FD4D05"/>
    <w:rsid w:val="00FD4DDB"/>
    <w:rsid w:val="00FD4F3E"/>
    <w:rsid w:val="00FD518A"/>
    <w:rsid w:val="00FD52C4"/>
    <w:rsid w:val="00FD545F"/>
    <w:rsid w:val="00FD56CA"/>
    <w:rsid w:val="00FD5740"/>
    <w:rsid w:val="00FD598B"/>
    <w:rsid w:val="00FD599D"/>
    <w:rsid w:val="00FD59A3"/>
    <w:rsid w:val="00FD624B"/>
    <w:rsid w:val="00FD6289"/>
    <w:rsid w:val="00FD62E3"/>
    <w:rsid w:val="00FD63A8"/>
    <w:rsid w:val="00FD63EC"/>
    <w:rsid w:val="00FD644E"/>
    <w:rsid w:val="00FD6459"/>
    <w:rsid w:val="00FD697F"/>
    <w:rsid w:val="00FD6AF4"/>
    <w:rsid w:val="00FD711D"/>
    <w:rsid w:val="00FD7324"/>
    <w:rsid w:val="00FD7332"/>
    <w:rsid w:val="00FD738E"/>
    <w:rsid w:val="00FD7636"/>
    <w:rsid w:val="00FD7E38"/>
    <w:rsid w:val="00FD7F53"/>
    <w:rsid w:val="00FE0287"/>
    <w:rsid w:val="00FE033F"/>
    <w:rsid w:val="00FE084E"/>
    <w:rsid w:val="00FE0A6E"/>
    <w:rsid w:val="00FE0F15"/>
    <w:rsid w:val="00FE0F2B"/>
    <w:rsid w:val="00FE0FCF"/>
    <w:rsid w:val="00FE10A9"/>
    <w:rsid w:val="00FE14A7"/>
    <w:rsid w:val="00FE14E4"/>
    <w:rsid w:val="00FE16F2"/>
    <w:rsid w:val="00FE173A"/>
    <w:rsid w:val="00FE194A"/>
    <w:rsid w:val="00FE1A20"/>
    <w:rsid w:val="00FE1B26"/>
    <w:rsid w:val="00FE2028"/>
    <w:rsid w:val="00FE219E"/>
    <w:rsid w:val="00FE21C9"/>
    <w:rsid w:val="00FE2251"/>
    <w:rsid w:val="00FE22BB"/>
    <w:rsid w:val="00FE231B"/>
    <w:rsid w:val="00FE259E"/>
    <w:rsid w:val="00FE25B7"/>
    <w:rsid w:val="00FE28BC"/>
    <w:rsid w:val="00FE28D4"/>
    <w:rsid w:val="00FE2ABF"/>
    <w:rsid w:val="00FE2DAD"/>
    <w:rsid w:val="00FE2DCE"/>
    <w:rsid w:val="00FE2E46"/>
    <w:rsid w:val="00FE2EC0"/>
    <w:rsid w:val="00FE30F7"/>
    <w:rsid w:val="00FE36D3"/>
    <w:rsid w:val="00FE3955"/>
    <w:rsid w:val="00FE3F13"/>
    <w:rsid w:val="00FE4000"/>
    <w:rsid w:val="00FE40A5"/>
    <w:rsid w:val="00FE42F0"/>
    <w:rsid w:val="00FE4506"/>
    <w:rsid w:val="00FE477D"/>
    <w:rsid w:val="00FE4794"/>
    <w:rsid w:val="00FE4869"/>
    <w:rsid w:val="00FE4894"/>
    <w:rsid w:val="00FE4AB1"/>
    <w:rsid w:val="00FE4AE7"/>
    <w:rsid w:val="00FE4BFF"/>
    <w:rsid w:val="00FE513E"/>
    <w:rsid w:val="00FE51CF"/>
    <w:rsid w:val="00FE582B"/>
    <w:rsid w:val="00FE5A53"/>
    <w:rsid w:val="00FE60C3"/>
    <w:rsid w:val="00FE613E"/>
    <w:rsid w:val="00FE674B"/>
    <w:rsid w:val="00FE6AF9"/>
    <w:rsid w:val="00FE6CD5"/>
    <w:rsid w:val="00FE6D1F"/>
    <w:rsid w:val="00FE6E43"/>
    <w:rsid w:val="00FE7094"/>
    <w:rsid w:val="00FE70A9"/>
    <w:rsid w:val="00FE757A"/>
    <w:rsid w:val="00FE7AE6"/>
    <w:rsid w:val="00FE7C81"/>
    <w:rsid w:val="00FE7D25"/>
    <w:rsid w:val="00FF008E"/>
    <w:rsid w:val="00FF01BA"/>
    <w:rsid w:val="00FF021D"/>
    <w:rsid w:val="00FF03FD"/>
    <w:rsid w:val="00FF0465"/>
    <w:rsid w:val="00FF04BC"/>
    <w:rsid w:val="00FF05D9"/>
    <w:rsid w:val="00FF0ACA"/>
    <w:rsid w:val="00FF0C2E"/>
    <w:rsid w:val="00FF0D61"/>
    <w:rsid w:val="00FF0DB5"/>
    <w:rsid w:val="00FF0E39"/>
    <w:rsid w:val="00FF176A"/>
    <w:rsid w:val="00FF19A3"/>
    <w:rsid w:val="00FF19B2"/>
    <w:rsid w:val="00FF1A17"/>
    <w:rsid w:val="00FF1C0A"/>
    <w:rsid w:val="00FF1F9F"/>
    <w:rsid w:val="00FF23A6"/>
    <w:rsid w:val="00FF2400"/>
    <w:rsid w:val="00FF2489"/>
    <w:rsid w:val="00FF24DC"/>
    <w:rsid w:val="00FF2627"/>
    <w:rsid w:val="00FF284E"/>
    <w:rsid w:val="00FF286F"/>
    <w:rsid w:val="00FF2CE8"/>
    <w:rsid w:val="00FF2E20"/>
    <w:rsid w:val="00FF32DA"/>
    <w:rsid w:val="00FF3A23"/>
    <w:rsid w:val="00FF3BD2"/>
    <w:rsid w:val="00FF3BD9"/>
    <w:rsid w:val="00FF3E14"/>
    <w:rsid w:val="00FF3F53"/>
    <w:rsid w:val="00FF4312"/>
    <w:rsid w:val="00FF4426"/>
    <w:rsid w:val="00FF4486"/>
    <w:rsid w:val="00FF44CD"/>
    <w:rsid w:val="00FF476D"/>
    <w:rsid w:val="00FF4A06"/>
    <w:rsid w:val="00FF4A48"/>
    <w:rsid w:val="00FF4B3B"/>
    <w:rsid w:val="00FF4E7F"/>
    <w:rsid w:val="00FF5129"/>
    <w:rsid w:val="00FF51C1"/>
    <w:rsid w:val="00FF5859"/>
    <w:rsid w:val="00FF5995"/>
    <w:rsid w:val="00FF5A1C"/>
    <w:rsid w:val="00FF5C72"/>
    <w:rsid w:val="00FF5FD3"/>
    <w:rsid w:val="00FF6619"/>
    <w:rsid w:val="00FF68AB"/>
    <w:rsid w:val="00FF6D6F"/>
    <w:rsid w:val="00FF6DC8"/>
    <w:rsid w:val="00FF6EE2"/>
    <w:rsid w:val="00FF705D"/>
    <w:rsid w:val="00FF73CC"/>
    <w:rsid w:val="00FF776C"/>
    <w:rsid w:val="00FF7917"/>
    <w:rsid w:val="00FF7932"/>
    <w:rsid w:val="00FF7952"/>
    <w:rsid w:val="00FF796A"/>
    <w:rsid w:val="00FF7BDB"/>
    <w:rsid w:val="00FF7F9B"/>
    <w:rsid w:val="0138133B"/>
    <w:rsid w:val="0147B99C"/>
    <w:rsid w:val="01800221"/>
    <w:rsid w:val="020ED4FF"/>
    <w:rsid w:val="0235C68A"/>
    <w:rsid w:val="02479CB6"/>
    <w:rsid w:val="02582E20"/>
    <w:rsid w:val="02EF6882"/>
    <w:rsid w:val="03C7DC82"/>
    <w:rsid w:val="040B8896"/>
    <w:rsid w:val="042DB683"/>
    <w:rsid w:val="04F27608"/>
    <w:rsid w:val="05167486"/>
    <w:rsid w:val="060F5433"/>
    <w:rsid w:val="072BA65D"/>
    <w:rsid w:val="072D2F83"/>
    <w:rsid w:val="078B8B59"/>
    <w:rsid w:val="079E47B9"/>
    <w:rsid w:val="07E12564"/>
    <w:rsid w:val="08ABDFB1"/>
    <w:rsid w:val="08EEB427"/>
    <w:rsid w:val="0907344D"/>
    <w:rsid w:val="091E6102"/>
    <w:rsid w:val="0A7BEB9C"/>
    <w:rsid w:val="0AB97D85"/>
    <w:rsid w:val="0B441D4D"/>
    <w:rsid w:val="0C6D730D"/>
    <w:rsid w:val="0D588548"/>
    <w:rsid w:val="0D674237"/>
    <w:rsid w:val="0D8BF2F8"/>
    <w:rsid w:val="0E5BF1D9"/>
    <w:rsid w:val="0EC55A91"/>
    <w:rsid w:val="0FA23284"/>
    <w:rsid w:val="10328C30"/>
    <w:rsid w:val="1069E682"/>
    <w:rsid w:val="10E9837A"/>
    <w:rsid w:val="11420EA4"/>
    <w:rsid w:val="11623586"/>
    <w:rsid w:val="11F6020E"/>
    <w:rsid w:val="127B58CE"/>
    <w:rsid w:val="12808199"/>
    <w:rsid w:val="1364353B"/>
    <w:rsid w:val="13EF80E2"/>
    <w:rsid w:val="1526FD03"/>
    <w:rsid w:val="16157C8A"/>
    <w:rsid w:val="16B18FEF"/>
    <w:rsid w:val="1736ECE4"/>
    <w:rsid w:val="173CA427"/>
    <w:rsid w:val="1805CF13"/>
    <w:rsid w:val="1835F661"/>
    <w:rsid w:val="18ADA3B8"/>
    <w:rsid w:val="18C5D5EE"/>
    <w:rsid w:val="18D687AB"/>
    <w:rsid w:val="191B977A"/>
    <w:rsid w:val="197814CE"/>
    <w:rsid w:val="1C5610EE"/>
    <w:rsid w:val="1C5DC4B0"/>
    <w:rsid w:val="1D2684BD"/>
    <w:rsid w:val="1DC05542"/>
    <w:rsid w:val="1ECBADDB"/>
    <w:rsid w:val="1F12DA98"/>
    <w:rsid w:val="1F891C6A"/>
    <w:rsid w:val="1F978EC5"/>
    <w:rsid w:val="204F7C39"/>
    <w:rsid w:val="2050B3E6"/>
    <w:rsid w:val="206ED80B"/>
    <w:rsid w:val="209ED0C1"/>
    <w:rsid w:val="2298E790"/>
    <w:rsid w:val="230BAA27"/>
    <w:rsid w:val="239CEB16"/>
    <w:rsid w:val="23DA998C"/>
    <w:rsid w:val="244DD05E"/>
    <w:rsid w:val="24A9799D"/>
    <w:rsid w:val="24F4B636"/>
    <w:rsid w:val="261E0224"/>
    <w:rsid w:val="2649AAB4"/>
    <w:rsid w:val="265003A8"/>
    <w:rsid w:val="26825029"/>
    <w:rsid w:val="27C452BC"/>
    <w:rsid w:val="27E17237"/>
    <w:rsid w:val="27F2AF88"/>
    <w:rsid w:val="291A8655"/>
    <w:rsid w:val="294C636B"/>
    <w:rsid w:val="29A653D7"/>
    <w:rsid w:val="29A7D35E"/>
    <w:rsid w:val="29B037C0"/>
    <w:rsid w:val="29C0126E"/>
    <w:rsid w:val="29C4E1C6"/>
    <w:rsid w:val="29C637F4"/>
    <w:rsid w:val="2AC78645"/>
    <w:rsid w:val="2BF1EC5B"/>
    <w:rsid w:val="2C21AC21"/>
    <w:rsid w:val="2D517E60"/>
    <w:rsid w:val="2E499179"/>
    <w:rsid w:val="2E6585FA"/>
    <w:rsid w:val="2F55483E"/>
    <w:rsid w:val="2F57E0B1"/>
    <w:rsid w:val="300649E9"/>
    <w:rsid w:val="30366E99"/>
    <w:rsid w:val="3047D676"/>
    <w:rsid w:val="30BB2317"/>
    <w:rsid w:val="30C297E6"/>
    <w:rsid w:val="31054505"/>
    <w:rsid w:val="3127A137"/>
    <w:rsid w:val="3170BA37"/>
    <w:rsid w:val="319687F6"/>
    <w:rsid w:val="325AD231"/>
    <w:rsid w:val="32BACCF9"/>
    <w:rsid w:val="32E3E414"/>
    <w:rsid w:val="3304DA54"/>
    <w:rsid w:val="3317441B"/>
    <w:rsid w:val="331FABBB"/>
    <w:rsid w:val="332EF8EC"/>
    <w:rsid w:val="337B0583"/>
    <w:rsid w:val="3397B0DC"/>
    <w:rsid w:val="33994F0B"/>
    <w:rsid w:val="33F826D5"/>
    <w:rsid w:val="3435DC06"/>
    <w:rsid w:val="349F895A"/>
    <w:rsid w:val="34D59CBB"/>
    <w:rsid w:val="35B8217E"/>
    <w:rsid w:val="35CBBA35"/>
    <w:rsid w:val="364A63E7"/>
    <w:rsid w:val="372398BB"/>
    <w:rsid w:val="3817077B"/>
    <w:rsid w:val="3928BBE9"/>
    <w:rsid w:val="398144F8"/>
    <w:rsid w:val="3A7CE148"/>
    <w:rsid w:val="3B3F7CF1"/>
    <w:rsid w:val="3BD12ADD"/>
    <w:rsid w:val="3C25D5A6"/>
    <w:rsid w:val="3C64CB92"/>
    <w:rsid w:val="3D7F6707"/>
    <w:rsid w:val="3E322049"/>
    <w:rsid w:val="3FA861A4"/>
    <w:rsid w:val="3FBA5BE9"/>
    <w:rsid w:val="411E2C22"/>
    <w:rsid w:val="417C5769"/>
    <w:rsid w:val="41DA76B5"/>
    <w:rsid w:val="423AE578"/>
    <w:rsid w:val="424D9F82"/>
    <w:rsid w:val="42B589BF"/>
    <w:rsid w:val="42E1E78F"/>
    <w:rsid w:val="43784E09"/>
    <w:rsid w:val="4394FE1E"/>
    <w:rsid w:val="45337CDD"/>
    <w:rsid w:val="4648002E"/>
    <w:rsid w:val="4670FED6"/>
    <w:rsid w:val="46DD30D0"/>
    <w:rsid w:val="4770EE47"/>
    <w:rsid w:val="47BA8DED"/>
    <w:rsid w:val="4870D8B9"/>
    <w:rsid w:val="494A7852"/>
    <w:rsid w:val="4B2719B7"/>
    <w:rsid w:val="4BB1A4E9"/>
    <w:rsid w:val="4CE81C55"/>
    <w:rsid w:val="4D9840B6"/>
    <w:rsid w:val="4DC57972"/>
    <w:rsid w:val="4DE26774"/>
    <w:rsid w:val="4DE86FEA"/>
    <w:rsid w:val="4DF8E173"/>
    <w:rsid w:val="4E38055B"/>
    <w:rsid w:val="5071A5B5"/>
    <w:rsid w:val="50B8834C"/>
    <w:rsid w:val="50F3D3E2"/>
    <w:rsid w:val="51203AE7"/>
    <w:rsid w:val="52C13090"/>
    <w:rsid w:val="5303D532"/>
    <w:rsid w:val="541BCAC3"/>
    <w:rsid w:val="548045A4"/>
    <w:rsid w:val="55474C58"/>
    <w:rsid w:val="5552EEB0"/>
    <w:rsid w:val="55668E09"/>
    <w:rsid w:val="55C00B00"/>
    <w:rsid w:val="56311EEF"/>
    <w:rsid w:val="5647521B"/>
    <w:rsid w:val="567CA564"/>
    <w:rsid w:val="567CFBD9"/>
    <w:rsid w:val="56BA4D1C"/>
    <w:rsid w:val="56BCDFCF"/>
    <w:rsid w:val="576AAE76"/>
    <w:rsid w:val="57CBA3BA"/>
    <w:rsid w:val="57E14ADA"/>
    <w:rsid w:val="588A33CB"/>
    <w:rsid w:val="5A2BC772"/>
    <w:rsid w:val="5A652CA9"/>
    <w:rsid w:val="5B9904C9"/>
    <w:rsid w:val="5BAC8646"/>
    <w:rsid w:val="5C00D5F9"/>
    <w:rsid w:val="5CB063C4"/>
    <w:rsid w:val="5CC8FEFE"/>
    <w:rsid w:val="5D9160DF"/>
    <w:rsid w:val="5E082545"/>
    <w:rsid w:val="5EB64392"/>
    <w:rsid w:val="5F52A2A5"/>
    <w:rsid w:val="5F98D755"/>
    <w:rsid w:val="60AE78A5"/>
    <w:rsid w:val="60DE5713"/>
    <w:rsid w:val="61F6FEA7"/>
    <w:rsid w:val="61FBDC66"/>
    <w:rsid w:val="626E1D94"/>
    <w:rsid w:val="62CCC409"/>
    <w:rsid w:val="62F05738"/>
    <w:rsid w:val="62F5A773"/>
    <w:rsid w:val="63115125"/>
    <w:rsid w:val="643EA411"/>
    <w:rsid w:val="64675AE2"/>
    <w:rsid w:val="657B8FB2"/>
    <w:rsid w:val="658EB6F3"/>
    <w:rsid w:val="66AA2587"/>
    <w:rsid w:val="67377502"/>
    <w:rsid w:val="678799AF"/>
    <w:rsid w:val="678FEA01"/>
    <w:rsid w:val="6887BAB5"/>
    <w:rsid w:val="68F2F926"/>
    <w:rsid w:val="693DA65D"/>
    <w:rsid w:val="69C80416"/>
    <w:rsid w:val="6AD334BE"/>
    <w:rsid w:val="6CB058BF"/>
    <w:rsid w:val="6CD14E8A"/>
    <w:rsid w:val="6D2B4194"/>
    <w:rsid w:val="6DC6BBC2"/>
    <w:rsid w:val="6E3D9560"/>
    <w:rsid w:val="6EB309FF"/>
    <w:rsid w:val="6EB962F3"/>
    <w:rsid w:val="6F1CFDBC"/>
    <w:rsid w:val="6F3AD309"/>
    <w:rsid w:val="6FC2EBAE"/>
    <w:rsid w:val="7044F6FA"/>
    <w:rsid w:val="7082C216"/>
    <w:rsid w:val="7172CC9B"/>
    <w:rsid w:val="73290DB2"/>
    <w:rsid w:val="73982796"/>
    <w:rsid w:val="74005E7C"/>
    <w:rsid w:val="74471853"/>
    <w:rsid w:val="77034508"/>
    <w:rsid w:val="772C8480"/>
    <w:rsid w:val="773E23FE"/>
    <w:rsid w:val="776ABCD9"/>
    <w:rsid w:val="77972541"/>
    <w:rsid w:val="77BEF7C4"/>
    <w:rsid w:val="7803E61D"/>
    <w:rsid w:val="78DB1AB9"/>
    <w:rsid w:val="7A90E75D"/>
    <w:rsid w:val="7A99CE05"/>
    <w:rsid w:val="7AC0E02F"/>
    <w:rsid w:val="7B380C39"/>
    <w:rsid w:val="7BE1C743"/>
    <w:rsid w:val="7C4B7B95"/>
    <w:rsid w:val="7C630C22"/>
    <w:rsid w:val="7C7EBA7D"/>
    <w:rsid w:val="7C8D4D15"/>
    <w:rsid w:val="7CDC1FB3"/>
    <w:rsid w:val="7CE914FC"/>
    <w:rsid w:val="7D92C5F4"/>
    <w:rsid w:val="7DD315EB"/>
    <w:rsid w:val="7EF88AAA"/>
    <w:rsid w:val="7F4BE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D171DC4"/>
  <w15:docId w15:val="{AF84EC6B-F5C6-4EC5-B777-87F651D1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spacing w:before="120" w:after="120" w:line="240" w:lineRule="auto"/>
      <w:jc w:val="both"/>
    </w:pPr>
    <w:rPr>
      <w:rFonts w:ascii="Times New Roman" w:hAnsi="Times New Roman" w:cs="Times New Roman"/>
      <w:sz w:val="24"/>
      <w:lang w:val="en-GB"/>
    </w:rPr>
  </w:style>
  <w:style w:type="paragraph" w:styleId="Pealkiri1">
    <w:name w:val="heading 1"/>
    <w:basedOn w:val="Normaallaad"/>
    <w:next w:val="Text1"/>
    <w:link w:val="Pealkiri1Mrk"/>
    <w:uiPriority w:val="9"/>
    <w:qFormat/>
    <w:rsid w:val="009B7138"/>
    <w:pPr>
      <w:keepNext/>
      <w:numPr>
        <w:numId w:val="57"/>
      </w:numPr>
      <w:spacing w:before="360"/>
      <w:outlineLvl w:val="0"/>
    </w:pPr>
    <w:rPr>
      <w:rFonts w:eastAsiaTheme="majorEastAsia"/>
      <w:b/>
      <w:bCs/>
      <w:smallCaps/>
      <w:szCs w:val="28"/>
    </w:rPr>
  </w:style>
  <w:style w:type="paragraph" w:styleId="Pealkiri2">
    <w:name w:val="heading 2"/>
    <w:basedOn w:val="Normaallaad"/>
    <w:next w:val="Text1"/>
    <w:link w:val="Pealkiri2Mrk"/>
    <w:uiPriority w:val="9"/>
    <w:semiHidden/>
    <w:unhideWhenUsed/>
    <w:qFormat/>
    <w:rsid w:val="009B7138"/>
    <w:pPr>
      <w:keepNext/>
      <w:numPr>
        <w:ilvl w:val="1"/>
        <w:numId w:val="57"/>
      </w:numPr>
      <w:outlineLvl w:val="1"/>
    </w:pPr>
    <w:rPr>
      <w:rFonts w:eastAsiaTheme="majorEastAsia"/>
      <w:b/>
      <w:bCs/>
      <w:szCs w:val="26"/>
    </w:rPr>
  </w:style>
  <w:style w:type="paragraph" w:styleId="Pealkiri3">
    <w:name w:val="heading 3"/>
    <w:basedOn w:val="Normaallaad"/>
    <w:next w:val="Text1"/>
    <w:link w:val="Pealkiri3Mrk"/>
    <w:uiPriority w:val="9"/>
    <w:semiHidden/>
    <w:unhideWhenUsed/>
    <w:qFormat/>
    <w:rsid w:val="009B7138"/>
    <w:pPr>
      <w:keepNext/>
      <w:numPr>
        <w:ilvl w:val="2"/>
        <w:numId w:val="57"/>
      </w:numPr>
      <w:outlineLvl w:val="2"/>
    </w:pPr>
    <w:rPr>
      <w:rFonts w:eastAsiaTheme="majorEastAsia"/>
      <w:bCs/>
      <w:i/>
    </w:rPr>
  </w:style>
  <w:style w:type="paragraph" w:styleId="Pealkiri4">
    <w:name w:val="heading 4"/>
    <w:basedOn w:val="Normaallaad"/>
    <w:next w:val="Text1"/>
    <w:link w:val="Pealkiri4Mrk"/>
    <w:uiPriority w:val="9"/>
    <w:semiHidden/>
    <w:unhideWhenUsed/>
    <w:qFormat/>
    <w:rsid w:val="009B7138"/>
    <w:pPr>
      <w:keepNext/>
      <w:numPr>
        <w:ilvl w:val="3"/>
        <w:numId w:val="57"/>
      </w:numPr>
      <w:outlineLvl w:val="3"/>
    </w:pPr>
    <w:rPr>
      <w:rFonts w:eastAsiaTheme="majorEastAsia"/>
      <w:bCs/>
      <w:iCs/>
    </w:rPr>
  </w:style>
  <w:style w:type="paragraph" w:styleId="Pealkiri5">
    <w:name w:val="heading 5"/>
    <w:basedOn w:val="Normaallaad"/>
    <w:next w:val="Text2"/>
    <w:link w:val="Pealkiri5Mrk"/>
    <w:uiPriority w:val="9"/>
    <w:semiHidden/>
    <w:unhideWhenUsed/>
    <w:qFormat/>
    <w:rsid w:val="00BB2AE1"/>
    <w:pPr>
      <w:keepNext/>
      <w:numPr>
        <w:ilvl w:val="4"/>
        <w:numId w:val="57"/>
      </w:numPr>
      <w:outlineLvl w:val="4"/>
    </w:pPr>
    <w:rPr>
      <w:rFonts w:eastAsiaTheme="majorEastAsia"/>
    </w:rPr>
  </w:style>
  <w:style w:type="paragraph" w:styleId="Pealkiri6">
    <w:name w:val="heading 6"/>
    <w:basedOn w:val="Normaallaad"/>
    <w:next w:val="Text2"/>
    <w:link w:val="Pealkiri6Mrk"/>
    <w:uiPriority w:val="9"/>
    <w:semiHidden/>
    <w:unhideWhenUsed/>
    <w:qFormat/>
    <w:rsid w:val="00BB2AE1"/>
    <w:pPr>
      <w:keepNext/>
      <w:numPr>
        <w:ilvl w:val="5"/>
        <w:numId w:val="57"/>
      </w:numPr>
      <w:outlineLvl w:val="5"/>
    </w:pPr>
    <w:rPr>
      <w:rFonts w:eastAsiaTheme="majorEastAsia"/>
      <w:iCs/>
    </w:rPr>
  </w:style>
  <w:style w:type="paragraph" w:styleId="Pealkiri7">
    <w:name w:val="heading 7"/>
    <w:basedOn w:val="Normaallaad"/>
    <w:next w:val="Text2"/>
    <w:link w:val="Pealkiri7Mrk"/>
    <w:uiPriority w:val="9"/>
    <w:semiHidden/>
    <w:unhideWhenUsed/>
    <w:qFormat/>
    <w:rsid w:val="00BB2AE1"/>
    <w:pPr>
      <w:keepNext/>
      <w:numPr>
        <w:ilvl w:val="6"/>
        <w:numId w:val="57"/>
      </w:numPr>
      <w:outlineLvl w:val="6"/>
    </w:pPr>
    <w:rPr>
      <w:rFonts w:eastAsiaTheme="majorEastAsia"/>
      <w:i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number">
    <w:name w:val="List Number"/>
    <w:basedOn w:val="Normaallaad"/>
    <w:rsid w:val="005D3E76"/>
    <w:pPr>
      <w:numPr>
        <w:numId w:val="8"/>
      </w:numPr>
      <w:tabs>
        <w:tab w:val="num" w:pos="0"/>
      </w:tabs>
      <w:ind w:left="567" w:hanging="567"/>
    </w:pPr>
    <w:rPr>
      <w:rFonts w:eastAsia="Times New Roman"/>
      <w:lang w:eastAsia="en-GB"/>
    </w:rPr>
  </w:style>
  <w:style w:type="paragraph" w:styleId="Loendinumber4">
    <w:name w:val="List Number 4"/>
    <w:basedOn w:val="Normaallaad"/>
    <w:rsid w:val="0080592F"/>
    <w:pPr>
      <w:tabs>
        <w:tab w:val="num" w:pos="1209"/>
      </w:tabs>
      <w:ind w:left="1209" w:hanging="360"/>
    </w:pPr>
    <w:rPr>
      <w:rFonts w:eastAsia="Times New Roman"/>
      <w:lang w:eastAsia="en-GB"/>
    </w:rPr>
  </w:style>
  <w:style w:type="character" w:styleId="Hperlink">
    <w:name w:val="Hyperlink"/>
    <w:rsid w:val="0080592F"/>
    <w:rPr>
      <w:color w:val="0000FF"/>
      <w:u w:val="single"/>
      <w:shd w:val="clear" w:color="auto" w:fill="auto"/>
    </w:rPr>
  </w:style>
  <w:style w:type="paragraph" w:styleId="Loenditpp">
    <w:name w:val="List Bullet"/>
    <w:basedOn w:val="Normaallaad"/>
    <w:uiPriority w:val="99"/>
    <w:unhideWhenUsed/>
    <w:rsid w:val="00B91A21"/>
    <w:pPr>
      <w:numPr>
        <w:numId w:val="1"/>
      </w:numPr>
      <w:contextualSpacing/>
    </w:pPr>
  </w:style>
  <w:style w:type="paragraph" w:styleId="Loenditpp2">
    <w:name w:val="List Bullet 2"/>
    <w:basedOn w:val="Normaallaad"/>
    <w:uiPriority w:val="99"/>
    <w:semiHidden/>
    <w:unhideWhenUsed/>
    <w:rsid w:val="00B91A21"/>
    <w:pPr>
      <w:numPr>
        <w:numId w:val="2"/>
      </w:numPr>
      <w:contextualSpacing/>
    </w:pPr>
  </w:style>
  <w:style w:type="paragraph" w:styleId="Loenditpp3">
    <w:name w:val="List Bullet 3"/>
    <w:basedOn w:val="Normaallaad"/>
    <w:uiPriority w:val="99"/>
    <w:semiHidden/>
    <w:unhideWhenUsed/>
    <w:rsid w:val="00B91A21"/>
    <w:pPr>
      <w:tabs>
        <w:tab w:val="num" w:pos="926"/>
      </w:tabs>
      <w:ind w:left="926" w:hanging="360"/>
      <w:contextualSpacing/>
    </w:pPr>
  </w:style>
  <w:style w:type="paragraph" w:styleId="Loenditpp4">
    <w:name w:val="List Bullet 4"/>
    <w:basedOn w:val="Normaallaad"/>
    <w:uiPriority w:val="99"/>
    <w:unhideWhenUsed/>
    <w:rsid w:val="00B91A21"/>
    <w:pPr>
      <w:tabs>
        <w:tab w:val="num" w:pos="1209"/>
      </w:tabs>
      <w:ind w:left="1209" w:hanging="360"/>
      <w:contextualSpacing/>
    </w:pPr>
  </w:style>
  <w:style w:type="paragraph" w:styleId="Jutumullitekst">
    <w:name w:val="Balloon Text"/>
    <w:basedOn w:val="Normaallaad"/>
    <w:link w:val="JutumullitekstMrk"/>
    <w:uiPriority w:val="99"/>
    <w:semiHidden/>
    <w:unhideWhenUsed/>
    <w:rsid w:val="00023F12"/>
    <w:pPr>
      <w:spacing w:before="0"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23F12"/>
    <w:rPr>
      <w:rFonts w:ascii="Segoe UI" w:hAnsi="Segoe UI" w:cs="Segoe UI"/>
      <w:sz w:val="18"/>
      <w:szCs w:val="18"/>
      <w:lang w:val="en-GB"/>
    </w:rPr>
  </w:style>
  <w:style w:type="paragraph" w:styleId="Normaallaadveeb">
    <w:name w:val="Normal (Web)"/>
    <w:basedOn w:val="Normaallaad"/>
    <w:uiPriority w:val="99"/>
    <w:unhideWhenUsed/>
    <w:rsid w:val="00023F12"/>
    <w:pPr>
      <w:spacing w:before="100" w:beforeAutospacing="1" w:after="100" w:afterAutospacing="1"/>
      <w:jc w:val="left"/>
    </w:pPr>
    <w:rPr>
      <w:rFonts w:eastAsia="Times New Roman"/>
      <w:szCs w:val="24"/>
      <w:lang w:eastAsia="en-GB"/>
    </w:rPr>
  </w:style>
  <w:style w:type="character" w:styleId="Kommentaariviide">
    <w:name w:val="annotation reference"/>
    <w:basedOn w:val="Liguvaikefont"/>
    <w:uiPriority w:val="99"/>
    <w:unhideWhenUsed/>
    <w:qFormat/>
    <w:rsid w:val="003168EC"/>
    <w:rPr>
      <w:sz w:val="16"/>
      <w:szCs w:val="16"/>
    </w:rPr>
  </w:style>
  <w:style w:type="paragraph" w:styleId="Kommentaaritekst">
    <w:name w:val="annotation text"/>
    <w:basedOn w:val="Normaallaad"/>
    <w:link w:val="KommentaaritekstMrk"/>
    <w:uiPriority w:val="99"/>
    <w:unhideWhenUsed/>
    <w:qFormat/>
    <w:rsid w:val="003168EC"/>
    <w:rPr>
      <w:sz w:val="20"/>
      <w:szCs w:val="20"/>
    </w:rPr>
  </w:style>
  <w:style w:type="character" w:customStyle="1" w:styleId="KommentaaritekstMrk">
    <w:name w:val="Kommentaari tekst Märk"/>
    <w:basedOn w:val="Liguvaikefont"/>
    <w:link w:val="Kommentaaritekst"/>
    <w:uiPriority w:val="99"/>
    <w:rsid w:val="003168EC"/>
    <w:rPr>
      <w:rFonts w:ascii="Times New Roman" w:hAnsi="Times New Roman" w:cs="Times New Roman"/>
      <w:sz w:val="20"/>
      <w:szCs w:val="20"/>
      <w:lang w:val="en-GB"/>
    </w:rPr>
  </w:style>
  <w:style w:type="paragraph" w:styleId="Kommentaariteema">
    <w:name w:val="annotation subject"/>
    <w:basedOn w:val="Kommentaaritekst"/>
    <w:next w:val="Kommentaaritekst"/>
    <w:link w:val="KommentaariteemaMrk"/>
    <w:uiPriority w:val="99"/>
    <w:semiHidden/>
    <w:unhideWhenUsed/>
    <w:rsid w:val="003168EC"/>
    <w:rPr>
      <w:b/>
      <w:bCs/>
    </w:rPr>
  </w:style>
  <w:style w:type="character" w:customStyle="1" w:styleId="KommentaariteemaMrk">
    <w:name w:val="Kommentaari teema Märk"/>
    <w:basedOn w:val="KommentaaritekstMrk"/>
    <w:link w:val="Kommentaariteema"/>
    <w:uiPriority w:val="99"/>
    <w:semiHidden/>
    <w:rsid w:val="003168EC"/>
    <w:rPr>
      <w:rFonts w:ascii="Times New Roman" w:hAnsi="Times New Roman" w:cs="Times New Roman"/>
      <w:b/>
      <w:bCs/>
      <w:sz w:val="20"/>
      <w:szCs w:val="20"/>
      <w:lang w:val="en-GB"/>
    </w:rPr>
  </w:style>
  <w:style w:type="paragraph" w:styleId="Loendilik">
    <w:name w:val="List Paragraph"/>
    <w:aliases w:val="Paragraphe EI,Paragraphe de liste1,EC,Paragraphe de liste,Issue Action POC,List Paragraph1,3,POCG Table Text,Dot pt,F5 List Paragraph,List Paragraph Char Char Char,Indicator Text,Colorful List - Accent 11,Numbered Para 1,Bullet Points,L"/>
    <w:basedOn w:val="Normaallaad"/>
    <w:link w:val="LoendilikMrk"/>
    <w:uiPriority w:val="34"/>
    <w:qFormat/>
    <w:rsid w:val="00646441"/>
    <w:pPr>
      <w:ind w:left="720"/>
      <w:contextualSpacing/>
    </w:pPr>
  </w:style>
  <w:style w:type="table" w:styleId="Keskmineloend1">
    <w:name w:val="Medium List 1"/>
    <w:basedOn w:val="Normaaltabel"/>
    <w:uiPriority w:val="65"/>
    <w:semiHidden/>
    <w:unhideWhenUsed/>
    <w:rsid w:val="004E63F0"/>
    <w:pPr>
      <w:spacing w:after="0" w:line="240" w:lineRule="auto"/>
    </w:pPr>
    <w:rPr>
      <w:color w:val="000000" w:themeColor="text1"/>
      <w:sz w:val="20"/>
      <w:szCs w:val="20"/>
      <w:lang w:val="fr-BE" w:eastAsia="fr-B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Loendinumber5">
    <w:name w:val="List Number 5"/>
    <w:basedOn w:val="Normaallaad"/>
    <w:uiPriority w:val="99"/>
    <w:unhideWhenUsed/>
    <w:rsid w:val="004E63F0"/>
    <w:pPr>
      <w:tabs>
        <w:tab w:val="num" w:pos="1492"/>
      </w:tabs>
      <w:ind w:left="1492" w:hanging="360"/>
      <w:contextualSpacing/>
    </w:pPr>
  </w:style>
  <w:style w:type="table" w:styleId="Keskmineloend1rhk5">
    <w:name w:val="Medium List 1 Accent 5"/>
    <w:basedOn w:val="Normaaltabel"/>
    <w:uiPriority w:val="65"/>
    <w:semiHidden/>
    <w:unhideWhenUsed/>
    <w:rsid w:val="00E20DBE"/>
    <w:pPr>
      <w:spacing w:after="0" w:line="240" w:lineRule="auto"/>
    </w:pPr>
    <w:rPr>
      <w:color w:val="000000" w:themeColor="text1"/>
      <w:sz w:val="20"/>
      <w:szCs w:val="20"/>
      <w:lang w:val="fr-BE" w:eastAsia="fr-B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customStyle="1" w:styleId="Normal1">
    <w:name w:val="Normal1"/>
    <w:basedOn w:val="Normaallaad"/>
    <w:rsid w:val="00AB13B6"/>
    <w:pPr>
      <w:spacing w:before="100" w:beforeAutospacing="1" w:after="100" w:afterAutospacing="1"/>
      <w:jc w:val="left"/>
    </w:pPr>
    <w:rPr>
      <w:rFonts w:eastAsia="Times New Roman"/>
      <w:szCs w:val="24"/>
      <w:lang w:val="fr-BE" w:eastAsia="fr-BE"/>
    </w:rPr>
  </w:style>
  <w:style w:type="paragraph" w:styleId="Redaktsioon">
    <w:name w:val="Revision"/>
    <w:hidden/>
    <w:uiPriority w:val="99"/>
    <w:semiHidden/>
    <w:rsid w:val="00A052B1"/>
    <w:pPr>
      <w:spacing w:after="0" w:line="240" w:lineRule="auto"/>
    </w:pPr>
    <w:rPr>
      <w:rFonts w:ascii="Times New Roman" w:hAnsi="Times New Roman" w:cs="Times New Roman"/>
      <w:sz w:val="24"/>
      <w:lang w:val="en-GB"/>
    </w:rPr>
  </w:style>
  <w:style w:type="paragraph" w:styleId="Loend4">
    <w:name w:val="List 4"/>
    <w:basedOn w:val="Normaallaad"/>
    <w:uiPriority w:val="99"/>
    <w:semiHidden/>
    <w:unhideWhenUsed/>
    <w:rsid w:val="00614862"/>
    <w:pPr>
      <w:ind w:left="1132" w:hanging="283"/>
      <w:contextualSpacing/>
    </w:pPr>
  </w:style>
  <w:style w:type="character" w:styleId="Tugev">
    <w:name w:val="Strong"/>
    <w:basedOn w:val="Liguvaikefont"/>
    <w:uiPriority w:val="22"/>
    <w:qFormat/>
    <w:rsid w:val="00C814E9"/>
    <w:rPr>
      <w:b/>
      <w:bCs/>
    </w:rPr>
  </w:style>
  <w:style w:type="paragraph" w:customStyle="1" w:styleId="Normal2">
    <w:name w:val="Normal2"/>
    <w:basedOn w:val="Normaallaad"/>
    <w:rsid w:val="004E7AE6"/>
    <w:pPr>
      <w:spacing w:before="100" w:beforeAutospacing="1" w:after="100" w:afterAutospacing="1"/>
      <w:jc w:val="left"/>
    </w:pPr>
    <w:rPr>
      <w:rFonts w:eastAsia="Times New Roman"/>
      <w:szCs w:val="24"/>
      <w:lang w:eastAsia="en-GB"/>
    </w:rPr>
  </w:style>
  <w:style w:type="character" w:customStyle="1" w:styleId="LoendilikMrk">
    <w:name w:val="Loendi lõik Märk"/>
    <w:aliases w:val="Paragraphe EI Märk,Paragraphe de liste1 Märk,EC Märk,Paragraphe de liste Märk,Issue Action POC Märk,List Paragraph1 Märk,3 Märk,POCG Table Text Märk,Dot pt Märk,F5 List Paragraph Märk,List Paragraph Char Char Char Märk,L Märk"/>
    <w:link w:val="Loendilik"/>
    <w:uiPriority w:val="34"/>
    <w:qFormat/>
    <w:locked/>
    <w:rsid w:val="00920559"/>
    <w:rPr>
      <w:rFonts w:ascii="Times New Roman" w:hAnsi="Times New Roman" w:cs="Times New Roman"/>
      <w:sz w:val="24"/>
      <w:lang w:val="en-GB"/>
    </w:rPr>
  </w:style>
  <w:style w:type="paragraph" w:customStyle="1" w:styleId="ti-art">
    <w:name w:val="ti-art"/>
    <w:basedOn w:val="Normaallaad"/>
    <w:rsid w:val="00265D15"/>
    <w:pPr>
      <w:spacing w:before="100" w:beforeAutospacing="1" w:after="100" w:afterAutospacing="1"/>
      <w:jc w:val="left"/>
    </w:pPr>
    <w:rPr>
      <w:rFonts w:eastAsia="Times New Roman"/>
      <w:szCs w:val="24"/>
      <w:lang w:eastAsia="en-GB"/>
    </w:rPr>
  </w:style>
  <w:style w:type="paragraph" w:customStyle="1" w:styleId="TOCAnnex2">
    <w:name w:val="TOC Annex 2"/>
    <w:basedOn w:val="SK2"/>
    <w:qFormat/>
    <w:rsid w:val="00B64742"/>
    <w:pPr>
      <w:tabs>
        <w:tab w:val="clear" w:pos="9071"/>
        <w:tab w:val="left" w:pos="1077"/>
        <w:tab w:val="right" w:leader="dot" w:pos="8789"/>
      </w:tabs>
      <w:spacing w:after="60"/>
      <w:ind w:left="1077" w:right="720" w:hanging="595"/>
      <w:jc w:val="both"/>
    </w:pPr>
    <w:rPr>
      <w:rFonts w:eastAsia="Times New Roman"/>
      <w:noProof/>
      <w:szCs w:val="24"/>
    </w:rPr>
  </w:style>
  <w:style w:type="paragraph" w:customStyle="1" w:styleId="norm">
    <w:name w:val="norm"/>
    <w:basedOn w:val="Normaallaad"/>
    <w:rsid w:val="00577E02"/>
    <w:pPr>
      <w:spacing w:before="100" w:beforeAutospacing="1" w:after="100" w:afterAutospacing="1"/>
      <w:jc w:val="left"/>
    </w:pPr>
    <w:rPr>
      <w:rFonts w:eastAsia="Times New Roman"/>
      <w:szCs w:val="24"/>
      <w:lang w:val="fr-BE" w:eastAsia="fr-BE"/>
    </w:rPr>
  </w:style>
  <w:style w:type="paragraph" w:customStyle="1" w:styleId="Normal3">
    <w:name w:val="Normal3"/>
    <w:basedOn w:val="Normaallaad"/>
    <w:rsid w:val="0098153E"/>
    <w:pPr>
      <w:spacing w:before="100" w:beforeAutospacing="1" w:after="100" w:afterAutospacing="1"/>
      <w:jc w:val="left"/>
    </w:pPr>
    <w:rPr>
      <w:rFonts w:eastAsia="Times New Roman"/>
      <w:szCs w:val="24"/>
      <w:lang w:val="fr-BE" w:eastAsia="fr-BE"/>
    </w:rPr>
  </w:style>
  <w:style w:type="table" w:customStyle="1" w:styleId="Style1">
    <w:name w:val="Style1"/>
    <w:basedOn w:val="Normaaltabel"/>
    <w:uiPriority w:val="99"/>
    <w:rsid w:val="002E5272"/>
    <w:pPr>
      <w:spacing w:after="0" w:line="240" w:lineRule="auto"/>
    </w:pPr>
    <w:tblPr/>
  </w:style>
  <w:style w:type="paragraph" w:customStyle="1" w:styleId="ListDash1">
    <w:name w:val="List Dash 1"/>
    <w:basedOn w:val="Text1"/>
    <w:rsid w:val="00937B70"/>
    <w:pPr>
      <w:tabs>
        <w:tab w:val="num" w:pos="765"/>
      </w:tabs>
      <w:spacing w:before="0" w:after="200" w:line="276" w:lineRule="auto"/>
      <w:ind w:left="765" w:hanging="283"/>
    </w:pPr>
    <w:rPr>
      <w:rFonts w:eastAsia="Times New Roman"/>
      <w:szCs w:val="20"/>
    </w:rPr>
  </w:style>
  <w:style w:type="paragraph" w:customStyle="1" w:styleId="Articletitle">
    <w:name w:val="Article title"/>
    <w:basedOn w:val="Normaallaad"/>
    <w:qFormat/>
    <w:rsid w:val="008A767D"/>
    <w:pPr>
      <w:keepNext/>
      <w:jc w:val="center"/>
    </w:pPr>
    <w:rPr>
      <w:b/>
      <w:bCs/>
    </w:rPr>
  </w:style>
  <w:style w:type="paragraph" w:customStyle="1" w:styleId="Style2">
    <w:name w:val="Style2"/>
    <w:basedOn w:val="Titrearticle"/>
    <w:qFormat/>
    <w:rsid w:val="00774962"/>
    <w:pPr>
      <w:ind w:left="720" w:hanging="360"/>
    </w:pPr>
  </w:style>
  <w:style w:type="paragraph" w:customStyle="1" w:styleId="Articlenumber">
    <w:name w:val="Article number"/>
    <w:basedOn w:val="Titrearticle"/>
    <w:qFormat/>
    <w:rsid w:val="00720006"/>
    <w:pPr>
      <w:ind w:left="5747" w:hanging="360"/>
    </w:pPr>
  </w:style>
  <w:style w:type="paragraph" w:customStyle="1" w:styleId="Default">
    <w:name w:val="Default"/>
    <w:rsid w:val="007C282C"/>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sti-art">
    <w:name w:val="sti-art"/>
    <w:basedOn w:val="Normaallaad"/>
    <w:rsid w:val="0089456D"/>
    <w:pPr>
      <w:spacing w:before="100" w:beforeAutospacing="1" w:after="100" w:afterAutospacing="1"/>
      <w:jc w:val="left"/>
    </w:pPr>
    <w:rPr>
      <w:rFonts w:eastAsia="Times New Roman"/>
      <w:szCs w:val="24"/>
      <w:lang w:val="en-IE" w:eastAsia="en-IE"/>
    </w:rPr>
  </w:style>
  <w:style w:type="paragraph" w:customStyle="1" w:styleId="Normal4">
    <w:name w:val="Normal4"/>
    <w:basedOn w:val="Normaallaad"/>
    <w:rsid w:val="0089456D"/>
    <w:pPr>
      <w:spacing w:before="100" w:beforeAutospacing="1" w:after="100" w:afterAutospacing="1"/>
      <w:jc w:val="left"/>
    </w:pPr>
    <w:rPr>
      <w:rFonts w:eastAsia="Times New Roman"/>
      <w:szCs w:val="24"/>
      <w:lang w:val="en-IE" w:eastAsia="en-IE"/>
    </w:rPr>
  </w:style>
  <w:style w:type="paragraph" w:customStyle="1" w:styleId="point1romannumberautonumber">
    <w:name w:val="point 1 roman number autonumber"/>
    <w:basedOn w:val="point0letterautonumber"/>
    <w:next w:val="Normaallaad"/>
    <w:qFormat/>
    <w:rsid w:val="00D0453F"/>
    <w:pPr>
      <w:tabs>
        <w:tab w:val="num" w:pos="1191"/>
        <w:tab w:val="num" w:pos="1418"/>
      </w:tabs>
      <w:ind w:left="1418"/>
    </w:pPr>
  </w:style>
  <w:style w:type="paragraph" w:customStyle="1" w:styleId="point0letterautonumber">
    <w:name w:val="point 0 letter autonumber"/>
    <w:basedOn w:val="Normaallaad"/>
    <w:next w:val="Normaallaad"/>
    <w:qFormat/>
    <w:rsid w:val="00117ABD"/>
    <w:pPr>
      <w:ind w:left="567" w:hanging="567"/>
    </w:pPr>
  </w:style>
  <w:style w:type="character" w:customStyle="1" w:styleId="superscript">
    <w:name w:val="superscript"/>
    <w:basedOn w:val="Liguvaikefont"/>
    <w:rsid w:val="003128B3"/>
  </w:style>
  <w:style w:type="character" w:styleId="Rhutus">
    <w:name w:val="Emphasis"/>
    <w:basedOn w:val="Liguvaikefont"/>
    <w:uiPriority w:val="20"/>
    <w:qFormat/>
    <w:rsid w:val="003128B3"/>
    <w:rPr>
      <w:i/>
      <w:iCs/>
    </w:rPr>
  </w:style>
  <w:style w:type="paragraph" w:customStyle="1" w:styleId="point2romannumber">
    <w:name w:val="point 2 roman number"/>
    <w:basedOn w:val="Normaallaad"/>
    <w:next w:val="Normaallaad"/>
    <w:qFormat/>
    <w:rsid w:val="00D4020C"/>
  </w:style>
  <w:style w:type="character" w:customStyle="1" w:styleId="normaltextrun">
    <w:name w:val="normaltextrun"/>
    <w:basedOn w:val="Liguvaikefont"/>
    <w:rsid w:val="009A7F74"/>
  </w:style>
  <w:style w:type="paragraph" w:customStyle="1" w:styleId="NumPar1autonumber">
    <w:name w:val="NumPar 1 autonumber"/>
    <w:basedOn w:val="Loendilik"/>
    <w:next w:val="Normaallaad"/>
    <w:qFormat/>
    <w:rsid w:val="003B7DCE"/>
    <w:pPr>
      <w:numPr>
        <w:ilvl w:val="1"/>
      </w:numPr>
      <w:ind w:left="851" w:hanging="851"/>
      <w:contextualSpacing w:val="0"/>
    </w:pPr>
  </w:style>
  <w:style w:type="paragraph" w:customStyle="1" w:styleId="Point1letterautonumber">
    <w:name w:val="Point 1 letter autonumber"/>
    <w:basedOn w:val="Normaallaad"/>
    <w:next w:val="Normaallaad"/>
    <w:qFormat/>
    <w:rsid w:val="003B7DCE"/>
    <w:pPr>
      <w:numPr>
        <w:numId w:val="4"/>
      </w:numPr>
    </w:pPr>
    <w:rPr>
      <w:shd w:val="clear" w:color="auto" w:fill="FFFFFF"/>
      <w:lang w:val="en-IE"/>
    </w:rPr>
  </w:style>
  <w:style w:type="paragraph" w:customStyle="1" w:styleId="Normal5">
    <w:name w:val="Normal5"/>
    <w:basedOn w:val="Normaallaad"/>
    <w:rsid w:val="00786456"/>
    <w:pPr>
      <w:spacing w:before="100" w:beforeAutospacing="1" w:after="100" w:afterAutospacing="1"/>
      <w:jc w:val="left"/>
    </w:pPr>
    <w:rPr>
      <w:rFonts w:eastAsia="Times New Roman"/>
      <w:szCs w:val="24"/>
      <w:lang w:val="fr-BE" w:eastAsia="fr-BE"/>
    </w:rPr>
  </w:style>
  <w:style w:type="table" w:styleId="Kontuurtabel">
    <w:name w:val="Table Grid"/>
    <w:basedOn w:val="Normaaltabel"/>
    <w:uiPriority w:val="59"/>
    <w:rsid w:val="006609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ealdis">
    <w:name w:val="caption"/>
    <w:basedOn w:val="Normaallaad"/>
    <w:next w:val="Normaallaad"/>
    <w:uiPriority w:val="35"/>
    <w:semiHidden/>
    <w:unhideWhenUsed/>
    <w:qFormat/>
    <w:rsid w:val="00121171"/>
    <w:pPr>
      <w:spacing w:before="0" w:after="200"/>
    </w:pPr>
    <w:rPr>
      <w:i/>
      <w:iCs/>
      <w:color w:val="1F497D" w:themeColor="text2"/>
      <w:sz w:val="18"/>
      <w:szCs w:val="18"/>
    </w:rPr>
  </w:style>
  <w:style w:type="paragraph" w:styleId="Illustratsiooniloend">
    <w:name w:val="table of figures"/>
    <w:basedOn w:val="Normaallaad"/>
    <w:next w:val="Normaallaad"/>
    <w:uiPriority w:val="99"/>
    <w:semiHidden/>
    <w:unhideWhenUsed/>
    <w:rsid w:val="00121171"/>
    <w:pPr>
      <w:spacing w:after="0"/>
    </w:pPr>
  </w:style>
  <w:style w:type="paragraph" w:styleId="Loendinumber2">
    <w:name w:val="List Number 2"/>
    <w:basedOn w:val="Normaallaad"/>
    <w:uiPriority w:val="99"/>
    <w:semiHidden/>
    <w:unhideWhenUsed/>
    <w:rsid w:val="00121171"/>
    <w:pPr>
      <w:numPr>
        <w:numId w:val="5"/>
      </w:numPr>
      <w:contextualSpacing/>
    </w:pPr>
  </w:style>
  <w:style w:type="paragraph" w:styleId="Loendinumber3">
    <w:name w:val="List Number 3"/>
    <w:basedOn w:val="Normaallaad"/>
    <w:uiPriority w:val="99"/>
    <w:semiHidden/>
    <w:unhideWhenUsed/>
    <w:rsid w:val="00121171"/>
    <w:pPr>
      <w:numPr>
        <w:numId w:val="6"/>
      </w:numPr>
      <w:contextualSpacing/>
    </w:pPr>
  </w:style>
  <w:style w:type="numbering" w:customStyle="1" w:styleId="Liststyle">
    <w:name w:val="List style"/>
    <w:uiPriority w:val="99"/>
    <w:rsid w:val="00EF3021"/>
  </w:style>
  <w:style w:type="numbering" w:customStyle="1" w:styleId="ListstyleSCGpoint1">
    <w:name w:val="List style SCG point 1"/>
    <w:uiPriority w:val="99"/>
    <w:rsid w:val="00EF3021"/>
    <w:pPr>
      <w:numPr>
        <w:numId w:val="10"/>
      </w:numPr>
    </w:pPr>
  </w:style>
  <w:style w:type="paragraph" w:customStyle="1" w:styleId="Numbered">
    <w:name w:val="Numbered"/>
    <w:basedOn w:val="Normaallaad"/>
    <w:rsid w:val="00F93A02"/>
    <w:pPr>
      <w:autoSpaceDE w:val="0"/>
      <w:autoSpaceDN w:val="0"/>
      <w:spacing w:before="60" w:after="60"/>
      <w:ind w:left="720"/>
      <w:jc w:val="left"/>
    </w:pPr>
    <w:rPr>
      <w:rFonts w:ascii="Calibri Light" w:hAnsi="Calibri Light" w:cs="Calibri Light"/>
      <w:color w:val="404040"/>
      <w:sz w:val="20"/>
      <w:szCs w:val="20"/>
      <w:lang w:val="fr-BE"/>
    </w:rPr>
  </w:style>
  <w:style w:type="character" w:styleId="Klastatudhperlink">
    <w:name w:val="FollowedHyperlink"/>
    <w:basedOn w:val="Liguvaikefont"/>
    <w:uiPriority w:val="99"/>
    <w:semiHidden/>
    <w:unhideWhenUsed/>
    <w:rsid w:val="00CD5FCC"/>
    <w:rPr>
      <w:color w:val="800080" w:themeColor="followedHyperlink"/>
      <w:u w:val="single"/>
    </w:rPr>
  </w:style>
  <w:style w:type="paragraph" w:customStyle="1" w:styleId="Point1i">
    <w:name w:val="Point 1 (i)"/>
    <w:basedOn w:val="Point1letter"/>
    <w:qFormat/>
    <w:rsid w:val="00903AEC"/>
    <w:pPr>
      <w:tabs>
        <w:tab w:val="clear" w:pos="1417"/>
      </w:tabs>
      <w:ind w:left="1570" w:hanging="360"/>
    </w:pPr>
  </w:style>
  <w:style w:type="paragraph" w:customStyle="1" w:styleId="StyleManualHeading2Left0cmHanging15cmBefore18">
    <w:name w:val="Style Manual Heading 2 + Left:  0 cm Hanging:  1.5 cm Before:  18..."/>
    <w:basedOn w:val="ManualHeading2"/>
    <w:rsid w:val="00AD6EEE"/>
    <w:pPr>
      <w:spacing w:before="360"/>
    </w:pPr>
    <w:rPr>
      <w:rFonts w:eastAsia="Times New Roman"/>
    </w:rPr>
  </w:style>
  <w:style w:type="paragraph" w:customStyle="1" w:styleId="Normal6">
    <w:name w:val="Normal6"/>
    <w:basedOn w:val="Normaallaad"/>
    <w:rsid w:val="00343D24"/>
    <w:pPr>
      <w:spacing w:before="100" w:beforeAutospacing="1" w:after="100" w:afterAutospacing="1"/>
      <w:jc w:val="left"/>
    </w:pPr>
    <w:rPr>
      <w:rFonts w:eastAsia="Times New Roman"/>
      <w:szCs w:val="24"/>
      <w:lang w:eastAsia="en-GB"/>
    </w:rPr>
  </w:style>
  <w:style w:type="paragraph" w:customStyle="1" w:styleId="Numpar">
    <w:name w:val="Num par"/>
    <w:basedOn w:val="Normaallaad"/>
    <w:rsid w:val="00BF2E83"/>
    <w:pPr>
      <w:tabs>
        <w:tab w:val="num" w:pos="850"/>
      </w:tabs>
      <w:ind w:left="850" w:hanging="850"/>
    </w:pPr>
  </w:style>
  <w:style w:type="paragraph" w:customStyle="1" w:styleId="Nuppar1">
    <w:name w:val="Nup par 1"/>
    <w:basedOn w:val="NumPar1"/>
    <w:rsid w:val="007503A8"/>
    <w:pPr>
      <w:tabs>
        <w:tab w:val="clear" w:pos="850"/>
      </w:tabs>
    </w:pPr>
  </w:style>
  <w:style w:type="paragraph" w:customStyle="1" w:styleId="Numpar10">
    <w:name w:val="Num par 1"/>
    <w:basedOn w:val="Nuppar1"/>
    <w:rsid w:val="00832F22"/>
  </w:style>
  <w:style w:type="paragraph" w:customStyle="1" w:styleId="Normal7">
    <w:name w:val="Normal7"/>
    <w:basedOn w:val="Normaallaad"/>
    <w:rsid w:val="00B246DB"/>
    <w:pPr>
      <w:spacing w:before="100" w:beforeAutospacing="1" w:after="100" w:afterAutospacing="1"/>
      <w:jc w:val="left"/>
    </w:pPr>
    <w:rPr>
      <w:rFonts w:eastAsia="Times New Roman"/>
      <w:szCs w:val="24"/>
      <w:lang w:eastAsia="en-GB"/>
    </w:rPr>
  </w:style>
  <w:style w:type="paragraph" w:styleId="Pis">
    <w:name w:val="header"/>
    <w:basedOn w:val="Normaallaad"/>
    <w:link w:val="PisMrk"/>
    <w:uiPriority w:val="99"/>
    <w:unhideWhenUsed/>
    <w:rsid w:val="00F50C02"/>
    <w:pPr>
      <w:tabs>
        <w:tab w:val="center" w:pos="4535"/>
        <w:tab w:val="right" w:pos="9071"/>
      </w:tabs>
      <w:spacing w:before="0"/>
    </w:pPr>
  </w:style>
  <w:style w:type="character" w:customStyle="1" w:styleId="PisMrk">
    <w:name w:val="Päis Märk"/>
    <w:basedOn w:val="Liguvaikefont"/>
    <w:link w:val="Pis"/>
    <w:uiPriority w:val="99"/>
    <w:rsid w:val="00F50C02"/>
    <w:rPr>
      <w:rFonts w:ascii="Times New Roman" w:hAnsi="Times New Roman" w:cs="Times New Roman"/>
      <w:sz w:val="24"/>
      <w:lang w:val="en-GB"/>
    </w:rPr>
  </w:style>
  <w:style w:type="paragraph" w:styleId="Jalus">
    <w:name w:val="footer"/>
    <w:basedOn w:val="Normaallaad"/>
    <w:link w:val="JalusMrk"/>
    <w:uiPriority w:val="99"/>
    <w:unhideWhenUsed/>
    <w:rsid w:val="00F50C02"/>
    <w:pPr>
      <w:tabs>
        <w:tab w:val="center" w:pos="4535"/>
        <w:tab w:val="right" w:pos="9071"/>
        <w:tab w:val="right" w:pos="9921"/>
      </w:tabs>
      <w:spacing w:before="360" w:after="0"/>
      <w:ind w:left="-850" w:right="-850"/>
      <w:jc w:val="left"/>
    </w:pPr>
  </w:style>
  <w:style w:type="character" w:customStyle="1" w:styleId="JalusMrk">
    <w:name w:val="Jalus Märk"/>
    <w:basedOn w:val="Liguvaikefont"/>
    <w:link w:val="Jalus"/>
    <w:uiPriority w:val="99"/>
    <w:rsid w:val="00F50C02"/>
    <w:rPr>
      <w:rFonts w:ascii="Times New Roman" w:hAnsi="Times New Roman" w:cs="Times New Roman"/>
      <w:sz w:val="24"/>
      <w:lang w:val="en-GB"/>
    </w:rPr>
  </w:style>
  <w:style w:type="paragraph" w:styleId="Allmrkusetekst">
    <w:name w:val="footnote text"/>
    <w:basedOn w:val="Normaallaad"/>
    <w:link w:val="AllmrkusetekstMrk"/>
    <w:uiPriority w:val="99"/>
    <w:semiHidden/>
    <w:unhideWhenUsed/>
    <w:rsid w:val="009B7138"/>
    <w:pPr>
      <w:spacing w:before="0" w:after="0"/>
      <w:ind w:left="720" w:hanging="720"/>
    </w:pPr>
    <w:rPr>
      <w:sz w:val="20"/>
      <w:szCs w:val="20"/>
    </w:rPr>
  </w:style>
  <w:style w:type="character" w:customStyle="1" w:styleId="AllmrkusetekstMrk">
    <w:name w:val="Allmärkuse tekst Märk"/>
    <w:basedOn w:val="Liguvaikefont"/>
    <w:link w:val="Allmrkusetekst"/>
    <w:uiPriority w:val="99"/>
    <w:semiHidden/>
    <w:rsid w:val="009B7138"/>
    <w:rPr>
      <w:rFonts w:ascii="Times New Roman" w:hAnsi="Times New Roman" w:cs="Times New Roman"/>
      <w:sz w:val="20"/>
      <w:szCs w:val="20"/>
      <w:shd w:val="clear" w:color="auto" w:fill="auto"/>
      <w:lang w:val="en-GB"/>
    </w:rPr>
  </w:style>
  <w:style w:type="character" w:customStyle="1" w:styleId="Pealkiri1Mrk">
    <w:name w:val="Pealkiri 1 Märk"/>
    <w:basedOn w:val="Liguvaikefont"/>
    <w:link w:val="Pealkiri1"/>
    <w:uiPriority w:val="9"/>
    <w:rsid w:val="009B7138"/>
    <w:rPr>
      <w:rFonts w:ascii="Times New Roman" w:eastAsiaTheme="majorEastAsia" w:hAnsi="Times New Roman" w:cs="Times New Roman"/>
      <w:b/>
      <w:bCs/>
      <w:smallCaps/>
      <w:sz w:val="24"/>
      <w:szCs w:val="28"/>
      <w:lang w:val="en-GB"/>
    </w:rPr>
  </w:style>
  <w:style w:type="character" w:customStyle="1" w:styleId="Pealkiri2Mrk">
    <w:name w:val="Pealkiri 2 Märk"/>
    <w:basedOn w:val="Liguvaikefont"/>
    <w:link w:val="Pealkiri2"/>
    <w:uiPriority w:val="9"/>
    <w:semiHidden/>
    <w:rsid w:val="009B7138"/>
    <w:rPr>
      <w:rFonts w:ascii="Times New Roman" w:eastAsiaTheme="majorEastAsia" w:hAnsi="Times New Roman" w:cs="Times New Roman"/>
      <w:b/>
      <w:bCs/>
      <w:sz w:val="24"/>
      <w:szCs w:val="26"/>
      <w:lang w:val="en-GB"/>
    </w:rPr>
  </w:style>
  <w:style w:type="character" w:customStyle="1" w:styleId="Pealkiri3Mrk">
    <w:name w:val="Pealkiri 3 Märk"/>
    <w:basedOn w:val="Liguvaikefont"/>
    <w:link w:val="Pealkiri3"/>
    <w:uiPriority w:val="9"/>
    <w:semiHidden/>
    <w:rsid w:val="009B7138"/>
    <w:rPr>
      <w:rFonts w:ascii="Times New Roman" w:eastAsiaTheme="majorEastAsia" w:hAnsi="Times New Roman" w:cs="Times New Roman"/>
      <w:bCs/>
      <w:i/>
      <w:sz w:val="24"/>
      <w:lang w:val="en-GB"/>
    </w:rPr>
  </w:style>
  <w:style w:type="character" w:customStyle="1" w:styleId="Pealkiri4Mrk">
    <w:name w:val="Pealkiri 4 Märk"/>
    <w:basedOn w:val="Liguvaikefont"/>
    <w:link w:val="Pealkiri4"/>
    <w:uiPriority w:val="9"/>
    <w:semiHidden/>
    <w:rsid w:val="009B7138"/>
    <w:rPr>
      <w:rFonts w:ascii="Times New Roman" w:eastAsiaTheme="majorEastAsia" w:hAnsi="Times New Roman" w:cs="Times New Roman"/>
      <w:bCs/>
      <w:iCs/>
      <w:sz w:val="24"/>
      <w:lang w:val="en-GB"/>
    </w:rPr>
  </w:style>
  <w:style w:type="paragraph" w:styleId="Sisukorrapealkiri">
    <w:name w:val="TOC Heading"/>
    <w:basedOn w:val="Normaallaad"/>
    <w:next w:val="Normaallaad"/>
    <w:uiPriority w:val="39"/>
    <w:semiHidden/>
    <w:unhideWhenUsed/>
    <w:qFormat/>
    <w:rsid w:val="009B7138"/>
    <w:pPr>
      <w:spacing w:after="240"/>
      <w:jc w:val="center"/>
    </w:pPr>
    <w:rPr>
      <w:b/>
      <w:sz w:val="28"/>
    </w:rPr>
  </w:style>
  <w:style w:type="paragraph" w:styleId="SK1">
    <w:name w:val="toc 1"/>
    <w:basedOn w:val="Normaallaad"/>
    <w:next w:val="Normaallaad"/>
    <w:uiPriority w:val="39"/>
    <w:semiHidden/>
    <w:unhideWhenUsed/>
    <w:rsid w:val="009B7138"/>
    <w:pPr>
      <w:tabs>
        <w:tab w:val="right" w:leader="dot" w:pos="9071"/>
      </w:tabs>
      <w:spacing w:before="60"/>
      <w:ind w:left="850" w:hanging="850"/>
      <w:jc w:val="left"/>
    </w:pPr>
  </w:style>
  <w:style w:type="paragraph" w:styleId="SK2">
    <w:name w:val="toc 2"/>
    <w:basedOn w:val="Normaallaad"/>
    <w:next w:val="Normaallaad"/>
    <w:uiPriority w:val="39"/>
    <w:semiHidden/>
    <w:unhideWhenUsed/>
    <w:rsid w:val="009B7138"/>
    <w:pPr>
      <w:tabs>
        <w:tab w:val="right" w:leader="dot" w:pos="9071"/>
      </w:tabs>
      <w:spacing w:before="60"/>
      <w:ind w:left="850" w:hanging="850"/>
      <w:jc w:val="left"/>
    </w:pPr>
  </w:style>
  <w:style w:type="paragraph" w:styleId="SK3">
    <w:name w:val="toc 3"/>
    <w:basedOn w:val="Normaallaad"/>
    <w:next w:val="Normaallaad"/>
    <w:uiPriority w:val="39"/>
    <w:semiHidden/>
    <w:unhideWhenUsed/>
    <w:rsid w:val="009B7138"/>
    <w:pPr>
      <w:tabs>
        <w:tab w:val="right" w:leader="dot" w:pos="9071"/>
      </w:tabs>
      <w:spacing w:before="60"/>
      <w:ind w:left="850" w:hanging="850"/>
      <w:jc w:val="left"/>
    </w:pPr>
  </w:style>
  <w:style w:type="paragraph" w:styleId="SK4">
    <w:name w:val="toc 4"/>
    <w:basedOn w:val="Normaallaad"/>
    <w:next w:val="Normaallaad"/>
    <w:uiPriority w:val="39"/>
    <w:semiHidden/>
    <w:unhideWhenUsed/>
    <w:rsid w:val="009B7138"/>
    <w:pPr>
      <w:tabs>
        <w:tab w:val="right" w:leader="dot" w:pos="9071"/>
      </w:tabs>
      <w:spacing w:before="60"/>
      <w:ind w:left="850" w:hanging="850"/>
      <w:jc w:val="left"/>
    </w:pPr>
  </w:style>
  <w:style w:type="paragraph" w:styleId="SK5">
    <w:name w:val="toc 5"/>
    <w:basedOn w:val="Normaallaad"/>
    <w:next w:val="Normaallaad"/>
    <w:uiPriority w:val="39"/>
    <w:semiHidden/>
    <w:unhideWhenUsed/>
    <w:rsid w:val="009B7138"/>
    <w:pPr>
      <w:tabs>
        <w:tab w:val="right" w:leader="dot" w:pos="9071"/>
      </w:tabs>
      <w:spacing w:before="300"/>
      <w:jc w:val="left"/>
    </w:pPr>
  </w:style>
  <w:style w:type="paragraph" w:styleId="SK6">
    <w:name w:val="toc 6"/>
    <w:basedOn w:val="Normaallaad"/>
    <w:next w:val="Normaallaad"/>
    <w:uiPriority w:val="39"/>
    <w:semiHidden/>
    <w:unhideWhenUsed/>
    <w:rsid w:val="009B7138"/>
    <w:pPr>
      <w:tabs>
        <w:tab w:val="right" w:leader="dot" w:pos="9071"/>
      </w:tabs>
      <w:spacing w:before="240"/>
      <w:jc w:val="left"/>
    </w:pPr>
  </w:style>
  <w:style w:type="paragraph" w:styleId="SK7">
    <w:name w:val="toc 7"/>
    <w:basedOn w:val="Normaallaad"/>
    <w:next w:val="Normaallaad"/>
    <w:uiPriority w:val="39"/>
    <w:semiHidden/>
    <w:unhideWhenUsed/>
    <w:rsid w:val="009B7138"/>
    <w:pPr>
      <w:tabs>
        <w:tab w:val="right" w:leader="dot" w:pos="9071"/>
      </w:tabs>
      <w:spacing w:before="180"/>
      <w:jc w:val="left"/>
    </w:pPr>
  </w:style>
  <w:style w:type="paragraph" w:styleId="SK8">
    <w:name w:val="toc 8"/>
    <w:basedOn w:val="Normaallaad"/>
    <w:next w:val="Normaallaad"/>
    <w:uiPriority w:val="39"/>
    <w:semiHidden/>
    <w:unhideWhenUsed/>
    <w:rsid w:val="009B7138"/>
    <w:pPr>
      <w:tabs>
        <w:tab w:val="right" w:leader="dot" w:pos="9071"/>
      </w:tabs>
      <w:jc w:val="left"/>
    </w:pPr>
  </w:style>
  <w:style w:type="paragraph" w:styleId="SK9">
    <w:name w:val="toc 9"/>
    <w:basedOn w:val="Normaallaad"/>
    <w:next w:val="Normaallaad"/>
    <w:uiPriority w:val="39"/>
    <w:semiHidden/>
    <w:unhideWhenUsed/>
    <w:rsid w:val="009B7138"/>
    <w:pPr>
      <w:tabs>
        <w:tab w:val="right" w:leader="dot" w:pos="9071"/>
      </w:tabs>
    </w:pPr>
  </w:style>
  <w:style w:type="paragraph" w:customStyle="1" w:styleId="HeaderLandscape">
    <w:name w:val="HeaderLandscape"/>
    <w:basedOn w:val="Normaallaad"/>
    <w:rsid w:val="00F50C02"/>
    <w:pPr>
      <w:tabs>
        <w:tab w:val="center" w:pos="7285"/>
        <w:tab w:val="right" w:pos="14003"/>
      </w:tabs>
      <w:spacing w:before="0"/>
    </w:pPr>
  </w:style>
  <w:style w:type="paragraph" w:customStyle="1" w:styleId="FooterLandscape">
    <w:name w:val="FooterLandscape"/>
    <w:basedOn w:val="Normaallaad"/>
    <w:rsid w:val="00F50C02"/>
    <w:pPr>
      <w:tabs>
        <w:tab w:val="center" w:pos="7285"/>
        <w:tab w:val="center" w:pos="10913"/>
        <w:tab w:val="right" w:pos="15137"/>
      </w:tabs>
      <w:spacing w:before="360" w:after="0"/>
      <w:ind w:left="-567" w:right="-567"/>
      <w:jc w:val="left"/>
    </w:pPr>
  </w:style>
  <w:style w:type="character" w:styleId="Allmrkuseviide">
    <w:name w:val="footnote reference"/>
    <w:basedOn w:val="Liguvaikefont"/>
    <w:uiPriority w:val="99"/>
    <w:unhideWhenUsed/>
    <w:rsid w:val="00246E3B"/>
    <w:rPr>
      <w:shd w:val="clear" w:color="auto" w:fill="auto"/>
      <w:vertAlign w:val="superscript"/>
    </w:rPr>
  </w:style>
  <w:style w:type="paragraph" w:customStyle="1" w:styleId="HeaderSensitivity">
    <w:name w:val="Header Sensitivity"/>
    <w:basedOn w:val="Normaallaad"/>
    <w:rsid w:val="00F50C0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allaad"/>
    <w:rsid w:val="00F50C02"/>
    <w:pPr>
      <w:spacing w:before="0"/>
      <w:jc w:val="right"/>
    </w:pPr>
    <w:rPr>
      <w:sz w:val="28"/>
    </w:rPr>
  </w:style>
  <w:style w:type="paragraph" w:customStyle="1" w:styleId="FooterSensitivity">
    <w:name w:val="Footer Sensitivity"/>
    <w:basedOn w:val="Normaallaad"/>
    <w:rsid w:val="00F50C0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allaad"/>
    <w:rsid w:val="009B7138"/>
    <w:pPr>
      <w:ind w:left="850"/>
    </w:pPr>
  </w:style>
  <w:style w:type="paragraph" w:customStyle="1" w:styleId="Text2">
    <w:name w:val="Text 2"/>
    <w:basedOn w:val="Normaallaad"/>
    <w:rsid w:val="009B7138"/>
    <w:pPr>
      <w:ind w:left="1417"/>
    </w:pPr>
  </w:style>
  <w:style w:type="paragraph" w:customStyle="1" w:styleId="Text3">
    <w:name w:val="Text 3"/>
    <w:basedOn w:val="Normaallaad"/>
    <w:rsid w:val="009B7138"/>
    <w:pPr>
      <w:ind w:left="1984"/>
    </w:pPr>
  </w:style>
  <w:style w:type="paragraph" w:customStyle="1" w:styleId="Text4">
    <w:name w:val="Text 4"/>
    <w:basedOn w:val="Normaallaad"/>
    <w:rsid w:val="009B7138"/>
    <w:pPr>
      <w:ind w:left="2551"/>
    </w:pPr>
  </w:style>
  <w:style w:type="paragraph" w:customStyle="1" w:styleId="NormalCentered">
    <w:name w:val="Normal Centered"/>
    <w:basedOn w:val="Normaallaad"/>
    <w:rsid w:val="009B7138"/>
    <w:pPr>
      <w:jc w:val="center"/>
    </w:pPr>
  </w:style>
  <w:style w:type="paragraph" w:customStyle="1" w:styleId="NormalLeft">
    <w:name w:val="Normal Left"/>
    <w:basedOn w:val="Normaallaad"/>
    <w:rsid w:val="009B7138"/>
    <w:pPr>
      <w:jc w:val="left"/>
    </w:pPr>
  </w:style>
  <w:style w:type="paragraph" w:customStyle="1" w:styleId="NormalRight">
    <w:name w:val="Normal Right"/>
    <w:basedOn w:val="Normaallaad"/>
    <w:rsid w:val="009B7138"/>
    <w:pPr>
      <w:jc w:val="right"/>
    </w:pPr>
  </w:style>
  <w:style w:type="paragraph" w:customStyle="1" w:styleId="QuotedText">
    <w:name w:val="Quoted Text"/>
    <w:basedOn w:val="Normaallaad"/>
    <w:rsid w:val="009B7138"/>
    <w:pPr>
      <w:ind w:left="1417"/>
    </w:pPr>
  </w:style>
  <w:style w:type="paragraph" w:customStyle="1" w:styleId="Point0">
    <w:name w:val="Point 0"/>
    <w:basedOn w:val="Normaallaad"/>
    <w:rsid w:val="009B7138"/>
    <w:pPr>
      <w:ind w:left="850" w:hanging="850"/>
    </w:pPr>
  </w:style>
  <w:style w:type="paragraph" w:customStyle="1" w:styleId="Point1">
    <w:name w:val="Point 1"/>
    <w:basedOn w:val="Normaallaad"/>
    <w:rsid w:val="009B7138"/>
    <w:pPr>
      <w:ind w:left="1417" w:hanging="567"/>
    </w:pPr>
  </w:style>
  <w:style w:type="paragraph" w:customStyle="1" w:styleId="Point2">
    <w:name w:val="Point 2"/>
    <w:basedOn w:val="Normaallaad"/>
    <w:rsid w:val="009B7138"/>
    <w:pPr>
      <w:ind w:left="1984" w:hanging="567"/>
    </w:pPr>
  </w:style>
  <w:style w:type="paragraph" w:customStyle="1" w:styleId="Point3">
    <w:name w:val="Point 3"/>
    <w:basedOn w:val="Normaallaad"/>
    <w:rsid w:val="009B7138"/>
    <w:pPr>
      <w:ind w:left="2551" w:hanging="567"/>
    </w:pPr>
  </w:style>
  <w:style w:type="paragraph" w:customStyle="1" w:styleId="Point4">
    <w:name w:val="Point 4"/>
    <w:basedOn w:val="Normaallaad"/>
    <w:rsid w:val="009B7138"/>
    <w:pPr>
      <w:ind w:left="3118" w:hanging="567"/>
    </w:pPr>
  </w:style>
  <w:style w:type="paragraph" w:customStyle="1" w:styleId="Tiret0">
    <w:name w:val="Tiret 0"/>
    <w:basedOn w:val="Point0"/>
    <w:rsid w:val="009B7138"/>
    <w:pPr>
      <w:numPr>
        <w:numId w:val="40"/>
      </w:numPr>
    </w:pPr>
  </w:style>
  <w:style w:type="paragraph" w:customStyle="1" w:styleId="Tiret1">
    <w:name w:val="Tiret 1"/>
    <w:basedOn w:val="Point1"/>
    <w:rsid w:val="009B7138"/>
    <w:pPr>
      <w:numPr>
        <w:numId w:val="41"/>
      </w:numPr>
    </w:pPr>
  </w:style>
  <w:style w:type="paragraph" w:customStyle="1" w:styleId="Tiret2">
    <w:name w:val="Tiret 2"/>
    <w:basedOn w:val="Point2"/>
    <w:rsid w:val="009B7138"/>
    <w:pPr>
      <w:numPr>
        <w:numId w:val="42"/>
      </w:numPr>
    </w:pPr>
  </w:style>
  <w:style w:type="paragraph" w:customStyle="1" w:styleId="Tiret3">
    <w:name w:val="Tiret 3"/>
    <w:basedOn w:val="Point3"/>
    <w:rsid w:val="009B7138"/>
    <w:pPr>
      <w:numPr>
        <w:numId w:val="43"/>
      </w:numPr>
    </w:pPr>
  </w:style>
  <w:style w:type="paragraph" w:customStyle="1" w:styleId="Tiret4">
    <w:name w:val="Tiret 4"/>
    <w:basedOn w:val="Point4"/>
    <w:rsid w:val="009B7138"/>
    <w:pPr>
      <w:numPr>
        <w:numId w:val="44"/>
      </w:numPr>
    </w:pPr>
  </w:style>
  <w:style w:type="paragraph" w:customStyle="1" w:styleId="PointDouble0">
    <w:name w:val="PointDouble 0"/>
    <w:basedOn w:val="Normaallaad"/>
    <w:rsid w:val="009B7138"/>
    <w:pPr>
      <w:tabs>
        <w:tab w:val="left" w:pos="850"/>
      </w:tabs>
      <w:ind w:left="1417" w:hanging="1417"/>
    </w:pPr>
  </w:style>
  <w:style w:type="paragraph" w:customStyle="1" w:styleId="PointDouble1">
    <w:name w:val="PointDouble 1"/>
    <w:basedOn w:val="Normaallaad"/>
    <w:rsid w:val="009B7138"/>
    <w:pPr>
      <w:tabs>
        <w:tab w:val="left" w:pos="1417"/>
      </w:tabs>
      <w:ind w:left="1984" w:hanging="1134"/>
    </w:pPr>
  </w:style>
  <w:style w:type="paragraph" w:customStyle="1" w:styleId="PointDouble2">
    <w:name w:val="PointDouble 2"/>
    <w:basedOn w:val="Normaallaad"/>
    <w:rsid w:val="009B7138"/>
    <w:pPr>
      <w:tabs>
        <w:tab w:val="left" w:pos="1984"/>
      </w:tabs>
      <w:ind w:left="2551" w:hanging="1134"/>
    </w:pPr>
  </w:style>
  <w:style w:type="paragraph" w:customStyle="1" w:styleId="PointDouble3">
    <w:name w:val="PointDouble 3"/>
    <w:basedOn w:val="Normaallaad"/>
    <w:rsid w:val="009B7138"/>
    <w:pPr>
      <w:tabs>
        <w:tab w:val="left" w:pos="2551"/>
      </w:tabs>
      <w:ind w:left="3118" w:hanging="1134"/>
    </w:pPr>
  </w:style>
  <w:style w:type="paragraph" w:customStyle="1" w:styleId="PointDouble4">
    <w:name w:val="PointDouble 4"/>
    <w:basedOn w:val="Normaallaad"/>
    <w:rsid w:val="009B7138"/>
    <w:pPr>
      <w:tabs>
        <w:tab w:val="left" w:pos="3118"/>
      </w:tabs>
      <w:ind w:left="3685" w:hanging="1134"/>
    </w:pPr>
  </w:style>
  <w:style w:type="paragraph" w:customStyle="1" w:styleId="PointTriple0">
    <w:name w:val="PointTriple 0"/>
    <w:basedOn w:val="Normaallaad"/>
    <w:rsid w:val="009B7138"/>
    <w:pPr>
      <w:tabs>
        <w:tab w:val="left" w:pos="850"/>
        <w:tab w:val="left" w:pos="1417"/>
      </w:tabs>
      <w:ind w:left="1984" w:hanging="1984"/>
    </w:pPr>
  </w:style>
  <w:style w:type="paragraph" w:customStyle="1" w:styleId="PointTriple1">
    <w:name w:val="PointTriple 1"/>
    <w:basedOn w:val="Normaallaad"/>
    <w:rsid w:val="009B7138"/>
    <w:pPr>
      <w:tabs>
        <w:tab w:val="left" w:pos="1417"/>
        <w:tab w:val="left" w:pos="1984"/>
      </w:tabs>
      <w:ind w:left="2551" w:hanging="1701"/>
    </w:pPr>
  </w:style>
  <w:style w:type="paragraph" w:customStyle="1" w:styleId="PointTriple2">
    <w:name w:val="PointTriple 2"/>
    <w:basedOn w:val="Normaallaad"/>
    <w:rsid w:val="009B7138"/>
    <w:pPr>
      <w:tabs>
        <w:tab w:val="left" w:pos="1984"/>
        <w:tab w:val="left" w:pos="2551"/>
      </w:tabs>
      <w:ind w:left="3118" w:hanging="1701"/>
    </w:pPr>
  </w:style>
  <w:style w:type="paragraph" w:customStyle="1" w:styleId="PointTriple3">
    <w:name w:val="PointTriple 3"/>
    <w:basedOn w:val="Normaallaad"/>
    <w:rsid w:val="009B7138"/>
    <w:pPr>
      <w:tabs>
        <w:tab w:val="left" w:pos="2551"/>
        <w:tab w:val="left" w:pos="3118"/>
      </w:tabs>
      <w:ind w:left="3685" w:hanging="1701"/>
    </w:pPr>
  </w:style>
  <w:style w:type="paragraph" w:customStyle="1" w:styleId="PointTriple4">
    <w:name w:val="PointTriple 4"/>
    <w:basedOn w:val="Normaallaad"/>
    <w:rsid w:val="009B7138"/>
    <w:pPr>
      <w:tabs>
        <w:tab w:val="left" w:pos="3118"/>
        <w:tab w:val="left" w:pos="3685"/>
      </w:tabs>
      <w:ind w:left="4252" w:hanging="1701"/>
    </w:pPr>
  </w:style>
  <w:style w:type="paragraph" w:customStyle="1" w:styleId="NumPar1">
    <w:name w:val="NumPar 1"/>
    <w:basedOn w:val="Normaallaad"/>
    <w:next w:val="Text1"/>
    <w:rsid w:val="009B7138"/>
    <w:pPr>
      <w:numPr>
        <w:numId w:val="61"/>
      </w:numPr>
    </w:pPr>
  </w:style>
  <w:style w:type="paragraph" w:customStyle="1" w:styleId="NumPar2">
    <w:name w:val="NumPar 2"/>
    <w:basedOn w:val="Normaallaad"/>
    <w:next w:val="Text1"/>
    <w:rsid w:val="009B7138"/>
    <w:pPr>
      <w:numPr>
        <w:ilvl w:val="1"/>
        <w:numId w:val="61"/>
      </w:numPr>
    </w:pPr>
  </w:style>
  <w:style w:type="paragraph" w:customStyle="1" w:styleId="NumPar3">
    <w:name w:val="NumPar 3"/>
    <w:basedOn w:val="Normaallaad"/>
    <w:next w:val="Text1"/>
    <w:rsid w:val="009B7138"/>
    <w:pPr>
      <w:numPr>
        <w:ilvl w:val="2"/>
        <w:numId w:val="61"/>
      </w:numPr>
    </w:pPr>
  </w:style>
  <w:style w:type="paragraph" w:customStyle="1" w:styleId="NumPar4">
    <w:name w:val="NumPar 4"/>
    <w:basedOn w:val="Normaallaad"/>
    <w:next w:val="Text1"/>
    <w:rsid w:val="009B7138"/>
    <w:pPr>
      <w:numPr>
        <w:ilvl w:val="3"/>
        <w:numId w:val="61"/>
      </w:numPr>
    </w:pPr>
  </w:style>
  <w:style w:type="paragraph" w:customStyle="1" w:styleId="ManualNumPar1">
    <w:name w:val="Manual NumPar 1"/>
    <w:basedOn w:val="Normaallaad"/>
    <w:next w:val="Text1"/>
    <w:rsid w:val="009B7138"/>
    <w:pPr>
      <w:ind w:left="850" w:hanging="850"/>
    </w:pPr>
  </w:style>
  <w:style w:type="paragraph" w:customStyle="1" w:styleId="ManualNumPar2">
    <w:name w:val="Manual NumPar 2"/>
    <w:basedOn w:val="Normaallaad"/>
    <w:next w:val="Text1"/>
    <w:rsid w:val="009B7138"/>
    <w:pPr>
      <w:ind w:left="850" w:hanging="850"/>
    </w:pPr>
  </w:style>
  <w:style w:type="paragraph" w:customStyle="1" w:styleId="ManualNumPar3">
    <w:name w:val="Manual NumPar 3"/>
    <w:basedOn w:val="Normaallaad"/>
    <w:next w:val="Text1"/>
    <w:rsid w:val="009B7138"/>
    <w:pPr>
      <w:ind w:left="850" w:hanging="850"/>
    </w:pPr>
  </w:style>
  <w:style w:type="paragraph" w:customStyle="1" w:styleId="ManualNumPar4">
    <w:name w:val="Manual NumPar 4"/>
    <w:basedOn w:val="Normaallaad"/>
    <w:next w:val="Text1"/>
    <w:rsid w:val="009B7138"/>
    <w:pPr>
      <w:ind w:left="850" w:hanging="850"/>
    </w:pPr>
  </w:style>
  <w:style w:type="paragraph" w:customStyle="1" w:styleId="QuotedNumPar">
    <w:name w:val="Quoted NumPar"/>
    <w:basedOn w:val="Normaallaad"/>
    <w:rsid w:val="009B7138"/>
    <w:pPr>
      <w:ind w:left="1417" w:hanging="567"/>
    </w:pPr>
  </w:style>
  <w:style w:type="paragraph" w:customStyle="1" w:styleId="ManualHeading1">
    <w:name w:val="Manual Heading 1"/>
    <w:basedOn w:val="Normaallaad"/>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allaad"/>
    <w:next w:val="Text1"/>
    <w:rsid w:val="009B7138"/>
    <w:pPr>
      <w:keepNext/>
      <w:tabs>
        <w:tab w:val="left" w:pos="850"/>
      </w:tabs>
      <w:ind w:left="850" w:hanging="850"/>
      <w:outlineLvl w:val="1"/>
    </w:pPr>
    <w:rPr>
      <w:b/>
    </w:rPr>
  </w:style>
  <w:style w:type="paragraph" w:customStyle="1" w:styleId="ManualHeading3">
    <w:name w:val="Manual Heading 3"/>
    <w:basedOn w:val="Normaallaad"/>
    <w:next w:val="Text1"/>
    <w:rsid w:val="009B7138"/>
    <w:pPr>
      <w:keepNext/>
      <w:tabs>
        <w:tab w:val="left" w:pos="850"/>
      </w:tabs>
      <w:ind w:left="850" w:hanging="850"/>
      <w:outlineLvl w:val="2"/>
    </w:pPr>
    <w:rPr>
      <w:i/>
    </w:rPr>
  </w:style>
  <w:style w:type="paragraph" w:customStyle="1" w:styleId="ManualHeading4">
    <w:name w:val="Manual Heading 4"/>
    <w:basedOn w:val="Normaallaad"/>
    <w:next w:val="Text1"/>
    <w:rsid w:val="009B7138"/>
    <w:pPr>
      <w:keepNext/>
      <w:tabs>
        <w:tab w:val="left" w:pos="850"/>
      </w:tabs>
      <w:ind w:left="850" w:hanging="850"/>
      <w:outlineLvl w:val="3"/>
    </w:pPr>
  </w:style>
  <w:style w:type="paragraph" w:customStyle="1" w:styleId="ChapterTitle">
    <w:name w:val="ChapterTitle"/>
    <w:basedOn w:val="Normaallaad"/>
    <w:next w:val="Normaallaad"/>
    <w:rsid w:val="009B7138"/>
    <w:pPr>
      <w:keepNext/>
      <w:spacing w:after="360"/>
      <w:jc w:val="center"/>
    </w:pPr>
    <w:rPr>
      <w:b/>
      <w:sz w:val="32"/>
    </w:rPr>
  </w:style>
  <w:style w:type="paragraph" w:customStyle="1" w:styleId="PartTitle">
    <w:name w:val="PartTitle"/>
    <w:basedOn w:val="Normaallaad"/>
    <w:next w:val="ChapterTitle"/>
    <w:rsid w:val="009B7138"/>
    <w:pPr>
      <w:keepNext/>
      <w:pageBreakBefore/>
      <w:spacing w:after="360"/>
      <w:jc w:val="center"/>
    </w:pPr>
    <w:rPr>
      <w:b/>
      <w:sz w:val="36"/>
    </w:rPr>
  </w:style>
  <w:style w:type="paragraph" w:customStyle="1" w:styleId="SectionTitle">
    <w:name w:val="SectionTitle"/>
    <w:basedOn w:val="Normaallaad"/>
    <w:next w:val="Pealkiri1"/>
    <w:rsid w:val="009B7138"/>
    <w:pPr>
      <w:keepNext/>
      <w:spacing w:after="360"/>
      <w:jc w:val="center"/>
    </w:pPr>
    <w:rPr>
      <w:b/>
      <w:smallCaps/>
      <w:sz w:val="28"/>
    </w:rPr>
  </w:style>
  <w:style w:type="paragraph" w:customStyle="1" w:styleId="TableTitle">
    <w:name w:val="Table Title"/>
    <w:basedOn w:val="Normaallaad"/>
    <w:next w:val="Normaallaad"/>
    <w:rsid w:val="009B7138"/>
    <w:pPr>
      <w:jc w:val="center"/>
    </w:pPr>
    <w:rPr>
      <w:b/>
    </w:rPr>
  </w:style>
  <w:style w:type="character" w:customStyle="1" w:styleId="Marker">
    <w:name w:val="Marker"/>
    <w:basedOn w:val="Liguvaikefont"/>
    <w:rsid w:val="006323EB"/>
    <w:rPr>
      <w:color w:val="0000FF"/>
      <w:shd w:val="clear" w:color="auto" w:fill="auto"/>
    </w:rPr>
  </w:style>
  <w:style w:type="character" w:customStyle="1" w:styleId="Marker1">
    <w:name w:val="Marker1"/>
    <w:basedOn w:val="Liguvaikefont"/>
    <w:rsid w:val="009B7138"/>
    <w:rPr>
      <w:color w:val="008000"/>
      <w:shd w:val="clear" w:color="auto" w:fill="auto"/>
    </w:rPr>
  </w:style>
  <w:style w:type="character" w:customStyle="1" w:styleId="Marker2">
    <w:name w:val="Marker2"/>
    <w:basedOn w:val="Liguvaikefont"/>
    <w:rsid w:val="009B7138"/>
    <w:rPr>
      <w:color w:val="FF0000"/>
      <w:shd w:val="clear" w:color="auto" w:fill="auto"/>
    </w:rPr>
  </w:style>
  <w:style w:type="paragraph" w:customStyle="1" w:styleId="Point0number">
    <w:name w:val="Point 0 (number)"/>
    <w:basedOn w:val="Normaallaad"/>
    <w:rsid w:val="009B7138"/>
    <w:pPr>
      <w:numPr>
        <w:numId w:val="47"/>
      </w:numPr>
    </w:pPr>
  </w:style>
  <w:style w:type="paragraph" w:customStyle="1" w:styleId="Point1number">
    <w:name w:val="Point 1 (number)"/>
    <w:basedOn w:val="Normaallaad"/>
    <w:rsid w:val="009B7138"/>
    <w:pPr>
      <w:numPr>
        <w:ilvl w:val="2"/>
        <w:numId w:val="47"/>
      </w:numPr>
    </w:pPr>
  </w:style>
  <w:style w:type="paragraph" w:customStyle="1" w:styleId="Point2number">
    <w:name w:val="Point 2 (number)"/>
    <w:basedOn w:val="Normaallaad"/>
    <w:rsid w:val="009B7138"/>
    <w:pPr>
      <w:numPr>
        <w:ilvl w:val="4"/>
        <w:numId w:val="47"/>
      </w:numPr>
    </w:pPr>
  </w:style>
  <w:style w:type="paragraph" w:customStyle="1" w:styleId="Point3number">
    <w:name w:val="Point 3 (number)"/>
    <w:basedOn w:val="Normaallaad"/>
    <w:rsid w:val="009B7138"/>
    <w:pPr>
      <w:numPr>
        <w:ilvl w:val="6"/>
        <w:numId w:val="47"/>
      </w:numPr>
    </w:pPr>
  </w:style>
  <w:style w:type="paragraph" w:customStyle="1" w:styleId="Point0letter">
    <w:name w:val="Point 0 (letter)"/>
    <w:basedOn w:val="Normaallaad"/>
    <w:rsid w:val="009B7138"/>
    <w:pPr>
      <w:numPr>
        <w:ilvl w:val="1"/>
        <w:numId w:val="47"/>
      </w:numPr>
    </w:pPr>
  </w:style>
  <w:style w:type="paragraph" w:customStyle="1" w:styleId="Point1letter">
    <w:name w:val="Point 1 (letter)"/>
    <w:basedOn w:val="Normaallaad"/>
    <w:rsid w:val="009B7138"/>
    <w:pPr>
      <w:numPr>
        <w:ilvl w:val="3"/>
        <w:numId w:val="47"/>
      </w:numPr>
    </w:pPr>
  </w:style>
  <w:style w:type="paragraph" w:customStyle="1" w:styleId="Point2letter">
    <w:name w:val="Point 2 (letter)"/>
    <w:basedOn w:val="Normaallaad"/>
    <w:rsid w:val="009B7138"/>
    <w:pPr>
      <w:numPr>
        <w:ilvl w:val="5"/>
        <w:numId w:val="47"/>
      </w:numPr>
    </w:pPr>
  </w:style>
  <w:style w:type="paragraph" w:customStyle="1" w:styleId="Point3letter">
    <w:name w:val="Point 3 (letter)"/>
    <w:basedOn w:val="Normaallaad"/>
    <w:rsid w:val="009B7138"/>
    <w:pPr>
      <w:numPr>
        <w:ilvl w:val="7"/>
        <w:numId w:val="47"/>
      </w:numPr>
    </w:pPr>
  </w:style>
  <w:style w:type="paragraph" w:customStyle="1" w:styleId="Point4letter">
    <w:name w:val="Point 4 (letter)"/>
    <w:basedOn w:val="Normaallaad"/>
    <w:rsid w:val="009B7138"/>
    <w:pPr>
      <w:numPr>
        <w:ilvl w:val="8"/>
        <w:numId w:val="47"/>
      </w:numPr>
    </w:pPr>
  </w:style>
  <w:style w:type="paragraph" w:customStyle="1" w:styleId="Bullet0">
    <w:name w:val="Bullet 0"/>
    <w:basedOn w:val="Normaallaad"/>
    <w:rsid w:val="009B7138"/>
    <w:pPr>
      <w:numPr>
        <w:numId w:val="48"/>
      </w:numPr>
    </w:pPr>
  </w:style>
  <w:style w:type="paragraph" w:customStyle="1" w:styleId="Bullet1">
    <w:name w:val="Bullet 1"/>
    <w:basedOn w:val="Normaallaad"/>
    <w:rsid w:val="009B7138"/>
    <w:pPr>
      <w:numPr>
        <w:numId w:val="49"/>
      </w:numPr>
    </w:pPr>
  </w:style>
  <w:style w:type="paragraph" w:customStyle="1" w:styleId="Bullet2">
    <w:name w:val="Bullet 2"/>
    <w:basedOn w:val="Normaallaad"/>
    <w:rsid w:val="009B7138"/>
    <w:pPr>
      <w:numPr>
        <w:numId w:val="50"/>
      </w:numPr>
    </w:pPr>
  </w:style>
  <w:style w:type="paragraph" w:customStyle="1" w:styleId="Bullet3">
    <w:name w:val="Bullet 3"/>
    <w:basedOn w:val="Normaallaad"/>
    <w:rsid w:val="009B7138"/>
    <w:pPr>
      <w:numPr>
        <w:numId w:val="51"/>
      </w:numPr>
    </w:pPr>
  </w:style>
  <w:style w:type="paragraph" w:customStyle="1" w:styleId="Bullet4">
    <w:name w:val="Bullet 4"/>
    <w:basedOn w:val="Normaallaad"/>
    <w:rsid w:val="009B7138"/>
    <w:pPr>
      <w:numPr>
        <w:numId w:val="52"/>
      </w:numPr>
    </w:pPr>
  </w:style>
  <w:style w:type="paragraph" w:customStyle="1" w:styleId="Langue">
    <w:name w:val="Langue"/>
    <w:basedOn w:val="Normaallaad"/>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allaad"/>
    <w:next w:val="Emission"/>
    <w:rsid w:val="009B7138"/>
    <w:pPr>
      <w:spacing w:before="0" w:after="0"/>
      <w:jc w:val="left"/>
    </w:pPr>
    <w:rPr>
      <w:rFonts w:ascii="Arial" w:hAnsi="Arial" w:cs="Arial"/>
    </w:rPr>
  </w:style>
  <w:style w:type="paragraph" w:customStyle="1" w:styleId="Emission">
    <w:name w:val="Emission"/>
    <w:basedOn w:val="Normaallaad"/>
    <w:next w:val="Rfrenceinstitutionnelle"/>
    <w:rsid w:val="009B7138"/>
    <w:pPr>
      <w:spacing w:before="0" w:after="0"/>
      <w:ind w:left="5103"/>
      <w:jc w:val="left"/>
    </w:pPr>
  </w:style>
  <w:style w:type="paragraph" w:customStyle="1" w:styleId="Rfrenceinstitutionnelle">
    <w:name w:val="Référence institutionnelle"/>
    <w:basedOn w:val="Normaallaad"/>
    <w:next w:val="Confidentialit"/>
    <w:rsid w:val="009B7138"/>
    <w:pPr>
      <w:spacing w:before="0" w:after="240"/>
      <w:ind w:left="5103"/>
      <w:jc w:val="left"/>
    </w:pPr>
  </w:style>
  <w:style w:type="paragraph" w:customStyle="1" w:styleId="Pagedecouverture">
    <w:name w:val="Page de couverture"/>
    <w:basedOn w:val="Normaallaad"/>
    <w:next w:val="Normaallaad"/>
    <w:rsid w:val="009B7138"/>
    <w:pPr>
      <w:spacing w:before="0" w:after="0"/>
    </w:pPr>
  </w:style>
  <w:style w:type="paragraph" w:customStyle="1" w:styleId="Declassification">
    <w:name w:val="Declassification"/>
    <w:basedOn w:val="Normaallaad"/>
    <w:next w:val="Normaallaad"/>
    <w:rsid w:val="009B7138"/>
    <w:pPr>
      <w:spacing w:before="0" w:after="0"/>
    </w:pPr>
  </w:style>
  <w:style w:type="paragraph" w:customStyle="1" w:styleId="Disclaimer">
    <w:name w:val="Disclaimer"/>
    <w:basedOn w:val="Normaallaad"/>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allaad"/>
    <w:rsid w:val="009B7138"/>
    <w:pPr>
      <w:spacing w:before="0" w:after="0" w:line="276" w:lineRule="auto"/>
      <w:ind w:left="5103"/>
      <w:jc w:val="left"/>
    </w:pPr>
    <w:rPr>
      <w:sz w:val="28"/>
    </w:rPr>
  </w:style>
  <w:style w:type="paragraph" w:customStyle="1" w:styleId="DateMarking">
    <w:name w:val="DateMarking"/>
    <w:basedOn w:val="Normaallaad"/>
    <w:rsid w:val="009B7138"/>
    <w:pPr>
      <w:spacing w:before="0" w:after="0" w:line="276" w:lineRule="auto"/>
      <w:ind w:left="5103"/>
      <w:jc w:val="left"/>
    </w:pPr>
    <w:rPr>
      <w:i/>
      <w:sz w:val="28"/>
    </w:rPr>
  </w:style>
  <w:style w:type="paragraph" w:customStyle="1" w:styleId="ReleasableTo">
    <w:name w:val="ReleasableTo"/>
    <w:basedOn w:val="Normaallaad"/>
    <w:rsid w:val="009B7138"/>
    <w:pPr>
      <w:spacing w:before="0" w:after="0" w:line="276" w:lineRule="auto"/>
      <w:ind w:left="5103"/>
      <w:jc w:val="left"/>
    </w:pPr>
    <w:rPr>
      <w:i/>
      <w:sz w:val="28"/>
    </w:rPr>
  </w:style>
  <w:style w:type="paragraph" w:customStyle="1" w:styleId="Annexetitreexpos">
    <w:name w:val="Annexe titre (exposé)"/>
    <w:basedOn w:val="Normaallaad"/>
    <w:next w:val="Normaallaad"/>
    <w:rsid w:val="009B7138"/>
    <w:pPr>
      <w:jc w:val="center"/>
    </w:pPr>
    <w:rPr>
      <w:b/>
      <w:u w:val="single"/>
    </w:rPr>
  </w:style>
  <w:style w:type="paragraph" w:customStyle="1" w:styleId="Annexetitre">
    <w:name w:val="Annexe titre"/>
    <w:basedOn w:val="Normaallaad"/>
    <w:next w:val="Normaallaad"/>
    <w:rsid w:val="009B7138"/>
    <w:pPr>
      <w:jc w:val="center"/>
    </w:pPr>
    <w:rPr>
      <w:b/>
      <w:u w:val="single"/>
    </w:rPr>
  </w:style>
  <w:style w:type="paragraph" w:customStyle="1" w:styleId="Annexetitrefichefinancire">
    <w:name w:val="Annexe titre (fiche financière)"/>
    <w:basedOn w:val="Normaallaad"/>
    <w:next w:val="Normaallaad"/>
    <w:rsid w:val="009B7138"/>
    <w:pPr>
      <w:jc w:val="center"/>
    </w:pPr>
    <w:rPr>
      <w:b/>
      <w:u w:val="single"/>
    </w:rPr>
  </w:style>
  <w:style w:type="paragraph" w:customStyle="1" w:styleId="Applicationdirecte">
    <w:name w:val="Application directe"/>
    <w:basedOn w:val="Normaallaad"/>
    <w:next w:val="Fait"/>
    <w:rsid w:val="009B7138"/>
    <w:pPr>
      <w:spacing w:before="480"/>
    </w:pPr>
  </w:style>
  <w:style w:type="paragraph" w:customStyle="1" w:styleId="Avertissementtitre">
    <w:name w:val="Avertissement titre"/>
    <w:basedOn w:val="Normaallaad"/>
    <w:next w:val="Normaallaad"/>
    <w:rsid w:val="009B7138"/>
    <w:pPr>
      <w:keepNext/>
      <w:spacing w:before="480"/>
    </w:pPr>
    <w:rPr>
      <w:u w:val="single"/>
    </w:rPr>
  </w:style>
  <w:style w:type="paragraph" w:customStyle="1" w:styleId="Confidence">
    <w:name w:val="Confidence"/>
    <w:basedOn w:val="Normaallaad"/>
    <w:next w:val="Normaallaad"/>
    <w:rsid w:val="009B7138"/>
    <w:pPr>
      <w:spacing w:before="360"/>
      <w:jc w:val="center"/>
    </w:pPr>
  </w:style>
  <w:style w:type="paragraph" w:customStyle="1" w:styleId="Confidentialit">
    <w:name w:val="Confidentialité"/>
    <w:basedOn w:val="Normaallaad"/>
    <w:next w:val="TypedudocumentPagedecouverture"/>
    <w:rsid w:val="009B7138"/>
    <w:pPr>
      <w:spacing w:before="240" w:after="240"/>
      <w:ind w:left="5103"/>
      <w:jc w:val="left"/>
    </w:pPr>
    <w:rPr>
      <w:i/>
      <w:sz w:val="32"/>
    </w:rPr>
  </w:style>
  <w:style w:type="paragraph" w:customStyle="1" w:styleId="Considrant">
    <w:name w:val="Considérant"/>
    <w:basedOn w:val="Normaallaad"/>
    <w:rsid w:val="009B7138"/>
    <w:pPr>
      <w:numPr>
        <w:numId w:val="53"/>
      </w:numPr>
    </w:pPr>
  </w:style>
  <w:style w:type="paragraph" w:customStyle="1" w:styleId="Corrigendum">
    <w:name w:val="Corrigendum"/>
    <w:basedOn w:val="Normaallaad"/>
    <w:next w:val="Normaallaad"/>
    <w:rsid w:val="009B7138"/>
    <w:pPr>
      <w:spacing w:before="0" w:after="240"/>
      <w:jc w:val="left"/>
    </w:pPr>
  </w:style>
  <w:style w:type="paragraph" w:customStyle="1" w:styleId="Datedadoption">
    <w:name w:val="Date d'adoption"/>
    <w:basedOn w:val="Normaallaad"/>
    <w:next w:val="Titreobjet"/>
    <w:rsid w:val="009B7138"/>
    <w:pPr>
      <w:spacing w:before="360" w:after="0"/>
      <w:jc w:val="center"/>
    </w:pPr>
    <w:rPr>
      <w:b/>
    </w:rPr>
  </w:style>
  <w:style w:type="paragraph" w:customStyle="1" w:styleId="Exposdesmotifstitre">
    <w:name w:val="Exposé des motifs titre"/>
    <w:basedOn w:val="Normaallaad"/>
    <w:next w:val="Normaallaad"/>
    <w:rsid w:val="009B7138"/>
    <w:pPr>
      <w:jc w:val="center"/>
    </w:pPr>
    <w:rPr>
      <w:b/>
      <w:u w:val="single"/>
    </w:rPr>
  </w:style>
  <w:style w:type="paragraph" w:customStyle="1" w:styleId="Fait">
    <w:name w:val="Fait à"/>
    <w:basedOn w:val="Normaallaad"/>
    <w:next w:val="Institutionquisigne"/>
    <w:rsid w:val="009B7138"/>
    <w:pPr>
      <w:keepNext/>
      <w:spacing w:after="0"/>
    </w:pPr>
  </w:style>
  <w:style w:type="paragraph" w:customStyle="1" w:styleId="Formuledadoption">
    <w:name w:val="Formule d'adoption"/>
    <w:basedOn w:val="Normaallaad"/>
    <w:next w:val="Titrearticle"/>
    <w:rsid w:val="009B7138"/>
    <w:pPr>
      <w:keepNext/>
    </w:pPr>
  </w:style>
  <w:style w:type="paragraph" w:customStyle="1" w:styleId="Institutionquiagit">
    <w:name w:val="Institution qui agit"/>
    <w:basedOn w:val="Normaallaad"/>
    <w:next w:val="Normaallaad"/>
    <w:rsid w:val="009B7138"/>
    <w:pPr>
      <w:keepNext/>
      <w:spacing w:before="600"/>
    </w:pPr>
  </w:style>
  <w:style w:type="paragraph" w:customStyle="1" w:styleId="Institutionquisigne">
    <w:name w:val="Institution qui signe"/>
    <w:basedOn w:val="Normaallaad"/>
    <w:next w:val="Personnequisigne"/>
    <w:rsid w:val="009B7138"/>
    <w:pPr>
      <w:keepNext/>
      <w:tabs>
        <w:tab w:val="left" w:pos="4252"/>
      </w:tabs>
      <w:spacing w:before="720" w:after="0"/>
    </w:pPr>
    <w:rPr>
      <w:i/>
    </w:rPr>
  </w:style>
  <w:style w:type="paragraph" w:customStyle="1" w:styleId="ManualConsidrant">
    <w:name w:val="Manual Considérant"/>
    <w:basedOn w:val="Normaallaad"/>
    <w:rsid w:val="009B7138"/>
    <w:pPr>
      <w:ind w:left="709" w:hanging="709"/>
    </w:pPr>
  </w:style>
  <w:style w:type="paragraph" w:customStyle="1" w:styleId="Personnequisigne">
    <w:name w:val="Personne qui signe"/>
    <w:basedOn w:val="Normaallaad"/>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allaad"/>
    <w:next w:val="Statut"/>
    <w:rsid w:val="009B7138"/>
    <w:pPr>
      <w:spacing w:before="0" w:after="0"/>
      <w:ind w:left="5103"/>
      <w:jc w:val="left"/>
    </w:pPr>
  </w:style>
  <w:style w:type="paragraph" w:customStyle="1" w:styleId="Rfrenceinterne">
    <w:name w:val="Référence interne"/>
    <w:basedOn w:val="Normaallaad"/>
    <w:next w:val="Rfrenceinterinstitutionnelle"/>
    <w:rsid w:val="009B7138"/>
    <w:pPr>
      <w:spacing w:before="0" w:after="0"/>
      <w:ind w:left="5103"/>
      <w:jc w:val="left"/>
    </w:pPr>
  </w:style>
  <w:style w:type="paragraph" w:customStyle="1" w:styleId="Statut">
    <w:name w:val="Statut"/>
    <w:basedOn w:val="Normaallaad"/>
    <w:next w:val="Typedudocument"/>
    <w:rsid w:val="009B7138"/>
    <w:pPr>
      <w:spacing w:before="360" w:after="0"/>
      <w:jc w:val="center"/>
    </w:pPr>
  </w:style>
  <w:style w:type="paragraph" w:customStyle="1" w:styleId="Titrearticle">
    <w:name w:val="Titre article"/>
    <w:basedOn w:val="Normaallaad"/>
    <w:next w:val="Normaallaad"/>
    <w:rsid w:val="009B7138"/>
    <w:pPr>
      <w:keepNext/>
      <w:spacing w:before="360"/>
      <w:jc w:val="center"/>
    </w:pPr>
    <w:rPr>
      <w:i/>
    </w:rPr>
  </w:style>
  <w:style w:type="paragraph" w:customStyle="1" w:styleId="Titreobjet">
    <w:name w:val="Titre objet"/>
    <w:basedOn w:val="Normaallaad"/>
    <w:next w:val="IntrtEEE"/>
    <w:rsid w:val="009B7138"/>
    <w:pPr>
      <w:spacing w:before="360" w:after="360"/>
      <w:jc w:val="center"/>
    </w:pPr>
    <w:rPr>
      <w:b/>
    </w:rPr>
  </w:style>
  <w:style w:type="paragraph" w:customStyle="1" w:styleId="Typedudocument">
    <w:name w:val="Type du document"/>
    <w:basedOn w:val="Normaallaad"/>
    <w:next w:val="Titreobjet"/>
    <w:rsid w:val="009B7138"/>
    <w:pPr>
      <w:spacing w:before="360" w:after="0"/>
      <w:jc w:val="center"/>
    </w:pPr>
    <w:rPr>
      <w:b/>
    </w:rPr>
  </w:style>
  <w:style w:type="character" w:customStyle="1" w:styleId="Added">
    <w:name w:val="Added"/>
    <w:basedOn w:val="Liguvaikefont"/>
    <w:rsid w:val="009B7138"/>
    <w:rPr>
      <w:b/>
      <w:u w:val="single"/>
      <w:shd w:val="clear" w:color="auto" w:fill="auto"/>
    </w:rPr>
  </w:style>
  <w:style w:type="character" w:customStyle="1" w:styleId="Deleted">
    <w:name w:val="Deleted"/>
    <w:basedOn w:val="Liguvaikefont"/>
    <w:rsid w:val="009B7138"/>
    <w:rPr>
      <w:strike/>
      <w:dstrike w:val="0"/>
      <w:shd w:val="clear" w:color="auto" w:fill="auto"/>
    </w:rPr>
  </w:style>
  <w:style w:type="paragraph" w:customStyle="1" w:styleId="Address">
    <w:name w:val="Address"/>
    <w:basedOn w:val="Normaallaad"/>
    <w:next w:val="Normaallaad"/>
    <w:rsid w:val="009B7138"/>
    <w:pPr>
      <w:keepLines/>
      <w:spacing w:line="360" w:lineRule="auto"/>
      <w:ind w:left="3402"/>
      <w:jc w:val="left"/>
    </w:pPr>
  </w:style>
  <w:style w:type="paragraph" w:customStyle="1" w:styleId="Objetexterne">
    <w:name w:val="Objet externe"/>
    <w:basedOn w:val="Normaallaad"/>
    <w:next w:val="Normaallaad"/>
    <w:rsid w:val="009B7138"/>
    <w:rPr>
      <w:i/>
      <w:caps/>
    </w:rPr>
  </w:style>
  <w:style w:type="paragraph" w:customStyle="1" w:styleId="Supertitre">
    <w:name w:val="Supertitre"/>
    <w:basedOn w:val="Normaallaad"/>
    <w:next w:val="Normaallaad"/>
    <w:rsid w:val="009B7138"/>
    <w:pPr>
      <w:spacing w:before="0" w:after="600"/>
      <w:jc w:val="center"/>
    </w:pPr>
    <w:rPr>
      <w:b/>
    </w:rPr>
  </w:style>
  <w:style w:type="paragraph" w:customStyle="1" w:styleId="Languesfaisantfoi">
    <w:name w:val="Langues faisant foi"/>
    <w:basedOn w:val="Normaallaad"/>
    <w:next w:val="Normaallaad"/>
    <w:rsid w:val="009B7138"/>
    <w:pPr>
      <w:spacing w:before="360" w:after="0"/>
      <w:jc w:val="center"/>
    </w:pPr>
  </w:style>
  <w:style w:type="paragraph" w:customStyle="1" w:styleId="Rfrencecroise">
    <w:name w:val="Référence croisée"/>
    <w:basedOn w:val="Normaallaad"/>
    <w:rsid w:val="009B7138"/>
    <w:pPr>
      <w:spacing w:before="0" w:after="0"/>
      <w:jc w:val="center"/>
    </w:pPr>
  </w:style>
  <w:style w:type="paragraph" w:customStyle="1" w:styleId="Fichefinanciretitre">
    <w:name w:val="Fiche financière titre"/>
    <w:basedOn w:val="Normaallaad"/>
    <w:next w:val="Normaallaad"/>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allaad"/>
    <w:next w:val="Confidentialit"/>
    <w:rsid w:val="009B7138"/>
    <w:pPr>
      <w:spacing w:before="0" w:after="240"/>
      <w:ind w:left="5103"/>
      <w:jc w:val="left"/>
    </w:pPr>
  </w:style>
  <w:style w:type="paragraph" w:customStyle="1" w:styleId="IntrtEEE">
    <w:name w:val="Intérêt EEE"/>
    <w:basedOn w:val="Languesfaisantfoi"/>
    <w:next w:val="Normaallaad"/>
    <w:rsid w:val="009B7138"/>
    <w:pPr>
      <w:spacing w:after="240"/>
    </w:pPr>
  </w:style>
  <w:style w:type="paragraph" w:customStyle="1" w:styleId="Accompagnant">
    <w:name w:val="Accompagnant"/>
    <w:basedOn w:val="Normaallaad"/>
    <w:next w:val="Typeacteprincipal"/>
    <w:rsid w:val="009B7138"/>
    <w:pPr>
      <w:spacing w:before="0" w:after="240"/>
      <w:jc w:val="center"/>
    </w:pPr>
    <w:rPr>
      <w:b/>
      <w:i/>
    </w:rPr>
  </w:style>
  <w:style w:type="paragraph" w:customStyle="1" w:styleId="Typeacteprincipal">
    <w:name w:val="Type acte principal"/>
    <w:basedOn w:val="Normaallaad"/>
    <w:next w:val="Objetacteprincipal"/>
    <w:rsid w:val="009B7138"/>
    <w:pPr>
      <w:spacing w:before="0" w:after="240"/>
      <w:jc w:val="center"/>
    </w:pPr>
    <w:rPr>
      <w:b/>
    </w:rPr>
  </w:style>
  <w:style w:type="paragraph" w:customStyle="1" w:styleId="Objetacteprincipal">
    <w:name w:val="Objet acte principal"/>
    <w:basedOn w:val="Normaallaad"/>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allaad"/>
    <w:next w:val="Normaallaad"/>
    <w:rsid w:val="009B7138"/>
    <w:pPr>
      <w:spacing w:before="360" w:after="0"/>
      <w:jc w:val="center"/>
    </w:pPr>
  </w:style>
  <w:style w:type="character" w:customStyle="1" w:styleId="Pealkiri5Mrk">
    <w:name w:val="Pealkiri 5 Märk"/>
    <w:basedOn w:val="Liguvaikefont"/>
    <w:link w:val="Pealkiri5"/>
    <w:uiPriority w:val="9"/>
    <w:semiHidden/>
    <w:rsid w:val="00BB2AE1"/>
    <w:rPr>
      <w:rFonts w:ascii="Times New Roman" w:eastAsiaTheme="majorEastAsia" w:hAnsi="Times New Roman" w:cs="Times New Roman"/>
      <w:sz w:val="24"/>
      <w:lang w:val="en-GB"/>
    </w:rPr>
  </w:style>
  <w:style w:type="character" w:customStyle="1" w:styleId="Pealkiri6Mrk">
    <w:name w:val="Pealkiri 6 Märk"/>
    <w:basedOn w:val="Liguvaikefont"/>
    <w:link w:val="Pealkiri6"/>
    <w:uiPriority w:val="9"/>
    <w:semiHidden/>
    <w:rsid w:val="00BB2AE1"/>
    <w:rPr>
      <w:rFonts w:ascii="Times New Roman" w:eastAsiaTheme="majorEastAsia" w:hAnsi="Times New Roman" w:cs="Times New Roman"/>
      <w:iCs/>
      <w:sz w:val="24"/>
      <w:lang w:val="en-GB"/>
    </w:rPr>
  </w:style>
  <w:style w:type="character" w:customStyle="1" w:styleId="Pealkiri7Mrk">
    <w:name w:val="Pealkiri 7 Märk"/>
    <w:basedOn w:val="Liguvaikefont"/>
    <w:link w:val="Pealkiri7"/>
    <w:uiPriority w:val="9"/>
    <w:semiHidden/>
    <w:rsid w:val="00BB2AE1"/>
    <w:rPr>
      <w:rFonts w:ascii="Times New Roman" w:eastAsiaTheme="majorEastAsia" w:hAnsi="Times New Roman" w:cs="Times New Roman"/>
      <w:iCs/>
      <w:sz w:val="24"/>
      <w:lang w:val="en-GB"/>
    </w:rPr>
  </w:style>
  <w:style w:type="paragraph" w:customStyle="1" w:styleId="ManualHeading5">
    <w:name w:val="Manual Heading 5"/>
    <w:basedOn w:val="Normaallaad"/>
    <w:next w:val="Text2"/>
    <w:rsid w:val="00BB2AE1"/>
    <w:pPr>
      <w:keepNext/>
      <w:tabs>
        <w:tab w:val="left" w:pos="1417"/>
      </w:tabs>
      <w:ind w:left="1417" w:hanging="1417"/>
      <w:outlineLvl w:val="4"/>
    </w:pPr>
  </w:style>
  <w:style w:type="paragraph" w:customStyle="1" w:styleId="ManualHeading6">
    <w:name w:val="Manual Heading 6"/>
    <w:basedOn w:val="Normaallaad"/>
    <w:next w:val="Text2"/>
    <w:rsid w:val="00BB2AE1"/>
    <w:pPr>
      <w:keepNext/>
      <w:tabs>
        <w:tab w:val="left" w:pos="1417"/>
      </w:tabs>
      <w:ind w:left="1417" w:hanging="1417"/>
      <w:outlineLvl w:val="5"/>
    </w:pPr>
  </w:style>
  <w:style w:type="paragraph" w:customStyle="1" w:styleId="ManualHeading7">
    <w:name w:val="Manual Heading 7"/>
    <w:basedOn w:val="Normaallaad"/>
    <w:next w:val="Text2"/>
    <w:rsid w:val="00BB2AE1"/>
    <w:pPr>
      <w:keepNext/>
      <w:tabs>
        <w:tab w:val="left" w:pos="1417"/>
      </w:tabs>
      <w:ind w:left="1417" w:hanging="1417"/>
      <w:outlineLvl w:val="6"/>
    </w:pPr>
  </w:style>
  <w:style w:type="paragraph" w:customStyle="1" w:styleId="Text5">
    <w:name w:val="Text 5"/>
    <w:basedOn w:val="Normaallaad"/>
    <w:rsid w:val="00BB2AE1"/>
    <w:pPr>
      <w:ind w:left="3118"/>
    </w:pPr>
  </w:style>
  <w:style w:type="paragraph" w:customStyle="1" w:styleId="Text6">
    <w:name w:val="Text 6"/>
    <w:basedOn w:val="Normaallaad"/>
    <w:rsid w:val="00BB2AE1"/>
    <w:pPr>
      <w:ind w:left="3685"/>
    </w:pPr>
  </w:style>
  <w:style w:type="paragraph" w:customStyle="1" w:styleId="Point5">
    <w:name w:val="Point 5"/>
    <w:basedOn w:val="Normaallaad"/>
    <w:rsid w:val="00BB2AE1"/>
    <w:pPr>
      <w:ind w:left="3685" w:hanging="567"/>
    </w:pPr>
  </w:style>
  <w:style w:type="paragraph" w:customStyle="1" w:styleId="Tiret5">
    <w:name w:val="Tiret 5"/>
    <w:basedOn w:val="Point5"/>
    <w:rsid w:val="00BB2AE1"/>
    <w:pPr>
      <w:numPr>
        <w:numId w:val="58"/>
      </w:numPr>
    </w:pPr>
  </w:style>
  <w:style w:type="paragraph" w:customStyle="1" w:styleId="NumPar5">
    <w:name w:val="NumPar 5"/>
    <w:basedOn w:val="Normaallaad"/>
    <w:next w:val="Text2"/>
    <w:rsid w:val="00BB2AE1"/>
    <w:pPr>
      <w:numPr>
        <w:ilvl w:val="4"/>
        <w:numId w:val="61"/>
      </w:numPr>
    </w:pPr>
  </w:style>
  <w:style w:type="paragraph" w:customStyle="1" w:styleId="NumPar6">
    <w:name w:val="NumPar 6"/>
    <w:basedOn w:val="Normaallaad"/>
    <w:next w:val="Text2"/>
    <w:rsid w:val="00BB2AE1"/>
    <w:pPr>
      <w:numPr>
        <w:ilvl w:val="5"/>
        <w:numId w:val="61"/>
      </w:numPr>
    </w:pPr>
  </w:style>
  <w:style w:type="paragraph" w:customStyle="1" w:styleId="NumPar7">
    <w:name w:val="NumPar 7"/>
    <w:basedOn w:val="Normaallaad"/>
    <w:next w:val="Text2"/>
    <w:rsid w:val="00BB2AE1"/>
    <w:pPr>
      <w:numPr>
        <w:ilvl w:val="6"/>
        <w:numId w:val="61"/>
      </w:numPr>
    </w:pPr>
  </w:style>
  <w:style w:type="paragraph" w:customStyle="1" w:styleId="ManualNumPar5">
    <w:name w:val="Manual NumPar 5"/>
    <w:basedOn w:val="Normaallaad"/>
    <w:next w:val="Text2"/>
    <w:rsid w:val="00BB2AE1"/>
    <w:pPr>
      <w:ind w:left="1417" w:hanging="1417"/>
    </w:pPr>
  </w:style>
  <w:style w:type="paragraph" w:customStyle="1" w:styleId="ManualNumPar6">
    <w:name w:val="Manual NumPar 6"/>
    <w:basedOn w:val="Normaallaad"/>
    <w:next w:val="Text2"/>
    <w:rsid w:val="00BB2AE1"/>
    <w:pPr>
      <w:ind w:left="1417" w:hanging="1417"/>
    </w:pPr>
  </w:style>
  <w:style w:type="paragraph" w:customStyle="1" w:styleId="ManualNumPar7">
    <w:name w:val="Manual NumPar 7"/>
    <w:basedOn w:val="Normaallaad"/>
    <w:next w:val="Text2"/>
    <w:rsid w:val="00BB2AE1"/>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94532">
      <w:bodyDiv w:val="1"/>
      <w:marLeft w:val="0"/>
      <w:marRight w:val="0"/>
      <w:marTop w:val="0"/>
      <w:marBottom w:val="0"/>
      <w:divBdr>
        <w:top w:val="none" w:sz="0" w:space="0" w:color="auto"/>
        <w:left w:val="none" w:sz="0" w:space="0" w:color="auto"/>
        <w:bottom w:val="none" w:sz="0" w:space="0" w:color="auto"/>
        <w:right w:val="none" w:sz="0" w:space="0" w:color="auto"/>
      </w:divBdr>
    </w:div>
    <w:div w:id="113795785">
      <w:bodyDiv w:val="1"/>
      <w:marLeft w:val="0"/>
      <w:marRight w:val="0"/>
      <w:marTop w:val="0"/>
      <w:marBottom w:val="0"/>
      <w:divBdr>
        <w:top w:val="none" w:sz="0" w:space="0" w:color="auto"/>
        <w:left w:val="none" w:sz="0" w:space="0" w:color="auto"/>
        <w:bottom w:val="none" w:sz="0" w:space="0" w:color="auto"/>
        <w:right w:val="none" w:sz="0" w:space="0" w:color="auto"/>
      </w:divBdr>
    </w:div>
    <w:div w:id="120923544">
      <w:bodyDiv w:val="1"/>
      <w:marLeft w:val="0"/>
      <w:marRight w:val="0"/>
      <w:marTop w:val="0"/>
      <w:marBottom w:val="0"/>
      <w:divBdr>
        <w:top w:val="none" w:sz="0" w:space="0" w:color="auto"/>
        <w:left w:val="none" w:sz="0" w:space="0" w:color="auto"/>
        <w:bottom w:val="none" w:sz="0" w:space="0" w:color="auto"/>
        <w:right w:val="none" w:sz="0" w:space="0" w:color="auto"/>
      </w:divBdr>
    </w:div>
    <w:div w:id="132413062">
      <w:bodyDiv w:val="1"/>
      <w:marLeft w:val="0"/>
      <w:marRight w:val="0"/>
      <w:marTop w:val="0"/>
      <w:marBottom w:val="0"/>
      <w:divBdr>
        <w:top w:val="none" w:sz="0" w:space="0" w:color="auto"/>
        <w:left w:val="none" w:sz="0" w:space="0" w:color="auto"/>
        <w:bottom w:val="none" w:sz="0" w:space="0" w:color="auto"/>
        <w:right w:val="none" w:sz="0" w:space="0" w:color="auto"/>
      </w:divBdr>
    </w:div>
    <w:div w:id="137259823">
      <w:bodyDiv w:val="1"/>
      <w:marLeft w:val="0"/>
      <w:marRight w:val="0"/>
      <w:marTop w:val="0"/>
      <w:marBottom w:val="0"/>
      <w:divBdr>
        <w:top w:val="none" w:sz="0" w:space="0" w:color="auto"/>
        <w:left w:val="none" w:sz="0" w:space="0" w:color="auto"/>
        <w:bottom w:val="none" w:sz="0" w:space="0" w:color="auto"/>
        <w:right w:val="none" w:sz="0" w:space="0" w:color="auto"/>
      </w:divBdr>
    </w:div>
    <w:div w:id="142503803">
      <w:bodyDiv w:val="1"/>
      <w:marLeft w:val="0"/>
      <w:marRight w:val="0"/>
      <w:marTop w:val="0"/>
      <w:marBottom w:val="0"/>
      <w:divBdr>
        <w:top w:val="none" w:sz="0" w:space="0" w:color="auto"/>
        <w:left w:val="none" w:sz="0" w:space="0" w:color="auto"/>
        <w:bottom w:val="none" w:sz="0" w:space="0" w:color="auto"/>
        <w:right w:val="none" w:sz="0" w:space="0" w:color="auto"/>
      </w:divBdr>
    </w:div>
    <w:div w:id="161242508">
      <w:bodyDiv w:val="1"/>
      <w:marLeft w:val="0"/>
      <w:marRight w:val="0"/>
      <w:marTop w:val="0"/>
      <w:marBottom w:val="0"/>
      <w:divBdr>
        <w:top w:val="none" w:sz="0" w:space="0" w:color="auto"/>
        <w:left w:val="none" w:sz="0" w:space="0" w:color="auto"/>
        <w:bottom w:val="none" w:sz="0" w:space="0" w:color="auto"/>
        <w:right w:val="none" w:sz="0" w:space="0" w:color="auto"/>
      </w:divBdr>
    </w:div>
    <w:div w:id="173761967">
      <w:bodyDiv w:val="1"/>
      <w:marLeft w:val="0"/>
      <w:marRight w:val="0"/>
      <w:marTop w:val="0"/>
      <w:marBottom w:val="0"/>
      <w:divBdr>
        <w:top w:val="none" w:sz="0" w:space="0" w:color="auto"/>
        <w:left w:val="none" w:sz="0" w:space="0" w:color="auto"/>
        <w:bottom w:val="none" w:sz="0" w:space="0" w:color="auto"/>
        <w:right w:val="none" w:sz="0" w:space="0" w:color="auto"/>
      </w:divBdr>
    </w:div>
    <w:div w:id="211355677">
      <w:bodyDiv w:val="1"/>
      <w:marLeft w:val="0"/>
      <w:marRight w:val="0"/>
      <w:marTop w:val="0"/>
      <w:marBottom w:val="0"/>
      <w:divBdr>
        <w:top w:val="none" w:sz="0" w:space="0" w:color="auto"/>
        <w:left w:val="none" w:sz="0" w:space="0" w:color="auto"/>
        <w:bottom w:val="none" w:sz="0" w:space="0" w:color="auto"/>
        <w:right w:val="none" w:sz="0" w:space="0" w:color="auto"/>
      </w:divBdr>
    </w:div>
    <w:div w:id="224144154">
      <w:bodyDiv w:val="1"/>
      <w:marLeft w:val="0"/>
      <w:marRight w:val="0"/>
      <w:marTop w:val="0"/>
      <w:marBottom w:val="0"/>
      <w:divBdr>
        <w:top w:val="none" w:sz="0" w:space="0" w:color="auto"/>
        <w:left w:val="none" w:sz="0" w:space="0" w:color="auto"/>
        <w:bottom w:val="none" w:sz="0" w:space="0" w:color="auto"/>
        <w:right w:val="none" w:sz="0" w:space="0" w:color="auto"/>
      </w:divBdr>
    </w:div>
    <w:div w:id="282536689">
      <w:bodyDiv w:val="1"/>
      <w:marLeft w:val="0"/>
      <w:marRight w:val="0"/>
      <w:marTop w:val="0"/>
      <w:marBottom w:val="0"/>
      <w:divBdr>
        <w:top w:val="none" w:sz="0" w:space="0" w:color="auto"/>
        <w:left w:val="none" w:sz="0" w:space="0" w:color="auto"/>
        <w:bottom w:val="none" w:sz="0" w:space="0" w:color="auto"/>
        <w:right w:val="none" w:sz="0" w:space="0" w:color="auto"/>
      </w:divBdr>
    </w:div>
    <w:div w:id="338503152">
      <w:bodyDiv w:val="1"/>
      <w:marLeft w:val="0"/>
      <w:marRight w:val="0"/>
      <w:marTop w:val="0"/>
      <w:marBottom w:val="0"/>
      <w:divBdr>
        <w:top w:val="none" w:sz="0" w:space="0" w:color="auto"/>
        <w:left w:val="none" w:sz="0" w:space="0" w:color="auto"/>
        <w:bottom w:val="none" w:sz="0" w:space="0" w:color="auto"/>
        <w:right w:val="none" w:sz="0" w:space="0" w:color="auto"/>
      </w:divBdr>
    </w:div>
    <w:div w:id="370769807">
      <w:bodyDiv w:val="1"/>
      <w:marLeft w:val="0"/>
      <w:marRight w:val="0"/>
      <w:marTop w:val="0"/>
      <w:marBottom w:val="0"/>
      <w:divBdr>
        <w:top w:val="none" w:sz="0" w:space="0" w:color="auto"/>
        <w:left w:val="none" w:sz="0" w:space="0" w:color="auto"/>
        <w:bottom w:val="none" w:sz="0" w:space="0" w:color="auto"/>
        <w:right w:val="none" w:sz="0" w:space="0" w:color="auto"/>
      </w:divBdr>
    </w:div>
    <w:div w:id="386075474">
      <w:bodyDiv w:val="1"/>
      <w:marLeft w:val="0"/>
      <w:marRight w:val="0"/>
      <w:marTop w:val="0"/>
      <w:marBottom w:val="0"/>
      <w:divBdr>
        <w:top w:val="none" w:sz="0" w:space="0" w:color="auto"/>
        <w:left w:val="none" w:sz="0" w:space="0" w:color="auto"/>
        <w:bottom w:val="none" w:sz="0" w:space="0" w:color="auto"/>
        <w:right w:val="none" w:sz="0" w:space="0" w:color="auto"/>
      </w:divBdr>
    </w:div>
    <w:div w:id="417991698">
      <w:bodyDiv w:val="1"/>
      <w:marLeft w:val="0"/>
      <w:marRight w:val="0"/>
      <w:marTop w:val="0"/>
      <w:marBottom w:val="0"/>
      <w:divBdr>
        <w:top w:val="none" w:sz="0" w:space="0" w:color="auto"/>
        <w:left w:val="none" w:sz="0" w:space="0" w:color="auto"/>
        <w:bottom w:val="none" w:sz="0" w:space="0" w:color="auto"/>
        <w:right w:val="none" w:sz="0" w:space="0" w:color="auto"/>
      </w:divBdr>
    </w:div>
    <w:div w:id="418984275">
      <w:bodyDiv w:val="1"/>
      <w:marLeft w:val="0"/>
      <w:marRight w:val="0"/>
      <w:marTop w:val="0"/>
      <w:marBottom w:val="0"/>
      <w:divBdr>
        <w:top w:val="none" w:sz="0" w:space="0" w:color="auto"/>
        <w:left w:val="none" w:sz="0" w:space="0" w:color="auto"/>
        <w:bottom w:val="none" w:sz="0" w:space="0" w:color="auto"/>
        <w:right w:val="none" w:sz="0" w:space="0" w:color="auto"/>
      </w:divBdr>
    </w:div>
    <w:div w:id="434597165">
      <w:bodyDiv w:val="1"/>
      <w:marLeft w:val="0"/>
      <w:marRight w:val="0"/>
      <w:marTop w:val="0"/>
      <w:marBottom w:val="0"/>
      <w:divBdr>
        <w:top w:val="none" w:sz="0" w:space="0" w:color="auto"/>
        <w:left w:val="none" w:sz="0" w:space="0" w:color="auto"/>
        <w:bottom w:val="none" w:sz="0" w:space="0" w:color="auto"/>
        <w:right w:val="none" w:sz="0" w:space="0" w:color="auto"/>
      </w:divBdr>
    </w:div>
    <w:div w:id="440731135">
      <w:bodyDiv w:val="1"/>
      <w:marLeft w:val="0"/>
      <w:marRight w:val="0"/>
      <w:marTop w:val="0"/>
      <w:marBottom w:val="0"/>
      <w:divBdr>
        <w:top w:val="none" w:sz="0" w:space="0" w:color="auto"/>
        <w:left w:val="none" w:sz="0" w:space="0" w:color="auto"/>
        <w:bottom w:val="none" w:sz="0" w:space="0" w:color="auto"/>
        <w:right w:val="none" w:sz="0" w:space="0" w:color="auto"/>
      </w:divBdr>
    </w:div>
    <w:div w:id="466823206">
      <w:bodyDiv w:val="1"/>
      <w:marLeft w:val="0"/>
      <w:marRight w:val="0"/>
      <w:marTop w:val="0"/>
      <w:marBottom w:val="0"/>
      <w:divBdr>
        <w:top w:val="none" w:sz="0" w:space="0" w:color="auto"/>
        <w:left w:val="none" w:sz="0" w:space="0" w:color="auto"/>
        <w:bottom w:val="none" w:sz="0" w:space="0" w:color="auto"/>
        <w:right w:val="none" w:sz="0" w:space="0" w:color="auto"/>
      </w:divBdr>
    </w:div>
    <w:div w:id="468010421">
      <w:bodyDiv w:val="1"/>
      <w:marLeft w:val="0"/>
      <w:marRight w:val="0"/>
      <w:marTop w:val="0"/>
      <w:marBottom w:val="0"/>
      <w:divBdr>
        <w:top w:val="none" w:sz="0" w:space="0" w:color="auto"/>
        <w:left w:val="none" w:sz="0" w:space="0" w:color="auto"/>
        <w:bottom w:val="none" w:sz="0" w:space="0" w:color="auto"/>
        <w:right w:val="none" w:sz="0" w:space="0" w:color="auto"/>
      </w:divBdr>
    </w:div>
    <w:div w:id="498237078">
      <w:bodyDiv w:val="1"/>
      <w:marLeft w:val="0"/>
      <w:marRight w:val="0"/>
      <w:marTop w:val="0"/>
      <w:marBottom w:val="0"/>
      <w:divBdr>
        <w:top w:val="none" w:sz="0" w:space="0" w:color="auto"/>
        <w:left w:val="none" w:sz="0" w:space="0" w:color="auto"/>
        <w:bottom w:val="none" w:sz="0" w:space="0" w:color="auto"/>
        <w:right w:val="none" w:sz="0" w:space="0" w:color="auto"/>
      </w:divBdr>
    </w:div>
    <w:div w:id="501237716">
      <w:bodyDiv w:val="1"/>
      <w:marLeft w:val="0"/>
      <w:marRight w:val="0"/>
      <w:marTop w:val="0"/>
      <w:marBottom w:val="0"/>
      <w:divBdr>
        <w:top w:val="none" w:sz="0" w:space="0" w:color="auto"/>
        <w:left w:val="none" w:sz="0" w:space="0" w:color="auto"/>
        <w:bottom w:val="none" w:sz="0" w:space="0" w:color="auto"/>
        <w:right w:val="none" w:sz="0" w:space="0" w:color="auto"/>
      </w:divBdr>
    </w:div>
    <w:div w:id="510149327">
      <w:bodyDiv w:val="1"/>
      <w:marLeft w:val="0"/>
      <w:marRight w:val="0"/>
      <w:marTop w:val="0"/>
      <w:marBottom w:val="0"/>
      <w:divBdr>
        <w:top w:val="none" w:sz="0" w:space="0" w:color="auto"/>
        <w:left w:val="none" w:sz="0" w:space="0" w:color="auto"/>
        <w:bottom w:val="none" w:sz="0" w:space="0" w:color="auto"/>
        <w:right w:val="none" w:sz="0" w:space="0" w:color="auto"/>
      </w:divBdr>
    </w:div>
    <w:div w:id="552236068">
      <w:bodyDiv w:val="1"/>
      <w:marLeft w:val="0"/>
      <w:marRight w:val="0"/>
      <w:marTop w:val="0"/>
      <w:marBottom w:val="0"/>
      <w:divBdr>
        <w:top w:val="none" w:sz="0" w:space="0" w:color="auto"/>
        <w:left w:val="none" w:sz="0" w:space="0" w:color="auto"/>
        <w:bottom w:val="none" w:sz="0" w:space="0" w:color="auto"/>
        <w:right w:val="none" w:sz="0" w:space="0" w:color="auto"/>
      </w:divBdr>
    </w:div>
    <w:div w:id="614600989">
      <w:bodyDiv w:val="1"/>
      <w:marLeft w:val="0"/>
      <w:marRight w:val="0"/>
      <w:marTop w:val="0"/>
      <w:marBottom w:val="0"/>
      <w:divBdr>
        <w:top w:val="none" w:sz="0" w:space="0" w:color="auto"/>
        <w:left w:val="none" w:sz="0" w:space="0" w:color="auto"/>
        <w:bottom w:val="none" w:sz="0" w:space="0" w:color="auto"/>
        <w:right w:val="none" w:sz="0" w:space="0" w:color="auto"/>
      </w:divBdr>
    </w:div>
    <w:div w:id="614755030">
      <w:bodyDiv w:val="1"/>
      <w:marLeft w:val="0"/>
      <w:marRight w:val="0"/>
      <w:marTop w:val="0"/>
      <w:marBottom w:val="0"/>
      <w:divBdr>
        <w:top w:val="none" w:sz="0" w:space="0" w:color="auto"/>
        <w:left w:val="none" w:sz="0" w:space="0" w:color="auto"/>
        <w:bottom w:val="none" w:sz="0" w:space="0" w:color="auto"/>
        <w:right w:val="none" w:sz="0" w:space="0" w:color="auto"/>
      </w:divBdr>
    </w:div>
    <w:div w:id="684478318">
      <w:bodyDiv w:val="1"/>
      <w:marLeft w:val="0"/>
      <w:marRight w:val="0"/>
      <w:marTop w:val="0"/>
      <w:marBottom w:val="0"/>
      <w:divBdr>
        <w:top w:val="none" w:sz="0" w:space="0" w:color="auto"/>
        <w:left w:val="none" w:sz="0" w:space="0" w:color="auto"/>
        <w:bottom w:val="none" w:sz="0" w:space="0" w:color="auto"/>
        <w:right w:val="none" w:sz="0" w:space="0" w:color="auto"/>
      </w:divBdr>
    </w:div>
    <w:div w:id="686252931">
      <w:bodyDiv w:val="1"/>
      <w:marLeft w:val="0"/>
      <w:marRight w:val="0"/>
      <w:marTop w:val="0"/>
      <w:marBottom w:val="0"/>
      <w:divBdr>
        <w:top w:val="none" w:sz="0" w:space="0" w:color="auto"/>
        <w:left w:val="none" w:sz="0" w:space="0" w:color="auto"/>
        <w:bottom w:val="none" w:sz="0" w:space="0" w:color="auto"/>
        <w:right w:val="none" w:sz="0" w:space="0" w:color="auto"/>
      </w:divBdr>
    </w:div>
    <w:div w:id="697657918">
      <w:bodyDiv w:val="1"/>
      <w:marLeft w:val="0"/>
      <w:marRight w:val="0"/>
      <w:marTop w:val="0"/>
      <w:marBottom w:val="0"/>
      <w:divBdr>
        <w:top w:val="none" w:sz="0" w:space="0" w:color="auto"/>
        <w:left w:val="none" w:sz="0" w:space="0" w:color="auto"/>
        <w:bottom w:val="none" w:sz="0" w:space="0" w:color="auto"/>
        <w:right w:val="none" w:sz="0" w:space="0" w:color="auto"/>
      </w:divBdr>
    </w:div>
    <w:div w:id="708266441">
      <w:bodyDiv w:val="1"/>
      <w:marLeft w:val="0"/>
      <w:marRight w:val="0"/>
      <w:marTop w:val="0"/>
      <w:marBottom w:val="0"/>
      <w:divBdr>
        <w:top w:val="none" w:sz="0" w:space="0" w:color="auto"/>
        <w:left w:val="none" w:sz="0" w:space="0" w:color="auto"/>
        <w:bottom w:val="none" w:sz="0" w:space="0" w:color="auto"/>
        <w:right w:val="none" w:sz="0" w:space="0" w:color="auto"/>
      </w:divBdr>
    </w:div>
    <w:div w:id="723405377">
      <w:bodyDiv w:val="1"/>
      <w:marLeft w:val="0"/>
      <w:marRight w:val="0"/>
      <w:marTop w:val="0"/>
      <w:marBottom w:val="0"/>
      <w:divBdr>
        <w:top w:val="none" w:sz="0" w:space="0" w:color="auto"/>
        <w:left w:val="none" w:sz="0" w:space="0" w:color="auto"/>
        <w:bottom w:val="none" w:sz="0" w:space="0" w:color="auto"/>
        <w:right w:val="none" w:sz="0" w:space="0" w:color="auto"/>
      </w:divBdr>
    </w:div>
    <w:div w:id="723799660">
      <w:bodyDiv w:val="1"/>
      <w:marLeft w:val="0"/>
      <w:marRight w:val="0"/>
      <w:marTop w:val="0"/>
      <w:marBottom w:val="0"/>
      <w:divBdr>
        <w:top w:val="none" w:sz="0" w:space="0" w:color="auto"/>
        <w:left w:val="none" w:sz="0" w:space="0" w:color="auto"/>
        <w:bottom w:val="none" w:sz="0" w:space="0" w:color="auto"/>
        <w:right w:val="none" w:sz="0" w:space="0" w:color="auto"/>
      </w:divBdr>
    </w:div>
    <w:div w:id="794058495">
      <w:bodyDiv w:val="1"/>
      <w:marLeft w:val="0"/>
      <w:marRight w:val="0"/>
      <w:marTop w:val="0"/>
      <w:marBottom w:val="0"/>
      <w:divBdr>
        <w:top w:val="none" w:sz="0" w:space="0" w:color="auto"/>
        <w:left w:val="none" w:sz="0" w:space="0" w:color="auto"/>
        <w:bottom w:val="none" w:sz="0" w:space="0" w:color="auto"/>
        <w:right w:val="none" w:sz="0" w:space="0" w:color="auto"/>
      </w:divBdr>
    </w:div>
    <w:div w:id="804129332">
      <w:bodyDiv w:val="1"/>
      <w:marLeft w:val="0"/>
      <w:marRight w:val="0"/>
      <w:marTop w:val="0"/>
      <w:marBottom w:val="0"/>
      <w:divBdr>
        <w:top w:val="none" w:sz="0" w:space="0" w:color="auto"/>
        <w:left w:val="none" w:sz="0" w:space="0" w:color="auto"/>
        <w:bottom w:val="none" w:sz="0" w:space="0" w:color="auto"/>
        <w:right w:val="none" w:sz="0" w:space="0" w:color="auto"/>
      </w:divBdr>
    </w:div>
    <w:div w:id="828667570">
      <w:bodyDiv w:val="1"/>
      <w:marLeft w:val="0"/>
      <w:marRight w:val="0"/>
      <w:marTop w:val="0"/>
      <w:marBottom w:val="0"/>
      <w:divBdr>
        <w:top w:val="none" w:sz="0" w:space="0" w:color="auto"/>
        <w:left w:val="none" w:sz="0" w:space="0" w:color="auto"/>
        <w:bottom w:val="none" w:sz="0" w:space="0" w:color="auto"/>
        <w:right w:val="none" w:sz="0" w:space="0" w:color="auto"/>
      </w:divBdr>
    </w:div>
    <w:div w:id="842161498">
      <w:bodyDiv w:val="1"/>
      <w:marLeft w:val="0"/>
      <w:marRight w:val="0"/>
      <w:marTop w:val="0"/>
      <w:marBottom w:val="0"/>
      <w:divBdr>
        <w:top w:val="none" w:sz="0" w:space="0" w:color="auto"/>
        <w:left w:val="none" w:sz="0" w:space="0" w:color="auto"/>
        <w:bottom w:val="none" w:sz="0" w:space="0" w:color="auto"/>
        <w:right w:val="none" w:sz="0" w:space="0" w:color="auto"/>
      </w:divBdr>
    </w:div>
    <w:div w:id="864098214">
      <w:bodyDiv w:val="1"/>
      <w:marLeft w:val="0"/>
      <w:marRight w:val="0"/>
      <w:marTop w:val="0"/>
      <w:marBottom w:val="0"/>
      <w:divBdr>
        <w:top w:val="none" w:sz="0" w:space="0" w:color="auto"/>
        <w:left w:val="none" w:sz="0" w:space="0" w:color="auto"/>
        <w:bottom w:val="none" w:sz="0" w:space="0" w:color="auto"/>
        <w:right w:val="none" w:sz="0" w:space="0" w:color="auto"/>
      </w:divBdr>
    </w:div>
    <w:div w:id="864368135">
      <w:bodyDiv w:val="1"/>
      <w:marLeft w:val="0"/>
      <w:marRight w:val="0"/>
      <w:marTop w:val="0"/>
      <w:marBottom w:val="0"/>
      <w:divBdr>
        <w:top w:val="none" w:sz="0" w:space="0" w:color="auto"/>
        <w:left w:val="none" w:sz="0" w:space="0" w:color="auto"/>
        <w:bottom w:val="none" w:sz="0" w:space="0" w:color="auto"/>
        <w:right w:val="none" w:sz="0" w:space="0" w:color="auto"/>
      </w:divBdr>
    </w:div>
    <w:div w:id="877863443">
      <w:bodyDiv w:val="1"/>
      <w:marLeft w:val="0"/>
      <w:marRight w:val="0"/>
      <w:marTop w:val="0"/>
      <w:marBottom w:val="0"/>
      <w:divBdr>
        <w:top w:val="none" w:sz="0" w:space="0" w:color="auto"/>
        <w:left w:val="none" w:sz="0" w:space="0" w:color="auto"/>
        <w:bottom w:val="none" w:sz="0" w:space="0" w:color="auto"/>
        <w:right w:val="none" w:sz="0" w:space="0" w:color="auto"/>
      </w:divBdr>
    </w:div>
    <w:div w:id="882057462">
      <w:bodyDiv w:val="1"/>
      <w:marLeft w:val="0"/>
      <w:marRight w:val="0"/>
      <w:marTop w:val="0"/>
      <w:marBottom w:val="0"/>
      <w:divBdr>
        <w:top w:val="none" w:sz="0" w:space="0" w:color="auto"/>
        <w:left w:val="none" w:sz="0" w:space="0" w:color="auto"/>
        <w:bottom w:val="none" w:sz="0" w:space="0" w:color="auto"/>
        <w:right w:val="none" w:sz="0" w:space="0" w:color="auto"/>
      </w:divBdr>
    </w:div>
    <w:div w:id="949748119">
      <w:bodyDiv w:val="1"/>
      <w:marLeft w:val="0"/>
      <w:marRight w:val="0"/>
      <w:marTop w:val="0"/>
      <w:marBottom w:val="0"/>
      <w:divBdr>
        <w:top w:val="none" w:sz="0" w:space="0" w:color="auto"/>
        <w:left w:val="none" w:sz="0" w:space="0" w:color="auto"/>
        <w:bottom w:val="none" w:sz="0" w:space="0" w:color="auto"/>
        <w:right w:val="none" w:sz="0" w:space="0" w:color="auto"/>
      </w:divBdr>
    </w:div>
    <w:div w:id="987830676">
      <w:bodyDiv w:val="1"/>
      <w:marLeft w:val="0"/>
      <w:marRight w:val="0"/>
      <w:marTop w:val="0"/>
      <w:marBottom w:val="0"/>
      <w:divBdr>
        <w:top w:val="none" w:sz="0" w:space="0" w:color="auto"/>
        <w:left w:val="none" w:sz="0" w:space="0" w:color="auto"/>
        <w:bottom w:val="none" w:sz="0" w:space="0" w:color="auto"/>
        <w:right w:val="none" w:sz="0" w:space="0" w:color="auto"/>
      </w:divBdr>
    </w:div>
    <w:div w:id="1030685126">
      <w:bodyDiv w:val="1"/>
      <w:marLeft w:val="0"/>
      <w:marRight w:val="0"/>
      <w:marTop w:val="0"/>
      <w:marBottom w:val="0"/>
      <w:divBdr>
        <w:top w:val="none" w:sz="0" w:space="0" w:color="auto"/>
        <w:left w:val="none" w:sz="0" w:space="0" w:color="auto"/>
        <w:bottom w:val="none" w:sz="0" w:space="0" w:color="auto"/>
        <w:right w:val="none" w:sz="0" w:space="0" w:color="auto"/>
      </w:divBdr>
    </w:div>
    <w:div w:id="1045645420">
      <w:bodyDiv w:val="1"/>
      <w:marLeft w:val="0"/>
      <w:marRight w:val="0"/>
      <w:marTop w:val="0"/>
      <w:marBottom w:val="0"/>
      <w:divBdr>
        <w:top w:val="none" w:sz="0" w:space="0" w:color="auto"/>
        <w:left w:val="none" w:sz="0" w:space="0" w:color="auto"/>
        <w:bottom w:val="none" w:sz="0" w:space="0" w:color="auto"/>
        <w:right w:val="none" w:sz="0" w:space="0" w:color="auto"/>
      </w:divBdr>
    </w:div>
    <w:div w:id="1078669910">
      <w:bodyDiv w:val="1"/>
      <w:marLeft w:val="0"/>
      <w:marRight w:val="0"/>
      <w:marTop w:val="0"/>
      <w:marBottom w:val="0"/>
      <w:divBdr>
        <w:top w:val="none" w:sz="0" w:space="0" w:color="auto"/>
        <w:left w:val="none" w:sz="0" w:space="0" w:color="auto"/>
        <w:bottom w:val="none" w:sz="0" w:space="0" w:color="auto"/>
        <w:right w:val="none" w:sz="0" w:space="0" w:color="auto"/>
      </w:divBdr>
    </w:div>
    <w:div w:id="1092702189">
      <w:bodyDiv w:val="1"/>
      <w:marLeft w:val="0"/>
      <w:marRight w:val="0"/>
      <w:marTop w:val="0"/>
      <w:marBottom w:val="0"/>
      <w:divBdr>
        <w:top w:val="none" w:sz="0" w:space="0" w:color="auto"/>
        <w:left w:val="none" w:sz="0" w:space="0" w:color="auto"/>
        <w:bottom w:val="none" w:sz="0" w:space="0" w:color="auto"/>
        <w:right w:val="none" w:sz="0" w:space="0" w:color="auto"/>
      </w:divBdr>
    </w:div>
    <w:div w:id="1095251859">
      <w:bodyDiv w:val="1"/>
      <w:marLeft w:val="0"/>
      <w:marRight w:val="0"/>
      <w:marTop w:val="0"/>
      <w:marBottom w:val="0"/>
      <w:divBdr>
        <w:top w:val="none" w:sz="0" w:space="0" w:color="auto"/>
        <w:left w:val="none" w:sz="0" w:space="0" w:color="auto"/>
        <w:bottom w:val="none" w:sz="0" w:space="0" w:color="auto"/>
        <w:right w:val="none" w:sz="0" w:space="0" w:color="auto"/>
      </w:divBdr>
    </w:div>
    <w:div w:id="1099450359">
      <w:bodyDiv w:val="1"/>
      <w:marLeft w:val="0"/>
      <w:marRight w:val="0"/>
      <w:marTop w:val="0"/>
      <w:marBottom w:val="0"/>
      <w:divBdr>
        <w:top w:val="none" w:sz="0" w:space="0" w:color="auto"/>
        <w:left w:val="none" w:sz="0" w:space="0" w:color="auto"/>
        <w:bottom w:val="none" w:sz="0" w:space="0" w:color="auto"/>
        <w:right w:val="none" w:sz="0" w:space="0" w:color="auto"/>
      </w:divBdr>
      <w:divsChild>
        <w:div w:id="1151363101">
          <w:marLeft w:val="600"/>
          <w:marRight w:val="0"/>
          <w:marTop w:val="0"/>
          <w:marBottom w:val="0"/>
          <w:divBdr>
            <w:top w:val="none" w:sz="0" w:space="0" w:color="auto"/>
            <w:left w:val="none" w:sz="0" w:space="0" w:color="auto"/>
            <w:bottom w:val="none" w:sz="0" w:space="0" w:color="auto"/>
            <w:right w:val="none" w:sz="0" w:space="0" w:color="auto"/>
          </w:divBdr>
          <w:divsChild>
            <w:div w:id="150760611">
              <w:marLeft w:val="600"/>
              <w:marRight w:val="0"/>
              <w:marTop w:val="0"/>
              <w:marBottom w:val="0"/>
              <w:divBdr>
                <w:top w:val="none" w:sz="0" w:space="0" w:color="auto"/>
                <w:left w:val="none" w:sz="0" w:space="0" w:color="auto"/>
                <w:bottom w:val="none" w:sz="0" w:space="0" w:color="auto"/>
                <w:right w:val="none" w:sz="0" w:space="0" w:color="auto"/>
              </w:divBdr>
            </w:div>
            <w:div w:id="1158887456">
              <w:marLeft w:val="720"/>
              <w:marRight w:val="0"/>
              <w:marTop w:val="0"/>
              <w:marBottom w:val="0"/>
              <w:divBdr>
                <w:top w:val="none" w:sz="0" w:space="0" w:color="auto"/>
                <w:left w:val="none" w:sz="0" w:space="0" w:color="auto"/>
                <w:bottom w:val="none" w:sz="0" w:space="0" w:color="auto"/>
                <w:right w:val="none" w:sz="0" w:space="0" w:color="auto"/>
              </w:divBdr>
            </w:div>
          </w:divsChild>
        </w:div>
        <w:div w:id="185556402">
          <w:marLeft w:val="600"/>
          <w:marRight w:val="0"/>
          <w:marTop w:val="0"/>
          <w:marBottom w:val="0"/>
          <w:divBdr>
            <w:top w:val="none" w:sz="0" w:space="0" w:color="auto"/>
            <w:left w:val="none" w:sz="0" w:space="0" w:color="auto"/>
            <w:bottom w:val="none" w:sz="0" w:space="0" w:color="auto"/>
            <w:right w:val="none" w:sz="0" w:space="0" w:color="auto"/>
          </w:divBdr>
        </w:div>
      </w:divsChild>
    </w:div>
    <w:div w:id="1117991683">
      <w:bodyDiv w:val="1"/>
      <w:marLeft w:val="0"/>
      <w:marRight w:val="0"/>
      <w:marTop w:val="0"/>
      <w:marBottom w:val="0"/>
      <w:divBdr>
        <w:top w:val="none" w:sz="0" w:space="0" w:color="auto"/>
        <w:left w:val="none" w:sz="0" w:space="0" w:color="auto"/>
        <w:bottom w:val="none" w:sz="0" w:space="0" w:color="auto"/>
        <w:right w:val="none" w:sz="0" w:space="0" w:color="auto"/>
      </w:divBdr>
    </w:div>
    <w:div w:id="1149783937">
      <w:bodyDiv w:val="1"/>
      <w:marLeft w:val="0"/>
      <w:marRight w:val="0"/>
      <w:marTop w:val="0"/>
      <w:marBottom w:val="0"/>
      <w:divBdr>
        <w:top w:val="none" w:sz="0" w:space="0" w:color="auto"/>
        <w:left w:val="none" w:sz="0" w:space="0" w:color="auto"/>
        <w:bottom w:val="none" w:sz="0" w:space="0" w:color="auto"/>
        <w:right w:val="none" w:sz="0" w:space="0" w:color="auto"/>
      </w:divBdr>
    </w:div>
    <w:div w:id="1153640522">
      <w:bodyDiv w:val="1"/>
      <w:marLeft w:val="0"/>
      <w:marRight w:val="0"/>
      <w:marTop w:val="0"/>
      <w:marBottom w:val="0"/>
      <w:divBdr>
        <w:top w:val="none" w:sz="0" w:space="0" w:color="auto"/>
        <w:left w:val="none" w:sz="0" w:space="0" w:color="auto"/>
        <w:bottom w:val="none" w:sz="0" w:space="0" w:color="auto"/>
        <w:right w:val="none" w:sz="0" w:space="0" w:color="auto"/>
      </w:divBdr>
    </w:div>
    <w:div w:id="1168718508">
      <w:bodyDiv w:val="1"/>
      <w:marLeft w:val="0"/>
      <w:marRight w:val="0"/>
      <w:marTop w:val="0"/>
      <w:marBottom w:val="0"/>
      <w:divBdr>
        <w:top w:val="none" w:sz="0" w:space="0" w:color="auto"/>
        <w:left w:val="none" w:sz="0" w:space="0" w:color="auto"/>
        <w:bottom w:val="none" w:sz="0" w:space="0" w:color="auto"/>
        <w:right w:val="none" w:sz="0" w:space="0" w:color="auto"/>
      </w:divBdr>
    </w:div>
    <w:div w:id="1253390155">
      <w:bodyDiv w:val="1"/>
      <w:marLeft w:val="0"/>
      <w:marRight w:val="0"/>
      <w:marTop w:val="0"/>
      <w:marBottom w:val="0"/>
      <w:divBdr>
        <w:top w:val="none" w:sz="0" w:space="0" w:color="auto"/>
        <w:left w:val="none" w:sz="0" w:space="0" w:color="auto"/>
        <w:bottom w:val="none" w:sz="0" w:space="0" w:color="auto"/>
        <w:right w:val="none" w:sz="0" w:space="0" w:color="auto"/>
      </w:divBdr>
    </w:div>
    <w:div w:id="1274628543">
      <w:bodyDiv w:val="1"/>
      <w:marLeft w:val="0"/>
      <w:marRight w:val="0"/>
      <w:marTop w:val="0"/>
      <w:marBottom w:val="0"/>
      <w:divBdr>
        <w:top w:val="none" w:sz="0" w:space="0" w:color="auto"/>
        <w:left w:val="none" w:sz="0" w:space="0" w:color="auto"/>
        <w:bottom w:val="none" w:sz="0" w:space="0" w:color="auto"/>
        <w:right w:val="none" w:sz="0" w:space="0" w:color="auto"/>
      </w:divBdr>
    </w:div>
    <w:div w:id="1286694854">
      <w:bodyDiv w:val="1"/>
      <w:marLeft w:val="0"/>
      <w:marRight w:val="0"/>
      <w:marTop w:val="0"/>
      <w:marBottom w:val="0"/>
      <w:divBdr>
        <w:top w:val="none" w:sz="0" w:space="0" w:color="auto"/>
        <w:left w:val="none" w:sz="0" w:space="0" w:color="auto"/>
        <w:bottom w:val="none" w:sz="0" w:space="0" w:color="auto"/>
        <w:right w:val="none" w:sz="0" w:space="0" w:color="auto"/>
      </w:divBdr>
    </w:div>
    <w:div w:id="1385715875">
      <w:bodyDiv w:val="1"/>
      <w:marLeft w:val="0"/>
      <w:marRight w:val="0"/>
      <w:marTop w:val="0"/>
      <w:marBottom w:val="0"/>
      <w:divBdr>
        <w:top w:val="none" w:sz="0" w:space="0" w:color="auto"/>
        <w:left w:val="none" w:sz="0" w:space="0" w:color="auto"/>
        <w:bottom w:val="none" w:sz="0" w:space="0" w:color="auto"/>
        <w:right w:val="none" w:sz="0" w:space="0" w:color="auto"/>
      </w:divBdr>
    </w:div>
    <w:div w:id="1405487960">
      <w:bodyDiv w:val="1"/>
      <w:marLeft w:val="0"/>
      <w:marRight w:val="0"/>
      <w:marTop w:val="0"/>
      <w:marBottom w:val="0"/>
      <w:divBdr>
        <w:top w:val="none" w:sz="0" w:space="0" w:color="auto"/>
        <w:left w:val="none" w:sz="0" w:space="0" w:color="auto"/>
        <w:bottom w:val="none" w:sz="0" w:space="0" w:color="auto"/>
        <w:right w:val="none" w:sz="0" w:space="0" w:color="auto"/>
      </w:divBdr>
    </w:div>
    <w:div w:id="1425146681">
      <w:bodyDiv w:val="1"/>
      <w:marLeft w:val="0"/>
      <w:marRight w:val="0"/>
      <w:marTop w:val="0"/>
      <w:marBottom w:val="0"/>
      <w:divBdr>
        <w:top w:val="none" w:sz="0" w:space="0" w:color="auto"/>
        <w:left w:val="none" w:sz="0" w:space="0" w:color="auto"/>
        <w:bottom w:val="none" w:sz="0" w:space="0" w:color="auto"/>
        <w:right w:val="none" w:sz="0" w:space="0" w:color="auto"/>
      </w:divBdr>
    </w:div>
    <w:div w:id="1426725356">
      <w:bodyDiv w:val="1"/>
      <w:marLeft w:val="0"/>
      <w:marRight w:val="0"/>
      <w:marTop w:val="0"/>
      <w:marBottom w:val="0"/>
      <w:divBdr>
        <w:top w:val="none" w:sz="0" w:space="0" w:color="auto"/>
        <w:left w:val="none" w:sz="0" w:space="0" w:color="auto"/>
        <w:bottom w:val="none" w:sz="0" w:space="0" w:color="auto"/>
        <w:right w:val="none" w:sz="0" w:space="0" w:color="auto"/>
      </w:divBdr>
    </w:div>
    <w:div w:id="1432892364">
      <w:bodyDiv w:val="1"/>
      <w:marLeft w:val="0"/>
      <w:marRight w:val="0"/>
      <w:marTop w:val="0"/>
      <w:marBottom w:val="0"/>
      <w:divBdr>
        <w:top w:val="none" w:sz="0" w:space="0" w:color="auto"/>
        <w:left w:val="none" w:sz="0" w:space="0" w:color="auto"/>
        <w:bottom w:val="none" w:sz="0" w:space="0" w:color="auto"/>
        <w:right w:val="none" w:sz="0" w:space="0" w:color="auto"/>
      </w:divBdr>
    </w:div>
    <w:div w:id="1490557133">
      <w:bodyDiv w:val="1"/>
      <w:marLeft w:val="0"/>
      <w:marRight w:val="0"/>
      <w:marTop w:val="0"/>
      <w:marBottom w:val="0"/>
      <w:divBdr>
        <w:top w:val="none" w:sz="0" w:space="0" w:color="auto"/>
        <w:left w:val="none" w:sz="0" w:space="0" w:color="auto"/>
        <w:bottom w:val="none" w:sz="0" w:space="0" w:color="auto"/>
        <w:right w:val="none" w:sz="0" w:space="0" w:color="auto"/>
      </w:divBdr>
    </w:div>
    <w:div w:id="1508397146">
      <w:bodyDiv w:val="1"/>
      <w:marLeft w:val="0"/>
      <w:marRight w:val="0"/>
      <w:marTop w:val="0"/>
      <w:marBottom w:val="0"/>
      <w:divBdr>
        <w:top w:val="none" w:sz="0" w:space="0" w:color="auto"/>
        <w:left w:val="none" w:sz="0" w:space="0" w:color="auto"/>
        <w:bottom w:val="none" w:sz="0" w:space="0" w:color="auto"/>
        <w:right w:val="none" w:sz="0" w:space="0" w:color="auto"/>
      </w:divBdr>
    </w:div>
    <w:div w:id="1533378084">
      <w:bodyDiv w:val="1"/>
      <w:marLeft w:val="0"/>
      <w:marRight w:val="0"/>
      <w:marTop w:val="0"/>
      <w:marBottom w:val="0"/>
      <w:divBdr>
        <w:top w:val="none" w:sz="0" w:space="0" w:color="auto"/>
        <w:left w:val="none" w:sz="0" w:space="0" w:color="auto"/>
        <w:bottom w:val="none" w:sz="0" w:space="0" w:color="auto"/>
        <w:right w:val="none" w:sz="0" w:space="0" w:color="auto"/>
      </w:divBdr>
    </w:div>
    <w:div w:id="1555965489">
      <w:bodyDiv w:val="1"/>
      <w:marLeft w:val="0"/>
      <w:marRight w:val="0"/>
      <w:marTop w:val="0"/>
      <w:marBottom w:val="0"/>
      <w:divBdr>
        <w:top w:val="none" w:sz="0" w:space="0" w:color="auto"/>
        <w:left w:val="none" w:sz="0" w:space="0" w:color="auto"/>
        <w:bottom w:val="none" w:sz="0" w:space="0" w:color="auto"/>
        <w:right w:val="none" w:sz="0" w:space="0" w:color="auto"/>
      </w:divBdr>
    </w:div>
    <w:div w:id="1574269171">
      <w:bodyDiv w:val="1"/>
      <w:marLeft w:val="0"/>
      <w:marRight w:val="0"/>
      <w:marTop w:val="0"/>
      <w:marBottom w:val="0"/>
      <w:divBdr>
        <w:top w:val="none" w:sz="0" w:space="0" w:color="auto"/>
        <w:left w:val="none" w:sz="0" w:space="0" w:color="auto"/>
        <w:bottom w:val="none" w:sz="0" w:space="0" w:color="auto"/>
        <w:right w:val="none" w:sz="0" w:space="0" w:color="auto"/>
      </w:divBdr>
    </w:div>
    <w:div w:id="1593509490">
      <w:bodyDiv w:val="1"/>
      <w:marLeft w:val="0"/>
      <w:marRight w:val="0"/>
      <w:marTop w:val="0"/>
      <w:marBottom w:val="0"/>
      <w:divBdr>
        <w:top w:val="none" w:sz="0" w:space="0" w:color="auto"/>
        <w:left w:val="none" w:sz="0" w:space="0" w:color="auto"/>
        <w:bottom w:val="none" w:sz="0" w:space="0" w:color="auto"/>
        <w:right w:val="none" w:sz="0" w:space="0" w:color="auto"/>
      </w:divBdr>
    </w:div>
    <w:div w:id="1638223010">
      <w:bodyDiv w:val="1"/>
      <w:marLeft w:val="0"/>
      <w:marRight w:val="0"/>
      <w:marTop w:val="0"/>
      <w:marBottom w:val="0"/>
      <w:divBdr>
        <w:top w:val="none" w:sz="0" w:space="0" w:color="auto"/>
        <w:left w:val="none" w:sz="0" w:space="0" w:color="auto"/>
        <w:bottom w:val="none" w:sz="0" w:space="0" w:color="auto"/>
        <w:right w:val="none" w:sz="0" w:space="0" w:color="auto"/>
      </w:divBdr>
    </w:div>
    <w:div w:id="1679304824">
      <w:bodyDiv w:val="1"/>
      <w:marLeft w:val="0"/>
      <w:marRight w:val="0"/>
      <w:marTop w:val="0"/>
      <w:marBottom w:val="0"/>
      <w:divBdr>
        <w:top w:val="none" w:sz="0" w:space="0" w:color="auto"/>
        <w:left w:val="none" w:sz="0" w:space="0" w:color="auto"/>
        <w:bottom w:val="none" w:sz="0" w:space="0" w:color="auto"/>
        <w:right w:val="none" w:sz="0" w:space="0" w:color="auto"/>
      </w:divBdr>
      <w:divsChild>
        <w:div w:id="484516645">
          <w:marLeft w:val="0"/>
          <w:marRight w:val="0"/>
          <w:marTop w:val="0"/>
          <w:marBottom w:val="0"/>
          <w:divBdr>
            <w:top w:val="none" w:sz="0" w:space="0" w:color="auto"/>
            <w:left w:val="none" w:sz="0" w:space="0" w:color="auto"/>
            <w:bottom w:val="none" w:sz="0" w:space="0" w:color="auto"/>
            <w:right w:val="none" w:sz="0" w:space="0" w:color="auto"/>
          </w:divBdr>
          <w:divsChild>
            <w:div w:id="12710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79004">
      <w:bodyDiv w:val="1"/>
      <w:marLeft w:val="0"/>
      <w:marRight w:val="0"/>
      <w:marTop w:val="0"/>
      <w:marBottom w:val="0"/>
      <w:divBdr>
        <w:top w:val="none" w:sz="0" w:space="0" w:color="auto"/>
        <w:left w:val="none" w:sz="0" w:space="0" w:color="auto"/>
        <w:bottom w:val="none" w:sz="0" w:space="0" w:color="auto"/>
        <w:right w:val="none" w:sz="0" w:space="0" w:color="auto"/>
      </w:divBdr>
    </w:div>
    <w:div w:id="1729916919">
      <w:bodyDiv w:val="1"/>
      <w:marLeft w:val="0"/>
      <w:marRight w:val="0"/>
      <w:marTop w:val="0"/>
      <w:marBottom w:val="0"/>
      <w:divBdr>
        <w:top w:val="none" w:sz="0" w:space="0" w:color="auto"/>
        <w:left w:val="none" w:sz="0" w:space="0" w:color="auto"/>
        <w:bottom w:val="none" w:sz="0" w:space="0" w:color="auto"/>
        <w:right w:val="none" w:sz="0" w:space="0" w:color="auto"/>
      </w:divBdr>
    </w:div>
    <w:div w:id="1733043871">
      <w:bodyDiv w:val="1"/>
      <w:marLeft w:val="0"/>
      <w:marRight w:val="0"/>
      <w:marTop w:val="0"/>
      <w:marBottom w:val="0"/>
      <w:divBdr>
        <w:top w:val="none" w:sz="0" w:space="0" w:color="auto"/>
        <w:left w:val="none" w:sz="0" w:space="0" w:color="auto"/>
        <w:bottom w:val="none" w:sz="0" w:space="0" w:color="auto"/>
        <w:right w:val="none" w:sz="0" w:space="0" w:color="auto"/>
      </w:divBdr>
    </w:div>
    <w:div w:id="1733966149">
      <w:bodyDiv w:val="1"/>
      <w:marLeft w:val="0"/>
      <w:marRight w:val="0"/>
      <w:marTop w:val="0"/>
      <w:marBottom w:val="0"/>
      <w:divBdr>
        <w:top w:val="none" w:sz="0" w:space="0" w:color="auto"/>
        <w:left w:val="none" w:sz="0" w:space="0" w:color="auto"/>
        <w:bottom w:val="none" w:sz="0" w:space="0" w:color="auto"/>
        <w:right w:val="none" w:sz="0" w:space="0" w:color="auto"/>
      </w:divBdr>
    </w:div>
    <w:div w:id="1772628255">
      <w:bodyDiv w:val="1"/>
      <w:marLeft w:val="0"/>
      <w:marRight w:val="0"/>
      <w:marTop w:val="0"/>
      <w:marBottom w:val="0"/>
      <w:divBdr>
        <w:top w:val="none" w:sz="0" w:space="0" w:color="auto"/>
        <w:left w:val="none" w:sz="0" w:space="0" w:color="auto"/>
        <w:bottom w:val="none" w:sz="0" w:space="0" w:color="auto"/>
        <w:right w:val="none" w:sz="0" w:space="0" w:color="auto"/>
      </w:divBdr>
    </w:div>
    <w:div w:id="1797524046">
      <w:bodyDiv w:val="1"/>
      <w:marLeft w:val="0"/>
      <w:marRight w:val="0"/>
      <w:marTop w:val="0"/>
      <w:marBottom w:val="0"/>
      <w:divBdr>
        <w:top w:val="none" w:sz="0" w:space="0" w:color="auto"/>
        <w:left w:val="none" w:sz="0" w:space="0" w:color="auto"/>
        <w:bottom w:val="none" w:sz="0" w:space="0" w:color="auto"/>
        <w:right w:val="none" w:sz="0" w:space="0" w:color="auto"/>
      </w:divBdr>
    </w:div>
    <w:div w:id="1833174703">
      <w:bodyDiv w:val="1"/>
      <w:marLeft w:val="0"/>
      <w:marRight w:val="0"/>
      <w:marTop w:val="0"/>
      <w:marBottom w:val="0"/>
      <w:divBdr>
        <w:top w:val="none" w:sz="0" w:space="0" w:color="auto"/>
        <w:left w:val="none" w:sz="0" w:space="0" w:color="auto"/>
        <w:bottom w:val="none" w:sz="0" w:space="0" w:color="auto"/>
        <w:right w:val="none" w:sz="0" w:space="0" w:color="auto"/>
      </w:divBdr>
    </w:div>
    <w:div w:id="1836649668">
      <w:bodyDiv w:val="1"/>
      <w:marLeft w:val="0"/>
      <w:marRight w:val="0"/>
      <w:marTop w:val="0"/>
      <w:marBottom w:val="0"/>
      <w:divBdr>
        <w:top w:val="none" w:sz="0" w:space="0" w:color="auto"/>
        <w:left w:val="none" w:sz="0" w:space="0" w:color="auto"/>
        <w:bottom w:val="none" w:sz="0" w:space="0" w:color="auto"/>
        <w:right w:val="none" w:sz="0" w:space="0" w:color="auto"/>
      </w:divBdr>
    </w:div>
    <w:div w:id="1853495261">
      <w:bodyDiv w:val="1"/>
      <w:marLeft w:val="0"/>
      <w:marRight w:val="0"/>
      <w:marTop w:val="0"/>
      <w:marBottom w:val="0"/>
      <w:divBdr>
        <w:top w:val="none" w:sz="0" w:space="0" w:color="auto"/>
        <w:left w:val="none" w:sz="0" w:space="0" w:color="auto"/>
        <w:bottom w:val="none" w:sz="0" w:space="0" w:color="auto"/>
        <w:right w:val="none" w:sz="0" w:space="0" w:color="auto"/>
      </w:divBdr>
    </w:div>
    <w:div w:id="1862232837">
      <w:bodyDiv w:val="1"/>
      <w:marLeft w:val="0"/>
      <w:marRight w:val="0"/>
      <w:marTop w:val="0"/>
      <w:marBottom w:val="0"/>
      <w:divBdr>
        <w:top w:val="none" w:sz="0" w:space="0" w:color="auto"/>
        <w:left w:val="none" w:sz="0" w:space="0" w:color="auto"/>
        <w:bottom w:val="none" w:sz="0" w:space="0" w:color="auto"/>
        <w:right w:val="none" w:sz="0" w:space="0" w:color="auto"/>
      </w:divBdr>
    </w:div>
    <w:div w:id="1881476538">
      <w:bodyDiv w:val="1"/>
      <w:marLeft w:val="0"/>
      <w:marRight w:val="0"/>
      <w:marTop w:val="0"/>
      <w:marBottom w:val="0"/>
      <w:divBdr>
        <w:top w:val="none" w:sz="0" w:space="0" w:color="auto"/>
        <w:left w:val="none" w:sz="0" w:space="0" w:color="auto"/>
        <w:bottom w:val="none" w:sz="0" w:space="0" w:color="auto"/>
        <w:right w:val="none" w:sz="0" w:space="0" w:color="auto"/>
      </w:divBdr>
    </w:div>
    <w:div w:id="1902713041">
      <w:bodyDiv w:val="1"/>
      <w:marLeft w:val="0"/>
      <w:marRight w:val="0"/>
      <w:marTop w:val="0"/>
      <w:marBottom w:val="0"/>
      <w:divBdr>
        <w:top w:val="none" w:sz="0" w:space="0" w:color="auto"/>
        <w:left w:val="none" w:sz="0" w:space="0" w:color="auto"/>
        <w:bottom w:val="none" w:sz="0" w:space="0" w:color="auto"/>
        <w:right w:val="none" w:sz="0" w:space="0" w:color="auto"/>
      </w:divBdr>
    </w:div>
    <w:div w:id="1955483468">
      <w:bodyDiv w:val="1"/>
      <w:marLeft w:val="0"/>
      <w:marRight w:val="0"/>
      <w:marTop w:val="0"/>
      <w:marBottom w:val="0"/>
      <w:divBdr>
        <w:top w:val="none" w:sz="0" w:space="0" w:color="auto"/>
        <w:left w:val="none" w:sz="0" w:space="0" w:color="auto"/>
        <w:bottom w:val="none" w:sz="0" w:space="0" w:color="auto"/>
        <w:right w:val="none" w:sz="0" w:space="0" w:color="auto"/>
      </w:divBdr>
    </w:div>
    <w:div w:id="2022512404">
      <w:bodyDiv w:val="1"/>
      <w:marLeft w:val="0"/>
      <w:marRight w:val="0"/>
      <w:marTop w:val="0"/>
      <w:marBottom w:val="0"/>
      <w:divBdr>
        <w:top w:val="none" w:sz="0" w:space="0" w:color="auto"/>
        <w:left w:val="none" w:sz="0" w:space="0" w:color="auto"/>
        <w:bottom w:val="none" w:sz="0" w:space="0" w:color="auto"/>
        <w:right w:val="none" w:sz="0" w:space="0" w:color="auto"/>
      </w:divBdr>
    </w:div>
    <w:div w:id="2029286216">
      <w:bodyDiv w:val="1"/>
      <w:marLeft w:val="0"/>
      <w:marRight w:val="0"/>
      <w:marTop w:val="0"/>
      <w:marBottom w:val="0"/>
      <w:divBdr>
        <w:top w:val="none" w:sz="0" w:space="0" w:color="auto"/>
        <w:left w:val="none" w:sz="0" w:space="0" w:color="auto"/>
        <w:bottom w:val="none" w:sz="0" w:space="0" w:color="auto"/>
        <w:right w:val="none" w:sz="0" w:space="0" w:color="auto"/>
      </w:divBdr>
    </w:div>
    <w:div w:id="2036156842">
      <w:bodyDiv w:val="1"/>
      <w:marLeft w:val="0"/>
      <w:marRight w:val="0"/>
      <w:marTop w:val="0"/>
      <w:marBottom w:val="0"/>
      <w:divBdr>
        <w:top w:val="none" w:sz="0" w:space="0" w:color="auto"/>
        <w:left w:val="none" w:sz="0" w:space="0" w:color="auto"/>
        <w:bottom w:val="none" w:sz="0" w:space="0" w:color="auto"/>
        <w:right w:val="none" w:sz="0" w:space="0" w:color="auto"/>
      </w:divBdr>
    </w:div>
    <w:div w:id="2041200284">
      <w:bodyDiv w:val="1"/>
      <w:marLeft w:val="0"/>
      <w:marRight w:val="0"/>
      <w:marTop w:val="0"/>
      <w:marBottom w:val="0"/>
      <w:divBdr>
        <w:top w:val="none" w:sz="0" w:space="0" w:color="auto"/>
        <w:left w:val="none" w:sz="0" w:space="0" w:color="auto"/>
        <w:bottom w:val="none" w:sz="0" w:space="0" w:color="auto"/>
        <w:right w:val="none" w:sz="0" w:space="0" w:color="auto"/>
      </w:divBdr>
    </w:div>
    <w:div w:id="2081174181">
      <w:bodyDiv w:val="1"/>
      <w:marLeft w:val="0"/>
      <w:marRight w:val="0"/>
      <w:marTop w:val="0"/>
      <w:marBottom w:val="0"/>
      <w:divBdr>
        <w:top w:val="none" w:sz="0" w:space="0" w:color="auto"/>
        <w:left w:val="none" w:sz="0" w:space="0" w:color="auto"/>
        <w:bottom w:val="none" w:sz="0" w:space="0" w:color="auto"/>
        <w:right w:val="none" w:sz="0" w:space="0" w:color="auto"/>
      </w:divBdr>
    </w:div>
    <w:div w:id="2092307745">
      <w:bodyDiv w:val="1"/>
      <w:marLeft w:val="0"/>
      <w:marRight w:val="0"/>
      <w:marTop w:val="0"/>
      <w:marBottom w:val="0"/>
      <w:divBdr>
        <w:top w:val="none" w:sz="0" w:space="0" w:color="auto"/>
        <w:left w:val="none" w:sz="0" w:space="0" w:color="auto"/>
        <w:bottom w:val="none" w:sz="0" w:space="0" w:color="auto"/>
        <w:right w:val="none" w:sz="0" w:space="0" w:color="auto"/>
      </w:divBdr>
    </w:div>
    <w:div w:id="2119328981">
      <w:bodyDiv w:val="1"/>
      <w:marLeft w:val="0"/>
      <w:marRight w:val="0"/>
      <w:marTop w:val="0"/>
      <w:marBottom w:val="0"/>
      <w:divBdr>
        <w:top w:val="none" w:sz="0" w:space="0" w:color="auto"/>
        <w:left w:val="none" w:sz="0" w:space="0" w:color="auto"/>
        <w:bottom w:val="none" w:sz="0" w:space="0" w:color="auto"/>
        <w:right w:val="none" w:sz="0" w:space="0" w:color="auto"/>
      </w:divBdr>
    </w:div>
    <w:div w:id="2120953412">
      <w:bodyDiv w:val="1"/>
      <w:marLeft w:val="0"/>
      <w:marRight w:val="0"/>
      <w:marTop w:val="0"/>
      <w:marBottom w:val="0"/>
      <w:divBdr>
        <w:top w:val="none" w:sz="0" w:space="0" w:color="auto"/>
        <w:left w:val="none" w:sz="0" w:space="0" w:color="auto"/>
        <w:bottom w:val="none" w:sz="0" w:space="0" w:color="auto"/>
        <w:right w:val="none" w:sz="0" w:space="0" w:color="auto"/>
      </w:divBdr>
    </w:div>
    <w:div w:id="2133353601">
      <w:bodyDiv w:val="1"/>
      <w:marLeft w:val="0"/>
      <w:marRight w:val="0"/>
      <w:marTop w:val="0"/>
      <w:marBottom w:val="0"/>
      <w:divBdr>
        <w:top w:val="none" w:sz="0" w:space="0" w:color="auto"/>
        <w:left w:val="none" w:sz="0" w:space="0" w:color="auto"/>
        <w:bottom w:val="none" w:sz="0" w:space="0" w:color="auto"/>
        <w:right w:val="none" w:sz="0" w:space="0" w:color="auto"/>
      </w:divBdr>
    </w:div>
    <w:div w:id="214218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TXT/?uri=CELEX%3A32014L0095" TargetMode="External"/><Relationship Id="rId18" Type="http://schemas.openxmlformats.org/officeDocument/2006/relationships/hyperlink" Target="https://eur-lex.europa.eu/legal-content/EN/TXT/PDF/?uri=CELEX:32017R0821&amp;from=EN" TargetMode="External"/><Relationship Id="rId26" Type="http://schemas.openxmlformats.org/officeDocument/2006/relationships/hyperlink" Target="https://ec.europa.eu/environment/strategy/chemicals-strategy_en" TargetMode="External"/><Relationship Id="rId3" Type="http://schemas.openxmlformats.org/officeDocument/2006/relationships/customXml" Target="../customXml/item3.xml"/><Relationship Id="rId21" Type="http://schemas.openxmlformats.org/officeDocument/2006/relationships/hyperlink" Target="https://ec.europa.eu/info/law/better-regulation/have-your-say/initiatives/12567-Sustainable-products-initiative_en" TargetMode="External"/><Relationship Id="rId34" Type="http://schemas.openxmlformats.org/officeDocument/2006/relationships/hyperlink" Target="https://ec.europa.eu/anti-trafficking/eu-strategy-combatting-trafficking-human-beings-2021-2025_en"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ur-lex.europa.eu/legal-content/EN/TXT/?uri=CELEX%3A32009L0052&amp;qid=1645109593843" TargetMode="External"/><Relationship Id="rId25" Type="http://schemas.openxmlformats.org/officeDocument/2006/relationships/hyperlink" Target="https://ec.europa.eu/food/farm2fork_en" TargetMode="External"/><Relationship Id="rId33" Type="http://schemas.openxmlformats.org/officeDocument/2006/relationships/hyperlink" Target="https://ec.europa.eu/info/files/eu-strategy-rights-child-graphics_en"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ur-lex.europa.eu/legal-content/EN/TXT/?uri=CELEX:32011L0036" TargetMode="External"/><Relationship Id="rId20" Type="http://schemas.openxmlformats.org/officeDocument/2006/relationships/hyperlink" Target="https://ec.europa.eu/environment/topics/waste-and-recycling/batteries-and-accumulators_en" TargetMode="External"/><Relationship Id="rId29" Type="http://schemas.openxmlformats.org/officeDocument/2006/relationships/hyperlink" Target="https://ec.europa.eu/clima/eu-action/eu-emissions-trading-system-eu-ets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ec.europa.eu/environment/nature/biodiversity/strategy/index_en.htm" TargetMode="External"/><Relationship Id="rId32" Type="http://schemas.openxmlformats.org/officeDocument/2006/relationships/hyperlink" Target="https://eur-lex.europa.eu/legal-content/EN/TXT/?uri=CELEX:52020JC0005"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ur-lex.europa.eu/legal-content/EN/TXT/PDF/?uri=CELEX:32020R0852&amp;from=EN" TargetMode="External"/><Relationship Id="rId23" Type="http://schemas.openxmlformats.org/officeDocument/2006/relationships/hyperlink" Target="https://ec.europa.eu/environment/circular-economy/index_en.htm" TargetMode="External"/><Relationship Id="rId28" Type="http://schemas.openxmlformats.org/officeDocument/2006/relationships/hyperlink" Target="https://ec.europa.eu/commission/presscorner/detail/en/ip_21_3541"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ec.europa.eu/environment/publications/proposal-regulation-deforestation-free-products_en" TargetMode="External"/><Relationship Id="rId31" Type="http://schemas.openxmlformats.org/officeDocument/2006/relationships/hyperlink" Target="https://eur-lex.europa.eu/summary/chapter/employment_and_social_policy.html?root_default=SUM_1_CODED%3D17&amp;locale=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EN/TXT/?uri=CELEX%3A02019R2088-20200712" TargetMode="External"/><Relationship Id="rId22" Type="http://schemas.openxmlformats.org/officeDocument/2006/relationships/hyperlink" Target="https://eur-lex.europa.eu/legal-content/EN/ALL/?uri=CELEX:32009L0125" TargetMode="External"/><Relationship Id="rId27" Type="http://schemas.openxmlformats.org/officeDocument/2006/relationships/hyperlink" Target="https://eur-lex.europa.eu/legal-content/EN/TXT/?uri=CELEX:52021DC0390" TargetMode="External"/><Relationship Id="rId30" Type="http://schemas.openxmlformats.org/officeDocument/2006/relationships/hyperlink" Target="https://ec.europa.eu/info/sites/default/files/carbon_border_adjustment_mechanism_0.pdf" TargetMode="External"/><Relationship Id="rId35"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arl.europa.eu/RegData/etudes/BRIE/2014/538222/EPRS_BRI(2014)538222_REV1_EN.pdf)" TargetMode="External"/><Relationship Id="rId13" Type="http://schemas.openxmlformats.org/officeDocument/2006/relationships/hyperlink" Target="https://eur-lex.europa.eu/summary/chapter/employment_and_social_policy.html?root_default=SUM_1_CODED%3D17&amp;locale=en" TargetMode="External"/><Relationship Id="rId18" Type="http://schemas.openxmlformats.org/officeDocument/2006/relationships/hyperlink" Target="https://data.europa.eu/doi/10.2838/472901" TargetMode="External"/><Relationship Id="rId26" Type="http://schemas.openxmlformats.org/officeDocument/2006/relationships/hyperlink" Target="https://op.europa.eu/webpub/empl/european-pillar-of-social-rights/en/" TargetMode="External"/><Relationship Id="rId3" Type="http://schemas.openxmlformats.org/officeDocument/2006/relationships/hyperlink" Target="https://doi.org/10.1787/9789264115415-en" TargetMode="External"/><Relationship Id="rId21" Type="http://schemas.openxmlformats.org/officeDocument/2006/relationships/hyperlink" Target="https://www.oecd.org/investment/due-diligence-guidance-for-responsible-business-conduct.htm" TargetMode="External"/><Relationship Id="rId7" Type="http://schemas.openxmlformats.org/officeDocument/2006/relationships/hyperlink" Target="https://www.europarl.europa.eu/RegData/etudes/STUD/2016/578007/EXPO_STU(2016)578007_EN.pdf" TargetMode="External"/><Relationship Id="rId12" Type="http://schemas.openxmlformats.org/officeDocument/2006/relationships/hyperlink" Target="https://www.adelphi.de/en/system/files/mediathek/bilder/Umweltatlas%20Lieferkette%20-%20adelphi-Systain-englisch.pdf" TargetMode="External"/><Relationship Id="rId17" Type="http://schemas.openxmlformats.org/officeDocument/2006/relationships/hyperlink" Target="https://ec.europa.eu/info/law/better-regulation/have-your-say/initiatives/12548-Sustainable-corporate-governance/public-consultation_en" TargetMode="External"/><Relationship Id="rId25" Type="http://schemas.openxmlformats.org/officeDocument/2006/relationships/hyperlink" Target="https://unfccc.int/sites/default/files/resource/cma2021_L16_adv.pdf" TargetMode="External"/><Relationship Id="rId2" Type="http://schemas.openxmlformats.org/officeDocument/2006/relationships/hyperlink" Target="https://www.ohchr.org/Documents/Publications/GuidingPrinciplesBusinessHR_EN.pdf" TargetMode="External"/><Relationship Id="rId16" Type="http://schemas.openxmlformats.org/officeDocument/2006/relationships/hyperlink" Target="https://www.ohchr.org/Documents/HRBodies/HRCouncil/WGTransCorp/Session6/OEIGWG_Chair-Rapporteur_second_revised_draft_LBI_on_TNCs_and_OBEs_with_respect_to_Human_Rights.pdf" TargetMode="External"/><Relationship Id="rId20" Type="http://schemas.openxmlformats.org/officeDocument/2006/relationships/hyperlink" Target="https://www.ohchr.org/documents/publications/guidingprinciplesbusinesshr_en.pdf" TargetMode="External"/><Relationship Id="rId29" Type="http://schemas.openxmlformats.org/officeDocument/2006/relationships/hyperlink" Target="https://www.ungpreporting.org/wp-content/uploads/UNGPReportingFramework_withguidance2017.pdf" TargetMode="External"/><Relationship Id="rId1" Type="http://schemas.openxmlformats.org/officeDocument/2006/relationships/hyperlink" Target="https://oeil.secure.europarl.europa.eu/oeil/popups/ficheprocedure.do?lang=en&amp;reference=2020/2129(INL)" TargetMode="External"/><Relationship Id="rId6" Type="http://schemas.openxmlformats.org/officeDocument/2006/relationships/hyperlink" Target="https://www.business-humanrights.org/en/blog/brumadinho-dam-collapse-lessons-in-corporate-due-diligence-and-remedy-for-harm-done/" TargetMode="External"/><Relationship Id="rId11" Type="http://schemas.openxmlformats.org/officeDocument/2006/relationships/hyperlink" Target="https://www.esma.europa.eu/press-news/esma-news/three-european-supervisory-authorities-publish-final-report-and-draft-rts" TargetMode="External"/><Relationship Id="rId24" Type="http://schemas.openxmlformats.org/officeDocument/2006/relationships/hyperlink" Target="https://unfccc.int/files/essential_background/convention/application/pdf/english_paris_agreement.pdf" TargetMode="External"/><Relationship Id="rId5" Type="http://schemas.openxmlformats.org/officeDocument/2006/relationships/hyperlink" Target="https://data.europa.eu/doi/10.2838/39830" TargetMode="External"/><Relationship Id="rId15" Type="http://schemas.openxmlformats.org/officeDocument/2006/relationships/hyperlink" Target="https://ap.ohchr.org/documents/dpage_e.aspx?si=A/HRC/RES/26/9" TargetMode="External"/><Relationship Id="rId23" Type="http://schemas.openxmlformats.org/officeDocument/2006/relationships/hyperlink" Target="https://www.un.org/ga/search/view_doc.asp?symbol=A/RES/70/1&amp;Lang=E" TargetMode="External"/><Relationship Id="rId28" Type="http://schemas.openxmlformats.org/officeDocument/2006/relationships/hyperlink" Target="https://ec.europa.eu/info/sites/default/files/joint_declaration_2022.pdf" TargetMode="External"/><Relationship Id="rId10" Type="http://schemas.openxmlformats.org/officeDocument/2006/relationships/hyperlink" Target="https://op.europa.eu/en/publication-detail/-/publication/1ef8fe0e-98e1-11eb-b85c-01aa75ed71a1/language-en" TargetMode="External"/><Relationship Id="rId19" Type="http://schemas.openxmlformats.org/officeDocument/2006/relationships/hyperlink" Target="https://www.economie.gouv.fr/entreprises/societe-mission" TargetMode="External"/><Relationship Id="rId4" Type="http://schemas.openxmlformats.org/officeDocument/2006/relationships/hyperlink" Target="https://mneguidelines.oecd.org/mneguidelines/" TargetMode="External"/><Relationship Id="rId9" Type="http://schemas.openxmlformats.org/officeDocument/2006/relationships/hyperlink" Target="https://op.europa.eu/en/publication-detail/-/publication/1ef8fe0e-98e1-11eb-b85c-01aa75ed71a1/language-en%22&#64991;HYPERLINK%20%22https://op.europa.eu/en/publication-detail/-/publication/1ef8fe0e-98e1-11eb-b85c-01aa75ed71a1/language-en" TargetMode="External"/><Relationship Id="rId14" Type="http://schemas.openxmlformats.org/officeDocument/2006/relationships/hyperlink" Target="https://www.economist.com/business/2021/02/20/can-anglo-saxon-activist-investors-whip-danone-into-shape" TargetMode="External"/><Relationship Id="rId22" Type="http://schemas.openxmlformats.org/officeDocument/2006/relationships/hyperlink" Target="https://www.ilo.org/empent/Publications/WCMS_094386/lang--en/index.htm" TargetMode="External"/><Relationship Id="rId27" Type="http://schemas.openxmlformats.org/officeDocument/2006/relationships/hyperlink" Target="https://oeil.secure.europarl.europa.eu/oeil/popups/ficheprocedure.do?lang=en&amp;reference=2020/2129(INL)" TargetMode="External"/><Relationship Id="rId30" Type="http://schemas.openxmlformats.org/officeDocument/2006/relationships/hyperlink" Target="https://www.ohchr.org/Documents/Issues/Business/RtRInterpretativeGuid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5951883E5C30040B203E32BE87605CE" ma:contentTypeVersion="0" ma:contentTypeDescription="Create a new document in this library." ma:contentTypeScope="" ma:versionID="f9b365d76977b9da4d2173adeddd3672">
  <xsd:schema xmlns:xsd="http://www.w3.org/2001/XMLSchema" xmlns:xs="http://www.w3.org/2001/XMLSchema" xmlns:p="http://schemas.microsoft.com/office/2006/metadata/properties" xmlns:ns2="http://schemas.microsoft.com/sharepoint/v3/fields" xmlns:ns3="b22a275e-e4fe-4beb-ace0-d80ad182a842" targetNamespace="http://schemas.microsoft.com/office/2006/metadata/properties" ma:root="true" ma:fieldsID="08740ce07f07110a82f4d2281c621160" ns2:_="" ns3:_="">
    <xsd:import namespace="http://schemas.microsoft.com/sharepoint/v3/fields"/>
    <xsd:import namespace="b22a275e-e4fe-4beb-ace0-d80ad182a84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22a275e-e4fe-4beb-ace0-d80ad182a84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Status xmlns="b22a275e-e4fe-4beb-ace0-d80ad182a842">Not Started</EC_Collab_Status>
    <_Status xmlns="http://schemas.microsoft.com/sharepoint/v3/fields">Not Started</_Status>
    <EC_Collab_DocumentLanguage xmlns="b22a275e-e4fe-4beb-ace0-d80ad182a842">EN</EC_Collab_DocumentLanguage>
    <EC_Collab_Reference xmlns="b22a275e-e4fe-4beb-ace0-d80ad182a84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5FA6A-A1C6-4C40-A52E-AABC7BCD3462}">
  <ds:schemaRefs>
    <ds:schemaRef ds:uri="http://schemas.microsoft.com/sharepoint/v3/contenttype/forms"/>
  </ds:schemaRefs>
</ds:datastoreItem>
</file>

<file path=customXml/itemProps2.xml><?xml version="1.0" encoding="utf-8"?>
<ds:datastoreItem xmlns:ds="http://schemas.openxmlformats.org/officeDocument/2006/customXml" ds:itemID="{159E4F96-AF28-4625-8F34-17292C927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22a275e-e4fe-4beb-ace0-d80ad182a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A4EF71-6202-44DA-958F-CD112F9DBFF7}">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b22a275e-e4fe-4beb-ace0-d80ad182a842"/>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BD6976C9-4734-4380-9801-EAD4A3AAE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70</Pages>
  <Words>27594</Words>
  <Characters>160049</Characters>
  <Application>Microsoft Office Word</Application>
  <DocSecurity>0</DocSecurity>
  <Lines>1333</Lines>
  <Paragraphs>374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187269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Pärenson</dc:creator>
  <cp:keywords/>
  <dc:description/>
  <cp:lastModifiedBy>Ly Pärenson</cp:lastModifiedBy>
  <cp:revision>2</cp:revision>
  <dcterms:created xsi:type="dcterms:W3CDTF">2022-03-29T12:13:00Z</dcterms:created>
  <dcterms:modified xsi:type="dcterms:W3CDTF">2022-03-29T12:13:00Z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Category">
    <vt:lpwstr>COM/PL/ORG</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SJ-024</vt:lpwstr>
  </property>
  <property fmtid="{D5CDD505-2E9C-101B-9397-08002B2CF9AE}" pid="8" name="ContentTypeId">
    <vt:lpwstr>0x010100258AA79CEB83498886A3A086811232500005951883E5C30040B203E32BE87605CE</vt:lpwstr>
  </property>
  <property fmtid="{D5CDD505-2E9C-101B-9397-08002B2CF9AE}" pid="9" name="DQCStatus">
    <vt:lpwstr>Yellow (DQC version 03)</vt:lpwstr>
  </property>
</Properties>
</file>