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11" w:type="dxa"/>
        <w:jc w:val="center"/>
        <w:tblLayout w:type="fixed"/>
        <w:tblLook w:val="04A0" w:firstRow="1" w:lastRow="0" w:firstColumn="1" w:lastColumn="0" w:noHBand="0" w:noVBand="1"/>
      </w:tblPr>
      <w:tblGrid>
        <w:gridCol w:w="5211"/>
        <w:gridCol w:w="4200"/>
      </w:tblGrid>
      <w:tr w:rsidR="002206E7" w14:paraId="7FF72177" w14:textId="77777777">
        <w:trPr>
          <w:jc w:val="center"/>
        </w:trPr>
        <w:tc>
          <w:tcPr>
            <w:tcW w:w="5211" w:type="dxa"/>
          </w:tcPr>
          <w:p w14:paraId="0CE435E7" w14:textId="77777777" w:rsidR="002206E7" w:rsidRDefault="00000000">
            <w:pPr>
              <w:spacing w:after="40"/>
              <w:jc w:val="both"/>
              <w:rPr>
                <w:rFonts w:hint="eastAsia"/>
                <w:lang w:val="et-EE"/>
              </w:rPr>
            </w:pPr>
            <w:r>
              <w:rPr>
                <w:rFonts w:eastAsia="Liberation Sans"/>
                <w:b/>
                <w:lang w:val="et-EE"/>
              </w:rPr>
              <w:t>MTÜ Päriselt Siin</w:t>
            </w:r>
          </w:p>
          <w:p w14:paraId="29F4A9FF" w14:textId="77777777" w:rsidR="002206E7" w:rsidRDefault="00000000">
            <w:pPr>
              <w:spacing w:after="20"/>
              <w:jc w:val="both"/>
              <w:rPr>
                <w:rFonts w:hint="eastAsia"/>
                <w:lang w:val="et-EE"/>
              </w:rPr>
            </w:pPr>
            <w:r>
              <w:rPr>
                <w:rFonts w:eastAsia="Liberation Sans"/>
                <w:lang w:val="et-EE"/>
              </w:rPr>
              <w:t>MTÜ Piirsalu Küla Selts</w:t>
            </w:r>
          </w:p>
          <w:p w14:paraId="2A2A75A1" w14:textId="77777777" w:rsidR="002206E7" w:rsidRDefault="00000000">
            <w:pPr>
              <w:spacing w:after="20"/>
              <w:jc w:val="both"/>
              <w:rPr>
                <w:rFonts w:hint="eastAsia"/>
                <w:lang w:val="et-EE"/>
              </w:rPr>
            </w:pPr>
            <w:r>
              <w:rPr>
                <w:rFonts w:eastAsia="Liberation Sans"/>
                <w:lang w:val="et-EE"/>
              </w:rPr>
              <w:t>Piirsalu kogukonna liikmed</w:t>
            </w:r>
          </w:p>
          <w:p w14:paraId="39EF5ABC" w14:textId="77777777" w:rsidR="002206E7" w:rsidRDefault="00000000">
            <w:pPr>
              <w:spacing w:after="20"/>
              <w:jc w:val="both"/>
              <w:rPr>
                <w:rFonts w:hint="eastAsia"/>
                <w:lang w:val="et-EE"/>
              </w:rPr>
            </w:pPr>
            <w:r>
              <w:rPr>
                <w:rFonts w:eastAsia="Liberation Sans"/>
                <w:lang w:val="et-EE"/>
              </w:rPr>
              <w:t>e-post: meie@päriseltsiin.ee</w:t>
            </w:r>
          </w:p>
        </w:tc>
        <w:tc>
          <w:tcPr>
            <w:tcW w:w="4200" w:type="dxa"/>
          </w:tcPr>
          <w:p w14:paraId="2E78AF72" w14:textId="77777777" w:rsidR="002206E7" w:rsidRDefault="00000000">
            <w:pPr>
              <w:spacing w:after="40"/>
              <w:jc w:val="both"/>
              <w:rPr>
                <w:rFonts w:hint="eastAsia"/>
                <w:lang w:val="et-EE"/>
              </w:rPr>
            </w:pPr>
            <w:r>
              <w:rPr>
                <w:rFonts w:eastAsia="Liberation Sans"/>
                <w:b/>
                <w:lang w:val="et-EE"/>
              </w:rPr>
              <w:t>Kaitseministeerium</w:t>
            </w:r>
          </w:p>
          <w:p w14:paraId="66EF7763" w14:textId="77777777" w:rsidR="002206E7" w:rsidRDefault="00000000">
            <w:pPr>
              <w:spacing w:after="20"/>
              <w:jc w:val="both"/>
              <w:rPr>
                <w:rFonts w:hint="eastAsia"/>
                <w:lang w:val="et-EE"/>
              </w:rPr>
            </w:pPr>
            <w:r>
              <w:rPr>
                <w:rFonts w:eastAsia="Liberation Sans"/>
                <w:lang w:val="et-EE"/>
              </w:rPr>
              <w:t>Sakala 1</w:t>
            </w:r>
          </w:p>
          <w:p w14:paraId="0BC3FC0A" w14:textId="77777777" w:rsidR="002206E7" w:rsidRDefault="00000000">
            <w:pPr>
              <w:spacing w:after="20"/>
              <w:jc w:val="both"/>
              <w:rPr>
                <w:rFonts w:hint="eastAsia"/>
                <w:lang w:val="et-EE"/>
              </w:rPr>
            </w:pPr>
            <w:r>
              <w:rPr>
                <w:rFonts w:eastAsia="Liberation Sans"/>
                <w:lang w:val="et-EE"/>
              </w:rPr>
              <w:t>15094 Tallinn</w:t>
            </w:r>
          </w:p>
          <w:p w14:paraId="78A8D4C2" w14:textId="77777777" w:rsidR="002206E7" w:rsidRDefault="00000000">
            <w:pPr>
              <w:spacing w:after="20"/>
              <w:jc w:val="both"/>
              <w:rPr>
                <w:rFonts w:hint="eastAsia"/>
                <w:lang w:val="et-EE"/>
              </w:rPr>
            </w:pPr>
            <w:r>
              <w:rPr>
                <w:rFonts w:eastAsia="Liberation Sans"/>
                <w:lang w:val="et-EE"/>
              </w:rPr>
              <w:t>info@kaitseministeerium.ee</w:t>
            </w:r>
          </w:p>
        </w:tc>
      </w:tr>
    </w:tbl>
    <w:p w14:paraId="46CBD056" w14:textId="77777777" w:rsidR="002206E7" w:rsidRDefault="002206E7">
      <w:pPr>
        <w:spacing w:before="160" w:after="40"/>
        <w:jc w:val="both"/>
        <w:rPr>
          <w:rFonts w:eastAsia="Liberation Sans"/>
          <w:lang w:val="et-EE"/>
        </w:rPr>
      </w:pPr>
    </w:p>
    <w:p w14:paraId="140441B2" w14:textId="77777777" w:rsidR="002206E7" w:rsidRDefault="00000000">
      <w:pPr>
        <w:spacing w:before="160" w:after="40"/>
        <w:jc w:val="both"/>
        <w:rPr>
          <w:rFonts w:hint="eastAsia"/>
          <w:lang w:val="et-EE"/>
        </w:rPr>
      </w:pPr>
      <w:r>
        <w:rPr>
          <w:rFonts w:eastAsia="Liberation Sans"/>
          <w:lang w:val="et-EE"/>
        </w:rPr>
        <w:t xml:space="preserve">Piirsalus, </w:t>
      </w:r>
      <w:r>
        <w:rPr>
          <w:rFonts w:eastAsia="Liberation Sans"/>
          <w:lang w:val="et-EE"/>
        </w:rPr>
        <w:tab/>
      </w:r>
      <w:r>
        <w:rPr>
          <w:rFonts w:eastAsia="Liberation Sans"/>
          <w:lang w:val="et-EE"/>
        </w:rPr>
        <w:tab/>
      </w:r>
      <w:r>
        <w:rPr>
          <w:rFonts w:eastAsia="Liberation Sans"/>
          <w:lang w:val="et-EE"/>
        </w:rPr>
        <w:tab/>
      </w:r>
      <w:r>
        <w:rPr>
          <w:rFonts w:eastAsia="Liberation Sans"/>
          <w:lang w:val="et-EE"/>
        </w:rPr>
        <w:tab/>
      </w:r>
      <w:r>
        <w:rPr>
          <w:rFonts w:eastAsia="Liberation Sans"/>
          <w:lang w:val="et-EE"/>
        </w:rPr>
        <w:tab/>
      </w:r>
      <w:r>
        <w:rPr>
          <w:rFonts w:eastAsia="Liberation Sans"/>
          <w:lang w:val="et-EE"/>
        </w:rPr>
        <w:tab/>
      </w:r>
      <w:r>
        <w:rPr>
          <w:rFonts w:eastAsia="Liberation Sans"/>
          <w:lang w:val="et-EE"/>
        </w:rPr>
        <w:tab/>
        <w:t>22.07.2026</w:t>
      </w:r>
    </w:p>
    <w:p w14:paraId="025903F6" w14:textId="77777777" w:rsidR="002206E7" w:rsidRDefault="00000000">
      <w:pPr>
        <w:spacing w:after="20"/>
        <w:jc w:val="both"/>
        <w:rPr>
          <w:rFonts w:hint="eastAsia"/>
          <w:lang w:val="et-EE"/>
        </w:rPr>
      </w:pPr>
      <w:r>
        <w:rPr>
          <w:rFonts w:eastAsia="Liberation Sans"/>
          <w:sz w:val="20"/>
          <w:lang w:val="et-EE"/>
        </w:rPr>
        <w:tab/>
      </w:r>
      <w:r>
        <w:rPr>
          <w:rFonts w:eastAsia="Liberation Sans"/>
          <w:sz w:val="20"/>
          <w:lang w:val="et-EE"/>
        </w:rPr>
        <w:tab/>
      </w:r>
      <w:r>
        <w:rPr>
          <w:rFonts w:eastAsia="Liberation Sans"/>
          <w:sz w:val="20"/>
          <w:lang w:val="et-EE"/>
        </w:rPr>
        <w:tab/>
      </w:r>
      <w:r>
        <w:rPr>
          <w:rFonts w:eastAsia="Liberation Sans"/>
          <w:sz w:val="20"/>
          <w:lang w:val="et-EE"/>
        </w:rPr>
        <w:tab/>
      </w:r>
      <w:r>
        <w:rPr>
          <w:rFonts w:eastAsia="Liberation Sans"/>
          <w:sz w:val="20"/>
          <w:lang w:val="et-EE"/>
        </w:rPr>
        <w:tab/>
      </w:r>
      <w:r>
        <w:rPr>
          <w:rFonts w:eastAsia="Liberation Sans"/>
          <w:sz w:val="20"/>
          <w:lang w:val="et-EE"/>
        </w:rPr>
        <w:tab/>
      </w:r>
      <w:r>
        <w:rPr>
          <w:rFonts w:eastAsia="Liberation Sans"/>
          <w:sz w:val="20"/>
          <w:lang w:val="et-EE"/>
        </w:rPr>
        <w:tab/>
      </w:r>
      <w:r>
        <w:rPr>
          <w:rFonts w:eastAsia="Liberation Sans"/>
          <w:sz w:val="20"/>
          <w:lang w:val="et-EE"/>
        </w:rPr>
        <w:tab/>
      </w:r>
    </w:p>
    <w:p w14:paraId="2BF9B3FC" w14:textId="77777777" w:rsidR="002206E7" w:rsidRDefault="00000000">
      <w:pPr>
        <w:spacing w:after="20"/>
        <w:jc w:val="both"/>
        <w:rPr>
          <w:rFonts w:hint="eastAsia"/>
          <w:lang w:val="et-EE"/>
        </w:rPr>
      </w:pPr>
      <w:r>
        <w:rPr>
          <w:rFonts w:eastAsia="Liberation Sans"/>
          <w:sz w:val="20"/>
          <w:lang w:val="et-EE"/>
        </w:rPr>
        <w:tab/>
      </w:r>
      <w:r>
        <w:rPr>
          <w:rFonts w:eastAsia="Liberation Sans"/>
          <w:sz w:val="20"/>
          <w:lang w:val="et-EE"/>
        </w:rPr>
        <w:tab/>
      </w:r>
      <w:r>
        <w:rPr>
          <w:rFonts w:eastAsia="Liberation Sans"/>
          <w:sz w:val="20"/>
          <w:lang w:val="et-EE"/>
        </w:rPr>
        <w:tab/>
      </w:r>
      <w:r>
        <w:rPr>
          <w:rFonts w:eastAsia="Liberation Sans"/>
          <w:sz w:val="20"/>
          <w:lang w:val="et-EE"/>
        </w:rPr>
        <w:tab/>
      </w:r>
      <w:r>
        <w:rPr>
          <w:rFonts w:eastAsia="Liberation Sans"/>
          <w:sz w:val="20"/>
          <w:lang w:val="et-EE"/>
        </w:rPr>
        <w:tab/>
      </w:r>
      <w:r>
        <w:rPr>
          <w:rFonts w:eastAsia="Liberation Sans"/>
          <w:sz w:val="20"/>
          <w:lang w:val="et-EE"/>
        </w:rPr>
        <w:tab/>
      </w:r>
      <w:r>
        <w:rPr>
          <w:rFonts w:eastAsia="Liberation Sans"/>
          <w:sz w:val="20"/>
          <w:lang w:val="et-EE"/>
        </w:rPr>
        <w:tab/>
      </w:r>
      <w:r>
        <w:rPr>
          <w:rFonts w:eastAsia="Liberation Sans"/>
          <w:sz w:val="20"/>
          <w:lang w:val="et-EE"/>
        </w:rPr>
        <w:tab/>
        <w:t>Teie: 19.06.2026 nr 2-2/26/43-2</w:t>
      </w:r>
    </w:p>
    <w:p w14:paraId="257A8632" w14:textId="77777777" w:rsidR="002206E7" w:rsidRDefault="00000000">
      <w:pPr>
        <w:spacing w:after="20"/>
        <w:jc w:val="both"/>
        <w:rPr>
          <w:rFonts w:hint="eastAsia"/>
          <w:lang w:val="et-EE"/>
        </w:rPr>
      </w:pPr>
      <w:r>
        <w:rPr>
          <w:rFonts w:eastAsia="Liberation Sans"/>
          <w:sz w:val="20"/>
          <w:lang w:val="et-EE"/>
        </w:rPr>
        <w:tab/>
      </w:r>
      <w:r>
        <w:rPr>
          <w:rFonts w:eastAsia="Liberation Sans"/>
          <w:sz w:val="20"/>
          <w:lang w:val="et-EE"/>
        </w:rPr>
        <w:tab/>
      </w:r>
      <w:r>
        <w:rPr>
          <w:rFonts w:eastAsia="Liberation Sans"/>
          <w:sz w:val="20"/>
          <w:lang w:val="et-EE"/>
        </w:rPr>
        <w:tab/>
      </w:r>
      <w:r>
        <w:rPr>
          <w:rFonts w:eastAsia="Liberation Sans"/>
          <w:sz w:val="20"/>
          <w:lang w:val="et-EE"/>
        </w:rPr>
        <w:tab/>
      </w:r>
      <w:r>
        <w:rPr>
          <w:rFonts w:eastAsia="Liberation Sans"/>
          <w:sz w:val="20"/>
          <w:lang w:val="et-EE"/>
        </w:rPr>
        <w:tab/>
      </w:r>
      <w:r>
        <w:rPr>
          <w:rFonts w:eastAsia="Liberation Sans"/>
          <w:sz w:val="20"/>
          <w:lang w:val="et-EE"/>
        </w:rPr>
        <w:tab/>
      </w:r>
      <w:r>
        <w:rPr>
          <w:rFonts w:eastAsia="Liberation Sans"/>
          <w:sz w:val="20"/>
          <w:lang w:val="et-EE"/>
        </w:rPr>
        <w:tab/>
      </w:r>
      <w:r>
        <w:rPr>
          <w:rFonts w:eastAsia="Liberation Sans"/>
          <w:sz w:val="20"/>
          <w:lang w:val="et-EE"/>
        </w:rPr>
        <w:tab/>
        <w:t>Meie: 05.06.2026 pöördumise jätk</w:t>
      </w:r>
    </w:p>
    <w:p w14:paraId="687AE6C1" w14:textId="77777777" w:rsidR="002206E7" w:rsidRDefault="002206E7">
      <w:pPr>
        <w:spacing w:after="180"/>
        <w:jc w:val="both"/>
        <w:rPr>
          <w:rFonts w:eastAsia="Liberation Sans"/>
          <w:b/>
          <w:sz w:val="28"/>
          <w:lang w:val="et-EE"/>
        </w:rPr>
      </w:pPr>
    </w:p>
    <w:p w14:paraId="4DF37BF7" w14:textId="77777777" w:rsidR="002206E7" w:rsidRDefault="002206E7">
      <w:pPr>
        <w:spacing w:after="180"/>
        <w:jc w:val="both"/>
        <w:rPr>
          <w:rFonts w:eastAsia="Liberation Sans"/>
          <w:b/>
          <w:sz w:val="28"/>
          <w:lang w:val="et-EE"/>
        </w:rPr>
      </w:pPr>
    </w:p>
    <w:p w14:paraId="10E78441" w14:textId="77777777" w:rsidR="002206E7" w:rsidRDefault="00000000">
      <w:pPr>
        <w:spacing w:after="180"/>
        <w:jc w:val="both"/>
        <w:rPr>
          <w:rFonts w:hint="eastAsia"/>
          <w:lang w:val="et-EE"/>
        </w:rPr>
      </w:pPr>
      <w:r>
        <w:rPr>
          <w:rFonts w:eastAsia="Liberation Sans"/>
          <w:b/>
          <w:sz w:val="28"/>
          <w:lang w:val="et-EE"/>
        </w:rPr>
        <w:t>VASTUS KAITSEMINISTEERIUMI KIRJALE JA TÄIENDAVAD VASTUVÄITED PIIRSALU EELVALIKUALA SUHTES</w:t>
      </w:r>
    </w:p>
    <w:p w14:paraId="1CC97D12" w14:textId="77777777" w:rsidR="002206E7" w:rsidRDefault="002206E7">
      <w:pPr>
        <w:spacing w:after="180"/>
        <w:jc w:val="both"/>
        <w:rPr>
          <w:rFonts w:eastAsia="Liberation Sans"/>
          <w:b/>
          <w:lang w:val="et-EE"/>
        </w:rPr>
      </w:pPr>
    </w:p>
    <w:p w14:paraId="78CFCBA4" w14:textId="77777777" w:rsidR="002206E7" w:rsidRDefault="00000000">
      <w:pPr>
        <w:jc w:val="both"/>
        <w:rPr>
          <w:rFonts w:hint="eastAsia"/>
          <w:lang w:val="et-EE"/>
        </w:rPr>
      </w:pPr>
      <w:r>
        <w:rPr>
          <w:rFonts w:eastAsia="Liberation Sans"/>
          <w:lang w:val="et-EE"/>
        </w:rPr>
        <w:t xml:space="preserve">Viitame MTÜ Päriselt Siin, MTÜ Piirsalu Küla Seltsi ja Piirsalu kogukonna liikmete 05.06.2026 pöördumisele ning Kaitseministeeriumi 19.06.2026 vastuskirjale nr 2-2/26/43-2. </w:t>
      </w:r>
      <w:r>
        <w:rPr>
          <w:rFonts w:eastAsia="Liberation Sans"/>
          <w:b/>
          <w:lang w:val="et-EE"/>
        </w:rPr>
        <w:t>Palume käsitleda käesolevat dokumenti eelnenule lisaks riigi eriplaneeringu avaliku väljapaneku ajal esitatud arvamusena.</w:t>
      </w:r>
    </w:p>
    <w:p w14:paraId="56C443F2" w14:textId="77777777" w:rsidR="002206E7" w:rsidRDefault="00000000">
      <w:pPr>
        <w:jc w:val="both"/>
        <w:rPr>
          <w:rFonts w:hint="eastAsia"/>
          <w:lang w:val="et-EE"/>
        </w:rPr>
      </w:pPr>
      <w:r>
        <w:rPr>
          <w:rFonts w:eastAsia="Liberation Sans"/>
          <w:lang w:val="et-EE"/>
        </w:rPr>
        <w:t xml:space="preserve">Kaitseministeeriumi vastus ei anna alust muuta kogukonna põhiseisukohta. </w:t>
      </w:r>
      <w:r>
        <w:rPr>
          <w:rFonts w:eastAsia="Liberation Sans"/>
          <w:b/>
          <w:lang w:val="et-EE"/>
        </w:rPr>
        <w:t xml:space="preserve">Piirsalu eelvalikuala ei ole sobiv asukoht lõhkeaine-, </w:t>
      </w:r>
      <w:proofErr w:type="spellStart"/>
      <w:r>
        <w:rPr>
          <w:rFonts w:eastAsia="Liberation Sans"/>
          <w:b/>
          <w:lang w:val="et-EE"/>
        </w:rPr>
        <w:t>lõhkematerjali</w:t>
      </w:r>
      <w:proofErr w:type="spellEnd"/>
      <w:r>
        <w:rPr>
          <w:rFonts w:eastAsia="Liberation Sans"/>
          <w:b/>
          <w:lang w:val="et-EE"/>
        </w:rPr>
        <w:t>-, laskemoona- ega keemiatööstuse rajamiseks ning ala tuleb riigi eriplaneeringu asukohavalikust välja jätta.</w:t>
      </w:r>
      <w:r>
        <w:rPr>
          <w:rFonts w:eastAsia="Liberation Sans"/>
          <w:lang w:val="et-EE"/>
        </w:rPr>
        <w:t xml:space="preserve"> Vastuskiri kinnitab, et Piirsallu kavandatakse ühe ettevõtte lõhkeainete tootmiskompleksi, mis võib hõlmata ka lähteainete, näiteks </w:t>
      </w:r>
      <w:proofErr w:type="spellStart"/>
      <w:r>
        <w:rPr>
          <w:rFonts w:eastAsia="Liberation Sans"/>
          <w:lang w:val="et-EE"/>
        </w:rPr>
        <w:t>heksamiini</w:t>
      </w:r>
      <w:proofErr w:type="spellEnd"/>
      <w:r>
        <w:rPr>
          <w:rFonts w:eastAsia="Liberation Sans"/>
          <w:lang w:val="et-EE"/>
        </w:rPr>
        <w:t xml:space="preserve"> tootmist; avapõletamist ei välistata; planeeringu formaalset detailse lahenduse etappi ei koostata; osa tehnoloogilistest andmetest ei avalikustata ka hilisemates menetlustes ning seire- ja kahjuhüvituslahendused jäetakse tulevikku. [1]</w:t>
      </w:r>
    </w:p>
    <w:p w14:paraId="426F6E02" w14:textId="77777777" w:rsidR="002206E7" w:rsidRDefault="00000000">
      <w:pPr>
        <w:jc w:val="both"/>
        <w:rPr>
          <w:rFonts w:hint="eastAsia"/>
          <w:lang w:val="et-EE"/>
        </w:rPr>
      </w:pPr>
      <w:r>
        <w:rPr>
          <w:rFonts w:eastAsia="Liberation Sans"/>
          <w:b/>
          <w:lang w:val="et-EE"/>
        </w:rPr>
        <w:t>Käesolevaga taotleme Piirsalu eelvalikuala kaitsetööstuspargi riigi eriplaneeringu asukohavalikust välja jätmist. Enne vastupidise otsuse kaalumist tuleb tõendada Piirsalu lisakasutuse riiklik vajadus, avalikustada võrreldavad alternatiivid ning kõrvaldada allpool kirjeldatud uuringu-, menetlus- ja garantiilüngad.</w:t>
      </w:r>
      <w:r>
        <w:rPr>
          <w:rFonts w:eastAsia="Liberation Sans"/>
          <w:lang w:val="et-EE"/>
        </w:rPr>
        <w:t xml:space="preserve"> </w:t>
      </w:r>
    </w:p>
    <w:p w14:paraId="47DC2D6D" w14:textId="77777777" w:rsidR="002206E7" w:rsidRDefault="002206E7">
      <w:pPr>
        <w:spacing w:after="0"/>
        <w:jc w:val="both"/>
        <w:rPr>
          <w:rFonts w:hint="eastAsia"/>
          <w:lang w:val="et-EE"/>
        </w:rPr>
      </w:pPr>
    </w:p>
    <w:p w14:paraId="64C77B3F" w14:textId="77777777" w:rsidR="002206E7" w:rsidRDefault="00000000">
      <w:pPr>
        <w:pStyle w:val="Heading1"/>
        <w:spacing w:before="240" w:after="80"/>
        <w:jc w:val="both"/>
        <w:rPr>
          <w:lang w:val="et-EE"/>
        </w:rPr>
      </w:pPr>
      <w:r>
        <w:rPr>
          <w:rFonts w:ascii="Liberation Sans" w:eastAsia="Liberation Sans" w:hAnsi="Liberation Sans"/>
          <w:sz w:val="26"/>
          <w:lang w:val="et-EE"/>
        </w:rPr>
        <w:t>1. Kaitseministeeriumi vastuse peamised puudused</w:t>
      </w:r>
    </w:p>
    <w:p w14:paraId="53D0191F" w14:textId="77777777" w:rsidR="002206E7" w:rsidRDefault="00000000">
      <w:pPr>
        <w:pStyle w:val="Heading2"/>
        <w:spacing w:before="160" w:after="80"/>
        <w:jc w:val="both"/>
        <w:rPr>
          <w:lang w:val="et-EE"/>
        </w:rPr>
      </w:pPr>
      <w:r>
        <w:rPr>
          <w:rFonts w:ascii="Liberation Sans" w:eastAsia="Liberation Sans" w:hAnsi="Liberation Sans"/>
          <w:sz w:val="23"/>
          <w:lang w:val="et-EE"/>
        </w:rPr>
        <w:t>1.1. Piirsalu kasutuselevõtmise vajadust ei ole põhjendatud</w:t>
      </w:r>
    </w:p>
    <w:p w14:paraId="7160900D" w14:textId="77777777" w:rsidR="002206E7" w:rsidRDefault="00000000">
      <w:pPr>
        <w:jc w:val="both"/>
        <w:rPr>
          <w:rFonts w:hint="eastAsia"/>
          <w:lang w:val="et-EE"/>
        </w:rPr>
      </w:pPr>
      <w:r>
        <w:rPr>
          <w:rFonts w:eastAsia="Liberation Sans"/>
          <w:lang w:val="et-EE"/>
        </w:rPr>
        <w:t>Vastuskirja kohaselt kehtestati 2025. aastal riigi eriplaneering Pärnu 1 ja Põhja-Kiviõli alade osas ning Vabariigi Valitsus seadis Kaitseministeeriumile ülesandeks selgitada välja Piirsalu ja Aidu kasutuselevõtmise vajadus. Ministeerium teatab üksnes, et otsustas menetluse Piirsalu ja Aidu osas lõpuni viia, kuid ei esita vajaduse hindamise dokumenti, kriteeriume, tootmisvõimsuse puudujääki, alternatiivide võrdlust ega põhjendust, miks juba kehtestatud alad ei rahulda riiklikku vajadust. [1]</w:t>
      </w:r>
    </w:p>
    <w:p w14:paraId="2083421A" w14:textId="77777777" w:rsidR="002206E7" w:rsidRDefault="00000000">
      <w:pPr>
        <w:jc w:val="both"/>
        <w:rPr>
          <w:rFonts w:hint="eastAsia"/>
          <w:lang w:val="et-EE"/>
        </w:rPr>
      </w:pPr>
      <w:r>
        <w:rPr>
          <w:rFonts w:eastAsia="Liberation Sans"/>
          <w:lang w:val="et-EE"/>
        </w:rPr>
        <w:t xml:space="preserve">Asukohavaliku jätkamine täiendava, selgelt konfliktse ala suhtes ei saa põhineda üksnes ettevõtja huvil või üldisel kaitsetööstuse arendamise eesmärgil. </w:t>
      </w:r>
      <w:r>
        <w:rPr>
          <w:rFonts w:eastAsia="Liberation Sans"/>
          <w:b/>
          <w:lang w:val="et-EE"/>
        </w:rPr>
        <w:t>Kõigepealt tuleb avalikult tõendada, milline konkreetne riiklik võimepuudujääk tingib Piirsalu kasutuselevõtu ja miks seda ei ole võimalik lahendada väiksema keskkonna- ja kogukonnakonfliktiga alal.</w:t>
      </w:r>
    </w:p>
    <w:p w14:paraId="668BB131" w14:textId="77777777" w:rsidR="002206E7" w:rsidRDefault="00000000">
      <w:pPr>
        <w:pStyle w:val="Heading2"/>
        <w:spacing w:before="160" w:after="80"/>
        <w:jc w:val="both"/>
        <w:rPr>
          <w:lang w:val="et-EE"/>
        </w:rPr>
      </w:pPr>
      <w:r>
        <w:rPr>
          <w:rFonts w:ascii="Liberation Sans" w:eastAsia="Liberation Sans" w:hAnsi="Liberation Sans"/>
          <w:sz w:val="23"/>
          <w:lang w:val="et-EE"/>
        </w:rPr>
        <w:lastRenderedPageBreak/>
        <w:t xml:space="preserve">1.2. </w:t>
      </w:r>
      <w:proofErr w:type="spellStart"/>
      <w:r>
        <w:rPr>
          <w:rFonts w:ascii="Liberation Sans" w:eastAsia="Liberation Sans" w:hAnsi="Liberation Sans"/>
          <w:sz w:val="23"/>
          <w:lang w:val="et-EE"/>
        </w:rPr>
        <w:t>REP-i</w:t>
      </w:r>
      <w:proofErr w:type="spellEnd"/>
      <w:r>
        <w:rPr>
          <w:rFonts w:ascii="Liberation Sans" w:eastAsia="Liberation Sans" w:hAnsi="Liberation Sans"/>
          <w:sz w:val="23"/>
          <w:lang w:val="et-EE"/>
        </w:rPr>
        <w:t xml:space="preserve"> formaalne </w:t>
      </w:r>
      <w:proofErr w:type="spellStart"/>
      <w:r>
        <w:rPr>
          <w:rFonts w:ascii="Liberation Sans" w:eastAsia="Liberation Sans" w:hAnsi="Liberation Sans"/>
          <w:sz w:val="23"/>
          <w:lang w:val="et-EE"/>
        </w:rPr>
        <w:t>üldeesmärk</w:t>
      </w:r>
      <w:proofErr w:type="spellEnd"/>
      <w:r>
        <w:rPr>
          <w:rFonts w:ascii="Liberation Sans" w:eastAsia="Liberation Sans" w:hAnsi="Liberation Sans"/>
          <w:sz w:val="23"/>
          <w:lang w:val="et-EE"/>
        </w:rPr>
        <w:t xml:space="preserve"> ei asenda Piirsalu-spetsiifilist sisulist kaasamist</w:t>
      </w:r>
    </w:p>
    <w:p w14:paraId="18198529" w14:textId="77777777" w:rsidR="002206E7" w:rsidRDefault="00000000">
      <w:pPr>
        <w:jc w:val="both"/>
        <w:rPr>
          <w:rFonts w:hint="eastAsia"/>
          <w:lang w:val="et-EE"/>
        </w:rPr>
      </w:pPr>
      <w:r>
        <w:rPr>
          <w:rFonts w:eastAsia="Liberation Sans"/>
          <w:lang w:val="et-EE"/>
        </w:rPr>
        <w:t xml:space="preserve">Ministeerium rõhutab, et lõhkeaine tootmine sisaldus </w:t>
      </w:r>
      <w:proofErr w:type="spellStart"/>
      <w:r>
        <w:rPr>
          <w:rFonts w:eastAsia="Liberation Sans"/>
          <w:lang w:val="et-EE"/>
        </w:rPr>
        <w:t>REP-i</w:t>
      </w:r>
      <w:proofErr w:type="spellEnd"/>
      <w:r>
        <w:rPr>
          <w:rFonts w:eastAsia="Liberation Sans"/>
          <w:lang w:val="et-EE"/>
        </w:rPr>
        <w:t xml:space="preserve"> üldises eesmärgis algusest peale. Kogukonna vastuväide ei seisne selles, et sõna „lõhkeaine“ puudus valitsuse algatamisotsusest. Küsimus on selles, millise konkreetse tegevuse, mahu ja riskiprofiiliga lahendust Piirsalu kohta avalikkusele tegelikult tutvustati ning millal sai kogukond seda sisuliselt hinnata.</w:t>
      </w:r>
    </w:p>
    <w:p w14:paraId="26164000" w14:textId="77777777" w:rsidR="002206E7" w:rsidRDefault="00000000">
      <w:pPr>
        <w:jc w:val="both"/>
        <w:rPr>
          <w:rFonts w:hint="eastAsia"/>
          <w:lang w:val="et-EE"/>
        </w:rPr>
      </w:pPr>
      <w:r>
        <w:rPr>
          <w:rFonts w:eastAsia="Liberation Sans"/>
          <w:lang w:val="et-EE"/>
        </w:rPr>
        <w:t xml:space="preserve">Kaitseministeeriumi 09.11.2023 tutvustuses kirjeldati parki „eeskätt laskemoona tootmiseks“, 2–3 ettevõtte, ligikaudu 100 töökoha ja 50–100 hektari suuruse alana. [4] Vastuskiri tunnistab ise, et alles 07.05.2026 kohtumisel oli võimalik kavandatavast tegevusest „palju detailsemalt“ rääkida. [1] </w:t>
      </w:r>
      <w:r>
        <w:rPr>
          <w:rFonts w:eastAsia="Liberation Sans"/>
          <w:b/>
          <w:lang w:val="et-EE"/>
        </w:rPr>
        <w:t>See kinnitus näitab, et varasem kaasamine ei toimunud sama konkretiseeritud lõhkeainetehase lahenduse alusel.</w:t>
      </w:r>
    </w:p>
    <w:p w14:paraId="3EA20C21" w14:textId="77777777" w:rsidR="002206E7" w:rsidRDefault="00000000">
      <w:pPr>
        <w:jc w:val="both"/>
        <w:rPr>
          <w:rFonts w:hint="eastAsia"/>
          <w:lang w:val="et-EE"/>
        </w:rPr>
      </w:pPr>
      <w:r>
        <w:rPr>
          <w:rFonts w:eastAsia="Liberation Sans"/>
          <w:lang w:val="et-EE"/>
        </w:rPr>
        <w:t xml:space="preserve">Üldise </w:t>
      </w:r>
      <w:proofErr w:type="spellStart"/>
      <w:r>
        <w:rPr>
          <w:rFonts w:eastAsia="Liberation Sans"/>
          <w:lang w:val="et-EE"/>
        </w:rPr>
        <w:t>REP-i</w:t>
      </w:r>
      <w:proofErr w:type="spellEnd"/>
      <w:r>
        <w:rPr>
          <w:rFonts w:eastAsia="Liberation Sans"/>
          <w:lang w:val="et-EE"/>
        </w:rPr>
        <w:t xml:space="preserve"> eesmärgi lai sõnastus ei kõrvalda vajadust hinnata uuesti Piirsalu-spetsiifilist lahendust, kui ühe mitme ettevõttega laskemoonapargi asemel kavandatakse nüüd konkreetset keemiatööstuslikku lõhkeainetehast koos lähteainete tootmise, suure veetarbe, ladustamise, heidete ja tootmisjääkide avapõletamisega.</w:t>
      </w:r>
    </w:p>
    <w:p w14:paraId="69B81671" w14:textId="77777777" w:rsidR="002206E7" w:rsidRDefault="00000000">
      <w:pPr>
        <w:pStyle w:val="Heading2"/>
        <w:spacing w:before="160" w:after="80"/>
        <w:jc w:val="both"/>
        <w:rPr>
          <w:lang w:val="et-EE"/>
        </w:rPr>
      </w:pPr>
      <w:r>
        <w:rPr>
          <w:rFonts w:ascii="Liberation Sans" w:eastAsia="Liberation Sans" w:hAnsi="Liberation Sans"/>
          <w:sz w:val="23"/>
          <w:lang w:val="et-EE"/>
        </w:rPr>
        <w:t>1.3. „Välistava teguri puudumine“ ei ole samaväärne sobivuse tõendamisega</w:t>
      </w:r>
    </w:p>
    <w:p w14:paraId="5641DFB1" w14:textId="77777777" w:rsidR="002206E7" w:rsidRDefault="00000000">
      <w:pPr>
        <w:jc w:val="both"/>
        <w:rPr>
          <w:rFonts w:hint="eastAsia"/>
          <w:lang w:val="et-EE"/>
        </w:rPr>
      </w:pPr>
      <w:r>
        <w:rPr>
          <w:rFonts w:eastAsia="Liberation Sans"/>
          <w:lang w:val="et-EE"/>
        </w:rPr>
        <w:t xml:space="preserve">Vastuskirja keskne järeldus on, et uuringutes ei leitud välistavaid tegureid. Selline järeldus ei ole kontrollitav, kui olulised lähteandmed on üldistatud, osa tehnoloogiast on alles kontseptsiooni tasemel, liigi- ja elupaigauuringud on valdavalt </w:t>
      </w:r>
      <w:proofErr w:type="spellStart"/>
      <w:r>
        <w:rPr>
          <w:rFonts w:eastAsia="Liberation Sans"/>
          <w:lang w:val="et-EE"/>
        </w:rPr>
        <w:t>kameraalsed</w:t>
      </w:r>
      <w:proofErr w:type="spellEnd"/>
      <w:r>
        <w:rPr>
          <w:rFonts w:eastAsia="Liberation Sans"/>
          <w:lang w:val="et-EE"/>
        </w:rPr>
        <w:t>, seire- ja hüvitusmehhanismid kujundatakse hiljem ning meetmete tulemuslikkus peab selguma alles käitusaegses seires. [1], [6]–[8]</w:t>
      </w:r>
    </w:p>
    <w:p w14:paraId="382F5FB2" w14:textId="77777777" w:rsidR="002206E7" w:rsidRDefault="00000000">
      <w:pPr>
        <w:jc w:val="both"/>
        <w:rPr>
          <w:rFonts w:hint="eastAsia"/>
          <w:lang w:val="et-EE"/>
        </w:rPr>
      </w:pPr>
      <w:r>
        <w:rPr>
          <w:rFonts w:eastAsia="Liberation Sans"/>
          <w:lang w:val="et-EE"/>
        </w:rPr>
        <w:t xml:space="preserve">Keskkonna- ja suurõnnetusriskiga asukohavaliku puhul ei piisa sellest, et negatiivset tagajärge ei ole olemasoleva andmestiku alusel tõendatud. </w:t>
      </w:r>
      <w:r>
        <w:rPr>
          <w:rFonts w:eastAsia="Liberation Sans"/>
          <w:b/>
          <w:lang w:val="et-EE"/>
        </w:rPr>
        <w:t>Tõendada tuleb, et halvimates usutavates tingimustes on mõju välistatud või vastuvõetav ning et kavandatud meetmed on tehniliselt teostatavad, õiguslikult siduvad ja enne tegevuse alustamist kontrollitavad.</w:t>
      </w:r>
    </w:p>
    <w:p w14:paraId="0C76F3B4" w14:textId="77777777" w:rsidR="002206E7" w:rsidRDefault="00000000">
      <w:pPr>
        <w:pStyle w:val="Heading2"/>
        <w:spacing w:before="160" w:after="80"/>
        <w:jc w:val="both"/>
        <w:rPr>
          <w:lang w:val="et-EE"/>
        </w:rPr>
      </w:pPr>
      <w:r>
        <w:rPr>
          <w:rFonts w:ascii="Liberation Sans" w:eastAsia="Liberation Sans" w:hAnsi="Liberation Sans"/>
          <w:sz w:val="23"/>
          <w:lang w:val="et-EE"/>
        </w:rPr>
        <w:t>1.4. Hilisemad load ei paranda võimalikku vale asukohavalikut</w:t>
      </w:r>
    </w:p>
    <w:p w14:paraId="4A6FF12B" w14:textId="77777777" w:rsidR="002206E7" w:rsidRDefault="00000000">
      <w:pPr>
        <w:jc w:val="both"/>
        <w:rPr>
          <w:rFonts w:hint="eastAsia"/>
          <w:lang w:val="et-EE"/>
        </w:rPr>
      </w:pPr>
      <w:r>
        <w:rPr>
          <w:rFonts w:eastAsia="Liberation Sans"/>
          <w:lang w:val="et-EE"/>
        </w:rPr>
        <w:t xml:space="preserve">Ministeerium viitab korduvalt tulevasele käitamisloale, keskkonnakompleksloale, parimale võimalikule tehnikale ja edasisele projekteerimisele. Need menetlused võivad täpsustada tehnoloogiat ja heitetingimusi, kuid nende eesmärk ei ole enam võrrelda </w:t>
      </w:r>
      <w:proofErr w:type="spellStart"/>
      <w:r>
        <w:rPr>
          <w:rFonts w:eastAsia="Liberation Sans"/>
          <w:lang w:val="et-EE"/>
        </w:rPr>
        <w:t>Piirsalut</w:t>
      </w:r>
      <w:proofErr w:type="spellEnd"/>
      <w:r>
        <w:rPr>
          <w:rFonts w:eastAsia="Liberation Sans"/>
          <w:lang w:val="et-EE"/>
        </w:rPr>
        <w:t xml:space="preserve"> teiste asukohtadega. Kui asukoht on REP-iga lukustatud, on hilisemate lubade menetluses tegelik asukohaalternatiivide valik oluliselt piiratum.</w:t>
      </w:r>
    </w:p>
    <w:p w14:paraId="4383E1FA" w14:textId="77777777" w:rsidR="002206E7" w:rsidRDefault="00000000">
      <w:pPr>
        <w:jc w:val="both"/>
        <w:rPr>
          <w:rFonts w:hint="eastAsia"/>
          <w:lang w:val="et-EE"/>
        </w:rPr>
      </w:pPr>
      <w:r>
        <w:rPr>
          <w:rFonts w:eastAsia="Liberation Sans"/>
          <w:lang w:val="et-EE"/>
        </w:rPr>
        <w:t>Seetõttu tuleb enne asukohaotsust lahendada need küsimused, millest sõltub asukoha põhimõtteline sobivus: tootmis- ja ladustamismahud, ohtlike ainete rühmad, ohualad, veevõtu tegelik maksimum, reovee ja sademevee lahendus, jäätmekäitlus, tulekahju- ja avariivee kinnipidamine, välisõhu heiteallikad, suurõnnetuse stsenaariumid, sõjaohu avalikud tagajärjekategooriad ning elamute ja kaitstavate väärtuste kaitse.</w:t>
      </w:r>
    </w:p>
    <w:p w14:paraId="3581081E" w14:textId="77777777" w:rsidR="002206E7" w:rsidRDefault="002206E7">
      <w:pPr>
        <w:pStyle w:val="Heading1"/>
        <w:spacing w:before="240" w:after="80"/>
        <w:jc w:val="both"/>
        <w:rPr>
          <w:rFonts w:ascii="Liberation Sans" w:eastAsia="Liberation Sans" w:hAnsi="Liberation Sans"/>
          <w:sz w:val="26"/>
          <w:lang w:val="et-EE"/>
        </w:rPr>
      </w:pPr>
    </w:p>
    <w:p w14:paraId="322127A3" w14:textId="77777777" w:rsidR="002206E7" w:rsidRDefault="00000000">
      <w:pPr>
        <w:pStyle w:val="Heading1"/>
        <w:spacing w:before="240" w:after="80"/>
        <w:jc w:val="both"/>
        <w:rPr>
          <w:lang w:val="et-EE"/>
        </w:rPr>
      </w:pPr>
      <w:r>
        <w:rPr>
          <w:rFonts w:ascii="Liberation Sans" w:eastAsia="Liberation Sans" w:hAnsi="Liberation Sans"/>
          <w:sz w:val="26"/>
          <w:lang w:val="et-EE"/>
        </w:rPr>
        <w:t>2. Vastuväited Kaitseministeeriumi sisulistele vastustele</w:t>
      </w:r>
    </w:p>
    <w:p w14:paraId="3CFA6FA8" w14:textId="77777777" w:rsidR="002206E7" w:rsidRDefault="00000000">
      <w:pPr>
        <w:pStyle w:val="Heading2"/>
        <w:spacing w:before="160" w:after="80"/>
        <w:jc w:val="both"/>
        <w:rPr>
          <w:lang w:val="et-EE"/>
        </w:rPr>
      </w:pPr>
      <w:r>
        <w:rPr>
          <w:rFonts w:ascii="Liberation Sans" w:eastAsia="Liberation Sans" w:hAnsi="Liberation Sans"/>
          <w:sz w:val="23"/>
          <w:lang w:val="et-EE"/>
        </w:rPr>
        <w:t>2.1. Ala väiksus ei ole lõhkeainetehase sobivusargument</w:t>
      </w:r>
    </w:p>
    <w:p w14:paraId="6E9A58E5" w14:textId="77777777" w:rsidR="002206E7" w:rsidRDefault="00000000">
      <w:pPr>
        <w:jc w:val="both"/>
        <w:rPr>
          <w:rFonts w:hint="eastAsia"/>
          <w:lang w:val="et-EE"/>
        </w:rPr>
      </w:pPr>
      <w:r>
        <w:rPr>
          <w:rFonts w:eastAsia="Liberation Sans"/>
          <w:lang w:val="et-EE"/>
        </w:rPr>
        <w:t xml:space="preserve">Ministeerium põhjendab lõhkeainetehase paigutamist Piirsallu muu hulgas sellega, et </w:t>
      </w:r>
      <w:proofErr w:type="spellStart"/>
      <w:r>
        <w:rPr>
          <w:rFonts w:eastAsia="Liberation Sans"/>
          <w:lang w:val="et-EE"/>
        </w:rPr>
        <w:t>suurekaliibrilise</w:t>
      </w:r>
      <w:proofErr w:type="spellEnd"/>
      <w:r>
        <w:rPr>
          <w:rFonts w:eastAsia="Liberation Sans"/>
          <w:lang w:val="et-EE"/>
        </w:rPr>
        <w:t xml:space="preserve"> laskemoona tehas ei mahuks väikesele alale ja oleks mürarikkam. [1] See põhjendab üksnes ühe tegevusliigi välistamist, mitte teise tegevusliigi sobivust.</w:t>
      </w:r>
    </w:p>
    <w:p w14:paraId="3251335E" w14:textId="77777777" w:rsidR="002206E7" w:rsidRDefault="00000000">
      <w:pPr>
        <w:jc w:val="both"/>
        <w:rPr>
          <w:rFonts w:hint="eastAsia"/>
          <w:lang w:val="et-EE"/>
        </w:rPr>
      </w:pPr>
      <w:r>
        <w:rPr>
          <w:rFonts w:eastAsia="Liberation Sans"/>
          <w:lang w:val="et-EE"/>
        </w:rPr>
        <w:t>Piirsalu puhul tuleb näidata tootmishoonete, hoidlate, ohualade, turva- ja päästetsoonide, juurdepääsude, evakuatsiooniteede, tulekustutusvee, sademevee, reovee, seiretaristu ja looduskaitseliste puhvrite ruumiline koostoime. Kogukonna vastuväide on, et selline tervik ei jäta piisavat konservatiivset ohutusvaru. [2], [3] Vastuskiri ei esita selle ümberlükkamiseks arvutatud ohualasid ega ruumibilanssi.</w:t>
      </w:r>
    </w:p>
    <w:p w14:paraId="702C5F75" w14:textId="77777777" w:rsidR="002206E7" w:rsidRDefault="00000000">
      <w:pPr>
        <w:jc w:val="both"/>
        <w:rPr>
          <w:rFonts w:hint="eastAsia"/>
          <w:lang w:val="et-EE"/>
        </w:rPr>
      </w:pPr>
      <w:r>
        <w:rPr>
          <w:rFonts w:eastAsia="Liberation Sans"/>
          <w:lang w:val="et-EE"/>
        </w:rPr>
        <w:lastRenderedPageBreak/>
        <w:t>Samuti ei ole põhjendatud samastada katseplatsi eemaldamisest tulenevat väiksemat müra lõhkeainetehase väiksema koguriskiga. Müra vähenemine ei vähenda automaatselt põhjavee-, pinnavee-, keemilise heite, ladustamise, avapõletamise, suurõnnetuse ega sõjalise sihtmärgi riski.</w:t>
      </w:r>
    </w:p>
    <w:p w14:paraId="71570230" w14:textId="77777777" w:rsidR="002206E7" w:rsidRDefault="00000000">
      <w:pPr>
        <w:pStyle w:val="Heading2"/>
        <w:spacing w:before="160" w:after="80"/>
        <w:jc w:val="both"/>
        <w:rPr>
          <w:lang w:val="et-EE"/>
        </w:rPr>
      </w:pPr>
      <w:r>
        <w:rPr>
          <w:rFonts w:ascii="Liberation Sans" w:eastAsia="Liberation Sans" w:hAnsi="Liberation Sans"/>
          <w:sz w:val="23"/>
          <w:lang w:val="et-EE"/>
        </w:rPr>
        <w:t>2.2. Põhjavee ja kohalike kaevude mõju ei ole vastuskirjas kontrollitavalt käsitletud</w:t>
      </w:r>
    </w:p>
    <w:p w14:paraId="31FBE0DA" w14:textId="77777777" w:rsidR="002206E7" w:rsidRDefault="00000000">
      <w:pPr>
        <w:jc w:val="both"/>
        <w:rPr>
          <w:rFonts w:hint="eastAsia"/>
          <w:lang w:val="et-EE"/>
        </w:rPr>
      </w:pPr>
      <w:r>
        <w:rPr>
          <w:rFonts w:eastAsia="Liberation Sans"/>
          <w:lang w:val="et-EE"/>
        </w:rPr>
        <w:t>Ministeerium vastab, et põhjaveeuuringus kasutati tunnustatud matemaatilisi mudeleid. [1] See ei vasta pöördumise konkreetsetele nõuetele erakaevude inventuuri, lähteseire, mudeli lähteandmete, alanduslehtri, pikaajalise veevõtu ja hüvitusmehhanismi kohta. [2]</w:t>
      </w:r>
    </w:p>
    <w:p w14:paraId="26EDD6F3" w14:textId="77777777" w:rsidR="002206E7" w:rsidRDefault="00000000">
      <w:pPr>
        <w:pStyle w:val="ListBullet"/>
        <w:spacing w:after="40" w:line="250" w:lineRule="auto"/>
        <w:ind w:left="369" w:hanging="198"/>
        <w:jc w:val="both"/>
        <w:rPr>
          <w:rFonts w:hint="eastAsia"/>
          <w:lang w:val="et-EE"/>
        </w:rPr>
      </w:pPr>
      <w:r>
        <w:rPr>
          <w:rFonts w:eastAsia="Liberation Sans"/>
          <w:lang w:val="et-EE"/>
        </w:rPr>
        <w:t>Avaldada tuleb kõigi modelleeritud ja inventeeritud kaevude asukoht, sügavus, avatud veekiht, staatiline ja dünaamiline veetase, tootlikkus ning lähteveekvaliteet, arvestades isikuandmete kaitset.</w:t>
      </w:r>
    </w:p>
    <w:p w14:paraId="0D5BF442" w14:textId="77777777" w:rsidR="002206E7" w:rsidRDefault="00000000">
      <w:pPr>
        <w:pStyle w:val="ListBullet"/>
        <w:spacing w:after="40" w:line="250" w:lineRule="auto"/>
        <w:ind w:left="369" w:hanging="198"/>
        <w:jc w:val="both"/>
        <w:rPr>
          <w:rFonts w:hint="eastAsia"/>
          <w:lang w:val="et-EE"/>
        </w:rPr>
      </w:pPr>
      <w:r>
        <w:rPr>
          <w:rFonts w:eastAsia="Liberation Sans"/>
          <w:lang w:val="et-EE"/>
        </w:rPr>
        <w:t>Esitada tuleb modelleeritud veetaseme alanemise kaardid kavandatava tavakoormuse, maksimaalse koormuse, põuaperioodi ja avariiolukorra kohta ning näidata mudeli tundlikkus ebakindlate parameetrite suhtes.</w:t>
      </w:r>
    </w:p>
    <w:p w14:paraId="1BB64280" w14:textId="77777777" w:rsidR="002206E7" w:rsidRDefault="00000000">
      <w:pPr>
        <w:pStyle w:val="ListBullet"/>
        <w:spacing w:after="40" w:line="250" w:lineRule="auto"/>
        <w:ind w:left="369" w:hanging="198"/>
        <w:jc w:val="both"/>
        <w:rPr>
          <w:rFonts w:hint="eastAsia"/>
          <w:lang w:val="et-EE"/>
        </w:rPr>
      </w:pPr>
      <w:r>
        <w:rPr>
          <w:rFonts w:eastAsia="Liberation Sans"/>
          <w:lang w:val="et-EE"/>
        </w:rPr>
        <w:t>Selgitada tuleb, kas ja miks käsitletakse avalikes materjalides võimalikku veevõttu kuni 490 m³ ööpäevas, mis jääb vahetult alla 500 m³ ööpäevase põhjaveevaru hindamise kohustusliku lävendi, ning kas põhjaveevaru hinnatakse sõltumata formaalsest lävendist. [13]</w:t>
      </w:r>
    </w:p>
    <w:p w14:paraId="3A21D6A8" w14:textId="77777777" w:rsidR="002206E7" w:rsidRDefault="00000000">
      <w:pPr>
        <w:pStyle w:val="ListBullet"/>
        <w:spacing w:after="40" w:line="250" w:lineRule="auto"/>
        <w:ind w:left="369" w:hanging="198"/>
        <w:jc w:val="both"/>
        <w:rPr>
          <w:rFonts w:hint="eastAsia"/>
          <w:lang w:val="et-EE"/>
        </w:rPr>
      </w:pPr>
      <w:r>
        <w:rPr>
          <w:rFonts w:eastAsia="Liberation Sans"/>
          <w:lang w:val="et-EE"/>
        </w:rPr>
        <w:t>Enne asukohaotsust tuleb kehtestada erakaevude kahjustumise tuvastamise, ajutise veevarustuse, uue kaevu või veetrassi rajamise ning kahju hüvitamise siduv kord.</w:t>
      </w:r>
    </w:p>
    <w:p w14:paraId="3F34C0AD" w14:textId="77777777" w:rsidR="002206E7" w:rsidRDefault="00000000">
      <w:pPr>
        <w:ind w:firstLine="369"/>
        <w:jc w:val="both"/>
        <w:rPr>
          <w:rFonts w:hint="eastAsia"/>
          <w:lang w:val="et-EE"/>
        </w:rPr>
      </w:pPr>
      <w:r>
        <w:rPr>
          <w:rFonts w:eastAsia="Liberation Sans"/>
          <w:lang w:val="et-EE"/>
        </w:rPr>
        <w:t>Pelgalt viide mudeli teaduslikule alusele ei näita, et mudeli sisendandmed, kalibreerimine ja stsenaariumid oleksid Piirsalu asukohale piisavad.</w:t>
      </w:r>
    </w:p>
    <w:p w14:paraId="65D077EC" w14:textId="77777777" w:rsidR="002206E7" w:rsidRDefault="00000000">
      <w:pPr>
        <w:pStyle w:val="Heading2"/>
        <w:spacing w:before="160" w:after="80"/>
        <w:jc w:val="both"/>
        <w:rPr>
          <w:lang w:val="et-EE"/>
        </w:rPr>
      </w:pPr>
      <w:r>
        <w:rPr>
          <w:rFonts w:ascii="Liberation Sans" w:eastAsia="Liberation Sans" w:hAnsi="Liberation Sans"/>
          <w:sz w:val="23"/>
          <w:lang w:val="et-EE"/>
        </w:rPr>
        <w:t>2.3. Pinnavee vastus piirdub terminoloogilise parandusega</w:t>
      </w:r>
    </w:p>
    <w:p w14:paraId="09959917" w14:textId="77777777" w:rsidR="002206E7" w:rsidRDefault="00000000">
      <w:pPr>
        <w:jc w:val="both"/>
        <w:rPr>
          <w:rFonts w:hint="eastAsia"/>
          <w:lang w:val="et-EE"/>
        </w:rPr>
      </w:pPr>
      <w:r>
        <w:rPr>
          <w:rFonts w:eastAsia="Liberation Sans"/>
          <w:lang w:val="et-EE"/>
        </w:rPr>
        <w:t>Kogukonna nõue käsitles Lepaste oja, Piirsalu jõe ja allavoolu Vihterpalu jõe omavahel seotud süsteemi. Ministeerium selgitab, et need veekogud ei moodusta eraldi „vesikonda“. [1] Terminoloogiline täpsustus ei vasta sisulisele küsimusele, kuidas hinnati kogu valgala ja allavoolu mõju kriitilise madalvee, lõheliste elupaikade, tehnoloogilise reovee, saastunud sademevee, tulekustutusvee ja avariilise äravoolu koosmõjus.</w:t>
      </w:r>
    </w:p>
    <w:p w14:paraId="4B1EC09A" w14:textId="77777777" w:rsidR="002206E7" w:rsidRDefault="00000000">
      <w:pPr>
        <w:pStyle w:val="ListBullet"/>
        <w:spacing w:after="40" w:line="250" w:lineRule="auto"/>
        <w:ind w:left="369" w:hanging="198"/>
        <w:jc w:val="both"/>
        <w:rPr>
          <w:rFonts w:hint="eastAsia"/>
          <w:lang w:val="et-EE"/>
        </w:rPr>
      </w:pPr>
      <w:r>
        <w:rPr>
          <w:rFonts w:eastAsia="Liberation Sans"/>
          <w:lang w:val="et-EE"/>
        </w:rPr>
        <w:t>Esitada tuleb kasutatud madalvee näitajad, vooluhulgad, mõõtepunktid, seireperiood, mudeli kalibreerimine ja kliimamuutuse eeldused.</w:t>
      </w:r>
    </w:p>
    <w:p w14:paraId="75CFA517" w14:textId="77777777" w:rsidR="002206E7" w:rsidRDefault="00000000">
      <w:pPr>
        <w:pStyle w:val="ListBullet"/>
        <w:spacing w:after="40" w:line="250" w:lineRule="auto"/>
        <w:ind w:left="369" w:hanging="198"/>
        <w:jc w:val="both"/>
        <w:rPr>
          <w:rFonts w:hint="eastAsia"/>
          <w:lang w:val="et-EE"/>
        </w:rPr>
      </w:pPr>
      <w:r>
        <w:rPr>
          <w:rFonts w:eastAsia="Liberation Sans"/>
          <w:lang w:val="et-EE"/>
        </w:rPr>
        <w:t>Arvutada tuleb eraldi tavarežiim, maksimaalne tootmisrežiim, kuivaperiood, esimese saju äravool, puhasti rike, tulekahju ning kemikaali- või jäätmekäitlusavarii.</w:t>
      </w:r>
    </w:p>
    <w:p w14:paraId="39FD58B2" w14:textId="77777777" w:rsidR="002206E7" w:rsidRDefault="00000000">
      <w:pPr>
        <w:pStyle w:val="ListBullet"/>
        <w:spacing w:after="40" w:line="250" w:lineRule="auto"/>
        <w:ind w:left="369" w:hanging="198"/>
        <w:jc w:val="both"/>
        <w:rPr>
          <w:rFonts w:hint="eastAsia"/>
          <w:lang w:val="et-EE"/>
        </w:rPr>
      </w:pPr>
      <w:r>
        <w:rPr>
          <w:rFonts w:eastAsia="Liberation Sans"/>
          <w:lang w:val="et-EE"/>
        </w:rPr>
        <w:t>Kogukonna pakutud 2% kriitilise madalvee vooluhulga kontrollkriteerium ei ole esitatud õigusnormina, vaid konservatiivse kontrollina. Palume esitada selle kriteeriumi arvutus või põhjendatud alternatiivne kriteerium.</w:t>
      </w:r>
    </w:p>
    <w:p w14:paraId="47406986" w14:textId="77777777" w:rsidR="002206E7" w:rsidRDefault="00000000">
      <w:pPr>
        <w:pStyle w:val="ListBullet"/>
        <w:spacing w:after="40" w:line="250" w:lineRule="auto"/>
        <w:ind w:left="369" w:hanging="198"/>
        <w:jc w:val="both"/>
        <w:rPr>
          <w:rFonts w:hint="eastAsia"/>
          <w:lang w:val="et-EE"/>
        </w:rPr>
      </w:pPr>
      <w:r>
        <w:rPr>
          <w:rFonts w:eastAsia="Liberation Sans"/>
          <w:lang w:val="et-EE"/>
        </w:rPr>
        <w:t>Planeeringutingimusena tuleb välistada puhastamata ja ebapiisavalt iseloomustatud tehnoloogilise vee, saastunud sademevee ja tulekustutusvee jõudmine Lepaste ojja või Piirsalu jõkke.</w:t>
      </w:r>
    </w:p>
    <w:p w14:paraId="0D1D10C0" w14:textId="77777777" w:rsidR="002206E7" w:rsidRDefault="00000000">
      <w:pPr>
        <w:pStyle w:val="Heading2"/>
        <w:spacing w:before="160" w:after="80"/>
        <w:jc w:val="both"/>
        <w:rPr>
          <w:lang w:val="et-EE"/>
        </w:rPr>
      </w:pPr>
      <w:r>
        <w:rPr>
          <w:rFonts w:ascii="Liberation Sans" w:eastAsia="Liberation Sans" w:hAnsi="Liberation Sans"/>
          <w:sz w:val="23"/>
          <w:lang w:val="et-EE"/>
        </w:rPr>
        <w:t>2.4. Avapõletamise välistamata jätmine on keskne lahendamata risk</w:t>
      </w:r>
    </w:p>
    <w:p w14:paraId="2F184BC6" w14:textId="77777777" w:rsidR="002206E7" w:rsidRDefault="00000000">
      <w:pPr>
        <w:jc w:val="both"/>
        <w:rPr>
          <w:rFonts w:hint="eastAsia"/>
          <w:lang w:val="et-EE"/>
        </w:rPr>
      </w:pPr>
      <w:r>
        <w:rPr>
          <w:rFonts w:eastAsia="Liberation Sans"/>
          <w:lang w:val="et-EE"/>
        </w:rPr>
        <w:t>Ministeerium kinnitab, et avadetoneerimist Piirsalus ei kavandata, kuid avapõletamist ei välista ning suletud põletuskambreid või -ahjusid alles „kaalutakse“. [1] Seega ei ole kogukonna põhitingimusega arvestatud.</w:t>
      </w:r>
    </w:p>
    <w:p w14:paraId="521FC358" w14:textId="77777777" w:rsidR="002206E7" w:rsidRDefault="00000000">
      <w:pPr>
        <w:jc w:val="both"/>
        <w:rPr>
          <w:rFonts w:hint="eastAsia"/>
          <w:lang w:val="et-EE"/>
        </w:rPr>
      </w:pPr>
      <w:r>
        <w:rPr>
          <w:rFonts w:eastAsia="Liberation Sans"/>
          <w:lang w:val="et-EE"/>
        </w:rPr>
        <w:t xml:space="preserve">Me ei pea kontrollitavaks kategoorilisi väiteid, et avapõletamisega </w:t>
      </w:r>
      <w:proofErr w:type="spellStart"/>
      <w:r>
        <w:rPr>
          <w:rFonts w:eastAsia="Liberation Sans"/>
          <w:lang w:val="et-EE"/>
        </w:rPr>
        <w:t>detonatsiooniriski</w:t>
      </w:r>
      <w:proofErr w:type="spellEnd"/>
      <w:r>
        <w:rPr>
          <w:rFonts w:eastAsia="Liberation Sans"/>
          <w:lang w:val="et-EE"/>
        </w:rPr>
        <w:t xml:space="preserve"> ei kaasne ja olulist saasteheidet ei teki, kuni avalikkusele ei ole esitatud vähemalt põletatavate ainete ja jäätmete rühmi, maksimumkoguseid, põletamissagedust, süüte- ja kontrollimeetodit, katkestatud põlemise ja ootamatu reaktsiooni stsenaariume, meteoroloogilisi piiranguid, modelleeritud saasteaineid, emissioonitegureid, sadestumist ning pinnase- ja sademevee seiret.</w:t>
      </w:r>
    </w:p>
    <w:p w14:paraId="2795EDB2" w14:textId="77777777" w:rsidR="002206E7" w:rsidRDefault="00000000">
      <w:pPr>
        <w:jc w:val="both"/>
        <w:rPr>
          <w:rFonts w:hint="eastAsia"/>
          <w:lang w:val="et-EE"/>
        </w:rPr>
      </w:pPr>
      <w:r>
        <w:rPr>
          <w:rFonts w:eastAsia="Liberation Sans"/>
          <w:lang w:val="et-EE"/>
        </w:rPr>
        <w:t xml:space="preserve">Avapõletamise plats paikneks metsases ja märgaladega piirnevas piirkonnas. Arvestada tuleb lisaks õhusaastele tule leviku, mittetäieliku põlemise, jääkide pinnasesse sattumise, </w:t>
      </w:r>
      <w:r>
        <w:rPr>
          <w:rFonts w:eastAsia="Liberation Sans"/>
          <w:lang w:val="et-EE"/>
        </w:rPr>
        <w:lastRenderedPageBreak/>
        <w:t>saasteainete sadestumise ning saastunud sademevee riskiga. Alternatiivsete suletud tehnoloogiate olemasolu korral ei ole põhjendatud jätta avapõletamist planeeringuga lubatavaks vaikimisi lahenduseks.</w:t>
      </w:r>
    </w:p>
    <w:p w14:paraId="3DCCA0A1" w14:textId="77777777" w:rsidR="002206E7" w:rsidRDefault="00000000">
      <w:pPr>
        <w:jc w:val="both"/>
        <w:rPr>
          <w:rFonts w:hint="eastAsia"/>
          <w:lang w:val="et-EE"/>
        </w:rPr>
      </w:pPr>
      <w:r>
        <w:rPr>
          <w:rFonts w:eastAsia="Liberation Sans"/>
          <w:b/>
          <w:lang w:val="et-EE"/>
        </w:rPr>
        <w:t xml:space="preserve">Nõuame planeeringutingimust, millega Piirsalu alal keelatakse lõhkeainete, laskemoona, pürotehniliste koostiste, saastunud materjalide ja tootmisjääkide avapõletamine ning </w:t>
      </w:r>
      <w:proofErr w:type="spellStart"/>
      <w:r>
        <w:rPr>
          <w:rFonts w:eastAsia="Liberation Sans"/>
          <w:b/>
          <w:lang w:val="et-EE"/>
        </w:rPr>
        <w:t>avadetonatsioon</w:t>
      </w:r>
      <w:proofErr w:type="spellEnd"/>
      <w:r>
        <w:rPr>
          <w:rFonts w:eastAsia="Liberation Sans"/>
          <w:b/>
          <w:lang w:val="et-EE"/>
        </w:rPr>
        <w:t>. Jäätmed tuleb käidelda suletud, kontrollitava ja heitgaaside puhastusega tehnoloogias või anda üle vastavat luba omavale ohtlike jäätmete käitlejale.</w:t>
      </w:r>
    </w:p>
    <w:p w14:paraId="6E3B0798" w14:textId="77777777" w:rsidR="002206E7" w:rsidRDefault="00000000">
      <w:pPr>
        <w:pStyle w:val="Heading2"/>
        <w:spacing w:before="160" w:after="80"/>
        <w:jc w:val="both"/>
        <w:rPr>
          <w:lang w:val="et-EE"/>
        </w:rPr>
      </w:pPr>
      <w:r>
        <w:rPr>
          <w:rFonts w:ascii="Liberation Sans" w:eastAsia="Liberation Sans" w:hAnsi="Liberation Sans"/>
          <w:sz w:val="23"/>
          <w:lang w:val="et-EE"/>
        </w:rPr>
        <w:t xml:space="preserve">2.5. </w:t>
      </w:r>
      <w:proofErr w:type="spellStart"/>
      <w:r>
        <w:rPr>
          <w:rFonts w:ascii="Liberation Sans" w:eastAsia="Liberation Sans" w:hAnsi="Liberation Sans"/>
          <w:sz w:val="23"/>
          <w:lang w:val="et-EE"/>
        </w:rPr>
        <w:t>Kameraalsed</w:t>
      </w:r>
      <w:proofErr w:type="spellEnd"/>
      <w:r>
        <w:rPr>
          <w:rFonts w:ascii="Liberation Sans" w:eastAsia="Liberation Sans" w:hAnsi="Liberation Sans"/>
          <w:sz w:val="23"/>
          <w:lang w:val="et-EE"/>
        </w:rPr>
        <w:t xml:space="preserve"> loodusuuringud ei kõrvalda välitööde vajadust</w:t>
      </w:r>
    </w:p>
    <w:p w14:paraId="699F3A84" w14:textId="77777777" w:rsidR="002206E7" w:rsidRDefault="00000000">
      <w:pPr>
        <w:jc w:val="both"/>
        <w:rPr>
          <w:rFonts w:hint="eastAsia"/>
          <w:lang w:val="et-EE"/>
        </w:rPr>
      </w:pPr>
      <w:r>
        <w:rPr>
          <w:rFonts w:eastAsia="Liberation Sans"/>
          <w:lang w:val="et-EE"/>
        </w:rPr>
        <w:t xml:space="preserve">Ministeerium leiab, et täiendavaid liigiinventuure ei ole vaja. Samas sätestavad </w:t>
      </w:r>
      <w:proofErr w:type="spellStart"/>
      <w:r>
        <w:rPr>
          <w:rFonts w:eastAsia="Liberation Sans"/>
          <w:lang w:val="et-EE"/>
        </w:rPr>
        <w:t>REP-i</w:t>
      </w:r>
      <w:proofErr w:type="spellEnd"/>
      <w:r>
        <w:rPr>
          <w:rFonts w:eastAsia="Liberation Sans"/>
          <w:lang w:val="et-EE"/>
        </w:rPr>
        <w:t xml:space="preserve"> linnustiku, loomastiku ja taimestiku uuringute lähteülesanded sõnaselgelt, et uuringud tehakse </w:t>
      </w:r>
      <w:proofErr w:type="spellStart"/>
      <w:r>
        <w:rPr>
          <w:rFonts w:eastAsia="Liberation Sans"/>
          <w:lang w:val="et-EE"/>
        </w:rPr>
        <w:t>kameraalselt</w:t>
      </w:r>
      <w:proofErr w:type="spellEnd"/>
      <w:r>
        <w:rPr>
          <w:rFonts w:eastAsia="Liberation Sans"/>
          <w:lang w:val="et-EE"/>
        </w:rPr>
        <w:t xml:space="preserve"> ning välitöid ei ole ette nähtud. [6]–[8] Selline metoodika võib olla sobiv esmaseks alternatiivide sõelumiseks, kuid ei pruugi olla piisav konkreetse lõhkeainetehase asukoha lõplikuks kinnitamiseks Natura ala, metsise püsielupaiga ja kaitstavate liikide vahetus mõjualas.</w:t>
      </w:r>
    </w:p>
    <w:p w14:paraId="1C94D42A" w14:textId="77777777" w:rsidR="002206E7" w:rsidRDefault="00000000">
      <w:pPr>
        <w:jc w:val="both"/>
        <w:rPr>
          <w:rFonts w:hint="eastAsia"/>
          <w:lang w:val="et-EE"/>
        </w:rPr>
      </w:pPr>
      <w:r>
        <w:rPr>
          <w:rFonts w:eastAsia="Liberation Sans"/>
          <w:lang w:val="et-EE"/>
        </w:rPr>
        <w:t xml:space="preserve">Mustjärve raba hoiuala ja Annamõisa metsise püsielupaiga kaitsekorralduskava kirjeldab kõrge väärtusega soo- ja metsakooslusi, esinduslikku metsisemängu ning mitme kaitsealuse liigi esinemist; kavas on osade liikide andmed vanad või täpsustamata. [9] Metsise rakendusuuring näitab, et emaslinnud kasutavad pesitsemiseks sageli 0,5–2,5 km kaugust mängupaigast ning elupaiga kvaliteeti mõjutavad </w:t>
      </w:r>
      <w:proofErr w:type="spellStart"/>
      <w:r>
        <w:rPr>
          <w:rFonts w:eastAsia="Liberation Sans"/>
          <w:lang w:val="et-EE"/>
        </w:rPr>
        <w:t>maastikuline</w:t>
      </w:r>
      <w:proofErr w:type="spellEnd"/>
      <w:r>
        <w:rPr>
          <w:rFonts w:eastAsia="Liberation Sans"/>
          <w:lang w:val="et-EE"/>
        </w:rPr>
        <w:t xml:space="preserve"> struktuur ja häiringud laiemal alal. [10]</w:t>
      </w:r>
    </w:p>
    <w:p w14:paraId="149C0C8D" w14:textId="77777777" w:rsidR="002206E7" w:rsidRDefault="00000000">
      <w:pPr>
        <w:pStyle w:val="ListBullet"/>
        <w:spacing w:after="40" w:line="250" w:lineRule="auto"/>
        <w:ind w:left="369" w:hanging="198"/>
        <w:jc w:val="both"/>
        <w:rPr>
          <w:rFonts w:hint="eastAsia"/>
          <w:lang w:val="et-EE"/>
        </w:rPr>
      </w:pPr>
      <w:r>
        <w:rPr>
          <w:rFonts w:eastAsia="Liberation Sans"/>
          <w:lang w:val="et-EE"/>
        </w:rPr>
        <w:t xml:space="preserve">Enne asukoha kehtestamist tuleb teha ajakohased hooajalised välitööd vähemalt metsise, kanakulli, muu olulise linnustiku, kaitstavate taimede, </w:t>
      </w:r>
      <w:proofErr w:type="spellStart"/>
      <w:r>
        <w:rPr>
          <w:rFonts w:eastAsia="Liberation Sans"/>
          <w:lang w:val="et-EE"/>
        </w:rPr>
        <w:t>vääriselupaikade</w:t>
      </w:r>
      <w:proofErr w:type="spellEnd"/>
      <w:r>
        <w:rPr>
          <w:rFonts w:eastAsia="Liberation Sans"/>
          <w:lang w:val="et-EE"/>
        </w:rPr>
        <w:t xml:space="preserve"> ja loomade liikumiskoridoride kohta.</w:t>
      </w:r>
    </w:p>
    <w:p w14:paraId="419A4707" w14:textId="77777777" w:rsidR="002206E7" w:rsidRDefault="00000000">
      <w:pPr>
        <w:pStyle w:val="ListBullet"/>
        <w:spacing w:after="40" w:line="250" w:lineRule="auto"/>
        <w:ind w:left="369" w:hanging="198"/>
        <w:jc w:val="both"/>
        <w:rPr>
          <w:rFonts w:hint="eastAsia"/>
          <w:lang w:val="et-EE"/>
        </w:rPr>
      </w:pPr>
      <w:r>
        <w:rPr>
          <w:rFonts w:eastAsia="Liberation Sans"/>
          <w:lang w:val="et-EE"/>
        </w:rPr>
        <w:t>Välitööde ulatus peab hõlmama tegelikku mõjuala, mitte üksnes aiaga piiratud tööstusala.</w:t>
      </w:r>
    </w:p>
    <w:p w14:paraId="56A3AE29" w14:textId="77777777" w:rsidR="002206E7" w:rsidRDefault="00000000">
      <w:pPr>
        <w:pStyle w:val="ListBullet"/>
        <w:spacing w:after="40" w:line="250" w:lineRule="auto"/>
        <w:ind w:left="369" w:hanging="198"/>
        <w:jc w:val="both"/>
        <w:rPr>
          <w:rFonts w:hint="eastAsia"/>
          <w:lang w:val="et-EE"/>
        </w:rPr>
      </w:pPr>
      <w:r>
        <w:rPr>
          <w:rFonts w:eastAsia="Liberation Sans"/>
          <w:lang w:val="et-EE"/>
        </w:rPr>
        <w:t>Kompensatsioonimeetme tulemuslikkus peab olema tõendatud enne pöördumatu mõju lubamist; käitusaegne seire ei tohi olla vahend asukohaotsuse põhialuse hilisemaks kontrollimiseks.</w:t>
      </w:r>
    </w:p>
    <w:p w14:paraId="605D33D5" w14:textId="77777777" w:rsidR="002206E7" w:rsidRDefault="00000000">
      <w:pPr>
        <w:pStyle w:val="Heading2"/>
        <w:spacing w:before="160" w:after="80"/>
        <w:jc w:val="both"/>
        <w:rPr>
          <w:lang w:val="et-EE"/>
        </w:rPr>
      </w:pPr>
      <w:r>
        <w:rPr>
          <w:rFonts w:ascii="Liberation Sans" w:eastAsia="Liberation Sans" w:hAnsi="Liberation Sans"/>
          <w:sz w:val="23"/>
          <w:lang w:val="et-EE"/>
        </w:rPr>
        <w:t>2.6. Kumulatiivse mõju hindamine ei ole vastusest kontrollitav</w:t>
      </w:r>
    </w:p>
    <w:p w14:paraId="729A6385" w14:textId="77777777" w:rsidR="002206E7" w:rsidRDefault="00000000">
      <w:pPr>
        <w:jc w:val="both"/>
        <w:rPr>
          <w:rFonts w:hint="eastAsia"/>
          <w:lang w:val="et-EE"/>
        </w:rPr>
      </w:pPr>
      <w:r>
        <w:rPr>
          <w:rFonts w:eastAsia="Liberation Sans"/>
          <w:lang w:val="et-EE"/>
        </w:rPr>
        <w:t>Ministeerium kinnitab üldsõnaliselt, et teiste arenduste koosmõju on hinnatud, kuid nimetab konkreetse täpsustusena peamiselt tulevast müra ja liiklusmüra hindamist. [1] Pöördumine käsitles oluliselt laiemat koormust: põhjaveevõtt, pinnaveerežiim, metsamaa raadamine ja killustumine, rohevõrgustik, ohtlike veoste liiklus, elektri- ja teetaristu, päästevõime, kinnisvara, turvatunne ning samaaegsed ehitusperioodid. [2], [3]</w:t>
      </w:r>
    </w:p>
    <w:p w14:paraId="27E8C9CC" w14:textId="77777777" w:rsidR="002206E7" w:rsidRDefault="00000000">
      <w:pPr>
        <w:jc w:val="both"/>
        <w:rPr>
          <w:rFonts w:hint="eastAsia"/>
          <w:lang w:val="et-EE"/>
        </w:rPr>
      </w:pPr>
      <w:r>
        <w:rPr>
          <w:rFonts w:eastAsia="Liberation Sans"/>
          <w:lang w:val="et-EE"/>
        </w:rPr>
        <w:t>Palume esitada avalik kumulatiivse mõju maatriks, milles on iga teadaoleva arenduse kohta toodud asukoht, staatus, eeldatav realiseerumisaeg, veevajadus, raadamine, liiklus, müra, ohud, kasutatud lähteandmed, kattuvad mõjualad ja järeldus koosmõju kohta. Ilma sellise jälgitava ülevaateta ei ole väide „koosmõjusid on hinnatud“ kontrollitav.</w:t>
      </w:r>
    </w:p>
    <w:p w14:paraId="289260EA" w14:textId="77777777" w:rsidR="002206E7" w:rsidRDefault="00000000">
      <w:pPr>
        <w:pStyle w:val="Heading2"/>
        <w:spacing w:before="160" w:after="80"/>
        <w:jc w:val="both"/>
        <w:rPr>
          <w:lang w:val="et-EE"/>
        </w:rPr>
      </w:pPr>
      <w:r>
        <w:rPr>
          <w:rFonts w:ascii="Liberation Sans" w:eastAsia="Liberation Sans" w:hAnsi="Liberation Sans"/>
          <w:sz w:val="23"/>
          <w:lang w:val="et-EE"/>
        </w:rPr>
        <w:t>2.7. Detailse lahenduse etapist loobumise eeldused ei ole tõendatud</w:t>
      </w:r>
    </w:p>
    <w:p w14:paraId="129CC7A1" w14:textId="77777777" w:rsidR="002206E7" w:rsidRDefault="00000000">
      <w:pPr>
        <w:jc w:val="both"/>
        <w:rPr>
          <w:rFonts w:hint="eastAsia"/>
          <w:lang w:val="et-EE"/>
        </w:rPr>
      </w:pPr>
      <w:r>
        <w:rPr>
          <w:rFonts w:eastAsia="Liberation Sans"/>
          <w:lang w:val="et-EE"/>
        </w:rPr>
        <w:t>Ministeerium viitab planeerimisseaduse § 27¹ lõikele 1 ning väidab, et Piirsalu täiendavad tööd on „olemuselt detailse etapi tegevused“. [1], [11] Formaalset menetlusetappi ei saa siiski asendada üksnes hinnanguga, et tehtud töö sarnaneb sisuliselt detailsele etapile.</w:t>
      </w:r>
    </w:p>
    <w:p w14:paraId="23A31E11" w14:textId="77777777" w:rsidR="002206E7" w:rsidRDefault="00000000">
      <w:pPr>
        <w:jc w:val="both"/>
        <w:rPr>
          <w:rFonts w:hint="eastAsia"/>
          <w:lang w:val="et-EE"/>
        </w:rPr>
      </w:pPr>
      <w:r>
        <w:rPr>
          <w:rFonts w:eastAsia="Liberation Sans"/>
          <w:lang w:val="et-EE"/>
        </w:rPr>
        <w:t>Detailse lahenduse etapi väärtus seisneb lisaks tehnilisele detailsusele avalikus menetluses, konkreetse ruumilahenduse kontrollis, alternatiivide ja ohualade läbipaistvas käsitluses, isikute kaasamises ning siduvate tingimuste kehtestamises. Vastuskiri tunnistab, et tehnoloogia on alles kontseptsiooni või osaliselt eelprojekti tasemel. Samuti öeldakse, et tulevikus ei pruugi avalikkus saada rohkem tehnoloogilisi andmeid kui praegu. [1]</w:t>
      </w:r>
    </w:p>
    <w:p w14:paraId="43C53CF4" w14:textId="77777777" w:rsidR="002206E7" w:rsidRDefault="00000000">
      <w:pPr>
        <w:jc w:val="both"/>
        <w:rPr>
          <w:rFonts w:hint="eastAsia"/>
          <w:lang w:val="et-EE"/>
        </w:rPr>
      </w:pPr>
      <w:r>
        <w:rPr>
          <w:rFonts w:eastAsia="Liberation Sans"/>
          <w:lang w:val="et-EE"/>
        </w:rPr>
        <w:t>Sellises olukorras ei ole tõendatud esimene seaduslik eeldus – et puuduvad välistavad tegurid – ega teine eeldus – et asukoha eelvalik sisaldab piisavalt täpseid tingimusi projekteerimis</w:t>
      </w:r>
      <w:r>
        <w:rPr>
          <w:rFonts w:eastAsia="Liberation Sans"/>
          <w:lang w:val="et-EE"/>
        </w:rPr>
        <w:softHyphen/>
        <w:t>tingimuste andmiseks. Kogukond ei väida, et avaldada tuleb riigisaladust või ärisaladust; avaldada tuleb salastamata koondandmed, mis võimaldavad kontrollida mõju ulatust ja planeeringutingimuste piisavust.</w:t>
      </w:r>
    </w:p>
    <w:p w14:paraId="00C04120" w14:textId="77777777" w:rsidR="002206E7" w:rsidRDefault="00000000">
      <w:pPr>
        <w:pStyle w:val="Heading2"/>
        <w:spacing w:before="160" w:after="80"/>
        <w:jc w:val="both"/>
        <w:rPr>
          <w:lang w:val="et-EE"/>
        </w:rPr>
      </w:pPr>
      <w:r>
        <w:rPr>
          <w:rFonts w:ascii="Liberation Sans" w:eastAsia="Liberation Sans" w:hAnsi="Liberation Sans"/>
          <w:sz w:val="23"/>
          <w:lang w:val="et-EE"/>
        </w:rPr>
        <w:lastRenderedPageBreak/>
        <w:t>2.8. Eksperdi formaalne sõltumatus ei vasta riskianalüüsi ulatuse küsimusele</w:t>
      </w:r>
    </w:p>
    <w:p w14:paraId="6A8F0BFD" w14:textId="77777777" w:rsidR="002206E7" w:rsidRDefault="00000000">
      <w:pPr>
        <w:jc w:val="both"/>
        <w:rPr>
          <w:rFonts w:hint="eastAsia"/>
          <w:lang w:val="et-EE"/>
        </w:rPr>
      </w:pPr>
      <w:r>
        <w:rPr>
          <w:rFonts w:eastAsia="Liberation Sans"/>
          <w:lang w:val="et-EE"/>
        </w:rPr>
        <w:t xml:space="preserve">Ministeerium vastab sõltumatu riskianalüüsi nõudele viitega KSH ekspertide erapooletuse kohustusele. [1], [12] Eksperdi formaalne erapooletus ja riskianalüüsi sisuline täielikkus on eri küsimused. Vastuskiri ei näita, et avalikult oleks käsitletud terviklikult A- ja B-kategooria suurõnnetuse, </w:t>
      </w:r>
      <w:proofErr w:type="spellStart"/>
      <w:r>
        <w:rPr>
          <w:rFonts w:eastAsia="Liberation Sans"/>
          <w:lang w:val="et-EE"/>
        </w:rPr>
        <w:t>dominoefekti</w:t>
      </w:r>
      <w:proofErr w:type="spellEnd"/>
      <w:r>
        <w:rPr>
          <w:rFonts w:eastAsia="Liberation Sans"/>
          <w:lang w:val="et-EE"/>
        </w:rPr>
        <w:t xml:space="preserve">, ohtlike veoste, tulekahju, toksilise suitsupilve, reovee- ja kustutusveesüsteemi rikke, avapõletamise häire, sõjaohu, sabotaaži, drooniründe ja </w:t>
      </w:r>
      <w:proofErr w:type="spellStart"/>
      <w:r>
        <w:rPr>
          <w:rFonts w:eastAsia="Liberation Sans"/>
          <w:lang w:val="et-EE"/>
        </w:rPr>
        <w:t>küberhäire</w:t>
      </w:r>
      <w:proofErr w:type="spellEnd"/>
      <w:r>
        <w:rPr>
          <w:rFonts w:eastAsia="Liberation Sans"/>
          <w:lang w:val="et-EE"/>
        </w:rPr>
        <w:t xml:space="preserve"> tagajärgi elanikele ja keskkonnale.</w:t>
      </w:r>
    </w:p>
    <w:p w14:paraId="0CCBDEED" w14:textId="77777777" w:rsidR="002206E7" w:rsidRDefault="00000000">
      <w:pPr>
        <w:jc w:val="both"/>
        <w:rPr>
          <w:rFonts w:hint="eastAsia"/>
          <w:lang w:val="et-EE"/>
        </w:rPr>
      </w:pPr>
      <w:r>
        <w:rPr>
          <w:rFonts w:eastAsia="Liberation Sans"/>
          <w:lang w:val="et-EE"/>
        </w:rPr>
        <w:t xml:space="preserve">Mõistame, et taktikalised turvameetmed ja osa haavatavuse andmetest võivad olla salastatud. See ei välista avalikku tagajärjepõhist kokkuvõtet: maksimaalne tehaseväline </w:t>
      </w:r>
      <w:proofErr w:type="spellStart"/>
      <w:r>
        <w:rPr>
          <w:rFonts w:eastAsia="Liberation Sans"/>
          <w:lang w:val="et-EE"/>
        </w:rPr>
        <w:t>ohuala</w:t>
      </w:r>
      <w:proofErr w:type="spellEnd"/>
      <w:r>
        <w:rPr>
          <w:rFonts w:eastAsia="Liberation Sans"/>
          <w:lang w:val="et-EE"/>
        </w:rPr>
        <w:t>, võimalikud toksilise pilve suunad, elanike teavitamise ja evakuatsiooni põhimõtted, joogivee asenduslahendus, päästevõime, ligipääsuteede sulgumise stsenaarium ning vastutavad asutused. Sellist kokkuvõtet vastuskiri ei esita.</w:t>
      </w:r>
    </w:p>
    <w:p w14:paraId="0433EC43" w14:textId="77777777" w:rsidR="002206E7" w:rsidRDefault="00000000">
      <w:pPr>
        <w:pStyle w:val="Heading2"/>
        <w:spacing w:before="160" w:after="80"/>
        <w:jc w:val="both"/>
        <w:rPr>
          <w:lang w:val="et-EE"/>
        </w:rPr>
      </w:pPr>
      <w:r>
        <w:rPr>
          <w:rFonts w:ascii="Liberation Sans" w:eastAsia="Liberation Sans" w:hAnsi="Liberation Sans"/>
          <w:sz w:val="23"/>
          <w:lang w:val="et-EE"/>
        </w:rPr>
        <w:t>2.9. Sotsiaalmajanduslik mõju on hinnangu, mitte uuringuga ümber lükatud</w:t>
      </w:r>
    </w:p>
    <w:p w14:paraId="56FB88BA" w14:textId="77777777" w:rsidR="002206E7" w:rsidRDefault="00000000">
      <w:pPr>
        <w:jc w:val="both"/>
        <w:rPr>
          <w:rFonts w:hint="eastAsia"/>
          <w:lang w:val="et-EE"/>
        </w:rPr>
      </w:pPr>
      <w:r>
        <w:rPr>
          <w:rFonts w:eastAsia="Liberation Sans"/>
          <w:lang w:val="et-EE"/>
        </w:rPr>
        <w:t>Ministeerium leiab, et elanike hirmudel ei ole põhjendatud alust ning pole põhjust arvata, et tehas halvendaks varade väärtust, turvatunnet või kogukonna arenguvõimalusi. [1] Vastuskiri ei viita siiski kinnisvaratehingute analüüsile, sõltumatutele hindamisaktidele, kindlustusandjate või krediidiasutuste seisukohtadele, elanike küsitlusele, tervise- ja heaoluhinnangule ega alternatiivsete arengustsenaariumide võrdlusele.</w:t>
      </w:r>
    </w:p>
    <w:p w14:paraId="0AB91EDE" w14:textId="77777777" w:rsidR="002206E7" w:rsidRDefault="00000000">
      <w:pPr>
        <w:jc w:val="both"/>
        <w:rPr>
          <w:rFonts w:hint="eastAsia"/>
          <w:lang w:val="et-EE"/>
        </w:rPr>
      </w:pPr>
      <w:r>
        <w:rPr>
          <w:rFonts w:eastAsia="Liberation Sans"/>
          <w:lang w:val="et-EE"/>
        </w:rPr>
        <w:t>Turvatunne ei ole pelgalt subjektiivne „hirm“, mida saab tehnilise kinnitusega kõrvale jätta. A- või B-kategooria suurõnnetuse ohuga lõhkeainetehase, ohtlike veoste, avapõletamise ja võimaliku sõjalise sihtmärgi lisandumine muudab piirkonna riskiprofiili ning võib mõjutada elukoha kasutusväärtust, kindlustatavust, vara turustatavust ja kogukonna arengusuunda. Nende mõjude puudumist tuleb tõendada sõltumatu ja avaliku analüüsiga.</w:t>
      </w:r>
    </w:p>
    <w:p w14:paraId="7AE1CF36" w14:textId="77777777" w:rsidR="002206E7" w:rsidRDefault="00000000">
      <w:pPr>
        <w:pStyle w:val="Heading2"/>
        <w:spacing w:before="160" w:after="80"/>
        <w:jc w:val="both"/>
        <w:rPr>
          <w:lang w:val="et-EE"/>
        </w:rPr>
      </w:pPr>
      <w:r>
        <w:rPr>
          <w:rFonts w:ascii="Liberation Sans" w:eastAsia="Liberation Sans" w:hAnsi="Liberation Sans"/>
          <w:sz w:val="23"/>
          <w:lang w:val="et-EE"/>
        </w:rPr>
        <w:t>2.10. Seire ja kahjuhüvitis ei tohi jääda tulevaseks kavatsuseks</w:t>
      </w:r>
    </w:p>
    <w:p w14:paraId="43D73D08" w14:textId="77777777" w:rsidR="002206E7" w:rsidRDefault="00000000">
      <w:pPr>
        <w:jc w:val="both"/>
        <w:rPr>
          <w:rFonts w:hint="eastAsia"/>
          <w:lang w:val="et-EE"/>
        </w:rPr>
      </w:pPr>
      <w:r>
        <w:rPr>
          <w:rFonts w:eastAsia="Liberation Sans"/>
          <w:lang w:val="et-EE"/>
        </w:rPr>
        <w:t>Ministeerium märgib, et täpsed seirekavad ja andmete avalikustamise võimalused töötatakse välja edasise arendamise käigus ning kahjuhüvituse küsimusi võiks lahendada tulevases koostöökokkuleppes. [1] See ei anna enne asukohaotsust kogukonnale ega maaomanikele siduvat kaitset.</w:t>
      </w:r>
    </w:p>
    <w:p w14:paraId="334D43D5" w14:textId="77777777" w:rsidR="002206E7" w:rsidRDefault="00000000">
      <w:pPr>
        <w:pStyle w:val="ListBullet"/>
        <w:spacing w:after="40" w:line="250" w:lineRule="auto"/>
        <w:ind w:left="369" w:hanging="198"/>
        <w:jc w:val="both"/>
        <w:rPr>
          <w:rFonts w:hint="eastAsia"/>
          <w:lang w:val="et-EE"/>
        </w:rPr>
      </w:pPr>
      <w:r>
        <w:rPr>
          <w:rFonts w:eastAsia="Liberation Sans"/>
          <w:lang w:val="et-EE"/>
        </w:rPr>
        <w:t>Planeeringus tuleb määrata vähemalt seiratavad näitajad, seirepunktid, lähteperiood, sagedus, häiretasemed, avaldamise tähtaeg, sõltumatu auditi kord ja tegevused piirväärtuse või trendimuutuse korral.</w:t>
      </w:r>
    </w:p>
    <w:p w14:paraId="363019BF" w14:textId="77777777" w:rsidR="002206E7" w:rsidRDefault="00000000">
      <w:pPr>
        <w:pStyle w:val="ListBullet"/>
        <w:spacing w:after="40" w:line="250" w:lineRule="auto"/>
        <w:ind w:left="369" w:hanging="198"/>
        <w:jc w:val="both"/>
        <w:rPr>
          <w:rFonts w:hint="eastAsia"/>
          <w:lang w:val="et-EE"/>
        </w:rPr>
      </w:pPr>
      <w:r>
        <w:rPr>
          <w:rFonts w:eastAsia="Liberation Sans"/>
          <w:lang w:val="et-EE"/>
        </w:rPr>
        <w:t>Kogukonnale tuleb tagada esindatus seire ja järelevalve nõukogus ning juurdepääs toorandmetele ulatuses, mis ei sisalda kaitstud teavet.</w:t>
      </w:r>
    </w:p>
    <w:p w14:paraId="6E588648" w14:textId="77777777" w:rsidR="002206E7" w:rsidRDefault="00000000">
      <w:pPr>
        <w:pStyle w:val="ListBullet"/>
        <w:spacing w:after="40" w:line="250" w:lineRule="auto"/>
        <w:ind w:left="369" w:hanging="198"/>
        <w:jc w:val="both"/>
        <w:rPr>
          <w:rFonts w:hint="eastAsia"/>
          <w:lang w:val="et-EE"/>
        </w:rPr>
      </w:pPr>
      <w:r>
        <w:rPr>
          <w:rFonts w:eastAsia="Liberation Sans"/>
          <w:lang w:val="et-EE"/>
        </w:rPr>
        <w:t>Kahjuhüvitis peab hõlmama lisaks otsesele avariikahjule pikaajalist põhjavee- ja pinnaveekahju, ajutist veevarustust, uue kaevu või veetrassi rajamist, ekspertiisikulu, vara väärtuse vähenemist ning keskkonna taastamist.</w:t>
      </w:r>
    </w:p>
    <w:p w14:paraId="55246673" w14:textId="77777777" w:rsidR="002206E7" w:rsidRDefault="00000000">
      <w:pPr>
        <w:pStyle w:val="ListBullet"/>
        <w:spacing w:after="40" w:line="250" w:lineRule="auto"/>
        <w:ind w:left="369" w:hanging="198"/>
        <w:jc w:val="both"/>
        <w:rPr>
          <w:rFonts w:hint="eastAsia"/>
          <w:lang w:val="et-EE"/>
        </w:rPr>
      </w:pPr>
      <w:r>
        <w:rPr>
          <w:rFonts w:eastAsia="Liberation Sans"/>
          <w:lang w:val="et-EE"/>
        </w:rPr>
        <w:t>Ettevõtja vastutuskindlustus ei asenda riigi või arendaja finantstagatist, sest kindlustuskaitsel võivad olla välistused, omavastutus, piirmäär ja põhjusliku seose vaidlus.</w:t>
      </w:r>
    </w:p>
    <w:p w14:paraId="707B3200" w14:textId="77777777" w:rsidR="002206E7" w:rsidRDefault="00000000">
      <w:pPr>
        <w:pStyle w:val="Heading1"/>
        <w:spacing w:before="240" w:after="80"/>
        <w:jc w:val="both"/>
        <w:rPr>
          <w:lang w:val="et-EE"/>
        </w:rPr>
      </w:pPr>
      <w:r>
        <w:rPr>
          <w:rFonts w:ascii="Liberation Sans" w:eastAsia="Liberation Sans" w:hAnsi="Liberation Sans"/>
          <w:sz w:val="26"/>
          <w:lang w:val="et-EE"/>
        </w:rPr>
        <w:t>3. Taotlused ja nõutavad täpsustused</w:t>
      </w:r>
    </w:p>
    <w:p w14:paraId="413A1D3D" w14:textId="77777777" w:rsidR="002206E7" w:rsidRDefault="00000000">
      <w:pPr>
        <w:jc w:val="both"/>
        <w:rPr>
          <w:rFonts w:hint="eastAsia"/>
          <w:lang w:val="et-EE"/>
        </w:rPr>
      </w:pPr>
      <w:r>
        <w:rPr>
          <w:rFonts w:eastAsia="Liberation Sans"/>
          <w:lang w:val="et-EE"/>
        </w:rPr>
        <w:t>Palume Kaitseministeeriumil muuta 19.06.2026 kirjas väljendatud seisukohta ning teha Vabariigi Valitsusele ettepanek Piirsalu eelvalikuala asukohavalikust välja jätta. Kui menetlust siiski jätkatakse, palume enne asukoha eelvaliku otsust teha ja avalikustada alljärgnev.</w:t>
      </w:r>
    </w:p>
    <w:p w14:paraId="6D809515" w14:textId="77777777" w:rsidR="002206E7" w:rsidRDefault="00000000">
      <w:pPr>
        <w:pStyle w:val="ListNumber"/>
        <w:spacing w:after="60" w:line="254" w:lineRule="auto"/>
        <w:ind w:left="369" w:hanging="255"/>
        <w:jc w:val="both"/>
        <w:rPr>
          <w:rFonts w:hint="eastAsia"/>
          <w:lang w:val="et-EE"/>
        </w:rPr>
      </w:pPr>
      <w:r>
        <w:rPr>
          <w:rFonts w:eastAsia="Liberation Sans"/>
          <w:lang w:val="et-EE"/>
        </w:rPr>
        <w:t>Piirsalu ja Aidu kasutuselevõtmise vajaduse hindamise dokument, sealhulgas tootmisvõimsuse vajadus, juba kehtestatud Pärnu 1 ja Põhja-Kiviõli alade võimekus ning põhjendus, miks Piirsalu on vajalik.</w:t>
      </w:r>
    </w:p>
    <w:p w14:paraId="78E4445B" w14:textId="77777777" w:rsidR="002206E7" w:rsidRDefault="00000000">
      <w:pPr>
        <w:pStyle w:val="ListNumber"/>
        <w:spacing w:after="60" w:line="254" w:lineRule="auto"/>
        <w:ind w:left="369" w:hanging="255"/>
        <w:jc w:val="both"/>
        <w:rPr>
          <w:rFonts w:hint="eastAsia"/>
          <w:lang w:val="et-EE"/>
        </w:rPr>
      </w:pPr>
      <w:r>
        <w:rPr>
          <w:rFonts w:eastAsia="Liberation Sans"/>
          <w:lang w:val="et-EE"/>
        </w:rPr>
        <w:t>Kõigi realistlike asukohaalternatiivide uuendatud võrdlus samade kriteeriumide, sama tehnoloogilise lähteülesande ja samade konservatiivsete stsenaariumide alusel.</w:t>
      </w:r>
    </w:p>
    <w:p w14:paraId="681F4F77" w14:textId="77777777" w:rsidR="002206E7" w:rsidRDefault="00000000">
      <w:pPr>
        <w:pStyle w:val="ListNumber"/>
        <w:spacing w:after="60" w:line="254" w:lineRule="auto"/>
        <w:ind w:left="369" w:hanging="255"/>
        <w:jc w:val="both"/>
        <w:rPr>
          <w:rFonts w:hint="eastAsia"/>
          <w:lang w:val="et-EE"/>
        </w:rPr>
      </w:pPr>
      <w:r>
        <w:rPr>
          <w:rFonts w:eastAsia="Liberation Sans"/>
          <w:lang w:val="et-EE"/>
        </w:rPr>
        <w:t xml:space="preserve">Riigi eriplaneeringu detailse lahenduse täielik menetlus või selge õiguslik ja sisuline põhjendus, kuidas iga </w:t>
      </w:r>
      <w:proofErr w:type="spellStart"/>
      <w:r>
        <w:rPr>
          <w:rFonts w:eastAsia="Liberation Sans"/>
          <w:lang w:val="et-EE"/>
        </w:rPr>
        <w:t>PlanS</w:t>
      </w:r>
      <w:proofErr w:type="spellEnd"/>
      <w:r>
        <w:rPr>
          <w:rFonts w:eastAsia="Liberation Sans"/>
          <w:lang w:val="et-EE"/>
        </w:rPr>
        <w:t xml:space="preserve"> § 27¹ lõike 1 eeldus on Piirsalu puhul tõendatud.</w:t>
      </w:r>
    </w:p>
    <w:p w14:paraId="1438848A" w14:textId="77777777" w:rsidR="002206E7" w:rsidRDefault="00000000">
      <w:pPr>
        <w:pStyle w:val="ListNumber"/>
        <w:spacing w:after="60" w:line="254" w:lineRule="auto"/>
        <w:ind w:left="369" w:hanging="255"/>
        <w:jc w:val="both"/>
        <w:rPr>
          <w:rFonts w:hint="eastAsia"/>
          <w:lang w:val="et-EE"/>
        </w:rPr>
      </w:pPr>
      <w:r>
        <w:rPr>
          <w:rFonts w:eastAsia="Liberation Sans"/>
          <w:lang w:val="et-EE"/>
        </w:rPr>
        <w:lastRenderedPageBreak/>
        <w:t>Salastamata tehniline koondkirjeldus, mis sisaldab vähemalt toodete ja protsesside rühmi, maksimaalset aastast ja ööpäevast tootmismahtu, käideldavate ohtlike ainete rühmi ja maksimumkoguseid, ladustamismahte, hoonete funktsioone, heiteallikaid, vee- ja energiavajadust ning jäätmevooge.</w:t>
      </w:r>
    </w:p>
    <w:p w14:paraId="574162B8" w14:textId="77777777" w:rsidR="002206E7" w:rsidRDefault="00000000">
      <w:pPr>
        <w:pStyle w:val="ListNumber"/>
        <w:spacing w:after="60" w:line="254" w:lineRule="auto"/>
        <w:ind w:left="369" w:hanging="255"/>
        <w:jc w:val="both"/>
        <w:rPr>
          <w:rFonts w:hint="eastAsia"/>
          <w:lang w:val="et-EE"/>
        </w:rPr>
      </w:pPr>
      <w:r>
        <w:rPr>
          <w:rFonts w:eastAsia="Liberation Sans"/>
          <w:lang w:val="et-EE"/>
        </w:rPr>
        <w:t>Ruumiline ohutusbilanss ja kaardid, mis näitavad hoonete, hoidlate, ohualade, turva- ja päästetsoonide, elamute, teede, veekogude, puhvrite ning kaitstavate väärtuste paiknemist.</w:t>
      </w:r>
    </w:p>
    <w:p w14:paraId="02751CB7" w14:textId="77777777" w:rsidR="002206E7" w:rsidRDefault="00000000">
      <w:pPr>
        <w:pStyle w:val="ListNumber"/>
        <w:spacing w:after="60" w:line="254" w:lineRule="auto"/>
        <w:ind w:left="369" w:hanging="255"/>
        <w:jc w:val="both"/>
        <w:rPr>
          <w:rFonts w:hint="eastAsia"/>
          <w:lang w:val="et-EE"/>
        </w:rPr>
      </w:pPr>
      <w:r>
        <w:rPr>
          <w:rFonts w:eastAsia="Liberation Sans"/>
          <w:lang w:val="et-EE"/>
        </w:rPr>
        <w:t xml:space="preserve">Sõltumatu ja terviklik riskianalüüs koos avaliku tagajärjepõhise kokkuvõttega, hõlmates suurõnnetust, </w:t>
      </w:r>
      <w:proofErr w:type="spellStart"/>
      <w:r>
        <w:rPr>
          <w:rFonts w:eastAsia="Liberation Sans"/>
          <w:lang w:val="et-EE"/>
        </w:rPr>
        <w:t>dominoefekti</w:t>
      </w:r>
      <w:proofErr w:type="spellEnd"/>
      <w:r>
        <w:rPr>
          <w:rFonts w:eastAsia="Liberation Sans"/>
          <w:lang w:val="et-EE"/>
        </w:rPr>
        <w:t xml:space="preserve">, tulekahju, toksilist suitsu, ohtlike veoste õnnetust, avapõletamise häiret, sabotaaži, droonirünnet, </w:t>
      </w:r>
      <w:proofErr w:type="spellStart"/>
      <w:r>
        <w:rPr>
          <w:rFonts w:eastAsia="Liberation Sans"/>
          <w:lang w:val="et-EE"/>
        </w:rPr>
        <w:t>küberhäiret</w:t>
      </w:r>
      <w:proofErr w:type="spellEnd"/>
      <w:r>
        <w:rPr>
          <w:rFonts w:eastAsia="Liberation Sans"/>
          <w:lang w:val="et-EE"/>
        </w:rPr>
        <w:t xml:space="preserve"> ja sõjaolukorda.</w:t>
      </w:r>
    </w:p>
    <w:p w14:paraId="61DB5339" w14:textId="77777777" w:rsidR="002206E7" w:rsidRDefault="00000000">
      <w:pPr>
        <w:pStyle w:val="ListNumber"/>
        <w:spacing w:after="60" w:line="254" w:lineRule="auto"/>
        <w:ind w:left="369" w:hanging="255"/>
        <w:jc w:val="both"/>
        <w:rPr>
          <w:rFonts w:hint="eastAsia"/>
          <w:lang w:val="et-EE"/>
        </w:rPr>
      </w:pPr>
      <w:r>
        <w:rPr>
          <w:rFonts w:eastAsia="Liberation Sans"/>
          <w:lang w:val="et-EE"/>
        </w:rPr>
        <w:t>Päästeameti ja teiste pädevate asutuste avalik valmisolekuhinnang: reageerimisajad, kustutusvee vajadus, meditsiiniline võimekus, evakuatsiooniteed, elanike teavitamine ning olukord, kus põhiline juurdepääs on suletud.</w:t>
      </w:r>
    </w:p>
    <w:p w14:paraId="36149B22" w14:textId="77777777" w:rsidR="002206E7" w:rsidRDefault="00000000">
      <w:pPr>
        <w:pStyle w:val="ListNumber"/>
        <w:spacing w:after="60" w:line="254" w:lineRule="auto"/>
        <w:ind w:left="369" w:hanging="255"/>
        <w:jc w:val="both"/>
        <w:rPr>
          <w:rFonts w:hint="eastAsia"/>
          <w:lang w:val="et-EE"/>
        </w:rPr>
      </w:pPr>
      <w:r>
        <w:rPr>
          <w:rFonts w:eastAsia="Liberation Sans"/>
          <w:lang w:val="et-EE"/>
        </w:rPr>
        <w:t xml:space="preserve">Kõigi võimalikus mõjualas olevate era- ja </w:t>
      </w:r>
      <w:proofErr w:type="spellStart"/>
      <w:r>
        <w:rPr>
          <w:rFonts w:eastAsia="Liberation Sans"/>
          <w:lang w:val="et-EE"/>
        </w:rPr>
        <w:t>ühisveekaevude</w:t>
      </w:r>
      <w:proofErr w:type="spellEnd"/>
      <w:r>
        <w:rPr>
          <w:rFonts w:eastAsia="Liberation Sans"/>
          <w:lang w:val="et-EE"/>
        </w:rPr>
        <w:t xml:space="preserve"> inventuur, vähemalt ühe aasta lähteseire ning põhjaveemudeli täielik salastamata metoodika ja stsenaariumide kokkuvõte.</w:t>
      </w:r>
    </w:p>
    <w:p w14:paraId="4F9047A2" w14:textId="77777777" w:rsidR="002206E7" w:rsidRDefault="00000000">
      <w:pPr>
        <w:pStyle w:val="ListNumber"/>
        <w:spacing w:after="60" w:line="254" w:lineRule="auto"/>
        <w:ind w:left="369" w:hanging="255"/>
        <w:jc w:val="both"/>
        <w:rPr>
          <w:rFonts w:hint="eastAsia"/>
          <w:lang w:val="et-EE"/>
        </w:rPr>
      </w:pPr>
      <w:r>
        <w:rPr>
          <w:rFonts w:eastAsia="Liberation Sans"/>
          <w:lang w:val="et-EE"/>
        </w:rPr>
        <w:t>Põhjaveevaru hindamine ka juhul, kui kavandatav nimivõtt jääb formaalselt alla 500 m³ ööpäevas, kui tegelik maksimum, koosmõju või veekihi seisund võib põhjustada olulise alanemise.</w:t>
      </w:r>
    </w:p>
    <w:p w14:paraId="6D18FB59" w14:textId="77777777" w:rsidR="002206E7" w:rsidRDefault="00000000">
      <w:pPr>
        <w:pStyle w:val="ListNumber"/>
        <w:spacing w:after="60" w:line="254" w:lineRule="auto"/>
        <w:ind w:left="369" w:hanging="255"/>
        <w:jc w:val="both"/>
        <w:rPr>
          <w:rFonts w:hint="eastAsia"/>
          <w:lang w:val="et-EE"/>
        </w:rPr>
      </w:pPr>
      <w:r>
        <w:rPr>
          <w:rFonts w:eastAsia="Liberation Sans"/>
          <w:lang w:val="et-EE"/>
        </w:rPr>
        <w:t>Valgalapõhine pinnaveeuuring Lepaste oja – Piirsalu jõgi – Vihterpalu jõgi süsteemis, kasutades kriitilist madalvett ja hõlmates lõheliste elupaiku, heitvett, saastunud sademevett, tulekustutusvett ja avariiäravoolu.</w:t>
      </w:r>
    </w:p>
    <w:p w14:paraId="726F7BF1" w14:textId="77777777" w:rsidR="002206E7" w:rsidRDefault="00000000">
      <w:pPr>
        <w:pStyle w:val="ListNumber"/>
        <w:spacing w:after="60" w:line="254" w:lineRule="auto"/>
        <w:ind w:left="369" w:hanging="255"/>
        <w:jc w:val="both"/>
        <w:rPr>
          <w:rFonts w:hint="eastAsia"/>
          <w:lang w:val="et-EE"/>
        </w:rPr>
      </w:pPr>
      <w:r>
        <w:rPr>
          <w:rFonts w:eastAsia="Liberation Sans"/>
          <w:lang w:val="et-EE"/>
        </w:rPr>
        <w:t>Planeeringutingimus, mis välistab tehnoloogilise reovee, saastunud sademevee ja avariivee kontrollimatu või vahetu juhtimise tundlikesse vooluveekogudesse ning nõuab täielikult isoleeritavat avariimahutavust.</w:t>
      </w:r>
    </w:p>
    <w:p w14:paraId="39F2BB12" w14:textId="77777777" w:rsidR="002206E7" w:rsidRDefault="00000000">
      <w:pPr>
        <w:pStyle w:val="ListNumber"/>
        <w:spacing w:after="60" w:line="254" w:lineRule="auto"/>
        <w:ind w:left="369" w:hanging="255"/>
        <w:jc w:val="both"/>
        <w:rPr>
          <w:rFonts w:hint="eastAsia"/>
          <w:lang w:val="et-EE"/>
        </w:rPr>
      </w:pPr>
      <w:r>
        <w:rPr>
          <w:rFonts w:eastAsia="Liberation Sans"/>
          <w:lang w:val="et-EE"/>
        </w:rPr>
        <w:t xml:space="preserve">Planeeringutingimus, mis keelab Piirsalus avapõletamise ja </w:t>
      </w:r>
      <w:proofErr w:type="spellStart"/>
      <w:r>
        <w:rPr>
          <w:rFonts w:eastAsia="Liberation Sans"/>
          <w:lang w:val="et-EE"/>
        </w:rPr>
        <w:t>avadetonatsiooni</w:t>
      </w:r>
      <w:proofErr w:type="spellEnd"/>
      <w:r>
        <w:rPr>
          <w:rFonts w:eastAsia="Liberation Sans"/>
          <w:lang w:val="et-EE"/>
        </w:rPr>
        <w:t xml:space="preserve"> ning nõuab suletud PVT-kohast jäätmekäitlust või jäätmete üleandmist loa omavale käitlejale.</w:t>
      </w:r>
    </w:p>
    <w:p w14:paraId="2FFF7862" w14:textId="77777777" w:rsidR="002206E7" w:rsidRDefault="00000000">
      <w:pPr>
        <w:pStyle w:val="ListNumber"/>
        <w:spacing w:after="60" w:line="254" w:lineRule="auto"/>
        <w:ind w:left="369" w:hanging="255"/>
        <w:jc w:val="both"/>
        <w:rPr>
          <w:rFonts w:hint="eastAsia"/>
          <w:lang w:val="et-EE"/>
        </w:rPr>
      </w:pPr>
      <w:r>
        <w:rPr>
          <w:rFonts w:eastAsia="Liberation Sans"/>
          <w:lang w:val="et-EE"/>
        </w:rPr>
        <w:t xml:space="preserve">Ajakohased hooajalised välitööd metsise, kanakulli, muu olulise linnustiku, kaitstavate taimede, </w:t>
      </w:r>
      <w:proofErr w:type="spellStart"/>
      <w:r>
        <w:rPr>
          <w:rFonts w:eastAsia="Liberation Sans"/>
          <w:lang w:val="et-EE"/>
        </w:rPr>
        <w:t>vääriselupaikade</w:t>
      </w:r>
      <w:proofErr w:type="spellEnd"/>
      <w:r>
        <w:rPr>
          <w:rFonts w:eastAsia="Liberation Sans"/>
          <w:lang w:val="et-EE"/>
        </w:rPr>
        <w:t>, loomastiku liikumiskoridoride ja barjääriefekti kohta kogu tegelikus mõjualas.</w:t>
      </w:r>
    </w:p>
    <w:p w14:paraId="76BA0F15" w14:textId="77777777" w:rsidR="002206E7" w:rsidRDefault="00000000">
      <w:pPr>
        <w:pStyle w:val="ListNumber"/>
        <w:spacing w:after="60" w:line="254" w:lineRule="auto"/>
        <w:ind w:left="369" w:hanging="255"/>
        <w:jc w:val="both"/>
        <w:rPr>
          <w:rFonts w:hint="eastAsia"/>
          <w:lang w:val="et-EE"/>
        </w:rPr>
      </w:pPr>
      <w:r>
        <w:rPr>
          <w:rFonts w:eastAsia="Liberation Sans"/>
          <w:lang w:val="et-EE"/>
        </w:rPr>
        <w:t>Kompensatsioonimeetmete sõltumatu teostatavus- ja tulemuslikkuse hinnang, mis näitab, et liigi soodsa seisundi säilimine ei sõltu ebakindlast tulevasest tulemusest.</w:t>
      </w:r>
    </w:p>
    <w:p w14:paraId="5AE17D68" w14:textId="77777777" w:rsidR="002206E7" w:rsidRDefault="00000000">
      <w:pPr>
        <w:pStyle w:val="ListNumber"/>
        <w:spacing w:after="60" w:line="254" w:lineRule="auto"/>
        <w:ind w:left="369" w:hanging="255"/>
        <w:jc w:val="both"/>
        <w:rPr>
          <w:rFonts w:hint="eastAsia"/>
          <w:lang w:val="et-EE"/>
        </w:rPr>
      </w:pPr>
      <w:r>
        <w:rPr>
          <w:rFonts w:eastAsia="Liberation Sans"/>
          <w:lang w:val="et-EE"/>
        </w:rPr>
        <w:t xml:space="preserve">Avalik kumulatiivse mõju maatriks, mis hõlmab Risti päikeseparki ja akupanka, tuuleparki, andmekeskust, </w:t>
      </w:r>
      <w:proofErr w:type="spellStart"/>
      <w:r>
        <w:rPr>
          <w:rFonts w:eastAsia="Liberation Sans"/>
          <w:lang w:val="et-EE"/>
        </w:rPr>
        <w:t>EstLink</w:t>
      </w:r>
      <w:proofErr w:type="spellEnd"/>
      <w:r>
        <w:rPr>
          <w:rFonts w:eastAsia="Liberation Sans"/>
          <w:lang w:val="et-EE"/>
        </w:rPr>
        <w:t xml:space="preserve"> 3, karjääre ja maardlaid, metsandust, teid, elektritaristut ning nende koostoimet veele, loodusele, liiklusele, päästevõimele ja elukeskkonnale.</w:t>
      </w:r>
    </w:p>
    <w:p w14:paraId="1794E476" w14:textId="77777777" w:rsidR="002206E7" w:rsidRDefault="00000000">
      <w:pPr>
        <w:pStyle w:val="ListNumber"/>
        <w:spacing w:after="60" w:line="254" w:lineRule="auto"/>
        <w:ind w:left="369" w:hanging="255"/>
        <w:jc w:val="both"/>
        <w:rPr>
          <w:rFonts w:hint="eastAsia"/>
          <w:lang w:val="et-EE"/>
        </w:rPr>
      </w:pPr>
      <w:r>
        <w:rPr>
          <w:rFonts w:eastAsia="Liberation Sans"/>
          <w:lang w:val="et-EE"/>
        </w:rPr>
        <w:t>Sõltumatu sotsiaalmajanduslik analüüs, mis käsitleb kinnisvara turuväärtust, kindlustatavust, laenutagatise väärtust, tervist, turvatunnet, demograafiat, ettevõtlust ja kogukonna alternatiivseid arenguvõimalusi.</w:t>
      </w:r>
    </w:p>
    <w:p w14:paraId="460D4900" w14:textId="77777777" w:rsidR="002206E7" w:rsidRDefault="00000000">
      <w:pPr>
        <w:pStyle w:val="ListNumber"/>
        <w:spacing w:after="60" w:line="254" w:lineRule="auto"/>
        <w:ind w:left="369" w:hanging="255"/>
        <w:jc w:val="both"/>
        <w:rPr>
          <w:rFonts w:hint="eastAsia"/>
          <w:lang w:val="et-EE"/>
        </w:rPr>
      </w:pPr>
      <w:r>
        <w:rPr>
          <w:rFonts w:eastAsia="Liberation Sans"/>
          <w:lang w:val="et-EE"/>
        </w:rPr>
        <w:t>Siduv seirekava koos lähteandmete, seirepunktide, sageduse, häiretasemete, avaliku andmeportaali, sõltumatu auditi ja kogukonna esindatusega.</w:t>
      </w:r>
    </w:p>
    <w:p w14:paraId="06B65F71" w14:textId="77777777" w:rsidR="002206E7" w:rsidRDefault="00000000">
      <w:pPr>
        <w:pStyle w:val="ListNumber"/>
        <w:spacing w:after="60" w:line="254" w:lineRule="auto"/>
        <w:ind w:left="369" w:hanging="255"/>
        <w:jc w:val="both"/>
        <w:rPr>
          <w:rFonts w:hint="eastAsia"/>
          <w:lang w:val="et-EE"/>
        </w:rPr>
      </w:pPr>
      <w:r>
        <w:rPr>
          <w:rFonts w:eastAsia="Liberation Sans"/>
          <w:lang w:val="et-EE"/>
        </w:rPr>
        <w:t>Enne ehitamist jõustuv kahjuhüvitus- ja finantstagatise mehhanism, mis ei piirdu ettevõtja vastutuskindlustusega.</w:t>
      </w:r>
    </w:p>
    <w:p w14:paraId="1D782EBF" w14:textId="77777777" w:rsidR="002206E7" w:rsidRDefault="00000000">
      <w:pPr>
        <w:pStyle w:val="ListNumber"/>
        <w:spacing w:after="60" w:line="254" w:lineRule="auto"/>
        <w:ind w:left="369" w:hanging="255"/>
        <w:jc w:val="both"/>
        <w:rPr>
          <w:rFonts w:hint="eastAsia"/>
          <w:lang w:val="et-EE"/>
        </w:rPr>
      </w:pPr>
      <w:r>
        <w:rPr>
          <w:rFonts w:eastAsia="Liberation Sans"/>
          <w:lang w:val="et-EE"/>
        </w:rPr>
        <w:t>Punktide kaupa põhjendatud vastus käesolevale dokumendile ning selge ülevaade, kuidas iga ettepanekuga planeeringus arvestatakse või miks see jäetakse arvestamata.</w:t>
      </w:r>
    </w:p>
    <w:p w14:paraId="26A60DCF" w14:textId="77777777" w:rsidR="002206E7" w:rsidRDefault="00000000">
      <w:pPr>
        <w:pStyle w:val="Heading1"/>
        <w:spacing w:before="240" w:after="80"/>
        <w:jc w:val="both"/>
        <w:rPr>
          <w:lang w:val="et-EE"/>
        </w:rPr>
      </w:pPr>
      <w:r>
        <w:rPr>
          <w:rFonts w:ascii="Liberation Sans" w:eastAsia="Liberation Sans" w:hAnsi="Liberation Sans"/>
          <w:sz w:val="26"/>
          <w:lang w:val="et-EE"/>
        </w:rPr>
        <w:t>4. Kokkuvõte</w:t>
      </w:r>
    </w:p>
    <w:p w14:paraId="4B6C8F6C" w14:textId="77777777" w:rsidR="002206E7" w:rsidRDefault="00000000">
      <w:pPr>
        <w:jc w:val="both"/>
        <w:rPr>
          <w:rFonts w:hint="eastAsia"/>
          <w:lang w:val="et-EE"/>
        </w:rPr>
      </w:pPr>
      <w:r>
        <w:rPr>
          <w:rFonts w:eastAsia="Liberation Sans"/>
          <w:lang w:val="et-EE"/>
        </w:rPr>
        <w:t xml:space="preserve">Kaitseministeeriumi vastuskiri ei kõrvalda kogukonna vastuväiteid. Vastus kinnitab, et kavandatava tegevuse tegelik sisu on konkreetne lõhkeainetehas koos võimaliku lähteainete tootmisega; avapõletamise võimalus jääb alles; tehnoloogiline lahendus ei ole lõplik; osa andmeid ei muutu avalikuks; loodusuuringud on valdavalt </w:t>
      </w:r>
      <w:proofErr w:type="spellStart"/>
      <w:r>
        <w:rPr>
          <w:rFonts w:eastAsia="Liberation Sans"/>
          <w:lang w:val="et-EE"/>
        </w:rPr>
        <w:t>kameraalsed</w:t>
      </w:r>
      <w:proofErr w:type="spellEnd"/>
      <w:r>
        <w:rPr>
          <w:rFonts w:eastAsia="Liberation Sans"/>
          <w:lang w:val="et-EE"/>
        </w:rPr>
        <w:t xml:space="preserve"> ning seire- ja hüvitusmeetmed kujundatakse hiljem. Need asjaolud ei vähenda, vaid suurendavad vajadust konservatiivse asukohavaliku järele.</w:t>
      </w:r>
    </w:p>
    <w:p w14:paraId="1EC6F82E" w14:textId="77777777" w:rsidR="002206E7" w:rsidRDefault="00000000">
      <w:pPr>
        <w:jc w:val="both"/>
        <w:rPr>
          <w:rFonts w:hint="eastAsia"/>
          <w:lang w:val="et-EE"/>
        </w:rPr>
      </w:pPr>
      <w:r>
        <w:rPr>
          <w:rFonts w:eastAsia="Liberation Sans"/>
          <w:lang w:val="et-EE"/>
        </w:rPr>
        <w:t>Me ei pea tõendatuks, et Piirsalu puhul puuduvad välistavad tegurid või et asukoha eelvaliku dokumentatsioon on piisavalt detailne projekteerimistingimuste aluseks. Samuti ei ole avalikult põhjendatud Piirsalu kasutuselevõtmise vajadus olukorras, kus kaks kaitsetööstuspargi ala on juba kehtestatud.</w:t>
      </w:r>
    </w:p>
    <w:p w14:paraId="522BBD4C" w14:textId="77777777" w:rsidR="002206E7" w:rsidRDefault="00000000">
      <w:pPr>
        <w:jc w:val="both"/>
        <w:rPr>
          <w:rFonts w:hint="eastAsia"/>
          <w:lang w:val="et-EE"/>
        </w:rPr>
      </w:pPr>
      <w:r>
        <w:rPr>
          <w:rFonts w:eastAsia="Liberation Sans"/>
          <w:b/>
          <w:lang w:val="et-EE"/>
        </w:rPr>
        <w:lastRenderedPageBreak/>
        <w:t>Sellest tulenevalt palume Piirsalu eelvalikuala riigi eriplaneeringu asukohavalikust välja jätta. Alternatiivselt palume peatada Piirsalu asukohaotsuse tegemine seni, kuni käesolevas dokumendis loetletud uuringud, lähteandmed, menetluslikud garantiid ja siduvad tingimused on avalikult esitatud ning sõltumatult kontrollitud.</w:t>
      </w:r>
    </w:p>
    <w:p w14:paraId="7309FC79" w14:textId="77777777" w:rsidR="002206E7" w:rsidRDefault="00000000">
      <w:pPr>
        <w:jc w:val="both"/>
        <w:rPr>
          <w:rFonts w:hint="eastAsia"/>
          <w:lang w:val="et-EE"/>
        </w:rPr>
      </w:pPr>
      <w:r>
        <w:rPr>
          <w:rFonts w:eastAsia="Liberation Sans"/>
          <w:lang w:val="et-EE"/>
        </w:rPr>
        <w:t>Palume vastata käesolevale pöördumisele sisuliselt ja punktide kaupa ning lisada vastus koos ettepanekute arvestamise või arvestamata jätmise põhjendustega riigi eriplaneeringu avalikesse menetlusmaterjalidesse.</w:t>
      </w:r>
    </w:p>
    <w:p w14:paraId="6127B56D" w14:textId="77777777" w:rsidR="002206E7" w:rsidRDefault="002206E7">
      <w:pPr>
        <w:spacing w:before="320" w:after="160"/>
        <w:jc w:val="both"/>
        <w:rPr>
          <w:rFonts w:eastAsia="Liberation Sans"/>
          <w:lang w:val="et-EE"/>
        </w:rPr>
      </w:pPr>
    </w:p>
    <w:p w14:paraId="4B680005" w14:textId="77777777" w:rsidR="002206E7" w:rsidRDefault="00000000">
      <w:pPr>
        <w:spacing w:before="320" w:after="160"/>
        <w:jc w:val="both"/>
        <w:rPr>
          <w:rFonts w:hint="eastAsia"/>
          <w:lang w:val="et-EE"/>
        </w:rPr>
      </w:pPr>
      <w:r>
        <w:rPr>
          <w:rFonts w:eastAsia="Liberation Sans"/>
          <w:lang w:val="et-EE"/>
        </w:rPr>
        <w:t>Lugupidamisega</w:t>
      </w:r>
    </w:p>
    <w:tbl>
      <w:tblPr>
        <w:tblW w:w="9298" w:type="dxa"/>
        <w:tblInd w:w="108" w:type="dxa"/>
        <w:tblLayout w:type="fixed"/>
        <w:tblLook w:val="04A0" w:firstRow="1" w:lastRow="0" w:firstColumn="1" w:lastColumn="0" w:noHBand="0" w:noVBand="1"/>
      </w:tblPr>
      <w:tblGrid>
        <w:gridCol w:w="4649"/>
        <w:gridCol w:w="4649"/>
      </w:tblGrid>
      <w:tr w:rsidR="002206E7" w14:paraId="3582614F" w14:textId="77777777">
        <w:tc>
          <w:tcPr>
            <w:tcW w:w="4649" w:type="dxa"/>
          </w:tcPr>
          <w:p w14:paraId="6FD5AF75" w14:textId="77777777" w:rsidR="002206E7" w:rsidRDefault="00000000">
            <w:pPr>
              <w:spacing w:after="280"/>
              <w:jc w:val="both"/>
              <w:rPr>
                <w:rFonts w:hint="eastAsia"/>
                <w:lang w:val="et-EE"/>
              </w:rPr>
            </w:pPr>
            <w:r>
              <w:rPr>
                <w:rFonts w:eastAsia="Liberation Sans"/>
                <w:i/>
                <w:color w:val="5A5A5A"/>
                <w:sz w:val="18"/>
                <w:lang w:val="et-EE"/>
              </w:rPr>
              <w:t>[allkirjastatud digitaalselt]</w:t>
            </w:r>
          </w:p>
          <w:p w14:paraId="73B90E11" w14:textId="77777777" w:rsidR="002206E7" w:rsidRDefault="00000000">
            <w:pPr>
              <w:spacing w:after="20"/>
              <w:jc w:val="both"/>
              <w:rPr>
                <w:rFonts w:hint="eastAsia"/>
                <w:lang w:val="et-EE"/>
              </w:rPr>
            </w:pPr>
            <w:r>
              <w:rPr>
                <w:rFonts w:eastAsia="Liberation Sans"/>
                <w:b/>
                <w:lang w:val="et-EE"/>
              </w:rPr>
              <w:t>[nimi]</w:t>
            </w:r>
          </w:p>
          <w:p w14:paraId="1D5D980A" w14:textId="77777777" w:rsidR="002206E7" w:rsidRDefault="00000000">
            <w:pPr>
              <w:spacing w:after="20"/>
              <w:jc w:val="both"/>
              <w:rPr>
                <w:rFonts w:hint="eastAsia"/>
                <w:lang w:val="et-EE"/>
              </w:rPr>
            </w:pPr>
            <w:r>
              <w:rPr>
                <w:rFonts w:eastAsia="Liberation Sans"/>
                <w:lang w:val="et-EE"/>
              </w:rPr>
              <w:t>MTÜ Päriselt Siin</w:t>
            </w:r>
          </w:p>
          <w:p w14:paraId="2A9E86D5" w14:textId="77777777" w:rsidR="002206E7" w:rsidRDefault="00000000">
            <w:pPr>
              <w:spacing w:after="20"/>
              <w:jc w:val="both"/>
              <w:rPr>
                <w:rFonts w:hint="eastAsia"/>
                <w:lang w:val="et-EE"/>
              </w:rPr>
            </w:pPr>
            <w:r>
              <w:rPr>
                <w:rFonts w:eastAsia="Liberation Sans"/>
                <w:lang w:val="et-EE"/>
              </w:rPr>
              <w:t>Piirsalu kogukonna nimel</w:t>
            </w:r>
          </w:p>
        </w:tc>
        <w:tc>
          <w:tcPr>
            <w:tcW w:w="4649" w:type="dxa"/>
          </w:tcPr>
          <w:p w14:paraId="1EA772FF" w14:textId="77777777" w:rsidR="002206E7" w:rsidRDefault="00000000">
            <w:pPr>
              <w:spacing w:after="280"/>
              <w:jc w:val="both"/>
              <w:rPr>
                <w:rFonts w:hint="eastAsia"/>
                <w:lang w:val="et-EE"/>
              </w:rPr>
            </w:pPr>
            <w:r>
              <w:rPr>
                <w:rFonts w:eastAsia="Liberation Sans"/>
                <w:i/>
                <w:color w:val="5A5A5A"/>
                <w:sz w:val="18"/>
                <w:lang w:val="et-EE"/>
              </w:rPr>
              <w:t>[allkirjastatud digitaalselt]</w:t>
            </w:r>
          </w:p>
          <w:p w14:paraId="18F35D68" w14:textId="77777777" w:rsidR="002206E7" w:rsidRDefault="00000000">
            <w:pPr>
              <w:spacing w:after="20"/>
              <w:jc w:val="both"/>
              <w:rPr>
                <w:rFonts w:hint="eastAsia"/>
                <w:lang w:val="et-EE"/>
              </w:rPr>
            </w:pPr>
            <w:r>
              <w:rPr>
                <w:rFonts w:eastAsia="Liberation Sans"/>
                <w:b/>
                <w:lang w:val="et-EE"/>
              </w:rPr>
              <w:t>[nimi]</w:t>
            </w:r>
          </w:p>
          <w:p w14:paraId="4B531E2C" w14:textId="77777777" w:rsidR="002206E7" w:rsidRDefault="00000000">
            <w:pPr>
              <w:spacing w:after="20"/>
              <w:jc w:val="both"/>
              <w:rPr>
                <w:rFonts w:hint="eastAsia"/>
                <w:lang w:val="et-EE"/>
              </w:rPr>
            </w:pPr>
            <w:r>
              <w:rPr>
                <w:rFonts w:eastAsia="Liberation Sans"/>
                <w:lang w:val="et-EE"/>
              </w:rPr>
              <w:t>MTÜ Piirsalu Küla Selts</w:t>
            </w:r>
          </w:p>
          <w:p w14:paraId="4EB94B16" w14:textId="77777777" w:rsidR="002206E7" w:rsidRDefault="00000000">
            <w:pPr>
              <w:spacing w:after="20"/>
              <w:jc w:val="both"/>
              <w:rPr>
                <w:rFonts w:hint="eastAsia"/>
                <w:lang w:val="et-EE"/>
              </w:rPr>
            </w:pPr>
            <w:r>
              <w:rPr>
                <w:rFonts w:eastAsia="Liberation Sans"/>
                <w:lang w:val="et-EE"/>
              </w:rPr>
              <w:t>Piirsalu kogukonna nimel</w:t>
            </w:r>
          </w:p>
        </w:tc>
      </w:tr>
    </w:tbl>
    <w:p w14:paraId="65DBF721" w14:textId="77777777" w:rsidR="002206E7" w:rsidRDefault="002206E7">
      <w:pPr>
        <w:pStyle w:val="Heading1"/>
        <w:spacing w:before="240" w:after="80"/>
        <w:jc w:val="both"/>
        <w:rPr>
          <w:rFonts w:ascii="Liberation Sans" w:eastAsia="Liberation Sans" w:hAnsi="Liberation Sans"/>
          <w:sz w:val="26"/>
          <w:lang w:val="et-EE"/>
        </w:rPr>
      </w:pPr>
    </w:p>
    <w:p w14:paraId="42A48840" w14:textId="77777777" w:rsidR="002206E7" w:rsidRDefault="00000000">
      <w:pPr>
        <w:pStyle w:val="Heading1"/>
        <w:spacing w:before="240" w:after="80"/>
        <w:jc w:val="both"/>
        <w:rPr>
          <w:lang w:val="et-EE"/>
        </w:rPr>
      </w:pPr>
      <w:r>
        <w:rPr>
          <w:rFonts w:ascii="Liberation Sans" w:eastAsia="Liberation Sans" w:hAnsi="Liberation Sans"/>
          <w:sz w:val="26"/>
          <w:lang w:val="et-EE"/>
        </w:rPr>
        <w:t>Alusdokumendid ja õigusallikad</w:t>
      </w:r>
    </w:p>
    <w:p w14:paraId="3D0BE23B" w14:textId="77777777" w:rsidR="002206E7" w:rsidRDefault="00000000">
      <w:pPr>
        <w:spacing w:after="40" w:line="240" w:lineRule="auto"/>
        <w:ind w:left="397" w:hanging="397"/>
        <w:jc w:val="both"/>
        <w:rPr>
          <w:rFonts w:hint="eastAsia"/>
          <w:lang w:val="et-EE"/>
        </w:rPr>
      </w:pPr>
      <w:r>
        <w:rPr>
          <w:rFonts w:eastAsia="Liberation Sans"/>
          <w:sz w:val="19"/>
          <w:lang w:val="et-EE"/>
        </w:rPr>
        <w:t>[1] Kaitseministeerium. Vastuskiri pöördumisele, 19.06.2026 nr 2-2/26/43-2.</w:t>
      </w:r>
    </w:p>
    <w:p w14:paraId="0BF2C941" w14:textId="77777777" w:rsidR="002206E7" w:rsidRDefault="00000000">
      <w:pPr>
        <w:spacing w:after="40" w:line="240" w:lineRule="auto"/>
        <w:ind w:left="397" w:hanging="397"/>
        <w:jc w:val="both"/>
        <w:rPr>
          <w:rFonts w:hint="eastAsia"/>
          <w:lang w:val="et-EE"/>
        </w:rPr>
      </w:pPr>
      <w:r>
        <w:rPr>
          <w:rFonts w:eastAsia="Liberation Sans"/>
          <w:sz w:val="19"/>
          <w:lang w:val="et-EE"/>
        </w:rPr>
        <w:t>[2] MTÜ Päriselt Siin, MTÜ Piirsalu Küla Selts ja Piirsalu kogukonna liikmed. Pöördumine, 05.06.2026.</w:t>
      </w:r>
    </w:p>
    <w:p w14:paraId="7C1F7197" w14:textId="77777777" w:rsidR="002206E7" w:rsidRDefault="00000000">
      <w:pPr>
        <w:spacing w:after="40" w:line="240" w:lineRule="auto"/>
        <w:ind w:left="397" w:hanging="397"/>
        <w:jc w:val="both"/>
        <w:rPr>
          <w:rFonts w:hint="eastAsia"/>
          <w:lang w:val="et-EE"/>
        </w:rPr>
      </w:pPr>
      <w:r>
        <w:rPr>
          <w:rFonts w:eastAsia="Liberation Sans"/>
          <w:sz w:val="19"/>
          <w:lang w:val="et-EE"/>
        </w:rPr>
        <w:t>[3] Riskide hindamine, vastuväited, taotlused ja ettepanekud Piirsalu eelvalikuala sobimatusest kaitsetööstuspargi ning lõhkeaine- ja keemiatööstuse asukohana, 03.06.2026.</w:t>
      </w:r>
    </w:p>
    <w:p w14:paraId="5D55A9C9" w14:textId="77777777" w:rsidR="002206E7" w:rsidRDefault="00000000">
      <w:pPr>
        <w:spacing w:after="40" w:line="240" w:lineRule="auto"/>
        <w:ind w:left="397" w:hanging="397"/>
        <w:jc w:val="both"/>
        <w:rPr>
          <w:rFonts w:hint="eastAsia"/>
          <w:lang w:val="et-EE"/>
        </w:rPr>
      </w:pPr>
      <w:r>
        <w:rPr>
          <w:rFonts w:eastAsia="Liberation Sans"/>
          <w:sz w:val="19"/>
          <w:lang w:val="et-EE"/>
        </w:rPr>
        <w:t>[4] Kaitseministeerium. Kaitsetööstuspark – Lääne-Nigulale taustaks, 09.11.2023, eeskätt slaidid 3–4.</w:t>
      </w:r>
    </w:p>
    <w:p w14:paraId="3A5F6EA5" w14:textId="77777777" w:rsidR="002206E7" w:rsidRDefault="00000000">
      <w:pPr>
        <w:spacing w:after="40" w:line="240" w:lineRule="auto"/>
        <w:ind w:left="397" w:hanging="397"/>
        <w:jc w:val="both"/>
        <w:rPr>
          <w:rFonts w:hint="eastAsia"/>
          <w:lang w:val="et-EE"/>
        </w:rPr>
      </w:pPr>
      <w:r>
        <w:rPr>
          <w:rFonts w:eastAsia="Liberation Sans"/>
          <w:sz w:val="19"/>
          <w:lang w:val="et-EE"/>
        </w:rPr>
        <w:t>[5] Kaitsetööstuspargi riigi eriplaneeringu asukoha eelvaliku lähteseisukohad ja mõjude hindamise, sh KSH programm, 14.10.2024.</w:t>
      </w:r>
    </w:p>
    <w:p w14:paraId="7A24759F" w14:textId="77777777" w:rsidR="002206E7" w:rsidRDefault="00000000">
      <w:pPr>
        <w:spacing w:after="40" w:line="240" w:lineRule="auto"/>
        <w:ind w:left="397" w:hanging="397"/>
        <w:jc w:val="both"/>
        <w:rPr>
          <w:rFonts w:hint="eastAsia"/>
          <w:lang w:val="et-EE"/>
        </w:rPr>
      </w:pPr>
      <w:r>
        <w:rPr>
          <w:rFonts w:eastAsia="Liberation Sans"/>
          <w:sz w:val="19"/>
          <w:lang w:val="et-EE"/>
        </w:rPr>
        <w:t>[6] Kaitsetööstuspargi riigi eriplaneeringu linnustiku uuringu lähteülesanne ja kava, 24.09.2024, lk 7.</w:t>
      </w:r>
    </w:p>
    <w:p w14:paraId="63C1521D" w14:textId="77777777" w:rsidR="002206E7" w:rsidRDefault="00000000">
      <w:pPr>
        <w:spacing w:after="40" w:line="240" w:lineRule="auto"/>
        <w:ind w:left="397" w:hanging="397"/>
        <w:jc w:val="both"/>
        <w:rPr>
          <w:rFonts w:hint="eastAsia"/>
          <w:lang w:val="et-EE"/>
        </w:rPr>
      </w:pPr>
      <w:r>
        <w:rPr>
          <w:rFonts w:eastAsia="Liberation Sans"/>
          <w:sz w:val="19"/>
          <w:lang w:val="et-EE"/>
        </w:rPr>
        <w:t>[7] Kaitsetööstuspargi riigi eriplaneeringu loomastiku uuringu lähteülesanne ja kava, 24.09.2024, lk 7.</w:t>
      </w:r>
    </w:p>
    <w:p w14:paraId="0A781E65" w14:textId="77777777" w:rsidR="002206E7" w:rsidRDefault="00000000">
      <w:pPr>
        <w:spacing w:after="40" w:line="240" w:lineRule="auto"/>
        <w:ind w:left="397" w:hanging="397"/>
        <w:jc w:val="both"/>
        <w:rPr>
          <w:rFonts w:hint="eastAsia"/>
          <w:lang w:val="et-EE"/>
        </w:rPr>
      </w:pPr>
      <w:r>
        <w:rPr>
          <w:rFonts w:eastAsia="Liberation Sans"/>
          <w:sz w:val="19"/>
          <w:lang w:val="et-EE"/>
        </w:rPr>
        <w:t>[8] Kaitsetööstuspargi riigi eriplaneeringu taimestiku uuringu lähteülesanne ja kava, 24.09.2024, lk 6–7.</w:t>
      </w:r>
    </w:p>
    <w:p w14:paraId="3D32C5D5" w14:textId="77777777" w:rsidR="002206E7" w:rsidRDefault="00000000">
      <w:pPr>
        <w:spacing w:after="40" w:line="240" w:lineRule="auto"/>
        <w:ind w:left="397" w:hanging="397"/>
        <w:jc w:val="both"/>
        <w:rPr>
          <w:rFonts w:hint="eastAsia"/>
          <w:lang w:val="et-EE"/>
        </w:rPr>
      </w:pPr>
      <w:r>
        <w:rPr>
          <w:rFonts w:eastAsia="Liberation Sans"/>
          <w:sz w:val="19"/>
          <w:lang w:val="et-EE"/>
        </w:rPr>
        <w:t>[9] Keskkonnaamet. Mustjärve raba hoiuala ja Annamõisa metsise püsielupaiga kaitsekorralduskava 2022–2031, 2022.</w:t>
      </w:r>
    </w:p>
    <w:p w14:paraId="5FDC5E9C" w14:textId="77777777" w:rsidR="002206E7" w:rsidRDefault="00000000">
      <w:pPr>
        <w:spacing w:after="40" w:line="240" w:lineRule="auto"/>
        <w:ind w:left="397" w:hanging="397"/>
        <w:jc w:val="both"/>
        <w:rPr>
          <w:rFonts w:hint="eastAsia"/>
          <w:lang w:val="et-EE"/>
        </w:rPr>
      </w:pPr>
      <w:r>
        <w:rPr>
          <w:rFonts w:eastAsia="Liberation Sans"/>
          <w:sz w:val="19"/>
          <w:lang w:val="et-EE"/>
        </w:rPr>
        <w:t>[10] Tartu Ülikool / RMK. Metsise elupaigakvaliteeti määravate tegurite kompleksuuringu lõpparuanne, 2016.</w:t>
      </w:r>
    </w:p>
    <w:p w14:paraId="24266588" w14:textId="77777777" w:rsidR="002206E7" w:rsidRDefault="00000000">
      <w:pPr>
        <w:spacing w:after="40" w:line="240" w:lineRule="auto"/>
        <w:ind w:left="397" w:hanging="397"/>
        <w:jc w:val="both"/>
        <w:rPr>
          <w:rFonts w:hint="eastAsia"/>
          <w:lang w:val="et-EE"/>
        </w:rPr>
      </w:pPr>
      <w:r>
        <w:rPr>
          <w:rFonts w:eastAsia="Liberation Sans"/>
          <w:sz w:val="19"/>
          <w:lang w:val="et-EE"/>
        </w:rPr>
        <w:t>[11] Planeerimisseadus, Riigi Teataja, kehtiv redaktsioon seisuga 22.07.2026.</w:t>
      </w:r>
    </w:p>
    <w:p w14:paraId="7011EA98" w14:textId="77777777" w:rsidR="002206E7" w:rsidRDefault="00000000">
      <w:pPr>
        <w:spacing w:after="40" w:line="240" w:lineRule="auto"/>
        <w:ind w:left="397" w:hanging="397"/>
        <w:jc w:val="both"/>
        <w:rPr>
          <w:rFonts w:hint="eastAsia"/>
          <w:lang w:val="et-EE"/>
        </w:rPr>
      </w:pPr>
      <w:r>
        <w:rPr>
          <w:rFonts w:eastAsia="Liberation Sans"/>
          <w:sz w:val="19"/>
          <w:lang w:val="et-EE"/>
        </w:rPr>
        <w:t>[12] Keskkonnamõju hindamise ja keskkonnajuhtimissüsteemi seadus, Riigi Teataja, kehtiv redaktsioon seisuga 22.07.2026.</w:t>
      </w:r>
    </w:p>
    <w:p w14:paraId="7A61C167" w14:textId="77777777" w:rsidR="002206E7" w:rsidRDefault="00000000">
      <w:pPr>
        <w:spacing w:after="40" w:line="240" w:lineRule="auto"/>
        <w:ind w:left="397" w:hanging="397"/>
        <w:jc w:val="both"/>
        <w:rPr>
          <w:rFonts w:hint="eastAsia"/>
          <w:lang w:val="et-EE"/>
        </w:rPr>
      </w:pPr>
      <w:r>
        <w:rPr>
          <w:rFonts w:eastAsia="Liberation Sans"/>
          <w:sz w:val="19"/>
          <w:lang w:val="et-EE"/>
        </w:rPr>
        <w:t>[13] Veeseadus, Riigi Teataja, kehtiv redaktsioon seisuga 22.07.2026.</w:t>
      </w:r>
    </w:p>
    <w:p w14:paraId="134573BF" w14:textId="77777777" w:rsidR="002206E7" w:rsidRDefault="00000000">
      <w:pPr>
        <w:spacing w:after="40" w:line="240" w:lineRule="auto"/>
        <w:ind w:left="397" w:hanging="397"/>
        <w:jc w:val="both"/>
        <w:rPr>
          <w:rFonts w:hint="eastAsia"/>
          <w:lang w:val="et-EE"/>
        </w:rPr>
      </w:pPr>
      <w:r>
        <w:rPr>
          <w:rFonts w:eastAsia="Liberation Sans"/>
          <w:sz w:val="19"/>
          <w:lang w:val="et-EE"/>
        </w:rPr>
        <w:t>[14] Keskkonnaseadustiku üldosa seadus, Riigi Teataja, kehtiv redaktsioon seisuga 22.07.2026.</w:t>
      </w:r>
    </w:p>
    <w:p w14:paraId="6A762C71" w14:textId="77777777" w:rsidR="002206E7" w:rsidRDefault="00000000">
      <w:pPr>
        <w:spacing w:after="40" w:line="240" w:lineRule="auto"/>
        <w:ind w:left="397" w:hanging="397"/>
        <w:jc w:val="both"/>
        <w:rPr>
          <w:rFonts w:hint="eastAsia"/>
          <w:lang w:val="et-EE"/>
        </w:rPr>
      </w:pPr>
      <w:r>
        <w:rPr>
          <w:rFonts w:eastAsia="Liberation Sans"/>
          <w:sz w:val="19"/>
          <w:lang w:val="et-EE"/>
        </w:rPr>
        <w:t>[15] Jäätmeseadus, Riigi Teataja, kehtiv redaktsioon seisuga 22.07.2026.</w:t>
      </w:r>
    </w:p>
    <w:sectPr w:rsidR="002206E7">
      <w:headerReference w:type="even" r:id="rId8"/>
      <w:headerReference w:type="default" r:id="rId9"/>
      <w:footerReference w:type="even" r:id="rId10"/>
      <w:footerReference w:type="default" r:id="rId11"/>
      <w:headerReference w:type="first" r:id="rId12"/>
      <w:footerReference w:type="first" r:id="rId13"/>
      <w:pgSz w:w="11906" w:h="16838"/>
      <w:pgMar w:top="1020" w:right="1219" w:bottom="1103" w:left="1276" w:header="397" w:footer="39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8DD23" w14:textId="77777777" w:rsidR="005A584A" w:rsidRDefault="005A584A">
      <w:pPr>
        <w:spacing w:after="0" w:line="240" w:lineRule="auto"/>
        <w:rPr>
          <w:rFonts w:hint="eastAsia"/>
        </w:rPr>
      </w:pPr>
      <w:r>
        <w:separator/>
      </w:r>
    </w:p>
  </w:endnote>
  <w:endnote w:type="continuationSeparator" w:id="0">
    <w:p w14:paraId="6125C427" w14:textId="77777777" w:rsidR="005A584A" w:rsidRDefault="005A584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iberation Sans">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1"/>
    <w:family w:val="roman"/>
    <w:pitch w:val="variable"/>
  </w:font>
  <w:font w:name="Noto Sans CJK SC">
    <w:panose1 w:val="00000000000000000000"/>
    <w:charset w:val="00"/>
    <w:family w:val="roman"/>
    <w:notTrueType/>
    <w:pitch w:val="default"/>
  </w:font>
  <w:font w:name="Noto Serif Devanaga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421EF" w14:textId="77777777" w:rsidR="002206E7" w:rsidRDefault="002206E7">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43388" w14:textId="77777777" w:rsidR="002206E7" w:rsidRDefault="00000000">
    <w:pPr>
      <w:pStyle w:val="Footer"/>
      <w:jc w:val="center"/>
      <w:rPr>
        <w:rFonts w:hint="eastAsia"/>
      </w:rPr>
    </w:pPr>
    <w:r>
      <w:rPr>
        <w:rFonts w:eastAsia="Liberation Sans"/>
        <w:color w:val="5A5A5A"/>
        <w:sz w:val="16"/>
      </w:rPr>
      <w:t xml:space="preserve">Vastus </w:t>
    </w:r>
    <w:proofErr w:type="spellStart"/>
    <w:r>
      <w:rPr>
        <w:rFonts w:eastAsia="Liberation Sans"/>
        <w:color w:val="5A5A5A"/>
        <w:sz w:val="16"/>
      </w:rPr>
      <w:t>Kaitseministeeriumi</w:t>
    </w:r>
    <w:proofErr w:type="spellEnd"/>
    <w:r>
      <w:rPr>
        <w:rFonts w:eastAsia="Liberation Sans"/>
        <w:color w:val="5A5A5A"/>
        <w:sz w:val="16"/>
      </w:rPr>
      <w:t xml:space="preserve"> 19.06.2026 </w:t>
    </w:r>
    <w:proofErr w:type="spellStart"/>
    <w:r>
      <w:rPr>
        <w:rFonts w:eastAsia="Liberation Sans"/>
        <w:color w:val="5A5A5A"/>
        <w:sz w:val="16"/>
      </w:rPr>
      <w:t>kirjale</w:t>
    </w:r>
    <w:proofErr w:type="spellEnd"/>
    <w:r>
      <w:rPr>
        <w:rFonts w:eastAsia="Liberation Sans"/>
        <w:color w:val="5A5A5A"/>
        <w:sz w:val="16"/>
      </w:rPr>
      <w:t xml:space="preserve"> nr 2-2/26/43-</w:t>
    </w:r>
    <w:proofErr w:type="gramStart"/>
    <w:r>
      <w:rPr>
        <w:rFonts w:eastAsia="Liberation Sans"/>
        <w:color w:val="5A5A5A"/>
        <w:sz w:val="16"/>
      </w:rPr>
      <w:t>2  |</w:t>
    </w:r>
    <w:proofErr w:type="gramEnd"/>
    <w:r>
      <w:rPr>
        <w:rFonts w:eastAsia="Liberation Sans"/>
        <w:color w:val="5A5A5A"/>
        <w:sz w:val="16"/>
      </w:rPr>
      <w:t xml:space="preserve">  </w:t>
    </w:r>
    <w:proofErr w:type="spellStart"/>
    <w:r>
      <w:rPr>
        <w:rFonts w:eastAsia="Liberation Sans"/>
        <w:color w:val="5A5A5A"/>
        <w:sz w:val="16"/>
      </w:rPr>
      <w:t>lk</w:t>
    </w:r>
    <w:proofErr w:type="spellEnd"/>
    <w:r>
      <w:rPr>
        <w:rFonts w:eastAsia="Liberation Sans"/>
        <w:color w:val="5A5A5A"/>
        <w:sz w:val="16"/>
      </w:rPr>
      <w:t xml:space="preserve"> </w:t>
    </w:r>
    <w:r>
      <w:rPr>
        <w:rFonts w:eastAsia="Liberation Sans"/>
        <w:sz w:val="19"/>
      </w:rPr>
      <w:fldChar w:fldCharType="begin"/>
    </w:r>
    <w:r>
      <w:rPr>
        <w:rFonts w:eastAsia="Liberation Sans"/>
        <w:sz w:val="19"/>
      </w:rPr>
      <w:instrText xml:space="preserve"> PAGE </w:instrText>
    </w:r>
    <w:r>
      <w:rPr>
        <w:rFonts w:eastAsia="Liberation Sans"/>
        <w:sz w:val="19"/>
      </w:rPr>
      <w:fldChar w:fldCharType="separate"/>
    </w:r>
    <w:r>
      <w:rPr>
        <w:rFonts w:eastAsia="Liberation Sans"/>
        <w:sz w:val="19"/>
      </w:rPr>
      <w:t>7</w:t>
    </w:r>
    <w:r>
      <w:rPr>
        <w:rFonts w:eastAsia="Liberation Sans"/>
        <w:sz w:val="19"/>
      </w:rPr>
      <w:fldChar w:fldCharType="end"/>
    </w:r>
    <w:r>
      <w:rPr>
        <w:rFonts w:eastAsia="Liberation Sans"/>
        <w:color w:val="5A5A5A"/>
        <w:sz w:val="16"/>
      </w:rPr>
      <w:t xml:space="preserve"> / </w:t>
    </w:r>
    <w:r>
      <w:rPr>
        <w:rFonts w:eastAsia="Liberation Sans"/>
        <w:sz w:val="19"/>
      </w:rPr>
      <w:fldChar w:fldCharType="begin"/>
    </w:r>
    <w:r>
      <w:rPr>
        <w:rFonts w:eastAsia="Liberation Sans"/>
        <w:sz w:val="19"/>
      </w:rPr>
      <w:instrText xml:space="preserve"> NUMPAGES </w:instrText>
    </w:r>
    <w:r>
      <w:rPr>
        <w:rFonts w:eastAsia="Liberation Sans"/>
        <w:sz w:val="19"/>
      </w:rPr>
      <w:fldChar w:fldCharType="separate"/>
    </w:r>
    <w:r>
      <w:rPr>
        <w:rFonts w:eastAsia="Liberation Sans"/>
        <w:sz w:val="19"/>
      </w:rPr>
      <w:t>7</w:t>
    </w:r>
    <w:r>
      <w:rPr>
        <w:rFonts w:eastAsia="Liberation Sans"/>
        <w:sz w:val="1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D87A5" w14:textId="77777777" w:rsidR="002206E7" w:rsidRDefault="00000000">
    <w:pPr>
      <w:pStyle w:val="Footer"/>
      <w:jc w:val="center"/>
      <w:rPr>
        <w:rFonts w:hint="eastAsia"/>
      </w:rPr>
    </w:pPr>
    <w:r>
      <w:rPr>
        <w:rFonts w:eastAsia="Liberation Sans"/>
        <w:color w:val="5A5A5A"/>
        <w:sz w:val="16"/>
      </w:rPr>
      <w:t xml:space="preserve">Vastus </w:t>
    </w:r>
    <w:proofErr w:type="spellStart"/>
    <w:r>
      <w:rPr>
        <w:rFonts w:eastAsia="Liberation Sans"/>
        <w:color w:val="5A5A5A"/>
        <w:sz w:val="16"/>
      </w:rPr>
      <w:t>Kaitseministeeriumi</w:t>
    </w:r>
    <w:proofErr w:type="spellEnd"/>
    <w:r>
      <w:rPr>
        <w:rFonts w:eastAsia="Liberation Sans"/>
        <w:color w:val="5A5A5A"/>
        <w:sz w:val="16"/>
      </w:rPr>
      <w:t xml:space="preserve"> 19.06.2026 </w:t>
    </w:r>
    <w:proofErr w:type="spellStart"/>
    <w:r>
      <w:rPr>
        <w:rFonts w:eastAsia="Liberation Sans"/>
        <w:color w:val="5A5A5A"/>
        <w:sz w:val="16"/>
      </w:rPr>
      <w:t>kirjale</w:t>
    </w:r>
    <w:proofErr w:type="spellEnd"/>
    <w:r>
      <w:rPr>
        <w:rFonts w:eastAsia="Liberation Sans"/>
        <w:color w:val="5A5A5A"/>
        <w:sz w:val="16"/>
      </w:rPr>
      <w:t xml:space="preserve"> nr 2-2/26/43-</w:t>
    </w:r>
    <w:proofErr w:type="gramStart"/>
    <w:r>
      <w:rPr>
        <w:rFonts w:eastAsia="Liberation Sans"/>
        <w:color w:val="5A5A5A"/>
        <w:sz w:val="16"/>
      </w:rPr>
      <w:t>2  |</w:t>
    </w:r>
    <w:proofErr w:type="gramEnd"/>
    <w:r>
      <w:rPr>
        <w:rFonts w:eastAsia="Liberation Sans"/>
        <w:color w:val="5A5A5A"/>
        <w:sz w:val="16"/>
      </w:rPr>
      <w:t xml:space="preserve">  </w:t>
    </w:r>
    <w:proofErr w:type="spellStart"/>
    <w:r>
      <w:rPr>
        <w:rFonts w:eastAsia="Liberation Sans"/>
        <w:color w:val="5A5A5A"/>
        <w:sz w:val="16"/>
      </w:rPr>
      <w:t>lk</w:t>
    </w:r>
    <w:proofErr w:type="spellEnd"/>
    <w:r>
      <w:rPr>
        <w:rFonts w:eastAsia="Liberation Sans"/>
        <w:color w:val="5A5A5A"/>
        <w:sz w:val="16"/>
      </w:rPr>
      <w:t xml:space="preserve"> </w:t>
    </w:r>
    <w:r>
      <w:rPr>
        <w:rFonts w:eastAsia="Liberation Sans"/>
        <w:sz w:val="19"/>
      </w:rPr>
      <w:fldChar w:fldCharType="begin"/>
    </w:r>
    <w:r>
      <w:rPr>
        <w:rFonts w:eastAsia="Liberation Sans"/>
        <w:sz w:val="19"/>
      </w:rPr>
      <w:instrText xml:space="preserve"> PAGE </w:instrText>
    </w:r>
    <w:r>
      <w:rPr>
        <w:rFonts w:eastAsia="Liberation Sans"/>
        <w:sz w:val="19"/>
      </w:rPr>
      <w:fldChar w:fldCharType="separate"/>
    </w:r>
    <w:r>
      <w:rPr>
        <w:rFonts w:eastAsia="Liberation Sans"/>
        <w:sz w:val="19"/>
      </w:rPr>
      <w:t>7</w:t>
    </w:r>
    <w:r>
      <w:rPr>
        <w:rFonts w:eastAsia="Liberation Sans"/>
        <w:sz w:val="19"/>
      </w:rPr>
      <w:fldChar w:fldCharType="end"/>
    </w:r>
    <w:r>
      <w:rPr>
        <w:rFonts w:eastAsia="Liberation Sans"/>
        <w:color w:val="5A5A5A"/>
        <w:sz w:val="16"/>
      </w:rPr>
      <w:t xml:space="preserve"> / </w:t>
    </w:r>
    <w:r>
      <w:rPr>
        <w:rFonts w:eastAsia="Liberation Sans"/>
        <w:sz w:val="19"/>
      </w:rPr>
      <w:fldChar w:fldCharType="begin"/>
    </w:r>
    <w:r>
      <w:rPr>
        <w:rFonts w:eastAsia="Liberation Sans"/>
        <w:sz w:val="19"/>
      </w:rPr>
      <w:instrText xml:space="preserve"> NUMPAGES </w:instrText>
    </w:r>
    <w:r>
      <w:rPr>
        <w:rFonts w:eastAsia="Liberation Sans"/>
        <w:sz w:val="19"/>
      </w:rPr>
      <w:fldChar w:fldCharType="separate"/>
    </w:r>
    <w:r>
      <w:rPr>
        <w:rFonts w:eastAsia="Liberation Sans"/>
        <w:sz w:val="19"/>
      </w:rPr>
      <w:t>7</w:t>
    </w:r>
    <w:r>
      <w:rPr>
        <w:rFonts w:eastAsia="Liberation Sans"/>
        <w:sz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1C103" w14:textId="77777777" w:rsidR="005A584A" w:rsidRDefault="005A584A">
      <w:pPr>
        <w:spacing w:after="0" w:line="240" w:lineRule="auto"/>
        <w:rPr>
          <w:rFonts w:hint="eastAsia"/>
        </w:rPr>
      </w:pPr>
      <w:r>
        <w:separator/>
      </w:r>
    </w:p>
  </w:footnote>
  <w:footnote w:type="continuationSeparator" w:id="0">
    <w:p w14:paraId="666DB6EA" w14:textId="77777777" w:rsidR="005A584A" w:rsidRDefault="005A584A">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3734" w14:textId="77777777" w:rsidR="002206E7" w:rsidRDefault="002206E7">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99C3" w14:textId="77777777" w:rsidR="002206E7" w:rsidRDefault="00000000">
    <w:pPr>
      <w:pStyle w:val="Header"/>
      <w:pBdr>
        <w:bottom w:val="single" w:sz="4" w:space="2" w:color="B7B7B7"/>
      </w:pBdr>
      <w:jc w:val="right"/>
      <w:rPr>
        <w:rFonts w:hint="eastAsia"/>
      </w:rPr>
    </w:pPr>
    <w:r>
      <w:rPr>
        <w:rFonts w:eastAsia="Liberation Sans"/>
        <w:b/>
        <w:color w:val="5A5A5A"/>
        <w:sz w:val="16"/>
      </w:rPr>
      <w:t>PIIRSALU KAITSETÖÖSTUSPARGI RIIGI ERIPLANEERING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B42B" w14:textId="77777777" w:rsidR="002206E7" w:rsidRDefault="00000000">
    <w:pPr>
      <w:pStyle w:val="Header"/>
      <w:pBdr>
        <w:bottom w:val="single" w:sz="4" w:space="2" w:color="B7B7B7"/>
      </w:pBdr>
      <w:jc w:val="right"/>
      <w:rPr>
        <w:rFonts w:hint="eastAsia"/>
      </w:rPr>
    </w:pPr>
    <w:r>
      <w:rPr>
        <w:rFonts w:eastAsia="Liberation Sans"/>
        <w:b/>
        <w:color w:val="5A5A5A"/>
        <w:sz w:val="16"/>
      </w:rPr>
      <w:t>PIIRSALU KAITSETÖÖSTUSPARGI RIIGI ERIPLANEERING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075BF"/>
    <w:multiLevelType w:val="multilevel"/>
    <w:tmpl w:val="C6285F16"/>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8AC42ED"/>
    <w:multiLevelType w:val="multilevel"/>
    <w:tmpl w:val="9F54CA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9CB0BA4"/>
    <w:multiLevelType w:val="multilevel"/>
    <w:tmpl w:val="6BD68110"/>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05D34C0"/>
    <w:multiLevelType w:val="multilevel"/>
    <w:tmpl w:val="DB1A236A"/>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5DB044D"/>
    <w:multiLevelType w:val="multilevel"/>
    <w:tmpl w:val="613A6888"/>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B580CD3"/>
    <w:multiLevelType w:val="multilevel"/>
    <w:tmpl w:val="66C4E514"/>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CB64E98"/>
    <w:multiLevelType w:val="multilevel"/>
    <w:tmpl w:val="ABB23C58"/>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01427441">
    <w:abstractNumId w:val="3"/>
  </w:num>
  <w:num w:numId="2" w16cid:durableId="1090657856">
    <w:abstractNumId w:val="5"/>
  </w:num>
  <w:num w:numId="3" w16cid:durableId="349838214">
    <w:abstractNumId w:val="4"/>
  </w:num>
  <w:num w:numId="4" w16cid:durableId="316031114">
    <w:abstractNumId w:val="2"/>
  </w:num>
  <w:num w:numId="5" w16cid:durableId="102462820">
    <w:abstractNumId w:val="6"/>
  </w:num>
  <w:num w:numId="6" w16cid:durableId="21831603">
    <w:abstractNumId w:val="0"/>
  </w:num>
  <w:num w:numId="7" w16cid:durableId="1371229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E7"/>
    <w:rsid w:val="00193D10"/>
    <w:rsid w:val="002206E7"/>
    <w:rsid w:val="005A584A"/>
    <w:rsid w:val="007269C0"/>
    <w:rsid w:val="00EB08AD"/>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A18B7"/>
  <w15:docId w15:val="{C332A981-2DC1-401F-AF56-A22B41C19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Liberation Sans" w:hAnsi="Liberation San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99"/>
    <w:qFormat/>
    <w:rsid w:val="00AA1D8D"/>
  </w:style>
  <w:style w:type="character" w:customStyle="1" w:styleId="BodyText2Char">
    <w:name w:val="Body Text 2 Char"/>
    <w:basedOn w:val="DefaultParagraphFont"/>
    <w:link w:val="BodyText2"/>
    <w:uiPriority w:val="99"/>
    <w:qFormat/>
    <w:rsid w:val="00AA1D8D"/>
  </w:style>
  <w:style w:type="character" w:customStyle="1" w:styleId="BodyText3Char">
    <w:name w:val="Body Text 3 Char"/>
    <w:basedOn w:val="DefaultParagraphFont"/>
    <w:link w:val="BodyText3"/>
    <w:uiPriority w:val="99"/>
    <w:qFormat/>
    <w:rsid w:val="00AA1D8D"/>
    <w:rPr>
      <w:sz w:val="16"/>
      <w:szCs w:val="16"/>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semiHidden/>
    <w:qFormat/>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customStyle="1" w:styleId="Heading">
    <w:name w:val="Heading"/>
    <w:basedOn w:val="Normal"/>
    <w:next w:val="BodyText"/>
    <w:qFormat/>
    <w:pPr>
      <w:keepNext/>
      <w:spacing w:before="240" w:after="120"/>
    </w:pPr>
    <w:rPr>
      <w:rFonts w:eastAsia="Noto Sans CJK SC" w:cs="Noto Serif Devanagari"/>
      <w:sz w:val="28"/>
      <w:szCs w:val="28"/>
    </w:rPr>
  </w:style>
  <w:style w:type="paragraph" w:styleId="BodyText">
    <w:name w:val="Body Text"/>
    <w:basedOn w:val="Normal"/>
    <w:link w:val="BodyTextChar"/>
    <w:uiPriority w:val="99"/>
    <w:unhideWhenUsed/>
    <w:rsid w:val="00AA1D8D"/>
    <w:pPr>
      <w:spacing w:after="120"/>
    </w:pPr>
  </w:style>
  <w:style w:type="paragraph" w:styleId="List">
    <w:name w:val="List"/>
    <w:basedOn w:val="Normal"/>
    <w:uiPriority w:val="99"/>
    <w:unhideWhenUsed/>
    <w:rsid w:val="00AA1D8D"/>
    <w:pPr>
      <w:ind w:left="360" w:hanging="360"/>
      <w:contextualSpacing/>
    </w:p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Normal"/>
    <w:qFormat/>
    <w:pPr>
      <w:suppressLineNumbers/>
    </w:pPr>
    <w:rPr>
      <w:rFonts w:cs="Noto Serif Devanagari"/>
    </w:rPr>
  </w:style>
  <w:style w:type="paragraph" w:customStyle="1" w:styleId="Pealkiri">
    <w:name w:val="Pealkiri"/>
    <w:basedOn w:val="Normal"/>
    <w:next w:val="BodyText"/>
    <w:qFormat/>
    <w:pPr>
      <w:keepNext/>
      <w:spacing w:before="240" w:after="120"/>
    </w:pPr>
    <w:rPr>
      <w:rFonts w:eastAsia="Noto Sans CJK SC" w:cs="Noto Serif Devanagari"/>
      <w:sz w:val="28"/>
      <w:szCs w:val="28"/>
    </w:rPr>
  </w:style>
  <w:style w:type="paragraph" w:customStyle="1" w:styleId="Register">
    <w:name w:val="Register"/>
    <w:basedOn w:val="Normal"/>
    <w:qFormat/>
    <w:pPr>
      <w:suppressLineNumbers/>
    </w:pPr>
    <w:rPr>
      <w:rFonts w:cs="Noto Serif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2">
    <w:name w:val="Body Text 2"/>
    <w:basedOn w:val="Normal"/>
    <w:link w:val="BodyText2Char"/>
    <w:uiPriority w:val="99"/>
    <w:unhideWhenUsed/>
    <w:qFormat/>
    <w:rsid w:val="00AA1D8D"/>
    <w:pPr>
      <w:spacing w:after="120" w:line="480" w:lineRule="auto"/>
    </w:pPr>
  </w:style>
  <w:style w:type="paragraph" w:styleId="BodyText3">
    <w:name w:val="Body Text 3"/>
    <w:basedOn w:val="Normal"/>
    <w:link w:val="BodyText3Char"/>
    <w:uiPriority w:val="99"/>
    <w:unhideWhenUsed/>
    <w:qFormat/>
    <w:rsid w:val="00AA1D8D"/>
    <w:pPr>
      <w:spacing w:after="120"/>
    </w:pPr>
    <w:rPr>
      <w:sz w:val="16"/>
      <w:szCs w:val="16"/>
    </w:rPr>
  </w:style>
  <w:style w:type="paragraph" w:styleId="List2">
    <w:name w:val="List 2"/>
    <w:basedOn w:val="Normal"/>
    <w:uiPriority w:val="99"/>
    <w:unhideWhenUsed/>
    <w:qFormat/>
    <w:rsid w:val="00326F90"/>
    <w:pPr>
      <w:ind w:left="720" w:hanging="360"/>
      <w:contextualSpacing/>
    </w:pPr>
  </w:style>
  <w:style w:type="paragraph" w:styleId="List3">
    <w:name w:val="List 3"/>
    <w:basedOn w:val="Normal"/>
    <w:uiPriority w:val="99"/>
    <w:unhideWhenUsed/>
    <w:qFormat/>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Pealkiri"/>
  </w:style>
  <w:style w:type="paragraph" w:styleId="TOCHeading">
    <w:name w:val="TOC Heading"/>
    <w:basedOn w:val="Heading1"/>
    <w:next w:val="Normal"/>
    <w:uiPriority w:val="39"/>
    <w:semiHidden/>
    <w:unhideWhenUsed/>
    <w:qFormat/>
    <w:rsid w:val="00FC693F"/>
    <w:pPr>
      <w:outlineLvl w:val="9"/>
    </w:pPr>
  </w:style>
  <w:style w:type="numbering" w:customStyle="1" w:styleId="Vljallitatud">
    <w:name w:val="Välja lülitatud"/>
    <w:uiPriority w:val="99"/>
    <w:semiHidden/>
    <w:unhideWhenUsed/>
    <w:qFormat/>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3574</Words>
  <Characters>20373</Characters>
  <Application>Microsoft Office Word</Application>
  <DocSecurity>0</DocSecurity>
  <Lines>169</Lines>
  <Paragraphs>47</Paragraphs>
  <ScaleCrop>false</ScaleCrop>
  <Company/>
  <LinksUpToDate>false</LinksUpToDate>
  <CharactersWithSpaces>23900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Vastus Kaitseministeeriumi 19.06.2026 kirjale – Piirsalu eelvalikuala</dc:title>
  <dc:subject>Piirsalu kaitsetööstuspargi riigi eriplaneering</dc:subject>
  <dc:creator>Lea Lai</dc:creator>
  <cp:keywords>Piirsalu kaitsetööstuspark riigi eriplaneering KSH vastuväited</cp:keywords>
  <dc:description>generated by python-docx</dc:description>
  <cp:lastModifiedBy>Lea Lai</cp:lastModifiedBy>
  <cp:revision>2</cp:revision>
  <dcterms:created xsi:type="dcterms:W3CDTF">2026-07-23T14:41:00Z</dcterms:created>
  <dcterms:modified xsi:type="dcterms:W3CDTF">2026-07-23T14:41:00Z</dcterms:modified>
  <dc:language>et-EE</dc:language>
</cp:coreProperties>
</file>