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C6A9" w14:textId="43F007A6" w:rsidR="00ED7B0B" w:rsidRPr="008D3181" w:rsidRDefault="00ED7B0B" w:rsidP="004F382D">
      <w:pPr>
        <w:jc w:val="both"/>
        <w:rPr>
          <w:rFonts w:ascii="Arial" w:hAnsi="Arial" w:cs="Arial"/>
          <w:b/>
          <w:bCs/>
          <w:u w:val="single"/>
          <w:lang w:val="en-GB"/>
        </w:rPr>
      </w:pPr>
      <w:r w:rsidRPr="008D3181">
        <w:rPr>
          <w:rFonts w:ascii="Arial" w:hAnsi="Arial" w:cs="Arial"/>
          <w:noProof/>
        </w:rPr>
        <w:drawing>
          <wp:anchor distT="0" distB="0" distL="114300" distR="114300" simplePos="0" relativeHeight="251659264" behindDoc="0" locked="0" layoutInCell="1" allowOverlap="1" wp14:anchorId="6A6255C7" wp14:editId="6A833F5A">
            <wp:simplePos x="0" y="0"/>
            <wp:positionH relativeFrom="margin">
              <wp:align>right</wp:align>
            </wp:positionH>
            <wp:positionV relativeFrom="margin">
              <wp:posOffset>-504825</wp:posOffset>
            </wp:positionV>
            <wp:extent cx="1266825" cy="1012744"/>
            <wp:effectExtent l="0" t="0" r="0" b="0"/>
            <wp:wrapSquare wrapText="bothSides"/>
            <wp:docPr id="1200245854" name="Picture 2" descr="A blue and white flag with yellow stars and a circle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5854" name="Picture 2" descr="A blue and white flag with yellow stars and a circle in the middle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012744"/>
                    </a:xfrm>
                    <a:prstGeom prst="rect">
                      <a:avLst/>
                    </a:prstGeom>
                  </pic:spPr>
                </pic:pic>
              </a:graphicData>
            </a:graphic>
          </wp:anchor>
        </w:drawing>
      </w:r>
    </w:p>
    <w:p w14:paraId="7B226819" w14:textId="77777777" w:rsidR="00ED7B0B" w:rsidRPr="008D3181" w:rsidRDefault="00ED7B0B" w:rsidP="00ED7B0B">
      <w:pPr>
        <w:rPr>
          <w:rFonts w:ascii="Arial" w:hAnsi="Arial" w:cs="Arial"/>
          <w:b/>
          <w:bCs/>
          <w:u w:val="single"/>
        </w:rPr>
      </w:pPr>
    </w:p>
    <w:p w14:paraId="24C114C6" w14:textId="3FAC400C" w:rsidR="00ED7B0B" w:rsidRPr="008D3181" w:rsidRDefault="00ED7B0B" w:rsidP="00ED7B0B">
      <w:pPr>
        <w:spacing w:after="0"/>
        <w:jc w:val="right"/>
        <w:rPr>
          <w:rFonts w:ascii="Arial" w:hAnsi="Arial" w:cs="Arial"/>
          <w:lang w:val="en-GB"/>
        </w:rPr>
      </w:pPr>
      <w:r w:rsidRPr="008D3181">
        <w:rPr>
          <w:rFonts w:ascii="Arial" w:hAnsi="Arial" w:cs="Arial"/>
          <w:lang w:val="en-GB"/>
        </w:rPr>
        <w:t xml:space="preserve"> CDNET(2026)</w:t>
      </w:r>
      <w:r w:rsidR="00763AC4" w:rsidRPr="008D3181">
        <w:rPr>
          <w:rFonts w:ascii="Arial" w:hAnsi="Arial" w:cs="Arial"/>
          <w:lang w:val="en-GB"/>
        </w:rPr>
        <w:t>8</w:t>
      </w:r>
    </w:p>
    <w:p w14:paraId="0C32A516" w14:textId="54E5AE6A" w:rsidR="00ED7B0B" w:rsidRPr="008D3181" w:rsidRDefault="00975735" w:rsidP="00ED7B0B">
      <w:pPr>
        <w:jc w:val="right"/>
        <w:rPr>
          <w:rFonts w:ascii="Arial" w:hAnsi="Arial" w:cs="Arial"/>
          <w:lang w:val="en-GB"/>
        </w:rPr>
      </w:pPr>
      <w:r>
        <w:rPr>
          <w:rFonts w:ascii="Arial" w:hAnsi="Arial" w:cs="Arial"/>
          <w:lang w:val="en-GB"/>
        </w:rPr>
        <w:t>23</w:t>
      </w:r>
      <w:r w:rsidR="00ED7B0B" w:rsidRPr="008D3181">
        <w:rPr>
          <w:rFonts w:ascii="Arial" w:hAnsi="Arial" w:cs="Arial"/>
          <w:lang w:val="en-GB"/>
        </w:rPr>
        <w:t xml:space="preserve"> June 2026</w:t>
      </w:r>
    </w:p>
    <w:p w14:paraId="20882ED6" w14:textId="77777777" w:rsidR="00ED7B0B" w:rsidRPr="008D3181" w:rsidRDefault="00ED7B0B" w:rsidP="00ED7B0B">
      <w:pPr>
        <w:rPr>
          <w:rFonts w:ascii="Arial" w:hAnsi="Arial" w:cs="Arial"/>
          <w:b/>
          <w:bCs/>
          <w:lang w:val="en-GB"/>
        </w:rPr>
      </w:pPr>
    </w:p>
    <w:p w14:paraId="58B2897D" w14:textId="77777777" w:rsidR="00ED7B0B" w:rsidRPr="008D3181" w:rsidRDefault="00ED7B0B" w:rsidP="00ED7B0B">
      <w:pPr>
        <w:spacing w:after="80"/>
        <w:jc w:val="center"/>
        <w:rPr>
          <w:rFonts w:ascii="Arial" w:hAnsi="Arial" w:cs="Arial"/>
          <w:b/>
          <w:bCs/>
          <w:caps/>
          <w:sz w:val="40"/>
          <w:szCs w:val="40"/>
          <w:lang w:val="en-GB"/>
        </w:rPr>
      </w:pPr>
    </w:p>
    <w:p w14:paraId="53D72EB1" w14:textId="50FE2DC5" w:rsidR="00ED7B0B" w:rsidRPr="008D3181" w:rsidRDefault="00ED7B0B" w:rsidP="00ED7B0B">
      <w:pPr>
        <w:spacing w:after="80"/>
        <w:jc w:val="center"/>
        <w:rPr>
          <w:rFonts w:ascii="Arial" w:hAnsi="Arial" w:cs="Arial"/>
          <w:b/>
          <w:bCs/>
          <w:caps/>
          <w:sz w:val="40"/>
          <w:szCs w:val="40"/>
          <w:lang w:val="en-GB"/>
        </w:rPr>
      </w:pPr>
    </w:p>
    <w:p w14:paraId="4FCB2905" w14:textId="545173E0" w:rsidR="00ED7B0B" w:rsidRPr="008D3181" w:rsidRDefault="00ED7B0B" w:rsidP="00ED7B0B">
      <w:pPr>
        <w:spacing w:after="80"/>
        <w:jc w:val="center"/>
        <w:rPr>
          <w:rFonts w:ascii="Arial" w:hAnsi="Arial" w:cs="Arial"/>
          <w:caps/>
          <w:lang w:val="en-GB"/>
        </w:rPr>
      </w:pPr>
      <w:r w:rsidRPr="008D3181">
        <w:rPr>
          <w:rFonts w:ascii="Arial" w:hAnsi="Arial" w:cs="Arial"/>
          <w:b/>
          <w:bCs/>
          <w:caps/>
          <w:sz w:val="40"/>
          <w:szCs w:val="40"/>
          <w:lang w:val="en-GB"/>
        </w:rPr>
        <w:t>STEERING COMMITTEE FOR</w:t>
      </w:r>
    </w:p>
    <w:p w14:paraId="3FF194AF" w14:textId="77777777" w:rsidR="00ED7B0B" w:rsidRPr="008D3181" w:rsidRDefault="00ED7B0B" w:rsidP="00ED7B0B">
      <w:pPr>
        <w:spacing w:after="80"/>
        <w:jc w:val="center"/>
        <w:rPr>
          <w:rFonts w:ascii="Arial" w:hAnsi="Arial" w:cs="Arial"/>
          <w:caps/>
          <w:lang w:val="en-GB"/>
        </w:rPr>
      </w:pPr>
      <w:r w:rsidRPr="008D3181">
        <w:rPr>
          <w:rFonts w:ascii="Arial" w:hAnsi="Arial" w:cs="Arial"/>
          <w:b/>
          <w:bCs/>
          <w:caps/>
          <w:sz w:val="40"/>
          <w:szCs w:val="40"/>
          <w:lang w:val="en-GB"/>
        </w:rPr>
        <w:t>NEW AND EMERGING DIGITAL</w:t>
      </w:r>
    </w:p>
    <w:p w14:paraId="31E1DEAF" w14:textId="77777777" w:rsidR="00ED7B0B" w:rsidRPr="008D3181" w:rsidRDefault="00ED7B0B" w:rsidP="00ED7B0B">
      <w:pPr>
        <w:spacing w:after="200"/>
        <w:jc w:val="center"/>
        <w:rPr>
          <w:rFonts w:ascii="Arial" w:hAnsi="Arial" w:cs="Arial"/>
          <w:b/>
          <w:bCs/>
          <w:caps/>
          <w:sz w:val="40"/>
          <w:szCs w:val="40"/>
          <w:lang w:val="en-GB"/>
        </w:rPr>
      </w:pPr>
      <w:r w:rsidRPr="008D3181">
        <w:rPr>
          <w:rFonts w:ascii="Arial" w:hAnsi="Arial" w:cs="Arial"/>
          <w:b/>
          <w:bCs/>
          <w:caps/>
          <w:sz w:val="40"/>
          <w:szCs w:val="40"/>
          <w:lang w:val="en-GB"/>
        </w:rPr>
        <w:t>TECHNOLOGIES</w:t>
      </w:r>
    </w:p>
    <w:p w14:paraId="4128A2A3" w14:textId="77777777" w:rsidR="00ED7B0B" w:rsidRPr="008D3181" w:rsidRDefault="00ED7B0B" w:rsidP="00ED7B0B">
      <w:pPr>
        <w:spacing w:after="200"/>
        <w:jc w:val="center"/>
        <w:rPr>
          <w:rFonts w:ascii="Arial" w:hAnsi="Arial" w:cs="Arial"/>
          <w:caps/>
          <w:lang w:val="en-GB"/>
        </w:rPr>
      </w:pPr>
      <w:r w:rsidRPr="008D3181">
        <w:rPr>
          <w:rFonts w:ascii="Arial" w:hAnsi="Arial" w:cs="Arial"/>
          <w:b/>
          <w:bCs/>
          <w:caps/>
          <w:sz w:val="40"/>
          <w:szCs w:val="40"/>
          <w:lang w:val="en-GB"/>
        </w:rPr>
        <w:t>(CDNET)</w:t>
      </w:r>
    </w:p>
    <w:p w14:paraId="06DAA09F" w14:textId="51CF1CC7" w:rsidR="00ED7B0B" w:rsidRPr="008D3181" w:rsidRDefault="00ED7B0B" w:rsidP="00ED7B0B">
      <w:pPr>
        <w:jc w:val="center"/>
        <w:rPr>
          <w:rFonts w:ascii="Arial" w:hAnsi="Arial" w:cs="Arial"/>
          <w:u w:val="single"/>
          <w:lang w:val="en-GB"/>
        </w:rPr>
      </w:pPr>
      <w:r w:rsidRPr="008D3181">
        <w:rPr>
          <w:rFonts w:ascii="Arial" w:hAnsi="Arial" w:cs="Arial"/>
          <w:u w:val="single"/>
          <w:lang w:val="en-GB"/>
        </w:rPr>
        <w:t>______________________________________________</w:t>
      </w:r>
    </w:p>
    <w:p w14:paraId="0F1B0A97" w14:textId="77777777" w:rsidR="00ED7B0B" w:rsidRPr="008D3181" w:rsidRDefault="00ED7B0B" w:rsidP="00ED7B0B">
      <w:pPr>
        <w:rPr>
          <w:rFonts w:ascii="Arial" w:hAnsi="Arial" w:cs="Arial"/>
          <w:b/>
          <w:bCs/>
          <w:lang w:val="en-GB"/>
        </w:rPr>
      </w:pPr>
    </w:p>
    <w:p w14:paraId="796BDF01" w14:textId="400AE1C7" w:rsidR="006755B3" w:rsidRPr="008D3181" w:rsidRDefault="00ED7B0B" w:rsidP="00ED7B0B">
      <w:pPr>
        <w:jc w:val="center"/>
        <w:rPr>
          <w:rFonts w:ascii="Arial" w:hAnsi="Arial" w:cs="Arial"/>
          <w:b/>
          <w:bCs/>
          <w:sz w:val="28"/>
          <w:szCs w:val="28"/>
          <w:lang w:val="en-GB"/>
        </w:rPr>
      </w:pPr>
      <w:r w:rsidRPr="008D3181">
        <w:rPr>
          <w:rFonts w:ascii="Arial" w:hAnsi="Arial" w:cs="Arial"/>
          <w:b/>
          <w:bCs/>
          <w:sz w:val="28"/>
          <w:szCs w:val="28"/>
          <w:lang w:val="en-GB"/>
        </w:rPr>
        <w:t>COMMENTS ON CONGRESS OF LOCAL AND REGIONAL AUTHORITIES RECOMMENDATION</w:t>
      </w:r>
      <w:r w:rsidRPr="008D3181">
        <w:rPr>
          <w:rFonts w:ascii="Arial" w:hAnsi="Arial" w:cs="Arial"/>
          <w:b/>
          <w:bCs/>
          <w:sz w:val="28"/>
          <w:szCs w:val="28"/>
          <w:lang w:val="en-US"/>
        </w:rPr>
        <w:t xml:space="preserve"> 546 (2026</w:t>
      </w:r>
      <w:r w:rsidRPr="008D3181">
        <w:rPr>
          <w:rFonts w:ascii="Arial" w:hAnsi="Arial" w:cs="Arial"/>
          <w:b/>
          <w:bCs/>
          <w:sz w:val="28"/>
          <w:szCs w:val="28"/>
          <w:lang w:val="en-GB"/>
        </w:rPr>
        <w:t>) “STRENGTHENING THE CAPACITIES OF LOCAL AND REGIONAL AUTHORITIES IN THE USE OF ARTIFICIAL INTELLIGENCE”</w:t>
      </w:r>
    </w:p>
    <w:p w14:paraId="7E1596C8" w14:textId="77777777" w:rsidR="00ED7B0B" w:rsidRPr="008D3181" w:rsidRDefault="00ED7B0B" w:rsidP="00ED7B0B">
      <w:pPr>
        <w:jc w:val="center"/>
        <w:rPr>
          <w:rFonts w:ascii="Arial" w:hAnsi="Arial" w:cs="Arial"/>
          <w:b/>
          <w:bCs/>
          <w:sz w:val="28"/>
          <w:szCs w:val="28"/>
          <w:lang w:val="en-GB"/>
        </w:rPr>
      </w:pPr>
    </w:p>
    <w:p w14:paraId="56D37CFB" w14:textId="77777777" w:rsidR="00ED7B0B" w:rsidRPr="008D3181" w:rsidRDefault="00ED7B0B" w:rsidP="00ED7B0B">
      <w:pPr>
        <w:jc w:val="center"/>
        <w:rPr>
          <w:rFonts w:ascii="Arial" w:hAnsi="Arial" w:cs="Arial"/>
          <w:b/>
          <w:bCs/>
          <w:sz w:val="28"/>
          <w:szCs w:val="28"/>
          <w:lang w:val="en-GB"/>
        </w:rPr>
      </w:pPr>
    </w:p>
    <w:p w14:paraId="52F035D5" w14:textId="77777777" w:rsidR="00ED7B0B" w:rsidRPr="008D3181" w:rsidRDefault="00ED7B0B" w:rsidP="00ED7B0B">
      <w:pPr>
        <w:jc w:val="center"/>
        <w:rPr>
          <w:rFonts w:ascii="Arial" w:hAnsi="Arial" w:cs="Arial"/>
          <w:b/>
          <w:bCs/>
          <w:sz w:val="28"/>
          <w:szCs w:val="28"/>
          <w:lang w:val="en-GB"/>
        </w:rPr>
      </w:pPr>
    </w:p>
    <w:p w14:paraId="20D2BE33" w14:textId="77777777" w:rsidR="00ED7B0B" w:rsidRPr="008D3181" w:rsidRDefault="00ED7B0B" w:rsidP="00ED7B0B">
      <w:pPr>
        <w:jc w:val="center"/>
        <w:rPr>
          <w:rFonts w:ascii="Arial" w:hAnsi="Arial" w:cs="Arial"/>
          <w:b/>
          <w:bCs/>
          <w:sz w:val="28"/>
          <w:szCs w:val="28"/>
          <w:lang w:val="en-GB"/>
        </w:rPr>
      </w:pPr>
    </w:p>
    <w:p w14:paraId="2FF38F6A" w14:textId="77777777" w:rsidR="00ED7B0B" w:rsidRPr="008D3181" w:rsidRDefault="00ED7B0B" w:rsidP="00ED7B0B">
      <w:pPr>
        <w:tabs>
          <w:tab w:val="left" w:pos="3885"/>
        </w:tabs>
        <w:spacing w:before="160"/>
        <w:jc w:val="center"/>
        <w:rPr>
          <w:rFonts w:ascii="Arial" w:hAnsi="Arial" w:cs="Arial"/>
          <w:u w:val="single"/>
          <w:lang w:val="en-GB"/>
        </w:rPr>
      </w:pPr>
      <w:hyperlink r:id="rId9" w:history="1">
        <w:r w:rsidRPr="008D3181">
          <w:rPr>
            <w:rStyle w:val="Hyperlink"/>
            <w:rFonts w:ascii="Arial" w:hAnsi="Arial" w:cs="Arial"/>
            <w:color w:val="auto"/>
            <w:lang w:val="en-GB"/>
          </w:rPr>
          <w:t>www.coe.int/cdnet</w:t>
        </w:r>
      </w:hyperlink>
    </w:p>
    <w:p w14:paraId="6E035D89" w14:textId="77777777" w:rsidR="00ED7B0B" w:rsidRPr="008D3181" w:rsidRDefault="00ED7B0B" w:rsidP="00ED7B0B">
      <w:pPr>
        <w:jc w:val="center"/>
        <w:rPr>
          <w:rFonts w:ascii="Arial" w:hAnsi="Arial" w:cs="Arial"/>
          <w:b/>
          <w:bCs/>
          <w:sz w:val="28"/>
          <w:szCs w:val="28"/>
          <w:lang w:val="en-GB"/>
        </w:rPr>
      </w:pPr>
    </w:p>
    <w:p w14:paraId="300ECCEA" w14:textId="77777777" w:rsidR="00ED7B0B" w:rsidRPr="008D3181" w:rsidRDefault="00ED7B0B" w:rsidP="00ED7B0B">
      <w:pPr>
        <w:jc w:val="center"/>
        <w:rPr>
          <w:rFonts w:ascii="Arial" w:hAnsi="Arial" w:cs="Arial"/>
          <w:b/>
          <w:bCs/>
          <w:sz w:val="28"/>
          <w:szCs w:val="28"/>
          <w:lang w:val="en-GB"/>
        </w:rPr>
      </w:pPr>
    </w:p>
    <w:p w14:paraId="0ED2AAA9" w14:textId="77777777" w:rsidR="00ED7B0B" w:rsidRPr="008D3181" w:rsidRDefault="00ED7B0B" w:rsidP="00ED7B0B">
      <w:pPr>
        <w:jc w:val="center"/>
        <w:rPr>
          <w:rFonts w:ascii="Arial" w:hAnsi="Arial" w:cs="Arial"/>
          <w:b/>
          <w:bCs/>
          <w:sz w:val="28"/>
          <w:szCs w:val="28"/>
          <w:lang w:val="en-GB"/>
        </w:rPr>
      </w:pPr>
    </w:p>
    <w:p w14:paraId="5516D110" w14:textId="77777777" w:rsidR="00F36553" w:rsidRPr="008D3181" w:rsidRDefault="00F36553" w:rsidP="00ED7B0B">
      <w:pPr>
        <w:jc w:val="center"/>
        <w:rPr>
          <w:rFonts w:ascii="Arial" w:hAnsi="Arial" w:cs="Arial"/>
          <w:b/>
          <w:bCs/>
          <w:sz w:val="28"/>
          <w:szCs w:val="28"/>
          <w:lang w:val="en-GB"/>
        </w:rPr>
      </w:pPr>
    </w:p>
    <w:p w14:paraId="75299D63" w14:textId="77777777" w:rsidR="00ED7B0B" w:rsidRPr="008D3181" w:rsidRDefault="00ED7B0B" w:rsidP="00ED7B0B">
      <w:pPr>
        <w:jc w:val="center"/>
        <w:rPr>
          <w:rFonts w:ascii="Arial" w:hAnsi="Arial" w:cs="Arial"/>
          <w:b/>
          <w:bCs/>
          <w:sz w:val="28"/>
          <w:szCs w:val="28"/>
          <w:lang w:val="en-GB"/>
        </w:rPr>
      </w:pPr>
    </w:p>
    <w:p w14:paraId="54F92432" w14:textId="675F43BA" w:rsidR="00ED7B0B" w:rsidRPr="008D3181" w:rsidRDefault="00ED7B0B" w:rsidP="00ED7B0B">
      <w:pPr>
        <w:jc w:val="both"/>
        <w:rPr>
          <w:rFonts w:ascii="Arial" w:hAnsi="Arial" w:cs="Arial"/>
          <w:lang w:val="en-GB"/>
        </w:rPr>
      </w:pPr>
      <w:r w:rsidRPr="008D3181">
        <w:rPr>
          <w:rFonts w:ascii="Arial" w:hAnsi="Arial" w:cs="Arial"/>
          <w:b/>
          <w:bCs/>
          <w:lang w:val="en-GB"/>
        </w:rPr>
        <w:lastRenderedPageBreak/>
        <w:t>COMMENTS BY THE CDNET</w:t>
      </w:r>
      <w:r w:rsidR="00851930" w:rsidRPr="008D3181">
        <w:rPr>
          <w:rFonts w:ascii="Arial" w:hAnsi="Arial" w:cs="Arial"/>
          <w:b/>
          <w:bCs/>
          <w:lang w:val="en-GB"/>
        </w:rPr>
        <w:t>:</w:t>
      </w:r>
    </w:p>
    <w:p w14:paraId="55967007" w14:textId="68B16023" w:rsidR="00FF6056" w:rsidRPr="00FF6056" w:rsidRDefault="00AA19F5" w:rsidP="00ED7B0B">
      <w:pPr>
        <w:pStyle w:val="ListParagraph"/>
        <w:numPr>
          <w:ilvl w:val="0"/>
          <w:numId w:val="7"/>
        </w:numPr>
        <w:jc w:val="both"/>
        <w:rPr>
          <w:rFonts w:ascii="Arial" w:hAnsi="Arial" w:cs="Arial"/>
          <w:lang w:val="en-US"/>
        </w:rPr>
      </w:pPr>
      <w:r w:rsidRPr="008D3181">
        <w:rPr>
          <w:rFonts w:ascii="Arial" w:hAnsi="Arial" w:cs="Arial"/>
          <w:lang w:val="en-GB"/>
        </w:rPr>
        <w:t>The CDNET</w:t>
      </w:r>
      <w:r w:rsidR="00C274D2" w:rsidRPr="008D3181">
        <w:rPr>
          <w:rFonts w:ascii="Arial" w:hAnsi="Arial" w:cs="Arial"/>
          <w:lang w:val="en-GB"/>
        </w:rPr>
        <w:t xml:space="preserve"> takes note and</w:t>
      </w:r>
      <w:r w:rsidRPr="008D3181">
        <w:rPr>
          <w:rFonts w:ascii="Arial" w:hAnsi="Arial" w:cs="Arial"/>
          <w:lang w:val="en-GB"/>
        </w:rPr>
        <w:t xml:space="preserve"> welcomes Congress Recommendation 546 (2026) – “Strengthening the capacities of local and regional authorities in the use of artificial intelligence”</w:t>
      </w:r>
      <w:r w:rsidR="00C274D2" w:rsidRPr="008D3181">
        <w:rPr>
          <w:rFonts w:ascii="Arial" w:hAnsi="Arial" w:cs="Arial"/>
          <w:lang w:val="en-GB"/>
        </w:rPr>
        <w:t>. The Recommendation</w:t>
      </w:r>
      <w:r w:rsidRPr="008D3181">
        <w:rPr>
          <w:rFonts w:ascii="Arial" w:hAnsi="Arial" w:cs="Arial"/>
          <w:lang w:val="en-GB"/>
        </w:rPr>
        <w:t xml:space="preserve"> makes numerous references to </w:t>
      </w:r>
      <w:r w:rsidR="00C274D2" w:rsidRPr="008D3181">
        <w:rPr>
          <w:rFonts w:ascii="Arial" w:hAnsi="Arial" w:cs="Arial"/>
          <w:lang w:val="en-GB"/>
        </w:rPr>
        <w:t xml:space="preserve">the Council of Europe Framework Convention on Artificial Intelligence and Human Rights, Democracy and the Rule of Law (CETS No. 225) </w:t>
      </w:r>
      <w:r w:rsidRPr="008D3181">
        <w:rPr>
          <w:rFonts w:ascii="Arial" w:hAnsi="Arial" w:cs="Arial"/>
          <w:lang w:val="en-GB"/>
        </w:rPr>
        <w:t xml:space="preserve">and </w:t>
      </w:r>
      <w:r w:rsidR="00C274D2" w:rsidRPr="008D3181">
        <w:rPr>
          <w:rFonts w:ascii="Arial" w:hAnsi="Arial" w:cs="Arial"/>
          <w:lang w:val="en-GB"/>
        </w:rPr>
        <w:t>underlines the imperative for l</w:t>
      </w:r>
      <w:r w:rsidRPr="008D3181">
        <w:rPr>
          <w:rFonts w:ascii="Arial" w:hAnsi="Arial" w:cs="Arial"/>
          <w:lang w:val="en-GB"/>
        </w:rPr>
        <w:t xml:space="preserve">ocal and regional authorities to build robust capacities </w:t>
      </w:r>
      <w:r w:rsidR="00C274D2" w:rsidRPr="008D3181">
        <w:rPr>
          <w:rFonts w:ascii="Arial" w:hAnsi="Arial" w:cs="Arial"/>
          <w:lang w:val="en-GB"/>
        </w:rPr>
        <w:t xml:space="preserve">for </w:t>
      </w:r>
      <w:r w:rsidRPr="008D3181">
        <w:rPr>
          <w:rFonts w:ascii="Arial" w:hAnsi="Arial" w:cs="Arial"/>
          <w:lang w:val="en-GB"/>
        </w:rPr>
        <w:t>the deployment of artificial intelligence</w:t>
      </w:r>
      <w:r w:rsidR="00A23C7C" w:rsidRPr="008D3181">
        <w:rPr>
          <w:rFonts w:ascii="Arial" w:hAnsi="Arial" w:cs="Arial"/>
          <w:lang w:val="en-GB"/>
        </w:rPr>
        <w:t xml:space="preserve"> in a manner consistent with </w:t>
      </w:r>
      <w:r w:rsidR="00C71476">
        <w:rPr>
          <w:rFonts w:ascii="Arial" w:hAnsi="Arial" w:cs="Arial"/>
          <w:lang w:val="en-GB"/>
        </w:rPr>
        <w:t xml:space="preserve">the Council of Europe’s </w:t>
      </w:r>
      <w:r w:rsidRPr="008D3181">
        <w:rPr>
          <w:rFonts w:ascii="Arial" w:hAnsi="Arial" w:cs="Arial"/>
          <w:lang w:val="en-GB"/>
        </w:rPr>
        <w:t xml:space="preserve">standards </w:t>
      </w:r>
      <w:r w:rsidR="00A23C7C" w:rsidRPr="008D3181">
        <w:rPr>
          <w:rFonts w:ascii="Arial" w:hAnsi="Arial" w:cs="Arial"/>
          <w:lang w:val="en-GB"/>
        </w:rPr>
        <w:t>on</w:t>
      </w:r>
      <w:r w:rsidRPr="008D3181">
        <w:rPr>
          <w:rFonts w:ascii="Arial" w:hAnsi="Arial" w:cs="Arial"/>
          <w:lang w:val="en-GB"/>
        </w:rPr>
        <w:t xml:space="preserve"> human rights, democracy, and the rule of law.</w:t>
      </w:r>
      <w:r w:rsidR="00A23C7C" w:rsidRPr="008D3181">
        <w:rPr>
          <w:rFonts w:ascii="Arial" w:hAnsi="Arial" w:cs="Arial"/>
          <w:lang w:val="en-GB"/>
        </w:rPr>
        <w:t xml:space="preserve"> </w:t>
      </w:r>
    </w:p>
    <w:p w14:paraId="540E6B48" w14:textId="77777777" w:rsidR="00FF6056" w:rsidRPr="00FF6056" w:rsidRDefault="00FF6056" w:rsidP="00FF6056">
      <w:pPr>
        <w:pStyle w:val="ListParagraph"/>
        <w:jc w:val="both"/>
        <w:rPr>
          <w:rFonts w:ascii="Arial" w:hAnsi="Arial" w:cs="Arial"/>
          <w:lang w:val="en-US"/>
        </w:rPr>
      </w:pPr>
    </w:p>
    <w:p w14:paraId="1563776B" w14:textId="1168DEB6" w:rsidR="00AA19F5" w:rsidRPr="008D3181" w:rsidRDefault="00FF6056" w:rsidP="00ED7B0B">
      <w:pPr>
        <w:pStyle w:val="ListParagraph"/>
        <w:numPr>
          <w:ilvl w:val="0"/>
          <w:numId w:val="7"/>
        </w:numPr>
        <w:jc w:val="both"/>
        <w:rPr>
          <w:rFonts w:ascii="Arial" w:hAnsi="Arial" w:cs="Arial"/>
          <w:lang w:val="en-US"/>
        </w:rPr>
      </w:pPr>
      <w:r>
        <w:rPr>
          <w:rFonts w:ascii="Arial" w:hAnsi="Arial" w:cs="Arial"/>
          <w:lang w:val="en-GB"/>
        </w:rPr>
        <w:t xml:space="preserve">The </w:t>
      </w:r>
      <w:r w:rsidR="00A23C7C" w:rsidRPr="008D3181">
        <w:rPr>
          <w:rFonts w:ascii="Arial" w:hAnsi="Arial" w:cs="Arial"/>
          <w:lang w:val="en-GB"/>
        </w:rPr>
        <w:t>CDNET considers that this Recommendation constitutes a valuable contribution to advancing the implementation of the Framework Convention at the sub-national level.</w:t>
      </w:r>
      <w:r w:rsidR="00022C96" w:rsidRPr="008D3181">
        <w:rPr>
          <w:rFonts w:ascii="Arial" w:hAnsi="Arial" w:cs="Arial"/>
          <w:lang w:val="en-GB"/>
        </w:rPr>
        <w:t xml:space="preserve"> </w:t>
      </w:r>
      <w:r w:rsidR="00022C96" w:rsidRPr="008D3181">
        <w:rPr>
          <w:rFonts w:ascii="Arial" w:hAnsi="Arial" w:cs="Arial"/>
          <w:lang w:val="en-US"/>
        </w:rPr>
        <w:t xml:space="preserve">In this regard, the Committee </w:t>
      </w:r>
      <w:r w:rsidR="00756E78">
        <w:rPr>
          <w:rFonts w:ascii="Arial" w:hAnsi="Arial" w:cs="Arial"/>
          <w:lang w:val="en-US"/>
        </w:rPr>
        <w:t xml:space="preserve">particularly </w:t>
      </w:r>
      <w:r w:rsidR="00022C96" w:rsidRPr="008D3181">
        <w:rPr>
          <w:rFonts w:ascii="Arial" w:hAnsi="Arial" w:cs="Arial"/>
          <w:lang w:val="en-US"/>
        </w:rPr>
        <w:t xml:space="preserve">welcomes the Congress's invitation to the Committee of Ministers, in paragraph 4 of the Recommendation, to support activities aimed at </w:t>
      </w:r>
      <w:r w:rsidR="008B435B">
        <w:rPr>
          <w:rFonts w:ascii="Arial" w:hAnsi="Arial" w:cs="Arial"/>
          <w:lang w:val="en-US"/>
        </w:rPr>
        <w:t>supporting</w:t>
      </w:r>
      <w:r>
        <w:rPr>
          <w:rFonts w:ascii="Arial" w:hAnsi="Arial" w:cs="Arial"/>
          <w:lang w:val="en-US"/>
        </w:rPr>
        <w:t xml:space="preserve"> AI at sub-national level, with regard to </w:t>
      </w:r>
      <w:r w:rsidR="00022C96" w:rsidRPr="008D3181">
        <w:rPr>
          <w:rFonts w:ascii="Arial" w:hAnsi="Arial" w:cs="Arial"/>
          <w:lang w:val="en-US"/>
        </w:rPr>
        <w:t>promoting the Framework Convention</w:t>
      </w:r>
      <w:r>
        <w:rPr>
          <w:rFonts w:ascii="Arial" w:hAnsi="Arial" w:cs="Arial"/>
          <w:lang w:val="en-US"/>
        </w:rPr>
        <w:t>.</w:t>
      </w:r>
      <w:r w:rsidR="00975735">
        <w:rPr>
          <w:rFonts w:ascii="Arial" w:hAnsi="Arial" w:cs="Arial"/>
          <w:lang w:val="en-US"/>
        </w:rPr>
        <w:t xml:space="preserve"> </w:t>
      </w:r>
      <w:r>
        <w:rPr>
          <w:rFonts w:ascii="Arial" w:hAnsi="Arial" w:cs="Arial"/>
          <w:lang w:val="en-US"/>
        </w:rPr>
        <w:t>I</w:t>
      </w:r>
      <w:r w:rsidR="00022C96" w:rsidRPr="008D3181">
        <w:rPr>
          <w:rFonts w:ascii="Arial" w:hAnsi="Arial" w:cs="Arial"/>
          <w:lang w:val="en-US"/>
        </w:rPr>
        <w:t xml:space="preserve">n </w:t>
      </w:r>
      <w:r>
        <w:rPr>
          <w:rFonts w:ascii="Arial" w:hAnsi="Arial" w:cs="Arial"/>
          <w:lang w:val="en-US"/>
        </w:rPr>
        <w:t xml:space="preserve">the </w:t>
      </w:r>
      <w:r w:rsidR="00022C96" w:rsidRPr="008D3181">
        <w:rPr>
          <w:rFonts w:ascii="Arial" w:hAnsi="Arial" w:cs="Arial"/>
          <w:lang w:val="en-US"/>
        </w:rPr>
        <w:t>CDNET's view</w:t>
      </w:r>
      <w:r>
        <w:rPr>
          <w:rFonts w:ascii="Arial" w:hAnsi="Arial" w:cs="Arial"/>
          <w:lang w:val="en-US"/>
        </w:rPr>
        <w:t>, this</w:t>
      </w:r>
      <w:r w:rsidR="00022C96" w:rsidRPr="008D3181">
        <w:rPr>
          <w:rFonts w:ascii="Arial" w:hAnsi="Arial" w:cs="Arial"/>
          <w:lang w:val="en-US"/>
        </w:rPr>
        <w:t xml:space="preserve"> necessarily encompasses encouraging the widest possible signature, ratification and implementation of that instrument by member States as the essential normative foundation upon which effective and rights-compliant use of AI by local and regional authorities must rest.</w:t>
      </w:r>
    </w:p>
    <w:p w14:paraId="3BF7D604" w14:textId="77777777" w:rsidR="00ED7B0B" w:rsidRPr="008D3181" w:rsidRDefault="00ED7B0B" w:rsidP="00ED7B0B">
      <w:pPr>
        <w:pStyle w:val="ListParagraph"/>
        <w:jc w:val="both"/>
        <w:rPr>
          <w:rFonts w:ascii="Arial" w:hAnsi="Arial" w:cs="Arial"/>
          <w:lang w:val="en-US"/>
        </w:rPr>
      </w:pPr>
    </w:p>
    <w:p w14:paraId="0118E387" w14:textId="7C57871E" w:rsidR="00A52E2E" w:rsidRPr="008D3181" w:rsidRDefault="0052776E" w:rsidP="00ED7B0B">
      <w:pPr>
        <w:pStyle w:val="ListParagraph"/>
        <w:numPr>
          <w:ilvl w:val="0"/>
          <w:numId w:val="7"/>
        </w:numPr>
        <w:jc w:val="both"/>
        <w:rPr>
          <w:rFonts w:ascii="Arial" w:hAnsi="Arial" w:cs="Arial"/>
          <w:lang w:val="en-GB"/>
        </w:rPr>
      </w:pPr>
      <w:r w:rsidRPr="008D3181">
        <w:rPr>
          <w:rFonts w:ascii="Arial" w:hAnsi="Arial" w:cs="Arial"/>
          <w:lang w:val="en-GB"/>
        </w:rPr>
        <w:t xml:space="preserve">The Committee commends the valuable work undertaken by the Congress on digitalisation </w:t>
      </w:r>
      <w:r w:rsidR="00F11315" w:rsidRPr="008D3181">
        <w:rPr>
          <w:rFonts w:ascii="Arial" w:hAnsi="Arial" w:cs="Arial"/>
          <w:lang w:val="en-GB"/>
        </w:rPr>
        <w:t xml:space="preserve">governance </w:t>
      </w:r>
      <w:r w:rsidRPr="008D3181">
        <w:rPr>
          <w:rFonts w:ascii="Arial" w:hAnsi="Arial" w:cs="Arial"/>
          <w:lang w:val="en-GB"/>
        </w:rPr>
        <w:t xml:space="preserve">since 2009, covering a wide range of </w:t>
      </w:r>
      <w:r w:rsidR="00A23C7C" w:rsidRPr="008D3181">
        <w:rPr>
          <w:rFonts w:ascii="Arial" w:hAnsi="Arial" w:cs="Arial"/>
          <w:lang w:val="en-GB"/>
        </w:rPr>
        <w:t xml:space="preserve">significant </w:t>
      </w:r>
      <w:r w:rsidRPr="008D3181">
        <w:rPr>
          <w:rFonts w:ascii="Arial" w:hAnsi="Arial" w:cs="Arial"/>
          <w:lang w:val="en-GB"/>
        </w:rPr>
        <w:t xml:space="preserve">topics including e-democracy, the digital divide and e-inclusion, open data, transparency and open government, as well as smart cities and regions. </w:t>
      </w:r>
      <w:r w:rsidR="00F11315" w:rsidRPr="008D3181">
        <w:rPr>
          <w:rFonts w:ascii="Arial" w:hAnsi="Arial" w:cs="Arial"/>
          <w:lang w:val="en-GB"/>
        </w:rPr>
        <w:t>CDNET takes note that t</w:t>
      </w:r>
      <w:r w:rsidRPr="008D3181">
        <w:rPr>
          <w:rFonts w:ascii="Arial" w:hAnsi="Arial" w:cs="Arial"/>
          <w:lang w:val="en-GB"/>
        </w:rPr>
        <w:t>hese continuous efforts are further reflected in Congress Priorities 2021-2026, Priority 6.e. on digitalisation and artificial intelligence.</w:t>
      </w:r>
    </w:p>
    <w:p w14:paraId="38C7C510" w14:textId="77777777" w:rsidR="00ED7B0B" w:rsidRPr="008D3181" w:rsidRDefault="00ED7B0B" w:rsidP="00ED7B0B">
      <w:pPr>
        <w:pStyle w:val="ListParagraph"/>
        <w:rPr>
          <w:rFonts w:ascii="Arial" w:hAnsi="Arial" w:cs="Arial"/>
          <w:lang w:val="en-GB"/>
        </w:rPr>
      </w:pPr>
    </w:p>
    <w:p w14:paraId="16206DF3" w14:textId="42F54183" w:rsidR="00A52E2E" w:rsidRPr="008D3181" w:rsidRDefault="00FF6056" w:rsidP="00ED7B0B">
      <w:pPr>
        <w:pStyle w:val="ListParagraph"/>
        <w:numPr>
          <w:ilvl w:val="0"/>
          <w:numId w:val="7"/>
        </w:numPr>
        <w:jc w:val="both"/>
        <w:rPr>
          <w:rFonts w:ascii="Arial" w:hAnsi="Arial" w:cs="Arial"/>
          <w:lang w:val="en-GB"/>
        </w:rPr>
      </w:pPr>
      <w:r>
        <w:rPr>
          <w:rFonts w:ascii="Arial" w:hAnsi="Arial" w:cs="Arial"/>
          <w:lang w:val="en-GB"/>
        </w:rPr>
        <w:t xml:space="preserve">The </w:t>
      </w:r>
      <w:r w:rsidR="0018305F" w:rsidRPr="008D3181">
        <w:rPr>
          <w:rFonts w:ascii="Arial" w:hAnsi="Arial" w:cs="Arial"/>
          <w:lang w:val="en-GB"/>
        </w:rPr>
        <w:t xml:space="preserve">CDNET </w:t>
      </w:r>
      <w:r w:rsidR="00A23C7C" w:rsidRPr="008D3181">
        <w:rPr>
          <w:rFonts w:ascii="Arial" w:hAnsi="Arial" w:cs="Arial"/>
          <w:lang w:val="en-GB"/>
        </w:rPr>
        <w:t xml:space="preserve">notes with </w:t>
      </w:r>
      <w:r w:rsidR="0018305F" w:rsidRPr="008D3181">
        <w:rPr>
          <w:rFonts w:ascii="Arial" w:hAnsi="Arial" w:cs="Arial"/>
          <w:lang w:val="en-GB"/>
        </w:rPr>
        <w:t>appreciat</w:t>
      </w:r>
      <w:r w:rsidR="00A23C7C" w:rsidRPr="008D3181">
        <w:rPr>
          <w:rFonts w:ascii="Arial" w:hAnsi="Arial" w:cs="Arial"/>
          <w:lang w:val="en-GB"/>
        </w:rPr>
        <w:t xml:space="preserve">ion </w:t>
      </w:r>
      <w:r w:rsidR="0018305F" w:rsidRPr="008D3181">
        <w:rPr>
          <w:rFonts w:ascii="Arial" w:hAnsi="Arial" w:cs="Arial"/>
          <w:lang w:val="en-GB"/>
        </w:rPr>
        <w:t xml:space="preserve">the Recommendation’s emphasis on the promotion and implementation of digital skills detailed in the </w:t>
      </w:r>
      <w:hyperlink r:id="rId10" w:history="1">
        <w:r w:rsidR="0018305F" w:rsidRPr="008D3181">
          <w:rPr>
            <w:rStyle w:val="Hyperlink"/>
            <w:rFonts w:ascii="Arial" w:hAnsi="Arial" w:cs="Arial"/>
            <w:lang w:val="en-GB"/>
          </w:rPr>
          <w:t>explanatory memorandum (5.2)</w:t>
        </w:r>
      </w:hyperlink>
      <w:r w:rsidR="00C170F3" w:rsidRPr="008D3181">
        <w:rPr>
          <w:rStyle w:val="FootnoteReference"/>
          <w:rFonts w:ascii="Arial" w:hAnsi="Arial" w:cs="Arial"/>
          <w:lang w:val="en-GB"/>
        </w:rPr>
        <w:footnoteReference w:id="1"/>
      </w:r>
      <w:r w:rsidR="0018305F" w:rsidRPr="008D3181">
        <w:rPr>
          <w:rFonts w:ascii="Arial" w:hAnsi="Arial" w:cs="Arial"/>
          <w:lang w:val="en-GB"/>
        </w:rPr>
        <w:t xml:space="preserve">, </w:t>
      </w:r>
      <w:r w:rsidR="00A23C7C" w:rsidRPr="008D3181">
        <w:rPr>
          <w:rFonts w:ascii="Arial" w:hAnsi="Arial" w:cs="Arial"/>
          <w:lang w:val="en-GB"/>
        </w:rPr>
        <w:t xml:space="preserve">which aligns with the obligations </w:t>
      </w:r>
      <w:r w:rsidR="0018305F" w:rsidRPr="008D3181">
        <w:rPr>
          <w:rFonts w:ascii="Arial" w:hAnsi="Arial" w:cs="Arial"/>
          <w:lang w:val="en-GB"/>
        </w:rPr>
        <w:t xml:space="preserve">set out in Article 20 </w:t>
      </w:r>
      <w:r w:rsidR="00A23C7C" w:rsidRPr="008D3181">
        <w:rPr>
          <w:rFonts w:ascii="Arial" w:hAnsi="Arial" w:cs="Arial"/>
          <w:lang w:val="en-GB"/>
        </w:rPr>
        <w:t>of the Framework Convention on Artificial Intelligence and Human Rights, Democracy and the Rule of Law</w:t>
      </w:r>
      <w:r w:rsidR="00AA19F5" w:rsidRPr="008D3181">
        <w:rPr>
          <w:rFonts w:ascii="Arial" w:hAnsi="Arial" w:cs="Arial"/>
          <w:lang w:val="en-GB"/>
        </w:rPr>
        <w:t xml:space="preserve">. </w:t>
      </w:r>
      <w:r w:rsidR="00A23C7C" w:rsidRPr="008D3181">
        <w:rPr>
          <w:rFonts w:ascii="Arial" w:hAnsi="Arial" w:cs="Arial"/>
          <w:lang w:val="en-GB"/>
        </w:rPr>
        <w:t>The Committee underlines that capacity-building at the local and regional level constitutes an essential condition for the effective</w:t>
      </w:r>
      <w:r>
        <w:rPr>
          <w:rFonts w:ascii="Arial" w:hAnsi="Arial" w:cs="Arial"/>
          <w:lang w:val="en-GB"/>
        </w:rPr>
        <w:t>, responsible</w:t>
      </w:r>
      <w:r w:rsidR="00A23C7C" w:rsidRPr="008D3181">
        <w:rPr>
          <w:rFonts w:ascii="Arial" w:hAnsi="Arial" w:cs="Arial"/>
          <w:lang w:val="en-GB"/>
        </w:rPr>
        <w:t xml:space="preserve"> and rights-compliant deployment of artificial intelligence in public governance.</w:t>
      </w:r>
    </w:p>
    <w:p w14:paraId="68DFA595" w14:textId="77777777" w:rsidR="00ED7B0B" w:rsidRPr="008D3181" w:rsidRDefault="00ED7B0B" w:rsidP="00ED7B0B">
      <w:pPr>
        <w:pStyle w:val="ListParagraph"/>
        <w:rPr>
          <w:rFonts w:ascii="Arial" w:hAnsi="Arial" w:cs="Arial"/>
          <w:lang w:val="en-GB"/>
        </w:rPr>
      </w:pPr>
    </w:p>
    <w:p w14:paraId="3E7B57EB" w14:textId="011D4A23" w:rsidR="008B435B" w:rsidRDefault="00A23C7C" w:rsidP="00ED7B0B">
      <w:pPr>
        <w:pStyle w:val="ListParagraph"/>
        <w:numPr>
          <w:ilvl w:val="0"/>
          <w:numId w:val="7"/>
        </w:numPr>
        <w:jc w:val="both"/>
        <w:rPr>
          <w:rFonts w:ascii="Arial" w:hAnsi="Arial" w:cs="Arial"/>
          <w:lang w:val="en-GB"/>
        </w:rPr>
      </w:pPr>
      <w:r w:rsidRPr="008D3181">
        <w:rPr>
          <w:rFonts w:ascii="Arial" w:hAnsi="Arial" w:cs="Arial"/>
          <w:lang w:val="en-GB"/>
        </w:rPr>
        <w:lastRenderedPageBreak/>
        <w:t>T</w:t>
      </w:r>
      <w:r w:rsidR="007737B6" w:rsidRPr="008D3181">
        <w:rPr>
          <w:rFonts w:ascii="Arial" w:hAnsi="Arial" w:cs="Arial"/>
          <w:lang w:val="en-GB"/>
        </w:rPr>
        <w:t xml:space="preserve">he </w:t>
      </w:r>
      <w:r w:rsidR="0052776E" w:rsidRPr="008D3181">
        <w:rPr>
          <w:rFonts w:ascii="Arial" w:hAnsi="Arial" w:cs="Arial"/>
          <w:lang w:val="en-GB"/>
        </w:rPr>
        <w:t>Committee</w:t>
      </w:r>
      <w:r w:rsidR="007737B6" w:rsidRPr="008D3181">
        <w:rPr>
          <w:rFonts w:ascii="Arial" w:hAnsi="Arial" w:cs="Arial"/>
          <w:lang w:val="en-GB"/>
        </w:rPr>
        <w:t xml:space="preserve"> draw</w:t>
      </w:r>
      <w:r w:rsidRPr="008D3181">
        <w:rPr>
          <w:rFonts w:ascii="Arial" w:hAnsi="Arial" w:cs="Arial"/>
          <w:lang w:val="en-GB"/>
        </w:rPr>
        <w:t>s</w:t>
      </w:r>
      <w:r w:rsidR="007737B6" w:rsidRPr="008D3181">
        <w:rPr>
          <w:rFonts w:ascii="Arial" w:hAnsi="Arial" w:cs="Arial"/>
          <w:lang w:val="en-GB"/>
        </w:rPr>
        <w:t xml:space="preserve"> </w:t>
      </w:r>
      <w:r w:rsidRPr="008D3181">
        <w:rPr>
          <w:rFonts w:ascii="Arial" w:hAnsi="Arial" w:cs="Arial"/>
          <w:lang w:val="en-GB"/>
        </w:rPr>
        <w:t xml:space="preserve">the </w:t>
      </w:r>
      <w:r w:rsidR="007737B6" w:rsidRPr="008D3181">
        <w:rPr>
          <w:rFonts w:ascii="Arial" w:hAnsi="Arial" w:cs="Arial"/>
          <w:lang w:val="en-GB"/>
        </w:rPr>
        <w:t>Congress</w:t>
      </w:r>
      <w:r w:rsidR="0052776E" w:rsidRPr="008D3181">
        <w:rPr>
          <w:rFonts w:ascii="Arial" w:hAnsi="Arial" w:cs="Arial"/>
          <w:lang w:val="en-GB"/>
        </w:rPr>
        <w:t>’s</w:t>
      </w:r>
      <w:r w:rsidR="007737B6" w:rsidRPr="008D3181">
        <w:rPr>
          <w:rFonts w:ascii="Arial" w:hAnsi="Arial" w:cs="Arial"/>
          <w:lang w:val="en-GB"/>
        </w:rPr>
        <w:t xml:space="preserve"> attention to its</w:t>
      </w:r>
      <w:r w:rsidR="006755B3" w:rsidRPr="008D3181">
        <w:rPr>
          <w:rFonts w:ascii="Arial" w:hAnsi="Arial" w:cs="Arial"/>
          <w:lang w:val="en-GB"/>
        </w:rPr>
        <w:t xml:space="preserve"> ongoing </w:t>
      </w:r>
      <w:r w:rsidR="007737B6" w:rsidRPr="008D3181">
        <w:rPr>
          <w:rFonts w:ascii="Arial" w:hAnsi="Arial" w:cs="Arial"/>
          <w:lang w:val="en-GB"/>
        </w:rPr>
        <w:t xml:space="preserve">work </w:t>
      </w:r>
      <w:r w:rsidRPr="008D3181">
        <w:rPr>
          <w:rFonts w:ascii="Arial" w:hAnsi="Arial" w:cs="Arial"/>
          <w:lang w:val="en-GB"/>
        </w:rPr>
        <w:t xml:space="preserve">in relation to the Human Rights, Democracy and Rule of Law Impact Assessment (HUDERIA) Model, which constitutes </w:t>
      </w:r>
      <w:r w:rsidR="00FF6056">
        <w:rPr>
          <w:rFonts w:ascii="Arial" w:hAnsi="Arial" w:cs="Arial"/>
          <w:lang w:val="en-GB"/>
        </w:rPr>
        <w:t xml:space="preserve">the </w:t>
      </w:r>
      <w:r w:rsidRPr="008D3181">
        <w:rPr>
          <w:rFonts w:ascii="Arial" w:hAnsi="Arial" w:cs="Arial"/>
          <w:lang w:val="en-GB"/>
        </w:rPr>
        <w:t xml:space="preserve">CDNET’s principal operational instrument for giving effect to the Framework Convention’s </w:t>
      </w:r>
      <w:r w:rsidR="00756E78">
        <w:rPr>
          <w:rFonts w:ascii="Arial" w:hAnsi="Arial" w:cs="Arial"/>
          <w:lang w:val="en-GB"/>
        </w:rPr>
        <w:t>provisions</w:t>
      </w:r>
      <w:r w:rsidR="00756E78" w:rsidRPr="008D3181">
        <w:rPr>
          <w:rFonts w:ascii="Arial" w:hAnsi="Arial" w:cs="Arial"/>
          <w:lang w:val="en-GB"/>
        </w:rPr>
        <w:t xml:space="preserve"> </w:t>
      </w:r>
      <w:r w:rsidRPr="008D3181">
        <w:rPr>
          <w:rFonts w:ascii="Arial" w:hAnsi="Arial" w:cs="Arial"/>
          <w:lang w:val="en-GB"/>
        </w:rPr>
        <w:t xml:space="preserve">in practice. This work encompasses, in particular, the already adopted guidance on Context-based Risk Analysis and future modules on Stakeholder Engagement, Recommendations on Roles and Responsibilities across the AI Project Lifecycle, and Procurement Guidelines. </w:t>
      </w:r>
      <w:r w:rsidR="00FF6056">
        <w:rPr>
          <w:rFonts w:ascii="Arial" w:hAnsi="Arial" w:cs="Arial"/>
          <w:lang w:val="en-GB"/>
        </w:rPr>
        <w:t xml:space="preserve">The </w:t>
      </w:r>
      <w:r w:rsidRPr="008D3181">
        <w:rPr>
          <w:rFonts w:ascii="Arial" w:hAnsi="Arial" w:cs="Arial"/>
          <w:lang w:val="en-GB"/>
        </w:rPr>
        <w:t xml:space="preserve">CDNET considers that these tools </w:t>
      </w:r>
      <w:r w:rsidR="00FF6056">
        <w:rPr>
          <w:rFonts w:ascii="Arial" w:hAnsi="Arial" w:cs="Arial"/>
          <w:lang w:val="en-GB"/>
        </w:rPr>
        <w:t>can</w:t>
      </w:r>
      <w:r w:rsidR="00FF6056" w:rsidRPr="008D3181">
        <w:rPr>
          <w:rFonts w:ascii="Arial" w:hAnsi="Arial" w:cs="Arial"/>
          <w:lang w:val="en-GB"/>
        </w:rPr>
        <w:t xml:space="preserve"> </w:t>
      </w:r>
      <w:r w:rsidRPr="008D3181">
        <w:rPr>
          <w:rFonts w:ascii="Arial" w:hAnsi="Arial" w:cs="Arial"/>
          <w:lang w:val="en-GB"/>
        </w:rPr>
        <w:t>provide meaningful and concrete guidance to inform the Congress’s future actions in this domain</w:t>
      </w:r>
      <w:r w:rsidR="00DA455D">
        <w:rPr>
          <w:rFonts w:ascii="Arial" w:hAnsi="Arial" w:cs="Arial"/>
          <w:lang w:val="en-GB"/>
        </w:rPr>
        <w:t>. It further considers that they can promote the objectives outlined in paragraph 3 of the Recommendation, including setting up coherent national legal and policy frameworks for the most effective, responsible and sustainable use of AI at sub-national level and the iterative review and assessment of local and regional AI systems</w:t>
      </w:r>
      <w:r w:rsidRPr="008D3181">
        <w:rPr>
          <w:rFonts w:ascii="Arial" w:hAnsi="Arial" w:cs="Arial"/>
          <w:lang w:val="en-GB"/>
        </w:rPr>
        <w:t xml:space="preserve">. </w:t>
      </w:r>
    </w:p>
    <w:p w14:paraId="24DB8886" w14:textId="77777777" w:rsidR="008B435B" w:rsidRDefault="008B435B" w:rsidP="008B435B">
      <w:pPr>
        <w:pStyle w:val="ListParagraph"/>
        <w:jc w:val="both"/>
        <w:rPr>
          <w:rFonts w:ascii="Arial" w:hAnsi="Arial" w:cs="Arial"/>
          <w:lang w:val="en-GB"/>
        </w:rPr>
      </w:pPr>
    </w:p>
    <w:p w14:paraId="24312BBB" w14:textId="75ED9EB6" w:rsidR="004B218F" w:rsidRPr="008D3181" w:rsidRDefault="007D63CC" w:rsidP="00ED7B0B">
      <w:pPr>
        <w:pStyle w:val="ListParagraph"/>
        <w:numPr>
          <w:ilvl w:val="0"/>
          <w:numId w:val="7"/>
        </w:numPr>
        <w:jc w:val="both"/>
        <w:rPr>
          <w:rFonts w:ascii="Arial" w:hAnsi="Arial" w:cs="Arial"/>
          <w:lang w:val="en-GB"/>
        </w:rPr>
      </w:pPr>
      <w:r w:rsidRPr="008D3181">
        <w:rPr>
          <w:rFonts w:ascii="Arial" w:hAnsi="Arial" w:cs="Arial"/>
          <w:lang w:val="en-GB"/>
        </w:rPr>
        <w:t xml:space="preserve">In this context, </w:t>
      </w:r>
      <w:r w:rsidR="008B435B">
        <w:rPr>
          <w:rFonts w:ascii="Arial" w:hAnsi="Arial" w:cs="Arial"/>
          <w:lang w:val="en-GB"/>
        </w:rPr>
        <w:t xml:space="preserve">and keeping in mind </w:t>
      </w:r>
      <w:r w:rsidR="008B435B" w:rsidRPr="008D3181">
        <w:rPr>
          <w:rFonts w:ascii="Arial" w:hAnsi="Arial" w:cs="Arial"/>
          <w:lang w:val="en-GB"/>
        </w:rPr>
        <w:t xml:space="preserve">the </w:t>
      </w:r>
      <w:r w:rsidR="008B435B">
        <w:rPr>
          <w:rFonts w:ascii="Arial" w:hAnsi="Arial" w:cs="Arial"/>
          <w:lang w:val="en-GB"/>
        </w:rPr>
        <w:t>central</w:t>
      </w:r>
      <w:r w:rsidR="008B435B" w:rsidRPr="008D3181">
        <w:rPr>
          <w:rFonts w:ascii="Arial" w:hAnsi="Arial" w:cs="Arial"/>
          <w:lang w:val="en-GB"/>
        </w:rPr>
        <w:t xml:space="preserve"> role of local and regional authorities for integrating AI and other digital technologies into democratic governance</w:t>
      </w:r>
      <w:r w:rsidR="008B435B">
        <w:rPr>
          <w:rFonts w:ascii="Arial" w:hAnsi="Arial" w:cs="Arial"/>
          <w:lang w:val="en-GB"/>
        </w:rPr>
        <w:t>, highlighted in paragraph 5 of the Recommendation, the CDNET</w:t>
      </w:r>
      <w:r w:rsidRPr="008D3181">
        <w:rPr>
          <w:rFonts w:ascii="Arial" w:hAnsi="Arial" w:cs="Arial"/>
          <w:lang w:val="en-GB"/>
        </w:rPr>
        <w:t xml:space="preserve"> welcomes the upcoming HUDERIA Academy focusing on local authorities, scheduled for </w:t>
      </w:r>
      <w:r w:rsidR="00F11315" w:rsidRPr="008D3181">
        <w:rPr>
          <w:rFonts w:ascii="Arial" w:hAnsi="Arial" w:cs="Arial"/>
          <w:lang w:val="en-GB"/>
        </w:rPr>
        <w:t xml:space="preserve">17-19 November </w:t>
      </w:r>
      <w:r w:rsidRPr="008D3181">
        <w:rPr>
          <w:rFonts w:ascii="Arial" w:hAnsi="Arial" w:cs="Arial"/>
          <w:lang w:val="en-GB"/>
        </w:rPr>
        <w:t>2026</w:t>
      </w:r>
      <w:r w:rsidR="00F11315" w:rsidRPr="008D3181">
        <w:rPr>
          <w:rFonts w:ascii="Arial" w:hAnsi="Arial" w:cs="Arial"/>
          <w:lang w:val="en-GB"/>
        </w:rPr>
        <w:t xml:space="preserve">, organised jointly by the Digital Development Unit and the Centre of Expertise for Multilevel Governance at the Congress of Local and Regional Authorities. </w:t>
      </w:r>
    </w:p>
    <w:p w14:paraId="4335CE7B" w14:textId="77777777" w:rsidR="00891ED4" w:rsidRPr="008D3181" w:rsidRDefault="00891ED4" w:rsidP="00891ED4">
      <w:pPr>
        <w:jc w:val="both"/>
        <w:rPr>
          <w:rFonts w:ascii="Arial" w:hAnsi="Arial" w:cs="Arial"/>
          <w:lang w:val="en-GB"/>
        </w:rPr>
      </w:pPr>
    </w:p>
    <w:p w14:paraId="27BB1E8F" w14:textId="714697FC" w:rsidR="00C170F3" w:rsidRPr="008D3181" w:rsidRDefault="00C170F3">
      <w:pPr>
        <w:rPr>
          <w:rFonts w:ascii="Arial" w:hAnsi="Arial" w:cs="Arial"/>
          <w:b/>
          <w:bCs/>
          <w:lang w:val="en-GB"/>
        </w:rPr>
      </w:pPr>
      <w:r w:rsidRPr="008D3181">
        <w:rPr>
          <w:rFonts w:ascii="Arial" w:hAnsi="Arial" w:cs="Arial"/>
          <w:b/>
          <w:bCs/>
          <w:lang w:val="en-GB"/>
        </w:rPr>
        <w:br w:type="page"/>
      </w:r>
    </w:p>
    <w:p w14:paraId="35195D60" w14:textId="35637B34" w:rsidR="00891ED4" w:rsidRPr="008D3181" w:rsidRDefault="00C170F3" w:rsidP="00C170F3">
      <w:pPr>
        <w:jc w:val="center"/>
        <w:rPr>
          <w:rFonts w:ascii="Arial" w:hAnsi="Arial" w:cs="Arial"/>
          <w:u w:val="single"/>
          <w:lang w:val="en-GB"/>
        </w:rPr>
      </w:pPr>
      <w:r w:rsidRPr="008D3181">
        <w:rPr>
          <w:rFonts w:ascii="Arial" w:hAnsi="Arial" w:cs="Arial"/>
          <w:u w:val="single"/>
          <w:lang w:val="en-GB"/>
        </w:rPr>
        <w:lastRenderedPageBreak/>
        <w:t>Appendix</w:t>
      </w:r>
    </w:p>
    <w:p w14:paraId="144EE4AB" w14:textId="77777777" w:rsidR="00235599" w:rsidRPr="008D3181" w:rsidRDefault="00235599" w:rsidP="0084462B">
      <w:pPr>
        <w:jc w:val="both"/>
        <w:rPr>
          <w:rFonts w:ascii="Arial" w:hAnsi="Arial" w:cs="Arial"/>
          <w:b/>
          <w:bCs/>
          <w:lang w:val="en-GB"/>
        </w:rPr>
      </w:pPr>
    </w:p>
    <w:p w14:paraId="780D0461" w14:textId="2EADBFC8" w:rsidR="00C170F3" w:rsidRPr="008D3181" w:rsidRDefault="0084462B" w:rsidP="0084462B">
      <w:pPr>
        <w:jc w:val="both"/>
        <w:rPr>
          <w:rFonts w:ascii="Arial" w:hAnsi="Arial" w:cs="Arial"/>
          <w:b/>
          <w:bCs/>
          <w:lang w:val="en-GB"/>
        </w:rPr>
      </w:pPr>
      <w:r w:rsidRPr="008D3181">
        <w:rPr>
          <w:rFonts w:ascii="Arial" w:hAnsi="Arial" w:cs="Arial"/>
          <w:b/>
          <w:bCs/>
          <w:lang w:val="en-GB"/>
        </w:rPr>
        <w:t>RECOMMENDATION </w:t>
      </w:r>
      <w:hyperlink r:id="rId11" w:history="1">
        <w:r w:rsidR="00C170F3" w:rsidRPr="008D3181">
          <w:rPr>
            <w:rStyle w:val="Hyperlink"/>
            <w:rFonts w:ascii="Arial" w:hAnsi="Arial" w:cs="Arial"/>
            <w:b/>
            <w:bCs/>
            <w:lang w:val="en-GB"/>
          </w:rPr>
          <w:t>546 (2026)</w:t>
        </w:r>
      </w:hyperlink>
      <w:r w:rsidR="00C170F3" w:rsidRPr="008D3181">
        <w:rPr>
          <w:rFonts w:ascii="Arial" w:hAnsi="Arial" w:cs="Arial"/>
          <w:b/>
          <w:bCs/>
          <w:lang w:val="en-GB"/>
        </w:rPr>
        <w:t xml:space="preserve"> “Strengthening the capacities of local and regional authorities in the use of artificial intelligence”</w:t>
      </w:r>
      <w:r w:rsidRPr="008D3181">
        <w:rPr>
          <w:rStyle w:val="FootnoteReference"/>
          <w:rFonts w:ascii="Arial" w:hAnsi="Arial" w:cs="Arial"/>
          <w:b/>
          <w:bCs/>
          <w:lang w:val="en-GB"/>
        </w:rPr>
        <w:footnoteReference w:id="2"/>
      </w:r>
    </w:p>
    <w:p w14:paraId="75CEFCEE" w14:textId="77777777" w:rsidR="00235599" w:rsidRPr="008D3181" w:rsidRDefault="00235599" w:rsidP="0084462B">
      <w:pPr>
        <w:jc w:val="both"/>
        <w:rPr>
          <w:rFonts w:ascii="Arial" w:hAnsi="Arial" w:cs="Arial"/>
          <w:lang w:val="en-GB"/>
        </w:rPr>
      </w:pPr>
    </w:p>
    <w:p w14:paraId="5BE9A771" w14:textId="5E02D115" w:rsidR="00C170F3" w:rsidRPr="008D3181" w:rsidRDefault="00C170F3" w:rsidP="0084462B">
      <w:pPr>
        <w:jc w:val="both"/>
        <w:rPr>
          <w:rFonts w:ascii="Arial" w:hAnsi="Arial" w:cs="Arial"/>
          <w:lang w:val="en-GB"/>
        </w:rPr>
      </w:pPr>
      <w:r w:rsidRPr="008D3181">
        <w:rPr>
          <w:rFonts w:ascii="Arial" w:hAnsi="Arial" w:cs="Arial"/>
          <w:b/>
          <w:bCs/>
          <w:color w:val="FFFFFF" w:themeColor="background1"/>
          <w:shd w:val="clear" w:color="auto" w:fill="153D63" w:themeFill="text2" w:themeFillTint="E6"/>
          <w:lang w:val="en-GB"/>
        </w:rPr>
        <w:t>1 .</w:t>
      </w:r>
      <w:r w:rsidRPr="008D3181">
        <w:rPr>
          <w:rFonts w:ascii="Arial" w:hAnsi="Arial" w:cs="Arial"/>
          <w:lang w:val="en-GB"/>
        </w:rPr>
        <w:t>   The Congress of Local and Regional Authorities of the Council of Europe (“the Congress”) refers to:</w:t>
      </w:r>
    </w:p>
    <w:p w14:paraId="2DC988CC" w14:textId="77777777" w:rsidR="00C170F3" w:rsidRPr="008D3181" w:rsidRDefault="00C170F3" w:rsidP="0084462B">
      <w:pPr>
        <w:jc w:val="both"/>
        <w:rPr>
          <w:rFonts w:ascii="Arial" w:hAnsi="Arial" w:cs="Arial"/>
          <w:lang w:val="en-GB"/>
        </w:rPr>
      </w:pPr>
      <w:r w:rsidRPr="008D3181">
        <w:rPr>
          <w:rFonts w:ascii="Arial" w:hAnsi="Arial" w:cs="Arial"/>
          <w:lang w:val="en-GB"/>
        </w:rPr>
        <w:t>a.   the Council of Europe Framework Convention on Artificial Intelligence and Human Rights, Democracy and the Rule of Law (CETS 225);</w:t>
      </w:r>
    </w:p>
    <w:p w14:paraId="2791BF6B" w14:textId="77777777" w:rsidR="00C170F3" w:rsidRPr="008D3181" w:rsidRDefault="00C170F3" w:rsidP="0084462B">
      <w:pPr>
        <w:jc w:val="both"/>
        <w:rPr>
          <w:rFonts w:ascii="Arial" w:hAnsi="Arial" w:cs="Arial"/>
          <w:lang w:val="en-GB"/>
        </w:rPr>
      </w:pPr>
      <w:r w:rsidRPr="008D3181">
        <w:rPr>
          <w:rFonts w:ascii="Arial" w:hAnsi="Arial" w:cs="Arial"/>
          <w:lang w:val="en-GB"/>
        </w:rPr>
        <w:t>b.   the European Charter of Local Self-Government (ETS No. 122) and in particular its articles 6 and 7, respectively specifying the need for appropriate administrative structures and resources, as well as conditions for the exercise of local responsibilities;</w:t>
      </w:r>
    </w:p>
    <w:p w14:paraId="1D694663" w14:textId="77777777" w:rsidR="00C170F3" w:rsidRPr="008D3181" w:rsidRDefault="00C170F3" w:rsidP="0084462B">
      <w:pPr>
        <w:jc w:val="both"/>
        <w:rPr>
          <w:rFonts w:ascii="Arial" w:hAnsi="Arial" w:cs="Arial"/>
          <w:lang w:val="en-GB"/>
        </w:rPr>
      </w:pPr>
      <w:r w:rsidRPr="008D3181">
        <w:rPr>
          <w:rFonts w:ascii="Arial" w:hAnsi="Arial" w:cs="Arial"/>
          <w:lang w:val="en-GB"/>
        </w:rPr>
        <w:t>c.   Congress Resolution 486 (2022) and Recommendation 480 (2022) “Smart cities and regions”;</w:t>
      </w:r>
    </w:p>
    <w:p w14:paraId="6ABE079F" w14:textId="200F4513" w:rsidR="00C170F3" w:rsidRPr="008D3181" w:rsidRDefault="00C170F3" w:rsidP="0084462B">
      <w:pPr>
        <w:jc w:val="both"/>
        <w:rPr>
          <w:rFonts w:ascii="Arial" w:hAnsi="Arial" w:cs="Arial"/>
          <w:lang w:val="en-GB"/>
        </w:rPr>
      </w:pPr>
      <w:r w:rsidRPr="008D3181">
        <w:rPr>
          <w:rFonts w:ascii="Arial" w:hAnsi="Arial" w:cs="Arial"/>
          <w:lang w:val="en-GB"/>
        </w:rPr>
        <w:t>d.   Congress Resolution 435 (2018) and Recommendation 424 (2018) “Transparency and open government”</w:t>
      </w:r>
      <w:r w:rsidR="00975735">
        <w:rPr>
          <w:rFonts w:ascii="Arial" w:hAnsi="Arial" w:cs="Arial"/>
          <w:lang w:val="en-GB"/>
        </w:rPr>
        <w:t>;</w:t>
      </w:r>
    </w:p>
    <w:p w14:paraId="17375FCB" w14:textId="77777777" w:rsidR="00C170F3" w:rsidRPr="008D3181" w:rsidRDefault="00C170F3" w:rsidP="0084462B">
      <w:pPr>
        <w:jc w:val="both"/>
        <w:rPr>
          <w:rFonts w:ascii="Arial" w:hAnsi="Arial" w:cs="Arial"/>
          <w:lang w:val="en-GB"/>
        </w:rPr>
      </w:pPr>
      <w:r w:rsidRPr="008D3181">
        <w:rPr>
          <w:rFonts w:ascii="Arial" w:hAnsi="Arial" w:cs="Arial"/>
          <w:lang w:val="en-GB"/>
        </w:rPr>
        <w:t>e.   Congress Resolution 417 (2017) and Recommendation 398 (2017) “Open data for better public services”;</w:t>
      </w:r>
    </w:p>
    <w:p w14:paraId="426299FB" w14:textId="77777777" w:rsidR="00C170F3" w:rsidRPr="008D3181" w:rsidRDefault="00C170F3" w:rsidP="0084462B">
      <w:pPr>
        <w:jc w:val="both"/>
        <w:rPr>
          <w:rFonts w:ascii="Arial" w:hAnsi="Arial" w:cs="Arial"/>
          <w:lang w:val="en-GB"/>
        </w:rPr>
      </w:pPr>
      <w:r w:rsidRPr="008D3181">
        <w:rPr>
          <w:rFonts w:ascii="Arial" w:hAnsi="Arial" w:cs="Arial"/>
          <w:lang w:val="en-GB"/>
        </w:rPr>
        <w:t>f.    Congress Resolution 290 (2009) and Recommendation 274 (2009) “E-democracy: opportunities and risks for local authorities”;</w:t>
      </w:r>
    </w:p>
    <w:p w14:paraId="5BBA049A" w14:textId="3E5F566C" w:rsidR="00C170F3" w:rsidRPr="008D3181" w:rsidRDefault="00C170F3" w:rsidP="0084462B">
      <w:pPr>
        <w:jc w:val="both"/>
        <w:rPr>
          <w:rFonts w:ascii="Arial" w:hAnsi="Arial" w:cs="Arial"/>
          <w:lang w:val="en-GB"/>
        </w:rPr>
      </w:pPr>
      <w:r w:rsidRPr="008D3181">
        <w:rPr>
          <w:rFonts w:ascii="Arial" w:hAnsi="Arial" w:cs="Arial"/>
          <w:lang w:val="en-GB"/>
        </w:rPr>
        <w:t xml:space="preserve">g.   Congress Resolution 282 (2009) </w:t>
      </w:r>
      <w:r w:rsidR="000D7E7C">
        <w:rPr>
          <w:rFonts w:ascii="Arial" w:hAnsi="Arial" w:cs="Arial"/>
          <w:lang w:val="en-GB"/>
        </w:rPr>
        <w:t xml:space="preserve">and </w:t>
      </w:r>
      <w:r w:rsidRPr="008D3181">
        <w:rPr>
          <w:rFonts w:ascii="Arial" w:hAnsi="Arial" w:cs="Arial"/>
          <w:lang w:val="en-GB"/>
        </w:rPr>
        <w:t>Recommendation 263 (2009) “Digital divide and e-inclusion in the regions”;</w:t>
      </w:r>
    </w:p>
    <w:p w14:paraId="0A4F80A9" w14:textId="77777777" w:rsidR="00C170F3" w:rsidRPr="008D3181" w:rsidRDefault="00C170F3" w:rsidP="0084462B">
      <w:pPr>
        <w:jc w:val="both"/>
        <w:rPr>
          <w:rFonts w:ascii="Arial" w:hAnsi="Arial" w:cs="Arial"/>
          <w:lang w:val="en-GB"/>
        </w:rPr>
      </w:pPr>
      <w:r w:rsidRPr="008D3181">
        <w:rPr>
          <w:rFonts w:ascii="Arial" w:hAnsi="Arial" w:cs="Arial"/>
          <w:lang w:val="en-GB"/>
        </w:rPr>
        <w:t>h.   the Congress Priorities 2021-2026, in particular Priority 6.e. on Digitalisation and artificial intelligence;</w:t>
      </w:r>
    </w:p>
    <w:p w14:paraId="27077869" w14:textId="77777777" w:rsidR="00C170F3" w:rsidRPr="008D3181" w:rsidRDefault="00C170F3" w:rsidP="0084462B">
      <w:pPr>
        <w:jc w:val="both"/>
        <w:rPr>
          <w:rFonts w:ascii="Arial" w:hAnsi="Arial" w:cs="Arial"/>
          <w:lang w:val="en-GB"/>
        </w:rPr>
      </w:pPr>
      <w:r w:rsidRPr="008D3181">
        <w:rPr>
          <w:rFonts w:ascii="Arial" w:hAnsi="Arial" w:cs="Arial"/>
          <w:lang w:val="en-GB"/>
        </w:rPr>
        <w:t>i.    the 12 Principles of Good Democratic Governance, overseen by the Congress Centre of Expertise for Multilevel Governance;</w:t>
      </w:r>
    </w:p>
    <w:p w14:paraId="64A323A4" w14:textId="77777777" w:rsidR="00C170F3" w:rsidRPr="008D3181" w:rsidRDefault="00C170F3" w:rsidP="0084462B">
      <w:pPr>
        <w:jc w:val="both"/>
        <w:rPr>
          <w:rFonts w:ascii="Arial" w:hAnsi="Arial" w:cs="Arial"/>
          <w:lang w:val="en-GB"/>
        </w:rPr>
      </w:pPr>
      <w:r w:rsidRPr="008D3181">
        <w:rPr>
          <w:rFonts w:ascii="Arial" w:hAnsi="Arial" w:cs="Arial"/>
          <w:lang w:val="en-GB"/>
        </w:rPr>
        <w:t>j.    the recommendation entitled “Unboxing Artificial Intelligence: 10 steps to protect Human Rights” by the Commissioner for Human Rights of the Council of Europe (2019);</w:t>
      </w:r>
    </w:p>
    <w:p w14:paraId="619B4010" w14:textId="77777777" w:rsidR="00C170F3" w:rsidRPr="008D3181" w:rsidRDefault="00C170F3" w:rsidP="0084462B">
      <w:pPr>
        <w:jc w:val="both"/>
        <w:rPr>
          <w:rFonts w:ascii="Arial" w:hAnsi="Arial" w:cs="Arial"/>
          <w:lang w:val="en-GB"/>
        </w:rPr>
      </w:pPr>
      <w:r w:rsidRPr="008D3181">
        <w:rPr>
          <w:rFonts w:ascii="Arial" w:hAnsi="Arial" w:cs="Arial"/>
          <w:lang w:val="en-GB"/>
        </w:rPr>
        <w:t xml:space="preserve">k.    the 2025 Report of the Secretary General of the Council of Europe entitled “Towards a New Democratic Pact for Europe”, pointing inter alia to the overlapping </w:t>
      </w:r>
      <w:r w:rsidRPr="008D3181">
        <w:rPr>
          <w:rFonts w:ascii="Arial" w:hAnsi="Arial" w:cs="Arial"/>
          <w:lang w:val="en-GB"/>
        </w:rPr>
        <w:lastRenderedPageBreak/>
        <w:t>crises affecting Europe with regard to social justice, public health and the environment as well as the effects of the current cost-of-living crisis and rising social inequalities;</w:t>
      </w:r>
    </w:p>
    <w:p w14:paraId="1BF59ED3" w14:textId="77777777" w:rsidR="00C170F3" w:rsidRPr="008D3181" w:rsidRDefault="00C170F3" w:rsidP="0084462B">
      <w:pPr>
        <w:jc w:val="both"/>
        <w:rPr>
          <w:rFonts w:ascii="Arial" w:hAnsi="Arial" w:cs="Arial"/>
          <w:lang w:val="en-GB"/>
        </w:rPr>
      </w:pPr>
      <w:r w:rsidRPr="008D3181">
        <w:rPr>
          <w:rFonts w:ascii="Arial" w:hAnsi="Arial" w:cs="Arial"/>
          <w:lang w:val="en-GB"/>
        </w:rPr>
        <w:t>l.    the Recommendation on Artificial Intelligence by the Council of the Organisation for Economic Co-operation and Development (OECD) (2019);</w:t>
      </w:r>
    </w:p>
    <w:p w14:paraId="38DAC58A" w14:textId="77777777" w:rsidR="00C170F3" w:rsidRPr="008D3181" w:rsidRDefault="00C170F3" w:rsidP="0084462B">
      <w:pPr>
        <w:jc w:val="both"/>
        <w:rPr>
          <w:rFonts w:ascii="Arial" w:hAnsi="Arial" w:cs="Arial"/>
          <w:lang w:val="en-GB"/>
        </w:rPr>
      </w:pPr>
      <w:r w:rsidRPr="008D3181">
        <w:rPr>
          <w:rFonts w:ascii="Arial" w:hAnsi="Arial" w:cs="Arial"/>
          <w:lang w:val="en-GB"/>
        </w:rPr>
        <w:t>m.  the United Nations Sustainable Development Goals (SDG), in particular SDG 9: Build resilient infrastructure, promote sustainable industrialisation, and foster innovation, and SDG 16: Promote just, peaceful and inclusive societies for sustainable development, provide access to justice for all and build effective, accountable and inclusive institutions at all levels;</w:t>
      </w:r>
    </w:p>
    <w:p w14:paraId="3BD92483" w14:textId="77777777" w:rsidR="00C170F3" w:rsidRPr="008D3181" w:rsidRDefault="00C170F3" w:rsidP="0084462B">
      <w:pPr>
        <w:jc w:val="both"/>
        <w:rPr>
          <w:rFonts w:ascii="Arial" w:hAnsi="Arial" w:cs="Arial"/>
          <w:lang w:val="en-GB"/>
        </w:rPr>
      </w:pPr>
      <w:r w:rsidRPr="008D3181">
        <w:rPr>
          <w:rFonts w:ascii="Arial" w:hAnsi="Arial" w:cs="Arial"/>
          <w:lang w:val="en-GB"/>
        </w:rPr>
        <w:t>n.   the explanatory memorandum “Strengthening the capacities of local and regional authorities in the use of artificial intelligence” (CG(2026)50-17).</w:t>
      </w:r>
    </w:p>
    <w:p w14:paraId="145A8637" w14:textId="691A8F5D" w:rsidR="00C170F3" w:rsidRPr="008D3181" w:rsidRDefault="00C170F3" w:rsidP="0084462B">
      <w:pPr>
        <w:jc w:val="both"/>
        <w:rPr>
          <w:rFonts w:ascii="Arial" w:hAnsi="Arial" w:cs="Arial"/>
          <w:lang w:val="en-GB"/>
        </w:rPr>
      </w:pPr>
      <w:r w:rsidRPr="008D3181">
        <w:rPr>
          <w:rFonts w:ascii="Arial" w:hAnsi="Arial" w:cs="Arial"/>
          <w:b/>
          <w:bCs/>
          <w:color w:val="FFFFFF" w:themeColor="background1"/>
          <w:shd w:val="clear" w:color="auto" w:fill="153D63" w:themeFill="text2" w:themeFillTint="E6"/>
          <w:lang w:val="en-GB"/>
        </w:rPr>
        <w:t>2 .</w:t>
      </w:r>
      <w:r w:rsidRPr="008D3181">
        <w:rPr>
          <w:rFonts w:ascii="Arial" w:hAnsi="Arial" w:cs="Arial"/>
          <w:lang w:val="en-GB"/>
        </w:rPr>
        <w:t>   The Congress notes that:</w:t>
      </w:r>
    </w:p>
    <w:p w14:paraId="6FDBB08A" w14:textId="77777777" w:rsidR="00C170F3" w:rsidRPr="008D3181" w:rsidRDefault="00C170F3" w:rsidP="0084462B">
      <w:pPr>
        <w:jc w:val="both"/>
        <w:rPr>
          <w:rFonts w:ascii="Arial" w:hAnsi="Arial" w:cs="Arial"/>
          <w:lang w:val="en-GB"/>
        </w:rPr>
      </w:pPr>
      <w:r w:rsidRPr="008D3181">
        <w:rPr>
          <w:rFonts w:ascii="Arial" w:hAnsi="Arial" w:cs="Arial"/>
          <w:lang w:val="en-GB"/>
        </w:rPr>
        <w:t>a.   local and regional authorities across Europe have undergone a profound digital transformation involving the rapid emergence and development of artificial intelligence (AI) and other digital technologies which impact democratic processes, the delivery of public services, the management of infrastructure and interaction with local and regional communities;</w:t>
      </w:r>
    </w:p>
    <w:p w14:paraId="5A107FB0" w14:textId="77777777" w:rsidR="00C170F3" w:rsidRPr="008D3181" w:rsidRDefault="00C170F3" w:rsidP="0084462B">
      <w:pPr>
        <w:jc w:val="both"/>
        <w:rPr>
          <w:rFonts w:ascii="Arial" w:hAnsi="Arial" w:cs="Arial"/>
          <w:lang w:val="en-GB"/>
        </w:rPr>
      </w:pPr>
      <w:r w:rsidRPr="008D3181">
        <w:rPr>
          <w:rFonts w:ascii="Arial" w:hAnsi="Arial" w:cs="Arial"/>
          <w:lang w:val="en-GB"/>
        </w:rPr>
        <w:t>b.   while AI can strengthen the efficiency, responsiveness and transparency of local and regional governance, it also poses risks to the safeguarding of human rights, democracy and rule of law;</w:t>
      </w:r>
    </w:p>
    <w:p w14:paraId="45FF6FF5" w14:textId="77777777" w:rsidR="00C170F3" w:rsidRPr="008D3181" w:rsidRDefault="00C170F3" w:rsidP="0084462B">
      <w:pPr>
        <w:jc w:val="both"/>
        <w:rPr>
          <w:rFonts w:ascii="Arial" w:hAnsi="Arial" w:cs="Arial"/>
          <w:lang w:val="en-GB"/>
        </w:rPr>
      </w:pPr>
      <w:r w:rsidRPr="008D3181">
        <w:rPr>
          <w:rFonts w:ascii="Arial" w:hAnsi="Arial" w:cs="Arial"/>
          <w:lang w:val="en-GB"/>
        </w:rPr>
        <w:t>c.   many elected officials and staff of local and regional authorities lack the capacities and resources to make optimal use of AI and other digital technologies in decision-making, democratic governance and the management and provision of administrative services, in the light of fast-evolving technologies, often supported by multinational service providers.</w:t>
      </w:r>
    </w:p>
    <w:p w14:paraId="7376EEDB" w14:textId="48119448" w:rsidR="00C170F3" w:rsidRPr="008D3181" w:rsidRDefault="00C170F3" w:rsidP="0084462B">
      <w:pPr>
        <w:jc w:val="both"/>
        <w:rPr>
          <w:rFonts w:ascii="Arial" w:hAnsi="Arial" w:cs="Arial"/>
          <w:lang w:val="en-GB"/>
        </w:rPr>
      </w:pPr>
      <w:r w:rsidRPr="008D3181">
        <w:rPr>
          <w:rFonts w:ascii="Arial" w:hAnsi="Arial" w:cs="Arial"/>
          <w:b/>
          <w:bCs/>
          <w:color w:val="FFFFFF" w:themeColor="background1"/>
          <w:shd w:val="clear" w:color="auto" w:fill="153D63" w:themeFill="text2" w:themeFillTint="E6"/>
          <w:lang w:val="en-GB"/>
        </w:rPr>
        <w:t>3 .</w:t>
      </w:r>
      <w:r w:rsidRPr="008D3181">
        <w:rPr>
          <w:rFonts w:ascii="Arial" w:hAnsi="Arial" w:cs="Arial"/>
          <w:lang w:val="en-GB"/>
        </w:rPr>
        <w:t>  In this regard, the Congress requests that the Committee of Ministers call upon the national authorities of member States of the Council of Europe to:</w:t>
      </w:r>
    </w:p>
    <w:p w14:paraId="34B63421" w14:textId="77777777" w:rsidR="00C170F3" w:rsidRPr="008D3181" w:rsidRDefault="00C170F3" w:rsidP="0084462B">
      <w:pPr>
        <w:jc w:val="both"/>
        <w:rPr>
          <w:rFonts w:ascii="Arial" w:hAnsi="Arial" w:cs="Arial"/>
          <w:lang w:val="en-GB"/>
        </w:rPr>
      </w:pPr>
      <w:r w:rsidRPr="008D3181">
        <w:rPr>
          <w:rFonts w:ascii="Arial" w:hAnsi="Arial" w:cs="Arial"/>
          <w:lang w:val="en-GB"/>
        </w:rPr>
        <w:t>a.   provide a coherent national legal and policy framework for the most effective, responsible and sustainable use of AI and other digital technologies, embedding clear strategic priorities, sufficient resources and adequate capacity-building measures, and which is in line with the Council of Europe Framework Convention on Artificial Intelligence, and Human Rights, Democracy and the Rule of Law and its principles;</w:t>
      </w:r>
    </w:p>
    <w:p w14:paraId="4CFAB778" w14:textId="77777777" w:rsidR="00C170F3" w:rsidRPr="008D3181" w:rsidRDefault="00C170F3" w:rsidP="0084462B">
      <w:pPr>
        <w:jc w:val="both"/>
        <w:rPr>
          <w:rFonts w:ascii="Arial" w:hAnsi="Arial" w:cs="Arial"/>
          <w:lang w:val="en-GB"/>
        </w:rPr>
      </w:pPr>
      <w:r w:rsidRPr="008D3181">
        <w:rPr>
          <w:rFonts w:ascii="Arial" w:hAnsi="Arial" w:cs="Arial"/>
          <w:lang w:val="en-GB"/>
        </w:rPr>
        <w:t>b.   ensure the set-up of national supervisory bodies, standards or mechanisms that support continuous auditing and review of local and regional AI systems and the development of coordinated and evidence-based AI investment frameworks that standardise the local and regional assessment, procurement and implementation of AI solutions;</w:t>
      </w:r>
    </w:p>
    <w:p w14:paraId="495D5C7F" w14:textId="77777777" w:rsidR="00C170F3" w:rsidRPr="008D3181" w:rsidRDefault="00C170F3" w:rsidP="0084462B">
      <w:pPr>
        <w:jc w:val="both"/>
        <w:rPr>
          <w:rFonts w:ascii="Arial" w:hAnsi="Arial" w:cs="Arial"/>
          <w:lang w:val="en-GB"/>
        </w:rPr>
      </w:pPr>
      <w:r w:rsidRPr="008D3181">
        <w:rPr>
          <w:rFonts w:ascii="Arial" w:hAnsi="Arial" w:cs="Arial"/>
          <w:lang w:val="en-GB"/>
        </w:rPr>
        <w:lastRenderedPageBreak/>
        <w:t>c.   promote the collaboration of smaller municipalities via inter-municipal consortia, innovation partnerships and initiatives that stimulate local-level experimentation and knowledge exchanging platforms enabling local and regional authorities to learn from each other’s experiences.</w:t>
      </w:r>
    </w:p>
    <w:p w14:paraId="1DB24F2D" w14:textId="77E628BE" w:rsidR="00C170F3" w:rsidRPr="008D3181" w:rsidRDefault="00C170F3" w:rsidP="0084462B">
      <w:pPr>
        <w:jc w:val="both"/>
        <w:rPr>
          <w:rFonts w:ascii="Arial" w:hAnsi="Arial" w:cs="Arial"/>
          <w:lang w:val="en-GB"/>
        </w:rPr>
      </w:pPr>
      <w:r w:rsidRPr="008D3181">
        <w:rPr>
          <w:rFonts w:ascii="Arial" w:hAnsi="Arial" w:cs="Arial"/>
          <w:b/>
          <w:bCs/>
          <w:color w:val="FFFFFF" w:themeColor="background1"/>
          <w:shd w:val="clear" w:color="auto" w:fill="153D63" w:themeFill="text2" w:themeFillTint="E6"/>
          <w:lang w:val="en-GB"/>
        </w:rPr>
        <w:t>4 .</w:t>
      </w:r>
      <w:r w:rsidRPr="008D3181">
        <w:rPr>
          <w:rFonts w:ascii="Arial" w:hAnsi="Arial" w:cs="Arial"/>
          <w:lang w:val="en-GB"/>
        </w:rPr>
        <w:t>  The Congress invites the Committee of Ministers to support future activities aimed at supporting the use of AI at subnational levels, via its competent bodies and with regard to promoting the Framework Convention on AI and Human Rights, Democracy and the Rule of Law, including capacity-building events involving local and regional elected representatives.</w:t>
      </w:r>
    </w:p>
    <w:p w14:paraId="5C943F6C" w14:textId="7F5B1B6F" w:rsidR="00C170F3" w:rsidRPr="008D3181" w:rsidRDefault="00C170F3" w:rsidP="0084462B">
      <w:pPr>
        <w:jc w:val="both"/>
        <w:rPr>
          <w:rFonts w:ascii="Arial" w:hAnsi="Arial" w:cs="Arial"/>
          <w:lang w:val="en-GB"/>
        </w:rPr>
      </w:pPr>
      <w:r w:rsidRPr="008D3181">
        <w:rPr>
          <w:rFonts w:ascii="Arial" w:hAnsi="Arial" w:cs="Arial"/>
          <w:b/>
          <w:bCs/>
          <w:color w:val="FFFFFF" w:themeColor="background1"/>
          <w:shd w:val="clear" w:color="auto" w:fill="153D63" w:themeFill="text2" w:themeFillTint="E6"/>
          <w:lang w:val="en-GB"/>
        </w:rPr>
        <w:t xml:space="preserve">5 . </w:t>
      </w:r>
      <w:r w:rsidRPr="008D3181">
        <w:rPr>
          <w:rFonts w:ascii="Arial" w:hAnsi="Arial" w:cs="Arial"/>
          <w:lang w:val="en-GB"/>
        </w:rPr>
        <w:t>  The Congress calls upon the Committee of Ministers to recognise the essential role of local and regional authorities for integrating AI and other digital technologies into democratic governance and administrative service provision. In light of its own thematic focus on the local and regional use of AI and other digital technologies, the Congress supports the current process leading towards a future Democratic Pact for Europe and invites the Committee of Ministers to continue involving the Congress as a key stakeholder.</w:t>
      </w:r>
    </w:p>
    <w:p w14:paraId="1A26474A" w14:textId="77777777" w:rsidR="00C170F3" w:rsidRPr="008D3181" w:rsidRDefault="00C170F3" w:rsidP="0084462B">
      <w:pPr>
        <w:jc w:val="both"/>
        <w:rPr>
          <w:rFonts w:ascii="Arial" w:hAnsi="Arial" w:cs="Arial"/>
          <w:lang w:val="en-GB"/>
        </w:rPr>
      </w:pPr>
    </w:p>
    <w:sectPr w:rsidR="00C170F3" w:rsidRPr="008D3181" w:rsidSect="00851930">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B5F8" w14:textId="77777777" w:rsidR="00B07B5C" w:rsidRDefault="00B07B5C" w:rsidP="00851930">
      <w:pPr>
        <w:spacing w:after="0" w:line="240" w:lineRule="auto"/>
      </w:pPr>
      <w:r>
        <w:separator/>
      </w:r>
    </w:p>
  </w:endnote>
  <w:endnote w:type="continuationSeparator" w:id="0">
    <w:p w14:paraId="562FC90C" w14:textId="77777777" w:rsidR="00B07B5C" w:rsidRDefault="00B07B5C" w:rsidP="0085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264277"/>
      <w:docPartObj>
        <w:docPartGallery w:val="Page Numbers (Bottom of Page)"/>
        <w:docPartUnique/>
      </w:docPartObj>
    </w:sdtPr>
    <w:sdtContent>
      <w:p w14:paraId="25745E36" w14:textId="557A31A1" w:rsidR="00A07BA5" w:rsidRDefault="00A07BA5">
        <w:pPr>
          <w:pStyle w:val="Footer"/>
          <w:jc w:val="center"/>
        </w:pPr>
        <w:r>
          <w:fldChar w:fldCharType="begin"/>
        </w:r>
        <w:r>
          <w:instrText>PAGE   \* MERGEFORMAT</w:instrText>
        </w:r>
        <w:r>
          <w:fldChar w:fldCharType="separate"/>
        </w:r>
        <w:r>
          <w:t>2</w:t>
        </w:r>
        <w:r>
          <w:fldChar w:fldCharType="end"/>
        </w:r>
      </w:p>
    </w:sdtContent>
  </w:sdt>
  <w:p w14:paraId="566409B4" w14:textId="77777777" w:rsidR="00A07BA5" w:rsidRDefault="00A07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F889" w14:textId="77777777" w:rsidR="00B07B5C" w:rsidRDefault="00B07B5C" w:rsidP="00851930">
      <w:pPr>
        <w:spacing w:after="0" w:line="240" w:lineRule="auto"/>
      </w:pPr>
      <w:r>
        <w:separator/>
      </w:r>
    </w:p>
  </w:footnote>
  <w:footnote w:type="continuationSeparator" w:id="0">
    <w:p w14:paraId="1A71AAF8" w14:textId="77777777" w:rsidR="00B07B5C" w:rsidRDefault="00B07B5C" w:rsidP="00851930">
      <w:pPr>
        <w:spacing w:after="0" w:line="240" w:lineRule="auto"/>
      </w:pPr>
      <w:r>
        <w:continuationSeparator/>
      </w:r>
    </w:p>
  </w:footnote>
  <w:footnote w:id="1">
    <w:p w14:paraId="6476710B" w14:textId="0AEB79F1" w:rsidR="00C170F3" w:rsidRPr="008D3181" w:rsidRDefault="00C170F3" w:rsidP="00C170F3">
      <w:pPr>
        <w:pStyle w:val="FootnoteText"/>
        <w:jc w:val="both"/>
        <w:rPr>
          <w:rFonts w:ascii="Arial" w:hAnsi="Arial" w:cs="Arial"/>
          <w:b/>
          <w:bCs/>
          <w:lang w:val="en-GB"/>
        </w:rPr>
      </w:pPr>
      <w:r w:rsidRPr="008D3181">
        <w:rPr>
          <w:rStyle w:val="FootnoteReference"/>
          <w:rFonts w:ascii="Arial" w:hAnsi="Arial" w:cs="Arial"/>
        </w:rPr>
        <w:footnoteRef/>
      </w:r>
      <w:r w:rsidRPr="008D3181">
        <w:rPr>
          <w:rFonts w:ascii="Arial" w:hAnsi="Arial" w:cs="Arial"/>
          <w:lang w:val="en-GB"/>
        </w:rPr>
        <w:t xml:space="preserve"> CG(2026)50-17</w:t>
      </w:r>
      <w:r w:rsidR="0084462B" w:rsidRPr="008D3181">
        <w:rPr>
          <w:rFonts w:ascii="Arial" w:hAnsi="Arial" w:cs="Arial"/>
          <w:lang w:val="en-GB"/>
        </w:rPr>
        <w:t xml:space="preserve"> </w:t>
      </w:r>
      <w:r w:rsidRPr="008D3181">
        <w:rPr>
          <w:rFonts w:ascii="Arial" w:hAnsi="Arial" w:cs="Arial"/>
          <w:lang w:val="en-GB"/>
        </w:rPr>
        <w:t>Strengthening the capacities of local and regional authorities in the use of artificial intelligence</w:t>
      </w:r>
      <w:r w:rsidR="0084462B" w:rsidRPr="008D3181">
        <w:rPr>
          <w:rFonts w:ascii="Arial" w:hAnsi="Arial" w:cs="Arial"/>
          <w:lang w:val="en-GB"/>
        </w:rPr>
        <w:t xml:space="preserve"> (explanatory memorandum)</w:t>
      </w:r>
      <w:r w:rsidRPr="008D3181">
        <w:rPr>
          <w:rFonts w:ascii="Arial" w:hAnsi="Arial" w:cs="Arial"/>
          <w:lang w:val="en-GB"/>
        </w:rPr>
        <w:t xml:space="preserve">, co-rapporteurs Annika VAIKLA, Estonia (L, ILDG), </w:t>
      </w:r>
      <w:proofErr w:type="spellStart"/>
      <w:r w:rsidRPr="008D3181">
        <w:rPr>
          <w:rFonts w:ascii="Arial" w:hAnsi="Arial" w:cs="Arial"/>
          <w:lang w:val="en-GB"/>
        </w:rPr>
        <w:t>Truls</w:t>
      </w:r>
      <w:proofErr w:type="spellEnd"/>
      <w:r w:rsidRPr="008D3181">
        <w:rPr>
          <w:rFonts w:ascii="Arial" w:hAnsi="Arial" w:cs="Arial"/>
          <w:lang w:val="en-GB"/>
        </w:rPr>
        <w:t xml:space="preserve"> GIHLEMOEN, Norway (R, ECR)</w:t>
      </w:r>
      <w:r w:rsidR="0084462B" w:rsidRPr="008D3181">
        <w:rPr>
          <w:rFonts w:ascii="Arial" w:hAnsi="Arial" w:cs="Arial"/>
          <w:lang w:val="en-GB"/>
        </w:rPr>
        <w:t>.</w:t>
      </w:r>
    </w:p>
    <w:p w14:paraId="52FA7176" w14:textId="2EDB9288" w:rsidR="00C170F3" w:rsidRPr="008D3181" w:rsidRDefault="00C170F3">
      <w:pPr>
        <w:pStyle w:val="FootnoteText"/>
        <w:rPr>
          <w:rFonts w:ascii="Arial" w:hAnsi="Arial" w:cs="Arial"/>
          <w:lang w:val="en-GB"/>
        </w:rPr>
      </w:pPr>
    </w:p>
  </w:footnote>
  <w:footnote w:id="2">
    <w:p w14:paraId="31498EFD" w14:textId="70C33BB8" w:rsidR="0084462B" w:rsidRPr="008D3181" w:rsidRDefault="0084462B" w:rsidP="0084462B">
      <w:pPr>
        <w:pStyle w:val="FootnoteText"/>
        <w:jc w:val="both"/>
        <w:rPr>
          <w:rFonts w:ascii="Arial" w:hAnsi="Arial" w:cs="Arial"/>
          <w:lang w:val="en-GB"/>
        </w:rPr>
      </w:pPr>
      <w:r w:rsidRPr="008D3181">
        <w:rPr>
          <w:rStyle w:val="FootnoteReference"/>
          <w:rFonts w:ascii="Arial" w:hAnsi="Arial" w:cs="Arial"/>
        </w:rPr>
        <w:footnoteRef/>
      </w:r>
      <w:r w:rsidRPr="008D3181">
        <w:rPr>
          <w:rFonts w:ascii="Arial" w:hAnsi="Arial" w:cs="Arial"/>
          <w:lang w:val="en-GB"/>
        </w:rPr>
        <w:t xml:space="preserve"> Debated and approved by the Congress during the 50</w:t>
      </w:r>
      <w:r w:rsidRPr="008D3181">
        <w:rPr>
          <w:rFonts w:ascii="Arial" w:hAnsi="Arial" w:cs="Arial"/>
          <w:vertAlign w:val="superscript"/>
          <w:lang w:val="en-GB"/>
        </w:rPr>
        <w:t>th</w:t>
      </w:r>
      <w:r w:rsidRPr="008D3181">
        <w:rPr>
          <w:rFonts w:ascii="Arial" w:hAnsi="Arial" w:cs="Arial"/>
          <w:lang w:val="en-GB"/>
        </w:rPr>
        <w:t> Session on 1 April 2026 (see document </w:t>
      </w:r>
      <w:hyperlink r:id="rId1" w:tgtFrame="_blank" w:history="1">
        <w:r w:rsidRPr="008D3181">
          <w:rPr>
            <w:rStyle w:val="Hyperlink"/>
            <w:rFonts w:ascii="Arial" w:hAnsi="Arial" w:cs="Arial"/>
            <w:lang w:val="en-GB"/>
          </w:rPr>
          <w:t>CG(2026)50-17</w:t>
        </w:r>
      </w:hyperlink>
      <w:r w:rsidRPr="008D3181">
        <w:rPr>
          <w:rFonts w:ascii="Arial" w:hAnsi="Arial" w:cs="Arial"/>
          <w:lang w:val="en-GB"/>
        </w:rPr>
        <w:t xml:space="preserve">, explanatory memorandum), co-rapporteurs </w:t>
      </w:r>
      <w:proofErr w:type="spellStart"/>
      <w:r w:rsidRPr="008D3181">
        <w:rPr>
          <w:rFonts w:ascii="Arial" w:hAnsi="Arial" w:cs="Arial"/>
          <w:lang w:val="en-GB"/>
        </w:rPr>
        <w:t>Truls</w:t>
      </w:r>
      <w:proofErr w:type="spellEnd"/>
      <w:r w:rsidRPr="008D3181">
        <w:rPr>
          <w:rFonts w:ascii="Arial" w:hAnsi="Arial" w:cs="Arial"/>
          <w:lang w:val="en-GB"/>
        </w:rPr>
        <w:t xml:space="preserve"> GIHLEMOEN, Norway (R, ECR) and Annika VAIKLA, Estonia (L, ILDG).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E72F" w14:textId="751BA128" w:rsidR="00763AC4" w:rsidRPr="00ED7B0B" w:rsidRDefault="00851930" w:rsidP="00763AC4">
    <w:pPr>
      <w:spacing w:after="0"/>
      <w:jc w:val="right"/>
      <w:rPr>
        <w:lang w:val="en-GB"/>
      </w:rPr>
    </w:pPr>
    <w:r w:rsidRPr="00ED7B0B">
      <w:rPr>
        <w:lang w:val="en-GB"/>
      </w:rPr>
      <w:t>CDNET(2026)</w:t>
    </w:r>
    <w:r w:rsidR="00763AC4">
      <w:rPr>
        <w:lang w:val="en-GB"/>
      </w:rPr>
      <w:t>8</w:t>
    </w:r>
  </w:p>
  <w:p w14:paraId="00513F62" w14:textId="77777777" w:rsidR="00851930" w:rsidRPr="00851930" w:rsidRDefault="00851930" w:rsidP="00851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64B5"/>
    <w:multiLevelType w:val="hybridMultilevel"/>
    <w:tmpl w:val="728257AE"/>
    <w:lvl w:ilvl="0" w:tplc="1D025A5A">
      <w:numFmt w:val="bullet"/>
      <w:lvlText w:val=""/>
      <w:lvlJc w:val="left"/>
      <w:pPr>
        <w:ind w:left="710" w:hanging="286"/>
      </w:pPr>
      <w:rPr>
        <w:rFonts w:ascii="Wingdings" w:eastAsia="Wingdings" w:hAnsi="Wingdings" w:cs="Wingdings" w:hint="default"/>
        <w:spacing w:val="0"/>
        <w:w w:val="100"/>
        <w:lang w:val="en-US" w:eastAsia="en-US" w:bidi="ar-SA"/>
      </w:rPr>
    </w:lvl>
    <w:lvl w:ilvl="1" w:tplc="ABA2D896">
      <w:numFmt w:val="bullet"/>
      <w:lvlText w:val=""/>
      <w:lvlJc w:val="left"/>
      <w:pPr>
        <w:ind w:left="1003" w:hanging="360"/>
      </w:pPr>
      <w:rPr>
        <w:rFonts w:ascii="Wingdings" w:eastAsia="Wingdings" w:hAnsi="Wingdings" w:cs="Wingdings" w:hint="default"/>
        <w:b w:val="0"/>
        <w:bCs w:val="0"/>
        <w:i w:val="0"/>
        <w:iCs w:val="0"/>
        <w:spacing w:val="0"/>
        <w:w w:val="100"/>
        <w:sz w:val="18"/>
        <w:szCs w:val="18"/>
        <w:lang w:val="en-US" w:eastAsia="en-US" w:bidi="ar-SA"/>
      </w:rPr>
    </w:lvl>
    <w:lvl w:ilvl="2" w:tplc="772C4DC8">
      <w:numFmt w:val="bullet"/>
      <w:lvlText w:val="•"/>
      <w:lvlJc w:val="left"/>
      <w:pPr>
        <w:ind w:left="1802" w:hanging="360"/>
      </w:pPr>
      <w:rPr>
        <w:rFonts w:hint="default"/>
        <w:lang w:val="en-US" w:eastAsia="en-US" w:bidi="ar-SA"/>
      </w:rPr>
    </w:lvl>
    <w:lvl w:ilvl="3" w:tplc="7E9CA81E">
      <w:numFmt w:val="bullet"/>
      <w:lvlText w:val="•"/>
      <w:lvlJc w:val="left"/>
      <w:pPr>
        <w:ind w:left="2604" w:hanging="360"/>
      </w:pPr>
      <w:rPr>
        <w:rFonts w:hint="default"/>
        <w:lang w:val="en-US" w:eastAsia="en-US" w:bidi="ar-SA"/>
      </w:rPr>
    </w:lvl>
    <w:lvl w:ilvl="4" w:tplc="3BCED186">
      <w:numFmt w:val="bullet"/>
      <w:lvlText w:val="•"/>
      <w:lvlJc w:val="left"/>
      <w:pPr>
        <w:ind w:left="3407" w:hanging="360"/>
      </w:pPr>
      <w:rPr>
        <w:rFonts w:hint="default"/>
        <w:lang w:val="en-US" w:eastAsia="en-US" w:bidi="ar-SA"/>
      </w:rPr>
    </w:lvl>
    <w:lvl w:ilvl="5" w:tplc="B37AF63E">
      <w:numFmt w:val="bullet"/>
      <w:lvlText w:val="•"/>
      <w:lvlJc w:val="left"/>
      <w:pPr>
        <w:ind w:left="4209" w:hanging="360"/>
      </w:pPr>
      <w:rPr>
        <w:rFonts w:hint="default"/>
        <w:lang w:val="en-US" w:eastAsia="en-US" w:bidi="ar-SA"/>
      </w:rPr>
    </w:lvl>
    <w:lvl w:ilvl="6" w:tplc="52ECB5EC">
      <w:numFmt w:val="bullet"/>
      <w:lvlText w:val="•"/>
      <w:lvlJc w:val="left"/>
      <w:pPr>
        <w:ind w:left="5012" w:hanging="360"/>
      </w:pPr>
      <w:rPr>
        <w:rFonts w:hint="default"/>
        <w:lang w:val="en-US" w:eastAsia="en-US" w:bidi="ar-SA"/>
      </w:rPr>
    </w:lvl>
    <w:lvl w:ilvl="7" w:tplc="BBA0A1E4">
      <w:numFmt w:val="bullet"/>
      <w:lvlText w:val="•"/>
      <w:lvlJc w:val="left"/>
      <w:pPr>
        <w:ind w:left="5814" w:hanging="360"/>
      </w:pPr>
      <w:rPr>
        <w:rFonts w:hint="default"/>
        <w:lang w:val="en-US" w:eastAsia="en-US" w:bidi="ar-SA"/>
      </w:rPr>
    </w:lvl>
    <w:lvl w:ilvl="8" w:tplc="47A6181A">
      <w:numFmt w:val="bullet"/>
      <w:lvlText w:val="•"/>
      <w:lvlJc w:val="left"/>
      <w:pPr>
        <w:ind w:left="6617" w:hanging="360"/>
      </w:pPr>
      <w:rPr>
        <w:rFonts w:hint="default"/>
        <w:lang w:val="en-US" w:eastAsia="en-US" w:bidi="ar-SA"/>
      </w:rPr>
    </w:lvl>
  </w:abstractNum>
  <w:abstractNum w:abstractNumId="1" w15:restartNumberingAfterBreak="0">
    <w:nsid w:val="2DBE0721"/>
    <w:multiLevelType w:val="hybridMultilevel"/>
    <w:tmpl w:val="6C323C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CC62E9"/>
    <w:multiLevelType w:val="hybridMultilevel"/>
    <w:tmpl w:val="7408C8B0"/>
    <w:lvl w:ilvl="0" w:tplc="48F8BF10">
      <w:numFmt w:val="bullet"/>
      <w:lvlText w:val="-"/>
      <w:lvlJc w:val="left"/>
      <w:pPr>
        <w:ind w:left="720" w:hanging="360"/>
      </w:pPr>
      <w:rPr>
        <w:rFonts w:ascii="Calibri" w:eastAsia="Apto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84D1798"/>
    <w:multiLevelType w:val="multilevel"/>
    <w:tmpl w:val="B8C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10D4A"/>
    <w:multiLevelType w:val="hybridMultilevel"/>
    <w:tmpl w:val="DEF4D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F9701A"/>
    <w:multiLevelType w:val="hybridMultilevel"/>
    <w:tmpl w:val="07D4C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1289239">
    <w:abstractNumId w:val="2"/>
  </w:num>
  <w:num w:numId="2" w16cid:durableId="1161314118">
    <w:abstractNumId w:val="3"/>
  </w:num>
  <w:num w:numId="3" w16cid:durableId="384569976">
    <w:abstractNumId w:val="0"/>
  </w:num>
  <w:num w:numId="4" w16cid:durableId="379747784">
    <w:abstractNumId w:val="2"/>
  </w:num>
  <w:num w:numId="5" w16cid:durableId="501747732">
    <w:abstractNumId w:val="4"/>
  </w:num>
  <w:num w:numId="6" w16cid:durableId="565148572">
    <w:abstractNumId w:val="1"/>
  </w:num>
  <w:num w:numId="7" w16cid:durableId="1575163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8F"/>
    <w:rsid w:val="00022C96"/>
    <w:rsid w:val="00025460"/>
    <w:rsid w:val="000255CD"/>
    <w:rsid w:val="00027FBA"/>
    <w:rsid w:val="000D7E7C"/>
    <w:rsid w:val="0018305F"/>
    <w:rsid w:val="001B7D29"/>
    <w:rsid w:val="00235599"/>
    <w:rsid w:val="00235EA0"/>
    <w:rsid w:val="002E5738"/>
    <w:rsid w:val="00382188"/>
    <w:rsid w:val="003C216B"/>
    <w:rsid w:val="003C58B6"/>
    <w:rsid w:val="004874DB"/>
    <w:rsid w:val="004B218F"/>
    <w:rsid w:val="004F382D"/>
    <w:rsid w:val="00524731"/>
    <w:rsid w:val="0052776E"/>
    <w:rsid w:val="0055325F"/>
    <w:rsid w:val="005F2471"/>
    <w:rsid w:val="006755B3"/>
    <w:rsid w:val="006D6BEE"/>
    <w:rsid w:val="00756E78"/>
    <w:rsid w:val="00763AC4"/>
    <w:rsid w:val="00764C33"/>
    <w:rsid w:val="007737B6"/>
    <w:rsid w:val="007D63CC"/>
    <w:rsid w:val="0084462B"/>
    <w:rsid w:val="00851930"/>
    <w:rsid w:val="00891ED4"/>
    <w:rsid w:val="008940DF"/>
    <w:rsid w:val="008B435B"/>
    <w:rsid w:val="008D3181"/>
    <w:rsid w:val="008E6210"/>
    <w:rsid w:val="00975735"/>
    <w:rsid w:val="009B39F8"/>
    <w:rsid w:val="00A04E4C"/>
    <w:rsid w:val="00A07BA5"/>
    <w:rsid w:val="00A23C7C"/>
    <w:rsid w:val="00A52E2E"/>
    <w:rsid w:val="00A95E02"/>
    <w:rsid w:val="00AA19F5"/>
    <w:rsid w:val="00B0039E"/>
    <w:rsid w:val="00B07B5C"/>
    <w:rsid w:val="00C170F3"/>
    <w:rsid w:val="00C274D2"/>
    <w:rsid w:val="00C678FE"/>
    <w:rsid w:val="00C71476"/>
    <w:rsid w:val="00C82416"/>
    <w:rsid w:val="00D95012"/>
    <w:rsid w:val="00DA455D"/>
    <w:rsid w:val="00ED7B0B"/>
    <w:rsid w:val="00EE5A78"/>
    <w:rsid w:val="00F11315"/>
    <w:rsid w:val="00F36553"/>
    <w:rsid w:val="00FF6056"/>
    <w:rsid w:val="00FF73C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73A1"/>
  <w15:chartTrackingRefBased/>
  <w15:docId w15:val="{85404785-8253-479B-B4AD-58D1858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8F"/>
    <w:rPr>
      <w:rFonts w:eastAsiaTheme="majorEastAsia" w:cstheme="majorBidi"/>
      <w:color w:val="272727" w:themeColor="text1" w:themeTint="D8"/>
    </w:rPr>
  </w:style>
  <w:style w:type="paragraph" w:styleId="Title">
    <w:name w:val="Title"/>
    <w:basedOn w:val="Normal"/>
    <w:next w:val="Normal"/>
    <w:link w:val="TitleChar"/>
    <w:uiPriority w:val="10"/>
    <w:qFormat/>
    <w:rsid w:val="004B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8F"/>
    <w:pPr>
      <w:spacing w:before="160"/>
      <w:jc w:val="center"/>
    </w:pPr>
    <w:rPr>
      <w:i/>
      <w:iCs/>
      <w:color w:val="404040" w:themeColor="text1" w:themeTint="BF"/>
    </w:rPr>
  </w:style>
  <w:style w:type="character" w:customStyle="1" w:styleId="QuoteChar">
    <w:name w:val="Quote Char"/>
    <w:basedOn w:val="DefaultParagraphFont"/>
    <w:link w:val="Quote"/>
    <w:uiPriority w:val="29"/>
    <w:rsid w:val="004B218F"/>
    <w:rPr>
      <w:i/>
      <w:iCs/>
      <w:color w:val="404040" w:themeColor="text1" w:themeTint="BF"/>
    </w:rPr>
  </w:style>
  <w:style w:type="paragraph" w:styleId="ListParagraph">
    <w:name w:val="List Paragraph"/>
    <w:basedOn w:val="Normal"/>
    <w:uiPriority w:val="1"/>
    <w:qFormat/>
    <w:rsid w:val="004B218F"/>
    <w:pPr>
      <w:ind w:left="720"/>
      <w:contextualSpacing/>
    </w:pPr>
  </w:style>
  <w:style w:type="character" w:styleId="IntenseEmphasis">
    <w:name w:val="Intense Emphasis"/>
    <w:basedOn w:val="DefaultParagraphFont"/>
    <w:uiPriority w:val="21"/>
    <w:qFormat/>
    <w:rsid w:val="004B218F"/>
    <w:rPr>
      <w:i/>
      <w:iCs/>
      <w:color w:val="0F4761" w:themeColor="accent1" w:themeShade="BF"/>
    </w:rPr>
  </w:style>
  <w:style w:type="paragraph" w:styleId="IntenseQuote">
    <w:name w:val="Intense Quote"/>
    <w:basedOn w:val="Normal"/>
    <w:next w:val="Normal"/>
    <w:link w:val="IntenseQuoteChar"/>
    <w:uiPriority w:val="30"/>
    <w:qFormat/>
    <w:rsid w:val="004B2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8F"/>
    <w:rPr>
      <w:i/>
      <w:iCs/>
      <w:color w:val="0F4761" w:themeColor="accent1" w:themeShade="BF"/>
    </w:rPr>
  </w:style>
  <w:style w:type="character" w:styleId="IntenseReference">
    <w:name w:val="Intense Reference"/>
    <w:basedOn w:val="DefaultParagraphFont"/>
    <w:uiPriority w:val="32"/>
    <w:qFormat/>
    <w:rsid w:val="004B218F"/>
    <w:rPr>
      <w:b/>
      <w:bCs/>
      <w:smallCaps/>
      <w:color w:val="0F4761" w:themeColor="accent1" w:themeShade="BF"/>
      <w:spacing w:val="5"/>
    </w:rPr>
  </w:style>
  <w:style w:type="paragraph" w:styleId="NormalWeb">
    <w:name w:val="Normal (Web)"/>
    <w:basedOn w:val="Normal"/>
    <w:uiPriority w:val="99"/>
    <w:semiHidden/>
    <w:unhideWhenUsed/>
    <w:rsid w:val="00A52E2E"/>
    <w:rPr>
      <w:rFonts w:ascii="Times New Roman" w:hAnsi="Times New Roman" w:cs="Times New Roman"/>
    </w:rPr>
  </w:style>
  <w:style w:type="paragraph" w:customStyle="1" w:styleId="Default">
    <w:name w:val="Default"/>
    <w:rsid w:val="00AA19F5"/>
    <w:pPr>
      <w:autoSpaceDE w:val="0"/>
      <w:autoSpaceDN w:val="0"/>
      <w:adjustRightInd w:val="0"/>
      <w:spacing w:after="0" w:line="240" w:lineRule="auto"/>
    </w:pPr>
    <w:rPr>
      <w:rFonts w:ascii="Calibri" w:hAnsi="Calibri" w:cs="Calibri"/>
      <w:color w:val="000000"/>
      <w:kern w:val="0"/>
    </w:rPr>
  </w:style>
  <w:style w:type="paragraph" w:styleId="Revision">
    <w:name w:val="Revision"/>
    <w:hidden/>
    <w:uiPriority w:val="99"/>
    <w:semiHidden/>
    <w:rsid w:val="00F11315"/>
    <w:pPr>
      <w:spacing w:after="0" w:line="240" w:lineRule="auto"/>
    </w:pPr>
  </w:style>
  <w:style w:type="character" w:styleId="Strong">
    <w:name w:val="Strong"/>
    <w:basedOn w:val="DefaultParagraphFont"/>
    <w:uiPriority w:val="22"/>
    <w:qFormat/>
    <w:rsid w:val="00F11315"/>
    <w:rPr>
      <w:b/>
      <w:bCs/>
    </w:rPr>
  </w:style>
  <w:style w:type="character" w:styleId="Hyperlink">
    <w:name w:val="Hyperlink"/>
    <w:basedOn w:val="DefaultParagraphFont"/>
    <w:uiPriority w:val="99"/>
    <w:unhideWhenUsed/>
    <w:rsid w:val="00F11315"/>
    <w:rPr>
      <w:color w:val="0000FF"/>
      <w:u w:val="single"/>
    </w:rPr>
  </w:style>
  <w:style w:type="paragraph" w:styleId="BalloonText">
    <w:name w:val="Balloon Text"/>
    <w:basedOn w:val="Normal"/>
    <w:link w:val="BalloonTextChar"/>
    <w:uiPriority w:val="99"/>
    <w:semiHidden/>
    <w:unhideWhenUsed/>
    <w:rsid w:val="00C274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74D2"/>
    <w:rPr>
      <w:rFonts w:ascii="Times New Roman" w:hAnsi="Times New Roman" w:cs="Times New Roman"/>
      <w:sz w:val="18"/>
      <w:szCs w:val="18"/>
    </w:rPr>
  </w:style>
  <w:style w:type="paragraph" w:styleId="Header">
    <w:name w:val="header"/>
    <w:basedOn w:val="Normal"/>
    <w:link w:val="HeaderChar"/>
    <w:uiPriority w:val="99"/>
    <w:unhideWhenUsed/>
    <w:rsid w:val="00851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30"/>
  </w:style>
  <w:style w:type="paragraph" w:styleId="Footer">
    <w:name w:val="footer"/>
    <w:basedOn w:val="Normal"/>
    <w:link w:val="FooterChar"/>
    <w:uiPriority w:val="99"/>
    <w:unhideWhenUsed/>
    <w:rsid w:val="00851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30"/>
  </w:style>
  <w:style w:type="character" w:styleId="UnresolvedMention">
    <w:name w:val="Unresolved Mention"/>
    <w:basedOn w:val="DefaultParagraphFont"/>
    <w:uiPriority w:val="99"/>
    <w:semiHidden/>
    <w:unhideWhenUsed/>
    <w:rsid w:val="00C170F3"/>
    <w:rPr>
      <w:color w:val="605E5C"/>
      <w:shd w:val="clear" w:color="auto" w:fill="E1DFDD"/>
    </w:rPr>
  </w:style>
  <w:style w:type="paragraph" w:styleId="FootnoteText">
    <w:name w:val="footnote text"/>
    <w:basedOn w:val="Normal"/>
    <w:link w:val="FootnoteTextChar"/>
    <w:uiPriority w:val="99"/>
    <w:semiHidden/>
    <w:unhideWhenUsed/>
    <w:rsid w:val="00C17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0F3"/>
    <w:rPr>
      <w:sz w:val="20"/>
      <w:szCs w:val="20"/>
    </w:rPr>
  </w:style>
  <w:style w:type="character" w:styleId="FootnoteReference">
    <w:name w:val="footnote reference"/>
    <w:basedOn w:val="DefaultParagraphFont"/>
    <w:uiPriority w:val="99"/>
    <w:semiHidden/>
    <w:unhideWhenUsed/>
    <w:rsid w:val="00C170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45">
      <w:bodyDiv w:val="1"/>
      <w:marLeft w:val="0"/>
      <w:marRight w:val="0"/>
      <w:marTop w:val="0"/>
      <w:marBottom w:val="0"/>
      <w:divBdr>
        <w:top w:val="none" w:sz="0" w:space="0" w:color="auto"/>
        <w:left w:val="none" w:sz="0" w:space="0" w:color="auto"/>
        <w:bottom w:val="none" w:sz="0" w:space="0" w:color="auto"/>
        <w:right w:val="none" w:sz="0" w:space="0" w:color="auto"/>
      </w:divBdr>
    </w:div>
    <w:div w:id="70466575">
      <w:bodyDiv w:val="1"/>
      <w:marLeft w:val="0"/>
      <w:marRight w:val="0"/>
      <w:marTop w:val="0"/>
      <w:marBottom w:val="0"/>
      <w:divBdr>
        <w:top w:val="none" w:sz="0" w:space="0" w:color="auto"/>
        <w:left w:val="none" w:sz="0" w:space="0" w:color="auto"/>
        <w:bottom w:val="none" w:sz="0" w:space="0" w:color="auto"/>
        <w:right w:val="none" w:sz="0" w:space="0" w:color="auto"/>
      </w:divBdr>
    </w:div>
    <w:div w:id="147670031">
      <w:bodyDiv w:val="1"/>
      <w:marLeft w:val="0"/>
      <w:marRight w:val="0"/>
      <w:marTop w:val="0"/>
      <w:marBottom w:val="0"/>
      <w:divBdr>
        <w:top w:val="none" w:sz="0" w:space="0" w:color="auto"/>
        <w:left w:val="none" w:sz="0" w:space="0" w:color="auto"/>
        <w:bottom w:val="none" w:sz="0" w:space="0" w:color="auto"/>
        <w:right w:val="none" w:sz="0" w:space="0" w:color="auto"/>
      </w:divBdr>
      <w:divsChild>
        <w:div w:id="407582067">
          <w:marLeft w:val="0"/>
          <w:marRight w:val="0"/>
          <w:marTop w:val="0"/>
          <w:marBottom w:val="0"/>
          <w:divBdr>
            <w:top w:val="none" w:sz="0" w:space="0" w:color="auto"/>
            <w:left w:val="none" w:sz="0" w:space="0" w:color="auto"/>
            <w:bottom w:val="none" w:sz="0" w:space="0" w:color="auto"/>
            <w:right w:val="none" w:sz="0" w:space="0" w:color="auto"/>
          </w:divBdr>
          <w:divsChild>
            <w:div w:id="2333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3523">
      <w:bodyDiv w:val="1"/>
      <w:marLeft w:val="0"/>
      <w:marRight w:val="0"/>
      <w:marTop w:val="0"/>
      <w:marBottom w:val="0"/>
      <w:divBdr>
        <w:top w:val="none" w:sz="0" w:space="0" w:color="auto"/>
        <w:left w:val="none" w:sz="0" w:space="0" w:color="auto"/>
        <w:bottom w:val="none" w:sz="0" w:space="0" w:color="auto"/>
        <w:right w:val="none" w:sz="0" w:space="0" w:color="auto"/>
      </w:divBdr>
    </w:div>
    <w:div w:id="181475519">
      <w:bodyDiv w:val="1"/>
      <w:marLeft w:val="0"/>
      <w:marRight w:val="0"/>
      <w:marTop w:val="0"/>
      <w:marBottom w:val="0"/>
      <w:divBdr>
        <w:top w:val="none" w:sz="0" w:space="0" w:color="auto"/>
        <w:left w:val="none" w:sz="0" w:space="0" w:color="auto"/>
        <w:bottom w:val="none" w:sz="0" w:space="0" w:color="auto"/>
        <w:right w:val="none" w:sz="0" w:space="0" w:color="auto"/>
      </w:divBdr>
    </w:div>
    <w:div w:id="335228889">
      <w:bodyDiv w:val="1"/>
      <w:marLeft w:val="0"/>
      <w:marRight w:val="0"/>
      <w:marTop w:val="0"/>
      <w:marBottom w:val="0"/>
      <w:divBdr>
        <w:top w:val="none" w:sz="0" w:space="0" w:color="auto"/>
        <w:left w:val="none" w:sz="0" w:space="0" w:color="auto"/>
        <w:bottom w:val="none" w:sz="0" w:space="0" w:color="auto"/>
        <w:right w:val="none" w:sz="0" w:space="0" w:color="auto"/>
      </w:divBdr>
    </w:div>
    <w:div w:id="548733572">
      <w:bodyDiv w:val="1"/>
      <w:marLeft w:val="0"/>
      <w:marRight w:val="0"/>
      <w:marTop w:val="0"/>
      <w:marBottom w:val="0"/>
      <w:divBdr>
        <w:top w:val="none" w:sz="0" w:space="0" w:color="auto"/>
        <w:left w:val="none" w:sz="0" w:space="0" w:color="auto"/>
        <w:bottom w:val="none" w:sz="0" w:space="0" w:color="auto"/>
        <w:right w:val="none" w:sz="0" w:space="0" w:color="auto"/>
      </w:divBdr>
    </w:div>
    <w:div w:id="750464795">
      <w:bodyDiv w:val="1"/>
      <w:marLeft w:val="0"/>
      <w:marRight w:val="0"/>
      <w:marTop w:val="0"/>
      <w:marBottom w:val="0"/>
      <w:divBdr>
        <w:top w:val="none" w:sz="0" w:space="0" w:color="auto"/>
        <w:left w:val="none" w:sz="0" w:space="0" w:color="auto"/>
        <w:bottom w:val="none" w:sz="0" w:space="0" w:color="auto"/>
        <w:right w:val="none" w:sz="0" w:space="0" w:color="auto"/>
      </w:divBdr>
    </w:div>
    <w:div w:id="839123049">
      <w:bodyDiv w:val="1"/>
      <w:marLeft w:val="0"/>
      <w:marRight w:val="0"/>
      <w:marTop w:val="0"/>
      <w:marBottom w:val="0"/>
      <w:divBdr>
        <w:top w:val="none" w:sz="0" w:space="0" w:color="auto"/>
        <w:left w:val="none" w:sz="0" w:space="0" w:color="auto"/>
        <w:bottom w:val="none" w:sz="0" w:space="0" w:color="auto"/>
        <w:right w:val="none" w:sz="0" w:space="0" w:color="auto"/>
      </w:divBdr>
    </w:div>
    <w:div w:id="994993542">
      <w:bodyDiv w:val="1"/>
      <w:marLeft w:val="0"/>
      <w:marRight w:val="0"/>
      <w:marTop w:val="0"/>
      <w:marBottom w:val="0"/>
      <w:divBdr>
        <w:top w:val="none" w:sz="0" w:space="0" w:color="auto"/>
        <w:left w:val="none" w:sz="0" w:space="0" w:color="auto"/>
        <w:bottom w:val="none" w:sz="0" w:space="0" w:color="auto"/>
        <w:right w:val="none" w:sz="0" w:space="0" w:color="auto"/>
      </w:divBdr>
    </w:div>
    <w:div w:id="1081564352">
      <w:bodyDiv w:val="1"/>
      <w:marLeft w:val="0"/>
      <w:marRight w:val="0"/>
      <w:marTop w:val="0"/>
      <w:marBottom w:val="0"/>
      <w:divBdr>
        <w:top w:val="none" w:sz="0" w:space="0" w:color="auto"/>
        <w:left w:val="none" w:sz="0" w:space="0" w:color="auto"/>
        <w:bottom w:val="none" w:sz="0" w:space="0" w:color="auto"/>
        <w:right w:val="none" w:sz="0" w:space="0" w:color="auto"/>
      </w:divBdr>
    </w:div>
    <w:div w:id="1391922667">
      <w:bodyDiv w:val="1"/>
      <w:marLeft w:val="0"/>
      <w:marRight w:val="0"/>
      <w:marTop w:val="0"/>
      <w:marBottom w:val="0"/>
      <w:divBdr>
        <w:top w:val="none" w:sz="0" w:space="0" w:color="auto"/>
        <w:left w:val="none" w:sz="0" w:space="0" w:color="auto"/>
        <w:bottom w:val="none" w:sz="0" w:space="0" w:color="auto"/>
        <w:right w:val="none" w:sz="0" w:space="0" w:color="auto"/>
      </w:divBdr>
    </w:div>
    <w:div w:id="1405950249">
      <w:bodyDiv w:val="1"/>
      <w:marLeft w:val="0"/>
      <w:marRight w:val="0"/>
      <w:marTop w:val="0"/>
      <w:marBottom w:val="0"/>
      <w:divBdr>
        <w:top w:val="none" w:sz="0" w:space="0" w:color="auto"/>
        <w:left w:val="none" w:sz="0" w:space="0" w:color="auto"/>
        <w:bottom w:val="none" w:sz="0" w:space="0" w:color="auto"/>
        <w:right w:val="none" w:sz="0" w:space="0" w:color="auto"/>
      </w:divBdr>
    </w:div>
    <w:div w:id="1566992540">
      <w:bodyDiv w:val="1"/>
      <w:marLeft w:val="0"/>
      <w:marRight w:val="0"/>
      <w:marTop w:val="0"/>
      <w:marBottom w:val="0"/>
      <w:divBdr>
        <w:top w:val="none" w:sz="0" w:space="0" w:color="auto"/>
        <w:left w:val="none" w:sz="0" w:space="0" w:color="auto"/>
        <w:bottom w:val="none" w:sz="0" w:space="0" w:color="auto"/>
        <w:right w:val="none" w:sz="0" w:space="0" w:color="auto"/>
      </w:divBdr>
      <w:divsChild>
        <w:div w:id="942298370">
          <w:marLeft w:val="0"/>
          <w:marRight w:val="0"/>
          <w:marTop w:val="0"/>
          <w:marBottom w:val="0"/>
          <w:divBdr>
            <w:top w:val="none" w:sz="0" w:space="0" w:color="auto"/>
            <w:left w:val="none" w:sz="0" w:space="0" w:color="auto"/>
            <w:bottom w:val="none" w:sz="0" w:space="0" w:color="auto"/>
            <w:right w:val="none" w:sz="0" w:space="0" w:color="auto"/>
          </w:divBdr>
          <w:divsChild>
            <w:div w:id="20719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5">
      <w:bodyDiv w:val="1"/>
      <w:marLeft w:val="0"/>
      <w:marRight w:val="0"/>
      <w:marTop w:val="0"/>
      <w:marBottom w:val="0"/>
      <w:divBdr>
        <w:top w:val="none" w:sz="0" w:space="0" w:color="auto"/>
        <w:left w:val="none" w:sz="0" w:space="0" w:color="auto"/>
        <w:bottom w:val="none" w:sz="0" w:space="0" w:color="auto"/>
        <w:right w:val="none" w:sz="0" w:space="0" w:color="auto"/>
      </w:divBdr>
    </w:div>
    <w:div w:id="1791243482">
      <w:bodyDiv w:val="1"/>
      <w:marLeft w:val="0"/>
      <w:marRight w:val="0"/>
      <w:marTop w:val="0"/>
      <w:marBottom w:val="0"/>
      <w:divBdr>
        <w:top w:val="none" w:sz="0" w:space="0" w:color="auto"/>
        <w:left w:val="none" w:sz="0" w:space="0" w:color="auto"/>
        <w:bottom w:val="none" w:sz="0" w:space="0" w:color="auto"/>
        <w:right w:val="none" w:sz="0" w:space="0" w:color="auto"/>
      </w:divBdr>
    </w:div>
    <w:div w:id="1903826477">
      <w:bodyDiv w:val="1"/>
      <w:marLeft w:val="0"/>
      <w:marRight w:val="0"/>
      <w:marTop w:val="0"/>
      <w:marBottom w:val="0"/>
      <w:divBdr>
        <w:top w:val="none" w:sz="0" w:space="0" w:color="auto"/>
        <w:left w:val="none" w:sz="0" w:space="0" w:color="auto"/>
        <w:bottom w:val="none" w:sz="0" w:space="0" w:color="auto"/>
        <w:right w:val="none" w:sz="0" w:space="0" w:color="auto"/>
      </w:divBdr>
    </w:div>
    <w:div w:id="19261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i=09125948802b32b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arch.coe.int/cm?i=09125948802b3356" TargetMode="External"/><Relationship Id="rId4" Type="http://schemas.openxmlformats.org/officeDocument/2006/relationships/settings" Target="settings.xml"/><Relationship Id="rId9" Type="http://schemas.openxmlformats.org/officeDocument/2006/relationships/hyperlink" Target="http://www.coe.int/cdn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i=09125948802ae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90A6-C187-44EF-B5CE-A5DEC9AE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1546</Words>
  <Characters>8509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DIMANCHE Laetitia</dc:creator>
  <cp:keywords/>
  <dc:description/>
  <cp:lastModifiedBy>ISMAYILOV Rafael</cp:lastModifiedBy>
  <cp:revision>7</cp:revision>
  <dcterms:created xsi:type="dcterms:W3CDTF">2026-06-10T05:45:00Z</dcterms:created>
  <dcterms:modified xsi:type="dcterms:W3CDTF">2026-06-23T08:11:00Z</dcterms:modified>
</cp:coreProperties>
</file>