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B1552" w14:textId="66BDF401" w:rsidR="00DA0E58" w:rsidRPr="006F299D" w:rsidRDefault="00DA0E58" w:rsidP="00DA0E58">
      <w:pPr>
        <w:spacing w:after="0" w:line="240" w:lineRule="auto"/>
        <w:jc w:val="right"/>
        <w:rPr>
          <w:rFonts w:ascii="Times New Roman" w:eastAsia="Calibri" w:hAnsi="Times New Roman" w:cs="Times New Roman"/>
          <w:kern w:val="0"/>
          <w:sz w:val="24"/>
          <w:szCs w:val="24"/>
          <w14:ligatures w14:val="none"/>
        </w:rPr>
      </w:pPr>
      <w:r w:rsidRPr="006F299D">
        <w:rPr>
          <w:rFonts w:ascii="Times New Roman" w:eastAsia="Calibri" w:hAnsi="Times New Roman" w:cs="Times New Roman"/>
          <w:kern w:val="0"/>
          <w:sz w:val="24"/>
          <w:szCs w:val="24"/>
          <w14:ligatures w14:val="none"/>
        </w:rPr>
        <w:t>Taimekaitseseaduse ja riigilõivuseaduse</w:t>
      </w:r>
    </w:p>
    <w:p w14:paraId="466DA6F5" w14:textId="3D0AC552" w:rsidR="00DA0E58" w:rsidRPr="006F299D" w:rsidRDefault="00DA0E58" w:rsidP="00DA0E58">
      <w:pPr>
        <w:spacing w:after="0" w:line="240" w:lineRule="auto"/>
        <w:jc w:val="right"/>
        <w:rPr>
          <w:rFonts w:ascii="Times New Roman" w:eastAsia="Calibri" w:hAnsi="Times New Roman" w:cs="Times New Roman"/>
          <w:kern w:val="0"/>
          <w:sz w:val="24"/>
          <w:szCs w:val="24"/>
          <w14:ligatures w14:val="none"/>
        </w:rPr>
      </w:pPr>
      <w:r w:rsidRPr="006F299D">
        <w:rPr>
          <w:rFonts w:ascii="Times New Roman" w:eastAsia="Calibri" w:hAnsi="Times New Roman" w:cs="Times New Roman"/>
          <w:kern w:val="0"/>
          <w:sz w:val="24"/>
          <w:szCs w:val="24"/>
          <w14:ligatures w14:val="none"/>
        </w:rPr>
        <w:t>muutmise seaduse eelnõu seletuskir</w:t>
      </w:r>
      <w:r w:rsidR="00045FA0">
        <w:rPr>
          <w:rFonts w:ascii="Times New Roman" w:eastAsia="Calibri" w:hAnsi="Times New Roman" w:cs="Times New Roman"/>
          <w:kern w:val="0"/>
          <w:sz w:val="24"/>
          <w:szCs w:val="24"/>
          <w14:ligatures w14:val="none"/>
        </w:rPr>
        <w:t>i</w:t>
      </w:r>
    </w:p>
    <w:p w14:paraId="77AAD95F" w14:textId="0A4FF6CF" w:rsidR="00DA0E58" w:rsidRPr="006F299D" w:rsidRDefault="00045FA0" w:rsidP="00DA0E58">
      <w:pPr>
        <w:spacing w:after="0" w:line="240" w:lineRule="auto"/>
        <w:jc w:val="right"/>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L</w:t>
      </w:r>
      <w:r w:rsidR="00DA0E58" w:rsidRPr="006F299D">
        <w:rPr>
          <w:rFonts w:ascii="Times New Roman" w:eastAsia="Calibri" w:hAnsi="Times New Roman" w:cs="Times New Roman"/>
          <w:kern w:val="0"/>
          <w:sz w:val="24"/>
          <w:szCs w:val="24"/>
          <w14:ligatures w14:val="none"/>
        </w:rPr>
        <w:t xml:space="preserve">isa </w:t>
      </w:r>
      <w:r w:rsidR="00005129">
        <w:rPr>
          <w:rFonts w:ascii="Times New Roman" w:eastAsia="Calibri" w:hAnsi="Times New Roman" w:cs="Times New Roman"/>
          <w:kern w:val="0"/>
          <w:sz w:val="24"/>
          <w:szCs w:val="24"/>
          <w14:ligatures w14:val="none"/>
        </w:rPr>
        <w:t>2</w:t>
      </w:r>
    </w:p>
    <w:p w14:paraId="7061FF94" w14:textId="77777777" w:rsidR="00DA0E58" w:rsidRPr="006F299D" w:rsidRDefault="00DA0E58" w:rsidP="00DA0E58">
      <w:pPr>
        <w:adjustRightInd w:val="0"/>
        <w:spacing w:after="0" w:line="240" w:lineRule="auto"/>
        <w:jc w:val="right"/>
        <w:rPr>
          <w:rFonts w:ascii="Times New Roman" w:eastAsia="Times New Roman" w:hAnsi="Times New Roman" w:cs="Times New Roman"/>
          <w:bCs/>
          <w:kern w:val="0"/>
          <w:sz w:val="24"/>
          <w:szCs w:val="24"/>
          <w14:ligatures w14:val="none"/>
        </w:rPr>
      </w:pPr>
    </w:p>
    <w:p w14:paraId="7A96CA85" w14:textId="6757D758" w:rsidR="00DA0E58" w:rsidRPr="006F299D" w:rsidRDefault="00DA0E58" w:rsidP="00DA0E58">
      <w:pPr>
        <w:autoSpaceDE w:val="0"/>
        <w:autoSpaceDN w:val="0"/>
        <w:spacing w:after="0" w:line="240" w:lineRule="auto"/>
        <w:jc w:val="both"/>
        <w:rPr>
          <w:rFonts w:ascii="Times New Roman" w:eastAsia="Times New Roman" w:hAnsi="Times New Roman" w:cs="Times New Roman"/>
          <w:b/>
          <w:kern w:val="0"/>
          <w:sz w:val="24"/>
          <w:szCs w:val="24"/>
          <w14:ligatures w14:val="none"/>
        </w:rPr>
      </w:pPr>
      <w:r w:rsidRPr="006F299D">
        <w:rPr>
          <w:rFonts w:ascii="Times New Roman" w:eastAsia="Times New Roman" w:hAnsi="Times New Roman" w:cs="Times New Roman"/>
          <w:b/>
          <w:kern w:val="0"/>
          <w:sz w:val="24"/>
          <w:szCs w:val="24"/>
          <w14:ligatures w14:val="none"/>
        </w:rPr>
        <w:t>Kooskõlastamise käigus esitatud märkuste ja ettepanekutega arvestamise tabel</w:t>
      </w:r>
    </w:p>
    <w:p w14:paraId="05741C92" w14:textId="77777777" w:rsidR="00F74DB4" w:rsidRPr="006F299D" w:rsidRDefault="00F74DB4">
      <w:pPr>
        <w:rPr>
          <w:rFonts w:ascii="Times New Roman" w:hAnsi="Times New Roman" w:cs="Times New Roman"/>
          <w:sz w:val="24"/>
          <w:szCs w:val="24"/>
        </w:rPr>
      </w:pPr>
    </w:p>
    <w:tbl>
      <w:tblPr>
        <w:tblStyle w:val="TableGrid2"/>
        <w:tblW w:w="0" w:type="auto"/>
        <w:tblLook w:val="04A0" w:firstRow="1" w:lastRow="0" w:firstColumn="1" w:lastColumn="0" w:noHBand="0" w:noVBand="1"/>
      </w:tblPr>
      <w:tblGrid>
        <w:gridCol w:w="2737"/>
        <w:gridCol w:w="7154"/>
        <w:gridCol w:w="4669"/>
      </w:tblGrid>
      <w:tr w:rsidR="00DC64B9" w:rsidRPr="006F299D" w14:paraId="1AE16BE2" w14:textId="77777777" w:rsidTr="0064162D">
        <w:tc>
          <w:tcPr>
            <w:tcW w:w="2737" w:type="dxa"/>
          </w:tcPr>
          <w:p w14:paraId="1328A518" w14:textId="61010DD4" w:rsidR="00DC64B9" w:rsidRPr="006F299D" w:rsidRDefault="005534F1" w:rsidP="00865BBA">
            <w:pPr>
              <w:rPr>
                <w:rFonts w:ascii="Times New Roman" w:hAnsi="Times New Roman"/>
                <w:b/>
                <w:sz w:val="24"/>
                <w:szCs w:val="24"/>
              </w:rPr>
            </w:pPr>
            <w:r w:rsidRPr="006F299D">
              <w:rPr>
                <w:rFonts w:ascii="Times New Roman" w:hAnsi="Times New Roman"/>
                <w:b/>
                <w:sz w:val="24"/>
                <w:szCs w:val="24"/>
              </w:rPr>
              <w:t>Kooskõlastaja/ e</w:t>
            </w:r>
            <w:r w:rsidR="00DC64B9" w:rsidRPr="006F299D">
              <w:rPr>
                <w:rFonts w:ascii="Times New Roman" w:hAnsi="Times New Roman"/>
                <w:b/>
                <w:sz w:val="24"/>
                <w:szCs w:val="24"/>
              </w:rPr>
              <w:t>ttepaneku esitaja</w:t>
            </w:r>
          </w:p>
        </w:tc>
        <w:tc>
          <w:tcPr>
            <w:tcW w:w="7154" w:type="dxa"/>
          </w:tcPr>
          <w:p w14:paraId="19523734" w14:textId="70625956" w:rsidR="00DC64B9" w:rsidRPr="006F299D" w:rsidRDefault="00DC64B9" w:rsidP="00865BBA">
            <w:pPr>
              <w:rPr>
                <w:rFonts w:ascii="Times New Roman" w:hAnsi="Times New Roman"/>
                <w:b/>
                <w:sz w:val="24"/>
                <w:szCs w:val="24"/>
              </w:rPr>
            </w:pPr>
            <w:r w:rsidRPr="006F299D">
              <w:rPr>
                <w:rFonts w:ascii="Times New Roman" w:hAnsi="Times New Roman"/>
                <w:b/>
                <w:sz w:val="24"/>
                <w:szCs w:val="24"/>
              </w:rPr>
              <w:t>Märkus/ettepanek</w:t>
            </w:r>
          </w:p>
        </w:tc>
        <w:tc>
          <w:tcPr>
            <w:tcW w:w="4669" w:type="dxa"/>
          </w:tcPr>
          <w:p w14:paraId="021C8330" w14:textId="162AD9EF" w:rsidR="00DC64B9" w:rsidRPr="006F299D" w:rsidRDefault="00DC64B9" w:rsidP="00865BBA">
            <w:pPr>
              <w:rPr>
                <w:rFonts w:ascii="Times New Roman" w:hAnsi="Times New Roman"/>
                <w:b/>
                <w:sz w:val="24"/>
                <w:szCs w:val="24"/>
              </w:rPr>
            </w:pPr>
            <w:r w:rsidRPr="006F299D">
              <w:rPr>
                <w:rFonts w:ascii="Times New Roman" w:hAnsi="Times New Roman"/>
                <w:b/>
                <w:sz w:val="24"/>
                <w:szCs w:val="24"/>
              </w:rPr>
              <w:t>Regionaal- ja Põllumajandusministeeriumi arvamus</w:t>
            </w:r>
          </w:p>
        </w:tc>
      </w:tr>
      <w:tr w:rsidR="00DC64B9" w:rsidRPr="006F299D" w14:paraId="695A1AAE" w14:textId="77777777" w:rsidTr="0064162D">
        <w:tc>
          <w:tcPr>
            <w:tcW w:w="2737" w:type="dxa"/>
          </w:tcPr>
          <w:p w14:paraId="1CE8DEBB" w14:textId="4542EE4D" w:rsidR="00DC64B9" w:rsidRPr="0064162D" w:rsidRDefault="00DC64B9" w:rsidP="00865BBA">
            <w:pPr>
              <w:rPr>
                <w:rFonts w:ascii="Times New Roman" w:hAnsi="Times New Roman"/>
                <w:b/>
                <w:bCs/>
                <w:sz w:val="24"/>
                <w:szCs w:val="24"/>
              </w:rPr>
            </w:pPr>
            <w:r w:rsidRPr="0064162D">
              <w:rPr>
                <w:rFonts w:ascii="Times New Roman" w:hAnsi="Times New Roman"/>
                <w:b/>
                <w:bCs/>
                <w:sz w:val="24"/>
                <w:szCs w:val="24"/>
              </w:rPr>
              <w:t>K</w:t>
            </w:r>
            <w:r w:rsidR="001E2872">
              <w:rPr>
                <w:rFonts w:ascii="Times New Roman" w:hAnsi="Times New Roman"/>
                <w:b/>
                <w:bCs/>
                <w:sz w:val="24"/>
                <w:szCs w:val="24"/>
              </w:rPr>
              <w:t>liim</w:t>
            </w:r>
            <w:r w:rsidRPr="0064162D">
              <w:rPr>
                <w:rFonts w:ascii="Times New Roman" w:hAnsi="Times New Roman"/>
                <w:b/>
                <w:bCs/>
                <w:sz w:val="24"/>
                <w:szCs w:val="24"/>
              </w:rPr>
              <w:t>aministeerium</w:t>
            </w:r>
          </w:p>
        </w:tc>
        <w:tc>
          <w:tcPr>
            <w:tcW w:w="7154" w:type="dxa"/>
          </w:tcPr>
          <w:p w14:paraId="2CB56A5A" w14:textId="77777777" w:rsidR="00DC64B9" w:rsidRPr="006F299D" w:rsidRDefault="00DC64B9" w:rsidP="00865BBA">
            <w:pPr>
              <w:jc w:val="both"/>
              <w:rPr>
                <w:rFonts w:ascii="Times New Roman" w:hAnsi="Times New Roman"/>
                <w:sz w:val="24"/>
                <w:szCs w:val="24"/>
              </w:rPr>
            </w:pPr>
            <w:r w:rsidRPr="006F299D">
              <w:rPr>
                <w:rFonts w:ascii="Times New Roman" w:hAnsi="Times New Roman"/>
                <w:sz w:val="24"/>
                <w:szCs w:val="24"/>
              </w:rPr>
              <w:t>Kooskõlastame taimekaitseseaduse ja riigilõivuseaduse muutmise seaduse eelnõu järgmise märkusega arvestamisel: õhust pritsimise erandlikkust tuleb eelnõus täiendada vastavalt direktiivi mõttele.</w:t>
            </w:r>
          </w:p>
          <w:p w14:paraId="46BDBDEF" w14:textId="77777777" w:rsidR="00DC64B9" w:rsidRPr="006F299D" w:rsidRDefault="00DC64B9" w:rsidP="00865BBA">
            <w:pPr>
              <w:jc w:val="both"/>
              <w:rPr>
                <w:rFonts w:ascii="Times New Roman" w:hAnsi="Times New Roman"/>
                <w:sz w:val="24"/>
                <w:szCs w:val="24"/>
              </w:rPr>
            </w:pPr>
          </w:p>
          <w:p w14:paraId="782C5F59" w14:textId="77777777" w:rsidR="00DC64B9" w:rsidRPr="006F299D" w:rsidRDefault="00DC64B9" w:rsidP="00865BBA">
            <w:pPr>
              <w:jc w:val="both"/>
              <w:rPr>
                <w:rFonts w:ascii="Times New Roman" w:hAnsi="Times New Roman"/>
                <w:sz w:val="24"/>
                <w:szCs w:val="24"/>
              </w:rPr>
            </w:pPr>
            <w:r w:rsidRPr="006F299D">
              <w:rPr>
                <w:rFonts w:ascii="Times New Roman" w:hAnsi="Times New Roman"/>
                <w:sz w:val="24"/>
                <w:szCs w:val="24"/>
              </w:rPr>
              <w:t>Euroopa Parlamendi ja nõukogu direktiivi 2009/128/EÜ artikli 9 lõike 1 kohaselt on taimekaitsevahendite õhust pritsimine üldreeglina keelatud ning sama artikli lõike 2 kohaselt võib seda lubada vaid erandjuhtudel, kui on täidetud konkreetsetes punktides (a–f) toodud kumulatiivsed tingimused. Direktiiv eeldab selgelt, et õhust pritsimine – sealhulgas mehitamata õhusõidukilt (droonilt) – ei ole tavapärane taimekaitseviis, vaid lubatav ainult siis, kui muud praktilised lahendused puuduvad või kui mõju inimeste tervisele ja keskkonnale on väiksem võrreldes tavapärase pritsimisega. Kliimaministeerium leiab, et väljatöötatud eelnõu § 1 punktid 17 ja 18 ei kajasta piisavalt seda erandlikkuse alust ja kohustust hinnata alternatiivide olemasolu või keskkonnaeelist konkreetse kasutusjuhtumi puhul. Eelnõuga sätestatakse professionaalse kasutaja teavitamiskohustus enne õhust pritsimist. Samas puudub eelnõus säte, mis nõuaks juhtumipõhiselt hinnangut selle kohta, kas puuduvad muud praktilised alternatiivid või kas droonilt pritsimine annab tõendatava eelise väiksema mõju osas inimeste tervisele ja keskkonnale, nagu on nõutud Euroopa Parlamendi ja nõukogu direktiivi 2009/128/EÜ artikli 9 lõike 2 punktis a. Palume eelnõud täiendada sättega vastavalt direktiivi mõttele, et droonilt pritsimine on lubatud üksnes juhul, kui puuduvad muud praktiliselt rakendatavad alternatiivid või kui sellise kasutusviisi puhul on tõendatav väiksem mõju tervisele ja keskkonnale.</w:t>
            </w:r>
          </w:p>
        </w:tc>
        <w:tc>
          <w:tcPr>
            <w:tcW w:w="4669" w:type="dxa"/>
          </w:tcPr>
          <w:p w14:paraId="5952DE41" w14:textId="2DD93183" w:rsidR="00DC64B9" w:rsidRPr="006F299D" w:rsidRDefault="00DC64B9" w:rsidP="00865BBA">
            <w:pPr>
              <w:jc w:val="both"/>
              <w:rPr>
                <w:rFonts w:ascii="Times New Roman" w:hAnsi="Times New Roman"/>
                <w:b/>
                <w:bCs/>
                <w:sz w:val="24"/>
                <w:szCs w:val="24"/>
              </w:rPr>
            </w:pPr>
            <w:r w:rsidRPr="006F299D">
              <w:rPr>
                <w:rFonts w:ascii="Times New Roman" w:hAnsi="Times New Roman"/>
                <w:b/>
                <w:bCs/>
                <w:sz w:val="24"/>
                <w:szCs w:val="24"/>
              </w:rPr>
              <w:t>Märkusega on arvestatud</w:t>
            </w:r>
            <w:r w:rsidR="00DA5B96">
              <w:rPr>
                <w:rFonts w:ascii="Times New Roman" w:hAnsi="Times New Roman"/>
                <w:b/>
                <w:bCs/>
                <w:sz w:val="24"/>
                <w:szCs w:val="24"/>
              </w:rPr>
              <w:t xml:space="preserve"> </w:t>
            </w:r>
            <w:r w:rsidR="00DA5B96" w:rsidRPr="006F299D">
              <w:rPr>
                <w:rFonts w:ascii="Times New Roman" w:hAnsi="Times New Roman"/>
                <w:b/>
                <w:bCs/>
                <w:sz w:val="24"/>
                <w:szCs w:val="24"/>
              </w:rPr>
              <w:t>osaliselt</w:t>
            </w:r>
            <w:r w:rsidRPr="006F299D">
              <w:rPr>
                <w:rFonts w:ascii="Times New Roman" w:hAnsi="Times New Roman"/>
                <w:b/>
                <w:bCs/>
                <w:sz w:val="24"/>
                <w:szCs w:val="24"/>
              </w:rPr>
              <w:t>.</w:t>
            </w:r>
          </w:p>
          <w:p w14:paraId="5B254671" w14:textId="77777777" w:rsidR="00DC64B9" w:rsidRPr="006F299D" w:rsidRDefault="00DC64B9" w:rsidP="00865BBA">
            <w:pPr>
              <w:jc w:val="both"/>
              <w:rPr>
                <w:rFonts w:ascii="Times New Roman" w:hAnsi="Times New Roman"/>
                <w:sz w:val="24"/>
                <w:szCs w:val="24"/>
              </w:rPr>
            </w:pPr>
            <w:r w:rsidRPr="006F299D">
              <w:rPr>
                <w:rFonts w:ascii="Times New Roman" w:hAnsi="Times New Roman"/>
                <w:sz w:val="24"/>
                <w:szCs w:val="24"/>
              </w:rPr>
              <w:t xml:space="preserve">Eelnõusse täiendavate sätete lisamine, mis sätestaksid täiendava kontrolli ning aruandluse, tooksid kaasa viiteid taimekaitsetöödes ning põhjustaksid administratiivse koormuse olulist kasvu nii taimekaitsevahendite professionaalsete kasutajate kui ka pädeva asutuse (PTA) osas. </w:t>
            </w:r>
          </w:p>
          <w:p w14:paraId="400C4D4B" w14:textId="4F54C9CE" w:rsidR="00DC64B9" w:rsidRPr="006F299D" w:rsidRDefault="00A54F57" w:rsidP="00865BBA">
            <w:pPr>
              <w:jc w:val="both"/>
              <w:rPr>
                <w:rFonts w:ascii="Times New Roman" w:hAnsi="Times New Roman"/>
                <w:sz w:val="24"/>
                <w:szCs w:val="24"/>
              </w:rPr>
            </w:pPr>
            <w:r w:rsidRPr="00A54F57">
              <w:rPr>
                <w:rFonts w:ascii="Times New Roman" w:hAnsi="Times New Roman"/>
                <w:sz w:val="24"/>
                <w:szCs w:val="24"/>
              </w:rPr>
              <w:t>Kuigi direktiivi sõnastusest võib esmapilgul järeldada, et tegemist on loakohustusega tegevusega, siis eelnõu väljatöötamise käigus leiti, et direktiivist tulenevad taimekaitsevahendi õhust pritsimise nõuded (erandjuhud) on täidetud asjaomase taimekaitsevahendi eriloa ja riigisiseste taimekaitsevahendi kasutamise nõuete kaudu. Iga turule</w:t>
            </w:r>
            <w:r w:rsidR="009D666A">
              <w:rPr>
                <w:rFonts w:ascii="Times New Roman" w:hAnsi="Times New Roman"/>
                <w:sz w:val="24"/>
                <w:szCs w:val="24"/>
              </w:rPr>
              <w:t xml:space="preserve"> </w:t>
            </w:r>
            <w:r w:rsidRPr="00A54F57">
              <w:rPr>
                <w:rFonts w:ascii="Times New Roman" w:hAnsi="Times New Roman"/>
                <w:sz w:val="24"/>
                <w:szCs w:val="24"/>
              </w:rPr>
              <w:t xml:space="preserve">lastud taimekaitsevahendi kasutamise tingimused määrab kindlaks PTA. Seega ei ole põhjendatud kohustada isikut täiendavalt tõendama direktiivis sätestatud nõuete täitmist ning esitama taimekaitsevahendi õhust pritsimiseks asjaolusid, millest järelevalveasutus on juba teadlik. Eelneva alusel otsustati isiku jaoks vähem koormava piirangu kasuks ning taimekaitsevahendi õhust pritsimiseks </w:t>
            </w:r>
            <w:r w:rsidRPr="00A54F57">
              <w:rPr>
                <w:rFonts w:ascii="Times New Roman" w:hAnsi="Times New Roman"/>
                <w:sz w:val="24"/>
                <w:szCs w:val="24"/>
              </w:rPr>
              <w:lastRenderedPageBreak/>
              <w:t>kehtestatakse teavitamiskohustus.</w:t>
            </w:r>
            <w:r w:rsidR="00DC64B9" w:rsidRPr="006F299D">
              <w:rPr>
                <w:rFonts w:ascii="Times New Roman" w:hAnsi="Times New Roman"/>
                <w:sz w:val="24"/>
                <w:szCs w:val="24"/>
              </w:rPr>
              <w:t xml:space="preserve"> Vastavad selgitused ja täiendused </w:t>
            </w:r>
            <w:r w:rsidR="004876B2" w:rsidRPr="006F299D">
              <w:rPr>
                <w:rFonts w:ascii="Times New Roman" w:hAnsi="Times New Roman"/>
                <w:sz w:val="24"/>
                <w:szCs w:val="24"/>
              </w:rPr>
              <w:t>lisat</w:t>
            </w:r>
            <w:r w:rsidR="004876B2">
              <w:rPr>
                <w:rFonts w:ascii="Times New Roman" w:hAnsi="Times New Roman"/>
                <w:sz w:val="24"/>
                <w:szCs w:val="24"/>
              </w:rPr>
              <w:t>i</w:t>
            </w:r>
            <w:r w:rsidR="004876B2" w:rsidRPr="006F299D">
              <w:rPr>
                <w:rFonts w:ascii="Times New Roman" w:hAnsi="Times New Roman"/>
                <w:sz w:val="24"/>
                <w:szCs w:val="24"/>
              </w:rPr>
              <w:t xml:space="preserve"> </w:t>
            </w:r>
            <w:r w:rsidR="00DC64B9" w:rsidRPr="006F299D">
              <w:rPr>
                <w:rFonts w:ascii="Times New Roman" w:hAnsi="Times New Roman"/>
                <w:sz w:val="24"/>
                <w:szCs w:val="24"/>
              </w:rPr>
              <w:t>seaduse muutmise eelnõu seletuskirja.</w:t>
            </w:r>
          </w:p>
          <w:p w14:paraId="32FE13D5" w14:textId="77777777" w:rsidR="00DC64B9" w:rsidRPr="006F299D" w:rsidRDefault="00DC64B9" w:rsidP="00865BBA">
            <w:pPr>
              <w:jc w:val="both"/>
              <w:rPr>
                <w:rFonts w:ascii="Times New Roman" w:hAnsi="Times New Roman"/>
                <w:sz w:val="24"/>
                <w:szCs w:val="24"/>
              </w:rPr>
            </w:pPr>
          </w:p>
          <w:p w14:paraId="584BA732" w14:textId="77777777" w:rsidR="00DC64B9" w:rsidRPr="006F299D" w:rsidRDefault="00DC64B9" w:rsidP="00865BBA">
            <w:pPr>
              <w:jc w:val="both"/>
              <w:rPr>
                <w:rFonts w:ascii="Times New Roman" w:hAnsi="Times New Roman"/>
                <w:sz w:val="24"/>
                <w:szCs w:val="24"/>
              </w:rPr>
            </w:pPr>
          </w:p>
        </w:tc>
      </w:tr>
      <w:tr w:rsidR="00DC64B9" w:rsidRPr="006F299D" w14:paraId="1D82A0CB" w14:textId="77777777" w:rsidTr="0064162D">
        <w:tc>
          <w:tcPr>
            <w:tcW w:w="2737" w:type="dxa"/>
          </w:tcPr>
          <w:p w14:paraId="40BE662B" w14:textId="77777777" w:rsidR="00DC64B9" w:rsidRPr="006F299D" w:rsidRDefault="00DC64B9" w:rsidP="00865BBA">
            <w:pPr>
              <w:rPr>
                <w:rFonts w:ascii="Times New Roman" w:hAnsi="Times New Roman"/>
                <w:sz w:val="24"/>
                <w:szCs w:val="24"/>
              </w:rPr>
            </w:pPr>
          </w:p>
        </w:tc>
        <w:tc>
          <w:tcPr>
            <w:tcW w:w="7154" w:type="dxa"/>
          </w:tcPr>
          <w:p w14:paraId="63625B1B" w14:textId="77777777" w:rsidR="00DC64B9" w:rsidRPr="006F299D" w:rsidRDefault="00DC64B9" w:rsidP="00865BBA">
            <w:pPr>
              <w:jc w:val="both"/>
              <w:rPr>
                <w:rFonts w:ascii="Times New Roman" w:hAnsi="Times New Roman"/>
                <w:sz w:val="24"/>
                <w:szCs w:val="24"/>
              </w:rPr>
            </w:pPr>
            <w:r w:rsidRPr="006F299D">
              <w:rPr>
                <w:rFonts w:ascii="Times New Roman" w:hAnsi="Times New Roman"/>
                <w:sz w:val="24"/>
                <w:szCs w:val="24"/>
              </w:rPr>
              <w:t xml:space="preserve">Lisaks eeltoodud märkusele juhime tähelepanu eelnõu § 1 punktis 16 sätestatud muudatusele, millega muudetakse taimekaitseseaduse § 78 lõiget 6, ning seda toetavale seletuskirjale. Muudatusega täpsustatakse professionaalse kasutaja kohustust pidada taimekaitsevahendite kasutamise üle arvestust, viidates Euroopa Parlamendi ja nõukogu määruse (EÜ) nr 1107/2009 artikli 67 nõuetele. Samuti arvestatakse 1. jaanuaril 2026 jõustuva komisjoni rakendusmääruse (EL) 2023/564 sätteid, mille kohaselt peab arvestus olema elektrooniline ja masinloetavas formaadis. </w:t>
            </w:r>
          </w:p>
          <w:p w14:paraId="4F4E12B1" w14:textId="77777777" w:rsidR="00DC64B9" w:rsidRPr="006F299D" w:rsidRDefault="00DC64B9" w:rsidP="00865BBA">
            <w:pPr>
              <w:jc w:val="both"/>
              <w:rPr>
                <w:rFonts w:ascii="Times New Roman" w:hAnsi="Times New Roman"/>
                <w:sz w:val="24"/>
                <w:szCs w:val="24"/>
              </w:rPr>
            </w:pPr>
          </w:p>
          <w:p w14:paraId="0130021F" w14:textId="77777777" w:rsidR="00DC64B9" w:rsidRPr="006F299D" w:rsidRDefault="00DC64B9" w:rsidP="00865BBA">
            <w:pPr>
              <w:jc w:val="both"/>
              <w:rPr>
                <w:rFonts w:ascii="Times New Roman" w:hAnsi="Times New Roman"/>
                <w:sz w:val="24"/>
                <w:szCs w:val="24"/>
              </w:rPr>
            </w:pPr>
            <w:r w:rsidRPr="006F299D">
              <w:rPr>
                <w:rFonts w:ascii="Times New Roman" w:hAnsi="Times New Roman"/>
                <w:sz w:val="24"/>
                <w:szCs w:val="24"/>
              </w:rPr>
              <w:t xml:space="preserve">Toetame muudatust, millega arvestatakse arvestuse elektroonilise pidamise kohustust, kuid soovime juhtida tähelepanu asjaolule, et eelnõus ei ole käsitletud määruse (EÜ) nr 1107/2009 artikli 67 lõike 1 kolmanda lõigu rakendamist, mille kohaselt peavad professionaalsed kasutajad võimaldama kolmandatel isikutel, näiteks joogivee tootjatel, taotleda juurdepääsu arvepidamises sisalduvale olulisele teabele, pöördudes selleks pädeva asutuse poole. </w:t>
            </w:r>
          </w:p>
          <w:p w14:paraId="29CE0F5E" w14:textId="77777777" w:rsidR="00DC64B9" w:rsidRPr="006F299D" w:rsidRDefault="00DC64B9" w:rsidP="00865BBA">
            <w:pPr>
              <w:jc w:val="both"/>
              <w:rPr>
                <w:rFonts w:ascii="Times New Roman" w:hAnsi="Times New Roman"/>
                <w:sz w:val="24"/>
                <w:szCs w:val="24"/>
              </w:rPr>
            </w:pPr>
          </w:p>
          <w:p w14:paraId="61305427" w14:textId="77777777" w:rsidR="00DC64B9" w:rsidRPr="006F299D" w:rsidRDefault="00DC64B9" w:rsidP="00865BBA">
            <w:pPr>
              <w:jc w:val="both"/>
              <w:rPr>
                <w:rFonts w:ascii="Times New Roman" w:hAnsi="Times New Roman"/>
                <w:sz w:val="24"/>
                <w:szCs w:val="24"/>
              </w:rPr>
            </w:pPr>
            <w:r w:rsidRPr="006F299D">
              <w:rPr>
                <w:rFonts w:ascii="Times New Roman" w:hAnsi="Times New Roman"/>
                <w:sz w:val="24"/>
                <w:szCs w:val="24"/>
              </w:rPr>
              <w:t xml:space="preserve">Eelnõus ega seletuskirjas ei ole täpsustatud, milline Eesti asutus on määratud selliste taotluste käsitlemiseks, millises vormingus ja tähtaja jooksul tuleb andmed esitada, ning millises ulatuses kolmandatele isikutele teavet väljastatakse. Samuti jääb ebaselgeks, kuidas tagatakse teabe kättesaadavus viisil, mis on kooskõlas isikuandmete kaitse ning ärisaladuse nõuetega. </w:t>
            </w:r>
          </w:p>
          <w:p w14:paraId="16193AB1" w14:textId="77777777" w:rsidR="00DC64B9" w:rsidRPr="006F299D" w:rsidRDefault="00DC64B9" w:rsidP="00865BBA">
            <w:pPr>
              <w:jc w:val="both"/>
              <w:rPr>
                <w:rFonts w:ascii="Times New Roman" w:hAnsi="Times New Roman"/>
                <w:sz w:val="24"/>
                <w:szCs w:val="24"/>
              </w:rPr>
            </w:pPr>
          </w:p>
          <w:p w14:paraId="60ED6447" w14:textId="77777777" w:rsidR="00DC64B9" w:rsidRPr="006F299D" w:rsidRDefault="00DC64B9" w:rsidP="00865BBA">
            <w:pPr>
              <w:jc w:val="both"/>
              <w:rPr>
                <w:rFonts w:ascii="Times New Roman" w:hAnsi="Times New Roman"/>
                <w:sz w:val="24"/>
                <w:szCs w:val="24"/>
              </w:rPr>
            </w:pPr>
            <w:r w:rsidRPr="006F299D">
              <w:rPr>
                <w:rFonts w:ascii="Times New Roman" w:hAnsi="Times New Roman"/>
                <w:sz w:val="24"/>
                <w:szCs w:val="24"/>
              </w:rPr>
              <w:t xml:space="preserve">Palume eelnõu koostajatel kaaluda, kas selliste taotluste käsitlemise kord, andmeesituse tehnilised tingimused ja andmekaitse kaalutlused tuleks reguleerida, kas seaduse tasandil või valdkonna eest vastutava </w:t>
            </w:r>
            <w:r w:rsidRPr="006F299D">
              <w:rPr>
                <w:rFonts w:ascii="Times New Roman" w:hAnsi="Times New Roman"/>
                <w:sz w:val="24"/>
                <w:szCs w:val="24"/>
              </w:rPr>
              <w:lastRenderedPageBreak/>
              <w:t>ministri määrusega, tagamaks vastavus määruse (EÜ) nr 1107/2009 artikli 67 täielikule rakendamisele</w:t>
            </w:r>
          </w:p>
        </w:tc>
        <w:tc>
          <w:tcPr>
            <w:tcW w:w="4669" w:type="dxa"/>
          </w:tcPr>
          <w:p w14:paraId="0E2CD8AE" w14:textId="5EC5898A" w:rsidR="00DC64B9" w:rsidRPr="006F299D" w:rsidRDefault="003F64F4" w:rsidP="00865BBA">
            <w:pPr>
              <w:jc w:val="both"/>
              <w:rPr>
                <w:rFonts w:ascii="Times New Roman" w:hAnsi="Times New Roman"/>
                <w:b/>
                <w:bCs/>
                <w:sz w:val="24"/>
                <w:szCs w:val="24"/>
              </w:rPr>
            </w:pPr>
            <w:r>
              <w:rPr>
                <w:rFonts w:ascii="Times New Roman" w:hAnsi="Times New Roman"/>
                <w:b/>
                <w:bCs/>
                <w:sz w:val="24"/>
                <w:szCs w:val="24"/>
              </w:rPr>
              <w:lastRenderedPageBreak/>
              <w:t>Märkusega on arvestatud osaliselt.</w:t>
            </w:r>
          </w:p>
          <w:p w14:paraId="2E6B62B5" w14:textId="2FED44A7" w:rsidR="00E95F34" w:rsidRDefault="00DC64B9" w:rsidP="00865BBA">
            <w:pPr>
              <w:jc w:val="both"/>
              <w:rPr>
                <w:rFonts w:ascii="Times New Roman" w:hAnsi="Times New Roman"/>
                <w:sz w:val="24"/>
                <w:szCs w:val="24"/>
              </w:rPr>
            </w:pPr>
            <w:r w:rsidRPr="006F299D">
              <w:rPr>
                <w:rFonts w:ascii="Times New Roman" w:hAnsi="Times New Roman"/>
                <w:sz w:val="24"/>
                <w:szCs w:val="24"/>
              </w:rPr>
              <w:t xml:space="preserve">Taimekaitsevahendite kasutamise </w:t>
            </w:r>
            <w:r w:rsidR="00BE1C21">
              <w:rPr>
                <w:rFonts w:ascii="Times New Roman" w:hAnsi="Times New Roman"/>
                <w:sz w:val="24"/>
                <w:szCs w:val="24"/>
              </w:rPr>
              <w:t xml:space="preserve">üle </w:t>
            </w:r>
            <w:r w:rsidR="00BE1C21" w:rsidRPr="006F299D">
              <w:rPr>
                <w:rFonts w:ascii="Times New Roman" w:hAnsi="Times New Roman"/>
                <w:sz w:val="24"/>
                <w:szCs w:val="24"/>
              </w:rPr>
              <w:t xml:space="preserve">elektroonilise </w:t>
            </w:r>
            <w:r w:rsidRPr="006F299D">
              <w:rPr>
                <w:rFonts w:ascii="Times New Roman" w:hAnsi="Times New Roman"/>
                <w:sz w:val="24"/>
                <w:szCs w:val="24"/>
              </w:rPr>
              <w:t>arvestuse pidamise kohustuse osas tehtud märkuse võtame arvesse, ent kuna nii andmete säilitamise kui ka juurdepääsu taotlemist võimaldavad nõuded kehtivad juba pikemat aega ning käesolev seadusemuudatus ei ole suunatud määruse (EÜ) nr 1107/2009 artikli 67 rakendamise kohaldamisele, käesolevat seaduseelnõud selles osas täiendavalt ei muudeta.</w:t>
            </w:r>
            <w:r w:rsidR="000C58A3">
              <w:rPr>
                <w:rFonts w:ascii="Times New Roman" w:hAnsi="Times New Roman"/>
                <w:sz w:val="24"/>
                <w:szCs w:val="24"/>
              </w:rPr>
              <w:t xml:space="preserve"> K</w:t>
            </w:r>
            <w:r w:rsidR="000C58A3" w:rsidRPr="000C58A3">
              <w:rPr>
                <w:rFonts w:ascii="Times New Roman" w:hAnsi="Times New Roman"/>
                <w:sz w:val="24"/>
                <w:szCs w:val="24"/>
              </w:rPr>
              <w:t>avandame andmekaitseküsimused seaduses tervikuna üle vaadata ja ajakohastada</w:t>
            </w:r>
            <w:r w:rsidR="00E95F34">
              <w:rPr>
                <w:rFonts w:ascii="Times New Roman" w:hAnsi="Times New Roman"/>
                <w:sz w:val="24"/>
                <w:szCs w:val="24"/>
              </w:rPr>
              <w:t>.</w:t>
            </w:r>
          </w:p>
          <w:p w14:paraId="6981395D" w14:textId="33BCD372" w:rsidR="000C58A3" w:rsidRPr="006F299D" w:rsidRDefault="000C58A3" w:rsidP="00865BBA">
            <w:pPr>
              <w:jc w:val="both"/>
              <w:rPr>
                <w:rFonts w:ascii="Times New Roman" w:hAnsi="Times New Roman"/>
                <w:sz w:val="24"/>
                <w:szCs w:val="24"/>
              </w:rPr>
            </w:pPr>
            <w:r w:rsidRPr="000C58A3">
              <w:rPr>
                <w:rFonts w:ascii="Times New Roman" w:hAnsi="Times New Roman"/>
                <w:sz w:val="24"/>
                <w:szCs w:val="24"/>
              </w:rPr>
              <w:t>TaimKSi § 2</w:t>
            </w:r>
            <w:r w:rsidRPr="001E2872">
              <w:rPr>
                <w:rFonts w:ascii="Times New Roman" w:hAnsi="Times New Roman"/>
                <w:sz w:val="24"/>
                <w:szCs w:val="24"/>
                <w:vertAlign w:val="superscript"/>
              </w:rPr>
              <w:t>1</w:t>
            </w:r>
            <w:r w:rsidRPr="000C58A3">
              <w:rPr>
                <w:rFonts w:ascii="Times New Roman" w:hAnsi="Times New Roman"/>
                <w:sz w:val="24"/>
                <w:szCs w:val="24"/>
              </w:rPr>
              <w:t xml:space="preserve"> lõike 1 punkti 4 kohaselt on PTA määratud määruse (EÜ) nr 1107/2009 artikli 3 punkti 30 kohaselt pädevaks asutuseks ja seega ka artikli 67 lõike 11 kolmandas lõigus nimetatud pädevaks  asutuseks.</w:t>
            </w:r>
          </w:p>
        </w:tc>
      </w:tr>
      <w:tr w:rsidR="00DC64B9" w:rsidRPr="006F299D" w14:paraId="37714BF3" w14:textId="77777777" w:rsidTr="0064162D">
        <w:tc>
          <w:tcPr>
            <w:tcW w:w="2737" w:type="dxa"/>
          </w:tcPr>
          <w:p w14:paraId="375F56D3" w14:textId="77777777" w:rsidR="00DC64B9" w:rsidRPr="0064162D" w:rsidRDefault="00DC64B9" w:rsidP="00865BBA">
            <w:pPr>
              <w:rPr>
                <w:rFonts w:ascii="Times New Roman" w:hAnsi="Times New Roman"/>
                <w:b/>
                <w:bCs/>
                <w:sz w:val="24"/>
                <w:szCs w:val="24"/>
              </w:rPr>
            </w:pPr>
            <w:r w:rsidRPr="0064162D">
              <w:rPr>
                <w:rFonts w:ascii="Times New Roman" w:hAnsi="Times New Roman"/>
                <w:b/>
                <w:bCs/>
                <w:sz w:val="24"/>
                <w:szCs w:val="24"/>
              </w:rPr>
              <w:t>Rahandusministeerium</w:t>
            </w:r>
          </w:p>
        </w:tc>
        <w:tc>
          <w:tcPr>
            <w:tcW w:w="7154" w:type="dxa"/>
          </w:tcPr>
          <w:p w14:paraId="5F92B6A4" w14:textId="77777777" w:rsidR="00DC64B9" w:rsidRPr="006F299D" w:rsidRDefault="00DC64B9" w:rsidP="00865BBA">
            <w:pPr>
              <w:jc w:val="both"/>
              <w:rPr>
                <w:rFonts w:ascii="Times New Roman" w:hAnsi="Times New Roman"/>
                <w:sz w:val="24"/>
                <w:szCs w:val="24"/>
              </w:rPr>
            </w:pPr>
            <w:r w:rsidRPr="006F299D">
              <w:rPr>
                <w:rFonts w:ascii="Times New Roman" w:hAnsi="Times New Roman"/>
                <w:sz w:val="24"/>
                <w:szCs w:val="24"/>
              </w:rPr>
              <w:t xml:space="preserve">Rahandusministeerium kooskõlastab taimekaitseseaduse ja riigilõivuseaduse muutmise seaduse eelnõu (edaspidi eelnõu) järgmiste märkustega. </w:t>
            </w:r>
          </w:p>
          <w:p w14:paraId="1A759130" w14:textId="77777777" w:rsidR="00DC64B9" w:rsidRPr="006F299D" w:rsidRDefault="00DC64B9" w:rsidP="00865BBA">
            <w:pPr>
              <w:jc w:val="both"/>
              <w:rPr>
                <w:rFonts w:ascii="Times New Roman" w:hAnsi="Times New Roman"/>
                <w:sz w:val="24"/>
                <w:szCs w:val="24"/>
              </w:rPr>
            </w:pPr>
          </w:p>
          <w:p w14:paraId="2B4FAF96" w14:textId="77777777" w:rsidR="00DC64B9" w:rsidRPr="006F299D" w:rsidRDefault="00DC64B9" w:rsidP="00865BBA">
            <w:pPr>
              <w:jc w:val="both"/>
              <w:rPr>
                <w:rFonts w:ascii="Times New Roman" w:hAnsi="Times New Roman"/>
                <w:sz w:val="24"/>
                <w:szCs w:val="24"/>
              </w:rPr>
            </w:pPr>
            <w:r w:rsidRPr="006F299D">
              <w:rPr>
                <w:rFonts w:ascii="Times New Roman" w:hAnsi="Times New Roman"/>
                <w:sz w:val="24"/>
                <w:szCs w:val="24"/>
              </w:rPr>
              <w:t xml:space="preserve">1) Eelnõu § 1 punktiga 7 muudetakse taimekaitseseaduse (edaspidi TaimKS) § 37 lõiget 7, mille kohaselt kaubasaadetis vormistatakse vabasse ringlusse, kui saadetis vastab Euroopa Parlamendi ja nõukogu määruse (EL) 2017/625 artikli 1 lõikes 2 sätestatud nõuetele. </w:t>
            </w:r>
          </w:p>
          <w:p w14:paraId="2B0FDC78" w14:textId="77777777" w:rsidR="00DC64B9" w:rsidRPr="006F299D" w:rsidRDefault="00DC64B9" w:rsidP="00865BBA">
            <w:pPr>
              <w:jc w:val="both"/>
              <w:rPr>
                <w:rFonts w:ascii="Times New Roman" w:hAnsi="Times New Roman"/>
                <w:sz w:val="24"/>
                <w:szCs w:val="24"/>
              </w:rPr>
            </w:pPr>
          </w:p>
          <w:p w14:paraId="1A89AC4E" w14:textId="77777777" w:rsidR="00DC64B9" w:rsidRPr="006F299D" w:rsidRDefault="00DC64B9" w:rsidP="00865BBA">
            <w:pPr>
              <w:jc w:val="both"/>
              <w:rPr>
                <w:rFonts w:ascii="Times New Roman" w:hAnsi="Times New Roman"/>
                <w:sz w:val="24"/>
                <w:szCs w:val="24"/>
              </w:rPr>
            </w:pPr>
            <w:r w:rsidRPr="006F299D">
              <w:rPr>
                <w:rFonts w:ascii="Times New Roman" w:hAnsi="Times New Roman"/>
                <w:sz w:val="24"/>
                <w:szCs w:val="24"/>
              </w:rPr>
              <w:t xml:space="preserve">Kehtiv TaimKS § 37 lõige 7 annab selge aluse kaubasaadetise vabasse ringlusse lubamiseks. Sätestatud on, et tolliametnik lähtub valdkondliku järelevalveasutuse, milleks on Põllumajandus- ja Toiduamet (edaspidi PTA), otsusest kauba nõuetele vastavuse kohta, st taime või taimset saadust sisaldava kaubasaadetise suhtes on eelnevalt nõuetele vastavuse kontrolli teinud PTA ning tolliametnik lähtub PTA otsusest. </w:t>
            </w:r>
          </w:p>
          <w:p w14:paraId="2EA3F578" w14:textId="77777777" w:rsidR="00DC64B9" w:rsidRPr="006F299D" w:rsidRDefault="00DC64B9" w:rsidP="00865BBA">
            <w:pPr>
              <w:jc w:val="both"/>
              <w:rPr>
                <w:rFonts w:ascii="Times New Roman" w:hAnsi="Times New Roman"/>
                <w:sz w:val="24"/>
                <w:szCs w:val="24"/>
              </w:rPr>
            </w:pPr>
          </w:p>
          <w:p w14:paraId="630CBADB" w14:textId="77777777" w:rsidR="00DC64B9" w:rsidRPr="006F299D" w:rsidRDefault="00DC64B9" w:rsidP="00865BBA">
            <w:pPr>
              <w:jc w:val="both"/>
              <w:rPr>
                <w:rFonts w:ascii="Times New Roman" w:hAnsi="Times New Roman"/>
                <w:sz w:val="24"/>
                <w:szCs w:val="24"/>
              </w:rPr>
            </w:pPr>
            <w:r w:rsidRPr="006F299D">
              <w:rPr>
                <w:rFonts w:ascii="Times New Roman" w:hAnsi="Times New Roman"/>
                <w:sz w:val="24"/>
                <w:szCs w:val="24"/>
              </w:rPr>
              <w:t xml:space="preserve">Eelnõuga kavandatava muudatusega pakutakse sõnastust, mis jääb ebaselgeks. Sättest on välja võetud järelevalveasutused (PTA, tolliametnik) ning seadusega lubatava tegevuse väljendamisel kasutatakse umbisikulist tegumoodi (kaubasaadetis vormistatakse…). Sellisest sõnastusest ei ole võimalik välja lugeda, kes otsustab kaubasaadetise nõuetele vastavuse ja millest lähtudes. </w:t>
            </w:r>
          </w:p>
          <w:p w14:paraId="7A696196" w14:textId="77777777" w:rsidR="00DC64B9" w:rsidRPr="006F299D" w:rsidRDefault="00DC64B9" w:rsidP="00865BBA">
            <w:pPr>
              <w:jc w:val="both"/>
              <w:rPr>
                <w:rFonts w:ascii="Times New Roman" w:hAnsi="Times New Roman"/>
                <w:sz w:val="24"/>
                <w:szCs w:val="24"/>
              </w:rPr>
            </w:pPr>
          </w:p>
          <w:p w14:paraId="37D1A543" w14:textId="77777777" w:rsidR="00DC64B9" w:rsidRPr="006F299D" w:rsidRDefault="00DC64B9" w:rsidP="00865BBA">
            <w:pPr>
              <w:jc w:val="both"/>
              <w:rPr>
                <w:rFonts w:ascii="Times New Roman" w:hAnsi="Times New Roman"/>
                <w:sz w:val="24"/>
                <w:szCs w:val="24"/>
              </w:rPr>
            </w:pPr>
            <w:r w:rsidRPr="006F299D">
              <w:rPr>
                <w:rFonts w:ascii="Times New Roman" w:hAnsi="Times New Roman"/>
                <w:sz w:val="24"/>
                <w:szCs w:val="24"/>
              </w:rPr>
              <w:t xml:space="preserve">Arusaamatu on ka viide Euroopa Parlamendi ja nõukogu määruse (EL) 2017/625 artikli 1 lõikele 2, kus on toodud loetelu, milliste kontrollide suhtes määrust kohaldatakse (mitte nõuded). Loetellu kuulub näiteks ka toit, sööt ja loomsed saadused, mis ei mahu TaimKSi reguleerimisalasse. Seetõttu ei ole õige viidata TaimKS § 37 lõikes 7 ametliku kontrolli määruse reguleerimisalale ja sätestada, et taimi või taimseid saadusi sisaldav kaubasaadetis peab vastama kõigile artikli 1 lõike 2 nõuetele. Teie 25.04.2025 nr 1.4-1/332, REM/25-0441/-1K Meie 28.05.2025 nr 1.1-11/2043-4 2 </w:t>
            </w:r>
          </w:p>
          <w:p w14:paraId="00BDD93B" w14:textId="77777777" w:rsidR="00DC64B9" w:rsidRPr="006F299D" w:rsidRDefault="00DC64B9" w:rsidP="00865BBA">
            <w:pPr>
              <w:jc w:val="both"/>
              <w:rPr>
                <w:rFonts w:ascii="Times New Roman" w:hAnsi="Times New Roman"/>
                <w:sz w:val="24"/>
                <w:szCs w:val="24"/>
              </w:rPr>
            </w:pPr>
          </w:p>
          <w:p w14:paraId="0E435067" w14:textId="77777777" w:rsidR="00DC64B9" w:rsidRPr="006F299D" w:rsidRDefault="00DC64B9" w:rsidP="00865BBA">
            <w:pPr>
              <w:jc w:val="both"/>
              <w:rPr>
                <w:rFonts w:ascii="Times New Roman" w:hAnsi="Times New Roman"/>
                <w:sz w:val="24"/>
                <w:szCs w:val="24"/>
              </w:rPr>
            </w:pPr>
            <w:r w:rsidRPr="006F299D">
              <w:rPr>
                <w:rFonts w:ascii="Times New Roman" w:hAnsi="Times New Roman"/>
                <w:sz w:val="24"/>
                <w:szCs w:val="24"/>
              </w:rPr>
              <w:t>Ehkki seletuskirja lugedes on võimalik aru saada, mis on olnud § 37 lõike 7 puhul normi koostaja mõte, ei ole see mõte seaduse sättest välja loetav. Palume kavandatav TaimKS § 37 lõige 7 vastavalt ümber sõnastada.</w:t>
            </w:r>
          </w:p>
        </w:tc>
        <w:tc>
          <w:tcPr>
            <w:tcW w:w="4669" w:type="dxa"/>
          </w:tcPr>
          <w:p w14:paraId="0E6F5EC1" w14:textId="2912A691" w:rsidR="00DC64B9" w:rsidRPr="002F7329" w:rsidRDefault="002F7329" w:rsidP="00865BBA">
            <w:pPr>
              <w:jc w:val="both"/>
              <w:rPr>
                <w:rFonts w:ascii="Times New Roman" w:hAnsi="Times New Roman"/>
                <w:b/>
                <w:bCs/>
                <w:sz w:val="24"/>
                <w:szCs w:val="24"/>
              </w:rPr>
            </w:pPr>
            <w:r w:rsidRPr="002F7329">
              <w:rPr>
                <w:rFonts w:ascii="Times New Roman" w:hAnsi="Times New Roman"/>
                <w:b/>
                <w:bCs/>
                <w:sz w:val="24"/>
                <w:szCs w:val="24"/>
              </w:rPr>
              <w:lastRenderedPageBreak/>
              <w:t>Märkusega on arvestatud</w:t>
            </w:r>
            <w:r w:rsidR="00842FC5">
              <w:rPr>
                <w:rFonts w:ascii="Times New Roman" w:hAnsi="Times New Roman"/>
                <w:b/>
                <w:bCs/>
                <w:sz w:val="24"/>
                <w:szCs w:val="24"/>
              </w:rPr>
              <w:t xml:space="preserve"> osaliselt</w:t>
            </w:r>
            <w:r w:rsidRPr="002F7329">
              <w:rPr>
                <w:rFonts w:ascii="Times New Roman" w:hAnsi="Times New Roman"/>
                <w:b/>
                <w:bCs/>
                <w:sz w:val="24"/>
                <w:szCs w:val="24"/>
              </w:rPr>
              <w:t>.</w:t>
            </w:r>
          </w:p>
          <w:p w14:paraId="50E6F31C" w14:textId="23BA9551" w:rsidR="002F7329" w:rsidRDefault="002F7329" w:rsidP="00865BBA">
            <w:pPr>
              <w:jc w:val="both"/>
              <w:rPr>
                <w:rFonts w:ascii="Times New Roman" w:hAnsi="Times New Roman"/>
                <w:sz w:val="24"/>
                <w:szCs w:val="24"/>
              </w:rPr>
            </w:pPr>
            <w:r>
              <w:rPr>
                <w:rFonts w:ascii="Times New Roman" w:hAnsi="Times New Roman"/>
                <w:sz w:val="24"/>
                <w:szCs w:val="24"/>
              </w:rPr>
              <w:t xml:space="preserve">Täiendava analüüsi käigus otsustasime kõnealuse </w:t>
            </w:r>
            <w:r w:rsidRPr="002F7329">
              <w:rPr>
                <w:rFonts w:ascii="Times New Roman" w:hAnsi="Times New Roman"/>
                <w:sz w:val="24"/>
                <w:szCs w:val="24"/>
              </w:rPr>
              <w:t>TaimKS</w:t>
            </w:r>
            <w:r w:rsidR="001F2ABD">
              <w:rPr>
                <w:rFonts w:ascii="Times New Roman" w:hAnsi="Times New Roman"/>
                <w:sz w:val="24"/>
                <w:szCs w:val="24"/>
              </w:rPr>
              <w:t>-i</w:t>
            </w:r>
            <w:r w:rsidRPr="002F7329">
              <w:rPr>
                <w:rFonts w:ascii="Times New Roman" w:hAnsi="Times New Roman"/>
                <w:sz w:val="24"/>
                <w:szCs w:val="24"/>
              </w:rPr>
              <w:t xml:space="preserve"> § 37 lõi</w:t>
            </w:r>
            <w:r w:rsidR="001F2ABD">
              <w:rPr>
                <w:rFonts w:ascii="Times New Roman" w:hAnsi="Times New Roman"/>
                <w:sz w:val="24"/>
                <w:szCs w:val="24"/>
              </w:rPr>
              <w:t>k</w:t>
            </w:r>
            <w:r w:rsidRPr="002F7329">
              <w:rPr>
                <w:rFonts w:ascii="Times New Roman" w:hAnsi="Times New Roman"/>
                <w:sz w:val="24"/>
                <w:szCs w:val="24"/>
              </w:rPr>
              <w:t>e 7</w:t>
            </w:r>
            <w:r>
              <w:rPr>
                <w:rFonts w:ascii="Times New Roman" w:hAnsi="Times New Roman"/>
                <w:sz w:val="24"/>
                <w:szCs w:val="24"/>
              </w:rPr>
              <w:t xml:space="preserve"> tunnistada kehtetuks. </w:t>
            </w:r>
            <w:r w:rsidRPr="002F7329">
              <w:rPr>
                <w:rFonts w:ascii="Times New Roman" w:hAnsi="Times New Roman"/>
                <w:sz w:val="24"/>
                <w:szCs w:val="24"/>
              </w:rPr>
              <w:t>Euroopa Parlamendi ja nõukogu määrus (EL) 2017/625 sätestab täpse korra, mida rakendatakse piiripunktis</w:t>
            </w:r>
            <w:r w:rsidR="001F2ABD">
              <w:rPr>
                <w:rFonts w:ascii="Times New Roman" w:hAnsi="Times New Roman"/>
                <w:sz w:val="24"/>
                <w:szCs w:val="24"/>
              </w:rPr>
              <w:t>,</w:t>
            </w:r>
            <w:r w:rsidRPr="002F7329">
              <w:rPr>
                <w:rFonts w:ascii="Times New Roman" w:hAnsi="Times New Roman"/>
                <w:sz w:val="24"/>
                <w:szCs w:val="24"/>
              </w:rPr>
              <w:t xml:space="preserve"> s</w:t>
            </w:r>
            <w:r w:rsidR="001F2ABD">
              <w:rPr>
                <w:rFonts w:ascii="Times New Roman" w:hAnsi="Times New Roman"/>
                <w:sz w:val="24"/>
                <w:szCs w:val="24"/>
              </w:rPr>
              <w:t>eal</w:t>
            </w:r>
            <w:r w:rsidRPr="002F7329">
              <w:rPr>
                <w:rFonts w:ascii="Times New Roman" w:hAnsi="Times New Roman"/>
                <w:sz w:val="24"/>
                <w:szCs w:val="24"/>
              </w:rPr>
              <w:t>h</w:t>
            </w:r>
            <w:r w:rsidR="001F2ABD">
              <w:rPr>
                <w:rFonts w:ascii="Times New Roman" w:hAnsi="Times New Roman"/>
                <w:sz w:val="24"/>
                <w:szCs w:val="24"/>
              </w:rPr>
              <w:t>ulgas</w:t>
            </w:r>
            <w:r w:rsidRPr="002F7329">
              <w:rPr>
                <w:rFonts w:ascii="Times New Roman" w:hAnsi="Times New Roman"/>
                <w:sz w:val="24"/>
                <w:szCs w:val="24"/>
              </w:rPr>
              <w:t xml:space="preserve"> selle, mille alusel toimub kaubasaadetise vabasse ringlusse lubamine, </w:t>
            </w:r>
            <w:r>
              <w:rPr>
                <w:rFonts w:ascii="Times New Roman" w:hAnsi="Times New Roman"/>
                <w:sz w:val="24"/>
                <w:szCs w:val="24"/>
              </w:rPr>
              <w:t xml:space="preserve">seega </w:t>
            </w:r>
            <w:r w:rsidRPr="002F7329">
              <w:rPr>
                <w:rFonts w:ascii="Times New Roman" w:hAnsi="Times New Roman"/>
                <w:sz w:val="24"/>
                <w:szCs w:val="24"/>
              </w:rPr>
              <w:t>puudub vajadus seda täiendavalt TaimKS-is sätestada.</w:t>
            </w:r>
          </w:p>
          <w:p w14:paraId="4E93EB4D" w14:textId="77777777" w:rsidR="002F7329" w:rsidRDefault="002F7329" w:rsidP="00865BBA">
            <w:pPr>
              <w:jc w:val="both"/>
              <w:rPr>
                <w:rFonts w:ascii="Times New Roman" w:hAnsi="Times New Roman"/>
                <w:sz w:val="24"/>
                <w:szCs w:val="24"/>
              </w:rPr>
            </w:pPr>
          </w:p>
          <w:p w14:paraId="611DCCC5" w14:textId="3702A480" w:rsidR="002F7329" w:rsidRPr="002F7329" w:rsidRDefault="002F7329" w:rsidP="002F7329">
            <w:pPr>
              <w:jc w:val="both"/>
              <w:rPr>
                <w:rFonts w:ascii="Times New Roman" w:hAnsi="Times New Roman"/>
                <w:sz w:val="24"/>
                <w:szCs w:val="24"/>
              </w:rPr>
            </w:pPr>
            <w:r>
              <w:rPr>
                <w:rFonts w:ascii="Times New Roman" w:hAnsi="Times New Roman"/>
                <w:sz w:val="24"/>
                <w:szCs w:val="24"/>
              </w:rPr>
              <w:t>Nimetatud</w:t>
            </w:r>
            <w:r w:rsidRPr="002F7329">
              <w:rPr>
                <w:rFonts w:ascii="Times New Roman" w:hAnsi="Times New Roman"/>
                <w:sz w:val="24"/>
                <w:szCs w:val="24"/>
              </w:rPr>
              <w:t xml:space="preserve"> määruse artikli 57 lõike 1 kohaselt toimub looma- ja kaubakategooriate saadetiste suunamine tolliprotseduurile, s</w:t>
            </w:r>
            <w:r>
              <w:rPr>
                <w:rFonts w:ascii="Times New Roman" w:hAnsi="Times New Roman"/>
                <w:sz w:val="24"/>
                <w:szCs w:val="24"/>
              </w:rPr>
              <w:t>h</w:t>
            </w:r>
            <w:r w:rsidRPr="002F7329">
              <w:rPr>
                <w:rFonts w:ascii="Times New Roman" w:hAnsi="Times New Roman"/>
                <w:sz w:val="24"/>
                <w:szCs w:val="24"/>
              </w:rPr>
              <w:t xml:space="preserve"> nende sisenemine või käitlemine vabalaos või tollilaos või vabatsoonis tingimusel, et saadetise eest vastutav ettevõtja esitab tollile ühtse sisseveodokumendi.</w:t>
            </w:r>
            <w:r w:rsidRPr="002F7329" w:rsidDel="00CF534D">
              <w:rPr>
                <w:rFonts w:ascii="Times New Roman" w:hAnsi="Times New Roman"/>
                <w:sz w:val="24"/>
                <w:szCs w:val="24"/>
              </w:rPr>
              <w:t xml:space="preserve"> </w:t>
            </w:r>
            <w:r>
              <w:rPr>
                <w:rFonts w:ascii="Times New Roman" w:hAnsi="Times New Roman"/>
                <w:sz w:val="24"/>
                <w:szCs w:val="24"/>
              </w:rPr>
              <w:t>A</w:t>
            </w:r>
            <w:r w:rsidRPr="002F7329">
              <w:rPr>
                <w:rFonts w:ascii="Times New Roman" w:hAnsi="Times New Roman"/>
                <w:sz w:val="24"/>
                <w:szCs w:val="24"/>
              </w:rPr>
              <w:t>rtikli 56 kohaselt täidab ühtse sisseveodokumendi saadetise kohta (täpsemalt selle I osa)</w:t>
            </w:r>
            <w:r w:rsidRPr="002F7329" w:rsidDel="00CF534D">
              <w:rPr>
                <w:rFonts w:ascii="Times New Roman" w:hAnsi="Times New Roman"/>
                <w:sz w:val="24"/>
                <w:szCs w:val="24"/>
              </w:rPr>
              <w:t xml:space="preserve"> </w:t>
            </w:r>
            <w:r w:rsidRPr="002F7329">
              <w:rPr>
                <w:rFonts w:ascii="Times New Roman" w:hAnsi="Times New Roman"/>
                <w:sz w:val="24"/>
                <w:szCs w:val="24"/>
              </w:rPr>
              <w:t>saadetise eest vastutav ettevõtja, kes</w:t>
            </w:r>
            <w:r w:rsidRPr="002F7329" w:rsidDel="0052148D">
              <w:rPr>
                <w:rFonts w:ascii="Times New Roman" w:hAnsi="Times New Roman"/>
                <w:sz w:val="24"/>
                <w:szCs w:val="24"/>
              </w:rPr>
              <w:t xml:space="preserve"> </w:t>
            </w:r>
            <w:r w:rsidRPr="002F7329">
              <w:rPr>
                <w:rFonts w:ascii="Times New Roman" w:hAnsi="Times New Roman"/>
                <w:sz w:val="24"/>
                <w:szCs w:val="24"/>
              </w:rPr>
              <w:t>esitab saadetise ja selle sihtkoha koheseks ja täielikuks identifitseerimiseks vajaliku teabe. Piiripunktis kasutab pädev asutus sisseveodokumenti, et registreerida selle II osas ametliku kontrolli tulemus ja kõik otsused, mis on selle põhjal tehtud, sealhulgas otsus saadetise tagasilükkamise kohta, et ühtse elektroonilise süsteemi kaudu edastada teave ametliku kontrolli tulemuse kohta.</w:t>
            </w:r>
          </w:p>
          <w:p w14:paraId="4F457C61" w14:textId="77777777" w:rsidR="002F7329" w:rsidRPr="002F7329" w:rsidRDefault="002F7329" w:rsidP="002F7329">
            <w:pPr>
              <w:jc w:val="both"/>
              <w:rPr>
                <w:rFonts w:ascii="Times New Roman" w:hAnsi="Times New Roman"/>
                <w:sz w:val="24"/>
                <w:szCs w:val="24"/>
              </w:rPr>
            </w:pPr>
          </w:p>
          <w:p w14:paraId="37C174C6" w14:textId="6492AA22" w:rsidR="002F7329" w:rsidRPr="002F7329" w:rsidRDefault="001F2ABD" w:rsidP="002F7329">
            <w:pPr>
              <w:jc w:val="both"/>
              <w:rPr>
                <w:rFonts w:ascii="Times New Roman" w:hAnsi="Times New Roman"/>
                <w:sz w:val="24"/>
                <w:szCs w:val="24"/>
              </w:rPr>
            </w:pPr>
            <w:r w:rsidRPr="002F7329">
              <w:rPr>
                <w:rFonts w:ascii="Times New Roman" w:hAnsi="Times New Roman"/>
                <w:sz w:val="24"/>
                <w:szCs w:val="24"/>
              </w:rPr>
              <w:t>Euroopa Parlamendi ja nõukogu määrus</w:t>
            </w:r>
            <w:r>
              <w:rPr>
                <w:rFonts w:ascii="Times New Roman" w:hAnsi="Times New Roman"/>
                <w:sz w:val="24"/>
                <w:szCs w:val="24"/>
              </w:rPr>
              <w:t>e</w:t>
            </w:r>
            <w:r w:rsidRPr="002F7329">
              <w:rPr>
                <w:rFonts w:ascii="Times New Roman" w:hAnsi="Times New Roman"/>
                <w:sz w:val="24"/>
                <w:szCs w:val="24"/>
              </w:rPr>
              <w:t xml:space="preserve"> (EL) 2017/625 </w:t>
            </w:r>
            <w:r w:rsidR="002F7329" w:rsidRPr="002F7329">
              <w:rPr>
                <w:rFonts w:ascii="Times New Roman" w:hAnsi="Times New Roman"/>
                <w:sz w:val="24"/>
                <w:szCs w:val="24"/>
              </w:rPr>
              <w:t xml:space="preserve">artikli 57 lõike 2b kohaselt lubab toll </w:t>
            </w:r>
            <w:r w:rsidR="002F7329" w:rsidRPr="002F7329">
              <w:rPr>
                <w:rFonts w:ascii="Times New Roman" w:hAnsi="Times New Roman"/>
                <w:sz w:val="24"/>
                <w:szCs w:val="24"/>
              </w:rPr>
              <w:lastRenderedPageBreak/>
              <w:t xml:space="preserve">kaubasaadetise vabasse ringlusse ainult sel juhul, kui on esitatud nõuetekohaselt koostatud ühtne sisseveodokument, mis kinnitab, et saadetis vastab </w:t>
            </w:r>
            <w:r>
              <w:rPr>
                <w:rFonts w:ascii="Times New Roman" w:hAnsi="Times New Roman"/>
                <w:sz w:val="24"/>
                <w:szCs w:val="24"/>
              </w:rPr>
              <w:t>sama</w:t>
            </w:r>
            <w:r w:rsidR="002F7329" w:rsidRPr="002F7329">
              <w:rPr>
                <w:rFonts w:ascii="Times New Roman" w:hAnsi="Times New Roman"/>
                <w:sz w:val="24"/>
                <w:szCs w:val="24"/>
              </w:rPr>
              <w:t xml:space="preserve"> määruse artikli 1 lõikes 2 osutatud kohaldatavatele normidele (taimekahjustajate vastased kaitsemeetmed). Seega peab tolliametnik jälgima, et nõuetekohaselt oleks esitatud nii ühtse sisseveodokumendi I osa kui ka II osa, mille kinnitab oma allkirjaga taimeterviseametnik, kui kaubasaadetis on läbinud nõutud ametliku kontrolli ja vastab taimetervise nõuetele.</w:t>
            </w:r>
          </w:p>
          <w:p w14:paraId="47703A16" w14:textId="55EBFBDF" w:rsidR="002F7329" w:rsidRPr="006F299D" w:rsidRDefault="002F7329" w:rsidP="00865BBA">
            <w:pPr>
              <w:jc w:val="both"/>
              <w:rPr>
                <w:rFonts w:ascii="Times New Roman" w:hAnsi="Times New Roman"/>
                <w:sz w:val="24"/>
                <w:szCs w:val="24"/>
              </w:rPr>
            </w:pPr>
          </w:p>
        </w:tc>
      </w:tr>
      <w:tr w:rsidR="00DC64B9" w:rsidRPr="006F299D" w14:paraId="2084C7DA" w14:textId="77777777" w:rsidTr="0064162D">
        <w:tc>
          <w:tcPr>
            <w:tcW w:w="2737" w:type="dxa"/>
          </w:tcPr>
          <w:p w14:paraId="107B854B" w14:textId="77777777" w:rsidR="00DC64B9" w:rsidRPr="006F299D" w:rsidRDefault="00DC64B9" w:rsidP="00865BBA">
            <w:pPr>
              <w:rPr>
                <w:rFonts w:ascii="Times New Roman" w:hAnsi="Times New Roman"/>
                <w:sz w:val="24"/>
                <w:szCs w:val="24"/>
              </w:rPr>
            </w:pPr>
          </w:p>
        </w:tc>
        <w:tc>
          <w:tcPr>
            <w:tcW w:w="7154" w:type="dxa"/>
          </w:tcPr>
          <w:p w14:paraId="6DB543D1" w14:textId="77777777" w:rsidR="00DC64B9" w:rsidRPr="006F299D" w:rsidRDefault="00DC64B9" w:rsidP="00865BBA">
            <w:pPr>
              <w:jc w:val="both"/>
              <w:rPr>
                <w:rFonts w:ascii="Times New Roman" w:hAnsi="Times New Roman"/>
                <w:sz w:val="24"/>
                <w:szCs w:val="24"/>
              </w:rPr>
            </w:pPr>
            <w:r w:rsidRPr="006F299D">
              <w:rPr>
                <w:rFonts w:ascii="Times New Roman" w:hAnsi="Times New Roman"/>
                <w:sz w:val="24"/>
                <w:szCs w:val="24"/>
              </w:rPr>
              <w:t xml:space="preserve">2) Eelnõuga laiendatakse TaimKS-s järelevalvetasu kohaldamisala taimekaitse valdkonnale ning osaliselt asendatakse riigilõiv järelevalvetasuga. Lisaks täiendatakse seni riigilõivustatud toimingute eest maksmisele kuuluvaid tasusid täiendava tasuga (erialase hindamise tasu) ning osaliselt jagatakse taotluse läbivaatamise eest ette nähud tasu erinevate etappide eest makstavaks taotluse läbivaatamise tasuks ja erialase hindamise tasuks. </w:t>
            </w:r>
          </w:p>
          <w:p w14:paraId="5DF7A442" w14:textId="77777777" w:rsidR="00DC64B9" w:rsidRPr="006F299D" w:rsidRDefault="00DC64B9" w:rsidP="00865BBA">
            <w:pPr>
              <w:jc w:val="both"/>
              <w:rPr>
                <w:rFonts w:ascii="Times New Roman" w:hAnsi="Times New Roman"/>
                <w:sz w:val="24"/>
                <w:szCs w:val="24"/>
              </w:rPr>
            </w:pPr>
          </w:p>
          <w:p w14:paraId="00655138" w14:textId="77777777" w:rsidR="00DC64B9" w:rsidRPr="006F299D" w:rsidRDefault="00DC64B9" w:rsidP="00865BBA">
            <w:pPr>
              <w:jc w:val="both"/>
              <w:rPr>
                <w:rFonts w:ascii="Times New Roman" w:hAnsi="Times New Roman"/>
                <w:sz w:val="24"/>
                <w:szCs w:val="24"/>
              </w:rPr>
            </w:pPr>
            <w:r w:rsidRPr="00972273">
              <w:rPr>
                <w:rFonts w:ascii="Times New Roman" w:hAnsi="Times New Roman"/>
                <w:sz w:val="24"/>
                <w:szCs w:val="24"/>
              </w:rPr>
              <w:t>Eelnõu kohaselt tuleb nimetatud summad kanda PTA-le. Seletuskirjas on märgitud summad, mis jäävad sellest tulenevalt edaspidi riigieelarvesse laekumata, sest need tasutakse otse PTA-le. Leiame, et riigi võetavad tasud peavad siiski laekuma riigieelarvesse, vastasel juhul tuleb erialase hindamise tasu määras vähendada PTA eelarvet.</w:t>
            </w:r>
          </w:p>
        </w:tc>
        <w:tc>
          <w:tcPr>
            <w:tcW w:w="4669" w:type="dxa"/>
          </w:tcPr>
          <w:p w14:paraId="4EF7BAF1" w14:textId="0C3F1793" w:rsidR="005F2BED" w:rsidRPr="009462EA" w:rsidRDefault="005F2BED" w:rsidP="00865BBA">
            <w:pPr>
              <w:jc w:val="both"/>
              <w:rPr>
                <w:rFonts w:ascii="Times New Roman" w:hAnsi="Times New Roman"/>
                <w:b/>
                <w:bCs/>
                <w:sz w:val="24"/>
                <w:szCs w:val="24"/>
              </w:rPr>
            </w:pPr>
            <w:r w:rsidRPr="009462EA">
              <w:rPr>
                <w:rFonts w:ascii="Times New Roman" w:hAnsi="Times New Roman"/>
                <w:b/>
                <w:bCs/>
                <w:sz w:val="24"/>
                <w:szCs w:val="24"/>
              </w:rPr>
              <w:t>Märkus</w:t>
            </w:r>
            <w:r w:rsidR="003F64F4">
              <w:rPr>
                <w:rFonts w:ascii="Times New Roman" w:hAnsi="Times New Roman"/>
                <w:b/>
                <w:bCs/>
                <w:sz w:val="24"/>
                <w:szCs w:val="24"/>
              </w:rPr>
              <w:t>ega on arvestatud osaliselt</w:t>
            </w:r>
            <w:r w:rsidRPr="009462EA">
              <w:rPr>
                <w:rFonts w:ascii="Times New Roman" w:hAnsi="Times New Roman"/>
                <w:b/>
                <w:bCs/>
                <w:sz w:val="24"/>
                <w:szCs w:val="24"/>
              </w:rPr>
              <w:t>.</w:t>
            </w:r>
          </w:p>
          <w:p w14:paraId="6BAD66D9" w14:textId="613CAB40" w:rsidR="007C1C55" w:rsidRPr="009462EA" w:rsidRDefault="007C1C55" w:rsidP="00865BBA">
            <w:pPr>
              <w:jc w:val="both"/>
              <w:rPr>
                <w:rFonts w:ascii="Times New Roman" w:hAnsi="Times New Roman"/>
                <w:sz w:val="24"/>
                <w:szCs w:val="24"/>
              </w:rPr>
            </w:pPr>
            <w:r w:rsidRPr="009462EA">
              <w:rPr>
                <w:rFonts w:ascii="Times New Roman" w:hAnsi="Times New Roman"/>
                <w:sz w:val="24"/>
                <w:szCs w:val="24"/>
              </w:rPr>
              <w:t xml:space="preserve">Eelnõu seletuskirja mõjude osas oleme täpsemalt kirjeldanud erinevate muudatuste mõju riigieelarvele. </w:t>
            </w:r>
          </w:p>
          <w:p w14:paraId="1D36C411" w14:textId="77777777" w:rsidR="007C1C55" w:rsidRPr="009462EA" w:rsidRDefault="007C1C55" w:rsidP="00865BBA">
            <w:pPr>
              <w:jc w:val="both"/>
              <w:rPr>
                <w:rFonts w:ascii="Times New Roman" w:hAnsi="Times New Roman"/>
                <w:sz w:val="24"/>
                <w:szCs w:val="24"/>
              </w:rPr>
            </w:pPr>
          </w:p>
          <w:p w14:paraId="49E991A2" w14:textId="2F0B4EC2" w:rsidR="007C1C55" w:rsidRPr="009462EA" w:rsidRDefault="007C1C55" w:rsidP="009462EA">
            <w:pPr>
              <w:jc w:val="both"/>
              <w:rPr>
                <w:rFonts w:ascii="Times New Roman" w:hAnsi="Times New Roman"/>
                <w:sz w:val="24"/>
                <w:szCs w:val="24"/>
              </w:rPr>
            </w:pPr>
            <w:r w:rsidRPr="009462EA">
              <w:rPr>
                <w:rFonts w:ascii="Times New Roman" w:hAnsi="Times New Roman"/>
                <w:sz w:val="24"/>
                <w:szCs w:val="24"/>
              </w:rPr>
              <w:t>Sealsamas on välja toodud soovitus  tulenevalt asutuse täiendavast eelarvevajadusest teiste ülesannete täitmisel (nt järjest suurenev kohustuslikult seiratavate ohtlike taimekahjustajate arv</w:t>
            </w:r>
            <w:r w:rsidR="00D90C3B" w:rsidRPr="009462EA">
              <w:rPr>
                <w:rFonts w:ascii="Times New Roman" w:hAnsi="Times New Roman"/>
                <w:sz w:val="24"/>
                <w:szCs w:val="24"/>
              </w:rPr>
              <w:t>,</w:t>
            </w:r>
            <w:r w:rsidR="009462EA">
              <w:rPr>
                <w:rFonts w:ascii="Times New Roman" w:hAnsi="Times New Roman"/>
                <w:sz w:val="24"/>
                <w:szCs w:val="24"/>
              </w:rPr>
              <w:t xml:space="preserve"> </w:t>
            </w:r>
            <w:r w:rsidR="004F6DA3" w:rsidRPr="00DF4002">
              <w:rPr>
                <w:rFonts w:ascii="Times New Roman" w:eastAsia="Calibri" w:hAnsi="Times New Roman"/>
                <w:sz w:val="24"/>
                <w:szCs w:val="24"/>
              </w:rPr>
              <w:t xml:space="preserve">taimekaitsevahendite </w:t>
            </w:r>
            <w:r w:rsidR="009462EA">
              <w:rPr>
                <w:rFonts w:ascii="Times New Roman" w:eastAsia="Calibri" w:hAnsi="Times New Roman"/>
                <w:sz w:val="24"/>
                <w:szCs w:val="24"/>
              </w:rPr>
              <w:t xml:space="preserve">vähese </w:t>
            </w:r>
            <w:r w:rsidR="004F6DA3" w:rsidRPr="00FA31B0">
              <w:rPr>
                <w:rFonts w:ascii="Times New Roman" w:eastAsia="Calibri" w:hAnsi="Times New Roman"/>
                <w:sz w:val="24"/>
                <w:szCs w:val="24"/>
              </w:rPr>
              <w:t>kättesaadavus</w:t>
            </w:r>
            <w:r w:rsidR="009462EA">
              <w:rPr>
                <w:rFonts w:ascii="Times New Roman" w:eastAsia="Calibri" w:hAnsi="Times New Roman"/>
                <w:sz w:val="24"/>
                <w:szCs w:val="24"/>
              </w:rPr>
              <w:t>e</w:t>
            </w:r>
            <w:r w:rsidR="004F6DA3" w:rsidRPr="00FA31B0">
              <w:rPr>
                <w:rFonts w:ascii="Times New Roman" w:eastAsia="Calibri" w:hAnsi="Times New Roman"/>
                <w:sz w:val="24"/>
                <w:szCs w:val="24"/>
              </w:rPr>
              <w:t xml:space="preserve"> ja piiratud valik</w:t>
            </w:r>
            <w:r w:rsidR="009462EA">
              <w:rPr>
                <w:rFonts w:ascii="Times New Roman" w:eastAsia="Calibri" w:hAnsi="Times New Roman"/>
                <w:sz w:val="24"/>
                <w:szCs w:val="24"/>
              </w:rPr>
              <w:t>u tingimustes</w:t>
            </w:r>
            <w:r w:rsidR="004216BF">
              <w:rPr>
                <w:rFonts w:ascii="Times New Roman" w:eastAsia="Calibri" w:hAnsi="Times New Roman"/>
                <w:sz w:val="24"/>
                <w:szCs w:val="24"/>
              </w:rPr>
              <w:t xml:space="preserve"> Eesti</w:t>
            </w:r>
            <w:r w:rsidR="009462EA">
              <w:rPr>
                <w:rFonts w:ascii="Times New Roman" w:eastAsia="Calibri" w:hAnsi="Times New Roman"/>
                <w:sz w:val="24"/>
                <w:szCs w:val="24"/>
              </w:rPr>
              <w:t xml:space="preserve"> </w:t>
            </w:r>
            <w:r w:rsidR="004216BF">
              <w:rPr>
                <w:rFonts w:ascii="Times New Roman" w:eastAsia="Calibri" w:hAnsi="Times New Roman"/>
                <w:sz w:val="24"/>
                <w:szCs w:val="24"/>
              </w:rPr>
              <w:t xml:space="preserve">tootjate konkurentsivõime parandamiseks </w:t>
            </w:r>
            <w:r w:rsidR="004F6DA3" w:rsidRPr="00FA31B0">
              <w:rPr>
                <w:rFonts w:ascii="Times New Roman" w:eastAsia="Calibri" w:hAnsi="Times New Roman"/>
                <w:sz w:val="24"/>
                <w:szCs w:val="24"/>
              </w:rPr>
              <w:t xml:space="preserve">kehtestamata </w:t>
            </w:r>
            <w:r w:rsidR="009462EA">
              <w:rPr>
                <w:rFonts w:ascii="Times New Roman" w:eastAsia="Calibri" w:hAnsi="Times New Roman"/>
                <w:sz w:val="24"/>
                <w:szCs w:val="24"/>
              </w:rPr>
              <w:t xml:space="preserve">jäetud </w:t>
            </w:r>
            <w:r w:rsidR="004F6DA3" w:rsidRPr="00FA31B0">
              <w:rPr>
                <w:rFonts w:ascii="Times New Roman" w:eastAsia="Calibri" w:hAnsi="Times New Roman"/>
                <w:sz w:val="24"/>
                <w:szCs w:val="24"/>
              </w:rPr>
              <w:t>riigilõiv ja tasud määruse</w:t>
            </w:r>
            <w:r w:rsidR="001F2ABD">
              <w:rPr>
                <w:rFonts w:ascii="Times New Roman" w:eastAsia="Calibri" w:hAnsi="Times New Roman"/>
                <w:sz w:val="24"/>
                <w:szCs w:val="24"/>
              </w:rPr>
              <w:t xml:space="preserve"> (EÜ) nr</w:t>
            </w:r>
            <w:r w:rsidR="004F6DA3" w:rsidRPr="00FA31B0">
              <w:rPr>
                <w:rFonts w:ascii="Times New Roman" w:eastAsia="Calibri" w:hAnsi="Times New Roman"/>
                <w:sz w:val="24"/>
                <w:szCs w:val="24"/>
              </w:rPr>
              <w:t xml:space="preserve"> 1107/2009 artiklitele 51 ja 53 vastavate taotluste - väikese kasvualaga kultuuridele taimekaitsevahendite  kasutuse laiendamine ja taimekaitsevahendite erilubade väljastamine eriolukorras - menetlemise eest ning samuti REM</w:t>
            </w:r>
            <w:r w:rsidR="001F2ABD">
              <w:rPr>
                <w:rFonts w:ascii="Times New Roman" w:eastAsia="Calibri" w:hAnsi="Times New Roman"/>
                <w:sz w:val="24"/>
                <w:szCs w:val="24"/>
              </w:rPr>
              <w:t>-i</w:t>
            </w:r>
            <w:r w:rsidR="004F6DA3" w:rsidRPr="00FA31B0">
              <w:rPr>
                <w:rFonts w:ascii="Times New Roman" w:eastAsia="Calibri" w:hAnsi="Times New Roman"/>
                <w:sz w:val="24"/>
                <w:szCs w:val="24"/>
              </w:rPr>
              <w:t xml:space="preserve"> poolt </w:t>
            </w:r>
            <w:r w:rsidR="001F2ABD">
              <w:rPr>
                <w:rFonts w:ascii="Times New Roman" w:eastAsia="Calibri" w:hAnsi="Times New Roman"/>
                <w:sz w:val="24"/>
                <w:szCs w:val="24"/>
              </w:rPr>
              <w:t>algatatud</w:t>
            </w:r>
            <w:r w:rsidR="004F6DA3" w:rsidRPr="00FA31B0">
              <w:rPr>
                <w:rFonts w:ascii="Times New Roman" w:eastAsia="Calibri" w:hAnsi="Times New Roman"/>
                <w:sz w:val="24"/>
                <w:szCs w:val="24"/>
              </w:rPr>
              <w:t xml:space="preserve"> artik</w:t>
            </w:r>
            <w:r w:rsidR="001F2ABD">
              <w:rPr>
                <w:rFonts w:ascii="Times New Roman" w:eastAsia="Calibri" w:hAnsi="Times New Roman"/>
                <w:sz w:val="24"/>
                <w:szCs w:val="24"/>
              </w:rPr>
              <w:t>li</w:t>
            </w:r>
            <w:r w:rsidR="004F6DA3" w:rsidRPr="00FA31B0">
              <w:rPr>
                <w:rFonts w:ascii="Times New Roman" w:eastAsia="Calibri" w:hAnsi="Times New Roman"/>
                <w:sz w:val="24"/>
                <w:szCs w:val="24"/>
              </w:rPr>
              <w:t xml:space="preserve"> 40 lõige 2 kohas</w:t>
            </w:r>
            <w:r w:rsidR="001F2ABD">
              <w:rPr>
                <w:rFonts w:ascii="Times New Roman" w:eastAsia="Calibri" w:hAnsi="Times New Roman"/>
                <w:sz w:val="24"/>
                <w:szCs w:val="24"/>
              </w:rPr>
              <w:t xml:space="preserve">e loa </w:t>
            </w:r>
            <w:r w:rsidR="004F6DA3" w:rsidRPr="00FA31B0">
              <w:rPr>
                <w:rFonts w:ascii="Times New Roman" w:eastAsia="Calibri" w:hAnsi="Times New Roman"/>
                <w:sz w:val="24"/>
                <w:szCs w:val="24"/>
              </w:rPr>
              <w:t xml:space="preserve">erandkorras taotlemine otse PTA poolt, mida finantseeritakse PTA </w:t>
            </w:r>
            <w:r w:rsidR="004F6DA3" w:rsidRPr="00FA31B0">
              <w:rPr>
                <w:rFonts w:ascii="Times New Roman" w:eastAsia="Calibri" w:hAnsi="Times New Roman"/>
                <w:sz w:val="24"/>
                <w:szCs w:val="24"/>
              </w:rPr>
              <w:lastRenderedPageBreak/>
              <w:t>eelarvest</w:t>
            </w:r>
            <w:r w:rsidRPr="009462EA">
              <w:rPr>
                <w:rFonts w:ascii="Times New Roman" w:hAnsi="Times New Roman"/>
                <w:sz w:val="24"/>
                <w:szCs w:val="24"/>
              </w:rPr>
              <w:t>) asutuse eelarvet mitte vähendada, vaid suunata ressurss tegevustesse, milles on tekkinud täiendav eelarvevajadus.</w:t>
            </w:r>
          </w:p>
        </w:tc>
      </w:tr>
      <w:tr w:rsidR="005E1B99" w:rsidRPr="006F299D" w14:paraId="3E3C1A19" w14:textId="77777777" w:rsidTr="0064162D">
        <w:tc>
          <w:tcPr>
            <w:tcW w:w="2737" w:type="dxa"/>
          </w:tcPr>
          <w:p w14:paraId="155C3AC7" w14:textId="3FE72FD3" w:rsidR="005E1B99" w:rsidRPr="006F299D" w:rsidRDefault="005E1B99" w:rsidP="00865BBA">
            <w:pPr>
              <w:rPr>
                <w:rFonts w:ascii="Times New Roman" w:hAnsi="Times New Roman"/>
                <w:sz w:val="24"/>
                <w:szCs w:val="24"/>
              </w:rPr>
            </w:pPr>
            <w:r w:rsidRPr="0064162D">
              <w:rPr>
                <w:rFonts w:ascii="Times New Roman" w:hAnsi="Times New Roman"/>
                <w:b/>
                <w:bCs/>
                <w:sz w:val="24"/>
                <w:szCs w:val="24"/>
              </w:rPr>
              <w:lastRenderedPageBreak/>
              <w:t>Justiits- ja Digiministeerium</w:t>
            </w:r>
            <w:r w:rsidRPr="006F299D">
              <w:rPr>
                <w:rFonts w:ascii="Times New Roman" w:hAnsi="Times New Roman"/>
                <w:sz w:val="24"/>
                <w:szCs w:val="24"/>
              </w:rPr>
              <w:t xml:space="preserve"> – </w:t>
            </w:r>
            <w:r w:rsidR="00B0221D" w:rsidRPr="00B0221D">
              <w:rPr>
                <w:rFonts w:ascii="Times New Roman" w:hAnsi="Times New Roman"/>
                <w:sz w:val="24"/>
                <w:szCs w:val="24"/>
              </w:rPr>
              <w:t xml:space="preserve">27.06.2025 </w:t>
            </w:r>
            <w:r w:rsidRPr="006F299D">
              <w:rPr>
                <w:rFonts w:ascii="Times New Roman" w:hAnsi="Times New Roman"/>
                <w:sz w:val="24"/>
                <w:szCs w:val="24"/>
              </w:rPr>
              <w:t xml:space="preserve">kooskõlastuskiri </w:t>
            </w:r>
          </w:p>
        </w:tc>
        <w:tc>
          <w:tcPr>
            <w:tcW w:w="7154" w:type="dxa"/>
          </w:tcPr>
          <w:p w14:paraId="0E47B153" w14:textId="77777777" w:rsidR="005E1B99" w:rsidRPr="006F299D" w:rsidRDefault="005E1B99" w:rsidP="00865BBA">
            <w:pPr>
              <w:jc w:val="both"/>
              <w:rPr>
                <w:rFonts w:ascii="Times New Roman" w:hAnsi="Times New Roman"/>
                <w:sz w:val="24"/>
                <w:szCs w:val="24"/>
              </w:rPr>
            </w:pPr>
            <w:r w:rsidRPr="006F299D">
              <w:rPr>
                <w:rFonts w:ascii="Times New Roman" w:hAnsi="Times New Roman"/>
                <w:b/>
                <w:bCs/>
                <w:sz w:val="24"/>
                <w:szCs w:val="24"/>
              </w:rPr>
              <w:t xml:space="preserve">1. Eelnõu § 1 p 22 (TaimKS § 781 lg 6 p 3) </w:t>
            </w:r>
            <w:r w:rsidRPr="006F299D">
              <w:rPr>
                <w:rFonts w:ascii="Times New Roman" w:hAnsi="Times New Roman"/>
                <w:sz w:val="24"/>
                <w:szCs w:val="24"/>
              </w:rPr>
              <w:t xml:space="preserve">– sätte kohaselt on Põllumajandus- ja Toiduametil (PTA) õigus tunnistada taimekaitsetunnistus kehtetuks, kui isikule väljastatakse uus taimekaitsetunnistus. Seletuskirja kohaselt: </w:t>
            </w:r>
            <w:r w:rsidRPr="006F299D">
              <w:rPr>
                <w:rFonts w:ascii="Times New Roman" w:hAnsi="Times New Roman"/>
                <w:i/>
                <w:iCs/>
                <w:sz w:val="24"/>
                <w:szCs w:val="24"/>
              </w:rPr>
              <w:t xml:space="preserve">„Selle muudatusega tagatakse, et edaspidi on isikul ainult üks kehtiv taimekaitsetunnistus. Muudatusega välistatakse, et isikul, kelle taimekaitsetunnistus on kehtetuks tunnistatud, on samal ajal teine kehtiv taimekaitsetunnistus.“ </w:t>
            </w:r>
          </w:p>
          <w:p w14:paraId="6F6A6623" w14:textId="77777777" w:rsidR="005E1B99" w:rsidRPr="006F299D" w:rsidRDefault="005E1B99" w:rsidP="00865BBA">
            <w:pPr>
              <w:jc w:val="both"/>
              <w:rPr>
                <w:rFonts w:ascii="Times New Roman" w:hAnsi="Times New Roman"/>
                <w:sz w:val="24"/>
                <w:szCs w:val="24"/>
              </w:rPr>
            </w:pPr>
            <w:r w:rsidRPr="006F299D">
              <w:rPr>
                <w:rFonts w:ascii="Times New Roman" w:hAnsi="Times New Roman"/>
                <w:sz w:val="24"/>
                <w:szCs w:val="24"/>
              </w:rPr>
              <w:t xml:space="preserve">Juhime tähelepanu, et TaimKS § 781 lg 6 sissejuhatav lauseosa annab PTA-le õiguse, kuid ei pane kohustust taimekaitsetunnistust kehtetuks tunnistada. Seega ei täida eelnõu kohane norm seletuskirjas väljendatud eesmärki, sest PTA-le on jäetud kaalumisruum ning ta võib jätta tunnistuse ka kehtetuks tunnistamata. Väljendatud eesmärgi saavutamiseks tuleks lisatav norm kehtestada eraldi lõikes ja imperatiivselt, näiteks nõnda: </w:t>
            </w:r>
          </w:p>
          <w:p w14:paraId="5FDD3444" w14:textId="77777777" w:rsidR="005E1B99" w:rsidRPr="006F299D" w:rsidRDefault="005E1B99" w:rsidP="00865BBA">
            <w:pPr>
              <w:jc w:val="both"/>
              <w:rPr>
                <w:rFonts w:ascii="Times New Roman" w:hAnsi="Times New Roman"/>
                <w:sz w:val="24"/>
                <w:szCs w:val="24"/>
              </w:rPr>
            </w:pPr>
            <w:r w:rsidRPr="006F299D">
              <w:rPr>
                <w:rFonts w:ascii="Times New Roman" w:hAnsi="Times New Roman"/>
                <w:i/>
                <w:iCs/>
                <w:sz w:val="24"/>
                <w:szCs w:val="24"/>
              </w:rPr>
              <w:t>(X) Põllumajandus- ja Toiduamet tunnistab taimekaitsetunnistuse kehtetuks, kui isikule väljastatakse uus taimekaitsetunnistus.</w:t>
            </w:r>
          </w:p>
        </w:tc>
        <w:tc>
          <w:tcPr>
            <w:tcW w:w="4669" w:type="dxa"/>
          </w:tcPr>
          <w:p w14:paraId="2D44E9ED" w14:textId="77777777" w:rsidR="005E1B99" w:rsidRDefault="005E1B99" w:rsidP="00865BBA">
            <w:pPr>
              <w:jc w:val="both"/>
              <w:rPr>
                <w:rFonts w:ascii="Times New Roman" w:hAnsi="Times New Roman"/>
                <w:b/>
                <w:bCs/>
                <w:sz w:val="24"/>
                <w:szCs w:val="24"/>
              </w:rPr>
            </w:pPr>
            <w:r w:rsidRPr="00EF7194">
              <w:rPr>
                <w:rFonts w:ascii="Times New Roman" w:hAnsi="Times New Roman"/>
                <w:b/>
                <w:bCs/>
                <w:sz w:val="24"/>
                <w:szCs w:val="24"/>
              </w:rPr>
              <w:t>Märkusega on arvestatud.</w:t>
            </w:r>
          </w:p>
          <w:p w14:paraId="442AEFBE" w14:textId="729CA37D" w:rsidR="001F2ABD" w:rsidRPr="001F2ABD" w:rsidRDefault="001F2ABD" w:rsidP="00865BBA">
            <w:pPr>
              <w:jc w:val="both"/>
              <w:rPr>
                <w:rFonts w:ascii="Times New Roman" w:hAnsi="Times New Roman"/>
                <w:sz w:val="24"/>
                <w:szCs w:val="24"/>
              </w:rPr>
            </w:pPr>
            <w:r>
              <w:rPr>
                <w:rFonts w:ascii="Times New Roman" w:hAnsi="Times New Roman"/>
                <w:sz w:val="24"/>
                <w:szCs w:val="24"/>
              </w:rPr>
              <w:t>Eelnõu on täiendatud asjakohase sättega.</w:t>
            </w:r>
          </w:p>
        </w:tc>
      </w:tr>
      <w:tr w:rsidR="005E1B99" w:rsidRPr="006F299D" w14:paraId="4F744E7A" w14:textId="77777777" w:rsidTr="0064162D">
        <w:tc>
          <w:tcPr>
            <w:tcW w:w="2737" w:type="dxa"/>
          </w:tcPr>
          <w:p w14:paraId="22C21543" w14:textId="77777777" w:rsidR="005E1B99" w:rsidRPr="006F299D" w:rsidRDefault="005E1B99" w:rsidP="00865BBA">
            <w:pPr>
              <w:rPr>
                <w:rFonts w:ascii="Times New Roman" w:hAnsi="Times New Roman"/>
                <w:sz w:val="24"/>
                <w:szCs w:val="24"/>
              </w:rPr>
            </w:pPr>
            <w:bookmarkStart w:id="0" w:name="_Hlk212016687"/>
          </w:p>
        </w:tc>
        <w:tc>
          <w:tcPr>
            <w:tcW w:w="7154" w:type="dxa"/>
          </w:tcPr>
          <w:p w14:paraId="0AB67F90" w14:textId="77777777" w:rsidR="005E1B99" w:rsidRPr="006F299D" w:rsidRDefault="005E1B99" w:rsidP="00865BBA">
            <w:pPr>
              <w:jc w:val="both"/>
              <w:rPr>
                <w:rFonts w:ascii="Times New Roman" w:hAnsi="Times New Roman"/>
                <w:b/>
                <w:bCs/>
                <w:sz w:val="24"/>
                <w:szCs w:val="24"/>
              </w:rPr>
            </w:pPr>
            <w:r w:rsidRPr="006F299D">
              <w:rPr>
                <w:rFonts w:ascii="Times New Roman" w:hAnsi="Times New Roman"/>
                <w:b/>
                <w:bCs/>
                <w:sz w:val="24"/>
                <w:szCs w:val="24"/>
              </w:rPr>
              <w:t xml:space="preserve">2. </w:t>
            </w:r>
            <w:r w:rsidRPr="006F299D">
              <w:rPr>
                <w:rFonts w:ascii="Times New Roman" w:hAnsi="Times New Roman"/>
                <w:sz w:val="24"/>
                <w:szCs w:val="24"/>
              </w:rPr>
              <w:t xml:space="preserve">Eelnõu § 1 p 35 (TaimKS § 883) – eelnõuga soovitakse anda Põllumajandus- ja Toiduametile (PTA) kontrolltehingu tegemise õigus. </w:t>
            </w:r>
          </w:p>
          <w:p w14:paraId="16487116" w14:textId="77777777" w:rsidR="005E1B99" w:rsidRPr="006F299D" w:rsidRDefault="005E1B99" w:rsidP="00865BBA">
            <w:pPr>
              <w:jc w:val="both"/>
              <w:rPr>
                <w:rFonts w:ascii="Times New Roman" w:hAnsi="Times New Roman"/>
                <w:sz w:val="24"/>
                <w:szCs w:val="24"/>
              </w:rPr>
            </w:pPr>
            <w:r w:rsidRPr="006F299D">
              <w:rPr>
                <w:rFonts w:ascii="Times New Roman" w:hAnsi="Times New Roman"/>
                <w:sz w:val="24"/>
                <w:szCs w:val="24"/>
              </w:rPr>
              <w:t xml:space="preserve">Kontrolltehing on põhiõigusi riivav meede (võimalikud riived PS §-dele 15, 26, 31 ja 43) ja seetõttu peab selle kasutamine olema eesmärgipärane ja proportsionaalne. Taimekaitsevahendite legaalsust saab tuvastada ka teiste juba olemasolevate meetmete kaudu – küsitlemine ja dokumentide nõudmine, isikusamasuse tuvastamine, vallasasja läbivaatamine ning valdusesse sisenemine. Seletuskirjast ei nähtu, miks olemasolevad järelevalvemeetmed pole piisavad ning miks on vaja kasutada kontrolltehingut kui intensiivselt riivavat meedet olukorras, kus konkreetset ohtu ega ka ohu kahtlust ei esine. Palume täiendada seletuskirja ja selgitada täpsemalt kontrolltehingu vajalikkust olulise ohu ennetamiseks. </w:t>
            </w:r>
          </w:p>
          <w:p w14:paraId="74270E30" w14:textId="77777777" w:rsidR="005E1B99" w:rsidRDefault="005E1B99" w:rsidP="00865BBA">
            <w:pPr>
              <w:jc w:val="both"/>
              <w:rPr>
                <w:rFonts w:ascii="Times New Roman" w:hAnsi="Times New Roman"/>
                <w:sz w:val="24"/>
                <w:szCs w:val="24"/>
              </w:rPr>
            </w:pPr>
            <w:r w:rsidRPr="006F299D">
              <w:rPr>
                <w:rFonts w:ascii="Times New Roman" w:hAnsi="Times New Roman"/>
                <w:sz w:val="24"/>
                <w:szCs w:val="24"/>
              </w:rPr>
              <w:t xml:space="preserve">Lisaks palume eelnõus täpsustada kontrolltehingu otsustajat. Kehtivas õiguses otsustab kontrolltehingu tavapäraselt asutuse juht, eelnõu järgi </w:t>
            </w:r>
            <w:r w:rsidRPr="006F299D">
              <w:rPr>
                <w:rFonts w:ascii="Times New Roman" w:hAnsi="Times New Roman"/>
                <w:sz w:val="24"/>
                <w:szCs w:val="24"/>
              </w:rPr>
              <w:lastRenderedPageBreak/>
              <w:t xml:space="preserve">aga on otsustajaks haldusorgan ise. Palume eelnõus sarnaselt muu kehtiva õigusega näha ette, et kontrolltehingu tegemise otsustab haldusorgani juht. </w:t>
            </w:r>
          </w:p>
          <w:p w14:paraId="06C4C0DA" w14:textId="77777777" w:rsidR="006D7790" w:rsidRPr="006F299D" w:rsidRDefault="006D7790" w:rsidP="00865BBA">
            <w:pPr>
              <w:jc w:val="both"/>
              <w:rPr>
                <w:rFonts w:ascii="Times New Roman" w:hAnsi="Times New Roman"/>
                <w:sz w:val="24"/>
                <w:szCs w:val="24"/>
              </w:rPr>
            </w:pPr>
          </w:p>
          <w:p w14:paraId="1958464B" w14:textId="77777777" w:rsidR="005E1B99" w:rsidRPr="006F299D" w:rsidRDefault="005E1B99" w:rsidP="00865BBA">
            <w:pPr>
              <w:jc w:val="both"/>
              <w:rPr>
                <w:rFonts w:ascii="Times New Roman" w:hAnsi="Times New Roman"/>
                <w:b/>
                <w:bCs/>
                <w:sz w:val="24"/>
                <w:szCs w:val="24"/>
              </w:rPr>
            </w:pPr>
            <w:r w:rsidRPr="006F299D">
              <w:rPr>
                <w:rFonts w:ascii="Times New Roman" w:hAnsi="Times New Roman"/>
                <w:sz w:val="24"/>
                <w:szCs w:val="24"/>
              </w:rPr>
              <w:t>Eelnõu kohase TaimKS § 883 lg-ga 5 antakse PTA-le õigus kontrolltehingu tegemisel kaasata sellesse varjatult teisi isikuid, samuti lubatakse ametnikul kasutada väljamõeldud nime ja ametitunnistust. Leiame, et sellise õiguse andmine riikliku järelevalve menetluses ei ole eesmärgi suhtes proportsionaalne. Haldusmenetlus on avalik (HMS § 7 lg 1) ning haldusmenetluse tõendid tuleb koguda avalikult. Seega palume TaimKS § 88</w:t>
            </w:r>
            <w:r w:rsidRPr="00842FC5">
              <w:rPr>
                <w:rFonts w:ascii="Times New Roman" w:hAnsi="Times New Roman"/>
                <w:sz w:val="24"/>
                <w:szCs w:val="24"/>
                <w:vertAlign w:val="superscript"/>
              </w:rPr>
              <w:t>3</w:t>
            </w:r>
            <w:r w:rsidRPr="006F299D">
              <w:rPr>
                <w:rFonts w:ascii="Times New Roman" w:hAnsi="Times New Roman"/>
                <w:sz w:val="24"/>
                <w:szCs w:val="24"/>
              </w:rPr>
              <w:t xml:space="preserve"> lg 5 eelnõust välja jätta.</w:t>
            </w:r>
          </w:p>
        </w:tc>
        <w:tc>
          <w:tcPr>
            <w:tcW w:w="4669" w:type="dxa"/>
          </w:tcPr>
          <w:p w14:paraId="678BA8D9" w14:textId="65C1581A" w:rsidR="005E1B99" w:rsidRDefault="005E1B99" w:rsidP="00865BBA">
            <w:pPr>
              <w:jc w:val="both"/>
              <w:rPr>
                <w:rFonts w:ascii="Times New Roman" w:hAnsi="Times New Roman"/>
                <w:b/>
                <w:bCs/>
                <w:sz w:val="24"/>
                <w:szCs w:val="24"/>
              </w:rPr>
            </w:pPr>
            <w:r w:rsidRPr="00EF7194">
              <w:rPr>
                <w:rFonts w:ascii="Times New Roman" w:hAnsi="Times New Roman"/>
                <w:b/>
                <w:bCs/>
                <w:sz w:val="24"/>
                <w:szCs w:val="24"/>
              </w:rPr>
              <w:lastRenderedPageBreak/>
              <w:t>Märkus</w:t>
            </w:r>
            <w:r w:rsidR="001F2ABD">
              <w:rPr>
                <w:rFonts w:ascii="Times New Roman" w:hAnsi="Times New Roman"/>
                <w:b/>
                <w:bCs/>
                <w:sz w:val="24"/>
                <w:szCs w:val="24"/>
              </w:rPr>
              <w:t>t</w:t>
            </w:r>
            <w:r w:rsidRPr="00EF7194">
              <w:rPr>
                <w:rFonts w:ascii="Times New Roman" w:hAnsi="Times New Roman"/>
                <w:b/>
                <w:bCs/>
                <w:sz w:val="24"/>
                <w:szCs w:val="24"/>
              </w:rPr>
              <w:t xml:space="preserve">ega </w:t>
            </w:r>
            <w:r w:rsidR="00727D31">
              <w:rPr>
                <w:rFonts w:ascii="Times New Roman" w:hAnsi="Times New Roman"/>
                <w:b/>
                <w:bCs/>
                <w:sz w:val="24"/>
                <w:szCs w:val="24"/>
              </w:rPr>
              <w:t>ei ole</w:t>
            </w:r>
            <w:r w:rsidRPr="00EF7194">
              <w:rPr>
                <w:rFonts w:ascii="Times New Roman" w:hAnsi="Times New Roman"/>
                <w:b/>
                <w:bCs/>
                <w:sz w:val="24"/>
                <w:szCs w:val="24"/>
              </w:rPr>
              <w:t xml:space="preserve"> arvestatud.</w:t>
            </w:r>
          </w:p>
          <w:p w14:paraId="03809725" w14:textId="77777777" w:rsidR="005574AF" w:rsidRDefault="005574AF" w:rsidP="005574AF">
            <w:pPr>
              <w:spacing w:after="160" w:line="259" w:lineRule="auto"/>
              <w:jc w:val="both"/>
              <w:rPr>
                <w:rFonts w:ascii="Times New Roman" w:eastAsiaTheme="minorHAnsi" w:hAnsi="Times New Roman" w:cstheme="minorBidi"/>
                <w:kern w:val="2"/>
                <w:sz w:val="24"/>
                <w:szCs w:val="24"/>
                <w:lang w:eastAsia="en-US"/>
                <w14:ligatures w14:val="standardContextual"/>
              </w:rPr>
            </w:pPr>
            <w:r>
              <w:rPr>
                <w:rFonts w:ascii="Times New Roman" w:hAnsi="Times New Roman"/>
                <w:sz w:val="24"/>
                <w:szCs w:val="24"/>
              </w:rPr>
              <w:t xml:space="preserve">Meie hinnangul on eelnõu seletuskirjas kontrolltehingut tingivaid asjaolusid põhjendatud piisavalt. Eraldi on välja toodud järelevalve teostamise keerukus veebipoes müüdava taimekaitsevahendi üle, kuna järelevalvet tuleb teha veebi teel ning tehingu lõpuleviimiseks on tarvis isikut tuvastavat teavet, sealhulgas tema meiliaadressi. See võimaldab aga kauplejal vajaduse korral hõlpsasti tuvastada, et tegemist on järelevalveametnikuga ning võib eeldada, et selle teadmise taustal viiakse tehing läbi hoolikamalt kui tavaostja puhul. Selline </w:t>
            </w:r>
            <w:r>
              <w:rPr>
                <w:rFonts w:ascii="Times New Roman" w:hAnsi="Times New Roman"/>
                <w:sz w:val="24"/>
                <w:szCs w:val="24"/>
              </w:rPr>
              <w:lastRenderedPageBreak/>
              <w:t xml:space="preserve">teguviis ei võimalda tuvastada tegelikku rikkumist. </w:t>
            </w:r>
          </w:p>
          <w:p w14:paraId="77330CA7" w14:textId="77777777" w:rsidR="005574AF" w:rsidRDefault="005574AF" w:rsidP="005574AF">
            <w:pPr>
              <w:spacing w:after="160" w:line="259" w:lineRule="auto"/>
              <w:jc w:val="both"/>
              <w:rPr>
                <w:rFonts w:ascii="Times New Roman" w:eastAsiaTheme="minorHAnsi" w:hAnsi="Times New Roman" w:cstheme="minorBidi"/>
                <w:kern w:val="2"/>
                <w:sz w:val="24"/>
                <w:szCs w:val="24"/>
                <w:lang w:eastAsia="en-US"/>
                <w14:ligatures w14:val="standardContextual"/>
              </w:rPr>
            </w:pPr>
            <w:r>
              <w:rPr>
                <w:rFonts w:ascii="Times New Roman" w:hAnsi="Times New Roman"/>
                <w:sz w:val="24"/>
                <w:szCs w:val="24"/>
              </w:rPr>
              <w:t>Tarbijakaitseseaduse § 63 lõike 5 teise lause kohaselt, k</w:t>
            </w:r>
            <w:r w:rsidRPr="00CB1C25">
              <w:rPr>
                <w:rFonts w:ascii="Times New Roman" w:hAnsi="Times New Roman"/>
                <w:sz w:val="24"/>
                <w:szCs w:val="24"/>
              </w:rPr>
              <w:t>ui kontrolltehingu laadist tulenevalt ei ole võimalik saavutada kontrolltehingu eesmärki, võib ametiisik vajaduse korral kasutada väljamõeldud nime või kaasata tehingu tegemisse avaliku korra eest mittevastutava isiku tema nõusolekul.</w:t>
            </w:r>
            <w:r>
              <w:rPr>
                <w:rFonts w:ascii="Times New Roman" w:hAnsi="Times New Roman"/>
                <w:sz w:val="24"/>
                <w:szCs w:val="24"/>
              </w:rPr>
              <w:t xml:space="preserve"> Kuna tarbijakaitseseaduse kohaselt kontrollitakse väga laias ulatuses erinevaid tooteid, siis ei saa pidada proportsionaalseks, et ametniku isiku varjamise erandit ei võimaldata kehtestada taimekaitseseaduses, mille alusel kontrollitakse konkreetseid tooteid ja tegevusi, mille riskid on selgelt välja toodud.</w:t>
            </w:r>
          </w:p>
          <w:p w14:paraId="7C7954EE" w14:textId="77777777" w:rsidR="005574AF" w:rsidRDefault="005574AF" w:rsidP="005574AF">
            <w:pPr>
              <w:spacing w:after="160" w:line="259" w:lineRule="auto"/>
              <w:jc w:val="both"/>
              <w:rPr>
                <w:rFonts w:ascii="Times New Roman" w:eastAsiaTheme="minorHAnsi" w:hAnsi="Times New Roman" w:cstheme="minorBidi"/>
                <w:kern w:val="2"/>
                <w:sz w:val="24"/>
                <w:szCs w:val="24"/>
                <w:lang w:eastAsia="en-US"/>
                <w14:ligatures w14:val="standardContextual"/>
              </w:rPr>
            </w:pPr>
            <w:r>
              <w:rPr>
                <w:rFonts w:ascii="Times New Roman" w:hAnsi="Times New Roman"/>
                <w:sz w:val="24"/>
                <w:szCs w:val="24"/>
              </w:rPr>
              <w:t>Kontrolltehingu tegemise võimalust eeldab ametliku kontrolli määrus selles määruses kehtestatud nõuete igakülgseks täitmiseks. Ametliku kontrolli määrus hõlmab lisaks taimetervise valdkonnale ka toidu, sööda ja veterinaaria valdkonda, mistõttu oleme ette valmistamas samasisulist muudatust ka nende valdkondade seadustes. Lisaks nimetatud valdkondadele on kontrolltehinguga seonduv väljatöötamisel kalanduse valdkonnas.</w:t>
            </w:r>
          </w:p>
          <w:p w14:paraId="55BC2ED0" w14:textId="37F4A1F6" w:rsidR="005574AF" w:rsidRDefault="005574AF" w:rsidP="005574AF">
            <w:pPr>
              <w:spacing w:after="160" w:line="259" w:lineRule="auto"/>
              <w:jc w:val="both"/>
              <w:rPr>
                <w:rFonts w:ascii="Times New Roman" w:eastAsiaTheme="minorHAnsi" w:hAnsi="Times New Roman" w:cstheme="minorBidi"/>
                <w:kern w:val="2"/>
                <w:sz w:val="24"/>
                <w:szCs w:val="24"/>
                <w:lang w:eastAsia="en-US"/>
                <w14:ligatures w14:val="standardContextual"/>
              </w:rPr>
            </w:pPr>
            <w:r>
              <w:rPr>
                <w:rFonts w:ascii="Times New Roman" w:hAnsi="Times New Roman"/>
                <w:sz w:val="24"/>
                <w:szCs w:val="24"/>
              </w:rPr>
              <w:t xml:space="preserve">2024. a juunis esitas Justiitsministeerium kooskõlastamiseks korrakaitseseaduse muutmise seaduse väljatöötamiskavatsuse, milles analüüsiti ka kontrolltehinguga </w:t>
            </w:r>
            <w:r>
              <w:rPr>
                <w:rFonts w:ascii="Times New Roman" w:hAnsi="Times New Roman"/>
                <w:sz w:val="24"/>
                <w:szCs w:val="24"/>
              </w:rPr>
              <w:lastRenderedPageBreak/>
              <w:t xml:space="preserve">seonduvaid asjaolusid ning paluti ministeeriumitel anda tagasisidet kontrolltehingu tegemise praktiliste vajaduste kohta. Nimetatud </w:t>
            </w:r>
            <w:r w:rsidRPr="005271E8">
              <w:rPr>
                <w:rFonts w:ascii="Times New Roman" w:hAnsi="Times New Roman"/>
                <w:sz w:val="24"/>
                <w:szCs w:val="24"/>
              </w:rPr>
              <w:t>VTK kohaselt ei ol</w:t>
            </w:r>
            <w:r>
              <w:rPr>
                <w:rFonts w:ascii="Times New Roman" w:hAnsi="Times New Roman"/>
                <w:sz w:val="24"/>
                <w:szCs w:val="24"/>
              </w:rPr>
              <w:t>nud tol</w:t>
            </w:r>
            <w:r w:rsidRPr="005271E8">
              <w:rPr>
                <w:rFonts w:ascii="Times New Roman" w:hAnsi="Times New Roman"/>
                <w:sz w:val="24"/>
                <w:szCs w:val="24"/>
              </w:rPr>
              <w:t xml:space="preserve"> hetkel KorS-is kavas sätestada üleüldist õigust kasutada kontrolltehingu tegemisel väljamõeldud identiteeti või vabatahtliku (sh alaealise) abi, </w:t>
            </w:r>
            <w:r>
              <w:rPr>
                <w:rFonts w:ascii="Times New Roman" w:hAnsi="Times New Roman"/>
                <w:sz w:val="24"/>
                <w:szCs w:val="24"/>
              </w:rPr>
              <w:t xml:space="preserve">ning aktsepteeriti, et </w:t>
            </w:r>
            <w:r w:rsidRPr="005271E8">
              <w:rPr>
                <w:rFonts w:ascii="Times New Roman" w:hAnsi="Times New Roman"/>
                <w:sz w:val="24"/>
                <w:szCs w:val="24"/>
              </w:rPr>
              <w:t xml:space="preserve">konkreetse vajaduse olemasolul </w:t>
            </w:r>
            <w:r>
              <w:rPr>
                <w:rFonts w:ascii="Times New Roman" w:hAnsi="Times New Roman"/>
                <w:sz w:val="24"/>
                <w:szCs w:val="24"/>
              </w:rPr>
              <w:t xml:space="preserve">on kontrolltehinguga seonduv kehtestatud </w:t>
            </w:r>
            <w:r w:rsidRPr="005271E8">
              <w:rPr>
                <w:rFonts w:ascii="Times New Roman" w:hAnsi="Times New Roman"/>
                <w:sz w:val="24"/>
                <w:szCs w:val="24"/>
              </w:rPr>
              <w:t>eriseadustes.</w:t>
            </w:r>
            <w:r>
              <w:rPr>
                <w:rFonts w:ascii="Times New Roman" w:hAnsi="Times New Roman"/>
                <w:sz w:val="24"/>
                <w:szCs w:val="24"/>
              </w:rPr>
              <w:t xml:space="preserve"> Täna on kontrolltehingu meede kehtestatud seitsmes seaduses ning ReMi valitsemisalast lisanduks tulevikus veel viis seadust. Leiame, et see viitab kontrolltehingu kasutamise laialdasele </w:t>
            </w:r>
            <w:r w:rsidR="006D7790">
              <w:rPr>
                <w:rFonts w:ascii="Times New Roman" w:hAnsi="Times New Roman"/>
                <w:sz w:val="24"/>
                <w:szCs w:val="24"/>
              </w:rPr>
              <w:t>vajadusele</w:t>
            </w:r>
            <w:r>
              <w:rPr>
                <w:rFonts w:ascii="Times New Roman" w:hAnsi="Times New Roman"/>
                <w:sz w:val="24"/>
                <w:szCs w:val="24"/>
              </w:rPr>
              <w:t xml:space="preserve">, mistõttu teeme veelkord ettepaneku </w:t>
            </w:r>
            <w:r w:rsidR="006D7790">
              <w:rPr>
                <w:rFonts w:ascii="Times New Roman" w:hAnsi="Times New Roman"/>
                <w:sz w:val="24"/>
                <w:szCs w:val="24"/>
              </w:rPr>
              <w:t xml:space="preserve">kaaluda </w:t>
            </w:r>
            <w:r>
              <w:rPr>
                <w:rFonts w:ascii="Times New Roman" w:hAnsi="Times New Roman"/>
                <w:sz w:val="24"/>
                <w:szCs w:val="24"/>
              </w:rPr>
              <w:t>korrakaitseseadus</w:t>
            </w:r>
            <w:r w:rsidR="006D7790">
              <w:rPr>
                <w:rFonts w:ascii="Times New Roman" w:hAnsi="Times New Roman"/>
                <w:sz w:val="24"/>
                <w:szCs w:val="24"/>
              </w:rPr>
              <w:t>e täiendamist</w:t>
            </w:r>
            <w:r>
              <w:rPr>
                <w:rFonts w:ascii="Times New Roman" w:hAnsi="Times New Roman"/>
                <w:sz w:val="24"/>
                <w:szCs w:val="24"/>
              </w:rPr>
              <w:t xml:space="preserve"> kontrolltehingu regulatsiooniga. Sellega on tagatud kontrolltehingu tegemise ühtsed õiguslikud alused ning võimalike erandite kehtestamine on läbipaistvam ja vähem aeganõudvam.</w:t>
            </w:r>
          </w:p>
          <w:p w14:paraId="2F5CC13F" w14:textId="77777777" w:rsidR="005574AF" w:rsidRDefault="005574AF" w:rsidP="005574AF">
            <w:pPr>
              <w:jc w:val="both"/>
              <w:rPr>
                <w:rFonts w:ascii="Times New Roman" w:hAnsi="Times New Roman"/>
                <w:sz w:val="24"/>
                <w:szCs w:val="24"/>
              </w:rPr>
            </w:pPr>
            <w:r>
              <w:rPr>
                <w:rFonts w:ascii="Times New Roman" w:hAnsi="Times New Roman"/>
                <w:sz w:val="24"/>
                <w:szCs w:val="24"/>
              </w:rPr>
              <w:t>Seega on kontrolltehingu meetme rakendamise võimalus ReMi valitsemisalas väga oluline ning kontrolltehingu üldregulatsiooni puudumiseni on vajalik liikuda kontrolltehingu regulatsiooni väljatöötamisega edasi. Võimalike vastuseisude osas palume JDMi seisukohta, kuidas kehtestada kontrolltehingu regulatsioon õiguspäraselt.</w:t>
            </w:r>
          </w:p>
          <w:p w14:paraId="79020699" w14:textId="77777777" w:rsidR="002E0AD3" w:rsidRDefault="002E0AD3" w:rsidP="00865BBA">
            <w:pPr>
              <w:jc w:val="both"/>
              <w:rPr>
                <w:rFonts w:ascii="Times New Roman" w:hAnsi="Times New Roman"/>
                <w:b/>
                <w:bCs/>
                <w:sz w:val="24"/>
                <w:szCs w:val="24"/>
              </w:rPr>
            </w:pPr>
          </w:p>
          <w:p w14:paraId="686EDAE5" w14:textId="77777777" w:rsidR="0034524B" w:rsidRDefault="0034524B" w:rsidP="00865BBA">
            <w:pPr>
              <w:jc w:val="both"/>
              <w:rPr>
                <w:rFonts w:ascii="Times New Roman" w:hAnsi="Times New Roman"/>
                <w:sz w:val="24"/>
                <w:szCs w:val="24"/>
              </w:rPr>
            </w:pPr>
          </w:p>
          <w:p w14:paraId="5B28F364" w14:textId="416BDC7C" w:rsidR="00E71514" w:rsidRPr="006D7790" w:rsidRDefault="006D7790" w:rsidP="00865BBA">
            <w:pPr>
              <w:jc w:val="both"/>
              <w:rPr>
                <w:rFonts w:ascii="Times New Roman" w:hAnsi="Times New Roman"/>
                <w:sz w:val="24"/>
                <w:szCs w:val="24"/>
              </w:rPr>
            </w:pPr>
            <w:r w:rsidRPr="006D7790">
              <w:rPr>
                <w:rFonts w:ascii="Times New Roman" w:hAnsi="Times New Roman"/>
                <w:sz w:val="24"/>
                <w:szCs w:val="24"/>
              </w:rPr>
              <w:lastRenderedPageBreak/>
              <w:t>Seoses kontrolltehingu tegemise üle otsustava isiku määramisega</w:t>
            </w:r>
            <w:r>
              <w:rPr>
                <w:rFonts w:ascii="Times New Roman" w:hAnsi="Times New Roman"/>
                <w:sz w:val="24"/>
                <w:szCs w:val="24"/>
              </w:rPr>
              <w:t xml:space="preserve"> </w:t>
            </w:r>
            <w:r w:rsidR="00B44CFB">
              <w:rPr>
                <w:rFonts w:ascii="Times New Roman" w:hAnsi="Times New Roman"/>
                <w:sz w:val="24"/>
                <w:szCs w:val="24"/>
              </w:rPr>
              <w:t xml:space="preserve">seaduses </w:t>
            </w:r>
            <w:r>
              <w:rPr>
                <w:rFonts w:ascii="Times New Roman" w:hAnsi="Times New Roman"/>
                <w:sz w:val="24"/>
                <w:szCs w:val="24"/>
              </w:rPr>
              <w:t xml:space="preserve">märgime, et </w:t>
            </w:r>
            <w:r w:rsidR="005E4715">
              <w:rPr>
                <w:rFonts w:ascii="Times New Roman" w:hAnsi="Times New Roman"/>
                <w:sz w:val="24"/>
                <w:szCs w:val="24"/>
              </w:rPr>
              <w:t>ei arvesta märkusega.</w:t>
            </w:r>
          </w:p>
          <w:p w14:paraId="76FBEF05" w14:textId="49EC48E8" w:rsidR="0034524B" w:rsidRDefault="0034524B" w:rsidP="00653123">
            <w:pPr>
              <w:pStyle w:val="Kommentaaritekst"/>
              <w:jc w:val="both"/>
              <w:rPr>
                <w:rFonts w:ascii="Times New Roman" w:hAnsi="Times New Roman"/>
                <w:sz w:val="24"/>
                <w:szCs w:val="24"/>
              </w:rPr>
            </w:pPr>
            <w:r>
              <w:rPr>
                <w:rFonts w:ascii="Times New Roman" w:hAnsi="Times New Roman"/>
                <w:sz w:val="24"/>
                <w:szCs w:val="24"/>
              </w:rPr>
              <w:t>K</w:t>
            </w:r>
            <w:r w:rsidR="005E4715" w:rsidRPr="005E4715">
              <w:rPr>
                <w:rFonts w:ascii="Times New Roman" w:hAnsi="Times New Roman"/>
                <w:sz w:val="24"/>
                <w:szCs w:val="24"/>
              </w:rPr>
              <w:t>orrakaitseseaduse</w:t>
            </w:r>
            <w:r w:rsidR="005E4715">
              <w:rPr>
                <w:rFonts w:ascii="Times New Roman" w:hAnsi="Times New Roman"/>
                <w:sz w:val="24"/>
                <w:szCs w:val="24"/>
              </w:rPr>
              <w:t xml:space="preserve"> muutmise </w:t>
            </w:r>
            <w:r>
              <w:rPr>
                <w:rFonts w:ascii="Times New Roman" w:hAnsi="Times New Roman"/>
                <w:sz w:val="24"/>
                <w:szCs w:val="24"/>
              </w:rPr>
              <w:t>ja</w:t>
            </w:r>
            <w:r w:rsidR="005E4715">
              <w:rPr>
                <w:rFonts w:ascii="Times New Roman" w:hAnsi="Times New Roman"/>
                <w:sz w:val="24"/>
                <w:szCs w:val="24"/>
              </w:rPr>
              <w:t xml:space="preserve"> rakendamise seaduse</w:t>
            </w:r>
            <w:r w:rsidR="005E4715" w:rsidRPr="005E4715">
              <w:rPr>
                <w:rFonts w:ascii="Times New Roman" w:hAnsi="Times New Roman"/>
                <w:sz w:val="24"/>
                <w:szCs w:val="24"/>
              </w:rPr>
              <w:t xml:space="preserve"> keh</w:t>
            </w:r>
            <w:r w:rsidR="005E4715">
              <w:rPr>
                <w:rFonts w:ascii="Times New Roman" w:hAnsi="Times New Roman"/>
                <w:sz w:val="24"/>
                <w:szCs w:val="24"/>
              </w:rPr>
              <w:t>testamisega 2014. a</w:t>
            </w:r>
            <w:r w:rsidR="005E4715" w:rsidRPr="005E4715">
              <w:rPr>
                <w:rFonts w:ascii="Times New Roman" w:hAnsi="Times New Roman"/>
                <w:sz w:val="24"/>
                <w:szCs w:val="24"/>
              </w:rPr>
              <w:t xml:space="preserve"> </w:t>
            </w:r>
            <w:r>
              <w:rPr>
                <w:rFonts w:ascii="Times New Roman" w:hAnsi="Times New Roman"/>
                <w:sz w:val="24"/>
                <w:szCs w:val="24"/>
              </w:rPr>
              <w:t>ühtlustati TaimKSi terminoloogia korrakaitseseaduse terminoloogiaga. Nii on järelevalvemeetme rakendamise üle otsustamise õigus lahendatud organisatsioonisiseselt ega ole seaduse tasandil seotud konkreetse ametikohaga.</w:t>
            </w:r>
          </w:p>
          <w:p w14:paraId="32A91CC7" w14:textId="77777777" w:rsidR="0034524B" w:rsidRDefault="0034524B" w:rsidP="00653123">
            <w:pPr>
              <w:pStyle w:val="Kommentaaritekst"/>
              <w:jc w:val="both"/>
              <w:rPr>
                <w:rFonts w:ascii="Times New Roman" w:hAnsi="Times New Roman"/>
                <w:sz w:val="24"/>
                <w:szCs w:val="24"/>
              </w:rPr>
            </w:pPr>
          </w:p>
          <w:p w14:paraId="4160855B" w14:textId="12B7960A" w:rsidR="00653123" w:rsidRPr="005E4715" w:rsidRDefault="0034524B" w:rsidP="00653123">
            <w:pPr>
              <w:pStyle w:val="Kommentaaritekst"/>
              <w:jc w:val="both"/>
              <w:rPr>
                <w:rFonts w:ascii="Times New Roman" w:hAnsi="Times New Roman"/>
                <w:sz w:val="24"/>
                <w:szCs w:val="24"/>
              </w:rPr>
            </w:pPr>
            <w:r>
              <w:rPr>
                <w:rFonts w:ascii="Times New Roman" w:hAnsi="Times New Roman"/>
                <w:sz w:val="24"/>
                <w:szCs w:val="24"/>
              </w:rPr>
              <w:t>Seda lahendust toetab ka h</w:t>
            </w:r>
            <w:r w:rsidR="004A5A26" w:rsidRPr="005E4715">
              <w:rPr>
                <w:rFonts w:ascii="Times New Roman" w:hAnsi="Times New Roman"/>
                <w:sz w:val="24"/>
                <w:szCs w:val="24"/>
              </w:rPr>
              <w:t xml:space="preserve">aldusmenetluse seaduse § 8 </w:t>
            </w:r>
            <w:r>
              <w:rPr>
                <w:rFonts w:ascii="Times New Roman" w:hAnsi="Times New Roman"/>
                <w:sz w:val="24"/>
                <w:szCs w:val="24"/>
              </w:rPr>
              <w:t>lõige</w:t>
            </w:r>
            <w:r w:rsidR="004A5A26" w:rsidRPr="005E4715">
              <w:rPr>
                <w:rFonts w:ascii="Times New Roman" w:hAnsi="Times New Roman"/>
                <w:sz w:val="24"/>
                <w:szCs w:val="24"/>
              </w:rPr>
              <w:t xml:space="preserve"> 3</w:t>
            </w:r>
            <w:r>
              <w:rPr>
                <w:rFonts w:ascii="Times New Roman" w:hAnsi="Times New Roman"/>
                <w:sz w:val="24"/>
                <w:szCs w:val="24"/>
              </w:rPr>
              <w:t>, mille</w:t>
            </w:r>
            <w:r w:rsidR="004A5A26" w:rsidRPr="005E4715">
              <w:rPr>
                <w:rFonts w:ascii="Times New Roman" w:hAnsi="Times New Roman"/>
                <w:sz w:val="24"/>
                <w:szCs w:val="24"/>
              </w:rPr>
              <w:t xml:space="preserve"> kohaselt määratakse haldusorganisiseselt isikud, kes tegutsevad haldusmenetluses haldusorgani nimel, kui seaduses või määruses ei ole sätestatud teisiti.  </w:t>
            </w:r>
          </w:p>
          <w:p w14:paraId="3226EE45" w14:textId="77777777" w:rsidR="0034524B" w:rsidRDefault="0034524B" w:rsidP="0034524B">
            <w:pPr>
              <w:pStyle w:val="Kommentaaritekst"/>
              <w:jc w:val="both"/>
              <w:rPr>
                <w:rFonts w:ascii="Times New Roman" w:hAnsi="Times New Roman"/>
                <w:sz w:val="24"/>
                <w:szCs w:val="24"/>
              </w:rPr>
            </w:pPr>
          </w:p>
          <w:p w14:paraId="6A8D72A7" w14:textId="2803BAED" w:rsidR="002E0AD3" w:rsidRPr="002E0AD3" w:rsidRDefault="00653123" w:rsidP="0034524B">
            <w:pPr>
              <w:pStyle w:val="Kommentaaritekst"/>
              <w:jc w:val="both"/>
              <w:rPr>
                <w:rFonts w:ascii="Times New Roman" w:hAnsi="Times New Roman"/>
                <w:sz w:val="24"/>
                <w:szCs w:val="24"/>
              </w:rPr>
            </w:pPr>
            <w:r w:rsidRPr="005E4715">
              <w:rPr>
                <w:rFonts w:ascii="Times New Roman" w:hAnsi="Times New Roman"/>
                <w:sz w:val="24"/>
                <w:szCs w:val="24"/>
              </w:rPr>
              <w:t>S</w:t>
            </w:r>
            <w:r w:rsidR="004A5A26" w:rsidRPr="005E4715">
              <w:rPr>
                <w:rFonts w:ascii="Times New Roman" w:hAnsi="Times New Roman"/>
                <w:sz w:val="24"/>
                <w:szCs w:val="24"/>
              </w:rPr>
              <w:t>eda võimalust oleme</w:t>
            </w:r>
            <w:r w:rsidRPr="005E4715">
              <w:rPr>
                <w:rFonts w:ascii="Times New Roman" w:hAnsi="Times New Roman"/>
                <w:sz w:val="24"/>
                <w:szCs w:val="24"/>
              </w:rPr>
              <w:t xml:space="preserve"> </w:t>
            </w:r>
            <w:r w:rsidR="004A5A26" w:rsidRPr="005E4715">
              <w:rPr>
                <w:rFonts w:ascii="Times New Roman" w:hAnsi="Times New Roman"/>
                <w:sz w:val="24"/>
                <w:szCs w:val="24"/>
              </w:rPr>
              <w:t xml:space="preserve"> </w:t>
            </w:r>
            <w:r w:rsidRPr="005E4715">
              <w:rPr>
                <w:rFonts w:ascii="Times New Roman" w:hAnsi="Times New Roman"/>
                <w:sz w:val="24"/>
                <w:szCs w:val="24"/>
              </w:rPr>
              <w:t xml:space="preserve">kasutanud kogu TaimKSis ja ka mujal REMi valitsemisala </w:t>
            </w:r>
            <w:r w:rsidR="004A5A26" w:rsidRPr="005E4715">
              <w:rPr>
                <w:rFonts w:ascii="Times New Roman" w:hAnsi="Times New Roman"/>
                <w:sz w:val="24"/>
                <w:szCs w:val="24"/>
              </w:rPr>
              <w:t>seaduses.</w:t>
            </w:r>
          </w:p>
        </w:tc>
      </w:tr>
      <w:bookmarkEnd w:id="0"/>
      <w:tr w:rsidR="005E1B99" w:rsidRPr="006F299D" w14:paraId="49FE2AA1" w14:textId="77777777" w:rsidTr="0064162D">
        <w:tc>
          <w:tcPr>
            <w:tcW w:w="2737" w:type="dxa"/>
          </w:tcPr>
          <w:p w14:paraId="3BF3880B" w14:textId="77777777" w:rsidR="005E1B99" w:rsidRPr="006F299D" w:rsidRDefault="005E1B99" w:rsidP="00865BBA">
            <w:pPr>
              <w:rPr>
                <w:rFonts w:ascii="Times New Roman" w:hAnsi="Times New Roman"/>
                <w:sz w:val="24"/>
                <w:szCs w:val="24"/>
              </w:rPr>
            </w:pPr>
          </w:p>
        </w:tc>
        <w:tc>
          <w:tcPr>
            <w:tcW w:w="7154" w:type="dxa"/>
          </w:tcPr>
          <w:p w14:paraId="08B6F327" w14:textId="77777777" w:rsidR="005E1B99" w:rsidRPr="006F299D" w:rsidRDefault="005E1B99" w:rsidP="00865BBA">
            <w:pPr>
              <w:jc w:val="both"/>
              <w:rPr>
                <w:rFonts w:ascii="Times New Roman" w:hAnsi="Times New Roman"/>
                <w:sz w:val="24"/>
                <w:szCs w:val="24"/>
              </w:rPr>
            </w:pPr>
            <w:r w:rsidRPr="006F299D">
              <w:rPr>
                <w:rFonts w:ascii="Times New Roman" w:hAnsi="Times New Roman"/>
                <w:b/>
                <w:bCs/>
                <w:sz w:val="24"/>
                <w:szCs w:val="24"/>
              </w:rPr>
              <w:t xml:space="preserve">3. </w:t>
            </w:r>
            <w:r w:rsidRPr="006F299D">
              <w:rPr>
                <w:rFonts w:ascii="Times New Roman" w:hAnsi="Times New Roman"/>
                <w:sz w:val="24"/>
                <w:szCs w:val="24"/>
              </w:rPr>
              <w:t>Eelnõu § 1 punktiga 36 soovitakse TaimKS täiendada §-ga 98</w:t>
            </w:r>
            <w:r w:rsidRPr="00A23D6A">
              <w:rPr>
                <w:rFonts w:ascii="Times New Roman" w:hAnsi="Times New Roman"/>
                <w:sz w:val="24"/>
                <w:szCs w:val="24"/>
                <w:vertAlign w:val="superscript"/>
              </w:rPr>
              <w:t>4</w:t>
            </w:r>
            <w:r w:rsidRPr="006F299D">
              <w:rPr>
                <w:rFonts w:ascii="Times New Roman" w:hAnsi="Times New Roman"/>
                <w:sz w:val="24"/>
                <w:szCs w:val="24"/>
              </w:rPr>
              <w:t xml:space="preserve"> järgmises sõnastuses: </w:t>
            </w:r>
          </w:p>
          <w:p w14:paraId="6D9ADAE2" w14:textId="77777777" w:rsidR="005E1B99" w:rsidRPr="006F299D" w:rsidRDefault="005E1B99" w:rsidP="00865BBA">
            <w:pPr>
              <w:jc w:val="both"/>
              <w:rPr>
                <w:rFonts w:ascii="Times New Roman" w:hAnsi="Times New Roman"/>
                <w:sz w:val="24"/>
                <w:szCs w:val="24"/>
              </w:rPr>
            </w:pPr>
            <w:r w:rsidRPr="006F299D">
              <w:rPr>
                <w:rFonts w:ascii="Times New Roman" w:hAnsi="Times New Roman"/>
                <w:i/>
                <w:iCs/>
                <w:sz w:val="24"/>
                <w:szCs w:val="24"/>
              </w:rPr>
              <w:t>„§ 98</w:t>
            </w:r>
            <w:r w:rsidRPr="00A23D6A">
              <w:rPr>
                <w:rFonts w:ascii="Times New Roman" w:hAnsi="Times New Roman"/>
                <w:i/>
                <w:iCs/>
                <w:sz w:val="24"/>
                <w:szCs w:val="24"/>
                <w:vertAlign w:val="superscript"/>
              </w:rPr>
              <w:t>4</w:t>
            </w:r>
            <w:r w:rsidRPr="006F299D">
              <w:rPr>
                <w:rFonts w:ascii="Times New Roman" w:hAnsi="Times New Roman"/>
                <w:i/>
                <w:iCs/>
                <w:sz w:val="24"/>
                <w:szCs w:val="24"/>
              </w:rPr>
              <w:t xml:space="preserve"> . Taime, taimse saaduse ja muu objekti liiduvälisest riigist Eestisse toimetamisel saadetisest teavitamata jätmine </w:t>
            </w:r>
          </w:p>
          <w:p w14:paraId="68CC0763" w14:textId="77777777" w:rsidR="005E1B99" w:rsidRPr="006F299D" w:rsidRDefault="005E1B99" w:rsidP="00865BBA">
            <w:pPr>
              <w:jc w:val="both"/>
              <w:rPr>
                <w:rFonts w:ascii="Times New Roman" w:hAnsi="Times New Roman"/>
                <w:sz w:val="24"/>
                <w:szCs w:val="24"/>
              </w:rPr>
            </w:pPr>
            <w:r w:rsidRPr="006F299D">
              <w:rPr>
                <w:rFonts w:ascii="Times New Roman" w:hAnsi="Times New Roman"/>
                <w:i/>
                <w:iCs/>
                <w:sz w:val="24"/>
                <w:szCs w:val="24"/>
              </w:rPr>
              <w:t xml:space="preserve">(1) Taime, taimse saaduse ja muu objekti liiduvälisest riigist Eestisse toimetamisel saadetisest teavitamata jätmise eest – karistatakse rahatrahviga kuni 300 trahviühikut. </w:t>
            </w:r>
          </w:p>
          <w:p w14:paraId="76444165" w14:textId="77777777" w:rsidR="005E1B99" w:rsidRPr="006F299D" w:rsidRDefault="005E1B99" w:rsidP="00865BBA">
            <w:pPr>
              <w:jc w:val="both"/>
              <w:rPr>
                <w:rFonts w:ascii="Times New Roman" w:hAnsi="Times New Roman"/>
                <w:sz w:val="24"/>
                <w:szCs w:val="24"/>
              </w:rPr>
            </w:pPr>
            <w:r w:rsidRPr="006F299D">
              <w:rPr>
                <w:rFonts w:ascii="Times New Roman" w:hAnsi="Times New Roman"/>
                <w:i/>
                <w:iCs/>
                <w:sz w:val="24"/>
                <w:szCs w:val="24"/>
              </w:rPr>
              <w:t xml:space="preserve">(2) Sama teo eest, kui selle on toime pannud juriidiline isik, – karistatakse rahatrahviga kuni 8400 eurot.“ </w:t>
            </w:r>
          </w:p>
          <w:p w14:paraId="338DB721" w14:textId="77777777" w:rsidR="005E1B99" w:rsidRPr="006F299D" w:rsidRDefault="005E1B99" w:rsidP="00865BBA">
            <w:pPr>
              <w:jc w:val="both"/>
              <w:rPr>
                <w:rFonts w:ascii="Times New Roman" w:hAnsi="Times New Roman"/>
                <w:sz w:val="24"/>
                <w:szCs w:val="24"/>
              </w:rPr>
            </w:pPr>
            <w:r w:rsidRPr="006F299D">
              <w:rPr>
                <w:rFonts w:ascii="Times New Roman" w:hAnsi="Times New Roman"/>
                <w:sz w:val="24"/>
                <w:szCs w:val="24"/>
              </w:rPr>
              <w:t xml:space="preserve">Eelnõu seletuskirja alguses rõhutatakse, et muudatusi tehakse praktikast tulenevatel põhjustel. </w:t>
            </w:r>
          </w:p>
          <w:p w14:paraId="5EB73525" w14:textId="77777777" w:rsidR="005E1B99" w:rsidRPr="006F299D" w:rsidRDefault="005E1B99" w:rsidP="00865BBA">
            <w:pPr>
              <w:jc w:val="both"/>
              <w:rPr>
                <w:rFonts w:ascii="Times New Roman" w:hAnsi="Times New Roman"/>
                <w:sz w:val="24"/>
                <w:szCs w:val="24"/>
              </w:rPr>
            </w:pPr>
            <w:r w:rsidRPr="006F299D">
              <w:rPr>
                <w:rFonts w:ascii="Times New Roman" w:hAnsi="Times New Roman"/>
                <w:sz w:val="24"/>
                <w:szCs w:val="24"/>
              </w:rPr>
              <w:t xml:space="preserve">Seletuskirjas (lk 58) on kõnealuse väärteokoosseisu kehtestamist põhjendatud mh sellega, et ettevõtjate ja kodanike käitumine sõltub </w:t>
            </w:r>
            <w:r w:rsidRPr="006F299D">
              <w:rPr>
                <w:rFonts w:ascii="Times New Roman" w:hAnsi="Times New Roman"/>
                <w:sz w:val="24"/>
                <w:szCs w:val="24"/>
              </w:rPr>
              <w:lastRenderedPageBreak/>
              <w:t xml:space="preserve">sellest, milline on karistuse iseloom ja suurus võrreldes rikkumisest saadud kasuga: </w:t>
            </w:r>
          </w:p>
          <w:p w14:paraId="357EA336" w14:textId="77777777" w:rsidR="005E1B99" w:rsidRPr="006F299D" w:rsidRDefault="005E1B99" w:rsidP="00865BBA">
            <w:pPr>
              <w:jc w:val="both"/>
              <w:rPr>
                <w:rFonts w:ascii="Times New Roman" w:hAnsi="Times New Roman"/>
                <w:sz w:val="24"/>
                <w:szCs w:val="24"/>
              </w:rPr>
            </w:pPr>
            <w:r w:rsidRPr="006F299D">
              <w:rPr>
                <w:rFonts w:ascii="Times New Roman" w:hAnsi="Times New Roman"/>
                <w:i/>
                <w:iCs/>
                <w:sz w:val="24"/>
                <w:szCs w:val="24"/>
              </w:rPr>
              <w:t>6.2 Kavandatav muudatus: väärteokoosseisu kehtestamine taime, taimse saaduse ja muu objekti liiduvälisest riigist Eestisse toimetamisel saadetisest teavitamise nõuete rikkumise eest Mõju valdkond: majandus Mõju sihtrühm: ettevõtjad ja kodanikud Karistuse kehtestamine taimetervise nõuete rikkumise eest ei</w:t>
            </w:r>
            <w:r w:rsidRPr="006F299D">
              <w:rPr>
                <w:rFonts w:ascii="Times New Roman" w:hAnsi="Times New Roman"/>
                <w:b/>
                <w:bCs/>
                <w:i/>
                <w:iCs/>
                <w:sz w:val="24"/>
                <w:szCs w:val="24"/>
              </w:rPr>
              <w:t xml:space="preserve"> </w:t>
            </w:r>
            <w:r w:rsidRPr="006F299D">
              <w:rPr>
                <w:rFonts w:ascii="Times New Roman" w:hAnsi="Times New Roman"/>
                <w:i/>
                <w:iCs/>
                <w:sz w:val="24"/>
                <w:szCs w:val="24"/>
              </w:rPr>
              <w:t xml:space="preserve">suurenda ettevõtjate ja kodanike halduskoormust, kuivõrd ettevõtjad ja kodanikud peavad seaduses sätestatud nõudeid järgima sõltumata sellest, kas sätete rikkumise eest on ette nähtud karistus või mitte. Ettevõtjate ja kodanike käitumine sõltub sellest, milline on karistuse iseloom ja suurus võrreldes rikkumisest saadud kasuga. Karistuse kehtestamist võib pidada ennetavaks meetmeks, mis paneb ettevõtjaid ja kodanikke hoolsamalt käituma. Väärteokoosseisu kehtestamise eesmärk on rikkuja vastutusele võtmine ning riigipoolne reaktsioon ebaõigele käitumisele </w:t>
            </w:r>
          </w:p>
          <w:p w14:paraId="56480F21" w14:textId="77777777" w:rsidR="005E1B99" w:rsidRPr="006F299D" w:rsidRDefault="005E1B99" w:rsidP="00865BBA">
            <w:pPr>
              <w:jc w:val="both"/>
              <w:rPr>
                <w:rFonts w:ascii="Times New Roman" w:hAnsi="Times New Roman"/>
                <w:sz w:val="24"/>
                <w:szCs w:val="24"/>
              </w:rPr>
            </w:pPr>
            <w:r w:rsidRPr="006F299D">
              <w:rPr>
                <w:rFonts w:ascii="Times New Roman" w:hAnsi="Times New Roman"/>
                <w:sz w:val="24"/>
                <w:szCs w:val="24"/>
              </w:rPr>
              <w:t xml:space="preserve">Seletuskiri lk 53 märgib, et rikkumiste toimepanemise eest ettenähtud väärteokaristuse määr on sama, mis teiste taimetervise valdkonna väärteokoosseisude puhul, millest tulenevalt kehtestatakse füüsilisele isikule karistusena rahatrahv kuni 300 trahviühikut ning juriidilisele isikule rahatrahv kuni 8400 eurot. </w:t>
            </w:r>
          </w:p>
          <w:p w14:paraId="25794DE4" w14:textId="77777777" w:rsidR="005E1B99" w:rsidRPr="006F299D" w:rsidRDefault="005E1B99" w:rsidP="00865BBA">
            <w:pPr>
              <w:jc w:val="both"/>
              <w:rPr>
                <w:rFonts w:ascii="Times New Roman" w:hAnsi="Times New Roman"/>
                <w:sz w:val="24"/>
                <w:szCs w:val="24"/>
              </w:rPr>
            </w:pPr>
            <w:r w:rsidRPr="006F299D">
              <w:rPr>
                <w:rFonts w:ascii="Times New Roman" w:hAnsi="Times New Roman"/>
                <w:sz w:val="24"/>
                <w:szCs w:val="24"/>
              </w:rPr>
              <w:t xml:space="preserve">Tõstatame küsimuse, kas taimetervise valdkonna väärteokoosseisude hulka kuuluvad kõik TaimKS vastutuse peatüks sätestatud väärteod või mitte. Kuni 8400 euro suurune rahatrahv on juriidilisele isikule ette nähtud §-des § 982 (Puidust pakkematerjali ning puidu ja muu objekti töötlemise ja märgistamise ning puidust pakkematerjali parandamise nõuete rikkumine), § 983 (Taimepassi väljaandmise nõuete rikkumine) ning § 991 (Taimekaitsevahendi pakendamise ja märgistamise nõuete rikkumine). </w:t>
            </w:r>
          </w:p>
          <w:p w14:paraId="39ADE2B2" w14:textId="77777777" w:rsidR="005E1B99" w:rsidRPr="006F299D" w:rsidRDefault="005E1B99" w:rsidP="00865BBA">
            <w:pPr>
              <w:jc w:val="both"/>
              <w:rPr>
                <w:rFonts w:ascii="Times New Roman" w:hAnsi="Times New Roman"/>
                <w:sz w:val="24"/>
                <w:szCs w:val="24"/>
              </w:rPr>
            </w:pPr>
            <w:r w:rsidRPr="006F299D">
              <w:rPr>
                <w:rFonts w:ascii="Times New Roman" w:hAnsi="Times New Roman"/>
                <w:sz w:val="24"/>
                <w:szCs w:val="24"/>
              </w:rPr>
              <w:t xml:space="preserve">Kas taimekaitsevahendi turustamise ja kasutamise nõuete rikkumine (§ 99) ei kuulu taimetervise valdkonna väärtegude hulka? Selle väärteo puhul on ettenähtud karistusmäär kuni 32 000 eurot. </w:t>
            </w:r>
          </w:p>
          <w:p w14:paraId="5EDE8959" w14:textId="77777777" w:rsidR="005E1B99" w:rsidRPr="006F299D" w:rsidRDefault="005E1B99" w:rsidP="00865BBA">
            <w:pPr>
              <w:jc w:val="both"/>
              <w:rPr>
                <w:rFonts w:ascii="Times New Roman" w:hAnsi="Times New Roman"/>
                <w:sz w:val="24"/>
                <w:szCs w:val="24"/>
              </w:rPr>
            </w:pPr>
            <w:r w:rsidRPr="006F299D">
              <w:rPr>
                <w:rFonts w:ascii="Times New Roman" w:hAnsi="Times New Roman"/>
                <w:sz w:val="24"/>
                <w:szCs w:val="24"/>
              </w:rPr>
              <w:t xml:space="preserve">Seletuskirjas viidatakse läbivalt Euroopa Parlamendi ja nõukogu määrusele (EL) 2017/625 (edaspidi ametliku kontrolli määrus)1. Kui lugeda viidatud määruse artiklit 139, siis selle kohaselt peavad </w:t>
            </w:r>
            <w:r w:rsidRPr="006F299D">
              <w:rPr>
                <w:rFonts w:ascii="Times New Roman" w:hAnsi="Times New Roman"/>
                <w:sz w:val="24"/>
                <w:szCs w:val="24"/>
              </w:rPr>
              <w:lastRenderedPageBreak/>
              <w:t xml:space="preserve">liikmesriigid kehtestama karistused, mis on tõhusad, proportsionaalsed ja hoiatavad. </w:t>
            </w:r>
          </w:p>
          <w:p w14:paraId="1A480E80" w14:textId="77777777" w:rsidR="005E1B99" w:rsidRPr="006F299D" w:rsidRDefault="005E1B99" w:rsidP="00865BBA">
            <w:pPr>
              <w:jc w:val="both"/>
              <w:rPr>
                <w:rFonts w:ascii="Times New Roman" w:hAnsi="Times New Roman"/>
                <w:sz w:val="24"/>
                <w:szCs w:val="24"/>
              </w:rPr>
            </w:pPr>
            <w:r w:rsidRPr="006F299D">
              <w:rPr>
                <w:rFonts w:ascii="Times New Roman" w:hAnsi="Times New Roman"/>
                <w:sz w:val="24"/>
                <w:szCs w:val="24"/>
              </w:rPr>
              <w:t xml:space="preserve">Oleme arvamusel, et kuni 8400 euro suurune rahatrahv juriidilisele isikule ei ole määruse nõuetega kooskõlas. Rahatrahvi määr ei mõjuta ettevõtjate käitumist seaduskuulekuse suunas, nagu seletuskirja lk 58 mõjudes ette nähakse. </w:t>
            </w:r>
          </w:p>
          <w:p w14:paraId="5960FEF1" w14:textId="77777777" w:rsidR="005E1B99" w:rsidRPr="006F299D" w:rsidRDefault="005E1B99" w:rsidP="00865BBA">
            <w:pPr>
              <w:jc w:val="both"/>
              <w:rPr>
                <w:rFonts w:ascii="Times New Roman" w:hAnsi="Times New Roman"/>
                <w:sz w:val="24"/>
                <w:szCs w:val="24"/>
              </w:rPr>
            </w:pPr>
            <w:r w:rsidRPr="006F299D">
              <w:rPr>
                <w:rFonts w:ascii="Times New Roman" w:hAnsi="Times New Roman"/>
                <w:sz w:val="24"/>
                <w:szCs w:val="24"/>
              </w:rPr>
              <w:t>Juriidilise isiku rahatrahvimäär kuni 8400 eurot ei ole EL määrusi silmas pidades tõhus, proportsionaalne ja hoiatav. Füüsilise isiku karistusmäär on normis kavandatud maksimaalsena ehk kuni 300 trahviühikut, juriidilise isiku karistusmäär 8400 eurot jääb aga KarS üldosa §-ga 47 lubatavast maksimaalmäärast kaugele.</w:t>
            </w:r>
          </w:p>
          <w:p w14:paraId="79215776" w14:textId="77777777" w:rsidR="005E1B99" w:rsidRPr="006F299D" w:rsidRDefault="005E1B99" w:rsidP="00865BBA">
            <w:pPr>
              <w:jc w:val="both"/>
              <w:rPr>
                <w:rFonts w:ascii="Times New Roman" w:hAnsi="Times New Roman"/>
                <w:sz w:val="24"/>
                <w:szCs w:val="24"/>
              </w:rPr>
            </w:pPr>
            <w:r w:rsidRPr="006F299D">
              <w:rPr>
                <w:rFonts w:ascii="Times New Roman" w:hAnsi="Times New Roman"/>
                <w:sz w:val="24"/>
                <w:szCs w:val="24"/>
              </w:rPr>
              <w:t xml:space="preserve">Rõhutasime juriidilise isiku karistusmäärade ülevaatamise vajadust juba 21.10.2019 kooskõlastuskirjas nr 8-2/55422: </w:t>
            </w:r>
          </w:p>
          <w:p w14:paraId="0F2549FF" w14:textId="77777777" w:rsidR="005E1B99" w:rsidRPr="006F299D" w:rsidRDefault="005E1B99" w:rsidP="00865BBA">
            <w:pPr>
              <w:jc w:val="both"/>
              <w:rPr>
                <w:rFonts w:ascii="Times New Roman" w:hAnsi="Times New Roman"/>
                <w:sz w:val="24"/>
                <w:szCs w:val="24"/>
              </w:rPr>
            </w:pPr>
            <w:r w:rsidRPr="006F299D">
              <w:rPr>
                <w:rFonts w:ascii="Times New Roman" w:hAnsi="Times New Roman"/>
                <w:i/>
                <w:iCs/>
                <w:sz w:val="24"/>
                <w:szCs w:val="24"/>
              </w:rPr>
              <w:t xml:space="preserve">Kehtivas TaimKS-is ettenähtud sanktsioonid juriidilisele isikule, mis nüüd on jäetud eelnõus muutmata, jäävad aega, mil karistusseadustiku üldosa § 47 nägigi juriidilise isiku maksimaalse karistusena ette 50 000 krooni ja see lubatud maksimaalmäärast lähtuv karistus oli ka seaduses ära kasutatud. Sellest saab teha järelduse, et 2004. a, mil TaimKS vastu võeti1, peeti oluliseks, et juriidilist isikut saaks teatud väärtegude eest karistada maksimaalse rahatrahviga, mis on võimalik (nt § 97) või sellele lähedane karistus (nt § 98) . Rahatrahvi määr 50 000 krooni teisendati eurodeks 2011. a. euro kasutusele võtmise seadusega2. </w:t>
            </w:r>
          </w:p>
          <w:p w14:paraId="2494867E" w14:textId="77777777" w:rsidR="005E1B99" w:rsidRPr="006F299D" w:rsidRDefault="005E1B99" w:rsidP="00865BBA">
            <w:pPr>
              <w:jc w:val="both"/>
              <w:rPr>
                <w:rFonts w:ascii="Times New Roman" w:hAnsi="Times New Roman"/>
                <w:sz w:val="24"/>
                <w:szCs w:val="24"/>
              </w:rPr>
            </w:pPr>
            <w:r w:rsidRPr="006F299D">
              <w:rPr>
                <w:rFonts w:ascii="Times New Roman" w:hAnsi="Times New Roman"/>
                <w:i/>
                <w:iCs/>
                <w:sz w:val="24"/>
                <w:szCs w:val="24"/>
              </w:rPr>
              <w:t xml:space="preserve">Alates 1.01.2015 võib karistusseadustiku üldosa § 47 kohaselt juriidilist isikut karistada kuni 400 000 euro suuruse rahatrahviga. Enne seda oli juriidilise isiku maksimaalne rahatrahvimäär tõusnud 3200-lt eurolt kuni 32 000 euroni. See tõus sai võimalikuks 15.03.2007 jõustunud karistusseadustiku muudatustega3, mille kohaselt asendati KarS § 47 lõikes 2 sõnad „viiskümmend tuhat“ sõnadega „viissada tuhat“. </w:t>
            </w:r>
          </w:p>
          <w:p w14:paraId="70F854DB" w14:textId="77777777" w:rsidR="005E1B99" w:rsidRPr="006F299D" w:rsidRDefault="005E1B99" w:rsidP="00865BBA">
            <w:pPr>
              <w:jc w:val="both"/>
              <w:rPr>
                <w:rFonts w:ascii="Times New Roman" w:hAnsi="Times New Roman"/>
                <w:sz w:val="24"/>
                <w:szCs w:val="24"/>
              </w:rPr>
            </w:pPr>
            <w:r w:rsidRPr="006F299D">
              <w:rPr>
                <w:rFonts w:ascii="Times New Roman" w:hAnsi="Times New Roman"/>
                <w:i/>
                <w:iCs/>
                <w:sz w:val="24"/>
                <w:szCs w:val="24"/>
              </w:rPr>
              <w:t xml:space="preserve">Kui 2004. a peeti TaimKS-is juriidilise isiku karistusmäärasid oluliseks, siis 15 aastat hiljem ehk 2019. a ei saa seda enam väita. </w:t>
            </w:r>
          </w:p>
          <w:p w14:paraId="01DC4189" w14:textId="77777777" w:rsidR="005E1B99" w:rsidRPr="006F299D" w:rsidRDefault="005E1B99" w:rsidP="00865BBA">
            <w:pPr>
              <w:jc w:val="both"/>
              <w:rPr>
                <w:rFonts w:ascii="Times New Roman" w:hAnsi="Times New Roman"/>
                <w:sz w:val="24"/>
                <w:szCs w:val="24"/>
              </w:rPr>
            </w:pPr>
            <w:r w:rsidRPr="006F299D">
              <w:rPr>
                <w:rFonts w:ascii="Times New Roman" w:hAnsi="Times New Roman"/>
                <w:i/>
                <w:iCs/>
                <w:sz w:val="24"/>
                <w:szCs w:val="24"/>
              </w:rPr>
              <w:t xml:space="preserve">Tõenäoliselt on juriidilise isiku sanktsioonide muutumatuna püsimise üheks põhjuseks see, et praktikas ei ole juriidilisi isikuid TaimKS-is sätestatud väärtegude eest kas mitte üldse või on neid väga harva vastutusele võetud. Seetõttu ei tekita karistusmäär ka erilist tähelepanu. </w:t>
            </w:r>
            <w:r w:rsidRPr="006F299D">
              <w:rPr>
                <w:rFonts w:ascii="Times New Roman" w:hAnsi="Times New Roman"/>
                <w:i/>
                <w:iCs/>
                <w:sz w:val="24"/>
                <w:szCs w:val="24"/>
              </w:rPr>
              <w:lastRenderedPageBreak/>
              <w:t xml:space="preserve">Tõstatame küsimuse, kas Euroopa Liidu õigusaktid ei nõua taimekaitse valdkonnas juriidilisele isikule karmimaid karistusi kui kuni 3200 euro suurune rahatrahv. Reeglina nõutakse, et karistus oleks mõjus, proportsionaalne ja hoiatav. </w:t>
            </w:r>
          </w:p>
          <w:p w14:paraId="79CACE80" w14:textId="77777777" w:rsidR="005E1B99" w:rsidRPr="006F299D" w:rsidRDefault="005E1B99" w:rsidP="00865BBA">
            <w:pPr>
              <w:jc w:val="both"/>
              <w:rPr>
                <w:rFonts w:ascii="Times New Roman" w:hAnsi="Times New Roman"/>
                <w:b/>
                <w:bCs/>
                <w:sz w:val="24"/>
                <w:szCs w:val="24"/>
              </w:rPr>
            </w:pPr>
            <w:r w:rsidRPr="006F299D">
              <w:rPr>
                <w:rFonts w:ascii="Times New Roman" w:hAnsi="Times New Roman"/>
                <w:sz w:val="24"/>
                <w:szCs w:val="24"/>
              </w:rPr>
              <w:t>Eelnevale tuginedes palume TaimKS kehtivad ja eelnõus pakutud karistusmäärad üle vaadata ja tõsta need tasemele, mis vastaks tõhususe, proportsionaalsuse ja hoiatavuse nõuetele.</w:t>
            </w:r>
          </w:p>
        </w:tc>
        <w:tc>
          <w:tcPr>
            <w:tcW w:w="4669" w:type="dxa"/>
          </w:tcPr>
          <w:p w14:paraId="1E660F85" w14:textId="585FAE49" w:rsidR="005E1B99" w:rsidRPr="007A72AB" w:rsidRDefault="00081881" w:rsidP="00865BBA">
            <w:pPr>
              <w:jc w:val="both"/>
              <w:rPr>
                <w:rFonts w:ascii="Times New Roman" w:hAnsi="Times New Roman"/>
                <w:b/>
                <w:bCs/>
                <w:sz w:val="24"/>
                <w:szCs w:val="24"/>
              </w:rPr>
            </w:pPr>
            <w:r w:rsidRPr="007A72AB">
              <w:rPr>
                <w:rFonts w:ascii="Times New Roman" w:hAnsi="Times New Roman"/>
                <w:b/>
                <w:bCs/>
                <w:sz w:val="24"/>
                <w:szCs w:val="24"/>
              </w:rPr>
              <w:lastRenderedPageBreak/>
              <w:t>Märkusega on arvestatud</w:t>
            </w:r>
            <w:r w:rsidR="00842FC5">
              <w:rPr>
                <w:rFonts w:ascii="Times New Roman" w:hAnsi="Times New Roman"/>
                <w:b/>
                <w:bCs/>
                <w:sz w:val="24"/>
                <w:szCs w:val="24"/>
              </w:rPr>
              <w:t xml:space="preserve"> osaliselt</w:t>
            </w:r>
            <w:r w:rsidRPr="007A72AB">
              <w:rPr>
                <w:rFonts w:ascii="Times New Roman" w:hAnsi="Times New Roman"/>
                <w:b/>
                <w:bCs/>
                <w:sz w:val="24"/>
                <w:szCs w:val="24"/>
              </w:rPr>
              <w:t>.</w:t>
            </w:r>
          </w:p>
          <w:p w14:paraId="1BBB9224" w14:textId="39940D96" w:rsidR="00081881" w:rsidRDefault="00081881" w:rsidP="00865BBA">
            <w:pPr>
              <w:jc w:val="both"/>
              <w:rPr>
                <w:rFonts w:ascii="Times New Roman" w:hAnsi="Times New Roman"/>
                <w:sz w:val="24"/>
                <w:szCs w:val="24"/>
              </w:rPr>
            </w:pPr>
            <w:r>
              <w:rPr>
                <w:rFonts w:ascii="Times New Roman" w:hAnsi="Times New Roman"/>
                <w:sz w:val="24"/>
                <w:szCs w:val="24"/>
              </w:rPr>
              <w:t xml:space="preserve">Täiendava analüüsi tulemusena on </w:t>
            </w:r>
            <w:r w:rsidR="001F2ABD">
              <w:rPr>
                <w:rFonts w:ascii="Times New Roman" w:hAnsi="Times New Roman"/>
                <w:sz w:val="24"/>
                <w:szCs w:val="24"/>
              </w:rPr>
              <w:t>kõnealune</w:t>
            </w:r>
            <w:r>
              <w:rPr>
                <w:rFonts w:ascii="Times New Roman" w:hAnsi="Times New Roman"/>
                <w:sz w:val="24"/>
                <w:szCs w:val="24"/>
              </w:rPr>
              <w:t xml:space="preserve"> väärteokoosseis eelnõust välja jäetud eesmärgiga analüüsida ülevaatlikult </w:t>
            </w:r>
            <w:r w:rsidR="00996CD8">
              <w:rPr>
                <w:rFonts w:ascii="Times New Roman" w:hAnsi="Times New Roman"/>
                <w:sz w:val="24"/>
                <w:szCs w:val="24"/>
              </w:rPr>
              <w:t xml:space="preserve">väljapakutud karistusmäära ja ka juba kehtivaid karistusmäärasid, et tagada nende ajakohasus ja proportsionaalsus. </w:t>
            </w:r>
          </w:p>
          <w:p w14:paraId="202218AC" w14:textId="77777777" w:rsidR="00996CD8" w:rsidRDefault="00996CD8" w:rsidP="00865BBA">
            <w:pPr>
              <w:jc w:val="both"/>
              <w:rPr>
                <w:rFonts w:ascii="Times New Roman" w:hAnsi="Times New Roman"/>
                <w:sz w:val="24"/>
                <w:szCs w:val="24"/>
              </w:rPr>
            </w:pPr>
          </w:p>
          <w:p w14:paraId="74610B5F" w14:textId="5C22F5DB" w:rsidR="00996CD8" w:rsidRPr="006F299D" w:rsidRDefault="00996CD8" w:rsidP="00865BBA">
            <w:pPr>
              <w:jc w:val="both"/>
              <w:rPr>
                <w:rFonts w:ascii="Times New Roman" w:hAnsi="Times New Roman"/>
                <w:sz w:val="24"/>
                <w:szCs w:val="24"/>
              </w:rPr>
            </w:pPr>
            <w:r>
              <w:rPr>
                <w:rFonts w:ascii="Times New Roman" w:hAnsi="Times New Roman"/>
                <w:sz w:val="24"/>
                <w:szCs w:val="24"/>
              </w:rPr>
              <w:t xml:space="preserve">Taimetervise valdkonna karistusmäärade täiendava analüüsi esitame </w:t>
            </w:r>
            <w:r w:rsidR="001F2ABD">
              <w:rPr>
                <w:rFonts w:ascii="Times New Roman" w:hAnsi="Times New Roman"/>
                <w:sz w:val="24"/>
                <w:szCs w:val="24"/>
              </w:rPr>
              <w:t>järgmise</w:t>
            </w:r>
            <w:r>
              <w:rPr>
                <w:rFonts w:ascii="Times New Roman" w:hAnsi="Times New Roman"/>
                <w:sz w:val="24"/>
                <w:szCs w:val="24"/>
              </w:rPr>
              <w:t xml:space="preserve"> väljatöötamiskavatsuse raames.</w:t>
            </w:r>
          </w:p>
        </w:tc>
      </w:tr>
      <w:tr w:rsidR="005E1B99" w:rsidRPr="006F299D" w14:paraId="2A82E220" w14:textId="77777777" w:rsidTr="0064162D">
        <w:tc>
          <w:tcPr>
            <w:tcW w:w="2737" w:type="dxa"/>
          </w:tcPr>
          <w:p w14:paraId="36B64AB7" w14:textId="77777777" w:rsidR="005E1B99" w:rsidRPr="006F299D" w:rsidRDefault="005E1B99" w:rsidP="00865BBA">
            <w:pPr>
              <w:rPr>
                <w:rFonts w:ascii="Times New Roman" w:hAnsi="Times New Roman"/>
                <w:sz w:val="24"/>
                <w:szCs w:val="24"/>
              </w:rPr>
            </w:pPr>
          </w:p>
        </w:tc>
        <w:tc>
          <w:tcPr>
            <w:tcW w:w="7154" w:type="dxa"/>
          </w:tcPr>
          <w:p w14:paraId="0A5D1B5C" w14:textId="77777777" w:rsidR="005E1B99" w:rsidRPr="006F299D" w:rsidRDefault="005E1B99" w:rsidP="00865BBA">
            <w:pPr>
              <w:jc w:val="both"/>
              <w:rPr>
                <w:rFonts w:ascii="Times New Roman" w:hAnsi="Times New Roman"/>
                <w:b/>
                <w:bCs/>
                <w:sz w:val="24"/>
                <w:szCs w:val="24"/>
              </w:rPr>
            </w:pPr>
            <w:r w:rsidRPr="006F299D">
              <w:rPr>
                <w:rFonts w:ascii="Times New Roman" w:hAnsi="Times New Roman"/>
                <w:b/>
                <w:bCs/>
                <w:sz w:val="24"/>
                <w:szCs w:val="24"/>
              </w:rPr>
              <w:t xml:space="preserve">Andmekaitsealased märkused kehtiva TaimKS kohta </w:t>
            </w:r>
          </w:p>
          <w:p w14:paraId="30EF59D6" w14:textId="77777777" w:rsidR="005E1B99" w:rsidRPr="006F299D" w:rsidRDefault="005E1B99" w:rsidP="00865BBA">
            <w:pPr>
              <w:jc w:val="both"/>
              <w:rPr>
                <w:rFonts w:ascii="Times New Roman" w:hAnsi="Times New Roman"/>
                <w:sz w:val="24"/>
                <w:szCs w:val="24"/>
              </w:rPr>
            </w:pPr>
            <w:r w:rsidRPr="006F299D">
              <w:rPr>
                <w:rFonts w:ascii="Times New Roman" w:hAnsi="Times New Roman"/>
                <w:b/>
                <w:bCs/>
                <w:sz w:val="24"/>
                <w:szCs w:val="24"/>
              </w:rPr>
              <w:t xml:space="preserve">4. </w:t>
            </w:r>
            <w:r w:rsidRPr="006F299D">
              <w:rPr>
                <w:rFonts w:ascii="Times New Roman" w:hAnsi="Times New Roman"/>
                <w:sz w:val="24"/>
                <w:szCs w:val="24"/>
              </w:rPr>
              <w:t xml:space="preserve">Kuivõrd eelnõuga muudetakse muu hulgas TaimKS andmekogude regulatsiooni, toome järgnevalt esile andmekaitselised murekohad kehtivas TaimKS-s, mis on võimalik käesoleva eelnõu raames lahendada. </w:t>
            </w:r>
          </w:p>
        </w:tc>
        <w:tc>
          <w:tcPr>
            <w:tcW w:w="4669" w:type="dxa"/>
          </w:tcPr>
          <w:p w14:paraId="6956302B" w14:textId="77777777" w:rsidR="005E1B99" w:rsidRPr="006F299D" w:rsidRDefault="005E1B99" w:rsidP="00865BBA">
            <w:pPr>
              <w:jc w:val="both"/>
              <w:rPr>
                <w:rFonts w:ascii="Times New Roman" w:hAnsi="Times New Roman"/>
                <w:sz w:val="24"/>
                <w:szCs w:val="24"/>
              </w:rPr>
            </w:pPr>
          </w:p>
        </w:tc>
      </w:tr>
      <w:tr w:rsidR="005E1B99" w:rsidRPr="006F299D" w14:paraId="0470CE4F" w14:textId="77777777" w:rsidTr="0064162D">
        <w:tc>
          <w:tcPr>
            <w:tcW w:w="2737" w:type="dxa"/>
          </w:tcPr>
          <w:p w14:paraId="7A29ACCE" w14:textId="77777777" w:rsidR="005E1B99" w:rsidRPr="006F299D" w:rsidRDefault="005E1B99" w:rsidP="00865BBA">
            <w:pPr>
              <w:rPr>
                <w:rFonts w:ascii="Times New Roman" w:hAnsi="Times New Roman"/>
                <w:sz w:val="24"/>
                <w:szCs w:val="24"/>
              </w:rPr>
            </w:pPr>
          </w:p>
        </w:tc>
        <w:tc>
          <w:tcPr>
            <w:tcW w:w="7154" w:type="dxa"/>
          </w:tcPr>
          <w:p w14:paraId="2BD74A1B" w14:textId="77777777" w:rsidR="005E1B99" w:rsidRPr="006F299D" w:rsidRDefault="005E1B99" w:rsidP="00865BBA">
            <w:pPr>
              <w:jc w:val="both"/>
              <w:rPr>
                <w:rFonts w:ascii="Times New Roman" w:hAnsi="Times New Roman"/>
                <w:sz w:val="24"/>
                <w:szCs w:val="24"/>
              </w:rPr>
            </w:pPr>
            <w:r w:rsidRPr="006F299D">
              <w:rPr>
                <w:rFonts w:ascii="Times New Roman" w:hAnsi="Times New Roman"/>
                <w:b/>
                <w:bCs/>
                <w:sz w:val="24"/>
                <w:szCs w:val="24"/>
              </w:rPr>
              <w:t xml:space="preserve">5. </w:t>
            </w:r>
            <w:r w:rsidRPr="006F299D">
              <w:rPr>
                <w:rFonts w:ascii="Times New Roman" w:hAnsi="Times New Roman"/>
                <w:sz w:val="24"/>
                <w:szCs w:val="24"/>
              </w:rPr>
              <w:t>TaimKS § 30 lg 1 ja § 80 lg 2 – kõnealuste sätetega nähakse ette, et register asutatakse ja selle põhimääruse kehtestab… Juhime tähelepanu, et andmekogu asutamist põhimäärusega ei ole vaja ette näha, kuna seaduse regulatsiooni sätestamisega on andmekogu juba asutatud. Seetõttu palume eelnõu täiendada ja lisada sinna viidatud sätete muudatused, millega jäetakse välja sõnad „asutab ja“.</w:t>
            </w:r>
            <w:r w:rsidRPr="006F299D">
              <w:rPr>
                <w:rFonts w:ascii="Times New Roman" w:hAnsi="Times New Roman"/>
                <w:b/>
                <w:bCs/>
                <w:sz w:val="24"/>
                <w:szCs w:val="24"/>
              </w:rPr>
              <w:t xml:space="preserve"> </w:t>
            </w:r>
          </w:p>
        </w:tc>
        <w:tc>
          <w:tcPr>
            <w:tcW w:w="4669" w:type="dxa"/>
          </w:tcPr>
          <w:p w14:paraId="025C99AB" w14:textId="77777777" w:rsidR="005E1B99" w:rsidRDefault="005E1B99" w:rsidP="00865BBA">
            <w:pPr>
              <w:jc w:val="both"/>
              <w:rPr>
                <w:rFonts w:ascii="Times New Roman" w:hAnsi="Times New Roman"/>
                <w:b/>
                <w:bCs/>
                <w:sz w:val="24"/>
                <w:szCs w:val="24"/>
              </w:rPr>
            </w:pPr>
            <w:r w:rsidRPr="00EF7194">
              <w:rPr>
                <w:rFonts w:ascii="Times New Roman" w:hAnsi="Times New Roman"/>
                <w:b/>
                <w:bCs/>
                <w:sz w:val="24"/>
                <w:szCs w:val="24"/>
              </w:rPr>
              <w:t>Märkusega on arvestatud.</w:t>
            </w:r>
          </w:p>
          <w:p w14:paraId="7D42BD9B" w14:textId="08A3C819" w:rsidR="002E0AD3" w:rsidRPr="002E0AD3" w:rsidRDefault="002E0AD3" w:rsidP="00865BBA">
            <w:pPr>
              <w:jc w:val="both"/>
              <w:rPr>
                <w:rFonts w:ascii="Times New Roman" w:hAnsi="Times New Roman"/>
                <w:sz w:val="24"/>
                <w:szCs w:val="24"/>
              </w:rPr>
            </w:pPr>
            <w:r w:rsidRPr="002E0AD3">
              <w:rPr>
                <w:rFonts w:ascii="Times New Roman" w:hAnsi="Times New Roman"/>
                <w:sz w:val="24"/>
                <w:szCs w:val="24"/>
              </w:rPr>
              <w:t>Eelnõus on tehtud asjakohane muudatus.</w:t>
            </w:r>
          </w:p>
        </w:tc>
      </w:tr>
      <w:tr w:rsidR="005E1B99" w:rsidRPr="006F299D" w14:paraId="4A711BFD" w14:textId="77777777" w:rsidTr="0064162D">
        <w:tc>
          <w:tcPr>
            <w:tcW w:w="2737" w:type="dxa"/>
          </w:tcPr>
          <w:p w14:paraId="76A76EDC" w14:textId="77777777" w:rsidR="005E1B99" w:rsidRPr="006F299D" w:rsidRDefault="005E1B99" w:rsidP="00865BBA">
            <w:pPr>
              <w:rPr>
                <w:rFonts w:ascii="Times New Roman" w:hAnsi="Times New Roman"/>
                <w:sz w:val="24"/>
                <w:szCs w:val="24"/>
              </w:rPr>
            </w:pPr>
          </w:p>
        </w:tc>
        <w:tc>
          <w:tcPr>
            <w:tcW w:w="7154" w:type="dxa"/>
          </w:tcPr>
          <w:p w14:paraId="21BC5BEE" w14:textId="4D25ACCB" w:rsidR="005E1B99" w:rsidRPr="006F299D" w:rsidRDefault="005E1B99" w:rsidP="00865BBA">
            <w:pPr>
              <w:jc w:val="both"/>
              <w:rPr>
                <w:rFonts w:ascii="Times New Roman" w:hAnsi="Times New Roman"/>
                <w:sz w:val="24"/>
                <w:szCs w:val="24"/>
              </w:rPr>
            </w:pPr>
            <w:r w:rsidRPr="006F299D">
              <w:rPr>
                <w:rFonts w:ascii="Times New Roman" w:hAnsi="Times New Roman"/>
                <w:b/>
                <w:bCs/>
                <w:sz w:val="24"/>
                <w:szCs w:val="24"/>
              </w:rPr>
              <w:t xml:space="preserve">6. </w:t>
            </w:r>
            <w:r w:rsidRPr="006F299D">
              <w:rPr>
                <w:rFonts w:ascii="Times New Roman" w:hAnsi="Times New Roman"/>
                <w:sz w:val="24"/>
                <w:szCs w:val="24"/>
              </w:rPr>
              <w:t>TaimeKS § 30 lg 5 – kõnealuse sättega nähakse ette, et taimetervise registrile kohaldatakse majandustegevuse seadustiku üldosa seaduses (MSÜS) registri kohta sätestatut, arvestades käesolevas seaduses sätestatud erisusi. MSÜS kohaselt töödeldakse registris ka isikuandmeid. Igasugust isikuandmete kogumist, säilitamist, kasutamist ja avalikustamist käsitatakse eraelu puutumatuse (PS § 26) riivena. PS § 11 kohaselt tohib õigusi ja vabadusi piirata ainult kooskõlas põhiseadusega. See tähendab, et niisugune piirang peab olema kooskõlas ka PS § 3 esimese lausega, mille kohaselt teostatakse riigivõimu üksnes põhiseaduse ja sellega kooskõlas olevate seaduste alusel. Sättes väljendatud üldise seadusereservatsiooni põhimõtte järgi peab põhiõigusi</w:t>
            </w:r>
            <w:r w:rsidRPr="006F299D">
              <w:rPr>
                <w:rFonts w:ascii="Times New Roman" w:hAnsi="Times New Roman"/>
                <w:b/>
                <w:bCs/>
                <w:sz w:val="24"/>
                <w:szCs w:val="24"/>
              </w:rPr>
              <w:t xml:space="preserve"> </w:t>
            </w:r>
            <w:r w:rsidRPr="006F299D">
              <w:rPr>
                <w:rFonts w:ascii="Times New Roman" w:hAnsi="Times New Roman"/>
                <w:sz w:val="24"/>
                <w:szCs w:val="24"/>
              </w:rPr>
              <w:t xml:space="preserve">puudutavates küsimustes kõik olulised otsused langetama seadusandja. Riigikogu võib täidesaatvat võimu volitada reguleerima üksnes vähem intensiivseid põhiõiguste piiranguid ning sealjuures peab seaduses sisalduv volitusnorm olema täpne, selge ja vastavuses piirangu intensiivsusega. Seda põhimõtet tuleb järgida ka isikuandmete </w:t>
            </w:r>
            <w:r w:rsidRPr="006F299D">
              <w:rPr>
                <w:rFonts w:ascii="Times New Roman" w:hAnsi="Times New Roman"/>
                <w:sz w:val="24"/>
                <w:szCs w:val="24"/>
              </w:rPr>
              <w:lastRenderedPageBreak/>
              <w:t xml:space="preserve">töötlemisel. See tähendab, et isikuandmete töötlemine peab olema reguleeritud seadusega. Määrusega võib seaduse norme täpsustada, kuid seda üksnes selge ja täpse ulatusega volitusnormi alusel. Mida intensiivsem on põhiõiguste piirang, seda üksikasjalikumad peavad olema täitevvõimu tegutsemise aluseks olevad volitusnorm ja menetlusnormid. Seega ei sobi isikuandmete töötlemise seaduslikuks aluseks üldine volitusnorm, mis jätab kõik peamised küsimused täitevvõimu reguleerida. Eelkõige peab seaduse tasandil määratlema isikuandmete töötlemise olukorrad ja eesmärgid, töödeldavate isikuandmete koosseisu vähemalt isikuandmete kategooriate täpsusega (viimast võib seaduse volitusnormi alusel määrusega täpsustada) ning töödeldavate isikuandmete säilitamise tähtajad. Igasugune isikuandmete töötlemine peab vastama andmetöötluse põhimõtetele vastavalt isikuandmete kaitse üldmääruse (IKÜM) artiklis 5 sätestatule. Isikuandmete töötlemise olukorrad, eesmärgid, töödeldavate andmete koosseis ning säilitamise tähtajad on ette nähtud MSÜS-is, küll aga tuleb täpsustada seaduses põhimääruse kehtestamise volituse raame. </w:t>
            </w:r>
          </w:p>
          <w:p w14:paraId="521F6BF6" w14:textId="77777777" w:rsidR="005E1B99" w:rsidRPr="006F299D" w:rsidRDefault="005E1B99" w:rsidP="00865BBA">
            <w:pPr>
              <w:jc w:val="both"/>
              <w:rPr>
                <w:rFonts w:ascii="Times New Roman" w:hAnsi="Times New Roman"/>
                <w:sz w:val="24"/>
                <w:szCs w:val="24"/>
              </w:rPr>
            </w:pPr>
            <w:r w:rsidRPr="006F299D">
              <w:rPr>
                <w:rFonts w:ascii="Times New Roman" w:hAnsi="Times New Roman"/>
                <w:sz w:val="24"/>
                <w:szCs w:val="24"/>
              </w:rPr>
              <w:t xml:space="preserve">Eelnevast tulenevalt palume täpsustada põhimääruse kehtestamise volitusnormi selliselt, et sealt nähtuks volituse selged raamid. Näiteks võiks volitusnormi raamid olla sätestatud selliselt: </w:t>
            </w:r>
          </w:p>
          <w:p w14:paraId="1A7DA68B" w14:textId="77777777" w:rsidR="005E1B99" w:rsidRPr="006F299D" w:rsidRDefault="005E1B99" w:rsidP="00865BBA">
            <w:pPr>
              <w:jc w:val="both"/>
              <w:rPr>
                <w:rFonts w:ascii="Times New Roman" w:hAnsi="Times New Roman"/>
                <w:sz w:val="24"/>
                <w:szCs w:val="24"/>
              </w:rPr>
            </w:pPr>
            <w:r w:rsidRPr="006F299D">
              <w:rPr>
                <w:rFonts w:ascii="Times New Roman" w:hAnsi="Times New Roman"/>
                <w:i/>
                <w:iCs/>
                <w:sz w:val="24"/>
                <w:szCs w:val="24"/>
              </w:rPr>
              <w:t xml:space="preserve">(x) Registri põhimääruses sätestatakse andmekogu pidamise kord, sealhulgas: </w:t>
            </w:r>
          </w:p>
          <w:p w14:paraId="616AE4BB" w14:textId="77777777" w:rsidR="005E1B99" w:rsidRPr="006F299D" w:rsidRDefault="005E1B99" w:rsidP="00865BBA">
            <w:pPr>
              <w:jc w:val="both"/>
              <w:rPr>
                <w:rFonts w:ascii="Times New Roman" w:hAnsi="Times New Roman"/>
                <w:sz w:val="24"/>
                <w:szCs w:val="24"/>
              </w:rPr>
            </w:pPr>
            <w:r w:rsidRPr="006F299D">
              <w:rPr>
                <w:rFonts w:ascii="Times New Roman" w:hAnsi="Times New Roman"/>
                <w:i/>
                <w:iCs/>
                <w:sz w:val="24"/>
                <w:szCs w:val="24"/>
              </w:rPr>
              <w:t xml:space="preserve">1) andmeandjad ja nendelt saadavad andmed; </w:t>
            </w:r>
          </w:p>
          <w:p w14:paraId="5CD5C9A6" w14:textId="77777777" w:rsidR="005E1B99" w:rsidRPr="006F299D" w:rsidRDefault="005E1B99" w:rsidP="00865BBA">
            <w:pPr>
              <w:jc w:val="both"/>
              <w:rPr>
                <w:rFonts w:ascii="Times New Roman" w:hAnsi="Times New Roman"/>
                <w:sz w:val="24"/>
                <w:szCs w:val="24"/>
              </w:rPr>
            </w:pPr>
            <w:r w:rsidRPr="006F299D">
              <w:rPr>
                <w:rFonts w:ascii="Times New Roman" w:hAnsi="Times New Roman"/>
                <w:i/>
                <w:iCs/>
                <w:sz w:val="24"/>
                <w:szCs w:val="24"/>
              </w:rPr>
              <w:t xml:space="preserve">2) täpsem andmekoosseis; </w:t>
            </w:r>
          </w:p>
          <w:p w14:paraId="10A5DED7" w14:textId="77777777" w:rsidR="005E1B99" w:rsidRPr="006F299D" w:rsidRDefault="005E1B99" w:rsidP="00865BBA">
            <w:pPr>
              <w:jc w:val="both"/>
              <w:rPr>
                <w:rFonts w:ascii="Times New Roman" w:hAnsi="Times New Roman"/>
                <w:sz w:val="24"/>
                <w:szCs w:val="24"/>
              </w:rPr>
            </w:pPr>
            <w:r w:rsidRPr="006F299D">
              <w:rPr>
                <w:rFonts w:ascii="Times New Roman" w:hAnsi="Times New Roman"/>
                <w:i/>
                <w:iCs/>
                <w:sz w:val="24"/>
                <w:szCs w:val="24"/>
              </w:rPr>
              <w:t xml:space="preserve">3) vastutava töötleja ja volitatud töötleja ülesanded; </w:t>
            </w:r>
          </w:p>
          <w:p w14:paraId="4662A969" w14:textId="77777777" w:rsidR="005E1B99" w:rsidRPr="006F299D" w:rsidRDefault="005E1B99" w:rsidP="00865BBA">
            <w:pPr>
              <w:jc w:val="both"/>
              <w:rPr>
                <w:rFonts w:ascii="Times New Roman" w:hAnsi="Times New Roman"/>
                <w:sz w:val="24"/>
                <w:szCs w:val="24"/>
              </w:rPr>
            </w:pPr>
            <w:r w:rsidRPr="006F299D">
              <w:rPr>
                <w:rFonts w:ascii="Times New Roman" w:hAnsi="Times New Roman"/>
                <w:i/>
                <w:iCs/>
                <w:sz w:val="24"/>
                <w:szCs w:val="24"/>
              </w:rPr>
              <w:t xml:space="preserve">4) andmetele juurdepääsu ja andmete väljastamise kord; </w:t>
            </w:r>
          </w:p>
          <w:p w14:paraId="5209E9AD" w14:textId="77777777" w:rsidR="005E1B99" w:rsidRPr="006F299D" w:rsidRDefault="005E1B99" w:rsidP="00865BBA">
            <w:pPr>
              <w:jc w:val="both"/>
              <w:rPr>
                <w:rFonts w:ascii="Times New Roman" w:hAnsi="Times New Roman"/>
                <w:sz w:val="24"/>
                <w:szCs w:val="24"/>
              </w:rPr>
            </w:pPr>
            <w:r w:rsidRPr="006F299D">
              <w:rPr>
                <w:rFonts w:ascii="Times New Roman" w:hAnsi="Times New Roman"/>
                <w:i/>
                <w:iCs/>
                <w:sz w:val="24"/>
                <w:szCs w:val="24"/>
              </w:rPr>
              <w:t>5) muud korralduslikud küsimused.“;</w:t>
            </w:r>
          </w:p>
        </w:tc>
        <w:tc>
          <w:tcPr>
            <w:tcW w:w="4669" w:type="dxa"/>
          </w:tcPr>
          <w:p w14:paraId="166C293D" w14:textId="4CD9E7B7" w:rsidR="005E1B99" w:rsidRPr="007A72AB" w:rsidRDefault="003F64F4" w:rsidP="00865BBA">
            <w:pPr>
              <w:jc w:val="both"/>
              <w:rPr>
                <w:rFonts w:ascii="Times New Roman" w:hAnsi="Times New Roman"/>
                <w:b/>
                <w:bCs/>
                <w:sz w:val="24"/>
                <w:szCs w:val="24"/>
              </w:rPr>
            </w:pPr>
            <w:r>
              <w:rPr>
                <w:rFonts w:ascii="Times New Roman" w:hAnsi="Times New Roman"/>
                <w:b/>
                <w:bCs/>
                <w:sz w:val="24"/>
                <w:szCs w:val="24"/>
              </w:rPr>
              <w:lastRenderedPageBreak/>
              <w:t xml:space="preserve">Märkusega </w:t>
            </w:r>
            <w:r w:rsidR="00842FC5">
              <w:rPr>
                <w:rFonts w:ascii="Times New Roman" w:hAnsi="Times New Roman"/>
                <w:b/>
                <w:bCs/>
                <w:sz w:val="24"/>
                <w:szCs w:val="24"/>
              </w:rPr>
              <w:t>ei ole arvestatud</w:t>
            </w:r>
            <w:r>
              <w:rPr>
                <w:rFonts w:ascii="Times New Roman" w:hAnsi="Times New Roman"/>
                <w:b/>
                <w:bCs/>
                <w:sz w:val="24"/>
                <w:szCs w:val="24"/>
              </w:rPr>
              <w:t>.</w:t>
            </w:r>
          </w:p>
          <w:p w14:paraId="61566517" w14:textId="1AD06BA9" w:rsidR="00636D76" w:rsidRPr="006F299D" w:rsidRDefault="00636D76" w:rsidP="00865BBA">
            <w:pPr>
              <w:jc w:val="both"/>
              <w:rPr>
                <w:rFonts w:ascii="Times New Roman" w:hAnsi="Times New Roman"/>
                <w:sz w:val="24"/>
                <w:szCs w:val="24"/>
              </w:rPr>
            </w:pPr>
            <w:r w:rsidRPr="00636D76">
              <w:rPr>
                <w:rFonts w:ascii="Times New Roman" w:hAnsi="Times New Roman"/>
                <w:sz w:val="24"/>
                <w:szCs w:val="24"/>
              </w:rPr>
              <w:t>Analüüsime taimetervise registri sätete kohta tehtud ettepanekuid eraldi käesolevast eelnõust, kuna eelnõu menetlemise ajaraam ei võimalda eelnõusse täiendavate küsimuste lisamist. Eelnõu üks peamine eesmärk on parandada esimesel võimalusel taimekaitsevahendite turulelaskmise menetluse tasustamise probleemid.</w:t>
            </w:r>
          </w:p>
        </w:tc>
      </w:tr>
      <w:tr w:rsidR="005E1B99" w:rsidRPr="006F299D" w14:paraId="6FEBE72C" w14:textId="77777777" w:rsidTr="0064162D">
        <w:tc>
          <w:tcPr>
            <w:tcW w:w="2737" w:type="dxa"/>
          </w:tcPr>
          <w:p w14:paraId="704BA3AE" w14:textId="77777777" w:rsidR="005E1B99" w:rsidRPr="006F299D" w:rsidRDefault="005E1B99" w:rsidP="00865BBA">
            <w:pPr>
              <w:rPr>
                <w:rFonts w:ascii="Times New Roman" w:hAnsi="Times New Roman"/>
                <w:sz w:val="24"/>
                <w:szCs w:val="24"/>
              </w:rPr>
            </w:pPr>
          </w:p>
        </w:tc>
        <w:tc>
          <w:tcPr>
            <w:tcW w:w="7154" w:type="dxa"/>
          </w:tcPr>
          <w:p w14:paraId="20D34432" w14:textId="77777777" w:rsidR="005E1B99" w:rsidRPr="006F299D" w:rsidRDefault="005E1B99" w:rsidP="00865BBA">
            <w:pPr>
              <w:jc w:val="both"/>
              <w:rPr>
                <w:rFonts w:ascii="Times New Roman" w:hAnsi="Times New Roman"/>
                <w:sz w:val="24"/>
                <w:szCs w:val="24"/>
              </w:rPr>
            </w:pPr>
            <w:r w:rsidRPr="006F299D">
              <w:rPr>
                <w:rFonts w:ascii="Times New Roman" w:hAnsi="Times New Roman"/>
                <w:b/>
                <w:bCs/>
                <w:sz w:val="24"/>
                <w:szCs w:val="24"/>
              </w:rPr>
              <w:t>7.</w:t>
            </w:r>
            <w:r w:rsidRPr="006F299D">
              <w:rPr>
                <w:rFonts w:ascii="Times New Roman" w:hAnsi="Times New Roman"/>
                <w:sz w:val="24"/>
                <w:szCs w:val="24"/>
              </w:rPr>
              <w:t xml:space="preserve"> TaimKS § 30 lg 5 – kõnealuse sätte kohaselt kohaldatakse registri suhtes MSÜSis registri kohta sätestatut. MSÜS § 51 lg 2 näeb ette, et registripidaja tagab, et registriandmed on igaühele asjaomase veebilehe kaudu tasuta kättesaadavad. Palume täpsustada, kas see tähendab ka isikuandmete avalikustamist. Kui jah, siis olukorras, kus avalikustatavad andmed hõlmavad ka isikuandmeid, siis tuleb PS §-st 26 tulenevalt seaduse tasandil ette näha, milliseid andmeid avalikustatakse ja mis </w:t>
            </w:r>
            <w:r w:rsidRPr="006F299D">
              <w:rPr>
                <w:rFonts w:ascii="Times New Roman" w:hAnsi="Times New Roman"/>
                <w:sz w:val="24"/>
                <w:szCs w:val="24"/>
              </w:rPr>
              <w:lastRenderedPageBreak/>
              <w:t xml:space="preserve">eesmärgil. Selgitame, et avaliku teabe seaduse (AvTS) kohaselt on avalik teave kogu mis tahes viisil ja mis tahes teabekandjale jäädvustatud ja dokumenteeritud teave, mis on saadud või loodud seaduses või selle alusel antud õigusaktides sätestatud avalikke ülesandeid täites ning sellele teabele juurdepääsu võib piirata seaduses sätestatud korras (AvTS § 3). Isikuandmete kaitse üldmääruse kohaselt peab igasugusel andmetöötlusel olema eesmärk. Taimetervise registrit peetakse ja seal töödeldakse andmeid seadusest tuleneva kohustuse täitmise lihtsustamiseks. Selge ei ole aga, mis eesmärgil teatud andmeid avalikustatakse. Võib oletada, et seadusest tuleneva kohustuse täitmiseks ei ole vajalik andmete avalikustamine ning viimasel on registri pidamise eesmärgist erinev eesmärk, mida aga seadusest ega põhimäärusest ei nähtu. Olukorras, kus avalikustatavad andmed hõlmavad ka isikuandmeid, palume eelnõu täiendada, nähes avalikustatavate isikuandmete kategooriad ja avalikustamise eesmärk ette seaduse tasandil. </w:t>
            </w:r>
          </w:p>
        </w:tc>
        <w:tc>
          <w:tcPr>
            <w:tcW w:w="4669" w:type="dxa"/>
          </w:tcPr>
          <w:p w14:paraId="4AF77068" w14:textId="4A2B77C2" w:rsidR="00F43F47" w:rsidRPr="00F43F47" w:rsidRDefault="00842FC5" w:rsidP="00F43F47">
            <w:pPr>
              <w:jc w:val="both"/>
              <w:rPr>
                <w:rFonts w:ascii="Times New Roman" w:hAnsi="Times New Roman"/>
                <w:b/>
                <w:bCs/>
                <w:sz w:val="24"/>
                <w:szCs w:val="24"/>
              </w:rPr>
            </w:pPr>
            <w:r>
              <w:rPr>
                <w:rFonts w:ascii="Times New Roman" w:hAnsi="Times New Roman"/>
                <w:b/>
                <w:bCs/>
                <w:sz w:val="24"/>
                <w:szCs w:val="24"/>
              </w:rPr>
              <w:lastRenderedPageBreak/>
              <w:t>Märkusega ei ole arvestatud.</w:t>
            </w:r>
          </w:p>
          <w:p w14:paraId="63EC00E9" w14:textId="3D7BCFC0" w:rsidR="00636D76" w:rsidRPr="006F299D" w:rsidRDefault="00636D76" w:rsidP="00F43F47">
            <w:pPr>
              <w:jc w:val="both"/>
              <w:rPr>
                <w:rFonts w:ascii="Times New Roman" w:hAnsi="Times New Roman"/>
                <w:sz w:val="24"/>
                <w:szCs w:val="24"/>
              </w:rPr>
            </w:pPr>
            <w:r w:rsidRPr="00636D76">
              <w:rPr>
                <w:rFonts w:ascii="Times New Roman" w:hAnsi="Times New Roman"/>
                <w:sz w:val="24"/>
                <w:szCs w:val="24"/>
              </w:rPr>
              <w:t xml:space="preserve">Analüüsime taimetervise registri sätete kohta tehtud ettepanekuid eraldi käesolevast eelnõust, kuna eelnõu menetlemise ajaraam ei võimalda eelnõusse täiendavate küsimuste lisamist. Eelnõu üks peamine eesmärk on parandada esimesel võimalusel </w:t>
            </w:r>
            <w:r w:rsidRPr="00636D76">
              <w:rPr>
                <w:rFonts w:ascii="Times New Roman" w:hAnsi="Times New Roman"/>
                <w:sz w:val="24"/>
                <w:szCs w:val="24"/>
              </w:rPr>
              <w:lastRenderedPageBreak/>
              <w:t>taimekaitsevahendite turulelaskmise menetluse tasustamise probleemid.</w:t>
            </w:r>
          </w:p>
        </w:tc>
      </w:tr>
      <w:tr w:rsidR="005E1B99" w:rsidRPr="006F299D" w14:paraId="1B733DC4" w14:textId="77777777" w:rsidTr="0064162D">
        <w:tc>
          <w:tcPr>
            <w:tcW w:w="2737" w:type="dxa"/>
          </w:tcPr>
          <w:p w14:paraId="48107ED7" w14:textId="77777777" w:rsidR="005E1B99" w:rsidRPr="006F299D" w:rsidRDefault="005E1B99" w:rsidP="00865BBA">
            <w:pPr>
              <w:rPr>
                <w:rFonts w:ascii="Times New Roman" w:hAnsi="Times New Roman"/>
                <w:sz w:val="24"/>
                <w:szCs w:val="24"/>
              </w:rPr>
            </w:pPr>
          </w:p>
        </w:tc>
        <w:tc>
          <w:tcPr>
            <w:tcW w:w="7154" w:type="dxa"/>
          </w:tcPr>
          <w:p w14:paraId="3BDEE1B0" w14:textId="77777777" w:rsidR="005E1B99" w:rsidRPr="006F299D" w:rsidRDefault="005E1B99" w:rsidP="00865BBA">
            <w:pPr>
              <w:jc w:val="both"/>
              <w:rPr>
                <w:rFonts w:ascii="Times New Roman" w:hAnsi="Times New Roman"/>
                <w:sz w:val="24"/>
                <w:szCs w:val="24"/>
              </w:rPr>
            </w:pPr>
            <w:r w:rsidRPr="006F299D">
              <w:rPr>
                <w:rFonts w:ascii="Times New Roman" w:hAnsi="Times New Roman"/>
                <w:b/>
                <w:bCs/>
                <w:sz w:val="24"/>
                <w:szCs w:val="24"/>
              </w:rPr>
              <w:t xml:space="preserve">8. </w:t>
            </w:r>
            <w:r w:rsidRPr="006F299D">
              <w:rPr>
                <w:rFonts w:ascii="Times New Roman" w:hAnsi="Times New Roman"/>
                <w:sz w:val="24"/>
                <w:szCs w:val="24"/>
              </w:rPr>
              <w:t>TaimKS § 80 – kõnealuse sättega nähakse ette taimekaitsevahendite registri regulatsioon. TaimKS § 80 lg 3 kohaselt töödeldakse nimetatud registris ka isikuandmeid. Nagu eespool TaimKS § 30 lg 5 puhul mainitud, tuleb sellisel juhul</w:t>
            </w:r>
            <w:r w:rsidRPr="006F299D">
              <w:rPr>
                <w:rFonts w:ascii="Times New Roman" w:hAnsi="Times New Roman"/>
                <w:b/>
                <w:bCs/>
                <w:sz w:val="24"/>
                <w:szCs w:val="24"/>
              </w:rPr>
              <w:t xml:space="preserve"> </w:t>
            </w:r>
            <w:r w:rsidRPr="006F299D">
              <w:rPr>
                <w:rFonts w:ascii="Times New Roman" w:hAnsi="Times New Roman"/>
                <w:sz w:val="24"/>
                <w:szCs w:val="24"/>
              </w:rPr>
              <w:t xml:space="preserve">seaduse tasandil määratleda isikuandmete töötlemise olukorrad ja eesmärgid, töödeldavate isikuandmete koosseisu vähemalt isikuandmete kategooriate täpsusega (viimast võib seaduse volitusnormi alusel määrusega täpsustada) ning töödeldavate isikuandmete säilitamise tähtajad. Isikuandmete töötlemise eesmärgid ja koosseis on seaduses ette nähtud, küll aga puuduvad säilitustähtajad. Palume seadust täiendada säilitustähtaegade regulatsiooniga. </w:t>
            </w:r>
          </w:p>
          <w:p w14:paraId="7084DFC5" w14:textId="77777777" w:rsidR="005E1B99" w:rsidRPr="006F299D" w:rsidRDefault="005E1B99" w:rsidP="00865BBA">
            <w:pPr>
              <w:jc w:val="both"/>
              <w:rPr>
                <w:rFonts w:ascii="Times New Roman" w:hAnsi="Times New Roman"/>
                <w:b/>
                <w:bCs/>
                <w:sz w:val="24"/>
                <w:szCs w:val="24"/>
              </w:rPr>
            </w:pPr>
            <w:r w:rsidRPr="006F299D">
              <w:rPr>
                <w:rFonts w:ascii="Times New Roman" w:hAnsi="Times New Roman"/>
                <w:sz w:val="24"/>
                <w:szCs w:val="24"/>
              </w:rPr>
              <w:t>Lisaks eelnevale tuleb TaimKS § 80 regulatsiooni täiendada põhimääruse kehtestamise volitusnormi selgete raamidega (vt ka selle kohta TaimKS § 30 lg 5 kohta tehtud märkust).</w:t>
            </w:r>
          </w:p>
        </w:tc>
        <w:tc>
          <w:tcPr>
            <w:tcW w:w="4669" w:type="dxa"/>
          </w:tcPr>
          <w:p w14:paraId="04026020" w14:textId="47EBEB47" w:rsidR="005E1B99" w:rsidRDefault="005E1B99" w:rsidP="00865BBA">
            <w:pPr>
              <w:jc w:val="both"/>
              <w:rPr>
                <w:rFonts w:ascii="Times New Roman" w:hAnsi="Times New Roman"/>
                <w:b/>
                <w:bCs/>
                <w:sz w:val="24"/>
                <w:szCs w:val="24"/>
              </w:rPr>
            </w:pPr>
            <w:r w:rsidRPr="00FD3E95">
              <w:rPr>
                <w:rFonts w:ascii="Times New Roman" w:hAnsi="Times New Roman"/>
                <w:b/>
                <w:bCs/>
                <w:sz w:val="24"/>
                <w:szCs w:val="24"/>
              </w:rPr>
              <w:t>Märkustega on arvestatud</w:t>
            </w:r>
            <w:r w:rsidR="00FD3E95">
              <w:rPr>
                <w:rFonts w:ascii="Times New Roman" w:hAnsi="Times New Roman"/>
                <w:b/>
                <w:bCs/>
                <w:sz w:val="24"/>
                <w:szCs w:val="24"/>
              </w:rPr>
              <w:t xml:space="preserve"> osaliselt</w:t>
            </w:r>
            <w:r w:rsidRPr="00FD3E95">
              <w:rPr>
                <w:rFonts w:ascii="Times New Roman" w:hAnsi="Times New Roman"/>
                <w:b/>
                <w:bCs/>
                <w:sz w:val="24"/>
                <w:szCs w:val="24"/>
              </w:rPr>
              <w:t>.</w:t>
            </w:r>
          </w:p>
          <w:p w14:paraId="0262AC93" w14:textId="77777777" w:rsidR="00AE7777" w:rsidRPr="00AE7777" w:rsidRDefault="00AE7777" w:rsidP="00AE7777">
            <w:pPr>
              <w:jc w:val="both"/>
              <w:rPr>
                <w:rFonts w:ascii="Times New Roman" w:hAnsi="Times New Roman"/>
                <w:sz w:val="24"/>
                <w:szCs w:val="24"/>
              </w:rPr>
            </w:pPr>
            <w:r w:rsidRPr="00AE7777">
              <w:rPr>
                <w:rFonts w:ascii="Times New Roman" w:hAnsi="Times New Roman"/>
                <w:sz w:val="24"/>
                <w:szCs w:val="24"/>
              </w:rPr>
              <w:t>Isikuandmete kaitse seaduse</w:t>
            </w:r>
            <w:r w:rsidRPr="00AE7777">
              <w:rPr>
                <w:rStyle w:val="Allmrkuseviide"/>
                <w:rFonts w:ascii="Times New Roman" w:hAnsi="Times New Roman"/>
                <w:sz w:val="24"/>
                <w:szCs w:val="24"/>
              </w:rPr>
              <w:footnoteReference w:id="1"/>
            </w:r>
            <w:r w:rsidRPr="00AE7777">
              <w:rPr>
                <w:rFonts w:ascii="Times New Roman" w:hAnsi="Times New Roman"/>
                <w:sz w:val="24"/>
                <w:szCs w:val="24"/>
              </w:rPr>
              <w:t xml:space="preserve"> § 17 lõige 1 võimaldab kehtestada töödeldavate isikuandmete säilitamise tähtaja seaduse või määrusega. Isikuandmete säilitamise tähtaja kehtestamine seaduses ei ole otstarbekaks, kuna sellisel juhul ei ole vastutaval töötlejal võimalik kehtestada täpsemat säilitamise tähtaega. Selleks, et järgida isikuandmete töötlemisel säilitamise põhimõtet, peaks registri vastutaval töötlejal olema võimalik kehtestada asjaolusid arvestades selline säilitustähtaeg, mis on vähim vajalik konkreetsete isikuandmete töötlemiseks.</w:t>
            </w:r>
          </w:p>
          <w:p w14:paraId="348989AB" w14:textId="7858B427" w:rsidR="002E0AD3" w:rsidRPr="002E0AD3" w:rsidRDefault="002E0AD3" w:rsidP="00865BBA">
            <w:pPr>
              <w:jc w:val="both"/>
              <w:rPr>
                <w:rFonts w:ascii="Times New Roman" w:hAnsi="Times New Roman"/>
                <w:sz w:val="24"/>
                <w:szCs w:val="24"/>
              </w:rPr>
            </w:pPr>
          </w:p>
        </w:tc>
      </w:tr>
      <w:tr w:rsidR="005E1B99" w:rsidRPr="006F299D" w14:paraId="2419B83F" w14:textId="77777777" w:rsidTr="0064162D">
        <w:tc>
          <w:tcPr>
            <w:tcW w:w="2737" w:type="dxa"/>
          </w:tcPr>
          <w:p w14:paraId="2F15371C" w14:textId="77777777" w:rsidR="005E1B99" w:rsidRPr="006F299D" w:rsidRDefault="005E1B99" w:rsidP="00865BBA">
            <w:pPr>
              <w:rPr>
                <w:rFonts w:ascii="Times New Roman" w:hAnsi="Times New Roman"/>
                <w:sz w:val="24"/>
                <w:szCs w:val="24"/>
              </w:rPr>
            </w:pPr>
          </w:p>
        </w:tc>
        <w:tc>
          <w:tcPr>
            <w:tcW w:w="7154" w:type="dxa"/>
          </w:tcPr>
          <w:p w14:paraId="5BEFFBC5" w14:textId="77777777" w:rsidR="005E1B99" w:rsidRPr="006F299D" w:rsidRDefault="005E1B99" w:rsidP="00865BBA">
            <w:pPr>
              <w:jc w:val="both"/>
              <w:rPr>
                <w:rFonts w:ascii="Times New Roman" w:hAnsi="Times New Roman"/>
                <w:sz w:val="24"/>
                <w:szCs w:val="24"/>
              </w:rPr>
            </w:pPr>
            <w:r w:rsidRPr="006F299D">
              <w:rPr>
                <w:rFonts w:ascii="Times New Roman" w:hAnsi="Times New Roman"/>
                <w:b/>
                <w:bCs/>
                <w:sz w:val="24"/>
                <w:szCs w:val="24"/>
              </w:rPr>
              <w:t xml:space="preserve">9. </w:t>
            </w:r>
            <w:r w:rsidRPr="006F299D">
              <w:rPr>
                <w:rFonts w:ascii="Times New Roman" w:hAnsi="Times New Roman"/>
                <w:sz w:val="24"/>
                <w:szCs w:val="24"/>
              </w:rPr>
              <w:t xml:space="preserve">TaimKS § 81 lg 3 – kõnealuse sätte kohaselt vastutab taimekaitsevahendite registrisse kantud isik tema esitatud andmete õigsuse eest. Juhime tähelepanu, et sellised sätted ei vabasta andmekogu pidajat vastutusest. Vastutav töötleja vastutab andmekogus töödeldavate andmete õigsuse eest3. </w:t>
            </w:r>
          </w:p>
          <w:p w14:paraId="209AA32A" w14:textId="77777777" w:rsidR="005E1B99" w:rsidRPr="006F299D" w:rsidRDefault="005E1B99" w:rsidP="00865BBA">
            <w:pPr>
              <w:jc w:val="both"/>
              <w:rPr>
                <w:rFonts w:ascii="Times New Roman" w:hAnsi="Times New Roman"/>
                <w:b/>
                <w:bCs/>
                <w:sz w:val="24"/>
                <w:szCs w:val="24"/>
              </w:rPr>
            </w:pPr>
            <w:r w:rsidRPr="006F299D">
              <w:rPr>
                <w:rFonts w:ascii="Times New Roman" w:hAnsi="Times New Roman"/>
                <w:sz w:val="24"/>
                <w:szCs w:val="24"/>
              </w:rPr>
              <w:t>3 Vt selle kohta Euroopa Kohtu otsus kohtuasjas C-231/22 État belge.</w:t>
            </w:r>
            <w:r w:rsidRPr="006F299D">
              <w:rPr>
                <w:rFonts w:ascii="Times New Roman" w:hAnsi="Times New Roman"/>
                <w:b/>
                <w:bCs/>
                <w:sz w:val="24"/>
                <w:szCs w:val="24"/>
              </w:rPr>
              <w:t xml:space="preserve">  </w:t>
            </w:r>
          </w:p>
        </w:tc>
        <w:tc>
          <w:tcPr>
            <w:tcW w:w="4669" w:type="dxa"/>
          </w:tcPr>
          <w:p w14:paraId="2E241027" w14:textId="4B834E81" w:rsidR="005E1B99" w:rsidRDefault="003F64F4" w:rsidP="00865BBA">
            <w:pPr>
              <w:jc w:val="both"/>
              <w:rPr>
                <w:rFonts w:ascii="Times New Roman" w:hAnsi="Times New Roman"/>
                <w:b/>
                <w:bCs/>
                <w:sz w:val="24"/>
                <w:szCs w:val="24"/>
              </w:rPr>
            </w:pPr>
            <w:r>
              <w:rPr>
                <w:rFonts w:ascii="Times New Roman" w:hAnsi="Times New Roman"/>
                <w:b/>
                <w:bCs/>
                <w:sz w:val="24"/>
                <w:szCs w:val="24"/>
              </w:rPr>
              <w:t xml:space="preserve">Märkusega </w:t>
            </w:r>
            <w:r w:rsidR="000F4F8E">
              <w:rPr>
                <w:rFonts w:ascii="Times New Roman" w:hAnsi="Times New Roman"/>
                <w:b/>
                <w:bCs/>
                <w:sz w:val="24"/>
                <w:szCs w:val="24"/>
              </w:rPr>
              <w:t>ei ole</w:t>
            </w:r>
            <w:r>
              <w:rPr>
                <w:rFonts w:ascii="Times New Roman" w:hAnsi="Times New Roman"/>
                <w:b/>
                <w:bCs/>
                <w:sz w:val="24"/>
                <w:szCs w:val="24"/>
              </w:rPr>
              <w:t xml:space="preserve"> arvestatud.</w:t>
            </w:r>
            <w:r w:rsidR="000A75DD">
              <w:rPr>
                <w:rFonts w:ascii="Times New Roman" w:hAnsi="Times New Roman"/>
                <w:b/>
                <w:bCs/>
                <w:sz w:val="24"/>
                <w:szCs w:val="24"/>
              </w:rPr>
              <w:t xml:space="preserve"> </w:t>
            </w:r>
          </w:p>
          <w:p w14:paraId="677239A1" w14:textId="66BC081B" w:rsidR="00CE5CD1" w:rsidRPr="00EF7194" w:rsidRDefault="00CE5CD1" w:rsidP="00865BBA">
            <w:pPr>
              <w:jc w:val="both"/>
              <w:rPr>
                <w:rFonts w:ascii="Times New Roman" w:hAnsi="Times New Roman"/>
                <w:b/>
                <w:bCs/>
                <w:sz w:val="24"/>
                <w:szCs w:val="24"/>
              </w:rPr>
            </w:pPr>
            <w:r w:rsidRPr="00CE5CD1">
              <w:rPr>
                <w:rFonts w:ascii="Times New Roman" w:hAnsi="Times New Roman"/>
                <w:sz w:val="24"/>
                <w:szCs w:val="24"/>
              </w:rPr>
              <w:t xml:space="preserve">TaimKSi § 81 lõike 3 </w:t>
            </w:r>
            <w:bookmarkStart w:id="1" w:name="_Hlk211525274"/>
            <w:r w:rsidRPr="00CE5CD1">
              <w:rPr>
                <w:rFonts w:ascii="Times New Roman" w:hAnsi="Times New Roman"/>
                <w:sz w:val="24"/>
                <w:szCs w:val="24"/>
              </w:rPr>
              <w:t xml:space="preserve">eesmärk on sätestada isiku vastutus hoida tema esitatud andmed ajakohased taimekaitsevahendite registris. </w:t>
            </w:r>
            <w:r w:rsidR="000F4F8E">
              <w:rPr>
                <w:rFonts w:ascii="Times New Roman" w:hAnsi="Times New Roman"/>
                <w:sz w:val="24"/>
                <w:szCs w:val="24"/>
              </w:rPr>
              <w:t>Seda täpsustab lõike 3 teine lause, mille kohaselt peab isik andmete muutumise korral viivitamata taotlema registris muudatuse tegemist. Seega ei ole sätte e</w:t>
            </w:r>
            <w:r w:rsidRPr="00CE5CD1">
              <w:rPr>
                <w:rFonts w:ascii="Times New Roman" w:hAnsi="Times New Roman"/>
                <w:sz w:val="24"/>
                <w:szCs w:val="24"/>
              </w:rPr>
              <w:t>esmärk  vähendada vastutava töötleja vastutust</w:t>
            </w:r>
            <w:r w:rsidR="000F4F8E">
              <w:rPr>
                <w:rFonts w:ascii="Times New Roman" w:hAnsi="Times New Roman"/>
                <w:sz w:val="24"/>
                <w:szCs w:val="24"/>
              </w:rPr>
              <w:t>. T</w:t>
            </w:r>
            <w:r w:rsidRPr="00CE5CD1">
              <w:rPr>
                <w:rFonts w:ascii="Times New Roman" w:hAnsi="Times New Roman"/>
                <w:sz w:val="24"/>
                <w:szCs w:val="24"/>
              </w:rPr>
              <w:t>ema vastutus on ammendavalt kehtestatud avaliku teabe</w:t>
            </w:r>
            <w:r>
              <w:rPr>
                <w:rFonts w:ascii="Times New Roman" w:hAnsi="Times New Roman"/>
                <w:sz w:val="24"/>
                <w:szCs w:val="24"/>
              </w:rPr>
              <w:t xml:space="preserve"> seaduses ja isikuandmete kaitse seaduses.</w:t>
            </w:r>
            <w:bookmarkEnd w:id="1"/>
          </w:p>
        </w:tc>
      </w:tr>
      <w:tr w:rsidR="005E1B99" w:rsidRPr="006F299D" w14:paraId="5DF1F33F" w14:textId="77777777" w:rsidTr="0064162D">
        <w:tc>
          <w:tcPr>
            <w:tcW w:w="2737" w:type="dxa"/>
          </w:tcPr>
          <w:p w14:paraId="09BE0BCD" w14:textId="77777777" w:rsidR="005E1B99" w:rsidRPr="006F299D" w:rsidRDefault="005E1B99" w:rsidP="00865BBA">
            <w:pPr>
              <w:rPr>
                <w:rFonts w:ascii="Times New Roman" w:hAnsi="Times New Roman"/>
                <w:sz w:val="24"/>
                <w:szCs w:val="24"/>
              </w:rPr>
            </w:pPr>
          </w:p>
        </w:tc>
        <w:tc>
          <w:tcPr>
            <w:tcW w:w="7154" w:type="dxa"/>
          </w:tcPr>
          <w:p w14:paraId="5AD772D1" w14:textId="77777777" w:rsidR="005E1B99" w:rsidRPr="006F299D" w:rsidRDefault="005E1B99" w:rsidP="00865BBA">
            <w:pPr>
              <w:jc w:val="both"/>
              <w:rPr>
                <w:rFonts w:ascii="Times New Roman" w:hAnsi="Times New Roman"/>
                <w:sz w:val="24"/>
                <w:szCs w:val="24"/>
              </w:rPr>
            </w:pPr>
            <w:r w:rsidRPr="006F299D">
              <w:rPr>
                <w:rFonts w:ascii="Times New Roman" w:hAnsi="Times New Roman"/>
                <w:b/>
                <w:bCs/>
                <w:sz w:val="24"/>
                <w:szCs w:val="24"/>
              </w:rPr>
              <w:t xml:space="preserve">TaimKS § 82 lg 1 – </w:t>
            </w:r>
            <w:r w:rsidRPr="006F299D">
              <w:rPr>
                <w:rFonts w:ascii="Times New Roman" w:hAnsi="Times New Roman"/>
                <w:sz w:val="24"/>
                <w:szCs w:val="24"/>
              </w:rPr>
              <w:t xml:space="preserve">kõnealuse sätte kohaselt on taimekaitsevahendite registrisse kantud andmed, välja arvatud ärisaladust sisaldavad andmed, avalikud. Selgitame, et avaliku teabe seaduse (AvTS) § 3 kohaselt on avalik teave (edaspidi teave) mis tahes viisil ja mis tahes teabekandjale jäädvustatud ja dokumenteeritud teave, mis on saadud või loodud seaduses või selle alusel antud õigusaktides sätestatud avalikke ülesandeid täites. Nimetatud teabele juurdepääsu võib piirata seaduses sätestatud korras. Seega lähtub AvTS eeldusest, et kogu teave, mida riik töötleb oma </w:t>
            </w:r>
          </w:p>
          <w:p w14:paraId="165C905F" w14:textId="77777777" w:rsidR="005E1B99" w:rsidRPr="006F299D" w:rsidRDefault="005E1B99" w:rsidP="00865BBA">
            <w:pPr>
              <w:jc w:val="both"/>
              <w:rPr>
                <w:rFonts w:ascii="Times New Roman" w:hAnsi="Times New Roman"/>
                <w:sz w:val="24"/>
                <w:szCs w:val="24"/>
              </w:rPr>
            </w:pPr>
            <w:r w:rsidRPr="006F299D">
              <w:rPr>
                <w:rFonts w:ascii="Times New Roman" w:hAnsi="Times New Roman"/>
                <w:sz w:val="24"/>
                <w:szCs w:val="24"/>
              </w:rPr>
              <w:t xml:space="preserve">ülesannete täitmisel, on avalik, välja arvatud juhul, kui teabe suhtes on kehtestatud juurdepääsupiirang. </w:t>
            </w:r>
          </w:p>
          <w:p w14:paraId="781B5B2F" w14:textId="77777777" w:rsidR="005E1B99" w:rsidRPr="006F299D" w:rsidRDefault="005E1B99" w:rsidP="00865BBA">
            <w:pPr>
              <w:jc w:val="both"/>
              <w:rPr>
                <w:rFonts w:ascii="Times New Roman" w:hAnsi="Times New Roman"/>
                <w:sz w:val="24"/>
                <w:szCs w:val="24"/>
              </w:rPr>
            </w:pPr>
            <w:r w:rsidRPr="006F299D">
              <w:rPr>
                <w:rFonts w:ascii="Times New Roman" w:hAnsi="Times New Roman"/>
                <w:sz w:val="24"/>
                <w:szCs w:val="24"/>
              </w:rPr>
              <w:t xml:space="preserve">AvTS-is on juurdepääsupiirangud sätestatud §-s 35. Juurdepääsupiirangud ei kohaldu automaatselt, vaid teabevaldajal on igakordne kohustus kaaluda, kas piirangut teabe suhtes kohaldada või mitte (va mõned üksikud n-ö absoluutsed juurdepääsupiirangud). </w:t>
            </w:r>
          </w:p>
          <w:p w14:paraId="4C860FA3" w14:textId="77777777" w:rsidR="005E1B99" w:rsidRPr="006F299D" w:rsidRDefault="005E1B99" w:rsidP="00865BBA">
            <w:pPr>
              <w:jc w:val="both"/>
              <w:rPr>
                <w:rFonts w:ascii="Times New Roman" w:hAnsi="Times New Roman"/>
                <w:sz w:val="24"/>
                <w:szCs w:val="24"/>
              </w:rPr>
            </w:pPr>
            <w:r w:rsidRPr="006F299D">
              <w:rPr>
                <w:rFonts w:ascii="Times New Roman" w:hAnsi="Times New Roman"/>
                <w:sz w:val="24"/>
                <w:szCs w:val="24"/>
              </w:rPr>
              <w:t xml:space="preserve">Justiits- ja Digiministeeriumi seisukoht on, et AvTS-is sätestatud juurdepääsupiirangud peaksid üldjuhul katma kõik võimalikud juhud, millal võib olla õigustatud andmetele juurdepääsu piirata. Kuigi AvTS § 35 lg 1 p 19 võimaldab eriseadustes juurdepääsupiiranguid kehtestada, siis seda saab teha üksnes põhjendatud juhtudel (mh tuleb hinnata, kas AvTS § 35 alused on piisavad). Samas ka eriseadustes juurdepääsupiirangute ettenägemisel peab teabevaldajale jääma </w:t>
            </w:r>
            <w:r w:rsidRPr="006F299D">
              <w:rPr>
                <w:rFonts w:ascii="Times New Roman" w:hAnsi="Times New Roman"/>
                <w:sz w:val="24"/>
                <w:szCs w:val="24"/>
              </w:rPr>
              <w:lastRenderedPageBreak/>
              <w:t xml:space="preserve">kaalutlusõigus, st andmed ei tohi olla automaatselt juurdepääsupiiranguga, vaid teabevaldaja langetab iga kord eraldi otsustuse, kas andmed on avalikud või juurdepääsupiiranguga. Juhime ka tähelepanu, et isegi kui teave on tunnistatud asutusesiseseks (AK) teabeks, siis olukorras, kus selle teabe suhtes esitatakse teabenõue, peab teabevaldaja iga kord hindama, millises osas seda teavet saab siiski avalikustada ja millises osas kehtib mõni juurdepääsupiirang, ning enne teabe avalikustamist piiratud osa kinni katma (AvTS § 38 lg 2). </w:t>
            </w:r>
          </w:p>
          <w:p w14:paraId="4E12B9E7" w14:textId="77777777" w:rsidR="005E1B99" w:rsidRPr="006F299D" w:rsidRDefault="005E1B99" w:rsidP="00865BBA">
            <w:pPr>
              <w:jc w:val="both"/>
              <w:rPr>
                <w:rFonts w:ascii="Times New Roman" w:hAnsi="Times New Roman"/>
                <w:sz w:val="24"/>
                <w:szCs w:val="24"/>
              </w:rPr>
            </w:pPr>
            <w:r w:rsidRPr="006F299D">
              <w:rPr>
                <w:rFonts w:ascii="Times New Roman" w:hAnsi="Times New Roman"/>
                <w:sz w:val="24"/>
                <w:szCs w:val="24"/>
              </w:rPr>
              <w:t xml:space="preserve">AvTS § 438 lõike 1 kohaselt peavad andmekogus töödeldavad andmed olema avalikult kättesaadavad, kui neile ei ole seadusega või selle alusel kehtestatud juurdepääsupiirangut. Andmekogude juhendi kohaselt: </w:t>
            </w:r>
            <w:r w:rsidRPr="006F299D">
              <w:rPr>
                <w:rFonts w:ascii="Times New Roman" w:hAnsi="Times New Roman"/>
                <w:i/>
                <w:iCs/>
                <w:sz w:val="24"/>
                <w:szCs w:val="24"/>
              </w:rPr>
              <w:t xml:space="preserve">„AvTS võimaldab teabele, sh andmekogudele, juurdepääsupiirangu seada kas AvTS § 35 alustel või eriseaduse alusel. Seega peabki eriseaduses vajadusel sätestama erinormina AvTS-ist andmete juurdepääsupiirangu. Juurdepääsupiirangu norm peab olema konkreetne ja selge ning sellest peab selguma, miks juurdepääsupiirang kehtestatakse.“. </w:t>
            </w:r>
            <w:r w:rsidRPr="006F299D">
              <w:rPr>
                <w:rFonts w:ascii="Times New Roman" w:hAnsi="Times New Roman"/>
                <w:sz w:val="24"/>
                <w:szCs w:val="24"/>
              </w:rPr>
              <w:t xml:space="preserve">Eriseaduses andmekogu andmetele absoluutse juurdepääsupiirangu kehtestamisel tuleb lähtuda sellest, et selline juurdepääsupiirang on lubatud kehtestada üksnes olukorras, kui on teada, et kõik andmekogus olevad andmed on juurdepääsupiiranguga. See tähendab, et seadusandja peab eriseaduses absoluutse juurdepääsupiirangu kehtestamisel tegema andmekogus sisalduva kogu teabe suhtes kaalutlusotsuse, hinnates ühelt poolt avalikku huvi nende andmete avalikustamise suhtes ning teiselt poolt selle teabe asutusesiseseks kasutamiseks tunnistamisega kaitstavat huvi. Näiteks on üheks selliseks absoluutseteks juurdepääsupiiranguks AvTS-is ette nähtud § 35 lg 1 punkt 5, mis näeb kohustuslikuna ette, et kaitseväe valdusse sõjalise valmisoleku tõstmisel ja mobilisatsiooni korral üleantava riigivara kohta käiva teabe peab teabevaldaja tunnistama asutusesiseseks kasutamiseks ilma, et tal oleks sealjuures antud võimalus kaaluda sellise piirangu põhjendatust. Samas on seadusandja AvTS § 35 lõikes 1 loetletud juurdepääsupiirangute puhul valdavalt pannud teabevaldajale siiski kohustuse juurdepääsupiirangu vajalikkust hinnata. Näiteks AvTS § 35 lg 1 p 7, mille kohaselt tuleb AK teabeks tunnistada </w:t>
            </w:r>
            <w:r w:rsidRPr="006F299D">
              <w:rPr>
                <w:rFonts w:ascii="Times New Roman" w:hAnsi="Times New Roman"/>
                <w:sz w:val="24"/>
                <w:szCs w:val="24"/>
              </w:rPr>
              <w:lastRenderedPageBreak/>
              <w:t xml:space="preserve">teave, mille avalikuks tulek ohustaks (st teabevaldaja peab igal juhul hindama, kas ohustab või ei ohusta) muinsuskaitse all olevat objekti või muuseumikogusse kuuluvat museaali. </w:t>
            </w:r>
          </w:p>
          <w:p w14:paraId="3F72BD04" w14:textId="77777777" w:rsidR="005E1B99" w:rsidRPr="006F299D" w:rsidRDefault="005E1B99" w:rsidP="00865BBA">
            <w:pPr>
              <w:jc w:val="both"/>
              <w:rPr>
                <w:rFonts w:ascii="Times New Roman" w:hAnsi="Times New Roman"/>
                <w:sz w:val="24"/>
                <w:szCs w:val="24"/>
              </w:rPr>
            </w:pPr>
            <w:r w:rsidRPr="006F299D">
              <w:rPr>
                <w:rFonts w:ascii="Times New Roman" w:hAnsi="Times New Roman"/>
                <w:sz w:val="24"/>
                <w:szCs w:val="24"/>
              </w:rPr>
              <w:t xml:space="preserve">2020. aasta 1. detsembril jõustus Tromsø konventsioon, mille Eesti ratifitseeris 2016. aastal. 2024. aastal antud hinnangus Eesti seadusandluse kooskõla kohta nimetatud konventsiooniga on välja toodud, et absoluutsed seadusega ette nähtud erandid teabe avalikkusest peavad olema minimaalsed. Lisaks on Eesti eelnevalt nimetatud hindamise raames antud selgitustes viidanud, et isegi kui sellised absoluutsed erandid teabe avalikustamisest on kehtestatud, siis on seadusandja selle kehtestamise raames hinnanud juba, kas erandiga kaitstud huvi kaalub igal juhul üle avaliku huvi nimetatud teabe vastu. </w:t>
            </w:r>
          </w:p>
          <w:p w14:paraId="2FCA2416" w14:textId="77777777" w:rsidR="005E1B99" w:rsidRPr="006F299D" w:rsidRDefault="005E1B99" w:rsidP="00865BBA">
            <w:pPr>
              <w:jc w:val="both"/>
              <w:rPr>
                <w:rFonts w:ascii="Times New Roman" w:hAnsi="Times New Roman"/>
                <w:sz w:val="24"/>
                <w:szCs w:val="24"/>
              </w:rPr>
            </w:pPr>
            <w:r w:rsidRPr="006F299D">
              <w:rPr>
                <w:rFonts w:ascii="Times New Roman" w:hAnsi="Times New Roman"/>
                <w:sz w:val="24"/>
                <w:szCs w:val="24"/>
              </w:rPr>
              <w:t xml:space="preserve">Seoses Tromsø konventsiooniga on oluline ka märkida, et eriseaduses sätestatav täiendav juurdepääsupiirang peab jääma konventsiooni artikliga 3 antud raamidesse. Konventsiooni artikkel 3 annab ammendava loetelu põhjustest, millest tulenevalt võib piirata ametlikele dokumentidele juurdepääsu ning liikmesriigil ei ole õigust seda loetelu laiendada. </w:t>
            </w:r>
          </w:p>
          <w:p w14:paraId="78D72D77" w14:textId="77777777" w:rsidR="005E1B99" w:rsidRPr="006F299D" w:rsidRDefault="005E1B99" w:rsidP="00865BBA">
            <w:pPr>
              <w:jc w:val="both"/>
              <w:rPr>
                <w:rFonts w:ascii="Times New Roman" w:hAnsi="Times New Roman"/>
                <w:sz w:val="24"/>
                <w:szCs w:val="24"/>
              </w:rPr>
            </w:pPr>
            <w:r w:rsidRPr="006F299D">
              <w:rPr>
                <w:rFonts w:ascii="Times New Roman" w:hAnsi="Times New Roman"/>
                <w:sz w:val="24"/>
                <w:szCs w:val="24"/>
              </w:rPr>
              <w:t xml:space="preserve">Eelnevast tulenevalt on Justiits- ja Digiministeerium seisukohal, et eriseaduses saab täiendava juurdepääsupiirangu ette näha üksnes juhul, kui AvTS sellekohast alust ette ei näe. Eriseaduses sätestatud juurdepääsupiirangu normist peab nähtuma selgelt piirangu kehtestamise eesmärk, st millist huvi avaliku huvi vastu kaalutakse. Seletuskirjas tuleb välja tuua, millise Tromsø konventsiooni artiklis 3 sätestatud aluse alla sätestatav juurdepääsupiirang mahub ja millise mõttekäigu tulemusel sellise järelduseni jõutud on. Antud juhul aga katab AvTS § 35 lg 1 p 17 ette nähtud piirangu. Kokkuvõttes on käesoleval juhul kogu andmekogus olev teave avalik, kui selle suhtes ei kehti juurdepääsupiirangut, milleks antud andmekogu puhul on ilmselt AvTS-ist tulenevalt ärisaladus ja isikuandmed. </w:t>
            </w:r>
          </w:p>
          <w:p w14:paraId="71F82763" w14:textId="77777777" w:rsidR="005E1B99" w:rsidRPr="006F299D" w:rsidRDefault="005E1B99" w:rsidP="00865BBA">
            <w:pPr>
              <w:jc w:val="both"/>
              <w:rPr>
                <w:rFonts w:ascii="Times New Roman" w:hAnsi="Times New Roman"/>
                <w:sz w:val="24"/>
                <w:szCs w:val="24"/>
              </w:rPr>
            </w:pPr>
            <w:r w:rsidRPr="006F299D">
              <w:rPr>
                <w:rFonts w:ascii="Times New Roman" w:hAnsi="Times New Roman"/>
                <w:sz w:val="24"/>
                <w:szCs w:val="24"/>
              </w:rPr>
              <w:t>Eeltoodule tuginedes palume eelnõu täiendada sättega, milles TaimKS § 82 lg 1 tunnistatakse kehtetuks.</w:t>
            </w:r>
          </w:p>
        </w:tc>
        <w:tc>
          <w:tcPr>
            <w:tcW w:w="4669" w:type="dxa"/>
          </w:tcPr>
          <w:p w14:paraId="4C986BB9" w14:textId="77777777" w:rsidR="00F6652E" w:rsidRDefault="005E1B99" w:rsidP="00865BBA">
            <w:pPr>
              <w:jc w:val="both"/>
              <w:rPr>
                <w:rFonts w:ascii="Times New Roman" w:hAnsi="Times New Roman"/>
                <w:b/>
                <w:bCs/>
                <w:sz w:val="24"/>
                <w:szCs w:val="24"/>
              </w:rPr>
            </w:pPr>
            <w:r w:rsidRPr="00EF7194">
              <w:rPr>
                <w:rFonts w:ascii="Times New Roman" w:hAnsi="Times New Roman"/>
                <w:b/>
                <w:bCs/>
                <w:sz w:val="24"/>
                <w:szCs w:val="24"/>
              </w:rPr>
              <w:lastRenderedPageBreak/>
              <w:t>Märkusega on arvestatud.</w:t>
            </w:r>
          </w:p>
          <w:p w14:paraId="580BF63A" w14:textId="614945C4" w:rsidR="00F6652E" w:rsidRPr="00F6652E" w:rsidRDefault="00F6652E" w:rsidP="00865BBA">
            <w:pPr>
              <w:jc w:val="both"/>
              <w:rPr>
                <w:rFonts w:ascii="Times New Roman" w:hAnsi="Times New Roman"/>
                <w:sz w:val="24"/>
                <w:szCs w:val="24"/>
              </w:rPr>
            </w:pPr>
            <w:r w:rsidRPr="00F6652E">
              <w:rPr>
                <w:rFonts w:ascii="Times New Roman" w:hAnsi="Times New Roman"/>
                <w:sz w:val="24"/>
                <w:szCs w:val="24"/>
              </w:rPr>
              <w:t>Eelnõu on täiendatud muudatusega kõnealuse sätte kehtetuks tunnistamise kohta.</w:t>
            </w:r>
          </w:p>
        </w:tc>
      </w:tr>
      <w:tr w:rsidR="005E1B99" w:rsidRPr="006F299D" w14:paraId="78340762" w14:textId="77777777" w:rsidTr="0064162D">
        <w:tc>
          <w:tcPr>
            <w:tcW w:w="2737" w:type="dxa"/>
          </w:tcPr>
          <w:p w14:paraId="260DB279" w14:textId="77777777" w:rsidR="005E1B99" w:rsidRPr="006F299D" w:rsidRDefault="005E1B99" w:rsidP="00865BBA">
            <w:pPr>
              <w:rPr>
                <w:rFonts w:ascii="Times New Roman" w:hAnsi="Times New Roman"/>
                <w:sz w:val="24"/>
                <w:szCs w:val="24"/>
              </w:rPr>
            </w:pPr>
          </w:p>
        </w:tc>
        <w:tc>
          <w:tcPr>
            <w:tcW w:w="7154" w:type="dxa"/>
          </w:tcPr>
          <w:p w14:paraId="768485B9" w14:textId="77777777" w:rsidR="005E1B99" w:rsidRPr="006F299D" w:rsidRDefault="005E1B99" w:rsidP="00865BBA">
            <w:pPr>
              <w:jc w:val="both"/>
              <w:rPr>
                <w:rFonts w:ascii="Times New Roman" w:hAnsi="Times New Roman"/>
                <w:b/>
                <w:bCs/>
                <w:sz w:val="24"/>
                <w:szCs w:val="24"/>
              </w:rPr>
            </w:pPr>
            <w:r w:rsidRPr="006F299D">
              <w:rPr>
                <w:rFonts w:ascii="Times New Roman" w:hAnsi="Times New Roman"/>
                <w:b/>
                <w:bCs/>
                <w:sz w:val="24"/>
                <w:szCs w:val="24"/>
              </w:rPr>
              <w:t xml:space="preserve">Muud märkused </w:t>
            </w:r>
          </w:p>
          <w:p w14:paraId="550B0C22" w14:textId="77777777" w:rsidR="005E1B99" w:rsidRPr="006F299D" w:rsidRDefault="005E1B99" w:rsidP="00865BBA">
            <w:pPr>
              <w:jc w:val="both"/>
              <w:rPr>
                <w:rFonts w:ascii="Times New Roman" w:hAnsi="Times New Roman"/>
                <w:sz w:val="24"/>
                <w:szCs w:val="24"/>
              </w:rPr>
            </w:pPr>
            <w:r w:rsidRPr="006F299D">
              <w:rPr>
                <w:rFonts w:ascii="Times New Roman" w:hAnsi="Times New Roman"/>
                <w:b/>
                <w:bCs/>
                <w:sz w:val="24"/>
                <w:szCs w:val="24"/>
              </w:rPr>
              <w:lastRenderedPageBreak/>
              <w:t xml:space="preserve">11. </w:t>
            </w:r>
            <w:r w:rsidRPr="00AB3987">
              <w:rPr>
                <w:rFonts w:ascii="Times New Roman" w:hAnsi="Times New Roman"/>
                <w:sz w:val="24"/>
                <w:szCs w:val="24"/>
              </w:rPr>
              <w:t>Alates 25.05.2025 jõustus hea õigusloome ja normitehnika eeskirja (HÕNTE) muudatus, millega kehtestati halduskoormuse tasakaalustamise reegel – iga halduskoormust suurendava nõudega tuleb kavandada ka halduskoormust vähendav muudatus (HÕNTE § 1 lg 41). Reegli rakendamise juhis on kättesaadav meie veebilehel[1].</w:t>
            </w:r>
            <w:r w:rsidRPr="006F299D">
              <w:rPr>
                <w:rFonts w:ascii="Times New Roman" w:hAnsi="Times New Roman"/>
                <w:sz w:val="24"/>
                <w:szCs w:val="24"/>
              </w:rPr>
              <w:t xml:space="preserve"> </w:t>
            </w:r>
          </w:p>
          <w:p w14:paraId="23DD4CFE" w14:textId="77777777" w:rsidR="005E1B99" w:rsidRPr="006F299D" w:rsidRDefault="005E1B99" w:rsidP="00865BBA">
            <w:pPr>
              <w:jc w:val="both"/>
              <w:rPr>
                <w:rFonts w:ascii="Times New Roman" w:hAnsi="Times New Roman"/>
                <w:sz w:val="24"/>
                <w:szCs w:val="24"/>
              </w:rPr>
            </w:pPr>
          </w:p>
          <w:p w14:paraId="7BDF818A" w14:textId="77777777" w:rsidR="005E1B99" w:rsidRPr="006F299D" w:rsidRDefault="005E1B99" w:rsidP="00865BBA">
            <w:pPr>
              <w:jc w:val="both"/>
              <w:rPr>
                <w:rFonts w:ascii="Times New Roman" w:hAnsi="Times New Roman"/>
                <w:b/>
                <w:bCs/>
                <w:sz w:val="24"/>
                <w:szCs w:val="24"/>
              </w:rPr>
            </w:pPr>
            <w:r w:rsidRPr="006F299D">
              <w:rPr>
                <w:rFonts w:ascii="Times New Roman" w:hAnsi="Times New Roman"/>
                <w:sz w:val="24"/>
                <w:szCs w:val="24"/>
              </w:rPr>
              <w:t>Vastavalt HÕNTE § 41 lg 2 p 3 tuleb seletuskirja sisukokkuvõttes anda ülevaade eelnõu muudatuste mõjust halduskoormusele (ettevõtjatele, inimestele, vabaühendustele). Juhime tähelepanu, et kui eelnõu muudatused peaksid eelnimetatud sihtrühmade koormust kasvatama ning see ei liigitu HÕNTE-ga lubatud erandite alla (vt HÕNTE § 1 lg 42), tuleb eelnõu autoreil samaaegselt leida ka võimalused koormuse vähendamiseks. Vähendamise võimalused tuleb samuti ülevaatlikult sisukokkuvõttesse lisada.</w:t>
            </w:r>
          </w:p>
        </w:tc>
        <w:tc>
          <w:tcPr>
            <w:tcW w:w="4669" w:type="dxa"/>
          </w:tcPr>
          <w:p w14:paraId="44F99DAD" w14:textId="3A303654" w:rsidR="005E1B99" w:rsidRDefault="00AB3987" w:rsidP="00865BBA">
            <w:pPr>
              <w:jc w:val="both"/>
              <w:rPr>
                <w:rFonts w:ascii="Times New Roman" w:hAnsi="Times New Roman"/>
                <w:b/>
                <w:bCs/>
                <w:sz w:val="24"/>
                <w:szCs w:val="24"/>
              </w:rPr>
            </w:pPr>
            <w:r w:rsidRPr="007A72AB">
              <w:rPr>
                <w:rFonts w:ascii="Times New Roman" w:hAnsi="Times New Roman"/>
                <w:b/>
                <w:bCs/>
                <w:sz w:val="24"/>
                <w:szCs w:val="24"/>
              </w:rPr>
              <w:lastRenderedPageBreak/>
              <w:t>Märkusega on arvestatud.</w:t>
            </w:r>
            <w:r w:rsidR="00F6652E">
              <w:rPr>
                <w:rFonts w:ascii="Times New Roman" w:hAnsi="Times New Roman"/>
                <w:b/>
                <w:bCs/>
                <w:sz w:val="24"/>
                <w:szCs w:val="24"/>
              </w:rPr>
              <w:t xml:space="preserve"> </w:t>
            </w:r>
          </w:p>
          <w:p w14:paraId="53152916" w14:textId="77777777" w:rsidR="00F6652E" w:rsidRDefault="00F6652E" w:rsidP="00865BBA">
            <w:pPr>
              <w:jc w:val="both"/>
              <w:rPr>
                <w:rFonts w:ascii="Times New Roman" w:hAnsi="Times New Roman"/>
                <w:b/>
                <w:bCs/>
                <w:sz w:val="24"/>
                <w:szCs w:val="24"/>
              </w:rPr>
            </w:pPr>
          </w:p>
          <w:p w14:paraId="47D79A23" w14:textId="4538E583" w:rsidR="00F6652E" w:rsidRPr="00F6652E" w:rsidRDefault="00F6652E" w:rsidP="00865BBA">
            <w:pPr>
              <w:jc w:val="both"/>
              <w:rPr>
                <w:rFonts w:ascii="Times New Roman" w:hAnsi="Times New Roman"/>
                <w:sz w:val="24"/>
                <w:szCs w:val="24"/>
              </w:rPr>
            </w:pPr>
            <w:r w:rsidRPr="00F6652E">
              <w:rPr>
                <w:rFonts w:ascii="Times New Roman" w:hAnsi="Times New Roman"/>
                <w:sz w:val="24"/>
                <w:szCs w:val="24"/>
              </w:rPr>
              <w:lastRenderedPageBreak/>
              <w:t>Seletuskirja sissejuhatavat osa on asjakohaselt täiendatud.</w:t>
            </w:r>
          </w:p>
          <w:p w14:paraId="48798018" w14:textId="5E9B2960" w:rsidR="00AB3987" w:rsidRPr="006F299D" w:rsidRDefault="00AB3987" w:rsidP="00865BBA">
            <w:pPr>
              <w:jc w:val="both"/>
              <w:rPr>
                <w:rFonts w:ascii="Times New Roman" w:hAnsi="Times New Roman"/>
                <w:sz w:val="24"/>
                <w:szCs w:val="24"/>
              </w:rPr>
            </w:pPr>
          </w:p>
        </w:tc>
      </w:tr>
      <w:tr w:rsidR="005E1B99" w:rsidRPr="006F299D" w14:paraId="5D619EE5" w14:textId="77777777" w:rsidTr="0064162D">
        <w:tc>
          <w:tcPr>
            <w:tcW w:w="2737" w:type="dxa"/>
          </w:tcPr>
          <w:p w14:paraId="7F0C45AA" w14:textId="77777777" w:rsidR="005E1B99" w:rsidRPr="006F299D" w:rsidRDefault="005E1B99" w:rsidP="00865BBA">
            <w:pPr>
              <w:rPr>
                <w:rFonts w:ascii="Times New Roman" w:hAnsi="Times New Roman"/>
                <w:sz w:val="24"/>
                <w:szCs w:val="24"/>
              </w:rPr>
            </w:pPr>
          </w:p>
        </w:tc>
        <w:tc>
          <w:tcPr>
            <w:tcW w:w="7154" w:type="dxa"/>
          </w:tcPr>
          <w:p w14:paraId="14D98FC2" w14:textId="77777777" w:rsidR="005E1B99" w:rsidRPr="006F299D" w:rsidRDefault="005E1B99" w:rsidP="00865BBA">
            <w:pPr>
              <w:jc w:val="both"/>
              <w:rPr>
                <w:rFonts w:ascii="Times New Roman" w:hAnsi="Times New Roman"/>
                <w:sz w:val="24"/>
                <w:szCs w:val="24"/>
              </w:rPr>
            </w:pPr>
            <w:r w:rsidRPr="006F299D">
              <w:rPr>
                <w:rFonts w:ascii="Times New Roman" w:hAnsi="Times New Roman"/>
                <w:b/>
                <w:bCs/>
                <w:sz w:val="24"/>
                <w:szCs w:val="24"/>
              </w:rPr>
              <w:t xml:space="preserve">12. </w:t>
            </w:r>
            <w:r w:rsidRPr="006F299D">
              <w:rPr>
                <w:rFonts w:ascii="Times New Roman" w:hAnsi="Times New Roman"/>
                <w:sz w:val="24"/>
                <w:szCs w:val="24"/>
              </w:rPr>
              <w:t xml:space="preserve">Palume arvestada ka käesoleva kirja lisades esitatud eelnõu ja seletuskirja failis jäljega tehtud märkustega ning märkustega eelnõu mõju kohta. </w:t>
            </w:r>
          </w:p>
        </w:tc>
        <w:tc>
          <w:tcPr>
            <w:tcW w:w="4669" w:type="dxa"/>
          </w:tcPr>
          <w:p w14:paraId="796CC8D5" w14:textId="00C2F999" w:rsidR="005E1B99" w:rsidRPr="00EF7194" w:rsidRDefault="005E1B99" w:rsidP="00865BBA">
            <w:pPr>
              <w:jc w:val="both"/>
              <w:rPr>
                <w:rFonts w:ascii="Times New Roman" w:hAnsi="Times New Roman"/>
                <w:b/>
                <w:bCs/>
                <w:sz w:val="24"/>
                <w:szCs w:val="24"/>
              </w:rPr>
            </w:pPr>
            <w:r w:rsidRPr="00EF7194">
              <w:rPr>
                <w:rFonts w:ascii="Times New Roman" w:hAnsi="Times New Roman"/>
                <w:b/>
                <w:bCs/>
                <w:sz w:val="24"/>
                <w:szCs w:val="24"/>
              </w:rPr>
              <w:t>Märkusega on arvestatud</w:t>
            </w:r>
            <w:r w:rsidR="00EF7194" w:rsidRPr="00EF7194">
              <w:rPr>
                <w:rFonts w:ascii="Times New Roman" w:hAnsi="Times New Roman"/>
                <w:b/>
                <w:bCs/>
                <w:sz w:val="24"/>
                <w:szCs w:val="24"/>
              </w:rPr>
              <w:t>.</w:t>
            </w:r>
          </w:p>
        </w:tc>
      </w:tr>
      <w:tr w:rsidR="005E1B99" w:rsidRPr="006F299D" w14:paraId="43F66777" w14:textId="77777777" w:rsidTr="0064162D">
        <w:tc>
          <w:tcPr>
            <w:tcW w:w="2737" w:type="dxa"/>
          </w:tcPr>
          <w:p w14:paraId="0519996D" w14:textId="77777777" w:rsidR="005E1B99" w:rsidRPr="006F299D" w:rsidRDefault="005E1B99" w:rsidP="00865BBA">
            <w:pPr>
              <w:rPr>
                <w:rFonts w:ascii="Times New Roman" w:hAnsi="Times New Roman"/>
                <w:sz w:val="24"/>
                <w:szCs w:val="24"/>
              </w:rPr>
            </w:pPr>
          </w:p>
        </w:tc>
        <w:tc>
          <w:tcPr>
            <w:tcW w:w="7154" w:type="dxa"/>
          </w:tcPr>
          <w:p w14:paraId="421FA318" w14:textId="77777777" w:rsidR="005E1B99" w:rsidRPr="006F299D" w:rsidRDefault="005E1B99" w:rsidP="00865BBA">
            <w:pPr>
              <w:jc w:val="both"/>
              <w:rPr>
                <w:rFonts w:ascii="Times New Roman" w:hAnsi="Times New Roman"/>
                <w:sz w:val="24"/>
                <w:szCs w:val="24"/>
              </w:rPr>
            </w:pPr>
            <w:r w:rsidRPr="006F299D">
              <w:rPr>
                <w:rFonts w:ascii="Times New Roman" w:hAnsi="Times New Roman"/>
                <w:b/>
                <w:bCs/>
                <w:sz w:val="24"/>
                <w:szCs w:val="24"/>
              </w:rPr>
              <w:t xml:space="preserve">13. </w:t>
            </w:r>
            <w:r w:rsidRPr="006F299D">
              <w:rPr>
                <w:rFonts w:ascii="Times New Roman" w:hAnsi="Times New Roman"/>
                <w:sz w:val="24"/>
                <w:szCs w:val="24"/>
              </w:rPr>
              <w:t xml:space="preserve">Vastavalt Vabariigi Valitsuse reglemendi § 6 lõikele 5 palume eelnõu esitada Justiits- ja Digiministeeriumile täiendavaks kooskõlastamiseks pärast praegusel kooskõlastamisel saadud arvamuste läbivaatamist ja vajaduse korral eelnõu parandamist, et enne eelnõu Vabariigi Valitsusele esitamist kontrollida selle vastavust hea õigusloome ja normitehnika eeskirjale. </w:t>
            </w:r>
          </w:p>
        </w:tc>
        <w:tc>
          <w:tcPr>
            <w:tcW w:w="4669" w:type="dxa"/>
          </w:tcPr>
          <w:p w14:paraId="52C0A7E9" w14:textId="7C2E0599" w:rsidR="005E1B99" w:rsidRPr="007A72AB" w:rsidRDefault="004C28EA" w:rsidP="00865BBA">
            <w:pPr>
              <w:jc w:val="both"/>
              <w:rPr>
                <w:rFonts w:ascii="Times New Roman" w:hAnsi="Times New Roman"/>
                <w:b/>
                <w:bCs/>
                <w:sz w:val="24"/>
                <w:szCs w:val="24"/>
              </w:rPr>
            </w:pPr>
            <w:r w:rsidRPr="007A72AB">
              <w:rPr>
                <w:rFonts w:ascii="Times New Roman" w:hAnsi="Times New Roman"/>
                <w:b/>
                <w:bCs/>
                <w:sz w:val="24"/>
                <w:szCs w:val="24"/>
              </w:rPr>
              <w:t xml:space="preserve">Märkusega </w:t>
            </w:r>
            <w:r w:rsidR="00AB3987" w:rsidRPr="007A72AB">
              <w:rPr>
                <w:rFonts w:ascii="Times New Roman" w:hAnsi="Times New Roman"/>
                <w:b/>
                <w:bCs/>
                <w:sz w:val="24"/>
                <w:szCs w:val="24"/>
              </w:rPr>
              <w:t xml:space="preserve">on </w:t>
            </w:r>
            <w:r w:rsidRPr="007A72AB">
              <w:rPr>
                <w:rFonts w:ascii="Times New Roman" w:hAnsi="Times New Roman"/>
                <w:b/>
                <w:bCs/>
                <w:sz w:val="24"/>
                <w:szCs w:val="24"/>
              </w:rPr>
              <w:t>arvesta</w:t>
            </w:r>
            <w:r w:rsidR="00AB3987" w:rsidRPr="007A72AB">
              <w:rPr>
                <w:rFonts w:ascii="Times New Roman" w:hAnsi="Times New Roman"/>
                <w:b/>
                <w:bCs/>
                <w:sz w:val="24"/>
                <w:szCs w:val="24"/>
              </w:rPr>
              <w:t>tud</w:t>
            </w:r>
            <w:r w:rsidRPr="007A72AB">
              <w:rPr>
                <w:rFonts w:ascii="Times New Roman" w:hAnsi="Times New Roman"/>
                <w:b/>
                <w:bCs/>
                <w:sz w:val="24"/>
                <w:szCs w:val="24"/>
              </w:rPr>
              <w:t>.</w:t>
            </w:r>
          </w:p>
        </w:tc>
      </w:tr>
      <w:tr w:rsidR="00B0221D" w:rsidRPr="006F299D" w14:paraId="022E7504" w14:textId="77777777" w:rsidTr="0064162D">
        <w:tc>
          <w:tcPr>
            <w:tcW w:w="2737" w:type="dxa"/>
          </w:tcPr>
          <w:p w14:paraId="62C3D249" w14:textId="77777777" w:rsidR="00B0221D" w:rsidRPr="00B0221D" w:rsidRDefault="00B0221D" w:rsidP="00865BBA">
            <w:pPr>
              <w:rPr>
                <w:rFonts w:ascii="Times New Roman" w:hAnsi="Times New Roman"/>
                <w:b/>
                <w:bCs/>
                <w:sz w:val="24"/>
                <w:szCs w:val="24"/>
              </w:rPr>
            </w:pPr>
            <w:r w:rsidRPr="00B0221D">
              <w:rPr>
                <w:rFonts w:ascii="Times New Roman" w:hAnsi="Times New Roman"/>
                <w:b/>
                <w:bCs/>
                <w:sz w:val="24"/>
                <w:szCs w:val="24"/>
              </w:rPr>
              <w:t>Justiits- ja Digiministeeriumi</w:t>
            </w:r>
          </w:p>
          <w:p w14:paraId="6BB55AFC" w14:textId="121A492E" w:rsidR="00B0221D" w:rsidRPr="006F299D" w:rsidRDefault="00B0221D" w:rsidP="00865BBA">
            <w:pPr>
              <w:rPr>
                <w:rFonts w:ascii="Times New Roman" w:hAnsi="Times New Roman"/>
                <w:sz w:val="24"/>
                <w:szCs w:val="24"/>
              </w:rPr>
            </w:pPr>
            <w:r>
              <w:rPr>
                <w:rFonts w:ascii="Times New Roman" w:hAnsi="Times New Roman"/>
                <w:sz w:val="24"/>
                <w:szCs w:val="24"/>
              </w:rPr>
              <w:t>04.12.2025 mittekooskõlastuskiri</w:t>
            </w:r>
          </w:p>
        </w:tc>
        <w:tc>
          <w:tcPr>
            <w:tcW w:w="7154" w:type="dxa"/>
          </w:tcPr>
          <w:p w14:paraId="039E4D01" w14:textId="77777777" w:rsidR="00B0221D" w:rsidRPr="00B0221D" w:rsidRDefault="00B0221D" w:rsidP="00B0221D">
            <w:pPr>
              <w:jc w:val="both"/>
              <w:rPr>
                <w:rFonts w:ascii="Times New Roman" w:hAnsi="Times New Roman"/>
                <w:b/>
                <w:bCs/>
                <w:sz w:val="24"/>
                <w:szCs w:val="24"/>
              </w:rPr>
            </w:pPr>
          </w:p>
          <w:p w14:paraId="6AFCCF51" w14:textId="775D6D38" w:rsidR="00B0221D" w:rsidRPr="00B0221D" w:rsidRDefault="00B0221D" w:rsidP="00B0221D">
            <w:pPr>
              <w:jc w:val="both"/>
              <w:rPr>
                <w:rFonts w:ascii="Times New Roman" w:hAnsi="Times New Roman"/>
                <w:sz w:val="24"/>
                <w:szCs w:val="24"/>
              </w:rPr>
            </w:pPr>
            <w:r w:rsidRPr="00B0221D">
              <w:rPr>
                <w:rFonts w:ascii="Times New Roman" w:hAnsi="Times New Roman"/>
                <w:sz w:val="24"/>
                <w:szCs w:val="24"/>
              </w:rPr>
              <w:t xml:space="preserve">Regionaal- ja Põllumajandusministeerium on saatnud Justiits- ja Digiministeeriumile kooskõlastamiseks taimekaitseseaduse (TaimKS) ja riigilõivuseaduse muutmise seaduse eelnõu. Justiits- ja Digiministeerium jätab eelnõu kooskõlastamata. Põhjendame seda järgmiselt. </w:t>
            </w:r>
          </w:p>
          <w:p w14:paraId="27706EA2" w14:textId="45EDAA1B" w:rsidR="00B0221D" w:rsidRPr="006F299D" w:rsidRDefault="00B0221D" w:rsidP="00B0221D">
            <w:pPr>
              <w:jc w:val="both"/>
              <w:rPr>
                <w:rFonts w:ascii="Times New Roman" w:hAnsi="Times New Roman"/>
                <w:b/>
                <w:bCs/>
                <w:sz w:val="24"/>
                <w:szCs w:val="24"/>
              </w:rPr>
            </w:pPr>
          </w:p>
        </w:tc>
        <w:tc>
          <w:tcPr>
            <w:tcW w:w="4669" w:type="dxa"/>
          </w:tcPr>
          <w:p w14:paraId="1F5104B6" w14:textId="77777777" w:rsidR="00B0221D" w:rsidRPr="007A72AB" w:rsidRDefault="00B0221D" w:rsidP="00865BBA">
            <w:pPr>
              <w:jc w:val="both"/>
              <w:rPr>
                <w:rFonts w:ascii="Times New Roman" w:hAnsi="Times New Roman"/>
                <w:b/>
                <w:bCs/>
                <w:sz w:val="24"/>
                <w:szCs w:val="24"/>
              </w:rPr>
            </w:pPr>
          </w:p>
        </w:tc>
      </w:tr>
      <w:tr w:rsidR="00B0221D" w:rsidRPr="006F299D" w14:paraId="33B65136" w14:textId="77777777" w:rsidTr="0064162D">
        <w:tc>
          <w:tcPr>
            <w:tcW w:w="2737" w:type="dxa"/>
          </w:tcPr>
          <w:p w14:paraId="3B264BD2" w14:textId="77777777" w:rsidR="00B0221D" w:rsidRPr="00B0221D" w:rsidRDefault="00B0221D" w:rsidP="00865BBA">
            <w:pPr>
              <w:rPr>
                <w:rFonts w:ascii="Times New Roman" w:hAnsi="Times New Roman"/>
                <w:b/>
                <w:bCs/>
                <w:sz w:val="24"/>
                <w:szCs w:val="24"/>
              </w:rPr>
            </w:pPr>
          </w:p>
        </w:tc>
        <w:tc>
          <w:tcPr>
            <w:tcW w:w="7154" w:type="dxa"/>
          </w:tcPr>
          <w:p w14:paraId="49A3A2ED" w14:textId="77777777" w:rsidR="00B0221D" w:rsidRPr="00B0221D" w:rsidRDefault="00B0221D" w:rsidP="00B0221D">
            <w:pPr>
              <w:jc w:val="both"/>
              <w:rPr>
                <w:rFonts w:ascii="Times New Roman" w:hAnsi="Times New Roman"/>
                <w:sz w:val="24"/>
                <w:szCs w:val="24"/>
              </w:rPr>
            </w:pPr>
            <w:r w:rsidRPr="00B0221D">
              <w:rPr>
                <w:rFonts w:ascii="Times New Roman" w:hAnsi="Times New Roman"/>
                <w:sz w:val="24"/>
                <w:szCs w:val="24"/>
              </w:rPr>
              <w:t xml:space="preserve">1. Justiits- ja Digiministeerium on teinud esimesel kooskõlastusringil kaks märkust, millest kummagagi ei ole arvestatud ning märgitud on, et taimetervise registri sätete kohta tehtud ettepanekuid analüüsitakse eraldi käesolevast eelnõust, kuna eelnõu menetlemise ajaraam ei võimalda eelnõusse täiendavate küsimuste lisamist. Eelnõu üks peamine eesmärk </w:t>
            </w:r>
            <w:r w:rsidRPr="00B0221D">
              <w:rPr>
                <w:rFonts w:ascii="Times New Roman" w:hAnsi="Times New Roman"/>
                <w:sz w:val="24"/>
                <w:szCs w:val="24"/>
              </w:rPr>
              <w:lastRenderedPageBreak/>
              <w:t xml:space="preserve">on parandada esimesel võimalusel taimekaitsevahendite turulelaskmise menetluse tasustamise probleemid. Justiits- ja Digiministeerium märgib, et registri põhimäärus on juba kehtestatud, seega ei nõua selle kehtestamiseks antud volitus täiendavat analüüsi, vaid tuleb seadustada kehtiv olukord. Sisuliselt tuleks kehtivat põhimäärust silmas pidades TaimKS § 30 lg 1 sõnastada järgmiselt: </w:t>
            </w:r>
          </w:p>
          <w:p w14:paraId="25AE4520" w14:textId="77777777" w:rsidR="00B0221D" w:rsidRPr="00B0221D" w:rsidRDefault="00B0221D" w:rsidP="00B0221D">
            <w:pPr>
              <w:jc w:val="both"/>
              <w:rPr>
                <w:rFonts w:ascii="Times New Roman" w:hAnsi="Times New Roman"/>
                <w:sz w:val="24"/>
                <w:szCs w:val="24"/>
              </w:rPr>
            </w:pPr>
          </w:p>
          <w:p w14:paraId="299EAD1A" w14:textId="77777777" w:rsidR="00B0221D" w:rsidRPr="00B0221D" w:rsidRDefault="00B0221D" w:rsidP="00B0221D">
            <w:pPr>
              <w:jc w:val="both"/>
              <w:rPr>
                <w:rFonts w:ascii="Times New Roman" w:hAnsi="Times New Roman"/>
                <w:sz w:val="24"/>
                <w:szCs w:val="24"/>
              </w:rPr>
            </w:pPr>
            <w:r w:rsidRPr="00B0221D">
              <w:rPr>
                <w:rFonts w:ascii="Times New Roman" w:hAnsi="Times New Roman"/>
                <w:i/>
                <w:iCs/>
                <w:sz w:val="24"/>
                <w:szCs w:val="24"/>
              </w:rPr>
              <w:t xml:space="preserve">„(1) Taimetervise registri põhimääruse kehtestab valdkonna eest vastutav minister määrusega, milles sätestatakse andmekogu pidamise kord, sealhulgas: </w:t>
            </w:r>
          </w:p>
          <w:p w14:paraId="47637511" w14:textId="77777777" w:rsidR="00B0221D" w:rsidRPr="00B0221D" w:rsidRDefault="00B0221D" w:rsidP="00B0221D">
            <w:pPr>
              <w:jc w:val="both"/>
              <w:rPr>
                <w:rFonts w:ascii="Times New Roman" w:hAnsi="Times New Roman"/>
                <w:sz w:val="24"/>
                <w:szCs w:val="24"/>
              </w:rPr>
            </w:pPr>
            <w:r w:rsidRPr="00B0221D">
              <w:rPr>
                <w:rFonts w:ascii="Times New Roman" w:hAnsi="Times New Roman"/>
                <w:i/>
                <w:iCs/>
                <w:sz w:val="24"/>
                <w:szCs w:val="24"/>
              </w:rPr>
              <w:t xml:space="preserve">1) andmeandjad ja nendelt saadavad andmed; </w:t>
            </w:r>
          </w:p>
          <w:p w14:paraId="4D8EF6F9" w14:textId="77777777" w:rsidR="00B0221D" w:rsidRPr="00B0221D" w:rsidRDefault="00B0221D" w:rsidP="00B0221D">
            <w:pPr>
              <w:jc w:val="both"/>
              <w:rPr>
                <w:rFonts w:ascii="Times New Roman" w:hAnsi="Times New Roman"/>
                <w:sz w:val="24"/>
                <w:szCs w:val="24"/>
              </w:rPr>
            </w:pPr>
            <w:r w:rsidRPr="00B0221D">
              <w:rPr>
                <w:rFonts w:ascii="Times New Roman" w:hAnsi="Times New Roman"/>
                <w:i/>
                <w:iCs/>
                <w:sz w:val="24"/>
                <w:szCs w:val="24"/>
              </w:rPr>
              <w:t xml:space="preserve">2) täpne andmekoosseis; </w:t>
            </w:r>
          </w:p>
          <w:p w14:paraId="00A59A95" w14:textId="77777777" w:rsidR="00B0221D" w:rsidRPr="00B0221D" w:rsidRDefault="00B0221D" w:rsidP="00B0221D">
            <w:pPr>
              <w:jc w:val="both"/>
              <w:rPr>
                <w:rFonts w:ascii="Times New Roman" w:hAnsi="Times New Roman"/>
                <w:sz w:val="24"/>
                <w:szCs w:val="24"/>
              </w:rPr>
            </w:pPr>
            <w:r w:rsidRPr="00B0221D">
              <w:rPr>
                <w:rFonts w:ascii="Times New Roman" w:hAnsi="Times New Roman"/>
                <w:i/>
                <w:iCs/>
                <w:sz w:val="24"/>
                <w:szCs w:val="24"/>
              </w:rPr>
              <w:t xml:space="preserve">3) volitatud töötleja ja tema ülesanded; </w:t>
            </w:r>
          </w:p>
          <w:p w14:paraId="6C27FDB9" w14:textId="77777777" w:rsidR="00B0221D" w:rsidRPr="00B0221D" w:rsidRDefault="00B0221D" w:rsidP="00B0221D">
            <w:pPr>
              <w:jc w:val="both"/>
              <w:rPr>
                <w:rFonts w:ascii="Times New Roman" w:hAnsi="Times New Roman"/>
                <w:sz w:val="24"/>
                <w:szCs w:val="24"/>
              </w:rPr>
            </w:pPr>
            <w:r w:rsidRPr="00B0221D">
              <w:rPr>
                <w:rFonts w:ascii="Times New Roman" w:hAnsi="Times New Roman"/>
                <w:i/>
                <w:iCs/>
                <w:sz w:val="24"/>
                <w:szCs w:val="24"/>
              </w:rPr>
              <w:t xml:space="preserve">4) andmetele juurdepääsu ja andmete väljastamise kord; </w:t>
            </w:r>
          </w:p>
          <w:p w14:paraId="0973A1AF" w14:textId="77777777" w:rsidR="00B0221D" w:rsidRDefault="00B0221D" w:rsidP="00B0221D">
            <w:pPr>
              <w:jc w:val="both"/>
              <w:rPr>
                <w:rFonts w:ascii="Times New Roman" w:hAnsi="Times New Roman"/>
                <w:sz w:val="24"/>
                <w:szCs w:val="24"/>
              </w:rPr>
            </w:pPr>
            <w:r w:rsidRPr="00B0221D">
              <w:rPr>
                <w:rFonts w:ascii="Times New Roman" w:hAnsi="Times New Roman"/>
                <w:i/>
                <w:iCs/>
                <w:sz w:val="24"/>
                <w:szCs w:val="24"/>
              </w:rPr>
              <w:t>5) muud korralduslikud küsimused.“</w:t>
            </w:r>
            <w:r w:rsidRPr="00B0221D">
              <w:rPr>
                <w:rFonts w:ascii="Times New Roman" w:hAnsi="Times New Roman"/>
                <w:sz w:val="24"/>
                <w:szCs w:val="24"/>
              </w:rPr>
              <w:t>.</w:t>
            </w:r>
          </w:p>
          <w:p w14:paraId="47377DA6" w14:textId="553D99DE" w:rsidR="005B4964" w:rsidRPr="006F299D" w:rsidRDefault="005B4964" w:rsidP="00B0221D">
            <w:pPr>
              <w:jc w:val="both"/>
              <w:rPr>
                <w:rFonts w:ascii="Times New Roman" w:hAnsi="Times New Roman"/>
                <w:b/>
                <w:bCs/>
                <w:sz w:val="24"/>
                <w:szCs w:val="24"/>
              </w:rPr>
            </w:pPr>
          </w:p>
        </w:tc>
        <w:tc>
          <w:tcPr>
            <w:tcW w:w="4669" w:type="dxa"/>
          </w:tcPr>
          <w:p w14:paraId="55A7ACD9" w14:textId="77777777" w:rsidR="00B0221D" w:rsidRDefault="005B4964" w:rsidP="00865BBA">
            <w:pPr>
              <w:jc w:val="both"/>
              <w:rPr>
                <w:rFonts w:ascii="Times New Roman" w:hAnsi="Times New Roman"/>
                <w:b/>
                <w:bCs/>
                <w:sz w:val="24"/>
                <w:szCs w:val="24"/>
              </w:rPr>
            </w:pPr>
            <w:r>
              <w:rPr>
                <w:rFonts w:ascii="Times New Roman" w:hAnsi="Times New Roman"/>
                <w:b/>
                <w:bCs/>
                <w:sz w:val="24"/>
                <w:szCs w:val="24"/>
              </w:rPr>
              <w:lastRenderedPageBreak/>
              <w:t>Märkusega arvestatud.</w:t>
            </w:r>
          </w:p>
          <w:p w14:paraId="36DC1249" w14:textId="5781BA9D" w:rsidR="005B4964" w:rsidRPr="005B4964" w:rsidRDefault="005B4964" w:rsidP="00865BBA">
            <w:pPr>
              <w:jc w:val="both"/>
              <w:rPr>
                <w:rFonts w:ascii="Times New Roman" w:hAnsi="Times New Roman"/>
                <w:sz w:val="24"/>
                <w:szCs w:val="24"/>
              </w:rPr>
            </w:pPr>
            <w:r>
              <w:rPr>
                <w:rFonts w:ascii="Times New Roman" w:hAnsi="Times New Roman"/>
                <w:sz w:val="24"/>
                <w:szCs w:val="24"/>
              </w:rPr>
              <w:t xml:space="preserve">Eelnõu on täiendatud asjakohase punktiga taimetervise registri </w:t>
            </w:r>
            <w:r w:rsidR="003D54CE">
              <w:rPr>
                <w:rFonts w:ascii="Times New Roman" w:hAnsi="Times New Roman"/>
                <w:sz w:val="24"/>
                <w:szCs w:val="24"/>
              </w:rPr>
              <w:t xml:space="preserve">põhimääruse </w:t>
            </w:r>
            <w:r>
              <w:rPr>
                <w:rFonts w:ascii="Times New Roman" w:hAnsi="Times New Roman"/>
                <w:sz w:val="24"/>
                <w:szCs w:val="24"/>
              </w:rPr>
              <w:t xml:space="preserve">sätete osas. </w:t>
            </w:r>
          </w:p>
        </w:tc>
      </w:tr>
      <w:tr w:rsidR="00B0221D" w:rsidRPr="006F299D" w14:paraId="196D3759" w14:textId="77777777" w:rsidTr="0064162D">
        <w:tc>
          <w:tcPr>
            <w:tcW w:w="2737" w:type="dxa"/>
          </w:tcPr>
          <w:p w14:paraId="439E0C27" w14:textId="77777777" w:rsidR="00B0221D" w:rsidRPr="00B0221D" w:rsidRDefault="00B0221D" w:rsidP="00865BBA">
            <w:pPr>
              <w:rPr>
                <w:rFonts w:ascii="Times New Roman" w:hAnsi="Times New Roman"/>
                <w:b/>
                <w:bCs/>
                <w:sz w:val="24"/>
                <w:szCs w:val="24"/>
              </w:rPr>
            </w:pPr>
          </w:p>
        </w:tc>
        <w:tc>
          <w:tcPr>
            <w:tcW w:w="7154" w:type="dxa"/>
          </w:tcPr>
          <w:p w14:paraId="62320B01" w14:textId="7F155393" w:rsidR="00B0221D" w:rsidRDefault="00B0221D" w:rsidP="00B0221D">
            <w:pPr>
              <w:jc w:val="both"/>
              <w:rPr>
                <w:rFonts w:ascii="Times New Roman" w:hAnsi="Times New Roman"/>
                <w:sz w:val="24"/>
                <w:szCs w:val="24"/>
              </w:rPr>
            </w:pPr>
            <w:r>
              <w:rPr>
                <w:rFonts w:ascii="Times New Roman" w:hAnsi="Times New Roman"/>
                <w:sz w:val="24"/>
                <w:szCs w:val="24"/>
              </w:rPr>
              <w:t xml:space="preserve">2. </w:t>
            </w:r>
            <w:r w:rsidRPr="00B0221D">
              <w:rPr>
                <w:rFonts w:ascii="Times New Roman" w:hAnsi="Times New Roman"/>
                <w:b/>
                <w:bCs/>
                <w:sz w:val="24"/>
                <w:szCs w:val="24"/>
              </w:rPr>
              <w:t xml:space="preserve">TaimKS § 80 </w:t>
            </w:r>
            <w:r w:rsidRPr="00B0221D">
              <w:rPr>
                <w:rFonts w:ascii="Times New Roman" w:hAnsi="Times New Roman"/>
                <w:sz w:val="24"/>
                <w:szCs w:val="24"/>
              </w:rPr>
              <w:t xml:space="preserve">– kõnealuse sättega seoses palusime eelnõu esimesel kooskõlastusringil täiendada säilitustähtaegade regulatsiooniga ning põhimääruse kehtestamise volitusnormi selgete raamidega. Selle kohta on kooskõlastustabelis märgitud, et isikuandmete kaitse seaduse (IKS) § 17 lõige 1 võimaldab kehtestada töödeldavate isikuandmete säilitamise tähtaja seaduse või määrusega. Isikuandmete säilitamise tähtaja kehtestamine seaduses ei ole otstarbekas, kuna sellisel juhul ei ole vastutaval töötlejal võimalik kehtestada täpsemat säilitamise tähtaega. Selleks, et järgida isikuandmete töötlemisel säilitamise põhimõtet, peaks registri vastutaval töötlejal olema võimalik kehtestada asjaolusid arvestades selline säilitustähtaeg, mis on vähim vajalik konkreetsete isikuandmete töötlemiseks. Justiits- ja Digiministeerium juhib tähelepanu, et IKS §-ga 17 on üle võetud nii-öelda õiguskaitseasutuste direktiiv1, mis kohaldub üksnes õiguskaitseasutustele, mida aga Regionaal- ja Põllumajandusministeerium ei ole. Antud juhul kohalduvad isikuandmete kaitse üldmäärus ning Eesti Vabariigi põhiseadus, mis kohustab põhiõiguste riive raamid alati nägema ette seadusega. Seega tuleb säilitamise maksimaalne tähtaeg näha ette </w:t>
            </w:r>
            <w:r w:rsidRPr="00B0221D">
              <w:rPr>
                <w:rFonts w:ascii="Times New Roman" w:hAnsi="Times New Roman"/>
                <w:sz w:val="24"/>
                <w:szCs w:val="24"/>
              </w:rPr>
              <w:lastRenderedPageBreak/>
              <w:t xml:space="preserve">seaduse tasandil ning vajadusel saab põhimääruses säilitustähtaegu täpsustada, kuid mitte pikendada. Vt selle kohta ka juhist Justiits- ja Digiministeeriumi kodulehel2. Vastav volitus tähtaegade täpsustamiseks tuleb ette näha põhimääruse kehtestamise volitusnormi raamides. Sisuliselt tuleb kehtivat põhimäärust silmas pidades TaimKS § 80 lg 2 sõnastada järgmiselt: </w:t>
            </w:r>
          </w:p>
          <w:p w14:paraId="10348B71" w14:textId="77777777" w:rsidR="00B0221D" w:rsidRPr="00B0221D" w:rsidRDefault="00B0221D" w:rsidP="00B0221D">
            <w:pPr>
              <w:jc w:val="both"/>
              <w:rPr>
                <w:rFonts w:ascii="Times New Roman" w:hAnsi="Times New Roman"/>
                <w:sz w:val="24"/>
                <w:szCs w:val="24"/>
              </w:rPr>
            </w:pPr>
            <w:r w:rsidRPr="00B0221D">
              <w:rPr>
                <w:rFonts w:ascii="Times New Roman" w:hAnsi="Times New Roman"/>
                <w:i/>
                <w:iCs/>
                <w:sz w:val="24"/>
                <w:szCs w:val="24"/>
              </w:rPr>
              <w:t xml:space="preserve">„(2) Taimekaitsevahendite registri põhimääruse kehtestab valdkonna eest vastutav minister määrusega, milles sätestatakse andmekogu pidamise kord, sealhulgas: </w:t>
            </w:r>
          </w:p>
          <w:p w14:paraId="4AD638D4" w14:textId="77777777" w:rsidR="00B0221D" w:rsidRPr="00B0221D" w:rsidRDefault="00B0221D" w:rsidP="00B0221D">
            <w:pPr>
              <w:jc w:val="both"/>
              <w:rPr>
                <w:rFonts w:ascii="Times New Roman" w:hAnsi="Times New Roman"/>
                <w:sz w:val="24"/>
                <w:szCs w:val="24"/>
              </w:rPr>
            </w:pPr>
            <w:r w:rsidRPr="00B0221D">
              <w:rPr>
                <w:rFonts w:ascii="Times New Roman" w:hAnsi="Times New Roman"/>
                <w:i/>
                <w:iCs/>
                <w:sz w:val="24"/>
                <w:szCs w:val="24"/>
              </w:rPr>
              <w:t xml:space="preserve">1) andmeandjad ja nendelt saadavad andmed; </w:t>
            </w:r>
          </w:p>
          <w:p w14:paraId="174F017F" w14:textId="77777777" w:rsidR="00B0221D" w:rsidRPr="00B0221D" w:rsidRDefault="00B0221D" w:rsidP="00B0221D">
            <w:pPr>
              <w:jc w:val="both"/>
              <w:rPr>
                <w:rFonts w:ascii="Times New Roman" w:hAnsi="Times New Roman"/>
                <w:sz w:val="24"/>
                <w:szCs w:val="24"/>
              </w:rPr>
            </w:pPr>
            <w:r w:rsidRPr="00B0221D">
              <w:rPr>
                <w:rFonts w:ascii="Times New Roman" w:hAnsi="Times New Roman"/>
                <w:i/>
                <w:iCs/>
                <w:sz w:val="24"/>
                <w:szCs w:val="24"/>
              </w:rPr>
              <w:t xml:space="preserve">2) täpne andmekoosseis; </w:t>
            </w:r>
          </w:p>
          <w:p w14:paraId="4CF92EDE" w14:textId="77777777" w:rsidR="00B0221D" w:rsidRPr="00B0221D" w:rsidRDefault="00B0221D" w:rsidP="00B0221D">
            <w:pPr>
              <w:jc w:val="both"/>
              <w:rPr>
                <w:rFonts w:ascii="Times New Roman" w:hAnsi="Times New Roman"/>
                <w:sz w:val="24"/>
                <w:szCs w:val="24"/>
              </w:rPr>
            </w:pPr>
            <w:r w:rsidRPr="00B0221D">
              <w:rPr>
                <w:rFonts w:ascii="Times New Roman" w:hAnsi="Times New Roman"/>
                <w:i/>
                <w:iCs/>
                <w:sz w:val="24"/>
                <w:szCs w:val="24"/>
              </w:rPr>
              <w:t xml:space="preserve">3) andmete säilitamise täpsemad tähtajad; </w:t>
            </w:r>
          </w:p>
          <w:p w14:paraId="0E87CA4D" w14:textId="77777777" w:rsidR="00B0221D" w:rsidRPr="00B0221D" w:rsidRDefault="00B0221D" w:rsidP="00B0221D">
            <w:pPr>
              <w:jc w:val="both"/>
              <w:rPr>
                <w:rFonts w:ascii="Times New Roman" w:hAnsi="Times New Roman"/>
                <w:sz w:val="24"/>
                <w:szCs w:val="24"/>
              </w:rPr>
            </w:pPr>
            <w:r w:rsidRPr="00B0221D">
              <w:rPr>
                <w:rFonts w:ascii="Times New Roman" w:hAnsi="Times New Roman"/>
                <w:i/>
                <w:iCs/>
                <w:sz w:val="24"/>
                <w:szCs w:val="24"/>
              </w:rPr>
              <w:t xml:space="preserve">4) volitatud töötleja ja tema ülesanded; </w:t>
            </w:r>
          </w:p>
          <w:p w14:paraId="0A68A2AD" w14:textId="77777777" w:rsidR="00B0221D" w:rsidRPr="00B0221D" w:rsidRDefault="00B0221D" w:rsidP="00B0221D">
            <w:pPr>
              <w:jc w:val="both"/>
              <w:rPr>
                <w:rFonts w:ascii="Times New Roman" w:hAnsi="Times New Roman"/>
                <w:sz w:val="24"/>
                <w:szCs w:val="24"/>
              </w:rPr>
            </w:pPr>
            <w:r w:rsidRPr="00B0221D">
              <w:rPr>
                <w:rFonts w:ascii="Times New Roman" w:hAnsi="Times New Roman"/>
                <w:i/>
                <w:iCs/>
                <w:sz w:val="24"/>
                <w:szCs w:val="24"/>
              </w:rPr>
              <w:t xml:space="preserve">5) andmetele juurdepääsu ja andmete väljastamise kord; </w:t>
            </w:r>
          </w:p>
          <w:p w14:paraId="12B2062C" w14:textId="6B356AE3" w:rsidR="00B0221D" w:rsidRPr="00B0221D" w:rsidRDefault="00B0221D" w:rsidP="00B0221D">
            <w:pPr>
              <w:jc w:val="both"/>
              <w:rPr>
                <w:rFonts w:ascii="Times New Roman" w:hAnsi="Times New Roman"/>
                <w:sz w:val="24"/>
                <w:szCs w:val="24"/>
              </w:rPr>
            </w:pPr>
            <w:r w:rsidRPr="00B0221D">
              <w:rPr>
                <w:rFonts w:ascii="Times New Roman" w:hAnsi="Times New Roman"/>
                <w:i/>
                <w:iCs/>
                <w:sz w:val="24"/>
                <w:szCs w:val="24"/>
              </w:rPr>
              <w:t>6) muud korralduslikud küsimused.“</w:t>
            </w:r>
            <w:r w:rsidRPr="00B0221D">
              <w:rPr>
                <w:rFonts w:ascii="Times New Roman" w:hAnsi="Times New Roman"/>
                <w:sz w:val="24"/>
                <w:szCs w:val="24"/>
              </w:rPr>
              <w:t>.</w:t>
            </w:r>
          </w:p>
          <w:p w14:paraId="2145052B" w14:textId="77777777" w:rsidR="00B0221D" w:rsidRPr="00B0221D" w:rsidRDefault="00B0221D" w:rsidP="00B0221D">
            <w:pPr>
              <w:jc w:val="both"/>
              <w:rPr>
                <w:rFonts w:ascii="Times New Roman" w:hAnsi="Times New Roman"/>
                <w:sz w:val="24"/>
                <w:szCs w:val="24"/>
              </w:rPr>
            </w:pPr>
          </w:p>
        </w:tc>
        <w:tc>
          <w:tcPr>
            <w:tcW w:w="4669" w:type="dxa"/>
          </w:tcPr>
          <w:p w14:paraId="073C739D" w14:textId="77777777" w:rsidR="00B0221D" w:rsidRDefault="00B0221D" w:rsidP="00865BBA">
            <w:pPr>
              <w:jc w:val="both"/>
              <w:rPr>
                <w:rFonts w:ascii="Times New Roman" w:hAnsi="Times New Roman"/>
                <w:b/>
                <w:bCs/>
                <w:sz w:val="24"/>
                <w:szCs w:val="24"/>
              </w:rPr>
            </w:pPr>
          </w:p>
          <w:p w14:paraId="07E7D1C1" w14:textId="77777777" w:rsidR="005B4964" w:rsidRDefault="005B4964" w:rsidP="00865BBA">
            <w:pPr>
              <w:jc w:val="both"/>
              <w:rPr>
                <w:rFonts w:ascii="Times New Roman" w:hAnsi="Times New Roman"/>
                <w:b/>
                <w:bCs/>
                <w:sz w:val="24"/>
                <w:szCs w:val="24"/>
              </w:rPr>
            </w:pPr>
            <w:r>
              <w:rPr>
                <w:rFonts w:ascii="Times New Roman" w:hAnsi="Times New Roman"/>
                <w:b/>
                <w:bCs/>
                <w:sz w:val="24"/>
                <w:szCs w:val="24"/>
              </w:rPr>
              <w:t>Märkusega arvestatud.</w:t>
            </w:r>
          </w:p>
          <w:p w14:paraId="6FE403A8" w14:textId="47A07DD7" w:rsidR="005B4964" w:rsidRPr="005B4964" w:rsidRDefault="005B4964" w:rsidP="00865BBA">
            <w:pPr>
              <w:jc w:val="both"/>
              <w:rPr>
                <w:rFonts w:ascii="Times New Roman" w:hAnsi="Times New Roman"/>
                <w:sz w:val="24"/>
                <w:szCs w:val="24"/>
              </w:rPr>
            </w:pPr>
            <w:r>
              <w:rPr>
                <w:rFonts w:ascii="Times New Roman" w:hAnsi="Times New Roman"/>
                <w:sz w:val="24"/>
                <w:szCs w:val="24"/>
              </w:rPr>
              <w:t>Arvestame märkusega volitusnormi selgete raamide esitamise kohta.</w:t>
            </w:r>
          </w:p>
        </w:tc>
      </w:tr>
      <w:tr w:rsidR="00B0221D" w:rsidRPr="006F299D" w14:paraId="44075908" w14:textId="77777777" w:rsidTr="0064162D">
        <w:tc>
          <w:tcPr>
            <w:tcW w:w="2737" w:type="dxa"/>
          </w:tcPr>
          <w:p w14:paraId="6AD41686" w14:textId="77777777" w:rsidR="00B0221D" w:rsidRPr="00B0221D" w:rsidRDefault="00B0221D" w:rsidP="00865BBA">
            <w:pPr>
              <w:rPr>
                <w:rFonts w:ascii="Times New Roman" w:hAnsi="Times New Roman"/>
                <w:b/>
                <w:bCs/>
                <w:sz w:val="24"/>
                <w:szCs w:val="24"/>
              </w:rPr>
            </w:pPr>
          </w:p>
        </w:tc>
        <w:tc>
          <w:tcPr>
            <w:tcW w:w="7154" w:type="dxa"/>
          </w:tcPr>
          <w:p w14:paraId="18FD6BFE" w14:textId="53BBF95B" w:rsidR="00B0221D" w:rsidRPr="00B0221D" w:rsidRDefault="00B0221D" w:rsidP="00B0221D">
            <w:pPr>
              <w:jc w:val="both"/>
              <w:rPr>
                <w:rFonts w:ascii="Times New Roman" w:hAnsi="Times New Roman"/>
                <w:sz w:val="24"/>
                <w:szCs w:val="24"/>
              </w:rPr>
            </w:pPr>
            <w:r>
              <w:rPr>
                <w:rFonts w:ascii="Times New Roman" w:hAnsi="Times New Roman"/>
                <w:sz w:val="24"/>
                <w:szCs w:val="24"/>
              </w:rPr>
              <w:t xml:space="preserve">3. </w:t>
            </w:r>
            <w:r w:rsidRPr="00B0221D">
              <w:rPr>
                <w:rFonts w:ascii="Times New Roman" w:hAnsi="Times New Roman"/>
                <w:b/>
                <w:bCs/>
                <w:sz w:val="24"/>
                <w:szCs w:val="24"/>
              </w:rPr>
              <w:t xml:space="preserve">TaimKS § 81 lg 3 </w:t>
            </w:r>
            <w:r w:rsidRPr="00B0221D">
              <w:rPr>
                <w:rFonts w:ascii="Times New Roman" w:hAnsi="Times New Roman"/>
                <w:sz w:val="24"/>
                <w:szCs w:val="24"/>
              </w:rPr>
              <w:t xml:space="preserve">– kõnealuse sätte kohaselt vastutab taimekaitsevahendite registrisse kantud isik tema esitatud andmete õigsuse eest. Soovitame kõnealuse sätte esimese lause sõnastada kohustusena esitada andmekogusse õiged andmed, kuna kooskõlastustabeli kohaselt ei ole sätte eesmärk vähendada vastutava töötleja vastutust andmekogusse kantud andmete õigsuse eest. </w:t>
            </w:r>
          </w:p>
          <w:p w14:paraId="657110EF" w14:textId="77777777" w:rsidR="00B0221D" w:rsidRPr="00B0221D" w:rsidRDefault="00B0221D" w:rsidP="00B0221D">
            <w:pPr>
              <w:jc w:val="both"/>
              <w:rPr>
                <w:rFonts w:ascii="Times New Roman" w:hAnsi="Times New Roman"/>
                <w:sz w:val="24"/>
                <w:szCs w:val="24"/>
              </w:rPr>
            </w:pPr>
          </w:p>
        </w:tc>
        <w:tc>
          <w:tcPr>
            <w:tcW w:w="4669" w:type="dxa"/>
          </w:tcPr>
          <w:p w14:paraId="7F53E011" w14:textId="77777777" w:rsidR="00B0221D" w:rsidRDefault="0000570A" w:rsidP="00865BBA">
            <w:pPr>
              <w:jc w:val="both"/>
              <w:rPr>
                <w:rFonts w:ascii="Times New Roman" w:hAnsi="Times New Roman"/>
                <w:b/>
                <w:bCs/>
                <w:sz w:val="24"/>
                <w:szCs w:val="24"/>
              </w:rPr>
            </w:pPr>
            <w:r>
              <w:rPr>
                <w:rFonts w:ascii="Times New Roman" w:hAnsi="Times New Roman"/>
                <w:b/>
                <w:bCs/>
                <w:sz w:val="24"/>
                <w:szCs w:val="24"/>
              </w:rPr>
              <w:t>Märkusega ei arvestata.</w:t>
            </w:r>
          </w:p>
          <w:p w14:paraId="4B5EEA60" w14:textId="057356A9" w:rsidR="0000570A" w:rsidRDefault="0000570A" w:rsidP="00865BBA">
            <w:pPr>
              <w:jc w:val="both"/>
              <w:rPr>
                <w:rFonts w:ascii="Times New Roman" w:hAnsi="Times New Roman"/>
                <w:sz w:val="24"/>
                <w:szCs w:val="24"/>
              </w:rPr>
            </w:pPr>
            <w:r w:rsidRPr="00CA3EEF">
              <w:rPr>
                <w:rFonts w:ascii="Times New Roman" w:hAnsi="Times New Roman"/>
                <w:sz w:val="24"/>
                <w:szCs w:val="24"/>
              </w:rPr>
              <w:t>Märkuse eesmärk ei ole paraku selge.</w:t>
            </w:r>
            <w:r w:rsidR="00CA3EEF">
              <w:rPr>
                <w:rFonts w:ascii="Times New Roman" w:hAnsi="Times New Roman"/>
                <w:sz w:val="24"/>
                <w:szCs w:val="24"/>
              </w:rPr>
              <w:t xml:space="preserve"> Kehtiva nõude eesmärk on kohustada isikut tagama tema kohta registrisse kantud andmete õig</w:t>
            </w:r>
            <w:r w:rsidR="00392E89">
              <w:rPr>
                <w:rFonts w:ascii="Times New Roman" w:hAnsi="Times New Roman"/>
                <w:sz w:val="24"/>
                <w:szCs w:val="24"/>
              </w:rPr>
              <w:t>s</w:t>
            </w:r>
            <w:r w:rsidR="00CA3EEF">
              <w:rPr>
                <w:rFonts w:ascii="Times New Roman" w:hAnsi="Times New Roman"/>
                <w:sz w:val="24"/>
                <w:szCs w:val="24"/>
              </w:rPr>
              <w:t xml:space="preserve">us ning </w:t>
            </w:r>
            <w:r w:rsidR="00F52136">
              <w:rPr>
                <w:rFonts w:ascii="Times New Roman" w:hAnsi="Times New Roman"/>
                <w:sz w:val="24"/>
                <w:szCs w:val="24"/>
              </w:rPr>
              <w:t xml:space="preserve">taotleda </w:t>
            </w:r>
            <w:r w:rsidR="00CA3EEF">
              <w:rPr>
                <w:rFonts w:ascii="Times New Roman" w:hAnsi="Times New Roman"/>
                <w:sz w:val="24"/>
                <w:szCs w:val="24"/>
              </w:rPr>
              <w:t>andmete muutumise järel andmete ajakohastamist registris. JDMi tehtud sõnastusettepanek muudaks aga sätte algset eesmärki täielikult.</w:t>
            </w:r>
          </w:p>
          <w:p w14:paraId="3DA37D36" w14:textId="1B03646D" w:rsidR="00CA3EEF" w:rsidRPr="00CA3EEF" w:rsidRDefault="00CA3EEF" w:rsidP="00865BBA">
            <w:pPr>
              <w:jc w:val="both"/>
              <w:rPr>
                <w:rFonts w:ascii="Times New Roman" w:hAnsi="Times New Roman"/>
                <w:sz w:val="24"/>
                <w:szCs w:val="24"/>
              </w:rPr>
            </w:pPr>
          </w:p>
        </w:tc>
      </w:tr>
      <w:tr w:rsidR="00B0221D" w:rsidRPr="006F299D" w14:paraId="37A0E9B5" w14:textId="77777777" w:rsidTr="0064162D">
        <w:tc>
          <w:tcPr>
            <w:tcW w:w="2737" w:type="dxa"/>
          </w:tcPr>
          <w:p w14:paraId="26F9E896" w14:textId="77777777" w:rsidR="00B0221D" w:rsidRPr="00B0221D" w:rsidRDefault="00B0221D" w:rsidP="00865BBA">
            <w:pPr>
              <w:rPr>
                <w:rFonts w:ascii="Times New Roman" w:hAnsi="Times New Roman"/>
                <w:b/>
                <w:bCs/>
                <w:sz w:val="24"/>
                <w:szCs w:val="24"/>
              </w:rPr>
            </w:pPr>
          </w:p>
        </w:tc>
        <w:tc>
          <w:tcPr>
            <w:tcW w:w="7154" w:type="dxa"/>
          </w:tcPr>
          <w:p w14:paraId="0C3D7766" w14:textId="74DE176A" w:rsidR="00B0221D" w:rsidRPr="00B0221D" w:rsidRDefault="00B0221D" w:rsidP="00B0221D">
            <w:pPr>
              <w:jc w:val="both"/>
              <w:rPr>
                <w:rFonts w:ascii="Times New Roman" w:hAnsi="Times New Roman"/>
                <w:sz w:val="24"/>
                <w:szCs w:val="24"/>
              </w:rPr>
            </w:pPr>
            <w:r>
              <w:rPr>
                <w:rFonts w:ascii="Times New Roman" w:hAnsi="Times New Roman"/>
                <w:sz w:val="24"/>
                <w:szCs w:val="24"/>
              </w:rPr>
              <w:t xml:space="preserve">4. </w:t>
            </w:r>
            <w:r w:rsidRPr="00B0221D">
              <w:rPr>
                <w:rFonts w:ascii="Times New Roman" w:hAnsi="Times New Roman"/>
                <w:sz w:val="24"/>
                <w:szCs w:val="24"/>
              </w:rPr>
              <w:t xml:space="preserve">Kordame varasemat märkust ning palume jätkuvalt täpsemalt reguleerida kontrolltehingu puhul otsustaja. Kontrolltehing kui põhiõigusi intensiivselt riivav järelevalvemeede peab alluma täiendavale kontrollile. Seega ei ole tavapärase haldusmenetluse seaduse (HMS) reeglistiku rakendamine ja küsimuse lahendamine sisepädevuse määramise teel (HMS § 8 lg 2) kontrolltehingu puhul piisav. Seletuskirja kohaselt on eelnõu kontrolltehingut reguleeriva sätte sõnastamisel võetud eeskujuks toote nõuetele vastavuse seadus, sest ka selle seaduse alusel teeb riiklikku järelevalvet Põllumajandus- ja Toiduamet (PTA). </w:t>
            </w:r>
            <w:r w:rsidRPr="00B0221D">
              <w:rPr>
                <w:rFonts w:ascii="Times New Roman" w:hAnsi="Times New Roman"/>
                <w:sz w:val="24"/>
                <w:szCs w:val="24"/>
              </w:rPr>
              <w:lastRenderedPageBreak/>
              <w:t xml:space="preserve">Eesmärgiks on tagada kontrolltehingu ühetaoline reeglistik vähemalt ühe asutuse siseselt. Samas näeb toote nõuetele vastavuse seadus sõnaselgelt ette, et kontrolltehingu tegemise otsustab juht või tema volitatud isik (§ 561 lg 1). </w:t>
            </w:r>
          </w:p>
          <w:p w14:paraId="5C5C9B95" w14:textId="2D1A4D09" w:rsidR="00B0221D" w:rsidRPr="00B0221D" w:rsidRDefault="00B0221D" w:rsidP="00B0221D">
            <w:pPr>
              <w:jc w:val="both"/>
              <w:rPr>
                <w:rFonts w:ascii="Times New Roman" w:hAnsi="Times New Roman"/>
                <w:sz w:val="24"/>
                <w:szCs w:val="24"/>
              </w:rPr>
            </w:pPr>
          </w:p>
        </w:tc>
        <w:tc>
          <w:tcPr>
            <w:tcW w:w="4669" w:type="dxa"/>
          </w:tcPr>
          <w:p w14:paraId="0643BEF7" w14:textId="77777777" w:rsidR="002903AA" w:rsidRDefault="00CD5123" w:rsidP="00865BBA">
            <w:pPr>
              <w:jc w:val="both"/>
              <w:rPr>
                <w:rFonts w:ascii="Times New Roman" w:hAnsi="Times New Roman"/>
                <w:b/>
                <w:bCs/>
                <w:sz w:val="24"/>
                <w:szCs w:val="24"/>
              </w:rPr>
            </w:pPr>
            <w:r>
              <w:rPr>
                <w:rFonts w:ascii="Times New Roman" w:hAnsi="Times New Roman"/>
                <w:b/>
                <w:bCs/>
                <w:sz w:val="24"/>
                <w:szCs w:val="24"/>
              </w:rPr>
              <w:lastRenderedPageBreak/>
              <w:t>Märkusega on arvestatud.</w:t>
            </w:r>
          </w:p>
          <w:p w14:paraId="5A3D37AA" w14:textId="2F0847AC" w:rsidR="00CD5123" w:rsidRPr="002903AA" w:rsidRDefault="00CD5123" w:rsidP="00865BBA">
            <w:pPr>
              <w:jc w:val="both"/>
              <w:rPr>
                <w:rFonts w:ascii="Times New Roman" w:hAnsi="Times New Roman"/>
                <w:b/>
                <w:bCs/>
                <w:sz w:val="24"/>
                <w:szCs w:val="24"/>
              </w:rPr>
            </w:pPr>
            <w:r>
              <w:rPr>
                <w:rFonts w:ascii="Times New Roman" w:hAnsi="Times New Roman"/>
                <w:sz w:val="24"/>
                <w:szCs w:val="24"/>
              </w:rPr>
              <w:t>ReMi huvi on jätkata kooskõlastamiseks esitatud eelnõu menetlusega esimesel võimalusel</w:t>
            </w:r>
            <w:r w:rsidR="00392E89">
              <w:rPr>
                <w:rFonts w:ascii="Times New Roman" w:hAnsi="Times New Roman"/>
                <w:sz w:val="24"/>
                <w:szCs w:val="24"/>
              </w:rPr>
              <w:t xml:space="preserve"> ja täiendame eelnõu asjakohaselt</w:t>
            </w:r>
            <w:r>
              <w:rPr>
                <w:rFonts w:ascii="Times New Roman" w:hAnsi="Times New Roman"/>
                <w:sz w:val="24"/>
                <w:szCs w:val="24"/>
              </w:rPr>
              <w:t xml:space="preserve">, kuid peame esitatud põhjendust siiski ebapiisavaks. </w:t>
            </w:r>
          </w:p>
          <w:p w14:paraId="1DB7CEC7" w14:textId="32888B96" w:rsidR="00DD1B8A" w:rsidRDefault="00CD5123" w:rsidP="00865BBA">
            <w:pPr>
              <w:jc w:val="both"/>
              <w:rPr>
                <w:rFonts w:ascii="Times New Roman" w:hAnsi="Times New Roman"/>
                <w:sz w:val="24"/>
                <w:szCs w:val="24"/>
              </w:rPr>
            </w:pPr>
            <w:r>
              <w:rPr>
                <w:rFonts w:ascii="Times New Roman" w:hAnsi="Times New Roman"/>
                <w:sz w:val="24"/>
                <w:szCs w:val="24"/>
              </w:rPr>
              <w:t xml:space="preserve">Selge ei ole, mille poolest erineb haldusmenetluse reeglistik siin nimetatud täiendavast kontrollist. Oleme kontrolltehingu </w:t>
            </w:r>
            <w:r>
              <w:rPr>
                <w:rFonts w:ascii="Times New Roman" w:hAnsi="Times New Roman"/>
                <w:sz w:val="24"/>
                <w:szCs w:val="24"/>
              </w:rPr>
              <w:lastRenderedPageBreak/>
              <w:t xml:space="preserve">väljatöötamisel eeskujuks võtnud küll kehtiva kontrolltehingu regulatsiooni, kuid see ei välista võimalust esitada eelnõus </w:t>
            </w:r>
            <w:r w:rsidR="002903AA">
              <w:rPr>
                <w:rFonts w:ascii="Times New Roman" w:hAnsi="Times New Roman"/>
                <w:sz w:val="24"/>
                <w:szCs w:val="24"/>
              </w:rPr>
              <w:t>korrektseid</w:t>
            </w:r>
            <w:r w:rsidR="00DD1B8A">
              <w:rPr>
                <w:rFonts w:ascii="Times New Roman" w:hAnsi="Times New Roman"/>
                <w:sz w:val="24"/>
                <w:szCs w:val="24"/>
              </w:rPr>
              <w:t xml:space="preserve"> õiguslikke valikuid. </w:t>
            </w:r>
          </w:p>
          <w:p w14:paraId="128B1D63" w14:textId="77777777" w:rsidR="00DD1B8A" w:rsidRDefault="00DD1B8A" w:rsidP="00865BBA">
            <w:pPr>
              <w:jc w:val="both"/>
              <w:rPr>
                <w:rFonts w:ascii="Times New Roman" w:hAnsi="Times New Roman"/>
                <w:sz w:val="24"/>
                <w:szCs w:val="24"/>
              </w:rPr>
            </w:pPr>
          </w:p>
          <w:p w14:paraId="51DAD6D7" w14:textId="309387D7" w:rsidR="00CD5123" w:rsidRDefault="00DD1B8A" w:rsidP="00865BBA">
            <w:pPr>
              <w:jc w:val="both"/>
              <w:rPr>
                <w:rFonts w:ascii="Times New Roman" w:hAnsi="Times New Roman"/>
                <w:sz w:val="24"/>
                <w:szCs w:val="24"/>
              </w:rPr>
            </w:pPr>
            <w:r>
              <w:rPr>
                <w:rFonts w:ascii="Times New Roman" w:hAnsi="Times New Roman"/>
                <w:sz w:val="24"/>
                <w:szCs w:val="24"/>
              </w:rPr>
              <w:t>Selline erimeelsus osutab aga selgelt vajadusele reguleerida kontrolltehinguga seonduv ühtselt korrakaitseseaduses, kuna vajadus selle järele on laialdane. Üldiste aluste olemasolu võimaldaks haruministeeriumil keskenduda üksnes valdkonnapõhistele erisustele.</w:t>
            </w:r>
          </w:p>
          <w:p w14:paraId="67C97BD8" w14:textId="7ABD9C18" w:rsidR="00DD1B8A" w:rsidRPr="00DD1B8A" w:rsidRDefault="00DD1B8A" w:rsidP="00865BBA">
            <w:pPr>
              <w:jc w:val="both"/>
              <w:rPr>
                <w:rFonts w:ascii="Times New Roman" w:hAnsi="Times New Roman"/>
                <w:sz w:val="24"/>
                <w:szCs w:val="24"/>
              </w:rPr>
            </w:pPr>
          </w:p>
        </w:tc>
      </w:tr>
      <w:tr w:rsidR="00B0221D" w:rsidRPr="006F299D" w14:paraId="3B556E61" w14:textId="77777777" w:rsidTr="0064162D">
        <w:tc>
          <w:tcPr>
            <w:tcW w:w="2737" w:type="dxa"/>
          </w:tcPr>
          <w:p w14:paraId="3F692855" w14:textId="77777777" w:rsidR="00B0221D" w:rsidRPr="00B0221D" w:rsidRDefault="00B0221D" w:rsidP="00865BBA">
            <w:pPr>
              <w:rPr>
                <w:rFonts w:ascii="Times New Roman" w:hAnsi="Times New Roman"/>
                <w:b/>
                <w:bCs/>
                <w:sz w:val="24"/>
                <w:szCs w:val="24"/>
              </w:rPr>
            </w:pPr>
          </w:p>
        </w:tc>
        <w:tc>
          <w:tcPr>
            <w:tcW w:w="7154" w:type="dxa"/>
          </w:tcPr>
          <w:p w14:paraId="522B9329" w14:textId="2D1C5E51" w:rsidR="00B0221D" w:rsidRPr="00B0221D" w:rsidRDefault="00B0221D" w:rsidP="00B0221D">
            <w:pPr>
              <w:jc w:val="both"/>
              <w:rPr>
                <w:rFonts w:ascii="Times New Roman" w:hAnsi="Times New Roman"/>
                <w:sz w:val="24"/>
                <w:szCs w:val="24"/>
              </w:rPr>
            </w:pPr>
            <w:r>
              <w:rPr>
                <w:rFonts w:ascii="Times New Roman" w:hAnsi="Times New Roman"/>
                <w:sz w:val="24"/>
                <w:szCs w:val="24"/>
              </w:rPr>
              <w:t xml:space="preserve">5. </w:t>
            </w:r>
            <w:r w:rsidRPr="00B0221D">
              <w:rPr>
                <w:rFonts w:ascii="Times New Roman" w:hAnsi="Times New Roman"/>
                <w:sz w:val="24"/>
                <w:szCs w:val="24"/>
              </w:rPr>
              <w:t xml:space="preserve">Seletuskirjas (lk 52) käsitletakse kontrolltehingu alusena vaid ohu või korrarikkumise väljaselgitamist, samas kui eelnõu säte lubab kontrolltehingut teha ka ohu ennetamiseks. Palume ohu ennetamine eelnõust välja jätta. Ohu ennetamine on olukord, kus ohust saab rääkida vaid abstraktses tähenduses. Lubada sellises olukorras kasutada põhiõigusi tugevalt riivavat järelevalvemeedet ei pruugi olla proportsionaalne. Seda enam, et ka seletuskirjas ei ole ohu ennetamiseks kontrolltehingu vajadust põhjalikult käsitletud. Seega palume ohu ennetamise osa kontrolltehingu sättest välja jätta. </w:t>
            </w:r>
          </w:p>
          <w:p w14:paraId="403D24DD" w14:textId="77777777" w:rsidR="00B0221D" w:rsidRPr="00B0221D" w:rsidRDefault="00B0221D" w:rsidP="00B0221D">
            <w:pPr>
              <w:jc w:val="both"/>
              <w:rPr>
                <w:rFonts w:ascii="Times New Roman" w:hAnsi="Times New Roman"/>
                <w:sz w:val="24"/>
                <w:szCs w:val="24"/>
              </w:rPr>
            </w:pPr>
          </w:p>
        </w:tc>
        <w:tc>
          <w:tcPr>
            <w:tcW w:w="4669" w:type="dxa"/>
          </w:tcPr>
          <w:p w14:paraId="2EFF7D59" w14:textId="77777777" w:rsidR="00B0221D" w:rsidRDefault="00CD5123" w:rsidP="00865BBA">
            <w:pPr>
              <w:jc w:val="both"/>
              <w:rPr>
                <w:rFonts w:ascii="Times New Roman" w:hAnsi="Times New Roman"/>
                <w:b/>
                <w:bCs/>
                <w:sz w:val="24"/>
                <w:szCs w:val="24"/>
              </w:rPr>
            </w:pPr>
            <w:r>
              <w:rPr>
                <w:rFonts w:ascii="Times New Roman" w:hAnsi="Times New Roman"/>
                <w:b/>
                <w:bCs/>
                <w:sz w:val="24"/>
                <w:szCs w:val="24"/>
              </w:rPr>
              <w:t>Märkusega on arvestatud.</w:t>
            </w:r>
          </w:p>
          <w:p w14:paraId="7BC44B93" w14:textId="77777777" w:rsidR="00CD5123" w:rsidRDefault="00CD5123" w:rsidP="00865BBA">
            <w:pPr>
              <w:jc w:val="both"/>
              <w:rPr>
                <w:rFonts w:ascii="Times New Roman" w:hAnsi="Times New Roman"/>
                <w:sz w:val="24"/>
                <w:szCs w:val="24"/>
              </w:rPr>
            </w:pPr>
          </w:p>
          <w:p w14:paraId="28E78AB9" w14:textId="42F5BABB" w:rsidR="00CD5123" w:rsidRDefault="00CD5123" w:rsidP="00865BBA">
            <w:pPr>
              <w:jc w:val="both"/>
              <w:rPr>
                <w:rFonts w:ascii="Times New Roman" w:hAnsi="Times New Roman"/>
                <w:sz w:val="24"/>
                <w:szCs w:val="24"/>
              </w:rPr>
            </w:pPr>
            <w:r>
              <w:rPr>
                <w:rFonts w:ascii="Times New Roman" w:hAnsi="Times New Roman"/>
                <w:sz w:val="24"/>
                <w:szCs w:val="24"/>
              </w:rPr>
              <w:t xml:space="preserve">Seades eelnõus kontrolltehingu tegemise eelduseks olukorra, kus </w:t>
            </w:r>
            <w:r w:rsidRPr="00A37AC8">
              <w:rPr>
                <w:rFonts w:ascii="Times New Roman" w:hAnsi="Times New Roman"/>
                <w:sz w:val="24"/>
                <w:szCs w:val="24"/>
              </w:rPr>
              <w:t>nõuete täitmise üle ei ole muul viisil võimalik järelevalvet te</w:t>
            </w:r>
            <w:r>
              <w:rPr>
                <w:rFonts w:ascii="Times New Roman" w:hAnsi="Times New Roman"/>
                <w:sz w:val="24"/>
                <w:szCs w:val="24"/>
              </w:rPr>
              <w:t>ha</w:t>
            </w:r>
            <w:r w:rsidRPr="00A37AC8">
              <w:rPr>
                <w:rFonts w:ascii="Times New Roman" w:hAnsi="Times New Roman"/>
                <w:sz w:val="24"/>
                <w:szCs w:val="24"/>
              </w:rPr>
              <w:t xml:space="preserve"> või see on oluliselt raskendatud</w:t>
            </w:r>
            <w:r>
              <w:rPr>
                <w:rFonts w:ascii="Times New Roman" w:hAnsi="Times New Roman"/>
                <w:sz w:val="24"/>
                <w:szCs w:val="24"/>
              </w:rPr>
              <w:t>, siis on ühtlasi eeldatud ka järelevalveasutuse eelnevat tegevust võimaliku rikkumise väljaselgitamisel. Seega ei ole hetketeadmistele tuginedes põhjendatud kontrolltehingu kasutamine ohu ennetamiseks.</w:t>
            </w:r>
          </w:p>
          <w:p w14:paraId="04BBFFEA" w14:textId="218B4A0D" w:rsidR="00CD5123" w:rsidRPr="00CD5123" w:rsidRDefault="00CD5123" w:rsidP="003D54CE">
            <w:pPr>
              <w:jc w:val="both"/>
              <w:rPr>
                <w:rFonts w:ascii="Times New Roman" w:hAnsi="Times New Roman"/>
                <w:sz w:val="24"/>
                <w:szCs w:val="24"/>
              </w:rPr>
            </w:pPr>
          </w:p>
        </w:tc>
      </w:tr>
      <w:tr w:rsidR="00B0221D" w:rsidRPr="006F299D" w14:paraId="084953A0" w14:textId="77777777" w:rsidTr="0064162D">
        <w:tc>
          <w:tcPr>
            <w:tcW w:w="2737" w:type="dxa"/>
          </w:tcPr>
          <w:p w14:paraId="54D6F762" w14:textId="77777777" w:rsidR="00B0221D" w:rsidRPr="00B0221D" w:rsidRDefault="00B0221D" w:rsidP="00865BBA">
            <w:pPr>
              <w:rPr>
                <w:rFonts w:ascii="Times New Roman" w:hAnsi="Times New Roman"/>
                <w:b/>
                <w:bCs/>
                <w:sz w:val="24"/>
                <w:szCs w:val="24"/>
              </w:rPr>
            </w:pPr>
          </w:p>
        </w:tc>
        <w:tc>
          <w:tcPr>
            <w:tcW w:w="7154" w:type="dxa"/>
          </w:tcPr>
          <w:p w14:paraId="246DDC34" w14:textId="1E2C41BB" w:rsidR="00B0221D" w:rsidRPr="00B0221D" w:rsidRDefault="00B0221D" w:rsidP="00B0221D">
            <w:pPr>
              <w:jc w:val="both"/>
              <w:rPr>
                <w:rFonts w:ascii="Times New Roman" w:hAnsi="Times New Roman"/>
                <w:sz w:val="24"/>
                <w:szCs w:val="24"/>
              </w:rPr>
            </w:pPr>
            <w:r>
              <w:rPr>
                <w:rFonts w:ascii="Times New Roman" w:hAnsi="Times New Roman"/>
                <w:sz w:val="24"/>
                <w:szCs w:val="24"/>
              </w:rPr>
              <w:t xml:space="preserve">6. </w:t>
            </w:r>
            <w:r w:rsidRPr="00B0221D">
              <w:rPr>
                <w:rFonts w:ascii="Times New Roman" w:hAnsi="Times New Roman"/>
                <w:sz w:val="24"/>
                <w:szCs w:val="24"/>
              </w:rPr>
              <w:t xml:space="preserve">Eelnõuga plaanitakse anda korrakaitseorganile õigus teha kontrolltehing avaliku korra eest mittevastutavat isikut kasutades ning vajadusel taimekaitsetunnistuse kohta registrisse märke tegemiseks. Kui märke tegemine registrisse on sisuliselt valedokumendi loomine (või dokumendi olemasolust väära ettekujutuse loomine), muutub vahetegu kontrolltehingu ja jälitustoimingu vahel häguseks. Samas sätestatakse eelnõuga sõnaselgelt, et kontrolltehinguga ei tohi teha jälitustoiminguid. </w:t>
            </w:r>
          </w:p>
          <w:p w14:paraId="25A57502" w14:textId="77777777" w:rsidR="00B0221D" w:rsidRPr="00B0221D" w:rsidRDefault="00B0221D" w:rsidP="00B0221D">
            <w:pPr>
              <w:jc w:val="both"/>
              <w:rPr>
                <w:rFonts w:ascii="Times New Roman" w:hAnsi="Times New Roman"/>
                <w:sz w:val="24"/>
                <w:szCs w:val="24"/>
              </w:rPr>
            </w:pPr>
            <w:r w:rsidRPr="00B0221D">
              <w:rPr>
                <w:rFonts w:ascii="Times New Roman" w:hAnsi="Times New Roman"/>
                <w:sz w:val="24"/>
                <w:szCs w:val="24"/>
              </w:rPr>
              <w:t xml:space="preserve">Samuti jääb eelnõust ja ka seletuskirjast ebaselgeks registrikande vajalikkus. Kui eesmärk on kontrollida, kas taimekaitsevahendite müüja </w:t>
            </w:r>
            <w:r w:rsidRPr="00B0221D">
              <w:rPr>
                <w:rFonts w:ascii="Times New Roman" w:hAnsi="Times New Roman"/>
                <w:sz w:val="24"/>
                <w:szCs w:val="24"/>
              </w:rPr>
              <w:lastRenderedPageBreak/>
              <w:t xml:space="preserve">kontrollib ostjal vajaliku tunnistuse olemasolu, saab seda teha ka ilma kandeta – registrisse sisselogimine näitab kontrolli tegemise sammu läbimist. </w:t>
            </w:r>
          </w:p>
          <w:p w14:paraId="20022B08" w14:textId="77777777" w:rsidR="00B0221D" w:rsidRDefault="00B0221D" w:rsidP="00B0221D">
            <w:pPr>
              <w:jc w:val="both"/>
              <w:rPr>
                <w:rFonts w:ascii="Times New Roman" w:hAnsi="Times New Roman"/>
                <w:sz w:val="24"/>
                <w:szCs w:val="24"/>
              </w:rPr>
            </w:pPr>
            <w:r w:rsidRPr="00B0221D">
              <w:rPr>
                <w:rFonts w:ascii="Times New Roman" w:hAnsi="Times New Roman"/>
                <w:sz w:val="24"/>
                <w:szCs w:val="24"/>
              </w:rPr>
              <w:t>Palume registrisse ebaõige kande tegemise õigus eelnõust välja jätta.</w:t>
            </w:r>
          </w:p>
          <w:p w14:paraId="55DD584C" w14:textId="57869774" w:rsidR="005261DE" w:rsidRPr="00B0221D" w:rsidRDefault="005261DE" w:rsidP="00B0221D">
            <w:pPr>
              <w:jc w:val="both"/>
              <w:rPr>
                <w:rFonts w:ascii="Times New Roman" w:hAnsi="Times New Roman"/>
                <w:sz w:val="24"/>
                <w:szCs w:val="24"/>
              </w:rPr>
            </w:pPr>
          </w:p>
        </w:tc>
        <w:tc>
          <w:tcPr>
            <w:tcW w:w="4669" w:type="dxa"/>
          </w:tcPr>
          <w:p w14:paraId="71A1012E" w14:textId="77777777" w:rsidR="00B0221D" w:rsidRDefault="00EE5B07" w:rsidP="00865BBA">
            <w:pPr>
              <w:jc w:val="both"/>
              <w:rPr>
                <w:rFonts w:ascii="Times New Roman" w:hAnsi="Times New Roman"/>
                <w:b/>
                <w:bCs/>
                <w:sz w:val="24"/>
                <w:szCs w:val="24"/>
              </w:rPr>
            </w:pPr>
            <w:r>
              <w:rPr>
                <w:rFonts w:ascii="Times New Roman" w:hAnsi="Times New Roman"/>
                <w:b/>
                <w:bCs/>
                <w:sz w:val="24"/>
                <w:szCs w:val="24"/>
              </w:rPr>
              <w:lastRenderedPageBreak/>
              <w:t>Märkusega arvestatud.</w:t>
            </w:r>
          </w:p>
          <w:p w14:paraId="5D71175F" w14:textId="77777777" w:rsidR="00EE5B07" w:rsidRDefault="00EE5B07" w:rsidP="00865BBA">
            <w:pPr>
              <w:jc w:val="both"/>
              <w:rPr>
                <w:rFonts w:ascii="Times New Roman" w:hAnsi="Times New Roman"/>
                <w:b/>
                <w:bCs/>
                <w:sz w:val="24"/>
                <w:szCs w:val="24"/>
              </w:rPr>
            </w:pPr>
          </w:p>
          <w:p w14:paraId="48EE5D94" w14:textId="3BE6A53C" w:rsidR="004915F0" w:rsidRPr="004915F0" w:rsidRDefault="004915F0" w:rsidP="00865BBA">
            <w:pPr>
              <w:jc w:val="both"/>
              <w:rPr>
                <w:rFonts w:ascii="Times New Roman" w:hAnsi="Times New Roman"/>
                <w:sz w:val="24"/>
                <w:szCs w:val="24"/>
              </w:rPr>
            </w:pPr>
            <w:r w:rsidRPr="004915F0">
              <w:rPr>
                <w:rFonts w:ascii="Times New Roman" w:hAnsi="Times New Roman"/>
                <w:sz w:val="24"/>
                <w:szCs w:val="24"/>
              </w:rPr>
              <w:t>Pakume eelnõus sarnaselt menetluses oleva kalapüügiseaduse muutmise</w:t>
            </w:r>
            <w:r>
              <w:rPr>
                <w:rFonts w:ascii="Times New Roman" w:hAnsi="Times New Roman"/>
                <w:sz w:val="24"/>
                <w:szCs w:val="24"/>
              </w:rPr>
              <w:t xml:space="preserve"> ja sellega seonduvalt teiste seaduste muutmise</w:t>
            </w:r>
            <w:r w:rsidRPr="004915F0">
              <w:rPr>
                <w:rFonts w:ascii="Times New Roman" w:hAnsi="Times New Roman"/>
                <w:sz w:val="24"/>
                <w:szCs w:val="24"/>
              </w:rPr>
              <w:t xml:space="preserve"> seaduse</w:t>
            </w:r>
            <w:r>
              <w:rPr>
                <w:rFonts w:ascii="Times New Roman" w:hAnsi="Times New Roman"/>
                <w:sz w:val="24"/>
                <w:szCs w:val="24"/>
              </w:rPr>
              <w:t xml:space="preserve"> eelnõus</w:t>
            </w:r>
            <w:r w:rsidRPr="004915F0">
              <w:rPr>
                <w:rFonts w:ascii="Times New Roman" w:hAnsi="Times New Roman"/>
                <w:sz w:val="24"/>
                <w:szCs w:val="24"/>
              </w:rPr>
              <w:t xml:space="preserve"> kavandatava kontrolltehingu regulatsiooniga </w:t>
            </w:r>
            <w:r>
              <w:rPr>
                <w:rFonts w:ascii="Times New Roman" w:hAnsi="Times New Roman"/>
                <w:sz w:val="24"/>
                <w:szCs w:val="24"/>
              </w:rPr>
              <w:t>järgmise lahenduse:</w:t>
            </w:r>
            <w:r w:rsidRPr="004915F0">
              <w:rPr>
                <w:rFonts w:ascii="Times New Roman" w:hAnsi="Times New Roman"/>
                <w:sz w:val="24"/>
                <w:szCs w:val="24"/>
              </w:rPr>
              <w:t xml:space="preserve"> </w:t>
            </w:r>
          </w:p>
          <w:p w14:paraId="013FC313" w14:textId="77777777" w:rsidR="00EE5B07" w:rsidRDefault="004915F0" w:rsidP="00865BBA">
            <w:pPr>
              <w:jc w:val="both"/>
              <w:rPr>
                <w:rFonts w:ascii="Times New Roman" w:hAnsi="Times New Roman"/>
                <w:sz w:val="24"/>
                <w:szCs w:val="24"/>
              </w:rPr>
            </w:pPr>
            <w:r>
              <w:rPr>
                <w:rFonts w:ascii="Times New Roman" w:hAnsi="Times New Roman"/>
                <w:sz w:val="24"/>
                <w:szCs w:val="24"/>
              </w:rPr>
              <w:t>„</w:t>
            </w:r>
            <w:r w:rsidR="00EE5B07" w:rsidRPr="004915F0">
              <w:rPr>
                <w:rFonts w:ascii="Times New Roman" w:hAnsi="Times New Roman"/>
                <w:sz w:val="24"/>
                <w:szCs w:val="24"/>
              </w:rPr>
              <w:t xml:space="preserve">Kui kontrolltehingut tehakse sidevahendite abil, võib </w:t>
            </w:r>
            <w:r w:rsidRPr="004915F0">
              <w:rPr>
                <w:rFonts w:ascii="Times New Roman" w:hAnsi="Times New Roman"/>
                <w:sz w:val="24"/>
                <w:szCs w:val="24"/>
              </w:rPr>
              <w:t>Põllumajandus- ja Toiduameti</w:t>
            </w:r>
            <w:r w:rsidR="00EE5B07" w:rsidRPr="004915F0">
              <w:rPr>
                <w:rFonts w:ascii="Times New Roman" w:hAnsi="Times New Roman"/>
                <w:sz w:val="24"/>
                <w:szCs w:val="24"/>
              </w:rPr>
              <w:t xml:space="preserve"> </w:t>
            </w:r>
            <w:r w:rsidR="00EE5B07" w:rsidRPr="004915F0">
              <w:rPr>
                <w:rFonts w:ascii="Times New Roman" w:hAnsi="Times New Roman"/>
                <w:sz w:val="24"/>
                <w:szCs w:val="24"/>
              </w:rPr>
              <w:lastRenderedPageBreak/>
              <w:t>ametiisik kasutada selliseid elektroonilisi kontaktandmeid, mis ei ole seostatavad tema ametiülesannete täitmisega.</w:t>
            </w:r>
            <w:r>
              <w:rPr>
                <w:rFonts w:ascii="Times New Roman" w:hAnsi="Times New Roman"/>
                <w:sz w:val="24"/>
                <w:szCs w:val="24"/>
              </w:rPr>
              <w:t>“</w:t>
            </w:r>
          </w:p>
          <w:p w14:paraId="49C9CF53" w14:textId="77777777" w:rsidR="004915F0" w:rsidRDefault="004915F0" w:rsidP="00865BBA">
            <w:pPr>
              <w:jc w:val="both"/>
              <w:rPr>
                <w:rFonts w:ascii="Times New Roman" w:hAnsi="Times New Roman"/>
                <w:b/>
                <w:bCs/>
                <w:sz w:val="24"/>
                <w:szCs w:val="24"/>
              </w:rPr>
            </w:pPr>
          </w:p>
          <w:p w14:paraId="6800312F" w14:textId="2797D0ED" w:rsidR="004915F0" w:rsidRDefault="004915F0" w:rsidP="00865BBA">
            <w:pPr>
              <w:jc w:val="both"/>
              <w:rPr>
                <w:rFonts w:ascii="Times New Roman" w:hAnsi="Times New Roman"/>
                <w:sz w:val="24"/>
                <w:szCs w:val="24"/>
              </w:rPr>
            </w:pPr>
            <w:r w:rsidRPr="004915F0">
              <w:rPr>
                <w:rFonts w:ascii="Times New Roman" w:hAnsi="Times New Roman"/>
                <w:sz w:val="24"/>
                <w:szCs w:val="24"/>
              </w:rPr>
              <w:t>Leiame, et PTA ametnikul peab veebi teel kontrolltehingu tegemiseks olema siiski mingi võimalus tema isiku varjamiseks</w:t>
            </w:r>
            <w:r>
              <w:rPr>
                <w:rFonts w:ascii="Times New Roman" w:hAnsi="Times New Roman"/>
                <w:sz w:val="24"/>
                <w:szCs w:val="24"/>
              </w:rPr>
              <w:t>, et tehingu tegemist ei saaks koheselt seostada tema</w:t>
            </w:r>
            <w:r w:rsidRPr="004915F0">
              <w:rPr>
                <w:rFonts w:ascii="Times New Roman" w:hAnsi="Times New Roman"/>
                <w:sz w:val="24"/>
                <w:szCs w:val="24"/>
              </w:rPr>
              <w:t xml:space="preserve"> ametiülesannete täitmiseg</w:t>
            </w:r>
            <w:r>
              <w:rPr>
                <w:rFonts w:ascii="Times New Roman" w:hAnsi="Times New Roman"/>
                <w:sz w:val="24"/>
                <w:szCs w:val="24"/>
              </w:rPr>
              <w:t>a.</w:t>
            </w:r>
          </w:p>
          <w:p w14:paraId="27913274" w14:textId="551065AA" w:rsidR="004915F0" w:rsidRPr="004915F0" w:rsidRDefault="004915F0" w:rsidP="00865BBA">
            <w:pPr>
              <w:jc w:val="both"/>
              <w:rPr>
                <w:rFonts w:ascii="Times New Roman" w:hAnsi="Times New Roman"/>
                <w:sz w:val="24"/>
                <w:szCs w:val="24"/>
              </w:rPr>
            </w:pPr>
          </w:p>
        </w:tc>
      </w:tr>
      <w:tr w:rsidR="00B0221D" w:rsidRPr="006F299D" w14:paraId="37F2E5CE" w14:textId="77777777" w:rsidTr="0064162D">
        <w:tc>
          <w:tcPr>
            <w:tcW w:w="2737" w:type="dxa"/>
          </w:tcPr>
          <w:p w14:paraId="3868274D" w14:textId="77777777" w:rsidR="00B0221D" w:rsidRPr="00B0221D" w:rsidRDefault="00B0221D" w:rsidP="00865BBA">
            <w:pPr>
              <w:rPr>
                <w:rFonts w:ascii="Times New Roman" w:hAnsi="Times New Roman"/>
                <w:b/>
                <w:bCs/>
                <w:sz w:val="24"/>
                <w:szCs w:val="24"/>
              </w:rPr>
            </w:pPr>
          </w:p>
        </w:tc>
        <w:tc>
          <w:tcPr>
            <w:tcW w:w="7154" w:type="dxa"/>
          </w:tcPr>
          <w:p w14:paraId="34F0A159" w14:textId="13041544" w:rsidR="00B0221D" w:rsidRPr="00B0221D" w:rsidRDefault="00B0221D" w:rsidP="00B0221D">
            <w:pPr>
              <w:jc w:val="both"/>
              <w:rPr>
                <w:rFonts w:ascii="Times New Roman" w:hAnsi="Times New Roman"/>
                <w:sz w:val="24"/>
                <w:szCs w:val="24"/>
              </w:rPr>
            </w:pPr>
            <w:r>
              <w:rPr>
                <w:rFonts w:ascii="Times New Roman" w:hAnsi="Times New Roman"/>
                <w:sz w:val="24"/>
                <w:szCs w:val="24"/>
              </w:rPr>
              <w:t xml:space="preserve">7. </w:t>
            </w:r>
            <w:r w:rsidRPr="00B0221D">
              <w:rPr>
                <w:rFonts w:ascii="Times New Roman" w:hAnsi="Times New Roman"/>
                <w:b/>
                <w:bCs/>
                <w:sz w:val="24"/>
                <w:szCs w:val="24"/>
              </w:rPr>
              <w:t xml:space="preserve">Esimesel kooskõlastusringil </w:t>
            </w:r>
            <w:r w:rsidRPr="00B0221D">
              <w:rPr>
                <w:rFonts w:ascii="Times New Roman" w:hAnsi="Times New Roman"/>
                <w:sz w:val="24"/>
                <w:szCs w:val="24"/>
              </w:rPr>
              <w:t xml:space="preserve">tegime märkuse TaimKS-is kavandatava väärteokoosseisu osas, samuti tervikuna seaduses varem kehtestatud karistusmäärade osas. Palusime neid täiendavalt analüüsida. </w:t>
            </w:r>
          </w:p>
          <w:p w14:paraId="0E6AAF7F" w14:textId="77777777" w:rsidR="00B0221D" w:rsidRPr="00B0221D" w:rsidRDefault="00B0221D" w:rsidP="00B0221D">
            <w:pPr>
              <w:jc w:val="both"/>
              <w:rPr>
                <w:rFonts w:ascii="Times New Roman" w:hAnsi="Times New Roman"/>
                <w:sz w:val="24"/>
                <w:szCs w:val="24"/>
              </w:rPr>
            </w:pPr>
            <w:r w:rsidRPr="00B0221D">
              <w:rPr>
                <w:rFonts w:ascii="Times New Roman" w:hAnsi="Times New Roman"/>
                <w:sz w:val="24"/>
                <w:szCs w:val="24"/>
              </w:rPr>
              <w:t xml:space="preserve">Kooskõlastustabelis märgitakse, et märkusega on arvestatud osaliselt. Täiendava analüüsi tulemusena on kõnealune väärteokoosseis eelnõust välja jäetud eesmärgiga analüüsida ülevaatlikult väljapakutud karistusmäära ja ka juba kehtivaid karistusmäärasid, et tagada nende ajakohasus ja proportsionaalsus. Taimetervise valdkonna karistusmäärade täiendav analüüs esitatakse järgmise väljatöötamiskavatsuse raames. </w:t>
            </w:r>
          </w:p>
          <w:p w14:paraId="3DF49C14" w14:textId="77777777" w:rsidR="00B0221D" w:rsidRDefault="00B0221D" w:rsidP="00B0221D">
            <w:pPr>
              <w:jc w:val="both"/>
              <w:rPr>
                <w:rFonts w:ascii="Times New Roman" w:hAnsi="Times New Roman"/>
                <w:sz w:val="24"/>
                <w:szCs w:val="24"/>
              </w:rPr>
            </w:pPr>
            <w:r w:rsidRPr="00B0221D">
              <w:rPr>
                <w:rFonts w:ascii="Times New Roman" w:hAnsi="Times New Roman"/>
                <w:sz w:val="24"/>
                <w:szCs w:val="24"/>
              </w:rPr>
              <w:t>Sooviksime teada, millal see täiendav analüüs on kavas läbi viia. Kas see toimub 2026., 2027. või 2028. aastal?</w:t>
            </w:r>
          </w:p>
          <w:p w14:paraId="0EB87EA1" w14:textId="2DDB5EA6" w:rsidR="005261DE" w:rsidRDefault="005261DE" w:rsidP="00B0221D">
            <w:pPr>
              <w:jc w:val="both"/>
              <w:rPr>
                <w:rFonts w:ascii="Times New Roman" w:hAnsi="Times New Roman"/>
                <w:sz w:val="24"/>
                <w:szCs w:val="24"/>
              </w:rPr>
            </w:pPr>
          </w:p>
        </w:tc>
        <w:tc>
          <w:tcPr>
            <w:tcW w:w="4669" w:type="dxa"/>
          </w:tcPr>
          <w:p w14:paraId="56DEAF2B" w14:textId="59D955BE" w:rsidR="00B0221D" w:rsidRPr="007A72AB" w:rsidRDefault="005261DE" w:rsidP="00865BBA">
            <w:pPr>
              <w:jc w:val="both"/>
              <w:rPr>
                <w:rFonts w:ascii="Times New Roman" w:hAnsi="Times New Roman"/>
                <w:b/>
                <w:bCs/>
                <w:sz w:val="24"/>
                <w:szCs w:val="24"/>
              </w:rPr>
            </w:pPr>
            <w:r>
              <w:rPr>
                <w:rFonts w:ascii="Times New Roman" w:hAnsi="Times New Roman"/>
                <w:b/>
                <w:bCs/>
                <w:sz w:val="24"/>
                <w:szCs w:val="24"/>
              </w:rPr>
              <w:t>Vastavasisuline analüüs on kavas teha 2026. aastal.</w:t>
            </w:r>
          </w:p>
        </w:tc>
      </w:tr>
      <w:tr w:rsidR="00B0221D" w:rsidRPr="006F299D" w14:paraId="49D09EF9" w14:textId="77777777" w:rsidTr="0064162D">
        <w:tc>
          <w:tcPr>
            <w:tcW w:w="2737" w:type="dxa"/>
          </w:tcPr>
          <w:p w14:paraId="513453A8" w14:textId="77777777" w:rsidR="00B0221D" w:rsidRPr="00B0221D" w:rsidRDefault="00B0221D" w:rsidP="00865BBA">
            <w:pPr>
              <w:rPr>
                <w:rFonts w:ascii="Times New Roman" w:hAnsi="Times New Roman"/>
                <w:b/>
                <w:bCs/>
                <w:sz w:val="24"/>
                <w:szCs w:val="24"/>
              </w:rPr>
            </w:pPr>
          </w:p>
        </w:tc>
        <w:tc>
          <w:tcPr>
            <w:tcW w:w="7154" w:type="dxa"/>
          </w:tcPr>
          <w:p w14:paraId="072CCBB1" w14:textId="7145FF94" w:rsidR="00B0221D" w:rsidRPr="00B0221D" w:rsidRDefault="00B0221D" w:rsidP="00B0221D">
            <w:pPr>
              <w:jc w:val="both"/>
              <w:rPr>
                <w:rFonts w:ascii="Times New Roman" w:hAnsi="Times New Roman"/>
                <w:sz w:val="24"/>
                <w:szCs w:val="24"/>
              </w:rPr>
            </w:pPr>
            <w:r>
              <w:rPr>
                <w:rFonts w:ascii="Times New Roman" w:hAnsi="Times New Roman"/>
                <w:sz w:val="24"/>
                <w:szCs w:val="24"/>
              </w:rPr>
              <w:t xml:space="preserve">8. </w:t>
            </w:r>
            <w:r w:rsidRPr="00B0221D">
              <w:rPr>
                <w:rFonts w:ascii="Times New Roman" w:hAnsi="Times New Roman"/>
                <w:b/>
                <w:bCs/>
                <w:sz w:val="24"/>
                <w:szCs w:val="24"/>
              </w:rPr>
              <w:t xml:space="preserve">Tegime märkuse TaimKS § 37 lõigete 6 ja 7 muutmise põhjenduste osas. </w:t>
            </w:r>
            <w:r w:rsidRPr="00B0221D">
              <w:rPr>
                <w:rFonts w:ascii="Times New Roman" w:hAnsi="Times New Roman"/>
                <w:sz w:val="24"/>
                <w:szCs w:val="24"/>
              </w:rPr>
              <w:t xml:space="preserve">Seletuskiri lk 53 tõi välja, et eelnõu § 1 punktiga 7 muudetakse TaimKS-i § 37 lõikeid 6 ja 7, milles täpsustatakse nõudeid taime, taimse saaduse või muu objekti toimetamisel liiduvälisest riigist Eestisse ning käsitlevad nõutavat teavitamist ja kaubasaadetise vormistamist vabasse ringlusse. </w:t>
            </w:r>
            <w:r w:rsidRPr="00B0221D">
              <w:rPr>
                <w:rFonts w:ascii="Times New Roman" w:hAnsi="Times New Roman"/>
                <w:b/>
                <w:bCs/>
                <w:sz w:val="24"/>
                <w:szCs w:val="24"/>
              </w:rPr>
              <w:t xml:space="preserve">Nende nõuete aluseks on ametliku kontrolli määruse artiklid 56 ja 57 ning nimetatud määruse alusel kehtestatud rakendusaktid. </w:t>
            </w:r>
            <w:r w:rsidRPr="00B0221D">
              <w:rPr>
                <w:rFonts w:ascii="Times New Roman" w:hAnsi="Times New Roman"/>
                <w:sz w:val="24"/>
                <w:szCs w:val="24"/>
              </w:rPr>
              <w:t xml:space="preserve">Palusime tuua vähemalt mõned näited, milliseid rakendusakte on kehtestatud. </w:t>
            </w:r>
          </w:p>
          <w:p w14:paraId="5C8EF062" w14:textId="77777777" w:rsidR="00B0221D" w:rsidRPr="00B0221D" w:rsidRDefault="00B0221D" w:rsidP="00B0221D">
            <w:pPr>
              <w:jc w:val="both"/>
              <w:rPr>
                <w:rFonts w:ascii="Times New Roman" w:hAnsi="Times New Roman"/>
                <w:sz w:val="24"/>
                <w:szCs w:val="24"/>
              </w:rPr>
            </w:pPr>
            <w:r w:rsidRPr="00B0221D">
              <w:rPr>
                <w:rFonts w:ascii="Times New Roman" w:hAnsi="Times New Roman"/>
                <w:sz w:val="24"/>
                <w:szCs w:val="24"/>
              </w:rPr>
              <w:t xml:space="preserve">Nüüd on seletuskirja lk-del 27–28 märgitud mh järgmist: </w:t>
            </w:r>
          </w:p>
          <w:p w14:paraId="72A8CA72" w14:textId="77777777" w:rsidR="00B0221D" w:rsidRPr="00B0221D" w:rsidRDefault="00B0221D" w:rsidP="00B0221D">
            <w:pPr>
              <w:jc w:val="both"/>
              <w:rPr>
                <w:rFonts w:ascii="Times New Roman" w:hAnsi="Times New Roman"/>
                <w:sz w:val="24"/>
                <w:szCs w:val="24"/>
              </w:rPr>
            </w:pPr>
            <w:r w:rsidRPr="00B0221D">
              <w:rPr>
                <w:rFonts w:ascii="Times New Roman" w:hAnsi="Times New Roman"/>
                <w:i/>
                <w:iCs/>
                <w:sz w:val="24"/>
                <w:szCs w:val="24"/>
              </w:rPr>
              <w:lastRenderedPageBreak/>
              <w:t xml:space="preserve">„Komisjoni rakendusmääruse (EL) 2019/1013 kohaselt on liikmesriikidel õigus rakendada ka etteteatamist vähemalt neli tundi enne saadetise saabumist, kui transpordiga seotud logistiliste piirangute tõttu osutub saadetisest etteteatamine üks tööpäev enne selle saabumist võimatuks.“ </w:t>
            </w:r>
          </w:p>
          <w:p w14:paraId="506B785D" w14:textId="77777777" w:rsidR="00B0221D" w:rsidRPr="00B0221D" w:rsidRDefault="00B0221D" w:rsidP="00B0221D">
            <w:pPr>
              <w:jc w:val="both"/>
              <w:rPr>
                <w:rFonts w:ascii="Times New Roman" w:hAnsi="Times New Roman"/>
                <w:sz w:val="24"/>
                <w:szCs w:val="24"/>
              </w:rPr>
            </w:pPr>
            <w:r w:rsidRPr="00B0221D">
              <w:rPr>
                <w:rFonts w:ascii="Times New Roman" w:hAnsi="Times New Roman"/>
                <w:sz w:val="24"/>
                <w:szCs w:val="24"/>
              </w:rPr>
              <w:t xml:space="preserve">Samuti: </w:t>
            </w:r>
          </w:p>
          <w:p w14:paraId="45F578DA" w14:textId="77777777" w:rsidR="00B0221D" w:rsidRPr="00B0221D" w:rsidRDefault="00B0221D" w:rsidP="00B0221D">
            <w:pPr>
              <w:jc w:val="both"/>
              <w:rPr>
                <w:rFonts w:ascii="Times New Roman" w:hAnsi="Times New Roman"/>
                <w:sz w:val="24"/>
                <w:szCs w:val="24"/>
              </w:rPr>
            </w:pPr>
            <w:r w:rsidRPr="00B0221D">
              <w:rPr>
                <w:rFonts w:ascii="Times New Roman" w:hAnsi="Times New Roman"/>
                <w:i/>
                <w:iCs/>
                <w:sz w:val="24"/>
                <w:szCs w:val="24"/>
              </w:rPr>
              <w:t xml:space="preserve">„Komisjoni rakendusmääruse (EL) 2019/1715 II lisa kohaselt tuleb sisseveodokumendile märkida selle füüsilise või juriidilise isiku andmed, kes vastutab piiripunkti jõudnud saadetise eest ja esitab importijana või importija nimel pädevale asutusele vajalikud deklaratsioonid.“ </w:t>
            </w:r>
          </w:p>
          <w:p w14:paraId="415094F4" w14:textId="77777777" w:rsidR="00B0221D" w:rsidRDefault="00B0221D" w:rsidP="00B0221D">
            <w:pPr>
              <w:jc w:val="both"/>
              <w:rPr>
                <w:rFonts w:ascii="Times New Roman" w:hAnsi="Times New Roman"/>
                <w:sz w:val="24"/>
                <w:szCs w:val="24"/>
              </w:rPr>
            </w:pPr>
            <w:r w:rsidRPr="00B0221D">
              <w:rPr>
                <w:rFonts w:ascii="Times New Roman" w:hAnsi="Times New Roman"/>
                <w:sz w:val="24"/>
                <w:szCs w:val="24"/>
              </w:rPr>
              <w:t>Kas saame õigesti aru, et need kaks rakendusmäärust ongi rakendusaktid, mis ametliku kontrolli määruse artiklite 56 ja 57 alusel on kehtestatud?</w:t>
            </w:r>
          </w:p>
          <w:p w14:paraId="5F7A3C41" w14:textId="752A20B4" w:rsidR="005261DE" w:rsidRDefault="005261DE" w:rsidP="00B0221D">
            <w:pPr>
              <w:jc w:val="both"/>
              <w:rPr>
                <w:rFonts w:ascii="Times New Roman" w:hAnsi="Times New Roman"/>
                <w:sz w:val="24"/>
                <w:szCs w:val="24"/>
              </w:rPr>
            </w:pPr>
          </w:p>
        </w:tc>
        <w:tc>
          <w:tcPr>
            <w:tcW w:w="4669" w:type="dxa"/>
          </w:tcPr>
          <w:p w14:paraId="58698A55" w14:textId="77777777" w:rsidR="00B0221D" w:rsidRDefault="00F52136" w:rsidP="00865BBA">
            <w:pPr>
              <w:jc w:val="both"/>
              <w:rPr>
                <w:rFonts w:ascii="Times New Roman" w:hAnsi="Times New Roman"/>
                <w:b/>
                <w:bCs/>
                <w:sz w:val="24"/>
                <w:szCs w:val="24"/>
              </w:rPr>
            </w:pPr>
            <w:r>
              <w:rPr>
                <w:rFonts w:ascii="Times New Roman" w:hAnsi="Times New Roman"/>
                <w:b/>
                <w:bCs/>
                <w:sz w:val="24"/>
                <w:szCs w:val="24"/>
              </w:rPr>
              <w:lastRenderedPageBreak/>
              <w:t>Selgitame.</w:t>
            </w:r>
          </w:p>
          <w:p w14:paraId="3C40E706" w14:textId="77777777" w:rsidR="00F52136" w:rsidRDefault="00F52136" w:rsidP="00865BBA">
            <w:pPr>
              <w:jc w:val="both"/>
              <w:rPr>
                <w:rFonts w:ascii="Times New Roman" w:hAnsi="Times New Roman"/>
                <w:b/>
                <w:bCs/>
                <w:sz w:val="24"/>
                <w:szCs w:val="24"/>
              </w:rPr>
            </w:pPr>
          </w:p>
          <w:p w14:paraId="42D4C723" w14:textId="6AE004A6" w:rsidR="00F52136" w:rsidRDefault="00F52136" w:rsidP="00865BBA">
            <w:pPr>
              <w:jc w:val="both"/>
              <w:rPr>
                <w:rFonts w:ascii="Times New Roman" w:hAnsi="Times New Roman"/>
                <w:sz w:val="24"/>
                <w:szCs w:val="24"/>
              </w:rPr>
            </w:pPr>
            <w:r>
              <w:rPr>
                <w:rFonts w:ascii="Times New Roman" w:hAnsi="Times New Roman"/>
                <w:sz w:val="24"/>
                <w:szCs w:val="24"/>
              </w:rPr>
              <w:t>Küsimus rakendusaktide kohta jääb ebaselgeks, mistõttu selgitame muudatuste algset eesmärki.</w:t>
            </w:r>
          </w:p>
          <w:p w14:paraId="6F961510" w14:textId="77777777" w:rsidR="00F52136" w:rsidRDefault="00F52136" w:rsidP="00865BBA">
            <w:pPr>
              <w:jc w:val="both"/>
              <w:rPr>
                <w:rFonts w:ascii="Times New Roman" w:hAnsi="Times New Roman"/>
                <w:sz w:val="24"/>
                <w:szCs w:val="24"/>
              </w:rPr>
            </w:pPr>
          </w:p>
          <w:p w14:paraId="6F667CDA" w14:textId="7A39F73E" w:rsidR="00F52136" w:rsidRPr="00F52136" w:rsidRDefault="00F52136" w:rsidP="00865BBA">
            <w:pPr>
              <w:jc w:val="both"/>
              <w:rPr>
                <w:rFonts w:ascii="Times New Roman" w:hAnsi="Times New Roman"/>
                <w:sz w:val="24"/>
                <w:szCs w:val="24"/>
              </w:rPr>
            </w:pPr>
            <w:r>
              <w:rPr>
                <w:rFonts w:ascii="Times New Roman" w:hAnsi="Times New Roman"/>
                <w:sz w:val="24"/>
                <w:szCs w:val="24"/>
              </w:rPr>
              <w:t xml:space="preserve">Lõike 7 kehtetuks tunnistamise eesmärk oli esmalt ajakohastada tolliametniku poolt tolliprotseduuride ajal tehtavat, teisalt aga hindasime sellise sätte vajadust laiemalt. Kuna tolliametniku kohustusi üldjuhul eriseaduses ei </w:t>
            </w:r>
            <w:r>
              <w:rPr>
                <w:rFonts w:ascii="Times New Roman" w:hAnsi="Times New Roman"/>
                <w:sz w:val="24"/>
                <w:szCs w:val="24"/>
              </w:rPr>
              <w:lastRenderedPageBreak/>
              <w:t>kehtestata ning need on ammendavalt kirjas ametliku kontrolli määruses, siis otsustasime sätte TaimKSist üldse välja jätta.</w:t>
            </w:r>
          </w:p>
        </w:tc>
      </w:tr>
      <w:tr w:rsidR="00B0221D" w:rsidRPr="006F299D" w14:paraId="718C63F4" w14:textId="77777777" w:rsidTr="0064162D">
        <w:tc>
          <w:tcPr>
            <w:tcW w:w="2737" w:type="dxa"/>
          </w:tcPr>
          <w:p w14:paraId="53B1FC8D" w14:textId="77777777" w:rsidR="00B0221D" w:rsidRPr="00B0221D" w:rsidRDefault="00B0221D" w:rsidP="00865BBA">
            <w:pPr>
              <w:rPr>
                <w:rFonts w:ascii="Times New Roman" w:hAnsi="Times New Roman"/>
                <w:b/>
                <w:bCs/>
                <w:sz w:val="24"/>
                <w:szCs w:val="24"/>
              </w:rPr>
            </w:pPr>
          </w:p>
        </w:tc>
        <w:tc>
          <w:tcPr>
            <w:tcW w:w="7154" w:type="dxa"/>
          </w:tcPr>
          <w:p w14:paraId="1FC4C85B" w14:textId="0B133859" w:rsidR="00B0221D" w:rsidRPr="00B0221D" w:rsidRDefault="00B0221D" w:rsidP="00B0221D">
            <w:pPr>
              <w:jc w:val="both"/>
              <w:rPr>
                <w:rFonts w:ascii="Times New Roman" w:hAnsi="Times New Roman"/>
                <w:sz w:val="24"/>
                <w:szCs w:val="24"/>
              </w:rPr>
            </w:pPr>
            <w:r>
              <w:rPr>
                <w:rFonts w:ascii="Times New Roman" w:hAnsi="Times New Roman"/>
                <w:sz w:val="24"/>
                <w:szCs w:val="24"/>
              </w:rPr>
              <w:t xml:space="preserve">9. </w:t>
            </w:r>
            <w:r w:rsidRPr="00B0221D">
              <w:rPr>
                <w:rFonts w:ascii="Times New Roman" w:hAnsi="Times New Roman"/>
                <w:sz w:val="24"/>
                <w:szCs w:val="24"/>
              </w:rPr>
              <w:t xml:space="preserve">Palume arvestada ka käesoleva kirja lisades esitatud eelnõu ja seletuskirja failis jäljega tehtud normitehniliste ja keelemärkustega ning märkustega eelnõu mõju kohta. </w:t>
            </w:r>
          </w:p>
          <w:p w14:paraId="6E327F44" w14:textId="77777777" w:rsidR="00B0221D" w:rsidRDefault="00B0221D" w:rsidP="00B0221D">
            <w:pPr>
              <w:jc w:val="both"/>
              <w:rPr>
                <w:rFonts w:ascii="Times New Roman" w:hAnsi="Times New Roman"/>
                <w:sz w:val="24"/>
                <w:szCs w:val="24"/>
              </w:rPr>
            </w:pPr>
          </w:p>
        </w:tc>
        <w:tc>
          <w:tcPr>
            <w:tcW w:w="4669" w:type="dxa"/>
          </w:tcPr>
          <w:p w14:paraId="22494FF0" w14:textId="77777777" w:rsidR="00B0221D" w:rsidRPr="007A72AB" w:rsidRDefault="00B0221D" w:rsidP="00865BBA">
            <w:pPr>
              <w:jc w:val="both"/>
              <w:rPr>
                <w:rFonts w:ascii="Times New Roman" w:hAnsi="Times New Roman"/>
                <w:b/>
                <w:bCs/>
                <w:sz w:val="24"/>
                <w:szCs w:val="24"/>
              </w:rPr>
            </w:pPr>
          </w:p>
        </w:tc>
      </w:tr>
      <w:tr w:rsidR="006F299D" w:rsidRPr="006F299D" w14:paraId="7681D252" w14:textId="77777777" w:rsidTr="0064162D">
        <w:tc>
          <w:tcPr>
            <w:tcW w:w="2737" w:type="dxa"/>
          </w:tcPr>
          <w:p w14:paraId="2092D917" w14:textId="77777777" w:rsidR="006F299D" w:rsidRPr="006F299D" w:rsidRDefault="006F299D" w:rsidP="00865BBA">
            <w:pPr>
              <w:rPr>
                <w:rFonts w:ascii="Times New Roman" w:hAnsi="Times New Roman"/>
                <w:sz w:val="24"/>
                <w:szCs w:val="24"/>
              </w:rPr>
            </w:pPr>
          </w:p>
        </w:tc>
        <w:tc>
          <w:tcPr>
            <w:tcW w:w="7154" w:type="dxa"/>
          </w:tcPr>
          <w:p w14:paraId="34C3CDD1" w14:textId="3B2ECAE7" w:rsidR="006F299D" w:rsidRPr="006F299D" w:rsidRDefault="006C3B9D" w:rsidP="00865BBA">
            <w:pPr>
              <w:jc w:val="both"/>
              <w:rPr>
                <w:rFonts w:ascii="Times New Roman" w:hAnsi="Times New Roman"/>
                <w:sz w:val="24"/>
                <w:szCs w:val="24"/>
              </w:rPr>
            </w:pPr>
            <w:r>
              <w:rPr>
                <w:rFonts w:ascii="Times New Roman" w:hAnsi="Times New Roman"/>
                <w:sz w:val="24"/>
                <w:szCs w:val="24"/>
              </w:rPr>
              <w:t>Keelemärkus eelnõu punkti 14 kohta: hinnang ja hindamine ei ole sünonüümid.</w:t>
            </w:r>
          </w:p>
        </w:tc>
        <w:tc>
          <w:tcPr>
            <w:tcW w:w="4669" w:type="dxa"/>
          </w:tcPr>
          <w:p w14:paraId="1456A2C8" w14:textId="77777777" w:rsidR="006F299D" w:rsidRPr="006C3B9D" w:rsidRDefault="006C3B9D" w:rsidP="00865BBA">
            <w:pPr>
              <w:jc w:val="both"/>
              <w:rPr>
                <w:rFonts w:ascii="Times New Roman" w:hAnsi="Times New Roman"/>
                <w:b/>
                <w:bCs/>
                <w:sz w:val="24"/>
                <w:szCs w:val="24"/>
              </w:rPr>
            </w:pPr>
            <w:r w:rsidRPr="006C3B9D">
              <w:rPr>
                <w:rFonts w:ascii="Times New Roman" w:hAnsi="Times New Roman"/>
                <w:b/>
                <w:bCs/>
                <w:sz w:val="24"/>
                <w:szCs w:val="24"/>
              </w:rPr>
              <w:t>Märkusega ei arvestata.</w:t>
            </w:r>
          </w:p>
          <w:p w14:paraId="1BAB0D2A" w14:textId="77777777" w:rsidR="006C3B9D" w:rsidRPr="006C3B9D" w:rsidRDefault="006C3B9D" w:rsidP="00865BBA">
            <w:pPr>
              <w:jc w:val="both"/>
              <w:rPr>
                <w:rFonts w:ascii="Times New Roman" w:hAnsi="Times New Roman"/>
                <w:b/>
                <w:bCs/>
                <w:sz w:val="24"/>
                <w:szCs w:val="24"/>
              </w:rPr>
            </w:pPr>
          </w:p>
          <w:p w14:paraId="03FC961B" w14:textId="7EDBEF9C" w:rsidR="006C3B9D" w:rsidRPr="006C3B9D" w:rsidRDefault="006C3B9D" w:rsidP="006C3B9D">
            <w:pPr>
              <w:pStyle w:val="Kommentaaritekst"/>
              <w:rPr>
                <w:rFonts w:ascii="Times New Roman" w:hAnsi="Times New Roman"/>
                <w:sz w:val="24"/>
                <w:szCs w:val="24"/>
              </w:rPr>
            </w:pPr>
            <w:r w:rsidRPr="006C3B9D">
              <w:rPr>
                <w:rFonts w:ascii="Times New Roman" w:hAnsi="Times New Roman"/>
                <w:sz w:val="24"/>
                <w:szCs w:val="24"/>
              </w:rPr>
              <w:t xml:space="preserve">Määruse (EL) 1107/2009 </w:t>
            </w:r>
            <w:r>
              <w:rPr>
                <w:rFonts w:ascii="Times New Roman" w:hAnsi="Times New Roman"/>
                <w:sz w:val="24"/>
                <w:szCs w:val="24"/>
              </w:rPr>
              <w:t>artikkel</w:t>
            </w:r>
            <w:r w:rsidRPr="006C3B9D">
              <w:rPr>
                <w:rFonts w:ascii="Times New Roman" w:hAnsi="Times New Roman"/>
                <w:sz w:val="24"/>
                <w:szCs w:val="24"/>
              </w:rPr>
              <w:t xml:space="preserve"> 12 </w:t>
            </w:r>
            <w:r>
              <w:rPr>
                <w:rFonts w:ascii="Times New Roman" w:hAnsi="Times New Roman"/>
                <w:sz w:val="24"/>
                <w:szCs w:val="24"/>
              </w:rPr>
              <w:t>käsitab</w:t>
            </w:r>
            <w:r w:rsidRPr="006C3B9D">
              <w:rPr>
                <w:rFonts w:ascii="Times New Roman" w:hAnsi="Times New Roman"/>
                <w:sz w:val="24"/>
                <w:szCs w:val="24"/>
              </w:rPr>
              <w:t xml:space="preserve"> hindamismenetlus</w:t>
            </w:r>
            <w:r>
              <w:rPr>
                <w:rFonts w:ascii="Times New Roman" w:hAnsi="Times New Roman"/>
                <w:sz w:val="24"/>
                <w:szCs w:val="24"/>
              </w:rPr>
              <w:t>t ja selle</w:t>
            </w:r>
            <w:r w:rsidRPr="006C3B9D">
              <w:rPr>
                <w:rFonts w:ascii="Times New Roman" w:hAnsi="Times New Roman"/>
                <w:sz w:val="24"/>
                <w:szCs w:val="24"/>
              </w:rPr>
              <w:t xml:space="preserve"> lõikes 3 on tõesti </w:t>
            </w:r>
            <w:r>
              <w:rPr>
                <w:rFonts w:ascii="Times New Roman" w:hAnsi="Times New Roman"/>
                <w:sz w:val="24"/>
                <w:szCs w:val="24"/>
              </w:rPr>
              <w:t xml:space="preserve">kasutusel </w:t>
            </w:r>
            <w:r w:rsidRPr="006C3B9D">
              <w:rPr>
                <w:rFonts w:ascii="Times New Roman" w:hAnsi="Times New Roman"/>
                <w:sz w:val="24"/>
                <w:szCs w:val="24"/>
              </w:rPr>
              <w:t>sõna „hinnang“.</w:t>
            </w:r>
            <w:r>
              <w:rPr>
                <w:rFonts w:ascii="Times New Roman" w:hAnsi="Times New Roman"/>
                <w:sz w:val="24"/>
                <w:szCs w:val="24"/>
              </w:rPr>
              <w:t xml:space="preserve"> Määruse ingliskeelses versioonis on kasutusel sõna „a</w:t>
            </w:r>
            <w:r w:rsidRPr="006C3B9D">
              <w:rPr>
                <w:rFonts w:ascii="Times New Roman" w:hAnsi="Times New Roman"/>
                <w:sz w:val="24"/>
                <w:szCs w:val="24"/>
              </w:rPr>
              <w:t>ssessment</w:t>
            </w:r>
            <w:r>
              <w:rPr>
                <w:rFonts w:ascii="Times New Roman" w:hAnsi="Times New Roman"/>
                <w:sz w:val="24"/>
                <w:szCs w:val="24"/>
              </w:rPr>
              <w:t>“, mis</w:t>
            </w:r>
            <w:r w:rsidRPr="006C3B9D">
              <w:rPr>
                <w:rFonts w:ascii="Times New Roman" w:hAnsi="Times New Roman"/>
                <w:sz w:val="24"/>
                <w:szCs w:val="24"/>
              </w:rPr>
              <w:t xml:space="preserve"> tähendab </w:t>
            </w:r>
            <w:r>
              <w:rPr>
                <w:rFonts w:ascii="Times New Roman" w:hAnsi="Times New Roman"/>
                <w:sz w:val="24"/>
                <w:szCs w:val="24"/>
              </w:rPr>
              <w:t>aga</w:t>
            </w:r>
            <w:r w:rsidRPr="006C3B9D">
              <w:rPr>
                <w:rFonts w:ascii="Times New Roman" w:hAnsi="Times New Roman"/>
                <w:sz w:val="24"/>
                <w:szCs w:val="24"/>
              </w:rPr>
              <w:t xml:space="preserve"> nii hindamist kui hinnangut. </w:t>
            </w:r>
          </w:p>
          <w:p w14:paraId="56BB9CF9" w14:textId="7787F3E1" w:rsidR="006C3B9D" w:rsidRPr="006C3B9D" w:rsidRDefault="006C3B9D" w:rsidP="006C3B9D">
            <w:pPr>
              <w:jc w:val="both"/>
              <w:rPr>
                <w:rFonts w:ascii="Times New Roman" w:hAnsi="Times New Roman"/>
                <w:sz w:val="24"/>
                <w:szCs w:val="24"/>
              </w:rPr>
            </w:pPr>
            <w:r>
              <w:rPr>
                <w:rFonts w:ascii="Times New Roman" w:hAnsi="Times New Roman"/>
                <w:sz w:val="24"/>
                <w:szCs w:val="24"/>
              </w:rPr>
              <w:t xml:space="preserve">Peame õigeks kasutada </w:t>
            </w:r>
            <w:r w:rsidRPr="006C3B9D">
              <w:rPr>
                <w:rFonts w:ascii="Times New Roman" w:hAnsi="Times New Roman"/>
                <w:sz w:val="24"/>
                <w:szCs w:val="24"/>
              </w:rPr>
              <w:t xml:space="preserve">siiski </w:t>
            </w:r>
            <w:r>
              <w:rPr>
                <w:rFonts w:ascii="Times New Roman" w:hAnsi="Times New Roman"/>
                <w:sz w:val="24"/>
                <w:szCs w:val="24"/>
              </w:rPr>
              <w:t>sõna „</w:t>
            </w:r>
            <w:r w:rsidRPr="006C3B9D">
              <w:rPr>
                <w:rFonts w:ascii="Times New Roman" w:hAnsi="Times New Roman"/>
                <w:sz w:val="24"/>
                <w:szCs w:val="24"/>
              </w:rPr>
              <w:t>hindami</w:t>
            </w:r>
            <w:r>
              <w:rPr>
                <w:rFonts w:ascii="Times New Roman" w:hAnsi="Times New Roman"/>
                <w:sz w:val="24"/>
                <w:szCs w:val="24"/>
              </w:rPr>
              <w:t>ne“</w:t>
            </w:r>
            <w:r w:rsidRPr="006C3B9D">
              <w:rPr>
                <w:rFonts w:ascii="Times New Roman" w:hAnsi="Times New Roman"/>
                <w:sz w:val="24"/>
                <w:szCs w:val="24"/>
              </w:rPr>
              <w:t xml:space="preserve">, sest </w:t>
            </w:r>
            <w:r>
              <w:rPr>
                <w:rFonts w:ascii="Times New Roman" w:hAnsi="Times New Roman"/>
                <w:sz w:val="24"/>
                <w:szCs w:val="24"/>
              </w:rPr>
              <w:t>„</w:t>
            </w:r>
            <w:r w:rsidRPr="006C3B9D">
              <w:rPr>
                <w:rFonts w:ascii="Times New Roman" w:hAnsi="Times New Roman"/>
                <w:sz w:val="24"/>
                <w:szCs w:val="24"/>
              </w:rPr>
              <w:t>hinnang</w:t>
            </w:r>
            <w:r>
              <w:rPr>
                <w:rFonts w:ascii="Times New Roman" w:hAnsi="Times New Roman"/>
                <w:sz w:val="24"/>
                <w:szCs w:val="24"/>
              </w:rPr>
              <w:t>“</w:t>
            </w:r>
            <w:r w:rsidRPr="006C3B9D">
              <w:rPr>
                <w:rFonts w:ascii="Times New Roman" w:hAnsi="Times New Roman"/>
                <w:sz w:val="24"/>
                <w:szCs w:val="24"/>
              </w:rPr>
              <w:t xml:space="preserve"> viitab siin kontekstis rohkem vormistatud tulemusele (dokumendile), meie aga </w:t>
            </w:r>
            <w:r>
              <w:rPr>
                <w:rFonts w:ascii="Times New Roman" w:hAnsi="Times New Roman"/>
                <w:sz w:val="24"/>
                <w:szCs w:val="24"/>
              </w:rPr>
              <w:t>peame silmas</w:t>
            </w:r>
            <w:r w:rsidRPr="006C3B9D">
              <w:rPr>
                <w:rFonts w:ascii="Times New Roman" w:hAnsi="Times New Roman"/>
                <w:sz w:val="24"/>
                <w:szCs w:val="24"/>
              </w:rPr>
              <w:t xml:space="preserve"> menetlusega seonduvaid aspekte (aja- jm kulu) tasu arvestamiseks</w:t>
            </w:r>
            <w:r>
              <w:rPr>
                <w:rFonts w:ascii="Times New Roman" w:hAnsi="Times New Roman"/>
                <w:sz w:val="24"/>
                <w:szCs w:val="24"/>
              </w:rPr>
              <w:t>.</w:t>
            </w:r>
          </w:p>
        </w:tc>
      </w:tr>
      <w:tr w:rsidR="006F299D" w:rsidRPr="006F299D" w14:paraId="6F2E19FF" w14:textId="77777777" w:rsidTr="0064162D">
        <w:tc>
          <w:tcPr>
            <w:tcW w:w="2737" w:type="dxa"/>
          </w:tcPr>
          <w:p w14:paraId="54FE096A" w14:textId="37BFE5C2" w:rsidR="006F299D" w:rsidRPr="006F299D" w:rsidRDefault="006B1606" w:rsidP="00865BBA">
            <w:pPr>
              <w:rPr>
                <w:rFonts w:ascii="Times New Roman" w:hAnsi="Times New Roman"/>
                <w:sz w:val="24"/>
                <w:szCs w:val="24"/>
              </w:rPr>
            </w:pPr>
            <w:r w:rsidRPr="0064162D">
              <w:rPr>
                <w:rFonts w:ascii="Times New Roman" w:hAnsi="Times New Roman"/>
                <w:b/>
                <w:bCs/>
                <w:sz w:val="24"/>
                <w:szCs w:val="24"/>
              </w:rPr>
              <w:t>Haridus- ja Teadusministeerium</w:t>
            </w:r>
          </w:p>
        </w:tc>
        <w:tc>
          <w:tcPr>
            <w:tcW w:w="7154" w:type="dxa"/>
          </w:tcPr>
          <w:p w14:paraId="30BC150E" w14:textId="77777777" w:rsidR="006F299D" w:rsidRPr="006F299D" w:rsidRDefault="006F299D" w:rsidP="00865BBA">
            <w:pPr>
              <w:jc w:val="both"/>
              <w:rPr>
                <w:rFonts w:ascii="Times New Roman" w:hAnsi="Times New Roman"/>
                <w:sz w:val="24"/>
                <w:szCs w:val="24"/>
              </w:rPr>
            </w:pPr>
            <w:r w:rsidRPr="006F299D">
              <w:rPr>
                <w:rFonts w:ascii="Times New Roman" w:hAnsi="Times New Roman"/>
                <w:sz w:val="24"/>
                <w:szCs w:val="24"/>
              </w:rPr>
              <w:t xml:space="preserve">Taimekaitsekoolitusi korraldab Põllumajandus- ja Toiduameti heakskiidetud koolitusprogrammi alusel täiskasvanute koolitusasutus lähtudes täiskasvanute koolituse seadusest, kutseõppeasutuse seadusest </w:t>
            </w:r>
            <w:r w:rsidRPr="006F299D">
              <w:rPr>
                <w:rFonts w:ascii="Times New Roman" w:hAnsi="Times New Roman"/>
                <w:sz w:val="24"/>
                <w:szCs w:val="24"/>
              </w:rPr>
              <w:lastRenderedPageBreak/>
              <w:t>ning taimekaitseseadusest. Kui taimekaitseseaduse mõte on, et taimekaitsekoolitusi viiakse läbi üksnes täienduskoolitusena, siis võib välja jätta viite kutseõppeasutuste seadusele. Samas, taimekaitseseadus kasutab taimekoolituse puhul terminit „programm“, mis on laiem mõiste, kui täiskasvanute koolituse seaduses kasutatav „õppekava“. See viitab, et vastav taimekaitsekoolitus saaks olla ka mõne kutseõppeasutuse tasemeõppe õppekava õppe osaks. Kui on mõeldud, et taimekaitsekoolitus võiks olla ka kutseõppeasutuse õppekava osa, siis viide kutseõppeasutuse seadusele on asjakohane ning tagab koolituse korraldamise paindlikkuse.</w:t>
            </w:r>
          </w:p>
        </w:tc>
        <w:tc>
          <w:tcPr>
            <w:tcW w:w="4669" w:type="dxa"/>
          </w:tcPr>
          <w:p w14:paraId="65CC3E8A" w14:textId="743ECDF5" w:rsidR="00CB17D2" w:rsidRDefault="00FC65EC" w:rsidP="00865BBA">
            <w:pPr>
              <w:jc w:val="both"/>
              <w:rPr>
                <w:rFonts w:ascii="Times New Roman" w:hAnsi="Times New Roman"/>
                <w:b/>
                <w:bCs/>
                <w:sz w:val="24"/>
                <w:szCs w:val="24"/>
              </w:rPr>
            </w:pPr>
            <w:r w:rsidRPr="00FC65EC">
              <w:rPr>
                <w:rFonts w:ascii="Times New Roman" w:hAnsi="Times New Roman"/>
                <w:b/>
                <w:bCs/>
                <w:sz w:val="24"/>
                <w:szCs w:val="24"/>
              </w:rPr>
              <w:lastRenderedPageBreak/>
              <w:t>Märkus</w:t>
            </w:r>
            <w:r w:rsidR="00B54EEA">
              <w:rPr>
                <w:rFonts w:ascii="Times New Roman" w:hAnsi="Times New Roman"/>
                <w:b/>
                <w:bCs/>
                <w:sz w:val="24"/>
                <w:szCs w:val="24"/>
              </w:rPr>
              <w:t>ega on arvestatud</w:t>
            </w:r>
            <w:r w:rsidRPr="00FC65EC">
              <w:rPr>
                <w:rFonts w:ascii="Times New Roman" w:hAnsi="Times New Roman"/>
                <w:b/>
                <w:bCs/>
                <w:sz w:val="24"/>
                <w:szCs w:val="24"/>
              </w:rPr>
              <w:t>.</w:t>
            </w:r>
          </w:p>
          <w:p w14:paraId="3A8082FE" w14:textId="2F766F5F" w:rsidR="006F299D" w:rsidRPr="006F299D" w:rsidRDefault="006F299D" w:rsidP="00865BBA">
            <w:pPr>
              <w:jc w:val="both"/>
              <w:rPr>
                <w:rFonts w:ascii="Times New Roman" w:hAnsi="Times New Roman"/>
                <w:sz w:val="24"/>
                <w:szCs w:val="24"/>
              </w:rPr>
            </w:pPr>
          </w:p>
        </w:tc>
      </w:tr>
      <w:tr w:rsidR="00490AE4" w:rsidRPr="006F299D" w14:paraId="3A495FCC" w14:textId="77777777" w:rsidTr="00490AE4">
        <w:tc>
          <w:tcPr>
            <w:tcW w:w="2737" w:type="dxa"/>
          </w:tcPr>
          <w:p w14:paraId="2DC29E71" w14:textId="77777777" w:rsidR="00490AE4" w:rsidRPr="006F299D" w:rsidRDefault="00490AE4" w:rsidP="00C551DF">
            <w:pPr>
              <w:rPr>
                <w:rFonts w:ascii="Times New Roman" w:hAnsi="Times New Roman"/>
                <w:b/>
                <w:bCs/>
                <w:sz w:val="24"/>
                <w:szCs w:val="24"/>
              </w:rPr>
            </w:pPr>
            <w:r w:rsidRPr="006F299D">
              <w:rPr>
                <w:rFonts w:ascii="Times New Roman" w:hAnsi="Times New Roman"/>
                <w:b/>
                <w:bCs/>
                <w:sz w:val="24"/>
                <w:szCs w:val="24"/>
              </w:rPr>
              <w:t>Põllumeeste Ühistu KEVILI, Eesti Põllumajandus-Kaubanduskoda</w:t>
            </w:r>
          </w:p>
        </w:tc>
        <w:tc>
          <w:tcPr>
            <w:tcW w:w="7154" w:type="dxa"/>
          </w:tcPr>
          <w:p w14:paraId="1E452F44"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 xml:space="preserve">Eelnõu kohaselt rakendub erialase hindamise tasu taimekaitsevahendi identsuse, füüsikaliste ja keemiliste omaduste, analüüsimeetodite, toksikoloogiliste omaduste, </w:t>
            </w:r>
          </w:p>
          <w:p w14:paraId="5F3311DA"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 xml:space="preserve">kokkupuutest tuleneva riski, jääkide, keskkonnas käitumise ja leviku, ökotoksikoloogiliste omaduste ning efektiivsuse hindamise eest. </w:t>
            </w:r>
          </w:p>
          <w:p w14:paraId="4540C358"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 xml:space="preserve">Seletuskirjas on hinnatud, et erialase hindamise tasu laekumisest saadav tulu Põllumajandus- ja Toiduametile on (edaspidi PTA) aastas hinnanguliselt 311 000 eurot. Arvestades, et planeeritava tasu suurus on 78,49 eurot, prognoositakse erialase hindamise </w:t>
            </w:r>
          </w:p>
          <w:p w14:paraId="6092D711"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töötundide arvuks kokku ligi 3962 tundi ehk 2025 töötundide alusel (2002 töötundi) hinnatakse, et erialasele hindamisele kulub 2 täiskohaga inimese kogu aastane tööaeg ehk tegemist on väga mahuka protsessiga. Samas pole seletuskirjas esitatud andmeid mitu tundi praktikas tegevusele kulub taotluse kohta ning mille põhjal otsustatakse vajaduse üle rakendada erialast hindamist. Kuna tegemist on tunnipõhise tasuga ning taotlejal puudub teadmine, kui palju aega antud tegevus võtab, on taotlejal äärmiselt keeruline prognoosida taotluse menetlemisega kaasnevaid kulusid. Eriti võttes arvesse olukorda, kus taimekaitsevahendi turulelaskmise taotluste menetlemise tähtaegadest ei peeta kinni ja keskmiselt võtab taotluse menetlemine aega 5 aastat.</w:t>
            </w:r>
          </w:p>
        </w:tc>
        <w:tc>
          <w:tcPr>
            <w:tcW w:w="4669" w:type="dxa"/>
          </w:tcPr>
          <w:p w14:paraId="7C5187AE" w14:textId="77777777" w:rsidR="00490AE4" w:rsidRPr="006F299D" w:rsidRDefault="00490AE4" w:rsidP="00C551DF">
            <w:pPr>
              <w:jc w:val="both"/>
              <w:rPr>
                <w:rFonts w:ascii="Times New Roman" w:hAnsi="Times New Roman"/>
                <w:b/>
                <w:bCs/>
                <w:sz w:val="24"/>
                <w:szCs w:val="24"/>
              </w:rPr>
            </w:pPr>
            <w:r>
              <w:rPr>
                <w:rFonts w:ascii="Times New Roman" w:hAnsi="Times New Roman"/>
                <w:b/>
                <w:bCs/>
                <w:sz w:val="24"/>
                <w:szCs w:val="24"/>
              </w:rPr>
              <w:t>Märkusega on a</w:t>
            </w:r>
            <w:r w:rsidRPr="006F299D">
              <w:rPr>
                <w:rFonts w:ascii="Times New Roman" w:hAnsi="Times New Roman"/>
                <w:b/>
                <w:bCs/>
                <w:sz w:val="24"/>
                <w:szCs w:val="24"/>
              </w:rPr>
              <w:t>rvestatud osaliselt.</w:t>
            </w:r>
          </w:p>
          <w:p w14:paraId="5ECF1C9D"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Eelnõu seletuskirja ja EPKK/KEVILI</w:t>
            </w:r>
            <w:r>
              <w:rPr>
                <w:rFonts w:ascii="Times New Roman" w:hAnsi="Times New Roman"/>
                <w:sz w:val="24"/>
                <w:szCs w:val="24"/>
              </w:rPr>
              <w:t>`le saadetud</w:t>
            </w:r>
            <w:r w:rsidRPr="006F299D">
              <w:rPr>
                <w:rFonts w:ascii="Times New Roman" w:hAnsi="Times New Roman"/>
                <w:sz w:val="24"/>
                <w:szCs w:val="24"/>
              </w:rPr>
              <w:t xml:space="preserve"> vastusele lisati keskmised ajakulud PTA praktikast ja põhjalikud selgitused. </w:t>
            </w:r>
          </w:p>
          <w:p w14:paraId="4A899D5C" w14:textId="77777777" w:rsidR="00490AE4" w:rsidRPr="006F299D" w:rsidRDefault="00490AE4" w:rsidP="00C551DF">
            <w:pPr>
              <w:jc w:val="both"/>
              <w:rPr>
                <w:rFonts w:ascii="Times New Roman" w:hAnsi="Times New Roman"/>
                <w:sz w:val="24"/>
                <w:szCs w:val="24"/>
              </w:rPr>
            </w:pPr>
          </w:p>
          <w:p w14:paraId="1C66A299"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PTA selgituste kohaselt peetakse tööaja arvestust PlanPros vastavalt reaalselt tehtud töö mahule iga spetsialisti või ametniku kaupa eraldi. Kulutatud aja arvestamise süsteem on juba rakenduses toimeainete hindamisel ning kaebusi ei ole selles osas seni laekunud.</w:t>
            </w:r>
          </w:p>
          <w:p w14:paraId="287888B2"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 xml:space="preserve">Isegi kui taotluse menetlemine venib pikemaks kui määrusega ette nähtud 12 kuud, siis see ei tähenda, et tööaeg oleks lõputu – reaalselt tehtud töötundide arv ei ole seni kordagi ulatunud Euroopa Parlamendi ja nõukogu määruses (EÜ) </w:t>
            </w:r>
            <w:r>
              <w:rPr>
                <w:rFonts w:ascii="Times New Roman" w:hAnsi="Times New Roman"/>
                <w:sz w:val="24"/>
                <w:szCs w:val="24"/>
              </w:rPr>
              <w:t xml:space="preserve">nr </w:t>
            </w:r>
            <w:r w:rsidRPr="006F299D">
              <w:rPr>
                <w:rFonts w:ascii="Times New Roman" w:hAnsi="Times New Roman"/>
                <w:sz w:val="24"/>
                <w:szCs w:val="24"/>
              </w:rPr>
              <w:t xml:space="preserve">1107/2009 toodud ajalise ülempiirini. Taotleja poolt makstakse kinni ikkagi reaalselt taotluse hindamisel tehtud töö – milleks riigilõivu puhul ei ole võimalik adekvaatset koormist seada. </w:t>
            </w:r>
          </w:p>
          <w:p w14:paraId="3320E896"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Hindamise nõuded, vajadus ja maht tulenevad määrusest (EÜ)</w:t>
            </w:r>
            <w:r>
              <w:rPr>
                <w:rFonts w:ascii="Times New Roman" w:hAnsi="Times New Roman"/>
                <w:sz w:val="24"/>
                <w:szCs w:val="24"/>
              </w:rPr>
              <w:t xml:space="preserve"> nr</w:t>
            </w:r>
            <w:r w:rsidRPr="006F299D">
              <w:rPr>
                <w:rFonts w:ascii="Times New Roman" w:hAnsi="Times New Roman"/>
                <w:sz w:val="24"/>
                <w:szCs w:val="24"/>
              </w:rPr>
              <w:t xml:space="preserve"> 1107/2009, </w:t>
            </w:r>
            <w:r>
              <w:rPr>
                <w:rFonts w:ascii="Times New Roman" w:hAnsi="Times New Roman"/>
                <w:sz w:val="24"/>
                <w:szCs w:val="24"/>
              </w:rPr>
              <w:t>p</w:t>
            </w:r>
            <w:r w:rsidRPr="006F299D">
              <w:rPr>
                <w:rFonts w:ascii="Times New Roman" w:hAnsi="Times New Roman"/>
                <w:sz w:val="24"/>
                <w:szCs w:val="24"/>
              </w:rPr>
              <w:t xml:space="preserve">õhjatsooni hindamise juhenddokumendist, </w:t>
            </w:r>
            <w:r w:rsidRPr="006F299D">
              <w:rPr>
                <w:rFonts w:ascii="Times New Roman" w:hAnsi="Times New Roman"/>
                <w:sz w:val="24"/>
                <w:szCs w:val="24"/>
              </w:rPr>
              <w:lastRenderedPageBreak/>
              <w:t xml:space="preserve">protseduurilistest juhenddokumentidest ning EFSA ja Euroopa Komisjoni poolt koostatud konkreetsete hindamiste juhenddokumentidest. </w:t>
            </w:r>
          </w:p>
          <w:p w14:paraId="108786C1" w14:textId="77777777" w:rsidR="00490AE4" w:rsidRPr="006F299D" w:rsidRDefault="00490AE4" w:rsidP="00C551DF">
            <w:pPr>
              <w:jc w:val="both"/>
              <w:rPr>
                <w:rFonts w:ascii="Times New Roman" w:hAnsi="Times New Roman"/>
                <w:sz w:val="24"/>
                <w:szCs w:val="24"/>
              </w:rPr>
            </w:pPr>
          </w:p>
        </w:tc>
      </w:tr>
      <w:tr w:rsidR="00490AE4" w:rsidRPr="006F299D" w14:paraId="0103B0ED" w14:textId="77777777" w:rsidTr="00490AE4">
        <w:tc>
          <w:tcPr>
            <w:tcW w:w="2737" w:type="dxa"/>
          </w:tcPr>
          <w:p w14:paraId="2BECEC1A" w14:textId="77777777" w:rsidR="00490AE4" w:rsidRPr="006F299D" w:rsidRDefault="00490AE4" w:rsidP="00C551DF">
            <w:pPr>
              <w:rPr>
                <w:rFonts w:ascii="Times New Roman" w:hAnsi="Times New Roman"/>
                <w:sz w:val="24"/>
                <w:szCs w:val="24"/>
              </w:rPr>
            </w:pPr>
          </w:p>
        </w:tc>
        <w:tc>
          <w:tcPr>
            <w:tcW w:w="7154" w:type="dxa"/>
          </w:tcPr>
          <w:p w14:paraId="3B2A76DD"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Täiendavalt asendatakse eelnõu § 1 punktiga 12 Euroopa Parlamendi määruse artiklites 51 (loa kehtivuse laiendamine vähe levinud või väikese kasvupinnaga kultuuridel kasutamisele) ja 53 (taimekaitse eriolukord) nimetatud loa taotlemise eest ka sama määruse artiklis 40 (taimekaitsevahendite vastastikune tunnustamine) sätestatud loa taotlemise riigilõiv erialase hindamise tasuga. Tegemist on taotlustega, mille menetlemiseks kulub eelneva kogemuse põhjal ligi 30 tööpäeva. Olukorras, kus on ebaselge, mida täpselt erialane hindamine tähendab ning mis on sellele kuluv aeg, on taotlejal võimatu prognoosida loa menetlusega kaasnevaid kulusid. Lähtudes eelnevast kogemusest, kujuneks erialase hindamise kuluks 18 837,60 eurot, mis on ebamõistlikult suur, arvestades et antud lube taotlevad ka MTÜ-d, kes ei ole kasumit teenivad organisatsioonid. Oleme seisukohal, et antud juhtudel ei ole sellisel kujul tunnitasu rakendamine asjakohane, kui puudub arusaam erialase hindamise sisust ning kaasnevast ajakulust.</w:t>
            </w:r>
          </w:p>
          <w:p w14:paraId="671ED8D2" w14:textId="77777777" w:rsidR="00490AE4" w:rsidRPr="006F299D" w:rsidRDefault="00490AE4" w:rsidP="00C551DF">
            <w:pPr>
              <w:jc w:val="both"/>
              <w:rPr>
                <w:rFonts w:ascii="Times New Roman" w:hAnsi="Times New Roman"/>
                <w:sz w:val="24"/>
                <w:szCs w:val="24"/>
              </w:rPr>
            </w:pPr>
          </w:p>
          <w:p w14:paraId="2570D6A5" w14:textId="77777777" w:rsidR="00490AE4" w:rsidRPr="006F299D" w:rsidRDefault="00490AE4" w:rsidP="00C551DF">
            <w:pPr>
              <w:jc w:val="both"/>
              <w:rPr>
                <w:rFonts w:ascii="Times New Roman" w:hAnsi="Times New Roman"/>
                <w:sz w:val="24"/>
                <w:szCs w:val="24"/>
              </w:rPr>
            </w:pPr>
          </w:p>
        </w:tc>
        <w:tc>
          <w:tcPr>
            <w:tcW w:w="4669" w:type="dxa"/>
          </w:tcPr>
          <w:p w14:paraId="74E7300F" w14:textId="77777777" w:rsidR="00490AE4" w:rsidRPr="006F299D" w:rsidRDefault="00490AE4" w:rsidP="00C551DF">
            <w:pPr>
              <w:jc w:val="both"/>
              <w:rPr>
                <w:rFonts w:ascii="Times New Roman" w:hAnsi="Times New Roman"/>
                <w:b/>
                <w:bCs/>
                <w:sz w:val="24"/>
                <w:szCs w:val="24"/>
              </w:rPr>
            </w:pPr>
            <w:r w:rsidRPr="006F299D">
              <w:rPr>
                <w:rFonts w:ascii="Times New Roman" w:hAnsi="Times New Roman"/>
                <w:b/>
                <w:bCs/>
                <w:sz w:val="24"/>
                <w:szCs w:val="24"/>
              </w:rPr>
              <w:t>Märkusega on arvestatud</w:t>
            </w:r>
            <w:r>
              <w:rPr>
                <w:rFonts w:ascii="Times New Roman" w:hAnsi="Times New Roman"/>
                <w:b/>
                <w:bCs/>
                <w:sz w:val="24"/>
                <w:szCs w:val="24"/>
              </w:rPr>
              <w:t xml:space="preserve"> osaliselt</w:t>
            </w:r>
            <w:r w:rsidRPr="006F299D">
              <w:rPr>
                <w:rFonts w:ascii="Times New Roman" w:hAnsi="Times New Roman"/>
                <w:b/>
                <w:bCs/>
                <w:sz w:val="24"/>
                <w:szCs w:val="24"/>
              </w:rPr>
              <w:t>.</w:t>
            </w:r>
          </w:p>
          <w:p w14:paraId="642BB186"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 xml:space="preserve">Euroopa Parlamendi ja nõukogu määruse (EÜ) </w:t>
            </w:r>
            <w:r>
              <w:rPr>
                <w:rFonts w:ascii="Times New Roman" w:hAnsi="Times New Roman"/>
                <w:sz w:val="24"/>
                <w:szCs w:val="24"/>
              </w:rPr>
              <w:t xml:space="preserve">nr </w:t>
            </w:r>
            <w:r w:rsidRPr="006F299D">
              <w:rPr>
                <w:rFonts w:ascii="Times New Roman" w:hAnsi="Times New Roman"/>
                <w:sz w:val="24"/>
                <w:szCs w:val="24"/>
              </w:rPr>
              <w:t xml:space="preserve">1107/2009 artiklite 51 ja 53 </w:t>
            </w:r>
            <w:r>
              <w:rPr>
                <w:rFonts w:ascii="Times New Roman" w:hAnsi="Times New Roman"/>
                <w:sz w:val="24"/>
                <w:szCs w:val="24"/>
              </w:rPr>
              <w:t>alusel esitatud</w:t>
            </w:r>
            <w:r w:rsidRPr="006F299D">
              <w:rPr>
                <w:rFonts w:ascii="Times New Roman" w:hAnsi="Times New Roman"/>
                <w:sz w:val="24"/>
                <w:szCs w:val="24"/>
              </w:rPr>
              <w:t xml:space="preserve"> taotlused vabastatakse eelnõu</w:t>
            </w:r>
            <w:r>
              <w:rPr>
                <w:rFonts w:ascii="Times New Roman" w:hAnsi="Times New Roman"/>
                <w:sz w:val="24"/>
                <w:szCs w:val="24"/>
              </w:rPr>
              <w:t>ga kavandatavate muudatuste</w:t>
            </w:r>
            <w:r w:rsidRPr="006F299D">
              <w:rPr>
                <w:rFonts w:ascii="Times New Roman" w:hAnsi="Times New Roman"/>
                <w:sz w:val="24"/>
                <w:szCs w:val="24"/>
              </w:rPr>
              <w:t xml:space="preserve"> kohaselt nii riigilõivust kui erialase hindamise tasust. </w:t>
            </w:r>
          </w:p>
          <w:p w14:paraId="7B46481A" w14:textId="77777777" w:rsidR="00490AE4" w:rsidRPr="006F299D" w:rsidRDefault="00490AE4" w:rsidP="00C551DF">
            <w:pPr>
              <w:jc w:val="both"/>
              <w:rPr>
                <w:rFonts w:ascii="Times New Roman" w:hAnsi="Times New Roman"/>
                <w:sz w:val="24"/>
                <w:szCs w:val="24"/>
              </w:rPr>
            </w:pPr>
          </w:p>
          <w:p w14:paraId="52491943"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 xml:space="preserve">Euroopa Parlamendi ja nõukogu määruse (EÜ) </w:t>
            </w:r>
            <w:r>
              <w:rPr>
                <w:rFonts w:ascii="Times New Roman" w:hAnsi="Times New Roman"/>
                <w:sz w:val="24"/>
                <w:szCs w:val="24"/>
              </w:rPr>
              <w:t>nr 1107</w:t>
            </w:r>
            <w:r w:rsidRPr="006F299D">
              <w:rPr>
                <w:rFonts w:ascii="Times New Roman" w:hAnsi="Times New Roman"/>
                <w:sz w:val="24"/>
                <w:szCs w:val="24"/>
              </w:rPr>
              <w:t xml:space="preserve">/2009 artikli 40 </w:t>
            </w:r>
            <w:r>
              <w:rPr>
                <w:rFonts w:ascii="Times New Roman" w:hAnsi="Times New Roman"/>
                <w:sz w:val="24"/>
                <w:szCs w:val="24"/>
              </w:rPr>
              <w:t>alusel esitatud</w:t>
            </w:r>
            <w:r w:rsidRPr="006F299D">
              <w:rPr>
                <w:rFonts w:ascii="Times New Roman" w:hAnsi="Times New Roman"/>
                <w:sz w:val="24"/>
                <w:szCs w:val="24"/>
              </w:rPr>
              <w:t xml:space="preserve"> taotlusi ei ole MTÜ-d ega teised sektori organisatsioonid Eestis seni veel esitanud, küll aga on REM pilootprojekti raames </w:t>
            </w:r>
            <w:r>
              <w:rPr>
                <w:rFonts w:ascii="Times New Roman" w:hAnsi="Times New Roman"/>
                <w:sz w:val="24"/>
                <w:szCs w:val="24"/>
              </w:rPr>
              <w:t>andnud</w:t>
            </w:r>
            <w:r w:rsidRPr="006F299D">
              <w:rPr>
                <w:rFonts w:ascii="Times New Roman" w:hAnsi="Times New Roman"/>
                <w:sz w:val="24"/>
                <w:szCs w:val="24"/>
              </w:rPr>
              <w:t xml:space="preserve"> PTA-le</w:t>
            </w:r>
            <w:r>
              <w:rPr>
                <w:rFonts w:ascii="Times New Roman" w:hAnsi="Times New Roman"/>
                <w:sz w:val="24"/>
                <w:szCs w:val="24"/>
              </w:rPr>
              <w:t xml:space="preserve"> ülesande algatada taimekaitsevahendi loa menetlemine vastastikuse tunnustamise raames</w:t>
            </w:r>
            <w:r w:rsidRPr="006F299D">
              <w:rPr>
                <w:rFonts w:ascii="Times New Roman" w:hAnsi="Times New Roman"/>
                <w:sz w:val="24"/>
                <w:szCs w:val="24"/>
              </w:rPr>
              <w:t>.</w:t>
            </w:r>
          </w:p>
          <w:p w14:paraId="595AF714" w14:textId="77777777" w:rsidR="00490AE4" w:rsidRPr="006F299D" w:rsidRDefault="00490AE4" w:rsidP="00C551DF">
            <w:pPr>
              <w:jc w:val="both"/>
              <w:rPr>
                <w:rFonts w:ascii="Times New Roman" w:hAnsi="Times New Roman"/>
                <w:sz w:val="24"/>
                <w:szCs w:val="24"/>
              </w:rPr>
            </w:pPr>
          </w:p>
          <w:p w14:paraId="11C5AF02"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Nii Euroopa Parlamendi ja nõukogu määruse</w:t>
            </w:r>
            <w:r>
              <w:rPr>
                <w:rFonts w:ascii="Times New Roman" w:hAnsi="Times New Roman"/>
                <w:sz w:val="24"/>
                <w:szCs w:val="24"/>
              </w:rPr>
              <w:t>l</w:t>
            </w:r>
            <w:r w:rsidRPr="006F299D">
              <w:rPr>
                <w:rFonts w:ascii="Times New Roman" w:hAnsi="Times New Roman"/>
                <w:sz w:val="24"/>
                <w:szCs w:val="24"/>
              </w:rPr>
              <w:t xml:space="preserve"> (EÜ) </w:t>
            </w:r>
            <w:r>
              <w:rPr>
                <w:rFonts w:ascii="Times New Roman" w:hAnsi="Times New Roman"/>
                <w:sz w:val="24"/>
                <w:szCs w:val="24"/>
              </w:rPr>
              <w:t xml:space="preserve">nr </w:t>
            </w:r>
            <w:r w:rsidRPr="006F299D">
              <w:rPr>
                <w:rFonts w:ascii="Times New Roman" w:hAnsi="Times New Roman"/>
                <w:sz w:val="24"/>
                <w:szCs w:val="24"/>
              </w:rPr>
              <w:t xml:space="preserve">1107/2009 ja PTA senisel praktikal põhinevate piiraegade näited on edastatud EPKK-le ja SK-sse sisse viidud. </w:t>
            </w:r>
          </w:p>
          <w:p w14:paraId="67D7930D" w14:textId="77777777" w:rsidR="00490AE4" w:rsidRPr="006F299D" w:rsidRDefault="00490AE4" w:rsidP="00C551DF">
            <w:pPr>
              <w:jc w:val="both"/>
              <w:rPr>
                <w:rFonts w:ascii="Times New Roman" w:hAnsi="Times New Roman"/>
                <w:sz w:val="24"/>
                <w:szCs w:val="24"/>
              </w:rPr>
            </w:pPr>
          </w:p>
          <w:p w14:paraId="543143D2" w14:textId="77777777" w:rsidR="00490AE4" w:rsidRPr="006F299D" w:rsidRDefault="00490AE4" w:rsidP="00C551DF">
            <w:pPr>
              <w:jc w:val="both"/>
              <w:rPr>
                <w:rFonts w:ascii="Times New Roman" w:hAnsi="Times New Roman"/>
                <w:sz w:val="24"/>
                <w:szCs w:val="24"/>
              </w:rPr>
            </w:pPr>
            <w:r>
              <w:rPr>
                <w:rFonts w:ascii="Times New Roman" w:hAnsi="Times New Roman"/>
                <w:sz w:val="24"/>
                <w:szCs w:val="24"/>
              </w:rPr>
              <w:t>E</w:t>
            </w:r>
            <w:r w:rsidRPr="006F299D">
              <w:rPr>
                <w:rFonts w:ascii="Times New Roman" w:hAnsi="Times New Roman"/>
                <w:sz w:val="24"/>
                <w:szCs w:val="24"/>
              </w:rPr>
              <w:t>elnõu</w:t>
            </w:r>
            <w:r>
              <w:rPr>
                <w:rFonts w:ascii="Times New Roman" w:hAnsi="Times New Roman"/>
                <w:sz w:val="24"/>
                <w:szCs w:val="24"/>
              </w:rPr>
              <w:t>ga kavandatakse loobuda r</w:t>
            </w:r>
            <w:r w:rsidRPr="006F299D">
              <w:rPr>
                <w:rFonts w:ascii="Times New Roman" w:hAnsi="Times New Roman"/>
                <w:sz w:val="24"/>
                <w:szCs w:val="24"/>
              </w:rPr>
              <w:t>iigilõiv</w:t>
            </w:r>
            <w:r>
              <w:rPr>
                <w:rFonts w:ascii="Times New Roman" w:hAnsi="Times New Roman"/>
                <w:sz w:val="24"/>
                <w:szCs w:val="24"/>
              </w:rPr>
              <w:t>ust</w:t>
            </w:r>
            <w:r w:rsidRPr="006F299D">
              <w:rPr>
                <w:rFonts w:ascii="Times New Roman" w:hAnsi="Times New Roman"/>
                <w:sz w:val="24"/>
                <w:szCs w:val="24"/>
              </w:rPr>
              <w:t xml:space="preserve"> ja </w:t>
            </w:r>
            <w:r>
              <w:rPr>
                <w:rFonts w:ascii="Times New Roman" w:hAnsi="Times New Roman"/>
                <w:sz w:val="24"/>
                <w:szCs w:val="24"/>
              </w:rPr>
              <w:t xml:space="preserve">kehtestada </w:t>
            </w:r>
            <w:r w:rsidRPr="006F299D">
              <w:rPr>
                <w:rFonts w:ascii="Times New Roman" w:hAnsi="Times New Roman"/>
                <w:sz w:val="24"/>
                <w:szCs w:val="24"/>
              </w:rPr>
              <w:t xml:space="preserve">erialase hindamise tasu just selleks, et võimaldada tasu võtmist vastavalt reaalselt tehtud töö mahule. Kuna erialase hindamise tasu ei ole seni rakendatud ja EPKK ise viitab töö mahu prognoosimatusele, ei saa tuua „eelnevast kogemusest lähtudes“ näiteks </w:t>
            </w:r>
            <w:r w:rsidRPr="006F299D">
              <w:rPr>
                <w:rFonts w:ascii="Times New Roman" w:hAnsi="Times New Roman"/>
                <w:sz w:val="24"/>
                <w:szCs w:val="24"/>
              </w:rPr>
              <w:lastRenderedPageBreak/>
              <w:t>vastastikuse tunnustamise erialasele hindamisele kuluvat summat  18 837,60 eurot.</w:t>
            </w:r>
          </w:p>
        </w:tc>
      </w:tr>
      <w:tr w:rsidR="00490AE4" w:rsidRPr="006F299D" w14:paraId="788F64C5" w14:textId="77777777" w:rsidTr="00490AE4">
        <w:tc>
          <w:tcPr>
            <w:tcW w:w="2737" w:type="dxa"/>
          </w:tcPr>
          <w:p w14:paraId="05A71B37" w14:textId="77777777" w:rsidR="00490AE4" w:rsidRPr="006F299D" w:rsidRDefault="00490AE4" w:rsidP="00C551DF">
            <w:pPr>
              <w:rPr>
                <w:rFonts w:ascii="Times New Roman" w:hAnsi="Times New Roman"/>
                <w:sz w:val="24"/>
                <w:szCs w:val="24"/>
              </w:rPr>
            </w:pPr>
          </w:p>
        </w:tc>
        <w:tc>
          <w:tcPr>
            <w:tcW w:w="7154" w:type="dxa"/>
          </w:tcPr>
          <w:p w14:paraId="76CBB969"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 xml:space="preserve">Samaaegselt tõstetakse ka taimekaitsevahendi turulelaskmise taotluse läbivaatamise riigilõiv 8400 euroni. Seejuures on arusaamatu, </w:t>
            </w:r>
            <w:r w:rsidRPr="00C34C37">
              <w:rPr>
                <w:rFonts w:ascii="Times New Roman" w:hAnsi="Times New Roman"/>
                <w:sz w:val="24"/>
                <w:szCs w:val="24"/>
              </w:rPr>
              <w:t>mis erinevus on taotluse nõuetekohasuse hindamisel ning erialasel hindamisel.</w:t>
            </w:r>
            <w:r w:rsidRPr="006F299D">
              <w:rPr>
                <w:rFonts w:ascii="Times New Roman" w:hAnsi="Times New Roman"/>
                <w:sz w:val="24"/>
                <w:szCs w:val="24"/>
              </w:rPr>
              <w:t xml:space="preserve"> Seletuskirjas on riigilõivude tõstmist ning tunnipõhise erialase hindamise tasu rakendamist põhjendatud muuhulgas vajadusega tagada taotluste tähtaegne menetlemine. See on arusaamatu ja ebaadekvaatne olukorras, kus PTA ei täida </w:t>
            </w:r>
          </w:p>
          <w:p w14:paraId="0094F1D5"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seadusega ettenähtud menetlemise tähtaegasid ja keskmine lubade menetlemise aeg on 5 aastat.</w:t>
            </w:r>
          </w:p>
        </w:tc>
        <w:tc>
          <w:tcPr>
            <w:tcW w:w="4669" w:type="dxa"/>
          </w:tcPr>
          <w:p w14:paraId="6D0E3631" w14:textId="77777777" w:rsidR="00490AE4" w:rsidRPr="00EC2D70" w:rsidRDefault="00490AE4" w:rsidP="00993011">
            <w:pPr>
              <w:pStyle w:val="Snum"/>
            </w:pPr>
            <w:r w:rsidRPr="00565CC7">
              <w:t>Märkusega on arvestatud osaliselt</w:t>
            </w:r>
            <w:r>
              <w:t>.</w:t>
            </w:r>
          </w:p>
          <w:p w14:paraId="5541F062"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 xml:space="preserve">Praegu taimekaitsevahendi Eestis </w:t>
            </w:r>
            <w:r w:rsidRPr="00565CC7">
              <w:rPr>
                <w:rFonts w:ascii="Times New Roman" w:hAnsi="Times New Roman"/>
                <w:sz w:val="24"/>
                <w:szCs w:val="24"/>
              </w:rPr>
              <w:t>ja teises Euroopa Liidu liikmesriigis turulelaskmise</w:t>
            </w:r>
            <w:r w:rsidRPr="006F299D">
              <w:rPr>
                <w:rFonts w:ascii="Times New Roman" w:hAnsi="Times New Roman"/>
                <w:sz w:val="24"/>
                <w:szCs w:val="24"/>
              </w:rPr>
              <w:t xml:space="preserve"> riigilõiv</w:t>
            </w:r>
            <w:r>
              <w:rPr>
                <w:rFonts w:ascii="Times New Roman" w:hAnsi="Times New Roman"/>
                <w:sz w:val="24"/>
                <w:szCs w:val="24"/>
              </w:rPr>
              <w:t xml:space="preserve"> </w:t>
            </w:r>
            <w:r w:rsidRPr="006F299D">
              <w:rPr>
                <w:rFonts w:ascii="Times New Roman" w:hAnsi="Times New Roman"/>
                <w:sz w:val="24"/>
                <w:szCs w:val="24"/>
              </w:rPr>
              <w:t xml:space="preserve">Euroopa Parlamendi ja nõukogu määruse (EÜ) </w:t>
            </w:r>
            <w:r>
              <w:rPr>
                <w:rFonts w:ascii="Times New Roman" w:hAnsi="Times New Roman"/>
                <w:sz w:val="24"/>
                <w:szCs w:val="24"/>
              </w:rPr>
              <w:t>nr</w:t>
            </w:r>
            <w:r w:rsidRPr="006F299D">
              <w:rPr>
                <w:rFonts w:ascii="Times New Roman" w:hAnsi="Times New Roman"/>
                <w:sz w:val="24"/>
                <w:szCs w:val="24"/>
              </w:rPr>
              <w:t xml:space="preserve"> 1107/2009 art</w:t>
            </w:r>
            <w:r>
              <w:rPr>
                <w:rFonts w:ascii="Times New Roman" w:hAnsi="Times New Roman"/>
                <w:sz w:val="24"/>
                <w:szCs w:val="24"/>
              </w:rPr>
              <w:t>ikli</w:t>
            </w:r>
            <w:r w:rsidRPr="006F299D">
              <w:rPr>
                <w:rFonts w:ascii="Times New Roman" w:hAnsi="Times New Roman"/>
                <w:sz w:val="24"/>
                <w:szCs w:val="24"/>
              </w:rPr>
              <w:t xml:space="preserve"> 33 kohaselt juhul, kui Eesti on tsonaalne hindaja ehk taotlust läbivaatav </w:t>
            </w:r>
            <w:r>
              <w:rPr>
                <w:rFonts w:ascii="Times New Roman" w:hAnsi="Times New Roman"/>
                <w:sz w:val="24"/>
                <w:szCs w:val="24"/>
              </w:rPr>
              <w:t>liikmesriik</w:t>
            </w:r>
            <w:r w:rsidRPr="006F299D">
              <w:rPr>
                <w:rFonts w:ascii="Times New Roman" w:hAnsi="Times New Roman"/>
                <w:sz w:val="24"/>
                <w:szCs w:val="24"/>
              </w:rPr>
              <w:t xml:space="preserve"> artikli 35 tähenduses, on 8240 EUR. See lõiv kehtib aastast 2011 ja seega on antud lõivu tõus 14 aasta kohta ainult 160 EUR, mistõttu on mõistetav, et sellele lisandub vajaliku erialase hindamise eest võetav tasu. </w:t>
            </w:r>
          </w:p>
          <w:p w14:paraId="5DAFCB46" w14:textId="77777777" w:rsidR="00490AE4" w:rsidRPr="006F299D" w:rsidRDefault="00490AE4" w:rsidP="00C551DF">
            <w:pPr>
              <w:jc w:val="both"/>
              <w:rPr>
                <w:rFonts w:ascii="Times New Roman" w:hAnsi="Times New Roman"/>
                <w:sz w:val="24"/>
                <w:szCs w:val="24"/>
              </w:rPr>
            </w:pPr>
          </w:p>
          <w:p w14:paraId="3C1616F2"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 xml:space="preserve">Oleme nõus, et menetlemise tähtaegadest mittekinnipidamine on taunitav; taotluste menetlemise tasustamine vastavalt reaalselt tehtud tööle on üks sammudest, et võimaldada piisava arvu kvalifitseeritud ekspertide palkamist ning seega menetlustähtaegadest kinnipidamist. </w:t>
            </w:r>
          </w:p>
          <w:p w14:paraId="367B0593" w14:textId="77777777" w:rsidR="00490AE4" w:rsidRPr="006F299D" w:rsidRDefault="00490AE4" w:rsidP="00C551DF">
            <w:pPr>
              <w:jc w:val="both"/>
              <w:rPr>
                <w:rFonts w:ascii="Times New Roman" w:hAnsi="Times New Roman"/>
                <w:sz w:val="24"/>
                <w:szCs w:val="24"/>
              </w:rPr>
            </w:pPr>
          </w:p>
          <w:p w14:paraId="2891B311" w14:textId="77777777" w:rsidR="00490AE4" w:rsidRPr="006F299D" w:rsidRDefault="00490AE4" w:rsidP="00C551DF">
            <w:pPr>
              <w:jc w:val="both"/>
              <w:rPr>
                <w:rFonts w:ascii="Times New Roman" w:hAnsi="Times New Roman"/>
                <w:sz w:val="24"/>
                <w:szCs w:val="24"/>
              </w:rPr>
            </w:pPr>
            <w:r>
              <w:rPr>
                <w:rFonts w:ascii="Times New Roman" w:hAnsi="Times New Roman"/>
                <w:sz w:val="24"/>
                <w:szCs w:val="24"/>
              </w:rPr>
              <w:t>Seletuskirjas antud selgituste kohaselt</w:t>
            </w:r>
            <w:r w:rsidRPr="006F299D">
              <w:rPr>
                <w:rFonts w:ascii="Times New Roman" w:hAnsi="Times New Roman"/>
                <w:sz w:val="24"/>
                <w:szCs w:val="24"/>
              </w:rPr>
              <w:t xml:space="preserve"> makstakse erialase hindamise tasu taimekaitsevahendi või toimeaine, taimekaitseaine ja sünergisti identsuse, füüsikaliste ja keemiliste omaduste, analüüsimeetodite, toksikoloogiliste omaduste, kokkupuutest tuleneva riski, jääkide, keskkonnas käitumise ja leviku, ökotoksikoloogiliste omaduste ning efektiivsuse hindamise eest. Taotluse nõuetekohasuse kontrolli, selleks ette nähtud </w:t>
            </w:r>
            <w:r w:rsidRPr="006F299D">
              <w:rPr>
                <w:rFonts w:ascii="Times New Roman" w:hAnsi="Times New Roman"/>
                <w:sz w:val="24"/>
                <w:szCs w:val="24"/>
              </w:rPr>
              <w:lastRenderedPageBreak/>
              <w:t xml:space="preserve">maksimaalse aja ja kontrolli läbiviimise viisi sätestab Euroopa Parlamendi ja nõukogu määruse (EÜ) </w:t>
            </w:r>
            <w:r>
              <w:rPr>
                <w:rFonts w:ascii="Times New Roman" w:hAnsi="Times New Roman"/>
                <w:sz w:val="24"/>
                <w:szCs w:val="24"/>
              </w:rPr>
              <w:t xml:space="preserve">nr </w:t>
            </w:r>
            <w:r w:rsidRPr="006F299D">
              <w:rPr>
                <w:rFonts w:ascii="Times New Roman" w:hAnsi="Times New Roman"/>
                <w:sz w:val="24"/>
                <w:szCs w:val="24"/>
              </w:rPr>
              <w:t>1107/2009 artikkel 9. Seetõttu ei saa toimeaine ega taimekaitsevahendi erialane hindamine olla nõuetekohasuse kontrolli osa.</w:t>
            </w:r>
          </w:p>
        </w:tc>
      </w:tr>
      <w:tr w:rsidR="00490AE4" w:rsidRPr="006F299D" w14:paraId="2A4BDE6D" w14:textId="77777777" w:rsidTr="00490AE4">
        <w:tc>
          <w:tcPr>
            <w:tcW w:w="2737" w:type="dxa"/>
          </w:tcPr>
          <w:p w14:paraId="3019D25A" w14:textId="77777777" w:rsidR="00490AE4" w:rsidRPr="006F299D" w:rsidRDefault="00490AE4" w:rsidP="00C551DF">
            <w:pPr>
              <w:rPr>
                <w:rFonts w:ascii="Times New Roman" w:hAnsi="Times New Roman"/>
                <w:sz w:val="24"/>
                <w:szCs w:val="24"/>
              </w:rPr>
            </w:pPr>
          </w:p>
        </w:tc>
        <w:tc>
          <w:tcPr>
            <w:tcW w:w="7154" w:type="dxa"/>
          </w:tcPr>
          <w:p w14:paraId="69A7990A"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Täiendavalt eelnõu § 2 punktiga 2 muudetakse riigilõivuseaduse § 261</w:t>
            </w:r>
            <w:r w:rsidRPr="006F299D">
              <w:rPr>
                <w:rFonts w:ascii="Times New Roman" w:hAnsi="Times New Roman"/>
                <w:sz w:val="24"/>
                <w:szCs w:val="24"/>
                <w:vertAlign w:val="superscript"/>
              </w:rPr>
              <w:t>18</w:t>
            </w:r>
            <w:r w:rsidRPr="006F299D">
              <w:rPr>
                <w:rFonts w:ascii="Times New Roman" w:hAnsi="Times New Roman"/>
                <w:sz w:val="24"/>
                <w:szCs w:val="24"/>
              </w:rPr>
              <w:t xml:space="preserve"> ja sätestatakse taimekaitsevahendi registrikande muutmise eest riigilõiv 70 euro ulatuses. Seletuskirjast ei selgu, kas riigilõiv rakendub ka muudatustele, mis on tingitud taotlejast mitteolenevatest põhjustest. Oleme arvamusel, et registrikande muutmise riigilõivu saab rakendada üksnes juhtudel, kui taotleja on muudatust taotlenud. </w:t>
            </w:r>
          </w:p>
          <w:p w14:paraId="5DA7065F" w14:textId="77777777" w:rsidR="00490AE4" w:rsidRPr="006F299D" w:rsidRDefault="00490AE4" w:rsidP="00C551DF">
            <w:pPr>
              <w:jc w:val="both"/>
              <w:rPr>
                <w:rFonts w:ascii="Times New Roman" w:hAnsi="Times New Roman"/>
                <w:sz w:val="24"/>
                <w:szCs w:val="24"/>
              </w:rPr>
            </w:pPr>
          </w:p>
          <w:p w14:paraId="6BAC605F"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Mõistame vajadust riigilõivusid ajakohastada, kuid olukorras, kus ei ole selgelt arusaadav erialase hindamise tegevuse sisu ning puudub ülevaade hindamisele kuluvast ajast (ehk tasu arvestuse alusest), ei saa Eesti Põllumajandus-Kaubanduskoda ja KEVILI kooskõlastada eelnõu muudatusi, mis on seotud erialase hindamise tunnitasu rakendamisega, sh taimekaitsevahendi lubade artiklite 51 ja 53 taotluste menetluse riigilõivu asendamist erialase tunnitasuga. Loa taotlejal on võimatu prognoosida menetlusega seotud kulusid ning eelnõus pakutud tunnitasu süsteemi rakendamine võib viia kulud ebamõistlikult kõrgeks. Sellest lähtuvalt palume erialase hindamise rakendamise põhimõtted uuesti läbi mõelda ning luua läbipaistev ja etteennustatav süsteem, mis võimaldab taotlejal hinnata kaasnevaid kulusid juba taotlemise etapis.</w:t>
            </w:r>
          </w:p>
        </w:tc>
        <w:tc>
          <w:tcPr>
            <w:tcW w:w="4669" w:type="dxa"/>
          </w:tcPr>
          <w:p w14:paraId="4EFA1200" w14:textId="77777777" w:rsidR="00490AE4" w:rsidRPr="006F299D" w:rsidRDefault="00490AE4" w:rsidP="00C551DF">
            <w:pPr>
              <w:jc w:val="both"/>
              <w:rPr>
                <w:rFonts w:ascii="Times New Roman" w:hAnsi="Times New Roman"/>
                <w:b/>
                <w:bCs/>
                <w:sz w:val="24"/>
                <w:szCs w:val="24"/>
              </w:rPr>
            </w:pPr>
            <w:r w:rsidRPr="006F299D">
              <w:rPr>
                <w:rFonts w:ascii="Times New Roman" w:hAnsi="Times New Roman"/>
                <w:b/>
                <w:bCs/>
                <w:sz w:val="24"/>
                <w:szCs w:val="24"/>
              </w:rPr>
              <w:t>Märkusega on arvestatud</w:t>
            </w:r>
            <w:r>
              <w:rPr>
                <w:rFonts w:ascii="Times New Roman" w:hAnsi="Times New Roman"/>
                <w:b/>
                <w:bCs/>
                <w:sz w:val="24"/>
                <w:szCs w:val="24"/>
              </w:rPr>
              <w:t xml:space="preserve"> osaliselt</w:t>
            </w:r>
            <w:r w:rsidRPr="006F299D">
              <w:rPr>
                <w:rFonts w:ascii="Times New Roman" w:hAnsi="Times New Roman"/>
                <w:b/>
                <w:bCs/>
                <w:sz w:val="24"/>
                <w:szCs w:val="24"/>
              </w:rPr>
              <w:t xml:space="preserve">. </w:t>
            </w:r>
          </w:p>
          <w:p w14:paraId="6A915CA5"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PTA ja REM on nõus käsitlusega, et registrikande muutmise riigilõivu saab rakendada üksnes juhtudel, kui taotleja ise on muudatust taotlenud. Vastav täiendus viidi eelnõusse ja seletuskirja sisse.</w:t>
            </w:r>
          </w:p>
          <w:p w14:paraId="659C0D31" w14:textId="77777777" w:rsidR="00490AE4" w:rsidRPr="006F299D" w:rsidRDefault="00490AE4" w:rsidP="00C551DF">
            <w:pPr>
              <w:jc w:val="both"/>
              <w:rPr>
                <w:rFonts w:ascii="Times New Roman" w:hAnsi="Times New Roman"/>
                <w:sz w:val="24"/>
                <w:szCs w:val="24"/>
              </w:rPr>
            </w:pPr>
          </w:p>
          <w:p w14:paraId="2EB2F62E"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 xml:space="preserve">Euroopa Parlamendi ja nõukogu määruse (EÜ) </w:t>
            </w:r>
            <w:r>
              <w:rPr>
                <w:rFonts w:ascii="Times New Roman" w:hAnsi="Times New Roman"/>
                <w:sz w:val="24"/>
                <w:szCs w:val="24"/>
              </w:rPr>
              <w:t xml:space="preserve">nr </w:t>
            </w:r>
            <w:r w:rsidRPr="006F299D">
              <w:rPr>
                <w:rFonts w:ascii="Times New Roman" w:hAnsi="Times New Roman"/>
                <w:sz w:val="24"/>
                <w:szCs w:val="24"/>
              </w:rPr>
              <w:t>1107/2009 artiklite 51 ja 53 kohased taotlused vabastatakse eelnõu kohaselt nii riigilõivust kui erialase hindamise tasust.</w:t>
            </w:r>
          </w:p>
          <w:p w14:paraId="229B1356" w14:textId="77777777" w:rsidR="00490AE4" w:rsidRPr="006F299D" w:rsidRDefault="00490AE4" w:rsidP="00C551DF">
            <w:pPr>
              <w:jc w:val="both"/>
              <w:rPr>
                <w:rFonts w:ascii="Times New Roman" w:hAnsi="Times New Roman"/>
                <w:sz w:val="24"/>
                <w:szCs w:val="24"/>
              </w:rPr>
            </w:pPr>
          </w:p>
          <w:p w14:paraId="32418ECE"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 xml:space="preserve">Eelnõus pakutud tunnitasu süsteemi rakendatakse juba toimeainete hindamisel ja sellega ei ole taotlejatel seni muresid esinenud. </w:t>
            </w:r>
          </w:p>
          <w:p w14:paraId="18103008" w14:textId="77777777" w:rsidR="00490AE4" w:rsidRPr="006F299D" w:rsidRDefault="00490AE4" w:rsidP="00C551DF">
            <w:pPr>
              <w:jc w:val="both"/>
              <w:rPr>
                <w:rFonts w:ascii="Times New Roman" w:hAnsi="Times New Roman"/>
                <w:sz w:val="24"/>
                <w:szCs w:val="24"/>
              </w:rPr>
            </w:pPr>
          </w:p>
          <w:p w14:paraId="400F696A" w14:textId="77777777" w:rsidR="00490AE4" w:rsidRPr="006F299D" w:rsidRDefault="00490AE4" w:rsidP="00C551DF">
            <w:pPr>
              <w:jc w:val="both"/>
              <w:rPr>
                <w:rFonts w:ascii="Times New Roman" w:hAnsi="Times New Roman"/>
                <w:sz w:val="24"/>
                <w:szCs w:val="24"/>
              </w:rPr>
            </w:pPr>
          </w:p>
        </w:tc>
      </w:tr>
      <w:tr w:rsidR="00490AE4" w:rsidRPr="006F299D" w14:paraId="76B65305" w14:textId="77777777" w:rsidTr="00490AE4">
        <w:tc>
          <w:tcPr>
            <w:tcW w:w="2737" w:type="dxa"/>
          </w:tcPr>
          <w:p w14:paraId="3BA0CA0C" w14:textId="77777777" w:rsidR="00490AE4" w:rsidRPr="006F299D" w:rsidRDefault="00490AE4" w:rsidP="00C551DF">
            <w:pPr>
              <w:rPr>
                <w:rFonts w:ascii="Times New Roman" w:hAnsi="Times New Roman"/>
                <w:sz w:val="24"/>
                <w:szCs w:val="24"/>
              </w:rPr>
            </w:pPr>
          </w:p>
        </w:tc>
        <w:tc>
          <w:tcPr>
            <w:tcW w:w="7154" w:type="dxa"/>
          </w:tcPr>
          <w:p w14:paraId="22740F05"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 xml:space="preserve">Eelnõu § 1 punkt 15 täiendab taimekaitseseaduse §-i 76 lõikega 5, mille alusel kohaldatakse ka professionaalse kasutaja ja nõustaja suhtes turustajale kohalduvaid nõudeid. </w:t>
            </w:r>
          </w:p>
          <w:p w14:paraId="5970F26E" w14:textId="77777777" w:rsidR="00490AE4" w:rsidRPr="006F299D" w:rsidRDefault="00490AE4" w:rsidP="00C551DF">
            <w:pPr>
              <w:jc w:val="both"/>
              <w:rPr>
                <w:rFonts w:ascii="Times New Roman" w:hAnsi="Times New Roman"/>
                <w:sz w:val="24"/>
                <w:szCs w:val="24"/>
              </w:rPr>
            </w:pPr>
          </w:p>
          <w:p w14:paraId="5D1147F7" w14:textId="77777777" w:rsidR="00490AE4" w:rsidRPr="006F299D" w:rsidRDefault="00490AE4" w:rsidP="00C551DF">
            <w:pPr>
              <w:jc w:val="both"/>
              <w:rPr>
                <w:rFonts w:ascii="Times New Roman" w:hAnsi="Times New Roman"/>
                <w:sz w:val="24"/>
                <w:szCs w:val="24"/>
                <w:highlight w:val="cyan"/>
              </w:rPr>
            </w:pPr>
            <w:r w:rsidRPr="006F299D">
              <w:rPr>
                <w:rFonts w:ascii="Times New Roman" w:hAnsi="Times New Roman"/>
                <w:sz w:val="24"/>
                <w:szCs w:val="24"/>
              </w:rPr>
              <w:t xml:space="preserve">Seletuskirja kohaselt rakenduvad taimekaitsevahendi turustajale kohalduvad sätted professionaalsele kasutajale ja nõustajale juhul, kui nad tegutsevad turustajana. Ebaselge on, kuidas eristatakse turustajana tegutsevaid professionaalseid kasutajaid ja nõustajaid nendest, kes sellega ei tegele. Samuti puudub eelnõus selge viide sellele, et säte </w:t>
            </w:r>
            <w:r w:rsidRPr="006F299D">
              <w:rPr>
                <w:rFonts w:ascii="Times New Roman" w:hAnsi="Times New Roman"/>
                <w:sz w:val="24"/>
                <w:szCs w:val="24"/>
              </w:rPr>
              <w:lastRenderedPageBreak/>
              <w:t>rakendub vaid juhul, kui professionaalne kasutaja või nõustaja tegeleb turustamisega. Leiame, et sätet tuleb täiendada järgmiselt „„(5) Käesolevas seaduses turustaja kohta sätestatut kohaldatakse ka professionaalse kasutaja ja nõustaja suhtes, kes tegutsevad turustajatena.”.</w:t>
            </w:r>
          </w:p>
        </w:tc>
        <w:tc>
          <w:tcPr>
            <w:tcW w:w="4669" w:type="dxa"/>
          </w:tcPr>
          <w:p w14:paraId="7B02BF0B" w14:textId="77777777" w:rsidR="00490AE4" w:rsidRDefault="00490AE4" w:rsidP="00C551DF">
            <w:pPr>
              <w:jc w:val="both"/>
              <w:rPr>
                <w:rFonts w:ascii="Times New Roman" w:hAnsi="Times New Roman"/>
                <w:b/>
                <w:bCs/>
                <w:sz w:val="24"/>
                <w:szCs w:val="24"/>
              </w:rPr>
            </w:pPr>
            <w:r w:rsidRPr="006F299D">
              <w:rPr>
                <w:rFonts w:ascii="Times New Roman" w:hAnsi="Times New Roman"/>
                <w:b/>
                <w:bCs/>
                <w:sz w:val="24"/>
                <w:szCs w:val="24"/>
              </w:rPr>
              <w:lastRenderedPageBreak/>
              <w:t>Märkusega on arvestatud.</w:t>
            </w:r>
          </w:p>
          <w:p w14:paraId="336813EA" w14:textId="77777777" w:rsidR="00490AE4" w:rsidRDefault="00490AE4" w:rsidP="00C551DF">
            <w:pPr>
              <w:jc w:val="both"/>
              <w:rPr>
                <w:rFonts w:ascii="Times New Roman" w:hAnsi="Times New Roman"/>
                <w:b/>
                <w:bCs/>
                <w:sz w:val="24"/>
                <w:szCs w:val="24"/>
              </w:rPr>
            </w:pPr>
          </w:p>
          <w:p w14:paraId="3AD0C8DB" w14:textId="77777777" w:rsidR="00490AE4" w:rsidRPr="004C4242" w:rsidRDefault="00490AE4" w:rsidP="00C551DF">
            <w:pPr>
              <w:jc w:val="both"/>
              <w:rPr>
                <w:rFonts w:ascii="Times New Roman" w:hAnsi="Times New Roman"/>
                <w:sz w:val="24"/>
                <w:szCs w:val="24"/>
              </w:rPr>
            </w:pPr>
            <w:r w:rsidRPr="004C4242">
              <w:rPr>
                <w:rFonts w:ascii="Times New Roman" w:hAnsi="Times New Roman"/>
                <w:sz w:val="24"/>
                <w:szCs w:val="24"/>
              </w:rPr>
              <w:t>Eelnõu on ettepanekut arvestades täiendatud.</w:t>
            </w:r>
          </w:p>
        </w:tc>
      </w:tr>
      <w:tr w:rsidR="00490AE4" w:rsidRPr="006F299D" w14:paraId="073BDFB8" w14:textId="77777777" w:rsidTr="00490AE4">
        <w:tc>
          <w:tcPr>
            <w:tcW w:w="2737" w:type="dxa"/>
          </w:tcPr>
          <w:p w14:paraId="4B9BE25F" w14:textId="77777777" w:rsidR="00490AE4" w:rsidRPr="006F299D" w:rsidRDefault="00490AE4" w:rsidP="00C551DF">
            <w:pPr>
              <w:rPr>
                <w:rFonts w:ascii="Times New Roman" w:hAnsi="Times New Roman"/>
                <w:sz w:val="24"/>
                <w:szCs w:val="24"/>
              </w:rPr>
            </w:pPr>
          </w:p>
        </w:tc>
        <w:tc>
          <w:tcPr>
            <w:tcW w:w="7154" w:type="dxa"/>
          </w:tcPr>
          <w:p w14:paraId="36484495"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 xml:space="preserve">Eelnõu § 1 punkt 16 sätestab, et taimekaitsevahendit majandustegevuses kasutav isik peab edaspidi kasutatud taimekaitsevahendi üle arvestust pidama elektrooniliselt masinloetaval vormingul. </w:t>
            </w:r>
          </w:p>
          <w:p w14:paraId="0D7BDB74" w14:textId="77777777" w:rsidR="00490AE4" w:rsidRPr="006F299D" w:rsidRDefault="00490AE4" w:rsidP="00C551DF">
            <w:pPr>
              <w:jc w:val="both"/>
              <w:rPr>
                <w:rFonts w:ascii="Times New Roman" w:hAnsi="Times New Roman"/>
                <w:sz w:val="24"/>
                <w:szCs w:val="24"/>
              </w:rPr>
            </w:pPr>
          </w:p>
          <w:p w14:paraId="639EA404"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 xml:space="preserve">Muudatusettepaneku kohaselt asendatakse taimekaitseseaduse § 78 lg 6 viitega Euroopa Parlamendi ja nõukogu määruse (EÜ) nr 1107/2009 artiklile 67. </w:t>
            </w:r>
          </w:p>
          <w:p w14:paraId="5807141B" w14:textId="77777777" w:rsidR="00490AE4" w:rsidRPr="006F299D" w:rsidRDefault="00490AE4" w:rsidP="00C551DF">
            <w:pPr>
              <w:jc w:val="both"/>
              <w:rPr>
                <w:rFonts w:ascii="Times New Roman" w:hAnsi="Times New Roman"/>
                <w:sz w:val="24"/>
                <w:szCs w:val="24"/>
              </w:rPr>
            </w:pPr>
          </w:p>
          <w:p w14:paraId="229B23CE"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 xml:space="preserve">Seletuskirjas viidatakse määruse 1107/2009 artikli 67 lõike 4 alusel vastu võetud komisjoni rakendusmäärusele (EL) 2023/564, mis sätestab professionaalsete kasutajate poolt säilitatavate taimekaitsevahendite andmete sisu ja vormingu. </w:t>
            </w:r>
          </w:p>
          <w:p w14:paraId="34B96111" w14:textId="77777777" w:rsidR="00490AE4" w:rsidRPr="006F299D" w:rsidRDefault="00490AE4" w:rsidP="00C551DF">
            <w:pPr>
              <w:jc w:val="both"/>
              <w:rPr>
                <w:rFonts w:ascii="Times New Roman" w:hAnsi="Times New Roman"/>
                <w:sz w:val="24"/>
                <w:szCs w:val="24"/>
              </w:rPr>
            </w:pPr>
          </w:p>
          <w:p w14:paraId="46CD8ABD"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 xml:space="preserve">Rakendusmääruse kohaselt tuleb taimekaitsevahendi kasutamise arvestust pidada elektroonilisel kujul masinloetavas formaadis. Seletuskirja kohaselt pakuvad asjakohast vormingut põlluraamatu pidamise võimalust pakkuvad eratarkvarad või PRIA hallatav e-põlluraamat. Oleme seisukohal, et Euroopa Parlamendi ja nõukogu direktiivi (EL) 2019/1024 artikkel 2 punkt 13 mõiste „masinloetav vorming“ definitsiooniga on kooskõlas ka Excel kujul arvestuse pidamine, mis võimaldab andmeid koguda struktureeritult ja tarkvararakendustele kergesti tuvastavas formaadis. Samuti on tänapäeval võimalik kasutada ka tehisintellekti rakendusi, et töödelda paberkandjalt skaneeritud PDF - dokumente. Seetõttu leiame, et masinloetava formaadi kehtestamisel ei tohi välistada ka muid masinloetavaid vorminguid nagu näiteks Excel või tehisintellekti abil loetavad PDF-failid. Rakendusmääruse (EL) 2023/564 artikli 1 kohaselt peavad taimekaitsevahendite professionaalsed kasutajad koguma määruse nr 1107/2009 artikli 67 lõikes 1 osutatud andmeid vastavalt </w:t>
            </w:r>
            <w:r w:rsidRPr="006F299D">
              <w:rPr>
                <w:rFonts w:ascii="Times New Roman" w:hAnsi="Times New Roman"/>
                <w:sz w:val="24"/>
                <w:szCs w:val="24"/>
              </w:rPr>
              <w:lastRenderedPageBreak/>
              <w:t xml:space="preserve">rakendusmääruse lisale. Muuhulgas nõuab rakendusmääruse lisa EPPO ja BBCH koodide kasutust erinevatel kultuuridel taimekaitsevahendite kasutusolukordade kirjeldamiseks. Ebaselge on, mis eesmärgil sellise detailsusega andmeid on vaja koondada, kui määrus nr 1107/2009 ei sätesta sellist detailsusastet. See toob kaasa põllumajandustootjatele liigse põhjendamatu bürokraatia ning peame oluliseks, et Eesti võtaks meetmeid rakendusmääruse muutmiseks või tühistamiseks. </w:t>
            </w:r>
          </w:p>
          <w:p w14:paraId="56504C07" w14:textId="77777777" w:rsidR="00490AE4" w:rsidRPr="006F299D" w:rsidRDefault="00490AE4" w:rsidP="00C551DF">
            <w:pPr>
              <w:jc w:val="both"/>
              <w:rPr>
                <w:rFonts w:ascii="Times New Roman" w:hAnsi="Times New Roman"/>
                <w:sz w:val="24"/>
                <w:szCs w:val="24"/>
              </w:rPr>
            </w:pPr>
          </w:p>
          <w:p w14:paraId="61817A70"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Leiame, et viite kasutamine selgelt sõnastatud sätte asemel ei ole hea praktika, kuna see raskendab seaduse teksti mõistmist ning selget arusaamist nõuetest. Teeme ettepaneku säilitada § 78 lg 6 selge sõnastus: „(6) Isik, kes kasutab taimekaitsevahendit oma majandustegevuses, peab kasutatud taimekaitsevahendi üle arvestust paberkandjal või elektrooniliselt masinloetavas formaadis. Arvestuses näidatakse ära kasutatud taimekaitsevahendi nimetus, kasutuskorra aeg, kulunorm, maa-ala ja taimekultuur, mille peal taimekaitsevahendit kasutati. Taimekaitsevahendi kasutamise teenuse tellimise korral peab teenuse saaja lisaks arvestust teenuse osutaja kohta.“.</w:t>
            </w:r>
          </w:p>
        </w:tc>
        <w:tc>
          <w:tcPr>
            <w:tcW w:w="4669" w:type="dxa"/>
          </w:tcPr>
          <w:p w14:paraId="3F4308FB" w14:textId="77777777" w:rsidR="00490AE4" w:rsidRPr="006F299D" w:rsidRDefault="00490AE4" w:rsidP="00C551DF">
            <w:pPr>
              <w:jc w:val="both"/>
              <w:rPr>
                <w:rFonts w:ascii="Times New Roman" w:hAnsi="Times New Roman"/>
                <w:b/>
                <w:bCs/>
                <w:sz w:val="24"/>
                <w:szCs w:val="24"/>
              </w:rPr>
            </w:pPr>
            <w:r w:rsidRPr="006F299D">
              <w:rPr>
                <w:rFonts w:ascii="Times New Roman" w:hAnsi="Times New Roman"/>
                <w:b/>
                <w:bCs/>
                <w:sz w:val="24"/>
                <w:szCs w:val="24"/>
              </w:rPr>
              <w:lastRenderedPageBreak/>
              <w:t>Märkusega ei ole arvestatud.</w:t>
            </w:r>
          </w:p>
          <w:p w14:paraId="7B684DBB" w14:textId="0AA93A30" w:rsidR="00614D28" w:rsidRDefault="00614D28" w:rsidP="00C551DF">
            <w:pPr>
              <w:jc w:val="both"/>
              <w:rPr>
                <w:rFonts w:ascii="Times New Roman" w:hAnsi="Times New Roman"/>
                <w:sz w:val="24"/>
                <w:szCs w:val="24"/>
              </w:rPr>
            </w:pPr>
            <w:r w:rsidRPr="00614D28">
              <w:rPr>
                <w:rFonts w:ascii="Times New Roman" w:hAnsi="Times New Roman"/>
                <w:sz w:val="24"/>
                <w:szCs w:val="24"/>
              </w:rPr>
              <w:t>Ettepanek on tehtud EL määruse muutmiseks, mitte TaimKSi muutmiseks.</w:t>
            </w:r>
            <w:r>
              <w:rPr>
                <w:rFonts w:ascii="Times New Roman" w:hAnsi="Times New Roman"/>
                <w:sz w:val="24"/>
                <w:szCs w:val="24"/>
              </w:rPr>
              <w:t xml:space="preserve"> </w:t>
            </w:r>
          </w:p>
          <w:p w14:paraId="1CBE2206" w14:textId="5DFE9EA9" w:rsidR="00490AE4" w:rsidRDefault="00490AE4" w:rsidP="00C551DF">
            <w:pPr>
              <w:jc w:val="both"/>
              <w:rPr>
                <w:rFonts w:ascii="Times New Roman" w:hAnsi="Times New Roman"/>
                <w:sz w:val="24"/>
                <w:szCs w:val="24"/>
              </w:rPr>
            </w:pPr>
            <w:r w:rsidRPr="008244FF">
              <w:rPr>
                <w:rFonts w:ascii="Times New Roman" w:hAnsi="Times New Roman"/>
                <w:sz w:val="24"/>
                <w:szCs w:val="24"/>
              </w:rPr>
              <w:t>EL õigusakte ei saa liikmesriigi õigusaktides muuta. HÕNTE § 3. „Seaduseelnõu vastavus ülimuslikele aktidele“ ütleb, et seaduseelnõu peab olema kooskõlas Eesti Vabariigi põhiseaduse, rahvusvahelise õiguse üldtunnustatud põhimõtete ja normide, Eesti Vabariigi suhtes jõustunud välislepingute ning Euroopa Liidu õigusega.</w:t>
            </w:r>
            <w:r>
              <w:rPr>
                <w:rFonts w:ascii="Times New Roman" w:hAnsi="Times New Roman"/>
                <w:sz w:val="24"/>
                <w:szCs w:val="24"/>
              </w:rPr>
              <w:t xml:space="preserve"> </w:t>
            </w:r>
          </w:p>
          <w:p w14:paraId="655D5E3E" w14:textId="177BCD2C" w:rsidR="004A1DAE" w:rsidRDefault="00EB6534" w:rsidP="00C551DF">
            <w:pPr>
              <w:jc w:val="both"/>
              <w:rPr>
                <w:rFonts w:ascii="Times New Roman" w:hAnsi="Times New Roman"/>
                <w:sz w:val="24"/>
                <w:szCs w:val="24"/>
              </w:rPr>
            </w:pPr>
            <w:r w:rsidRPr="00EB6534">
              <w:rPr>
                <w:rFonts w:ascii="Times New Roman" w:hAnsi="Times New Roman"/>
                <w:sz w:val="24"/>
                <w:szCs w:val="24"/>
              </w:rPr>
              <w:t>Otsekohalduva EL määruse korral ei kehtestata seaduses EL määruses sätestatut üle, vaid nõue kehtestatakse viitega EL määrusele.</w:t>
            </w:r>
          </w:p>
          <w:p w14:paraId="41FFA3CE" w14:textId="77777777" w:rsidR="00490AE4" w:rsidRPr="006F299D" w:rsidRDefault="00490AE4" w:rsidP="00C551DF">
            <w:pPr>
              <w:jc w:val="both"/>
              <w:rPr>
                <w:rFonts w:ascii="Times New Roman" w:hAnsi="Times New Roman"/>
                <w:sz w:val="24"/>
                <w:szCs w:val="24"/>
              </w:rPr>
            </w:pPr>
            <w:r>
              <w:rPr>
                <w:rFonts w:ascii="Times New Roman" w:hAnsi="Times New Roman"/>
                <w:sz w:val="24"/>
                <w:szCs w:val="24"/>
              </w:rPr>
              <w:t>Eelnõu seletuskirja on täiendatud asjakohaste selgitustega.</w:t>
            </w:r>
          </w:p>
        </w:tc>
      </w:tr>
      <w:tr w:rsidR="00490AE4" w:rsidRPr="006F299D" w14:paraId="084658FB" w14:textId="77777777" w:rsidTr="00490AE4">
        <w:tc>
          <w:tcPr>
            <w:tcW w:w="2737" w:type="dxa"/>
          </w:tcPr>
          <w:p w14:paraId="1F024D11" w14:textId="77777777" w:rsidR="00490AE4" w:rsidRPr="006F299D" w:rsidRDefault="00490AE4" w:rsidP="00C551DF">
            <w:pPr>
              <w:rPr>
                <w:rFonts w:ascii="Times New Roman" w:hAnsi="Times New Roman"/>
                <w:sz w:val="24"/>
                <w:szCs w:val="24"/>
              </w:rPr>
            </w:pPr>
          </w:p>
        </w:tc>
        <w:tc>
          <w:tcPr>
            <w:tcW w:w="7154" w:type="dxa"/>
          </w:tcPr>
          <w:p w14:paraId="365359FF"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Eelnõu § 1 punktiga 18 muudetakse taimekaitseseaduse § 78</w:t>
            </w:r>
            <w:r w:rsidRPr="006F299D">
              <w:rPr>
                <w:rFonts w:ascii="Times New Roman" w:hAnsi="Times New Roman"/>
                <w:sz w:val="24"/>
                <w:szCs w:val="24"/>
                <w:vertAlign w:val="superscript"/>
              </w:rPr>
              <w:t xml:space="preserve">2 </w:t>
            </w:r>
            <w:r w:rsidRPr="006F299D">
              <w:rPr>
                <w:rFonts w:ascii="Times New Roman" w:hAnsi="Times New Roman"/>
                <w:sz w:val="24"/>
                <w:szCs w:val="24"/>
              </w:rPr>
              <w:t xml:space="preserve">lg 1 ja kaotatakse taimekatisekoolituse läbimise kohustus. </w:t>
            </w:r>
          </w:p>
          <w:p w14:paraId="36B056CA" w14:textId="77777777" w:rsidR="00490AE4" w:rsidRPr="006F299D" w:rsidRDefault="00490AE4" w:rsidP="00C551DF">
            <w:pPr>
              <w:jc w:val="both"/>
              <w:rPr>
                <w:rFonts w:ascii="Times New Roman" w:hAnsi="Times New Roman"/>
                <w:sz w:val="24"/>
                <w:szCs w:val="24"/>
              </w:rPr>
            </w:pPr>
          </w:p>
          <w:p w14:paraId="25FE6458"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Kavandatava muudatuse alusel oleks edaspidi eksamile pääsemise aluseks asjakohaste taimekaitsealaste teadmiste olemasolu. Muudatus võimaldab säästa koolitusel osalejate aega ja raha. Toetame võetud suunda, kuid leiame, et valdkonnas, kus regulatsioonid on pidevas kiires muutuses on oluline säilitada professionaalsete kasutajate, nõustajate ja turustajate teadmiste täiendamine ja ajakohastamine. Teeme ettepaneku võimaldada soovijatel osaleda ühepäevasel koolitusel, mis käsitleb olulisemaid muudatusi regulatsioonides, taimekatisevahendite registris jms. See võib olla osa kolme päevasest taimekaitsekoolitusest või salvestatud veebiloeng/-koolitus, mida huvilised saavad endale sobival ajal vaadata.</w:t>
            </w:r>
          </w:p>
        </w:tc>
        <w:tc>
          <w:tcPr>
            <w:tcW w:w="4669" w:type="dxa"/>
          </w:tcPr>
          <w:p w14:paraId="2B5C3918" w14:textId="77777777" w:rsidR="00490AE4" w:rsidRPr="006F299D" w:rsidRDefault="00490AE4" w:rsidP="00C551DF">
            <w:pPr>
              <w:jc w:val="both"/>
              <w:rPr>
                <w:rFonts w:ascii="Times New Roman" w:hAnsi="Times New Roman"/>
                <w:b/>
                <w:bCs/>
                <w:kern w:val="2"/>
                <w:sz w:val="24"/>
                <w:szCs w:val="24"/>
                <w14:ligatures w14:val="standardContextual"/>
              </w:rPr>
            </w:pPr>
            <w:r w:rsidRPr="00F262B6">
              <w:rPr>
                <w:rFonts w:ascii="Times New Roman" w:hAnsi="Times New Roman"/>
                <w:b/>
                <w:bCs/>
                <w:kern w:val="2"/>
                <w:sz w:val="24"/>
                <w:szCs w:val="24"/>
                <w14:ligatures w14:val="standardContextual"/>
              </w:rPr>
              <w:t xml:space="preserve">Märkusega on arvestatud osaliselt. </w:t>
            </w:r>
            <w:r w:rsidRPr="006F299D">
              <w:rPr>
                <w:rFonts w:ascii="Times New Roman" w:hAnsi="Times New Roman"/>
                <w:b/>
                <w:bCs/>
                <w:kern w:val="2"/>
                <w:sz w:val="24"/>
                <w:szCs w:val="24"/>
                <w14:ligatures w14:val="standardContextual"/>
              </w:rPr>
              <w:t xml:space="preserve"> </w:t>
            </w:r>
          </w:p>
          <w:p w14:paraId="0C071F3F" w14:textId="77777777" w:rsidR="00490AE4" w:rsidRPr="006F299D" w:rsidRDefault="00490AE4" w:rsidP="00C551DF">
            <w:pPr>
              <w:jc w:val="both"/>
              <w:rPr>
                <w:rFonts w:ascii="Times New Roman" w:hAnsi="Times New Roman"/>
                <w:sz w:val="24"/>
                <w:szCs w:val="24"/>
              </w:rPr>
            </w:pPr>
            <w:r w:rsidRPr="006F299D">
              <w:rPr>
                <w:rFonts w:ascii="Times New Roman" w:hAnsi="Times New Roman"/>
                <w:kern w:val="2"/>
                <w:sz w:val="24"/>
                <w:szCs w:val="24"/>
                <w14:ligatures w14:val="standardContextual"/>
              </w:rPr>
              <w:t>Täiendasime seletuskirja teksti, täpsustades koolituste läbimise võimalusi.</w:t>
            </w:r>
          </w:p>
        </w:tc>
      </w:tr>
      <w:tr w:rsidR="00490AE4" w:rsidRPr="006F299D" w14:paraId="095AA9CD" w14:textId="77777777" w:rsidTr="00490AE4">
        <w:tc>
          <w:tcPr>
            <w:tcW w:w="2737" w:type="dxa"/>
          </w:tcPr>
          <w:p w14:paraId="0DD0454A" w14:textId="77777777" w:rsidR="00490AE4" w:rsidRPr="006F299D" w:rsidRDefault="00490AE4" w:rsidP="00C551DF">
            <w:pPr>
              <w:rPr>
                <w:rFonts w:ascii="Times New Roman" w:hAnsi="Times New Roman"/>
                <w:sz w:val="24"/>
                <w:szCs w:val="24"/>
              </w:rPr>
            </w:pPr>
          </w:p>
        </w:tc>
        <w:tc>
          <w:tcPr>
            <w:tcW w:w="7154" w:type="dxa"/>
          </w:tcPr>
          <w:p w14:paraId="09FEF2E4" w14:textId="77777777" w:rsidR="00490AE4" w:rsidRPr="006F299D" w:rsidRDefault="00490AE4" w:rsidP="00C551DF">
            <w:pPr>
              <w:jc w:val="both"/>
              <w:rPr>
                <w:rFonts w:ascii="Times New Roman" w:hAnsi="Times New Roman"/>
                <w:sz w:val="24"/>
                <w:szCs w:val="24"/>
              </w:rPr>
            </w:pPr>
            <w:bookmarkStart w:id="2" w:name="_Hlk213072456"/>
            <w:r w:rsidRPr="006F299D">
              <w:rPr>
                <w:rFonts w:ascii="Times New Roman" w:hAnsi="Times New Roman"/>
                <w:sz w:val="24"/>
                <w:szCs w:val="24"/>
              </w:rPr>
              <w:t xml:space="preserve">Eelnõu § 1 punktiga 26 täiendatakse taimekaitsevahendite registri eesmärki järelevalvega turule lastud taimekatisevahendite kasutamise nõuete täitmise üle. </w:t>
            </w:r>
          </w:p>
          <w:bookmarkEnd w:id="2"/>
          <w:p w14:paraId="14B8C17D" w14:textId="77777777" w:rsidR="00490AE4" w:rsidRPr="006F299D" w:rsidRDefault="00490AE4" w:rsidP="00C551DF">
            <w:pPr>
              <w:jc w:val="both"/>
              <w:rPr>
                <w:rFonts w:ascii="Times New Roman" w:hAnsi="Times New Roman"/>
                <w:sz w:val="24"/>
                <w:szCs w:val="24"/>
              </w:rPr>
            </w:pPr>
          </w:p>
          <w:p w14:paraId="0EE395C8"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Muudatus tuleneb punktis 27 plaanitud muudatusest, millega täiendatakse taimekaitseseaduse § 80 lg 3, millega kavandatakse lisada taimekaitsevahendite registrisse andmed taimekaitsetunnistuste kohta. Seletuskirja alusel on muudatuse eesmärk teostada tõhusamat järelevalvet taimekaitsevahendite kasutamise nõuete täitmise üle. Ebaselgeks jääb muudatuse eesmärk, miks soovitakse toodete registrisse lisada isikuandmeid, arvestades et taimekaitsekoolitusi läbivad ja seega omavad taimekaitsetunnistusi ka eraisikud, kes kasutavad taimekaitsevahendeid vaid koduaias. Tegemist isikuandmete töötlemisega, mille põhimõtteid ei ole eelnõus sätestatud ega reguleeritud. Leiame, et taimekaitsetunnistuse andmete lisamine taimekaitsevahendite registrisse ei ole asjakohane ning see punkt tuleb eelnõus välja jätta.</w:t>
            </w:r>
          </w:p>
        </w:tc>
        <w:tc>
          <w:tcPr>
            <w:tcW w:w="4669" w:type="dxa"/>
          </w:tcPr>
          <w:p w14:paraId="4BF5C411" w14:textId="77777777" w:rsidR="00490AE4" w:rsidRPr="006F299D" w:rsidRDefault="00490AE4" w:rsidP="00C551DF">
            <w:pPr>
              <w:jc w:val="both"/>
              <w:rPr>
                <w:rFonts w:ascii="Times New Roman" w:hAnsi="Times New Roman"/>
                <w:b/>
                <w:bCs/>
                <w:sz w:val="24"/>
                <w:szCs w:val="24"/>
              </w:rPr>
            </w:pPr>
            <w:r w:rsidRPr="006F299D">
              <w:rPr>
                <w:rFonts w:ascii="Times New Roman" w:hAnsi="Times New Roman"/>
                <w:b/>
                <w:bCs/>
                <w:sz w:val="24"/>
                <w:szCs w:val="24"/>
              </w:rPr>
              <w:t xml:space="preserve">Märkusega ei ole arvestatud. </w:t>
            </w:r>
          </w:p>
          <w:p w14:paraId="5508C6AF" w14:textId="49E36499" w:rsidR="008D5FF8" w:rsidRDefault="00490AE4" w:rsidP="00C551DF">
            <w:pPr>
              <w:jc w:val="both"/>
              <w:rPr>
                <w:rFonts w:ascii="Times New Roman" w:hAnsi="Times New Roman"/>
                <w:kern w:val="2"/>
                <w:sz w:val="24"/>
                <w:szCs w:val="24"/>
                <w14:ligatures w14:val="standardContextual"/>
              </w:rPr>
            </w:pPr>
            <w:r w:rsidRPr="006F299D">
              <w:rPr>
                <w:rFonts w:ascii="Times New Roman" w:hAnsi="Times New Roman"/>
                <w:kern w:val="2"/>
                <w:sz w:val="24"/>
                <w:szCs w:val="24"/>
                <w14:ligatures w14:val="standardContextual"/>
              </w:rPr>
              <w:t>PTA kohustuste hulka kuulub taimekaitsevahendite turustamise üle järelevalve teostamine (TaimKS § 99)</w:t>
            </w:r>
            <w:r w:rsidR="00CD4687">
              <w:rPr>
                <w:rFonts w:ascii="Times New Roman" w:hAnsi="Times New Roman"/>
                <w:kern w:val="2"/>
                <w:sz w:val="24"/>
                <w:szCs w:val="24"/>
                <w14:ligatures w14:val="standardContextual"/>
              </w:rPr>
              <w:t>.</w:t>
            </w:r>
            <w:r w:rsidR="008D5FF8">
              <w:rPr>
                <w:rFonts w:ascii="Times New Roman" w:hAnsi="Times New Roman"/>
                <w:kern w:val="2"/>
                <w:sz w:val="24"/>
                <w:szCs w:val="24"/>
                <w14:ligatures w14:val="standardContextual"/>
              </w:rPr>
              <w:t xml:space="preserve"> </w:t>
            </w:r>
            <w:r w:rsidR="008D5FF8" w:rsidRPr="008D5FF8">
              <w:rPr>
                <w:rFonts w:ascii="Times New Roman" w:hAnsi="Times New Roman"/>
                <w:kern w:val="2"/>
                <w:sz w:val="24"/>
                <w:szCs w:val="24"/>
                <w14:ligatures w14:val="standardContextual"/>
              </w:rPr>
              <w:t>TaimKS § 78</w:t>
            </w:r>
            <w:r w:rsidR="008D5FF8" w:rsidRPr="00267A0D">
              <w:rPr>
                <w:rFonts w:ascii="Times New Roman" w:hAnsi="Times New Roman"/>
                <w:kern w:val="2"/>
                <w:sz w:val="24"/>
                <w:szCs w:val="24"/>
                <w:vertAlign w:val="superscript"/>
                <w14:ligatures w14:val="standardContextual"/>
              </w:rPr>
              <w:t>2</w:t>
            </w:r>
            <w:r w:rsidR="008D5FF8" w:rsidRPr="008D5FF8">
              <w:rPr>
                <w:rFonts w:ascii="Times New Roman" w:hAnsi="Times New Roman"/>
                <w:kern w:val="2"/>
                <w:sz w:val="24"/>
                <w:szCs w:val="24"/>
                <w14:ligatures w14:val="standardContextual"/>
              </w:rPr>
              <w:t xml:space="preserve"> lõige (2) ütleb et "Taimekaitsetunnistus on dokument, mis tõendab, et isik võib turustada, osta ja kasutada kõiki taimekaitsevahendeid peale väga mürgiste." </w:t>
            </w:r>
          </w:p>
          <w:p w14:paraId="2E6F92AC" w14:textId="1939DE95" w:rsidR="00490AE4" w:rsidRPr="006F299D" w:rsidRDefault="008D5FF8" w:rsidP="00C551DF">
            <w:pPr>
              <w:jc w:val="both"/>
              <w:rPr>
                <w:rFonts w:ascii="Times New Roman" w:hAnsi="Times New Roman"/>
                <w:sz w:val="24"/>
                <w:szCs w:val="24"/>
              </w:rPr>
            </w:pPr>
            <w:r w:rsidRPr="008D5FF8">
              <w:rPr>
                <w:rFonts w:ascii="Times New Roman" w:hAnsi="Times New Roman"/>
                <w:kern w:val="2"/>
                <w:sz w:val="24"/>
                <w:szCs w:val="24"/>
                <w14:ligatures w14:val="standardContextual"/>
              </w:rPr>
              <w:t>Seetõttu peavad taimekaitsetunnistuste omanikud olema kantud registrisse</w:t>
            </w:r>
            <w:r w:rsidR="00490AE4" w:rsidRPr="006F299D">
              <w:rPr>
                <w:rFonts w:ascii="Times New Roman" w:hAnsi="Times New Roman"/>
                <w:kern w:val="2"/>
                <w:sz w:val="24"/>
                <w:szCs w:val="24"/>
                <w14:ligatures w14:val="standardContextual"/>
              </w:rPr>
              <w:t xml:space="preserve">. Isikuandmete töötlemise puhul seaduse tasandil tuleb määratleda isikuandmete töötlemise eesmärgid, töödeldavate isikuandmete koosseis ning töödeldavate isikuandmete säilitamise tähtaegu. Kuna isikuandmete töötlemise eesmärgid ja koosseis on seaduses ette nähtud, täiendame </w:t>
            </w:r>
            <w:r w:rsidR="000811B5">
              <w:rPr>
                <w:rFonts w:ascii="Times New Roman" w:hAnsi="Times New Roman"/>
                <w:kern w:val="2"/>
                <w:sz w:val="24"/>
                <w:szCs w:val="24"/>
                <w14:ligatures w14:val="standardContextual"/>
              </w:rPr>
              <w:t>t</w:t>
            </w:r>
            <w:r w:rsidR="000811B5" w:rsidRPr="000811B5">
              <w:rPr>
                <w:rFonts w:ascii="Times New Roman" w:hAnsi="Times New Roman"/>
                <w:kern w:val="2"/>
                <w:sz w:val="24"/>
                <w:szCs w:val="24"/>
                <w14:ligatures w14:val="standardContextual"/>
              </w:rPr>
              <w:t>aimekaitsevahendite registri põhimäärus</w:t>
            </w:r>
            <w:r w:rsidR="000811B5">
              <w:rPr>
                <w:rFonts w:ascii="Times New Roman" w:hAnsi="Times New Roman"/>
                <w:kern w:val="2"/>
                <w:sz w:val="24"/>
                <w:szCs w:val="24"/>
                <w14:ligatures w14:val="standardContextual"/>
              </w:rPr>
              <w:t>t</w:t>
            </w:r>
            <w:r w:rsidR="00490AE4" w:rsidRPr="006F299D">
              <w:rPr>
                <w:rFonts w:ascii="Times New Roman" w:hAnsi="Times New Roman"/>
                <w:kern w:val="2"/>
                <w:sz w:val="24"/>
                <w:szCs w:val="24"/>
                <w14:ligatures w14:val="standardContextual"/>
              </w:rPr>
              <w:t xml:space="preserve"> isikuandmete säilitamise tähtajaga. </w:t>
            </w:r>
          </w:p>
        </w:tc>
      </w:tr>
      <w:tr w:rsidR="00490AE4" w:rsidRPr="006F299D" w14:paraId="79E327D9" w14:textId="77777777" w:rsidTr="00490AE4">
        <w:tc>
          <w:tcPr>
            <w:tcW w:w="2737" w:type="dxa"/>
          </w:tcPr>
          <w:p w14:paraId="7630E4BA" w14:textId="77777777" w:rsidR="00490AE4" w:rsidRPr="006F299D" w:rsidRDefault="00490AE4" w:rsidP="00C551DF">
            <w:pPr>
              <w:rPr>
                <w:rFonts w:ascii="Times New Roman" w:hAnsi="Times New Roman"/>
                <w:sz w:val="24"/>
                <w:szCs w:val="24"/>
              </w:rPr>
            </w:pPr>
          </w:p>
        </w:tc>
        <w:tc>
          <w:tcPr>
            <w:tcW w:w="7154" w:type="dxa"/>
          </w:tcPr>
          <w:p w14:paraId="4CC3A9CF"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 xml:space="preserve">Eelnõu § 1 punktiga 32 kehtestatakse taimekaitse valdkonnas järelevalvetoimingute tasu tunnitasuna. </w:t>
            </w:r>
          </w:p>
          <w:p w14:paraId="095635F5" w14:textId="77777777" w:rsidR="00490AE4" w:rsidRPr="006F299D" w:rsidRDefault="00490AE4" w:rsidP="00C551DF">
            <w:pPr>
              <w:jc w:val="both"/>
              <w:rPr>
                <w:rFonts w:ascii="Times New Roman" w:hAnsi="Times New Roman"/>
                <w:sz w:val="24"/>
                <w:szCs w:val="24"/>
              </w:rPr>
            </w:pPr>
          </w:p>
          <w:p w14:paraId="4B609D9E"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Eelnõu lähtub eelkõige ametliku kontrolli määruse kohustuslikest normidest, kuid ei käsitle selle leevendavaid sätteid nagu näiteks võimalus liikmesriigil vähendada riigilõive ja tasusid, arvestades näiteks madala tootlikkusega ettevõtja huve või kui varasem ametlik kontroll on näidanud, et ettevõtja järgib asjakohaseid norme. Peame vajalikuks, et võimalikud leevendavad sättes oleksid eelnõus selgelt sätestatud.</w:t>
            </w:r>
          </w:p>
        </w:tc>
        <w:tc>
          <w:tcPr>
            <w:tcW w:w="4669" w:type="dxa"/>
          </w:tcPr>
          <w:p w14:paraId="548B9748" w14:textId="77777777" w:rsidR="00490AE4" w:rsidRPr="006F299D" w:rsidRDefault="00490AE4" w:rsidP="00C551DF">
            <w:pPr>
              <w:jc w:val="both"/>
              <w:rPr>
                <w:rFonts w:ascii="Times New Roman" w:hAnsi="Times New Roman"/>
                <w:b/>
                <w:bCs/>
                <w:sz w:val="24"/>
                <w:szCs w:val="24"/>
              </w:rPr>
            </w:pPr>
            <w:r w:rsidRPr="006F299D">
              <w:rPr>
                <w:rFonts w:ascii="Times New Roman" w:hAnsi="Times New Roman"/>
                <w:b/>
                <w:bCs/>
                <w:sz w:val="24"/>
                <w:szCs w:val="24"/>
              </w:rPr>
              <w:t>Märkusega ei ole arvestatud.</w:t>
            </w:r>
          </w:p>
          <w:p w14:paraId="0A3779AE"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 xml:space="preserve"> Kui varasem ametlik kontroll on näidanud, et ettevõtja järgib asjakohaseid norme, reegleid ja seadusi, siis ei ole järelkontroll ja seega ka järelevalvetasu rakendamine vajalik. Seega ei ole põhjendatud vastavat leevendavat sätet </w:t>
            </w:r>
            <w:r>
              <w:rPr>
                <w:rFonts w:ascii="Times New Roman" w:hAnsi="Times New Roman"/>
                <w:sz w:val="24"/>
                <w:szCs w:val="24"/>
              </w:rPr>
              <w:t>kehtestada</w:t>
            </w:r>
            <w:r w:rsidRPr="006F299D">
              <w:rPr>
                <w:rFonts w:ascii="Times New Roman" w:hAnsi="Times New Roman"/>
                <w:sz w:val="24"/>
                <w:szCs w:val="24"/>
              </w:rPr>
              <w:t xml:space="preserve">. </w:t>
            </w:r>
          </w:p>
          <w:p w14:paraId="0D43B77E" w14:textId="77777777" w:rsidR="00490AE4" w:rsidRPr="006F299D" w:rsidRDefault="00490AE4" w:rsidP="00C551DF">
            <w:pPr>
              <w:jc w:val="both"/>
              <w:rPr>
                <w:rFonts w:ascii="Times New Roman" w:hAnsi="Times New Roman"/>
                <w:sz w:val="24"/>
                <w:szCs w:val="24"/>
                <w:u w:val="single"/>
              </w:rPr>
            </w:pPr>
          </w:p>
        </w:tc>
      </w:tr>
      <w:tr w:rsidR="00490AE4" w:rsidRPr="006F299D" w14:paraId="69C0F1E7" w14:textId="77777777" w:rsidTr="00490AE4">
        <w:tc>
          <w:tcPr>
            <w:tcW w:w="2737" w:type="dxa"/>
          </w:tcPr>
          <w:p w14:paraId="1A7CB030" w14:textId="77777777" w:rsidR="00490AE4" w:rsidRPr="006F299D" w:rsidRDefault="00490AE4" w:rsidP="00C551DF">
            <w:pPr>
              <w:rPr>
                <w:rFonts w:ascii="Times New Roman" w:hAnsi="Times New Roman"/>
                <w:b/>
                <w:bCs/>
                <w:sz w:val="24"/>
                <w:szCs w:val="24"/>
              </w:rPr>
            </w:pPr>
            <w:r w:rsidRPr="006F299D">
              <w:rPr>
                <w:rFonts w:ascii="Times New Roman" w:hAnsi="Times New Roman"/>
                <w:b/>
                <w:bCs/>
                <w:sz w:val="24"/>
                <w:szCs w:val="24"/>
              </w:rPr>
              <w:t>Räpina Aianduskool</w:t>
            </w:r>
          </w:p>
        </w:tc>
        <w:tc>
          <w:tcPr>
            <w:tcW w:w="7154" w:type="dxa"/>
          </w:tcPr>
          <w:p w14:paraId="3C7FDAC2"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 xml:space="preserve">Planeeritud muudatused on asjakohased! Eriti rahul olen taimekaitseeksami sooritatuse lävendi tõstmisega 80%-le! Küll aga ootan, et määrusega saaks siiski reguleeritud ka maksimaalne eksami sooritamiseks kuluv aeg (akadeemilistes tundides), et vältida olukorda, kus mõne teise koolitaja juures on aega seda sooritada nt 3-4 ak tundi ja </w:t>
            </w:r>
            <w:r w:rsidRPr="006F299D">
              <w:rPr>
                <w:rFonts w:ascii="Times New Roman" w:hAnsi="Times New Roman"/>
                <w:sz w:val="24"/>
                <w:szCs w:val="24"/>
              </w:rPr>
              <w:lastRenderedPageBreak/>
              <w:t xml:space="preserve">meie juures 2 ak. Kuna koolituse miinimum kogumaht on kaunis kasin, on see oluline. Et seaduse muudatuse valguses saab eksamit sooritama tulla pm ka eksternina, toetab kokku lepitud konkreetne ajaraam eksamil ka nö "juhuslike" positiivsete tulemuste vältimist (eksami sooritajal ei jää vabalt aega muudest allikatest (sh kelleltki teiselt) õigeid vastuseid saada teemades, mida ta tegelikult ei valda). </w:t>
            </w:r>
          </w:p>
          <w:p w14:paraId="0FF81C98" w14:textId="77777777" w:rsidR="00490AE4" w:rsidRPr="006F299D" w:rsidRDefault="00490AE4" w:rsidP="00C551DF">
            <w:pPr>
              <w:jc w:val="both"/>
              <w:rPr>
                <w:rFonts w:ascii="Times New Roman" w:hAnsi="Times New Roman"/>
                <w:sz w:val="24"/>
                <w:szCs w:val="24"/>
              </w:rPr>
            </w:pPr>
          </w:p>
        </w:tc>
        <w:tc>
          <w:tcPr>
            <w:tcW w:w="4669" w:type="dxa"/>
          </w:tcPr>
          <w:p w14:paraId="3C6DBE13" w14:textId="77777777" w:rsidR="00490AE4" w:rsidRPr="006F299D" w:rsidRDefault="00490AE4" w:rsidP="00C551DF">
            <w:pPr>
              <w:jc w:val="both"/>
              <w:rPr>
                <w:rFonts w:ascii="Times New Roman" w:hAnsi="Times New Roman"/>
                <w:b/>
                <w:bCs/>
                <w:sz w:val="24"/>
                <w:szCs w:val="24"/>
              </w:rPr>
            </w:pPr>
            <w:r w:rsidRPr="006F299D">
              <w:rPr>
                <w:rFonts w:ascii="Times New Roman" w:hAnsi="Times New Roman"/>
                <w:b/>
                <w:bCs/>
                <w:sz w:val="24"/>
                <w:szCs w:val="24"/>
              </w:rPr>
              <w:lastRenderedPageBreak/>
              <w:t>Märkusega on arvestatud</w:t>
            </w:r>
            <w:r>
              <w:rPr>
                <w:rFonts w:ascii="Times New Roman" w:hAnsi="Times New Roman"/>
                <w:b/>
                <w:bCs/>
                <w:sz w:val="24"/>
                <w:szCs w:val="24"/>
              </w:rPr>
              <w:t xml:space="preserve"> osaliselt</w:t>
            </w:r>
            <w:r w:rsidRPr="006F299D">
              <w:rPr>
                <w:rFonts w:ascii="Times New Roman" w:hAnsi="Times New Roman"/>
                <w:b/>
                <w:bCs/>
                <w:sz w:val="24"/>
                <w:szCs w:val="24"/>
              </w:rPr>
              <w:t xml:space="preserve">. </w:t>
            </w:r>
          </w:p>
          <w:p w14:paraId="5921A3FC"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 xml:space="preserve">Eksami kestus on sisuliselt plaanis kehtestada </w:t>
            </w:r>
            <w:r>
              <w:rPr>
                <w:rFonts w:ascii="Times New Roman" w:hAnsi="Times New Roman"/>
                <w:sz w:val="24"/>
                <w:szCs w:val="24"/>
              </w:rPr>
              <w:t xml:space="preserve">ministri määrusega </w:t>
            </w:r>
            <w:r w:rsidRPr="006F299D">
              <w:rPr>
                <w:rFonts w:ascii="Times New Roman" w:hAnsi="Times New Roman"/>
                <w:sz w:val="24"/>
                <w:szCs w:val="24"/>
              </w:rPr>
              <w:t xml:space="preserve">„Taimekaitsekoolituse programmi, taimekaitsekoolitusel käsitletavate teemade, koolituse kestuse, </w:t>
            </w:r>
            <w:r w:rsidRPr="006F299D">
              <w:rPr>
                <w:rFonts w:ascii="Times New Roman" w:hAnsi="Times New Roman"/>
                <w:sz w:val="24"/>
                <w:szCs w:val="24"/>
              </w:rPr>
              <w:lastRenderedPageBreak/>
              <w:t>eksami ülesehituse ja läbiviimise nõuded“. Täpsemalt sätestab hetkel määruse kavandi § 5 lõige 10 punkt 3, et eksami ülesehituse ja läbiviimise kord sisaldab eksamiküsimusi ning nendele vastamise ajapiirangut (piiraega).</w:t>
            </w:r>
          </w:p>
          <w:p w14:paraId="7A9CE684" w14:textId="77777777" w:rsidR="00490AE4" w:rsidRPr="006F299D" w:rsidRDefault="00490AE4" w:rsidP="00C551DF">
            <w:pPr>
              <w:rPr>
                <w:rFonts w:ascii="Times New Roman" w:hAnsi="Times New Roman"/>
                <w:sz w:val="24"/>
                <w:szCs w:val="24"/>
              </w:rPr>
            </w:pPr>
          </w:p>
          <w:p w14:paraId="70444C56"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Eksamiküsimused koos vastamise ajapiiranguga esitab koolitusasutus enne taimekaitsekoolituse eksami läbiviimist Põllumajandus- ja Toiduametile heaks kiitmiseks. Eksamiküsimuste temaatika peab vastama taimekaitsekoolitusel käsitletavatele teemadele ning küsimuste sisu ja nende arv peab olema vastavuses taimekaitsevahendi professionaalse kasutaja, turustaja või nõustaja ülesannete ja vastutuse erisustega (määruse kavandi § 5 lg 4 ja 5).</w:t>
            </w:r>
          </w:p>
          <w:p w14:paraId="07317F26" w14:textId="77777777" w:rsidR="00490AE4" w:rsidRPr="006F299D" w:rsidRDefault="00490AE4" w:rsidP="00C551DF">
            <w:pPr>
              <w:rPr>
                <w:rFonts w:ascii="Times New Roman" w:hAnsi="Times New Roman"/>
                <w:sz w:val="24"/>
                <w:szCs w:val="24"/>
              </w:rPr>
            </w:pPr>
          </w:p>
          <w:p w14:paraId="10E78AAE"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Eksamiküsimustele vastamise ajapiirangu määramisel peab koolitusasutus võtma arvesse nii küsimuste arvu, nende raskusastet kui ka tüüpi (näiteks valikvastustega küsimused või arvutusülesanded). Üksikasjalik kirjeldus eksamiküsimustele vastamise ajapiirangu määramisega seonduvast toome välja määruse seletuskirjas.</w:t>
            </w:r>
          </w:p>
          <w:p w14:paraId="1DBFFFB1" w14:textId="77777777" w:rsidR="00490AE4" w:rsidRPr="006F299D" w:rsidRDefault="00490AE4" w:rsidP="00C551DF">
            <w:pPr>
              <w:rPr>
                <w:rFonts w:ascii="Times New Roman" w:hAnsi="Times New Roman"/>
                <w:sz w:val="24"/>
                <w:szCs w:val="24"/>
              </w:rPr>
            </w:pPr>
          </w:p>
        </w:tc>
      </w:tr>
      <w:tr w:rsidR="00490AE4" w:rsidRPr="006F299D" w14:paraId="7E61543A" w14:textId="77777777" w:rsidTr="00490AE4">
        <w:tc>
          <w:tcPr>
            <w:tcW w:w="2737" w:type="dxa"/>
          </w:tcPr>
          <w:p w14:paraId="2A0D2B7F" w14:textId="77777777" w:rsidR="00490AE4" w:rsidRPr="006F299D" w:rsidRDefault="00490AE4" w:rsidP="00C551DF">
            <w:pPr>
              <w:rPr>
                <w:rFonts w:ascii="Times New Roman" w:hAnsi="Times New Roman"/>
                <w:sz w:val="24"/>
                <w:szCs w:val="24"/>
              </w:rPr>
            </w:pPr>
          </w:p>
        </w:tc>
        <w:tc>
          <w:tcPr>
            <w:tcW w:w="7154" w:type="dxa"/>
          </w:tcPr>
          <w:p w14:paraId="564A7549"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 xml:space="preserve">Tulevikus jääb proffidele üks koolitus, mille hindamise (eksamiküsimused) koostame me ise (saades neile teie kinnituse). Kas ma saan õigesti aru - kaheosaline aluskoolituse eksam praegusel moel võib kaduda, meil on voli pikkida kahjustajate küsimused eksamitesti sisse/juurde, kui soovime. Aga sel juhul peaksime ikkagi suutma kokku leppida eksamiküsimuste arvus (sest sellest oleneb ka eksami sooritamiseks kuluv aeg). PTA võiks sügisel koostada esimese uue </w:t>
            </w:r>
            <w:r w:rsidRPr="006F299D">
              <w:rPr>
                <w:rFonts w:ascii="Times New Roman" w:hAnsi="Times New Roman"/>
                <w:sz w:val="24"/>
                <w:szCs w:val="24"/>
              </w:rPr>
              <w:lastRenderedPageBreak/>
              <w:t xml:space="preserve">komplekti eksamiteste, millest me saaksime edaspidi juhinduda. NB! Aianduskooli läbi viidud taimekaitsekoolituse praktika põhjal suudavad </w:t>
            </w:r>
          </w:p>
          <w:p w14:paraId="01825CAC" w14:textId="77777777" w:rsidR="00490AE4" w:rsidRPr="006F299D" w:rsidRDefault="00490AE4" w:rsidP="00C551DF">
            <w:pPr>
              <w:jc w:val="both"/>
              <w:rPr>
                <w:rFonts w:ascii="Times New Roman" w:hAnsi="Times New Roman"/>
                <w:sz w:val="24"/>
                <w:szCs w:val="24"/>
              </w:rPr>
            </w:pPr>
          </w:p>
        </w:tc>
        <w:tc>
          <w:tcPr>
            <w:tcW w:w="4669" w:type="dxa"/>
          </w:tcPr>
          <w:p w14:paraId="0129DC39" w14:textId="77777777" w:rsidR="00490AE4" w:rsidRPr="006F299D" w:rsidRDefault="00490AE4" w:rsidP="00C551DF">
            <w:pPr>
              <w:jc w:val="both"/>
              <w:rPr>
                <w:rFonts w:ascii="Times New Roman" w:hAnsi="Times New Roman"/>
                <w:b/>
                <w:bCs/>
                <w:sz w:val="24"/>
                <w:szCs w:val="24"/>
              </w:rPr>
            </w:pPr>
            <w:r w:rsidRPr="006F299D">
              <w:rPr>
                <w:rFonts w:ascii="Times New Roman" w:hAnsi="Times New Roman"/>
                <w:b/>
                <w:bCs/>
                <w:sz w:val="24"/>
                <w:szCs w:val="24"/>
              </w:rPr>
              <w:lastRenderedPageBreak/>
              <w:t>Märkusega on arvestatud osaliselt.</w:t>
            </w:r>
          </w:p>
          <w:p w14:paraId="3DF230DA"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Leiame, et seda saab lahendada kõikide osapoolte (PTA ja koolitusasutus) koostöö raames.</w:t>
            </w:r>
          </w:p>
          <w:p w14:paraId="0F48FEBD" w14:textId="77777777" w:rsidR="00490AE4" w:rsidRPr="006F299D" w:rsidRDefault="00490AE4" w:rsidP="00C551DF">
            <w:pPr>
              <w:jc w:val="both"/>
              <w:rPr>
                <w:rFonts w:ascii="Times New Roman" w:hAnsi="Times New Roman"/>
                <w:sz w:val="24"/>
                <w:szCs w:val="24"/>
              </w:rPr>
            </w:pPr>
          </w:p>
        </w:tc>
      </w:tr>
      <w:tr w:rsidR="00490AE4" w:rsidRPr="006F299D" w14:paraId="79B01BC6" w14:textId="77777777" w:rsidTr="00490AE4">
        <w:tc>
          <w:tcPr>
            <w:tcW w:w="2737" w:type="dxa"/>
          </w:tcPr>
          <w:p w14:paraId="76E91E6B" w14:textId="77777777" w:rsidR="00490AE4" w:rsidRPr="006F299D" w:rsidRDefault="00490AE4" w:rsidP="00C551DF">
            <w:pPr>
              <w:rPr>
                <w:rFonts w:ascii="Times New Roman" w:hAnsi="Times New Roman"/>
                <w:sz w:val="24"/>
                <w:szCs w:val="24"/>
              </w:rPr>
            </w:pPr>
          </w:p>
        </w:tc>
        <w:tc>
          <w:tcPr>
            <w:tcW w:w="7154" w:type="dxa"/>
          </w:tcPr>
          <w:p w14:paraId="6840D7B2"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KÕIK eksamineeritavad senise kaheosalise aluskoolituse eksami 90' sisse ära teha, saati siis veel turustajad ja profi täienduskoolituse omad! Kolm korda ebaõnnestunud eksamisoorituse järel peaks jääma sisse kohustuslik koolitusel osalemine (sõna uuesti ei ole asjakohane, kui algselt koolituse läbimise kohustust ei ole [§ 78</w:t>
            </w:r>
            <w:r w:rsidRPr="001C6109">
              <w:rPr>
                <w:rFonts w:ascii="Times New Roman" w:hAnsi="Times New Roman"/>
                <w:sz w:val="24"/>
                <w:szCs w:val="24"/>
                <w:vertAlign w:val="superscript"/>
              </w:rPr>
              <w:t>2</w:t>
            </w:r>
            <w:r w:rsidRPr="006F299D">
              <w:rPr>
                <w:rFonts w:ascii="Times New Roman" w:hAnsi="Times New Roman"/>
                <w:sz w:val="24"/>
                <w:szCs w:val="24"/>
              </w:rPr>
              <w:t xml:space="preserve"> lõige 1 muudetakse ja sõnastatakse järgmiselt: „(1) Taimekaitsevahendi turustajal, professionaalsel kasutajal ja nõustajal peavad olema asjakohased teadmised, mille olemasolu tõendab taimekaitsetunnistus.”;].</w:t>
            </w:r>
          </w:p>
        </w:tc>
        <w:tc>
          <w:tcPr>
            <w:tcW w:w="4669" w:type="dxa"/>
          </w:tcPr>
          <w:p w14:paraId="1A9FA600" w14:textId="77777777" w:rsidR="00490AE4" w:rsidRPr="006F299D" w:rsidRDefault="00490AE4" w:rsidP="00C551DF">
            <w:pPr>
              <w:jc w:val="both"/>
              <w:rPr>
                <w:rFonts w:ascii="Times New Roman" w:hAnsi="Times New Roman"/>
                <w:b/>
                <w:bCs/>
                <w:sz w:val="24"/>
                <w:szCs w:val="24"/>
              </w:rPr>
            </w:pPr>
            <w:r w:rsidRPr="006F299D">
              <w:rPr>
                <w:rFonts w:ascii="Times New Roman" w:hAnsi="Times New Roman"/>
                <w:b/>
                <w:bCs/>
                <w:sz w:val="24"/>
                <w:szCs w:val="24"/>
              </w:rPr>
              <w:t>Märkusega on arvestatud.</w:t>
            </w:r>
          </w:p>
        </w:tc>
      </w:tr>
      <w:tr w:rsidR="00490AE4" w:rsidRPr="006F299D" w14:paraId="25823F50" w14:textId="77777777" w:rsidTr="00490AE4">
        <w:tc>
          <w:tcPr>
            <w:tcW w:w="2737" w:type="dxa"/>
          </w:tcPr>
          <w:p w14:paraId="74266999" w14:textId="77777777" w:rsidR="00490AE4" w:rsidRPr="006F299D" w:rsidRDefault="00490AE4" w:rsidP="00C551DF">
            <w:pPr>
              <w:rPr>
                <w:rFonts w:ascii="Times New Roman" w:hAnsi="Times New Roman"/>
                <w:b/>
                <w:bCs/>
                <w:sz w:val="24"/>
                <w:szCs w:val="24"/>
              </w:rPr>
            </w:pPr>
            <w:r w:rsidRPr="006F299D">
              <w:rPr>
                <w:rFonts w:ascii="Times New Roman" w:hAnsi="Times New Roman"/>
                <w:b/>
                <w:bCs/>
                <w:sz w:val="24"/>
                <w:szCs w:val="24"/>
              </w:rPr>
              <w:t>MTÜ Eesti Taimekaitse Assotsiatsioon</w:t>
            </w:r>
          </w:p>
        </w:tc>
        <w:tc>
          <w:tcPr>
            <w:tcW w:w="7154" w:type="dxa"/>
          </w:tcPr>
          <w:p w14:paraId="00ADF75D"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Eelnõu punktiga 14 täiendatakse seaduse §-ga 73</w:t>
            </w:r>
            <w:r w:rsidRPr="001C6109">
              <w:rPr>
                <w:rFonts w:ascii="Times New Roman" w:hAnsi="Times New Roman"/>
                <w:sz w:val="24"/>
                <w:szCs w:val="24"/>
                <w:vertAlign w:val="superscript"/>
              </w:rPr>
              <w:t>2</w:t>
            </w:r>
            <w:r>
              <w:rPr>
                <w:rFonts w:ascii="Times New Roman" w:hAnsi="Times New Roman"/>
                <w:sz w:val="24"/>
                <w:szCs w:val="24"/>
                <w:vertAlign w:val="superscript"/>
              </w:rPr>
              <w:t xml:space="preserve"> </w:t>
            </w:r>
            <w:r w:rsidRPr="006F299D">
              <w:rPr>
                <w:rFonts w:ascii="Times New Roman" w:hAnsi="Times New Roman"/>
                <w:sz w:val="24"/>
                <w:szCs w:val="24"/>
              </w:rPr>
              <w:t>ja nähakse ette täiesti uus tasu liik  – taimekaitsevahendi erialase hindamise tasu.</w:t>
            </w:r>
          </w:p>
          <w:p w14:paraId="2CF76A1A"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Erialase hindamise tasu. Ebaselge on kuidas Põllumajandus- ja Toiduamet otsustab „kui on vaja“? Kas „kui on vaja“ vormistatakse eraldi haldusotsusena, k.a. sel juhul kui „kui on vaja“ ei ilmne? Hea halduse tava kohaselt peab taotlejale olema ilma kõrvalise abita arusaadav, millisel õiguslikul alusel menetluses otsuseid tehakse ning mida see menetlus võib talle kaasa tuua.</w:t>
            </w:r>
          </w:p>
        </w:tc>
        <w:tc>
          <w:tcPr>
            <w:tcW w:w="4669" w:type="dxa"/>
          </w:tcPr>
          <w:p w14:paraId="2AAE2D95" w14:textId="77777777" w:rsidR="00490AE4" w:rsidRPr="00380B72" w:rsidRDefault="00490AE4" w:rsidP="00993011">
            <w:pPr>
              <w:pStyle w:val="Snum"/>
            </w:pPr>
            <w:r w:rsidRPr="00380B72">
              <w:t>Märkusega ei ole arvestatud.</w:t>
            </w:r>
          </w:p>
          <w:p w14:paraId="77176CB4" w14:textId="77777777" w:rsidR="00490AE4" w:rsidRPr="00380B72" w:rsidRDefault="00490AE4" w:rsidP="00993011">
            <w:pPr>
              <w:pStyle w:val="Snum"/>
              <w:rPr>
                <w:b w:val="0"/>
                <w:bCs w:val="0"/>
              </w:rPr>
            </w:pPr>
            <w:r w:rsidRPr="00380B72">
              <w:rPr>
                <w:b w:val="0"/>
                <w:bCs w:val="0"/>
              </w:rPr>
              <w:t>Taotluste hindamise protsess on reglementeeritud ning ebavajalikke hindamisi ei tehta.</w:t>
            </w:r>
          </w:p>
          <w:p w14:paraId="58B22718" w14:textId="77777777" w:rsidR="00490AE4" w:rsidRPr="00380B72" w:rsidRDefault="00490AE4" w:rsidP="00993011">
            <w:pPr>
              <w:pStyle w:val="Snum"/>
              <w:rPr>
                <w:b w:val="0"/>
                <w:bCs w:val="0"/>
              </w:rPr>
            </w:pPr>
            <w:r w:rsidRPr="00380B72">
              <w:rPr>
                <w:b w:val="0"/>
                <w:bCs w:val="0"/>
              </w:rPr>
              <w:t>Sel põhjusel ei koostata ka eraldi haldusotsuseid, mis ütleksid, kui suures mahus on toimikus sisalduvaid materjale vaja hinnata.</w:t>
            </w:r>
          </w:p>
          <w:p w14:paraId="4592A2F4" w14:textId="77777777" w:rsidR="00490AE4" w:rsidRPr="00380B72" w:rsidRDefault="00490AE4" w:rsidP="00993011">
            <w:pPr>
              <w:pStyle w:val="Snum"/>
              <w:rPr>
                <w:b w:val="0"/>
                <w:bCs w:val="0"/>
              </w:rPr>
            </w:pPr>
            <w:r w:rsidRPr="00380B72">
              <w:rPr>
                <w:b w:val="0"/>
                <w:bCs w:val="0"/>
              </w:rPr>
              <w:t xml:space="preserve">Taimekaitsevahendite turule lubamise nõuded on kehtestatud Euroopa Parlamendi ja nõukogu määruse (EÜ) nr 1107/2009 artiklis 29, mille lõige 6 viitab ka direktiivi 91/414/EMÜ VI lisale. Taimekaitsevahendite hindamise ja turulelaskmise ühtsed põhimõtted sätestab komisjoni määrus (EL) nr 546/2011 ning taimekaitsevahendite andmenõuded komisjoni määrus (EL) nr 284/2013. Lisaks nendele dokumentidele lähtub PTA taimekaitsevahendite lubade taotluste hindamisel veel erinevatest juhenddokumentidest, mille osas anti ETA-le saadetud vastuses ülevaade.  </w:t>
            </w:r>
          </w:p>
        </w:tc>
      </w:tr>
      <w:tr w:rsidR="00490AE4" w:rsidRPr="006F299D" w14:paraId="7E1F6CAC" w14:textId="77777777" w:rsidTr="00490AE4">
        <w:tc>
          <w:tcPr>
            <w:tcW w:w="2737" w:type="dxa"/>
          </w:tcPr>
          <w:p w14:paraId="10C39D48" w14:textId="77777777" w:rsidR="00490AE4" w:rsidRPr="006F299D" w:rsidRDefault="00490AE4" w:rsidP="00C551DF">
            <w:pPr>
              <w:rPr>
                <w:rFonts w:ascii="Times New Roman" w:hAnsi="Times New Roman"/>
                <w:sz w:val="24"/>
                <w:szCs w:val="24"/>
              </w:rPr>
            </w:pPr>
          </w:p>
        </w:tc>
        <w:tc>
          <w:tcPr>
            <w:tcW w:w="7154" w:type="dxa"/>
          </w:tcPr>
          <w:p w14:paraId="3B7595FE"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 xml:space="preserve">Kuivõrd taimekaitsevahendi erialasele hindamisele kuluv aeg on teadmata, siis taotleja saab arvutada järgnevalt: 2025 aastal on 251 </w:t>
            </w:r>
            <w:r w:rsidRPr="006F299D">
              <w:rPr>
                <w:rFonts w:ascii="Times New Roman" w:hAnsi="Times New Roman"/>
                <w:sz w:val="24"/>
                <w:szCs w:val="24"/>
              </w:rPr>
              <w:lastRenderedPageBreak/>
              <w:t>tööpäeva ja 2002 töötundi, arvestades viiepäevast töönädalat (esmaspäevast reedeni) ning riigipühasid. Seega 2002 h x 78,49 eurot (§ 60</w:t>
            </w:r>
            <w:r w:rsidRPr="001C6109">
              <w:rPr>
                <w:rFonts w:ascii="Times New Roman" w:hAnsi="Times New Roman"/>
                <w:sz w:val="24"/>
                <w:szCs w:val="24"/>
                <w:vertAlign w:val="superscript"/>
              </w:rPr>
              <w:t>1</w:t>
            </w:r>
            <w:r w:rsidRPr="006F299D">
              <w:rPr>
                <w:rFonts w:ascii="Times New Roman" w:hAnsi="Times New Roman"/>
                <w:sz w:val="24"/>
                <w:szCs w:val="24"/>
              </w:rPr>
              <w:t xml:space="preserve"> lg 4 alusel kehtestatud tunnitasu määr) x 5 aastat = 816 296,00 eurot viie aasta kohta ehk 163 259,20 eurot aastas. Täiendavalt nähakse seaduse eelnõuga ette riigilõivuseaduse muutmine, mille kohaselt taimekaitsevahendi turulelaskmise taotluse läbivaatamise eest tuleb tasuda edaspidi 8400 eurot. Arvestades tänast praktikat, mil Põllumajandus- ja Toiduamet ilma vastutuseta ei pea kinni õigusaktiga ette nähtud menetlustähtaegadest ning menetleb taotlust keskmiselt 5 aastat, siis saab isiku rahaline koormus menetlusaja jooksul olema taimekaitsevahendi turule toomisel kokku 816 296 eurot tasuna + 8400 eurot riigilõivuna. </w:t>
            </w:r>
          </w:p>
          <w:p w14:paraId="29080C03" w14:textId="77777777" w:rsidR="00490AE4" w:rsidRPr="006F299D" w:rsidRDefault="00490AE4" w:rsidP="00C551DF">
            <w:pPr>
              <w:jc w:val="both"/>
              <w:rPr>
                <w:rFonts w:ascii="Times New Roman" w:hAnsi="Times New Roman"/>
                <w:sz w:val="24"/>
                <w:szCs w:val="24"/>
              </w:rPr>
            </w:pPr>
          </w:p>
        </w:tc>
        <w:tc>
          <w:tcPr>
            <w:tcW w:w="4669" w:type="dxa"/>
          </w:tcPr>
          <w:p w14:paraId="34C1A7A8" w14:textId="77777777" w:rsidR="00490AE4" w:rsidRPr="00993011" w:rsidRDefault="00490AE4" w:rsidP="00993011">
            <w:pPr>
              <w:pStyle w:val="Snum"/>
              <w:rPr>
                <w:b w:val="0"/>
                <w:bCs w:val="0"/>
              </w:rPr>
            </w:pPr>
            <w:r w:rsidRPr="00993011">
              <w:rPr>
                <w:b w:val="0"/>
                <w:bCs w:val="0"/>
              </w:rPr>
              <w:lastRenderedPageBreak/>
              <w:t>Märkusega ei ole arvestatud.</w:t>
            </w:r>
          </w:p>
          <w:p w14:paraId="0449A656" w14:textId="77777777" w:rsidR="00490AE4" w:rsidRPr="00993011" w:rsidRDefault="00490AE4" w:rsidP="00993011">
            <w:pPr>
              <w:pStyle w:val="Snum"/>
              <w:rPr>
                <w:b w:val="0"/>
                <w:bCs w:val="0"/>
              </w:rPr>
            </w:pPr>
            <w:r w:rsidRPr="00993011">
              <w:rPr>
                <w:b w:val="0"/>
                <w:bCs w:val="0"/>
              </w:rPr>
              <w:lastRenderedPageBreak/>
              <w:t>Nagu eelnõu seletuskiri välja toob, makstakse erialase hindamise tasu taimekaitsevahendi või toimeaine, taimekaitseaine ja sünergisti identsuse, füüsikaliste ja keemiliste omaduste, analüüsimeetodite, toksikoloogiliste omaduste, kokkupuutest tuleneva riski, jääkide, keskkonnas käitumise ja leviku, ökotoksikoloogiliste omaduste ning efektiivsuse hindamise eest. Vastava töö mahu määravad eespool viidatud seadusandlikud ning juhenddokumendid. Erialase hindamise eest võetakse tasu tunnitasuna, et võetav tasu vastaks reaalselt tehtud töö mahule. See mõjutab lõppkokkuvõttes ka esitatavate taotluste kvaliteeti (praegu taimekaitsevahendite taotlustele Eestis kehtivad lõivud on ühed Euroopa Liidu madalaimad, mis teadaolevalt toob ETAle kaasa mittesihipäraste taotluste esitamist ning sageli ka puudulike andmetega taotlusi).</w:t>
            </w:r>
          </w:p>
          <w:p w14:paraId="187EDD9A" w14:textId="77777777" w:rsidR="00490AE4" w:rsidRPr="00993011" w:rsidRDefault="00490AE4" w:rsidP="00993011">
            <w:pPr>
              <w:pStyle w:val="Snum"/>
              <w:rPr>
                <w:b w:val="0"/>
                <w:bCs w:val="0"/>
              </w:rPr>
            </w:pPr>
          </w:p>
          <w:p w14:paraId="560824CD" w14:textId="77777777" w:rsidR="00490AE4" w:rsidRPr="00993011" w:rsidRDefault="00490AE4" w:rsidP="00993011">
            <w:pPr>
              <w:pStyle w:val="Snum"/>
              <w:rPr>
                <w:b w:val="0"/>
                <w:bCs w:val="0"/>
              </w:rPr>
            </w:pPr>
            <w:r w:rsidRPr="00993011">
              <w:rPr>
                <w:b w:val="0"/>
                <w:bCs w:val="0"/>
              </w:rPr>
              <w:t xml:space="preserve">Kuigi iga konkreetse taimekaitse-vahendi erialasele hindamisele kuluvat aega on võimatu täpselt prognoosida, siis määrus (EÜ) nr 1107/2009 seab taotluse läbivaatamise kestusele ajalised piirid, mis reeglina sõltuvalt taotlusest on 12-18 kuud. </w:t>
            </w:r>
          </w:p>
          <w:p w14:paraId="1178ADBC" w14:textId="77777777" w:rsidR="00490AE4" w:rsidRPr="00993011" w:rsidRDefault="00490AE4" w:rsidP="00993011">
            <w:pPr>
              <w:pStyle w:val="Snum"/>
              <w:rPr>
                <w:b w:val="0"/>
                <w:bCs w:val="0"/>
              </w:rPr>
            </w:pPr>
          </w:p>
          <w:p w14:paraId="5DADAFEE" w14:textId="77777777" w:rsidR="00490AE4" w:rsidRPr="00993011" w:rsidRDefault="00490AE4" w:rsidP="00993011">
            <w:pPr>
              <w:pStyle w:val="Snum"/>
              <w:rPr>
                <w:b w:val="0"/>
                <w:bCs w:val="0"/>
              </w:rPr>
            </w:pPr>
            <w:r w:rsidRPr="00993011">
              <w:rPr>
                <w:b w:val="0"/>
                <w:bCs w:val="0"/>
              </w:rPr>
              <w:t xml:space="preserve">See ei tähenda, et tasude arvestamisel võetaks tööaja arvestamise aluseks abstraktset ajavahemikku taotluse esitamisest kuni lõpliku otsuse tegemiseni. Tasude süsteemi kasutab PTA praegu juba toimeaine, taimekaitseaine ja sünergisti hindamise puhul ning tööaja </w:t>
            </w:r>
            <w:r w:rsidRPr="00993011">
              <w:rPr>
                <w:b w:val="0"/>
                <w:bCs w:val="0"/>
              </w:rPr>
              <w:lastRenderedPageBreak/>
              <w:t>arvestus toimub tööaja ja tegevuste arvestuse süsteemis PlanPro konkreetsete hindajate vastava taotluse lahendamisel tehtud töötundide kaupa. Samal ajal pannakse aeg seisma perioodidel, mil konkreetse aine hindamisega aktiivselt ei tegeleta või oodatakse taotlejalt lisateavet. Kuna erinevad hindajad võivad sama toimiku erinevate osade kallal töötada ka korraga, ei saa toimiku hindamiseks kuluvat tööaega käsitleda lihtsalt kui ajavahemikku taotluse vastu võtmisest kuni otsuse tegemiseni.</w:t>
            </w:r>
          </w:p>
          <w:p w14:paraId="6B4324DC" w14:textId="77777777" w:rsidR="00490AE4" w:rsidRPr="00993011" w:rsidRDefault="00490AE4" w:rsidP="00993011">
            <w:pPr>
              <w:pStyle w:val="Snum"/>
              <w:rPr>
                <w:b w:val="0"/>
                <w:bCs w:val="0"/>
              </w:rPr>
            </w:pPr>
            <w:r w:rsidRPr="00993011">
              <w:rPr>
                <w:b w:val="0"/>
                <w:bCs w:val="0"/>
              </w:rPr>
              <w:t>Võimalik lahendus tasude ülempiiri lae kehtestamisel saab tugineda ainult Euroopa Parlamendi ja nõukogu määrusele (EÜ) nr 1107/2009. Kuna toimeainete hindamisel ei ole selliste piiride seadmist seni vajalikuks peetud, siis ei kerkinud seaduseelnõu väljatöötamise käigus küsimust nende piiride kehtestamisest.</w:t>
            </w:r>
          </w:p>
          <w:p w14:paraId="09E9FF3D" w14:textId="77777777" w:rsidR="00490AE4" w:rsidRPr="00993011" w:rsidRDefault="00490AE4" w:rsidP="00993011">
            <w:pPr>
              <w:pStyle w:val="Snum"/>
              <w:rPr>
                <w:b w:val="0"/>
                <w:bCs w:val="0"/>
              </w:rPr>
            </w:pPr>
            <w:r w:rsidRPr="00993011">
              <w:rPr>
                <w:b w:val="0"/>
                <w:bCs w:val="0"/>
              </w:rPr>
              <w:t>Baastasu ja tunnitasu kombinatsiooni kasutab taimekaitsevahendite taotluste maksustamisel praegu Soome.</w:t>
            </w:r>
          </w:p>
          <w:p w14:paraId="70F18F9D" w14:textId="77777777" w:rsidR="00490AE4" w:rsidRPr="00993011" w:rsidRDefault="00490AE4" w:rsidP="00993011">
            <w:pPr>
              <w:pStyle w:val="Snum"/>
              <w:rPr>
                <w:b w:val="0"/>
                <w:bCs w:val="0"/>
              </w:rPr>
            </w:pPr>
            <w:r w:rsidRPr="00993011">
              <w:rPr>
                <w:b w:val="0"/>
                <w:bCs w:val="0"/>
              </w:rPr>
              <w:t xml:space="preserve">ETA-le saadetud vastus oli oluliselt pikem, selle täismahus ja koos tabelitega käesolevasse kooskõlastustabelisse lisamine ei ole otstarbekas. </w:t>
            </w:r>
          </w:p>
        </w:tc>
      </w:tr>
      <w:tr w:rsidR="00490AE4" w:rsidRPr="006F299D" w14:paraId="416AF60A" w14:textId="77777777" w:rsidTr="00490AE4">
        <w:tc>
          <w:tcPr>
            <w:tcW w:w="2737" w:type="dxa"/>
          </w:tcPr>
          <w:p w14:paraId="1698FF65" w14:textId="77777777" w:rsidR="00490AE4" w:rsidRPr="006F299D" w:rsidRDefault="00490AE4" w:rsidP="00C551DF">
            <w:pPr>
              <w:rPr>
                <w:rFonts w:ascii="Times New Roman" w:hAnsi="Times New Roman"/>
                <w:sz w:val="24"/>
                <w:szCs w:val="24"/>
              </w:rPr>
            </w:pPr>
          </w:p>
        </w:tc>
        <w:tc>
          <w:tcPr>
            <w:tcW w:w="7154" w:type="dxa"/>
          </w:tcPr>
          <w:p w14:paraId="068A7161"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 xml:space="preserve">Riigilõivude tõstmist põhjendatakse seaduse eelnõu seletuskirjas nii eurole ülemineku 2011 aasta, kui 2024 aastaga, kui nõuded muutusid rangemaks. Samuti selgitatakse eelnõu seletuskirjas, et riigilõiv ei taga tähtaegadest kinnipidamist. Soovime märkida, et Euroopa Parlamendi ja Nõukogu määrus (EÜ) nr 1107/2009 (edaspidi määrus 1107/2009) ei ole aastast 2009 rangemaks muutunud ning riigilõiv iseenesest ei saagi tagada tähtaegadest kinni pidamist. Määruses 1107/2009 ja </w:t>
            </w:r>
            <w:r w:rsidRPr="006F299D">
              <w:rPr>
                <w:rFonts w:ascii="Times New Roman" w:hAnsi="Times New Roman"/>
                <w:sz w:val="24"/>
                <w:szCs w:val="24"/>
              </w:rPr>
              <w:lastRenderedPageBreak/>
              <w:t xml:space="preserve">taimekaitseseaduses ette nähtud tähtaegadest saab kinni pidada üksnes inimene (ametkond), kes neid järgib. Mistõttu seletuskirjas toodud põhjused on meile arusaamatud. Seaduse eelnõu seletuskirjas on märkimist leidnud, et biotsiidiseaduse eeskujul nö lahutatakse taotluse nõuetekohasuse hindamine selle sisulisest hindamisest, kuid põhjendamata on jäetud, mida sel juhul taotluse erialase hindamise kõrval tähendab taotluse nõuetekohasuse hindamine, mis seaduse jõustudes hakkab nö maksma 8400 eurot? Kas nõuetekohasuse puhul hinnatakse, kas kõik vajalikud dokumendid on esitatud ja miks erialane hindamine ei ole taotluse nõuetekohasuse hindamine või selle osa? Mis asjaolusid hindab ja milliseid toiminguid Põllumajandus- ja Toiduamet taotluse puhul teeb 8400 euro eest? </w:t>
            </w:r>
          </w:p>
          <w:p w14:paraId="082C45BF" w14:textId="77777777" w:rsidR="00490AE4" w:rsidRPr="006F299D" w:rsidRDefault="00490AE4" w:rsidP="00C551DF">
            <w:pPr>
              <w:jc w:val="both"/>
              <w:rPr>
                <w:rFonts w:ascii="Times New Roman" w:hAnsi="Times New Roman"/>
                <w:sz w:val="24"/>
                <w:szCs w:val="24"/>
              </w:rPr>
            </w:pPr>
          </w:p>
          <w:p w14:paraId="257C6A02"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Seega näib, et taimekaitsevahendi turulelaskmine hakkab koosnema vähemalt kahest komponendist: 1) baastasust (riigilõiv) ning 2) tunnitasust. Lisaks sellele koormatakse taimekaitse valdkonna täiendavalt veel 70 eurose riigilõivuga registrikande muutuse eest ning järelevalvetasuga. Kui taimekaitse valdkond on üks enam reguleeritud valdkondi, siis tulevikus on see ka kõige kõrgemata tasude/lõivudega maksustatud valdkondi põllumajanduses.</w:t>
            </w:r>
          </w:p>
        </w:tc>
        <w:tc>
          <w:tcPr>
            <w:tcW w:w="4669" w:type="dxa"/>
          </w:tcPr>
          <w:p w14:paraId="30FB9C5B" w14:textId="77777777" w:rsidR="00490AE4" w:rsidRPr="00993011" w:rsidRDefault="00490AE4" w:rsidP="00993011">
            <w:pPr>
              <w:pStyle w:val="Snum"/>
            </w:pPr>
            <w:r w:rsidRPr="00993011">
              <w:lastRenderedPageBreak/>
              <w:t>Märkusega ei ole arvestatud.</w:t>
            </w:r>
          </w:p>
          <w:p w14:paraId="3FAA096E" w14:textId="77777777" w:rsidR="00490AE4" w:rsidRPr="00993011" w:rsidRDefault="00490AE4" w:rsidP="00993011">
            <w:pPr>
              <w:pStyle w:val="Snum"/>
              <w:rPr>
                <w:b w:val="0"/>
                <w:bCs w:val="0"/>
              </w:rPr>
            </w:pPr>
            <w:r w:rsidRPr="00993011">
              <w:rPr>
                <w:b w:val="0"/>
                <w:bCs w:val="0"/>
              </w:rPr>
              <w:t xml:space="preserve">Nagu ETA oma kirjas märgib, ei ole Euroopa Parlamendi ja nõukogu määrust (EÜ) nr 1107/2009 arvates selle vastuvõtmisest rangemaks muudetud ning riigilõiv iseenesest ei saagi tagada tähtaegadest kinnipidamist. Seevastu on alates 2009. aastast oluliselt </w:t>
            </w:r>
            <w:r w:rsidRPr="00993011">
              <w:rPr>
                <w:b w:val="0"/>
                <w:bCs w:val="0"/>
              </w:rPr>
              <w:lastRenderedPageBreak/>
              <w:t xml:space="preserve">täienenud ja rangemaks muutunud erinevad toimeainete ja taimekaitsevahendite hindamise juhenddokumendid ja toimeainetele, taimekaitseainetele ja lisaainetele seatavad nõuded. </w:t>
            </w:r>
          </w:p>
          <w:p w14:paraId="7938878A" w14:textId="77777777" w:rsidR="00490AE4" w:rsidRPr="00993011" w:rsidRDefault="00490AE4" w:rsidP="00993011">
            <w:pPr>
              <w:pStyle w:val="Snum"/>
              <w:rPr>
                <w:b w:val="0"/>
                <w:bCs w:val="0"/>
              </w:rPr>
            </w:pPr>
            <w:r w:rsidRPr="00993011">
              <w:rPr>
                <w:b w:val="0"/>
                <w:bCs w:val="0"/>
              </w:rPr>
              <w:t xml:space="preserve">Nende nõuete järgimine ja menetlusaegade lühendamine nõuab järjest rohkem eriharidusega tööjõudu. Samuti on oluliselt kasvanud töötasud. Rangemaks muutunud nõudeid illustreerib fakt, et ainuüksi ajavahemikus 2014.-2023. a on keelatud või uuendamata jäetud 104 varem kasutuses olnud toimeaine heakskiit. </w:t>
            </w:r>
          </w:p>
          <w:p w14:paraId="08B4BD63" w14:textId="77777777" w:rsidR="00490AE4" w:rsidRPr="00993011" w:rsidRDefault="00490AE4" w:rsidP="00993011">
            <w:pPr>
              <w:pStyle w:val="Snum"/>
              <w:rPr>
                <w:b w:val="0"/>
                <w:bCs w:val="0"/>
              </w:rPr>
            </w:pPr>
            <w:r w:rsidRPr="00993011">
              <w:rPr>
                <w:b w:val="0"/>
                <w:bCs w:val="0"/>
              </w:rPr>
              <w:t xml:space="preserve">Uued muudetud riigilõivud kehtestatakse seaduse eelnõu kohaselt taimekaitsevahendi loa taotluse nõuetekohasuse (määruse 1107/2009 ametlikus tõlkes on seda nimetatud vastuvõetavuseks) kontrolli eest. Vastavalt kaotatakse riigilõivud selliste loa taotluste puhul, kus määrus 1107/2009 taotluse nõuetekohasuse kontrolli ette ei näe. </w:t>
            </w:r>
          </w:p>
          <w:p w14:paraId="18D22302" w14:textId="77777777" w:rsidR="00490AE4" w:rsidRPr="00993011" w:rsidRDefault="00490AE4" w:rsidP="00993011">
            <w:pPr>
              <w:pStyle w:val="Snum"/>
              <w:rPr>
                <w:b w:val="0"/>
                <w:bCs w:val="0"/>
              </w:rPr>
            </w:pPr>
            <w:r w:rsidRPr="00993011">
              <w:rPr>
                <w:b w:val="0"/>
                <w:bCs w:val="0"/>
              </w:rPr>
              <w:t>Taotluse nõuetekohasuse kontrolli, selleks ette nähtud maksimaalse aja ja kontrolli läbiviimise viisi sätestab sama määruse artikkel 9. Seetõttu ei saa toimeaine ega taimekaitsevahendi erialane hindamine olla nõuetekohasuse kontrolli osa.</w:t>
            </w:r>
          </w:p>
          <w:p w14:paraId="5095C55D" w14:textId="77777777" w:rsidR="00490AE4" w:rsidRPr="00993011" w:rsidRDefault="00490AE4" w:rsidP="00993011">
            <w:pPr>
              <w:pStyle w:val="Snum"/>
              <w:rPr>
                <w:b w:val="0"/>
                <w:bCs w:val="0"/>
              </w:rPr>
            </w:pPr>
            <w:r w:rsidRPr="00993011">
              <w:rPr>
                <w:b w:val="0"/>
                <w:bCs w:val="0"/>
              </w:rPr>
              <w:t xml:space="preserve">Riigilõivude arvutamisel ei ole aluseks võetud mitte määruse 1107/2009 poolt taotluse vastuvõetavuse kontrolliks ette nähtud maksimaalne aeg, vaid PTA poolt esitatud hinnanguline keskmine nõuetekohasuse kontrollile kuluv aeg vastavalt taotlusele. See on kõigil juhtudel oluliselt väiksem, kui samas </w:t>
            </w:r>
            <w:r w:rsidRPr="00993011">
              <w:rPr>
                <w:b w:val="0"/>
                <w:bCs w:val="0"/>
              </w:rPr>
              <w:lastRenderedPageBreak/>
              <w:t xml:space="preserve">määruses esitatud maksimaalne taotluse vastuvõetavuse menetlemise aeg. </w:t>
            </w:r>
          </w:p>
          <w:p w14:paraId="1CC15F1F" w14:textId="77777777" w:rsidR="00490AE4" w:rsidRPr="00993011" w:rsidRDefault="00490AE4" w:rsidP="00993011">
            <w:pPr>
              <w:pStyle w:val="Snum"/>
              <w:rPr>
                <w:b w:val="0"/>
                <w:bCs w:val="0"/>
              </w:rPr>
            </w:pPr>
          </w:p>
        </w:tc>
      </w:tr>
      <w:tr w:rsidR="00490AE4" w:rsidRPr="006F299D" w14:paraId="7FF39B51" w14:textId="77777777" w:rsidTr="00490AE4">
        <w:tc>
          <w:tcPr>
            <w:tcW w:w="2737" w:type="dxa"/>
          </w:tcPr>
          <w:p w14:paraId="3F6DA5F0" w14:textId="77777777" w:rsidR="00490AE4" w:rsidRPr="006F299D" w:rsidRDefault="00490AE4" w:rsidP="00C551DF">
            <w:pPr>
              <w:rPr>
                <w:rFonts w:ascii="Times New Roman" w:hAnsi="Times New Roman"/>
                <w:sz w:val="24"/>
                <w:szCs w:val="24"/>
              </w:rPr>
            </w:pPr>
          </w:p>
        </w:tc>
        <w:tc>
          <w:tcPr>
            <w:tcW w:w="7154" w:type="dxa"/>
          </w:tcPr>
          <w:p w14:paraId="6C83CCE4"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Eelnõuga kavandatava muudatuse kohaselt ei tule edaspidi tasuda riigilõivu lisaks määruse 1107/2009 artiklites 51 (loa kehtivuse laiendamine vähe levinud või väikese kasvupinnaga kultuuridel kasutamistele) ja 53 (taimekaitse eriolukord) nimetatud loa taotlemise eest ka sama määruse artiklis 40 (taimekaitsevahendite vastastikune tunnustamine) sätestatud loa taotlemise eest. Ja eelnimetatud taotluste eest tuleb hakata tasuma erialase hindamise tasu. Ka nende taotluste (art 51 ja 53) puhul kordame, et eelnõust ei selgu, mis on taimekaitsevahendite loa menetluses erialane hindamine ja kui pikk on taotluse menetlemisele kuluv aeg ning mis tegevusi või asjaolusid taotluse menetlemisel üldse tehakse või kaalutakse. Toome taotluse menetluse ettenähtamatuse ilmestamiseks näite sellest aastast. MTÜ Taimekaitse Assotsiatsioon esitas artikli 53 kohase taotluse 4. veebruaril 2025 a., mille osas Põllumajandusja Toiduamet langetas otsuse 18. märtsil 2025 a. Seega kulus taotluse otsustamiseks 31 tööpäeva, mida taotlejal ei olnud ega ole ka tulevikus võimalik mitte kuidagi ette näha. Juhul, kui erialase hindamise tasu oleks pidanud tasuma, siis olnuks selle suurus 31 tööpäeva eest 19 465,52 eurot, kuid oleks võinud kuluda ka 99 tööpäeva ehk 62 164,08 eurot. Arvestades, et määruse 1107/2009 artikkel 51 ja 53 kohast taotlust on õigus esitada ka MTÜ-del või teadusasutustel, mis ei ole kasumit teenivad organisatsioonid, siis kas on õigustatud, et taotluse esitamise eest nähakse ette üle keskmise brutokuupalga suuruseks kujuneda võiv tasu või on eelnimetatud taotluste (art 51 ja art 53) puhul heidutusfunktsiooni eesmärk? Kuivõrd eelnimetatud asjaolud on ebaselged, palume täiendavalt kaaluda tunnitasu alusel kogutava tasu sobivust ja mõõdukust. Eeltoodut arvesse võttes jääb ka arusaamatuks, mida sisuliselt tähendab riigilõivuseaduses muudetav § 262</w:t>
            </w:r>
            <w:r w:rsidRPr="00DE33FC">
              <w:rPr>
                <w:rFonts w:ascii="Times New Roman" w:hAnsi="Times New Roman"/>
                <w:sz w:val="24"/>
                <w:szCs w:val="24"/>
                <w:vertAlign w:val="superscript"/>
              </w:rPr>
              <w:t>18</w:t>
            </w:r>
            <w:r w:rsidRPr="006F299D">
              <w:rPr>
                <w:rFonts w:ascii="Times New Roman" w:hAnsi="Times New Roman"/>
                <w:sz w:val="24"/>
                <w:szCs w:val="24"/>
              </w:rPr>
              <w:t xml:space="preserve"> lõige 2, mille kohaselt taimekaitsevahendi registrikande muutmise eest tuleb tasuda 70 eurot. Eelnõu seletuskirjas on toodud, et aastas toimub 280 muudatust ning need muutused võivad hõlmata näiteks kasutusala, kasutajarühma (vabamüük ja professionaalne kasutus), kasvufaasi, </w:t>
            </w:r>
            <w:r w:rsidRPr="006F299D">
              <w:rPr>
                <w:rFonts w:ascii="Times New Roman" w:hAnsi="Times New Roman"/>
                <w:sz w:val="24"/>
                <w:szCs w:val="24"/>
              </w:rPr>
              <w:lastRenderedPageBreak/>
              <w:t xml:space="preserve">olulist ja mitteolulist koostise, etiketi lausete, toimeaine tootmiskoha, taimekahjustaja, pritsimiskordade, ooteaja/tööooteaja, pakendi suuruse ja materjali, kulunormi, säilivusaja ja klassifikatsiooni muudatusi. Seega kokku loodetakse riigieelarvesse laekumisi 19 600 eurot. Samas ei ole põhjendatud mitmed neist eelnimetatud 280st muudatustest on taotleja poolt taotletud, mis tingivad toimingu tegemise vajaduse ja kui mitmed neist on tingitud taotlejast mitte olevatest põhjustest. Leiame, et isikute suhtes on õiglasem ette näha riigilõiv registrikande muutuse eest juhul, kui taotleja on muudatust taotlenud ning taotlemisele järgneb teenuse osutamine. Taotleja ei peaks finantseerima toimingud, mida ta taotlenud ei ole. </w:t>
            </w:r>
          </w:p>
          <w:p w14:paraId="17582577" w14:textId="77777777" w:rsidR="00490AE4" w:rsidRPr="006F299D" w:rsidRDefault="00490AE4" w:rsidP="00C551DF">
            <w:pPr>
              <w:jc w:val="both"/>
              <w:rPr>
                <w:rFonts w:ascii="Times New Roman" w:hAnsi="Times New Roman"/>
                <w:sz w:val="24"/>
                <w:szCs w:val="24"/>
              </w:rPr>
            </w:pPr>
          </w:p>
          <w:p w14:paraId="2BA20998"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 xml:space="preserve">Tuginedes viimaste aastate Põllumajandus- ja Toiduameti taimekaitsevahendi turulelaskmise loa menetluse praktikale, saame öelda, et haldusmenetluse tase on selgelt halvenenud ja taimekaitsevahendi loa menetlus toimub taotleja jaoks mitte ettenähtavalt ja teatud taotluse liikide osas võib hoomamatu suurusega tasu kujuneda toote juurdepääsu takistuseks. Sellises prognoosimatus olukorras ei saa meie hinnangul mitte kuidagi ette näha tunnitasu. </w:t>
            </w:r>
          </w:p>
          <w:p w14:paraId="0256CB03" w14:textId="77777777" w:rsidR="00490AE4" w:rsidRPr="006F299D" w:rsidRDefault="00490AE4" w:rsidP="00C551DF">
            <w:pPr>
              <w:jc w:val="both"/>
              <w:rPr>
                <w:rFonts w:ascii="Times New Roman" w:hAnsi="Times New Roman"/>
                <w:sz w:val="24"/>
                <w:szCs w:val="24"/>
              </w:rPr>
            </w:pPr>
          </w:p>
          <w:p w14:paraId="56B6EDCE"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 xml:space="preserve">Eesti Taimekaitse Assotsiatsioon nõustub, et taimekaitsevahendi turulelaskmise taotluse läbivaatamise eest nähakse ette fikseeritud summas riigilõiv või asendatakse riigilõiv fikseeritud summas tasuga ja et seda võrreldes kehtiva määraga tõstetakse. </w:t>
            </w:r>
          </w:p>
        </w:tc>
        <w:tc>
          <w:tcPr>
            <w:tcW w:w="4669" w:type="dxa"/>
          </w:tcPr>
          <w:p w14:paraId="42CDEF20" w14:textId="77777777" w:rsidR="00490AE4" w:rsidRDefault="00490AE4" w:rsidP="00993011">
            <w:pPr>
              <w:pStyle w:val="Snum"/>
            </w:pPr>
            <w:r w:rsidRPr="00993011">
              <w:lastRenderedPageBreak/>
              <w:t xml:space="preserve">Märkusega on arvestatud. </w:t>
            </w:r>
          </w:p>
          <w:p w14:paraId="715B6FB2" w14:textId="77777777" w:rsidR="00490AE4" w:rsidRPr="00993011" w:rsidRDefault="00490AE4" w:rsidP="00993011">
            <w:pPr>
              <w:pStyle w:val="Snum"/>
              <w:rPr>
                <w:b w:val="0"/>
                <w:bCs w:val="0"/>
              </w:rPr>
            </w:pPr>
            <w:r w:rsidRPr="00993011">
              <w:rPr>
                <w:b w:val="0"/>
                <w:bCs w:val="0"/>
              </w:rPr>
              <w:t>Nõustume ETAga, et määruse 1107/2009 artiklite 51 ja 53 alusel taimekaitsevahendi taotluste menetlemise eest on otstarbekas kaotada nii lõivud, kui tasud ja eemaldame vastavad punktid seaduseelnõust, sest seda tüüpi taotlused on otseselt mõeldud kohaliku põllumajanduse toetamiseks ja keeruliste taimekaitsealaste olukordade vältimiseks või lahendamiseks.</w:t>
            </w:r>
          </w:p>
          <w:p w14:paraId="5BD8EE08" w14:textId="77777777" w:rsidR="00490AE4" w:rsidRPr="00993011" w:rsidRDefault="00490AE4" w:rsidP="00993011">
            <w:pPr>
              <w:pStyle w:val="Snum"/>
              <w:rPr>
                <w:b w:val="0"/>
                <w:bCs w:val="0"/>
              </w:rPr>
            </w:pPr>
          </w:p>
          <w:p w14:paraId="2C30982D" w14:textId="77777777" w:rsidR="00490AE4" w:rsidRPr="00993011" w:rsidRDefault="00490AE4" w:rsidP="00993011">
            <w:pPr>
              <w:pStyle w:val="Snum"/>
              <w:rPr>
                <w:b w:val="0"/>
                <w:bCs w:val="0"/>
              </w:rPr>
            </w:pPr>
            <w:r w:rsidRPr="00993011">
              <w:rPr>
                <w:b w:val="0"/>
                <w:bCs w:val="0"/>
              </w:rPr>
              <w:t>Taimekaitsevahendi registrikande muutmine lõivustatakse riigilõivuga ainult juhul, kui loa omaja vastavat muudatust ise taotleb, mistõttu ei päde ETA mure, et PTA võiks jooksvalt ja ilma taotleja soovita registrikandeid tasuliselt muuta. Nõustume ETA seisukohaga, et taotleja ei peaks finantseerima toiminguid, mida ta taotlenud ei ole ja arvestame seda eelnõu koostamisel.</w:t>
            </w:r>
          </w:p>
          <w:p w14:paraId="5F4AC612" w14:textId="77777777" w:rsidR="00490AE4" w:rsidRPr="00993011" w:rsidRDefault="00490AE4" w:rsidP="00993011">
            <w:pPr>
              <w:pStyle w:val="Snum"/>
            </w:pPr>
          </w:p>
          <w:p w14:paraId="529D8491" w14:textId="77777777" w:rsidR="00490AE4" w:rsidRPr="006F299D" w:rsidRDefault="00490AE4" w:rsidP="00993011">
            <w:pPr>
              <w:pStyle w:val="Snum"/>
            </w:pPr>
          </w:p>
        </w:tc>
      </w:tr>
      <w:tr w:rsidR="00490AE4" w:rsidRPr="006F299D" w14:paraId="3173EEB9" w14:textId="77777777" w:rsidTr="00490AE4">
        <w:tc>
          <w:tcPr>
            <w:tcW w:w="2737" w:type="dxa"/>
          </w:tcPr>
          <w:p w14:paraId="3F9A812A" w14:textId="77777777" w:rsidR="00490AE4" w:rsidRPr="006F299D" w:rsidRDefault="00490AE4" w:rsidP="00C551DF">
            <w:pPr>
              <w:rPr>
                <w:rFonts w:ascii="Times New Roman" w:hAnsi="Times New Roman"/>
                <w:sz w:val="24"/>
                <w:szCs w:val="24"/>
              </w:rPr>
            </w:pPr>
          </w:p>
        </w:tc>
        <w:tc>
          <w:tcPr>
            <w:tcW w:w="7154" w:type="dxa"/>
          </w:tcPr>
          <w:p w14:paraId="255A0326"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 xml:space="preserve">Eesti Taimekaitse Assotsiatsioon ei nõustu seaduse eelnõus muudatustega mille kohaselt: </w:t>
            </w:r>
          </w:p>
          <w:p w14:paraId="093788F2"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 xml:space="preserve">a) taimekaitsevahendi turulelaskmise taotluse menetlemise eest nn baastasule (riigilõivule) lisandub hoomamatu pikkusega menetlemise protsessi eest erialane tasu tunnitasuna, mis tõstab kogu taotluse nö hinna enneolematult kõrgeks ja seda olukorras, kus Põllumajandus- ja Toiduamet ei pea kinni talle seadusega ette nähtud menetlemise tähtaegadest. </w:t>
            </w:r>
          </w:p>
          <w:p w14:paraId="328D71F9"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 xml:space="preserve">b) taimekaitsevahendi artiklite 51 ja 53 taotluste menetlemise eest nähakse ette tegevustes ja ajas selgusetu erialase hindamise tasu </w:t>
            </w:r>
            <w:r w:rsidRPr="006F299D">
              <w:rPr>
                <w:rFonts w:ascii="Times New Roman" w:hAnsi="Times New Roman"/>
                <w:sz w:val="24"/>
                <w:szCs w:val="24"/>
              </w:rPr>
              <w:lastRenderedPageBreak/>
              <w:t>tunnitasuna olukorras, kus Põllumajandus- ja Toiduamet ei pea kinni talle seadusega ette nähtud menetlemise tähtaegadest.</w:t>
            </w:r>
          </w:p>
        </w:tc>
        <w:tc>
          <w:tcPr>
            <w:tcW w:w="4669" w:type="dxa"/>
          </w:tcPr>
          <w:p w14:paraId="775A30ED" w14:textId="77777777" w:rsidR="00490AE4" w:rsidRPr="006F299D" w:rsidRDefault="00490AE4" w:rsidP="00C551DF">
            <w:pPr>
              <w:jc w:val="both"/>
              <w:rPr>
                <w:rFonts w:ascii="Times New Roman" w:hAnsi="Times New Roman"/>
                <w:b/>
                <w:bCs/>
                <w:sz w:val="24"/>
                <w:szCs w:val="24"/>
              </w:rPr>
            </w:pPr>
            <w:r w:rsidRPr="006F299D">
              <w:rPr>
                <w:rFonts w:ascii="Times New Roman" w:hAnsi="Times New Roman"/>
                <w:b/>
                <w:bCs/>
                <w:sz w:val="24"/>
                <w:szCs w:val="24"/>
              </w:rPr>
              <w:lastRenderedPageBreak/>
              <w:t xml:space="preserve">Märkusega on arvestatud osaliselt. </w:t>
            </w:r>
          </w:p>
          <w:p w14:paraId="5A13DB46"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a)</w:t>
            </w:r>
            <w:r>
              <w:rPr>
                <w:rFonts w:ascii="Times New Roman" w:hAnsi="Times New Roman"/>
                <w:sz w:val="24"/>
                <w:szCs w:val="24"/>
              </w:rPr>
              <w:t xml:space="preserve"> </w:t>
            </w:r>
            <w:r w:rsidRPr="006F299D">
              <w:rPr>
                <w:rFonts w:ascii="Times New Roman" w:hAnsi="Times New Roman"/>
                <w:sz w:val="24"/>
                <w:szCs w:val="24"/>
              </w:rPr>
              <w:t>Baastasu ja tunnitasu kombinatsioon on kasutusel ka teistes riikides (Soome) ning on ainus võimalus tagada tasustamise vastavus reaalselt tehtud tööle.</w:t>
            </w:r>
          </w:p>
          <w:p w14:paraId="46CFEAEA"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b)</w:t>
            </w:r>
            <w:r>
              <w:rPr>
                <w:rFonts w:ascii="Times New Roman" w:hAnsi="Times New Roman"/>
                <w:sz w:val="24"/>
                <w:szCs w:val="24"/>
              </w:rPr>
              <w:t xml:space="preserve"> </w:t>
            </w:r>
            <w:r w:rsidRPr="006F299D">
              <w:rPr>
                <w:rFonts w:ascii="Times New Roman" w:hAnsi="Times New Roman"/>
                <w:sz w:val="24"/>
                <w:szCs w:val="24"/>
              </w:rPr>
              <w:t xml:space="preserve">Nõustume </w:t>
            </w:r>
            <w:r>
              <w:rPr>
                <w:rFonts w:ascii="Times New Roman" w:hAnsi="Times New Roman"/>
                <w:sz w:val="24"/>
                <w:szCs w:val="24"/>
              </w:rPr>
              <w:t>ETAga</w:t>
            </w:r>
            <w:r w:rsidRPr="006F299D">
              <w:rPr>
                <w:rFonts w:ascii="Times New Roman" w:hAnsi="Times New Roman"/>
                <w:sz w:val="24"/>
                <w:szCs w:val="24"/>
              </w:rPr>
              <w:t xml:space="preserve">, et määruse 1107/2009 artiklite 51 ja 53 alusel taimekaitsevahendi taotluste menetlemise eest on otstarbekas kaotada nii lõivud, kui tasud ja </w:t>
            </w:r>
            <w:r>
              <w:rPr>
                <w:rFonts w:ascii="Times New Roman" w:hAnsi="Times New Roman"/>
                <w:sz w:val="24"/>
                <w:szCs w:val="24"/>
              </w:rPr>
              <w:t>jätame</w:t>
            </w:r>
            <w:r w:rsidRPr="006F299D">
              <w:rPr>
                <w:rFonts w:ascii="Times New Roman" w:hAnsi="Times New Roman"/>
                <w:sz w:val="24"/>
                <w:szCs w:val="24"/>
              </w:rPr>
              <w:t xml:space="preserve"> vastavad punktid seaduseelnõust</w:t>
            </w:r>
            <w:r>
              <w:rPr>
                <w:rFonts w:ascii="Times New Roman" w:hAnsi="Times New Roman"/>
                <w:sz w:val="24"/>
                <w:szCs w:val="24"/>
              </w:rPr>
              <w:t xml:space="preserve"> välja.</w:t>
            </w:r>
          </w:p>
        </w:tc>
      </w:tr>
      <w:tr w:rsidR="00490AE4" w:rsidRPr="006F299D" w14:paraId="09384EF1" w14:textId="77777777" w:rsidTr="00490AE4">
        <w:tc>
          <w:tcPr>
            <w:tcW w:w="2737" w:type="dxa"/>
          </w:tcPr>
          <w:p w14:paraId="4799EF45" w14:textId="77777777" w:rsidR="00490AE4" w:rsidRPr="006F299D" w:rsidRDefault="00490AE4" w:rsidP="00C551DF">
            <w:pPr>
              <w:rPr>
                <w:rFonts w:ascii="Times New Roman" w:hAnsi="Times New Roman"/>
                <w:sz w:val="24"/>
                <w:szCs w:val="24"/>
              </w:rPr>
            </w:pPr>
          </w:p>
        </w:tc>
        <w:tc>
          <w:tcPr>
            <w:tcW w:w="7154" w:type="dxa"/>
          </w:tcPr>
          <w:p w14:paraId="777D0F84"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 xml:space="preserve">2. Eelnõu punktiga 15 täiendatakse seaduse §-i 78 viisil, mis näeb ette, et seni ainult turustajale kohalduvad sätted, kohalduvad seaduse jõustumise järgselt ka kasutajale ja nõustajale. </w:t>
            </w:r>
          </w:p>
          <w:p w14:paraId="13C938E9" w14:textId="77777777" w:rsidR="00490AE4" w:rsidRPr="006F299D" w:rsidRDefault="00490AE4" w:rsidP="00C551DF">
            <w:pPr>
              <w:jc w:val="both"/>
              <w:rPr>
                <w:rFonts w:ascii="Times New Roman" w:hAnsi="Times New Roman"/>
                <w:sz w:val="24"/>
                <w:szCs w:val="24"/>
              </w:rPr>
            </w:pPr>
          </w:p>
          <w:p w14:paraId="29990329"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 xml:space="preserve">Kuivõrd sätte kohalduvust laiendatakse, siis seaduse eelnõu jõustumise järgselt tekib olukord kus kasutaja peab tagama, et tema juures töötab piisavalt taimekaitsetunnistusi omavaid töötajaid, kes annavad professionaalsele kasutajale teavet taimekaitsevahendi kasutamise kohta ehk taimekaitsevahendi kasutaja annab iseendale teavet taimekaitsevahendi kasutamise kohta. Kas kasutaja peab iseendale antavat teavet kuidagi tõendama korrakaitseorgani järelepärimise korral, kui jah, siis kuidas? Ja samuti tekib küsimus, et kas Eestisse tekib veel üks täiendav register – taimekaitsevahendi kasutajate register? Vt isikuandmete töötlemise osas arvamuse punkti 5 kommentaare. </w:t>
            </w:r>
          </w:p>
          <w:p w14:paraId="6E1AFE6E" w14:textId="77777777" w:rsidR="00490AE4" w:rsidRPr="006F299D" w:rsidRDefault="00490AE4" w:rsidP="00C551DF">
            <w:pPr>
              <w:jc w:val="both"/>
              <w:rPr>
                <w:rFonts w:ascii="Times New Roman" w:hAnsi="Times New Roman"/>
                <w:sz w:val="24"/>
                <w:szCs w:val="24"/>
              </w:rPr>
            </w:pPr>
          </w:p>
          <w:p w14:paraId="1C9FA731"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Jääb arusaamatuks milleks nähakse ette bürokraatia suurendamine olukorras, kus ettevõtlussektori esindajatelt on alles äsja esitatud mitmeid ettepanekuid ebavajalike sätete tühistamiseks ja bürokraatia vähendamiseks.</w:t>
            </w:r>
          </w:p>
        </w:tc>
        <w:tc>
          <w:tcPr>
            <w:tcW w:w="4669" w:type="dxa"/>
          </w:tcPr>
          <w:p w14:paraId="33DDC590" w14:textId="77777777" w:rsidR="00490AE4" w:rsidRPr="006F299D" w:rsidRDefault="00490AE4" w:rsidP="00C551DF">
            <w:pPr>
              <w:jc w:val="both"/>
              <w:rPr>
                <w:rFonts w:ascii="Times New Roman" w:hAnsi="Times New Roman"/>
                <w:b/>
                <w:bCs/>
                <w:sz w:val="24"/>
                <w:szCs w:val="24"/>
              </w:rPr>
            </w:pPr>
            <w:r w:rsidRPr="006F299D">
              <w:rPr>
                <w:rFonts w:ascii="Times New Roman" w:hAnsi="Times New Roman"/>
                <w:b/>
                <w:bCs/>
                <w:sz w:val="24"/>
                <w:szCs w:val="24"/>
              </w:rPr>
              <w:t>Märkusega on arvestatud</w:t>
            </w:r>
            <w:r>
              <w:rPr>
                <w:rFonts w:ascii="Times New Roman" w:hAnsi="Times New Roman"/>
                <w:b/>
                <w:bCs/>
                <w:sz w:val="24"/>
                <w:szCs w:val="24"/>
              </w:rPr>
              <w:t xml:space="preserve"> osaliselt</w:t>
            </w:r>
            <w:r w:rsidRPr="006F299D">
              <w:rPr>
                <w:rFonts w:ascii="Times New Roman" w:hAnsi="Times New Roman"/>
                <w:b/>
                <w:bCs/>
                <w:sz w:val="24"/>
                <w:szCs w:val="24"/>
              </w:rPr>
              <w:t xml:space="preserve">. </w:t>
            </w:r>
          </w:p>
          <w:p w14:paraId="5DF0F915"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Täienda</w:t>
            </w:r>
            <w:r>
              <w:rPr>
                <w:rFonts w:ascii="Times New Roman" w:hAnsi="Times New Roman"/>
                <w:sz w:val="24"/>
                <w:szCs w:val="24"/>
              </w:rPr>
              <w:t>si</w:t>
            </w:r>
            <w:r w:rsidRPr="006F299D">
              <w:rPr>
                <w:rFonts w:ascii="Times New Roman" w:hAnsi="Times New Roman"/>
                <w:sz w:val="24"/>
                <w:szCs w:val="24"/>
              </w:rPr>
              <w:t>me eelnõu ja seletuskirja, et oleks ühiselt mõistetav, et turustaja kohustused laienevad professionaalsele kasutajale ja nõustajale ainult juhul, kui nad tegutsevad turustajana.</w:t>
            </w:r>
          </w:p>
          <w:p w14:paraId="00907752" w14:textId="77777777" w:rsidR="00490AE4" w:rsidRPr="006F299D" w:rsidRDefault="00490AE4" w:rsidP="00C551DF">
            <w:pPr>
              <w:jc w:val="both"/>
              <w:rPr>
                <w:rFonts w:ascii="Times New Roman" w:hAnsi="Times New Roman"/>
                <w:sz w:val="24"/>
                <w:szCs w:val="24"/>
              </w:rPr>
            </w:pPr>
          </w:p>
          <w:p w14:paraId="413E2C5A" w14:textId="77777777" w:rsidR="00490AE4" w:rsidRPr="006F299D" w:rsidRDefault="00490AE4" w:rsidP="00C551DF">
            <w:pPr>
              <w:jc w:val="both"/>
              <w:rPr>
                <w:rFonts w:ascii="Times New Roman" w:hAnsi="Times New Roman"/>
                <w:sz w:val="24"/>
                <w:szCs w:val="24"/>
              </w:rPr>
            </w:pPr>
          </w:p>
        </w:tc>
      </w:tr>
      <w:tr w:rsidR="00490AE4" w:rsidRPr="006F299D" w14:paraId="3A41FFEC" w14:textId="77777777" w:rsidTr="00490AE4">
        <w:tc>
          <w:tcPr>
            <w:tcW w:w="2737" w:type="dxa"/>
          </w:tcPr>
          <w:p w14:paraId="5039351D" w14:textId="77777777" w:rsidR="00490AE4" w:rsidRPr="006F299D" w:rsidRDefault="00490AE4" w:rsidP="00C551DF">
            <w:pPr>
              <w:rPr>
                <w:rFonts w:ascii="Times New Roman" w:hAnsi="Times New Roman"/>
                <w:sz w:val="24"/>
                <w:szCs w:val="24"/>
              </w:rPr>
            </w:pPr>
          </w:p>
        </w:tc>
        <w:tc>
          <w:tcPr>
            <w:tcW w:w="7154" w:type="dxa"/>
          </w:tcPr>
          <w:p w14:paraId="3DB770E7"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 xml:space="preserve">3. Eelnõu punktiga 16 muudetakse seaduse §-i 78 lõiget 6 ja senise selgesõnaline säte asendatakse viitega määruse 1107/2009 artiklile 67. </w:t>
            </w:r>
          </w:p>
          <w:p w14:paraId="41731FD1" w14:textId="77777777" w:rsidR="00490AE4" w:rsidRPr="006F299D" w:rsidRDefault="00490AE4" w:rsidP="00C551DF">
            <w:pPr>
              <w:jc w:val="both"/>
              <w:rPr>
                <w:rFonts w:ascii="Times New Roman" w:hAnsi="Times New Roman"/>
                <w:sz w:val="24"/>
                <w:szCs w:val="24"/>
              </w:rPr>
            </w:pPr>
          </w:p>
          <w:p w14:paraId="78985CDB"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 xml:space="preserve">Esiteks leiame, et kui vähegi võimalik, siis selgesõnalisi sätteid ei peaks viiteliseks muutma, kuna tekstist peab aru saama iga inimene, sõltumata sellest kas tal on õigusalane kõrgem või näiteks põhiharidus. </w:t>
            </w:r>
          </w:p>
          <w:p w14:paraId="082F25CA" w14:textId="77777777" w:rsidR="00490AE4" w:rsidRPr="006F299D" w:rsidRDefault="00490AE4" w:rsidP="00C551DF">
            <w:pPr>
              <w:jc w:val="both"/>
              <w:rPr>
                <w:rFonts w:ascii="Times New Roman" w:hAnsi="Times New Roman"/>
                <w:sz w:val="24"/>
                <w:szCs w:val="24"/>
              </w:rPr>
            </w:pPr>
          </w:p>
          <w:p w14:paraId="13C95CF9"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 xml:space="preserve">Teiseks määruse 1107/2009 artikli 67 lõike 4 alusel vastu võetud komisjoni rakendusmääruse (EL) 2023/564 osas tuleks meie hinnangul Eestis astuda samme selle määruse tühistamiseks või muutmiseks. Nimetatud rakendusmäärus on vastu võetud olukorras, milles leiti, et taimekaitsevahendite kasutamist tuleks vähendada 50%. Sellist õiguslikult siduvat eesmärki Euroopa Liidus ei ole. Asjaolu, et komisjon </w:t>
            </w:r>
            <w:r w:rsidRPr="006F299D">
              <w:rPr>
                <w:rFonts w:ascii="Times New Roman" w:hAnsi="Times New Roman"/>
                <w:sz w:val="24"/>
                <w:szCs w:val="24"/>
              </w:rPr>
              <w:lastRenderedPageBreak/>
              <w:t xml:space="preserve">on 2020. aastal vastu võtnud strateegia „Talust taldrikule“, ei tee strateegiat õiguslikult siduvaks liikmesriikidele. </w:t>
            </w:r>
          </w:p>
          <w:p w14:paraId="2F0084D7" w14:textId="77777777" w:rsidR="00490AE4" w:rsidRPr="006F299D" w:rsidRDefault="00490AE4" w:rsidP="00C551DF">
            <w:pPr>
              <w:jc w:val="both"/>
              <w:rPr>
                <w:rFonts w:ascii="Times New Roman" w:hAnsi="Times New Roman"/>
                <w:sz w:val="24"/>
                <w:szCs w:val="24"/>
              </w:rPr>
            </w:pPr>
          </w:p>
          <w:p w14:paraId="41F4F16A"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Hoolimata asjaolust, et taimekaitsevahendite kasutamise statistika võib osutada oluliseks poliitika kujundamiseks, tekib siiski selle rakendusmääruse täitmisel nii sisuline, kui põllumajandustootjat asjatult koormav probleem – kui põllumajandustootja kasutab glüfosaati sisaldavat taimekaitsevahendit kõrrepõllul, siis milline on kõrrepõllu kasvuetapp vastavalt BBCH monograafiale?, kuivõrd kasvuetapp tuleb artikli 1 lõike 1 kohaselt esitada.</w:t>
            </w:r>
          </w:p>
        </w:tc>
        <w:tc>
          <w:tcPr>
            <w:tcW w:w="4669" w:type="dxa"/>
          </w:tcPr>
          <w:p w14:paraId="6CDE4A05" w14:textId="77777777" w:rsidR="00490AE4" w:rsidRPr="00C34C37" w:rsidRDefault="00490AE4" w:rsidP="00C551DF">
            <w:pPr>
              <w:jc w:val="both"/>
              <w:rPr>
                <w:rFonts w:ascii="Times New Roman" w:hAnsi="Times New Roman"/>
                <w:b/>
                <w:bCs/>
                <w:sz w:val="24"/>
                <w:szCs w:val="24"/>
              </w:rPr>
            </w:pPr>
            <w:r w:rsidRPr="00C34C37">
              <w:rPr>
                <w:rFonts w:ascii="Times New Roman" w:hAnsi="Times New Roman"/>
                <w:b/>
                <w:bCs/>
                <w:sz w:val="24"/>
                <w:szCs w:val="24"/>
              </w:rPr>
              <w:lastRenderedPageBreak/>
              <w:t>Märkusega ei ole arvestatud.</w:t>
            </w:r>
          </w:p>
          <w:p w14:paraId="314775EB" w14:textId="77777777" w:rsidR="007B6CF4" w:rsidRPr="007B6CF4" w:rsidRDefault="007B6CF4" w:rsidP="007B6CF4">
            <w:pPr>
              <w:jc w:val="both"/>
              <w:rPr>
                <w:rFonts w:ascii="Times New Roman" w:hAnsi="Times New Roman"/>
                <w:sz w:val="24"/>
                <w:szCs w:val="24"/>
              </w:rPr>
            </w:pPr>
            <w:r w:rsidRPr="007B6CF4">
              <w:rPr>
                <w:rFonts w:ascii="Times New Roman" w:hAnsi="Times New Roman"/>
                <w:sz w:val="24"/>
                <w:szCs w:val="24"/>
              </w:rPr>
              <w:t xml:space="preserve">Ettepanek on tehtud EL määruse muutmiseks, mitte TaimKSi muutmiseks. </w:t>
            </w:r>
          </w:p>
          <w:p w14:paraId="1D838BEB" w14:textId="77777777" w:rsidR="007B6CF4" w:rsidRPr="007B6CF4" w:rsidRDefault="007B6CF4" w:rsidP="007B6CF4">
            <w:pPr>
              <w:jc w:val="both"/>
              <w:rPr>
                <w:rFonts w:ascii="Times New Roman" w:hAnsi="Times New Roman"/>
                <w:sz w:val="24"/>
                <w:szCs w:val="24"/>
              </w:rPr>
            </w:pPr>
            <w:r w:rsidRPr="007B6CF4">
              <w:rPr>
                <w:rFonts w:ascii="Times New Roman" w:hAnsi="Times New Roman"/>
                <w:sz w:val="24"/>
                <w:szCs w:val="24"/>
              </w:rPr>
              <w:t xml:space="preserve">EL õigusakte ei saa liikmesriigi õigusaktides muuta. HÕNTE § 3. „Seaduseelnõu vastavus ülimuslikele aktidele“ ütleb, et seaduseelnõu peab olema kooskõlas Eesti Vabariigi põhiseaduse, rahvusvahelise õiguse üldtunnustatud põhimõtete ja normide, Eesti Vabariigi suhtes jõustunud välislepingute ning Euroopa Liidu õigusega.  </w:t>
            </w:r>
          </w:p>
          <w:p w14:paraId="5A9B7E27" w14:textId="77777777" w:rsidR="007B6CF4" w:rsidRPr="007B6CF4" w:rsidRDefault="007B6CF4" w:rsidP="007B6CF4">
            <w:pPr>
              <w:jc w:val="both"/>
              <w:rPr>
                <w:rFonts w:ascii="Times New Roman" w:hAnsi="Times New Roman"/>
                <w:sz w:val="24"/>
                <w:szCs w:val="24"/>
              </w:rPr>
            </w:pPr>
            <w:r w:rsidRPr="007B6CF4">
              <w:rPr>
                <w:rFonts w:ascii="Times New Roman" w:hAnsi="Times New Roman"/>
                <w:sz w:val="24"/>
                <w:szCs w:val="24"/>
              </w:rPr>
              <w:t xml:space="preserve">Otsekohalduva EL määruse korral ei kehtestata seaduses EL määruses sätestatut </w:t>
            </w:r>
            <w:r w:rsidRPr="007B6CF4">
              <w:rPr>
                <w:rFonts w:ascii="Times New Roman" w:hAnsi="Times New Roman"/>
                <w:sz w:val="24"/>
                <w:szCs w:val="24"/>
              </w:rPr>
              <w:lastRenderedPageBreak/>
              <w:t>üle, vaid nõue kehtestatakse viitega EL määrusele.</w:t>
            </w:r>
          </w:p>
          <w:p w14:paraId="68569F72" w14:textId="34B3D4CD" w:rsidR="00490AE4" w:rsidRDefault="004C561D" w:rsidP="00C551DF">
            <w:pPr>
              <w:jc w:val="both"/>
              <w:rPr>
                <w:rFonts w:ascii="Times New Roman" w:hAnsi="Times New Roman"/>
                <w:sz w:val="24"/>
                <w:szCs w:val="24"/>
              </w:rPr>
            </w:pPr>
            <w:r w:rsidRPr="004C561D">
              <w:rPr>
                <w:rFonts w:ascii="Times New Roman" w:hAnsi="Times New Roman"/>
                <w:sz w:val="24"/>
                <w:szCs w:val="24"/>
              </w:rPr>
              <w:t>Eelnõu seletuskirja on täiendatud asjakohaste selgitustega.</w:t>
            </w:r>
          </w:p>
          <w:p w14:paraId="4AB91AB2" w14:textId="77777777" w:rsidR="004C561D" w:rsidRPr="006F299D" w:rsidRDefault="004C561D" w:rsidP="00C551DF">
            <w:pPr>
              <w:jc w:val="both"/>
              <w:rPr>
                <w:rFonts w:ascii="Times New Roman" w:hAnsi="Times New Roman"/>
                <w:sz w:val="24"/>
                <w:szCs w:val="24"/>
              </w:rPr>
            </w:pPr>
          </w:p>
        </w:tc>
      </w:tr>
      <w:tr w:rsidR="00490AE4" w:rsidRPr="006F299D" w14:paraId="6D993E5F" w14:textId="77777777" w:rsidTr="00490AE4">
        <w:tc>
          <w:tcPr>
            <w:tcW w:w="2737" w:type="dxa"/>
          </w:tcPr>
          <w:p w14:paraId="1103D1BC" w14:textId="77777777" w:rsidR="00490AE4" w:rsidRPr="006F299D" w:rsidRDefault="00490AE4" w:rsidP="00C551DF">
            <w:pPr>
              <w:rPr>
                <w:rFonts w:ascii="Times New Roman" w:hAnsi="Times New Roman"/>
                <w:sz w:val="24"/>
                <w:szCs w:val="24"/>
              </w:rPr>
            </w:pPr>
          </w:p>
        </w:tc>
        <w:tc>
          <w:tcPr>
            <w:tcW w:w="7154" w:type="dxa"/>
          </w:tcPr>
          <w:p w14:paraId="5A91DA55"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4. Eelnõu punktiga 18 täiendatakse seaduse § 78</w:t>
            </w:r>
            <w:r w:rsidRPr="006F299D">
              <w:rPr>
                <w:rFonts w:ascii="Times New Roman" w:hAnsi="Times New Roman"/>
                <w:sz w:val="24"/>
                <w:szCs w:val="24"/>
                <w:vertAlign w:val="superscript"/>
              </w:rPr>
              <w:t>2</w:t>
            </w:r>
            <w:r w:rsidRPr="006F299D">
              <w:rPr>
                <w:rFonts w:ascii="Times New Roman" w:hAnsi="Times New Roman"/>
                <w:sz w:val="24"/>
                <w:szCs w:val="24"/>
              </w:rPr>
              <w:t xml:space="preserve"> lõigetega 2</w:t>
            </w:r>
            <w:r w:rsidRPr="006F299D">
              <w:rPr>
                <w:rFonts w:ascii="Times New Roman" w:hAnsi="Times New Roman"/>
                <w:sz w:val="24"/>
                <w:szCs w:val="24"/>
                <w:vertAlign w:val="superscript"/>
              </w:rPr>
              <w:t>1</w:t>
            </w:r>
            <w:r w:rsidRPr="006F299D">
              <w:rPr>
                <w:rFonts w:ascii="Times New Roman" w:hAnsi="Times New Roman"/>
                <w:sz w:val="24"/>
                <w:szCs w:val="24"/>
              </w:rPr>
              <w:t xml:space="preserve"> – 2</w:t>
            </w:r>
            <w:r w:rsidRPr="006F299D">
              <w:rPr>
                <w:rFonts w:ascii="Times New Roman" w:hAnsi="Times New Roman"/>
                <w:sz w:val="24"/>
                <w:szCs w:val="24"/>
                <w:vertAlign w:val="superscript"/>
              </w:rPr>
              <w:t>3</w:t>
            </w:r>
            <w:r w:rsidRPr="006F299D">
              <w:rPr>
                <w:rFonts w:ascii="Times New Roman" w:hAnsi="Times New Roman"/>
                <w:sz w:val="24"/>
                <w:szCs w:val="24"/>
              </w:rPr>
              <w:t xml:space="preserve">. </w:t>
            </w:r>
          </w:p>
          <w:p w14:paraId="2871E232" w14:textId="77777777" w:rsidR="00490AE4" w:rsidRPr="006F299D" w:rsidRDefault="00490AE4" w:rsidP="00C551DF">
            <w:pPr>
              <w:jc w:val="both"/>
              <w:rPr>
                <w:rFonts w:ascii="Times New Roman" w:hAnsi="Times New Roman"/>
                <w:sz w:val="24"/>
                <w:szCs w:val="24"/>
              </w:rPr>
            </w:pPr>
          </w:p>
          <w:p w14:paraId="33FF608C"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Juhime tähelepanu, et kui seaduse eelnõu § 78</w:t>
            </w:r>
            <w:r w:rsidRPr="006F299D">
              <w:rPr>
                <w:rFonts w:ascii="Times New Roman" w:hAnsi="Times New Roman"/>
                <w:sz w:val="24"/>
                <w:szCs w:val="24"/>
                <w:vertAlign w:val="superscript"/>
              </w:rPr>
              <w:t>2</w:t>
            </w:r>
            <w:r w:rsidRPr="006F299D">
              <w:rPr>
                <w:rFonts w:ascii="Times New Roman" w:hAnsi="Times New Roman"/>
                <w:sz w:val="24"/>
                <w:szCs w:val="24"/>
              </w:rPr>
              <w:t xml:space="preserve"> lõike 23 kohaselt nõustajale tekib õigus anda nõu, siis sisuliselt tekib samasisuline õigus ka taimekaitsevahendi kasutajale, kuna seaduse eelnõu punktiga 15 muudetakse § 78 (turustaja sätete kohaldamine kasutajale) ja nii tekib küsimus, et miks siis lõikes 22 vastavat täiendust ei ole. </w:t>
            </w:r>
          </w:p>
        </w:tc>
        <w:tc>
          <w:tcPr>
            <w:tcW w:w="4669" w:type="dxa"/>
          </w:tcPr>
          <w:p w14:paraId="6727A02A" w14:textId="77777777" w:rsidR="00490AE4" w:rsidRDefault="00490AE4" w:rsidP="00C551DF">
            <w:pPr>
              <w:jc w:val="both"/>
              <w:rPr>
                <w:rFonts w:ascii="Times New Roman" w:hAnsi="Times New Roman"/>
                <w:b/>
                <w:bCs/>
                <w:sz w:val="24"/>
                <w:szCs w:val="24"/>
              </w:rPr>
            </w:pPr>
            <w:r>
              <w:rPr>
                <w:rFonts w:ascii="Times New Roman" w:hAnsi="Times New Roman"/>
                <w:b/>
                <w:bCs/>
                <w:sz w:val="24"/>
                <w:szCs w:val="24"/>
              </w:rPr>
              <w:t xml:space="preserve">Märkusega ei ole arvestatud. </w:t>
            </w:r>
          </w:p>
          <w:p w14:paraId="76386C22" w14:textId="77777777" w:rsidR="00490AE4" w:rsidRPr="006F299D" w:rsidRDefault="00490AE4" w:rsidP="00C551DF">
            <w:pPr>
              <w:jc w:val="both"/>
              <w:rPr>
                <w:rFonts w:ascii="Times New Roman" w:hAnsi="Times New Roman"/>
                <w:sz w:val="24"/>
                <w:szCs w:val="24"/>
              </w:rPr>
            </w:pPr>
            <w:r>
              <w:rPr>
                <w:rFonts w:ascii="Times New Roman" w:hAnsi="Times New Roman"/>
                <w:sz w:val="24"/>
                <w:szCs w:val="24"/>
              </w:rPr>
              <w:t>P</w:t>
            </w:r>
            <w:r w:rsidRPr="006F299D">
              <w:rPr>
                <w:rFonts w:ascii="Times New Roman" w:hAnsi="Times New Roman"/>
                <w:sz w:val="24"/>
                <w:szCs w:val="24"/>
              </w:rPr>
              <w:t>rofessionaalse kasutaja taimekaitsetunnistus ei anna isikule õigust anda nõu taimekaitsevahendite kasutamise kohta ehk tegutseda nõustajana</w:t>
            </w:r>
            <w:r>
              <w:rPr>
                <w:rFonts w:ascii="Times New Roman" w:hAnsi="Times New Roman"/>
                <w:sz w:val="24"/>
                <w:szCs w:val="24"/>
              </w:rPr>
              <w:t>, selleks tuleb läbida nõustaja eksam</w:t>
            </w:r>
          </w:p>
        </w:tc>
      </w:tr>
      <w:tr w:rsidR="00490AE4" w:rsidRPr="006F299D" w14:paraId="48CFCDAF" w14:textId="77777777" w:rsidTr="00490AE4">
        <w:tc>
          <w:tcPr>
            <w:tcW w:w="2737" w:type="dxa"/>
          </w:tcPr>
          <w:p w14:paraId="2AFAC39D" w14:textId="77777777" w:rsidR="00490AE4" w:rsidRPr="006F299D" w:rsidRDefault="00490AE4" w:rsidP="00C551DF">
            <w:pPr>
              <w:rPr>
                <w:rFonts w:ascii="Times New Roman" w:hAnsi="Times New Roman"/>
                <w:sz w:val="24"/>
                <w:szCs w:val="24"/>
              </w:rPr>
            </w:pPr>
          </w:p>
        </w:tc>
        <w:tc>
          <w:tcPr>
            <w:tcW w:w="7154" w:type="dxa"/>
          </w:tcPr>
          <w:p w14:paraId="712F36AC"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 xml:space="preserve">5. Eelnõu punktiga 26 muudetakse seaduse §-i 80 lõiget 1. </w:t>
            </w:r>
          </w:p>
          <w:p w14:paraId="3B51601E" w14:textId="77777777" w:rsidR="00490AE4" w:rsidRPr="006F299D" w:rsidRDefault="00490AE4" w:rsidP="00C551DF">
            <w:pPr>
              <w:jc w:val="both"/>
              <w:rPr>
                <w:rFonts w:ascii="Times New Roman" w:hAnsi="Times New Roman"/>
                <w:sz w:val="24"/>
                <w:szCs w:val="24"/>
              </w:rPr>
            </w:pPr>
          </w:p>
          <w:p w14:paraId="3BE12DA6"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 xml:space="preserve">Kavandatud normist ei selgu, kas reguleerimisalasse kuulub ka isikuandmete töötlemine, kuna eelnõu kohaselt lisandub registrisse taimekaitsevahendite kasutamise ja taimekaitsetunnistusega seotud aspekt (nii eelnõu punktiga 15 kui 26). Seaduse eelnõu seletuskirjas on märgitud, et taimekaitsevahendite registrisse kantavad taimekaitsetunnistuse andmed aitavad teostada tõhusamat järelevalvet taimekaitsevahendite kasutamise nõuete täitmise üle. Soovime märkida, et taimekaitsevahendite register on tooteregister, mitte isikute register. Samuti jääb arusaamatuks järelevalvet õigustav eesmärk selliste andmete registrisse lisamisel. Näiteks Taimekaitse Assotsiatsiooni tegevjuht on eraisikuna läbinud taimekaitsekoolituse ja saanud taimekaitsevahendi kasutaja taimekaitsetunnistuse, kuid majandus- ja kutsetegevuses ehk professionaalseks tegevuseks taimekaitsevahendeid ei kasuta, vaid vastavalt vajadusele kasutab taimekaitsevahendit oma eraaias. Põllumajandus- ja Toiduamet avaldas 07.10.2024 üleskutse </w:t>
            </w:r>
            <w:r w:rsidRPr="006F299D">
              <w:rPr>
                <w:rFonts w:ascii="Times New Roman" w:hAnsi="Times New Roman"/>
                <w:sz w:val="24"/>
                <w:szCs w:val="24"/>
              </w:rPr>
              <w:lastRenderedPageBreak/>
              <w:t xml:space="preserve">„Taimekaitsekoolitusele on oodatud ka koduaiapidajad“. Seega isikud, kes läbivad taimekaitsekoolituse ja saavad asjakohase tunnistuse, kõigi nende andmed peaksid edaspidi olema taimekaitsevahendite registris. Jääb arusaamatuks miks on vajalik lisada kõikide koduaiapidajate andmed taimekaitsevahendite registrisse, kui korrakaitseorgan teostab järelevalvet nö professionaalses valdkonnas tegutsevate isikute üle? </w:t>
            </w:r>
          </w:p>
          <w:p w14:paraId="48A10F79" w14:textId="77777777" w:rsidR="00490AE4" w:rsidRPr="006F299D" w:rsidRDefault="00490AE4" w:rsidP="00C551DF">
            <w:pPr>
              <w:jc w:val="both"/>
              <w:rPr>
                <w:rFonts w:ascii="Times New Roman" w:hAnsi="Times New Roman"/>
                <w:sz w:val="24"/>
                <w:szCs w:val="24"/>
              </w:rPr>
            </w:pPr>
          </w:p>
          <w:p w14:paraId="65DB6A73"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 xml:space="preserve">Juhul, kui taimekaitsevahendite registrisse tekivad kasutajate andmed, siis tähendab see, et töötlema hakatakse isikuandmeid. Sellise tegevuse puhul on tegemist eraelu puutumatuse riivega, mida võib teha seaduse alusel ning olulisuse põhimõttest lähtuvalt tuleb seaduse tasandil reguleerida: a) eesmärk, milleks andmeid kogutakse ja kasutatakse; b) töödeldavate isikuandmete kategooriad; c) isikuandmete maksimaalsed säilitustähtajad; d) selguse huvides tuleks seaduse tasandil sätestada ka andmeandjad ja saajad. </w:t>
            </w:r>
          </w:p>
        </w:tc>
        <w:tc>
          <w:tcPr>
            <w:tcW w:w="4669" w:type="dxa"/>
          </w:tcPr>
          <w:p w14:paraId="2D8FA149" w14:textId="77777777" w:rsidR="00490AE4" w:rsidRPr="00FA31B0" w:rsidRDefault="00490AE4" w:rsidP="00C551DF">
            <w:pPr>
              <w:jc w:val="both"/>
              <w:rPr>
                <w:rFonts w:ascii="Times New Roman" w:hAnsi="Times New Roman"/>
                <w:b/>
                <w:bCs/>
                <w:sz w:val="24"/>
                <w:szCs w:val="24"/>
              </w:rPr>
            </w:pPr>
            <w:r w:rsidRPr="002F7329">
              <w:rPr>
                <w:rFonts w:ascii="Times New Roman" w:hAnsi="Times New Roman"/>
                <w:b/>
                <w:bCs/>
                <w:sz w:val="24"/>
                <w:szCs w:val="24"/>
              </w:rPr>
              <w:lastRenderedPageBreak/>
              <w:t>Märkusega on arvestatud</w:t>
            </w:r>
            <w:r>
              <w:rPr>
                <w:rFonts w:ascii="Times New Roman" w:hAnsi="Times New Roman"/>
                <w:b/>
                <w:bCs/>
                <w:sz w:val="24"/>
                <w:szCs w:val="24"/>
              </w:rPr>
              <w:t xml:space="preserve"> osaliselt</w:t>
            </w:r>
            <w:r w:rsidRPr="002F7329">
              <w:rPr>
                <w:rFonts w:ascii="Times New Roman" w:hAnsi="Times New Roman"/>
                <w:b/>
                <w:bCs/>
                <w:sz w:val="24"/>
                <w:szCs w:val="24"/>
              </w:rPr>
              <w:t>.</w:t>
            </w:r>
          </w:p>
          <w:p w14:paraId="6726A043" w14:textId="77777777" w:rsidR="000E41EA" w:rsidRDefault="00490AE4" w:rsidP="000E41EA">
            <w:pPr>
              <w:jc w:val="both"/>
              <w:rPr>
                <w:rFonts w:ascii="Times New Roman" w:hAnsi="Times New Roman"/>
                <w:kern w:val="2"/>
                <w:sz w:val="24"/>
                <w:szCs w:val="24"/>
                <w14:ligatures w14:val="standardContextual"/>
              </w:rPr>
            </w:pPr>
            <w:r w:rsidRPr="006F299D">
              <w:rPr>
                <w:rFonts w:ascii="Times New Roman" w:hAnsi="Times New Roman"/>
                <w:sz w:val="24"/>
                <w:szCs w:val="24"/>
              </w:rPr>
              <w:t xml:space="preserve">Seoses märkusega eelnõu § 1 punkti 26 osas </w:t>
            </w:r>
            <w:r w:rsidRPr="000858D1">
              <w:rPr>
                <w:rFonts w:ascii="Times New Roman" w:hAnsi="Times New Roman"/>
                <w:sz w:val="24"/>
                <w:szCs w:val="24"/>
              </w:rPr>
              <w:t>selgitame</w:t>
            </w:r>
            <w:r w:rsidRPr="006F299D">
              <w:rPr>
                <w:rFonts w:ascii="Times New Roman" w:hAnsi="Times New Roman"/>
                <w:sz w:val="24"/>
                <w:szCs w:val="24"/>
              </w:rPr>
              <w:t>, et PTA kohustuste hulka kuulub taimekaitsevahendite turustamise üle järelevalve teostamine (TaimKS § 99)</w:t>
            </w:r>
            <w:r w:rsidR="000E41EA">
              <w:rPr>
                <w:rFonts w:ascii="Times New Roman" w:hAnsi="Times New Roman"/>
                <w:sz w:val="24"/>
                <w:szCs w:val="24"/>
              </w:rPr>
              <w:t xml:space="preserve">. </w:t>
            </w:r>
            <w:r w:rsidR="000E41EA" w:rsidRPr="008D5FF8">
              <w:rPr>
                <w:rFonts w:ascii="Times New Roman" w:hAnsi="Times New Roman"/>
                <w:kern w:val="2"/>
                <w:sz w:val="24"/>
                <w:szCs w:val="24"/>
                <w14:ligatures w14:val="standardContextual"/>
              </w:rPr>
              <w:t>TaimKS § 78</w:t>
            </w:r>
            <w:r w:rsidR="000E41EA" w:rsidRPr="00267A0D">
              <w:rPr>
                <w:rFonts w:ascii="Times New Roman" w:hAnsi="Times New Roman"/>
                <w:kern w:val="2"/>
                <w:sz w:val="24"/>
                <w:szCs w:val="24"/>
                <w:vertAlign w:val="superscript"/>
                <w14:ligatures w14:val="standardContextual"/>
              </w:rPr>
              <w:t>2</w:t>
            </w:r>
            <w:r w:rsidR="000E41EA" w:rsidRPr="008D5FF8">
              <w:rPr>
                <w:rFonts w:ascii="Times New Roman" w:hAnsi="Times New Roman"/>
                <w:kern w:val="2"/>
                <w:sz w:val="24"/>
                <w:szCs w:val="24"/>
                <w14:ligatures w14:val="standardContextual"/>
              </w:rPr>
              <w:t xml:space="preserve"> lõige (2) ütleb et "Taimekaitsetunnistus on dokument, mis tõendab, et isik võib turustada, osta ja kasutada kõiki taimekaitsevahendeid peale väga mürgiste." </w:t>
            </w:r>
          </w:p>
          <w:p w14:paraId="7A2B2962" w14:textId="0C899786" w:rsidR="00490AE4" w:rsidRDefault="000E41EA" w:rsidP="000E41EA">
            <w:pPr>
              <w:jc w:val="both"/>
              <w:rPr>
                <w:rFonts w:ascii="Times New Roman" w:hAnsi="Times New Roman"/>
                <w:sz w:val="24"/>
                <w:szCs w:val="24"/>
              </w:rPr>
            </w:pPr>
            <w:r w:rsidRPr="008D5FF8">
              <w:rPr>
                <w:rFonts w:ascii="Times New Roman" w:hAnsi="Times New Roman"/>
                <w:kern w:val="2"/>
                <w:sz w:val="24"/>
                <w:szCs w:val="24"/>
                <w14:ligatures w14:val="standardContextual"/>
              </w:rPr>
              <w:t>Seetõttu peavad taimekaitsetunnistuste omanikud olema kantud registrisse</w:t>
            </w:r>
            <w:r w:rsidRPr="006F299D">
              <w:rPr>
                <w:rFonts w:ascii="Times New Roman" w:hAnsi="Times New Roman"/>
                <w:kern w:val="2"/>
                <w:sz w:val="24"/>
                <w:szCs w:val="24"/>
                <w14:ligatures w14:val="standardContextual"/>
              </w:rPr>
              <w:t xml:space="preserve">. Isikuandmete töötlemise puhul seaduse tasandil tuleb määratleda isikuandmete töötlemise eesmärgid, töödeldavate isikuandmete koosseis ning töödeldavate isikuandmete säilitamise tähtaegu. Kuna </w:t>
            </w:r>
            <w:r w:rsidRPr="006F299D">
              <w:rPr>
                <w:rFonts w:ascii="Times New Roman" w:hAnsi="Times New Roman"/>
                <w:kern w:val="2"/>
                <w:sz w:val="24"/>
                <w:szCs w:val="24"/>
                <w14:ligatures w14:val="standardContextual"/>
              </w:rPr>
              <w:lastRenderedPageBreak/>
              <w:t xml:space="preserve">isikuandmete töötlemise eesmärgid ja koosseis on seaduses ette nähtud, täiendame </w:t>
            </w:r>
            <w:r>
              <w:rPr>
                <w:rFonts w:ascii="Times New Roman" w:hAnsi="Times New Roman"/>
                <w:kern w:val="2"/>
                <w:sz w:val="24"/>
                <w:szCs w:val="24"/>
                <w14:ligatures w14:val="standardContextual"/>
              </w:rPr>
              <w:t>t</w:t>
            </w:r>
            <w:r w:rsidRPr="000811B5">
              <w:rPr>
                <w:rFonts w:ascii="Times New Roman" w:hAnsi="Times New Roman"/>
                <w:kern w:val="2"/>
                <w:sz w:val="24"/>
                <w:szCs w:val="24"/>
                <w14:ligatures w14:val="standardContextual"/>
              </w:rPr>
              <w:t>aimekaitsevahendite registri põhimäärus</w:t>
            </w:r>
            <w:r>
              <w:rPr>
                <w:rFonts w:ascii="Times New Roman" w:hAnsi="Times New Roman"/>
                <w:kern w:val="2"/>
                <w:sz w:val="24"/>
                <w:szCs w:val="24"/>
                <w14:ligatures w14:val="standardContextual"/>
              </w:rPr>
              <w:t>t</w:t>
            </w:r>
            <w:r w:rsidRPr="006F299D">
              <w:rPr>
                <w:rFonts w:ascii="Times New Roman" w:hAnsi="Times New Roman"/>
                <w:kern w:val="2"/>
                <w:sz w:val="24"/>
                <w:szCs w:val="24"/>
                <w14:ligatures w14:val="standardContextual"/>
              </w:rPr>
              <w:t xml:space="preserve"> isikuandmete säilitamise tähtajaga.</w:t>
            </w:r>
            <w:r w:rsidR="00490AE4" w:rsidRPr="006F299D">
              <w:rPr>
                <w:rFonts w:ascii="Times New Roman" w:hAnsi="Times New Roman"/>
                <w:sz w:val="24"/>
                <w:szCs w:val="24"/>
              </w:rPr>
              <w:t xml:space="preserve"> </w:t>
            </w:r>
          </w:p>
          <w:p w14:paraId="64DF99D2" w14:textId="77777777" w:rsidR="00490AE4" w:rsidRPr="00825BA3" w:rsidRDefault="00490AE4" w:rsidP="00C551DF">
            <w:pPr>
              <w:rPr>
                <w:rFonts w:ascii="Times New Roman" w:hAnsi="Times New Roman"/>
                <w:sz w:val="24"/>
                <w:szCs w:val="24"/>
              </w:rPr>
            </w:pPr>
          </w:p>
          <w:p w14:paraId="711D0BFD" w14:textId="77777777" w:rsidR="00490AE4" w:rsidRPr="00825BA3" w:rsidRDefault="00490AE4" w:rsidP="00C551DF">
            <w:pPr>
              <w:rPr>
                <w:rFonts w:ascii="Times New Roman" w:hAnsi="Times New Roman"/>
                <w:sz w:val="24"/>
                <w:szCs w:val="24"/>
              </w:rPr>
            </w:pPr>
          </w:p>
          <w:p w14:paraId="0261EF09" w14:textId="77777777" w:rsidR="00490AE4" w:rsidRPr="00825BA3" w:rsidRDefault="00490AE4" w:rsidP="00C551DF">
            <w:pPr>
              <w:rPr>
                <w:rFonts w:ascii="Times New Roman" w:hAnsi="Times New Roman"/>
                <w:sz w:val="24"/>
                <w:szCs w:val="24"/>
              </w:rPr>
            </w:pPr>
          </w:p>
          <w:p w14:paraId="021BE525" w14:textId="77777777" w:rsidR="00490AE4" w:rsidRDefault="00490AE4" w:rsidP="00C551DF">
            <w:pPr>
              <w:rPr>
                <w:rFonts w:ascii="Times New Roman" w:hAnsi="Times New Roman"/>
                <w:sz w:val="24"/>
                <w:szCs w:val="24"/>
              </w:rPr>
            </w:pPr>
          </w:p>
          <w:p w14:paraId="03326AC1" w14:textId="77777777" w:rsidR="00490AE4" w:rsidRDefault="00490AE4" w:rsidP="00C551DF">
            <w:pPr>
              <w:rPr>
                <w:rFonts w:ascii="Times New Roman" w:hAnsi="Times New Roman"/>
                <w:sz w:val="24"/>
                <w:szCs w:val="24"/>
              </w:rPr>
            </w:pPr>
          </w:p>
          <w:p w14:paraId="40361BF7" w14:textId="77777777" w:rsidR="00490AE4" w:rsidRDefault="00490AE4" w:rsidP="00C551DF">
            <w:pPr>
              <w:rPr>
                <w:rFonts w:ascii="Times New Roman" w:hAnsi="Times New Roman"/>
                <w:sz w:val="24"/>
                <w:szCs w:val="24"/>
              </w:rPr>
            </w:pPr>
          </w:p>
          <w:p w14:paraId="76DBAB3C" w14:textId="77777777" w:rsidR="00490AE4" w:rsidRDefault="00490AE4" w:rsidP="00C551DF">
            <w:pPr>
              <w:rPr>
                <w:rFonts w:ascii="Times New Roman" w:hAnsi="Times New Roman"/>
                <w:sz w:val="24"/>
                <w:szCs w:val="24"/>
              </w:rPr>
            </w:pPr>
          </w:p>
          <w:p w14:paraId="644511FC" w14:textId="77777777" w:rsidR="00490AE4" w:rsidRPr="00825BA3" w:rsidRDefault="00490AE4" w:rsidP="00C551DF">
            <w:pPr>
              <w:jc w:val="center"/>
              <w:rPr>
                <w:rFonts w:ascii="Times New Roman" w:hAnsi="Times New Roman"/>
                <w:sz w:val="24"/>
                <w:szCs w:val="24"/>
              </w:rPr>
            </w:pPr>
          </w:p>
        </w:tc>
      </w:tr>
      <w:tr w:rsidR="00490AE4" w:rsidRPr="006F299D" w14:paraId="14DF2ACC" w14:textId="77777777" w:rsidTr="00490AE4">
        <w:tc>
          <w:tcPr>
            <w:tcW w:w="2737" w:type="dxa"/>
          </w:tcPr>
          <w:p w14:paraId="671283F2" w14:textId="77777777" w:rsidR="00490AE4" w:rsidRPr="006F299D" w:rsidRDefault="00490AE4" w:rsidP="00C551DF">
            <w:pPr>
              <w:rPr>
                <w:rFonts w:ascii="Times New Roman" w:hAnsi="Times New Roman"/>
                <w:sz w:val="24"/>
                <w:szCs w:val="24"/>
              </w:rPr>
            </w:pPr>
          </w:p>
        </w:tc>
        <w:tc>
          <w:tcPr>
            <w:tcW w:w="7154" w:type="dxa"/>
          </w:tcPr>
          <w:p w14:paraId="4C5CBECB"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6. Eelnõu punktiga 32 täiendatakse seaduse 41 . peatükki §-ga 87</w:t>
            </w:r>
            <w:r w:rsidRPr="006F299D">
              <w:rPr>
                <w:rFonts w:ascii="Times New Roman" w:hAnsi="Times New Roman"/>
                <w:sz w:val="24"/>
                <w:szCs w:val="24"/>
                <w:vertAlign w:val="superscript"/>
              </w:rPr>
              <w:t>11</w:t>
            </w:r>
            <w:r w:rsidRPr="006F299D">
              <w:rPr>
                <w:rFonts w:ascii="Times New Roman" w:hAnsi="Times New Roman"/>
                <w:sz w:val="24"/>
                <w:szCs w:val="24"/>
              </w:rPr>
              <w:t xml:space="preserve"> – 87</w:t>
            </w:r>
            <w:r w:rsidRPr="006F299D">
              <w:rPr>
                <w:rFonts w:ascii="Times New Roman" w:hAnsi="Times New Roman"/>
                <w:sz w:val="24"/>
                <w:szCs w:val="24"/>
                <w:vertAlign w:val="superscript"/>
              </w:rPr>
              <w:t>13</w:t>
            </w:r>
            <w:r w:rsidRPr="006F299D">
              <w:rPr>
                <w:rFonts w:ascii="Times New Roman" w:hAnsi="Times New Roman"/>
                <w:sz w:val="24"/>
                <w:szCs w:val="24"/>
              </w:rPr>
              <w:t xml:space="preserve">, millega nähakse ette järelevalvetasu taimekaitse valdkonnas tehtavate järelevalvetoimingute eest tunnitasuna. </w:t>
            </w:r>
          </w:p>
          <w:p w14:paraId="1D105075" w14:textId="77777777" w:rsidR="00490AE4" w:rsidRPr="006F299D" w:rsidRDefault="00490AE4" w:rsidP="00C551DF">
            <w:pPr>
              <w:jc w:val="both"/>
              <w:rPr>
                <w:rFonts w:ascii="Times New Roman" w:hAnsi="Times New Roman"/>
                <w:sz w:val="24"/>
                <w:szCs w:val="24"/>
              </w:rPr>
            </w:pPr>
          </w:p>
          <w:p w14:paraId="15EB62C3"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Leiame, et seaduse eelnõuga sobitatakse riigisisese õiguskorraga eelkõige ametliku kontrolli määrust (edaspidi AKM) selle kohustavate normide osas, ent jäetakse sobitamata selle leevendavad sätted. Nimelt AKM art 79 lg 3 võimaldab liikmesriigil vähendada lõive ja tasusid arvestades näiteks madala tootlikkusega ettevõtja huve või kui nt varasem ametlik kontroll on näidanud, et ettevõtja järgib asjakohaseid norme. Jääb arusaamatuks miks eelnimetatud võimalust ei peeta vajalikuks Eestis arvestada ning eelnõus käsitleda. Kuivõrd AKM asjakohasest sättest ei selgu vahetult milline asutus sätet kohaldama võiks asuda, siis meie hinnangul on vajalik see ette näha seaduses.</w:t>
            </w:r>
          </w:p>
        </w:tc>
        <w:tc>
          <w:tcPr>
            <w:tcW w:w="4669" w:type="dxa"/>
          </w:tcPr>
          <w:p w14:paraId="0238868B" w14:textId="77777777" w:rsidR="00490AE4" w:rsidRPr="006F299D" w:rsidRDefault="00490AE4" w:rsidP="00C551DF">
            <w:pPr>
              <w:jc w:val="both"/>
              <w:rPr>
                <w:rFonts w:ascii="Times New Roman" w:hAnsi="Times New Roman"/>
                <w:b/>
                <w:bCs/>
                <w:sz w:val="24"/>
                <w:szCs w:val="24"/>
              </w:rPr>
            </w:pPr>
            <w:r w:rsidRPr="006F299D">
              <w:rPr>
                <w:rFonts w:ascii="Times New Roman" w:hAnsi="Times New Roman"/>
                <w:b/>
                <w:bCs/>
                <w:sz w:val="24"/>
                <w:szCs w:val="24"/>
              </w:rPr>
              <w:t xml:space="preserve">Märkusega ei ole arvestatud. </w:t>
            </w:r>
          </w:p>
          <w:p w14:paraId="4D8E42B6" w14:textId="77777777" w:rsidR="00490AE4" w:rsidRDefault="00490AE4" w:rsidP="00C551DF">
            <w:pPr>
              <w:jc w:val="both"/>
              <w:rPr>
                <w:rFonts w:ascii="Times New Roman" w:hAnsi="Times New Roman"/>
                <w:sz w:val="24"/>
                <w:szCs w:val="24"/>
              </w:rPr>
            </w:pPr>
            <w:r w:rsidRPr="006F299D">
              <w:rPr>
                <w:rFonts w:ascii="Times New Roman" w:hAnsi="Times New Roman"/>
                <w:sz w:val="24"/>
                <w:szCs w:val="24"/>
              </w:rPr>
              <w:t xml:space="preserve">Toiminguid teeb PTA ja tasu tuleb seega maksta PTA-le. </w:t>
            </w:r>
          </w:p>
          <w:p w14:paraId="65A20D25" w14:textId="77777777" w:rsidR="00490AE4" w:rsidRPr="006F299D" w:rsidRDefault="00490AE4" w:rsidP="00C551DF">
            <w:pPr>
              <w:jc w:val="both"/>
              <w:rPr>
                <w:rFonts w:ascii="Times New Roman" w:hAnsi="Times New Roman"/>
                <w:sz w:val="24"/>
                <w:szCs w:val="24"/>
              </w:rPr>
            </w:pPr>
            <w:r w:rsidRPr="007A4FA8">
              <w:rPr>
                <w:rFonts w:ascii="Times New Roman" w:hAnsi="Times New Roman"/>
                <w:sz w:val="24"/>
                <w:szCs w:val="24"/>
              </w:rPr>
              <w:t>Kui varasem ametlik kontroll on näidanud, et ettevõtja järgib asjakohaseid norme, reegleid ja seadusi, siis ei ole järelkontroll ja seega ka järelevalvetasu rakendamine vajalik. Seega ei ole põhjendatud vastavat leevendavat sätet eraldi välja tuua.</w:t>
            </w:r>
          </w:p>
        </w:tc>
      </w:tr>
      <w:tr w:rsidR="00490AE4" w:rsidRPr="006F299D" w14:paraId="364EEE53" w14:textId="77777777" w:rsidTr="00490AE4">
        <w:tc>
          <w:tcPr>
            <w:tcW w:w="2737" w:type="dxa"/>
          </w:tcPr>
          <w:p w14:paraId="50798C3B" w14:textId="77777777" w:rsidR="00490AE4" w:rsidRPr="003F6CE7" w:rsidRDefault="00490AE4" w:rsidP="00C551DF">
            <w:pPr>
              <w:rPr>
                <w:rFonts w:ascii="Times New Roman" w:hAnsi="Times New Roman"/>
                <w:b/>
                <w:bCs/>
                <w:sz w:val="24"/>
                <w:szCs w:val="24"/>
              </w:rPr>
            </w:pPr>
            <w:r w:rsidRPr="003F6CE7">
              <w:rPr>
                <w:rFonts w:ascii="Times New Roman" w:hAnsi="Times New Roman"/>
                <w:b/>
                <w:bCs/>
                <w:sz w:val="24"/>
                <w:szCs w:val="24"/>
              </w:rPr>
              <w:t xml:space="preserve">MTÜ Eesti Turbaliit </w:t>
            </w:r>
          </w:p>
        </w:tc>
        <w:tc>
          <w:tcPr>
            <w:tcW w:w="7154" w:type="dxa"/>
          </w:tcPr>
          <w:p w14:paraId="62058F25" w14:textId="77777777" w:rsidR="00490AE4" w:rsidRPr="003F6CE7" w:rsidRDefault="00490AE4" w:rsidP="00C551DF">
            <w:pPr>
              <w:jc w:val="both"/>
              <w:rPr>
                <w:rFonts w:ascii="Times New Roman" w:hAnsi="Times New Roman"/>
                <w:sz w:val="24"/>
                <w:szCs w:val="24"/>
              </w:rPr>
            </w:pPr>
            <w:r w:rsidRPr="003F6CE7">
              <w:rPr>
                <w:rFonts w:ascii="Times New Roman" w:hAnsi="Times New Roman"/>
                <w:sz w:val="24"/>
                <w:szCs w:val="24"/>
              </w:rPr>
              <w:t>Oma 30.04.2025 e-kirjas toote välja, et „Järelevalvetasuga seotud muudatuste eesmärgiks on muuta ametliku kontrolli kulud ettevõtjate jaoks selgemaks, rahastusmehhanism paindlikumaks ning siduda teenuste kulud tegelike kuludega.“</w:t>
            </w:r>
          </w:p>
          <w:p w14:paraId="0A5164DF" w14:textId="77777777" w:rsidR="00490AE4" w:rsidRPr="003F6CE7" w:rsidRDefault="00490AE4" w:rsidP="00C551DF">
            <w:pPr>
              <w:jc w:val="both"/>
              <w:rPr>
                <w:rFonts w:ascii="Times New Roman" w:hAnsi="Times New Roman"/>
                <w:sz w:val="24"/>
                <w:szCs w:val="24"/>
              </w:rPr>
            </w:pPr>
            <w:r w:rsidRPr="003F6CE7">
              <w:rPr>
                <w:rFonts w:ascii="Times New Roman" w:hAnsi="Times New Roman"/>
                <w:sz w:val="24"/>
                <w:szCs w:val="24"/>
              </w:rPr>
              <w:lastRenderedPageBreak/>
              <w:t xml:space="preserve">Vastavalt Marge Nõmmik poolt saadetud selgitustele 15.05.2025 ei saa me turbatootjate esindajana nõus olla, et fütosantiaarsertifikaadi väljastamise tasu asendatakse riigilõivu asemel tunnipõhise järelvalvetasuga. </w:t>
            </w:r>
          </w:p>
          <w:p w14:paraId="6F977E19" w14:textId="77777777" w:rsidR="00490AE4" w:rsidRPr="003F6CE7" w:rsidRDefault="00490AE4" w:rsidP="00C551DF">
            <w:pPr>
              <w:jc w:val="both"/>
              <w:rPr>
                <w:rFonts w:ascii="Times New Roman" w:hAnsi="Times New Roman"/>
                <w:sz w:val="24"/>
                <w:szCs w:val="24"/>
              </w:rPr>
            </w:pPr>
            <w:r w:rsidRPr="003F6CE7">
              <w:rPr>
                <w:rFonts w:ascii="Times New Roman" w:hAnsi="Times New Roman"/>
                <w:sz w:val="24"/>
                <w:szCs w:val="24"/>
              </w:rPr>
              <w:t xml:space="preserve">Ettevõtetel muutub fütosantiaarsertifikaadi kulu hoomamatuks ja mitteplaneeritavaks suuruseks. Reeglina kajastuvad sertifikaadi väljastamise kulud toote omahinnas ja nende eest tasub kauba ostja. Antud arvutussüsteemi puhul ja pidevalt muutuva (kord kvartalis) tasu puhul on võimatu teha pikaajalisi lepinguid. Järelvalve kestvus hakkab sõltuma ametniku kogemusest ja pädevusest. </w:t>
            </w:r>
          </w:p>
          <w:p w14:paraId="21CD830A" w14:textId="77777777" w:rsidR="00490AE4" w:rsidRPr="003F6CE7" w:rsidRDefault="00490AE4" w:rsidP="00C551DF">
            <w:pPr>
              <w:jc w:val="both"/>
              <w:rPr>
                <w:rFonts w:ascii="Times New Roman" w:hAnsi="Times New Roman"/>
                <w:sz w:val="24"/>
                <w:szCs w:val="24"/>
              </w:rPr>
            </w:pPr>
            <w:r w:rsidRPr="003F6CE7">
              <w:rPr>
                <w:rFonts w:ascii="Times New Roman" w:hAnsi="Times New Roman"/>
                <w:sz w:val="24"/>
                <w:szCs w:val="24"/>
              </w:rPr>
              <w:t xml:space="preserve">Meiepoolne ettepanek on jääda fikseeritud fütosantiaarsertifikaadi tasu juurde, mida saab vajadusel korrigeerida ning vajadusel saab määrata lisatasu lisalehtede väljastamise eest. Tänane praktika on, et antud sertifikaadid väljastatakse paberil ja andmemaht lahtrites on piiratud. </w:t>
            </w:r>
          </w:p>
          <w:p w14:paraId="6428D725" w14:textId="77777777" w:rsidR="00490AE4" w:rsidRPr="006F299D" w:rsidRDefault="00490AE4" w:rsidP="00C551DF">
            <w:pPr>
              <w:jc w:val="both"/>
              <w:rPr>
                <w:rFonts w:ascii="Times New Roman" w:hAnsi="Times New Roman"/>
                <w:sz w:val="24"/>
                <w:szCs w:val="24"/>
              </w:rPr>
            </w:pPr>
            <w:r w:rsidRPr="003F6CE7">
              <w:rPr>
                <w:rFonts w:ascii="Times New Roman" w:hAnsi="Times New Roman"/>
                <w:sz w:val="24"/>
                <w:szCs w:val="24"/>
              </w:rPr>
              <w:t>Tootjate andmetel on tänasel päeval fütosantiaarsertifikaadi keskmine hind 30 €. Saame selgelt aru kulude kasvust ja selleks, et säilitada kindlus oleme omalt poolt valmis kaasa tulema kuni 5% riigilõivu hinnatõusuga fütosantiaarsertifikaadi väljastamise eest, mis on võrväärne Teie poolt välja pakutud hinnamuutusega, kuid säilitab protseduuri läbipaistvuse.</w:t>
            </w:r>
          </w:p>
        </w:tc>
        <w:tc>
          <w:tcPr>
            <w:tcW w:w="4669" w:type="dxa"/>
          </w:tcPr>
          <w:p w14:paraId="0DD28F58" w14:textId="77777777" w:rsidR="00490AE4" w:rsidRDefault="00490AE4" w:rsidP="00C551DF">
            <w:pPr>
              <w:jc w:val="both"/>
              <w:rPr>
                <w:rFonts w:ascii="Times New Roman" w:hAnsi="Times New Roman"/>
                <w:b/>
                <w:bCs/>
                <w:sz w:val="24"/>
                <w:szCs w:val="24"/>
              </w:rPr>
            </w:pPr>
            <w:r>
              <w:rPr>
                <w:rFonts w:ascii="Times New Roman" w:hAnsi="Times New Roman"/>
                <w:b/>
                <w:bCs/>
                <w:sz w:val="24"/>
                <w:szCs w:val="24"/>
              </w:rPr>
              <w:lastRenderedPageBreak/>
              <w:t>Märkusega ei ole arvestatud.</w:t>
            </w:r>
          </w:p>
          <w:p w14:paraId="61D1E1D5" w14:textId="77777777" w:rsidR="00490AE4" w:rsidRPr="003F6CE7" w:rsidRDefault="00490AE4" w:rsidP="00C551DF">
            <w:pPr>
              <w:jc w:val="both"/>
              <w:rPr>
                <w:rFonts w:ascii="Times New Roman" w:hAnsi="Times New Roman"/>
                <w:sz w:val="24"/>
                <w:szCs w:val="24"/>
              </w:rPr>
            </w:pPr>
            <w:r w:rsidRPr="00993011">
              <w:rPr>
                <w:rFonts w:ascii="Times New Roman" w:hAnsi="Times New Roman"/>
                <w:sz w:val="24"/>
                <w:szCs w:val="24"/>
              </w:rPr>
              <w:t xml:space="preserve">Selgitame </w:t>
            </w:r>
            <w:r>
              <w:rPr>
                <w:rFonts w:ascii="Times New Roman" w:hAnsi="Times New Roman"/>
                <w:sz w:val="24"/>
                <w:szCs w:val="24"/>
              </w:rPr>
              <w:t>MTÜ Eesti Turbaliit</w:t>
            </w:r>
            <w:r w:rsidRPr="003F6CE7">
              <w:rPr>
                <w:rFonts w:ascii="Times New Roman" w:hAnsi="Times New Roman"/>
                <w:sz w:val="24"/>
                <w:szCs w:val="24"/>
              </w:rPr>
              <w:t xml:space="preserve"> poolt 19.05</w:t>
            </w:r>
            <w:r>
              <w:rPr>
                <w:rFonts w:ascii="Times New Roman" w:hAnsi="Times New Roman"/>
                <w:sz w:val="24"/>
                <w:szCs w:val="24"/>
              </w:rPr>
              <w:t>.25</w:t>
            </w:r>
            <w:r w:rsidRPr="003F6CE7">
              <w:rPr>
                <w:rFonts w:ascii="Times New Roman" w:hAnsi="Times New Roman"/>
                <w:sz w:val="24"/>
                <w:szCs w:val="24"/>
              </w:rPr>
              <w:t xml:space="preserve"> saadetud kirjas toodud väidet, nagu fütosanitaarsertifikaatide kulu muutuks planeeritava muudatusega hoomamatuks. </w:t>
            </w:r>
            <w:r>
              <w:rPr>
                <w:rFonts w:ascii="Times New Roman" w:hAnsi="Times New Roman"/>
                <w:sz w:val="24"/>
                <w:szCs w:val="24"/>
              </w:rPr>
              <w:lastRenderedPageBreak/>
              <w:t>Kirjas on toodud välja</w:t>
            </w:r>
            <w:r w:rsidRPr="003F6CE7">
              <w:rPr>
                <w:rFonts w:ascii="Times New Roman" w:hAnsi="Times New Roman"/>
                <w:sz w:val="24"/>
                <w:szCs w:val="24"/>
              </w:rPr>
              <w:t>, et tasu pidev muutumine ei võimalda teha ettevõtjatel pikaajalisi lepinguid. Tahame täpsustada, et planeeritava tunnitasu määr kehtestataks igal aastal valdkonna eest vastutava ministri määrusega, mitte ei muutuks kvartalipõhiselt. Seega tasu määr oleks aasta vältel sama ning kehtestataks sellele eelneva aasta lõpus.</w:t>
            </w:r>
          </w:p>
          <w:p w14:paraId="4BD1916E" w14:textId="77777777" w:rsidR="00490AE4" w:rsidRPr="003F6CE7" w:rsidRDefault="00490AE4" w:rsidP="00C551DF">
            <w:pPr>
              <w:jc w:val="both"/>
              <w:rPr>
                <w:rFonts w:ascii="Times New Roman" w:hAnsi="Times New Roman"/>
                <w:sz w:val="24"/>
                <w:szCs w:val="24"/>
              </w:rPr>
            </w:pPr>
          </w:p>
          <w:p w14:paraId="41C4F5C3" w14:textId="77777777" w:rsidR="00490AE4" w:rsidRPr="003F6CE7" w:rsidRDefault="00490AE4" w:rsidP="00C551DF">
            <w:pPr>
              <w:jc w:val="both"/>
              <w:rPr>
                <w:rFonts w:ascii="Times New Roman" w:hAnsi="Times New Roman"/>
                <w:sz w:val="24"/>
                <w:szCs w:val="24"/>
              </w:rPr>
            </w:pPr>
            <w:r w:rsidRPr="003F6CE7">
              <w:rPr>
                <w:rFonts w:ascii="Times New Roman" w:hAnsi="Times New Roman"/>
                <w:sz w:val="24"/>
                <w:szCs w:val="24"/>
              </w:rPr>
              <w:t xml:space="preserve">Samuti </w:t>
            </w:r>
            <w:r>
              <w:rPr>
                <w:rFonts w:ascii="Times New Roman" w:hAnsi="Times New Roman"/>
                <w:sz w:val="24"/>
                <w:szCs w:val="24"/>
              </w:rPr>
              <w:t>saame</w:t>
            </w:r>
            <w:r w:rsidRPr="003F6CE7">
              <w:rPr>
                <w:rFonts w:ascii="Times New Roman" w:hAnsi="Times New Roman"/>
                <w:sz w:val="24"/>
                <w:szCs w:val="24"/>
              </w:rPr>
              <w:t xml:space="preserve"> välja tuua tasu määra muutuse aastate võrdluses. Eelnõu seletuskirjas tõime näiteks 2023. aasta </w:t>
            </w:r>
            <w:r>
              <w:rPr>
                <w:rFonts w:ascii="Times New Roman" w:hAnsi="Times New Roman"/>
                <w:sz w:val="24"/>
                <w:szCs w:val="24"/>
              </w:rPr>
              <w:t xml:space="preserve">PTA </w:t>
            </w:r>
            <w:r w:rsidRPr="003F6CE7">
              <w:rPr>
                <w:rFonts w:ascii="Times New Roman" w:hAnsi="Times New Roman"/>
                <w:sz w:val="24"/>
                <w:szCs w:val="24"/>
              </w:rPr>
              <w:t xml:space="preserve">kuludel põhineva arvutusliku tasu määra, milleks oli 55,26 eurot tunni kohta. Praeguseks on olnud võimalik teha arvutused ka 2024. aasta kulude põhjal ja tulemuseks saadud tunnitasu määr 54,96 eurot tunni kohta. Arvutustest tulenevalt selgub, et tasu määr oluliselt ei muutu. Loodetavasti see annab ettevõtjatele kindluse, et antud </w:t>
            </w:r>
            <w:r>
              <w:rPr>
                <w:rFonts w:ascii="Times New Roman" w:hAnsi="Times New Roman"/>
                <w:sz w:val="24"/>
                <w:szCs w:val="24"/>
              </w:rPr>
              <w:t xml:space="preserve">suurusjärgus </w:t>
            </w:r>
            <w:r w:rsidRPr="003F6CE7">
              <w:rPr>
                <w:rFonts w:ascii="Times New Roman" w:hAnsi="Times New Roman"/>
                <w:sz w:val="24"/>
                <w:szCs w:val="24"/>
              </w:rPr>
              <w:t xml:space="preserve">tasu määraga võib arvestada ka pikaajalisi lepinguid sõlmides. Lisaks tuletame meelde, et eelnõus on ette nähtud ka järelevalvetoimingu maksimaalne kestvus (8 tundi), mis samuti võimaldab arvutada maksimaalse võimaliku järelevalvetoimingu tasu kohapealse kontrolli puhul. Selleks maksimaalseks tasu suuruseks on näiteks antud tunnitasu määra juures 439,68 eurot. Rõhutame, et see on kohapealse kontrolli eeldatav maksimaalne tasu määr. Ühe fütosanitaarsertifikaadi menetlemise keskmine aeg on 0,5 tundi ja sellele vastavaks keskmiseks järelevalvetasuks (2024. a kuludest tuleneva arvutuse põhjal) võiks </w:t>
            </w:r>
            <w:r w:rsidRPr="003F6CE7">
              <w:rPr>
                <w:rFonts w:ascii="Times New Roman" w:hAnsi="Times New Roman"/>
                <w:sz w:val="24"/>
                <w:szCs w:val="24"/>
              </w:rPr>
              <w:lastRenderedPageBreak/>
              <w:t>kujuneda 27,48 eurot. Seegi ei erine oluliselt eelnõu seletuskirjas toodud (2023.a kulude põhjal arvutatud keskmisest tasust) 27,63 eurost.</w:t>
            </w:r>
          </w:p>
          <w:p w14:paraId="3C151AA6" w14:textId="77777777" w:rsidR="00490AE4" w:rsidRPr="003F6CE7" w:rsidRDefault="00490AE4" w:rsidP="00C551DF">
            <w:pPr>
              <w:jc w:val="both"/>
              <w:rPr>
                <w:rFonts w:ascii="Times New Roman" w:hAnsi="Times New Roman"/>
                <w:sz w:val="24"/>
                <w:szCs w:val="24"/>
              </w:rPr>
            </w:pPr>
          </w:p>
          <w:p w14:paraId="10AC1FDC" w14:textId="77777777" w:rsidR="00490AE4" w:rsidRPr="006F299D" w:rsidRDefault="00490AE4" w:rsidP="00C551DF">
            <w:pPr>
              <w:jc w:val="both"/>
              <w:rPr>
                <w:rFonts w:ascii="Times New Roman" w:hAnsi="Times New Roman"/>
                <w:sz w:val="24"/>
                <w:szCs w:val="24"/>
              </w:rPr>
            </w:pPr>
            <w:r w:rsidRPr="003F6CE7">
              <w:rPr>
                <w:rFonts w:ascii="Times New Roman" w:hAnsi="Times New Roman"/>
                <w:sz w:val="24"/>
                <w:szCs w:val="24"/>
              </w:rPr>
              <w:t xml:space="preserve">Eelnevatest arvutustest lähtuvalt saame kinnitada, et ettevõtja jaoks jääks tasu planeeritavaks suuruseks ja seda sõltumata kauba tüübist. </w:t>
            </w:r>
            <w:r>
              <w:rPr>
                <w:rFonts w:ascii="Times New Roman" w:hAnsi="Times New Roman"/>
                <w:sz w:val="24"/>
                <w:szCs w:val="24"/>
              </w:rPr>
              <w:t>K</w:t>
            </w:r>
            <w:r w:rsidRPr="003F6CE7">
              <w:rPr>
                <w:rFonts w:ascii="Times New Roman" w:hAnsi="Times New Roman"/>
                <w:sz w:val="24"/>
                <w:szCs w:val="24"/>
              </w:rPr>
              <w:t xml:space="preserve">irjas välja toodud keskmise fütosanitaarsertifikaadi hinnaga võrreldes oleks ühe sertifikaadi tasu praegusest </w:t>
            </w:r>
            <w:r>
              <w:rPr>
                <w:rFonts w:ascii="Times New Roman" w:hAnsi="Times New Roman"/>
                <w:sz w:val="24"/>
                <w:szCs w:val="24"/>
              </w:rPr>
              <w:t xml:space="preserve">isegi </w:t>
            </w:r>
            <w:r w:rsidRPr="003F6CE7">
              <w:rPr>
                <w:rFonts w:ascii="Times New Roman" w:hAnsi="Times New Roman"/>
                <w:sz w:val="24"/>
                <w:szCs w:val="24"/>
              </w:rPr>
              <w:t>soodsam (arvestades, et sertifikaadi menetlemiseks kulub keskmiselt 30 minutit).</w:t>
            </w:r>
          </w:p>
        </w:tc>
      </w:tr>
      <w:tr w:rsidR="00490AE4" w:rsidRPr="006F299D" w14:paraId="41CF229A" w14:textId="77777777" w:rsidTr="00490AE4">
        <w:tc>
          <w:tcPr>
            <w:tcW w:w="2737" w:type="dxa"/>
          </w:tcPr>
          <w:p w14:paraId="0D19B0DC" w14:textId="77777777" w:rsidR="00490AE4" w:rsidRPr="0064162D" w:rsidRDefault="00490AE4" w:rsidP="00C551DF">
            <w:pPr>
              <w:rPr>
                <w:rFonts w:ascii="Times New Roman" w:hAnsi="Times New Roman"/>
                <w:b/>
                <w:bCs/>
                <w:sz w:val="24"/>
                <w:szCs w:val="24"/>
              </w:rPr>
            </w:pPr>
            <w:r w:rsidRPr="0064162D">
              <w:rPr>
                <w:rFonts w:ascii="Times New Roman" w:hAnsi="Times New Roman"/>
                <w:b/>
                <w:bCs/>
                <w:sz w:val="24"/>
                <w:szCs w:val="24"/>
              </w:rPr>
              <w:lastRenderedPageBreak/>
              <w:t xml:space="preserve">PTA </w:t>
            </w:r>
          </w:p>
        </w:tc>
        <w:tc>
          <w:tcPr>
            <w:tcW w:w="7154" w:type="dxa"/>
          </w:tcPr>
          <w:p w14:paraId="2DA29F12" w14:textId="77777777" w:rsidR="00490AE4" w:rsidRPr="006F299D" w:rsidRDefault="00490AE4" w:rsidP="00C551DF">
            <w:pPr>
              <w:jc w:val="both"/>
              <w:rPr>
                <w:rFonts w:ascii="Times New Roman" w:hAnsi="Times New Roman"/>
                <w:sz w:val="24"/>
                <w:szCs w:val="24"/>
              </w:rPr>
            </w:pPr>
            <w:r w:rsidRPr="006F299D">
              <w:rPr>
                <w:rFonts w:ascii="Times New Roman" w:hAnsi="Times New Roman"/>
                <w:sz w:val="24"/>
                <w:szCs w:val="24"/>
              </w:rPr>
              <w:t>Vastusena Teie 25.04.2025 kirjaga nr 1.4-1/332 arvamuse avaldamiseks edastatud taimekaitseseaduse ja riigilõivuseaduse muutmise eelnõule teatan, et Põllumajandus- ja Toiduamet on eelnõu materjalidega tutvunud ning ei esita eelnõule ettepanekuid ega vastuväiteid.</w:t>
            </w:r>
          </w:p>
        </w:tc>
        <w:tc>
          <w:tcPr>
            <w:tcW w:w="4669" w:type="dxa"/>
          </w:tcPr>
          <w:p w14:paraId="52BD4364" w14:textId="77777777" w:rsidR="00490AE4" w:rsidRPr="007A72AB" w:rsidRDefault="00490AE4" w:rsidP="00C551DF">
            <w:pPr>
              <w:jc w:val="both"/>
              <w:rPr>
                <w:rFonts w:ascii="Times New Roman" w:hAnsi="Times New Roman"/>
                <w:b/>
                <w:bCs/>
                <w:sz w:val="24"/>
                <w:szCs w:val="24"/>
              </w:rPr>
            </w:pPr>
            <w:r>
              <w:rPr>
                <w:rFonts w:ascii="Times New Roman" w:hAnsi="Times New Roman"/>
                <w:b/>
                <w:bCs/>
                <w:sz w:val="24"/>
                <w:szCs w:val="24"/>
              </w:rPr>
              <w:t>Märkusega on arvestatud.</w:t>
            </w:r>
          </w:p>
        </w:tc>
      </w:tr>
    </w:tbl>
    <w:p w14:paraId="168450C2" w14:textId="77777777" w:rsidR="00DA0E58" w:rsidRPr="006F299D" w:rsidRDefault="00DA0E58">
      <w:pPr>
        <w:rPr>
          <w:rFonts w:ascii="Times New Roman" w:hAnsi="Times New Roman" w:cs="Times New Roman"/>
          <w:sz w:val="24"/>
          <w:szCs w:val="24"/>
        </w:rPr>
      </w:pPr>
    </w:p>
    <w:sectPr w:rsidR="00DA0E58" w:rsidRPr="006F299D" w:rsidSect="00DC64B9">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68F1B" w14:textId="77777777" w:rsidR="000D4896" w:rsidRDefault="000D4896" w:rsidP="00DA0E58">
      <w:pPr>
        <w:spacing w:after="0" w:line="240" w:lineRule="auto"/>
      </w:pPr>
      <w:r>
        <w:separator/>
      </w:r>
    </w:p>
  </w:endnote>
  <w:endnote w:type="continuationSeparator" w:id="0">
    <w:p w14:paraId="39867CCD" w14:textId="77777777" w:rsidR="000D4896" w:rsidRDefault="000D4896" w:rsidP="00DA0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DE2EB" w14:textId="77777777" w:rsidR="000D4896" w:rsidRDefault="000D4896" w:rsidP="00DA0E58">
      <w:pPr>
        <w:spacing w:after="0" w:line="240" w:lineRule="auto"/>
      </w:pPr>
      <w:r>
        <w:separator/>
      </w:r>
    </w:p>
  </w:footnote>
  <w:footnote w:type="continuationSeparator" w:id="0">
    <w:p w14:paraId="4111EDF7" w14:textId="77777777" w:rsidR="000D4896" w:rsidRDefault="000D4896" w:rsidP="00DA0E58">
      <w:pPr>
        <w:spacing w:after="0" w:line="240" w:lineRule="auto"/>
      </w:pPr>
      <w:r>
        <w:continuationSeparator/>
      </w:r>
    </w:p>
  </w:footnote>
  <w:footnote w:id="1">
    <w:p w14:paraId="1E83390E" w14:textId="77777777" w:rsidR="00AE7777" w:rsidRPr="005B2DB5" w:rsidRDefault="00AE7777" w:rsidP="00AE7777">
      <w:pPr>
        <w:pStyle w:val="Allmrkusetekst"/>
        <w:rPr>
          <w:lang w:val="et-EE"/>
        </w:rPr>
      </w:pPr>
      <w:r>
        <w:rPr>
          <w:rStyle w:val="Allmrkuseviide"/>
        </w:rPr>
        <w:footnoteRef/>
      </w:r>
      <w:r>
        <w:t xml:space="preserve"> </w:t>
      </w:r>
      <w:hyperlink r:id="rId1" w:history="1">
        <w:r w:rsidRPr="00FA45EC">
          <w:rPr>
            <w:rStyle w:val="Hperlink"/>
            <w:lang w:val="et-EE"/>
          </w:rPr>
          <w:t>RT I, 12.07.2025, 14</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6468A"/>
    <w:multiLevelType w:val="multilevel"/>
    <w:tmpl w:val="D1067E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B5F51C1"/>
    <w:multiLevelType w:val="hybridMultilevel"/>
    <w:tmpl w:val="42622AF8"/>
    <w:lvl w:ilvl="0" w:tplc="110A0D5E">
      <w:start w:val="1"/>
      <w:numFmt w:val="decimal"/>
      <w:lvlText w:val="(%1)"/>
      <w:lvlJc w:val="left"/>
      <w:pPr>
        <w:ind w:left="1070" w:hanging="7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90933EC"/>
    <w:multiLevelType w:val="multilevel"/>
    <w:tmpl w:val="44C2492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9686005">
    <w:abstractNumId w:val="1"/>
  </w:num>
  <w:num w:numId="2" w16cid:durableId="670138238">
    <w:abstractNumId w:val="0"/>
  </w:num>
  <w:num w:numId="3" w16cid:durableId="15414799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E58"/>
    <w:rsid w:val="00005129"/>
    <w:rsid w:val="0000570A"/>
    <w:rsid w:val="00013628"/>
    <w:rsid w:val="00013A58"/>
    <w:rsid w:val="00034B2B"/>
    <w:rsid w:val="00045590"/>
    <w:rsid w:val="00045FA0"/>
    <w:rsid w:val="00056DB1"/>
    <w:rsid w:val="00062AB5"/>
    <w:rsid w:val="000652AC"/>
    <w:rsid w:val="00065CB3"/>
    <w:rsid w:val="0006732D"/>
    <w:rsid w:val="000722E7"/>
    <w:rsid w:val="000776F5"/>
    <w:rsid w:val="00080152"/>
    <w:rsid w:val="00080D44"/>
    <w:rsid w:val="000811B5"/>
    <w:rsid w:val="00081881"/>
    <w:rsid w:val="00084ADC"/>
    <w:rsid w:val="000858D1"/>
    <w:rsid w:val="000A75DD"/>
    <w:rsid w:val="000A7EC9"/>
    <w:rsid w:val="000C58A3"/>
    <w:rsid w:val="000C6039"/>
    <w:rsid w:val="000D000B"/>
    <w:rsid w:val="000D4896"/>
    <w:rsid w:val="000E0BC0"/>
    <w:rsid w:val="000E41EA"/>
    <w:rsid w:val="000E744C"/>
    <w:rsid w:val="000F2604"/>
    <w:rsid w:val="000F4F8E"/>
    <w:rsid w:val="0010048F"/>
    <w:rsid w:val="00102D2C"/>
    <w:rsid w:val="001117B2"/>
    <w:rsid w:val="00113F5D"/>
    <w:rsid w:val="00133BC3"/>
    <w:rsid w:val="0014319E"/>
    <w:rsid w:val="00146B47"/>
    <w:rsid w:val="00150562"/>
    <w:rsid w:val="00155D1A"/>
    <w:rsid w:val="0016521F"/>
    <w:rsid w:val="00176F6E"/>
    <w:rsid w:val="001863B9"/>
    <w:rsid w:val="001A44EF"/>
    <w:rsid w:val="001A682B"/>
    <w:rsid w:val="001B1594"/>
    <w:rsid w:val="001C16E2"/>
    <w:rsid w:val="001C2D87"/>
    <w:rsid w:val="001C3742"/>
    <w:rsid w:val="001C3975"/>
    <w:rsid w:val="001C6109"/>
    <w:rsid w:val="001D4904"/>
    <w:rsid w:val="001D55E8"/>
    <w:rsid w:val="001D7BB2"/>
    <w:rsid w:val="001E2872"/>
    <w:rsid w:val="001E3C85"/>
    <w:rsid w:val="001E628B"/>
    <w:rsid w:val="001E6EEA"/>
    <w:rsid w:val="001E7329"/>
    <w:rsid w:val="001F2ABD"/>
    <w:rsid w:val="0020196C"/>
    <w:rsid w:val="00211FE9"/>
    <w:rsid w:val="00215B28"/>
    <w:rsid w:val="0022420E"/>
    <w:rsid w:val="002331C7"/>
    <w:rsid w:val="0023446A"/>
    <w:rsid w:val="00257453"/>
    <w:rsid w:val="002652E5"/>
    <w:rsid w:val="00267A0D"/>
    <w:rsid w:val="00270F08"/>
    <w:rsid w:val="00275075"/>
    <w:rsid w:val="00276D0D"/>
    <w:rsid w:val="00277130"/>
    <w:rsid w:val="00281857"/>
    <w:rsid w:val="002903AA"/>
    <w:rsid w:val="002B1BDF"/>
    <w:rsid w:val="002C00C6"/>
    <w:rsid w:val="002C4409"/>
    <w:rsid w:val="002D1F97"/>
    <w:rsid w:val="002E0AD3"/>
    <w:rsid w:val="002E57B4"/>
    <w:rsid w:val="002F5F97"/>
    <w:rsid w:val="002F7329"/>
    <w:rsid w:val="00305E4E"/>
    <w:rsid w:val="0031590A"/>
    <w:rsid w:val="00331D2D"/>
    <w:rsid w:val="00332FC8"/>
    <w:rsid w:val="00334861"/>
    <w:rsid w:val="0034524B"/>
    <w:rsid w:val="0034733F"/>
    <w:rsid w:val="00352618"/>
    <w:rsid w:val="0036429E"/>
    <w:rsid w:val="00367F5D"/>
    <w:rsid w:val="00373614"/>
    <w:rsid w:val="0037704F"/>
    <w:rsid w:val="00380B72"/>
    <w:rsid w:val="00392E89"/>
    <w:rsid w:val="003A6BC2"/>
    <w:rsid w:val="003D54CE"/>
    <w:rsid w:val="003F356E"/>
    <w:rsid w:val="003F64F4"/>
    <w:rsid w:val="003F6CE7"/>
    <w:rsid w:val="00415C19"/>
    <w:rsid w:val="0041726E"/>
    <w:rsid w:val="004216BF"/>
    <w:rsid w:val="00422E03"/>
    <w:rsid w:val="0042381F"/>
    <w:rsid w:val="00427A1C"/>
    <w:rsid w:val="00435D3E"/>
    <w:rsid w:val="004377FA"/>
    <w:rsid w:val="00457065"/>
    <w:rsid w:val="00465481"/>
    <w:rsid w:val="0046622F"/>
    <w:rsid w:val="004876B2"/>
    <w:rsid w:val="00490AE4"/>
    <w:rsid w:val="004915F0"/>
    <w:rsid w:val="004922E5"/>
    <w:rsid w:val="004A1009"/>
    <w:rsid w:val="004A1DAE"/>
    <w:rsid w:val="004A2F4C"/>
    <w:rsid w:val="004A4573"/>
    <w:rsid w:val="004A53F8"/>
    <w:rsid w:val="004A5A26"/>
    <w:rsid w:val="004B4E37"/>
    <w:rsid w:val="004C28EA"/>
    <w:rsid w:val="004C2C7E"/>
    <w:rsid w:val="004C4242"/>
    <w:rsid w:val="004C561D"/>
    <w:rsid w:val="004D3BCA"/>
    <w:rsid w:val="004F6DA3"/>
    <w:rsid w:val="004F7699"/>
    <w:rsid w:val="00511874"/>
    <w:rsid w:val="00516468"/>
    <w:rsid w:val="005178D2"/>
    <w:rsid w:val="0052514F"/>
    <w:rsid w:val="005261DE"/>
    <w:rsid w:val="00543C7E"/>
    <w:rsid w:val="005534F1"/>
    <w:rsid w:val="005574AF"/>
    <w:rsid w:val="00565CC7"/>
    <w:rsid w:val="00575671"/>
    <w:rsid w:val="0058011E"/>
    <w:rsid w:val="00594DAA"/>
    <w:rsid w:val="005A0798"/>
    <w:rsid w:val="005B149E"/>
    <w:rsid w:val="005B4964"/>
    <w:rsid w:val="005B7101"/>
    <w:rsid w:val="005C2B7D"/>
    <w:rsid w:val="005C3ED6"/>
    <w:rsid w:val="005C5B19"/>
    <w:rsid w:val="005E1B99"/>
    <w:rsid w:val="005E4715"/>
    <w:rsid w:val="005F2BED"/>
    <w:rsid w:val="0060531B"/>
    <w:rsid w:val="00605CD6"/>
    <w:rsid w:val="00606BA3"/>
    <w:rsid w:val="006130C8"/>
    <w:rsid w:val="00614D28"/>
    <w:rsid w:val="006209FD"/>
    <w:rsid w:val="00633F02"/>
    <w:rsid w:val="00634165"/>
    <w:rsid w:val="00636D76"/>
    <w:rsid w:val="0064162D"/>
    <w:rsid w:val="006511F3"/>
    <w:rsid w:val="00653123"/>
    <w:rsid w:val="00656C0B"/>
    <w:rsid w:val="00661840"/>
    <w:rsid w:val="00667D20"/>
    <w:rsid w:val="00667E20"/>
    <w:rsid w:val="0067253B"/>
    <w:rsid w:val="00672E21"/>
    <w:rsid w:val="006743A3"/>
    <w:rsid w:val="00680F28"/>
    <w:rsid w:val="00697D56"/>
    <w:rsid w:val="006B1606"/>
    <w:rsid w:val="006C28B8"/>
    <w:rsid w:val="006C3B9D"/>
    <w:rsid w:val="006D7790"/>
    <w:rsid w:val="006E4F39"/>
    <w:rsid w:val="006F299D"/>
    <w:rsid w:val="00716201"/>
    <w:rsid w:val="007253A9"/>
    <w:rsid w:val="00727D31"/>
    <w:rsid w:val="00740C16"/>
    <w:rsid w:val="00741B16"/>
    <w:rsid w:val="007613BE"/>
    <w:rsid w:val="00765096"/>
    <w:rsid w:val="007729F5"/>
    <w:rsid w:val="00786F6B"/>
    <w:rsid w:val="007A1D67"/>
    <w:rsid w:val="007A4FA8"/>
    <w:rsid w:val="007A72AB"/>
    <w:rsid w:val="007B09BA"/>
    <w:rsid w:val="007B6CF4"/>
    <w:rsid w:val="007C1C55"/>
    <w:rsid w:val="007D3975"/>
    <w:rsid w:val="007D49B6"/>
    <w:rsid w:val="007F6736"/>
    <w:rsid w:val="00807A06"/>
    <w:rsid w:val="008112D4"/>
    <w:rsid w:val="00821A43"/>
    <w:rsid w:val="008244FF"/>
    <w:rsid w:val="00825BA3"/>
    <w:rsid w:val="00825DBB"/>
    <w:rsid w:val="00826924"/>
    <w:rsid w:val="00837606"/>
    <w:rsid w:val="008403DF"/>
    <w:rsid w:val="008403EA"/>
    <w:rsid w:val="00842FC5"/>
    <w:rsid w:val="00843550"/>
    <w:rsid w:val="008458D9"/>
    <w:rsid w:val="00866A41"/>
    <w:rsid w:val="00871496"/>
    <w:rsid w:val="00886803"/>
    <w:rsid w:val="00890C08"/>
    <w:rsid w:val="00890D33"/>
    <w:rsid w:val="0089236D"/>
    <w:rsid w:val="008B3B90"/>
    <w:rsid w:val="008B67DA"/>
    <w:rsid w:val="008D00C9"/>
    <w:rsid w:val="008D11D7"/>
    <w:rsid w:val="008D2ED8"/>
    <w:rsid w:val="008D5FF8"/>
    <w:rsid w:val="008F19FD"/>
    <w:rsid w:val="0090380F"/>
    <w:rsid w:val="0091493C"/>
    <w:rsid w:val="009254FE"/>
    <w:rsid w:val="0093033D"/>
    <w:rsid w:val="009462EA"/>
    <w:rsid w:val="009646B1"/>
    <w:rsid w:val="00966679"/>
    <w:rsid w:val="0097214B"/>
    <w:rsid w:val="00972273"/>
    <w:rsid w:val="00972809"/>
    <w:rsid w:val="00973A8A"/>
    <w:rsid w:val="00976D5B"/>
    <w:rsid w:val="009838FB"/>
    <w:rsid w:val="00986377"/>
    <w:rsid w:val="00990E2E"/>
    <w:rsid w:val="00993011"/>
    <w:rsid w:val="00996CD8"/>
    <w:rsid w:val="009A62B9"/>
    <w:rsid w:val="009A7628"/>
    <w:rsid w:val="009B56A5"/>
    <w:rsid w:val="009C5DF6"/>
    <w:rsid w:val="009D03BC"/>
    <w:rsid w:val="009D666A"/>
    <w:rsid w:val="009E2DD1"/>
    <w:rsid w:val="00A07373"/>
    <w:rsid w:val="00A10695"/>
    <w:rsid w:val="00A1786B"/>
    <w:rsid w:val="00A2200E"/>
    <w:rsid w:val="00A23D6A"/>
    <w:rsid w:val="00A26F38"/>
    <w:rsid w:val="00A276E9"/>
    <w:rsid w:val="00A359B6"/>
    <w:rsid w:val="00A473C6"/>
    <w:rsid w:val="00A52BEE"/>
    <w:rsid w:val="00A54F57"/>
    <w:rsid w:val="00A56461"/>
    <w:rsid w:val="00A6402B"/>
    <w:rsid w:val="00A659B2"/>
    <w:rsid w:val="00A66536"/>
    <w:rsid w:val="00A756CC"/>
    <w:rsid w:val="00A77A2D"/>
    <w:rsid w:val="00A8260E"/>
    <w:rsid w:val="00A859A2"/>
    <w:rsid w:val="00A86C22"/>
    <w:rsid w:val="00A94EF8"/>
    <w:rsid w:val="00AA683A"/>
    <w:rsid w:val="00AB0A68"/>
    <w:rsid w:val="00AB1686"/>
    <w:rsid w:val="00AB3987"/>
    <w:rsid w:val="00AC27B2"/>
    <w:rsid w:val="00AD19F0"/>
    <w:rsid w:val="00AD7F78"/>
    <w:rsid w:val="00AE3E17"/>
    <w:rsid w:val="00AE7777"/>
    <w:rsid w:val="00AF0EC2"/>
    <w:rsid w:val="00AF1A87"/>
    <w:rsid w:val="00AF212D"/>
    <w:rsid w:val="00AF297E"/>
    <w:rsid w:val="00AF2B95"/>
    <w:rsid w:val="00B0221D"/>
    <w:rsid w:val="00B377AF"/>
    <w:rsid w:val="00B44CFB"/>
    <w:rsid w:val="00B54EEA"/>
    <w:rsid w:val="00B7509A"/>
    <w:rsid w:val="00BA0610"/>
    <w:rsid w:val="00BA2611"/>
    <w:rsid w:val="00BB1C0E"/>
    <w:rsid w:val="00BB2A1A"/>
    <w:rsid w:val="00BC69F4"/>
    <w:rsid w:val="00BD5672"/>
    <w:rsid w:val="00BD7E74"/>
    <w:rsid w:val="00BE1C21"/>
    <w:rsid w:val="00BF658E"/>
    <w:rsid w:val="00C060F9"/>
    <w:rsid w:val="00C13FDA"/>
    <w:rsid w:val="00C25EE6"/>
    <w:rsid w:val="00C26B8A"/>
    <w:rsid w:val="00C34C37"/>
    <w:rsid w:val="00C77116"/>
    <w:rsid w:val="00C806F9"/>
    <w:rsid w:val="00C8537E"/>
    <w:rsid w:val="00C87035"/>
    <w:rsid w:val="00C91301"/>
    <w:rsid w:val="00C931EB"/>
    <w:rsid w:val="00C940FA"/>
    <w:rsid w:val="00C974F9"/>
    <w:rsid w:val="00CA3EEF"/>
    <w:rsid w:val="00CB17D2"/>
    <w:rsid w:val="00CD0025"/>
    <w:rsid w:val="00CD1C04"/>
    <w:rsid w:val="00CD4687"/>
    <w:rsid w:val="00CD5123"/>
    <w:rsid w:val="00CE5CD1"/>
    <w:rsid w:val="00CF35D8"/>
    <w:rsid w:val="00D12F7C"/>
    <w:rsid w:val="00D145D7"/>
    <w:rsid w:val="00D37420"/>
    <w:rsid w:val="00D44CA0"/>
    <w:rsid w:val="00D456EB"/>
    <w:rsid w:val="00D8200C"/>
    <w:rsid w:val="00D90C3B"/>
    <w:rsid w:val="00D94F1A"/>
    <w:rsid w:val="00DA0E58"/>
    <w:rsid w:val="00DA36DA"/>
    <w:rsid w:val="00DA5B96"/>
    <w:rsid w:val="00DC64B9"/>
    <w:rsid w:val="00DC7893"/>
    <w:rsid w:val="00DD1B8A"/>
    <w:rsid w:val="00DD56BA"/>
    <w:rsid w:val="00DD5EF5"/>
    <w:rsid w:val="00DE2D15"/>
    <w:rsid w:val="00DE33C0"/>
    <w:rsid w:val="00DE33FC"/>
    <w:rsid w:val="00DE6FDF"/>
    <w:rsid w:val="00DF3126"/>
    <w:rsid w:val="00DF4002"/>
    <w:rsid w:val="00DF4038"/>
    <w:rsid w:val="00E01414"/>
    <w:rsid w:val="00E02F42"/>
    <w:rsid w:val="00E15C2E"/>
    <w:rsid w:val="00E17A7B"/>
    <w:rsid w:val="00E24BD1"/>
    <w:rsid w:val="00E36C5F"/>
    <w:rsid w:val="00E45687"/>
    <w:rsid w:val="00E51C40"/>
    <w:rsid w:val="00E57C00"/>
    <w:rsid w:val="00E71514"/>
    <w:rsid w:val="00E77871"/>
    <w:rsid w:val="00E95F34"/>
    <w:rsid w:val="00EA5F56"/>
    <w:rsid w:val="00EB576E"/>
    <w:rsid w:val="00EB6534"/>
    <w:rsid w:val="00EB7326"/>
    <w:rsid w:val="00EC1297"/>
    <w:rsid w:val="00EC6938"/>
    <w:rsid w:val="00ED17D3"/>
    <w:rsid w:val="00ED4A42"/>
    <w:rsid w:val="00ED6408"/>
    <w:rsid w:val="00EE410A"/>
    <w:rsid w:val="00EE5B07"/>
    <w:rsid w:val="00EF01D3"/>
    <w:rsid w:val="00EF7194"/>
    <w:rsid w:val="00F262B6"/>
    <w:rsid w:val="00F326CA"/>
    <w:rsid w:val="00F43F47"/>
    <w:rsid w:val="00F50F56"/>
    <w:rsid w:val="00F52136"/>
    <w:rsid w:val="00F55DEB"/>
    <w:rsid w:val="00F6652E"/>
    <w:rsid w:val="00F70BDD"/>
    <w:rsid w:val="00F72E54"/>
    <w:rsid w:val="00F74DB4"/>
    <w:rsid w:val="00F920C3"/>
    <w:rsid w:val="00F9434D"/>
    <w:rsid w:val="00FA31B0"/>
    <w:rsid w:val="00FB39CD"/>
    <w:rsid w:val="00FC65EC"/>
    <w:rsid w:val="00FD3E95"/>
    <w:rsid w:val="00FD4C8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857E5"/>
  <w15:chartTrackingRefBased/>
  <w15:docId w15:val="{38B979E4-31D9-421D-811D-41F985326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262B6"/>
  </w:style>
  <w:style w:type="paragraph" w:styleId="Pealkiri1">
    <w:name w:val="heading 1"/>
    <w:basedOn w:val="Normaallaad"/>
    <w:next w:val="Normaallaad"/>
    <w:link w:val="Pealkiri1Mrk"/>
    <w:uiPriority w:val="9"/>
    <w:qFormat/>
    <w:rsid w:val="00DA0E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DA0E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DA0E58"/>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DA0E58"/>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DA0E58"/>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DA0E58"/>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DA0E58"/>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DA0E58"/>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DA0E58"/>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DA0E58"/>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DA0E58"/>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DA0E58"/>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DA0E58"/>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DA0E58"/>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DA0E58"/>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DA0E58"/>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DA0E58"/>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DA0E58"/>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DA0E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DA0E58"/>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DA0E58"/>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DA0E58"/>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DA0E58"/>
    <w:pPr>
      <w:spacing w:before="160"/>
      <w:jc w:val="center"/>
    </w:pPr>
    <w:rPr>
      <w:i/>
      <w:iCs/>
      <w:color w:val="404040" w:themeColor="text1" w:themeTint="BF"/>
    </w:rPr>
  </w:style>
  <w:style w:type="character" w:customStyle="1" w:styleId="TsitaatMrk">
    <w:name w:val="Tsitaat Märk"/>
    <w:basedOn w:val="Liguvaikefont"/>
    <w:link w:val="Tsitaat"/>
    <w:uiPriority w:val="29"/>
    <w:rsid w:val="00DA0E58"/>
    <w:rPr>
      <w:i/>
      <w:iCs/>
      <w:color w:val="404040" w:themeColor="text1" w:themeTint="BF"/>
    </w:rPr>
  </w:style>
  <w:style w:type="paragraph" w:styleId="Loendilik">
    <w:name w:val="List Paragraph"/>
    <w:basedOn w:val="Normaallaad"/>
    <w:uiPriority w:val="34"/>
    <w:qFormat/>
    <w:rsid w:val="00DA0E58"/>
    <w:pPr>
      <w:ind w:left="720"/>
      <w:contextualSpacing/>
    </w:pPr>
  </w:style>
  <w:style w:type="character" w:styleId="Selgeltmrgatavrhutus">
    <w:name w:val="Intense Emphasis"/>
    <w:basedOn w:val="Liguvaikefont"/>
    <w:uiPriority w:val="21"/>
    <w:qFormat/>
    <w:rsid w:val="00DA0E58"/>
    <w:rPr>
      <w:i/>
      <w:iCs/>
      <w:color w:val="0F4761" w:themeColor="accent1" w:themeShade="BF"/>
    </w:rPr>
  </w:style>
  <w:style w:type="paragraph" w:styleId="Selgeltmrgatavtsitaat">
    <w:name w:val="Intense Quote"/>
    <w:basedOn w:val="Normaallaad"/>
    <w:next w:val="Normaallaad"/>
    <w:link w:val="SelgeltmrgatavtsitaatMrk"/>
    <w:uiPriority w:val="30"/>
    <w:qFormat/>
    <w:rsid w:val="00DA0E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DA0E58"/>
    <w:rPr>
      <w:i/>
      <w:iCs/>
      <w:color w:val="0F4761" w:themeColor="accent1" w:themeShade="BF"/>
    </w:rPr>
  </w:style>
  <w:style w:type="character" w:styleId="Selgeltmrgatavviide">
    <w:name w:val="Intense Reference"/>
    <w:basedOn w:val="Liguvaikefont"/>
    <w:uiPriority w:val="32"/>
    <w:qFormat/>
    <w:rsid w:val="00DA0E58"/>
    <w:rPr>
      <w:b/>
      <w:bCs/>
      <w:smallCaps/>
      <w:color w:val="0F4761" w:themeColor="accent1" w:themeShade="BF"/>
      <w:spacing w:val="5"/>
    </w:rPr>
  </w:style>
  <w:style w:type="table" w:customStyle="1" w:styleId="TableGrid2">
    <w:name w:val="Table Grid2"/>
    <w:basedOn w:val="Normaaltabel"/>
    <w:next w:val="Kontuurtabel"/>
    <w:rsid w:val="00DA0E58"/>
    <w:pPr>
      <w:spacing w:after="0" w:line="240" w:lineRule="auto"/>
    </w:pPr>
    <w:rPr>
      <w:rFonts w:ascii="Calibri" w:eastAsia="Times New Roman" w:hAnsi="Calibri" w:cs="Times New Roman"/>
      <w:kern w:val="0"/>
      <w:sz w:val="20"/>
      <w:szCs w:val="20"/>
      <w:lang w:eastAsia="et-E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ontuurtabel">
    <w:name w:val="Table Grid"/>
    <w:basedOn w:val="Normaaltabel"/>
    <w:uiPriority w:val="39"/>
    <w:rsid w:val="00DA0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num">
    <w:name w:val="Sõnum"/>
    <w:autoRedefine/>
    <w:qFormat/>
    <w:rsid w:val="00993011"/>
    <w:pPr>
      <w:spacing w:after="0" w:line="240" w:lineRule="auto"/>
      <w:jc w:val="both"/>
    </w:pPr>
    <w:rPr>
      <w:rFonts w:ascii="Times New Roman" w:eastAsia="SimSun" w:hAnsi="Times New Roman" w:cs="Mangal"/>
      <w:b/>
      <w:bCs/>
      <w:kern w:val="1"/>
      <w:sz w:val="24"/>
      <w:szCs w:val="24"/>
      <w:lang w:eastAsia="zh-CN" w:bidi="hi-IN"/>
      <w14:ligatures w14:val="none"/>
    </w:rPr>
  </w:style>
  <w:style w:type="paragraph" w:styleId="Normaallaadveeb">
    <w:name w:val="Normal (Web)"/>
    <w:basedOn w:val="Normaallaad"/>
    <w:uiPriority w:val="99"/>
    <w:unhideWhenUsed/>
    <w:rsid w:val="005E1B99"/>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paragraph" w:styleId="Kommentaaritekst">
    <w:name w:val="annotation text"/>
    <w:basedOn w:val="Normaallaad"/>
    <w:link w:val="KommentaaritekstMrk"/>
    <w:uiPriority w:val="99"/>
    <w:unhideWhenUsed/>
    <w:rsid w:val="006F299D"/>
    <w:pPr>
      <w:spacing w:after="0" w:line="240" w:lineRule="auto"/>
    </w:pPr>
    <w:rPr>
      <w:kern w:val="0"/>
      <w:sz w:val="20"/>
      <w:szCs w:val="20"/>
      <w14:ligatures w14:val="none"/>
    </w:rPr>
  </w:style>
  <w:style w:type="character" w:customStyle="1" w:styleId="KommentaaritekstMrk">
    <w:name w:val="Kommentaari tekst Märk"/>
    <w:basedOn w:val="Liguvaikefont"/>
    <w:link w:val="Kommentaaritekst"/>
    <w:uiPriority w:val="99"/>
    <w:rsid w:val="006F299D"/>
    <w:rPr>
      <w:kern w:val="0"/>
      <w:sz w:val="20"/>
      <w:szCs w:val="20"/>
      <w14:ligatures w14:val="none"/>
    </w:rPr>
  </w:style>
  <w:style w:type="character" w:styleId="Hperlink">
    <w:name w:val="Hyperlink"/>
    <w:basedOn w:val="Liguvaikefont"/>
    <w:uiPriority w:val="99"/>
    <w:rsid w:val="006F299D"/>
    <w:rPr>
      <w:color w:val="467886" w:themeColor="hyperlink"/>
      <w:u w:val="single"/>
    </w:rPr>
  </w:style>
  <w:style w:type="paragraph" w:styleId="Allmrkusetekst">
    <w:name w:val="footnote text"/>
    <w:aliases w:val="FA,Fußnote,FA Fußnotentext,Allmärkuse tekst TNR 10 (A põhilaad)"/>
    <w:basedOn w:val="Normaallaad"/>
    <w:link w:val="AllmrkusetekstMrk"/>
    <w:uiPriority w:val="99"/>
    <w:unhideWhenUsed/>
    <w:qFormat/>
    <w:rsid w:val="006F299D"/>
    <w:pPr>
      <w:spacing w:after="0" w:line="240" w:lineRule="auto"/>
      <w:ind w:left="24" w:right="132" w:hanging="10"/>
      <w:jc w:val="both"/>
    </w:pPr>
    <w:rPr>
      <w:rFonts w:ascii="Times New Roman" w:eastAsia="Times New Roman" w:hAnsi="Times New Roman" w:cs="Times New Roman"/>
      <w:color w:val="000000"/>
      <w:kern w:val="0"/>
      <w:sz w:val="20"/>
      <w:szCs w:val="20"/>
      <w:lang w:val="en-US"/>
      <w14:ligatures w14:val="none"/>
    </w:rPr>
  </w:style>
  <w:style w:type="character" w:customStyle="1" w:styleId="AllmrkusetekstMrk">
    <w:name w:val="Allmärkuse tekst Märk"/>
    <w:aliases w:val="FA Märk,Fußnote Märk,FA Fußnotentext Märk,Allmärkuse tekst TNR 10 (A põhilaad) Märk"/>
    <w:basedOn w:val="Liguvaikefont"/>
    <w:link w:val="Allmrkusetekst"/>
    <w:uiPriority w:val="99"/>
    <w:rsid w:val="006F299D"/>
    <w:rPr>
      <w:rFonts w:ascii="Times New Roman" w:eastAsia="Times New Roman" w:hAnsi="Times New Roman" w:cs="Times New Roman"/>
      <w:color w:val="000000"/>
      <w:kern w:val="0"/>
      <w:sz w:val="20"/>
      <w:szCs w:val="20"/>
      <w:lang w:val="en-US"/>
      <w14:ligatures w14:val="none"/>
    </w:rPr>
  </w:style>
  <w:style w:type="character" w:styleId="Allmrkuseviide">
    <w:name w:val="footnote reference"/>
    <w:aliases w:val="Footnote symbol,4_G,Footnotes refss,Appel note de bas de p.,Appel note de bas de p,SUPERS,Nota,Footnote"/>
    <w:basedOn w:val="Liguvaikefont"/>
    <w:uiPriority w:val="99"/>
    <w:unhideWhenUsed/>
    <w:qFormat/>
    <w:rsid w:val="006F299D"/>
    <w:rPr>
      <w:vertAlign w:val="superscript"/>
    </w:rPr>
  </w:style>
  <w:style w:type="character" w:styleId="Kommentaariviide">
    <w:name w:val="annotation reference"/>
    <w:basedOn w:val="Liguvaikefont"/>
    <w:uiPriority w:val="99"/>
    <w:semiHidden/>
    <w:unhideWhenUsed/>
    <w:rsid w:val="0093033D"/>
    <w:rPr>
      <w:sz w:val="16"/>
      <w:szCs w:val="16"/>
    </w:rPr>
  </w:style>
  <w:style w:type="paragraph" w:styleId="Kommentaariteema">
    <w:name w:val="annotation subject"/>
    <w:basedOn w:val="Kommentaaritekst"/>
    <w:next w:val="Kommentaaritekst"/>
    <w:link w:val="KommentaariteemaMrk"/>
    <w:uiPriority w:val="99"/>
    <w:semiHidden/>
    <w:unhideWhenUsed/>
    <w:rsid w:val="0093033D"/>
    <w:pPr>
      <w:spacing w:after="160"/>
    </w:pPr>
    <w:rPr>
      <w:b/>
      <w:bCs/>
      <w:kern w:val="2"/>
      <w14:ligatures w14:val="standardContextual"/>
    </w:rPr>
  </w:style>
  <w:style w:type="character" w:customStyle="1" w:styleId="KommentaariteemaMrk">
    <w:name w:val="Kommentaari teema Märk"/>
    <w:basedOn w:val="KommentaaritekstMrk"/>
    <w:link w:val="Kommentaariteema"/>
    <w:uiPriority w:val="99"/>
    <w:semiHidden/>
    <w:rsid w:val="0093033D"/>
    <w:rPr>
      <w:b/>
      <w:bCs/>
      <w:kern w:val="0"/>
      <w:sz w:val="20"/>
      <w:szCs w:val="20"/>
      <w14:ligatures w14:val="none"/>
    </w:rPr>
  </w:style>
  <w:style w:type="paragraph" w:styleId="Redaktsioon">
    <w:name w:val="Revision"/>
    <w:hidden/>
    <w:uiPriority w:val="99"/>
    <w:semiHidden/>
    <w:rsid w:val="00C26B8A"/>
    <w:pPr>
      <w:spacing w:after="0" w:line="240" w:lineRule="auto"/>
    </w:pPr>
  </w:style>
  <w:style w:type="paragraph" w:styleId="Pis">
    <w:name w:val="header"/>
    <w:basedOn w:val="Normaallaad"/>
    <w:link w:val="PisMrk"/>
    <w:uiPriority w:val="99"/>
    <w:semiHidden/>
    <w:unhideWhenUsed/>
    <w:rsid w:val="00E77871"/>
    <w:pPr>
      <w:tabs>
        <w:tab w:val="center" w:pos="4536"/>
        <w:tab w:val="right" w:pos="9072"/>
      </w:tabs>
      <w:spacing w:after="0" w:line="240" w:lineRule="auto"/>
    </w:pPr>
  </w:style>
  <w:style w:type="character" w:customStyle="1" w:styleId="PisMrk">
    <w:name w:val="Päis Märk"/>
    <w:basedOn w:val="Liguvaikefont"/>
    <w:link w:val="Pis"/>
    <w:uiPriority w:val="99"/>
    <w:semiHidden/>
    <w:rsid w:val="00E77871"/>
  </w:style>
  <w:style w:type="paragraph" w:styleId="Jalus">
    <w:name w:val="footer"/>
    <w:basedOn w:val="Normaallaad"/>
    <w:link w:val="JalusMrk"/>
    <w:uiPriority w:val="99"/>
    <w:semiHidden/>
    <w:unhideWhenUsed/>
    <w:rsid w:val="00E77871"/>
    <w:pPr>
      <w:tabs>
        <w:tab w:val="center" w:pos="4536"/>
        <w:tab w:val="right" w:pos="9072"/>
      </w:tabs>
      <w:spacing w:after="0" w:line="240" w:lineRule="auto"/>
    </w:pPr>
  </w:style>
  <w:style w:type="character" w:customStyle="1" w:styleId="JalusMrk">
    <w:name w:val="Jalus Märk"/>
    <w:basedOn w:val="Liguvaikefont"/>
    <w:link w:val="Jalus"/>
    <w:uiPriority w:val="99"/>
    <w:semiHidden/>
    <w:rsid w:val="00E778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riigiteataja.ee/akt/112072025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2F196F57F1B294CAB7F25655EC51930" ma:contentTypeVersion="0" ma:contentTypeDescription="Loo uus dokument" ma:contentTypeScope="" ma:versionID="4be5eac15f45df01cfce5ebb6858fa99">
  <xsd:schema xmlns:xsd="http://www.w3.org/2001/XMLSchema" xmlns:xs="http://www.w3.org/2001/XMLSchema" xmlns:p="http://schemas.microsoft.com/office/2006/metadata/properties" targetNamespace="http://schemas.microsoft.com/office/2006/metadata/properties" ma:root="true" ma:fieldsID="24829003ea5599f82e51e6246525cd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D1BB45-C799-42ED-B02D-61D59DE25F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5CD35B-4EBB-49D7-A24F-8F8A0DB72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47AFBFF-ACBB-4904-90D5-37565C59ED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14010</Words>
  <Characters>81258</Characters>
  <Application>Microsoft Office Word</Application>
  <DocSecurity>0</DocSecurity>
  <Lines>677</Lines>
  <Paragraphs>190</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Marge Nõmmik</dc:creator>
  <cp:keywords/>
  <dc:description/>
  <cp:lastModifiedBy>Katrin Pööra</cp:lastModifiedBy>
  <cp:revision>4</cp:revision>
  <dcterms:created xsi:type="dcterms:W3CDTF">2025-12-22T09:09:00Z</dcterms:created>
  <dcterms:modified xsi:type="dcterms:W3CDTF">2025-12-22T09:12:00Z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0x01010002F196F57F1B294CAB7F25655EC51930</vt:lpwstr>
  </property>
</Properties>
</file>