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C7CBE" w14:textId="29B5BB7F" w:rsidR="00F53F35" w:rsidRPr="0080269B" w:rsidRDefault="00C5216A" w:rsidP="00AC67A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Tulumaksuseaduse muutmise</w:t>
      </w:r>
      <w:r w:rsidR="00453502">
        <w:rPr>
          <w:rFonts w:ascii="Times New Roman" w:hAnsi="Times New Roman" w:cs="Times New Roman"/>
          <w:b/>
          <w:bCs/>
          <w:sz w:val="24"/>
          <w:szCs w:val="24"/>
        </w:rPr>
        <w:t xml:space="preserve"> eelnõu k</w:t>
      </w:r>
      <w:r w:rsidR="0080269B" w:rsidRPr="0080269B">
        <w:rPr>
          <w:rFonts w:ascii="Times New Roman" w:hAnsi="Times New Roman" w:cs="Times New Roman"/>
          <w:b/>
          <w:bCs/>
          <w:sz w:val="24"/>
          <w:szCs w:val="24"/>
        </w:rPr>
        <w:t xml:space="preserve">ooskõlastusringi </w:t>
      </w:r>
      <w:r w:rsidR="00453502">
        <w:rPr>
          <w:rFonts w:ascii="Times New Roman" w:hAnsi="Times New Roman" w:cs="Times New Roman"/>
          <w:b/>
          <w:bCs/>
          <w:sz w:val="24"/>
          <w:szCs w:val="24"/>
        </w:rPr>
        <w:t xml:space="preserve">märkuste </w:t>
      </w:r>
      <w:r w:rsidR="0080269B" w:rsidRPr="0080269B">
        <w:rPr>
          <w:rFonts w:ascii="Times New Roman" w:hAnsi="Times New Roman" w:cs="Times New Roman"/>
          <w:b/>
          <w:bCs/>
          <w:sz w:val="24"/>
          <w:szCs w:val="24"/>
        </w:rPr>
        <w:t>tabel</w:t>
      </w:r>
    </w:p>
    <w:p w14:paraId="7415F495" w14:textId="77777777" w:rsidR="0080269B" w:rsidRPr="0080269B" w:rsidRDefault="0080269B" w:rsidP="00AC67A2">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665"/>
        <w:gridCol w:w="3397"/>
      </w:tblGrid>
      <w:tr w:rsidR="00FA3CD0" w:rsidRPr="00BF2FA0" w14:paraId="363CDEE7" w14:textId="77777777" w:rsidTr="000C6488">
        <w:tc>
          <w:tcPr>
            <w:tcW w:w="5665" w:type="dxa"/>
          </w:tcPr>
          <w:p w14:paraId="1F9E3F1C" w14:textId="1F0A2C08" w:rsidR="00FA3CD0" w:rsidRPr="000C6488" w:rsidRDefault="00FA3CD0" w:rsidP="00AC67A2">
            <w:pPr>
              <w:jc w:val="both"/>
              <w:rPr>
                <w:rFonts w:ascii="Times New Roman" w:hAnsi="Times New Roman" w:cs="Times New Roman"/>
                <w:b/>
                <w:bCs/>
                <w:sz w:val="24"/>
                <w:szCs w:val="24"/>
              </w:rPr>
            </w:pPr>
            <w:r w:rsidRPr="000C6488">
              <w:rPr>
                <w:rFonts w:ascii="Times New Roman" w:hAnsi="Times New Roman" w:cs="Times New Roman"/>
                <w:b/>
                <w:bCs/>
                <w:sz w:val="24"/>
                <w:szCs w:val="24"/>
              </w:rPr>
              <w:t>Justiitsministeerium</w:t>
            </w:r>
          </w:p>
          <w:p w14:paraId="2B688460" w14:textId="73C9E7BC" w:rsidR="00AC67A2" w:rsidRDefault="00AC67A2" w:rsidP="00AC67A2">
            <w:pPr>
              <w:jc w:val="both"/>
              <w:rPr>
                <w:rFonts w:ascii="Times New Roman" w:hAnsi="Times New Roman" w:cs="Times New Roman"/>
                <w:b/>
                <w:bCs/>
                <w:color w:val="44546A" w:themeColor="text2"/>
                <w:sz w:val="24"/>
                <w:szCs w:val="24"/>
              </w:rPr>
            </w:pPr>
          </w:p>
        </w:tc>
        <w:tc>
          <w:tcPr>
            <w:tcW w:w="3397" w:type="dxa"/>
          </w:tcPr>
          <w:p w14:paraId="63AB1B22" w14:textId="77777777" w:rsidR="00FA3CD0" w:rsidRPr="00BF2FA0" w:rsidRDefault="00FA3CD0" w:rsidP="00AC67A2">
            <w:pPr>
              <w:jc w:val="both"/>
              <w:rPr>
                <w:rFonts w:ascii="Times New Roman" w:hAnsi="Times New Roman" w:cs="Times New Roman"/>
                <w:b/>
                <w:bCs/>
                <w:color w:val="44546A" w:themeColor="text2"/>
                <w:sz w:val="24"/>
                <w:szCs w:val="24"/>
              </w:rPr>
            </w:pPr>
          </w:p>
        </w:tc>
      </w:tr>
      <w:tr w:rsidR="00FA3CD0" w:rsidRPr="00BF2FA0" w14:paraId="083D4D03" w14:textId="77777777" w:rsidTr="000C6488">
        <w:tc>
          <w:tcPr>
            <w:tcW w:w="5665" w:type="dxa"/>
          </w:tcPr>
          <w:p w14:paraId="58400328" w14:textId="3F9C510F" w:rsidR="00AC67A2" w:rsidRPr="00861202" w:rsidRDefault="00AC67A2" w:rsidP="00AC67A2">
            <w:pPr>
              <w:jc w:val="both"/>
              <w:rPr>
                <w:rFonts w:ascii="Times New Roman" w:hAnsi="Times New Roman" w:cs="Times New Roman"/>
              </w:rPr>
            </w:pPr>
            <w:r>
              <w:rPr>
                <w:rFonts w:ascii="Times New Roman" w:hAnsi="Times New Roman" w:cs="Times New Roman"/>
              </w:rPr>
              <w:t>Tehniline ettepanek</w:t>
            </w:r>
            <w:r w:rsidRPr="00AC67A2">
              <w:rPr>
                <w:rFonts w:ascii="Times New Roman" w:hAnsi="Times New Roman" w:cs="Times New Roman"/>
              </w:rPr>
              <w:t xml:space="preserve"> muutmissät</w:t>
            </w:r>
            <w:r>
              <w:rPr>
                <w:rFonts w:ascii="Times New Roman" w:hAnsi="Times New Roman" w:cs="Times New Roman"/>
              </w:rPr>
              <w:t>ete ja jõustumissätete järjestuse kohta eelnõus.</w:t>
            </w:r>
            <w:r w:rsidR="00B22613">
              <w:rPr>
                <w:rFonts w:ascii="Times New Roman" w:hAnsi="Times New Roman" w:cs="Times New Roman"/>
              </w:rPr>
              <w:t xml:space="preserve"> Seletuskirja soovitused ja täpsustused.</w:t>
            </w:r>
          </w:p>
        </w:tc>
        <w:tc>
          <w:tcPr>
            <w:tcW w:w="3397" w:type="dxa"/>
          </w:tcPr>
          <w:p w14:paraId="7670AF70" w14:textId="77777777" w:rsidR="00FA3CD0" w:rsidRDefault="00AC67A2" w:rsidP="00AC67A2">
            <w:pPr>
              <w:jc w:val="both"/>
              <w:rPr>
                <w:rFonts w:ascii="Times New Roman" w:hAnsi="Times New Roman" w:cs="Times New Roman"/>
                <w:b/>
                <w:bCs/>
                <w:color w:val="000000"/>
                <w:kern w:val="0"/>
              </w:rPr>
            </w:pPr>
            <w:r>
              <w:rPr>
                <w:rFonts w:ascii="Times New Roman" w:hAnsi="Times New Roman" w:cs="Times New Roman"/>
                <w:b/>
                <w:bCs/>
                <w:color w:val="000000"/>
                <w:kern w:val="0"/>
              </w:rPr>
              <w:t>A</w:t>
            </w:r>
            <w:r w:rsidR="00C5768B">
              <w:rPr>
                <w:rFonts w:ascii="Times New Roman" w:hAnsi="Times New Roman" w:cs="Times New Roman"/>
                <w:b/>
                <w:bCs/>
                <w:color w:val="000000"/>
                <w:kern w:val="0"/>
              </w:rPr>
              <w:t>rvestatud</w:t>
            </w:r>
            <w:r w:rsidR="00FA3CD0" w:rsidRPr="00861202">
              <w:rPr>
                <w:rFonts w:ascii="Times New Roman" w:hAnsi="Times New Roman" w:cs="Times New Roman"/>
                <w:b/>
                <w:bCs/>
                <w:color w:val="000000"/>
                <w:kern w:val="0"/>
              </w:rPr>
              <w:t>.</w:t>
            </w:r>
          </w:p>
          <w:p w14:paraId="21D5C625" w14:textId="77777777" w:rsidR="00B22613" w:rsidRDefault="00B22613" w:rsidP="00AC67A2">
            <w:pPr>
              <w:jc w:val="both"/>
              <w:rPr>
                <w:rFonts w:ascii="Times New Roman" w:hAnsi="Times New Roman" w:cs="Times New Roman"/>
                <w:b/>
                <w:bCs/>
                <w:color w:val="000000"/>
                <w:kern w:val="0"/>
                <w:sz w:val="24"/>
                <w:szCs w:val="24"/>
              </w:rPr>
            </w:pPr>
          </w:p>
          <w:p w14:paraId="2AC5FB10" w14:textId="36E2059B" w:rsidR="00B22613" w:rsidRPr="00B22613" w:rsidRDefault="00B22613" w:rsidP="00AC67A2">
            <w:pPr>
              <w:jc w:val="both"/>
              <w:rPr>
                <w:rFonts w:ascii="Times New Roman" w:hAnsi="Times New Roman" w:cs="Times New Roman"/>
                <w:color w:val="44546A" w:themeColor="text2"/>
              </w:rPr>
            </w:pPr>
            <w:r w:rsidRPr="00B22613">
              <w:rPr>
                <w:rFonts w:ascii="Times New Roman" w:hAnsi="Times New Roman" w:cs="Times New Roman"/>
                <w:color w:val="000000"/>
                <w:kern w:val="0"/>
              </w:rPr>
              <w:t>Eelnõu muudetud ja seletuskirja täiendatud.</w:t>
            </w:r>
          </w:p>
        </w:tc>
      </w:tr>
      <w:tr w:rsidR="00AC67A2" w:rsidRPr="00BF2FA0" w14:paraId="1568C20A" w14:textId="77777777" w:rsidTr="000C6488">
        <w:tc>
          <w:tcPr>
            <w:tcW w:w="5665" w:type="dxa"/>
          </w:tcPr>
          <w:p w14:paraId="4DF03B57" w14:textId="77777777" w:rsidR="00AC67A2" w:rsidRDefault="00AC67A2" w:rsidP="00AC67A2">
            <w:pPr>
              <w:jc w:val="both"/>
              <w:rPr>
                <w:rFonts w:ascii="Times New Roman" w:hAnsi="Times New Roman" w:cs="Times New Roman"/>
              </w:rPr>
            </w:pPr>
            <w:r w:rsidRPr="00AC67A2">
              <w:rPr>
                <w:rFonts w:ascii="Times New Roman" w:hAnsi="Times New Roman" w:cs="Times New Roman"/>
              </w:rPr>
              <w:t xml:space="preserve">Eelnõu seletuskirjas nenditakse, et ,,Muudatuse tulemuste mõõtmiseks ei ole otstarbekas määrata konkreetseid sihttasemeid raha juurde saavate kohaliku omavalitsuse üksuste (KOV) tegevusele, sest KOVid on oma otsustes autonoomsed.’’ Samuti märgitakse, et ei ole võimalik eeldada kui suures määras täiendavat raha saavad KOVid selle arvelt oma investeeringuid või tegevuskulusid suurendavad. </w:t>
            </w:r>
          </w:p>
          <w:p w14:paraId="5E05A9D8" w14:textId="77777777" w:rsidR="00AC67A2" w:rsidRDefault="00AC67A2" w:rsidP="00AC67A2">
            <w:pPr>
              <w:jc w:val="both"/>
              <w:rPr>
                <w:rFonts w:ascii="Times New Roman" w:hAnsi="Times New Roman" w:cs="Times New Roman"/>
              </w:rPr>
            </w:pPr>
          </w:p>
          <w:p w14:paraId="443A26BE" w14:textId="3BF26429" w:rsidR="00AC67A2" w:rsidRDefault="00AC67A2" w:rsidP="00AC67A2">
            <w:pPr>
              <w:jc w:val="both"/>
              <w:rPr>
                <w:rFonts w:ascii="Times New Roman" w:hAnsi="Times New Roman" w:cs="Times New Roman"/>
              </w:rPr>
            </w:pPr>
            <w:r w:rsidRPr="00AC67A2">
              <w:rPr>
                <w:rFonts w:ascii="Times New Roman" w:hAnsi="Times New Roman" w:cs="Times New Roman"/>
              </w:rPr>
              <w:t>Sellest tulenevalt soovitame kavandada eelnõusse järelhindamise kohustust sisaldav säte. Juhendi järelhindamise sätte sõnastamiseks leiab Justiitsministeeriumi veebilehelt</w:t>
            </w:r>
            <w:r>
              <w:rPr>
                <w:rFonts w:ascii="Times New Roman" w:hAnsi="Times New Roman" w:cs="Times New Roman"/>
              </w:rPr>
              <w:t xml:space="preserve">. </w:t>
            </w:r>
          </w:p>
          <w:p w14:paraId="6D71EA31" w14:textId="2B06072C" w:rsidR="00AC67A2" w:rsidRDefault="00AC67A2" w:rsidP="00AC67A2">
            <w:pPr>
              <w:jc w:val="both"/>
              <w:rPr>
                <w:rFonts w:ascii="Times New Roman" w:hAnsi="Times New Roman" w:cs="Times New Roman"/>
              </w:rPr>
            </w:pPr>
          </w:p>
        </w:tc>
        <w:tc>
          <w:tcPr>
            <w:tcW w:w="3397" w:type="dxa"/>
          </w:tcPr>
          <w:p w14:paraId="46325EB9" w14:textId="74DFCA1B" w:rsidR="00AC67A2" w:rsidRPr="00AC67A2" w:rsidRDefault="00AC67A2" w:rsidP="000C6488">
            <w:pPr>
              <w:jc w:val="both"/>
              <w:rPr>
                <w:rFonts w:ascii="Times New Roman" w:hAnsi="Times New Roman" w:cs="Times New Roman"/>
                <w:color w:val="000000"/>
                <w:kern w:val="0"/>
              </w:rPr>
            </w:pPr>
            <w:r>
              <w:rPr>
                <w:rFonts w:ascii="Times New Roman" w:hAnsi="Times New Roman" w:cs="Times New Roman"/>
                <w:b/>
                <w:bCs/>
                <w:color w:val="000000"/>
                <w:kern w:val="0"/>
              </w:rPr>
              <w:t xml:space="preserve">Arvestatud. </w:t>
            </w:r>
            <w:r>
              <w:rPr>
                <w:rFonts w:ascii="Times New Roman" w:hAnsi="Times New Roman" w:cs="Times New Roman"/>
                <w:b/>
                <w:bCs/>
                <w:color w:val="000000"/>
                <w:kern w:val="0"/>
              </w:rPr>
              <w:br/>
            </w:r>
            <w:r w:rsidRPr="00AC67A2">
              <w:rPr>
                <w:rFonts w:ascii="Times New Roman" w:hAnsi="Times New Roman" w:cs="Times New Roman"/>
                <w:color w:val="000000"/>
                <w:kern w:val="0"/>
              </w:rPr>
              <w:t>Eelnõud täiendatud § 1 punktiga 7, millega muudetakse juba kehtiva</w:t>
            </w:r>
            <w:r w:rsidR="008674F9">
              <w:rPr>
                <w:rFonts w:ascii="Times New Roman" w:hAnsi="Times New Roman" w:cs="Times New Roman"/>
                <w:color w:val="000000"/>
                <w:kern w:val="0"/>
              </w:rPr>
              <w:t>s seaduses sisalduvat</w:t>
            </w:r>
            <w:r w:rsidRPr="00AC67A2">
              <w:rPr>
                <w:rFonts w:ascii="Times New Roman" w:hAnsi="Times New Roman" w:cs="Times New Roman"/>
                <w:color w:val="000000"/>
                <w:kern w:val="0"/>
              </w:rPr>
              <w:t xml:space="preserve"> mõjude järelhindamise kohustust lähtuvalt eelnõust. Seletuskirja täiendatud selgitustega. </w:t>
            </w:r>
          </w:p>
        </w:tc>
      </w:tr>
      <w:tr w:rsidR="00FA3CD0" w:rsidRPr="00BF2FA0" w14:paraId="47F73BA0" w14:textId="77777777" w:rsidTr="000C6488">
        <w:tc>
          <w:tcPr>
            <w:tcW w:w="5665" w:type="dxa"/>
          </w:tcPr>
          <w:p w14:paraId="1D0EC2B3" w14:textId="77777777" w:rsidR="00FA3CD0" w:rsidRPr="000C6488" w:rsidRDefault="00FA3CD0" w:rsidP="00AC67A2">
            <w:pPr>
              <w:jc w:val="both"/>
              <w:rPr>
                <w:rFonts w:ascii="Times New Roman" w:hAnsi="Times New Roman" w:cs="Times New Roman"/>
                <w:b/>
                <w:bCs/>
                <w:sz w:val="24"/>
                <w:szCs w:val="24"/>
              </w:rPr>
            </w:pPr>
            <w:r w:rsidRPr="000C6488">
              <w:rPr>
                <w:rFonts w:ascii="Times New Roman" w:hAnsi="Times New Roman" w:cs="Times New Roman"/>
                <w:b/>
                <w:bCs/>
                <w:sz w:val="24"/>
                <w:szCs w:val="24"/>
              </w:rPr>
              <w:t>Eesti Linnade ja Valdade Liit</w:t>
            </w:r>
          </w:p>
          <w:p w14:paraId="25270659" w14:textId="151E44E4" w:rsidR="00AC67A2" w:rsidRPr="000C6488" w:rsidRDefault="00AC67A2" w:rsidP="00AC67A2">
            <w:pPr>
              <w:jc w:val="both"/>
              <w:rPr>
                <w:rFonts w:ascii="Times New Roman" w:hAnsi="Times New Roman" w:cs="Times New Roman"/>
                <w:b/>
                <w:bCs/>
                <w:sz w:val="24"/>
                <w:szCs w:val="24"/>
              </w:rPr>
            </w:pPr>
          </w:p>
        </w:tc>
        <w:tc>
          <w:tcPr>
            <w:tcW w:w="3397" w:type="dxa"/>
          </w:tcPr>
          <w:p w14:paraId="652B44B2" w14:textId="77777777" w:rsidR="00FA3CD0" w:rsidRPr="00BF2FA0" w:rsidRDefault="00FA3CD0" w:rsidP="00AC67A2">
            <w:pPr>
              <w:jc w:val="both"/>
              <w:rPr>
                <w:rFonts w:ascii="Times New Roman" w:hAnsi="Times New Roman" w:cs="Times New Roman"/>
                <w:b/>
                <w:bCs/>
                <w:color w:val="44546A" w:themeColor="text2"/>
                <w:sz w:val="24"/>
                <w:szCs w:val="24"/>
              </w:rPr>
            </w:pPr>
          </w:p>
        </w:tc>
      </w:tr>
      <w:tr w:rsidR="00FA3CD0" w:rsidRPr="00BF2FA0" w14:paraId="5981DB29" w14:textId="77777777" w:rsidTr="000C6488">
        <w:tc>
          <w:tcPr>
            <w:tcW w:w="5665" w:type="dxa"/>
          </w:tcPr>
          <w:p w14:paraId="662F7C5C" w14:textId="339022E7" w:rsidR="00C85E29" w:rsidRPr="00C85E29" w:rsidRDefault="00C85E29" w:rsidP="00AC67A2">
            <w:pPr>
              <w:jc w:val="both"/>
              <w:rPr>
                <w:rFonts w:ascii="Times New Roman" w:hAnsi="Times New Roman" w:cs="Times New Roman"/>
              </w:rPr>
            </w:pPr>
            <w:r w:rsidRPr="00C85E29">
              <w:rPr>
                <w:rFonts w:ascii="Times New Roman" w:hAnsi="Times New Roman" w:cs="Times New Roman"/>
              </w:rPr>
              <w:t>Eesti Linnade ja Valdade Liit (ELVL) nõustub, et kohalike omavalitsuste maksusüsteem on</w:t>
            </w:r>
            <w:r w:rsidR="000C6488">
              <w:rPr>
                <w:rFonts w:ascii="Times New Roman" w:hAnsi="Times New Roman" w:cs="Times New Roman"/>
              </w:rPr>
              <w:t xml:space="preserve"> </w:t>
            </w:r>
            <w:r w:rsidRPr="00C85E29">
              <w:rPr>
                <w:rFonts w:ascii="Times New Roman" w:hAnsi="Times New Roman" w:cs="Times New Roman"/>
              </w:rPr>
              <w:t>regionaalpoliitika elluviimise üks olulisemaid instrumente, mis peaks aitama kaasa ühtlasema</w:t>
            </w:r>
            <w:r w:rsidR="000C6488">
              <w:rPr>
                <w:rFonts w:ascii="Times New Roman" w:hAnsi="Times New Roman" w:cs="Times New Roman"/>
              </w:rPr>
              <w:t xml:space="preserve"> </w:t>
            </w:r>
            <w:r w:rsidRPr="00C85E29">
              <w:rPr>
                <w:rFonts w:ascii="Times New Roman" w:hAnsi="Times New Roman" w:cs="Times New Roman"/>
              </w:rPr>
              <w:t>regionaalse arengu tagamisele. Samas oleme jätkuvalt seisukohal, et nii olulist tulubaasireformi</w:t>
            </w:r>
            <w:r w:rsidR="000C6488">
              <w:rPr>
                <w:rFonts w:ascii="Times New Roman" w:hAnsi="Times New Roman" w:cs="Times New Roman"/>
              </w:rPr>
              <w:t xml:space="preserve"> </w:t>
            </w:r>
            <w:r w:rsidRPr="00C85E29">
              <w:rPr>
                <w:rFonts w:ascii="Times New Roman" w:hAnsi="Times New Roman" w:cs="Times New Roman"/>
              </w:rPr>
              <w:t>ei tohiks teha kiirustades ja olukorras, kus majandus on languses. Sellises situatsioonis on eriti</w:t>
            </w:r>
            <w:r w:rsidR="000C6488">
              <w:rPr>
                <w:rFonts w:ascii="Times New Roman" w:hAnsi="Times New Roman" w:cs="Times New Roman"/>
              </w:rPr>
              <w:t xml:space="preserve"> </w:t>
            </w:r>
            <w:r w:rsidRPr="00C85E29">
              <w:rPr>
                <w:rFonts w:ascii="Times New Roman" w:hAnsi="Times New Roman" w:cs="Times New Roman"/>
              </w:rPr>
              <w:t>oluline teostada põhjalik sotsiaalmajanduslik mõjuanalüüs (sisaldaks kahte prognoosi –</w:t>
            </w:r>
          </w:p>
          <w:p w14:paraId="0D87CA88" w14:textId="5DB37C29" w:rsidR="00C85E29" w:rsidRPr="00C85E29" w:rsidRDefault="00C85E29" w:rsidP="00AC67A2">
            <w:pPr>
              <w:jc w:val="both"/>
              <w:rPr>
                <w:rFonts w:ascii="Times New Roman" w:hAnsi="Times New Roman" w:cs="Times New Roman"/>
              </w:rPr>
            </w:pPr>
            <w:r w:rsidRPr="00C85E29">
              <w:rPr>
                <w:rFonts w:ascii="Times New Roman" w:hAnsi="Times New Roman" w:cs="Times New Roman"/>
              </w:rPr>
              <w:t>optimistlik ja konservatiivne), mis muu hulgas arvestaks demograafilise struktuuri</w:t>
            </w:r>
            <w:r w:rsidR="000C6488">
              <w:rPr>
                <w:rFonts w:ascii="Times New Roman" w:hAnsi="Times New Roman" w:cs="Times New Roman"/>
              </w:rPr>
              <w:t xml:space="preserve"> </w:t>
            </w:r>
            <w:r w:rsidRPr="00C85E29">
              <w:rPr>
                <w:rFonts w:ascii="Times New Roman" w:hAnsi="Times New Roman" w:cs="Times New Roman"/>
              </w:rPr>
              <w:t>muudatustega ja peegeldaks reformi tegelikke mõjusid üle-eestiliselt. Kõigile on arusaadav, et</w:t>
            </w:r>
            <w:r w:rsidR="000C6488">
              <w:rPr>
                <w:rFonts w:ascii="Times New Roman" w:hAnsi="Times New Roman" w:cs="Times New Roman"/>
              </w:rPr>
              <w:t xml:space="preserve"> </w:t>
            </w:r>
            <w:r w:rsidRPr="00C85E29">
              <w:rPr>
                <w:rFonts w:ascii="Times New Roman" w:hAnsi="Times New Roman" w:cs="Times New Roman"/>
              </w:rPr>
              <w:t>tekkinud olukorras on oma osa puudulikul regionaalpoliitikal, haldusterritoriaalsel reformil</w:t>
            </w:r>
            <w:r w:rsidR="000C6488">
              <w:rPr>
                <w:rFonts w:ascii="Times New Roman" w:hAnsi="Times New Roman" w:cs="Times New Roman"/>
              </w:rPr>
              <w:t xml:space="preserve"> </w:t>
            </w:r>
            <w:r w:rsidRPr="00C85E29">
              <w:rPr>
                <w:rFonts w:ascii="Times New Roman" w:hAnsi="Times New Roman" w:cs="Times New Roman"/>
              </w:rPr>
              <w:t>koos oma tulemitega, demograafilisel struktuuril, rahvastiku rändel ja ettevõtluse koondumisel</w:t>
            </w:r>
            <w:r w:rsidR="000C6488">
              <w:rPr>
                <w:rFonts w:ascii="Times New Roman" w:hAnsi="Times New Roman" w:cs="Times New Roman"/>
              </w:rPr>
              <w:t xml:space="preserve"> </w:t>
            </w:r>
            <w:r w:rsidRPr="00C85E29">
              <w:rPr>
                <w:rFonts w:ascii="Times New Roman" w:hAnsi="Times New Roman" w:cs="Times New Roman"/>
              </w:rPr>
              <w:t>tõmbekeskustesse. Kohalike omavalitsuste tulubaas peab võimaldama kõigil omavalitsustel</w:t>
            </w:r>
            <w:r w:rsidR="000C6488">
              <w:rPr>
                <w:rFonts w:ascii="Times New Roman" w:hAnsi="Times New Roman" w:cs="Times New Roman"/>
              </w:rPr>
              <w:t xml:space="preserve"> </w:t>
            </w:r>
            <w:r w:rsidRPr="00C85E29">
              <w:rPr>
                <w:rFonts w:ascii="Times New Roman" w:hAnsi="Times New Roman" w:cs="Times New Roman"/>
              </w:rPr>
              <w:t>täita nende ülesandeid ja pakkuda avalikke teenuseid kõikjal ühesuguse kvaliteediga.</w:t>
            </w:r>
            <w:r w:rsidR="000C6488">
              <w:rPr>
                <w:rFonts w:ascii="Times New Roman" w:hAnsi="Times New Roman" w:cs="Times New Roman"/>
              </w:rPr>
              <w:t xml:space="preserve"> </w:t>
            </w:r>
            <w:r w:rsidRPr="00C85E29">
              <w:rPr>
                <w:rFonts w:ascii="Times New Roman" w:hAnsi="Times New Roman" w:cs="Times New Roman"/>
              </w:rPr>
              <w:t>Olemasolevat välja kujunenud tulubaasi süsteemi ei tohiks lõhkuda. Olukorras, kus kõik</w:t>
            </w:r>
            <w:r w:rsidR="000C6488">
              <w:rPr>
                <w:rFonts w:ascii="Times New Roman" w:hAnsi="Times New Roman" w:cs="Times New Roman"/>
              </w:rPr>
              <w:t xml:space="preserve"> </w:t>
            </w:r>
            <w:r w:rsidRPr="00C85E29">
              <w:rPr>
                <w:rFonts w:ascii="Times New Roman" w:hAnsi="Times New Roman" w:cs="Times New Roman"/>
              </w:rPr>
              <w:t>omavalitsused on alarahastatud, ei ole ühtedelt teistele ümber jaotamise poliitika jätkusuutlik</w:t>
            </w:r>
            <w:r w:rsidR="000C6488">
              <w:rPr>
                <w:rFonts w:ascii="Times New Roman" w:hAnsi="Times New Roman" w:cs="Times New Roman"/>
              </w:rPr>
              <w:t xml:space="preserve"> </w:t>
            </w:r>
            <w:r w:rsidRPr="00C85E29">
              <w:rPr>
                <w:rFonts w:ascii="Times New Roman" w:hAnsi="Times New Roman" w:cs="Times New Roman"/>
              </w:rPr>
              <w:t>lahendus. Pikemas ajahorisondis vähendab see kõikide omavalitsuste toimetulekut ja võimekust</w:t>
            </w:r>
            <w:r w:rsidR="000C6488">
              <w:rPr>
                <w:rFonts w:ascii="Times New Roman" w:hAnsi="Times New Roman" w:cs="Times New Roman"/>
              </w:rPr>
              <w:t xml:space="preserve"> </w:t>
            </w:r>
            <w:r w:rsidRPr="00C85E29">
              <w:rPr>
                <w:rFonts w:ascii="Times New Roman" w:hAnsi="Times New Roman" w:cs="Times New Roman"/>
              </w:rPr>
              <w:t>pakkuda kvaliteetseid teenuseid.</w:t>
            </w:r>
            <w:r w:rsidR="000C6488">
              <w:rPr>
                <w:rFonts w:ascii="Times New Roman" w:hAnsi="Times New Roman" w:cs="Times New Roman"/>
              </w:rPr>
              <w:t xml:space="preserve"> </w:t>
            </w:r>
            <w:r w:rsidRPr="00C85E29">
              <w:rPr>
                <w:rFonts w:ascii="Times New Roman" w:hAnsi="Times New Roman" w:cs="Times New Roman"/>
              </w:rPr>
              <w:t>Tulumaksuseaduse muutmise seaduse eelnõu kohaselt muudetakse kohalike omavalitsuste</w:t>
            </w:r>
            <w:r w:rsidR="000C6488">
              <w:rPr>
                <w:rFonts w:ascii="Times New Roman" w:hAnsi="Times New Roman" w:cs="Times New Roman"/>
              </w:rPr>
              <w:t xml:space="preserve"> </w:t>
            </w:r>
            <w:r w:rsidRPr="00C85E29">
              <w:rPr>
                <w:rFonts w:ascii="Times New Roman" w:hAnsi="Times New Roman" w:cs="Times New Roman"/>
              </w:rPr>
              <w:t>üksustele tulumaksu eraldamise põhimõtteid. Perioodil 2025–2027 suurendatakse järk-järgult</w:t>
            </w:r>
            <w:r w:rsidR="000C6488">
              <w:rPr>
                <w:rFonts w:ascii="Times New Roman" w:hAnsi="Times New Roman" w:cs="Times New Roman"/>
              </w:rPr>
              <w:t xml:space="preserve"> </w:t>
            </w:r>
            <w:r w:rsidRPr="00C85E29">
              <w:rPr>
                <w:rFonts w:ascii="Times New Roman" w:hAnsi="Times New Roman" w:cs="Times New Roman"/>
              </w:rPr>
              <w:t>residendist füüsilise isiku riiklikult pensionilt eraldatavat tulumaksu 2,5%-</w:t>
            </w:r>
            <w:proofErr w:type="spellStart"/>
            <w:r w:rsidRPr="00C85E29">
              <w:rPr>
                <w:rFonts w:ascii="Times New Roman" w:hAnsi="Times New Roman" w:cs="Times New Roman"/>
              </w:rPr>
              <w:t>lt</w:t>
            </w:r>
            <w:proofErr w:type="spellEnd"/>
            <w:r w:rsidRPr="00C85E29">
              <w:rPr>
                <w:rFonts w:ascii="Times New Roman" w:hAnsi="Times New Roman" w:cs="Times New Roman"/>
              </w:rPr>
              <w:t xml:space="preserve"> 10,23%-</w:t>
            </w:r>
            <w:proofErr w:type="spellStart"/>
            <w:r w:rsidRPr="00C85E29">
              <w:rPr>
                <w:rFonts w:ascii="Times New Roman" w:hAnsi="Times New Roman" w:cs="Times New Roman"/>
              </w:rPr>
              <w:t>le</w:t>
            </w:r>
            <w:proofErr w:type="spellEnd"/>
            <w:r w:rsidRPr="00C85E29">
              <w:rPr>
                <w:rFonts w:ascii="Times New Roman" w:hAnsi="Times New Roman" w:cs="Times New Roman"/>
              </w:rPr>
              <w:t xml:space="preserve"> ja samal</w:t>
            </w:r>
            <w:r w:rsidR="000C6488">
              <w:rPr>
                <w:rFonts w:ascii="Times New Roman" w:hAnsi="Times New Roman" w:cs="Times New Roman"/>
              </w:rPr>
              <w:t xml:space="preserve"> </w:t>
            </w:r>
            <w:r w:rsidRPr="00C85E29">
              <w:rPr>
                <w:rFonts w:ascii="Times New Roman" w:hAnsi="Times New Roman" w:cs="Times New Roman"/>
              </w:rPr>
              <w:t>ajal vähendatakse järk-järgult muust tulust tulumaksu 11,89%-</w:t>
            </w:r>
            <w:proofErr w:type="spellStart"/>
            <w:r w:rsidRPr="00C85E29">
              <w:rPr>
                <w:rFonts w:ascii="Times New Roman" w:hAnsi="Times New Roman" w:cs="Times New Roman"/>
              </w:rPr>
              <w:t>lt</w:t>
            </w:r>
            <w:proofErr w:type="spellEnd"/>
            <w:r w:rsidRPr="00C85E29">
              <w:rPr>
                <w:rFonts w:ascii="Times New Roman" w:hAnsi="Times New Roman" w:cs="Times New Roman"/>
              </w:rPr>
              <w:t xml:space="preserve"> 10,23%-</w:t>
            </w:r>
            <w:proofErr w:type="spellStart"/>
            <w:r w:rsidRPr="00C85E29">
              <w:rPr>
                <w:rFonts w:ascii="Times New Roman" w:hAnsi="Times New Roman" w:cs="Times New Roman"/>
              </w:rPr>
              <w:t>le</w:t>
            </w:r>
            <w:proofErr w:type="spellEnd"/>
            <w:r w:rsidRPr="00C85E29">
              <w:rPr>
                <w:rFonts w:ascii="Times New Roman" w:hAnsi="Times New Roman" w:cs="Times New Roman"/>
              </w:rPr>
              <w:t>. Muudatusega</w:t>
            </w:r>
            <w:r w:rsidR="000C6488">
              <w:rPr>
                <w:rFonts w:ascii="Times New Roman" w:hAnsi="Times New Roman" w:cs="Times New Roman"/>
              </w:rPr>
              <w:t xml:space="preserve"> </w:t>
            </w:r>
            <w:r w:rsidRPr="00C85E29">
              <w:rPr>
                <w:rFonts w:ascii="Times New Roman" w:hAnsi="Times New Roman" w:cs="Times New Roman"/>
              </w:rPr>
              <w:t>kiireneb tulumaksu laekumise kasv omavalitsustes, kus on eakate osakaal kõrge ning aeglustub</w:t>
            </w:r>
            <w:r w:rsidR="000C6488">
              <w:rPr>
                <w:rFonts w:ascii="Times New Roman" w:hAnsi="Times New Roman" w:cs="Times New Roman"/>
              </w:rPr>
              <w:t xml:space="preserve"> </w:t>
            </w:r>
            <w:r w:rsidRPr="00C85E29">
              <w:rPr>
                <w:rFonts w:ascii="Times New Roman" w:hAnsi="Times New Roman" w:cs="Times New Roman"/>
              </w:rPr>
              <w:t xml:space="preserve">kasv omavalitsustes, kus on kõrgem tööealiste </w:t>
            </w:r>
            <w:r w:rsidRPr="00C85E29">
              <w:rPr>
                <w:rFonts w:ascii="Times New Roman" w:hAnsi="Times New Roman" w:cs="Times New Roman"/>
              </w:rPr>
              <w:lastRenderedPageBreak/>
              <w:t>osakaal ja palgatase. Muudatus on riigieelarve</w:t>
            </w:r>
            <w:r w:rsidR="000C6488">
              <w:rPr>
                <w:rFonts w:ascii="Times New Roman" w:hAnsi="Times New Roman" w:cs="Times New Roman"/>
              </w:rPr>
              <w:t xml:space="preserve"> </w:t>
            </w:r>
            <w:r w:rsidRPr="00C85E29">
              <w:rPr>
                <w:rFonts w:ascii="Times New Roman" w:hAnsi="Times New Roman" w:cs="Times New Roman"/>
              </w:rPr>
              <w:t>neutraalne ning omavalitsuste tulubaas jääb kogusummas samaks.</w:t>
            </w:r>
          </w:p>
          <w:p w14:paraId="22B1382B" w14:textId="0DBF62C9" w:rsidR="00C85E29" w:rsidRPr="00C85E29" w:rsidRDefault="00C85E29" w:rsidP="00AC67A2">
            <w:pPr>
              <w:jc w:val="both"/>
              <w:rPr>
                <w:rFonts w:ascii="Times New Roman" w:hAnsi="Times New Roman" w:cs="Times New Roman"/>
              </w:rPr>
            </w:pPr>
            <w:r w:rsidRPr="00C85E29">
              <w:rPr>
                <w:rFonts w:ascii="Times New Roman" w:hAnsi="Times New Roman" w:cs="Times New Roman"/>
              </w:rPr>
              <w:t>Vabariigi Valitsuse tegevusprogrammi 2023-2027 punkt 7.1.2 näeb ette omavalitsuste tulubaasi</w:t>
            </w:r>
            <w:r w:rsidR="000C6488">
              <w:rPr>
                <w:rFonts w:ascii="Times New Roman" w:hAnsi="Times New Roman" w:cs="Times New Roman"/>
              </w:rPr>
              <w:t xml:space="preserve"> </w:t>
            </w:r>
            <w:r w:rsidRPr="00C85E29">
              <w:rPr>
                <w:rFonts w:ascii="Times New Roman" w:hAnsi="Times New Roman" w:cs="Times New Roman"/>
              </w:rPr>
              <w:t xml:space="preserve">tasakaalustamist, et vähendada </w:t>
            </w:r>
            <w:proofErr w:type="spellStart"/>
            <w:r w:rsidRPr="00C85E29">
              <w:rPr>
                <w:rFonts w:ascii="Times New Roman" w:hAnsi="Times New Roman" w:cs="Times New Roman"/>
              </w:rPr>
              <w:t>valglinnastumise</w:t>
            </w:r>
            <w:proofErr w:type="spellEnd"/>
            <w:r w:rsidRPr="00C85E29">
              <w:rPr>
                <w:rFonts w:ascii="Times New Roman" w:hAnsi="Times New Roman" w:cs="Times New Roman"/>
              </w:rPr>
              <w:t xml:space="preserve"> ja regionaalse mahajäämuse negatiivseid</w:t>
            </w:r>
            <w:r w:rsidR="000C6488">
              <w:rPr>
                <w:rFonts w:ascii="Times New Roman" w:hAnsi="Times New Roman" w:cs="Times New Roman"/>
              </w:rPr>
              <w:t xml:space="preserve"> </w:t>
            </w:r>
            <w:r w:rsidRPr="00C85E29">
              <w:rPr>
                <w:rFonts w:ascii="Times New Roman" w:hAnsi="Times New Roman" w:cs="Times New Roman"/>
              </w:rPr>
              <w:t>mõjusid, arvestades mh rahvastiku jaotust ja töökohtade paiknemist. Muudatuste eesmärk on</w:t>
            </w:r>
            <w:r w:rsidR="000C6488">
              <w:rPr>
                <w:rFonts w:ascii="Times New Roman" w:hAnsi="Times New Roman" w:cs="Times New Roman"/>
              </w:rPr>
              <w:t xml:space="preserve"> </w:t>
            </w:r>
            <w:r w:rsidRPr="00C85E29">
              <w:rPr>
                <w:rFonts w:ascii="Times New Roman" w:hAnsi="Times New Roman" w:cs="Times New Roman"/>
              </w:rPr>
              <w:t>suurt pilti silmas pidades üllas ning muudatus eelduslikult suurendab kehvema tulubaasiga</w:t>
            </w:r>
            <w:r w:rsidR="000C6488">
              <w:rPr>
                <w:rFonts w:ascii="Times New Roman" w:hAnsi="Times New Roman" w:cs="Times New Roman"/>
              </w:rPr>
              <w:t xml:space="preserve"> </w:t>
            </w:r>
            <w:r w:rsidRPr="00C85E29">
              <w:rPr>
                <w:rFonts w:ascii="Times New Roman" w:hAnsi="Times New Roman" w:cs="Times New Roman"/>
              </w:rPr>
              <w:t>omavalitsuste tulusid. Siiski juhime tähelepanu sellele, et oma tulubaasi eelduslikult kaotavatel</w:t>
            </w:r>
            <w:r w:rsidR="000C6488">
              <w:rPr>
                <w:rFonts w:ascii="Times New Roman" w:hAnsi="Times New Roman" w:cs="Times New Roman"/>
              </w:rPr>
              <w:t xml:space="preserve"> </w:t>
            </w:r>
            <w:r w:rsidRPr="00C85E29">
              <w:rPr>
                <w:rFonts w:ascii="Times New Roman" w:hAnsi="Times New Roman" w:cs="Times New Roman"/>
              </w:rPr>
              <w:t>omavalitsustel puudub õiguskindlus ja selgus, et kompensatsioon, mida eelnõu seletuskirjas</w:t>
            </w:r>
            <w:r w:rsidR="000C6488">
              <w:rPr>
                <w:rFonts w:ascii="Times New Roman" w:hAnsi="Times New Roman" w:cs="Times New Roman"/>
              </w:rPr>
              <w:t xml:space="preserve"> </w:t>
            </w:r>
            <w:r w:rsidRPr="00C85E29">
              <w:rPr>
                <w:rFonts w:ascii="Times New Roman" w:hAnsi="Times New Roman" w:cs="Times New Roman"/>
              </w:rPr>
              <w:t>(edaspidi ka SE) on kirjeldatud, ka selliselt realiseeruks.</w:t>
            </w:r>
          </w:p>
          <w:p w14:paraId="08AE265D" w14:textId="308320A8" w:rsidR="00C85E29" w:rsidRPr="00C85E29" w:rsidRDefault="00C85E29" w:rsidP="00AC67A2">
            <w:pPr>
              <w:jc w:val="both"/>
              <w:rPr>
                <w:rFonts w:ascii="Times New Roman" w:hAnsi="Times New Roman" w:cs="Times New Roman"/>
              </w:rPr>
            </w:pPr>
            <w:r w:rsidRPr="00C85E29">
              <w:rPr>
                <w:rFonts w:ascii="Times New Roman" w:hAnsi="Times New Roman" w:cs="Times New Roman"/>
              </w:rPr>
              <w:t xml:space="preserve">Seletuskirjas on märgitud: “Vastav kompensatsioon ei ole </w:t>
            </w:r>
            <w:proofErr w:type="spellStart"/>
            <w:r w:rsidRPr="00C85E29">
              <w:rPr>
                <w:rFonts w:ascii="Times New Roman" w:hAnsi="Times New Roman" w:cs="Times New Roman"/>
              </w:rPr>
              <w:t>TuMS</w:t>
            </w:r>
            <w:proofErr w:type="spellEnd"/>
            <w:r w:rsidRPr="00C85E29">
              <w:rPr>
                <w:rFonts w:ascii="Times New Roman" w:hAnsi="Times New Roman" w:cs="Times New Roman"/>
              </w:rPr>
              <w:t xml:space="preserve"> reguleerimisalas, vaid nähakse</w:t>
            </w:r>
            <w:r w:rsidR="000C6488">
              <w:rPr>
                <w:rFonts w:ascii="Times New Roman" w:hAnsi="Times New Roman" w:cs="Times New Roman"/>
              </w:rPr>
              <w:t xml:space="preserve"> </w:t>
            </w:r>
            <w:r w:rsidRPr="00C85E29">
              <w:rPr>
                <w:rFonts w:ascii="Times New Roman" w:hAnsi="Times New Roman" w:cs="Times New Roman"/>
              </w:rPr>
              <w:t>ette omavalitsuste tasandusfondis tulude-kulude tasandamisest eraldi. Kompensatsioon</w:t>
            </w:r>
            <w:r w:rsidR="000C6488">
              <w:rPr>
                <w:rFonts w:ascii="Times New Roman" w:hAnsi="Times New Roman" w:cs="Times New Roman"/>
              </w:rPr>
              <w:t xml:space="preserve"> </w:t>
            </w:r>
            <w:r w:rsidRPr="00C85E29">
              <w:rPr>
                <w:rFonts w:ascii="Times New Roman" w:hAnsi="Times New Roman" w:cs="Times New Roman"/>
              </w:rPr>
              <w:t>arvutatakse välja prognoosi alusel 2024. a ja hiljem ei muudeta tulenevalt prognooside või</w:t>
            </w:r>
            <w:r w:rsidR="000C6488">
              <w:rPr>
                <w:rFonts w:ascii="Times New Roman" w:hAnsi="Times New Roman" w:cs="Times New Roman"/>
              </w:rPr>
              <w:t xml:space="preserve"> </w:t>
            </w:r>
            <w:r w:rsidRPr="00C85E29">
              <w:rPr>
                <w:rFonts w:ascii="Times New Roman" w:hAnsi="Times New Roman" w:cs="Times New Roman"/>
              </w:rPr>
              <w:t>laekumiste muutumisest. Alates 2030. a hakkab kompensatsioon vähenema aastas 15</w:t>
            </w:r>
            <w:r w:rsidR="000C6488">
              <w:rPr>
                <w:rFonts w:ascii="Times New Roman" w:hAnsi="Times New Roman" w:cs="Times New Roman"/>
              </w:rPr>
              <w:t xml:space="preserve"> </w:t>
            </w:r>
            <w:r w:rsidRPr="00C85E29">
              <w:rPr>
                <w:rFonts w:ascii="Times New Roman" w:hAnsi="Times New Roman" w:cs="Times New Roman"/>
              </w:rPr>
              <w:t>protsendipunktise sammuga 2029. aasta summast arvestades ja jõuab nulli 2036. a. Vabanev</w:t>
            </w:r>
            <w:r w:rsidR="000C6488">
              <w:rPr>
                <w:rFonts w:ascii="Times New Roman" w:hAnsi="Times New Roman" w:cs="Times New Roman"/>
              </w:rPr>
              <w:t xml:space="preserve"> </w:t>
            </w:r>
            <w:r w:rsidRPr="00C85E29">
              <w:rPr>
                <w:rFonts w:ascii="Times New Roman" w:hAnsi="Times New Roman" w:cs="Times New Roman"/>
              </w:rPr>
              <w:t>raha suunatakse tasandusfondi tulude ja kulude ühtlustamiseks.” (SE lk 11). Seletuskirja</w:t>
            </w:r>
            <w:r w:rsidR="000C6488">
              <w:rPr>
                <w:rFonts w:ascii="Times New Roman" w:hAnsi="Times New Roman" w:cs="Times New Roman"/>
              </w:rPr>
              <w:t xml:space="preserve"> </w:t>
            </w:r>
            <w:r w:rsidRPr="00C85E29">
              <w:rPr>
                <w:rFonts w:ascii="Times New Roman" w:hAnsi="Times New Roman" w:cs="Times New Roman"/>
              </w:rPr>
              <w:t>leheküljel 11 on lisaks ka toodud välja tabelina kompensatsioon tasandusfondis, kuid puudub</w:t>
            </w:r>
            <w:r w:rsidR="000C6488">
              <w:rPr>
                <w:rFonts w:ascii="Times New Roman" w:hAnsi="Times New Roman" w:cs="Times New Roman"/>
              </w:rPr>
              <w:t xml:space="preserve"> </w:t>
            </w:r>
            <w:r w:rsidRPr="00C85E29">
              <w:rPr>
                <w:rFonts w:ascii="Times New Roman" w:hAnsi="Times New Roman" w:cs="Times New Roman"/>
              </w:rPr>
              <w:t>viide, kuidas seda õiguslikult fikseerida soovitakse. SE lk 13 väidetakse, et muudatusega ühegi</w:t>
            </w:r>
            <w:r w:rsidR="000C6488">
              <w:rPr>
                <w:rFonts w:ascii="Times New Roman" w:hAnsi="Times New Roman" w:cs="Times New Roman"/>
              </w:rPr>
              <w:t xml:space="preserve"> </w:t>
            </w:r>
            <w:r w:rsidRPr="00C85E29">
              <w:rPr>
                <w:rFonts w:ascii="Times New Roman" w:hAnsi="Times New Roman" w:cs="Times New Roman"/>
              </w:rPr>
              <w:t>omavalitsuse tulubaasi taset ei vähendata, vaid vähendatakse piiratud aja jooksul osade omavalitsuste tulubaasi kasvutempot ning sellele kasvutempo vähenemisele on seatud ka aastane piirang ehk muudatusest tingitud tulude vähenemise kompensatsioon.</w:t>
            </w:r>
          </w:p>
          <w:p w14:paraId="1C027708" w14:textId="77777777" w:rsidR="00C85E29" w:rsidRPr="00C85E29" w:rsidRDefault="00C85E29" w:rsidP="00AC67A2">
            <w:pPr>
              <w:jc w:val="both"/>
              <w:rPr>
                <w:rFonts w:ascii="Times New Roman" w:hAnsi="Times New Roman" w:cs="Times New Roman"/>
              </w:rPr>
            </w:pPr>
            <w:r w:rsidRPr="00C85E29">
              <w:rPr>
                <w:rFonts w:ascii="Times New Roman" w:hAnsi="Times New Roman" w:cs="Times New Roman"/>
              </w:rPr>
              <w:t>Seaduse seletuskiri iseenesest õiguslikult ei kohusta ja selle alusel ei ole võimalik näiteks omavalitsustel õiguskaitset taotleda olukorras, kus riik käitub sõnamurdlikult ning otsustab lubatud kompensatsiooni vähendada või üldse sellest loobud. Õigusselguse huvides on oluline, et kompensatsiooni maksmise põhimõtted on määratletud materiaalõiguslikul alusel, mitte pelgalt seaduse eelnõu seletuskirjas.</w:t>
            </w:r>
          </w:p>
          <w:p w14:paraId="72B75698" w14:textId="259D3F0E" w:rsidR="00FA3CD0" w:rsidRPr="00C85E29" w:rsidRDefault="00C85E29" w:rsidP="00AC67A2">
            <w:pPr>
              <w:jc w:val="both"/>
              <w:rPr>
                <w:rFonts w:ascii="Times New Roman" w:hAnsi="Times New Roman" w:cs="Times New Roman"/>
              </w:rPr>
            </w:pPr>
            <w:r w:rsidRPr="00C85E29">
              <w:rPr>
                <w:rFonts w:ascii="Times New Roman" w:hAnsi="Times New Roman" w:cs="Times New Roman"/>
              </w:rPr>
              <w:t>Tuginedes eelpool toodule ja liikmetelt laekunud ettepanekutele ja arvamustele, Eesti Linnade ja Valdade Liit kooskõlastab märkustega esitatud tulumaksuseaduse muutmise seaduse eelnõu.</w:t>
            </w:r>
          </w:p>
        </w:tc>
        <w:tc>
          <w:tcPr>
            <w:tcW w:w="3397" w:type="dxa"/>
          </w:tcPr>
          <w:p w14:paraId="017A6517" w14:textId="77777777" w:rsidR="00FA3CD0" w:rsidRPr="00C85E29" w:rsidRDefault="00FA3CD0" w:rsidP="00AC67A2">
            <w:pPr>
              <w:jc w:val="both"/>
              <w:rPr>
                <w:rFonts w:ascii="Times New Roman" w:hAnsi="Times New Roman" w:cs="Times New Roman"/>
                <w:b/>
                <w:bCs/>
                <w:kern w:val="0"/>
              </w:rPr>
            </w:pPr>
            <w:r w:rsidRPr="00C85E29">
              <w:rPr>
                <w:rFonts w:ascii="Times New Roman" w:hAnsi="Times New Roman" w:cs="Times New Roman"/>
                <w:b/>
                <w:bCs/>
                <w:kern w:val="0"/>
              </w:rPr>
              <w:lastRenderedPageBreak/>
              <w:t>Selgitus</w:t>
            </w:r>
          </w:p>
          <w:p w14:paraId="7E81ED84" w14:textId="64F292F4" w:rsidR="00FA3CD0" w:rsidRPr="00C85E29" w:rsidRDefault="00C85E29" w:rsidP="00AC67A2">
            <w:pPr>
              <w:jc w:val="both"/>
              <w:rPr>
                <w:rFonts w:ascii="Times New Roman" w:hAnsi="Times New Roman" w:cs="Times New Roman"/>
              </w:rPr>
            </w:pPr>
            <w:r w:rsidRPr="00C85E29">
              <w:rPr>
                <w:rFonts w:ascii="Times New Roman" w:hAnsi="Times New Roman" w:cs="Times New Roman"/>
              </w:rPr>
              <w:t>Tulumaksu vähenemise kompensatsioon</w:t>
            </w:r>
            <w:r>
              <w:rPr>
                <w:rFonts w:ascii="Times New Roman" w:hAnsi="Times New Roman" w:cs="Times New Roman"/>
              </w:rPr>
              <w:t xml:space="preserve"> ei kuulu </w:t>
            </w:r>
            <w:proofErr w:type="spellStart"/>
            <w:r>
              <w:rPr>
                <w:rFonts w:ascii="Times New Roman" w:hAnsi="Times New Roman" w:cs="Times New Roman"/>
              </w:rPr>
              <w:t>TuMS</w:t>
            </w:r>
            <w:proofErr w:type="spellEnd"/>
            <w:r>
              <w:rPr>
                <w:rFonts w:ascii="Times New Roman" w:hAnsi="Times New Roman" w:cs="Times New Roman"/>
              </w:rPr>
              <w:t xml:space="preserve"> reguleerimisalasse, sest kompensatsioon eraldatakse riigieelarvest tasandusfondi eraldisena (ei arvestata KOVide tulukusega</w:t>
            </w:r>
            <w:r w:rsidR="00647FEB">
              <w:rPr>
                <w:rFonts w:ascii="Times New Roman" w:hAnsi="Times New Roman" w:cs="Times New Roman"/>
              </w:rPr>
              <w:t>)</w:t>
            </w:r>
            <w:r>
              <w:rPr>
                <w:rFonts w:ascii="Times New Roman" w:hAnsi="Times New Roman" w:cs="Times New Roman"/>
              </w:rPr>
              <w:t>. Kompensatsiooni suurus ja jaotusvalem saavad olema iga aastase</w:t>
            </w:r>
            <w:r w:rsidR="00647FEB">
              <w:rPr>
                <w:rFonts w:ascii="Times New Roman" w:hAnsi="Times New Roman" w:cs="Times New Roman"/>
              </w:rPr>
              <w:t>s</w:t>
            </w:r>
            <w:r>
              <w:rPr>
                <w:rFonts w:ascii="Times New Roman" w:hAnsi="Times New Roman" w:cs="Times New Roman"/>
              </w:rPr>
              <w:t xml:space="preserve"> riigieelarve seaduses. Varasemalt on nt keskkonnatasude muudatuse puhul sama moodi kompensatsioon</w:t>
            </w:r>
            <w:r w:rsidR="00647FEB">
              <w:rPr>
                <w:rFonts w:ascii="Times New Roman" w:hAnsi="Times New Roman" w:cs="Times New Roman"/>
              </w:rPr>
              <w:t xml:space="preserve">iga tehtud. </w:t>
            </w:r>
          </w:p>
        </w:tc>
      </w:tr>
    </w:tbl>
    <w:p w14:paraId="1B1B2E63" w14:textId="77777777" w:rsidR="0080269B" w:rsidRPr="0080269B" w:rsidRDefault="0080269B" w:rsidP="00AC67A2">
      <w:pPr>
        <w:spacing w:after="0" w:line="240" w:lineRule="auto"/>
        <w:jc w:val="both"/>
        <w:rPr>
          <w:rFonts w:ascii="Times New Roman" w:hAnsi="Times New Roman" w:cs="Times New Roman"/>
          <w:sz w:val="24"/>
          <w:szCs w:val="24"/>
        </w:rPr>
      </w:pPr>
    </w:p>
    <w:sectPr w:rsidR="0080269B" w:rsidRPr="008026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765FF" w14:textId="77777777" w:rsidR="00FA6C98" w:rsidRDefault="00FA6C98" w:rsidP="004C638F">
      <w:pPr>
        <w:spacing w:after="0" w:line="240" w:lineRule="auto"/>
      </w:pPr>
      <w:r>
        <w:separator/>
      </w:r>
    </w:p>
  </w:endnote>
  <w:endnote w:type="continuationSeparator" w:id="0">
    <w:p w14:paraId="2671479B" w14:textId="77777777" w:rsidR="00FA6C98" w:rsidRDefault="00FA6C98" w:rsidP="004C6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F3DF2" w14:textId="77777777" w:rsidR="00FA6C98" w:rsidRDefault="00FA6C98" w:rsidP="004C638F">
      <w:pPr>
        <w:spacing w:after="0" w:line="240" w:lineRule="auto"/>
      </w:pPr>
      <w:r>
        <w:separator/>
      </w:r>
    </w:p>
  </w:footnote>
  <w:footnote w:type="continuationSeparator" w:id="0">
    <w:p w14:paraId="6E6AAB44" w14:textId="77777777" w:rsidR="00FA6C98" w:rsidRDefault="00FA6C98" w:rsidP="004C6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5A33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F0B7D6"/>
    <w:multiLevelType w:val="hybridMultilevel"/>
    <w:tmpl w:val="C4CE86C6"/>
    <w:lvl w:ilvl="0" w:tplc="042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16F98C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147703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E17720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41C0E2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9A763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A5B507B"/>
    <w:multiLevelType w:val="hybridMultilevel"/>
    <w:tmpl w:val="77D6B2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F9D12C1"/>
    <w:multiLevelType w:val="hybridMultilevel"/>
    <w:tmpl w:val="C4881FA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B0F2BCE"/>
    <w:multiLevelType w:val="hybridMultilevel"/>
    <w:tmpl w:val="AECC7D5E"/>
    <w:lvl w:ilvl="0" w:tplc="042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0D3D7E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2BE5B01"/>
    <w:multiLevelType w:val="hybridMultilevel"/>
    <w:tmpl w:val="900C9E3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2" w15:restartNumberingAfterBreak="0">
    <w:nsid w:val="34D847F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E8A5222"/>
    <w:multiLevelType w:val="hybridMultilevel"/>
    <w:tmpl w:val="00D4FE0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4" w15:restartNumberingAfterBreak="0">
    <w:nsid w:val="64AF377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B507D5A"/>
    <w:multiLevelType w:val="hybridMultilevel"/>
    <w:tmpl w:val="6D4C87A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6913446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3838734">
    <w:abstractNumId w:val="8"/>
  </w:num>
  <w:num w:numId="3" w16cid:durableId="1589659790">
    <w:abstractNumId w:val="11"/>
  </w:num>
  <w:num w:numId="4" w16cid:durableId="1735658132">
    <w:abstractNumId w:val="3"/>
  </w:num>
  <w:num w:numId="5" w16cid:durableId="1546287466">
    <w:abstractNumId w:val="10"/>
  </w:num>
  <w:num w:numId="6" w16cid:durableId="2139909984">
    <w:abstractNumId w:val="0"/>
  </w:num>
  <w:num w:numId="7" w16cid:durableId="225799753">
    <w:abstractNumId w:val="4"/>
  </w:num>
  <w:num w:numId="8" w16cid:durableId="1743675426">
    <w:abstractNumId w:val="6"/>
  </w:num>
  <w:num w:numId="9" w16cid:durableId="823743065">
    <w:abstractNumId w:val="1"/>
  </w:num>
  <w:num w:numId="10" w16cid:durableId="808597272">
    <w:abstractNumId w:val="2"/>
  </w:num>
  <w:num w:numId="11" w16cid:durableId="817696191">
    <w:abstractNumId w:val="5"/>
  </w:num>
  <w:num w:numId="12" w16cid:durableId="2027511897">
    <w:abstractNumId w:val="12"/>
  </w:num>
  <w:num w:numId="13" w16cid:durableId="1815829489">
    <w:abstractNumId w:val="14"/>
  </w:num>
  <w:num w:numId="14" w16cid:durableId="632246912">
    <w:abstractNumId w:val="13"/>
  </w:num>
  <w:num w:numId="15" w16cid:durableId="804665783">
    <w:abstractNumId w:val="9"/>
  </w:num>
  <w:num w:numId="16" w16cid:durableId="16543356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69B"/>
    <w:rsid w:val="000003C7"/>
    <w:rsid w:val="000359F2"/>
    <w:rsid w:val="00047793"/>
    <w:rsid w:val="000C6488"/>
    <w:rsid w:val="000D43D7"/>
    <w:rsid w:val="000E493F"/>
    <w:rsid w:val="000E7B29"/>
    <w:rsid w:val="00183D4F"/>
    <w:rsid w:val="001A380E"/>
    <w:rsid w:val="002806E2"/>
    <w:rsid w:val="00281373"/>
    <w:rsid w:val="002949F0"/>
    <w:rsid w:val="0030788F"/>
    <w:rsid w:val="00374F31"/>
    <w:rsid w:val="00384555"/>
    <w:rsid w:val="003921E9"/>
    <w:rsid w:val="0039591E"/>
    <w:rsid w:val="003E0268"/>
    <w:rsid w:val="00453502"/>
    <w:rsid w:val="004C638F"/>
    <w:rsid w:val="004D04CE"/>
    <w:rsid w:val="004D319C"/>
    <w:rsid w:val="0052288A"/>
    <w:rsid w:val="005A26CF"/>
    <w:rsid w:val="005A75E5"/>
    <w:rsid w:val="005F79F4"/>
    <w:rsid w:val="00614C0C"/>
    <w:rsid w:val="00647FEB"/>
    <w:rsid w:val="006A059D"/>
    <w:rsid w:val="006A244C"/>
    <w:rsid w:val="006D067E"/>
    <w:rsid w:val="007014E0"/>
    <w:rsid w:val="007740DE"/>
    <w:rsid w:val="0080269B"/>
    <w:rsid w:val="0081062E"/>
    <w:rsid w:val="00845997"/>
    <w:rsid w:val="00857FA4"/>
    <w:rsid w:val="00861202"/>
    <w:rsid w:val="0086420E"/>
    <w:rsid w:val="008674F9"/>
    <w:rsid w:val="008C0F4D"/>
    <w:rsid w:val="008F5E34"/>
    <w:rsid w:val="0098476D"/>
    <w:rsid w:val="00A31065"/>
    <w:rsid w:val="00AC464D"/>
    <w:rsid w:val="00AC67A2"/>
    <w:rsid w:val="00AD6890"/>
    <w:rsid w:val="00B21478"/>
    <w:rsid w:val="00B22613"/>
    <w:rsid w:val="00BC73A6"/>
    <w:rsid w:val="00BF2FA0"/>
    <w:rsid w:val="00C5216A"/>
    <w:rsid w:val="00C533BC"/>
    <w:rsid w:val="00C5768B"/>
    <w:rsid w:val="00C67C70"/>
    <w:rsid w:val="00C85E29"/>
    <w:rsid w:val="00C8634B"/>
    <w:rsid w:val="00D1426A"/>
    <w:rsid w:val="00D15A6D"/>
    <w:rsid w:val="00D435D8"/>
    <w:rsid w:val="00D96B1B"/>
    <w:rsid w:val="00DE606E"/>
    <w:rsid w:val="00E07237"/>
    <w:rsid w:val="00E27441"/>
    <w:rsid w:val="00E3601F"/>
    <w:rsid w:val="00ED6DF7"/>
    <w:rsid w:val="00ED730C"/>
    <w:rsid w:val="00F328BB"/>
    <w:rsid w:val="00F45269"/>
    <w:rsid w:val="00F53F35"/>
    <w:rsid w:val="00FA3CD0"/>
    <w:rsid w:val="00FA6C98"/>
    <w:rsid w:val="00FD21B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60E4B"/>
  <w15:chartTrackingRefBased/>
  <w15:docId w15:val="{922B59BB-DE00-4282-A51F-101A988F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D6DF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t-E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2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269B"/>
    <w:pPr>
      <w:spacing w:after="0" w:line="240" w:lineRule="auto"/>
      <w:ind w:left="720"/>
      <w:contextualSpacing/>
      <w:jc w:val="both"/>
    </w:pPr>
    <w:rPr>
      <w:rFonts w:ascii="Times New Roman" w:eastAsia="Times New Roman" w:hAnsi="Times New Roman" w:cs="Times New Roman"/>
      <w:kern w:val="0"/>
      <w:sz w:val="24"/>
      <w:szCs w:val="24"/>
      <w14:ligatures w14:val="none"/>
    </w:rPr>
  </w:style>
  <w:style w:type="paragraph" w:customStyle="1" w:styleId="Default">
    <w:name w:val="Default"/>
    <w:rsid w:val="00C67C70"/>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rmalWeb">
    <w:name w:val="Normal (Web)"/>
    <w:basedOn w:val="Normal"/>
    <w:uiPriority w:val="99"/>
    <w:semiHidden/>
    <w:unhideWhenUsed/>
    <w:rsid w:val="005A75E5"/>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Heading3Char">
    <w:name w:val="Heading 3 Char"/>
    <w:basedOn w:val="DefaultParagraphFont"/>
    <w:link w:val="Heading3"/>
    <w:uiPriority w:val="9"/>
    <w:rsid w:val="00ED6DF7"/>
    <w:rPr>
      <w:rFonts w:ascii="Times New Roman" w:eastAsia="Times New Roman" w:hAnsi="Times New Roman" w:cs="Times New Roman"/>
      <w:b/>
      <w:bCs/>
      <w:kern w:val="0"/>
      <w:sz w:val="27"/>
      <w:szCs w:val="27"/>
      <w:lang w:eastAsia="et-EE"/>
      <w14:ligatures w14:val="none"/>
    </w:rPr>
  </w:style>
  <w:style w:type="character" w:styleId="Strong">
    <w:name w:val="Strong"/>
    <w:basedOn w:val="DefaultParagraphFont"/>
    <w:uiPriority w:val="22"/>
    <w:qFormat/>
    <w:rsid w:val="00ED6DF7"/>
    <w:rPr>
      <w:b/>
      <w:bCs/>
    </w:r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l"/>
    <w:link w:val="FootnoteTextChar"/>
    <w:uiPriority w:val="99"/>
    <w:unhideWhenUsed/>
    <w:qFormat/>
    <w:rsid w:val="004C638F"/>
    <w:pPr>
      <w:spacing w:after="0" w:line="240" w:lineRule="auto"/>
      <w:ind w:left="-57"/>
    </w:pPr>
    <w:rPr>
      <w:kern w:val="0"/>
      <w:sz w:val="20"/>
      <w:szCs w:val="20"/>
      <w14:ligatures w14:val="none"/>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rsid w:val="004C638F"/>
    <w:rPr>
      <w:kern w:val="0"/>
      <w:sz w:val="20"/>
      <w:szCs w:val="20"/>
      <w14:ligatures w14:val="none"/>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
    <w:basedOn w:val="DefaultParagraphFont"/>
    <w:uiPriority w:val="99"/>
    <w:unhideWhenUsed/>
    <w:rsid w:val="004C638F"/>
    <w:rPr>
      <w:vertAlign w:val="superscript"/>
    </w:rPr>
  </w:style>
  <w:style w:type="character" w:styleId="CommentReference">
    <w:name w:val="annotation reference"/>
    <w:basedOn w:val="DefaultParagraphFont"/>
    <w:uiPriority w:val="99"/>
    <w:semiHidden/>
    <w:unhideWhenUsed/>
    <w:rsid w:val="00B21478"/>
    <w:rPr>
      <w:sz w:val="16"/>
      <w:szCs w:val="16"/>
    </w:rPr>
  </w:style>
  <w:style w:type="paragraph" w:styleId="CommentText">
    <w:name w:val="annotation text"/>
    <w:basedOn w:val="Normal"/>
    <w:link w:val="CommentTextChar"/>
    <w:uiPriority w:val="99"/>
    <w:unhideWhenUsed/>
    <w:rsid w:val="00B21478"/>
    <w:pPr>
      <w:spacing w:line="240" w:lineRule="auto"/>
    </w:pPr>
    <w:rPr>
      <w:sz w:val="20"/>
      <w:szCs w:val="20"/>
    </w:rPr>
  </w:style>
  <w:style w:type="character" w:customStyle="1" w:styleId="CommentTextChar">
    <w:name w:val="Comment Text Char"/>
    <w:basedOn w:val="DefaultParagraphFont"/>
    <w:link w:val="CommentText"/>
    <w:uiPriority w:val="99"/>
    <w:rsid w:val="00B21478"/>
    <w:rPr>
      <w:sz w:val="20"/>
      <w:szCs w:val="20"/>
    </w:rPr>
  </w:style>
  <w:style w:type="paragraph" w:styleId="CommentSubject">
    <w:name w:val="annotation subject"/>
    <w:basedOn w:val="CommentText"/>
    <w:next w:val="CommentText"/>
    <w:link w:val="CommentSubjectChar"/>
    <w:uiPriority w:val="99"/>
    <w:semiHidden/>
    <w:unhideWhenUsed/>
    <w:rsid w:val="00B21478"/>
    <w:rPr>
      <w:b/>
      <w:bCs/>
    </w:rPr>
  </w:style>
  <w:style w:type="character" w:customStyle="1" w:styleId="CommentSubjectChar">
    <w:name w:val="Comment Subject Char"/>
    <w:basedOn w:val="CommentTextChar"/>
    <w:link w:val="CommentSubject"/>
    <w:uiPriority w:val="99"/>
    <w:semiHidden/>
    <w:rsid w:val="00B214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2402">
      <w:bodyDiv w:val="1"/>
      <w:marLeft w:val="0"/>
      <w:marRight w:val="0"/>
      <w:marTop w:val="0"/>
      <w:marBottom w:val="0"/>
      <w:divBdr>
        <w:top w:val="none" w:sz="0" w:space="0" w:color="auto"/>
        <w:left w:val="none" w:sz="0" w:space="0" w:color="auto"/>
        <w:bottom w:val="none" w:sz="0" w:space="0" w:color="auto"/>
        <w:right w:val="none" w:sz="0" w:space="0" w:color="auto"/>
      </w:divBdr>
    </w:div>
    <w:div w:id="716705371">
      <w:bodyDiv w:val="1"/>
      <w:marLeft w:val="0"/>
      <w:marRight w:val="0"/>
      <w:marTop w:val="0"/>
      <w:marBottom w:val="0"/>
      <w:divBdr>
        <w:top w:val="none" w:sz="0" w:space="0" w:color="auto"/>
        <w:left w:val="none" w:sz="0" w:space="0" w:color="auto"/>
        <w:bottom w:val="none" w:sz="0" w:space="0" w:color="auto"/>
        <w:right w:val="none" w:sz="0" w:space="0" w:color="auto"/>
      </w:divBdr>
    </w:div>
    <w:div w:id="1222328489">
      <w:bodyDiv w:val="1"/>
      <w:marLeft w:val="0"/>
      <w:marRight w:val="0"/>
      <w:marTop w:val="0"/>
      <w:marBottom w:val="0"/>
      <w:divBdr>
        <w:top w:val="none" w:sz="0" w:space="0" w:color="auto"/>
        <w:left w:val="none" w:sz="0" w:space="0" w:color="auto"/>
        <w:bottom w:val="none" w:sz="0" w:space="0" w:color="auto"/>
        <w:right w:val="none" w:sz="0" w:space="0" w:color="auto"/>
      </w:divBdr>
    </w:div>
    <w:div w:id="1252009779">
      <w:bodyDiv w:val="1"/>
      <w:marLeft w:val="0"/>
      <w:marRight w:val="0"/>
      <w:marTop w:val="0"/>
      <w:marBottom w:val="0"/>
      <w:divBdr>
        <w:top w:val="none" w:sz="0" w:space="0" w:color="auto"/>
        <w:left w:val="none" w:sz="0" w:space="0" w:color="auto"/>
        <w:bottom w:val="none" w:sz="0" w:space="0" w:color="auto"/>
        <w:right w:val="none" w:sz="0" w:space="0" w:color="auto"/>
      </w:divBdr>
    </w:div>
    <w:div w:id="1797914944">
      <w:bodyDiv w:val="1"/>
      <w:marLeft w:val="0"/>
      <w:marRight w:val="0"/>
      <w:marTop w:val="0"/>
      <w:marBottom w:val="0"/>
      <w:divBdr>
        <w:top w:val="none" w:sz="0" w:space="0" w:color="auto"/>
        <w:left w:val="none" w:sz="0" w:space="0" w:color="auto"/>
        <w:bottom w:val="none" w:sz="0" w:space="0" w:color="auto"/>
        <w:right w:val="none" w:sz="0" w:space="0" w:color="auto"/>
      </w:divBdr>
    </w:div>
    <w:div w:id="1810705521">
      <w:bodyDiv w:val="1"/>
      <w:marLeft w:val="0"/>
      <w:marRight w:val="0"/>
      <w:marTop w:val="0"/>
      <w:marBottom w:val="0"/>
      <w:divBdr>
        <w:top w:val="none" w:sz="0" w:space="0" w:color="auto"/>
        <w:left w:val="none" w:sz="0" w:space="0" w:color="auto"/>
        <w:bottom w:val="none" w:sz="0" w:space="0" w:color="auto"/>
        <w:right w:val="none" w:sz="0" w:space="0" w:color="auto"/>
      </w:divBdr>
      <w:divsChild>
        <w:div w:id="953632314">
          <w:marLeft w:val="0"/>
          <w:marRight w:val="0"/>
          <w:marTop w:val="0"/>
          <w:marBottom w:val="0"/>
          <w:divBdr>
            <w:top w:val="single" w:sz="6" w:space="2" w:color="C0C0C0"/>
            <w:left w:val="single" w:sz="6" w:space="3" w:color="C0C0C0"/>
            <w:bottom w:val="single" w:sz="6" w:space="2" w:color="C0C0C0"/>
            <w:right w:val="single" w:sz="6" w:space="3" w:color="C0C0C0"/>
          </w:divBdr>
        </w:div>
        <w:div w:id="1186863849">
          <w:marLeft w:val="0"/>
          <w:marRight w:val="0"/>
          <w:marTop w:val="0"/>
          <w:marBottom w:val="0"/>
          <w:divBdr>
            <w:top w:val="single" w:sz="6" w:space="2" w:color="C0C0C0"/>
            <w:left w:val="single" w:sz="6" w:space="3" w:color="C0C0C0"/>
            <w:bottom w:val="single" w:sz="6" w:space="2" w:color="C0C0C0"/>
            <w:right w:val="single" w:sz="6" w:space="3" w:color="C0C0C0"/>
          </w:divBdr>
        </w:div>
        <w:div w:id="2123651239">
          <w:marLeft w:val="0"/>
          <w:marRight w:val="0"/>
          <w:marTop w:val="0"/>
          <w:marBottom w:val="0"/>
          <w:divBdr>
            <w:top w:val="single" w:sz="6" w:space="2" w:color="C0C0C0"/>
            <w:left w:val="single" w:sz="6" w:space="3" w:color="C0C0C0"/>
            <w:bottom w:val="single" w:sz="6" w:space="2" w:color="C0C0C0"/>
            <w:right w:val="single" w:sz="6" w:space="3" w:color="C0C0C0"/>
          </w:divBdr>
        </w:div>
        <w:div w:id="568001984">
          <w:marLeft w:val="0"/>
          <w:marRight w:val="0"/>
          <w:marTop w:val="0"/>
          <w:marBottom w:val="0"/>
          <w:divBdr>
            <w:top w:val="single" w:sz="6" w:space="2" w:color="C0C0C0"/>
            <w:left w:val="single" w:sz="6" w:space="3" w:color="C0C0C0"/>
            <w:bottom w:val="single" w:sz="6" w:space="2" w:color="C0C0C0"/>
            <w:right w:val="single" w:sz="6" w:space="3" w:color="C0C0C0"/>
          </w:divBdr>
        </w:div>
        <w:div w:id="738021680">
          <w:marLeft w:val="0"/>
          <w:marRight w:val="0"/>
          <w:marTop w:val="0"/>
          <w:marBottom w:val="0"/>
          <w:divBdr>
            <w:top w:val="single" w:sz="6" w:space="2" w:color="C0C0C0"/>
            <w:left w:val="single" w:sz="6" w:space="3" w:color="C0C0C0"/>
            <w:bottom w:val="single" w:sz="6" w:space="2" w:color="C0C0C0"/>
            <w:right w:val="single" w:sz="6" w:space="3" w:color="C0C0C0"/>
          </w:divBdr>
        </w:div>
        <w:div w:id="1195509063">
          <w:marLeft w:val="0"/>
          <w:marRight w:val="0"/>
          <w:marTop w:val="0"/>
          <w:marBottom w:val="0"/>
          <w:divBdr>
            <w:top w:val="single" w:sz="6" w:space="2" w:color="C0C0C0"/>
            <w:left w:val="single" w:sz="6" w:space="3" w:color="C0C0C0"/>
            <w:bottom w:val="single" w:sz="6" w:space="2" w:color="C0C0C0"/>
            <w:right w:val="single" w:sz="6" w:space="3" w:color="C0C0C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6844C-903D-457A-8734-782637003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810</Words>
  <Characters>4699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Maaeluministeerium</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Sulev Liivik</dc:creator>
  <cp:keywords/>
  <dc:description/>
  <cp:lastModifiedBy>Martin Kulp</cp:lastModifiedBy>
  <cp:revision>8</cp:revision>
  <dcterms:created xsi:type="dcterms:W3CDTF">2024-05-14T08:31:00Z</dcterms:created>
  <dcterms:modified xsi:type="dcterms:W3CDTF">2024-05-16T13:04:00Z</dcterms:modified>
</cp:coreProperties>
</file>