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02DC0" w14:textId="77777777" w:rsidR="00775B1C" w:rsidRDefault="00775B1C" w:rsidP="00775B1C">
      <w:pPr>
        <w:spacing w:after="120" w:line="240" w:lineRule="auto"/>
        <w:jc w:val="center"/>
        <w:rPr>
          <w:rFonts w:cs="Times New Roman"/>
          <w:b/>
          <w:szCs w:val="24"/>
          <w:lang w:bidi="en-GB"/>
        </w:rPr>
      </w:pPr>
    </w:p>
    <w:p w14:paraId="0CE03671" w14:textId="3B575477" w:rsidR="00F84F02" w:rsidRPr="00775B1C" w:rsidRDefault="00F84F02" w:rsidP="00775B1C">
      <w:pPr>
        <w:spacing w:after="120" w:line="240" w:lineRule="auto"/>
        <w:jc w:val="center"/>
        <w:rPr>
          <w:rFonts w:cs="Times New Roman"/>
          <w:b/>
          <w:sz w:val="28"/>
          <w:szCs w:val="28"/>
          <w:lang w:bidi="en-GB"/>
        </w:rPr>
      </w:pPr>
      <w:r w:rsidRPr="00775B1C">
        <w:rPr>
          <w:rFonts w:cs="Times New Roman"/>
          <w:b/>
          <w:sz w:val="28"/>
          <w:szCs w:val="28"/>
          <w:lang w:bidi="en-GB"/>
        </w:rPr>
        <w:t xml:space="preserve">Agreement between the Government of the Kingdom of Norway and the Government of the Republic of Estonia on the </w:t>
      </w:r>
      <w:r w:rsidR="00D50531" w:rsidRPr="00775B1C">
        <w:rPr>
          <w:rFonts w:cs="Times New Roman"/>
          <w:b/>
          <w:sz w:val="28"/>
          <w:szCs w:val="28"/>
          <w:lang w:bidi="en-GB"/>
        </w:rPr>
        <w:t>M</w:t>
      </w:r>
      <w:r w:rsidRPr="00775B1C">
        <w:rPr>
          <w:rFonts w:cs="Times New Roman"/>
          <w:b/>
          <w:sz w:val="28"/>
          <w:szCs w:val="28"/>
          <w:lang w:bidi="en-GB"/>
        </w:rPr>
        <w:t xml:space="preserve">aintenance of the </w:t>
      </w:r>
      <w:r w:rsidR="00D50531" w:rsidRPr="00775B1C">
        <w:rPr>
          <w:rFonts w:cs="Times New Roman"/>
          <w:b/>
          <w:sz w:val="28"/>
          <w:szCs w:val="28"/>
          <w:lang w:bidi="en-GB"/>
        </w:rPr>
        <w:t>E</w:t>
      </w:r>
      <w:r w:rsidRPr="00775B1C">
        <w:rPr>
          <w:rFonts w:cs="Times New Roman"/>
          <w:b/>
          <w:sz w:val="28"/>
          <w:szCs w:val="28"/>
          <w:lang w:bidi="en-GB"/>
        </w:rPr>
        <w:t xml:space="preserve">xchange of </w:t>
      </w:r>
      <w:r w:rsidR="00D50531" w:rsidRPr="00775B1C">
        <w:rPr>
          <w:rFonts w:cs="Times New Roman"/>
          <w:b/>
          <w:sz w:val="28"/>
          <w:szCs w:val="28"/>
          <w:lang w:bidi="en-GB"/>
        </w:rPr>
        <w:t>G</w:t>
      </w:r>
      <w:r w:rsidRPr="00775B1C">
        <w:rPr>
          <w:rFonts w:cs="Times New Roman"/>
          <w:b/>
          <w:sz w:val="28"/>
          <w:szCs w:val="28"/>
          <w:lang w:bidi="en-GB"/>
        </w:rPr>
        <w:t xml:space="preserve">oods and </w:t>
      </w:r>
      <w:r w:rsidR="00D50531" w:rsidRPr="00775B1C">
        <w:rPr>
          <w:rFonts w:cs="Times New Roman"/>
          <w:b/>
          <w:sz w:val="28"/>
          <w:szCs w:val="28"/>
          <w:lang w:bidi="en-GB"/>
        </w:rPr>
        <w:t>S</w:t>
      </w:r>
      <w:r w:rsidRPr="00775B1C">
        <w:rPr>
          <w:rFonts w:cs="Times New Roman"/>
          <w:b/>
          <w:sz w:val="28"/>
          <w:szCs w:val="28"/>
          <w:lang w:bidi="en-GB"/>
        </w:rPr>
        <w:t xml:space="preserve">ervices in </w:t>
      </w:r>
      <w:r w:rsidR="00D50531" w:rsidRPr="00775B1C">
        <w:rPr>
          <w:rFonts w:cs="Times New Roman"/>
          <w:b/>
          <w:sz w:val="28"/>
          <w:szCs w:val="28"/>
          <w:lang w:bidi="en-GB"/>
        </w:rPr>
        <w:t>S</w:t>
      </w:r>
      <w:r w:rsidRPr="00775B1C">
        <w:rPr>
          <w:rFonts w:cs="Times New Roman"/>
          <w:b/>
          <w:sz w:val="28"/>
          <w:szCs w:val="28"/>
          <w:lang w:bidi="en-GB"/>
        </w:rPr>
        <w:t xml:space="preserve">ituations of </w:t>
      </w:r>
      <w:r w:rsidR="00D50531" w:rsidRPr="00775B1C">
        <w:rPr>
          <w:rFonts w:cs="Times New Roman"/>
          <w:b/>
          <w:sz w:val="28"/>
          <w:szCs w:val="28"/>
          <w:lang w:bidi="en-GB"/>
        </w:rPr>
        <w:t>W</w:t>
      </w:r>
      <w:r w:rsidRPr="00775B1C">
        <w:rPr>
          <w:rFonts w:cs="Times New Roman"/>
          <w:b/>
          <w:sz w:val="28"/>
          <w:szCs w:val="28"/>
          <w:lang w:bidi="en-GB"/>
        </w:rPr>
        <w:t xml:space="preserve">ar and </w:t>
      </w:r>
      <w:r w:rsidR="00D50531" w:rsidRPr="00775B1C">
        <w:rPr>
          <w:rFonts w:cs="Times New Roman"/>
          <w:b/>
          <w:sz w:val="28"/>
          <w:szCs w:val="28"/>
          <w:lang w:bidi="en-GB"/>
        </w:rPr>
        <w:t>C</w:t>
      </w:r>
      <w:r w:rsidRPr="00775B1C">
        <w:rPr>
          <w:rFonts w:cs="Times New Roman"/>
          <w:b/>
          <w:sz w:val="28"/>
          <w:szCs w:val="28"/>
          <w:lang w:bidi="en-GB"/>
        </w:rPr>
        <w:t>risis</w:t>
      </w:r>
    </w:p>
    <w:p w14:paraId="11FD3E9A" w14:textId="77777777" w:rsidR="00775B1C" w:rsidRPr="00775B1C" w:rsidRDefault="00775B1C" w:rsidP="00775B1C">
      <w:pPr>
        <w:spacing w:after="120" w:line="240" w:lineRule="auto"/>
        <w:jc w:val="center"/>
        <w:rPr>
          <w:rFonts w:cs="Times New Roman"/>
          <w:b/>
          <w:bCs/>
          <w:szCs w:val="24"/>
          <w:lang w:val="nb-NO"/>
        </w:rPr>
      </w:pPr>
    </w:p>
    <w:p w14:paraId="10955104" w14:textId="77777777" w:rsidR="00F84F02" w:rsidRPr="00775B1C" w:rsidRDefault="00F84F02" w:rsidP="00775B1C">
      <w:pPr>
        <w:spacing w:after="120" w:line="240" w:lineRule="auto"/>
        <w:jc w:val="center"/>
        <w:rPr>
          <w:rFonts w:cs="Times New Roman"/>
          <w:szCs w:val="24"/>
          <w:lang w:val="sv-SE"/>
        </w:rPr>
      </w:pPr>
      <w:bookmarkStart w:id="0" w:name="§innledning"/>
      <w:bookmarkStart w:id="1" w:name="PARAGRAF_innledning"/>
      <w:bookmarkEnd w:id="0"/>
      <w:bookmarkEnd w:id="1"/>
      <w:r w:rsidRPr="00775B1C">
        <w:rPr>
          <w:rFonts w:cs="Times New Roman"/>
          <w:b/>
          <w:szCs w:val="24"/>
          <w:lang w:bidi="en-GB"/>
        </w:rPr>
        <w:t>Preamble</w:t>
      </w:r>
    </w:p>
    <w:p w14:paraId="4B51B043" w14:textId="61F8B9A5" w:rsidR="00F84F02" w:rsidRPr="00775B1C" w:rsidRDefault="00F84F02" w:rsidP="00775B1C">
      <w:pPr>
        <w:spacing w:after="120" w:line="240" w:lineRule="auto"/>
        <w:jc w:val="both"/>
        <w:rPr>
          <w:rFonts w:cs="Times New Roman"/>
          <w:szCs w:val="24"/>
          <w:lang w:val="sv-SE"/>
        </w:rPr>
      </w:pPr>
      <w:r w:rsidRPr="00775B1C">
        <w:rPr>
          <w:rFonts w:cs="Times New Roman"/>
          <w:szCs w:val="24"/>
          <w:lang w:bidi="en-GB"/>
        </w:rPr>
        <w:t xml:space="preserve">The Government of the Kingdom of Norway </w:t>
      </w:r>
      <w:r w:rsidR="00817B29" w:rsidRPr="00775B1C">
        <w:rPr>
          <w:rFonts w:cs="Times New Roman"/>
          <w:szCs w:val="24"/>
          <w:lang w:bidi="en-GB"/>
        </w:rPr>
        <w:t xml:space="preserve">(hereinafter ‘Norway’) </w:t>
      </w:r>
      <w:r w:rsidRPr="00775B1C">
        <w:rPr>
          <w:rFonts w:cs="Times New Roman"/>
          <w:szCs w:val="24"/>
          <w:lang w:bidi="en-GB"/>
        </w:rPr>
        <w:t>and</w:t>
      </w:r>
    </w:p>
    <w:p w14:paraId="17E3E1D2" w14:textId="1BE99A9E" w:rsidR="00F84F02" w:rsidRPr="00775B1C" w:rsidRDefault="007E6B1E" w:rsidP="00775B1C">
      <w:pPr>
        <w:spacing w:after="120" w:line="240" w:lineRule="auto"/>
        <w:jc w:val="both"/>
        <w:rPr>
          <w:rFonts w:cs="Times New Roman"/>
          <w:szCs w:val="24"/>
          <w:lang w:val="sv-SE"/>
        </w:rPr>
      </w:pPr>
      <w:r w:rsidRPr="00775B1C">
        <w:rPr>
          <w:rFonts w:cs="Times New Roman"/>
          <w:szCs w:val="24"/>
          <w:lang w:bidi="en-GB"/>
        </w:rPr>
        <w:t>the Government of the Republic of Estonia</w:t>
      </w:r>
      <w:r w:rsidR="00817B29" w:rsidRPr="00775B1C">
        <w:rPr>
          <w:rFonts w:cs="Times New Roman"/>
          <w:szCs w:val="24"/>
          <w:lang w:bidi="en-GB"/>
        </w:rPr>
        <w:t xml:space="preserve"> (hereinafter ‘Estonia’)</w:t>
      </w:r>
    </w:p>
    <w:p w14:paraId="1C5AE2D9" w14:textId="30FC87BB" w:rsidR="00F84F02" w:rsidRPr="00775B1C" w:rsidRDefault="00F84F02" w:rsidP="00775B1C">
      <w:pPr>
        <w:spacing w:after="120" w:line="240" w:lineRule="auto"/>
        <w:jc w:val="both"/>
        <w:rPr>
          <w:rFonts w:cs="Times New Roman"/>
          <w:szCs w:val="24"/>
          <w:lang w:val="sv-SE"/>
        </w:rPr>
      </w:pPr>
      <w:r w:rsidRPr="00775B1C">
        <w:rPr>
          <w:rFonts w:cs="Times New Roman"/>
          <w:szCs w:val="24"/>
          <w:lang w:bidi="en-GB"/>
        </w:rPr>
        <w:t xml:space="preserve">(hereinafter </w:t>
      </w:r>
      <w:r w:rsidR="00122559" w:rsidRPr="00775B1C">
        <w:rPr>
          <w:rFonts w:cs="Times New Roman"/>
          <w:szCs w:val="24"/>
          <w:lang w:bidi="en-GB"/>
        </w:rPr>
        <w:t xml:space="preserve">individually referred to as </w:t>
      </w:r>
      <w:r w:rsidR="00DF2498" w:rsidRPr="00775B1C">
        <w:rPr>
          <w:rFonts w:cs="Times New Roman"/>
          <w:szCs w:val="24"/>
          <w:lang w:bidi="en-GB"/>
        </w:rPr>
        <w:t>‘</w:t>
      </w:r>
      <w:r w:rsidR="00122559" w:rsidRPr="00775B1C">
        <w:rPr>
          <w:rFonts w:cs="Times New Roman"/>
          <w:szCs w:val="24"/>
          <w:lang w:bidi="en-GB"/>
        </w:rPr>
        <w:t>Party</w:t>
      </w:r>
      <w:r w:rsidR="00DF2498" w:rsidRPr="00775B1C">
        <w:rPr>
          <w:rFonts w:cs="Times New Roman"/>
          <w:szCs w:val="24"/>
          <w:lang w:bidi="en-GB"/>
        </w:rPr>
        <w:t>’</w:t>
      </w:r>
      <w:r w:rsidR="00122559" w:rsidRPr="00775B1C">
        <w:rPr>
          <w:rFonts w:cs="Times New Roman"/>
          <w:szCs w:val="24"/>
          <w:lang w:bidi="en-GB"/>
        </w:rPr>
        <w:t xml:space="preserve"> and </w:t>
      </w:r>
      <w:r w:rsidRPr="00775B1C">
        <w:rPr>
          <w:rFonts w:cs="Times New Roman"/>
          <w:szCs w:val="24"/>
          <w:lang w:bidi="en-GB"/>
        </w:rPr>
        <w:t>jointly referred to as the ‘Parties’),</w:t>
      </w:r>
    </w:p>
    <w:p w14:paraId="65BD6317" w14:textId="40687026" w:rsidR="00F84F02" w:rsidRPr="00775B1C" w:rsidRDefault="00F84F02" w:rsidP="00775B1C">
      <w:pPr>
        <w:spacing w:after="120" w:line="240" w:lineRule="auto"/>
        <w:jc w:val="both"/>
        <w:rPr>
          <w:rFonts w:cs="Times New Roman"/>
          <w:szCs w:val="24"/>
          <w:lang w:val="sv-SE"/>
        </w:rPr>
      </w:pPr>
      <w:r w:rsidRPr="00775B1C">
        <w:rPr>
          <w:rFonts w:cs="Times New Roman"/>
          <w:szCs w:val="24"/>
          <w:lang w:bidi="en-GB"/>
        </w:rPr>
        <w:t>recognising that all activities carried out under this Agreement must comply with Estonia’s membership in the European Union (EU), the membership of Estonia and Norway in the North Atlantic Treaty Organization (NATO), the European Economic Area (EEA), and the International Energy Agency (IEA), as well as with the obligations arising therefrom,</w:t>
      </w:r>
    </w:p>
    <w:p w14:paraId="2D8F5567" w14:textId="77777777" w:rsidR="00F84F02" w:rsidRDefault="00F84F02" w:rsidP="00775B1C">
      <w:pPr>
        <w:spacing w:after="120" w:line="240" w:lineRule="auto"/>
        <w:jc w:val="both"/>
        <w:rPr>
          <w:rFonts w:cs="Times New Roman"/>
          <w:szCs w:val="24"/>
          <w:lang w:bidi="en-GB"/>
        </w:rPr>
      </w:pPr>
      <w:r w:rsidRPr="00775B1C">
        <w:rPr>
          <w:rFonts w:cs="Times New Roman"/>
          <w:szCs w:val="24"/>
          <w:lang w:bidi="en-GB"/>
        </w:rPr>
        <w:t>have agreed as follows.</w:t>
      </w:r>
    </w:p>
    <w:p w14:paraId="496791C5" w14:textId="77777777" w:rsidR="00775B1C" w:rsidRPr="00775B1C" w:rsidRDefault="00775B1C" w:rsidP="00775B1C">
      <w:pPr>
        <w:spacing w:after="120" w:line="240" w:lineRule="auto"/>
        <w:jc w:val="both"/>
        <w:rPr>
          <w:rFonts w:cs="Times New Roman"/>
          <w:szCs w:val="24"/>
          <w:lang w:val="nb-NO"/>
        </w:rPr>
      </w:pPr>
    </w:p>
    <w:p w14:paraId="48AF56EA" w14:textId="77777777" w:rsidR="00F84F02" w:rsidRPr="00775B1C" w:rsidRDefault="00F84F02" w:rsidP="00775B1C">
      <w:pPr>
        <w:spacing w:after="120" w:line="240" w:lineRule="auto"/>
        <w:jc w:val="center"/>
        <w:rPr>
          <w:rFonts w:cs="Times New Roman"/>
          <w:b/>
          <w:bCs/>
          <w:szCs w:val="24"/>
          <w:lang w:val="nb-NO"/>
        </w:rPr>
      </w:pPr>
      <w:bookmarkStart w:id="2" w:name="a1"/>
      <w:bookmarkStart w:id="3" w:name="ARTIKKEL_1"/>
      <w:bookmarkEnd w:id="2"/>
      <w:bookmarkEnd w:id="3"/>
      <w:r w:rsidRPr="00775B1C">
        <w:rPr>
          <w:rFonts w:cs="Times New Roman"/>
          <w:b/>
          <w:szCs w:val="24"/>
          <w:lang w:bidi="en-GB"/>
        </w:rPr>
        <w:t>Article 1</w:t>
      </w:r>
    </w:p>
    <w:p w14:paraId="6ECC2768" w14:textId="5A268520" w:rsidR="00F84F02" w:rsidRPr="00775B1C" w:rsidRDefault="00F84F02" w:rsidP="00775B1C">
      <w:pPr>
        <w:spacing w:after="120" w:line="240" w:lineRule="auto"/>
        <w:jc w:val="center"/>
        <w:rPr>
          <w:rFonts w:cs="Times New Roman"/>
          <w:szCs w:val="24"/>
          <w:lang w:val="nb-NO"/>
        </w:rPr>
      </w:pPr>
      <w:r w:rsidRPr="00775B1C">
        <w:rPr>
          <w:rFonts w:cs="Times New Roman"/>
          <w:b/>
          <w:szCs w:val="24"/>
          <w:lang w:bidi="en-GB"/>
        </w:rPr>
        <w:t>Objective</w:t>
      </w:r>
    </w:p>
    <w:p w14:paraId="2910BC91" w14:textId="77777777" w:rsidR="00F84F02" w:rsidRDefault="00F84F02" w:rsidP="00775B1C">
      <w:pPr>
        <w:spacing w:after="120" w:line="240" w:lineRule="auto"/>
        <w:jc w:val="both"/>
        <w:rPr>
          <w:rFonts w:cs="Times New Roman"/>
          <w:szCs w:val="24"/>
          <w:lang w:bidi="en-GB"/>
        </w:rPr>
      </w:pPr>
      <w:r w:rsidRPr="00775B1C">
        <w:rPr>
          <w:rFonts w:cs="Times New Roman"/>
          <w:szCs w:val="24"/>
          <w:lang w:bidi="en-GB"/>
        </w:rPr>
        <w:t>The objective of this Agreement is to ensure that the exchange of goods and services between the two countries continues as normally as possible in situations where serious internal disturbances threaten public order, in time of war or in situations of severe international tension accompanied by the threat of war. For the purposes of this Agreement, such situations shall be understood to fall within the scope of Article 123(c) of the EEA Agreement.</w:t>
      </w:r>
    </w:p>
    <w:p w14:paraId="0AFE8333" w14:textId="77777777" w:rsidR="00775B1C" w:rsidRPr="00775B1C" w:rsidRDefault="00775B1C" w:rsidP="00775B1C">
      <w:pPr>
        <w:spacing w:after="120" w:line="240" w:lineRule="auto"/>
        <w:jc w:val="both"/>
        <w:rPr>
          <w:rFonts w:cs="Times New Roman"/>
          <w:szCs w:val="24"/>
        </w:rPr>
      </w:pPr>
    </w:p>
    <w:p w14:paraId="4662DF8A" w14:textId="12CE0E38" w:rsidR="00F84F02" w:rsidRPr="00775B1C" w:rsidRDefault="00F84F02" w:rsidP="00775B1C">
      <w:pPr>
        <w:spacing w:after="120" w:line="240" w:lineRule="auto"/>
        <w:jc w:val="center"/>
        <w:rPr>
          <w:rFonts w:cs="Times New Roman"/>
          <w:b/>
          <w:bCs/>
          <w:szCs w:val="24"/>
        </w:rPr>
      </w:pPr>
      <w:bookmarkStart w:id="4" w:name="a2"/>
      <w:bookmarkStart w:id="5" w:name="ARTIKKEL_2"/>
      <w:bookmarkEnd w:id="4"/>
      <w:bookmarkEnd w:id="5"/>
      <w:r w:rsidRPr="00775B1C">
        <w:rPr>
          <w:rFonts w:cs="Times New Roman"/>
          <w:b/>
          <w:szCs w:val="24"/>
          <w:lang w:bidi="en-GB"/>
        </w:rPr>
        <w:t>Article 2</w:t>
      </w:r>
    </w:p>
    <w:p w14:paraId="021EBCDA" w14:textId="09A62840" w:rsidR="00F84F02" w:rsidRPr="00775B1C" w:rsidRDefault="00F84F02" w:rsidP="00775B1C">
      <w:pPr>
        <w:spacing w:after="120" w:line="240" w:lineRule="auto"/>
        <w:jc w:val="center"/>
        <w:rPr>
          <w:rFonts w:cs="Times New Roman"/>
          <w:szCs w:val="24"/>
        </w:rPr>
      </w:pPr>
      <w:r w:rsidRPr="00775B1C">
        <w:rPr>
          <w:rFonts w:cs="Times New Roman"/>
          <w:b/>
          <w:szCs w:val="24"/>
          <w:lang w:bidi="en-GB"/>
        </w:rPr>
        <w:t>Maintenance of the exchange of goods and services</w:t>
      </w:r>
    </w:p>
    <w:p w14:paraId="703FB72E" w14:textId="77777777" w:rsidR="00F84F02" w:rsidRDefault="00F84F02" w:rsidP="00775B1C">
      <w:pPr>
        <w:spacing w:after="120" w:line="240" w:lineRule="auto"/>
        <w:jc w:val="both"/>
        <w:rPr>
          <w:rFonts w:cs="Times New Roman"/>
          <w:szCs w:val="24"/>
          <w:lang w:bidi="en-GB"/>
        </w:rPr>
      </w:pPr>
      <w:r w:rsidRPr="00775B1C">
        <w:rPr>
          <w:rFonts w:cs="Times New Roman"/>
          <w:szCs w:val="24"/>
          <w:lang w:bidi="en-GB"/>
        </w:rPr>
        <w:t>In the event of a situation referred to in Article 1, the Parties undertake to refrain from applying restrictions under Article 123(c) of the EEA Agreement where such restrictions would impede trade between the Parties.</w:t>
      </w:r>
    </w:p>
    <w:p w14:paraId="3ABF5A0A" w14:textId="77777777" w:rsidR="00775B1C" w:rsidRPr="00775B1C" w:rsidRDefault="00775B1C" w:rsidP="00775B1C">
      <w:pPr>
        <w:spacing w:after="120" w:line="240" w:lineRule="auto"/>
        <w:jc w:val="both"/>
        <w:rPr>
          <w:rFonts w:cs="Times New Roman"/>
          <w:szCs w:val="24"/>
        </w:rPr>
      </w:pPr>
    </w:p>
    <w:p w14:paraId="6B7B0AA5" w14:textId="6A545433" w:rsidR="00F84F02" w:rsidRPr="00775B1C" w:rsidRDefault="00F84F02" w:rsidP="00775B1C">
      <w:pPr>
        <w:spacing w:after="120" w:line="240" w:lineRule="auto"/>
        <w:jc w:val="center"/>
        <w:rPr>
          <w:rFonts w:cs="Times New Roman"/>
          <w:b/>
          <w:bCs/>
          <w:szCs w:val="24"/>
        </w:rPr>
      </w:pPr>
      <w:bookmarkStart w:id="6" w:name="a3"/>
      <w:bookmarkStart w:id="7" w:name="ARTIKKEL_3"/>
      <w:bookmarkEnd w:id="6"/>
      <w:bookmarkEnd w:id="7"/>
      <w:r w:rsidRPr="00775B1C">
        <w:rPr>
          <w:rFonts w:cs="Times New Roman"/>
          <w:b/>
          <w:szCs w:val="24"/>
          <w:lang w:bidi="en-GB"/>
        </w:rPr>
        <w:t>Article 3</w:t>
      </w:r>
    </w:p>
    <w:p w14:paraId="5763648F" w14:textId="06043BE9" w:rsidR="00F84F02" w:rsidRPr="00775B1C" w:rsidRDefault="00F84F02" w:rsidP="00775B1C">
      <w:pPr>
        <w:spacing w:after="120" w:line="240" w:lineRule="auto"/>
        <w:jc w:val="center"/>
        <w:rPr>
          <w:rFonts w:cs="Times New Roman"/>
          <w:szCs w:val="24"/>
        </w:rPr>
      </w:pPr>
      <w:r w:rsidRPr="00775B1C">
        <w:rPr>
          <w:rFonts w:cs="Times New Roman"/>
          <w:b/>
          <w:szCs w:val="24"/>
          <w:lang w:bidi="en-GB"/>
        </w:rPr>
        <w:t>Sectoral arrangements and joint preparedness measures</w:t>
      </w:r>
    </w:p>
    <w:p w14:paraId="1B15B4AB" w14:textId="006E46BB" w:rsidR="00F84F02" w:rsidRDefault="00F84F02" w:rsidP="00775B1C">
      <w:pPr>
        <w:spacing w:after="120" w:line="240" w:lineRule="auto"/>
        <w:jc w:val="both"/>
        <w:rPr>
          <w:rFonts w:cs="Times New Roman"/>
          <w:szCs w:val="24"/>
          <w:lang w:bidi="en-GB"/>
        </w:rPr>
      </w:pPr>
      <w:r w:rsidRPr="00775B1C">
        <w:rPr>
          <w:rFonts w:cs="Times New Roman"/>
          <w:szCs w:val="24"/>
          <w:lang w:bidi="en-GB"/>
        </w:rPr>
        <w:t xml:space="preserve">Where justified by special circumstances, the Parties may agree on joint preparedness measures, including obligations concerning the supply of specific goods and services. Such arrangements </w:t>
      </w:r>
      <w:r w:rsidR="00C75172">
        <w:rPr>
          <w:rFonts w:cs="Times New Roman"/>
          <w:szCs w:val="24"/>
          <w:lang w:bidi="en-GB"/>
        </w:rPr>
        <w:t>should</w:t>
      </w:r>
      <w:r w:rsidRPr="00775B1C">
        <w:rPr>
          <w:rFonts w:cs="Times New Roman"/>
          <w:szCs w:val="24"/>
          <w:lang w:bidi="en-GB"/>
        </w:rPr>
        <w:t xml:space="preserve"> be based on reciprocity and a balance in the scope of the obligations. </w:t>
      </w:r>
      <w:r w:rsidR="007B2F56" w:rsidRPr="00775B1C">
        <w:rPr>
          <w:rFonts w:cs="Times New Roman"/>
          <w:szCs w:val="24"/>
          <w:lang w:bidi="en-GB"/>
        </w:rPr>
        <w:t xml:space="preserve">The </w:t>
      </w:r>
      <w:r w:rsidR="00AA25DE" w:rsidRPr="00775B1C">
        <w:rPr>
          <w:rFonts w:cs="Times New Roman"/>
          <w:szCs w:val="24"/>
          <w:lang w:bidi="en-GB"/>
        </w:rPr>
        <w:t>arrangements shall be conc</w:t>
      </w:r>
      <w:r w:rsidR="007B2F56" w:rsidRPr="00775B1C">
        <w:rPr>
          <w:rFonts w:cs="Times New Roman"/>
          <w:szCs w:val="24"/>
          <w:lang w:bidi="en-GB"/>
        </w:rPr>
        <w:t xml:space="preserve">luded as Protocols </w:t>
      </w:r>
      <w:r w:rsidR="005E011E" w:rsidRPr="00775B1C">
        <w:rPr>
          <w:rFonts w:cs="Times New Roman"/>
          <w:szCs w:val="24"/>
          <w:lang w:bidi="en-GB"/>
        </w:rPr>
        <w:t xml:space="preserve">which are </w:t>
      </w:r>
      <w:r w:rsidR="007B2F56" w:rsidRPr="00775B1C">
        <w:rPr>
          <w:rFonts w:cs="Times New Roman"/>
          <w:szCs w:val="24"/>
          <w:lang w:bidi="en-GB"/>
        </w:rPr>
        <w:t>annexed to this Agreement</w:t>
      </w:r>
      <w:r w:rsidRPr="00775B1C">
        <w:rPr>
          <w:rFonts w:cs="Times New Roman"/>
          <w:szCs w:val="24"/>
          <w:lang w:bidi="en-GB"/>
        </w:rPr>
        <w:t>. National preparedness planning shall take into account the obligations assumed by the Parties under such arrangements.</w:t>
      </w:r>
    </w:p>
    <w:p w14:paraId="1910571A" w14:textId="77777777" w:rsidR="00775B1C" w:rsidRPr="00775B1C" w:rsidRDefault="00775B1C" w:rsidP="00775B1C">
      <w:pPr>
        <w:spacing w:after="120" w:line="240" w:lineRule="auto"/>
        <w:jc w:val="both"/>
        <w:rPr>
          <w:rFonts w:cs="Times New Roman"/>
          <w:szCs w:val="24"/>
        </w:rPr>
      </w:pPr>
    </w:p>
    <w:p w14:paraId="698E3E62" w14:textId="77777777" w:rsidR="00F84F02" w:rsidRPr="00775B1C" w:rsidRDefault="00F84F02" w:rsidP="00775B1C">
      <w:pPr>
        <w:spacing w:after="120" w:line="240" w:lineRule="auto"/>
        <w:jc w:val="center"/>
        <w:rPr>
          <w:rFonts w:cs="Times New Roman"/>
          <w:b/>
          <w:bCs/>
          <w:szCs w:val="24"/>
        </w:rPr>
      </w:pPr>
      <w:bookmarkStart w:id="8" w:name="a4"/>
      <w:bookmarkStart w:id="9" w:name="ARTIKKEL_4"/>
      <w:bookmarkEnd w:id="8"/>
      <w:bookmarkEnd w:id="9"/>
      <w:r w:rsidRPr="00775B1C">
        <w:rPr>
          <w:rFonts w:cs="Times New Roman"/>
          <w:b/>
          <w:szCs w:val="24"/>
          <w:lang w:bidi="en-GB"/>
        </w:rPr>
        <w:t>Article 4</w:t>
      </w:r>
    </w:p>
    <w:p w14:paraId="2AC0BB1F" w14:textId="10FC24B9" w:rsidR="00F84F02" w:rsidRPr="00775B1C" w:rsidRDefault="00F84F02" w:rsidP="00775B1C">
      <w:pPr>
        <w:spacing w:after="120" w:line="240" w:lineRule="auto"/>
        <w:jc w:val="center"/>
        <w:rPr>
          <w:rFonts w:cs="Times New Roman"/>
          <w:szCs w:val="24"/>
        </w:rPr>
      </w:pPr>
      <w:r w:rsidRPr="00775B1C">
        <w:rPr>
          <w:rFonts w:cs="Times New Roman"/>
          <w:b/>
          <w:szCs w:val="24"/>
          <w:lang w:bidi="en-GB"/>
        </w:rPr>
        <w:t>Exceptions</w:t>
      </w:r>
    </w:p>
    <w:p w14:paraId="3ED7542D" w14:textId="77777777" w:rsidR="00F84F02" w:rsidRDefault="00F84F02" w:rsidP="00775B1C">
      <w:pPr>
        <w:spacing w:after="120" w:line="240" w:lineRule="auto"/>
        <w:jc w:val="both"/>
        <w:rPr>
          <w:rFonts w:cs="Times New Roman"/>
          <w:szCs w:val="24"/>
          <w:lang w:bidi="en-GB"/>
        </w:rPr>
      </w:pPr>
      <w:r w:rsidRPr="00775B1C">
        <w:rPr>
          <w:rFonts w:cs="Times New Roman"/>
          <w:szCs w:val="24"/>
          <w:lang w:bidi="en-GB"/>
        </w:rPr>
        <w:lastRenderedPageBreak/>
        <w:t>Where preparedness measures required for reasons of security policy or supply needs so demand, either Party may, after consultation with the other Party, apply trade restrictions to individual products. Such measures shall be temporary, shall impede trade as little as possible, and shall be lifted at the earliest opportunity.</w:t>
      </w:r>
    </w:p>
    <w:p w14:paraId="0F74A3C9" w14:textId="77777777" w:rsidR="00775B1C" w:rsidRPr="00775B1C" w:rsidRDefault="00775B1C" w:rsidP="00775B1C">
      <w:pPr>
        <w:spacing w:after="120" w:line="240" w:lineRule="auto"/>
        <w:jc w:val="both"/>
        <w:rPr>
          <w:rFonts w:cs="Times New Roman"/>
          <w:szCs w:val="24"/>
        </w:rPr>
      </w:pPr>
    </w:p>
    <w:p w14:paraId="538F928B" w14:textId="77777777" w:rsidR="00F84F02" w:rsidRPr="00775B1C" w:rsidRDefault="00F84F02" w:rsidP="00775B1C">
      <w:pPr>
        <w:spacing w:after="120" w:line="240" w:lineRule="auto"/>
        <w:jc w:val="center"/>
        <w:rPr>
          <w:rFonts w:cs="Times New Roman"/>
          <w:b/>
          <w:bCs/>
          <w:szCs w:val="24"/>
        </w:rPr>
      </w:pPr>
      <w:bookmarkStart w:id="10" w:name="a5"/>
      <w:bookmarkStart w:id="11" w:name="ARTIKKEL_5"/>
      <w:bookmarkEnd w:id="10"/>
      <w:bookmarkEnd w:id="11"/>
      <w:r w:rsidRPr="00775B1C">
        <w:rPr>
          <w:rFonts w:cs="Times New Roman"/>
          <w:b/>
          <w:szCs w:val="24"/>
          <w:lang w:bidi="en-GB"/>
        </w:rPr>
        <w:t>Article 5</w:t>
      </w:r>
    </w:p>
    <w:p w14:paraId="65C519DD" w14:textId="45F5CA65" w:rsidR="00F84F02" w:rsidRPr="00775B1C" w:rsidRDefault="00F84F02" w:rsidP="00775B1C">
      <w:pPr>
        <w:spacing w:after="120" w:line="240" w:lineRule="auto"/>
        <w:jc w:val="center"/>
        <w:rPr>
          <w:rFonts w:cs="Times New Roman"/>
          <w:szCs w:val="24"/>
        </w:rPr>
      </w:pPr>
      <w:r w:rsidRPr="00775B1C">
        <w:rPr>
          <w:rFonts w:cs="Times New Roman"/>
          <w:b/>
          <w:szCs w:val="24"/>
          <w:lang w:bidi="en-GB"/>
        </w:rPr>
        <w:t>Supervisory Committee</w:t>
      </w:r>
    </w:p>
    <w:p w14:paraId="557E131E" w14:textId="01073B0B" w:rsidR="00F84F02" w:rsidRPr="00775B1C" w:rsidRDefault="00F84F02" w:rsidP="00775B1C">
      <w:pPr>
        <w:spacing w:after="120" w:line="240" w:lineRule="auto"/>
        <w:jc w:val="both"/>
        <w:rPr>
          <w:rFonts w:cs="Times New Roman"/>
          <w:szCs w:val="24"/>
        </w:rPr>
      </w:pPr>
      <w:r w:rsidRPr="00775B1C">
        <w:rPr>
          <w:rFonts w:cs="Times New Roman"/>
          <w:szCs w:val="24"/>
          <w:lang w:bidi="en-GB"/>
        </w:rPr>
        <w:t xml:space="preserve">A committee composed of </w:t>
      </w:r>
      <w:r w:rsidR="0050208C" w:rsidRPr="00775B1C">
        <w:rPr>
          <w:rFonts w:cs="Times New Roman"/>
          <w:szCs w:val="24"/>
          <w:lang w:bidi="en-GB"/>
        </w:rPr>
        <w:t xml:space="preserve">equal number of </w:t>
      </w:r>
      <w:r w:rsidRPr="00775B1C">
        <w:rPr>
          <w:rFonts w:cs="Times New Roman"/>
          <w:szCs w:val="24"/>
          <w:lang w:bidi="en-GB"/>
        </w:rPr>
        <w:t>representatives of both Parties shall oversee the implementation of this Agreement and exchange information related to it.</w:t>
      </w:r>
    </w:p>
    <w:p w14:paraId="60B04BF3" w14:textId="7AFBDB5F" w:rsidR="00F84F02" w:rsidRDefault="00F84F02" w:rsidP="00775B1C">
      <w:pPr>
        <w:spacing w:after="120" w:line="240" w:lineRule="auto"/>
        <w:jc w:val="both"/>
        <w:rPr>
          <w:rFonts w:cs="Times New Roman"/>
          <w:szCs w:val="24"/>
          <w:lang w:bidi="en-GB"/>
        </w:rPr>
      </w:pPr>
      <w:r w:rsidRPr="00775B1C">
        <w:rPr>
          <w:rFonts w:cs="Times New Roman"/>
          <w:szCs w:val="24"/>
          <w:lang w:bidi="en-GB"/>
        </w:rPr>
        <w:t>The committee shall meet at the request of either Party, alternately in Norway and Estonia</w:t>
      </w:r>
      <w:r w:rsidR="0050208C" w:rsidRPr="00775B1C">
        <w:rPr>
          <w:rFonts w:cs="Times New Roman"/>
          <w:szCs w:val="24"/>
          <w:lang w:bidi="en-GB"/>
        </w:rPr>
        <w:t>, in person or online.</w:t>
      </w:r>
    </w:p>
    <w:p w14:paraId="33C1BC69" w14:textId="77777777" w:rsidR="00775B1C" w:rsidRPr="00775B1C" w:rsidRDefault="00775B1C" w:rsidP="00775B1C">
      <w:pPr>
        <w:spacing w:after="120" w:line="240" w:lineRule="auto"/>
        <w:jc w:val="both"/>
        <w:rPr>
          <w:rFonts w:cs="Times New Roman"/>
          <w:szCs w:val="24"/>
        </w:rPr>
      </w:pPr>
    </w:p>
    <w:p w14:paraId="3DB68626" w14:textId="1E453257" w:rsidR="00F84F02" w:rsidRPr="00775B1C" w:rsidRDefault="00F84F02" w:rsidP="00775B1C">
      <w:pPr>
        <w:spacing w:after="120" w:line="240" w:lineRule="auto"/>
        <w:jc w:val="center"/>
        <w:rPr>
          <w:rFonts w:cs="Times New Roman"/>
          <w:b/>
          <w:bCs/>
          <w:szCs w:val="24"/>
        </w:rPr>
      </w:pPr>
      <w:bookmarkStart w:id="12" w:name="a6"/>
      <w:bookmarkStart w:id="13" w:name="ARTIKKEL_6"/>
      <w:bookmarkEnd w:id="12"/>
      <w:bookmarkEnd w:id="13"/>
      <w:r w:rsidRPr="00775B1C">
        <w:rPr>
          <w:rFonts w:cs="Times New Roman"/>
          <w:b/>
          <w:szCs w:val="24"/>
          <w:lang w:bidi="en-GB"/>
        </w:rPr>
        <w:t>Article 6</w:t>
      </w:r>
    </w:p>
    <w:p w14:paraId="665E9240" w14:textId="334D760C" w:rsidR="00F84F02" w:rsidRPr="00775B1C" w:rsidRDefault="00F84F02" w:rsidP="00775B1C">
      <w:pPr>
        <w:spacing w:after="120" w:line="240" w:lineRule="auto"/>
        <w:jc w:val="center"/>
        <w:rPr>
          <w:rFonts w:cs="Times New Roman"/>
          <w:szCs w:val="24"/>
        </w:rPr>
      </w:pPr>
      <w:r w:rsidRPr="00775B1C">
        <w:rPr>
          <w:rFonts w:cs="Times New Roman"/>
          <w:b/>
          <w:szCs w:val="24"/>
          <w:lang w:bidi="en-GB"/>
        </w:rPr>
        <w:t>Amendments</w:t>
      </w:r>
    </w:p>
    <w:p w14:paraId="0560C7B9" w14:textId="4BC4D19D" w:rsidR="005B3107" w:rsidRPr="00775B1C" w:rsidRDefault="00C75172" w:rsidP="00775B1C">
      <w:pPr>
        <w:spacing w:after="120" w:line="240" w:lineRule="auto"/>
        <w:jc w:val="both"/>
        <w:rPr>
          <w:rFonts w:cs="Times New Roman"/>
          <w:szCs w:val="24"/>
        </w:rPr>
      </w:pPr>
      <w:r w:rsidRPr="00C75172">
        <w:rPr>
          <w:rFonts w:cs="Times New Roman"/>
          <w:szCs w:val="24"/>
        </w:rPr>
        <w:t>This Agreement and its Protocols may be amended by mutual consent by means of an exchange of notes through diplomatic channels, or by a decision made in the Supervisory Committee.</w:t>
      </w:r>
      <w:r w:rsidR="007B2F56" w:rsidRPr="00775B1C">
        <w:rPr>
          <w:rFonts w:cs="Times New Roman"/>
          <w:szCs w:val="24"/>
        </w:rPr>
        <w:t xml:space="preserve"> The amendments shall enter into force 30 days after the date of receipt of the last notification of approval, unless agreed otherwise in the amendments.</w:t>
      </w:r>
    </w:p>
    <w:p w14:paraId="69C83357" w14:textId="77777777" w:rsidR="00F84F02" w:rsidRPr="00775B1C" w:rsidRDefault="00F84F02" w:rsidP="00775B1C">
      <w:pPr>
        <w:spacing w:after="120" w:line="240" w:lineRule="auto"/>
        <w:jc w:val="both"/>
        <w:rPr>
          <w:rFonts w:cs="Times New Roman"/>
          <w:szCs w:val="24"/>
          <w:lang w:val="nb-NO"/>
        </w:rPr>
      </w:pPr>
      <w:r w:rsidRPr="00775B1C">
        <w:rPr>
          <w:rFonts w:cs="Times New Roman"/>
          <w:szCs w:val="24"/>
          <w:lang w:bidi="en-GB"/>
        </w:rPr>
        <w:t>If</w:t>
      </w: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F84F02" w:rsidRPr="00775B1C" w14:paraId="683A2AE1" w14:textId="77777777">
        <w:tc>
          <w:tcPr>
            <w:tcW w:w="670" w:type="dxa"/>
            <w:noWrap/>
            <w:tcMar>
              <w:top w:w="0" w:type="dxa"/>
              <w:left w:w="30" w:type="dxa"/>
              <w:bottom w:w="0" w:type="dxa"/>
              <w:right w:w="30" w:type="dxa"/>
            </w:tcMar>
            <w:hideMark/>
          </w:tcPr>
          <w:p w14:paraId="40668425" w14:textId="77777777" w:rsidR="00F84F02" w:rsidRPr="00775B1C" w:rsidRDefault="00F84F02" w:rsidP="00775B1C">
            <w:pPr>
              <w:spacing w:after="120" w:line="240" w:lineRule="auto"/>
              <w:jc w:val="both"/>
              <w:rPr>
                <w:rFonts w:cs="Times New Roman"/>
                <w:szCs w:val="24"/>
                <w:lang w:val="nb-NO"/>
              </w:rPr>
            </w:pPr>
            <w:r w:rsidRPr="00775B1C">
              <w:rPr>
                <w:rFonts w:cs="Times New Roman"/>
                <w:szCs w:val="24"/>
                <w:lang w:bidi="en-GB"/>
              </w:rPr>
              <w:t>a.</w:t>
            </w:r>
          </w:p>
        </w:tc>
        <w:tc>
          <w:tcPr>
            <w:tcW w:w="12740" w:type="dxa"/>
            <w:tcMar>
              <w:top w:w="0" w:type="dxa"/>
              <w:left w:w="30" w:type="dxa"/>
              <w:bottom w:w="0" w:type="dxa"/>
              <w:right w:w="30" w:type="dxa"/>
            </w:tcMar>
            <w:hideMark/>
          </w:tcPr>
          <w:p w14:paraId="37E85CBA" w14:textId="77777777" w:rsidR="00F84F02" w:rsidRPr="00775B1C" w:rsidRDefault="00F84F02" w:rsidP="00775B1C">
            <w:pPr>
              <w:spacing w:after="120" w:line="240" w:lineRule="auto"/>
              <w:jc w:val="both"/>
              <w:rPr>
                <w:rFonts w:cs="Times New Roman"/>
                <w:szCs w:val="24"/>
                <w:lang w:val="nb-NO"/>
              </w:rPr>
            </w:pPr>
            <w:r w:rsidRPr="00775B1C">
              <w:rPr>
                <w:rFonts w:cs="Times New Roman"/>
                <w:szCs w:val="24"/>
                <w:lang w:bidi="en-GB"/>
              </w:rPr>
              <w:t>NATO expands its cooperation obligations concerning crisis situations</w:t>
            </w:r>
          </w:p>
        </w:tc>
      </w:tr>
    </w:tbl>
    <w:p w14:paraId="1A8BD561" w14:textId="77777777" w:rsidR="00F84F02" w:rsidRPr="00775B1C" w:rsidRDefault="00F84F02" w:rsidP="00775B1C">
      <w:pPr>
        <w:spacing w:after="120" w:line="240" w:lineRule="auto"/>
        <w:jc w:val="both"/>
        <w:rPr>
          <w:rFonts w:cs="Times New Roman"/>
          <w:szCs w:val="24"/>
          <w:lang w:val="nb-NO"/>
        </w:rPr>
      </w:pPr>
      <w:r w:rsidRPr="00775B1C">
        <w:rPr>
          <w:rFonts w:cs="Times New Roman"/>
          <w:szCs w:val="24"/>
          <w:lang w:bidi="en-GB"/>
        </w:rPr>
        <w:t>or</w:t>
      </w:r>
    </w:p>
    <w:tbl>
      <w:tblPr>
        <w:tblW w:w="13410" w:type="dxa"/>
        <w:tblCellMar>
          <w:top w:w="15" w:type="dxa"/>
          <w:left w:w="15" w:type="dxa"/>
          <w:bottom w:w="15" w:type="dxa"/>
          <w:right w:w="15" w:type="dxa"/>
        </w:tblCellMar>
        <w:tblLook w:val="04A0" w:firstRow="1" w:lastRow="0" w:firstColumn="1" w:lastColumn="0" w:noHBand="0" w:noVBand="1"/>
      </w:tblPr>
      <w:tblGrid>
        <w:gridCol w:w="670"/>
        <w:gridCol w:w="12740"/>
      </w:tblGrid>
      <w:tr w:rsidR="00F84F02" w:rsidRPr="00775B1C" w14:paraId="3A57825C" w14:textId="77777777">
        <w:tc>
          <w:tcPr>
            <w:tcW w:w="670" w:type="dxa"/>
            <w:noWrap/>
            <w:tcMar>
              <w:top w:w="0" w:type="dxa"/>
              <w:left w:w="30" w:type="dxa"/>
              <w:bottom w:w="0" w:type="dxa"/>
              <w:right w:w="30" w:type="dxa"/>
            </w:tcMar>
            <w:hideMark/>
          </w:tcPr>
          <w:p w14:paraId="0185A356" w14:textId="77777777" w:rsidR="00F84F02" w:rsidRPr="00775B1C" w:rsidRDefault="00F84F02" w:rsidP="00775B1C">
            <w:pPr>
              <w:spacing w:after="120" w:line="240" w:lineRule="auto"/>
              <w:jc w:val="both"/>
              <w:rPr>
                <w:rFonts w:cs="Times New Roman"/>
                <w:szCs w:val="24"/>
                <w:lang w:val="nb-NO"/>
              </w:rPr>
            </w:pPr>
            <w:r w:rsidRPr="00775B1C">
              <w:rPr>
                <w:rFonts w:cs="Times New Roman"/>
                <w:szCs w:val="24"/>
                <w:lang w:bidi="en-GB"/>
              </w:rPr>
              <w:t>b.</w:t>
            </w:r>
          </w:p>
        </w:tc>
        <w:tc>
          <w:tcPr>
            <w:tcW w:w="12740" w:type="dxa"/>
            <w:tcMar>
              <w:top w:w="0" w:type="dxa"/>
              <w:left w:w="30" w:type="dxa"/>
              <w:bottom w:w="0" w:type="dxa"/>
              <w:right w:w="30" w:type="dxa"/>
            </w:tcMar>
            <w:hideMark/>
          </w:tcPr>
          <w:p w14:paraId="7ED7DD73" w14:textId="77777777" w:rsidR="00F84F02" w:rsidRPr="00775B1C" w:rsidRDefault="00F84F02" w:rsidP="00775B1C">
            <w:pPr>
              <w:spacing w:after="120" w:line="240" w:lineRule="auto"/>
              <w:jc w:val="both"/>
              <w:rPr>
                <w:rFonts w:cs="Times New Roman"/>
                <w:szCs w:val="24"/>
                <w:lang w:val="nb-NO"/>
              </w:rPr>
            </w:pPr>
            <w:r w:rsidRPr="00775B1C">
              <w:rPr>
                <w:rFonts w:cs="Times New Roman"/>
                <w:szCs w:val="24"/>
                <w:lang w:bidi="en-GB"/>
              </w:rPr>
              <w:t>the EU establishes new forms of cooperation for crisis management</w:t>
            </w:r>
          </w:p>
        </w:tc>
      </w:tr>
    </w:tbl>
    <w:p w14:paraId="4A30D2EC" w14:textId="77777777" w:rsidR="00F84F02" w:rsidRDefault="00F84F02" w:rsidP="00775B1C">
      <w:pPr>
        <w:spacing w:after="120" w:line="240" w:lineRule="auto"/>
        <w:jc w:val="both"/>
        <w:rPr>
          <w:rFonts w:cs="Times New Roman"/>
          <w:szCs w:val="24"/>
          <w:lang w:bidi="en-GB"/>
        </w:rPr>
      </w:pPr>
      <w:r w:rsidRPr="00775B1C">
        <w:rPr>
          <w:rFonts w:cs="Times New Roman"/>
          <w:szCs w:val="24"/>
          <w:lang w:bidi="en-GB"/>
        </w:rPr>
        <w:t>and this may conflict with the obligations undertaken under this Agreement, the Parties shall meet as soon as possible to discuss whether amendments to the Agreement are required.</w:t>
      </w:r>
    </w:p>
    <w:p w14:paraId="1E3CF905" w14:textId="77777777" w:rsidR="00775B1C" w:rsidRPr="00775B1C" w:rsidRDefault="00775B1C" w:rsidP="00775B1C">
      <w:pPr>
        <w:spacing w:after="120" w:line="240" w:lineRule="auto"/>
        <w:jc w:val="both"/>
        <w:rPr>
          <w:rFonts w:cs="Times New Roman"/>
          <w:szCs w:val="24"/>
        </w:rPr>
      </w:pPr>
    </w:p>
    <w:p w14:paraId="08DB831D" w14:textId="684192D3" w:rsidR="00F84F02" w:rsidRPr="00775B1C" w:rsidRDefault="00F84F02" w:rsidP="00775B1C">
      <w:pPr>
        <w:spacing w:after="120" w:line="240" w:lineRule="auto"/>
        <w:jc w:val="center"/>
        <w:rPr>
          <w:rFonts w:cs="Times New Roman"/>
          <w:b/>
          <w:bCs/>
          <w:szCs w:val="24"/>
        </w:rPr>
      </w:pPr>
      <w:bookmarkStart w:id="14" w:name="a7"/>
      <w:bookmarkStart w:id="15" w:name="ARTIKKEL_7"/>
      <w:bookmarkEnd w:id="14"/>
      <w:bookmarkEnd w:id="15"/>
      <w:r w:rsidRPr="00775B1C">
        <w:rPr>
          <w:rFonts w:cs="Times New Roman"/>
          <w:b/>
          <w:szCs w:val="24"/>
          <w:lang w:bidi="en-GB"/>
        </w:rPr>
        <w:t>Article 7</w:t>
      </w:r>
    </w:p>
    <w:p w14:paraId="4E1876DC" w14:textId="7105DC26" w:rsidR="00F84F02" w:rsidRPr="00775B1C" w:rsidRDefault="00F84F02" w:rsidP="00775B1C">
      <w:pPr>
        <w:spacing w:after="120" w:line="240" w:lineRule="auto"/>
        <w:jc w:val="center"/>
        <w:rPr>
          <w:rFonts w:cs="Times New Roman"/>
          <w:szCs w:val="24"/>
        </w:rPr>
      </w:pPr>
      <w:r w:rsidRPr="00775B1C">
        <w:rPr>
          <w:rFonts w:cs="Times New Roman"/>
          <w:b/>
          <w:szCs w:val="24"/>
          <w:lang w:bidi="en-GB"/>
        </w:rPr>
        <w:t>Settlement of disputes</w:t>
      </w:r>
    </w:p>
    <w:p w14:paraId="1B94A892" w14:textId="77777777" w:rsidR="00F84F02" w:rsidRDefault="00F84F02" w:rsidP="00775B1C">
      <w:pPr>
        <w:spacing w:after="120" w:line="240" w:lineRule="auto"/>
        <w:jc w:val="both"/>
        <w:rPr>
          <w:rFonts w:cs="Times New Roman"/>
          <w:szCs w:val="24"/>
          <w:lang w:bidi="en-GB"/>
        </w:rPr>
      </w:pPr>
      <w:r w:rsidRPr="00775B1C">
        <w:rPr>
          <w:rFonts w:cs="Times New Roman"/>
          <w:szCs w:val="24"/>
          <w:lang w:bidi="en-GB"/>
        </w:rPr>
        <w:t>Any dispute between the Parties concerning the interpretation or application of this Agreement, including its Protocols, shall be settled through consultations held within the Supervisory Committee established under Article 5 and shall not be referred to any other national or international dispute settlement body. The consultations shall take place no later than three (3) months after either Party has requested them.</w:t>
      </w:r>
    </w:p>
    <w:p w14:paraId="77FD88B0" w14:textId="77777777" w:rsidR="00775B1C" w:rsidRPr="00775B1C" w:rsidRDefault="00775B1C" w:rsidP="00775B1C">
      <w:pPr>
        <w:spacing w:after="120" w:line="240" w:lineRule="auto"/>
        <w:jc w:val="both"/>
        <w:rPr>
          <w:rFonts w:cs="Times New Roman"/>
          <w:szCs w:val="24"/>
          <w:lang w:val="sv-SE"/>
        </w:rPr>
      </w:pPr>
    </w:p>
    <w:p w14:paraId="5DE516DC" w14:textId="38AAE172" w:rsidR="00F84F02" w:rsidRPr="00775B1C" w:rsidRDefault="00F84F02" w:rsidP="00775B1C">
      <w:pPr>
        <w:spacing w:after="120" w:line="240" w:lineRule="auto"/>
        <w:jc w:val="center"/>
        <w:rPr>
          <w:rFonts w:cs="Times New Roman"/>
          <w:b/>
          <w:bCs/>
          <w:szCs w:val="24"/>
          <w:lang w:val="sv-SE"/>
        </w:rPr>
      </w:pPr>
      <w:bookmarkStart w:id="16" w:name="a8"/>
      <w:bookmarkStart w:id="17" w:name="ARTIKKEL_8"/>
      <w:bookmarkEnd w:id="16"/>
      <w:bookmarkEnd w:id="17"/>
      <w:r w:rsidRPr="00775B1C">
        <w:rPr>
          <w:rFonts w:cs="Times New Roman"/>
          <w:b/>
          <w:szCs w:val="24"/>
          <w:lang w:bidi="en-GB"/>
        </w:rPr>
        <w:t>Article 8</w:t>
      </w:r>
    </w:p>
    <w:p w14:paraId="3113A9EE" w14:textId="498A68D9" w:rsidR="00F84F02" w:rsidRPr="00775B1C" w:rsidRDefault="00F84F02" w:rsidP="00775B1C">
      <w:pPr>
        <w:spacing w:after="120" w:line="240" w:lineRule="auto"/>
        <w:jc w:val="center"/>
        <w:rPr>
          <w:rFonts w:cs="Times New Roman"/>
          <w:szCs w:val="24"/>
          <w:lang w:val="sv-SE"/>
        </w:rPr>
      </w:pPr>
      <w:r w:rsidRPr="00775B1C">
        <w:rPr>
          <w:rFonts w:cs="Times New Roman"/>
          <w:b/>
          <w:szCs w:val="24"/>
          <w:lang w:bidi="en-GB"/>
        </w:rPr>
        <w:t>Entry into force</w:t>
      </w:r>
    </w:p>
    <w:p w14:paraId="283E4FBA" w14:textId="77777777" w:rsidR="005E011E" w:rsidRPr="00775B1C" w:rsidRDefault="00E212A9" w:rsidP="00775B1C">
      <w:pPr>
        <w:spacing w:after="120" w:line="240" w:lineRule="auto"/>
        <w:jc w:val="both"/>
        <w:rPr>
          <w:rFonts w:cs="Times New Roman"/>
          <w:color w:val="000000"/>
          <w:szCs w:val="24"/>
        </w:rPr>
      </w:pPr>
      <w:r w:rsidRPr="00775B1C">
        <w:rPr>
          <w:rFonts w:cs="Times New Roman"/>
          <w:color w:val="000000"/>
          <w:szCs w:val="24"/>
        </w:rPr>
        <w:t>This Agreement shall enter into force on the date of signature thereof</w:t>
      </w:r>
      <w:r w:rsidR="00122559" w:rsidRPr="00775B1C">
        <w:rPr>
          <w:rFonts w:cs="Times New Roman"/>
          <w:color w:val="000000"/>
          <w:szCs w:val="24"/>
        </w:rPr>
        <w:t>.</w:t>
      </w:r>
    </w:p>
    <w:p w14:paraId="00F231EC" w14:textId="264A4966" w:rsidR="00E212A9" w:rsidRDefault="005B3107" w:rsidP="00775B1C">
      <w:pPr>
        <w:spacing w:after="120" w:line="240" w:lineRule="auto"/>
        <w:jc w:val="both"/>
        <w:rPr>
          <w:rFonts w:cs="Times New Roman"/>
          <w:szCs w:val="24"/>
        </w:rPr>
      </w:pPr>
      <w:r w:rsidRPr="00775B1C">
        <w:rPr>
          <w:rFonts w:cs="Times New Roman"/>
          <w:szCs w:val="24"/>
        </w:rPr>
        <w:t>The Protocols concluded in accordance with Article 3 shall enter into force in the same manner as the amendments provided in Article 6.</w:t>
      </w:r>
    </w:p>
    <w:p w14:paraId="2D14D372" w14:textId="77777777" w:rsidR="00775B1C" w:rsidRPr="00775B1C" w:rsidRDefault="00775B1C" w:rsidP="00775B1C">
      <w:pPr>
        <w:spacing w:after="120" w:line="240" w:lineRule="auto"/>
        <w:jc w:val="both"/>
        <w:rPr>
          <w:rFonts w:cs="Times New Roman"/>
          <w:szCs w:val="24"/>
          <w:lang w:bidi="en-GB"/>
        </w:rPr>
      </w:pPr>
    </w:p>
    <w:p w14:paraId="4FE69243" w14:textId="5B85ECFB" w:rsidR="00F84F02" w:rsidRPr="00775B1C" w:rsidRDefault="00F84F02" w:rsidP="00775B1C">
      <w:pPr>
        <w:spacing w:after="120" w:line="240" w:lineRule="auto"/>
        <w:jc w:val="center"/>
        <w:rPr>
          <w:rFonts w:cs="Times New Roman"/>
          <w:b/>
          <w:bCs/>
          <w:szCs w:val="24"/>
        </w:rPr>
      </w:pPr>
      <w:bookmarkStart w:id="18" w:name="a9"/>
      <w:bookmarkStart w:id="19" w:name="ARTIKKEL_9"/>
      <w:bookmarkEnd w:id="18"/>
      <w:bookmarkEnd w:id="19"/>
      <w:r w:rsidRPr="00775B1C">
        <w:rPr>
          <w:rFonts w:cs="Times New Roman"/>
          <w:b/>
          <w:szCs w:val="24"/>
          <w:lang w:bidi="en-GB"/>
        </w:rPr>
        <w:lastRenderedPageBreak/>
        <w:t>Article 9</w:t>
      </w:r>
    </w:p>
    <w:p w14:paraId="4E7FEEF1" w14:textId="69BB422C" w:rsidR="00F84F02" w:rsidRPr="00775B1C" w:rsidRDefault="00F84F02" w:rsidP="00775B1C">
      <w:pPr>
        <w:spacing w:after="120" w:line="240" w:lineRule="auto"/>
        <w:jc w:val="center"/>
        <w:rPr>
          <w:rFonts w:cs="Times New Roman"/>
          <w:szCs w:val="24"/>
        </w:rPr>
      </w:pPr>
      <w:r w:rsidRPr="00775B1C">
        <w:rPr>
          <w:rFonts w:cs="Times New Roman"/>
          <w:b/>
          <w:szCs w:val="24"/>
          <w:lang w:bidi="en-GB"/>
        </w:rPr>
        <w:t>Termination</w:t>
      </w:r>
    </w:p>
    <w:p w14:paraId="1CFE7E7A" w14:textId="77777777" w:rsidR="00F84F02" w:rsidRPr="00775B1C" w:rsidRDefault="00F84F02" w:rsidP="00775B1C">
      <w:pPr>
        <w:spacing w:after="120" w:line="240" w:lineRule="auto"/>
        <w:jc w:val="both"/>
        <w:rPr>
          <w:rFonts w:cs="Times New Roman"/>
          <w:szCs w:val="24"/>
        </w:rPr>
      </w:pPr>
      <w:r w:rsidRPr="00775B1C">
        <w:rPr>
          <w:rFonts w:cs="Times New Roman"/>
          <w:szCs w:val="24"/>
          <w:lang w:bidi="en-GB"/>
        </w:rPr>
        <w:t xml:space="preserve">This Agreement shall remain in force for ten (10) years from the date of its entry into force. If neither Party terminates the Agreement at least two (2) years before the end of the ten-year period, it shall be extended for a further ten years. Either Party may terminate the Agreement at any time by giving two (2) years’ notice. With the consent of both Parties, the Agreement may be terminated with immediate effect. Termination shall be </w:t>
      </w:r>
      <w:proofErr w:type="gramStart"/>
      <w:r w:rsidRPr="00775B1C">
        <w:rPr>
          <w:rFonts w:cs="Times New Roman"/>
          <w:szCs w:val="24"/>
          <w:lang w:bidi="en-GB"/>
        </w:rPr>
        <w:t>effected</w:t>
      </w:r>
      <w:proofErr w:type="gramEnd"/>
      <w:r w:rsidRPr="00775B1C">
        <w:rPr>
          <w:rFonts w:cs="Times New Roman"/>
          <w:szCs w:val="24"/>
          <w:lang w:bidi="en-GB"/>
        </w:rPr>
        <w:t xml:space="preserve"> in writing through diplomatic channels.</w:t>
      </w:r>
    </w:p>
    <w:p w14:paraId="6A46C983" w14:textId="77777777" w:rsidR="00F84F02" w:rsidRPr="00775B1C" w:rsidRDefault="00F84F02" w:rsidP="00775B1C">
      <w:pPr>
        <w:spacing w:after="120" w:line="240" w:lineRule="auto"/>
        <w:jc w:val="both"/>
        <w:rPr>
          <w:rFonts w:cs="Times New Roman"/>
          <w:szCs w:val="24"/>
        </w:rPr>
      </w:pPr>
      <w:r w:rsidRPr="00775B1C">
        <w:rPr>
          <w:rFonts w:cs="Times New Roman"/>
          <w:szCs w:val="24"/>
          <w:lang w:bidi="en-GB"/>
        </w:rPr>
        <w:t>In witness whereof, the duly authorised representatives of the Parties have signed this Agreement.</w:t>
      </w:r>
    </w:p>
    <w:p w14:paraId="16F0400A" w14:textId="77777777" w:rsidR="00775B1C" w:rsidRDefault="00775B1C" w:rsidP="00775B1C">
      <w:pPr>
        <w:spacing w:after="120" w:line="240" w:lineRule="auto"/>
        <w:jc w:val="both"/>
        <w:rPr>
          <w:rFonts w:cs="Times New Roman"/>
          <w:szCs w:val="24"/>
          <w:lang w:bidi="en-GB"/>
        </w:rPr>
      </w:pPr>
    </w:p>
    <w:p w14:paraId="38AD9376" w14:textId="13008B64" w:rsidR="00F84F02" w:rsidRPr="00775B1C" w:rsidRDefault="00F84F02" w:rsidP="00775B1C">
      <w:pPr>
        <w:spacing w:after="120" w:line="240" w:lineRule="auto"/>
        <w:jc w:val="both"/>
        <w:rPr>
          <w:rFonts w:cs="Times New Roman"/>
          <w:szCs w:val="24"/>
          <w:lang w:bidi="en-GB"/>
        </w:rPr>
      </w:pPr>
      <w:r w:rsidRPr="00775B1C">
        <w:rPr>
          <w:rFonts w:cs="Times New Roman"/>
          <w:szCs w:val="24"/>
          <w:lang w:bidi="en-GB"/>
        </w:rPr>
        <w:t>Done at …, in two originals, in the Norwegian</w:t>
      </w:r>
      <w:r w:rsidR="0050208C" w:rsidRPr="00775B1C">
        <w:rPr>
          <w:rFonts w:cs="Times New Roman"/>
          <w:szCs w:val="24"/>
          <w:lang w:bidi="en-GB"/>
        </w:rPr>
        <w:t>,</w:t>
      </w:r>
      <w:r w:rsidRPr="00775B1C">
        <w:rPr>
          <w:rFonts w:cs="Times New Roman"/>
          <w:szCs w:val="24"/>
          <w:lang w:bidi="en-GB"/>
        </w:rPr>
        <w:t xml:space="preserve"> Estonian</w:t>
      </w:r>
      <w:r w:rsidR="0050208C" w:rsidRPr="00775B1C">
        <w:rPr>
          <w:rFonts w:cs="Times New Roman"/>
          <w:szCs w:val="24"/>
          <w:lang w:bidi="en-GB"/>
        </w:rPr>
        <w:t xml:space="preserve"> and English</w:t>
      </w:r>
      <w:r w:rsidRPr="00775B1C">
        <w:rPr>
          <w:rFonts w:cs="Times New Roman"/>
          <w:szCs w:val="24"/>
          <w:lang w:bidi="en-GB"/>
        </w:rPr>
        <w:t xml:space="preserve"> languages, </w:t>
      </w:r>
      <w:r w:rsidR="0050208C" w:rsidRPr="00775B1C">
        <w:rPr>
          <w:rFonts w:cs="Times New Roman"/>
          <w:szCs w:val="24"/>
          <w:lang w:bidi="en-GB"/>
        </w:rPr>
        <w:t>all</w:t>
      </w:r>
      <w:r w:rsidRPr="00775B1C">
        <w:rPr>
          <w:rFonts w:cs="Times New Roman"/>
          <w:szCs w:val="24"/>
          <w:lang w:bidi="en-GB"/>
        </w:rPr>
        <w:t xml:space="preserve"> texts being equally authentic.</w:t>
      </w:r>
      <w:r w:rsidR="00122559" w:rsidRPr="00775B1C">
        <w:rPr>
          <w:rFonts w:cs="Times New Roman"/>
          <w:szCs w:val="24"/>
          <w:lang w:bidi="en-GB"/>
        </w:rPr>
        <w:t xml:space="preserve"> </w:t>
      </w:r>
      <w:r w:rsidR="00122559" w:rsidRPr="00775B1C">
        <w:rPr>
          <w:rFonts w:cs="Times New Roman"/>
          <w:color w:val="000000"/>
          <w:szCs w:val="24"/>
          <w:lang w:eastAsia="ar-SA"/>
        </w:rPr>
        <w:t>In case of divergen</w:t>
      </w:r>
      <w:r w:rsidR="00D50531" w:rsidRPr="00775B1C">
        <w:rPr>
          <w:rFonts w:cs="Times New Roman"/>
          <w:color w:val="000000"/>
          <w:szCs w:val="24"/>
          <w:lang w:eastAsia="ar-SA"/>
        </w:rPr>
        <w:t>ce</w:t>
      </w:r>
      <w:r w:rsidR="00122559" w:rsidRPr="00775B1C">
        <w:rPr>
          <w:rFonts w:cs="Times New Roman"/>
          <w:color w:val="000000"/>
          <w:szCs w:val="24"/>
          <w:lang w:eastAsia="ar-SA"/>
        </w:rPr>
        <w:t>, the English text shall prevail.</w:t>
      </w:r>
    </w:p>
    <w:p w14:paraId="6A191A0F" w14:textId="6A1FFCD2" w:rsidR="00122559" w:rsidRDefault="00122559" w:rsidP="00775B1C">
      <w:pPr>
        <w:spacing w:after="120" w:line="240" w:lineRule="auto"/>
        <w:jc w:val="both"/>
        <w:rPr>
          <w:rFonts w:cs="Times New Roman"/>
          <w:szCs w:val="24"/>
          <w:lang w:bidi="en-GB"/>
        </w:rPr>
      </w:pPr>
    </w:p>
    <w:p w14:paraId="2FEC8578" w14:textId="77777777" w:rsidR="00775B1C" w:rsidRDefault="00775B1C" w:rsidP="00775B1C">
      <w:pPr>
        <w:spacing w:after="120" w:line="240" w:lineRule="auto"/>
        <w:jc w:val="both"/>
        <w:rPr>
          <w:rFonts w:cs="Times New Roman"/>
          <w:szCs w:val="24"/>
          <w:lang w:bidi="en-GB"/>
        </w:rPr>
      </w:pPr>
    </w:p>
    <w:p w14:paraId="0280E5C0" w14:textId="77777777" w:rsidR="00775B1C" w:rsidRPr="00775B1C" w:rsidRDefault="00775B1C" w:rsidP="00775B1C">
      <w:pPr>
        <w:spacing w:after="120" w:line="240" w:lineRule="auto"/>
        <w:jc w:val="both"/>
        <w:rPr>
          <w:rFonts w:cs="Times New Roman"/>
          <w:szCs w:val="24"/>
          <w:lang w:bidi="en-GB"/>
        </w:rPr>
      </w:pPr>
    </w:p>
    <w:p w14:paraId="02EAC4E1" w14:textId="77777777" w:rsidR="00122559" w:rsidRPr="00775B1C" w:rsidRDefault="00122559" w:rsidP="00775B1C">
      <w:pPr>
        <w:pStyle w:val="Header"/>
        <w:keepNext/>
        <w:tabs>
          <w:tab w:val="clear" w:pos="4535"/>
          <w:tab w:val="left" w:pos="340"/>
          <w:tab w:val="left" w:pos="680"/>
          <w:tab w:val="left" w:pos="1021"/>
          <w:tab w:val="left" w:pos="1361"/>
          <w:tab w:val="left" w:pos="5103"/>
        </w:tabs>
        <w:spacing w:after="120" w:line="240" w:lineRule="auto"/>
        <w:rPr>
          <w:color w:val="000000"/>
          <w:szCs w:val="24"/>
          <w:lang w:val="en-GB"/>
        </w:rPr>
      </w:pPr>
      <w:r w:rsidRPr="00775B1C">
        <w:rPr>
          <w:color w:val="000000"/>
          <w:szCs w:val="24"/>
          <w:lang w:val="en-GB"/>
        </w:rPr>
        <w:t>For the Government of the</w:t>
      </w:r>
      <w:r w:rsidRPr="00775B1C">
        <w:rPr>
          <w:color w:val="000000"/>
          <w:szCs w:val="24"/>
          <w:lang w:val="en-GB"/>
        </w:rPr>
        <w:tab/>
        <w:t>For the Government of</w:t>
      </w:r>
    </w:p>
    <w:p w14:paraId="038F9FBE" w14:textId="66736F02" w:rsidR="00122559" w:rsidRPr="00775B1C" w:rsidRDefault="00122559" w:rsidP="00775B1C">
      <w:pPr>
        <w:keepNext/>
        <w:tabs>
          <w:tab w:val="left" w:pos="340"/>
          <w:tab w:val="left" w:pos="680"/>
          <w:tab w:val="left" w:pos="1021"/>
          <w:tab w:val="left" w:pos="1361"/>
          <w:tab w:val="left" w:pos="5103"/>
        </w:tabs>
        <w:spacing w:after="120" w:line="240" w:lineRule="auto"/>
        <w:rPr>
          <w:rFonts w:cs="Times New Roman"/>
          <w:color w:val="000000"/>
          <w:szCs w:val="24"/>
        </w:rPr>
      </w:pPr>
      <w:r w:rsidRPr="00775B1C">
        <w:rPr>
          <w:rFonts w:cs="Times New Roman"/>
          <w:color w:val="000000"/>
          <w:szCs w:val="24"/>
        </w:rPr>
        <w:t>Kingdom of Norway</w:t>
      </w:r>
      <w:r w:rsidRPr="00775B1C">
        <w:rPr>
          <w:rFonts w:cs="Times New Roman"/>
          <w:color w:val="000000"/>
          <w:szCs w:val="24"/>
        </w:rPr>
        <w:tab/>
        <w:t>the Republic of Estonia</w:t>
      </w:r>
    </w:p>
    <w:p w14:paraId="6832E0E6" w14:textId="77777777" w:rsidR="00122559" w:rsidRPr="00775B1C" w:rsidRDefault="00122559" w:rsidP="00775B1C">
      <w:pPr>
        <w:spacing w:after="120" w:line="240" w:lineRule="auto"/>
        <w:jc w:val="both"/>
        <w:rPr>
          <w:rFonts w:cs="Times New Roman"/>
          <w:szCs w:val="24"/>
        </w:rPr>
      </w:pPr>
    </w:p>
    <w:p w14:paraId="538959F9" w14:textId="77777777" w:rsidR="0041743E" w:rsidRPr="00775B1C" w:rsidRDefault="0041743E" w:rsidP="00775B1C">
      <w:pPr>
        <w:spacing w:after="120" w:line="240" w:lineRule="auto"/>
        <w:jc w:val="both"/>
        <w:rPr>
          <w:rFonts w:cs="Times New Roman"/>
          <w:szCs w:val="24"/>
        </w:rPr>
      </w:pPr>
    </w:p>
    <w:sectPr w:rsidR="0041743E" w:rsidRPr="00775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02"/>
    <w:rsid w:val="000204A9"/>
    <w:rsid w:val="000C27C3"/>
    <w:rsid w:val="00122559"/>
    <w:rsid w:val="00294C0E"/>
    <w:rsid w:val="002C0038"/>
    <w:rsid w:val="00402B78"/>
    <w:rsid w:val="0041743E"/>
    <w:rsid w:val="00482816"/>
    <w:rsid w:val="004A6CCA"/>
    <w:rsid w:val="0050208C"/>
    <w:rsid w:val="00556B05"/>
    <w:rsid w:val="0056589B"/>
    <w:rsid w:val="005B3107"/>
    <w:rsid w:val="005E011E"/>
    <w:rsid w:val="005F55C6"/>
    <w:rsid w:val="00647C75"/>
    <w:rsid w:val="006F02F4"/>
    <w:rsid w:val="007041CE"/>
    <w:rsid w:val="00775B1C"/>
    <w:rsid w:val="007B2F56"/>
    <w:rsid w:val="007C5CAB"/>
    <w:rsid w:val="007D46E0"/>
    <w:rsid w:val="007E6B1E"/>
    <w:rsid w:val="00817B29"/>
    <w:rsid w:val="0082773F"/>
    <w:rsid w:val="00830626"/>
    <w:rsid w:val="00994A46"/>
    <w:rsid w:val="00A357A4"/>
    <w:rsid w:val="00A835C8"/>
    <w:rsid w:val="00AA25DE"/>
    <w:rsid w:val="00AA6203"/>
    <w:rsid w:val="00AF4031"/>
    <w:rsid w:val="00B8270B"/>
    <w:rsid w:val="00C45FA3"/>
    <w:rsid w:val="00C75172"/>
    <w:rsid w:val="00D34344"/>
    <w:rsid w:val="00D50531"/>
    <w:rsid w:val="00D77FD8"/>
    <w:rsid w:val="00DB4741"/>
    <w:rsid w:val="00DB4B36"/>
    <w:rsid w:val="00DD7AA7"/>
    <w:rsid w:val="00DF2498"/>
    <w:rsid w:val="00E16ED1"/>
    <w:rsid w:val="00E212A9"/>
    <w:rsid w:val="00E3504A"/>
    <w:rsid w:val="00EC21A2"/>
    <w:rsid w:val="00F534BA"/>
    <w:rsid w:val="00F84F02"/>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5411"/>
  <w15:chartTrackingRefBased/>
  <w15:docId w15:val="{7E165019-7B1C-4C1F-A3B2-A4A77985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F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F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4F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4F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4F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4F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4F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4741"/>
    <w:pPr>
      <w:widowControl w:val="0"/>
      <w:autoSpaceDE w:val="0"/>
      <w:autoSpaceDN w:val="0"/>
      <w:spacing w:after="0" w:line="240" w:lineRule="auto"/>
      <w:ind w:left="1113" w:hanging="293"/>
    </w:pPr>
    <w:rPr>
      <w:rFonts w:eastAsia="Times New Roman" w:cs="Times New Roman"/>
      <w:color w:val="auto"/>
      <w:kern w:val="0"/>
      <w:lang w:val="en-US"/>
      <w14:ligatures w14:val="none"/>
    </w:rPr>
  </w:style>
  <w:style w:type="character" w:customStyle="1" w:styleId="Heading1Char">
    <w:name w:val="Heading 1 Char"/>
    <w:basedOn w:val="DefaultParagraphFont"/>
    <w:link w:val="Heading1"/>
    <w:uiPriority w:val="9"/>
    <w:rsid w:val="00F84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F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F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4F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4F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4F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4F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4F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4F0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84F0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84F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F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4F02"/>
    <w:pPr>
      <w:spacing w:before="160"/>
      <w:jc w:val="center"/>
    </w:pPr>
    <w:rPr>
      <w:i/>
      <w:iCs/>
      <w:color w:val="404040" w:themeColor="text1" w:themeTint="BF"/>
    </w:rPr>
  </w:style>
  <w:style w:type="character" w:customStyle="1" w:styleId="QuoteChar">
    <w:name w:val="Quote Char"/>
    <w:basedOn w:val="DefaultParagraphFont"/>
    <w:link w:val="Quote"/>
    <w:uiPriority w:val="29"/>
    <w:rsid w:val="00F84F02"/>
    <w:rPr>
      <w:i/>
      <w:iCs/>
      <w:color w:val="404040" w:themeColor="text1" w:themeTint="BF"/>
    </w:rPr>
  </w:style>
  <w:style w:type="character" w:styleId="IntenseEmphasis">
    <w:name w:val="Intense Emphasis"/>
    <w:basedOn w:val="DefaultParagraphFont"/>
    <w:uiPriority w:val="21"/>
    <w:qFormat/>
    <w:rsid w:val="00F84F02"/>
    <w:rPr>
      <w:i/>
      <w:iCs/>
      <w:color w:val="0F4761" w:themeColor="accent1" w:themeShade="BF"/>
    </w:rPr>
  </w:style>
  <w:style w:type="paragraph" w:styleId="IntenseQuote">
    <w:name w:val="Intense Quote"/>
    <w:basedOn w:val="Normal"/>
    <w:next w:val="Normal"/>
    <w:link w:val="IntenseQuoteChar"/>
    <w:uiPriority w:val="30"/>
    <w:qFormat/>
    <w:rsid w:val="00F84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F02"/>
    <w:rPr>
      <w:i/>
      <w:iCs/>
      <w:color w:val="0F4761" w:themeColor="accent1" w:themeShade="BF"/>
    </w:rPr>
  </w:style>
  <w:style w:type="character" w:styleId="IntenseReference">
    <w:name w:val="Intense Reference"/>
    <w:basedOn w:val="DefaultParagraphFont"/>
    <w:uiPriority w:val="32"/>
    <w:qFormat/>
    <w:rsid w:val="00F84F02"/>
    <w:rPr>
      <w:b/>
      <w:bCs/>
      <w:smallCaps/>
      <w:color w:val="0F4761" w:themeColor="accent1" w:themeShade="BF"/>
      <w:spacing w:val="5"/>
    </w:rPr>
  </w:style>
  <w:style w:type="character" w:styleId="CommentReference">
    <w:name w:val="annotation reference"/>
    <w:basedOn w:val="DefaultParagraphFont"/>
    <w:uiPriority w:val="99"/>
    <w:semiHidden/>
    <w:unhideWhenUsed/>
    <w:rsid w:val="00817B29"/>
    <w:rPr>
      <w:sz w:val="16"/>
      <w:szCs w:val="16"/>
    </w:rPr>
  </w:style>
  <w:style w:type="paragraph" w:styleId="CommentText">
    <w:name w:val="annotation text"/>
    <w:basedOn w:val="Normal"/>
    <w:link w:val="CommentTextChar"/>
    <w:uiPriority w:val="99"/>
    <w:semiHidden/>
    <w:unhideWhenUsed/>
    <w:rsid w:val="00817B29"/>
    <w:pPr>
      <w:spacing w:line="240" w:lineRule="auto"/>
    </w:pPr>
    <w:rPr>
      <w:sz w:val="20"/>
      <w:szCs w:val="20"/>
    </w:rPr>
  </w:style>
  <w:style w:type="character" w:customStyle="1" w:styleId="CommentTextChar">
    <w:name w:val="Comment Text Char"/>
    <w:basedOn w:val="DefaultParagraphFont"/>
    <w:link w:val="CommentText"/>
    <w:uiPriority w:val="99"/>
    <w:semiHidden/>
    <w:rsid w:val="00817B29"/>
    <w:rPr>
      <w:sz w:val="20"/>
      <w:szCs w:val="20"/>
    </w:rPr>
  </w:style>
  <w:style w:type="paragraph" w:styleId="CommentSubject">
    <w:name w:val="annotation subject"/>
    <w:basedOn w:val="CommentText"/>
    <w:next w:val="CommentText"/>
    <w:link w:val="CommentSubjectChar"/>
    <w:uiPriority w:val="99"/>
    <w:semiHidden/>
    <w:unhideWhenUsed/>
    <w:rsid w:val="00817B29"/>
    <w:rPr>
      <w:b/>
      <w:bCs/>
    </w:rPr>
  </w:style>
  <w:style w:type="character" w:customStyle="1" w:styleId="CommentSubjectChar">
    <w:name w:val="Comment Subject Char"/>
    <w:basedOn w:val="CommentTextChar"/>
    <w:link w:val="CommentSubject"/>
    <w:uiPriority w:val="99"/>
    <w:semiHidden/>
    <w:rsid w:val="00817B29"/>
    <w:rPr>
      <w:b/>
      <w:bCs/>
      <w:sz w:val="20"/>
      <w:szCs w:val="20"/>
    </w:rPr>
  </w:style>
  <w:style w:type="paragraph" w:styleId="Header">
    <w:name w:val="header"/>
    <w:basedOn w:val="Normal"/>
    <w:link w:val="HeaderChar"/>
    <w:rsid w:val="00122559"/>
    <w:pPr>
      <w:tabs>
        <w:tab w:val="center" w:pos="4535"/>
      </w:tabs>
      <w:spacing w:after="0" w:line="360" w:lineRule="exact"/>
      <w:jc w:val="both"/>
    </w:pPr>
    <w:rPr>
      <w:rFonts w:eastAsia="Times New Roman" w:cs="Times New Roman"/>
      <w:color w:val="auto"/>
      <w:kern w:val="0"/>
      <w:szCs w:val="20"/>
      <w:lang w:val="de-DE" w:eastAsia="ar-SA"/>
      <w14:ligatures w14:val="none"/>
    </w:rPr>
  </w:style>
  <w:style w:type="character" w:customStyle="1" w:styleId="HeaderChar">
    <w:name w:val="Header Char"/>
    <w:basedOn w:val="DefaultParagraphFont"/>
    <w:link w:val="Header"/>
    <w:rsid w:val="00122559"/>
    <w:rPr>
      <w:rFonts w:eastAsia="Times New Roman" w:cs="Times New Roman"/>
      <w:color w:val="auto"/>
      <w:kern w:val="0"/>
      <w:szCs w:val="20"/>
      <w:lang w:val="de-DE" w:eastAsia="ar-SA"/>
      <w14:ligatures w14:val="none"/>
    </w:rPr>
  </w:style>
  <w:style w:type="paragraph" w:styleId="Revision">
    <w:name w:val="Revision"/>
    <w:hidden/>
    <w:uiPriority w:val="99"/>
    <w:semiHidden/>
    <w:rsid w:val="00DD7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4269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Kasenurm</dc:creator>
  <cp:keywords/>
  <dc:description/>
  <cp:lastModifiedBy>Kätlin Joala</cp:lastModifiedBy>
  <cp:revision>2</cp:revision>
  <dcterms:created xsi:type="dcterms:W3CDTF">2026-06-01T07:32:00Z</dcterms:created>
  <dcterms:modified xsi:type="dcterms:W3CDTF">2026-06-01T07:32:00Z</dcterms:modified>
</cp:coreProperties>
</file>