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29A2D038" w:rsidR="00317F3A" w:rsidRPr="0076054B" w:rsidRDefault="006F486B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>
              <w:instrText xml:space="preserve"> delta_regDateTime  \* MERGEFORMAT</w:instrText>
            </w:r>
            <w:r>
              <w:fldChar w:fldCharType="separate"/>
            </w:r>
            <w:r w:rsidR="00D52E06">
              <w:t>26.07.2023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D52E06">
              <w:instrText xml:space="preserve"> delta_regNumber  \* MERGEFORMAT</w:instrText>
            </w:r>
            <w:r w:rsidR="00A02530">
              <w:fldChar w:fldCharType="separate"/>
            </w:r>
            <w:r w:rsidR="00D52E06">
              <w:t>50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2DBDCEBD" w:rsidR="00317F3A" w:rsidRDefault="00A02530" w:rsidP="00084F51">
            <w:pPr>
              <w:pStyle w:val="Pealkiri1"/>
            </w:pPr>
            <w:r>
              <w:fldChar w:fldCharType="begin"/>
            </w:r>
            <w:r w:rsidR="00D52E06">
              <w:instrText xml:space="preserve"> delta_docName  \* MERGEFORMAT</w:instrText>
            </w:r>
            <w:r>
              <w:fldChar w:fldCharType="separate"/>
            </w:r>
            <w:r w:rsidR="00D52E06">
              <w:t>Ettevõtlus- ja infotehnoloogiaministri 21. juuni 2022. a määruse nr 50 „Ida-Viru ettevõtluse investeeringute toetus“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2C2A0263" w:rsidR="00194A32" w:rsidRDefault="00E9227F" w:rsidP="00512E99">
      <w:pPr>
        <w:pStyle w:val="Tekst"/>
      </w:pPr>
      <w:r w:rsidRPr="00E9227F">
        <w:t xml:space="preserve">Määrus kehtestatakse perioodi 2021–2027 Euroopa Liidu ühtekuuluvus- ja </w:t>
      </w:r>
      <w:proofErr w:type="spellStart"/>
      <w:r w:rsidRPr="00E9227F">
        <w:t>siseturvalisuspoliitika</w:t>
      </w:r>
      <w:proofErr w:type="spellEnd"/>
      <w:r w:rsidRPr="00E9227F">
        <w:t xml:space="preserve"> fondide rakendamise seaduse § 10 lõike 2 alusel.</w:t>
      </w:r>
    </w:p>
    <w:p w14:paraId="1A1D33D2" w14:textId="77777777" w:rsidR="00194A32" w:rsidRDefault="00194A32" w:rsidP="00512E99">
      <w:pPr>
        <w:pStyle w:val="Tekst"/>
      </w:pPr>
    </w:p>
    <w:p w14:paraId="3F03BF75" w14:textId="3F089B7B" w:rsidR="004B7148" w:rsidRDefault="004B7148" w:rsidP="00512E99">
      <w:pPr>
        <w:pStyle w:val="Tekst"/>
      </w:pPr>
      <w:r>
        <w:t xml:space="preserve">Ettevõtlus- ja infotehnoloogiaministri 21. juuni 2022. a määruses nr 50 „Ida-Viru ettevõtluse investeeringute toetus“ tehakse järgmised muudatused: </w:t>
      </w:r>
    </w:p>
    <w:p w14:paraId="2EE9D250" w14:textId="77777777" w:rsidR="00A950C5" w:rsidRDefault="00A950C5" w:rsidP="00512E99">
      <w:pPr>
        <w:pStyle w:val="Tekst"/>
      </w:pPr>
    </w:p>
    <w:p w14:paraId="0844BC25" w14:textId="7044ECF2" w:rsidR="00A950C5" w:rsidRDefault="00A950C5" w:rsidP="00512E99">
      <w:pPr>
        <w:pStyle w:val="Tekst"/>
      </w:pPr>
      <w:r w:rsidRPr="00084F51">
        <w:rPr>
          <w:b/>
          <w:bCs/>
        </w:rPr>
        <w:t>1)</w:t>
      </w:r>
      <w:r>
        <w:t xml:space="preserve"> paragrahvi 2 lõike 1 punktis 2 asendatakse sõnad „</w:t>
      </w:r>
      <w:r>
        <w:rPr>
          <w:shd w:val="clear" w:color="auto" w:fill="FFFFFF"/>
        </w:rPr>
        <w:t>taastuvallikatest toodetud energia edendamisse tehtavateks investeeringuteks ettenähtud abi“ sõnadega „i</w:t>
      </w:r>
      <w:r w:rsidRPr="00A950C5">
        <w:rPr>
          <w:shd w:val="clear" w:color="auto" w:fill="FFFFFF"/>
        </w:rPr>
        <w:t>nvesteeringuteks ettenähtud abi taastuvallikatest toodetud energia ja vesiniku ning tõhusa koostootmise edendamiseks</w:t>
      </w:r>
      <w:r>
        <w:rPr>
          <w:shd w:val="clear" w:color="auto" w:fill="FFFFFF"/>
        </w:rPr>
        <w:t>“;</w:t>
      </w:r>
    </w:p>
    <w:p w14:paraId="36F40F05" w14:textId="77777777" w:rsidR="004B7148" w:rsidRDefault="004B7148" w:rsidP="00512E99">
      <w:pPr>
        <w:pStyle w:val="Tekst"/>
      </w:pPr>
    </w:p>
    <w:p w14:paraId="665944D4" w14:textId="7BC4F0ED" w:rsidR="009F1E34" w:rsidRPr="00BA3E91" w:rsidRDefault="00A950C5" w:rsidP="00512E99">
      <w:pPr>
        <w:pStyle w:val="Tekst"/>
      </w:pPr>
      <w:r w:rsidRPr="00084F51">
        <w:rPr>
          <w:b/>
          <w:bCs/>
        </w:rPr>
        <w:t>2</w:t>
      </w:r>
      <w:r w:rsidR="004B7148" w:rsidRPr="00084F51">
        <w:rPr>
          <w:b/>
          <w:bCs/>
        </w:rPr>
        <w:t>)</w:t>
      </w:r>
      <w:r w:rsidR="004B7148">
        <w:t xml:space="preserve"> paragrahvi 2 lõike 1 punkt</w:t>
      </w:r>
      <w:r w:rsidR="009F1E34">
        <w:t>is</w:t>
      </w:r>
      <w:r w:rsidR="004B7148">
        <w:t xml:space="preserve"> 3</w:t>
      </w:r>
      <w:r w:rsidR="009F1E34">
        <w:t xml:space="preserve"> asendatakse tekstiosa </w:t>
      </w:r>
      <w:r w:rsidR="009F1E34" w:rsidRPr="00BA3E91">
        <w:t>„</w:t>
      </w:r>
      <w:r w:rsidR="00BA3E91" w:rsidRPr="00BA5830">
        <w:rPr>
          <w:shd w:val="clear" w:color="auto" w:fill="FFFFFF"/>
        </w:rPr>
        <w:t> </w:t>
      </w:r>
      <w:proofErr w:type="spellStart"/>
      <w:r w:rsidR="00BA3E91" w:rsidRPr="00BA5830">
        <w:rPr>
          <w:shd w:val="clear" w:color="auto" w:fill="FFFFFF"/>
        </w:rPr>
        <w:t>üleeuroopalise</w:t>
      </w:r>
      <w:proofErr w:type="spellEnd"/>
      <w:r w:rsidR="00BA3E91" w:rsidRPr="00BA5830">
        <w:rPr>
          <w:shd w:val="clear" w:color="auto" w:fill="FFFFFF"/>
        </w:rPr>
        <w:t xml:space="preserve"> tähtsusega projektide elluviimise toetamiseks antava riigiabi kokkusobivust siseturuga” (ELT C 8481, 25.11.2021, lk 1–12</w:t>
      </w:r>
      <w:r w:rsidR="009F1E34" w:rsidRPr="00BA3E91">
        <w:t>“ tekstiosaga „</w:t>
      </w:r>
      <w:proofErr w:type="spellStart"/>
      <w:r w:rsidR="009F1E34" w:rsidRPr="00BA3E91">
        <w:t>üleeuroopalist</w:t>
      </w:r>
      <w:proofErr w:type="spellEnd"/>
      <w:r w:rsidR="009F1E34" w:rsidRPr="00BA3E91">
        <w:t xml:space="preserve"> huvi pakkuvate tähtsate projektide elluviimise toetamiseks antava riigiabi kokkusobivust siseturuga“ (ELT C 528, 30.12.2021, lk 10–18)“;  </w:t>
      </w:r>
    </w:p>
    <w:p w14:paraId="514298EE" w14:textId="21ACD141" w:rsidR="004B7148" w:rsidRDefault="004B7148" w:rsidP="00512E99">
      <w:pPr>
        <w:pStyle w:val="Tekst"/>
      </w:pPr>
      <w:r>
        <w:t xml:space="preserve"> </w:t>
      </w:r>
    </w:p>
    <w:p w14:paraId="0D47D95E" w14:textId="1638B7AD" w:rsidR="004B7148" w:rsidRDefault="008A1FFF" w:rsidP="00512E99">
      <w:pPr>
        <w:pStyle w:val="Tekst"/>
      </w:pPr>
      <w:r w:rsidRPr="00084F51">
        <w:rPr>
          <w:b/>
          <w:bCs/>
        </w:rPr>
        <w:t>3</w:t>
      </w:r>
      <w:r w:rsidR="004B7148" w:rsidRPr="00084F51">
        <w:rPr>
          <w:b/>
          <w:bCs/>
        </w:rPr>
        <w:t>)</w:t>
      </w:r>
      <w:r w:rsidR="004B7148">
        <w:t xml:space="preserve"> paragrahvi 2 lõike 1 punkt 6 tunnistatakse kehtetuks; </w:t>
      </w:r>
    </w:p>
    <w:p w14:paraId="40176477" w14:textId="77777777" w:rsidR="00954E31" w:rsidRDefault="00954E31" w:rsidP="00512E99">
      <w:pPr>
        <w:pStyle w:val="Tekst"/>
      </w:pPr>
    </w:p>
    <w:p w14:paraId="18B49141" w14:textId="5578902B" w:rsidR="004B7148" w:rsidRPr="00954E31" w:rsidRDefault="008A1FFF" w:rsidP="00512E99">
      <w:pPr>
        <w:pStyle w:val="Tekst"/>
      </w:pPr>
      <w:r w:rsidRPr="00084F51">
        <w:rPr>
          <w:b/>
          <w:bCs/>
        </w:rPr>
        <w:t>4</w:t>
      </w:r>
      <w:r w:rsidR="004B7148" w:rsidRPr="00084F51">
        <w:rPr>
          <w:b/>
          <w:bCs/>
        </w:rPr>
        <w:t>)</w:t>
      </w:r>
      <w:r w:rsidR="004B7148">
        <w:t xml:space="preserve"> paragrahvi 3 punkti</w:t>
      </w:r>
      <w:r w:rsidR="00835A2F">
        <w:t>s</w:t>
      </w:r>
      <w:r w:rsidR="004B7148">
        <w:t xml:space="preserve"> 5 </w:t>
      </w:r>
      <w:r w:rsidR="00835A2F">
        <w:t xml:space="preserve">asendatakse </w:t>
      </w:r>
      <w:r w:rsidR="004B7148">
        <w:t>t</w:t>
      </w:r>
      <w:r w:rsidR="00954E31">
        <w:t xml:space="preserve">ekstiosa </w:t>
      </w:r>
      <w:r w:rsidR="00954E31" w:rsidRPr="00954E31">
        <w:t>„</w:t>
      </w:r>
      <w:r w:rsidR="00954E31" w:rsidRPr="003F1E88">
        <w:rPr>
          <w:color w:val="202020"/>
          <w:shd w:val="clear" w:color="auto" w:fill="FFFFFF"/>
        </w:rPr>
        <w:t> punktis 49 alusel uue ettevõtte või üksuse rajamiseks või uue toote tootmiseks</w:t>
      </w:r>
      <w:r w:rsidR="00954E31">
        <w:rPr>
          <w:color w:val="202020"/>
          <w:shd w:val="clear" w:color="auto" w:fill="FFFFFF"/>
        </w:rPr>
        <w:t xml:space="preserve">“ tekstiosaga „punkti 49 alusel </w:t>
      </w:r>
      <w:r w:rsidR="004B7148" w:rsidRPr="00954E31">
        <w:t>olemasoleva ettevõtte tootmisvõimsuse suurendamiseks,</w:t>
      </w:r>
      <w:r w:rsidR="00147B52">
        <w:t xml:space="preserve"> uue ettevõtte</w:t>
      </w:r>
      <w:r w:rsidR="00593531">
        <w:t xml:space="preserve"> või üksuse</w:t>
      </w:r>
      <w:r w:rsidR="00147B52">
        <w:t xml:space="preserve"> </w:t>
      </w:r>
      <w:r w:rsidR="00AC1887">
        <w:t>asutamiseks</w:t>
      </w:r>
      <w:r w:rsidR="00147B52">
        <w:t xml:space="preserve"> või </w:t>
      </w:r>
      <w:r w:rsidR="003F1E88">
        <w:t>ettevõtte toodangu mitmekesistamiseks</w:t>
      </w:r>
      <w:r w:rsidR="00EF5F22">
        <w:t>;</w:t>
      </w:r>
      <w:r w:rsidR="004B7148" w:rsidRPr="00954E31">
        <w:t>“;</w:t>
      </w:r>
    </w:p>
    <w:p w14:paraId="2C5158B3" w14:textId="77777777" w:rsidR="004B7148" w:rsidRDefault="004B7148" w:rsidP="00512E99">
      <w:pPr>
        <w:pStyle w:val="Tekst"/>
      </w:pPr>
    </w:p>
    <w:p w14:paraId="6CCB52BD" w14:textId="0DBAD9E1" w:rsidR="00A950C5" w:rsidRDefault="008A1FFF" w:rsidP="00512E99">
      <w:pPr>
        <w:pStyle w:val="Tekst"/>
      </w:pPr>
      <w:r w:rsidRPr="00084F51">
        <w:rPr>
          <w:b/>
          <w:bCs/>
        </w:rPr>
        <w:t>5</w:t>
      </w:r>
      <w:r w:rsidR="004B7148" w:rsidRPr="00084F51">
        <w:rPr>
          <w:b/>
          <w:bCs/>
        </w:rPr>
        <w:t>)</w:t>
      </w:r>
      <w:r w:rsidR="004B7148">
        <w:t xml:space="preserve"> paragrahvi 3 punkt 7 sõnastatakse järgmiselt: </w:t>
      </w:r>
    </w:p>
    <w:p w14:paraId="78A96414" w14:textId="77777777" w:rsidR="00A950C5" w:rsidRDefault="00A950C5" w:rsidP="00512E99">
      <w:pPr>
        <w:pStyle w:val="Tekst"/>
      </w:pPr>
    </w:p>
    <w:p w14:paraId="5B9FC538" w14:textId="58EF5E47" w:rsidR="004B7148" w:rsidRDefault="004B7148" w:rsidP="00512E99">
      <w:pPr>
        <w:pStyle w:val="Tekst"/>
      </w:pPr>
      <w:r>
        <w:t>„7) investeering on § 7 lõike 2 alusel elluviidav tegevus või tegevused olemasoleva ettevõtte tootmisvõimsuse suurendamiseks</w:t>
      </w:r>
      <w:r w:rsidR="00BA5830">
        <w:t xml:space="preserve">, </w:t>
      </w:r>
      <w:r>
        <w:t xml:space="preserve">uue ettevõtte </w:t>
      </w:r>
      <w:r w:rsidR="00593531">
        <w:t xml:space="preserve">või üksuse </w:t>
      </w:r>
      <w:r w:rsidR="003F1E88">
        <w:t>asutamiseks</w:t>
      </w:r>
      <w:r>
        <w:t xml:space="preserve"> või </w:t>
      </w:r>
      <w:r w:rsidR="00EC692E">
        <w:t xml:space="preserve">ettevõtte </w:t>
      </w:r>
      <w:r w:rsidR="003F1E88">
        <w:t xml:space="preserve">toodangu </w:t>
      </w:r>
      <w:r w:rsidR="00EC692E">
        <w:t xml:space="preserve">või tegevuse </w:t>
      </w:r>
      <w:r w:rsidR="003F1E88">
        <w:t>mitmekesistamiseks</w:t>
      </w:r>
      <w:r>
        <w:t xml:space="preserve">;“; </w:t>
      </w:r>
    </w:p>
    <w:p w14:paraId="7ACAB9C2" w14:textId="77777777" w:rsidR="004B7148" w:rsidRDefault="004B7148" w:rsidP="00512E99">
      <w:pPr>
        <w:pStyle w:val="Tekst"/>
      </w:pPr>
    </w:p>
    <w:p w14:paraId="091B7091" w14:textId="544553B2" w:rsidR="004B7148" w:rsidRDefault="008A1FFF" w:rsidP="00512E99">
      <w:pPr>
        <w:pStyle w:val="Tekst"/>
      </w:pPr>
      <w:r w:rsidRPr="00084F51">
        <w:rPr>
          <w:b/>
          <w:bCs/>
        </w:rPr>
        <w:t>6</w:t>
      </w:r>
      <w:r w:rsidR="004B7148" w:rsidRPr="00084F51">
        <w:rPr>
          <w:b/>
          <w:bCs/>
        </w:rPr>
        <w:t>)</w:t>
      </w:r>
      <w:r w:rsidR="004B7148">
        <w:t xml:space="preserve"> paragrahvi 3 punktist 12 jäetakse välja sõnad „ja TAI raamistiku“; </w:t>
      </w:r>
    </w:p>
    <w:p w14:paraId="4CFA4818" w14:textId="77777777" w:rsidR="008A1FFF" w:rsidRDefault="008A1FFF" w:rsidP="00512E99">
      <w:pPr>
        <w:pStyle w:val="Tekst"/>
      </w:pPr>
    </w:p>
    <w:p w14:paraId="017691C3" w14:textId="40695466" w:rsidR="00EC7657" w:rsidRDefault="008A1FFF" w:rsidP="00512E99">
      <w:pPr>
        <w:pStyle w:val="Tekst"/>
        <w:rPr>
          <w:bdr w:val="none" w:sz="0" w:space="0" w:color="auto" w:frame="1"/>
          <w:shd w:val="clear" w:color="auto" w:fill="FFFFFF"/>
        </w:rPr>
      </w:pPr>
      <w:r w:rsidRPr="00084F51">
        <w:rPr>
          <w:b/>
          <w:bCs/>
        </w:rPr>
        <w:t>7</w:t>
      </w:r>
      <w:r w:rsidR="00157AFB" w:rsidRPr="00084F51">
        <w:rPr>
          <w:b/>
          <w:bCs/>
        </w:rPr>
        <w:t>)</w:t>
      </w:r>
      <w:r w:rsidR="00157AFB" w:rsidRPr="00157AFB">
        <w:t xml:space="preserve"> </w:t>
      </w:r>
      <w:r w:rsidR="00157AFB">
        <w:rPr>
          <w:bdr w:val="none" w:sz="0" w:space="0" w:color="auto" w:frame="1"/>
          <w:shd w:val="clear" w:color="auto" w:fill="FFFFFF"/>
        </w:rPr>
        <w:t>paragrahvi 3 punkt 14</w:t>
      </w:r>
      <w:r w:rsidR="00EC7657">
        <w:rPr>
          <w:bdr w:val="none" w:sz="0" w:space="0" w:color="auto" w:frame="1"/>
          <w:shd w:val="clear" w:color="auto" w:fill="FFFFFF"/>
        </w:rPr>
        <w:t xml:space="preserve"> sõnastatakse järgmiselt:</w:t>
      </w:r>
    </w:p>
    <w:p w14:paraId="097C273D" w14:textId="77777777" w:rsidR="00EC7657" w:rsidRDefault="00EC7657" w:rsidP="00512E99">
      <w:pPr>
        <w:pStyle w:val="Tekst"/>
        <w:rPr>
          <w:bdr w:val="none" w:sz="0" w:space="0" w:color="auto" w:frame="1"/>
          <w:shd w:val="clear" w:color="auto" w:fill="FFFFFF"/>
        </w:rPr>
      </w:pPr>
    </w:p>
    <w:p w14:paraId="20D6631E" w14:textId="70A9B6BD" w:rsidR="00157AFB" w:rsidRPr="00157AFB" w:rsidRDefault="00EC7657" w:rsidP="00512E99">
      <w:pPr>
        <w:pStyle w:val="Tekst"/>
      </w:pPr>
      <w:r>
        <w:rPr>
          <w:bdr w:val="none" w:sz="0" w:space="0" w:color="auto" w:frame="1"/>
          <w:shd w:val="clear" w:color="auto" w:fill="FFFFFF"/>
        </w:rPr>
        <w:lastRenderedPageBreak/>
        <w:t>„14)</w:t>
      </w:r>
      <w:r w:rsidR="00157AFB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 xml:space="preserve">turutingimused on turutingimused üldise grupierandi määruse artikli 2 punkti </w:t>
      </w:r>
      <w:r w:rsidR="00157AFB">
        <w:rPr>
          <w:bdr w:val="none" w:sz="0" w:space="0" w:color="auto" w:frame="1"/>
          <w:shd w:val="clear" w:color="auto" w:fill="FFFFFF"/>
        </w:rPr>
        <w:t>39a</w:t>
      </w:r>
      <w:r>
        <w:rPr>
          <w:bdr w:val="none" w:sz="0" w:space="0" w:color="auto" w:frame="1"/>
          <w:shd w:val="clear" w:color="auto" w:fill="FFFFFF"/>
        </w:rPr>
        <w:t xml:space="preserve"> tähenduses;</w:t>
      </w:r>
      <w:r w:rsidR="00157AFB">
        <w:rPr>
          <w:bdr w:val="none" w:sz="0" w:space="0" w:color="auto" w:frame="1"/>
          <w:shd w:val="clear" w:color="auto" w:fill="FFFFFF"/>
        </w:rPr>
        <w:t>“;</w:t>
      </w:r>
    </w:p>
    <w:p w14:paraId="08B0EC09" w14:textId="77777777" w:rsidR="004B7148" w:rsidRDefault="004B7148" w:rsidP="00512E99">
      <w:pPr>
        <w:pStyle w:val="Tekst"/>
      </w:pPr>
    </w:p>
    <w:p w14:paraId="51494210" w14:textId="6B2C9C59" w:rsidR="004B7148" w:rsidRDefault="008A1FFF" w:rsidP="00512E99">
      <w:pPr>
        <w:pStyle w:val="Tekst"/>
      </w:pPr>
      <w:r w:rsidRPr="00084F51">
        <w:rPr>
          <w:b/>
          <w:bCs/>
        </w:rPr>
        <w:t>8</w:t>
      </w:r>
      <w:r w:rsidR="004B7148" w:rsidRPr="00084F51">
        <w:rPr>
          <w:b/>
          <w:bCs/>
        </w:rPr>
        <w:t>)</w:t>
      </w:r>
      <w:r w:rsidR="004B7148">
        <w:t xml:space="preserve"> paragrahvi 3 punkt 19 tunnistatakse kehtetuks; </w:t>
      </w:r>
    </w:p>
    <w:p w14:paraId="5A7C1F80" w14:textId="77777777" w:rsidR="004B7148" w:rsidRDefault="004B7148" w:rsidP="00512E99">
      <w:pPr>
        <w:pStyle w:val="Tekst"/>
      </w:pPr>
    </w:p>
    <w:p w14:paraId="6BA96E5E" w14:textId="353F88A1" w:rsidR="004B7148" w:rsidRDefault="008A1FFF" w:rsidP="00512E99">
      <w:pPr>
        <w:pStyle w:val="Tekst"/>
      </w:pPr>
      <w:r w:rsidRPr="00084F51">
        <w:rPr>
          <w:b/>
          <w:bCs/>
        </w:rPr>
        <w:t>9</w:t>
      </w:r>
      <w:r w:rsidR="004B7148" w:rsidRPr="00084F51">
        <w:rPr>
          <w:b/>
          <w:bCs/>
        </w:rPr>
        <w:t>)</w:t>
      </w:r>
      <w:r w:rsidR="004B7148">
        <w:t xml:space="preserve"> paragrahvi 6 lõikes 3 asendatakse </w:t>
      </w:r>
      <w:r w:rsidR="00610D4A">
        <w:t>tekstiosa</w:t>
      </w:r>
      <w:r w:rsidR="004B7148">
        <w:t xml:space="preserve"> „TAI raamistiku punktis 28 sätestatud tingimustest“ </w:t>
      </w:r>
      <w:r w:rsidR="00610D4A">
        <w:t>tekstiosaga</w:t>
      </w:r>
      <w:r w:rsidR="004B7148">
        <w:t xml:space="preserve"> „Euroopa Komisjoni 28. oktoobri 2022. a teatise „Teadus- ja arendustegevuseks ning innovatsiooniks antava riigiabi raamistik” (ELT C, 414, 28.10.2022, lk 1–38) (edaspidi </w:t>
      </w:r>
      <w:r w:rsidR="004B7148" w:rsidRPr="00084F51">
        <w:rPr>
          <w:i/>
          <w:iCs/>
        </w:rPr>
        <w:t>TAI raamistik</w:t>
      </w:r>
      <w:r w:rsidR="004B7148">
        <w:t>) punktis 29 sätestatud tingimustest</w:t>
      </w:r>
      <w:r w:rsidR="00FA5B4E">
        <w:t>.</w:t>
      </w:r>
      <w:r w:rsidR="004B7148">
        <w:t xml:space="preserve">“; </w:t>
      </w:r>
    </w:p>
    <w:p w14:paraId="25A721B2" w14:textId="77777777" w:rsidR="004B7148" w:rsidRDefault="004B7148" w:rsidP="00512E99">
      <w:pPr>
        <w:pStyle w:val="Tekst"/>
      </w:pPr>
    </w:p>
    <w:p w14:paraId="65CE01E0" w14:textId="5103090E" w:rsidR="004B7148" w:rsidRDefault="008A1FFF" w:rsidP="00512E99">
      <w:pPr>
        <w:pStyle w:val="Tekst"/>
      </w:pPr>
      <w:r w:rsidRPr="00084F51">
        <w:rPr>
          <w:b/>
          <w:bCs/>
        </w:rPr>
        <w:t>10</w:t>
      </w:r>
      <w:r w:rsidR="004B7148" w:rsidRPr="00084F51">
        <w:rPr>
          <w:b/>
          <w:bCs/>
        </w:rPr>
        <w:t>)</w:t>
      </w:r>
      <w:r w:rsidR="004B7148">
        <w:t xml:space="preserve"> paragrahvi 6 lõikes 4 asendatakse arv „29“ arvuga „30“; </w:t>
      </w:r>
    </w:p>
    <w:p w14:paraId="46D20B57" w14:textId="77777777" w:rsidR="00BA5FA6" w:rsidRDefault="00BA5FA6" w:rsidP="00512E99">
      <w:pPr>
        <w:pStyle w:val="Tekst"/>
      </w:pPr>
    </w:p>
    <w:p w14:paraId="30E7E0EB" w14:textId="190878B6" w:rsidR="00D232B6" w:rsidRDefault="008A1FFF" w:rsidP="00512E99">
      <w:pPr>
        <w:pStyle w:val="Tekst"/>
      </w:pPr>
      <w:r w:rsidRPr="00084F51">
        <w:rPr>
          <w:b/>
          <w:bCs/>
        </w:rPr>
        <w:t>11</w:t>
      </w:r>
      <w:r w:rsidR="00242A31" w:rsidRPr="00084F51">
        <w:rPr>
          <w:b/>
          <w:bCs/>
        </w:rPr>
        <w:t>)</w:t>
      </w:r>
      <w:r w:rsidR="00242A31">
        <w:t xml:space="preserve"> paragrahvi 7 lõi</w:t>
      </w:r>
      <w:r w:rsidR="00A44EA2">
        <w:t>k</w:t>
      </w:r>
      <w:r w:rsidR="00242A31">
        <w:t>e 2</w:t>
      </w:r>
      <w:r w:rsidR="00A44EA2">
        <w:t xml:space="preserve"> punktid 1 ja 2</w:t>
      </w:r>
      <w:r w:rsidR="00242A31">
        <w:t xml:space="preserve"> sõnastatakse järgmiselt:</w:t>
      </w:r>
    </w:p>
    <w:p w14:paraId="13AEF98B" w14:textId="77777777" w:rsidR="00835A2F" w:rsidRDefault="00835A2F" w:rsidP="00512E99">
      <w:pPr>
        <w:pStyle w:val="Tekst"/>
      </w:pPr>
    </w:p>
    <w:p w14:paraId="40DD7150" w14:textId="66B39D86" w:rsidR="00242A31" w:rsidRDefault="00242A31" w:rsidP="00512E99">
      <w:pPr>
        <w:pStyle w:val="Tekst"/>
        <w:rPr>
          <w:shd w:val="clear" w:color="auto" w:fill="FFFFFF"/>
        </w:rPr>
      </w:pPr>
      <w:r>
        <w:t>„</w:t>
      </w:r>
      <w:r>
        <w:rPr>
          <w:shd w:val="clear" w:color="auto" w:fill="FFFFFF"/>
        </w:rPr>
        <w:t>1) alginvesteeringu või uut majandustegevust soodustava alginvesteeringu elluviimine;</w:t>
      </w:r>
    </w:p>
    <w:p w14:paraId="6A4917D9" w14:textId="124CE949" w:rsidR="00242A31" w:rsidRPr="00BA5FA6" w:rsidRDefault="00242A31" w:rsidP="00512E99">
      <w:pPr>
        <w:pStyle w:val="Tekst"/>
      </w:pPr>
      <w:r>
        <w:rPr>
          <w:shd w:val="clear" w:color="auto" w:fill="FFFFFF"/>
        </w:rPr>
        <w:t>2) </w:t>
      </w:r>
      <w:bookmarkStart w:id="0" w:name="_Hlk139880219"/>
      <w:r>
        <w:rPr>
          <w:shd w:val="clear" w:color="auto" w:fill="FFFFFF"/>
        </w:rPr>
        <w:t xml:space="preserve">taastuvallikatest toodetud energia </w:t>
      </w:r>
      <w:r w:rsidRPr="00A950C5">
        <w:rPr>
          <w:shd w:val="clear" w:color="auto" w:fill="FFFFFF"/>
        </w:rPr>
        <w:t>ja vesiniku edendamise</w:t>
      </w:r>
      <w:r>
        <w:rPr>
          <w:shd w:val="clear" w:color="auto" w:fill="FFFFFF"/>
        </w:rPr>
        <w:t>ks tehtavate investeeringute elluviimine</w:t>
      </w:r>
      <w:bookmarkEnd w:id="0"/>
      <w:r>
        <w:rPr>
          <w:shd w:val="clear" w:color="auto" w:fill="FFFFFF"/>
        </w:rPr>
        <w:t>, välja arvatud investeeringud päikese- ja tuuleparkide rajamisse;</w:t>
      </w:r>
      <w:r w:rsidR="00C34A2B">
        <w:rPr>
          <w:shd w:val="clear" w:color="auto" w:fill="FFFFFF"/>
        </w:rPr>
        <w:t>“</w:t>
      </w:r>
      <w:r w:rsidR="00A44EA2">
        <w:rPr>
          <w:shd w:val="clear" w:color="auto" w:fill="FFFFFF"/>
        </w:rPr>
        <w:t>;</w:t>
      </w:r>
    </w:p>
    <w:p w14:paraId="244F8C25" w14:textId="77777777" w:rsidR="004B7148" w:rsidRDefault="004B7148" w:rsidP="00512E99">
      <w:pPr>
        <w:pStyle w:val="Tekst"/>
      </w:pPr>
    </w:p>
    <w:p w14:paraId="7474C92C" w14:textId="076C824D" w:rsidR="00A950C5" w:rsidRDefault="008A1FFF" w:rsidP="00512E99">
      <w:pPr>
        <w:pStyle w:val="Tekst"/>
      </w:pPr>
      <w:r w:rsidRPr="00084F51">
        <w:rPr>
          <w:b/>
          <w:bCs/>
        </w:rPr>
        <w:t>12</w:t>
      </w:r>
      <w:r w:rsidR="004B7148" w:rsidRPr="00084F51">
        <w:rPr>
          <w:b/>
          <w:bCs/>
        </w:rPr>
        <w:t>)</w:t>
      </w:r>
      <w:r w:rsidR="004B7148">
        <w:t xml:space="preserve"> paragrahvi 7 täiendatakse lõikega 3</w:t>
      </w:r>
      <w:r w:rsidR="00413485" w:rsidRPr="00F3280E">
        <w:rPr>
          <w:kern w:val="24"/>
          <w:vertAlign w:val="superscript"/>
        </w:rPr>
        <w:t>1</w:t>
      </w:r>
      <w:r w:rsidR="004B7148">
        <w:t xml:space="preserve"> järgmises sõnastuses: </w:t>
      </w:r>
    </w:p>
    <w:p w14:paraId="0507A2D5" w14:textId="77777777" w:rsidR="00A950C5" w:rsidRDefault="00A950C5" w:rsidP="00512E99">
      <w:pPr>
        <w:pStyle w:val="Tekst"/>
      </w:pPr>
    </w:p>
    <w:p w14:paraId="0C86FE2A" w14:textId="0A316D8A" w:rsidR="004B7148" w:rsidRDefault="004B7148" w:rsidP="00512E99">
      <w:pPr>
        <w:pStyle w:val="Tekst"/>
      </w:pPr>
      <w:r>
        <w:t>„(3</w:t>
      </w:r>
      <w:r w:rsidRPr="00F3280E">
        <w:rPr>
          <w:kern w:val="24"/>
          <w:vertAlign w:val="superscript"/>
        </w:rPr>
        <w:t>1</w:t>
      </w:r>
      <w:r>
        <w:t xml:space="preserve">) </w:t>
      </w:r>
      <w:r w:rsidR="00663E76">
        <w:t>L</w:t>
      </w:r>
      <w:r>
        <w:t xml:space="preserve">õike 2 punktis 3 toodud tegevusele toetuse taotlemisel peavad toetatavad tegevused sisalduma Euroopa Komisjoni IPCEI teatise alusel tehtud lubavas otsuses.“; </w:t>
      </w:r>
    </w:p>
    <w:p w14:paraId="423B8982" w14:textId="77777777" w:rsidR="004B7148" w:rsidRDefault="004B7148" w:rsidP="00512E99">
      <w:pPr>
        <w:pStyle w:val="Tekst"/>
      </w:pPr>
    </w:p>
    <w:p w14:paraId="3BAF6507" w14:textId="68CF8143" w:rsidR="00A950C5" w:rsidRDefault="004B7148" w:rsidP="00512E99">
      <w:pPr>
        <w:pStyle w:val="Tekst"/>
      </w:pPr>
      <w:r w:rsidRPr="00084F51">
        <w:rPr>
          <w:b/>
          <w:bCs/>
        </w:rPr>
        <w:t>1</w:t>
      </w:r>
      <w:r w:rsidR="008A1FFF" w:rsidRPr="00084F51">
        <w:rPr>
          <w:b/>
          <w:bCs/>
        </w:rPr>
        <w:t>3</w:t>
      </w:r>
      <w:r w:rsidRPr="00084F51">
        <w:rPr>
          <w:b/>
          <w:bCs/>
        </w:rPr>
        <w:t>)</w:t>
      </w:r>
      <w:r>
        <w:t xml:space="preserve"> paragrahvi 8 täiendatakse lõikega 2</w:t>
      </w:r>
      <w:r w:rsidRPr="00F3280E">
        <w:rPr>
          <w:kern w:val="24"/>
          <w:vertAlign w:val="superscript"/>
        </w:rPr>
        <w:t>1</w:t>
      </w:r>
      <w:r>
        <w:t xml:space="preserve"> järgmises sõnastuses: </w:t>
      </w:r>
    </w:p>
    <w:p w14:paraId="754B2D50" w14:textId="77777777" w:rsidR="00A950C5" w:rsidRDefault="00A950C5" w:rsidP="00512E99">
      <w:pPr>
        <w:pStyle w:val="Tekst"/>
      </w:pPr>
    </w:p>
    <w:p w14:paraId="32B9EAF8" w14:textId="7A2A3CC0" w:rsidR="00DB545E" w:rsidRDefault="004B7148" w:rsidP="00512E99">
      <w:pPr>
        <w:pStyle w:val="Tekst"/>
      </w:pPr>
      <w:r>
        <w:t>„(2</w:t>
      </w:r>
      <w:r w:rsidR="00F3280E" w:rsidRPr="00F3280E">
        <w:rPr>
          <w:kern w:val="24"/>
          <w:vertAlign w:val="superscript"/>
        </w:rPr>
        <w:t>1</w:t>
      </w:r>
      <w:r>
        <w:t xml:space="preserve">) Hoonestatud kinnisasja soetamisel kohaldub </w:t>
      </w:r>
      <w:proofErr w:type="spellStart"/>
      <w:r>
        <w:t>ühissätete</w:t>
      </w:r>
      <w:proofErr w:type="spellEnd"/>
      <w:r>
        <w:t xml:space="preserve"> määruse artikli 64 lõike 1 punktis b toodud piirmäär.“; </w:t>
      </w:r>
    </w:p>
    <w:p w14:paraId="05631586" w14:textId="77777777" w:rsidR="004E18A9" w:rsidRDefault="004E18A9" w:rsidP="00512E99">
      <w:pPr>
        <w:pStyle w:val="Tekst"/>
      </w:pPr>
    </w:p>
    <w:p w14:paraId="0E89BC57" w14:textId="6115336F" w:rsidR="00242A31" w:rsidRDefault="008A1FFF" w:rsidP="00512E99">
      <w:pPr>
        <w:pStyle w:val="Tekst"/>
        <w:rPr>
          <w:bdr w:val="none" w:sz="0" w:space="0" w:color="auto" w:frame="1"/>
          <w:shd w:val="clear" w:color="auto" w:fill="FFFFFF"/>
        </w:rPr>
      </w:pPr>
      <w:r w:rsidRPr="00084F51">
        <w:rPr>
          <w:b/>
          <w:bCs/>
        </w:rPr>
        <w:t>14</w:t>
      </w:r>
      <w:r w:rsidR="00242A31" w:rsidRPr="00084F51">
        <w:rPr>
          <w:b/>
          <w:bCs/>
        </w:rPr>
        <w:t>)</w:t>
      </w:r>
      <w:r w:rsidR="00242A31" w:rsidRPr="00BA5FA6">
        <w:t xml:space="preserve"> </w:t>
      </w:r>
      <w:r w:rsidR="00242A31">
        <w:rPr>
          <w:bdr w:val="none" w:sz="0" w:space="0" w:color="auto" w:frame="1"/>
          <w:shd w:val="clear" w:color="auto" w:fill="FFFFFF"/>
        </w:rPr>
        <w:t>paragrahvi 8 lõige 7 sõnastatakse järgmiselt:</w:t>
      </w:r>
    </w:p>
    <w:p w14:paraId="7B21E7A5" w14:textId="77777777" w:rsidR="00242A31" w:rsidRDefault="00242A31" w:rsidP="00512E99">
      <w:pPr>
        <w:pStyle w:val="Tekst"/>
        <w:rPr>
          <w:bdr w:val="none" w:sz="0" w:space="0" w:color="auto" w:frame="1"/>
          <w:shd w:val="clear" w:color="auto" w:fill="FFFFFF"/>
        </w:rPr>
      </w:pPr>
    </w:p>
    <w:p w14:paraId="5762E612" w14:textId="4794505C" w:rsidR="00242A31" w:rsidRDefault="00242A31" w:rsidP="00512E99">
      <w:pPr>
        <w:pStyle w:val="Tekst"/>
      </w:pPr>
      <w:r>
        <w:rPr>
          <w:color w:val="0061AA"/>
          <w:bdr w:val="none" w:sz="0" w:space="0" w:color="auto" w:frame="1"/>
          <w:shd w:val="clear" w:color="auto" w:fill="FFFFFF"/>
        </w:rPr>
        <w:t>„</w:t>
      </w:r>
      <w:r w:rsidRPr="00BA5FA6">
        <w:rPr>
          <w:shd w:val="clear" w:color="auto" w:fill="FFFFFF"/>
        </w:rPr>
        <w:t xml:space="preserve">(7) Abikõlblikud on § 7 lõike 2 punktis 2 nimetatud </w:t>
      </w:r>
      <w:bookmarkStart w:id="1" w:name="_Hlk139880299"/>
      <w:r w:rsidRPr="00BA5FA6">
        <w:rPr>
          <w:shd w:val="clear" w:color="auto" w:fill="FFFFFF"/>
        </w:rPr>
        <w:t>tegevuse</w:t>
      </w:r>
      <w:r>
        <w:rPr>
          <w:shd w:val="clear" w:color="auto" w:fill="FFFFFF"/>
        </w:rPr>
        <w:t xml:space="preserve"> elluviimiseks vajalikud investeeringukulud.“</w:t>
      </w:r>
      <w:bookmarkEnd w:id="1"/>
      <w:r w:rsidR="00DB545E">
        <w:rPr>
          <w:shd w:val="clear" w:color="auto" w:fill="FFFFFF"/>
        </w:rPr>
        <w:t>;</w:t>
      </w:r>
    </w:p>
    <w:p w14:paraId="2D85FF4E" w14:textId="77777777" w:rsidR="00242A31" w:rsidRDefault="00242A31" w:rsidP="00512E99">
      <w:pPr>
        <w:pStyle w:val="Tekst"/>
      </w:pPr>
    </w:p>
    <w:p w14:paraId="75F6076E" w14:textId="26EDA42D" w:rsidR="004B7148" w:rsidRDefault="004B7148" w:rsidP="00512E99">
      <w:pPr>
        <w:pStyle w:val="Tekst"/>
      </w:pPr>
      <w:r w:rsidRPr="00084F51">
        <w:rPr>
          <w:b/>
          <w:bCs/>
        </w:rPr>
        <w:t>1</w:t>
      </w:r>
      <w:r w:rsidR="008A1FFF" w:rsidRPr="00084F51">
        <w:rPr>
          <w:b/>
          <w:bCs/>
        </w:rPr>
        <w:t>5</w:t>
      </w:r>
      <w:r w:rsidRPr="00084F51">
        <w:rPr>
          <w:b/>
          <w:bCs/>
        </w:rPr>
        <w:t>)</w:t>
      </w:r>
      <w:r>
        <w:t xml:space="preserve"> paragrahvi 8 lõikest 8 jäetakse välja sõnad „haldus- ja“; </w:t>
      </w:r>
    </w:p>
    <w:p w14:paraId="4D0C64A9" w14:textId="77777777" w:rsidR="004B7148" w:rsidRDefault="004B7148" w:rsidP="00512E99">
      <w:pPr>
        <w:pStyle w:val="Tekst"/>
      </w:pPr>
    </w:p>
    <w:p w14:paraId="52D4E30D" w14:textId="05C01184" w:rsidR="00A950C5" w:rsidRDefault="004B7148" w:rsidP="00512E99">
      <w:pPr>
        <w:pStyle w:val="Tekst"/>
      </w:pPr>
      <w:r w:rsidRPr="00084F51">
        <w:rPr>
          <w:b/>
          <w:bCs/>
        </w:rPr>
        <w:t>1</w:t>
      </w:r>
      <w:r w:rsidR="008A1FFF" w:rsidRPr="00084F51">
        <w:rPr>
          <w:b/>
          <w:bCs/>
        </w:rPr>
        <w:t>6</w:t>
      </w:r>
      <w:r w:rsidRPr="00084F51">
        <w:rPr>
          <w:b/>
          <w:bCs/>
        </w:rPr>
        <w:t>)</w:t>
      </w:r>
      <w:r>
        <w:t xml:space="preserve"> paragrahvi 8 täiendatakse lõikega 8</w:t>
      </w:r>
      <w:r w:rsidRPr="00F3280E">
        <w:rPr>
          <w:kern w:val="24"/>
          <w:vertAlign w:val="superscript"/>
        </w:rPr>
        <w:t>1</w:t>
      </w:r>
      <w:r>
        <w:t xml:space="preserve"> järgmises sõnastuses: </w:t>
      </w:r>
    </w:p>
    <w:p w14:paraId="5AD9EDBC" w14:textId="77777777" w:rsidR="00A950C5" w:rsidRDefault="00A950C5" w:rsidP="00512E99">
      <w:pPr>
        <w:pStyle w:val="Tekst"/>
      </w:pPr>
    </w:p>
    <w:p w14:paraId="33899C47" w14:textId="232B9AAF" w:rsidR="004B7148" w:rsidRDefault="004B7148" w:rsidP="00512E99">
      <w:pPr>
        <w:pStyle w:val="Tekst"/>
      </w:pPr>
      <w:r>
        <w:t>„(8</w:t>
      </w:r>
      <w:r w:rsidR="00F3280E" w:rsidRPr="00F3280E">
        <w:rPr>
          <w:kern w:val="24"/>
          <w:vertAlign w:val="superscript"/>
        </w:rPr>
        <w:t>1</w:t>
      </w:r>
      <w:r>
        <w:t xml:space="preserve">) IPCEI teatise alusel toetust saava projekti halduskulud on abikõlblikud, kui neid arvutatakse ühtse määra alusel arvestatuna otsestest personalikuludest, lähtudes </w:t>
      </w:r>
      <w:proofErr w:type="spellStart"/>
      <w:r>
        <w:t>ühissätete</w:t>
      </w:r>
      <w:proofErr w:type="spellEnd"/>
      <w:r>
        <w:t xml:space="preserve"> määruse artikli 54 punkti b kohasest ühtsest määrast.“; </w:t>
      </w:r>
    </w:p>
    <w:p w14:paraId="5EAA491B" w14:textId="77777777" w:rsidR="004B7148" w:rsidRDefault="004B7148" w:rsidP="00512E99">
      <w:pPr>
        <w:pStyle w:val="Tekst"/>
      </w:pPr>
    </w:p>
    <w:p w14:paraId="303BB9F5" w14:textId="77777777" w:rsidR="00971D68" w:rsidRDefault="004B7148" w:rsidP="00512E99">
      <w:pPr>
        <w:pStyle w:val="Tekst"/>
      </w:pPr>
      <w:r w:rsidRPr="00084F51">
        <w:rPr>
          <w:b/>
          <w:bCs/>
        </w:rPr>
        <w:t>1</w:t>
      </w:r>
      <w:r w:rsidR="008A1FFF" w:rsidRPr="00084F51">
        <w:rPr>
          <w:b/>
          <w:bCs/>
        </w:rPr>
        <w:t>7</w:t>
      </w:r>
      <w:r w:rsidRPr="00084F51">
        <w:rPr>
          <w:b/>
          <w:bCs/>
        </w:rPr>
        <w:t>)</w:t>
      </w:r>
      <w:r>
        <w:t xml:space="preserve"> paragrahvi 8 lõike 12 punkt 1 sõnastatakse järgmiselt:</w:t>
      </w:r>
    </w:p>
    <w:p w14:paraId="07EF9A52" w14:textId="77777777" w:rsidR="00971D68" w:rsidRDefault="00971D68" w:rsidP="00512E99">
      <w:pPr>
        <w:pStyle w:val="Tekst"/>
      </w:pPr>
    </w:p>
    <w:p w14:paraId="28EED578" w14:textId="64D6C780" w:rsidR="004B7148" w:rsidRDefault="004B7148" w:rsidP="00512E99">
      <w:pPr>
        <w:pStyle w:val="Tekst"/>
      </w:pPr>
      <w:r>
        <w:t xml:space="preserve">„1) hoonestamata kinnisasja omandamise kulu;“; </w:t>
      </w:r>
    </w:p>
    <w:p w14:paraId="66EF3D73" w14:textId="77777777" w:rsidR="004B7148" w:rsidRDefault="004B7148" w:rsidP="00512E99">
      <w:pPr>
        <w:pStyle w:val="Tekst"/>
      </w:pPr>
    </w:p>
    <w:p w14:paraId="77D0F05E" w14:textId="483B6D7C" w:rsidR="00A950C5" w:rsidRDefault="004B7148" w:rsidP="00512E99">
      <w:pPr>
        <w:pStyle w:val="Tekst"/>
      </w:pPr>
      <w:r w:rsidRPr="00084F51">
        <w:rPr>
          <w:b/>
          <w:bCs/>
        </w:rPr>
        <w:t>1</w:t>
      </w:r>
      <w:r w:rsidR="008A1FFF" w:rsidRPr="00084F51">
        <w:rPr>
          <w:b/>
          <w:bCs/>
        </w:rPr>
        <w:t>8</w:t>
      </w:r>
      <w:r w:rsidRPr="00084F51">
        <w:rPr>
          <w:b/>
          <w:bCs/>
        </w:rPr>
        <w:t>)</w:t>
      </w:r>
      <w:r>
        <w:t xml:space="preserve"> paragrahvi 8 lõike 12 punkt 3 sõnastatakse järgmiselt: </w:t>
      </w:r>
    </w:p>
    <w:p w14:paraId="3AAB3A7C" w14:textId="77777777" w:rsidR="00A950C5" w:rsidRDefault="00A950C5" w:rsidP="00512E99">
      <w:pPr>
        <w:pStyle w:val="Tekst"/>
      </w:pPr>
    </w:p>
    <w:p w14:paraId="63BAA642" w14:textId="02002BDF" w:rsidR="004B7148" w:rsidRDefault="004B7148" w:rsidP="00512E99">
      <w:pPr>
        <w:pStyle w:val="Tekst"/>
      </w:pPr>
      <w:r>
        <w:t xml:space="preserve">„3) liiklusseaduse § 2 punktis 34 sätestatud liikurmasina soetamise kulu, välja arvatud juhul, kui soetatav liikurmasin on vajalik toetuse saaja majandustegevuse teostamiseks ning toetuse saaja </w:t>
      </w:r>
      <w:r w:rsidR="00AE7CCA">
        <w:t xml:space="preserve">võtab liikurmasina </w:t>
      </w:r>
      <w:r>
        <w:t xml:space="preserve">põhivarana arvele;“; </w:t>
      </w:r>
    </w:p>
    <w:p w14:paraId="4B656B3F" w14:textId="77777777" w:rsidR="004B7148" w:rsidRDefault="004B7148" w:rsidP="00512E99">
      <w:pPr>
        <w:pStyle w:val="Tekst"/>
      </w:pPr>
    </w:p>
    <w:p w14:paraId="69D5E4E2" w14:textId="08A738DB" w:rsidR="005E754A" w:rsidRDefault="004B7148" w:rsidP="00512E99">
      <w:pPr>
        <w:pStyle w:val="Tekst"/>
      </w:pPr>
      <w:r w:rsidRPr="00084F51">
        <w:rPr>
          <w:b/>
          <w:bCs/>
        </w:rPr>
        <w:lastRenderedPageBreak/>
        <w:t>1</w:t>
      </w:r>
      <w:r w:rsidR="008A1FFF" w:rsidRPr="00084F51">
        <w:rPr>
          <w:b/>
          <w:bCs/>
        </w:rPr>
        <w:t>9</w:t>
      </w:r>
      <w:r w:rsidRPr="00084F51">
        <w:rPr>
          <w:b/>
          <w:bCs/>
        </w:rPr>
        <w:t>)</w:t>
      </w:r>
      <w:r>
        <w:t xml:space="preserve"> </w:t>
      </w:r>
      <w:r w:rsidR="005E754A">
        <w:t>paragrahvi 9 lõi</w:t>
      </w:r>
      <w:r w:rsidR="00F26579">
        <w:t xml:space="preserve">get </w:t>
      </w:r>
      <w:r w:rsidR="005E754A">
        <w:t xml:space="preserve">3 </w:t>
      </w:r>
      <w:r w:rsidR="00F26579">
        <w:t xml:space="preserve">täiendatakse pärast sõnu „hinnangu koostamine“ tekstiosaga </w:t>
      </w:r>
      <w:r w:rsidR="005E754A" w:rsidRPr="005E754A">
        <w:rPr>
          <w:rFonts w:cs="Times New Roman"/>
        </w:rPr>
        <w:t>„</w:t>
      </w:r>
      <w:r w:rsidR="007042F3">
        <w:rPr>
          <w:rFonts w:cs="Times New Roman"/>
        </w:rPr>
        <w:t xml:space="preserve">või </w:t>
      </w:r>
      <w:r w:rsidR="00567DFD">
        <w:rPr>
          <w:rFonts w:cs="Times New Roman"/>
          <w:color w:val="202020"/>
          <w:shd w:val="clear" w:color="auto" w:fill="FFFFFF"/>
        </w:rPr>
        <w:t>ehitamise korral ehitusprojekti</w:t>
      </w:r>
      <w:r w:rsidR="005E754A">
        <w:t>“;</w:t>
      </w:r>
    </w:p>
    <w:p w14:paraId="29C21404" w14:textId="77777777" w:rsidR="005E754A" w:rsidRDefault="005E754A" w:rsidP="00512E99">
      <w:pPr>
        <w:pStyle w:val="Tekst"/>
      </w:pPr>
    </w:p>
    <w:p w14:paraId="37452119" w14:textId="2B327E98" w:rsidR="00A950C5" w:rsidRDefault="005E754A" w:rsidP="00512E99">
      <w:pPr>
        <w:pStyle w:val="Tekst"/>
      </w:pPr>
      <w:r w:rsidRPr="00084F51">
        <w:rPr>
          <w:b/>
          <w:bCs/>
        </w:rPr>
        <w:t>20)</w:t>
      </w:r>
      <w:r>
        <w:t xml:space="preserve"> </w:t>
      </w:r>
      <w:r w:rsidR="004B7148">
        <w:t>paragrahvi 9 täiendatakse lõikega 3</w:t>
      </w:r>
      <w:r w:rsidR="00F3280E" w:rsidRPr="00F3280E">
        <w:rPr>
          <w:kern w:val="24"/>
          <w:vertAlign w:val="superscript"/>
        </w:rPr>
        <w:t>1</w:t>
      </w:r>
      <w:r w:rsidR="004B7148">
        <w:t xml:space="preserve"> järgmises sõnastuses: </w:t>
      </w:r>
    </w:p>
    <w:p w14:paraId="3F78313B" w14:textId="77777777" w:rsidR="00A950C5" w:rsidRDefault="00A950C5" w:rsidP="00512E99">
      <w:pPr>
        <w:pStyle w:val="Tekst"/>
      </w:pPr>
    </w:p>
    <w:p w14:paraId="618E7F61" w14:textId="49D7F9EE" w:rsidR="004B7148" w:rsidRDefault="004B7148" w:rsidP="00512E99">
      <w:pPr>
        <w:pStyle w:val="Tekst"/>
      </w:pPr>
      <w:r>
        <w:t>„(3</w:t>
      </w:r>
      <w:r w:rsidR="00F3280E" w:rsidRPr="00F3280E">
        <w:rPr>
          <w:kern w:val="24"/>
          <w:vertAlign w:val="superscript"/>
        </w:rPr>
        <w:t>1</w:t>
      </w:r>
      <w:r>
        <w:t>) IPCEI teatise alusel riigiabi saava projekti tegevused on abikõlblikud alates vastava eelteatise esitamise kuupäevast, kuid mitte varem kui 1. jaanuar</w:t>
      </w:r>
      <w:r w:rsidR="00BC7E5F">
        <w:t>ist</w:t>
      </w:r>
      <w:r>
        <w:t xml:space="preserve"> 2021. a.“; </w:t>
      </w:r>
    </w:p>
    <w:p w14:paraId="13DAC49D" w14:textId="77777777" w:rsidR="004B7148" w:rsidRDefault="004B7148" w:rsidP="00512E99">
      <w:pPr>
        <w:pStyle w:val="Tekst"/>
      </w:pPr>
    </w:p>
    <w:p w14:paraId="31699160" w14:textId="67258D98" w:rsidR="005A7453" w:rsidRDefault="008A1FFF" w:rsidP="00512E99">
      <w:pPr>
        <w:pStyle w:val="Tekst"/>
      </w:pPr>
      <w:r w:rsidRPr="00084F51">
        <w:rPr>
          <w:b/>
          <w:bCs/>
        </w:rPr>
        <w:t>2</w:t>
      </w:r>
      <w:r w:rsidR="002518F7" w:rsidRPr="00084F51">
        <w:rPr>
          <w:b/>
          <w:bCs/>
        </w:rPr>
        <w:t>1</w:t>
      </w:r>
      <w:r w:rsidR="004B7148" w:rsidRPr="00084F51">
        <w:rPr>
          <w:b/>
          <w:bCs/>
        </w:rPr>
        <w:t>)</w:t>
      </w:r>
      <w:r w:rsidR="004B7148">
        <w:t xml:space="preserve"> </w:t>
      </w:r>
      <w:r w:rsidR="005A7453">
        <w:t>paragrahvi 10 lõike 2 punktides 1 ja 2 asendatakse arv „50“ arvuga „55“;</w:t>
      </w:r>
    </w:p>
    <w:p w14:paraId="23316C31" w14:textId="77777777" w:rsidR="005A7453" w:rsidRDefault="005A7453" w:rsidP="00512E99">
      <w:pPr>
        <w:pStyle w:val="Tekst"/>
      </w:pPr>
    </w:p>
    <w:p w14:paraId="5BB5F808" w14:textId="1ECCB50F" w:rsidR="00A950C5" w:rsidRDefault="005A7453" w:rsidP="00512E99">
      <w:pPr>
        <w:pStyle w:val="Tekst"/>
      </w:pPr>
      <w:r w:rsidRPr="00084F51">
        <w:rPr>
          <w:b/>
          <w:bCs/>
        </w:rPr>
        <w:t>22)</w:t>
      </w:r>
      <w:r>
        <w:t xml:space="preserve"> </w:t>
      </w:r>
      <w:r w:rsidR="004B7148">
        <w:t xml:space="preserve">paragrahvi 10 lõike 7 sissejuhatav lauseosa sõnastatakse järgmiselt: </w:t>
      </w:r>
    </w:p>
    <w:p w14:paraId="57A3D49A" w14:textId="77777777" w:rsidR="00A950C5" w:rsidRDefault="00A950C5" w:rsidP="00512E99">
      <w:pPr>
        <w:pStyle w:val="Tekst"/>
      </w:pPr>
    </w:p>
    <w:p w14:paraId="2F6B7199" w14:textId="0CD0F121" w:rsidR="004B7148" w:rsidRDefault="004B7148" w:rsidP="00512E99">
      <w:pPr>
        <w:pStyle w:val="Tekst"/>
      </w:pPr>
      <w:r>
        <w:t xml:space="preserve">„Lõike 2 alusel lubatud maksimaalset toetuse summat võib ületada § 7 lõike 3 punktides 2 ja 3 nimetatud tegevuste toetamiseks üldise grupierandi määruse artikli 4 lõike </w:t>
      </w:r>
      <w:r w:rsidR="00A733E5">
        <w:t>1</w:t>
      </w:r>
      <w:r>
        <w:t xml:space="preserve"> </w:t>
      </w:r>
      <w:r w:rsidR="004E4203">
        <w:t>punkti i ala</w:t>
      </w:r>
      <w:r>
        <w:t>punktides (ii) ja (iii) toodud piirmäärasid mitte ületavalt ja kui projekt vastab kõigile järgmistele tingimustele:“</w:t>
      </w:r>
      <w:r w:rsidR="00A40C66">
        <w:t>;</w:t>
      </w:r>
    </w:p>
    <w:p w14:paraId="3DD2B980" w14:textId="77777777" w:rsidR="00C34A2B" w:rsidRDefault="00C34A2B" w:rsidP="00512E99">
      <w:pPr>
        <w:pStyle w:val="Tekst"/>
      </w:pPr>
    </w:p>
    <w:p w14:paraId="49B82E72" w14:textId="09A92B33" w:rsidR="00C34A2B" w:rsidRDefault="008A1FFF" w:rsidP="00512E99">
      <w:pPr>
        <w:pStyle w:val="Tekst"/>
      </w:pPr>
      <w:r w:rsidRPr="00084F51">
        <w:rPr>
          <w:b/>
          <w:bCs/>
        </w:rPr>
        <w:t>2</w:t>
      </w:r>
      <w:r w:rsidR="005A7453">
        <w:rPr>
          <w:b/>
          <w:bCs/>
        </w:rPr>
        <w:t>3</w:t>
      </w:r>
      <w:r w:rsidR="00C34A2B" w:rsidRPr="00084F51">
        <w:rPr>
          <w:b/>
          <w:bCs/>
        </w:rPr>
        <w:t>)</w:t>
      </w:r>
      <w:r w:rsidR="00C34A2B">
        <w:t xml:space="preserve"> paragrahvi 11 lõi</w:t>
      </w:r>
      <w:r w:rsidR="00761282">
        <w:t>k</w:t>
      </w:r>
      <w:r w:rsidR="00C34A2B">
        <w:t>e</w:t>
      </w:r>
      <w:r w:rsidR="00761282">
        <w:t>d</w:t>
      </w:r>
      <w:r w:rsidR="00C34A2B">
        <w:t xml:space="preserve"> 2</w:t>
      </w:r>
      <w:r w:rsidR="00761282">
        <w:t xml:space="preserve"> ja 3</w:t>
      </w:r>
      <w:r w:rsidR="00C34A2B">
        <w:t xml:space="preserve"> sõnastatakse järgmiselt:</w:t>
      </w:r>
    </w:p>
    <w:p w14:paraId="44469917" w14:textId="77777777" w:rsidR="00C34A2B" w:rsidRDefault="00C34A2B" w:rsidP="00512E99">
      <w:pPr>
        <w:pStyle w:val="Tekst"/>
      </w:pPr>
    </w:p>
    <w:p w14:paraId="18B62014" w14:textId="712631F7" w:rsidR="00C34A2B" w:rsidRDefault="00C34A2B" w:rsidP="00512E99">
      <w:pPr>
        <w:pStyle w:val="Tekst"/>
        <w:rPr>
          <w:shd w:val="clear" w:color="auto" w:fill="FFFFFF"/>
        </w:rPr>
      </w:pPr>
      <w:r>
        <w:t xml:space="preserve">„(2) </w:t>
      </w:r>
      <w:r>
        <w:rPr>
          <w:shd w:val="clear" w:color="auto" w:fill="FFFFFF"/>
        </w:rPr>
        <w:t xml:space="preserve">Paragrahvi 7 lõike 2 punktis 2 </w:t>
      </w:r>
      <w:r w:rsidR="00DC6804">
        <w:rPr>
          <w:shd w:val="clear" w:color="auto" w:fill="FFFFFF"/>
        </w:rPr>
        <w:t>nimetatud</w:t>
      </w:r>
      <w:r>
        <w:rPr>
          <w:shd w:val="clear" w:color="auto" w:fill="FFFFFF"/>
        </w:rPr>
        <w:t xml:space="preserve"> tegevuseks üldise grupierandi määruse artikli 41 alusel toetuse taotlemisel on toetuse maksimaalne osakaal abikõlblikest kuludest:</w:t>
      </w:r>
    </w:p>
    <w:p w14:paraId="18136673" w14:textId="60725BCA" w:rsidR="00C34A2B" w:rsidRDefault="00C34A2B" w:rsidP="00512E99">
      <w:pPr>
        <w:pStyle w:val="Tekst"/>
        <w:rPr>
          <w:shd w:val="clear" w:color="auto" w:fill="FFFFFF"/>
        </w:rPr>
      </w:pPr>
      <w:r>
        <w:rPr>
          <w:shd w:val="clear" w:color="auto" w:fill="FFFFFF"/>
        </w:rPr>
        <w:t>1) 45 protsenti, kui toetust taotletakse üldise grupierandi määruse artikli 41 lõike 7 punkti a alusel;</w:t>
      </w:r>
    </w:p>
    <w:p w14:paraId="67A9BBD1" w14:textId="6157D461" w:rsidR="00A950C5" w:rsidRPr="00084F51" w:rsidRDefault="00C34A2B" w:rsidP="00512E99">
      <w:pPr>
        <w:pStyle w:val="Tekst"/>
        <w:rPr>
          <w:shd w:val="clear" w:color="auto" w:fill="FFFFFF"/>
        </w:rPr>
      </w:pPr>
      <w:r>
        <w:rPr>
          <w:shd w:val="clear" w:color="auto" w:fill="FFFFFF"/>
        </w:rPr>
        <w:t>2) 30 protsenti, kui toetust taotletakse üldise grupierandi määruse artikli 41 lõike 7 punkti b alusel.</w:t>
      </w:r>
    </w:p>
    <w:p w14:paraId="7C34A9AD" w14:textId="77777777" w:rsidR="00A950C5" w:rsidRDefault="00A950C5" w:rsidP="00512E99">
      <w:pPr>
        <w:pStyle w:val="Tekst"/>
      </w:pPr>
    </w:p>
    <w:p w14:paraId="659F4C29" w14:textId="1EF8DEC7" w:rsidR="004B7148" w:rsidRDefault="004B7148" w:rsidP="00512E99">
      <w:pPr>
        <w:pStyle w:val="Tekst"/>
      </w:pPr>
      <w:r>
        <w:t>(3) Paragrahvi 7 lõike 2 punktis 3 nimetatud tegevuseks toetuse taotlemisel on toetuse maksimaalne osakaal IPCEI projekti abikõlbliku kogueelarve osana esitatud riigiabi maksimaalse summa osakaal, mis ei ole rohkem kui 2/3 projekti abikõlblikust kogueelarvest ja mille Euroopa Komisjon on heaks kiitnud.“;</w:t>
      </w:r>
    </w:p>
    <w:p w14:paraId="7A02CDB2" w14:textId="77777777" w:rsidR="00C34A2B" w:rsidRDefault="00C34A2B" w:rsidP="00512E99">
      <w:pPr>
        <w:pStyle w:val="Tekst"/>
      </w:pPr>
    </w:p>
    <w:p w14:paraId="3A256E3F" w14:textId="321F2B64" w:rsidR="00C34A2B" w:rsidRDefault="008A1FFF" w:rsidP="00512E99">
      <w:pPr>
        <w:pStyle w:val="Tekst"/>
      </w:pPr>
      <w:r w:rsidRPr="005A7453">
        <w:rPr>
          <w:b/>
          <w:bCs/>
        </w:rPr>
        <w:t>2</w:t>
      </w:r>
      <w:r w:rsidR="005A7453">
        <w:rPr>
          <w:b/>
          <w:bCs/>
        </w:rPr>
        <w:t>4</w:t>
      </w:r>
      <w:r w:rsidR="00C34A2B" w:rsidRPr="005A7453">
        <w:rPr>
          <w:b/>
          <w:bCs/>
        </w:rPr>
        <w:t>)</w:t>
      </w:r>
      <w:r w:rsidR="00C34A2B">
        <w:t xml:space="preserve"> paragrahvi 13 lõike 1 punkt 23 tunnistatakse kehtetuks;</w:t>
      </w:r>
    </w:p>
    <w:p w14:paraId="5CA14814" w14:textId="77777777" w:rsidR="004B7148" w:rsidRDefault="004B7148" w:rsidP="00512E99">
      <w:pPr>
        <w:pStyle w:val="Tekst"/>
      </w:pPr>
    </w:p>
    <w:p w14:paraId="51533DA4" w14:textId="1093FF49" w:rsidR="004B7148" w:rsidRDefault="008A1FFF" w:rsidP="00512E99">
      <w:pPr>
        <w:pStyle w:val="Tekst"/>
      </w:pPr>
      <w:r w:rsidRPr="005A7453">
        <w:rPr>
          <w:b/>
          <w:bCs/>
        </w:rPr>
        <w:t>2</w:t>
      </w:r>
      <w:r w:rsidR="005A7453">
        <w:rPr>
          <w:b/>
          <w:bCs/>
        </w:rPr>
        <w:t>5</w:t>
      </w:r>
      <w:r w:rsidR="004B7148" w:rsidRPr="005A7453">
        <w:rPr>
          <w:b/>
          <w:bCs/>
        </w:rPr>
        <w:t>)</w:t>
      </w:r>
      <w:r w:rsidR="004B7148">
        <w:t xml:space="preserve"> paragrahvi 16 lõikes 3 asendatakse sõna „kuus“ sõnaga „kolm“; </w:t>
      </w:r>
    </w:p>
    <w:p w14:paraId="57783658" w14:textId="77777777" w:rsidR="004B7148" w:rsidRDefault="004B7148" w:rsidP="00512E99">
      <w:pPr>
        <w:pStyle w:val="Tekst"/>
      </w:pPr>
    </w:p>
    <w:p w14:paraId="0926229B" w14:textId="18B54E6A" w:rsidR="004B7148" w:rsidRDefault="004B7148" w:rsidP="00512E99">
      <w:pPr>
        <w:pStyle w:val="Tekst"/>
      </w:pPr>
      <w:r w:rsidRPr="005A7453">
        <w:rPr>
          <w:b/>
          <w:bCs/>
        </w:rPr>
        <w:t>2</w:t>
      </w:r>
      <w:r w:rsidR="005A7453">
        <w:rPr>
          <w:b/>
          <w:bCs/>
        </w:rPr>
        <w:t>6</w:t>
      </w:r>
      <w:r w:rsidRPr="005A7453">
        <w:rPr>
          <w:b/>
          <w:bCs/>
        </w:rPr>
        <w:t>)</w:t>
      </w:r>
      <w:r>
        <w:t xml:space="preserve"> paragrahvi 24 lõikes 4 asendatakse sõnad „projekti rahastamispuudujääki“ sõnadega „projektile lubatud toetuse maksimaalset osakaalu.“; </w:t>
      </w:r>
    </w:p>
    <w:p w14:paraId="7FA784BE" w14:textId="77777777" w:rsidR="004B7148" w:rsidRDefault="004B7148" w:rsidP="00512E99">
      <w:pPr>
        <w:pStyle w:val="Tekst"/>
      </w:pPr>
    </w:p>
    <w:p w14:paraId="037D666E" w14:textId="09C449FE" w:rsidR="00A950C5" w:rsidRDefault="004B7148" w:rsidP="00512E99">
      <w:pPr>
        <w:pStyle w:val="Tekst"/>
      </w:pPr>
      <w:r w:rsidRPr="005A7453">
        <w:rPr>
          <w:b/>
          <w:bCs/>
        </w:rPr>
        <w:t>2</w:t>
      </w:r>
      <w:r w:rsidR="005A7453">
        <w:rPr>
          <w:b/>
          <w:bCs/>
        </w:rPr>
        <w:t>7</w:t>
      </w:r>
      <w:r w:rsidRPr="005A7453">
        <w:rPr>
          <w:b/>
          <w:bCs/>
        </w:rPr>
        <w:t>)</w:t>
      </w:r>
      <w:r>
        <w:t xml:space="preserve"> paragrahvi 31 tekst loetakse lõikeks 1 ja paragrahvi täiendatakse lõi</w:t>
      </w:r>
      <w:r w:rsidR="00807D79">
        <w:t>getega</w:t>
      </w:r>
      <w:r>
        <w:t xml:space="preserve"> 2</w:t>
      </w:r>
      <w:r w:rsidR="00807D79">
        <w:t xml:space="preserve"> ja 3</w:t>
      </w:r>
      <w:r>
        <w:t xml:space="preserve"> järgmises sõnastuses: </w:t>
      </w:r>
    </w:p>
    <w:p w14:paraId="01A82D79" w14:textId="77777777" w:rsidR="00A950C5" w:rsidRDefault="00A950C5" w:rsidP="00512E99">
      <w:pPr>
        <w:pStyle w:val="Tekst"/>
      </w:pPr>
    </w:p>
    <w:p w14:paraId="2C241977" w14:textId="55054F71" w:rsidR="00807D79" w:rsidRDefault="004B7148" w:rsidP="00512E99">
      <w:pPr>
        <w:pStyle w:val="Tekst"/>
      </w:pPr>
      <w:r>
        <w:t>„</w:t>
      </w:r>
      <w:r w:rsidR="00807D79">
        <w:t xml:space="preserve">(2) </w:t>
      </w:r>
      <w:r w:rsidR="001A0559">
        <w:t xml:space="preserve">2023. aasta </w:t>
      </w:r>
      <w:r w:rsidR="00E974B8">
        <w:t>juulis</w:t>
      </w:r>
      <w:r w:rsidR="008A59A5">
        <w:t xml:space="preserve"> vastu võetud</w:t>
      </w:r>
      <w:r w:rsidR="001A0559">
        <w:t xml:space="preserve"> § 9 lõike 3 muudatust rakendatakse tagasiulatuvalt alates 1.</w:t>
      </w:r>
      <w:r w:rsidR="006B6342">
        <w:t> </w:t>
      </w:r>
      <w:r w:rsidR="001A0559">
        <w:t>juulist 2022. aastal.</w:t>
      </w:r>
    </w:p>
    <w:p w14:paraId="6A7938AB" w14:textId="77777777" w:rsidR="00807D79" w:rsidRDefault="00807D79" w:rsidP="00512E99">
      <w:pPr>
        <w:pStyle w:val="Tekst"/>
      </w:pPr>
    </w:p>
    <w:p w14:paraId="6D59C233" w14:textId="256A42A3" w:rsidR="00194A32" w:rsidRDefault="004B7148" w:rsidP="00512E99">
      <w:pPr>
        <w:pStyle w:val="Tekst"/>
      </w:pPr>
      <w:r>
        <w:t>(</w:t>
      </w:r>
      <w:r w:rsidR="00807D79">
        <w:t>3</w:t>
      </w:r>
      <w:r>
        <w:t xml:space="preserve">) </w:t>
      </w:r>
      <w:r w:rsidR="00084F51" w:rsidRPr="00084F51">
        <w:rPr>
          <w:rStyle w:val="cf01"/>
          <w:rFonts w:ascii="Times New Roman" w:hAnsi="Times New Roman" w:cs="Times New Roman"/>
          <w:sz w:val="24"/>
          <w:szCs w:val="24"/>
        </w:rPr>
        <w:t>Enne 2023. aasta</w:t>
      </w:r>
      <w:r w:rsidR="008A59A5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974B8">
        <w:rPr>
          <w:rStyle w:val="cf01"/>
          <w:rFonts w:ascii="Times New Roman" w:hAnsi="Times New Roman" w:cs="Times New Roman"/>
          <w:sz w:val="24"/>
          <w:szCs w:val="24"/>
        </w:rPr>
        <w:t>juulis</w:t>
      </w:r>
      <w:r w:rsidR="008A59A5">
        <w:rPr>
          <w:rStyle w:val="cf01"/>
          <w:rFonts w:ascii="Times New Roman" w:hAnsi="Times New Roman" w:cs="Times New Roman"/>
          <w:sz w:val="24"/>
          <w:szCs w:val="24"/>
        </w:rPr>
        <w:t xml:space="preserve"> vastu võetud</w:t>
      </w:r>
      <w:r w:rsidR="00084F51" w:rsidRPr="00084F51">
        <w:rPr>
          <w:rStyle w:val="cf01"/>
          <w:rFonts w:ascii="Times New Roman" w:hAnsi="Times New Roman" w:cs="Times New Roman"/>
          <w:sz w:val="24"/>
          <w:szCs w:val="24"/>
        </w:rPr>
        <w:t xml:space="preserve"> § 16 lõike 3 muudatust esitatud projektiplaanile antud positiivne eelhinnang kehtib kuus kuud selle andmisest arvates</w:t>
      </w:r>
      <w:r w:rsidR="00084F51">
        <w:rPr>
          <w:rStyle w:val="cf01"/>
          <w:rFonts w:ascii="Times New Roman" w:hAnsi="Times New Roman" w:cs="Times New Roman"/>
          <w:sz w:val="24"/>
          <w:szCs w:val="24"/>
        </w:rPr>
        <w:t>.“</w:t>
      </w:r>
      <w:r>
        <w:t>.</w:t>
      </w:r>
    </w:p>
    <w:p w14:paraId="49ECF9D4" w14:textId="77777777" w:rsidR="00EC18EC" w:rsidRDefault="00EC18EC" w:rsidP="00EC18EC">
      <w:pPr>
        <w:pStyle w:val="allikirjastajanimi"/>
        <w:tabs>
          <w:tab w:val="left" w:pos="5387"/>
        </w:tabs>
      </w:pPr>
    </w:p>
    <w:p w14:paraId="5EDE3430" w14:textId="77777777" w:rsidR="00EC18EC" w:rsidRPr="00831219" w:rsidRDefault="00EC18EC" w:rsidP="00EC18EC">
      <w:pPr>
        <w:pStyle w:val="allikirjastajanimi"/>
        <w:tabs>
          <w:tab w:val="left" w:pos="5387"/>
        </w:tabs>
        <w:rPr>
          <w:sz w:val="14"/>
          <w:szCs w:val="14"/>
        </w:rPr>
      </w:pPr>
    </w:p>
    <w:p w14:paraId="07AD5CDD" w14:textId="23390E16" w:rsidR="004211BF" w:rsidRDefault="004211BF" w:rsidP="00EC18EC">
      <w:pPr>
        <w:pStyle w:val="allikirjastajanimi"/>
        <w:tabs>
          <w:tab w:val="left" w:pos="5387"/>
        </w:tabs>
      </w:pPr>
      <w:r>
        <w:t>(allkirjastatud digitaalselt)</w:t>
      </w:r>
      <w:r w:rsidR="00E51B27" w:rsidRPr="00E51B27">
        <w:t xml:space="preserve"> </w:t>
      </w:r>
    </w:p>
    <w:p w14:paraId="20D045A1" w14:textId="50C2B0CE" w:rsidR="004211BF" w:rsidRDefault="004211BF" w:rsidP="00EC18EC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52E06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D52E06">
        <w:rPr>
          <w:lang w:eastAsia="en-US" w:bidi="ar-SA"/>
        </w:rPr>
        <w:t xml:space="preserve">Tiit </w:t>
      </w:r>
      <w:proofErr w:type="spellStart"/>
      <w:r w:rsidR="00D52E06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1413655C" w14:textId="6AEB749D" w:rsidR="003F35DE" w:rsidRDefault="003F35DE" w:rsidP="00EC18EC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52E06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D52E06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EC18EC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77777777" w:rsidR="003F35DE" w:rsidRDefault="003F35DE" w:rsidP="00EC18EC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67930719" w14:textId="19DC2173" w:rsidR="000D1408" w:rsidRDefault="000D1408" w:rsidP="00EC18EC">
      <w:pPr>
        <w:tabs>
          <w:tab w:val="left" w:pos="5387"/>
        </w:tabs>
        <w:spacing w:line="240" w:lineRule="auto"/>
        <w:jc w:val="left"/>
      </w:pPr>
      <w:r>
        <w:t>Ahti Kuningas</w:t>
      </w:r>
    </w:p>
    <w:p w14:paraId="5B9EB380" w14:textId="2D9078CF" w:rsidR="00D3183A" w:rsidRDefault="000D1408" w:rsidP="006B6342">
      <w:pPr>
        <w:tabs>
          <w:tab w:val="left" w:pos="5387"/>
        </w:tabs>
        <w:spacing w:line="240" w:lineRule="auto"/>
        <w:jc w:val="left"/>
      </w:pPr>
      <w:r>
        <w:t>kantsler</w:t>
      </w: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10643"/>
    <w:rsid w:val="0003449F"/>
    <w:rsid w:val="0008111B"/>
    <w:rsid w:val="00084F51"/>
    <w:rsid w:val="000B0473"/>
    <w:rsid w:val="000C7792"/>
    <w:rsid w:val="000D1408"/>
    <w:rsid w:val="000D399E"/>
    <w:rsid w:val="000D41C1"/>
    <w:rsid w:val="001059F9"/>
    <w:rsid w:val="00117966"/>
    <w:rsid w:val="00125730"/>
    <w:rsid w:val="00142978"/>
    <w:rsid w:val="00147B52"/>
    <w:rsid w:val="00157AFB"/>
    <w:rsid w:val="001645B4"/>
    <w:rsid w:val="00194A32"/>
    <w:rsid w:val="00197561"/>
    <w:rsid w:val="001A0559"/>
    <w:rsid w:val="001A7757"/>
    <w:rsid w:val="001E141F"/>
    <w:rsid w:val="001F20A3"/>
    <w:rsid w:val="00225E68"/>
    <w:rsid w:val="00242A31"/>
    <w:rsid w:val="00242B20"/>
    <w:rsid w:val="002518F7"/>
    <w:rsid w:val="00263A0B"/>
    <w:rsid w:val="0028432E"/>
    <w:rsid w:val="00295E20"/>
    <w:rsid w:val="002E2881"/>
    <w:rsid w:val="00317F3A"/>
    <w:rsid w:val="0039059B"/>
    <w:rsid w:val="003B3582"/>
    <w:rsid w:val="003F1E88"/>
    <w:rsid w:val="003F35DE"/>
    <w:rsid w:val="004013D7"/>
    <w:rsid w:val="0041109C"/>
    <w:rsid w:val="00413485"/>
    <w:rsid w:val="004211BF"/>
    <w:rsid w:val="00454EE1"/>
    <w:rsid w:val="004660E5"/>
    <w:rsid w:val="00482ED3"/>
    <w:rsid w:val="004B7148"/>
    <w:rsid w:val="004D70E0"/>
    <w:rsid w:val="004E18A9"/>
    <w:rsid w:val="004E4203"/>
    <w:rsid w:val="004F2E31"/>
    <w:rsid w:val="00500AE7"/>
    <w:rsid w:val="00512E99"/>
    <w:rsid w:val="00567DFD"/>
    <w:rsid w:val="005914A4"/>
    <w:rsid w:val="00593531"/>
    <w:rsid w:val="00593D3F"/>
    <w:rsid w:val="005960C0"/>
    <w:rsid w:val="005A7453"/>
    <w:rsid w:val="005B0CFF"/>
    <w:rsid w:val="005E754A"/>
    <w:rsid w:val="005E772D"/>
    <w:rsid w:val="0060445D"/>
    <w:rsid w:val="00610D4A"/>
    <w:rsid w:val="00610E9F"/>
    <w:rsid w:val="00654D7B"/>
    <w:rsid w:val="00663E76"/>
    <w:rsid w:val="0066733F"/>
    <w:rsid w:val="006961E6"/>
    <w:rsid w:val="006B6342"/>
    <w:rsid w:val="006F486B"/>
    <w:rsid w:val="007042F3"/>
    <w:rsid w:val="00713CA2"/>
    <w:rsid w:val="00761282"/>
    <w:rsid w:val="00771A57"/>
    <w:rsid w:val="00801DEF"/>
    <w:rsid w:val="00807D79"/>
    <w:rsid w:val="00821714"/>
    <w:rsid w:val="00831219"/>
    <w:rsid w:val="00835A2F"/>
    <w:rsid w:val="00846908"/>
    <w:rsid w:val="00846C6F"/>
    <w:rsid w:val="00873A2E"/>
    <w:rsid w:val="00890CFD"/>
    <w:rsid w:val="0089757E"/>
    <w:rsid w:val="008A1FFF"/>
    <w:rsid w:val="008A5585"/>
    <w:rsid w:val="008A59A5"/>
    <w:rsid w:val="008A721D"/>
    <w:rsid w:val="008D00A9"/>
    <w:rsid w:val="008E67B0"/>
    <w:rsid w:val="009363FD"/>
    <w:rsid w:val="00954E31"/>
    <w:rsid w:val="00957E4E"/>
    <w:rsid w:val="00971D68"/>
    <w:rsid w:val="009E7FB5"/>
    <w:rsid w:val="009F1E34"/>
    <w:rsid w:val="00A02530"/>
    <w:rsid w:val="00A248C6"/>
    <w:rsid w:val="00A273F9"/>
    <w:rsid w:val="00A27936"/>
    <w:rsid w:val="00A34828"/>
    <w:rsid w:val="00A40C66"/>
    <w:rsid w:val="00A44EA2"/>
    <w:rsid w:val="00A450A1"/>
    <w:rsid w:val="00A733E5"/>
    <w:rsid w:val="00A77566"/>
    <w:rsid w:val="00A950C5"/>
    <w:rsid w:val="00AC1887"/>
    <w:rsid w:val="00AD338E"/>
    <w:rsid w:val="00AD61A7"/>
    <w:rsid w:val="00AE1FE9"/>
    <w:rsid w:val="00AE21C3"/>
    <w:rsid w:val="00AE7CCA"/>
    <w:rsid w:val="00B07FBB"/>
    <w:rsid w:val="00B43F5C"/>
    <w:rsid w:val="00BA3E91"/>
    <w:rsid w:val="00BA5830"/>
    <w:rsid w:val="00BA5FA6"/>
    <w:rsid w:val="00BB13FD"/>
    <w:rsid w:val="00BC7E5F"/>
    <w:rsid w:val="00BE67CA"/>
    <w:rsid w:val="00C16693"/>
    <w:rsid w:val="00C34A2B"/>
    <w:rsid w:val="00C42CD8"/>
    <w:rsid w:val="00C45659"/>
    <w:rsid w:val="00C74495"/>
    <w:rsid w:val="00CA0401"/>
    <w:rsid w:val="00CC0694"/>
    <w:rsid w:val="00CC35C2"/>
    <w:rsid w:val="00D21A6C"/>
    <w:rsid w:val="00D232B6"/>
    <w:rsid w:val="00D3183A"/>
    <w:rsid w:val="00D434DD"/>
    <w:rsid w:val="00D52E06"/>
    <w:rsid w:val="00D5534D"/>
    <w:rsid w:val="00DA3499"/>
    <w:rsid w:val="00DB545E"/>
    <w:rsid w:val="00DC6804"/>
    <w:rsid w:val="00DC77ED"/>
    <w:rsid w:val="00E0754B"/>
    <w:rsid w:val="00E20801"/>
    <w:rsid w:val="00E235BD"/>
    <w:rsid w:val="00E334F6"/>
    <w:rsid w:val="00E37BBF"/>
    <w:rsid w:val="00E41702"/>
    <w:rsid w:val="00E4535C"/>
    <w:rsid w:val="00E51B27"/>
    <w:rsid w:val="00E70CD2"/>
    <w:rsid w:val="00E81B2D"/>
    <w:rsid w:val="00E9227F"/>
    <w:rsid w:val="00E974B8"/>
    <w:rsid w:val="00EC18EC"/>
    <w:rsid w:val="00EC692E"/>
    <w:rsid w:val="00EC7657"/>
    <w:rsid w:val="00EF5F22"/>
    <w:rsid w:val="00F00754"/>
    <w:rsid w:val="00F26579"/>
    <w:rsid w:val="00F3280E"/>
    <w:rsid w:val="00F41645"/>
    <w:rsid w:val="00F624B2"/>
    <w:rsid w:val="00F813A5"/>
    <w:rsid w:val="00F97BDE"/>
    <w:rsid w:val="00FA5B4E"/>
    <w:rsid w:val="00FA7686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B26141A6-F3EE-452F-A020-81DA3FC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084F51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512E99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AE21C3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perlink">
    <w:name w:val="Hyperlink"/>
    <w:basedOn w:val="Liguvaikefont"/>
    <w:uiPriority w:val="99"/>
    <w:unhideWhenUsed/>
    <w:rsid w:val="0008111B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8111B"/>
    <w:rPr>
      <w:color w:val="605E5C"/>
      <w:shd w:val="clear" w:color="auto" w:fill="E1DFDD"/>
    </w:rPr>
  </w:style>
  <w:style w:type="character" w:customStyle="1" w:styleId="cf01">
    <w:name w:val="cf01"/>
    <w:basedOn w:val="Liguvaikefont"/>
    <w:rsid w:val="00084F5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084F51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Egle Lokk</cp:lastModifiedBy>
  <cp:revision>2</cp:revision>
  <dcterms:created xsi:type="dcterms:W3CDTF">2023-07-27T04:35:00Z</dcterms:created>
  <dcterms:modified xsi:type="dcterms:W3CDTF">2023-07-27T04:35:00Z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</Properties>
</file>