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9BE26" w14:textId="77777777" w:rsidR="00496A04" w:rsidRDefault="00496A04" w:rsidP="00496A04">
      <w:pPr>
        <w:jc w:val="center"/>
        <w:rPr>
          <w:rFonts w:ascii="Times New Roman" w:hAnsi="Times New Roman" w:cs="Times New Roman"/>
          <w:b/>
          <w:bCs/>
          <w:sz w:val="32"/>
          <w:szCs w:val="32"/>
        </w:rPr>
      </w:pPr>
    </w:p>
    <w:p w14:paraId="23CDE36A" w14:textId="48B58204" w:rsidR="00496A04" w:rsidRPr="00496A04" w:rsidRDefault="00496A04" w:rsidP="00496A04">
      <w:pPr>
        <w:jc w:val="center"/>
        <w:rPr>
          <w:rFonts w:ascii="Times New Roman" w:hAnsi="Times New Roman" w:cs="Times New Roman"/>
          <w:b/>
          <w:bCs/>
          <w:sz w:val="32"/>
          <w:szCs w:val="32"/>
        </w:rPr>
      </w:pPr>
      <w:r w:rsidRPr="00496A04">
        <w:rPr>
          <w:rFonts w:ascii="Times New Roman" w:hAnsi="Times New Roman" w:cs="Times New Roman"/>
          <w:b/>
          <w:bCs/>
          <w:sz w:val="32"/>
          <w:szCs w:val="32"/>
        </w:rPr>
        <w:t xml:space="preserve">Jalaväemiinide kasutamist, varumist, tootmist ja üleandmist keelustava ja nende hävitamist nõudva konventsiooni denonsseerimise seaduse eelnõu </w:t>
      </w:r>
      <w:r>
        <w:rPr>
          <w:rFonts w:ascii="Times New Roman" w:hAnsi="Times New Roman" w:cs="Times New Roman"/>
          <w:b/>
          <w:bCs/>
          <w:sz w:val="32"/>
          <w:szCs w:val="32"/>
        </w:rPr>
        <w:t>s</w:t>
      </w:r>
      <w:r w:rsidRPr="00496A04">
        <w:rPr>
          <w:rFonts w:ascii="Times New Roman" w:hAnsi="Times New Roman" w:cs="Times New Roman"/>
          <w:b/>
          <w:bCs/>
          <w:sz w:val="32"/>
          <w:szCs w:val="32"/>
        </w:rPr>
        <w:t>eletuskiri</w:t>
      </w:r>
    </w:p>
    <w:p w14:paraId="051A1F85" w14:textId="77777777" w:rsidR="00496A04" w:rsidRPr="00496A04" w:rsidRDefault="00496A04" w:rsidP="00496A04">
      <w:pPr>
        <w:jc w:val="both"/>
        <w:rPr>
          <w:rFonts w:ascii="Times New Roman" w:hAnsi="Times New Roman" w:cs="Times New Roman"/>
          <w:b/>
          <w:bCs/>
          <w:sz w:val="24"/>
          <w:szCs w:val="24"/>
        </w:rPr>
      </w:pPr>
    </w:p>
    <w:p w14:paraId="3A598585" w14:textId="7BFF171D" w:rsidR="00496A04" w:rsidRDefault="00496A04" w:rsidP="00496A04">
      <w:pPr>
        <w:jc w:val="both"/>
        <w:rPr>
          <w:rFonts w:ascii="Times New Roman" w:hAnsi="Times New Roman" w:cs="Times New Roman"/>
          <w:bCs/>
          <w:sz w:val="24"/>
          <w:szCs w:val="24"/>
        </w:rPr>
      </w:pPr>
      <w:r w:rsidRPr="00496A04">
        <w:rPr>
          <w:rFonts w:ascii="Times New Roman" w:hAnsi="Times New Roman" w:cs="Times New Roman"/>
          <w:bCs/>
          <w:sz w:val="24"/>
          <w:szCs w:val="24"/>
        </w:rPr>
        <w:t>Riigikogu ratifitseeris jalaväemiinide kasutamist, varumist, tootmist ja üleandmist keelustava ja nende hävitamist nõudva Ottawa konventsiooni 2004. aasta märtsis, paar nädalat enne Eesti vastuvõtmist Põhja-Atlandi Lepingu Organisatsiooni täieõiguslikuks liikmeks.</w:t>
      </w:r>
      <w:r w:rsidRPr="00496A04">
        <w:t xml:space="preserve"> </w:t>
      </w:r>
      <w:r>
        <w:rPr>
          <w:rFonts w:ascii="Times New Roman" w:hAnsi="Times New Roman" w:cs="Times New Roman"/>
          <w:bCs/>
          <w:sz w:val="24"/>
          <w:szCs w:val="24"/>
        </w:rPr>
        <w:t xml:space="preserve">Ottawa konventsioon </w:t>
      </w:r>
      <w:r w:rsidRPr="00496A04">
        <w:rPr>
          <w:rFonts w:ascii="Times New Roman" w:hAnsi="Times New Roman" w:cs="Times New Roman"/>
          <w:bCs/>
          <w:sz w:val="24"/>
          <w:szCs w:val="24"/>
        </w:rPr>
        <w:t>jõustu</w:t>
      </w:r>
      <w:r>
        <w:rPr>
          <w:rFonts w:ascii="Times New Roman" w:hAnsi="Times New Roman" w:cs="Times New Roman"/>
          <w:bCs/>
          <w:sz w:val="24"/>
          <w:szCs w:val="24"/>
        </w:rPr>
        <w:t>s</w:t>
      </w:r>
      <w:r w:rsidRPr="00496A04">
        <w:rPr>
          <w:rFonts w:ascii="Times New Roman" w:hAnsi="Times New Roman" w:cs="Times New Roman"/>
          <w:bCs/>
          <w:sz w:val="24"/>
          <w:szCs w:val="24"/>
        </w:rPr>
        <w:t xml:space="preserve"> Eesti Vabariigi suhtes 2004. aasta 1. novembril.</w:t>
      </w:r>
    </w:p>
    <w:p w14:paraId="26280A1A" w14:textId="435027FF" w:rsidR="00496A04" w:rsidRPr="00496A04" w:rsidRDefault="00496A04" w:rsidP="00496A04">
      <w:pPr>
        <w:jc w:val="both"/>
        <w:rPr>
          <w:rFonts w:ascii="Times New Roman" w:hAnsi="Times New Roman" w:cs="Times New Roman"/>
          <w:bCs/>
          <w:sz w:val="24"/>
          <w:szCs w:val="24"/>
        </w:rPr>
      </w:pPr>
      <w:r w:rsidRPr="00496A04">
        <w:rPr>
          <w:rFonts w:ascii="Times New Roman" w:hAnsi="Times New Roman" w:cs="Times New Roman"/>
          <w:bCs/>
          <w:sz w:val="24"/>
          <w:szCs w:val="24"/>
        </w:rPr>
        <w:t>20. sajandi teise poole sõjalistes konfliktides olid jalaväemiinid paljuski nõrgema osapoole võitlusvahendiks, kes ei saanud endale suuremat tulejõudu ehk pommituslennuväge, lahingukoptereid ning suurtükiväge lubada. Erineva ideoloogilise suunitlusega vastupanuliikumised ja terroriorganisatsioonid kasutasid jalaväemiine laialdaselt valitsusvägede vastases sissitegevuses. Nõrga juhtimise ja puuduliku väljaõppe tõttu pandi miine maha kuidas juhtus, ei koostatud miiniväljade passe ega -kaarte, mistõttu oli pärast lahingutegevuse lõppu neid raske ka leida ning kahjutuks teha. Enamus jalaväemiinide tõttu asetleidnud tsiviilisikute surmajuhtumeid ja vigastusi tulenes miinide ebaprofessionaalsest käsitsemisest miinitõkete rajamisel.</w:t>
      </w:r>
    </w:p>
    <w:p w14:paraId="4CD9E468" w14:textId="1A978EDB" w:rsidR="00496A04" w:rsidRPr="00496A04" w:rsidRDefault="00496A04" w:rsidP="00496A04">
      <w:pPr>
        <w:jc w:val="both"/>
        <w:rPr>
          <w:rFonts w:ascii="Times New Roman" w:hAnsi="Times New Roman" w:cs="Times New Roman"/>
          <w:bCs/>
          <w:sz w:val="24"/>
          <w:szCs w:val="24"/>
        </w:rPr>
      </w:pPr>
      <w:r w:rsidRPr="00496A04">
        <w:rPr>
          <w:rFonts w:ascii="Times New Roman" w:hAnsi="Times New Roman" w:cs="Times New Roman"/>
          <w:bCs/>
          <w:sz w:val="24"/>
          <w:szCs w:val="24"/>
        </w:rPr>
        <w:t xml:space="preserve">Sõjapiirkondades tehtud pildid miinisõja tagajärgedest, näiteks </w:t>
      </w:r>
      <w:proofErr w:type="spellStart"/>
      <w:r w:rsidRPr="00496A04">
        <w:rPr>
          <w:rFonts w:ascii="Times New Roman" w:hAnsi="Times New Roman" w:cs="Times New Roman"/>
          <w:bCs/>
          <w:sz w:val="24"/>
          <w:szCs w:val="24"/>
        </w:rPr>
        <w:t>ärarebitud</w:t>
      </w:r>
      <w:proofErr w:type="spellEnd"/>
      <w:r w:rsidRPr="00496A04">
        <w:rPr>
          <w:rFonts w:ascii="Times New Roman" w:hAnsi="Times New Roman" w:cs="Times New Roman"/>
          <w:bCs/>
          <w:sz w:val="24"/>
          <w:szCs w:val="24"/>
        </w:rPr>
        <w:t xml:space="preserve"> jäsemetega lastest, kutsusid esile lääneriikide üldsuse pahameele. Poliitikutelt nõuti otsustavat tegutsemist. Ottawa konventsioon sündis terve põlvkonna rahuvõitlejate visade ja pikaajaliste jõupingutuste tulemusena. Näiteks Briti printsess Diana oli üks neist, kes selle eest aktiivselt seisis. Nad lähtusid õilsast eesmärgist – piirata jalaväemiinide keelustamise abil sõjategevuse ulatust ning koos sellega tsiviilisikute kaotusi ja kannatusi.</w:t>
      </w:r>
    </w:p>
    <w:p w14:paraId="7C8925DF" w14:textId="1AD93A20" w:rsidR="00496A04" w:rsidRPr="00496A04" w:rsidRDefault="00496A04" w:rsidP="00496A04">
      <w:pPr>
        <w:jc w:val="both"/>
        <w:rPr>
          <w:rFonts w:ascii="Times New Roman" w:hAnsi="Times New Roman" w:cs="Times New Roman"/>
          <w:bCs/>
          <w:sz w:val="24"/>
          <w:szCs w:val="24"/>
        </w:rPr>
      </w:pPr>
      <w:r w:rsidRPr="00496A04">
        <w:rPr>
          <w:rFonts w:ascii="Times New Roman" w:hAnsi="Times New Roman" w:cs="Times New Roman"/>
          <w:bCs/>
          <w:sz w:val="24"/>
          <w:szCs w:val="24"/>
        </w:rPr>
        <w:t xml:space="preserve">Praktikas ei ole see paraku õnnestunud. Esimese suure tagasilöögi põhjustas tõsiasi, et suurriigid USA, Hiina ja Venemaa ei ühinenud Ottawa konventsiooniga. Ka ei ole võimalik nende riikide puhul täheldada mingit kavatsust seda tulevikus teha. Nad ei soovi oma sõjalist tegevusvabadust piirata. Küll on nende huvides oma </w:t>
      </w:r>
      <w:proofErr w:type="spellStart"/>
      <w:r w:rsidRPr="00496A04">
        <w:rPr>
          <w:rFonts w:ascii="Times New Roman" w:hAnsi="Times New Roman" w:cs="Times New Roman"/>
          <w:bCs/>
          <w:sz w:val="24"/>
          <w:szCs w:val="24"/>
        </w:rPr>
        <w:t>assümeetriliste</w:t>
      </w:r>
      <w:proofErr w:type="spellEnd"/>
      <w:r w:rsidRPr="00496A04">
        <w:rPr>
          <w:rFonts w:ascii="Times New Roman" w:hAnsi="Times New Roman" w:cs="Times New Roman"/>
          <w:bCs/>
          <w:sz w:val="24"/>
          <w:szCs w:val="24"/>
        </w:rPr>
        <w:t xml:space="preserve"> vastaste – sissiliikumiste ja terroriorganisatsioonide – tegevusvabaduse kärpimine. </w:t>
      </w:r>
    </w:p>
    <w:p w14:paraId="00D8E6E8" w14:textId="0610AAD3" w:rsidR="00496A04" w:rsidRPr="00496A04" w:rsidRDefault="00496A04" w:rsidP="00496A04">
      <w:pPr>
        <w:jc w:val="both"/>
        <w:rPr>
          <w:rFonts w:ascii="Times New Roman" w:hAnsi="Times New Roman" w:cs="Times New Roman"/>
          <w:bCs/>
          <w:sz w:val="24"/>
          <w:szCs w:val="24"/>
        </w:rPr>
      </w:pPr>
      <w:r w:rsidRPr="00496A04">
        <w:rPr>
          <w:rFonts w:ascii="Times New Roman" w:hAnsi="Times New Roman" w:cs="Times New Roman"/>
          <w:bCs/>
          <w:sz w:val="24"/>
          <w:szCs w:val="24"/>
        </w:rPr>
        <w:t>Käesoleva sajandi algusest muutusidki Ottawa konventsiooni jõustumise tõttu standardsed, tehases valmistatud jalaväemiinid sissi- ja terroriorganisatsioonidele raskesti kättesaadavaks. Teoreetiliselt oleks pidanud see nende tegevust oluliselt pärssima, sest tänaseks on Ottawa konventsiooniga liitunud kokku 163 riiki, sealhulgas kõik Euroopa maad peale Venemaa.</w:t>
      </w:r>
    </w:p>
    <w:p w14:paraId="1C1F1292" w14:textId="77777777" w:rsidR="00496A04" w:rsidRPr="00496A04" w:rsidRDefault="00496A04" w:rsidP="00496A04">
      <w:pPr>
        <w:jc w:val="both"/>
        <w:rPr>
          <w:rFonts w:ascii="Times New Roman" w:hAnsi="Times New Roman" w:cs="Times New Roman"/>
          <w:bCs/>
          <w:sz w:val="24"/>
          <w:szCs w:val="24"/>
        </w:rPr>
      </w:pPr>
      <w:r w:rsidRPr="00496A04">
        <w:rPr>
          <w:rFonts w:ascii="Times New Roman" w:hAnsi="Times New Roman" w:cs="Times New Roman"/>
          <w:bCs/>
          <w:sz w:val="24"/>
          <w:szCs w:val="24"/>
        </w:rPr>
        <w:t xml:space="preserve">Kahjuks nõnda ei läinud. Standardsete, tehases valmistatud jalaväemiinide asemel hakkasid need rühmitused kõikjal sõjakolletes – Iraagis, Afganistanis, Liibüas, Süürias ning mujal – kasutama üha rohkem isevalmistatud lõhkekehi. Erinevalt standardsetest jalaväemiinidest, mille tehnilised andmed (lõhkeaine kogus, miini kuju ja suurus, initsieerimisviis jms) on teada, on iga isevalmistatud lõhkekeha oma olemuselt ainulaadne. Sissidel või terroristidel on võimalik kogemustest õppida ja valmistada järjest paremaid ning tõhusamaid lõhkekehi ja neid üha efektiivsemalt kasutada. </w:t>
      </w:r>
    </w:p>
    <w:p w14:paraId="10371301" w14:textId="07F24AA0" w:rsidR="00496A04" w:rsidRPr="00496A04" w:rsidRDefault="00496A04" w:rsidP="00496A04">
      <w:pPr>
        <w:jc w:val="both"/>
        <w:rPr>
          <w:rFonts w:ascii="Times New Roman" w:hAnsi="Times New Roman" w:cs="Times New Roman"/>
          <w:bCs/>
          <w:sz w:val="24"/>
          <w:szCs w:val="24"/>
        </w:rPr>
      </w:pPr>
      <w:r w:rsidRPr="00496A04">
        <w:rPr>
          <w:rFonts w:ascii="Times New Roman" w:hAnsi="Times New Roman" w:cs="Times New Roman"/>
          <w:bCs/>
          <w:sz w:val="24"/>
          <w:szCs w:val="24"/>
        </w:rPr>
        <w:lastRenderedPageBreak/>
        <w:t xml:space="preserve">Vähem kui kahe aastakümnega ongi isevalmistatud lõhkekehade valmistamine teinud läbi plahvatusliku arengu. Siit tulenebki teine, kõige olulisem tagasilöök: Ottawa konventsiooni õilis eesmärk – vähendada jalaväemiinide keelustamisega tsiviilisikute kaotusi ning kannatusi sõjas – jäi saavutamata, kuna nende asemele tulid isevalmistatud lõhkekehad. </w:t>
      </w:r>
    </w:p>
    <w:p w14:paraId="66E2DA54" w14:textId="2AD9FE02" w:rsidR="00496A04" w:rsidRPr="00496A04" w:rsidRDefault="00496A04" w:rsidP="00496A04">
      <w:pPr>
        <w:jc w:val="both"/>
        <w:rPr>
          <w:rFonts w:ascii="Times New Roman" w:hAnsi="Times New Roman" w:cs="Times New Roman"/>
          <w:bCs/>
          <w:sz w:val="24"/>
          <w:szCs w:val="24"/>
        </w:rPr>
      </w:pPr>
      <w:r w:rsidRPr="00496A04">
        <w:rPr>
          <w:rFonts w:ascii="Times New Roman" w:hAnsi="Times New Roman" w:cs="Times New Roman"/>
          <w:bCs/>
          <w:sz w:val="24"/>
          <w:szCs w:val="24"/>
        </w:rPr>
        <w:t>Kolmas tõsine tagasilöök tuleneb Ida-Euroopa julgeolekukeskkonna negatiivsest muutusest. Kui Eesti NATOsse astus ja paljude Euroopa riikide eeskujul Ottawa konventsiooniga liitus, käsitasid alliansi tuumikriigid Venemaad strateegilise partnerina või koguni potentsiaalse liitlasena terrorismivastases sõjas. Tänane olukord on hoopis teine. Gruusia ja Ukraina sõdade kontekstis puudub meil garantii, et Venemaa agressiivne ja ettearvamatu käitumine ei võiks Eestit ohustada.</w:t>
      </w:r>
    </w:p>
    <w:p w14:paraId="27DEBEAE" w14:textId="77777777" w:rsidR="00496A04" w:rsidRPr="00496A04" w:rsidRDefault="00496A04" w:rsidP="00496A04">
      <w:pPr>
        <w:jc w:val="both"/>
        <w:rPr>
          <w:rFonts w:ascii="Times New Roman" w:hAnsi="Times New Roman" w:cs="Times New Roman"/>
          <w:bCs/>
          <w:sz w:val="24"/>
          <w:szCs w:val="24"/>
        </w:rPr>
      </w:pPr>
      <w:r w:rsidRPr="00496A04">
        <w:rPr>
          <w:rFonts w:ascii="Times New Roman" w:hAnsi="Times New Roman" w:cs="Times New Roman"/>
          <w:bCs/>
          <w:sz w:val="24"/>
          <w:szCs w:val="24"/>
        </w:rPr>
        <w:t xml:space="preserve">Uues olukorras on Eesti sunnitud tegema kõik endast oleneva, et sõjalist riigikaitset tugevdada. Ka ei saa me endale lubada, et sõja korral võiksid teised, Ottawa konventsiooniga liitumisest hoidunud riigid Eesti territooriumil jalaväemiine kasutada, meie ise aga ei tohiks. Venemaa – Ukraina sõda, kus jalaväemiine kasutavad kõik osapooled (kuigi Ukraina on Ottawa konventsiooniga liitunud), tõestab, et need ei ole oma tähtsust minetanud, olles nüüdisaegse sõjategevuse lahutamatu osa.  </w:t>
      </w:r>
    </w:p>
    <w:p w14:paraId="000CEC07" w14:textId="6200BCC0" w:rsidR="00496A04" w:rsidRPr="00496A04" w:rsidRDefault="00496A04" w:rsidP="00496A04">
      <w:pPr>
        <w:jc w:val="both"/>
        <w:rPr>
          <w:rFonts w:ascii="Times New Roman" w:hAnsi="Times New Roman" w:cs="Times New Roman"/>
          <w:bCs/>
          <w:sz w:val="24"/>
          <w:szCs w:val="24"/>
        </w:rPr>
      </w:pPr>
      <w:r w:rsidRPr="00496A04">
        <w:rPr>
          <w:rFonts w:ascii="Times New Roman" w:hAnsi="Times New Roman" w:cs="Times New Roman"/>
          <w:bCs/>
          <w:sz w:val="24"/>
          <w:szCs w:val="24"/>
        </w:rPr>
        <w:t>Ka näitab Venemaa – Ukraina sõda, et iga linn ja asula, mis jääb potentsiaalse vaenlase reaktiivlaskeseadeldiste ja suurtükiväe tule ulatusse, langeb halastamatute tsiviilelanikkonda tapvate ja suurt ainelist kahju tekitavate tulelöökide ohvriks. Meil ei õnnestu vältida säärast olukorda Narvas, Sillamäel, Kohtla-Järvel, Võrus ja Põlvas ja tõenäoliselt ka Tartus, küll aga peaksime suutma pidada sõda nõnda, et vähemalt Tallinna, Pärnut ning teisi suuremaid Lääne- ja Kesk-Eesti linnu ei purustaks ega tsiviilelanikkond ei kannaks viiekohalistesse numbritesse küündivaid kaotusi. Selleks tuleb vaenlase edasiliikumine peatada. Ilma tõhusa pioneeritegevuseta, mille väga oluline osa on jalaväemiinide kasutamine, ei ole see võimalik.</w:t>
      </w:r>
    </w:p>
    <w:p w14:paraId="218BE1E4" w14:textId="69183D9E" w:rsidR="00496A04" w:rsidRPr="00496A04" w:rsidRDefault="00496A04" w:rsidP="00496A04">
      <w:pPr>
        <w:jc w:val="both"/>
        <w:rPr>
          <w:rFonts w:ascii="Times New Roman" w:hAnsi="Times New Roman" w:cs="Times New Roman"/>
          <w:bCs/>
          <w:sz w:val="24"/>
          <w:szCs w:val="24"/>
        </w:rPr>
      </w:pPr>
      <w:r w:rsidRPr="00496A04">
        <w:rPr>
          <w:rFonts w:ascii="Times New Roman" w:hAnsi="Times New Roman" w:cs="Times New Roman"/>
          <w:bCs/>
          <w:sz w:val="24"/>
          <w:szCs w:val="24"/>
        </w:rPr>
        <w:t xml:space="preserve">Eeltoodud asjaoludest tulenevalt ei ole jalaväemiinide kasutamist, varumist, tootmist ja üleandmist keelustava ja nende hävitamist nõudva Ottawa konventsiooni nõuetest kinnipidamine enam Eesti rahvuslikes huvides. See nõrgendab meie kaitsevõimet.  </w:t>
      </w:r>
    </w:p>
    <w:p w14:paraId="6AFEC937" w14:textId="5155F03C" w:rsidR="00496A04" w:rsidRPr="00496A04" w:rsidRDefault="00496A04" w:rsidP="00496A04">
      <w:pPr>
        <w:jc w:val="both"/>
        <w:rPr>
          <w:rFonts w:ascii="Times New Roman" w:hAnsi="Times New Roman" w:cs="Times New Roman"/>
          <w:bCs/>
          <w:sz w:val="24"/>
          <w:szCs w:val="24"/>
        </w:rPr>
      </w:pPr>
      <w:r w:rsidRPr="00496A04">
        <w:rPr>
          <w:rFonts w:ascii="Times New Roman" w:hAnsi="Times New Roman" w:cs="Times New Roman"/>
          <w:bCs/>
          <w:sz w:val="24"/>
          <w:szCs w:val="24"/>
        </w:rPr>
        <w:t xml:space="preserve">Enesekaitsevahendina on jalaväemiin tõhus, odav ning piisava heidutusvõimega. Jalaväemiinid on unikaalsed </w:t>
      </w:r>
      <w:proofErr w:type="spellStart"/>
      <w:r w:rsidRPr="00496A04">
        <w:rPr>
          <w:rFonts w:ascii="Times New Roman" w:hAnsi="Times New Roman" w:cs="Times New Roman"/>
          <w:bCs/>
          <w:sz w:val="24"/>
          <w:szCs w:val="24"/>
        </w:rPr>
        <w:t>võitluvahendid</w:t>
      </w:r>
      <w:proofErr w:type="spellEnd"/>
      <w:r w:rsidRPr="00496A04">
        <w:rPr>
          <w:rFonts w:ascii="Times New Roman" w:hAnsi="Times New Roman" w:cs="Times New Roman"/>
          <w:bCs/>
          <w:sz w:val="24"/>
          <w:szCs w:val="24"/>
        </w:rPr>
        <w:t xml:space="preserve"> ses mõttes, et massilise kasutamise puhul tekitavad need otsestele kaotustele (surnutele ja haavatutele) lisaks veel tõsise psühholoogilise efekti hirmu näol, mida vaenlase sõdurid lahinguväljal liikudes tunneksid. See piiraks oluliselt nende tegevusvabadust ning kompenseeriks osaliselt tulejõu puudujääki, mis meil  paratamatult on. Ühegi teise (alternatiivse) relvasüsteemi abil ei ole võimalik sarnast efekti saavutada.</w:t>
      </w:r>
    </w:p>
    <w:p w14:paraId="27710D73" w14:textId="68EE0982" w:rsidR="00496A04" w:rsidRPr="00496A04" w:rsidRDefault="00496A04" w:rsidP="00496A04">
      <w:pPr>
        <w:jc w:val="both"/>
        <w:rPr>
          <w:rFonts w:ascii="Times New Roman" w:hAnsi="Times New Roman" w:cs="Times New Roman"/>
          <w:bCs/>
          <w:sz w:val="24"/>
          <w:szCs w:val="24"/>
        </w:rPr>
      </w:pPr>
      <w:r w:rsidRPr="00496A04">
        <w:rPr>
          <w:rFonts w:ascii="Times New Roman" w:hAnsi="Times New Roman" w:cs="Times New Roman"/>
          <w:bCs/>
          <w:sz w:val="24"/>
          <w:szCs w:val="24"/>
        </w:rPr>
        <w:t>Samalaadset efekti on küll võimalik saavutada eelpool kirjeldatud isevalmistatud lõhkekehade massilise kasutamise abil, aga see eeldaks nende valmistamise õpetamist sisuliselt igale ajateenijale, reservväelasele ja kaitseliitlasele ning igapäevaseid praktilisi lõhkamisi lahinglaskmisel. Ühiskonna üldise turvalisuse seisukohast oleks see riskantne. Ka tekitaks see komplikatsioone Eesti rahvusvahelises suhtluses, kutsudes esile tarbetuid etteheiteid ja süüdistusi.</w:t>
      </w:r>
    </w:p>
    <w:p w14:paraId="08AFAD12" w14:textId="0EEFA6A8" w:rsidR="00496A04" w:rsidRPr="00496A04" w:rsidRDefault="00496A04" w:rsidP="00496A04">
      <w:pPr>
        <w:jc w:val="both"/>
        <w:rPr>
          <w:rFonts w:ascii="Times New Roman" w:hAnsi="Times New Roman" w:cs="Times New Roman"/>
          <w:bCs/>
          <w:sz w:val="24"/>
          <w:szCs w:val="24"/>
        </w:rPr>
      </w:pPr>
      <w:r w:rsidRPr="00496A04">
        <w:rPr>
          <w:rFonts w:ascii="Times New Roman" w:hAnsi="Times New Roman" w:cs="Times New Roman"/>
          <w:bCs/>
          <w:sz w:val="24"/>
          <w:szCs w:val="24"/>
        </w:rPr>
        <w:t xml:space="preserve">Jalaväemiinide professionaalseks kasutamiseks vajalikke juhtimise-, distsipliini- ja väljaõppe- alaseid eeltingimusi (sealhulgas miiniväljade kaartide ja passide koostamine, miiniväljade tähistamine, tsiviilelanikkonna teavitamine ning miinide kahjutukstegemine pärast lahingutegevuse lõppemist) suudavad kaitsevägi ja Kaitseliit täna täielikult täita. Kuigi inimlikud eksimused on võimalikud, garanteerib see, et sõja korral jalaväemiinide kasutamisega kaasnev kahju Eesti tsiviilelanikkonnale oleks minimaalne ning liitlasvägedele vajalik tegevusvabadus Eesti territooriumil tagatud.  </w:t>
      </w:r>
    </w:p>
    <w:p w14:paraId="53540CE3" w14:textId="751B4391" w:rsidR="00496A04" w:rsidRPr="00496A04" w:rsidRDefault="00496A04" w:rsidP="00496A04">
      <w:pPr>
        <w:jc w:val="both"/>
        <w:rPr>
          <w:rFonts w:ascii="Times New Roman" w:hAnsi="Times New Roman" w:cs="Times New Roman"/>
          <w:bCs/>
          <w:sz w:val="24"/>
          <w:szCs w:val="24"/>
        </w:rPr>
      </w:pPr>
      <w:r w:rsidRPr="00496A04">
        <w:rPr>
          <w:rFonts w:ascii="Times New Roman" w:hAnsi="Times New Roman" w:cs="Times New Roman"/>
          <w:bCs/>
          <w:sz w:val="24"/>
          <w:szCs w:val="24"/>
        </w:rPr>
        <w:t>Jalaväemiinide kasutamist, varumist, tootmist ja üleandmist keelustav ja nende hävitamist nõudev Ottawa konventsioon oleks mõistlik denonsseerida enne, kui Kaitseväe Peastaap ja kaitseministeerium asuvad planeerima ja teostama Venemaa laiaulatuslikust kallaletungist Ukrainale tulenevaid muudatusi sõjaaja kaitseväe struktuuris, võimearendustes ja väljaõppes, s.t Riigikogu 2022. aasta kevadistungjärgul. See võimaldaks planeerida kaitseväe ja Kaitseliidu edasist arengut, väljaõpet ja lahingutegevust juba ilma Ottawa konventsioonist tulenevate piiranguteta.</w:t>
      </w:r>
    </w:p>
    <w:p w14:paraId="601D1ACA" w14:textId="31FBFB07" w:rsidR="00496A04" w:rsidRPr="00496A04" w:rsidRDefault="00496A04" w:rsidP="00496A04">
      <w:pPr>
        <w:jc w:val="both"/>
        <w:rPr>
          <w:rFonts w:ascii="Times New Roman" w:hAnsi="Times New Roman" w:cs="Times New Roman"/>
          <w:bCs/>
          <w:sz w:val="24"/>
          <w:szCs w:val="24"/>
        </w:rPr>
      </w:pPr>
      <w:r w:rsidRPr="00496A04">
        <w:rPr>
          <w:rFonts w:ascii="Times New Roman" w:hAnsi="Times New Roman" w:cs="Times New Roman"/>
          <w:bCs/>
          <w:sz w:val="24"/>
          <w:szCs w:val="24"/>
        </w:rPr>
        <w:t xml:space="preserve">Seoses Ottawa konventsiooni denonsseerimisega võib Eesti võtta endale ühepoolse kohustuse hoiduda </w:t>
      </w:r>
      <w:proofErr w:type="spellStart"/>
      <w:r w:rsidRPr="00496A04">
        <w:rPr>
          <w:rFonts w:ascii="Times New Roman" w:hAnsi="Times New Roman" w:cs="Times New Roman"/>
          <w:bCs/>
          <w:sz w:val="24"/>
          <w:szCs w:val="24"/>
        </w:rPr>
        <w:t>jalaväemiide</w:t>
      </w:r>
      <w:proofErr w:type="spellEnd"/>
      <w:r w:rsidRPr="00496A04">
        <w:rPr>
          <w:rFonts w:ascii="Times New Roman" w:hAnsi="Times New Roman" w:cs="Times New Roman"/>
          <w:bCs/>
          <w:sz w:val="24"/>
          <w:szCs w:val="24"/>
        </w:rPr>
        <w:t xml:space="preserve"> müümisest või muul viisil teistele riikidele </w:t>
      </w:r>
      <w:proofErr w:type="spellStart"/>
      <w:r w:rsidRPr="00496A04">
        <w:rPr>
          <w:rFonts w:ascii="Times New Roman" w:hAnsi="Times New Roman" w:cs="Times New Roman"/>
          <w:bCs/>
          <w:sz w:val="24"/>
          <w:szCs w:val="24"/>
        </w:rPr>
        <w:t>riikidele</w:t>
      </w:r>
      <w:proofErr w:type="spellEnd"/>
      <w:r w:rsidRPr="00496A04">
        <w:rPr>
          <w:rFonts w:ascii="Times New Roman" w:hAnsi="Times New Roman" w:cs="Times New Roman"/>
          <w:bCs/>
          <w:sz w:val="24"/>
          <w:szCs w:val="24"/>
        </w:rPr>
        <w:t xml:space="preserve"> edasiandmisest ning deklareerida, et ei kasuta jalaväemiine väljaspool oma territooriumi.</w:t>
      </w:r>
    </w:p>
    <w:p w14:paraId="2B71134B" w14:textId="48760D3C" w:rsidR="00496A04" w:rsidRDefault="00496A04" w:rsidP="00496A04">
      <w:pPr>
        <w:jc w:val="both"/>
        <w:rPr>
          <w:rFonts w:ascii="Times New Roman" w:hAnsi="Times New Roman" w:cs="Times New Roman"/>
          <w:bCs/>
          <w:sz w:val="24"/>
          <w:szCs w:val="24"/>
        </w:rPr>
      </w:pPr>
      <w:r w:rsidRPr="00496A04">
        <w:rPr>
          <w:rFonts w:ascii="Times New Roman" w:hAnsi="Times New Roman" w:cs="Times New Roman"/>
          <w:bCs/>
          <w:sz w:val="24"/>
          <w:szCs w:val="24"/>
        </w:rPr>
        <w:t xml:space="preserve">Vastavalt Ottawa konventsiooni artiklile 20  on osalisriigil riikliku suveräänsuse teostamisel õigus konventsioonist väljuda. Väljumisest tuleb teatada kõigile teistele osalisriikidele, </w:t>
      </w:r>
      <w:proofErr w:type="spellStart"/>
      <w:r w:rsidRPr="00496A04">
        <w:rPr>
          <w:rFonts w:ascii="Times New Roman" w:hAnsi="Times New Roman" w:cs="Times New Roman"/>
          <w:bCs/>
          <w:sz w:val="24"/>
          <w:szCs w:val="24"/>
        </w:rPr>
        <w:t>depositaarile</w:t>
      </w:r>
      <w:proofErr w:type="spellEnd"/>
      <w:r w:rsidRPr="00496A04">
        <w:rPr>
          <w:rFonts w:ascii="Times New Roman" w:hAnsi="Times New Roman" w:cs="Times New Roman"/>
          <w:bCs/>
          <w:sz w:val="24"/>
          <w:szCs w:val="24"/>
        </w:rPr>
        <w:t xml:space="preserve"> ja Ühinenud Rahvaste Organisatsiooni Julgeolekunõukogule. Väljumiskirjas peavad täielikult olema ära toodud põhjused, mis tingivad konventsioonist väljumise. Väljumine jõustub kuue kuu möödumisel päevast, mil </w:t>
      </w:r>
      <w:proofErr w:type="spellStart"/>
      <w:r w:rsidRPr="00496A04">
        <w:rPr>
          <w:rFonts w:ascii="Times New Roman" w:hAnsi="Times New Roman" w:cs="Times New Roman"/>
          <w:bCs/>
          <w:sz w:val="24"/>
          <w:szCs w:val="24"/>
        </w:rPr>
        <w:t>depositaar</w:t>
      </w:r>
      <w:proofErr w:type="spellEnd"/>
      <w:r w:rsidRPr="00496A04">
        <w:rPr>
          <w:rFonts w:ascii="Times New Roman" w:hAnsi="Times New Roman" w:cs="Times New Roman"/>
          <w:bCs/>
          <w:sz w:val="24"/>
          <w:szCs w:val="24"/>
        </w:rPr>
        <w:t xml:space="preserve"> on väljumiskirja kätte saanud. Kui nimetatud kuuekuulise ajavahemiku möödumise hetkel on väljuv osalisriik segatud relvakonflikti, ei jõustu väljumine enne relvakonflikti lõppu.</w:t>
      </w:r>
    </w:p>
    <w:p w14:paraId="47C1DDEB" w14:textId="2D0A3EB7" w:rsidR="00496A04" w:rsidRPr="00496A04" w:rsidRDefault="00496A04" w:rsidP="00496A04">
      <w:pPr>
        <w:jc w:val="both"/>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w:t>
      </w:r>
    </w:p>
    <w:p w14:paraId="7FEC5754" w14:textId="438D3FD3" w:rsidR="00496A04" w:rsidRPr="00496A04" w:rsidRDefault="00496A04" w:rsidP="00496A04">
      <w:pPr>
        <w:jc w:val="both"/>
        <w:rPr>
          <w:rFonts w:ascii="Times New Roman" w:hAnsi="Times New Roman" w:cs="Times New Roman"/>
          <w:sz w:val="24"/>
          <w:szCs w:val="24"/>
        </w:rPr>
      </w:pPr>
      <w:r w:rsidRPr="00496A04">
        <w:rPr>
          <w:rFonts w:ascii="Times New Roman" w:hAnsi="Times New Roman" w:cs="Times New Roman"/>
          <w:sz w:val="24"/>
          <w:szCs w:val="24"/>
        </w:rPr>
        <w:t>Esita</w:t>
      </w:r>
      <w:r w:rsidR="00C031E2">
        <w:rPr>
          <w:rFonts w:ascii="Times New Roman" w:hAnsi="Times New Roman" w:cs="Times New Roman"/>
          <w:sz w:val="24"/>
          <w:szCs w:val="24"/>
        </w:rPr>
        <w:t>vad Riigikogu liikmed:</w:t>
      </w:r>
      <w:r w:rsidR="00C031E2">
        <w:rPr>
          <w:rFonts w:ascii="Times New Roman" w:hAnsi="Times New Roman" w:cs="Times New Roman"/>
          <w:sz w:val="24"/>
          <w:szCs w:val="24"/>
        </w:rPr>
        <w:tab/>
      </w:r>
      <w:r w:rsidR="00C031E2">
        <w:rPr>
          <w:rFonts w:ascii="Times New Roman" w:hAnsi="Times New Roman" w:cs="Times New Roman"/>
          <w:sz w:val="24"/>
          <w:szCs w:val="24"/>
        </w:rPr>
        <w:tab/>
      </w:r>
      <w:r w:rsidR="00C031E2">
        <w:rPr>
          <w:rFonts w:ascii="Times New Roman" w:hAnsi="Times New Roman" w:cs="Times New Roman"/>
          <w:sz w:val="24"/>
          <w:szCs w:val="24"/>
        </w:rPr>
        <w:tab/>
      </w:r>
      <w:r w:rsidR="00C031E2">
        <w:rPr>
          <w:rFonts w:ascii="Times New Roman" w:hAnsi="Times New Roman" w:cs="Times New Roman"/>
          <w:sz w:val="24"/>
          <w:szCs w:val="24"/>
        </w:rPr>
        <w:tab/>
      </w:r>
      <w:r w:rsidR="00C031E2">
        <w:rPr>
          <w:rFonts w:ascii="Times New Roman" w:hAnsi="Times New Roman" w:cs="Times New Roman"/>
          <w:sz w:val="24"/>
          <w:szCs w:val="24"/>
        </w:rPr>
        <w:tab/>
      </w:r>
      <w:r w:rsidR="00C031E2">
        <w:rPr>
          <w:rFonts w:ascii="Times New Roman" w:hAnsi="Times New Roman" w:cs="Times New Roman"/>
          <w:sz w:val="24"/>
          <w:szCs w:val="24"/>
        </w:rPr>
        <w:tab/>
      </w:r>
      <w:r w:rsidRPr="00496A04">
        <w:rPr>
          <w:rFonts w:ascii="Times New Roman" w:hAnsi="Times New Roman" w:cs="Times New Roman"/>
          <w:sz w:val="24"/>
          <w:szCs w:val="24"/>
        </w:rPr>
        <w:t>.2022</w:t>
      </w:r>
    </w:p>
    <w:p w14:paraId="3CCEAEF3" w14:textId="77777777" w:rsidR="00C031E2" w:rsidRPr="00C031E2" w:rsidRDefault="00C031E2" w:rsidP="00C031E2">
      <w:pPr>
        <w:spacing w:after="0"/>
        <w:jc w:val="both"/>
        <w:rPr>
          <w:rFonts w:ascii="Times New Roman" w:hAnsi="Times New Roman" w:cs="Times New Roman"/>
          <w:sz w:val="24"/>
          <w:szCs w:val="24"/>
        </w:rPr>
      </w:pPr>
      <w:r w:rsidRPr="00C031E2">
        <w:rPr>
          <w:rFonts w:ascii="Times New Roman" w:hAnsi="Times New Roman" w:cs="Times New Roman"/>
          <w:sz w:val="24"/>
          <w:szCs w:val="24"/>
        </w:rPr>
        <w:t>Ants Laaneots</w:t>
      </w:r>
    </w:p>
    <w:p w14:paraId="601A84AE" w14:textId="77777777" w:rsidR="00C031E2" w:rsidRPr="00C031E2" w:rsidRDefault="00C031E2" w:rsidP="00C031E2">
      <w:pPr>
        <w:spacing w:after="0"/>
        <w:jc w:val="both"/>
        <w:rPr>
          <w:rFonts w:ascii="Times New Roman" w:hAnsi="Times New Roman" w:cs="Times New Roman"/>
          <w:sz w:val="24"/>
          <w:szCs w:val="24"/>
        </w:rPr>
      </w:pPr>
      <w:r w:rsidRPr="00C031E2">
        <w:rPr>
          <w:rFonts w:ascii="Times New Roman" w:hAnsi="Times New Roman" w:cs="Times New Roman"/>
          <w:sz w:val="24"/>
          <w:szCs w:val="24"/>
        </w:rPr>
        <w:t>Alar Laneman</w:t>
      </w:r>
    </w:p>
    <w:p w14:paraId="7460F055" w14:textId="77777777" w:rsidR="00C031E2" w:rsidRPr="00C031E2" w:rsidRDefault="00C031E2" w:rsidP="00C031E2">
      <w:pPr>
        <w:spacing w:after="0"/>
        <w:jc w:val="both"/>
        <w:rPr>
          <w:rFonts w:ascii="Times New Roman" w:hAnsi="Times New Roman" w:cs="Times New Roman"/>
          <w:sz w:val="24"/>
          <w:szCs w:val="24"/>
        </w:rPr>
      </w:pPr>
      <w:r w:rsidRPr="00C031E2">
        <w:rPr>
          <w:rFonts w:ascii="Times New Roman" w:hAnsi="Times New Roman" w:cs="Times New Roman"/>
          <w:sz w:val="24"/>
          <w:szCs w:val="24"/>
        </w:rPr>
        <w:t xml:space="preserve">Leo </w:t>
      </w:r>
      <w:proofErr w:type="spellStart"/>
      <w:r w:rsidRPr="00C031E2">
        <w:rPr>
          <w:rFonts w:ascii="Times New Roman" w:hAnsi="Times New Roman" w:cs="Times New Roman"/>
          <w:sz w:val="24"/>
          <w:szCs w:val="24"/>
        </w:rPr>
        <w:t>Kunnas</w:t>
      </w:r>
      <w:proofErr w:type="spellEnd"/>
    </w:p>
    <w:p w14:paraId="45F0E703" w14:textId="77777777" w:rsidR="00C031E2" w:rsidRPr="00C031E2" w:rsidRDefault="00C031E2" w:rsidP="00C031E2">
      <w:pPr>
        <w:spacing w:after="0"/>
        <w:jc w:val="both"/>
        <w:rPr>
          <w:rFonts w:ascii="Times New Roman" w:hAnsi="Times New Roman" w:cs="Times New Roman"/>
          <w:sz w:val="24"/>
          <w:szCs w:val="24"/>
        </w:rPr>
      </w:pPr>
      <w:r w:rsidRPr="00C031E2">
        <w:rPr>
          <w:rFonts w:ascii="Times New Roman" w:hAnsi="Times New Roman" w:cs="Times New Roman"/>
          <w:sz w:val="24"/>
          <w:szCs w:val="24"/>
        </w:rPr>
        <w:t xml:space="preserve">Kalle </w:t>
      </w:r>
      <w:proofErr w:type="spellStart"/>
      <w:r w:rsidRPr="00C031E2">
        <w:rPr>
          <w:rFonts w:ascii="Times New Roman" w:hAnsi="Times New Roman" w:cs="Times New Roman"/>
          <w:sz w:val="24"/>
          <w:szCs w:val="24"/>
        </w:rPr>
        <w:t>Grünthal</w:t>
      </w:r>
      <w:proofErr w:type="spellEnd"/>
    </w:p>
    <w:p w14:paraId="45DB3AED" w14:textId="77777777" w:rsidR="00C031E2" w:rsidRPr="00C031E2" w:rsidRDefault="00C031E2" w:rsidP="00C031E2">
      <w:pPr>
        <w:spacing w:after="0"/>
        <w:jc w:val="both"/>
        <w:rPr>
          <w:rFonts w:ascii="Times New Roman" w:hAnsi="Times New Roman" w:cs="Times New Roman"/>
          <w:sz w:val="24"/>
          <w:szCs w:val="24"/>
        </w:rPr>
      </w:pPr>
      <w:r w:rsidRPr="00C031E2">
        <w:rPr>
          <w:rFonts w:ascii="Times New Roman" w:hAnsi="Times New Roman" w:cs="Times New Roman"/>
          <w:sz w:val="24"/>
          <w:szCs w:val="24"/>
        </w:rPr>
        <w:t>Henn Põlluaas</w:t>
      </w:r>
    </w:p>
    <w:p w14:paraId="067071F7" w14:textId="77777777" w:rsidR="00C031E2" w:rsidRPr="00C031E2" w:rsidRDefault="00C031E2" w:rsidP="00C031E2">
      <w:pPr>
        <w:spacing w:after="0"/>
        <w:jc w:val="both"/>
        <w:rPr>
          <w:rFonts w:ascii="Times New Roman" w:hAnsi="Times New Roman" w:cs="Times New Roman"/>
          <w:sz w:val="24"/>
          <w:szCs w:val="24"/>
        </w:rPr>
      </w:pPr>
      <w:r w:rsidRPr="00C031E2">
        <w:rPr>
          <w:rFonts w:ascii="Times New Roman" w:hAnsi="Times New Roman" w:cs="Times New Roman"/>
          <w:sz w:val="24"/>
          <w:szCs w:val="24"/>
        </w:rPr>
        <w:t>Helle-Moonika Helme</w:t>
      </w:r>
    </w:p>
    <w:p w14:paraId="22D0B85F" w14:textId="77777777" w:rsidR="00C031E2" w:rsidRPr="00C031E2" w:rsidRDefault="00C031E2" w:rsidP="00C031E2">
      <w:pPr>
        <w:spacing w:after="0"/>
        <w:jc w:val="both"/>
        <w:rPr>
          <w:rFonts w:ascii="Times New Roman" w:hAnsi="Times New Roman" w:cs="Times New Roman"/>
          <w:sz w:val="24"/>
          <w:szCs w:val="24"/>
        </w:rPr>
      </w:pPr>
      <w:r w:rsidRPr="00C031E2">
        <w:rPr>
          <w:rFonts w:ascii="Times New Roman" w:hAnsi="Times New Roman" w:cs="Times New Roman"/>
          <w:sz w:val="24"/>
          <w:szCs w:val="24"/>
        </w:rPr>
        <w:t>Rene Kokk</w:t>
      </w:r>
    </w:p>
    <w:p w14:paraId="3C3DCB5C" w14:textId="77777777" w:rsidR="00C031E2" w:rsidRPr="00C031E2" w:rsidRDefault="00C031E2" w:rsidP="00C031E2">
      <w:pPr>
        <w:spacing w:after="0"/>
        <w:jc w:val="both"/>
        <w:rPr>
          <w:rFonts w:ascii="Times New Roman" w:hAnsi="Times New Roman" w:cs="Times New Roman"/>
          <w:sz w:val="24"/>
          <w:szCs w:val="24"/>
        </w:rPr>
      </w:pPr>
      <w:r w:rsidRPr="00C031E2">
        <w:rPr>
          <w:rFonts w:ascii="Times New Roman" w:hAnsi="Times New Roman" w:cs="Times New Roman"/>
          <w:sz w:val="24"/>
          <w:szCs w:val="24"/>
        </w:rPr>
        <w:t xml:space="preserve">Riho </w:t>
      </w:r>
      <w:proofErr w:type="spellStart"/>
      <w:r w:rsidRPr="00C031E2">
        <w:rPr>
          <w:rFonts w:ascii="Times New Roman" w:hAnsi="Times New Roman" w:cs="Times New Roman"/>
          <w:sz w:val="24"/>
          <w:szCs w:val="24"/>
        </w:rPr>
        <w:t>Breivel</w:t>
      </w:r>
      <w:proofErr w:type="spellEnd"/>
    </w:p>
    <w:p w14:paraId="29AF60C4" w14:textId="77777777" w:rsidR="00C031E2" w:rsidRPr="00C031E2" w:rsidRDefault="00C031E2" w:rsidP="00C031E2">
      <w:pPr>
        <w:spacing w:after="0"/>
        <w:jc w:val="both"/>
        <w:rPr>
          <w:rFonts w:ascii="Times New Roman" w:hAnsi="Times New Roman" w:cs="Times New Roman"/>
          <w:sz w:val="24"/>
          <w:szCs w:val="24"/>
        </w:rPr>
      </w:pPr>
      <w:r w:rsidRPr="00C031E2">
        <w:rPr>
          <w:rFonts w:ascii="Times New Roman" w:hAnsi="Times New Roman" w:cs="Times New Roman"/>
          <w:sz w:val="24"/>
          <w:szCs w:val="24"/>
        </w:rPr>
        <w:t>Merry Aart</w:t>
      </w:r>
    </w:p>
    <w:p w14:paraId="481FF899" w14:textId="77777777" w:rsidR="00C031E2" w:rsidRPr="00C031E2" w:rsidRDefault="00C031E2" w:rsidP="00C031E2">
      <w:pPr>
        <w:spacing w:after="0"/>
        <w:jc w:val="both"/>
        <w:rPr>
          <w:rFonts w:ascii="Times New Roman" w:hAnsi="Times New Roman" w:cs="Times New Roman"/>
          <w:sz w:val="24"/>
          <w:szCs w:val="24"/>
        </w:rPr>
      </w:pPr>
      <w:r w:rsidRPr="00C031E2">
        <w:rPr>
          <w:rFonts w:ascii="Times New Roman" w:hAnsi="Times New Roman" w:cs="Times New Roman"/>
          <w:sz w:val="24"/>
          <w:szCs w:val="24"/>
        </w:rPr>
        <w:t>Mart Helme</w:t>
      </w:r>
    </w:p>
    <w:p w14:paraId="0D90E4AB" w14:textId="77777777" w:rsidR="00C031E2" w:rsidRPr="00C031E2" w:rsidRDefault="00C031E2" w:rsidP="00C031E2">
      <w:pPr>
        <w:spacing w:after="0"/>
        <w:jc w:val="both"/>
        <w:rPr>
          <w:rFonts w:ascii="Times New Roman" w:hAnsi="Times New Roman" w:cs="Times New Roman"/>
          <w:sz w:val="24"/>
          <w:szCs w:val="24"/>
        </w:rPr>
      </w:pPr>
      <w:r w:rsidRPr="00C031E2">
        <w:rPr>
          <w:rFonts w:ascii="Times New Roman" w:hAnsi="Times New Roman" w:cs="Times New Roman"/>
          <w:sz w:val="24"/>
          <w:szCs w:val="24"/>
        </w:rPr>
        <w:t>Kert Kingo</w:t>
      </w:r>
    </w:p>
    <w:p w14:paraId="0AA13ADB" w14:textId="77777777" w:rsidR="00C031E2" w:rsidRPr="00C031E2" w:rsidRDefault="00C031E2" w:rsidP="00C031E2">
      <w:pPr>
        <w:spacing w:after="0"/>
        <w:jc w:val="both"/>
        <w:rPr>
          <w:rFonts w:ascii="Times New Roman" w:hAnsi="Times New Roman" w:cs="Times New Roman"/>
          <w:sz w:val="24"/>
          <w:szCs w:val="24"/>
        </w:rPr>
      </w:pPr>
      <w:r w:rsidRPr="00C031E2">
        <w:rPr>
          <w:rFonts w:ascii="Times New Roman" w:hAnsi="Times New Roman" w:cs="Times New Roman"/>
          <w:sz w:val="24"/>
          <w:szCs w:val="24"/>
        </w:rPr>
        <w:t>Martin Helme</w:t>
      </w:r>
    </w:p>
    <w:p w14:paraId="665BA904" w14:textId="77777777" w:rsidR="00C031E2" w:rsidRPr="00C031E2" w:rsidRDefault="00C031E2" w:rsidP="00C031E2">
      <w:pPr>
        <w:spacing w:after="0"/>
        <w:jc w:val="both"/>
        <w:rPr>
          <w:rFonts w:ascii="Times New Roman" w:hAnsi="Times New Roman" w:cs="Times New Roman"/>
          <w:sz w:val="24"/>
          <w:szCs w:val="24"/>
        </w:rPr>
      </w:pPr>
      <w:r w:rsidRPr="00C031E2">
        <w:rPr>
          <w:rFonts w:ascii="Times New Roman" w:hAnsi="Times New Roman" w:cs="Times New Roman"/>
          <w:sz w:val="24"/>
          <w:szCs w:val="24"/>
        </w:rPr>
        <w:t>Uno Kaskpeit</w:t>
      </w:r>
    </w:p>
    <w:p w14:paraId="656FE6E7" w14:textId="77777777" w:rsidR="00C031E2" w:rsidRPr="00C031E2" w:rsidRDefault="00C031E2" w:rsidP="00C031E2">
      <w:pPr>
        <w:spacing w:after="0"/>
        <w:jc w:val="both"/>
        <w:rPr>
          <w:rFonts w:ascii="Times New Roman" w:hAnsi="Times New Roman" w:cs="Times New Roman"/>
          <w:sz w:val="24"/>
          <w:szCs w:val="24"/>
        </w:rPr>
      </w:pPr>
      <w:r w:rsidRPr="00C031E2">
        <w:rPr>
          <w:rFonts w:ascii="Times New Roman" w:hAnsi="Times New Roman" w:cs="Times New Roman"/>
          <w:sz w:val="24"/>
          <w:szCs w:val="24"/>
        </w:rPr>
        <w:t>Jaak Valge</w:t>
      </w:r>
    </w:p>
    <w:p w14:paraId="10FA0DB4" w14:textId="77777777" w:rsidR="00C031E2" w:rsidRPr="00C031E2" w:rsidRDefault="00C031E2" w:rsidP="00C031E2">
      <w:pPr>
        <w:spacing w:after="0"/>
        <w:jc w:val="both"/>
        <w:rPr>
          <w:rFonts w:ascii="Times New Roman" w:hAnsi="Times New Roman" w:cs="Times New Roman"/>
          <w:sz w:val="24"/>
          <w:szCs w:val="24"/>
        </w:rPr>
      </w:pPr>
      <w:r w:rsidRPr="00C031E2">
        <w:rPr>
          <w:rFonts w:ascii="Times New Roman" w:hAnsi="Times New Roman" w:cs="Times New Roman"/>
          <w:sz w:val="24"/>
          <w:szCs w:val="24"/>
        </w:rPr>
        <w:t>Paul Puustusmaa</w:t>
      </w:r>
    </w:p>
    <w:p w14:paraId="63EC6770" w14:textId="77777777" w:rsidR="00C031E2" w:rsidRPr="00C031E2" w:rsidRDefault="00C031E2" w:rsidP="00C031E2">
      <w:pPr>
        <w:spacing w:after="0"/>
        <w:jc w:val="both"/>
        <w:rPr>
          <w:rFonts w:ascii="Times New Roman" w:hAnsi="Times New Roman" w:cs="Times New Roman"/>
          <w:sz w:val="24"/>
          <w:szCs w:val="24"/>
        </w:rPr>
      </w:pPr>
      <w:r w:rsidRPr="00C031E2">
        <w:rPr>
          <w:rFonts w:ascii="Times New Roman" w:hAnsi="Times New Roman" w:cs="Times New Roman"/>
          <w:sz w:val="24"/>
          <w:szCs w:val="24"/>
        </w:rPr>
        <w:t>Peeter Ernits</w:t>
      </w:r>
    </w:p>
    <w:p w14:paraId="7F49249A" w14:textId="77777777" w:rsidR="00C031E2" w:rsidRPr="00C031E2" w:rsidRDefault="00C031E2" w:rsidP="00C031E2">
      <w:pPr>
        <w:spacing w:after="0"/>
        <w:jc w:val="both"/>
        <w:rPr>
          <w:rFonts w:ascii="Times New Roman" w:hAnsi="Times New Roman" w:cs="Times New Roman"/>
          <w:sz w:val="24"/>
          <w:szCs w:val="24"/>
        </w:rPr>
      </w:pPr>
      <w:r w:rsidRPr="00C031E2">
        <w:rPr>
          <w:rFonts w:ascii="Times New Roman" w:hAnsi="Times New Roman" w:cs="Times New Roman"/>
          <w:sz w:val="24"/>
          <w:szCs w:val="24"/>
        </w:rPr>
        <w:t>Anti Poolamets</w:t>
      </w:r>
    </w:p>
    <w:p w14:paraId="340E1DE2" w14:textId="77777777" w:rsidR="00C031E2" w:rsidRPr="00C031E2" w:rsidRDefault="00C031E2" w:rsidP="00C031E2">
      <w:pPr>
        <w:spacing w:after="0"/>
        <w:jc w:val="both"/>
        <w:rPr>
          <w:rFonts w:ascii="Times New Roman" w:hAnsi="Times New Roman" w:cs="Times New Roman"/>
          <w:sz w:val="24"/>
          <w:szCs w:val="24"/>
        </w:rPr>
      </w:pPr>
      <w:r w:rsidRPr="00C031E2">
        <w:rPr>
          <w:rFonts w:ascii="Times New Roman" w:hAnsi="Times New Roman" w:cs="Times New Roman"/>
          <w:sz w:val="24"/>
          <w:szCs w:val="24"/>
        </w:rPr>
        <w:t>Siim Pohlak</w:t>
      </w:r>
    </w:p>
    <w:p w14:paraId="1C9D3D59" w14:textId="77777777" w:rsidR="00C031E2" w:rsidRPr="00C031E2" w:rsidRDefault="00C031E2" w:rsidP="00C031E2">
      <w:pPr>
        <w:spacing w:after="0"/>
        <w:jc w:val="both"/>
        <w:rPr>
          <w:rFonts w:ascii="Times New Roman" w:hAnsi="Times New Roman" w:cs="Times New Roman"/>
          <w:sz w:val="24"/>
          <w:szCs w:val="24"/>
        </w:rPr>
      </w:pPr>
      <w:r w:rsidRPr="00C031E2">
        <w:rPr>
          <w:rFonts w:ascii="Times New Roman" w:hAnsi="Times New Roman" w:cs="Times New Roman"/>
          <w:sz w:val="24"/>
          <w:szCs w:val="24"/>
        </w:rPr>
        <w:t>Ruuben Kaalep</w:t>
      </w:r>
    </w:p>
    <w:p w14:paraId="6D2414F4" w14:textId="5747356E" w:rsidR="007D1B10" w:rsidRPr="00496A04" w:rsidRDefault="00C031E2" w:rsidP="00C031E2">
      <w:pPr>
        <w:spacing w:after="0"/>
        <w:jc w:val="both"/>
        <w:rPr>
          <w:rFonts w:ascii="Times New Roman" w:hAnsi="Times New Roman" w:cs="Times New Roman"/>
          <w:sz w:val="24"/>
          <w:szCs w:val="24"/>
        </w:rPr>
      </w:pPr>
      <w:r w:rsidRPr="00C031E2">
        <w:rPr>
          <w:rFonts w:ascii="Times New Roman" w:hAnsi="Times New Roman" w:cs="Times New Roman"/>
          <w:sz w:val="24"/>
          <w:szCs w:val="24"/>
        </w:rPr>
        <w:t>Urmas Reitelmann</w:t>
      </w:r>
    </w:p>
    <w:sectPr w:rsidR="007D1B10" w:rsidRPr="00496A04">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B38CE" w14:textId="77777777" w:rsidR="006B26FB" w:rsidRDefault="006B26FB" w:rsidP="00496A04">
      <w:pPr>
        <w:spacing w:after="0" w:line="240" w:lineRule="auto"/>
      </w:pPr>
      <w:r>
        <w:separator/>
      </w:r>
    </w:p>
  </w:endnote>
  <w:endnote w:type="continuationSeparator" w:id="0">
    <w:p w14:paraId="42D40909" w14:textId="77777777" w:rsidR="006B26FB" w:rsidRDefault="006B26FB" w:rsidP="00496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4338257"/>
      <w:docPartObj>
        <w:docPartGallery w:val="Page Numbers (Bottom of Page)"/>
        <w:docPartUnique/>
      </w:docPartObj>
    </w:sdtPr>
    <w:sdtEndPr/>
    <w:sdtContent>
      <w:p w14:paraId="2A697521" w14:textId="0840CF33" w:rsidR="00496A04" w:rsidRDefault="00496A04">
        <w:pPr>
          <w:pStyle w:val="Jalus"/>
          <w:jc w:val="center"/>
        </w:pPr>
        <w:r>
          <w:fldChar w:fldCharType="begin"/>
        </w:r>
        <w:r>
          <w:instrText>PAGE   \* MERGEFORMAT</w:instrText>
        </w:r>
        <w:r>
          <w:fldChar w:fldCharType="separate"/>
        </w:r>
        <w:r>
          <w:t>2</w:t>
        </w:r>
        <w:r>
          <w:fldChar w:fldCharType="end"/>
        </w:r>
      </w:p>
    </w:sdtContent>
  </w:sdt>
  <w:p w14:paraId="328979B1" w14:textId="77777777" w:rsidR="00496A04" w:rsidRDefault="00496A0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76FA7" w14:textId="77777777" w:rsidR="006B26FB" w:rsidRDefault="006B26FB" w:rsidP="00496A04">
      <w:pPr>
        <w:spacing w:after="0" w:line="240" w:lineRule="auto"/>
      </w:pPr>
      <w:r>
        <w:separator/>
      </w:r>
    </w:p>
  </w:footnote>
  <w:footnote w:type="continuationSeparator" w:id="0">
    <w:p w14:paraId="62031F7B" w14:textId="77777777" w:rsidR="006B26FB" w:rsidRDefault="006B26FB" w:rsidP="00496A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A04"/>
    <w:rsid w:val="0016279A"/>
    <w:rsid w:val="003A2147"/>
    <w:rsid w:val="00496A04"/>
    <w:rsid w:val="006B26FB"/>
    <w:rsid w:val="007D1B10"/>
    <w:rsid w:val="00C031E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2C317"/>
  <w15:chartTrackingRefBased/>
  <w15:docId w15:val="{5FC80594-6208-45D3-8E89-AF04039EE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496A04"/>
    <w:pPr>
      <w:tabs>
        <w:tab w:val="center" w:pos="4536"/>
        <w:tab w:val="right" w:pos="9072"/>
      </w:tabs>
      <w:spacing w:after="0" w:line="240" w:lineRule="auto"/>
    </w:pPr>
  </w:style>
  <w:style w:type="character" w:customStyle="1" w:styleId="PisMrk">
    <w:name w:val="Päis Märk"/>
    <w:basedOn w:val="Liguvaikefont"/>
    <w:link w:val="Pis"/>
    <w:uiPriority w:val="99"/>
    <w:rsid w:val="00496A04"/>
  </w:style>
  <w:style w:type="paragraph" w:styleId="Jalus">
    <w:name w:val="footer"/>
    <w:basedOn w:val="Normaallaad"/>
    <w:link w:val="JalusMrk"/>
    <w:uiPriority w:val="99"/>
    <w:unhideWhenUsed/>
    <w:rsid w:val="00496A04"/>
    <w:pPr>
      <w:tabs>
        <w:tab w:val="center" w:pos="4536"/>
        <w:tab w:val="right" w:pos="9072"/>
      </w:tabs>
      <w:spacing w:after="0" w:line="240" w:lineRule="auto"/>
    </w:pPr>
  </w:style>
  <w:style w:type="character" w:customStyle="1" w:styleId="JalusMrk">
    <w:name w:val="Jalus Märk"/>
    <w:basedOn w:val="Liguvaikefont"/>
    <w:link w:val="Jalus"/>
    <w:uiPriority w:val="99"/>
    <w:rsid w:val="00496A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1293</Words>
  <Characters>7506</Characters>
  <Application>Microsoft Office Word</Application>
  <DocSecurity>0</DocSecurity>
  <Lines>62</Lines>
  <Paragraphs>17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Aivar Engel</dc:creator>
  <cp:keywords/>
  <dc:description/>
  <cp:lastModifiedBy>Raina Liiv</cp:lastModifiedBy>
  <cp:revision>3</cp:revision>
  <dcterms:created xsi:type="dcterms:W3CDTF">2022-10-18T07:46:00Z</dcterms:created>
  <dcterms:modified xsi:type="dcterms:W3CDTF">2022-10-18T08:01:00Z</dcterms:modified>
</cp:coreProperties>
</file>