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8204C" w:rsidRPr="00126354" w14:paraId="4BA02352" w14:textId="77777777" w:rsidTr="00FC4875">
        <w:tc>
          <w:tcPr>
            <w:tcW w:w="4675" w:type="dxa"/>
          </w:tcPr>
          <w:p w14:paraId="48B7AB77" w14:textId="77777777" w:rsidR="0038204C" w:rsidRPr="00126354" w:rsidRDefault="0038204C" w:rsidP="00126354">
            <w:pPr>
              <w:spacing w:after="120"/>
              <w:ind w:left="-110"/>
              <w:rPr>
                <w:rFonts w:asciiTheme="minorHAnsi" w:hAnsiTheme="minorHAnsi" w:cstheme="minorHAnsi"/>
                <w:szCs w:val="22"/>
                <w:lang w:val="et-EE"/>
              </w:rPr>
            </w:pPr>
            <w:r w:rsidRPr="00126354">
              <w:rPr>
                <w:rFonts w:asciiTheme="minorHAnsi" w:hAnsiTheme="minorHAnsi" w:cstheme="minorHAnsi"/>
                <w:szCs w:val="22"/>
                <w:lang w:val="et-EE"/>
              </w:rPr>
              <w:t>Justiitsministeerium</w:t>
            </w:r>
          </w:p>
        </w:tc>
        <w:tc>
          <w:tcPr>
            <w:tcW w:w="4675" w:type="dxa"/>
          </w:tcPr>
          <w:p w14:paraId="4939DB55" w14:textId="77777777" w:rsidR="0038204C" w:rsidRPr="00126354" w:rsidRDefault="0038204C" w:rsidP="00FC4875">
            <w:pPr>
              <w:spacing w:after="120"/>
              <w:rPr>
                <w:rFonts w:asciiTheme="minorHAnsi" w:hAnsiTheme="minorHAnsi" w:cstheme="minorHAnsi"/>
                <w:szCs w:val="22"/>
                <w:lang w:val="et-EE"/>
              </w:rPr>
            </w:pPr>
          </w:p>
        </w:tc>
      </w:tr>
      <w:tr w:rsidR="0038204C" w:rsidRPr="00126354" w14:paraId="3AE3B1B5" w14:textId="77777777" w:rsidTr="00FC4875">
        <w:tc>
          <w:tcPr>
            <w:tcW w:w="4675" w:type="dxa"/>
          </w:tcPr>
          <w:p w14:paraId="5977D9A7" w14:textId="77777777" w:rsidR="0038204C" w:rsidRPr="00126354" w:rsidRDefault="0038204C" w:rsidP="00126354">
            <w:pPr>
              <w:spacing w:after="120"/>
              <w:ind w:hanging="110"/>
              <w:rPr>
                <w:rFonts w:asciiTheme="minorHAnsi" w:hAnsiTheme="minorHAnsi" w:cstheme="minorHAnsi"/>
                <w:szCs w:val="22"/>
                <w:lang w:val="et-EE"/>
              </w:rPr>
            </w:pPr>
            <w:r w:rsidRPr="00126354">
              <w:rPr>
                <w:rFonts w:asciiTheme="minorHAnsi" w:hAnsiTheme="minorHAnsi" w:cstheme="minorHAnsi"/>
                <w:szCs w:val="22"/>
                <w:lang w:val="et-EE"/>
              </w:rPr>
              <w:t>Suur-Ameerika 1</w:t>
            </w:r>
          </w:p>
        </w:tc>
        <w:tc>
          <w:tcPr>
            <w:tcW w:w="4675" w:type="dxa"/>
          </w:tcPr>
          <w:p w14:paraId="65E5C5D7" w14:textId="77777777" w:rsidR="0038204C" w:rsidRPr="00126354" w:rsidRDefault="0038204C" w:rsidP="00126354">
            <w:pPr>
              <w:spacing w:after="120"/>
              <w:jc w:val="right"/>
              <w:rPr>
                <w:rFonts w:asciiTheme="minorHAnsi" w:hAnsiTheme="minorHAnsi" w:cstheme="minorHAnsi"/>
                <w:szCs w:val="22"/>
                <w:lang w:val="et-EE"/>
              </w:rPr>
            </w:pPr>
            <w:r w:rsidRPr="00126354">
              <w:rPr>
                <w:rFonts w:asciiTheme="minorHAnsi" w:hAnsiTheme="minorHAnsi" w:cstheme="minorHAnsi"/>
                <w:szCs w:val="22"/>
                <w:lang w:val="et-EE"/>
              </w:rPr>
              <w:t>Teie 02.1.2024 nr 8-3/11-1</w:t>
            </w:r>
          </w:p>
        </w:tc>
      </w:tr>
      <w:tr w:rsidR="0038204C" w:rsidRPr="00126354" w14:paraId="031C3247" w14:textId="77777777" w:rsidTr="00FC4875">
        <w:tc>
          <w:tcPr>
            <w:tcW w:w="4675" w:type="dxa"/>
          </w:tcPr>
          <w:p w14:paraId="4C25361C" w14:textId="77777777" w:rsidR="0038204C" w:rsidRPr="00126354" w:rsidRDefault="0038204C" w:rsidP="00126354">
            <w:pPr>
              <w:spacing w:after="120"/>
              <w:ind w:left="-110"/>
              <w:rPr>
                <w:rFonts w:asciiTheme="minorHAnsi" w:hAnsiTheme="minorHAnsi" w:cstheme="minorHAnsi"/>
                <w:szCs w:val="22"/>
                <w:lang w:val="et-EE"/>
              </w:rPr>
            </w:pPr>
            <w:r w:rsidRPr="00126354">
              <w:rPr>
                <w:rFonts w:asciiTheme="minorHAnsi" w:hAnsiTheme="minorHAnsi" w:cstheme="minorHAnsi"/>
                <w:szCs w:val="22"/>
                <w:lang w:val="et-EE"/>
              </w:rPr>
              <w:t>10122 Tallinn</w:t>
            </w:r>
          </w:p>
        </w:tc>
        <w:tc>
          <w:tcPr>
            <w:tcW w:w="4675" w:type="dxa"/>
          </w:tcPr>
          <w:p w14:paraId="4A99A358" w14:textId="77777777" w:rsidR="0038204C" w:rsidRPr="00126354" w:rsidRDefault="0038204C" w:rsidP="00FC4875">
            <w:pPr>
              <w:spacing w:after="120"/>
              <w:rPr>
                <w:rFonts w:asciiTheme="minorHAnsi" w:hAnsiTheme="minorHAnsi" w:cstheme="minorHAnsi"/>
                <w:szCs w:val="22"/>
                <w:lang w:val="et-EE"/>
              </w:rPr>
            </w:pPr>
          </w:p>
        </w:tc>
      </w:tr>
    </w:tbl>
    <w:p w14:paraId="6BC16FF5" w14:textId="77777777" w:rsidR="0038204C" w:rsidRPr="00126354" w:rsidRDefault="0038204C" w:rsidP="0038204C">
      <w:pPr>
        <w:rPr>
          <w:rFonts w:cstheme="minorHAnsi"/>
          <w:sz w:val="22"/>
          <w:szCs w:val="22"/>
        </w:rPr>
      </w:pPr>
    </w:p>
    <w:p w14:paraId="76F1039D" w14:textId="77777777" w:rsidR="0038204C" w:rsidRPr="00126354" w:rsidRDefault="0038204C" w:rsidP="0038204C">
      <w:pPr>
        <w:rPr>
          <w:rFonts w:cstheme="minorHAnsi"/>
          <w:b/>
          <w:bCs/>
          <w:sz w:val="22"/>
          <w:szCs w:val="22"/>
        </w:rPr>
      </w:pPr>
      <w:r w:rsidRPr="00126354">
        <w:rPr>
          <w:rFonts w:cstheme="minorHAnsi"/>
          <w:b/>
          <w:bCs/>
          <w:sz w:val="22"/>
          <w:szCs w:val="22"/>
        </w:rPr>
        <w:t>ARVAMUS</w:t>
      </w:r>
    </w:p>
    <w:p w14:paraId="17248750" w14:textId="77777777" w:rsidR="0038204C" w:rsidRPr="00126354" w:rsidRDefault="0038204C" w:rsidP="0038204C">
      <w:pPr>
        <w:rPr>
          <w:rFonts w:cstheme="minorHAnsi"/>
          <w:sz w:val="22"/>
          <w:szCs w:val="22"/>
        </w:rPr>
      </w:pPr>
      <w:r w:rsidRPr="00126354">
        <w:rPr>
          <w:rFonts w:cstheme="minorHAnsi"/>
          <w:sz w:val="22"/>
          <w:szCs w:val="22"/>
        </w:rPr>
        <w:t>Autoriõiguse seaduse seaduseelnõu väljatöötamiskavatsuse kohta</w:t>
      </w:r>
    </w:p>
    <w:p w14:paraId="6F67C37A" w14:textId="77777777" w:rsidR="0038204C" w:rsidRPr="00126354" w:rsidRDefault="0038204C" w:rsidP="0038204C">
      <w:pPr>
        <w:rPr>
          <w:rFonts w:cstheme="minorHAnsi"/>
          <w:sz w:val="22"/>
          <w:szCs w:val="22"/>
        </w:rPr>
      </w:pPr>
    </w:p>
    <w:p w14:paraId="7AC32118" w14:textId="1BF8596A" w:rsidR="0038204C" w:rsidRPr="00126354" w:rsidRDefault="0038204C" w:rsidP="0038204C">
      <w:pPr>
        <w:rPr>
          <w:rFonts w:cstheme="minorHAnsi"/>
          <w:sz w:val="22"/>
          <w:szCs w:val="22"/>
        </w:rPr>
      </w:pPr>
      <w:r w:rsidRPr="00126354">
        <w:rPr>
          <w:rFonts w:cstheme="minorHAnsi"/>
          <w:sz w:val="22"/>
          <w:szCs w:val="22"/>
        </w:rPr>
        <w:t>Eesti Kirjastuste Liit tänab võimaluse eest arvamuse esitamiseks. Väljatöötamiskavatsuses kirjeldatud teemade osas ei ole Eesti Kirjastuste Liidul arvamust, aga soovi</w:t>
      </w:r>
      <w:r w:rsidR="00126354" w:rsidRPr="00126354">
        <w:rPr>
          <w:rFonts w:cstheme="minorHAnsi"/>
          <w:sz w:val="22"/>
          <w:szCs w:val="22"/>
        </w:rPr>
        <w:t>me</w:t>
      </w:r>
      <w:r w:rsidRPr="00126354">
        <w:rPr>
          <w:rFonts w:cstheme="minorHAnsi"/>
          <w:sz w:val="22"/>
          <w:szCs w:val="22"/>
        </w:rPr>
        <w:t xml:space="preserve"> tõstatada väljatöötamiskavatsuse raames arutelu teose reprograafilise reprodutseerimise tasu kohta.</w:t>
      </w:r>
    </w:p>
    <w:p w14:paraId="2AD986A3" w14:textId="77777777" w:rsidR="0038204C" w:rsidRPr="00126354" w:rsidRDefault="0038204C" w:rsidP="0038204C">
      <w:pPr>
        <w:pStyle w:val="Provision1"/>
        <w:numPr>
          <w:ilvl w:val="0"/>
          <w:numId w:val="0"/>
        </w:numPr>
        <w:ind w:left="709" w:hanging="709"/>
        <w:rPr>
          <w:rFonts w:asciiTheme="minorHAnsi" w:hAnsiTheme="minorHAnsi" w:cstheme="minorHAnsi"/>
          <w:b/>
          <w:bCs/>
          <w:lang w:val="et-EE"/>
        </w:rPr>
      </w:pPr>
      <w:r w:rsidRPr="00126354">
        <w:rPr>
          <w:rFonts w:asciiTheme="minorHAnsi" w:hAnsiTheme="minorHAnsi" w:cstheme="minorHAnsi"/>
          <w:b/>
          <w:bCs/>
          <w:lang w:val="et-EE"/>
        </w:rPr>
        <w:t>Paljundushüvitise tasu süsteem</w:t>
      </w:r>
    </w:p>
    <w:p w14:paraId="760EEADC" w14:textId="77777777" w:rsidR="0038204C" w:rsidRPr="00126354" w:rsidRDefault="0038204C" w:rsidP="0038204C">
      <w:pPr>
        <w:pStyle w:val="Provision1"/>
        <w:rPr>
          <w:rFonts w:asciiTheme="minorHAnsi" w:hAnsiTheme="minorHAnsi" w:cstheme="minorHAnsi"/>
          <w:b/>
          <w:bCs/>
          <w:lang w:val="et-EE"/>
        </w:rPr>
      </w:pPr>
      <w:r w:rsidRPr="00126354">
        <w:rPr>
          <w:rFonts w:asciiTheme="minorHAnsi" w:hAnsiTheme="minorHAnsi" w:cstheme="minorHAnsi"/>
          <w:b/>
          <w:bCs/>
          <w:lang w:val="et-EE"/>
        </w:rPr>
        <w:t>Hetkeolukorra ja probleemi kirjeldus</w:t>
      </w:r>
    </w:p>
    <w:p w14:paraId="3554FD59"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Euroopa Parlamendi ja nõukogu direktiiv 2001/29/EÜ</w:t>
      </w:r>
      <w:r w:rsidRPr="00126354">
        <w:rPr>
          <w:rStyle w:val="FootnoteReference"/>
          <w:rFonts w:asciiTheme="minorHAnsi" w:hAnsiTheme="minorHAnsi" w:cstheme="minorHAnsi"/>
          <w:lang w:val="et-EE"/>
        </w:rPr>
        <w:footnoteReference w:id="1"/>
      </w:r>
      <w:r w:rsidRPr="00126354">
        <w:rPr>
          <w:rFonts w:asciiTheme="minorHAnsi" w:hAnsiTheme="minorHAnsi" w:cstheme="minorHAnsi"/>
          <w:lang w:val="et-EE"/>
        </w:rPr>
        <w:t xml:space="preserve"> sätestab artikli 5 lg 2 punktis a, et liikmesriigid võivad näha ette erandeid paber- ja muul samalaadsel kandjal reproduktsioonide tegemiseks, mis on saadud mis tahes fototehnika või muu sama toimega meetodi abil, v.a noodid, tingimusel, et õiguste valdajad saavad õiglase hüvitise.</w:t>
      </w:r>
    </w:p>
    <w:p w14:paraId="188809E3"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Eesti on direktiivi alusel kehtestanud vabakasutuse erandid Autoriõiguse seaduse</w:t>
      </w:r>
      <w:r w:rsidRPr="00126354">
        <w:rPr>
          <w:rStyle w:val="FootnoteReference"/>
          <w:rFonts w:asciiTheme="minorHAnsi" w:hAnsiTheme="minorHAnsi" w:cstheme="minorHAnsi"/>
          <w:lang w:val="et-EE"/>
        </w:rPr>
        <w:footnoteReference w:id="2"/>
      </w:r>
      <w:r w:rsidRPr="00126354">
        <w:rPr>
          <w:rFonts w:asciiTheme="minorHAnsi" w:hAnsiTheme="minorHAnsi" w:cstheme="minorHAnsi"/>
          <w:lang w:val="et-EE"/>
        </w:rPr>
        <w:t xml:space="preserve">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18 lõikes 1 ja § 19 punktis 3. Lisaks on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27</w:t>
      </w:r>
      <w:r w:rsidRPr="00126354">
        <w:rPr>
          <w:rFonts w:asciiTheme="minorHAnsi" w:hAnsiTheme="minorHAnsi" w:cstheme="minorHAnsi"/>
          <w:vertAlign w:val="superscript"/>
          <w:lang w:val="et-EE"/>
        </w:rPr>
        <w:t>1</w:t>
      </w:r>
      <w:r w:rsidRPr="00126354">
        <w:rPr>
          <w:rFonts w:asciiTheme="minorHAnsi" w:hAnsiTheme="minorHAnsi" w:cstheme="minorHAnsi"/>
          <w:lang w:val="et-EE"/>
        </w:rPr>
        <w:t xml:space="preserve"> </w:t>
      </w:r>
      <w:proofErr w:type="spellStart"/>
      <w:r w:rsidRPr="00126354">
        <w:rPr>
          <w:rFonts w:asciiTheme="minorHAnsi" w:hAnsiTheme="minorHAnsi" w:cstheme="minorHAnsi"/>
          <w:lang w:val="et-EE"/>
        </w:rPr>
        <w:t>lg-s</w:t>
      </w:r>
      <w:proofErr w:type="spellEnd"/>
      <w:r w:rsidRPr="00126354">
        <w:rPr>
          <w:rFonts w:asciiTheme="minorHAnsi" w:hAnsiTheme="minorHAnsi" w:cstheme="minorHAnsi"/>
          <w:lang w:val="et-EE"/>
        </w:rPr>
        <w:t xml:space="preserve"> 1 sätestatud, et teose reprograafilisel reprodutseerimisel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18 lõikes 1 ja § 19 punktis 3 nimetatud vabakasutuse eranditele tuginemise korral on autoril ja kirjastajal õigus saada õiglast tasu.</w:t>
      </w:r>
    </w:p>
    <w:p w14:paraId="35F0190A"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Määrus „Teose reprograafilise reprodutseerimise tasu ilukirjanduse ning teadus- ja õppekirjanduse autorite ja kirjastajate vahel jaotamise määrad ning tasu maksmise kord“</w:t>
      </w:r>
      <w:r w:rsidRPr="00126354">
        <w:rPr>
          <w:rStyle w:val="FootnoteReference"/>
          <w:rFonts w:asciiTheme="minorHAnsi" w:hAnsiTheme="minorHAnsi" w:cstheme="minorHAnsi"/>
          <w:lang w:val="et-EE"/>
        </w:rPr>
        <w:footnoteReference w:id="3"/>
      </w:r>
      <w:r w:rsidRPr="00126354">
        <w:rPr>
          <w:rFonts w:asciiTheme="minorHAnsi" w:hAnsiTheme="minorHAnsi" w:cstheme="minorHAnsi"/>
          <w:lang w:val="et-EE"/>
        </w:rPr>
        <w:t xml:space="preserve"> reguleerib teadus-, õppe- ja ilukirjanduse autoritele ning kirjastajatele tasu jaotamist teose reprograafilise reprodutseerimise eest (paljundushüvitis).</w:t>
      </w:r>
    </w:p>
    <w:p w14:paraId="56FD6AB9"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Võrdluseks on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13</w:t>
      </w:r>
      <w:r w:rsidRPr="00126354">
        <w:rPr>
          <w:rFonts w:asciiTheme="minorHAnsi" w:hAnsiTheme="minorHAnsi" w:cstheme="minorHAnsi"/>
          <w:vertAlign w:val="superscript"/>
          <w:lang w:val="et-EE"/>
        </w:rPr>
        <w:t>3</w:t>
      </w:r>
      <w:r w:rsidRPr="00126354">
        <w:rPr>
          <w:rFonts w:asciiTheme="minorHAnsi" w:hAnsiTheme="minorHAnsi" w:cstheme="minorHAnsi"/>
          <w:lang w:val="et-EE"/>
        </w:rPr>
        <w:t xml:space="preserve"> lg 6 alusel vastu võetud määrus „Rahvaraamatukogudest teose laenutamise eest autorile makstava tasu jaotamise määrad, tasu arvutamise ja väljamaksmise alused ning kord“</w:t>
      </w:r>
      <w:r w:rsidRPr="00126354">
        <w:rPr>
          <w:rStyle w:val="FootnoteReference"/>
          <w:rFonts w:asciiTheme="minorHAnsi" w:hAnsiTheme="minorHAnsi" w:cstheme="minorHAnsi"/>
          <w:lang w:val="et-EE"/>
        </w:rPr>
        <w:footnoteReference w:id="4"/>
      </w:r>
      <w:r w:rsidRPr="00126354">
        <w:rPr>
          <w:rFonts w:asciiTheme="minorHAnsi" w:hAnsiTheme="minorHAnsi" w:cstheme="minorHAnsi"/>
          <w:lang w:val="et-EE"/>
        </w:rPr>
        <w:t xml:space="preserve">, mis sätestab rahvaraamatukogudest teose laenutamise eest autorile makstava tasu jaotamise määrad, tasu arvutamise ja väljamaksmise alused ning korra (laenutushüvitis). </w:t>
      </w:r>
    </w:p>
    <w:p w14:paraId="52F43018"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Paljundushüvitise ja laenutushüvitise väljamaksmise eest vastutab Autorihüvitusfond. Aastal 2022 ja ka eelnevatel aastatel jagunes hüvitiste eelarvest paljundushüvitiseks 37% ja laenutushüvitiseks 63%. </w:t>
      </w:r>
    </w:p>
    <w:p w14:paraId="7CE5F057" w14:textId="769FA328"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Autorihüvitusfondi veebilehel teavitati 27.09.2023. a, et laenutushüvitise mahtu suurendatakse 2024. aasta eelarves ühe miljoni euro võrra</w:t>
      </w:r>
      <w:r w:rsidRPr="00126354">
        <w:rPr>
          <w:rStyle w:val="FootnoteReference"/>
          <w:rFonts w:asciiTheme="minorHAnsi" w:hAnsiTheme="minorHAnsi" w:cstheme="minorHAnsi"/>
          <w:lang w:val="et-EE"/>
        </w:rPr>
        <w:footnoteReference w:id="5"/>
      </w:r>
      <w:r w:rsidRPr="00126354">
        <w:rPr>
          <w:rFonts w:asciiTheme="minorHAnsi" w:hAnsiTheme="minorHAnsi" w:cstheme="minorHAnsi"/>
          <w:lang w:val="et-EE"/>
        </w:rPr>
        <w:t>. Kui laenutushüvitise mahtu on</w:t>
      </w:r>
      <w:r w:rsidR="009443BD">
        <w:rPr>
          <w:rFonts w:asciiTheme="minorHAnsi" w:hAnsiTheme="minorHAnsi" w:cstheme="minorHAnsi"/>
          <w:lang w:val="et-EE"/>
        </w:rPr>
        <w:t xml:space="preserve"> </w:t>
      </w:r>
      <w:r w:rsidR="009443BD" w:rsidRPr="009443BD">
        <w:rPr>
          <w:rFonts w:asciiTheme="minorHAnsi" w:hAnsiTheme="minorHAnsi" w:cstheme="minorHAnsi"/>
          <w:lang w:val="et-EE"/>
        </w:rPr>
        <w:t>õiglase tasu maksmise eesmärgil oluliselt</w:t>
      </w:r>
      <w:r w:rsidRPr="00126354">
        <w:rPr>
          <w:rFonts w:asciiTheme="minorHAnsi" w:hAnsiTheme="minorHAnsi" w:cstheme="minorHAnsi"/>
          <w:lang w:val="et-EE"/>
        </w:rPr>
        <w:t xml:space="preserve"> suurendatud, ei ole paljundushüvitise mahtu</w:t>
      </w:r>
      <w:r w:rsidR="001F2F66">
        <w:rPr>
          <w:rFonts w:asciiTheme="minorHAnsi" w:hAnsiTheme="minorHAnsi" w:cstheme="minorHAnsi"/>
          <w:lang w:val="et-EE"/>
        </w:rPr>
        <w:t xml:space="preserve"> kaugeltki</w:t>
      </w:r>
      <w:r w:rsidRPr="00126354">
        <w:rPr>
          <w:rFonts w:asciiTheme="minorHAnsi" w:hAnsiTheme="minorHAnsi" w:cstheme="minorHAnsi"/>
          <w:lang w:val="et-EE"/>
        </w:rPr>
        <w:t xml:space="preserve"> samal määral muudetud. </w:t>
      </w:r>
      <w:r w:rsidRPr="00126354">
        <w:rPr>
          <w:rFonts w:asciiTheme="minorHAnsi" w:hAnsiTheme="minorHAnsi" w:cstheme="minorHAnsi"/>
          <w:lang w:val="et-EE"/>
        </w:rPr>
        <w:lastRenderedPageBreak/>
        <w:t xml:space="preserve">Hüvitiste proportsioon </w:t>
      </w:r>
      <w:r w:rsidR="00663FA0">
        <w:rPr>
          <w:rFonts w:asciiTheme="minorHAnsi" w:hAnsiTheme="minorHAnsi" w:cstheme="minorHAnsi"/>
          <w:lang w:val="et-EE"/>
        </w:rPr>
        <w:t>on</w:t>
      </w:r>
      <w:r w:rsidR="00663FA0" w:rsidRPr="00126354">
        <w:rPr>
          <w:rFonts w:asciiTheme="minorHAnsi" w:hAnsiTheme="minorHAnsi" w:cstheme="minorHAnsi"/>
          <w:lang w:val="et-EE"/>
        </w:rPr>
        <w:t xml:space="preserve"> </w:t>
      </w:r>
      <w:r w:rsidRPr="00126354">
        <w:rPr>
          <w:rFonts w:asciiTheme="minorHAnsi" w:hAnsiTheme="minorHAnsi" w:cstheme="minorHAnsi"/>
          <w:lang w:val="et-EE"/>
        </w:rPr>
        <w:t xml:space="preserve">seega 2024. aastal suurusjärgus 9% paljundushüvitiseks ja 91% laenutushüvitiseks. </w:t>
      </w:r>
    </w:p>
    <w:p w14:paraId="1C4241D4"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Eesti Kirjastuste Liidu hinnangul ei vasta paljundushüvitise suurus selle eesmärkidele ja on ebaproportsionaalselt väike võrreldes laenutushüvitise suurusega.</w:t>
      </w:r>
    </w:p>
    <w:p w14:paraId="34E41E2F" w14:textId="77777777" w:rsidR="0038204C" w:rsidRPr="00126354" w:rsidRDefault="0038204C" w:rsidP="0038204C">
      <w:pPr>
        <w:pStyle w:val="Provision1"/>
        <w:rPr>
          <w:rFonts w:asciiTheme="minorHAnsi" w:hAnsiTheme="minorHAnsi" w:cstheme="minorHAnsi"/>
          <w:b/>
          <w:bCs/>
          <w:lang w:val="et-EE"/>
        </w:rPr>
      </w:pPr>
      <w:r w:rsidRPr="00126354">
        <w:rPr>
          <w:rFonts w:asciiTheme="minorHAnsi" w:hAnsiTheme="minorHAnsi" w:cstheme="minorHAnsi"/>
          <w:b/>
          <w:bCs/>
          <w:lang w:val="et-EE"/>
        </w:rPr>
        <w:t>Eesmärk</w:t>
      </w:r>
    </w:p>
    <w:p w14:paraId="2E66C572"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Kirjastajad levitavad haridusasutustele kirjandus- ja teatmeteoseid (õpikud, töövihikud, proosa-, luule- ja teatmekirjandus). Haridusasutused kasutavad neid teoseid hariduslikel ja teaduslikel eesmärkidel, tuginedes vabakasutuse erandile.</w:t>
      </w:r>
    </w:p>
    <w:p w14:paraId="37B16E1F"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Nagu selgus aastal 2022 koostatud hariduserandite kasutamise uuringust</w:t>
      </w:r>
      <w:r w:rsidRPr="00126354">
        <w:rPr>
          <w:rStyle w:val="FootnoteReference"/>
          <w:rFonts w:asciiTheme="minorHAnsi" w:hAnsiTheme="minorHAnsi" w:cstheme="minorHAnsi"/>
          <w:lang w:val="et-EE"/>
        </w:rPr>
        <w:footnoteReference w:id="6"/>
      </w:r>
      <w:r w:rsidRPr="00126354">
        <w:rPr>
          <w:rFonts w:asciiTheme="minorHAnsi" w:hAnsiTheme="minorHAnsi" w:cstheme="minorHAnsi"/>
          <w:lang w:val="et-EE"/>
        </w:rPr>
        <w:t>, kopeerivad õpetajad ja õppejõud õppematerjale kirjandus- ja teatmeteostest kõikides haridusastmetes</w:t>
      </w:r>
      <w:r w:rsidRPr="00126354">
        <w:rPr>
          <w:rStyle w:val="FootnoteReference"/>
          <w:rFonts w:asciiTheme="minorHAnsi" w:hAnsiTheme="minorHAnsi" w:cstheme="minorHAnsi"/>
          <w:lang w:val="et-EE"/>
        </w:rPr>
        <w:footnoteReference w:id="7"/>
      </w:r>
      <w:r w:rsidRPr="00126354">
        <w:rPr>
          <w:rFonts w:asciiTheme="minorHAnsi" w:hAnsiTheme="minorHAnsi" w:cstheme="minorHAnsi"/>
          <w:lang w:val="et-EE"/>
        </w:rPr>
        <w:t>. Kopeerimise mahule on keerukas anda hinnangut absoluutarvu puudumisel, aga uuringust selgus, et seda tehakse vähemalt keskmisel tasemel (keskmiselt 3.3 punkti vahemikus 1…6)</w:t>
      </w:r>
      <w:r w:rsidRPr="00126354">
        <w:rPr>
          <w:rStyle w:val="FootnoteReference"/>
          <w:rFonts w:asciiTheme="minorHAnsi" w:hAnsiTheme="minorHAnsi" w:cstheme="minorHAnsi"/>
          <w:lang w:val="et-EE"/>
        </w:rPr>
        <w:footnoteReference w:id="8"/>
      </w:r>
      <w:r w:rsidRPr="00126354">
        <w:rPr>
          <w:rFonts w:asciiTheme="minorHAnsi" w:hAnsiTheme="minorHAnsi" w:cstheme="minorHAnsi"/>
          <w:lang w:val="et-EE"/>
        </w:rPr>
        <w:t xml:space="preserve"> ja kopeeritakse nii paberkandjal kui digitaalselt</w:t>
      </w:r>
      <w:r w:rsidRPr="00126354">
        <w:rPr>
          <w:rStyle w:val="FootnoteReference"/>
          <w:rFonts w:asciiTheme="minorHAnsi" w:hAnsiTheme="minorHAnsi" w:cstheme="minorHAnsi"/>
          <w:lang w:val="et-EE"/>
        </w:rPr>
        <w:footnoteReference w:id="9"/>
      </w:r>
      <w:r w:rsidRPr="00126354">
        <w:rPr>
          <w:rFonts w:asciiTheme="minorHAnsi" w:hAnsiTheme="minorHAnsi" w:cstheme="minorHAnsi"/>
          <w:lang w:val="et-EE"/>
        </w:rPr>
        <w:t>.</w:t>
      </w:r>
    </w:p>
    <w:p w14:paraId="2CDA6E95" w14:textId="0422210D"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Kuna haridusasutustes kasutatakse kirjandus- ja teatmeteosteid autoritele ja kirjastajatele tasu maksmata, jääb autoritele ja kirjastajatele saamata tulu, mida nad saaksid vabakasutuse erandi puudumisel litsentsitasuna. Ainus tuluallikas, </w:t>
      </w:r>
      <w:r w:rsidR="001F2F66" w:rsidRPr="001F2F66">
        <w:rPr>
          <w:rFonts w:asciiTheme="minorHAnsi" w:hAnsiTheme="minorHAnsi" w:cstheme="minorHAnsi"/>
          <w:lang w:val="et-EE"/>
        </w:rPr>
        <w:t>mis kompenseerib autoritele ja kirjastajatele teoste kopeerimise tõttu saamata jäänud tulu</w:t>
      </w:r>
      <w:r w:rsidRPr="00126354">
        <w:rPr>
          <w:rFonts w:asciiTheme="minorHAnsi" w:hAnsiTheme="minorHAnsi" w:cstheme="minorHAnsi"/>
          <w:lang w:val="et-EE"/>
        </w:rPr>
        <w:t>, on paljundushüvitis.</w:t>
      </w:r>
    </w:p>
    <w:p w14:paraId="52D1235E" w14:textId="2A9A476E"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Paljundushüvitise eesmärk on hüvitada autoritele ja kirjastajatele teoste reprograafilisest reprodutseerimisest tekkinud kahju. Seejuures peab tasu olema õiglane, nagu on sätestatud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w:t>
      </w:r>
      <w:r w:rsidR="00126354">
        <w:rPr>
          <w:rFonts w:asciiTheme="minorHAnsi" w:hAnsiTheme="minorHAnsi" w:cstheme="minorHAnsi"/>
          <w:lang w:val="et-EE"/>
        </w:rPr>
        <w:t> </w:t>
      </w:r>
      <w:r w:rsidRPr="00126354">
        <w:rPr>
          <w:rFonts w:asciiTheme="minorHAnsi" w:hAnsiTheme="minorHAnsi" w:cstheme="minorHAnsi"/>
          <w:lang w:val="et-EE"/>
        </w:rPr>
        <w:t>27</w:t>
      </w:r>
      <w:r w:rsidRPr="00126354">
        <w:rPr>
          <w:rFonts w:asciiTheme="minorHAnsi" w:hAnsiTheme="minorHAnsi" w:cstheme="minorHAnsi"/>
          <w:vertAlign w:val="superscript"/>
          <w:lang w:val="et-EE"/>
        </w:rPr>
        <w:t>1</w:t>
      </w:r>
      <w:r w:rsidRPr="00126354">
        <w:rPr>
          <w:rFonts w:asciiTheme="minorHAnsi" w:hAnsiTheme="minorHAnsi" w:cstheme="minorHAnsi"/>
          <w:lang w:val="et-EE"/>
        </w:rPr>
        <w:t xml:space="preserve"> </w:t>
      </w:r>
      <w:proofErr w:type="spellStart"/>
      <w:r w:rsidRPr="00126354">
        <w:rPr>
          <w:rFonts w:asciiTheme="minorHAnsi" w:hAnsiTheme="minorHAnsi" w:cstheme="minorHAnsi"/>
          <w:lang w:val="et-EE"/>
        </w:rPr>
        <w:t>lg-s</w:t>
      </w:r>
      <w:proofErr w:type="spellEnd"/>
      <w:r w:rsidRPr="00126354">
        <w:rPr>
          <w:rFonts w:asciiTheme="minorHAnsi" w:hAnsiTheme="minorHAnsi" w:cstheme="minorHAnsi"/>
          <w:lang w:val="et-EE"/>
        </w:rPr>
        <w:t xml:space="preserve"> 1.</w:t>
      </w:r>
    </w:p>
    <w:p w14:paraId="3C46B3CD"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Autorihüvitusfondi 21.12.2022. a teavituse kohaselt jagati 2022. aastal paljundushüvitiseks 73 219.86 eurot, millest 50% ehk 36 609.93 eurot jagunes kirjastajatele</w:t>
      </w:r>
      <w:r w:rsidRPr="00126354">
        <w:rPr>
          <w:rStyle w:val="FootnoteReference"/>
          <w:rFonts w:asciiTheme="minorHAnsi" w:hAnsiTheme="minorHAnsi" w:cstheme="minorHAnsi"/>
          <w:lang w:val="et-EE"/>
        </w:rPr>
        <w:footnoteReference w:id="10"/>
      </w:r>
      <w:r w:rsidRPr="00126354">
        <w:rPr>
          <w:rFonts w:asciiTheme="minorHAnsi" w:hAnsiTheme="minorHAnsi" w:cstheme="minorHAnsi"/>
          <w:lang w:val="et-EE"/>
        </w:rPr>
        <w:t>. Eesti Kirjastuste Liidu andmete põhjal müüsid kirjastajad 2022. aastal haridusasutustele kirjandus- ja teatmeteoseid 10 miljoni euro väärtuses. Kui paljundushüvitise maht oleks õiglane, peaks see olema proportsionaalne haridusasutustele müüdavate teoste mahuga ja/või kopeerimise ulatusega.</w:t>
      </w:r>
    </w:p>
    <w:p w14:paraId="7F6C9377"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Arvestades teoste müügimahtu ja õppematerjalide kopeerimise ulatuslikkust haridusasutustes, ei kata tänane paljundushüvitis kirjastajatele kopeerimisest saamata jäänud tulu. Eesti Kirjastuste Liidu hinnangul oleks kirjastajatele tasutav õiglane paljundushüvitis suurusjärgus 300 000 eurot, st paljundushüvitise kogusumma 600 000 eurot. Eesti Kirjastuste Liidu hinnangul kataks see kirjastajate ja autorite saamata jäänud tulu, mis tekib neile teoste haridusasutustes kopeerimise tõttu.</w:t>
      </w:r>
    </w:p>
    <w:p w14:paraId="03622DD3" w14:textId="77777777" w:rsidR="0038204C" w:rsidRPr="00126354" w:rsidRDefault="0038204C" w:rsidP="0038204C">
      <w:pPr>
        <w:pStyle w:val="Provision1"/>
        <w:rPr>
          <w:rFonts w:asciiTheme="minorHAnsi" w:hAnsiTheme="minorHAnsi" w:cstheme="minorHAnsi"/>
          <w:b/>
          <w:bCs/>
          <w:lang w:val="et-EE"/>
        </w:rPr>
      </w:pPr>
      <w:r w:rsidRPr="00126354">
        <w:rPr>
          <w:rFonts w:asciiTheme="minorHAnsi" w:hAnsiTheme="minorHAnsi" w:cstheme="minorHAnsi"/>
          <w:b/>
          <w:bCs/>
          <w:lang w:val="et-EE"/>
        </w:rPr>
        <w:t>Paljundushüvitise suurendamine</w:t>
      </w:r>
    </w:p>
    <w:p w14:paraId="6884B936" w14:textId="1EEA8D95"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Eesti Kirjastuste Liidu hinnangul tuleks paljundushüvitise kogusummat suurendada suurusjärgus 600</w:t>
      </w:r>
      <w:r w:rsidR="00126354">
        <w:rPr>
          <w:rFonts w:asciiTheme="minorHAnsi" w:hAnsiTheme="minorHAnsi" w:cstheme="minorHAnsi"/>
          <w:lang w:val="et-EE"/>
        </w:rPr>
        <w:t> </w:t>
      </w:r>
      <w:r w:rsidRPr="00126354">
        <w:rPr>
          <w:rFonts w:asciiTheme="minorHAnsi" w:hAnsiTheme="minorHAnsi" w:cstheme="minorHAnsi"/>
          <w:lang w:val="et-EE"/>
        </w:rPr>
        <w:t>000 euroni ja seega suureneks kirjastajatele makstav paljundushüvitis 300 000 euroni.</w:t>
      </w:r>
    </w:p>
    <w:p w14:paraId="46C24A59"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Ülaltoodud summa kataks Eesti Kirjastuste Liidu hinnangul piisaval määral tulu, mis jääb autoritel ja kirjastajatel saamata kirjandus- ja teatmeteoste haridusasutustes kopeerimisest.</w:t>
      </w:r>
    </w:p>
    <w:p w14:paraId="26AB0A3B" w14:textId="07AD5FCE"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lastRenderedPageBreak/>
        <w:t xml:space="preserve">Probleemi lahendamine paljundushüvitise suurendamise teel nõuaks väljamakstava hüvitise eelarve suurendamist. </w:t>
      </w:r>
      <w:r w:rsidR="00663FA0">
        <w:rPr>
          <w:rFonts w:asciiTheme="minorHAnsi" w:hAnsiTheme="minorHAnsi" w:cstheme="minorHAnsi"/>
          <w:lang w:val="et-EE"/>
        </w:rPr>
        <w:t xml:space="preserve">Praegu makstakse paljundushüvitist </w:t>
      </w:r>
      <w:r w:rsidRPr="00126354">
        <w:rPr>
          <w:rFonts w:asciiTheme="minorHAnsi" w:hAnsiTheme="minorHAnsi" w:cstheme="minorHAnsi"/>
          <w:lang w:val="et-EE"/>
        </w:rPr>
        <w:t xml:space="preserve"> Kultuuriministeeriumi eelarvest.</w:t>
      </w:r>
    </w:p>
    <w:p w14:paraId="0AB4415E" w14:textId="40562B64"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Kui riik ei soovi Kultuuriministeeriumi eelarvest </w:t>
      </w:r>
      <w:r w:rsidR="00663FA0">
        <w:rPr>
          <w:rFonts w:asciiTheme="minorHAnsi" w:hAnsiTheme="minorHAnsi" w:cstheme="minorHAnsi"/>
          <w:lang w:val="et-EE"/>
        </w:rPr>
        <w:t>paljundushüvitist</w:t>
      </w:r>
      <w:r w:rsidRPr="00126354">
        <w:rPr>
          <w:rFonts w:asciiTheme="minorHAnsi" w:hAnsiTheme="minorHAnsi" w:cstheme="minorHAnsi"/>
          <w:lang w:val="et-EE"/>
        </w:rPr>
        <w:t xml:space="preserve"> suurendada, võib </w:t>
      </w:r>
      <w:r w:rsidR="009443BD">
        <w:rPr>
          <w:rFonts w:asciiTheme="minorHAnsi" w:hAnsiTheme="minorHAnsi" w:cstheme="minorHAnsi"/>
          <w:lang w:val="et-EE"/>
        </w:rPr>
        <w:t>väljamakstava paljundushüvitise summa suurendamist</w:t>
      </w:r>
      <w:r w:rsidR="009443BD" w:rsidRPr="00126354">
        <w:rPr>
          <w:rFonts w:asciiTheme="minorHAnsi" w:hAnsiTheme="minorHAnsi" w:cstheme="minorHAnsi"/>
          <w:lang w:val="et-EE"/>
        </w:rPr>
        <w:t xml:space="preserve"> </w:t>
      </w:r>
      <w:r w:rsidRPr="00126354">
        <w:rPr>
          <w:rFonts w:asciiTheme="minorHAnsi" w:hAnsiTheme="minorHAnsi" w:cstheme="minorHAnsi"/>
          <w:lang w:val="et-EE"/>
        </w:rPr>
        <w:t xml:space="preserve">täiendavalt rahastada Haridus- ja Teadusministeeriumi vahenditest. </w:t>
      </w:r>
    </w:p>
    <w:p w14:paraId="403C7503" w14:textId="77777777" w:rsidR="0038204C" w:rsidRPr="00126354" w:rsidRDefault="0038204C" w:rsidP="0038204C">
      <w:pPr>
        <w:pStyle w:val="Provision1"/>
        <w:rPr>
          <w:rFonts w:asciiTheme="minorHAnsi" w:hAnsiTheme="minorHAnsi" w:cstheme="minorHAnsi"/>
          <w:b/>
          <w:bCs/>
          <w:lang w:val="et-EE"/>
        </w:rPr>
      </w:pPr>
      <w:r w:rsidRPr="00126354">
        <w:rPr>
          <w:rFonts w:asciiTheme="minorHAnsi" w:hAnsiTheme="minorHAnsi" w:cstheme="minorHAnsi"/>
          <w:b/>
          <w:bCs/>
          <w:lang w:val="et-EE"/>
        </w:rPr>
        <w:t>Seadme lõivu süsteemi loomine</w:t>
      </w:r>
    </w:p>
    <w:p w14:paraId="6A61C0F7"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Juhul kui paljundushüvitise eelarvet ei suurendata, siis jõuame olukorda, kus tuleks üle vaadata erakopeerimise erand ning kaotada tänase paljundushüvitise süsteem ja selle asemel luua lõivu süsteem.</w:t>
      </w:r>
    </w:p>
    <w:p w14:paraId="4334AB82"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Eesti Kirjastuste Liidu hinnangul on probleemi lahendamiseks võimalik paljundushüvitise suurendamise asemel kehtestada paljunduslõiv, mis sarnaneks erakopeerimise tasu süsteemile. </w:t>
      </w:r>
    </w:p>
    <w:p w14:paraId="56A463A8"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Paljunduslõiv peab tagama autoritele ja kirjastajatele õiglase hüvitise selle tulu eest, mis jääb neil saamata teoste haridusasutustes kopeerimise tõttu.</w:t>
      </w:r>
    </w:p>
    <w:p w14:paraId="7B8FFE2B" w14:textId="274650CA"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Paljunduslõivu kogutaks paljundussea</w:t>
      </w:r>
      <w:r w:rsidR="00126354">
        <w:rPr>
          <w:rFonts w:asciiTheme="minorHAnsi" w:hAnsiTheme="minorHAnsi" w:cstheme="minorHAnsi"/>
          <w:lang w:val="et-EE"/>
        </w:rPr>
        <w:t>d</w:t>
      </w:r>
      <w:r w:rsidRPr="00126354">
        <w:rPr>
          <w:rFonts w:asciiTheme="minorHAnsi" w:hAnsiTheme="minorHAnsi" w:cstheme="minorHAnsi"/>
          <w:lang w:val="et-EE"/>
        </w:rPr>
        <w:t>mete (nt printerid, arvutid, skannerid, telefonid) müügist. Lõivu kogub vastutav isik, kes jaotab selle jaotuskava alusel autoritele ja kirjastajatele.</w:t>
      </w:r>
    </w:p>
    <w:p w14:paraId="5E16A52A"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Haridusasutused saaksid endiselt tugineda vabakasutuse erandile ja teoseid õppe- ja teaduslikel eesmärkidel kopeerida, aga maaletoojad tasuvad lõivu seadme sissetoomisel.</w:t>
      </w:r>
    </w:p>
    <w:p w14:paraId="25CB2BAE" w14:textId="77777777" w:rsidR="0038204C" w:rsidRPr="00126354" w:rsidRDefault="0038204C" w:rsidP="0038204C">
      <w:pPr>
        <w:pStyle w:val="Provision1"/>
        <w:rPr>
          <w:rFonts w:asciiTheme="minorHAnsi" w:hAnsiTheme="minorHAnsi" w:cstheme="minorHAnsi"/>
          <w:b/>
          <w:bCs/>
          <w:lang w:val="et-EE"/>
        </w:rPr>
      </w:pPr>
      <w:r w:rsidRPr="00126354">
        <w:rPr>
          <w:rFonts w:asciiTheme="minorHAnsi" w:hAnsiTheme="minorHAnsi" w:cstheme="minorHAnsi"/>
          <w:b/>
          <w:bCs/>
          <w:lang w:val="et-EE"/>
        </w:rPr>
        <w:t>Vabakasutuse erandi kaotamine</w:t>
      </w:r>
    </w:p>
    <w:p w14:paraId="7E576981"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 xml:space="preserve">Juhul kui paljundushüvitise eelarvet ei suurendata ega lõivude süsteemi ei looda, jõuame olukorrani, kus riigil tuleks loobuda </w:t>
      </w: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19 lg 1 p-s 3 sätestatud vabakasutuse erandist.</w:t>
      </w:r>
    </w:p>
    <w:p w14:paraId="7A777C03" w14:textId="77777777" w:rsidR="0038204C" w:rsidRPr="00126354" w:rsidRDefault="0038204C" w:rsidP="0038204C">
      <w:pPr>
        <w:pStyle w:val="Provision2"/>
        <w:rPr>
          <w:rFonts w:asciiTheme="minorHAnsi" w:hAnsiTheme="minorHAnsi" w:cstheme="minorHAnsi"/>
          <w:lang w:val="et-EE"/>
        </w:rPr>
      </w:pPr>
      <w:proofErr w:type="spellStart"/>
      <w:r w:rsidRPr="00126354">
        <w:rPr>
          <w:rFonts w:asciiTheme="minorHAnsi" w:hAnsiTheme="minorHAnsi" w:cstheme="minorHAnsi"/>
          <w:lang w:val="et-EE"/>
        </w:rPr>
        <w:t>AutÕS</w:t>
      </w:r>
      <w:proofErr w:type="spellEnd"/>
      <w:r w:rsidRPr="00126354">
        <w:rPr>
          <w:rFonts w:asciiTheme="minorHAnsi" w:hAnsiTheme="minorHAnsi" w:cstheme="minorHAnsi"/>
          <w:lang w:val="et-EE"/>
        </w:rPr>
        <w:t xml:space="preserve"> § 19 lg 1 p-s 3 sätestatud vabakasutuse erandi kaotamisel jääks haridusasutused ilma senisest õigusest teha teostest tasuta koopiaid õppe- ja teaduslikel eesmärkidel.</w:t>
      </w:r>
    </w:p>
    <w:p w14:paraId="54DD6C8F"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Kui haridusasutus soovib näiteks kirjastuselt ostetud õppematerjalist teha koopiaid, peab selleks iga kord kirjastajaga kokku leppima ja saama kirjastajalt loa ehk litsentsi koopia tegemiseks. Kirjastus saab paljundushüvitise asemel litsentsitasu.</w:t>
      </w:r>
    </w:p>
    <w:p w14:paraId="4D9A9253" w14:textId="77777777" w:rsidR="0038204C" w:rsidRPr="00126354" w:rsidRDefault="0038204C" w:rsidP="0038204C">
      <w:pPr>
        <w:pStyle w:val="Provision2"/>
        <w:rPr>
          <w:rFonts w:asciiTheme="minorHAnsi" w:hAnsiTheme="minorHAnsi" w:cstheme="minorHAnsi"/>
          <w:lang w:val="et-EE"/>
        </w:rPr>
      </w:pPr>
      <w:r w:rsidRPr="00126354">
        <w:rPr>
          <w:rFonts w:asciiTheme="minorHAnsi" w:hAnsiTheme="minorHAnsi" w:cstheme="minorHAnsi"/>
          <w:lang w:val="et-EE"/>
        </w:rPr>
        <w:t>Autorid ja kirjastajad saaksid tulu teoste kopeerimise litsentsitasust, mitte paljundushüvitisest. Sellisel juhul saavad autorid ja kirjastajad ise määrata litsentsitasu ja teose kasutamise tingimused. Samas suurendaks see oluliselt halduskoormust, sest haridusasutused peaksid teoste kopeerimiseks ostma iga kord litsentsi.</w:t>
      </w:r>
    </w:p>
    <w:p w14:paraId="3DEC54F7" w14:textId="77777777" w:rsidR="0038204C" w:rsidRDefault="0038204C" w:rsidP="0038204C">
      <w:pPr>
        <w:rPr>
          <w:rFonts w:cstheme="minorHAnsi"/>
          <w:sz w:val="22"/>
          <w:szCs w:val="22"/>
        </w:rPr>
      </w:pPr>
    </w:p>
    <w:p w14:paraId="22CC1931" w14:textId="321A1957" w:rsidR="002D737E" w:rsidRPr="002D737E" w:rsidRDefault="002D737E" w:rsidP="002D737E">
      <w:pPr>
        <w:pStyle w:val="Provision2"/>
        <w:numPr>
          <w:ilvl w:val="0"/>
          <w:numId w:val="0"/>
        </w:numPr>
        <w:jc w:val="left"/>
        <w:rPr>
          <w:rFonts w:asciiTheme="minorHAnsi" w:hAnsiTheme="minorHAnsi" w:cstheme="minorHAnsi"/>
          <w:lang w:val="et-EE"/>
        </w:rPr>
      </w:pPr>
      <w:r w:rsidRPr="002D737E">
        <w:rPr>
          <w:rFonts w:asciiTheme="minorHAnsi" w:hAnsiTheme="minorHAnsi" w:cstheme="minorHAnsi"/>
          <w:lang w:val="et-EE"/>
        </w:rPr>
        <w:t>Eesti Kirjastuste Liit on veendunud, et ülaltoodud ettepanek aita</w:t>
      </w:r>
      <w:r w:rsidR="005C2B46">
        <w:rPr>
          <w:rFonts w:asciiTheme="minorHAnsi" w:hAnsiTheme="minorHAnsi" w:cstheme="minorHAnsi"/>
          <w:lang w:val="et-EE"/>
        </w:rPr>
        <w:t>b</w:t>
      </w:r>
      <w:r w:rsidRPr="002D737E">
        <w:rPr>
          <w:rFonts w:asciiTheme="minorHAnsi" w:hAnsiTheme="minorHAnsi" w:cstheme="minorHAnsi"/>
          <w:lang w:val="et-EE"/>
        </w:rPr>
        <w:t xml:space="preserve"> muuta autoriõiguse seaduse täitmist</w:t>
      </w:r>
      <w:r>
        <w:rPr>
          <w:rFonts w:asciiTheme="minorHAnsi" w:hAnsiTheme="minorHAnsi" w:cstheme="minorHAnsi"/>
          <w:lang w:val="et-EE"/>
        </w:rPr>
        <w:t xml:space="preserve"> õiglasemaks </w:t>
      </w:r>
      <w:r w:rsidRPr="002D737E">
        <w:rPr>
          <w:rFonts w:asciiTheme="minorHAnsi" w:hAnsiTheme="minorHAnsi" w:cstheme="minorHAnsi"/>
          <w:lang w:val="et-EE"/>
        </w:rPr>
        <w:t xml:space="preserve">ning oleme valmis </w:t>
      </w:r>
      <w:r w:rsidR="009443BD">
        <w:rPr>
          <w:rFonts w:asciiTheme="minorHAnsi" w:hAnsiTheme="minorHAnsi" w:cstheme="minorHAnsi"/>
          <w:lang w:val="et-EE"/>
        </w:rPr>
        <w:t xml:space="preserve">aruteluks </w:t>
      </w:r>
      <w:r w:rsidRPr="002D737E">
        <w:rPr>
          <w:rFonts w:asciiTheme="minorHAnsi" w:hAnsiTheme="minorHAnsi" w:cstheme="minorHAnsi"/>
          <w:lang w:val="et-EE"/>
        </w:rPr>
        <w:t>kohtuma. </w:t>
      </w:r>
    </w:p>
    <w:p w14:paraId="060FAF7E" w14:textId="77777777" w:rsidR="002D737E" w:rsidRDefault="002D737E" w:rsidP="0038204C">
      <w:pPr>
        <w:rPr>
          <w:rFonts w:cstheme="minorHAnsi"/>
          <w:sz w:val="22"/>
          <w:szCs w:val="22"/>
        </w:rPr>
      </w:pPr>
    </w:p>
    <w:p w14:paraId="2E846744" w14:textId="5C29DDD7" w:rsidR="0038204C" w:rsidRDefault="0038204C" w:rsidP="005C2B46">
      <w:pPr>
        <w:spacing w:after="0" w:line="240" w:lineRule="auto"/>
        <w:rPr>
          <w:rFonts w:cstheme="minorHAnsi"/>
          <w:sz w:val="22"/>
          <w:szCs w:val="22"/>
        </w:rPr>
      </w:pPr>
      <w:r w:rsidRPr="00126354">
        <w:rPr>
          <w:rFonts w:cstheme="minorHAnsi"/>
          <w:sz w:val="22"/>
          <w:szCs w:val="22"/>
        </w:rPr>
        <w:t>Lugupidamisega</w:t>
      </w:r>
    </w:p>
    <w:p w14:paraId="5559CDD9" w14:textId="77777777" w:rsidR="00B04312" w:rsidRPr="00126354" w:rsidRDefault="00B04312" w:rsidP="005C2B46">
      <w:pPr>
        <w:spacing w:after="0" w:line="240" w:lineRule="auto"/>
        <w:rPr>
          <w:rFonts w:cstheme="minorHAnsi"/>
          <w:sz w:val="22"/>
          <w:szCs w:val="22"/>
        </w:rPr>
      </w:pPr>
    </w:p>
    <w:p w14:paraId="2C5E3203" w14:textId="4651D225" w:rsidR="00126354" w:rsidRPr="00126354" w:rsidRDefault="0038204C" w:rsidP="00B04312">
      <w:pPr>
        <w:spacing w:after="0" w:line="240" w:lineRule="auto"/>
        <w:rPr>
          <w:rFonts w:cstheme="minorHAnsi"/>
          <w:sz w:val="22"/>
          <w:szCs w:val="22"/>
        </w:rPr>
      </w:pPr>
      <w:r w:rsidRPr="00126354">
        <w:rPr>
          <w:rFonts w:cstheme="minorHAnsi"/>
          <w:sz w:val="22"/>
          <w:szCs w:val="22"/>
        </w:rPr>
        <w:t>Ülle Ergma</w:t>
      </w:r>
      <w:r w:rsidRPr="00126354">
        <w:rPr>
          <w:rFonts w:cstheme="minorHAnsi"/>
          <w:sz w:val="22"/>
          <w:szCs w:val="22"/>
        </w:rPr>
        <w:br/>
        <w:t>Juhatuse esimees</w:t>
      </w:r>
      <w:r w:rsidR="005C2B46">
        <w:rPr>
          <w:rFonts w:cstheme="minorHAnsi"/>
          <w:sz w:val="22"/>
          <w:szCs w:val="22"/>
        </w:rPr>
        <w:br/>
      </w:r>
      <w:r w:rsidRPr="00126354">
        <w:rPr>
          <w:rFonts w:cstheme="minorHAnsi"/>
          <w:sz w:val="22"/>
          <w:szCs w:val="22"/>
        </w:rPr>
        <w:t>Eesti Kirjastuste Liit</w:t>
      </w:r>
      <w:r w:rsidR="00126354">
        <w:rPr>
          <w:rFonts w:cstheme="minorHAnsi"/>
          <w:sz w:val="22"/>
          <w:szCs w:val="22"/>
        </w:rPr>
        <w:br/>
      </w:r>
      <w:hyperlink r:id="rId8" w:history="1">
        <w:r w:rsidR="00B04312" w:rsidRPr="00420F1D">
          <w:rPr>
            <w:rStyle w:val="Hyperlink"/>
          </w:rPr>
          <w:t>info@estbook.</w:t>
        </w:r>
        <w:r w:rsidR="00B04312" w:rsidRPr="00420F1D">
          <w:rPr>
            <w:rStyle w:val="Hyperlink"/>
            <w:rFonts w:cstheme="minorHAnsi"/>
            <w:sz w:val="22"/>
            <w:szCs w:val="22"/>
          </w:rPr>
          <w:t>com</w:t>
        </w:r>
      </w:hyperlink>
      <w:r w:rsidR="00B04312">
        <w:rPr>
          <w:rFonts w:cstheme="minorHAnsi"/>
          <w:sz w:val="22"/>
          <w:szCs w:val="22"/>
        </w:rPr>
        <w:t xml:space="preserve"> </w:t>
      </w:r>
    </w:p>
    <w:p w14:paraId="5C0469B3" w14:textId="00540609" w:rsidR="00D90757" w:rsidRPr="00126354" w:rsidRDefault="00D90757" w:rsidP="0038204C">
      <w:pPr>
        <w:rPr>
          <w:sz w:val="22"/>
          <w:szCs w:val="22"/>
        </w:rPr>
      </w:pPr>
    </w:p>
    <w:sectPr w:rsidR="00D90757" w:rsidRPr="00126354" w:rsidSect="00210385">
      <w:headerReference w:type="default" r:id="rId9"/>
      <w:headerReference w:type="first" r:id="rId10"/>
      <w:footerReference w:type="first" r:id="rId11"/>
      <w:pgSz w:w="11906" w:h="16838"/>
      <w:pgMar w:top="794" w:right="1021" w:bottom="79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5A6B" w14:textId="77777777" w:rsidR="00210385" w:rsidRDefault="00210385" w:rsidP="00D90757">
      <w:pPr>
        <w:spacing w:after="0" w:line="240" w:lineRule="auto"/>
      </w:pPr>
      <w:r>
        <w:separator/>
      </w:r>
    </w:p>
  </w:endnote>
  <w:endnote w:type="continuationSeparator" w:id="0">
    <w:p w14:paraId="2732710F" w14:textId="77777777" w:rsidR="00210385" w:rsidRDefault="00210385" w:rsidP="00D90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B1E91" w14:textId="4A7D3AD8" w:rsidR="0038204C" w:rsidRDefault="00126354">
    <w:pPr>
      <w:pStyle w:val="Footer"/>
    </w:pPr>
    <w:r>
      <w:rPr>
        <w:noProof/>
      </w:rPr>
      <w:drawing>
        <wp:inline distT="0" distB="0" distL="0" distR="0" wp14:anchorId="414759AB" wp14:editId="3410A1E3">
          <wp:extent cx="6120130" cy="421005"/>
          <wp:effectExtent l="0" t="0" r="0" b="0"/>
          <wp:docPr id="486523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523260" name="Picture 486523260"/>
                  <pic:cNvPicPr/>
                </pic:nvPicPr>
                <pic:blipFill>
                  <a:blip r:embed="rId1">
                    <a:extLst>
                      <a:ext uri="{28A0092B-C50C-407E-A947-70E740481C1C}">
                        <a14:useLocalDpi xmlns:a14="http://schemas.microsoft.com/office/drawing/2010/main" val="0"/>
                      </a:ext>
                    </a:extLst>
                  </a:blip>
                  <a:stretch>
                    <a:fillRect/>
                  </a:stretch>
                </pic:blipFill>
                <pic:spPr>
                  <a:xfrm>
                    <a:off x="0" y="0"/>
                    <a:ext cx="6120130" cy="421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32B7" w14:textId="77777777" w:rsidR="00210385" w:rsidRDefault="00210385" w:rsidP="00D90757">
      <w:pPr>
        <w:spacing w:after="0" w:line="240" w:lineRule="auto"/>
      </w:pPr>
      <w:r>
        <w:separator/>
      </w:r>
    </w:p>
  </w:footnote>
  <w:footnote w:type="continuationSeparator" w:id="0">
    <w:p w14:paraId="72E4CE9E" w14:textId="77777777" w:rsidR="00210385" w:rsidRDefault="00210385" w:rsidP="00D90757">
      <w:pPr>
        <w:spacing w:after="0" w:line="240" w:lineRule="auto"/>
      </w:pPr>
      <w:r>
        <w:continuationSeparator/>
      </w:r>
    </w:p>
  </w:footnote>
  <w:footnote w:id="1">
    <w:p w14:paraId="7AA36232" w14:textId="77777777" w:rsidR="0038204C" w:rsidRPr="000A38DB" w:rsidRDefault="0038204C" w:rsidP="0038204C">
      <w:pPr>
        <w:pStyle w:val="FootnoteText"/>
        <w:rPr>
          <w:lang w:val="et-EE"/>
        </w:rPr>
      </w:pPr>
      <w:r>
        <w:rPr>
          <w:rStyle w:val="FootnoteReference"/>
        </w:rPr>
        <w:footnoteRef/>
      </w:r>
      <w:r w:rsidRPr="008C4E5F">
        <w:rPr>
          <w:lang w:val="fi-FI"/>
        </w:rPr>
        <w:t xml:space="preserve"> </w:t>
      </w:r>
      <w:proofErr w:type="spellStart"/>
      <w:r w:rsidRPr="008C4E5F">
        <w:rPr>
          <w:lang w:val="fi-FI"/>
        </w:rPr>
        <w:t>Euroopa</w:t>
      </w:r>
      <w:proofErr w:type="spellEnd"/>
      <w:r w:rsidRPr="008C4E5F">
        <w:rPr>
          <w:lang w:val="fi-FI"/>
        </w:rPr>
        <w:t xml:space="preserve"> </w:t>
      </w:r>
      <w:proofErr w:type="spellStart"/>
      <w:r w:rsidRPr="008C4E5F">
        <w:rPr>
          <w:lang w:val="fi-FI"/>
        </w:rPr>
        <w:t>Liidu</w:t>
      </w:r>
      <w:proofErr w:type="spellEnd"/>
      <w:r w:rsidRPr="008C4E5F">
        <w:rPr>
          <w:lang w:val="fi-FI"/>
        </w:rPr>
        <w:t xml:space="preserve"> </w:t>
      </w:r>
      <w:proofErr w:type="spellStart"/>
      <w:r w:rsidRPr="008C4E5F">
        <w:rPr>
          <w:lang w:val="fi-FI"/>
        </w:rPr>
        <w:t>Teataja</w:t>
      </w:r>
      <w:proofErr w:type="spellEnd"/>
      <w:r w:rsidRPr="008C4E5F">
        <w:rPr>
          <w:lang w:val="fi-FI"/>
        </w:rPr>
        <w:t xml:space="preserve"> L 167, 22/06/2001 </w:t>
      </w:r>
      <w:proofErr w:type="spellStart"/>
      <w:r w:rsidRPr="008C4E5F">
        <w:rPr>
          <w:lang w:val="fi-FI"/>
        </w:rPr>
        <w:t>Lk</w:t>
      </w:r>
      <w:proofErr w:type="spellEnd"/>
      <w:r w:rsidRPr="008C4E5F">
        <w:rPr>
          <w:lang w:val="fi-FI"/>
        </w:rPr>
        <w:t xml:space="preserve"> </w:t>
      </w:r>
      <w:proofErr w:type="gramStart"/>
      <w:r w:rsidRPr="008C4E5F">
        <w:rPr>
          <w:lang w:val="fi-FI"/>
        </w:rPr>
        <w:t>0010 - 0019</w:t>
      </w:r>
      <w:proofErr w:type="gramEnd"/>
    </w:p>
  </w:footnote>
  <w:footnote w:id="2">
    <w:p w14:paraId="68FB02DC" w14:textId="77777777" w:rsidR="0038204C" w:rsidRPr="008563CE" w:rsidRDefault="0038204C" w:rsidP="0038204C">
      <w:pPr>
        <w:pStyle w:val="FootnoteText"/>
        <w:rPr>
          <w:lang w:val="et-EE"/>
        </w:rPr>
      </w:pPr>
      <w:r>
        <w:rPr>
          <w:rStyle w:val="FootnoteReference"/>
        </w:rPr>
        <w:footnoteRef/>
      </w:r>
      <w:r>
        <w:t xml:space="preserve"> </w:t>
      </w:r>
      <w:r w:rsidRPr="008563CE">
        <w:t>RT I, 29.06.2022, 16</w:t>
      </w:r>
    </w:p>
  </w:footnote>
  <w:footnote w:id="3">
    <w:p w14:paraId="00A9A4F1" w14:textId="77777777" w:rsidR="0038204C" w:rsidRPr="00344E52" w:rsidRDefault="0038204C" w:rsidP="0038204C">
      <w:pPr>
        <w:pStyle w:val="FootnoteText"/>
        <w:rPr>
          <w:lang w:val="et-EE"/>
        </w:rPr>
      </w:pPr>
      <w:r>
        <w:rPr>
          <w:rStyle w:val="FootnoteReference"/>
        </w:rPr>
        <w:footnoteRef/>
      </w:r>
      <w:r>
        <w:t xml:space="preserve"> </w:t>
      </w:r>
      <w:r w:rsidRPr="00344E52">
        <w:t>RT I, 11.12.2012, 5</w:t>
      </w:r>
    </w:p>
  </w:footnote>
  <w:footnote w:id="4">
    <w:p w14:paraId="07295E10" w14:textId="77777777" w:rsidR="0038204C" w:rsidRPr="006778C1" w:rsidRDefault="0038204C" w:rsidP="0038204C">
      <w:pPr>
        <w:pStyle w:val="FootnoteText"/>
        <w:rPr>
          <w:lang w:val="et-EE"/>
        </w:rPr>
      </w:pPr>
      <w:r>
        <w:rPr>
          <w:rStyle w:val="FootnoteReference"/>
        </w:rPr>
        <w:footnoteRef/>
      </w:r>
      <w:r>
        <w:t xml:space="preserve"> </w:t>
      </w:r>
      <w:r w:rsidRPr="006778C1">
        <w:t>RT I, 11.12.2012, 4</w:t>
      </w:r>
    </w:p>
  </w:footnote>
  <w:footnote w:id="5">
    <w:p w14:paraId="590A3B3E" w14:textId="77777777" w:rsidR="0038204C" w:rsidRPr="00820583" w:rsidRDefault="0038204C" w:rsidP="0038204C">
      <w:pPr>
        <w:pStyle w:val="FootnoteText"/>
        <w:rPr>
          <w:lang w:val="et-EE"/>
        </w:rPr>
      </w:pPr>
      <w:r>
        <w:rPr>
          <w:rStyle w:val="FootnoteReference"/>
        </w:rPr>
        <w:footnoteRef/>
      </w:r>
      <w:r>
        <w:t xml:space="preserve"> </w:t>
      </w:r>
      <w:r w:rsidRPr="00820583">
        <w:t>https://ahf.ee/teated/</w:t>
      </w:r>
    </w:p>
  </w:footnote>
  <w:footnote w:id="6">
    <w:p w14:paraId="788F9E09" w14:textId="77777777" w:rsidR="0038204C" w:rsidRPr="00C83E0B" w:rsidRDefault="0038204C" w:rsidP="0038204C">
      <w:pPr>
        <w:pStyle w:val="FootnoteText"/>
        <w:rPr>
          <w:lang w:val="et-EE"/>
        </w:rPr>
      </w:pPr>
      <w:r>
        <w:rPr>
          <w:rStyle w:val="FootnoteReference"/>
        </w:rPr>
        <w:footnoteRef/>
      </w:r>
      <w:r w:rsidRPr="008C4E5F">
        <w:rPr>
          <w:lang w:val="fi-FI"/>
        </w:rPr>
        <w:t xml:space="preserve"> Kelli, Aleksei; Leijen, Äli; </w:t>
      </w:r>
      <w:proofErr w:type="spellStart"/>
      <w:r w:rsidRPr="008C4E5F">
        <w:rPr>
          <w:lang w:val="fi-FI"/>
        </w:rPr>
        <w:t>Pedaste</w:t>
      </w:r>
      <w:proofErr w:type="spellEnd"/>
      <w:r w:rsidRPr="008C4E5F">
        <w:rPr>
          <w:lang w:val="fi-FI"/>
        </w:rPr>
        <w:t xml:space="preserve">, Margus (2022). </w:t>
      </w:r>
      <w:proofErr w:type="spellStart"/>
      <w:r w:rsidRPr="008C4E5F">
        <w:rPr>
          <w:lang w:val="fi-FI"/>
        </w:rPr>
        <w:t>Autoriõiguse</w:t>
      </w:r>
      <w:proofErr w:type="spellEnd"/>
      <w:r w:rsidRPr="008C4E5F">
        <w:rPr>
          <w:lang w:val="fi-FI"/>
        </w:rPr>
        <w:t xml:space="preserve"> </w:t>
      </w:r>
      <w:proofErr w:type="spellStart"/>
      <w:r w:rsidRPr="008C4E5F">
        <w:rPr>
          <w:lang w:val="fi-FI"/>
        </w:rPr>
        <w:t>hariduserandite</w:t>
      </w:r>
      <w:proofErr w:type="spellEnd"/>
      <w:r w:rsidRPr="008C4E5F">
        <w:rPr>
          <w:lang w:val="fi-FI"/>
        </w:rPr>
        <w:t xml:space="preserve"> </w:t>
      </w:r>
      <w:proofErr w:type="spellStart"/>
      <w:r w:rsidRPr="008C4E5F">
        <w:rPr>
          <w:lang w:val="fi-FI"/>
        </w:rPr>
        <w:t>kasutamise</w:t>
      </w:r>
      <w:proofErr w:type="spellEnd"/>
      <w:r w:rsidRPr="008C4E5F">
        <w:rPr>
          <w:lang w:val="fi-FI"/>
        </w:rPr>
        <w:t xml:space="preserve"> </w:t>
      </w:r>
      <w:proofErr w:type="spellStart"/>
      <w:r w:rsidRPr="008C4E5F">
        <w:rPr>
          <w:lang w:val="fi-FI"/>
        </w:rPr>
        <w:t>ulatus</w:t>
      </w:r>
      <w:proofErr w:type="spellEnd"/>
      <w:r w:rsidRPr="008C4E5F">
        <w:rPr>
          <w:lang w:val="fi-FI"/>
        </w:rPr>
        <w:t xml:space="preserve">. </w:t>
      </w:r>
      <w:proofErr w:type="spellStart"/>
      <w:r w:rsidRPr="008C4E5F">
        <w:rPr>
          <w:lang w:val="fi-FI"/>
        </w:rPr>
        <w:t>Küsitluse</w:t>
      </w:r>
      <w:proofErr w:type="spellEnd"/>
      <w:r w:rsidRPr="008C4E5F">
        <w:rPr>
          <w:lang w:val="fi-FI"/>
        </w:rPr>
        <w:t xml:space="preserve"> </w:t>
      </w:r>
      <w:proofErr w:type="spellStart"/>
      <w:r w:rsidRPr="008C4E5F">
        <w:rPr>
          <w:lang w:val="fi-FI"/>
        </w:rPr>
        <w:t>tulemused</w:t>
      </w:r>
      <w:proofErr w:type="spellEnd"/>
      <w:r w:rsidRPr="008C4E5F">
        <w:rPr>
          <w:lang w:val="fi-FI"/>
        </w:rPr>
        <w:t xml:space="preserve"> ja </w:t>
      </w:r>
      <w:proofErr w:type="spellStart"/>
      <w:r w:rsidRPr="008C4E5F">
        <w:rPr>
          <w:lang w:val="fi-FI"/>
        </w:rPr>
        <w:t>metoodikaraport</w:t>
      </w:r>
      <w:proofErr w:type="spellEnd"/>
      <w:r w:rsidRPr="008C4E5F">
        <w:rPr>
          <w:lang w:val="fi-FI"/>
        </w:rPr>
        <w:t xml:space="preserve">. </w:t>
      </w:r>
      <w:proofErr w:type="gramStart"/>
      <w:r w:rsidRPr="008C4E5F">
        <w:rPr>
          <w:lang w:val="fi-FI"/>
        </w:rPr>
        <w:t>1−52</w:t>
      </w:r>
      <w:proofErr w:type="gramEnd"/>
      <w:r w:rsidRPr="008C4E5F">
        <w:rPr>
          <w:lang w:val="fi-FI"/>
        </w:rPr>
        <w:t xml:space="preserve">. </w:t>
      </w:r>
      <w:proofErr w:type="spellStart"/>
      <w:r w:rsidRPr="008C4E5F">
        <w:rPr>
          <w:lang w:val="fi-FI"/>
        </w:rPr>
        <w:t>Tellija</w:t>
      </w:r>
      <w:proofErr w:type="spellEnd"/>
      <w:r w:rsidRPr="008C4E5F">
        <w:rPr>
          <w:lang w:val="fi-FI"/>
        </w:rPr>
        <w:t xml:space="preserve">: </w:t>
      </w:r>
      <w:proofErr w:type="spellStart"/>
      <w:r w:rsidRPr="008C4E5F">
        <w:rPr>
          <w:lang w:val="fi-FI"/>
        </w:rPr>
        <w:t>Justiitsministeerium</w:t>
      </w:r>
      <w:proofErr w:type="spellEnd"/>
      <w:r w:rsidRPr="008C4E5F">
        <w:rPr>
          <w:lang w:val="fi-FI"/>
        </w:rPr>
        <w:t xml:space="preserve">. </w:t>
      </w:r>
      <w:proofErr w:type="spellStart"/>
      <w:r w:rsidRPr="008C4E5F">
        <w:rPr>
          <w:lang w:val="fi-FI"/>
        </w:rPr>
        <w:t>Arvutivõrgus</w:t>
      </w:r>
      <w:proofErr w:type="spellEnd"/>
      <w:r w:rsidRPr="008C4E5F">
        <w:rPr>
          <w:lang w:val="fi-FI"/>
        </w:rPr>
        <w:t>: https://www.just.ee/uuringud</w:t>
      </w:r>
    </w:p>
  </w:footnote>
  <w:footnote w:id="7">
    <w:p w14:paraId="38AEC5FE" w14:textId="77777777" w:rsidR="0038204C" w:rsidRPr="009D4007" w:rsidRDefault="0038204C" w:rsidP="0038204C">
      <w:pPr>
        <w:pStyle w:val="FootnoteText"/>
        <w:rPr>
          <w:lang w:val="et-EE"/>
        </w:rPr>
      </w:pPr>
      <w:r>
        <w:rPr>
          <w:rStyle w:val="FootnoteReference"/>
        </w:rPr>
        <w:footnoteRef/>
      </w:r>
      <w:r w:rsidRPr="008C4E5F">
        <w:rPr>
          <w:lang w:val="fi-FI"/>
        </w:rPr>
        <w:t xml:space="preserve"> </w:t>
      </w:r>
      <w:r>
        <w:rPr>
          <w:lang w:val="et-EE"/>
        </w:rPr>
        <w:t>Kelli jt, lk 18</w:t>
      </w:r>
    </w:p>
  </w:footnote>
  <w:footnote w:id="8">
    <w:p w14:paraId="23EE6B88" w14:textId="77777777" w:rsidR="0038204C" w:rsidRPr="0038095C" w:rsidRDefault="0038204C" w:rsidP="0038204C">
      <w:pPr>
        <w:pStyle w:val="FootnoteText"/>
        <w:rPr>
          <w:lang w:val="et-EE"/>
        </w:rPr>
      </w:pPr>
      <w:r>
        <w:rPr>
          <w:rStyle w:val="FootnoteReference"/>
        </w:rPr>
        <w:footnoteRef/>
      </w:r>
      <w:r w:rsidRPr="008C4E5F">
        <w:rPr>
          <w:lang w:val="fi-FI"/>
        </w:rPr>
        <w:t xml:space="preserve"> </w:t>
      </w:r>
      <w:r>
        <w:rPr>
          <w:lang w:val="et-EE"/>
        </w:rPr>
        <w:t>Kelli jt, lk 18</w:t>
      </w:r>
    </w:p>
  </w:footnote>
  <w:footnote w:id="9">
    <w:p w14:paraId="0C9FF41C" w14:textId="77777777" w:rsidR="0038204C" w:rsidRPr="00B959F7" w:rsidRDefault="0038204C" w:rsidP="0038204C">
      <w:pPr>
        <w:pStyle w:val="FootnoteText"/>
        <w:rPr>
          <w:lang w:val="et-EE"/>
        </w:rPr>
      </w:pPr>
      <w:r>
        <w:rPr>
          <w:rStyle w:val="FootnoteReference"/>
        </w:rPr>
        <w:footnoteRef/>
      </w:r>
      <w:r w:rsidRPr="008C4E5F">
        <w:rPr>
          <w:lang w:val="fi-FI"/>
        </w:rPr>
        <w:t xml:space="preserve"> </w:t>
      </w:r>
      <w:r>
        <w:rPr>
          <w:lang w:val="et-EE"/>
        </w:rPr>
        <w:t>Kelli jt, lk 19</w:t>
      </w:r>
    </w:p>
  </w:footnote>
  <w:footnote w:id="10">
    <w:p w14:paraId="6F649662" w14:textId="77777777" w:rsidR="0038204C" w:rsidRPr="002E3055" w:rsidRDefault="0038204C" w:rsidP="0038204C">
      <w:pPr>
        <w:pStyle w:val="FootnoteText"/>
        <w:rPr>
          <w:lang w:val="et-EE"/>
        </w:rPr>
      </w:pPr>
      <w:r>
        <w:rPr>
          <w:rStyle w:val="FootnoteReference"/>
        </w:rPr>
        <w:footnoteRef/>
      </w:r>
      <w:r w:rsidRPr="002D737E">
        <w:rPr>
          <w:lang w:val="fi-FI"/>
        </w:rPr>
        <w:t xml:space="preserve"> https://ahf.ee/teated/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092E" w14:textId="57F0462C" w:rsidR="00D90757" w:rsidRDefault="00D90757" w:rsidP="00D90757">
    <w:pPr>
      <w:pStyle w:val="Header"/>
      <w:jc w:val="right"/>
    </w:pPr>
  </w:p>
  <w:p w14:paraId="07FB22B1" w14:textId="77777777" w:rsidR="00D90757" w:rsidRDefault="00D90757" w:rsidP="00D90757">
    <w:pPr>
      <w:pStyle w:val="Header"/>
      <w:jc w:val="right"/>
    </w:pPr>
  </w:p>
  <w:p w14:paraId="55B4E4A0" w14:textId="77777777" w:rsidR="00D90757" w:rsidRDefault="00D90757" w:rsidP="00D90757">
    <w:pPr>
      <w:pStyle w:val="Header"/>
      <w:jc w:val="right"/>
    </w:pPr>
  </w:p>
  <w:p w14:paraId="6669F06C" w14:textId="77777777" w:rsidR="00D90757" w:rsidRDefault="00D90757" w:rsidP="00D9075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537D" w14:textId="37C0DBEE" w:rsidR="0038204C" w:rsidRDefault="00126354" w:rsidP="00126354">
    <w:pPr>
      <w:pStyle w:val="Header"/>
      <w:jc w:val="right"/>
    </w:pPr>
    <w:r>
      <w:rPr>
        <w:noProof/>
      </w:rPr>
      <w:drawing>
        <wp:inline distT="0" distB="0" distL="0" distR="0" wp14:anchorId="7CC1FA0C" wp14:editId="38A28E3A">
          <wp:extent cx="1533144" cy="746760"/>
          <wp:effectExtent l="0" t="0" r="0" b="0"/>
          <wp:docPr id="1482758685" name="Picture 1" descr="A picture containing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58685" name="Picture 1" descr="A picture containing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144" cy="746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4FD8"/>
    <w:multiLevelType w:val="hybridMultilevel"/>
    <w:tmpl w:val="C30A11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23F0B74"/>
    <w:multiLevelType w:val="multilevel"/>
    <w:tmpl w:val="58F4FAD8"/>
    <w:lvl w:ilvl="0">
      <w:start w:val="1"/>
      <w:numFmt w:val="decimal"/>
      <w:pStyle w:val="Provision1"/>
      <w:lvlText w:val="%1."/>
      <w:lvlJc w:val="left"/>
      <w:pPr>
        <w:tabs>
          <w:tab w:val="num" w:pos="709"/>
        </w:tabs>
        <w:ind w:left="709" w:hanging="709"/>
      </w:pPr>
      <w:rPr>
        <w:rFonts w:ascii="Calibri Light" w:hAnsi="Calibri Light" w:hint="default"/>
        <w:b/>
        <w:bCs/>
        <w:i w:val="0"/>
        <w:caps w:val="0"/>
        <w:strike w:val="0"/>
        <w:dstrike w:val="0"/>
        <w:vanish w:val="0"/>
        <w:color w:val="auto"/>
        <w:spacing w:val="0"/>
        <w:w w:val="100"/>
        <w:kern w:val="0"/>
        <w:position w:val="0"/>
        <w:sz w:val="22"/>
        <w:u w:val="none"/>
        <w:effect w:val="none"/>
        <w:vertAlign w:val="baseline"/>
      </w:rPr>
    </w:lvl>
    <w:lvl w:ilvl="1">
      <w:start w:val="1"/>
      <w:numFmt w:val="decimal"/>
      <w:pStyle w:val="Provision2"/>
      <w:isLgl/>
      <w:lvlText w:val="%1.%2"/>
      <w:lvlJc w:val="left"/>
      <w:pPr>
        <w:tabs>
          <w:tab w:val="num" w:pos="709"/>
        </w:tabs>
        <w:ind w:left="709" w:hanging="709"/>
      </w:pPr>
      <w:rPr>
        <w:rFonts w:ascii="Calibri Light" w:hAnsi="Calibri Light" w:hint="default"/>
        <w:b w:val="0"/>
        <w:bCs/>
        <w:i w:val="0"/>
        <w:caps w:val="0"/>
        <w:strike w:val="0"/>
        <w:dstrike w:val="0"/>
        <w:vanish w:val="0"/>
        <w:color w:val="auto"/>
        <w:spacing w:val="0"/>
        <w:w w:val="100"/>
        <w:kern w:val="0"/>
        <w:position w:val="0"/>
        <w:sz w:val="22"/>
        <w:szCs w:val="21"/>
        <w:u w:val="none"/>
        <w:effect w:val="none"/>
        <w:vertAlign w:val="baseline"/>
      </w:rPr>
    </w:lvl>
    <w:lvl w:ilvl="2">
      <w:start w:val="1"/>
      <w:numFmt w:val="decimal"/>
      <w:pStyle w:val="Provision3"/>
      <w:isLgl/>
      <w:lvlText w:val="%1.%2.%3"/>
      <w:lvlJc w:val="left"/>
      <w:pPr>
        <w:tabs>
          <w:tab w:val="num" w:pos="1418"/>
        </w:tabs>
        <w:ind w:left="1418" w:hanging="709"/>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3">
      <w:start w:val="1"/>
      <w:numFmt w:val="decimal"/>
      <w:pStyle w:val="Provision4"/>
      <w:lvlText w:val="%1.%2.%3.%4"/>
      <w:lvlJc w:val="left"/>
      <w:pPr>
        <w:tabs>
          <w:tab w:val="num" w:pos="1418"/>
        </w:tabs>
        <w:ind w:left="2126" w:hanging="708"/>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4">
      <w:start w:val="1"/>
      <w:numFmt w:val="lowerRoman"/>
      <w:pStyle w:val="Provision5"/>
      <w:lvlText w:val="(%5)"/>
      <w:lvlJc w:val="left"/>
      <w:pPr>
        <w:tabs>
          <w:tab w:val="num" w:pos="1843"/>
        </w:tabs>
        <w:ind w:left="1843" w:hanging="567"/>
      </w:pPr>
      <w:rPr>
        <w:rFonts w:ascii="Calibri Light" w:hAnsi="Calibri Light" w:cs="Arial" w:hint="default"/>
        <w:b w:val="0"/>
        <w:i w:val="0"/>
        <w:caps w:val="0"/>
        <w:strike w:val="0"/>
        <w:dstrike w:val="0"/>
        <w:vanish w:val="0"/>
        <w:color w:val="auto"/>
        <w:spacing w:val="0"/>
        <w:w w:val="100"/>
        <w:kern w:val="0"/>
        <w:position w:val="0"/>
        <w:sz w:val="22"/>
        <w:szCs w:val="21"/>
        <w:u w:val="none"/>
        <w:effect w:val="none"/>
        <w:vertAlign w:val="baseline"/>
      </w:rPr>
    </w:lvl>
    <w:lvl w:ilvl="5">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none"/>
      <w:lvlText w:val="%8%6"/>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none"/>
      <w:lvlText w:val=""/>
      <w:lvlJc w:val="left"/>
      <w:pPr>
        <w:ind w:left="709" w:hanging="709"/>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num w:numId="1" w16cid:durableId="1601644406">
    <w:abstractNumId w:val="1"/>
  </w:num>
  <w:num w:numId="2" w16cid:durableId="233008948">
    <w:abstractNumId w:val="1"/>
  </w:num>
  <w:num w:numId="3" w16cid:durableId="1481769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57"/>
    <w:rsid w:val="00126354"/>
    <w:rsid w:val="001F2F66"/>
    <w:rsid w:val="00210385"/>
    <w:rsid w:val="002A50EF"/>
    <w:rsid w:val="002D737E"/>
    <w:rsid w:val="0038204C"/>
    <w:rsid w:val="005C2B46"/>
    <w:rsid w:val="00663FA0"/>
    <w:rsid w:val="00675EB4"/>
    <w:rsid w:val="00891FAB"/>
    <w:rsid w:val="009443BD"/>
    <w:rsid w:val="00B04312"/>
    <w:rsid w:val="00C448D8"/>
    <w:rsid w:val="00C468AC"/>
    <w:rsid w:val="00CE08C4"/>
    <w:rsid w:val="00D90757"/>
    <w:rsid w:val="00DE6DAB"/>
    <w:rsid w:val="00F74A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40624"/>
  <w15:chartTrackingRefBased/>
  <w15:docId w15:val="{64B44D65-1527-4110-93FB-D7EF3428A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t-E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757"/>
  </w:style>
  <w:style w:type="paragraph" w:styleId="Heading1">
    <w:name w:val="heading 1"/>
    <w:basedOn w:val="Normal"/>
    <w:next w:val="Normal"/>
    <w:link w:val="Heading1Char"/>
    <w:uiPriority w:val="9"/>
    <w:qFormat/>
    <w:rsid w:val="00D9075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9075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9075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9075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9075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9075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9075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9075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9075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0757"/>
  </w:style>
  <w:style w:type="paragraph" w:styleId="Footer">
    <w:name w:val="footer"/>
    <w:basedOn w:val="Normal"/>
    <w:link w:val="FooterChar"/>
    <w:uiPriority w:val="99"/>
    <w:unhideWhenUsed/>
    <w:rsid w:val="00D907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0757"/>
  </w:style>
  <w:style w:type="character" w:customStyle="1" w:styleId="Heading1Char">
    <w:name w:val="Heading 1 Char"/>
    <w:basedOn w:val="DefaultParagraphFont"/>
    <w:link w:val="Heading1"/>
    <w:uiPriority w:val="9"/>
    <w:rsid w:val="00D907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9075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9075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9075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9075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9075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9075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9075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9075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9075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9075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9075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9075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90757"/>
    <w:rPr>
      <w:rFonts w:asciiTheme="majorHAnsi" w:eastAsiaTheme="majorEastAsia" w:hAnsiTheme="majorHAnsi" w:cstheme="majorBidi"/>
      <w:sz w:val="24"/>
      <w:szCs w:val="24"/>
    </w:rPr>
  </w:style>
  <w:style w:type="character" w:styleId="Strong">
    <w:name w:val="Strong"/>
    <w:basedOn w:val="DefaultParagraphFont"/>
    <w:uiPriority w:val="22"/>
    <w:qFormat/>
    <w:rsid w:val="00D90757"/>
    <w:rPr>
      <w:b/>
      <w:bCs/>
    </w:rPr>
  </w:style>
  <w:style w:type="character" w:styleId="Emphasis">
    <w:name w:val="Emphasis"/>
    <w:basedOn w:val="DefaultParagraphFont"/>
    <w:uiPriority w:val="20"/>
    <w:qFormat/>
    <w:rsid w:val="00D90757"/>
    <w:rPr>
      <w:i/>
      <w:iCs/>
    </w:rPr>
  </w:style>
  <w:style w:type="paragraph" w:styleId="NoSpacing">
    <w:name w:val="No Spacing"/>
    <w:uiPriority w:val="1"/>
    <w:qFormat/>
    <w:rsid w:val="00D90757"/>
    <w:pPr>
      <w:spacing w:after="0" w:line="240" w:lineRule="auto"/>
    </w:pPr>
  </w:style>
  <w:style w:type="paragraph" w:styleId="Quote">
    <w:name w:val="Quote"/>
    <w:basedOn w:val="Normal"/>
    <w:next w:val="Normal"/>
    <w:link w:val="QuoteChar"/>
    <w:uiPriority w:val="29"/>
    <w:qFormat/>
    <w:rsid w:val="00D9075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90757"/>
    <w:rPr>
      <w:i/>
      <w:iCs/>
      <w:color w:val="404040" w:themeColor="text1" w:themeTint="BF"/>
    </w:rPr>
  </w:style>
  <w:style w:type="paragraph" w:styleId="IntenseQuote">
    <w:name w:val="Intense Quote"/>
    <w:basedOn w:val="Normal"/>
    <w:next w:val="Normal"/>
    <w:link w:val="IntenseQuoteChar"/>
    <w:uiPriority w:val="30"/>
    <w:qFormat/>
    <w:rsid w:val="00D9075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075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0757"/>
    <w:rPr>
      <w:i/>
      <w:iCs/>
      <w:color w:val="404040" w:themeColor="text1" w:themeTint="BF"/>
    </w:rPr>
  </w:style>
  <w:style w:type="character" w:styleId="IntenseEmphasis">
    <w:name w:val="Intense Emphasis"/>
    <w:basedOn w:val="DefaultParagraphFont"/>
    <w:uiPriority w:val="21"/>
    <w:qFormat/>
    <w:rsid w:val="00D90757"/>
    <w:rPr>
      <w:b/>
      <w:bCs/>
      <w:i/>
      <w:iCs/>
    </w:rPr>
  </w:style>
  <w:style w:type="character" w:styleId="SubtleReference">
    <w:name w:val="Subtle Reference"/>
    <w:basedOn w:val="DefaultParagraphFont"/>
    <w:uiPriority w:val="31"/>
    <w:qFormat/>
    <w:rsid w:val="00D9075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90757"/>
    <w:rPr>
      <w:b/>
      <w:bCs/>
      <w:smallCaps/>
      <w:spacing w:val="5"/>
      <w:u w:val="single"/>
    </w:rPr>
  </w:style>
  <w:style w:type="character" w:styleId="BookTitle">
    <w:name w:val="Book Title"/>
    <w:basedOn w:val="DefaultParagraphFont"/>
    <w:uiPriority w:val="33"/>
    <w:qFormat/>
    <w:rsid w:val="00D90757"/>
    <w:rPr>
      <w:b/>
      <w:bCs/>
      <w:smallCaps/>
    </w:rPr>
  </w:style>
  <w:style w:type="paragraph" w:styleId="TOCHeading">
    <w:name w:val="TOC Heading"/>
    <w:basedOn w:val="Heading1"/>
    <w:next w:val="Normal"/>
    <w:uiPriority w:val="39"/>
    <w:semiHidden/>
    <w:unhideWhenUsed/>
    <w:qFormat/>
    <w:rsid w:val="00D90757"/>
    <w:pPr>
      <w:outlineLvl w:val="9"/>
    </w:pPr>
  </w:style>
  <w:style w:type="table" w:styleId="TableGrid">
    <w:name w:val="Table Grid"/>
    <w:basedOn w:val="TableNormal"/>
    <w:uiPriority w:val="39"/>
    <w:rsid w:val="0038204C"/>
    <w:pPr>
      <w:spacing w:after="0" w:line="240" w:lineRule="auto"/>
    </w:pPr>
    <w:rPr>
      <w:rFonts w:ascii="Calibri Light" w:eastAsiaTheme="minorHAnsi" w:hAnsi="Calibri Light"/>
      <w:kern w:val="2"/>
      <w:sz w:val="22"/>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8204C"/>
    <w:pPr>
      <w:spacing w:after="0" w:line="240" w:lineRule="auto"/>
      <w:jc w:val="both"/>
    </w:pPr>
    <w:rPr>
      <w:rFonts w:ascii="Calibri Light" w:eastAsiaTheme="minorHAnsi" w:hAnsi="Calibri Light"/>
      <w:kern w:val="2"/>
      <w:lang w:val="en-US"/>
      <w14:ligatures w14:val="standardContextual"/>
    </w:rPr>
  </w:style>
  <w:style w:type="character" w:customStyle="1" w:styleId="FootnoteTextChar">
    <w:name w:val="Footnote Text Char"/>
    <w:basedOn w:val="DefaultParagraphFont"/>
    <w:link w:val="FootnoteText"/>
    <w:uiPriority w:val="99"/>
    <w:semiHidden/>
    <w:rsid w:val="0038204C"/>
    <w:rPr>
      <w:rFonts w:ascii="Calibri Light" w:eastAsiaTheme="minorHAnsi" w:hAnsi="Calibri Light"/>
      <w:kern w:val="2"/>
      <w:lang w:val="en-US"/>
      <w14:ligatures w14:val="standardContextual"/>
    </w:rPr>
  </w:style>
  <w:style w:type="character" w:styleId="FootnoteReference">
    <w:name w:val="footnote reference"/>
    <w:basedOn w:val="DefaultParagraphFont"/>
    <w:uiPriority w:val="99"/>
    <w:semiHidden/>
    <w:unhideWhenUsed/>
    <w:rsid w:val="0038204C"/>
    <w:rPr>
      <w:vertAlign w:val="superscript"/>
    </w:rPr>
  </w:style>
  <w:style w:type="paragraph" w:customStyle="1" w:styleId="Provision1">
    <w:name w:val="Provision (1)"/>
    <w:basedOn w:val="Normal"/>
    <w:rsid w:val="0038204C"/>
    <w:pPr>
      <w:numPr>
        <w:numId w:val="1"/>
      </w:numPr>
      <w:spacing w:after="160" w:line="259" w:lineRule="auto"/>
      <w:jc w:val="both"/>
    </w:pPr>
    <w:rPr>
      <w:rFonts w:ascii="Calibri Light" w:eastAsiaTheme="minorHAnsi" w:hAnsi="Calibri Light"/>
      <w:kern w:val="2"/>
      <w:sz w:val="22"/>
      <w:szCs w:val="22"/>
      <w:lang w:val="en-US"/>
      <w14:ligatures w14:val="standardContextual"/>
    </w:rPr>
  </w:style>
  <w:style w:type="paragraph" w:customStyle="1" w:styleId="Provision2">
    <w:name w:val="Provision (2)"/>
    <w:basedOn w:val="Normal"/>
    <w:rsid w:val="0038204C"/>
    <w:pPr>
      <w:numPr>
        <w:ilvl w:val="1"/>
        <w:numId w:val="1"/>
      </w:numPr>
      <w:spacing w:after="160" w:line="259" w:lineRule="auto"/>
      <w:jc w:val="both"/>
    </w:pPr>
    <w:rPr>
      <w:rFonts w:ascii="Calibri Light" w:eastAsiaTheme="minorHAnsi" w:hAnsi="Calibri Light"/>
      <w:kern w:val="2"/>
      <w:sz w:val="22"/>
      <w:szCs w:val="22"/>
      <w:lang w:val="en-US"/>
      <w14:ligatures w14:val="standardContextual"/>
    </w:rPr>
  </w:style>
  <w:style w:type="paragraph" w:customStyle="1" w:styleId="Provision3">
    <w:name w:val="Provision (3)"/>
    <w:basedOn w:val="Normal"/>
    <w:rsid w:val="0038204C"/>
    <w:pPr>
      <w:numPr>
        <w:ilvl w:val="2"/>
        <w:numId w:val="1"/>
      </w:numPr>
      <w:spacing w:after="160" w:line="259" w:lineRule="auto"/>
      <w:jc w:val="both"/>
    </w:pPr>
    <w:rPr>
      <w:rFonts w:ascii="Calibri Light" w:eastAsiaTheme="minorHAnsi" w:hAnsi="Calibri Light"/>
      <w:kern w:val="2"/>
      <w:sz w:val="22"/>
      <w:szCs w:val="22"/>
      <w:lang w:val="en-US"/>
      <w14:ligatures w14:val="standardContextual"/>
    </w:rPr>
  </w:style>
  <w:style w:type="paragraph" w:customStyle="1" w:styleId="Provision4">
    <w:name w:val="Provision (4)"/>
    <w:basedOn w:val="Normal"/>
    <w:rsid w:val="0038204C"/>
    <w:pPr>
      <w:numPr>
        <w:ilvl w:val="3"/>
        <w:numId w:val="1"/>
      </w:numPr>
      <w:spacing w:after="160" w:line="259" w:lineRule="auto"/>
      <w:jc w:val="both"/>
    </w:pPr>
    <w:rPr>
      <w:rFonts w:ascii="Calibri Light" w:eastAsiaTheme="minorHAnsi" w:hAnsi="Calibri Light"/>
      <w:kern w:val="2"/>
      <w:sz w:val="22"/>
      <w:szCs w:val="22"/>
      <w:lang w:val="en-US"/>
      <w14:ligatures w14:val="standardContextual"/>
    </w:rPr>
  </w:style>
  <w:style w:type="paragraph" w:customStyle="1" w:styleId="Provision5">
    <w:name w:val="Provision (5)"/>
    <w:basedOn w:val="Normal"/>
    <w:rsid w:val="0038204C"/>
    <w:pPr>
      <w:numPr>
        <w:ilvl w:val="4"/>
        <w:numId w:val="1"/>
      </w:numPr>
      <w:spacing w:after="160" w:line="259" w:lineRule="auto"/>
      <w:jc w:val="both"/>
    </w:pPr>
    <w:rPr>
      <w:rFonts w:ascii="Calibri Light" w:eastAsiaTheme="minorHAnsi" w:hAnsi="Calibri Light"/>
      <w:kern w:val="2"/>
      <w:sz w:val="22"/>
      <w:szCs w:val="22"/>
      <w:lang w:val="en-US"/>
      <w14:ligatures w14:val="standardContextual"/>
    </w:rPr>
  </w:style>
  <w:style w:type="character" w:styleId="Hyperlink">
    <w:name w:val="Hyperlink"/>
    <w:basedOn w:val="DefaultParagraphFont"/>
    <w:uiPriority w:val="99"/>
    <w:unhideWhenUsed/>
    <w:rsid w:val="00126354"/>
    <w:rPr>
      <w:color w:val="0563C1" w:themeColor="hyperlink"/>
      <w:u w:val="single"/>
    </w:rPr>
  </w:style>
  <w:style w:type="character" w:styleId="UnresolvedMention">
    <w:name w:val="Unresolved Mention"/>
    <w:basedOn w:val="DefaultParagraphFont"/>
    <w:uiPriority w:val="99"/>
    <w:semiHidden/>
    <w:unhideWhenUsed/>
    <w:rsid w:val="00126354"/>
    <w:rPr>
      <w:color w:val="605E5C"/>
      <w:shd w:val="clear" w:color="auto" w:fill="E1DFDD"/>
    </w:rPr>
  </w:style>
  <w:style w:type="character" w:styleId="CommentReference">
    <w:name w:val="annotation reference"/>
    <w:basedOn w:val="DefaultParagraphFont"/>
    <w:uiPriority w:val="99"/>
    <w:semiHidden/>
    <w:unhideWhenUsed/>
    <w:rsid w:val="00663FA0"/>
    <w:rPr>
      <w:sz w:val="16"/>
      <w:szCs w:val="16"/>
    </w:rPr>
  </w:style>
  <w:style w:type="paragraph" w:styleId="CommentText">
    <w:name w:val="annotation text"/>
    <w:basedOn w:val="Normal"/>
    <w:link w:val="CommentTextChar"/>
    <w:uiPriority w:val="99"/>
    <w:unhideWhenUsed/>
    <w:rsid w:val="00663FA0"/>
    <w:pPr>
      <w:spacing w:line="240" w:lineRule="auto"/>
    </w:pPr>
  </w:style>
  <w:style w:type="character" w:customStyle="1" w:styleId="CommentTextChar">
    <w:name w:val="Comment Text Char"/>
    <w:basedOn w:val="DefaultParagraphFont"/>
    <w:link w:val="CommentText"/>
    <w:uiPriority w:val="99"/>
    <w:rsid w:val="00663FA0"/>
  </w:style>
  <w:style w:type="paragraph" w:styleId="CommentSubject">
    <w:name w:val="annotation subject"/>
    <w:basedOn w:val="CommentText"/>
    <w:next w:val="CommentText"/>
    <w:link w:val="CommentSubjectChar"/>
    <w:uiPriority w:val="99"/>
    <w:semiHidden/>
    <w:unhideWhenUsed/>
    <w:rsid w:val="00663FA0"/>
    <w:rPr>
      <w:b/>
      <w:bCs/>
    </w:rPr>
  </w:style>
  <w:style w:type="character" w:customStyle="1" w:styleId="CommentSubjectChar">
    <w:name w:val="Comment Subject Char"/>
    <w:basedOn w:val="CommentTextChar"/>
    <w:link w:val="CommentSubject"/>
    <w:uiPriority w:val="99"/>
    <w:semiHidden/>
    <w:rsid w:val="00663FA0"/>
    <w:rPr>
      <w:b/>
      <w:bCs/>
    </w:rPr>
  </w:style>
  <w:style w:type="paragraph" w:styleId="Revision">
    <w:name w:val="Revision"/>
    <w:hidden/>
    <w:uiPriority w:val="99"/>
    <w:semiHidden/>
    <w:rsid w:val="00663F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stboo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F8ED-3673-4713-BA2C-5760866B5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1135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 Künnap</dc:creator>
  <cp:keywords/>
  <dc:description/>
  <cp:lastModifiedBy>Ülle Ergma</cp:lastModifiedBy>
  <cp:revision>3</cp:revision>
  <dcterms:created xsi:type="dcterms:W3CDTF">2024-01-26T08:32:00Z</dcterms:created>
  <dcterms:modified xsi:type="dcterms:W3CDTF">2024-01-26T08:48:00Z</dcterms:modified>
</cp:coreProperties>
</file>