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BE26" w14:textId="77777777" w:rsidR="00496A04" w:rsidRDefault="00496A04" w:rsidP="00496A04">
      <w:pPr>
        <w:jc w:val="center"/>
        <w:rPr>
          <w:rFonts w:ascii="Times New Roman" w:hAnsi="Times New Roman" w:cs="Times New Roman"/>
          <w:b/>
          <w:bCs/>
          <w:sz w:val="32"/>
          <w:szCs w:val="32"/>
        </w:rPr>
      </w:pPr>
    </w:p>
    <w:p w14:paraId="23CDE36A" w14:textId="48B58204" w:rsidR="00496A04" w:rsidRPr="00496A04" w:rsidRDefault="00496A04" w:rsidP="00496A04">
      <w:pPr>
        <w:jc w:val="center"/>
        <w:rPr>
          <w:rFonts w:ascii="Times New Roman" w:hAnsi="Times New Roman" w:cs="Times New Roman"/>
          <w:b/>
          <w:bCs/>
          <w:sz w:val="32"/>
          <w:szCs w:val="32"/>
        </w:rPr>
      </w:pPr>
      <w:r w:rsidRPr="00496A04">
        <w:rPr>
          <w:rFonts w:ascii="Times New Roman" w:hAnsi="Times New Roman" w:cs="Times New Roman"/>
          <w:b/>
          <w:bCs/>
          <w:sz w:val="32"/>
          <w:szCs w:val="32"/>
        </w:rPr>
        <w:t xml:space="preserve">Jalaväemiinide kasutamist, varumist, tootmist ja üleandmist keelustava ja nende hävitamist nõudva konventsiooni denonsseerimise seaduse eelnõu </w:t>
      </w:r>
      <w:r>
        <w:rPr>
          <w:rFonts w:ascii="Times New Roman" w:hAnsi="Times New Roman" w:cs="Times New Roman"/>
          <w:b/>
          <w:bCs/>
          <w:sz w:val="32"/>
          <w:szCs w:val="32"/>
        </w:rPr>
        <w:t>s</w:t>
      </w:r>
      <w:r w:rsidRPr="00496A04">
        <w:rPr>
          <w:rFonts w:ascii="Times New Roman" w:hAnsi="Times New Roman" w:cs="Times New Roman"/>
          <w:b/>
          <w:bCs/>
          <w:sz w:val="32"/>
          <w:szCs w:val="32"/>
        </w:rPr>
        <w:t>eletuskiri</w:t>
      </w:r>
    </w:p>
    <w:p w14:paraId="051A1F85" w14:textId="77777777" w:rsidR="00496A04" w:rsidRPr="00496A04" w:rsidRDefault="00496A04" w:rsidP="00496A04">
      <w:pPr>
        <w:jc w:val="both"/>
        <w:rPr>
          <w:rFonts w:ascii="Times New Roman" w:hAnsi="Times New Roman" w:cs="Times New Roman"/>
          <w:b/>
          <w:bCs/>
          <w:sz w:val="24"/>
          <w:szCs w:val="24"/>
        </w:rPr>
      </w:pPr>
    </w:p>
    <w:p w14:paraId="3A598585" w14:textId="7BFF171D" w:rsid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Riigikogu ratifitseeris jalaväemiinide kasutamist, varumist, tootmist ja üleandmist keelustava ja nende hävitamist nõudva Ottawa konventsiooni 2004. aasta märtsis, paar nädalat enne Eesti vastuvõtmist Põhja-Atlandi Lepingu Organisatsiooni täieõiguslikuks liikmeks.</w:t>
      </w:r>
      <w:r w:rsidRPr="00496A04">
        <w:t xml:space="preserve"> </w:t>
      </w:r>
      <w:r>
        <w:rPr>
          <w:rFonts w:ascii="Times New Roman" w:hAnsi="Times New Roman" w:cs="Times New Roman"/>
          <w:bCs/>
          <w:sz w:val="24"/>
          <w:szCs w:val="24"/>
        </w:rPr>
        <w:t xml:space="preserve">Ottawa konventsioon </w:t>
      </w:r>
      <w:r w:rsidRPr="00496A04">
        <w:rPr>
          <w:rFonts w:ascii="Times New Roman" w:hAnsi="Times New Roman" w:cs="Times New Roman"/>
          <w:bCs/>
          <w:sz w:val="24"/>
          <w:szCs w:val="24"/>
        </w:rPr>
        <w:t>jõustu</w:t>
      </w:r>
      <w:r>
        <w:rPr>
          <w:rFonts w:ascii="Times New Roman" w:hAnsi="Times New Roman" w:cs="Times New Roman"/>
          <w:bCs/>
          <w:sz w:val="24"/>
          <w:szCs w:val="24"/>
        </w:rPr>
        <w:t>s</w:t>
      </w:r>
      <w:r w:rsidRPr="00496A04">
        <w:rPr>
          <w:rFonts w:ascii="Times New Roman" w:hAnsi="Times New Roman" w:cs="Times New Roman"/>
          <w:bCs/>
          <w:sz w:val="24"/>
          <w:szCs w:val="24"/>
        </w:rPr>
        <w:t xml:space="preserve"> Eesti Vabariigi suhtes 2004. aasta 1. novembril.</w:t>
      </w:r>
    </w:p>
    <w:p w14:paraId="26280A1A" w14:textId="435027FF"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20. sajandi teise poole sõjalistes konfliktides olid jalaväemiinid paljuski nõrgema osapoole võitlusvahendiks, kes ei saanud endale suuremat tulejõudu ehk pommituslennuväge, lahingukoptereid ning suurtükiväge lubada. Erineva ideoloogilise suunitlusega vastupanuliikumised ja terroriorganisatsioonid kasutasid jalaväemiine laialdaselt valitsusvägede vastases sissitegevuses. Nõrga juhtimise ja puuduliku väljaõppe tõttu pandi miine maha kuidas juhtus, ei koostatud miiniväljade passe ega -kaarte, mistõttu oli pärast lahingutegevuse lõppu neid raske ka leida ning kahjutuks teha. Enamus jalaväemiinide tõttu asetleidnud tsiviilisikute surmajuhtumeid ja vigastusi tulenes miinide ebaprofessionaalsest käsitsemisest miinitõkete rajamisel.</w:t>
      </w:r>
    </w:p>
    <w:p w14:paraId="4CD9E468" w14:textId="1A978EDB"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Sõjapiirkondades tehtud pildid miinisõja tagajärgedest, näiteks </w:t>
      </w:r>
      <w:proofErr w:type="spellStart"/>
      <w:r w:rsidRPr="00496A04">
        <w:rPr>
          <w:rFonts w:ascii="Times New Roman" w:hAnsi="Times New Roman" w:cs="Times New Roman"/>
          <w:bCs/>
          <w:sz w:val="24"/>
          <w:szCs w:val="24"/>
        </w:rPr>
        <w:t>ärarebitud</w:t>
      </w:r>
      <w:proofErr w:type="spellEnd"/>
      <w:r w:rsidRPr="00496A04">
        <w:rPr>
          <w:rFonts w:ascii="Times New Roman" w:hAnsi="Times New Roman" w:cs="Times New Roman"/>
          <w:bCs/>
          <w:sz w:val="24"/>
          <w:szCs w:val="24"/>
        </w:rPr>
        <w:t xml:space="preserve"> jäsemetega lastest, kutsusid esile lääneriikide üldsuse pahameele. Poliitikutelt nõuti otsustavat tegutsemist. Ottawa konventsioon sündis terve põlvkonna rahuvõitlejate visade ja pikaajaliste jõupingutuste tulemusena. Näiteks Briti printsess Diana oli üks neist, kes selle eest aktiivselt seisis. Nad lähtusid õilsast eesmärgist – piirata jalaväemiinide keelustamise abil sõjategevuse ulatust ning koos sellega tsiviilisikute kaotusi ja kannatusi.</w:t>
      </w:r>
    </w:p>
    <w:p w14:paraId="7C8925DF" w14:textId="1AD93A20"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Praktikas ei ole see paraku õnnestunud. Esimese suure tagasilöögi põhjustas tõsiasi, et suurriigid USA, Hiina ja Venemaa ei ühinenud Ottawa konventsiooniga. Ka ei ole võimalik nende riikide puhul täheldada mingit kavatsust seda tulevikus teha. Nad ei soovi oma sõjalist tegevusvabadust piirata. Küll on nende huvides oma </w:t>
      </w:r>
      <w:proofErr w:type="spellStart"/>
      <w:r w:rsidRPr="00496A04">
        <w:rPr>
          <w:rFonts w:ascii="Times New Roman" w:hAnsi="Times New Roman" w:cs="Times New Roman"/>
          <w:bCs/>
          <w:sz w:val="24"/>
          <w:szCs w:val="24"/>
        </w:rPr>
        <w:t>assümeetriliste</w:t>
      </w:r>
      <w:proofErr w:type="spellEnd"/>
      <w:r w:rsidRPr="00496A04">
        <w:rPr>
          <w:rFonts w:ascii="Times New Roman" w:hAnsi="Times New Roman" w:cs="Times New Roman"/>
          <w:bCs/>
          <w:sz w:val="24"/>
          <w:szCs w:val="24"/>
        </w:rPr>
        <w:t xml:space="preserve"> vastaste – sissiliikumiste ja terroriorganisatsioonide – tegevusvabaduse kärpimine. </w:t>
      </w:r>
    </w:p>
    <w:p w14:paraId="00D8E6E8" w14:textId="0610AAD3"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Käesoleva sajandi algusest muutusidki Ottawa konventsiooni jõustumise tõttu standardsed, tehases valmistatud jalaväemiinid sissi- ja terroriorganisatsioonidele raskesti kättesaadavaks. Teoreetiliselt oleks pidanud see nende tegevust oluliselt pärssima, sest tänaseks on Ottawa konventsiooniga liitunud kokku 163 riiki, sealhulgas kõik Euroopa maad peale Venemaa.</w:t>
      </w:r>
    </w:p>
    <w:p w14:paraId="1C1F1292" w14:textId="77777777"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Kahjuks nõnda ei läinud. Standardsete, tehases valmistatud jalaväemiinide asemel hakkasid need rühmitused kõikjal sõjakolletes – Iraagis, Afganistanis, Liibüas, Süürias ning mujal – kasutama üha rohkem isevalmistatud lõhkekehi. Erinevalt standardsetest jalaväemiinidest, mille tehnilised andmed (lõhkeaine kogus, miini kuju ja suurus, initsieerimisviis jms) on teada, on iga isevalmistatud lõhkekeha oma olemuselt ainulaadne. Sissidel või terroristidel on võimalik kogemustest õppida ja valmistada järjest paremaid ning tõhusamaid lõhkekehi ja neid üha efektiivsemalt kasutada. </w:t>
      </w:r>
    </w:p>
    <w:p w14:paraId="10371301" w14:textId="07F24AA0"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lastRenderedPageBreak/>
        <w:t xml:space="preserve">Vähem kui kahe aastakümnega ongi isevalmistatud lõhkekehade valmistamine teinud läbi plahvatusliku arengu. Siit tulenebki teine, kõige olulisem tagasilöök: Ottawa konventsiooni õilis eesmärk – vähendada jalaväemiinide keelustamisega tsiviilisikute kaotusi ning kannatusi sõjas – jäi saavutamata, kuna nende asemele tulid isevalmistatud lõhkekehad. </w:t>
      </w:r>
    </w:p>
    <w:p w14:paraId="66E2DA54" w14:textId="2AD9FE02"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Kolmas tõsine tagasilöök tuleneb Ida-Euroopa julgeolekukeskkonna negatiivsest muutusest. Kui Eesti NATOsse astus ja paljude Euroopa riikide eeskujul Ottawa konventsiooniga liitus, käsitasid alliansi tuumikriigid Venemaad strateegilise partnerina või koguni potentsiaalse liitlasena terrorismivastases sõjas. Tänane olukord on hoopis teine. Gruusia ja Ukraina sõdade kontekstis puudub meil garantii, et Venemaa agressiivne ja ettearvamatu käitumine ei võiks Eestit ohustada.</w:t>
      </w:r>
    </w:p>
    <w:p w14:paraId="27DEBEAE" w14:textId="77777777"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Uues olukorras on Eesti sunnitud tegema kõik endast oleneva, et sõjalist riigikaitset tugevdada. Ka ei saa me endale lubada, et sõja korral võiksid teised, Ottawa konventsiooniga liitumisest hoidunud riigid Eesti territooriumil jalaväemiine kasutada, meie ise aga ei tohiks. Venemaa – Ukraina sõda, kus jalaväemiine kasutavad kõik osapooled (kuigi Ukraina on Ottawa konventsiooniga liitunud), tõestab, et need ei ole oma tähtsust minetanud, olles nüüdisaegse sõjategevuse lahutamatu osa.  </w:t>
      </w:r>
    </w:p>
    <w:p w14:paraId="000CEC07" w14:textId="6200BCC0"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Ka näitab Venemaa – Ukraina sõda, et iga linn ja asula, mis jääb potentsiaalse vaenlase reaktiivlaskeseadeldiste ja suurtükiväe tule ulatusse, langeb halastamatute tsiviilelanikkonda tapvate ja suurt ainelist kahju tekitavate tulelöökide ohvriks. Meil ei õnnestu vältida säärast olukorda Narvas, Sillamäel, Kohtla-Järvel, Võrus ja Põlvas ja tõenäoliselt ka Tartus, küll aga peaksime suutma pidada sõda nõnda, et vähemalt Tallinna, Pärnut ning teisi suuremaid Lääne- ja Kesk-Eesti linnu ei purustaks ega tsiviilelanikkond ei kannaks viiekohalistesse numbritesse küündivaid kaotusi. Selleks tuleb vaenlase edasiliikumine peatada. Ilma tõhusa pioneeritegevuseta, mille väga oluline osa on jalaväemiinide kasutamine, ei ole see võimalik.</w:t>
      </w:r>
    </w:p>
    <w:p w14:paraId="218BE1E4" w14:textId="69183D9E"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Eeltoodud asjaoludest tulenevalt ei ole jalaväemiinide kasutamist, varumist, tootmist ja üleandmist keelustava ja nende hävitamist nõudva Ottawa konventsiooni nõuetest kinnipidamine enam Eesti rahvuslikes huvides. See nõrgendab meie kaitsevõimet.  </w:t>
      </w:r>
    </w:p>
    <w:p w14:paraId="6AFEC937" w14:textId="5155F03C"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Enesekaitsevahendina on jalaväemiin tõhus, odav ning piisava heidutusvõimega. Jalaväemiinid on unikaalsed </w:t>
      </w:r>
      <w:proofErr w:type="spellStart"/>
      <w:r w:rsidRPr="00496A04">
        <w:rPr>
          <w:rFonts w:ascii="Times New Roman" w:hAnsi="Times New Roman" w:cs="Times New Roman"/>
          <w:bCs/>
          <w:sz w:val="24"/>
          <w:szCs w:val="24"/>
        </w:rPr>
        <w:t>võitluvahendid</w:t>
      </w:r>
      <w:proofErr w:type="spellEnd"/>
      <w:r w:rsidRPr="00496A04">
        <w:rPr>
          <w:rFonts w:ascii="Times New Roman" w:hAnsi="Times New Roman" w:cs="Times New Roman"/>
          <w:bCs/>
          <w:sz w:val="24"/>
          <w:szCs w:val="24"/>
        </w:rPr>
        <w:t xml:space="preserve"> ses mõttes, et massilise kasutamise puhul tekitavad need otsestele kaotustele (surnutele ja haavatutele) lisaks veel tõsise psühholoogilise efekti hirmu näol, mida vaenlase sõdurid lahinguväljal liikudes tunneksid. See piiraks oluliselt nende tegevusvabadust ning kompenseeriks osaliselt tulejõu puudujääki, mis meil  paratamatult on. Ühegi teise (alternatiivse) relvasüsteemi abil ei ole võimalik sarnast efekti saavutada.</w:t>
      </w:r>
    </w:p>
    <w:p w14:paraId="27710D73" w14:textId="68EE0982"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Samalaadset efekti on küll võimalik saavutada eelpool kirjeldatud isevalmistatud lõhkekehade massilise kasutamise abil, aga see eeldaks nende valmistamise õpetamist sisuliselt igale ajateenijale, reservväelasele ja kaitseliitlasele ning igapäevaseid praktilisi lõhkamisi lahinglaskmisel. Ühiskonna üldise turvalisuse seisukohast oleks see riskantne. Ka tekitaks see komplikatsioone Eesti rahvusvahelises suhtluses, kutsudes esile tarbetuid etteheiteid ja süüdistusi.</w:t>
      </w:r>
    </w:p>
    <w:p w14:paraId="08AFAD12" w14:textId="0EEFA6A8"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Jalaväemiinide professionaalseks kasutamiseks vajalikke juhtimise-, distsipliini- ja väljaõppe- alaseid eeltingimusi (sealhulgas miiniväljade kaartide ja passide koostamine, miiniväljade tähistamine, tsiviilelanikkonna teavitamine ning miinide kahjutukstegemine pärast lahingutegevuse lõppemist) suudavad kaitsevägi ja Kaitseliit täna täielikult täita. Kuigi inimlikud eksimused on võimalikud, garanteerib see, et sõja korral jalaväemiinide kasutamisega kaasnev kahju Eesti tsiviilelanikkonnale oleks minimaalne ning liitlasvägedele vajalik tegevusvabadus Eesti territooriumil tagatud.  </w:t>
      </w:r>
    </w:p>
    <w:p w14:paraId="53540CE3" w14:textId="751B4391"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Jalaväemiinide kasutamist, varumist, tootmist ja üleandmist keelustav ja nende hävitamist nõudev Ottawa konventsioon oleks mõistlik denonsseerida enne, kui Kaitseväe Peastaap ja kaitseministeerium asuvad planeerima ja teostama Venemaa laiaulatuslikust kallaletungist Ukrainale tulenevaid muudatusi sõjaaja kaitseväe struktuuris, võimearendustes ja väljaõppes, s.t Riigikogu 2022. aasta kevadistungjärgul. See võimaldaks planeerida kaitseväe ja Kaitseliidu edasist arengut, väljaõpet ja lahingutegevust juba ilma Ottawa konventsioonist tulenevate piiranguteta.</w:t>
      </w:r>
    </w:p>
    <w:p w14:paraId="601D1ACA" w14:textId="31FBFB07" w:rsidR="00496A04" w:rsidRP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Seoses Ottawa konventsiooni denonsseerimisega võib Eesti võtta endale ühepoolse kohustuse hoiduda </w:t>
      </w:r>
      <w:proofErr w:type="spellStart"/>
      <w:r w:rsidRPr="00496A04">
        <w:rPr>
          <w:rFonts w:ascii="Times New Roman" w:hAnsi="Times New Roman" w:cs="Times New Roman"/>
          <w:bCs/>
          <w:sz w:val="24"/>
          <w:szCs w:val="24"/>
        </w:rPr>
        <w:t>jalaväemiide</w:t>
      </w:r>
      <w:proofErr w:type="spellEnd"/>
      <w:r w:rsidRPr="00496A04">
        <w:rPr>
          <w:rFonts w:ascii="Times New Roman" w:hAnsi="Times New Roman" w:cs="Times New Roman"/>
          <w:bCs/>
          <w:sz w:val="24"/>
          <w:szCs w:val="24"/>
        </w:rPr>
        <w:t xml:space="preserve"> müümisest või muul viisil teistele riikidele </w:t>
      </w:r>
      <w:proofErr w:type="spellStart"/>
      <w:r w:rsidRPr="00496A04">
        <w:rPr>
          <w:rFonts w:ascii="Times New Roman" w:hAnsi="Times New Roman" w:cs="Times New Roman"/>
          <w:bCs/>
          <w:sz w:val="24"/>
          <w:szCs w:val="24"/>
        </w:rPr>
        <w:t>riikidele</w:t>
      </w:r>
      <w:proofErr w:type="spellEnd"/>
      <w:r w:rsidRPr="00496A04">
        <w:rPr>
          <w:rFonts w:ascii="Times New Roman" w:hAnsi="Times New Roman" w:cs="Times New Roman"/>
          <w:bCs/>
          <w:sz w:val="24"/>
          <w:szCs w:val="24"/>
        </w:rPr>
        <w:t xml:space="preserve"> edasiandmisest ning deklareerida, et ei kasuta jalaväemiine väljaspool oma territooriumi.</w:t>
      </w:r>
    </w:p>
    <w:p w14:paraId="2B71134B" w14:textId="48760D3C" w:rsidR="00496A04" w:rsidRDefault="00496A04" w:rsidP="00496A04">
      <w:pPr>
        <w:jc w:val="both"/>
        <w:rPr>
          <w:rFonts w:ascii="Times New Roman" w:hAnsi="Times New Roman" w:cs="Times New Roman"/>
          <w:bCs/>
          <w:sz w:val="24"/>
          <w:szCs w:val="24"/>
        </w:rPr>
      </w:pPr>
      <w:r w:rsidRPr="00496A04">
        <w:rPr>
          <w:rFonts w:ascii="Times New Roman" w:hAnsi="Times New Roman" w:cs="Times New Roman"/>
          <w:bCs/>
          <w:sz w:val="24"/>
          <w:szCs w:val="24"/>
        </w:rPr>
        <w:t xml:space="preserve">Vastavalt Ottawa konventsiooni artiklile 20  on osalisriigil riikliku suveräänsuse teostamisel õigus konventsioonist väljuda. Väljumisest tuleb teatada kõigile teistele osalisriikidele, </w:t>
      </w:r>
      <w:proofErr w:type="spellStart"/>
      <w:r w:rsidRPr="00496A04">
        <w:rPr>
          <w:rFonts w:ascii="Times New Roman" w:hAnsi="Times New Roman" w:cs="Times New Roman"/>
          <w:bCs/>
          <w:sz w:val="24"/>
          <w:szCs w:val="24"/>
        </w:rPr>
        <w:t>depositaarile</w:t>
      </w:r>
      <w:proofErr w:type="spellEnd"/>
      <w:r w:rsidRPr="00496A04">
        <w:rPr>
          <w:rFonts w:ascii="Times New Roman" w:hAnsi="Times New Roman" w:cs="Times New Roman"/>
          <w:bCs/>
          <w:sz w:val="24"/>
          <w:szCs w:val="24"/>
        </w:rPr>
        <w:t xml:space="preserve"> ja Ühinenud Rahvaste Organisatsiooni Julgeolekunõukogule. Väljumiskirjas peavad täielikult olema ära toodud põhjused, mis tingivad konventsioonist väljumise. Väljumine jõustub kuue kuu möödumisel päevast, mil </w:t>
      </w:r>
      <w:proofErr w:type="spellStart"/>
      <w:r w:rsidRPr="00496A04">
        <w:rPr>
          <w:rFonts w:ascii="Times New Roman" w:hAnsi="Times New Roman" w:cs="Times New Roman"/>
          <w:bCs/>
          <w:sz w:val="24"/>
          <w:szCs w:val="24"/>
        </w:rPr>
        <w:t>depositaar</w:t>
      </w:r>
      <w:proofErr w:type="spellEnd"/>
      <w:r w:rsidRPr="00496A04">
        <w:rPr>
          <w:rFonts w:ascii="Times New Roman" w:hAnsi="Times New Roman" w:cs="Times New Roman"/>
          <w:bCs/>
          <w:sz w:val="24"/>
          <w:szCs w:val="24"/>
        </w:rPr>
        <w:t xml:space="preserve"> on väljumiskirja kätte saanud. Kui nimetatud kuuekuulise ajavahemiku möödumise hetkel on väljuv osalisriik segatud relvakonflikti, ei jõustu väljumine enne relvakonflikti lõppu.</w:t>
      </w:r>
    </w:p>
    <w:p w14:paraId="47C1DDEB" w14:textId="2D0A3EB7" w:rsidR="00496A04" w:rsidRPr="00496A04" w:rsidRDefault="00496A04" w:rsidP="00496A04">
      <w:pPr>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w:t>
      </w:r>
    </w:p>
    <w:p w14:paraId="7FEC5754" w14:textId="438D3FD3" w:rsidR="00496A04" w:rsidRPr="00496A04" w:rsidRDefault="00496A04" w:rsidP="00496A04">
      <w:pPr>
        <w:jc w:val="both"/>
        <w:rPr>
          <w:rFonts w:ascii="Times New Roman" w:hAnsi="Times New Roman" w:cs="Times New Roman"/>
          <w:sz w:val="24"/>
          <w:szCs w:val="24"/>
        </w:rPr>
      </w:pPr>
      <w:r w:rsidRPr="00496A04">
        <w:rPr>
          <w:rFonts w:ascii="Times New Roman" w:hAnsi="Times New Roman" w:cs="Times New Roman"/>
          <w:sz w:val="24"/>
          <w:szCs w:val="24"/>
        </w:rPr>
        <w:t>Esita</w:t>
      </w:r>
      <w:r w:rsidR="00C031E2">
        <w:rPr>
          <w:rFonts w:ascii="Times New Roman" w:hAnsi="Times New Roman" w:cs="Times New Roman"/>
          <w:sz w:val="24"/>
          <w:szCs w:val="24"/>
        </w:rPr>
        <w:t>vad Riigikogu liikmed:</w:t>
      </w:r>
      <w:r w:rsidR="00C031E2">
        <w:rPr>
          <w:rFonts w:ascii="Times New Roman" w:hAnsi="Times New Roman" w:cs="Times New Roman"/>
          <w:sz w:val="24"/>
          <w:szCs w:val="24"/>
        </w:rPr>
        <w:tab/>
      </w:r>
      <w:r w:rsidR="00C031E2">
        <w:rPr>
          <w:rFonts w:ascii="Times New Roman" w:hAnsi="Times New Roman" w:cs="Times New Roman"/>
          <w:sz w:val="24"/>
          <w:szCs w:val="24"/>
        </w:rPr>
        <w:tab/>
      </w:r>
      <w:r w:rsidR="00C031E2">
        <w:rPr>
          <w:rFonts w:ascii="Times New Roman" w:hAnsi="Times New Roman" w:cs="Times New Roman"/>
          <w:sz w:val="24"/>
          <w:szCs w:val="24"/>
        </w:rPr>
        <w:tab/>
      </w:r>
      <w:r w:rsidR="00C031E2">
        <w:rPr>
          <w:rFonts w:ascii="Times New Roman" w:hAnsi="Times New Roman" w:cs="Times New Roman"/>
          <w:sz w:val="24"/>
          <w:szCs w:val="24"/>
        </w:rPr>
        <w:tab/>
      </w:r>
      <w:r w:rsidR="00C031E2">
        <w:rPr>
          <w:rFonts w:ascii="Times New Roman" w:hAnsi="Times New Roman" w:cs="Times New Roman"/>
          <w:sz w:val="24"/>
          <w:szCs w:val="24"/>
        </w:rPr>
        <w:tab/>
      </w:r>
      <w:r w:rsidR="00C031E2">
        <w:rPr>
          <w:rFonts w:ascii="Times New Roman" w:hAnsi="Times New Roman" w:cs="Times New Roman"/>
          <w:sz w:val="24"/>
          <w:szCs w:val="24"/>
        </w:rPr>
        <w:tab/>
      </w:r>
      <w:r w:rsidRPr="00496A04">
        <w:rPr>
          <w:rFonts w:ascii="Times New Roman" w:hAnsi="Times New Roman" w:cs="Times New Roman"/>
          <w:sz w:val="24"/>
          <w:szCs w:val="24"/>
        </w:rPr>
        <w:t>.2022</w:t>
      </w:r>
    </w:p>
    <w:p w14:paraId="3CCEAEF3"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Ants Laaneots</w:t>
      </w:r>
    </w:p>
    <w:p w14:paraId="601A84AE"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Alar Laneman</w:t>
      </w:r>
    </w:p>
    <w:p w14:paraId="7460F055"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 xml:space="preserve">Leo </w:t>
      </w:r>
      <w:proofErr w:type="spellStart"/>
      <w:r w:rsidRPr="00C031E2">
        <w:rPr>
          <w:rFonts w:ascii="Times New Roman" w:hAnsi="Times New Roman" w:cs="Times New Roman"/>
          <w:sz w:val="24"/>
          <w:szCs w:val="24"/>
        </w:rPr>
        <w:t>Kunnas</w:t>
      </w:r>
      <w:proofErr w:type="spellEnd"/>
    </w:p>
    <w:p w14:paraId="45F0E703"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 xml:space="preserve">Kalle </w:t>
      </w:r>
      <w:proofErr w:type="spellStart"/>
      <w:r w:rsidRPr="00C031E2">
        <w:rPr>
          <w:rFonts w:ascii="Times New Roman" w:hAnsi="Times New Roman" w:cs="Times New Roman"/>
          <w:sz w:val="24"/>
          <w:szCs w:val="24"/>
        </w:rPr>
        <w:t>Grünthal</w:t>
      </w:r>
      <w:proofErr w:type="spellEnd"/>
    </w:p>
    <w:p w14:paraId="45DB3AED"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Henn Põlluaas</w:t>
      </w:r>
    </w:p>
    <w:p w14:paraId="067071F7"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Helle-Moonika Helme</w:t>
      </w:r>
    </w:p>
    <w:p w14:paraId="22D0B85F"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Rene Kokk</w:t>
      </w:r>
    </w:p>
    <w:p w14:paraId="3C3DCB5C"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 xml:space="preserve">Riho </w:t>
      </w:r>
      <w:proofErr w:type="spellStart"/>
      <w:r w:rsidRPr="00C031E2">
        <w:rPr>
          <w:rFonts w:ascii="Times New Roman" w:hAnsi="Times New Roman" w:cs="Times New Roman"/>
          <w:sz w:val="24"/>
          <w:szCs w:val="24"/>
        </w:rPr>
        <w:t>Breivel</w:t>
      </w:r>
      <w:proofErr w:type="spellEnd"/>
    </w:p>
    <w:p w14:paraId="29AF60C4"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Merry Aart</w:t>
      </w:r>
    </w:p>
    <w:p w14:paraId="481FF899"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Mart Helme</w:t>
      </w:r>
    </w:p>
    <w:p w14:paraId="0D90E4AB"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Kert Kingo</w:t>
      </w:r>
    </w:p>
    <w:p w14:paraId="0AA13ADB"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Martin Helme</w:t>
      </w:r>
    </w:p>
    <w:p w14:paraId="665BA904"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Uno Kaskpeit</w:t>
      </w:r>
    </w:p>
    <w:p w14:paraId="656FE6E7"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Jaak Valge</w:t>
      </w:r>
    </w:p>
    <w:p w14:paraId="10FA0DB4"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Paul Puustusmaa</w:t>
      </w:r>
    </w:p>
    <w:p w14:paraId="63EC6770"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Peeter Ernits</w:t>
      </w:r>
    </w:p>
    <w:p w14:paraId="7F49249A"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Anti Poolamets</w:t>
      </w:r>
    </w:p>
    <w:p w14:paraId="340E1DE2"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Siim Pohlak</w:t>
      </w:r>
    </w:p>
    <w:p w14:paraId="1C9D3D59" w14:textId="77777777" w:rsidR="00C031E2" w:rsidRPr="00C031E2"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Ruuben Kaalep</w:t>
      </w:r>
    </w:p>
    <w:p w14:paraId="6D2414F4" w14:textId="5747356E" w:rsidR="007D1B10" w:rsidRPr="00496A04" w:rsidRDefault="00C031E2" w:rsidP="00C031E2">
      <w:pPr>
        <w:spacing w:after="0"/>
        <w:jc w:val="both"/>
        <w:rPr>
          <w:rFonts w:ascii="Times New Roman" w:hAnsi="Times New Roman" w:cs="Times New Roman"/>
          <w:sz w:val="24"/>
          <w:szCs w:val="24"/>
        </w:rPr>
      </w:pPr>
      <w:r w:rsidRPr="00C031E2">
        <w:rPr>
          <w:rFonts w:ascii="Times New Roman" w:hAnsi="Times New Roman" w:cs="Times New Roman"/>
          <w:sz w:val="24"/>
          <w:szCs w:val="24"/>
        </w:rPr>
        <w:t>Urmas Reitelmann</w:t>
      </w:r>
    </w:p>
    <w:sectPr w:rsidR="007D1B10" w:rsidRPr="00496A0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38CE" w14:textId="77777777" w:rsidR="006B26FB" w:rsidRDefault="006B26FB" w:rsidP="00496A04">
      <w:pPr>
        <w:spacing w:after="0" w:line="240" w:lineRule="auto"/>
      </w:pPr>
      <w:r>
        <w:separator/>
      </w:r>
    </w:p>
  </w:endnote>
  <w:endnote w:type="continuationSeparator" w:id="0">
    <w:p w14:paraId="42D40909" w14:textId="77777777" w:rsidR="006B26FB" w:rsidRDefault="006B26FB" w:rsidP="0049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338257"/>
      <w:docPartObj>
        <w:docPartGallery w:val="Page Numbers (Bottom of Page)"/>
        <w:docPartUnique/>
      </w:docPartObj>
    </w:sdtPr>
    <w:sdtEndPr/>
    <w:sdtContent>
      <w:p w14:paraId="2A697521" w14:textId="0840CF33" w:rsidR="00496A04" w:rsidRDefault="00496A04">
        <w:pPr>
          <w:pStyle w:val="Jalus"/>
          <w:jc w:val="center"/>
        </w:pPr>
        <w:r>
          <w:fldChar w:fldCharType="begin"/>
        </w:r>
        <w:r>
          <w:instrText>PAGE   \* MERGEFORMAT</w:instrText>
        </w:r>
        <w:r>
          <w:fldChar w:fldCharType="separate"/>
        </w:r>
        <w:r>
          <w:t>2</w:t>
        </w:r>
        <w:r>
          <w:fldChar w:fldCharType="end"/>
        </w:r>
      </w:p>
    </w:sdtContent>
  </w:sdt>
  <w:p w14:paraId="328979B1" w14:textId="77777777" w:rsidR="00496A04" w:rsidRDefault="00496A0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6FA7" w14:textId="77777777" w:rsidR="006B26FB" w:rsidRDefault="006B26FB" w:rsidP="00496A04">
      <w:pPr>
        <w:spacing w:after="0" w:line="240" w:lineRule="auto"/>
      </w:pPr>
      <w:r>
        <w:separator/>
      </w:r>
    </w:p>
  </w:footnote>
  <w:footnote w:type="continuationSeparator" w:id="0">
    <w:p w14:paraId="62031F7B" w14:textId="77777777" w:rsidR="006B26FB" w:rsidRDefault="006B26FB" w:rsidP="00496A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A04"/>
    <w:rsid w:val="0016279A"/>
    <w:rsid w:val="003A2147"/>
    <w:rsid w:val="00496A04"/>
    <w:rsid w:val="006B26FB"/>
    <w:rsid w:val="007D1B10"/>
    <w:rsid w:val="00C031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2C317"/>
  <w15:chartTrackingRefBased/>
  <w15:docId w15:val="{5FC80594-6208-45D3-8E89-AF04039E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496A04"/>
    <w:pPr>
      <w:tabs>
        <w:tab w:val="center" w:pos="4536"/>
        <w:tab w:val="right" w:pos="9072"/>
      </w:tabs>
      <w:spacing w:after="0" w:line="240" w:lineRule="auto"/>
    </w:pPr>
  </w:style>
  <w:style w:type="character" w:customStyle="1" w:styleId="PisMrk">
    <w:name w:val="Päis Märk"/>
    <w:basedOn w:val="Liguvaikefont"/>
    <w:link w:val="Pis"/>
    <w:uiPriority w:val="99"/>
    <w:rsid w:val="00496A04"/>
  </w:style>
  <w:style w:type="paragraph" w:styleId="Jalus">
    <w:name w:val="footer"/>
    <w:basedOn w:val="Normaallaad"/>
    <w:link w:val="JalusMrk"/>
    <w:uiPriority w:val="99"/>
    <w:unhideWhenUsed/>
    <w:rsid w:val="00496A04"/>
    <w:pPr>
      <w:tabs>
        <w:tab w:val="center" w:pos="4536"/>
        <w:tab w:val="right" w:pos="9072"/>
      </w:tabs>
      <w:spacing w:after="0" w:line="240" w:lineRule="auto"/>
    </w:pPr>
  </w:style>
  <w:style w:type="character" w:customStyle="1" w:styleId="JalusMrk">
    <w:name w:val="Jalus Märk"/>
    <w:basedOn w:val="Liguvaikefont"/>
    <w:link w:val="Jalus"/>
    <w:uiPriority w:val="99"/>
    <w:rsid w:val="0049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1293</Words>
  <Characters>7506</Characters>
  <Application>Microsoft Office Word</Application>
  <DocSecurity>0</DocSecurity>
  <Lines>62</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 Engel</dc:creator>
  <cp:keywords/>
  <dc:description/>
  <cp:lastModifiedBy>Raina Liiv</cp:lastModifiedBy>
  <cp:revision>3</cp:revision>
  <dcterms:created xsi:type="dcterms:W3CDTF">2022-10-18T07:46:00Z</dcterms:created>
  <dcterms:modified xsi:type="dcterms:W3CDTF">2022-10-18T08:01:00Z</dcterms:modified>
</cp:coreProperties>
</file>