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9A82" w14:textId="2F31FB31" w:rsidR="00693D8F" w:rsidRPr="00B80E2B" w:rsidRDefault="005612C2" w:rsidP="00693D8F">
      <w:pPr>
        <w:spacing w:line="360" w:lineRule="auto"/>
        <w:rPr>
          <w:rFonts w:asciiTheme="minorHAnsi" w:eastAsia="Calibri" w:hAnsiTheme="minorHAnsi" w:cstheme="minorHAnsi"/>
          <w:b/>
        </w:rPr>
      </w:pPr>
      <w:r w:rsidRPr="00B80E2B">
        <w:rPr>
          <w:rFonts w:asciiTheme="minorHAnsi" w:eastAsia="Calibri" w:hAnsiTheme="minorHAnsi" w:cstheme="minorHAnsi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71ADCB81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szCs w:val="24"/>
        </w:rPr>
      </w:pPr>
    </w:p>
    <w:p w14:paraId="33650B87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80E2B">
        <w:rPr>
          <w:rFonts w:asciiTheme="minorHAnsi" w:hAnsiTheme="minorHAnsi" w:cstheme="minorHAnsi"/>
          <w:b/>
          <w:szCs w:val="24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693D8F" w:rsidRPr="00B80E2B" w14:paraId="6F212EF0" w14:textId="77777777" w:rsidTr="004A5EFC">
        <w:tc>
          <w:tcPr>
            <w:tcW w:w="2635" w:type="dxa"/>
          </w:tcPr>
          <w:p w14:paraId="4677FC34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Projekti nimi</w:t>
            </w:r>
          </w:p>
          <w:p w14:paraId="04133FA5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27" w:type="dxa"/>
          </w:tcPr>
          <w:p w14:paraId="717D4DDE" w14:textId="0560EF5C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Eesti filmi- ja teleauhinnad 202</w:t>
            </w:r>
            <w:r w:rsidR="003C03C7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693D8F" w:rsidRPr="00B80E2B" w14:paraId="19D98323" w14:textId="77777777" w:rsidTr="004A5EFC">
        <w:tc>
          <w:tcPr>
            <w:tcW w:w="2635" w:type="dxa"/>
          </w:tcPr>
          <w:p w14:paraId="67129F9A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Organisatsiooni nimi</w:t>
            </w:r>
          </w:p>
          <w:p w14:paraId="5081BEDF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27" w:type="dxa"/>
          </w:tcPr>
          <w:p w14:paraId="1C844861" w14:textId="7F7A777B" w:rsidR="00693D8F" w:rsidRPr="00B80E2B" w:rsidRDefault="003C03C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14:ligatures w14:val="standardContextual"/>
              </w:rPr>
              <w:t xml:space="preserve">ID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14:ligatures w14:val="standardContextual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14:ligatures w14:val="standardContextual"/>
              </w:rPr>
              <w:t xml:space="preserve"> OÜ</w:t>
            </w:r>
          </w:p>
        </w:tc>
      </w:tr>
      <w:tr w:rsidR="00693D8F" w:rsidRPr="00B80E2B" w14:paraId="7FF75D7E" w14:textId="77777777" w:rsidTr="004A5EFC">
        <w:tc>
          <w:tcPr>
            <w:tcW w:w="2635" w:type="dxa"/>
          </w:tcPr>
          <w:p w14:paraId="48889DA5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Avalduse alusel saadud summa</w:t>
            </w:r>
          </w:p>
        </w:tc>
        <w:tc>
          <w:tcPr>
            <w:tcW w:w="6427" w:type="dxa"/>
          </w:tcPr>
          <w:p w14:paraId="3C14AB2B" w14:textId="1251C9CB" w:rsidR="00693D8F" w:rsidRPr="00B80E2B" w:rsidRDefault="003C03C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</w:tr>
    </w:tbl>
    <w:p w14:paraId="4FCAB8E9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24B284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80E2B">
        <w:rPr>
          <w:rFonts w:asciiTheme="minorHAnsi" w:hAnsiTheme="minorHAnsi" w:cstheme="minorHAnsi"/>
          <w:b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:rsidRPr="00B80E2B" w14:paraId="6FFD45A2" w14:textId="77777777" w:rsidTr="004A5EFC">
        <w:tc>
          <w:tcPr>
            <w:tcW w:w="3256" w:type="dxa"/>
          </w:tcPr>
          <w:p w14:paraId="2DE12CB3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58818F1B" w:rsidR="00693D8F" w:rsidRPr="00370049" w:rsidRDefault="003C03C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Ken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Matsalu</w:t>
            </w:r>
          </w:p>
        </w:tc>
      </w:tr>
      <w:tr w:rsidR="00693D8F" w:rsidRPr="00B80E2B" w14:paraId="7BCE9DA2" w14:textId="77777777" w:rsidTr="004A5EFC">
        <w:tc>
          <w:tcPr>
            <w:tcW w:w="3256" w:type="dxa"/>
          </w:tcPr>
          <w:p w14:paraId="62654A6A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5B2E55C5" w:rsidR="00693D8F" w:rsidRPr="00370049" w:rsidRDefault="003C03C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58146226</w:t>
            </w:r>
          </w:p>
        </w:tc>
      </w:tr>
      <w:tr w:rsidR="00693D8F" w:rsidRPr="00B80E2B" w14:paraId="574CE83B" w14:textId="77777777" w:rsidTr="004A5EFC">
        <w:tc>
          <w:tcPr>
            <w:tcW w:w="3256" w:type="dxa"/>
          </w:tcPr>
          <w:p w14:paraId="408248DC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54A74E86" w:rsidR="00693D8F" w:rsidRPr="00370049" w:rsidRDefault="003C03C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hyperlink r:id="rId5" w:history="1">
              <w:r w:rsidRPr="006E32E1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Pr="006E32E1">
                <w:rPr>
                  <w:rStyle w:val="Hyperlink"/>
                </w:rPr>
                <w:t>en@idp.ee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370049" w:rsidRPr="0037004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8A8D8E9" w14:textId="558B8945" w:rsidR="00693D8F" w:rsidRPr="00B80E2B" w:rsidRDefault="00693D8F" w:rsidP="00693D8F">
      <w:pPr>
        <w:rPr>
          <w:rFonts w:asciiTheme="minorHAnsi" w:hAnsiTheme="minorHAnsi" w:cstheme="minorHAnsi"/>
          <w:b/>
          <w:szCs w:val="24"/>
        </w:rPr>
      </w:pPr>
    </w:p>
    <w:p w14:paraId="20961A52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80E2B">
        <w:rPr>
          <w:rFonts w:asciiTheme="minorHAnsi" w:hAnsiTheme="minorHAnsi" w:cstheme="minorHAnsi"/>
          <w:b/>
          <w:szCs w:val="24"/>
        </w:rPr>
        <w:t>PROJEKT</w:t>
      </w:r>
    </w:p>
    <w:p w14:paraId="397C6DB1" w14:textId="2D89D66E" w:rsidR="00693D8F" w:rsidRPr="00B80E2B" w:rsidRDefault="00693D8F" w:rsidP="00693D8F">
      <w:pPr>
        <w:spacing w:line="240" w:lineRule="auto"/>
        <w:rPr>
          <w:rFonts w:asciiTheme="minorHAnsi" w:hAnsiTheme="minorHAnsi" w:cstheme="minorHAnsi"/>
          <w:i/>
          <w:iCs/>
          <w:szCs w:val="24"/>
        </w:rPr>
      </w:pPr>
      <w:r w:rsidRPr="00B80E2B">
        <w:rPr>
          <w:rFonts w:asciiTheme="minorHAnsi" w:hAnsiTheme="minorHAnsi" w:cstheme="minorHAnsi"/>
          <w:szCs w:val="24"/>
        </w:rPr>
        <w:t>Projekti toimumise aeg</w:t>
      </w:r>
      <w:r w:rsidR="00EF7190">
        <w:rPr>
          <w:rFonts w:asciiTheme="minorHAnsi" w:hAnsiTheme="minorHAnsi" w:cstheme="minorHAnsi"/>
          <w:szCs w:val="24"/>
        </w:rPr>
        <w:t>: 12. aprill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:rsidRPr="00B80E2B" w14:paraId="4C51F3AB" w14:textId="77777777" w:rsidTr="004A5EFC">
        <w:tc>
          <w:tcPr>
            <w:tcW w:w="9062" w:type="dxa"/>
          </w:tcPr>
          <w:p w14:paraId="200C4541" w14:textId="77777777" w:rsidR="00DE17B5" w:rsidRPr="00707729" w:rsidRDefault="00DE17B5" w:rsidP="00DE17B5">
            <w:pPr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 xml:space="preserve">EFTA konkursi ja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planeerimise protsess on kolme tsükliline. </w:t>
            </w:r>
          </w:p>
          <w:p w14:paraId="11C9896F" w14:textId="77777777" w:rsidR="00DE17B5" w:rsidRPr="00707729" w:rsidRDefault="00DE17B5" w:rsidP="00DE17B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</w:t>
            </w:r>
            <w:r w:rsidRPr="00707729">
              <w:rPr>
                <w:rFonts w:asciiTheme="minorHAnsi" w:hAnsiTheme="minorHAnsi" w:cstheme="minorHAnsi"/>
                <w:szCs w:val="24"/>
              </w:rPr>
              <w:t xml:space="preserve">iliskevad-suve algus pannakse paika järgmise aasta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toimumise aeg, koht ja televisiooni otseülekande kanal.</w:t>
            </w:r>
          </w:p>
          <w:p w14:paraId="7BAA315A" w14:textId="77777777" w:rsidR="00DE17B5" w:rsidRPr="00707729" w:rsidRDefault="00DE17B5" w:rsidP="00DE17B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 xml:space="preserve">Sügis/talve esimene pool pannakse paika statuudid, tehakse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ettevalmistusi ning otsitakse toetajaid</w:t>
            </w:r>
          </w:p>
          <w:p w14:paraId="4B343538" w14:textId="77777777" w:rsidR="00DE17B5" w:rsidRPr="00707729" w:rsidRDefault="00DE17B5" w:rsidP="00DE17B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-a</w:t>
            </w:r>
            <w:r w:rsidRPr="00707729">
              <w:rPr>
                <w:rFonts w:asciiTheme="minorHAnsi" w:hAnsiTheme="minorHAnsi" w:cstheme="minorHAnsi"/>
                <w:szCs w:val="24"/>
              </w:rPr>
              <w:t>asta algus/kevad on kõige aktiivsem periood</w:t>
            </w:r>
          </w:p>
          <w:p w14:paraId="2CEA71FF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>tööde esitamine</w:t>
            </w:r>
          </w:p>
          <w:p w14:paraId="39241682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>žüriikoosseisude komplekteerimine ning žürii</w:t>
            </w:r>
            <w:r>
              <w:rPr>
                <w:rFonts w:asciiTheme="minorHAnsi" w:hAnsiTheme="minorHAnsi" w:cstheme="minorHAnsi"/>
                <w:szCs w:val="24"/>
              </w:rPr>
              <w:t>de</w:t>
            </w:r>
            <w:r w:rsidRPr="00707729">
              <w:rPr>
                <w:rFonts w:asciiTheme="minorHAnsi" w:hAnsiTheme="minorHAnsi" w:cstheme="minorHAnsi"/>
                <w:szCs w:val="24"/>
              </w:rPr>
              <w:t xml:space="preserve"> töö</w:t>
            </w:r>
          </w:p>
          <w:p w14:paraId="38804F05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 xml:space="preserve">projekti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rahastuse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taotlused</w:t>
            </w:r>
          </w:p>
          <w:p w14:paraId="2D644BD5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 xml:space="preserve">PR kampaania sh.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nominentide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pressikonverents</w:t>
            </w:r>
          </w:p>
          <w:p w14:paraId="7BBDFC1F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galaürituse</w:t>
            </w:r>
            <w:proofErr w:type="spellEnd"/>
            <w:r w:rsidRPr="00707729">
              <w:rPr>
                <w:rFonts w:asciiTheme="minorHAnsi" w:hAnsiTheme="minorHAnsi" w:cstheme="minorHAnsi"/>
                <w:szCs w:val="24"/>
              </w:rPr>
              <w:t xml:space="preserve"> korraldamine</w:t>
            </w:r>
          </w:p>
          <w:p w14:paraId="427E37FC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>teleülekande planeerimine</w:t>
            </w:r>
          </w:p>
          <w:p w14:paraId="7F3688CC" w14:textId="77777777" w:rsidR="00DE17B5" w:rsidRPr="00707729" w:rsidRDefault="00DE17B5" w:rsidP="00DE17B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707729">
              <w:rPr>
                <w:rFonts w:asciiTheme="minorHAnsi" w:hAnsiTheme="minorHAnsi" w:cstheme="minorHAnsi"/>
                <w:szCs w:val="24"/>
              </w:rPr>
              <w:t xml:space="preserve">12. aprill </w:t>
            </w:r>
            <w:proofErr w:type="spellStart"/>
            <w:r w:rsidRPr="00707729"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</w:p>
          <w:p w14:paraId="22A26D90" w14:textId="72F4638D" w:rsidR="00693D8F" w:rsidRPr="00DE17B5" w:rsidRDefault="00DE17B5" w:rsidP="00DE17B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17B5">
              <w:rPr>
                <w:rFonts w:asciiTheme="minorHAnsi" w:hAnsiTheme="minorHAnsi" w:cstheme="minorHAnsi"/>
                <w:szCs w:val="24"/>
              </w:rPr>
              <w:t>kokkuvõtted ja aruanded</w:t>
            </w:r>
          </w:p>
        </w:tc>
      </w:tr>
    </w:tbl>
    <w:p w14:paraId="7EFDD676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szCs w:val="24"/>
        </w:rPr>
      </w:pPr>
    </w:p>
    <w:p w14:paraId="6B1969EC" w14:textId="77777777" w:rsidR="00693D8F" w:rsidRPr="00B80E2B" w:rsidRDefault="00693D8F" w:rsidP="00693D8F">
      <w:pPr>
        <w:spacing w:line="240" w:lineRule="auto"/>
        <w:rPr>
          <w:rFonts w:asciiTheme="minorHAnsi" w:hAnsiTheme="minorHAnsi" w:cstheme="minorHAnsi"/>
          <w:szCs w:val="24"/>
        </w:rPr>
      </w:pPr>
      <w:r w:rsidRPr="00B80E2B">
        <w:rPr>
          <w:rFonts w:asciiTheme="minorHAnsi" w:hAnsiTheme="minorHAnsi" w:cstheme="minorHAnsi"/>
          <w:szCs w:val="24"/>
        </w:rPr>
        <w:t>Projekti toimumise lühikokkuvõte ja saavutatud 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:rsidRPr="00B80E2B" w14:paraId="1ED6095E" w14:textId="77777777" w:rsidTr="004A5EFC">
        <w:tc>
          <w:tcPr>
            <w:tcW w:w="9062" w:type="dxa"/>
          </w:tcPr>
          <w:p w14:paraId="0AD3DAE3" w14:textId="6F7B7C64" w:rsidR="00010D1E" w:rsidRDefault="00010D1E" w:rsidP="00010D1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707729">
              <w:rPr>
                <w:rFonts w:asciiTheme="minorHAnsi" w:hAnsiTheme="minorHAnsi" w:cstheme="minorHAnsi"/>
                <w:sz w:val="23"/>
                <w:szCs w:val="23"/>
              </w:rPr>
              <w:t xml:space="preserve">„Eesti filmi- ja teleauhinnad 2024“ on autorite ning nende teoste konkurss, mille kulminatsiooniks on valdkonda populariseeriv </w:t>
            </w:r>
            <w:proofErr w:type="spellStart"/>
            <w:r w:rsidRPr="00707729">
              <w:rPr>
                <w:rFonts w:asciiTheme="minorHAnsi" w:hAnsiTheme="minorHAnsi" w:cstheme="minorHAnsi"/>
                <w:sz w:val="23"/>
                <w:szCs w:val="23"/>
              </w:rPr>
              <w:t>auhinnagala</w:t>
            </w:r>
            <w:proofErr w:type="spellEnd"/>
            <w:r w:rsidRPr="00707729">
              <w:rPr>
                <w:rFonts w:asciiTheme="minorHAnsi" w:hAnsiTheme="minorHAnsi" w:cstheme="minorHAnsi"/>
                <w:sz w:val="23"/>
                <w:szCs w:val="23"/>
              </w:rPr>
              <w:t xml:space="preserve"> üleriigilises telekanalis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</w:p>
          <w:p w14:paraId="6F6007EE" w14:textId="3F6723BF" w:rsidR="00010D1E" w:rsidRDefault="00010D1E" w:rsidP="00010D1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Kaheksas EFTA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gala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toimus 12. aprill Alexela kontserdimajas, mida kandis üle ETV.</w:t>
            </w:r>
          </w:p>
          <w:p w14:paraId="72D3317F" w14:textId="2B1ED08C" w:rsidR="00010D1E" w:rsidRDefault="00010D1E" w:rsidP="00010D1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83344A1" w14:textId="4B49610D" w:rsidR="00010D1E" w:rsidRDefault="00010D1E" w:rsidP="00010D1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Auhindu jagati 31 kategoorias:</w:t>
            </w: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4673"/>
              <w:gridCol w:w="4394"/>
            </w:tblGrid>
            <w:tr w:rsidR="00010D1E" w:rsidRPr="00707729" w14:paraId="15E65A8A" w14:textId="77777777" w:rsidTr="007E5CA2">
              <w:trPr>
                <w:trHeight w:val="1859"/>
              </w:trPr>
              <w:tc>
                <w:tcPr>
                  <w:tcW w:w="4673" w:type="dxa"/>
                </w:tcPr>
                <w:p w14:paraId="4891DBA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1) parim režissöör </w:t>
                  </w:r>
                </w:p>
                <w:p w14:paraId="1EA5030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2) parim stsenarist </w:t>
                  </w:r>
                </w:p>
                <w:p w14:paraId="3B728142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3) parim operaator</w:t>
                  </w:r>
                </w:p>
                <w:p w14:paraId="32D586A9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4) parim monteerija </w:t>
                  </w:r>
                </w:p>
                <w:p w14:paraId="449BD863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5) parim helirežissöör</w:t>
                  </w:r>
                </w:p>
                <w:p w14:paraId="29C92363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6) parim helilooja </w:t>
                  </w:r>
                </w:p>
                <w:p w14:paraId="245F4324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7) parim kunstnik </w:t>
                  </w:r>
                </w:p>
                <w:p w14:paraId="759F7C10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8) parim </w:t>
                  </w:r>
                  <w:proofErr w:type="spellStart"/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kostüümikunstnik</w:t>
                  </w:r>
                  <w:proofErr w:type="spellEnd"/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</w:p>
                <w:p w14:paraId="026776AA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9) parim grimeerija </w:t>
                  </w:r>
                </w:p>
                <w:p w14:paraId="56400D2E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10) parim naisnäitleja </w:t>
                  </w:r>
                </w:p>
                <w:p w14:paraId="72468B1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11) parim meesnäitleja </w:t>
                  </w:r>
                </w:p>
                <w:p w14:paraId="17538325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12) elutöö preemia või aasta tegija</w:t>
                  </w:r>
                </w:p>
                <w:p w14:paraId="79DAF17D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13) parim mängufilm</w:t>
                  </w:r>
                </w:p>
                <w:p w14:paraId="5F6F3A73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14) parim dokumentaalfilm</w:t>
                  </w:r>
                </w:p>
                <w:p w14:paraId="4922394D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15) parim animafilm</w:t>
                  </w:r>
                </w:p>
                <w:p w14:paraId="40FD0B8D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16) parim </w:t>
                  </w:r>
                  <w:proofErr w:type="spellStart"/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lühifilm</w:t>
                  </w:r>
                  <w:proofErr w:type="spellEnd"/>
                </w:p>
                <w:p w14:paraId="46B0EC20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4394" w:type="dxa"/>
                </w:tcPr>
                <w:p w14:paraId="0C5F618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1) parim telerežissöör</w:t>
                  </w:r>
                </w:p>
                <w:p w14:paraId="422DC3C6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2) parim saatejuht</w:t>
                  </w:r>
                </w:p>
                <w:p w14:paraId="70BC5832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3) parim naisnäitleja sarjas</w:t>
                  </w:r>
                </w:p>
                <w:p w14:paraId="04906B22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4) parim meesnäitleja sarjas</w:t>
                  </w:r>
                </w:p>
                <w:p w14:paraId="336A994C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5) aasta uus tulija</w:t>
                  </w:r>
                </w:p>
                <w:p w14:paraId="1B87B6F4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6) aasta sisulooja</w:t>
                  </w:r>
                </w:p>
                <w:p w14:paraId="408266E9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7) parim teleseriaal</w:t>
                  </w:r>
                </w:p>
                <w:p w14:paraId="65B2E24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8) parim tõsielusaade</w:t>
                  </w:r>
                </w:p>
                <w:p w14:paraId="1AA0356F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9) parim päevakajasaade</w:t>
                  </w:r>
                </w:p>
                <w:p w14:paraId="0F2EA32B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10) parim meelelahutussaade</w:t>
                  </w:r>
                </w:p>
                <w:p w14:paraId="0B3652CF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11) parim erisaade</w:t>
                  </w:r>
                </w:p>
                <w:p w14:paraId="3E138CCA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12) aasta vormilooja</w:t>
                  </w:r>
                </w:p>
                <w:p w14:paraId="0F0D0710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13) parim toimetaja</w:t>
                  </w:r>
                </w:p>
                <w:p w14:paraId="01D4B6F3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>14) parim teleajakirjanik</w:t>
                  </w:r>
                </w:p>
                <w:p w14:paraId="587B3C5A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07729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15) panus Eesti televaldkonda </w:t>
                  </w:r>
                </w:p>
                <w:p w14:paraId="0AC72BC2" w14:textId="77777777" w:rsidR="00010D1E" w:rsidRPr="00707729" w:rsidRDefault="00010D1E" w:rsidP="00010D1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</w:tbl>
          <w:p w14:paraId="412C284A" w14:textId="77777777" w:rsidR="00010D1E" w:rsidRPr="00707729" w:rsidRDefault="00010D1E" w:rsidP="00010D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61275A6" w14:textId="0D645901" w:rsidR="00010D1E" w:rsidRPr="00707729" w:rsidRDefault="00010D1E" w:rsidP="00010D1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707729">
              <w:rPr>
                <w:rFonts w:asciiTheme="minorHAnsi" w:hAnsiTheme="minorHAnsi" w:cstheme="minorHAnsi"/>
                <w:sz w:val="23"/>
                <w:szCs w:val="23"/>
              </w:rPr>
              <w:t xml:space="preserve">Läbi </w:t>
            </w:r>
            <w:proofErr w:type="spellStart"/>
            <w:r w:rsidRPr="00707729">
              <w:rPr>
                <w:rFonts w:asciiTheme="minorHAnsi" w:hAnsiTheme="minorHAnsi" w:cstheme="minorHAnsi"/>
                <w:sz w:val="23"/>
                <w:szCs w:val="23"/>
              </w:rPr>
              <w:t>nominentide</w:t>
            </w:r>
            <w:proofErr w:type="spellEnd"/>
            <w:r w:rsidRPr="0070772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tutvustamise tõime meedias </w:t>
            </w:r>
            <w:r w:rsidRPr="00707729">
              <w:rPr>
                <w:rFonts w:asciiTheme="minorHAnsi" w:hAnsiTheme="minorHAnsi" w:cstheme="minorHAnsi"/>
                <w:sz w:val="23"/>
                <w:szCs w:val="23"/>
              </w:rPr>
              <w:t>esile 120 erinevat Eesti autorit ja teost.</w:t>
            </w:r>
          </w:p>
          <w:p w14:paraId="3469ED20" w14:textId="77777777" w:rsidR="00010D1E" w:rsidRPr="00B46967" w:rsidRDefault="00010D1E" w:rsidP="008D2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2F721F1" w14:textId="1E6BAB8A" w:rsidR="008D2427" w:rsidRPr="00B46967" w:rsidRDefault="00B80E2B" w:rsidP="00B469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>žürii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protsessi</w:t>
            </w:r>
            <w:r w:rsidR="00010D1E" w:rsidRPr="00B46967">
              <w:rPr>
                <w:rFonts w:asciiTheme="minorHAnsi" w:hAnsiTheme="minorHAnsi" w:cstheme="minorHAnsi"/>
                <w:szCs w:val="24"/>
              </w:rPr>
              <w:t xml:space="preserve">s saime taaskord 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kaasata veelgi rohkem eriala inimesi. </w:t>
            </w:r>
            <w:r w:rsidR="00010D1E" w:rsidRPr="00B46967">
              <w:rPr>
                <w:rFonts w:asciiTheme="minorHAnsi" w:hAnsiTheme="minorHAnsi" w:cstheme="minorHAnsi"/>
                <w:szCs w:val="24"/>
              </w:rPr>
              <w:t xml:space="preserve">Teist aastat järjest liikusime </w:t>
            </w:r>
            <w:proofErr w:type="spellStart"/>
            <w:r w:rsidR="008D2427" w:rsidRPr="00B46967">
              <w:rPr>
                <w:rFonts w:asciiTheme="minorHAnsi" w:hAnsiTheme="minorHAnsi" w:cstheme="minorHAnsi"/>
                <w:szCs w:val="24"/>
              </w:rPr>
              <w:t>laiapõhjalisemaks</w:t>
            </w:r>
            <w:proofErr w:type="spellEnd"/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, kus kitsam </w:t>
            </w:r>
            <w:proofErr w:type="spellStart"/>
            <w:r w:rsidR="00010D1E" w:rsidRPr="00B46967">
              <w:rPr>
                <w:rFonts w:asciiTheme="minorHAnsi" w:hAnsiTheme="minorHAnsi" w:cstheme="minorHAnsi"/>
                <w:szCs w:val="24"/>
              </w:rPr>
              <w:t>filmi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>žürii</w:t>
            </w:r>
            <w:proofErr w:type="spellEnd"/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vali</w:t>
            </w:r>
            <w:r w:rsidR="00010D1E" w:rsidRPr="00B46967">
              <w:rPr>
                <w:rFonts w:asciiTheme="minorHAnsi" w:hAnsiTheme="minorHAnsi" w:cstheme="minorHAnsi"/>
                <w:szCs w:val="24"/>
              </w:rPr>
              <w:t>s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8D2427" w:rsidRPr="00B46967">
              <w:rPr>
                <w:rFonts w:asciiTheme="minorHAnsi" w:hAnsiTheme="minorHAnsi" w:cstheme="minorHAnsi"/>
                <w:szCs w:val="24"/>
              </w:rPr>
              <w:t>nominendid</w:t>
            </w:r>
            <w:proofErr w:type="spellEnd"/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ning seejärel </w:t>
            </w:r>
            <w:r w:rsidR="00B46967" w:rsidRPr="00B46967">
              <w:rPr>
                <w:rFonts w:asciiTheme="minorHAnsi" w:hAnsiTheme="minorHAnsi" w:cstheme="minorHAnsi"/>
                <w:szCs w:val="24"/>
              </w:rPr>
              <w:t xml:space="preserve">ligi 100 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Kinoliidu </w:t>
            </w:r>
            <w:r w:rsidR="00010D1E" w:rsidRPr="00B46967">
              <w:rPr>
                <w:rFonts w:asciiTheme="minorHAnsi" w:hAnsiTheme="minorHAnsi" w:cstheme="minorHAnsi"/>
                <w:szCs w:val="24"/>
              </w:rPr>
              <w:t xml:space="preserve">ja erialaliitude 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>lii</w:t>
            </w:r>
            <w:r w:rsidR="00B46967" w:rsidRPr="00B46967">
              <w:rPr>
                <w:rFonts w:asciiTheme="minorHAnsi" w:hAnsiTheme="minorHAnsi" w:cstheme="minorHAnsi"/>
                <w:szCs w:val="24"/>
              </w:rPr>
              <w:t>get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10D1E" w:rsidRPr="00B46967">
              <w:rPr>
                <w:rFonts w:asciiTheme="minorHAnsi" w:hAnsiTheme="minorHAnsi" w:cstheme="minorHAnsi"/>
                <w:szCs w:val="24"/>
              </w:rPr>
              <w:t xml:space="preserve">valisid </w:t>
            </w:r>
            <w:r w:rsidR="008D2427" w:rsidRPr="00B46967">
              <w:rPr>
                <w:rFonts w:asciiTheme="minorHAnsi" w:hAnsiTheme="minorHAnsi" w:cstheme="minorHAnsi"/>
                <w:szCs w:val="24"/>
              </w:rPr>
              <w:t>võitja läbi o</w:t>
            </w:r>
            <w:proofErr w:type="spellStart"/>
            <w:r w:rsidR="008D2427" w:rsidRPr="00B46967">
              <w:rPr>
                <w:rFonts w:asciiTheme="minorHAnsi" w:hAnsiTheme="minorHAnsi" w:cstheme="minorHAnsi"/>
                <w:szCs w:val="24"/>
              </w:rPr>
              <w:t>nline</w:t>
            </w:r>
            <w:proofErr w:type="spellEnd"/>
            <w:r w:rsidR="008D2427" w:rsidRPr="00B46967">
              <w:rPr>
                <w:rFonts w:asciiTheme="minorHAnsi" w:hAnsiTheme="minorHAnsi" w:cstheme="minorHAnsi"/>
                <w:szCs w:val="24"/>
              </w:rPr>
              <w:t xml:space="preserve"> hääletuse. </w:t>
            </w:r>
          </w:p>
          <w:p w14:paraId="23A098E3" w14:textId="77777777" w:rsidR="00B46967" w:rsidRPr="00B46967" w:rsidRDefault="00B46967" w:rsidP="00B469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45BAA8A" w14:textId="571D4599" w:rsidR="00B46967" w:rsidRPr="00B46967" w:rsidRDefault="00B46967" w:rsidP="00B469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 xml:space="preserve">Kõik võitjad on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üleval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 xml:space="preserve"> EFTA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gala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 xml:space="preserve"> ametlikul kodulehel: </w:t>
            </w:r>
            <w:hyperlink r:id="rId6" w:history="1">
              <w:r w:rsidRPr="00B4696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https://eftagala.ee/voitjad-2024/</w:t>
              </w:r>
            </w:hyperlink>
          </w:p>
          <w:p w14:paraId="54A02A30" w14:textId="77777777" w:rsidR="008D2427" w:rsidRPr="00B46967" w:rsidRDefault="008D2427" w:rsidP="008D2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ABC2680" w14:textId="7A3B6BB6" w:rsidR="008D2427" w:rsidRPr="00B46967" w:rsidRDefault="008D2427" w:rsidP="008D2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 xml:space="preserve">Kuna projektiga on seotud Eesti suurimad meediagrupid TV3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Group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 xml:space="preserve">, (TV3,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Star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 xml:space="preserve"> FM), Duo Meedia (Kanal2, Postimees</w:t>
            </w:r>
          </w:p>
          <w:p w14:paraId="27CE4C9B" w14:textId="167F022A" w:rsidR="008D2427" w:rsidRPr="00B46967" w:rsidRDefault="008D2427" w:rsidP="008D2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 xml:space="preserve">Grupi väljaanded, Kuku raadio), ERR (ETV, Vikerraadio, err.ee.), siis oli projekti kajastus suur ja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laia</w:t>
            </w:r>
            <w:r w:rsidR="00B46967" w:rsidRPr="00B46967">
              <w:rPr>
                <w:rFonts w:asciiTheme="minorHAnsi" w:hAnsiTheme="minorHAnsi" w:cstheme="minorHAnsi"/>
                <w:szCs w:val="24"/>
              </w:rPr>
              <w:t>põhjaline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>.</w:t>
            </w:r>
          </w:p>
          <w:p w14:paraId="305D9B78" w14:textId="77777777" w:rsidR="008D2427" w:rsidRPr="00B46967" w:rsidRDefault="008D2427" w:rsidP="008D2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 xml:space="preserve">Ühe enam on hakanud ka </w:t>
            </w:r>
            <w:proofErr w:type="spellStart"/>
            <w:r w:rsidRPr="00B46967">
              <w:rPr>
                <w:rFonts w:asciiTheme="minorHAnsi" w:hAnsiTheme="minorHAnsi" w:cstheme="minorHAnsi"/>
                <w:szCs w:val="24"/>
              </w:rPr>
              <w:t>nominendid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</w:rPr>
              <w:t xml:space="preserve"> ja võitjad ise oma saavutusi reklaamima nii sotsiaalmeedias kui ka</w:t>
            </w:r>
          </w:p>
          <w:p w14:paraId="31FDF30D" w14:textId="77777777" w:rsidR="00693D8F" w:rsidRPr="00B46967" w:rsidRDefault="008D2427" w:rsidP="008D2427">
            <w:p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 w:rsidRPr="00B46967">
              <w:rPr>
                <w:rFonts w:asciiTheme="minorHAnsi" w:hAnsiTheme="minorHAnsi" w:cstheme="minorHAnsi"/>
                <w:szCs w:val="24"/>
              </w:rPr>
              <w:t>traditsioonilises turunduses.</w:t>
            </w:r>
          </w:p>
          <w:p w14:paraId="7DF57FF2" w14:textId="799EDF5A" w:rsidR="00B46967" w:rsidRPr="00B46967" w:rsidRDefault="00B46967" w:rsidP="008D2427">
            <w:pPr>
              <w:spacing w:after="160" w:line="259" w:lineRule="auto"/>
              <w:rPr>
                <w:rFonts w:asciiTheme="minorHAnsi" w:hAnsiTheme="minorHAnsi" w:cstheme="minorHAnsi"/>
                <w:szCs w:val="24"/>
                <w:lang w:val="en-GB"/>
                <w14:ligatures w14:val="standardContextual"/>
              </w:rPr>
            </w:pPr>
            <w:proofErr w:type="spellStart"/>
            <w:r w:rsidRPr="00B46967">
              <w:rPr>
                <w:rFonts w:asciiTheme="minorHAnsi" w:hAnsiTheme="minorHAnsi" w:cstheme="minorHAnsi"/>
                <w:szCs w:val="24"/>
                <w:lang w:val="en-GB"/>
                <w14:ligatures w14:val="standardContextual"/>
              </w:rPr>
              <w:t>Meediakajastused</w:t>
            </w:r>
            <w:proofErr w:type="spellEnd"/>
            <w:r w:rsidRPr="00B46967">
              <w:rPr>
                <w:rFonts w:asciiTheme="minorHAnsi" w:hAnsiTheme="minorHAnsi" w:cstheme="minorHAnsi"/>
                <w:szCs w:val="24"/>
                <w:lang w:val="en-GB"/>
                <w14:ligatures w14:val="standardContextual"/>
              </w:rPr>
              <w:t>:</w:t>
            </w:r>
          </w:p>
          <w:p w14:paraId="484B36BC" w14:textId="2A893D37" w:rsidR="00B46967" w:rsidRPr="00B46967" w:rsidRDefault="00B46967" w:rsidP="008D2427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lang w:val="en-GB"/>
                <w14:ligatures w14:val="standardContextual"/>
              </w:rPr>
            </w:pPr>
            <w:hyperlink r:id="rId7" w:history="1">
              <w:r w:rsidRPr="00B4696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  <w14:ligatures w14:val="standardContextual"/>
                </w:rPr>
                <w:t>https://docs.google.com/spreadsheets/d/1nk7M7tp3QH5gdzO7_-DQ2ZwrmD47AQUpY_n4VDZgRj0/edit?usp=sharing</w:t>
              </w:r>
            </w:hyperlink>
          </w:p>
          <w:p w14:paraId="2BADDB4E" w14:textId="5ED5E792" w:rsidR="00B46967" w:rsidRDefault="00B46967" w:rsidP="008D2427">
            <w:p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Sotsiaalmeedia:</w:t>
            </w:r>
          </w:p>
          <w:p w14:paraId="4F21B397" w14:textId="16F22A73" w:rsidR="00B46967" w:rsidRPr="00B46967" w:rsidRDefault="00B46967" w:rsidP="008D2427">
            <w:pPr>
              <w:spacing w:after="160" w:line="259" w:lineRule="auto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Pr="006E32E1">
                <w:rPr>
                  <w:rStyle w:val="Hyperlink"/>
                  <w:rFonts w:asciiTheme="minorHAnsi" w:hAnsiTheme="minorHAnsi" w:cstheme="minorHAnsi"/>
                  <w:szCs w:val="24"/>
                </w:rPr>
                <w:t>https://www.facebook.com/EFTAgala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DD42682" w14:textId="5EEB66A5" w:rsidR="00B46967" w:rsidRPr="00B80E2B" w:rsidRDefault="00B46967" w:rsidP="008D242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322136" w14:textId="317601C9" w:rsidR="00693D8F" w:rsidRPr="00B80E2B" w:rsidRDefault="00693D8F" w:rsidP="00693D8F">
      <w:pPr>
        <w:rPr>
          <w:rFonts w:asciiTheme="minorHAnsi" w:hAnsiTheme="minorHAnsi" w:cstheme="minorHAnsi"/>
          <w:b/>
          <w:szCs w:val="24"/>
        </w:rPr>
      </w:pPr>
    </w:p>
    <w:p w14:paraId="6230C1B9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80E2B">
        <w:rPr>
          <w:rFonts w:asciiTheme="minorHAnsi" w:hAnsiTheme="minorHAnsi" w:cstheme="minorHAnsi"/>
          <w:b/>
          <w:szCs w:val="24"/>
        </w:rPr>
        <w:t>EELARVE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726"/>
        <w:gridCol w:w="3226"/>
      </w:tblGrid>
      <w:tr w:rsidR="00693D8F" w:rsidRPr="00B80E2B" w14:paraId="0641CFEE" w14:textId="77777777" w:rsidTr="004A5EFC">
        <w:tc>
          <w:tcPr>
            <w:tcW w:w="3110" w:type="dxa"/>
          </w:tcPr>
          <w:p w14:paraId="0384BD63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Kulu liik</w:t>
            </w:r>
            <w:r w:rsidRPr="00B80E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80E2B">
              <w:rPr>
                <w:rFonts w:asciiTheme="minorHAnsi" w:hAnsiTheme="minorHAnsi" w:cstheme="minorHAnsi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726" w:type="dxa"/>
          </w:tcPr>
          <w:p w14:paraId="16623704" w14:textId="5EA62FB2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Planeeritud summa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 xml:space="preserve"> (sisaldab käibemaksu)</w:t>
            </w:r>
          </w:p>
        </w:tc>
        <w:tc>
          <w:tcPr>
            <w:tcW w:w="3226" w:type="dxa"/>
          </w:tcPr>
          <w:p w14:paraId="50E542D5" w14:textId="5D1E254C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Tegelik summa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 xml:space="preserve"> (sisaldab käibemaksu)</w:t>
            </w:r>
          </w:p>
        </w:tc>
      </w:tr>
      <w:tr w:rsidR="00693D8F" w:rsidRPr="00B80E2B" w14:paraId="390C8EB4" w14:textId="77777777" w:rsidTr="004A5EFC">
        <w:tc>
          <w:tcPr>
            <w:tcW w:w="3110" w:type="dxa"/>
          </w:tcPr>
          <w:p w14:paraId="6776FA21" w14:textId="77777777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5DDD">
              <w:rPr>
                <w:rFonts w:asciiTheme="minorHAnsi" w:hAnsiTheme="minorHAnsi" w:cstheme="minorHAnsi"/>
                <w:b/>
                <w:bCs/>
              </w:rPr>
              <w:t xml:space="preserve">Teleülekande tootmine </w:t>
            </w:r>
          </w:p>
          <w:p w14:paraId="25D29C2E" w14:textId="5A66B55A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>Telebuss, kaamerad, operaatorid, režissöör, esitlustehnika, ülekandetehnika, tehniline meeskond. Seadmete rent, transport, paigaldus, töötasud.</w:t>
            </w:r>
          </w:p>
        </w:tc>
        <w:tc>
          <w:tcPr>
            <w:tcW w:w="2726" w:type="dxa"/>
          </w:tcPr>
          <w:p w14:paraId="1BBE4577" w14:textId="623DBA8E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30 000.-</w:t>
            </w:r>
          </w:p>
        </w:tc>
        <w:tc>
          <w:tcPr>
            <w:tcW w:w="3226" w:type="dxa"/>
          </w:tcPr>
          <w:p w14:paraId="6D7B94E9" w14:textId="36B04FDB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</w:tr>
      <w:tr w:rsidR="00693D8F" w:rsidRPr="00B80E2B" w14:paraId="58B813F7" w14:textId="77777777" w:rsidTr="004A5EFC">
        <w:tc>
          <w:tcPr>
            <w:tcW w:w="3110" w:type="dxa"/>
          </w:tcPr>
          <w:p w14:paraId="1503DF1C" w14:textId="77777777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B5DDD">
              <w:rPr>
                <w:rFonts w:asciiTheme="minorHAnsi" w:hAnsiTheme="minorHAnsi" w:cstheme="minorHAnsi"/>
                <w:b/>
                <w:bCs/>
              </w:rPr>
              <w:t>Gala</w:t>
            </w:r>
            <w:proofErr w:type="spellEnd"/>
            <w:r w:rsidRPr="00EB5DDD">
              <w:rPr>
                <w:rFonts w:asciiTheme="minorHAnsi" w:hAnsiTheme="minorHAnsi" w:cstheme="minorHAnsi"/>
                <w:b/>
                <w:bCs/>
              </w:rPr>
              <w:t xml:space="preserve"> läbiviimise koht ja inventar </w:t>
            </w:r>
          </w:p>
          <w:p w14:paraId="31CB6423" w14:textId="5092E0B4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 xml:space="preserve">Alexela kontserdimaja rent </w:t>
            </w:r>
            <w:proofErr w:type="spellStart"/>
            <w:r w:rsidRPr="00EB5DDD">
              <w:rPr>
                <w:rFonts w:asciiTheme="minorHAnsi" w:hAnsiTheme="minorHAnsi" w:cstheme="minorHAnsi"/>
              </w:rPr>
              <w:t>gala</w:t>
            </w:r>
            <w:proofErr w:type="spellEnd"/>
            <w:r w:rsidRPr="00EB5DDD">
              <w:rPr>
                <w:rFonts w:asciiTheme="minorHAnsi" w:hAnsiTheme="minorHAnsi" w:cstheme="minorHAnsi"/>
              </w:rPr>
              <w:t xml:space="preserve"> päeval ja eelperioodil tehniliseks ülesehituseks ning proovideks. Fuajeede tehniline varustamine, saalist toolide eemaldamine, lavakeele ehitus, rõdule kaamerapoodiumite ehitus, lava tehnilised seaded</w:t>
            </w:r>
          </w:p>
        </w:tc>
        <w:tc>
          <w:tcPr>
            <w:tcW w:w="2726" w:type="dxa"/>
          </w:tcPr>
          <w:p w14:paraId="62CD56E6" w14:textId="68FBBA0C" w:rsidR="00693D8F" w:rsidRPr="00B80E2B" w:rsidRDefault="00EB5DDD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7A8B9AA1" w14:textId="5B0B583E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15 543.-</w:t>
            </w:r>
          </w:p>
        </w:tc>
      </w:tr>
      <w:tr w:rsidR="00693D8F" w:rsidRPr="00B80E2B" w14:paraId="556F1579" w14:textId="77777777" w:rsidTr="004A5EFC">
        <w:tc>
          <w:tcPr>
            <w:tcW w:w="3110" w:type="dxa"/>
          </w:tcPr>
          <w:p w14:paraId="24B38A9B" w14:textId="77777777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B5DDD">
              <w:rPr>
                <w:rFonts w:asciiTheme="minorHAnsi" w:hAnsiTheme="minorHAnsi" w:cstheme="minorHAnsi"/>
                <w:b/>
                <w:bCs/>
              </w:rPr>
              <w:t>Gala</w:t>
            </w:r>
            <w:proofErr w:type="spellEnd"/>
            <w:r w:rsidRPr="00EB5DDD">
              <w:rPr>
                <w:rFonts w:asciiTheme="minorHAnsi" w:hAnsiTheme="minorHAnsi" w:cstheme="minorHAnsi"/>
                <w:b/>
                <w:bCs/>
              </w:rPr>
              <w:t xml:space="preserve"> sisuloome ja programm </w:t>
            </w:r>
          </w:p>
          <w:p w14:paraId="28E2BFC7" w14:textId="16D91016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>Konferansjee(d), ansamblid, esinejad, DJ, näitlejad otsesaate sketšidesse, videosketšide eeltootmine (võttemeeskond, stsenaristid, näitlejad, kunstnik, stilist jpt.)</w:t>
            </w:r>
          </w:p>
        </w:tc>
        <w:tc>
          <w:tcPr>
            <w:tcW w:w="2726" w:type="dxa"/>
          </w:tcPr>
          <w:p w14:paraId="1DE3EEFD" w14:textId="2A5A932C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B5DD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4C543481" w14:textId="4D405161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33 559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  <w:tr w:rsidR="00693D8F" w:rsidRPr="00B80E2B" w14:paraId="1648204F" w14:textId="77777777" w:rsidTr="004A5EFC">
        <w:tc>
          <w:tcPr>
            <w:tcW w:w="3110" w:type="dxa"/>
          </w:tcPr>
          <w:p w14:paraId="03C0B4D0" w14:textId="7E1081E8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5DDD">
              <w:rPr>
                <w:rFonts w:asciiTheme="minorHAnsi" w:hAnsiTheme="minorHAnsi" w:cstheme="minorHAnsi"/>
                <w:b/>
                <w:bCs/>
              </w:rPr>
              <w:t xml:space="preserve">Meeskonna töötasud </w:t>
            </w:r>
          </w:p>
          <w:p w14:paraId="2197B048" w14:textId="7761F353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 xml:space="preserve">Lavastaja, toimetaja, stsenaristid, produtsent, tegevprodutsent, projektijuht, assistendid, lava </w:t>
            </w:r>
            <w:proofErr w:type="spellStart"/>
            <w:r w:rsidRPr="00EB5DDD">
              <w:rPr>
                <w:rFonts w:asciiTheme="minorHAnsi" w:hAnsiTheme="minorHAnsi" w:cstheme="minorHAnsi"/>
              </w:rPr>
              <w:t>manager</w:t>
            </w:r>
            <w:proofErr w:type="spellEnd"/>
            <w:r w:rsidRPr="00EB5DDD">
              <w:rPr>
                <w:rFonts w:asciiTheme="minorHAnsi" w:hAnsiTheme="minorHAnsi" w:cstheme="minorHAnsi"/>
              </w:rPr>
              <w:t xml:space="preserve">, artistide </w:t>
            </w:r>
            <w:proofErr w:type="spellStart"/>
            <w:r w:rsidRPr="00EB5DDD">
              <w:rPr>
                <w:rFonts w:asciiTheme="minorHAnsi" w:hAnsiTheme="minorHAnsi" w:cstheme="minorHAnsi"/>
              </w:rPr>
              <w:t>managerid</w:t>
            </w:r>
            <w:proofErr w:type="spellEnd"/>
            <w:r w:rsidRPr="00EB5DDD">
              <w:rPr>
                <w:rFonts w:asciiTheme="minorHAnsi" w:hAnsiTheme="minorHAnsi" w:cstheme="minorHAnsi"/>
              </w:rPr>
              <w:t xml:space="preserve">, saali </w:t>
            </w:r>
            <w:proofErr w:type="spellStart"/>
            <w:r w:rsidRPr="00EB5DDD">
              <w:rPr>
                <w:rFonts w:asciiTheme="minorHAnsi" w:hAnsiTheme="minorHAnsi" w:cstheme="minorHAnsi"/>
              </w:rPr>
              <w:t>manager</w:t>
            </w:r>
            <w:proofErr w:type="spellEnd"/>
            <w:r w:rsidRPr="00EB5DDD">
              <w:rPr>
                <w:rFonts w:asciiTheme="minorHAnsi" w:hAnsiTheme="minorHAnsi" w:cstheme="minorHAnsi"/>
              </w:rPr>
              <w:t xml:space="preserve">, publiku informaatorid, sissepääsu </w:t>
            </w:r>
            <w:proofErr w:type="spellStart"/>
            <w:r w:rsidRPr="00EB5DDD">
              <w:rPr>
                <w:rFonts w:asciiTheme="minorHAnsi" w:hAnsiTheme="minorHAnsi" w:cstheme="minorHAnsi"/>
              </w:rPr>
              <w:t>registreerijad</w:t>
            </w:r>
            <w:proofErr w:type="spellEnd"/>
            <w:r w:rsidRPr="00EB5DDD">
              <w:rPr>
                <w:rFonts w:asciiTheme="minorHAnsi" w:hAnsiTheme="minorHAnsi" w:cstheme="minorHAnsi"/>
              </w:rPr>
              <w:t>, jumestajad, juuksurid, stilist, turvamehed.</w:t>
            </w:r>
          </w:p>
        </w:tc>
        <w:tc>
          <w:tcPr>
            <w:tcW w:w="2726" w:type="dxa"/>
          </w:tcPr>
          <w:p w14:paraId="53526E28" w14:textId="1AD7EF8A" w:rsidR="00693D8F" w:rsidRPr="00B80E2B" w:rsidRDefault="00EB5DDD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35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1C58D09F" w14:textId="75B5D8B9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1 892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  <w:tr w:rsidR="00693D8F" w:rsidRPr="00B80E2B" w14:paraId="32AE9E26" w14:textId="77777777" w:rsidTr="004A5EFC">
        <w:tc>
          <w:tcPr>
            <w:tcW w:w="3110" w:type="dxa"/>
          </w:tcPr>
          <w:p w14:paraId="42D107D4" w14:textId="77777777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5DD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Tehnilised lahedused </w:t>
            </w:r>
          </w:p>
          <w:p w14:paraId="680C212E" w14:textId="68262595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>Helitehnika, valgustehnika, videotehnika ja lavatehnika kogu perioodi rent, transport, paigaldus ja haldus.</w:t>
            </w:r>
          </w:p>
        </w:tc>
        <w:tc>
          <w:tcPr>
            <w:tcW w:w="2726" w:type="dxa"/>
          </w:tcPr>
          <w:p w14:paraId="3461E18A" w14:textId="3C0A3FD9" w:rsidR="00693D8F" w:rsidRPr="00B80E2B" w:rsidRDefault="00EB5DDD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2A164054" w14:textId="069AFBD7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43 993.-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  <w:tr w:rsidR="00693D8F" w:rsidRPr="00B80E2B" w14:paraId="40203711" w14:textId="77777777" w:rsidTr="004A5EFC">
        <w:tc>
          <w:tcPr>
            <w:tcW w:w="3110" w:type="dxa"/>
          </w:tcPr>
          <w:p w14:paraId="34A35A8A" w14:textId="77777777" w:rsidR="00EB5DDD" w:rsidRPr="00EB5DDD" w:rsidRDefault="00EB5DDD" w:rsidP="00EB5DD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5DDD">
              <w:rPr>
                <w:rFonts w:asciiTheme="minorHAnsi" w:hAnsiTheme="minorHAnsi" w:cstheme="minorHAnsi"/>
                <w:b/>
                <w:bCs/>
              </w:rPr>
              <w:t xml:space="preserve">Turunduskommunikatsioon ja haldus </w:t>
            </w:r>
          </w:p>
          <w:p w14:paraId="6FF5E427" w14:textId="79D54283" w:rsidR="00693D8F" w:rsidRPr="00EB5DDD" w:rsidRDefault="00EB5DDD" w:rsidP="00EB5DD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B5DDD">
              <w:rPr>
                <w:rFonts w:asciiTheme="minorHAnsi" w:hAnsiTheme="minorHAnsi" w:cstheme="minorHAnsi"/>
              </w:rPr>
              <w:t xml:space="preserve">Konkursi tööde digitaalsed platvormid, auhinnad, EFTA visuaalne identiteet, </w:t>
            </w:r>
            <w:proofErr w:type="spellStart"/>
            <w:r w:rsidRPr="00EB5DDD">
              <w:rPr>
                <w:rFonts w:asciiTheme="minorHAnsi" w:hAnsiTheme="minorHAnsi" w:cstheme="minorHAnsi"/>
              </w:rPr>
              <w:t>bränding</w:t>
            </w:r>
            <w:proofErr w:type="spellEnd"/>
            <w:r w:rsidRPr="00EB5DDD">
              <w:rPr>
                <w:rFonts w:asciiTheme="minorHAnsi" w:hAnsiTheme="minorHAnsi" w:cstheme="minorHAnsi"/>
              </w:rPr>
              <w:t>, kodulehe haldus, kutsed, fotosein, PR agentuur, sotsiaalmeediaturundus jms.</w:t>
            </w:r>
          </w:p>
        </w:tc>
        <w:tc>
          <w:tcPr>
            <w:tcW w:w="2726" w:type="dxa"/>
          </w:tcPr>
          <w:p w14:paraId="473EAFE4" w14:textId="68C5DBF4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B5DD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4AEEA441" w14:textId="107D33A7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20 397.-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  <w:tr w:rsidR="00693D8F" w:rsidRPr="00B80E2B" w14:paraId="4BF1F769" w14:textId="77777777" w:rsidTr="004A5EFC">
        <w:tc>
          <w:tcPr>
            <w:tcW w:w="3110" w:type="dxa"/>
          </w:tcPr>
          <w:p w14:paraId="273F38F3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Kulud kokku</w:t>
            </w:r>
          </w:p>
        </w:tc>
        <w:tc>
          <w:tcPr>
            <w:tcW w:w="2726" w:type="dxa"/>
          </w:tcPr>
          <w:p w14:paraId="3F787A8D" w14:textId="02B2AAC7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95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3226" w:type="dxa"/>
          </w:tcPr>
          <w:p w14:paraId="0C023683" w14:textId="51CF4720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17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384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</w:tbl>
    <w:p w14:paraId="1CAD5D59" w14:textId="77777777" w:rsidR="00693D8F" w:rsidRPr="00B80E2B" w:rsidRDefault="00693D8F" w:rsidP="00693D8F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4"/>
        <w:gridCol w:w="2609"/>
        <w:gridCol w:w="2919"/>
      </w:tblGrid>
      <w:tr w:rsidR="00693D8F" w:rsidRPr="00B80E2B" w14:paraId="4893A051" w14:textId="77777777" w:rsidTr="008D2427">
        <w:tc>
          <w:tcPr>
            <w:tcW w:w="3534" w:type="dxa"/>
          </w:tcPr>
          <w:p w14:paraId="41E2EFE1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Tulu liik</w:t>
            </w:r>
            <w:r w:rsidRPr="00B80E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80E2B">
              <w:rPr>
                <w:rFonts w:asciiTheme="minorHAnsi" w:hAnsiTheme="minorHAnsi" w:cstheme="minorHAnsi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09" w:type="dxa"/>
          </w:tcPr>
          <w:p w14:paraId="3A196EB1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Planeeritud summa</w:t>
            </w:r>
          </w:p>
        </w:tc>
        <w:tc>
          <w:tcPr>
            <w:tcW w:w="2919" w:type="dxa"/>
          </w:tcPr>
          <w:p w14:paraId="7CB861FA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Tegelik summa</w:t>
            </w:r>
          </w:p>
        </w:tc>
      </w:tr>
      <w:tr w:rsidR="00693D8F" w:rsidRPr="00B80E2B" w14:paraId="12DB6F8E" w14:textId="77777777" w:rsidTr="008D2427">
        <w:tc>
          <w:tcPr>
            <w:tcW w:w="3534" w:type="dxa"/>
          </w:tcPr>
          <w:p w14:paraId="627A1DDD" w14:textId="66953B13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color w:val="000000"/>
                <w:sz w:val="22"/>
                <w14:ligatures w14:val="standardContextual"/>
              </w:rPr>
              <w:t>Eesti Filmi Instituut</w:t>
            </w:r>
          </w:p>
        </w:tc>
        <w:tc>
          <w:tcPr>
            <w:tcW w:w="2609" w:type="dxa"/>
          </w:tcPr>
          <w:p w14:paraId="01D88A58" w14:textId="25D37A5B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0 000.-</w:t>
            </w:r>
          </w:p>
        </w:tc>
        <w:tc>
          <w:tcPr>
            <w:tcW w:w="2919" w:type="dxa"/>
          </w:tcPr>
          <w:p w14:paraId="6B400A63" w14:textId="20C2C554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40 000.-</w:t>
            </w:r>
          </w:p>
        </w:tc>
      </w:tr>
      <w:tr w:rsidR="00693D8F" w:rsidRPr="00B80E2B" w14:paraId="734A75D1" w14:textId="77777777" w:rsidTr="008D2427">
        <w:tc>
          <w:tcPr>
            <w:tcW w:w="3534" w:type="dxa"/>
          </w:tcPr>
          <w:p w14:paraId="0753613F" w14:textId="4325D466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color w:val="000000"/>
                <w:sz w:val="22"/>
                <w14:ligatures w14:val="standardContextual"/>
              </w:rPr>
              <w:t>Eesti Rahvusringhääling</w:t>
            </w:r>
          </w:p>
        </w:tc>
        <w:tc>
          <w:tcPr>
            <w:tcW w:w="2609" w:type="dxa"/>
          </w:tcPr>
          <w:p w14:paraId="24C66C61" w14:textId="235131EE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2919" w:type="dxa"/>
          </w:tcPr>
          <w:p w14:paraId="6B388B72" w14:textId="2403BC0F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25 000.-</w:t>
            </w:r>
          </w:p>
        </w:tc>
      </w:tr>
      <w:tr w:rsidR="00693D8F" w:rsidRPr="00B80E2B" w14:paraId="3ECFDAED" w14:textId="77777777" w:rsidTr="008D2427">
        <w:tc>
          <w:tcPr>
            <w:tcW w:w="3534" w:type="dxa"/>
          </w:tcPr>
          <w:p w14:paraId="0A96D83A" w14:textId="16AC50E7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B80E2B">
              <w:rPr>
                <w:rFonts w:asciiTheme="minorHAnsi" w:hAnsiTheme="minorHAnsi" w:cstheme="minorHAnsi"/>
                <w:color w:val="000000"/>
                <w:sz w:val="22"/>
                <w14:ligatures w14:val="standardContextual"/>
              </w:rPr>
              <w:t>Kultuurkapital</w:t>
            </w:r>
          </w:p>
        </w:tc>
        <w:tc>
          <w:tcPr>
            <w:tcW w:w="2609" w:type="dxa"/>
          </w:tcPr>
          <w:p w14:paraId="57F1E1F1" w14:textId="0740FE09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25 000.-</w:t>
            </w:r>
          </w:p>
        </w:tc>
        <w:tc>
          <w:tcPr>
            <w:tcW w:w="2919" w:type="dxa"/>
          </w:tcPr>
          <w:p w14:paraId="7575AF38" w14:textId="4B129832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</w:tr>
      <w:tr w:rsidR="00693D8F" w:rsidRPr="00B80E2B" w14:paraId="0B81AD3F" w14:textId="77777777" w:rsidTr="008D2427">
        <w:tc>
          <w:tcPr>
            <w:tcW w:w="3534" w:type="dxa"/>
          </w:tcPr>
          <w:p w14:paraId="470E7902" w14:textId="5D565067" w:rsidR="00693D8F" w:rsidRPr="00C576BC" w:rsidRDefault="008D2427" w:rsidP="00C576B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576BC">
              <w:rPr>
                <w:rFonts w:asciiTheme="minorHAnsi" w:hAnsiTheme="minorHAnsi" w:cstheme="minorHAnsi"/>
              </w:rPr>
              <w:t>Erasektori toetajad</w:t>
            </w:r>
          </w:p>
        </w:tc>
        <w:tc>
          <w:tcPr>
            <w:tcW w:w="2609" w:type="dxa"/>
          </w:tcPr>
          <w:p w14:paraId="11452370" w14:textId="5C7A82F2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55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2919" w:type="dxa"/>
          </w:tcPr>
          <w:p w14:paraId="246D2DC5" w14:textId="703CD0A5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45 384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  <w:tr w:rsidR="00693D8F" w:rsidRPr="00B80E2B" w14:paraId="5BD0599F" w14:textId="77777777" w:rsidTr="008D2427">
        <w:tc>
          <w:tcPr>
            <w:tcW w:w="3534" w:type="dxa"/>
          </w:tcPr>
          <w:p w14:paraId="08DFF2BA" w14:textId="58FC64E4" w:rsidR="00693D8F" w:rsidRPr="00C576BC" w:rsidRDefault="008D2427" w:rsidP="00C576B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576BC">
              <w:rPr>
                <w:rFonts w:asciiTheme="minorHAnsi" w:hAnsiTheme="minorHAnsi" w:cstheme="minorHAnsi"/>
              </w:rPr>
              <w:t>Audiovisuaalse teose ja teose helisalvestise isiklikeks vajadusteks kasutamise kompenseerimiseks ettenähtud tasudest muusika- ja filmikultuuri arendamiseks ning koolitus- ja teadusprogrammide finantseerimiseks toetuste jaotuse taotlus</w:t>
            </w:r>
          </w:p>
        </w:tc>
        <w:tc>
          <w:tcPr>
            <w:tcW w:w="2609" w:type="dxa"/>
          </w:tcPr>
          <w:p w14:paraId="126F7CD3" w14:textId="2A21E921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45 000.-</w:t>
            </w:r>
          </w:p>
        </w:tc>
        <w:tc>
          <w:tcPr>
            <w:tcW w:w="2919" w:type="dxa"/>
          </w:tcPr>
          <w:p w14:paraId="5A14676B" w14:textId="7267AF2E" w:rsidR="00693D8F" w:rsidRPr="00B80E2B" w:rsidRDefault="00C576BC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40</w:t>
            </w:r>
            <w:r w:rsidR="008D2427"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</w:tr>
      <w:tr w:rsidR="00693D8F" w:rsidRPr="00B80E2B" w14:paraId="5AA17878" w14:textId="77777777" w:rsidTr="008D2427">
        <w:tc>
          <w:tcPr>
            <w:tcW w:w="3534" w:type="dxa"/>
          </w:tcPr>
          <w:p w14:paraId="31E61BB6" w14:textId="77777777" w:rsidR="00693D8F" w:rsidRPr="00B80E2B" w:rsidRDefault="00693D8F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Tulud kokku</w:t>
            </w:r>
          </w:p>
        </w:tc>
        <w:tc>
          <w:tcPr>
            <w:tcW w:w="2609" w:type="dxa"/>
          </w:tcPr>
          <w:p w14:paraId="63C1EAAF" w14:textId="6A444B62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95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 000.-</w:t>
            </w:r>
          </w:p>
        </w:tc>
        <w:tc>
          <w:tcPr>
            <w:tcW w:w="2919" w:type="dxa"/>
          </w:tcPr>
          <w:p w14:paraId="2155260D" w14:textId="38C07093" w:rsidR="00693D8F" w:rsidRPr="00B80E2B" w:rsidRDefault="008D2427" w:rsidP="004A5EFC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80E2B">
              <w:rPr>
                <w:rFonts w:asciiTheme="minorHAnsi" w:hAnsiTheme="minorHAnsi" w:cstheme="minorHAnsi"/>
                <w:b/>
                <w:szCs w:val="24"/>
              </w:rPr>
              <w:t>17</w:t>
            </w:r>
            <w:r w:rsidR="00C576BC">
              <w:rPr>
                <w:rFonts w:asciiTheme="minorHAnsi" w:hAnsiTheme="minorHAnsi" w:cstheme="minorHAnsi"/>
                <w:b/>
                <w:szCs w:val="24"/>
              </w:rPr>
              <w:t>5 384</w:t>
            </w:r>
            <w:r w:rsidRPr="00B80E2B">
              <w:rPr>
                <w:rFonts w:asciiTheme="minorHAnsi" w:hAnsiTheme="minorHAnsi" w:cstheme="minorHAnsi"/>
                <w:b/>
                <w:szCs w:val="24"/>
              </w:rPr>
              <w:t>.-</w:t>
            </w:r>
          </w:p>
        </w:tc>
      </w:tr>
    </w:tbl>
    <w:p w14:paraId="7F9772D3" w14:textId="77777777" w:rsidR="00693D8F" w:rsidRPr="00B80E2B" w:rsidRDefault="00693D8F" w:rsidP="00693D8F">
      <w:pPr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62E833A7" w14:textId="77777777" w:rsidR="00572FA1" w:rsidRPr="00B80E2B" w:rsidRDefault="00572FA1">
      <w:pPr>
        <w:rPr>
          <w:rFonts w:asciiTheme="minorHAnsi" w:hAnsiTheme="minorHAnsi" w:cstheme="minorHAnsi"/>
        </w:rPr>
      </w:pPr>
    </w:p>
    <w:sectPr w:rsidR="00572FA1" w:rsidRPr="00B8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BDD"/>
    <w:multiLevelType w:val="hybridMultilevel"/>
    <w:tmpl w:val="8E189C92"/>
    <w:lvl w:ilvl="0" w:tplc="78A824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F581D"/>
    <w:multiLevelType w:val="hybridMultilevel"/>
    <w:tmpl w:val="D06AF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010D1E"/>
    <w:rsid w:val="00012048"/>
    <w:rsid w:val="00370049"/>
    <w:rsid w:val="003C03C7"/>
    <w:rsid w:val="0054548D"/>
    <w:rsid w:val="005612C2"/>
    <w:rsid w:val="00572FA1"/>
    <w:rsid w:val="005C2C0D"/>
    <w:rsid w:val="00693D8F"/>
    <w:rsid w:val="007C42EA"/>
    <w:rsid w:val="00812DF3"/>
    <w:rsid w:val="008D2427"/>
    <w:rsid w:val="00A9412F"/>
    <w:rsid w:val="00B46967"/>
    <w:rsid w:val="00B80E2B"/>
    <w:rsid w:val="00C576BC"/>
    <w:rsid w:val="00DE17B5"/>
    <w:rsid w:val="00DE2EB4"/>
    <w:rsid w:val="00EB5DDD"/>
    <w:rsid w:val="00EF7190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982"/>
  <w15:chartTrackingRefBased/>
  <w15:docId w15:val="{DEC5BAC1-7D9C-4B9F-B21C-9F2B8FF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27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D8F"/>
    <w:rPr>
      <w:color w:val="0000FF"/>
      <w:u w:val="single"/>
    </w:rPr>
  </w:style>
  <w:style w:type="table" w:styleId="TableGrid">
    <w:name w:val="Table Grid"/>
    <w:basedOn w:val="TableNorma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2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FTAga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k7M7tp3QH5gdzO7_-DQ2ZwrmD47AQUpY_n4VDZgRj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tagala.ee/voitjad-2024/" TargetMode="External"/><Relationship Id="rId5" Type="http://schemas.openxmlformats.org/officeDocument/2006/relationships/hyperlink" Target="mailto:ken@idp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Ken Matsalu</cp:lastModifiedBy>
  <cp:revision>2</cp:revision>
  <dcterms:created xsi:type="dcterms:W3CDTF">2024-06-11T18:08:00Z</dcterms:created>
  <dcterms:modified xsi:type="dcterms:W3CDTF">2024-06-11T18:08:00Z</dcterms:modified>
</cp:coreProperties>
</file>