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954" w:val="left" w:leader="none"/>
        </w:tabs>
        <w:rPr/>
      </w:pPr>
      <w:r>
        <w:rPr/>
        <w:t>Päästeamet Lõuna päästekeskus</w:t>
      </w:r>
      <w:r>
        <w:rPr/>
        <w:tab/>
        <w:t>Teie 17</w:t>
      </w:r>
      <w:r>
        <w:rPr/>
        <w:t>.01.2025 nr 7.2-3.2/178-1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>Meie 25.02.2025 nr 7-1/94-2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 korduvalt kooskõlastamiseks esitamine</w:t>
      </w:r>
    </w:p>
    <w:p>
      <w:pPr>
        <w:rPr/>
      </w:pPr>
    </w:p>
    <w:p>
      <w:pPr>
        <w:rPr/>
      </w:pPr>
    </w:p>
    <w:p>
      <w:pPr>
        <w:rPr>
          <w:shd w:fill="FFFFFF" w:color="auto" w:val="clear"/>
        </w:rPr>
      </w:pPr>
      <w:r>
        <w:rPr>
          <w:shd w:fill="FFFFFF" w:color="auto" w:val="clear"/>
        </w:rPr>
        <w:t xml:space="preserve">Tulenevalt planeerimisseaduse § 85 lg 1 esitas Võru vallavalitsus (09.01.2025 kiri nr </w:t>
      </w:r>
      <w:r>
        <w:rPr>
          <w:shd w:fill="FFFFFF" w:color="auto" w:val="clear"/>
        </w:rPr>
        <w:t>7-1/94) Päästeameti Lõuna päästekeskusele kooskõlastamiseks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Verijärve külas Kose tee 57 katastriüksuse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detailplaneeringu.</w:t>
      </w:r>
      <w:r>
        <w:rPr/>
        <w:t xml:space="preserve"> </w:t>
      </w:r>
      <w:r>
        <w:rPr>
          <w:shd w:fill="FFFFFF" w:color="auto" w:val="clear"/>
        </w:rPr>
        <w:t>Päästeameti Lõuna päästekeskus keeldus (17.01.2025 kiri nr 7.2-3.2/178-1) detailplaneeringu kooskõlastamisest, kuna planeeringualal puudus päästehnikale nõuetekohane ümberpööramise võimalus. Planeeringu koostaja tegi detailplaneeringu eelnõu joonisel ja seletuskirjas vajalikud muudatused.</w:t>
      </w:r>
    </w:p>
    <w:p>
      <w:pPr>
        <w:rPr/>
      </w:pPr>
    </w:p>
    <w:p>
      <w:pPr>
        <w:rPr/>
      </w:pPr>
      <w:r>
        <w:rPr>
          <w:shd w:fill="FFFFFF" w:color="auto" w:val="clear"/>
        </w:rPr>
        <w:t>Esitame Verijärve külas Kose tee 57 katastriüksuse detailplaneeringu (lisatud kirjale) uuesti Päästeameti Lõuna päästekeskusele kooskõlastamiseks.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Kose-tee-57_DP_Seletuskiri-ja-joonised.asice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5.02.2025"/>
    <w:docVar w:name="CURDATE" w:val="25.02.2025"/>
    <w:docVar w:name="CURDATETIME" w:val="25.02.2025 15:29"/>
    <w:docVar w:name="CURTIME" w:val="15:2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Tulenevalt planeerimisseaduse &amp;sect; 85 lg 1 esitas  V&amp;otilde;ru vallavalitsus  (09.01.2025 kiri nr 7-1/94) P&amp;auml;&amp;auml;steameti L&amp;otilde;una p&amp;auml;&amp;auml;stekeskusele&amp;nbsp;koosk&amp;otilde;lastamiseks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Verij&amp;auml;rve k&amp;uuml;las Kose tee 57 katastri&amp;uuml;ksuse  &lt;/span&gt;&lt;span class=&quot;NormalTextRun SCXW126083250 BCX0&quot; style=&quot;margin: 0px; padding: 0px; user-select: text; -webkit-user-drag: none; -webkit-tap-highlight-color: transparent;&quot;&gt;detailplaneeringu. &lt;/span&gt;&lt;/span&gt;&lt;span style=&quot;background-color: transparent; font-size: 11pt; font-variant-ligatures: none; font-family: Calibri, Calibri_EmbeddedFont, Calibri_MSFontService, sans-serif; color: windowtext;&quot;&gt;P&amp;auml;&amp;auml;steameti L&amp;otilde;una p&amp;auml;&amp;auml;stekeskus keeldus (17.01.2025 kiri nr 7.2-3.2/178-1) detailplaneeringu koosk&amp;otilde;lastamisest, kuna planeeringualal puudus p&amp;auml;&amp;auml;stehnikale n&amp;otilde;uetekohane &amp;uuml;mberp&amp;ouml;&amp;ouml;ramise v&amp;otilde;imalus.  Planeeringu koostaja tegi detailplaneeringu eeln&amp;otilde;u joonisel ja seletuskirjas vajalikud muudatused.&lt;/span&gt;&lt;/p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style=&quot;background-color: transparent; font-size: 11pt; font-variant-ligatures: none; font-family: Calibri, Calibri_EmbeddedFont, Calibri_MSFontService, sans-serif; color: windowtext;&quot;&gt;&amp;nbsp;&lt;/span&gt;&lt;/p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style=&quot;background-color: transparent; font-size: 11pt; font-variant-ligatures: none; font-family: Calibri, Calibri_EmbeddedFont, Calibri_MSFontService, sans-serif; color: windowtext;&quot;&gt;Esitame Verij&amp;auml;rve k&amp;uuml;las Kose tee 57 katastri&amp;uuml;ksuse detailplaneeringu (lisatud kirjale) uuesti P&amp;auml;&amp;auml;steameti L&amp;otilde;una p&amp;auml;&amp;auml;stekeskusele koosk&amp;otilde;lastamiseks. &lt;/span&gt;&lt;/p&gt;&#13;&#10;&lt;/div&gt;"/>
    <w:docVar w:name="KUUPAEV" w:val="25.02.2025"/>
    <w:docVar w:name="PEALKIRI" w:val="Detailplaneeringu korduvalt kooskõlastamiseks esitamine"/>
    <w:docVar w:name="VIIT" w:val="7-1/94-2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