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1C6755E3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1C6755E0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C6755F7" wp14:editId="1C6755F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1C6755E1" w14:textId="77777777" w:rsidR="00BC1A62" w:rsidRPr="00BC1A62" w:rsidRDefault="00BC1A62" w:rsidP="0076054B">
            <w:pPr>
              <w:pStyle w:val="AK"/>
              <w:jc w:val="right"/>
            </w:pPr>
          </w:p>
          <w:p w14:paraId="1C6755E2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1C6755E8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1C6755E4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1C6755E5" w14:textId="77777777" w:rsidR="0076054B" w:rsidRPr="006B118C" w:rsidRDefault="0076054B" w:rsidP="007A4337">
            <w:pPr>
              <w:jc w:val="left"/>
            </w:pPr>
          </w:p>
          <w:p w14:paraId="1C6755E6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1C6755E7" w14:textId="65FB2A72" w:rsidR="0076054B" w:rsidRPr="0076054B" w:rsidRDefault="00222077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692120">
              <w:instrText xml:space="preserve"> delta_regDateTime  \* MERGEFORMAT</w:instrText>
            </w:r>
            <w:r>
              <w:fldChar w:fldCharType="separate"/>
            </w:r>
            <w:r w:rsidR="00692120">
              <w:t>18.09.2025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692120">
              <w:instrText xml:space="preserve"> delta_regNumber  \* MERGEFORMAT</w:instrText>
            </w:r>
            <w:r>
              <w:fldChar w:fldCharType="separate"/>
            </w:r>
            <w:r w:rsidR="00692120">
              <w:t>26</w:t>
            </w:r>
            <w:r>
              <w:fldChar w:fldCharType="end"/>
            </w:r>
          </w:p>
        </w:tc>
      </w:tr>
      <w:tr w:rsidR="00566D45" w:rsidRPr="009223EE" w14:paraId="1C6755EB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1C6755E9" w14:textId="4115C934" w:rsidR="00566D45" w:rsidRPr="009223EE" w:rsidRDefault="00222077" w:rsidP="00B358EA">
            <w:pPr>
              <w:pStyle w:val="Pealkiri10"/>
              <w:rPr>
                <w:sz w:val="21"/>
                <w:szCs w:val="21"/>
              </w:rPr>
            </w:pPr>
            <w:r w:rsidRPr="009223EE">
              <w:rPr>
                <w:sz w:val="21"/>
                <w:szCs w:val="21"/>
              </w:rPr>
              <w:fldChar w:fldCharType="begin"/>
            </w:r>
            <w:r w:rsidR="00692120">
              <w:rPr>
                <w:sz w:val="21"/>
                <w:szCs w:val="21"/>
              </w:rPr>
              <w:instrText xml:space="preserve"> delta_docName  \* MERGEFORMAT</w:instrText>
            </w:r>
            <w:r w:rsidRPr="009223EE">
              <w:rPr>
                <w:sz w:val="21"/>
                <w:szCs w:val="21"/>
              </w:rPr>
              <w:fldChar w:fldCharType="separate"/>
            </w:r>
            <w:r w:rsidR="00692120">
              <w:rPr>
                <w:sz w:val="21"/>
                <w:szCs w:val="21"/>
              </w:rPr>
              <w:t>Nimemärgise täpsustatud nõuded ning registreerimise taotlemise, registreerimise, registreeringu kehtivusaja pikendamise, muutmise, kehtetuks tunnistamise ja keeldumise kord</w:t>
            </w:r>
            <w:r w:rsidRPr="009223EE">
              <w:rPr>
                <w:sz w:val="21"/>
                <w:szCs w:val="21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1C6755EA" w14:textId="77777777" w:rsidR="00566D45" w:rsidRPr="009223EE" w:rsidRDefault="00566D45" w:rsidP="00566D45">
            <w:pPr>
              <w:rPr>
                <w:sz w:val="21"/>
                <w:szCs w:val="21"/>
              </w:rPr>
            </w:pPr>
          </w:p>
        </w:tc>
      </w:tr>
    </w:tbl>
    <w:p w14:paraId="1C6755EC" w14:textId="1E6D03C4" w:rsidR="00493460" w:rsidRPr="009223EE" w:rsidRDefault="00493460" w:rsidP="00493460">
      <w:pPr>
        <w:widowControl/>
        <w:suppressAutoHyphens w:val="0"/>
        <w:spacing w:line="240" w:lineRule="auto"/>
        <w:rPr>
          <w:rFonts w:cs="Mangal"/>
          <w:sz w:val="21"/>
          <w:szCs w:val="21"/>
        </w:rPr>
      </w:pPr>
      <w:r w:rsidRPr="009223EE">
        <w:rPr>
          <w:rFonts w:cs="Mangal"/>
          <w:sz w:val="21"/>
          <w:szCs w:val="21"/>
        </w:rPr>
        <w:t xml:space="preserve">Määrus kehtestatakse </w:t>
      </w:r>
      <w:r w:rsidR="00B133A4" w:rsidRPr="009223EE">
        <w:rPr>
          <w:rFonts w:cs="Mangal"/>
          <w:sz w:val="21"/>
          <w:szCs w:val="21"/>
        </w:rPr>
        <w:t>väärismetalltoodete seaduse § 12 lõike 3 alusel</w:t>
      </w:r>
      <w:r w:rsidRPr="009223EE">
        <w:rPr>
          <w:rFonts w:cs="Mangal"/>
          <w:sz w:val="21"/>
          <w:szCs w:val="21"/>
        </w:rPr>
        <w:t>.</w:t>
      </w:r>
    </w:p>
    <w:p w14:paraId="1C6755ED" w14:textId="77777777" w:rsidR="0018705B" w:rsidRPr="009223EE" w:rsidRDefault="0018705B" w:rsidP="0018705B">
      <w:pPr>
        <w:pStyle w:val="Tekst"/>
        <w:rPr>
          <w:sz w:val="21"/>
          <w:szCs w:val="21"/>
        </w:rPr>
      </w:pPr>
    </w:p>
    <w:p w14:paraId="1735E4E2" w14:textId="77777777" w:rsidR="00B133A4" w:rsidRPr="009223EE" w:rsidRDefault="00B133A4" w:rsidP="00B133A4">
      <w:pPr>
        <w:keepNext/>
        <w:keepLines/>
        <w:widowControl/>
        <w:suppressAutoHyphens w:val="0"/>
        <w:spacing w:after="10" w:line="249" w:lineRule="auto"/>
        <w:ind w:left="-5" w:right="3839" w:hanging="10"/>
        <w:jc w:val="left"/>
        <w:outlineLvl w:val="0"/>
        <w:rPr>
          <w:rFonts w:eastAsia="Times New Roman"/>
          <w:b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b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§ 1. Taotlus </w:t>
      </w:r>
    </w:p>
    <w:p w14:paraId="099A7325" w14:textId="77777777" w:rsidR="00B133A4" w:rsidRPr="009223EE" w:rsidRDefault="00B133A4" w:rsidP="00B133A4">
      <w:pPr>
        <w:widowControl/>
        <w:suppressAutoHyphens w:val="0"/>
        <w:spacing w:line="259" w:lineRule="auto"/>
        <w:jc w:val="left"/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 </w:t>
      </w:r>
    </w:p>
    <w:p w14:paraId="053FF909" w14:textId="77777777" w:rsidR="00B133A4" w:rsidRPr="009223EE" w:rsidRDefault="00B133A4" w:rsidP="00B133A4">
      <w:pPr>
        <w:widowControl/>
        <w:suppressAutoHyphens w:val="0"/>
        <w:spacing w:line="249" w:lineRule="auto"/>
        <w:ind w:left="-5" w:hanging="10"/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Nimemärgise registreerimise, registreeringu muutmise, kehtivusaja pikendamise ja kehtetuks tunnistamise taotluses esitatakse järgmised andmed: </w:t>
      </w:r>
    </w:p>
    <w:p w14:paraId="214DC3DF" w14:textId="77777777" w:rsidR="00B133A4" w:rsidRPr="009223EE" w:rsidRDefault="00B133A4" w:rsidP="00B133A4">
      <w:pPr>
        <w:widowControl/>
        <w:suppressAutoHyphens w:val="0"/>
        <w:spacing w:line="249" w:lineRule="auto"/>
        <w:ind w:left="-5" w:hanging="10"/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1) ettevõtja nimi, registrikood ning telefoninumber, elektronposti aadress ja postiaadress; </w:t>
      </w:r>
    </w:p>
    <w:p w14:paraId="0241704B" w14:textId="505BC978" w:rsidR="00B133A4" w:rsidRPr="009223EE" w:rsidRDefault="00B133A4" w:rsidP="00B133A4">
      <w:pPr>
        <w:widowControl/>
        <w:suppressAutoHyphens w:val="0"/>
        <w:spacing w:line="249" w:lineRule="auto"/>
        <w:ind w:left="-5" w:hanging="10"/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>2) väärismetalltoodete seaduse § 6 lõikes 2 nimetatud ettevõtja tegevusala</w:t>
      </w:r>
      <w:r w:rsidRPr="009223EE">
        <w:rPr>
          <w:rFonts w:ascii="Segoe UI" w:eastAsia="Segoe UI" w:hAnsi="Segoe UI" w:cs="Segoe UI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 </w:t>
      </w:r>
      <w:r w:rsidR="008A6941"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>–</w:t>
      </w:r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 valmistaja või </w:t>
      </w:r>
      <w:proofErr w:type="spellStart"/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>sissevedaja</w:t>
      </w:r>
      <w:proofErr w:type="spellEnd"/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; </w:t>
      </w:r>
    </w:p>
    <w:p w14:paraId="237D8C32" w14:textId="35A90B83" w:rsidR="00B133A4" w:rsidRPr="009223EE" w:rsidRDefault="008A6941" w:rsidP="008871D1">
      <w:pPr>
        <w:widowControl/>
        <w:suppressAutoHyphens w:val="0"/>
        <w:spacing w:line="249" w:lineRule="auto"/>
        <w:ind w:right="2"/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3) </w:t>
      </w:r>
      <w:r w:rsidR="00B133A4"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taotletav toiming; </w:t>
      </w:r>
    </w:p>
    <w:p w14:paraId="22780E52" w14:textId="69C8C18B" w:rsidR="00B133A4" w:rsidRPr="009223EE" w:rsidRDefault="008A6941" w:rsidP="008871D1">
      <w:pPr>
        <w:widowControl/>
        <w:suppressAutoHyphens w:val="0"/>
        <w:spacing w:line="249" w:lineRule="auto"/>
        <w:ind w:right="2"/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4) </w:t>
      </w:r>
      <w:r w:rsidR="00B133A4"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taotluse esitamise kuupäev ja allkiri; </w:t>
      </w:r>
    </w:p>
    <w:p w14:paraId="72CA1416" w14:textId="4DAF74BE" w:rsidR="00B133A4" w:rsidRPr="009223EE" w:rsidRDefault="008A6941" w:rsidP="008871D1">
      <w:pPr>
        <w:widowControl/>
        <w:suppressAutoHyphens w:val="0"/>
        <w:spacing w:line="249" w:lineRule="auto"/>
        <w:ind w:right="2"/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5) </w:t>
      </w:r>
      <w:r w:rsidR="00B133A4"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taotluse allkirjastanud isiku nimi ja vajaduse korral esindusõigust tõendav dokument. </w:t>
      </w:r>
    </w:p>
    <w:p w14:paraId="4D7187F4" w14:textId="77777777" w:rsidR="00B133A4" w:rsidRPr="009223EE" w:rsidRDefault="00B133A4" w:rsidP="00B133A4">
      <w:pPr>
        <w:widowControl/>
        <w:suppressAutoHyphens w:val="0"/>
        <w:spacing w:line="259" w:lineRule="auto"/>
        <w:jc w:val="left"/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b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 </w:t>
      </w:r>
    </w:p>
    <w:p w14:paraId="17796E24" w14:textId="77777777" w:rsidR="00B133A4" w:rsidRPr="009223EE" w:rsidRDefault="00B133A4" w:rsidP="00B133A4">
      <w:pPr>
        <w:keepNext/>
        <w:keepLines/>
        <w:widowControl/>
        <w:suppressAutoHyphens w:val="0"/>
        <w:spacing w:after="10" w:line="249" w:lineRule="auto"/>
        <w:ind w:left="-5" w:right="3839" w:hanging="10"/>
        <w:jc w:val="left"/>
        <w:outlineLvl w:val="0"/>
        <w:rPr>
          <w:rFonts w:eastAsia="Times New Roman"/>
          <w:b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b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§ 2. Nimemärgise kujutis </w:t>
      </w:r>
    </w:p>
    <w:p w14:paraId="28830E08" w14:textId="77777777" w:rsidR="00B133A4" w:rsidRPr="009223EE" w:rsidRDefault="00B133A4" w:rsidP="00B133A4">
      <w:pPr>
        <w:widowControl/>
        <w:suppressAutoHyphens w:val="0"/>
        <w:spacing w:line="259" w:lineRule="auto"/>
        <w:jc w:val="left"/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 </w:t>
      </w:r>
    </w:p>
    <w:p w14:paraId="46BE102A" w14:textId="1E1152B4" w:rsidR="00B133A4" w:rsidRPr="009223EE" w:rsidRDefault="00B133A4" w:rsidP="00B133A4">
      <w:pPr>
        <w:widowControl/>
        <w:suppressAutoHyphens w:val="0"/>
        <w:spacing w:line="249" w:lineRule="auto"/>
        <w:ind w:left="-5" w:hanging="10"/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>Nimemärgist kujutatakse üldiselt kättesaadavat tehnoloogiat kasutades kujul, mis võimaldab esitada nimemärgise Tarbijakaitse ja Tehnilise Järelevalve Ameti järelevalve infosüsteemis viisil, mis on selge, täpne,</w:t>
      </w:r>
      <w:r w:rsidR="003D708A"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 </w:t>
      </w:r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täielik, kergesti kättesaadav, arusaadav, püsiv ja objektiivne. </w:t>
      </w:r>
    </w:p>
    <w:p w14:paraId="047EEB23" w14:textId="77777777" w:rsidR="00B133A4" w:rsidRPr="009223EE" w:rsidRDefault="00B133A4" w:rsidP="00B133A4">
      <w:pPr>
        <w:widowControl/>
        <w:suppressAutoHyphens w:val="0"/>
        <w:spacing w:line="259" w:lineRule="auto"/>
        <w:jc w:val="left"/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b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 </w:t>
      </w:r>
    </w:p>
    <w:p w14:paraId="140F42F5" w14:textId="77777777" w:rsidR="00B133A4" w:rsidRPr="009223EE" w:rsidRDefault="00B133A4" w:rsidP="00B133A4">
      <w:pPr>
        <w:keepNext/>
        <w:keepLines/>
        <w:widowControl/>
        <w:suppressAutoHyphens w:val="0"/>
        <w:spacing w:after="10" w:line="249" w:lineRule="auto"/>
        <w:ind w:left="-5" w:right="3839" w:hanging="10"/>
        <w:jc w:val="left"/>
        <w:outlineLvl w:val="0"/>
        <w:rPr>
          <w:rFonts w:eastAsia="Times New Roman"/>
          <w:b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b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§ 3. Menetlus </w:t>
      </w:r>
    </w:p>
    <w:p w14:paraId="28886F0C" w14:textId="77777777" w:rsidR="00B133A4" w:rsidRPr="009223EE" w:rsidRDefault="00B133A4" w:rsidP="00B133A4">
      <w:pPr>
        <w:widowControl/>
        <w:suppressAutoHyphens w:val="0"/>
        <w:spacing w:line="259" w:lineRule="auto"/>
        <w:jc w:val="left"/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 </w:t>
      </w:r>
    </w:p>
    <w:p w14:paraId="1518E220" w14:textId="799E75FF" w:rsidR="00B133A4" w:rsidRPr="009223EE" w:rsidRDefault="00B133A4" w:rsidP="00B133A4">
      <w:pPr>
        <w:widowControl/>
        <w:suppressAutoHyphens w:val="0"/>
        <w:spacing w:line="249" w:lineRule="auto"/>
        <w:ind w:left="10" w:right="2"/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(1) Tarbijakaitse ja Tehnilise Järelevalve Amet otsustab nimemärgise registreerimise, registreeringu muutmise, kehtetuks tunnistamise või kehtivusaja pikendamise seitsme tööpäeva jooksul arvates taotluse esitamisest. </w:t>
      </w:r>
    </w:p>
    <w:p w14:paraId="76A79307" w14:textId="77777777" w:rsidR="00B133A4" w:rsidRPr="009223EE" w:rsidRDefault="00B133A4" w:rsidP="00B133A4">
      <w:pPr>
        <w:widowControl/>
        <w:suppressAutoHyphens w:val="0"/>
        <w:spacing w:line="259" w:lineRule="auto"/>
        <w:jc w:val="left"/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 xml:space="preserve"> </w:t>
      </w:r>
    </w:p>
    <w:p w14:paraId="15C07698" w14:textId="6ED236CE" w:rsidR="00B133A4" w:rsidRPr="009223EE" w:rsidRDefault="00B133A4" w:rsidP="00B133A4">
      <w:pPr>
        <w:widowControl/>
        <w:suppressAutoHyphens w:val="0"/>
        <w:spacing w:line="249" w:lineRule="auto"/>
        <w:ind w:left="10" w:right="2"/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</w:pPr>
      <w:r w:rsidRPr="009223EE"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  <w:t>(2) Kui taotlus ei vasta väärismetalltoodete seaduses ja käesolevas määruses sätestatud nõuetele, annab Tarbijakaitse ja Tehnilise Järelevalve Amet taotlejale puuduse kõrvaldamiseks vähemalt kahenädalase tähtaja.</w:t>
      </w:r>
    </w:p>
    <w:p w14:paraId="442D2573" w14:textId="77777777" w:rsidR="009223EE" w:rsidRPr="009223EE" w:rsidRDefault="009223EE" w:rsidP="00B133A4">
      <w:pPr>
        <w:widowControl/>
        <w:suppressAutoHyphens w:val="0"/>
        <w:spacing w:line="249" w:lineRule="auto"/>
        <w:ind w:left="10" w:right="2"/>
        <w:rPr>
          <w:rFonts w:eastAsia="Times New Roman"/>
          <w:color w:val="000000"/>
          <w:kern w:val="2"/>
          <w:sz w:val="21"/>
          <w:szCs w:val="21"/>
          <w:lang w:eastAsia="et-EE" w:bidi="ar-SA"/>
          <w14:ligatures w14:val="standardContextual"/>
        </w:rPr>
      </w:pPr>
    </w:p>
    <w:p w14:paraId="47DDA3AD" w14:textId="77777777" w:rsidR="009223EE" w:rsidRDefault="009223EE" w:rsidP="009223EE">
      <w:pPr>
        <w:pStyle w:val="allikirjastajanimi"/>
        <w:tabs>
          <w:tab w:val="left" w:pos="5387"/>
        </w:tabs>
        <w:rPr>
          <w:sz w:val="21"/>
          <w:szCs w:val="21"/>
        </w:rPr>
      </w:pPr>
    </w:p>
    <w:p w14:paraId="1C6755EF" w14:textId="7756613F" w:rsidR="00FA1020" w:rsidRPr="009223EE" w:rsidRDefault="00FA1020" w:rsidP="009223EE">
      <w:pPr>
        <w:pStyle w:val="allikirjastajanimi"/>
        <w:tabs>
          <w:tab w:val="left" w:pos="5387"/>
        </w:tabs>
        <w:rPr>
          <w:sz w:val="21"/>
          <w:szCs w:val="21"/>
        </w:rPr>
      </w:pPr>
      <w:r w:rsidRPr="009223EE">
        <w:rPr>
          <w:sz w:val="21"/>
          <w:szCs w:val="21"/>
        </w:rPr>
        <w:t>(allkirjastatud digitaalselt)</w:t>
      </w:r>
    </w:p>
    <w:p w14:paraId="1C6755F0" w14:textId="25F699D6" w:rsidR="00FA1020" w:rsidRPr="009223EE" w:rsidRDefault="00FA1020" w:rsidP="009223EE">
      <w:pPr>
        <w:tabs>
          <w:tab w:val="left" w:pos="5387"/>
        </w:tabs>
        <w:spacing w:line="240" w:lineRule="auto"/>
        <w:jc w:val="left"/>
        <w:rPr>
          <w:sz w:val="21"/>
          <w:szCs w:val="21"/>
          <w:lang w:eastAsia="en-US" w:bidi="ar-SA"/>
        </w:rPr>
      </w:pPr>
      <w:r w:rsidRPr="009223EE">
        <w:rPr>
          <w:sz w:val="21"/>
          <w:szCs w:val="21"/>
          <w:lang w:eastAsia="en-US" w:bidi="ar-SA"/>
        </w:rPr>
        <w:fldChar w:fldCharType="begin"/>
      </w:r>
      <w:r w:rsidR="00692120">
        <w:rPr>
          <w:sz w:val="21"/>
          <w:szCs w:val="21"/>
          <w:lang w:eastAsia="en-US" w:bidi="ar-SA"/>
        </w:rPr>
        <w:instrText xml:space="preserve"> delta_signerName  \* MERGEFORMAT</w:instrText>
      </w:r>
      <w:r w:rsidRPr="009223EE">
        <w:rPr>
          <w:sz w:val="21"/>
          <w:szCs w:val="21"/>
          <w:lang w:eastAsia="en-US" w:bidi="ar-SA"/>
        </w:rPr>
        <w:fldChar w:fldCharType="separate"/>
      </w:r>
      <w:r w:rsidR="00692120">
        <w:rPr>
          <w:sz w:val="21"/>
          <w:szCs w:val="21"/>
          <w:lang w:eastAsia="en-US" w:bidi="ar-SA"/>
        </w:rPr>
        <w:t xml:space="preserve">Erkki </w:t>
      </w:r>
      <w:proofErr w:type="spellStart"/>
      <w:r w:rsidR="00692120">
        <w:rPr>
          <w:sz w:val="21"/>
          <w:szCs w:val="21"/>
          <w:lang w:eastAsia="en-US" w:bidi="ar-SA"/>
        </w:rPr>
        <w:t>Keldo</w:t>
      </w:r>
      <w:proofErr w:type="spellEnd"/>
      <w:r w:rsidRPr="009223EE">
        <w:rPr>
          <w:sz w:val="21"/>
          <w:szCs w:val="21"/>
          <w:lang w:eastAsia="en-US" w:bidi="ar-SA"/>
        </w:rPr>
        <w:fldChar w:fldCharType="end"/>
      </w:r>
    </w:p>
    <w:p w14:paraId="1C6755F1" w14:textId="25B0D66E" w:rsidR="00FA1020" w:rsidRPr="009223EE" w:rsidRDefault="00FA1020" w:rsidP="009223EE">
      <w:pPr>
        <w:tabs>
          <w:tab w:val="left" w:pos="5387"/>
        </w:tabs>
        <w:spacing w:line="240" w:lineRule="auto"/>
        <w:jc w:val="left"/>
        <w:rPr>
          <w:sz w:val="21"/>
          <w:szCs w:val="21"/>
          <w:lang w:eastAsia="en-US" w:bidi="ar-SA"/>
        </w:rPr>
      </w:pPr>
      <w:r w:rsidRPr="009223EE">
        <w:rPr>
          <w:sz w:val="21"/>
          <w:szCs w:val="21"/>
          <w:lang w:eastAsia="en-US" w:bidi="ar-SA"/>
        </w:rPr>
        <w:fldChar w:fldCharType="begin"/>
      </w:r>
      <w:r w:rsidR="00692120">
        <w:rPr>
          <w:sz w:val="21"/>
          <w:szCs w:val="21"/>
          <w:lang w:eastAsia="en-US" w:bidi="ar-SA"/>
        </w:rPr>
        <w:instrText xml:space="preserve"> delta_signerJobTitle  \* MERGEFORMAT</w:instrText>
      </w:r>
      <w:r w:rsidRPr="009223EE">
        <w:rPr>
          <w:sz w:val="21"/>
          <w:szCs w:val="21"/>
          <w:lang w:eastAsia="en-US" w:bidi="ar-SA"/>
        </w:rPr>
        <w:fldChar w:fldCharType="separate"/>
      </w:r>
      <w:r w:rsidR="00692120">
        <w:rPr>
          <w:sz w:val="21"/>
          <w:szCs w:val="21"/>
          <w:lang w:eastAsia="en-US" w:bidi="ar-SA"/>
        </w:rPr>
        <w:t>majandus- ja tööstusminister</w:t>
      </w:r>
      <w:r w:rsidRPr="009223EE">
        <w:rPr>
          <w:sz w:val="21"/>
          <w:szCs w:val="21"/>
          <w:lang w:eastAsia="en-US" w:bidi="ar-SA"/>
        </w:rPr>
        <w:fldChar w:fldCharType="end"/>
      </w:r>
    </w:p>
    <w:p w14:paraId="3BA3007C" w14:textId="77777777" w:rsidR="009223EE" w:rsidRDefault="009223EE" w:rsidP="00257A47">
      <w:pPr>
        <w:spacing w:line="240" w:lineRule="auto"/>
        <w:jc w:val="left"/>
        <w:rPr>
          <w:sz w:val="21"/>
          <w:szCs w:val="21"/>
          <w:lang w:eastAsia="en-US" w:bidi="ar-SA"/>
        </w:rPr>
      </w:pPr>
    </w:p>
    <w:p w14:paraId="6256B921" w14:textId="77777777" w:rsidR="009223EE" w:rsidRPr="009223EE" w:rsidRDefault="009223EE" w:rsidP="00257A47">
      <w:pPr>
        <w:spacing w:line="240" w:lineRule="auto"/>
        <w:jc w:val="left"/>
        <w:rPr>
          <w:sz w:val="21"/>
          <w:szCs w:val="21"/>
          <w:lang w:eastAsia="en-US" w:bidi="ar-SA"/>
        </w:rPr>
      </w:pPr>
    </w:p>
    <w:p w14:paraId="1C6755F4" w14:textId="3E1EB8C4" w:rsidR="00257A47" w:rsidRPr="009223EE" w:rsidRDefault="00257A47" w:rsidP="00257A47">
      <w:pPr>
        <w:spacing w:line="240" w:lineRule="auto"/>
        <w:jc w:val="left"/>
        <w:rPr>
          <w:sz w:val="21"/>
          <w:szCs w:val="21"/>
          <w:lang w:eastAsia="en-US" w:bidi="ar-SA"/>
        </w:rPr>
      </w:pPr>
      <w:r w:rsidRPr="009223EE">
        <w:rPr>
          <w:sz w:val="21"/>
          <w:szCs w:val="21"/>
          <w:lang w:eastAsia="en-US" w:bidi="ar-SA"/>
        </w:rPr>
        <w:t>(allkirjastatud digitaalselt)</w:t>
      </w:r>
    </w:p>
    <w:p w14:paraId="1C6755F6" w14:textId="4EA4A457" w:rsidR="00257A47" w:rsidRDefault="00257A47" w:rsidP="009223EE">
      <w:pPr>
        <w:spacing w:after="360" w:line="240" w:lineRule="auto"/>
        <w:jc w:val="left"/>
        <w:rPr>
          <w:lang w:eastAsia="en-US" w:bidi="ar-SA"/>
        </w:rPr>
      </w:pPr>
      <w:r w:rsidRPr="009223EE">
        <w:rPr>
          <w:sz w:val="21"/>
          <w:szCs w:val="21"/>
          <w:lang w:eastAsia="en-US" w:bidi="ar-SA"/>
        </w:rPr>
        <w:fldChar w:fldCharType="begin"/>
      </w:r>
      <w:r w:rsidR="00692120">
        <w:rPr>
          <w:sz w:val="21"/>
          <w:szCs w:val="21"/>
          <w:lang w:eastAsia="en-US" w:bidi="ar-SA"/>
        </w:rPr>
        <w:instrText xml:space="preserve"> delta_secondsignerName  \* MERGEFORMAT</w:instrText>
      </w:r>
      <w:r w:rsidRPr="009223EE">
        <w:rPr>
          <w:sz w:val="21"/>
          <w:szCs w:val="21"/>
          <w:lang w:eastAsia="en-US" w:bidi="ar-SA"/>
        </w:rPr>
        <w:fldChar w:fldCharType="separate"/>
      </w:r>
      <w:r w:rsidR="00692120">
        <w:rPr>
          <w:sz w:val="21"/>
          <w:szCs w:val="21"/>
          <w:lang w:eastAsia="en-US" w:bidi="ar-SA"/>
        </w:rPr>
        <w:t>Ahti Kuningas</w:t>
      </w:r>
      <w:r w:rsidRPr="009223EE">
        <w:rPr>
          <w:sz w:val="21"/>
          <w:szCs w:val="21"/>
          <w:lang w:eastAsia="en-US" w:bidi="ar-SA"/>
        </w:rPr>
        <w:fldChar w:fldCharType="end"/>
      </w:r>
      <w:r w:rsidRPr="009223EE">
        <w:rPr>
          <w:sz w:val="21"/>
          <w:szCs w:val="21"/>
          <w:lang w:eastAsia="en-US" w:bidi="ar-SA"/>
        </w:rPr>
        <w:br/>
      </w:r>
      <w:r w:rsidRPr="009223EE">
        <w:rPr>
          <w:sz w:val="22"/>
          <w:szCs w:val="22"/>
          <w:lang w:eastAsia="en-US" w:bidi="ar-SA"/>
        </w:rPr>
        <w:fldChar w:fldCharType="begin"/>
      </w:r>
      <w:r w:rsidR="00692120">
        <w:rPr>
          <w:sz w:val="22"/>
          <w:szCs w:val="22"/>
          <w:lang w:eastAsia="en-US" w:bidi="ar-SA"/>
        </w:rPr>
        <w:instrText xml:space="preserve"> delta_secondsignerJobTitle  \* MERGEFORMAT</w:instrText>
      </w:r>
      <w:r w:rsidRPr="009223EE">
        <w:rPr>
          <w:sz w:val="22"/>
          <w:szCs w:val="22"/>
          <w:lang w:eastAsia="en-US" w:bidi="ar-SA"/>
        </w:rPr>
        <w:fldChar w:fldCharType="separate"/>
      </w:r>
      <w:r w:rsidR="00692120">
        <w:rPr>
          <w:sz w:val="22"/>
          <w:szCs w:val="22"/>
          <w:lang w:eastAsia="en-US" w:bidi="ar-SA"/>
        </w:rPr>
        <w:t>kantsler</w:t>
      </w:r>
      <w:r w:rsidRPr="009223EE">
        <w:rPr>
          <w:sz w:val="22"/>
          <w:szCs w:val="22"/>
          <w:lang w:eastAsia="en-US" w:bidi="ar-SA"/>
        </w:rPr>
        <w:fldChar w:fldCharType="end"/>
      </w:r>
    </w:p>
    <w:sectPr w:rsidR="00257A47" w:rsidSect="00AC6187">
      <w:headerReference w:type="default" r:id="rId9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755FB" w14:textId="77777777" w:rsidR="00BD0540" w:rsidRDefault="00BD0540" w:rsidP="00DF44DF">
      <w:r>
        <w:separator/>
      </w:r>
    </w:p>
  </w:endnote>
  <w:endnote w:type="continuationSeparator" w:id="0">
    <w:p w14:paraId="1C6755FC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755F9" w14:textId="77777777" w:rsidR="00BD0540" w:rsidRDefault="00BD0540" w:rsidP="00DF44DF">
      <w:r>
        <w:separator/>
      </w:r>
    </w:p>
  </w:footnote>
  <w:footnote w:type="continuationSeparator" w:id="0">
    <w:p w14:paraId="1C6755FA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053097"/>
      <w:docPartObj>
        <w:docPartGallery w:val="Page Numbers (Top of Page)"/>
        <w:docPartUnique/>
      </w:docPartObj>
    </w:sdtPr>
    <w:sdtEndPr/>
    <w:sdtContent>
      <w:p w14:paraId="1C6755FD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870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6755FE" w14:textId="77777777" w:rsidR="00110BCA" w:rsidRDefault="00110BC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42D0E"/>
    <w:multiLevelType w:val="hybridMultilevel"/>
    <w:tmpl w:val="5C3024AA"/>
    <w:lvl w:ilvl="0" w:tplc="D276929E">
      <w:start w:val="1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8C6E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9C839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68BF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F82C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96AB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98EE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68CD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BCBC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8407C3"/>
    <w:multiLevelType w:val="hybridMultilevel"/>
    <w:tmpl w:val="C5C4AB84"/>
    <w:lvl w:ilvl="0" w:tplc="586ED6A2">
      <w:start w:val="3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6EB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3674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C4A2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B43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CA9D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2C97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C42B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074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603393">
    <w:abstractNumId w:val="1"/>
  </w:num>
  <w:num w:numId="2" w16cid:durableId="230041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4665A"/>
    <w:rsid w:val="00060947"/>
    <w:rsid w:val="00073127"/>
    <w:rsid w:val="000913FC"/>
    <w:rsid w:val="000E4F8D"/>
    <w:rsid w:val="00110BCA"/>
    <w:rsid w:val="00124999"/>
    <w:rsid w:val="0018705B"/>
    <w:rsid w:val="001A69A5"/>
    <w:rsid w:val="001A7D04"/>
    <w:rsid w:val="001C1892"/>
    <w:rsid w:val="001D4CFB"/>
    <w:rsid w:val="002008A2"/>
    <w:rsid w:val="00222077"/>
    <w:rsid w:val="0022269C"/>
    <w:rsid w:val="00257A47"/>
    <w:rsid w:val="0026456A"/>
    <w:rsid w:val="00273557"/>
    <w:rsid w:val="0027504F"/>
    <w:rsid w:val="002835BB"/>
    <w:rsid w:val="00293449"/>
    <w:rsid w:val="002F254F"/>
    <w:rsid w:val="00354059"/>
    <w:rsid w:val="003642B9"/>
    <w:rsid w:val="00392A07"/>
    <w:rsid w:val="00394DCB"/>
    <w:rsid w:val="003A1788"/>
    <w:rsid w:val="003B2A9C"/>
    <w:rsid w:val="003B4D7F"/>
    <w:rsid w:val="003D708A"/>
    <w:rsid w:val="0041708A"/>
    <w:rsid w:val="00435A13"/>
    <w:rsid w:val="0044084D"/>
    <w:rsid w:val="0047547D"/>
    <w:rsid w:val="00493460"/>
    <w:rsid w:val="004A3512"/>
    <w:rsid w:val="004A4AF3"/>
    <w:rsid w:val="004C1391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E3AED"/>
    <w:rsid w:val="005E45BB"/>
    <w:rsid w:val="00602834"/>
    <w:rsid w:val="00680609"/>
    <w:rsid w:val="00692120"/>
    <w:rsid w:val="006E16BD"/>
    <w:rsid w:val="006F2FE9"/>
    <w:rsid w:val="006F3BB9"/>
    <w:rsid w:val="006F72D7"/>
    <w:rsid w:val="007056E1"/>
    <w:rsid w:val="00713327"/>
    <w:rsid w:val="0075695A"/>
    <w:rsid w:val="0076054B"/>
    <w:rsid w:val="00793A3C"/>
    <w:rsid w:val="007A1DE8"/>
    <w:rsid w:val="007A4337"/>
    <w:rsid w:val="007D54FC"/>
    <w:rsid w:val="007E3A34"/>
    <w:rsid w:val="007E666B"/>
    <w:rsid w:val="007F55B0"/>
    <w:rsid w:val="00831292"/>
    <w:rsid w:val="00835858"/>
    <w:rsid w:val="008861F8"/>
    <w:rsid w:val="008871D1"/>
    <w:rsid w:val="008919F2"/>
    <w:rsid w:val="008A6941"/>
    <w:rsid w:val="008D4634"/>
    <w:rsid w:val="008E0C31"/>
    <w:rsid w:val="008F0B50"/>
    <w:rsid w:val="00914B2C"/>
    <w:rsid w:val="0091786B"/>
    <w:rsid w:val="009223EE"/>
    <w:rsid w:val="00932CDE"/>
    <w:rsid w:val="009370A4"/>
    <w:rsid w:val="009709A8"/>
    <w:rsid w:val="00986BA8"/>
    <w:rsid w:val="00996E9F"/>
    <w:rsid w:val="009A187A"/>
    <w:rsid w:val="009C4A9A"/>
    <w:rsid w:val="009E7F4A"/>
    <w:rsid w:val="00A10E66"/>
    <w:rsid w:val="00A1244E"/>
    <w:rsid w:val="00A2604B"/>
    <w:rsid w:val="00AC6187"/>
    <w:rsid w:val="00AD2EA7"/>
    <w:rsid w:val="00AD32C2"/>
    <w:rsid w:val="00B133A4"/>
    <w:rsid w:val="00B358EA"/>
    <w:rsid w:val="00BA16DC"/>
    <w:rsid w:val="00BC1A62"/>
    <w:rsid w:val="00BD0540"/>
    <w:rsid w:val="00BD078E"/>
    <w:rsid w:val="00BD3CCF"/>
    <w:rsid w:val="00BF4D7C"/>
    <w:rsid w:val="00C24F66"/>
    <w:rsid w:val="00C27B07"/>
    <w:rsid w:val="00C41FC5"/>
    <w:rsid w:val="00C83346"/>
    <w:rsid w:val="00C90E39"/>
    <w:rsid w:val="00CA583B"/>
    <w:rsid w:val="00CA5F0B"/>
    <w:rsid w:val="00CF2B77"/>
    <w:rsid w:val="00CF4303"/>
    <w:rsid w:val="00D40650"/>
    <w:rsid w:val="00D559F8"/>
    <w:rsid w:val="00D67D59"/>
    <w:rsid w:val="00D8202D"/>
    <w:rsid w:val="00D973A5"/>
    <w:rsid w:val="00DF382E"/>
    <w:rsid w:val="00DF44DF"/>
    <w:rsid w:val="00E023F6"/>
    <w:rsid w:val="00E03DBB"/>
    <w:rsid w:val="00EF4C47"/>
    <w:rsid w:val="00F25A4E"/>
    <w:rsid w:val="00F7675D"/>
    <w:rsid w:val="00F9645B"/>
    <w:rsid w:val="00FA1020"/>
    <w:rsid w:val="00FB3279"/>
    <w:rsid w:val="00FE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1C6755E0"/>
  <w15:docId w15:val="{A6643CCA-3AE4-47CD-A0BF-A62E037B3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styleId="Loendilik">
    <w:name w:val="List Paragraph"/>
    <w:basedOn w:val="Normaallaad"/>
    <w:uiPriority w:val="34"/>
    <w:qFormat/>
    <w:rsid w:val="00B133A4"/>
    <w:pPr>
      <w:ind w:left="720"/>
      <w:contextualSpacing/>
    </w:pPr>
    <w:rPr>
      <w:rFonts w:cs="Mangal"/>
      <w:szCs w:val="21"/>
    </w:rPr>
  </w:style>
  <w:style w:type="paragraph" w:styleId="Redaktsioon">
    <w:name w:val="Revision"/>
    <w:hidden/>
    <w:uiPriority w:val="99"/>
    <w:semiHidden/>
    <w:rsid w:val="006F2FE9"/>
    <w:rPr>
      <w:rFonts w:eastAsia="SimSun" w:cs="Mangal"/>
      <w:kern w:val="1"/>
      <w:sz w:val="24"/>
      <w:szCs w:val="21"/>
      <w:lang w:eastAsia="zh-CN" w:bidi="hi-IN"/>
    </w:rPr>
  </w:style>
  <w:style w:type="character" w:styleId="Kommentaariviide">
    <w:name w:val="annotation reference"/>
    <w:basedOn w:val="Liguvaikefont"/>
    <w:uiPriority w:val="99"/>
    <w:semiHidden/>
    <w:unhideWhenUsed/>
    <w:rsid w:val="008A694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A6941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A6941"/>
    <w:rPr>
      <w:rFonts w:eastAsia="SimSun" w:cs="Mangal"/>
      <w:kern w:val="1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A694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A6941"/>
    <w:rPr>
      <w:rFonts w:eastAsia="SimSun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339756D-CD4E-4123-AD1D-5347F018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1663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 - RAM</cp:lastModifiedBy>
  <cp:revision>2</cp:revision>
  <cp:lastPrinted>2014-04-02T13:57:00Z</cp:lastPrinted>
  <dcterms:created xsi:type="dcterms:W3CDTF">2025-09-19T09:58:00Z</dcterms:created>
  <dcterms:modified xsi:type="dcterms:W3CDTF">2025-09-19T09:58:00Z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2025-08-28T12:06:50Z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14d96209-ded0-4530-89f2-07f7e0c45cb3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