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Oru koolibussi liin — vastavuskontroll ja busside nimekiri</w:t>
      </w:r>
    </w:p>
    <w:p>
      <w:pPr>
        <w:spacing w:after="200"/>
      </w:pPr>
      <w:r>
        <w:rPr>
          <w:i/>
          <w:iCs/>
          <w:sz w:val="20"/>
          <w:szCs w:val="20"/>
        </w:rPr>
        <w:t xml:space="preserve">Riigihange „Kohtla-Järve linna koolibussi teenuse osutamine 2026/2027</w:t>
      </w:r>
    </w:p>
    <w:p>
      <w:pPr>
        <w:pStyle w:val="Heading2"/>
      </w:pPr>
      <w:r>
        <w:t xml:space="preserve">1. Vastavuskontrolli kokkuvõte</w:t>
      </w:r>
    </w:p>
    <w:p>
      <w:pPr>
        <w:spacing w:after="160"/>
      </w:pPr>
      <w:r>
        <w:rPr>
          <w:sz w:val="22"/>
          <w:szCs w:val="22"/>
        </w:rPr>
        <w:t xml:space="preserve">Võrreldi 2026/2027. õppeaasta lepingu ja tehnilise kirjelduse mustandeid eelmise, juba võidetud hanke (viitenumber 298096, 2025/2026 õa) dokumentidega. Sisu on kahe aasta lõikes sisuliselt muutumatu — erinevused piirduvad kuupäevade (leping 02.09.2026–08.06.2027, uued koolivaheajad) ja mõne sõnastusliku täpsustusega. Hindamiskriteeriumid (hind 100%), kõrvaldamisalused, kvalifitseerimistingimused ja vastavustingimused eeldatavasti samad.</w:t>
      </w:r>
    </w:p>
    <w:p>
      <w:pPr>
        <w:spacing w:after="160"/>
      </w:pPr>
      <w:r>
        <w:rPr>
          <w:sz w:val="22"/>
          <w:szCs w:val="22"/>
        </w:rPr>
        <w:t xml:space="preserve">Sõiduplaan ja tehniline kirjeldus on kooskõlas: liini pikkus (Oru–Keskus–Iidla–Ahtme kaubakeskus–Ahtme põhikool) 16,6 km vastab tehnilises kirjelduses nõutule.</w:t>
      </w:r>
    </w:p>
    <w:p>
      <w:pPr>
        <w:spacing w:after="160"/>
      </w:pPr>
      <w:r>
        <w:rPr>
          <w:sz w:val="22"/>
          <w:szCs w:val="22"/>
        </w:rPr>
        <w:t xml:space="preserve">Sõidukite vastavus tehnilise kirjelduse punktile 4 on kontrollitud ja korras: bussid on M3 kategooria, ehitusaastad 2018–2025 jäävad kogu 2026/2027 lepinguperioodi vältel alla 10-aastase vanusepiiri ning liinile on koos tagatud vähemalt 55 istekohta (busse saab liinil kombineerida).</w:t>
      </w:r>
    </w:p>
    <w:p>
      <w:pPr>
        <w:pStyle w:val="Heading2"/>
      </w:pPr>
      <w:r>
        <w:t xml:space="preserve">2. Busside nimekiri (tehnilise kirjelduse p. 4.2 ja vastavustingimuste kohaselt)</w:t>
      </w:r>
    </w:p>
    <w:p>
      <w:pPr>
        <w:spacing w:after="160"/>
      </w:pPr>
      <w:r>
        <w:rPr>
          <w:sz w:val="22"/>
          <w:szCs w:val="22"/>
        </w:rPr>
        <w:t xml:space="preserve"/>
      </w:r>
    </w:p>
    <w:tbl>
      <w:tblPr>
        <w:tblW w:type="dxa" w:w="10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100"/>
        <w:gridCol w:w="1300"/>
        <w:gridCol w:w="1500"/>
        <w:gridCol w:w="1000"/>
        <w:gridCol w:w="900"/>
        <w:gridCol w:w="1200"/>
        <w:gridCol w:w="1000"/>
        <w:gridCol w:w="1800"/>
      </w:tblGrid>
      <w:tr>
        <w:trPr>
          <w:tblHeader/>
        </w:trPr>
        <w:tc>
          <w:tcPr>
            <w:tcW w:type="dxa" w:w="500"/>
            <w:shd w:fill="D9D9D9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Nr</w:t>
            </w:r>
          </w:p>
        </w:tc>
        <w:tc>
          <w:tcPr>
            <w:tcW w:type="dxa" w:w="1100"/>
            <w:shd w:fill="D9D9D9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Sõiduki reg nr</w:t>
            </w:r>
          </w:p>
        </w:tc>
        <w:tc>
          <w:tcPr>
            <w:tcW w:type="dxa" w:w="1300"/>
            <w:shd w:fill="D9D9D9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Mark</w:t>
            </w:r>
          </w:p>
        </w:tc>
        <w:tc>
          <w:tcPr>
            <w:tcW w:type="dxa" w:w="1500"/>
            <w:shd w:fill="D9D9D9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Mudel</w:t>
            </w:r>
          </w:p>
        </w:tc>
        <w:tc>
          <w:tcPr>
            <w:tcW w:type="dxa" w:w="1000"/>
            <w:shd w:fill="D9D9D9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Ehitusaasta</w:t>
            </w:r>
          </w:p>
        </w:tc>
        <w:tc>
          <w:tcPr>
            <w:tcW w:type="dxa" w:w="900"/>
            <w:shd w:fill="D9D9D9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Istekohad</w:t>
            </w:r>
          </w:p>
        </w:tc>
        <w:tc>
          <w:tcPr>
            <w:tcW w:type="dxa" w:w="1200"/>
            <w:shd w:fill="D9D9D9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Heitmenorm</w:t>
            </w:r>
          </w:p>
        </w:tc>
        <w:tc>
          <w:tcPr>
            <w:tcW w:type="dxa" w:w="1000"/>
            <w:shd w:fill="D9D9D9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Kategooria</w:t>
            </w:r>
          </w:p>
        </w:tc>
        <w:tc>
          <w:tcPr>
            <w:tcW w:type="dxa" w:w="1800"/>
            <w:shd w:fill="D9D9D9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Liiklusavariid teise osapoolega (viimased 3 a)</w:t>
            </w:r>
          </w:p>
        </w:tc>
      </w:tr>
      <w:tr>
        <w:tc>
          <w:tcPr>
            <w:tcW w:type="dxa" w:w="500"/>
          </w:tcPr>
          <w:p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1100"/>
          </w:tcPr>
          <w:p>
            <w:r>
              <w:rPr>
                <w:sz w:val="18"/>
                <w:szCs w:val="18"/>
              </w:rPr>
              <w:t xml:space="preserve">047MSF</w:t>
            </w:r>
          </w:p>
        </w:tc>
        <w:tc>
          <w:tcPr>
            <w:tcW w:type="dxa" w:w="1300"/>
          </w:tcPr>
          <w:p>
            <w:r>
              <w:rPr>
                <w:sz w:val="18"/>
                <w:szCs w:val="18"/>
              </w:rPr>
              <w:t xml:space="preserve">IVECO BUS</w:t>
            </w:r>
          </w:p>
        </w:tc>
        <w:tc>
          <w:tcPr>
            <w:tcW w:type="dxa" w:w="1500"/>
          </w:tcPr>
          <w:p>
            <w:r>
              <w:rPr>
                <w:sz w:val="18"/>
                <w:szCs w:val="18"/>
              </w:rPr>
              <w:t xml:space="preserve">CROSSWAY</w:t>
            </w:r>
          </w:p>
        </w:tc>
        <w:tc>
          <w:tcPr>
            <w:tcW w:type="dxa" w:w="1000"/>
          </w:tcPr>
          <w:p>
            <w:r>
              <w:rPr>
                <w:sz w:val="18"/>
                <w:szCs w:val="18"/>
              </w:rPr>
              <w:t xml:space="preserve">2018</w:t>
            </w:r>
          </w:p>
        </w:tc>
        <w:tc>
          <w:tcPr>
            <w:tcW w:type="dxa" w:w="900"/>
          </w:tcPr>
          <w:p>
            <w:r>
              <w:rPr>
                <w:sz w:val="18"/>
                <w:szCs w:val="18"/>
              </w:rPr>
              <w:t xml:space="preserve">62</w:t>
            </w:r>
          </w:p>
        </w:tc>
        <w:tc>
          <w:tcPr>
            <w:tcW w:type="dxa" w:w="1200"/>
          </w:tcPr>
          <w:p>
            <w:r>
              <w:rPr>
                <w:sz w:val="18"/>
                <w:szCs w:val="18"/>
              </w:rPr>
              <w:t xml:space="preserve">EURO6N</w:t>
            </w:r>
          </w:p>
        </w:tc>
        <w:tc>
          <w:tcPr>
            <w:tcW w:type="dxa" w:w="1000"/>
          </w:tcPr>
          <w:p>
            <w:r>
              <w:rPr>
                <w:sz w:val="18"/>
                <w:szCs w:val="18"/>
              </w:rPr>
              <w:t xml:space="preserve">M3</w:t>
            </w:r>
          </w:p>
        </w:tc>
        <w:tc>
          <w:tcPr>
            <w:tcW w:type="dxa" w:w="1800"/>
          </w:tcPr>
          <w:p>
            <w:r>
              <w:rPr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500"/>
          </w:tcPr>
          <w:p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1100"/>
          </w:tcPr>
          <w:p>
            <w:r>
              <w:rPr>
                <w:sz w:val="18"/>
                <w:szCs w:val="18"/>
              </w:rPr>
              <w:t xml:space="preserve">920MSH</w:t>
            </w:r>
          </w:p>
        </w:tc>
        <w:tc>
          <w:tcPr>
            <w:tcW w:type="dxa" w:w="1300"/>
          </w:tcPr>
          <w:p>
            <w:r>
              <w:rPr>
                <w:sz w:val="18"/>
                <w:szCs w:val="18"/>
              </w:rPr>
              <w:t xml:space="preserve">IVECO BUS</w:t>
            </w:r>
          </w:p>
        </w:tc>
        <w:tc>
          <w:tcPr>
            <w:tcW w:type="dxa" w:w="1500"/>
          </w:tcPr>
          <w:p>
            <w:r>
              <w:rPr>
                <w:sz w:val="18"/>
                <w:szCs w:val="18"/>
              </w:rPr>
              <w:t xml:space="preserve">CROSSWAY</w:t>
            </w:r>
          </w:p>
        </w:tc>
        <w:tc>
          <w:tcPr>
            <w:tcW w:type="dxa" w:w="1000"/>
          </w:tcPr>
          <w:p>
            <w:r>
              <w:rPr>
                <w:sz w:val="18"/>
                <w:szCs w:val="18"/>
              </w:rPr>
              <w:t xml:space="preserve">2019</w:t>
            </w:r>
          </w:p>
        </w:tc>
        <w:tc>
          <w:tcPr>
            <w:tcW w:type="dxa" w:w="900"/>
          </w:tcPr>
          <w:p>
            <w:r>
              <w:rPr>
                <w:sz w:val="18"/>
                <w:szCs w:val="18"/>
              </w:rPr>
              <w:t xml:space="preserve">61</w:t>
            </w:r>
          </w:p>
        </w:tc>
        <w:tc>
          <w:tcPr>
            <w:tcW w:type="dxa" w:w="1200"/>
          </w:tcPr>
          <w:p>
            <w:r>
              <w:rPr>
                <w:sz w:val="18"/>
                <w:szCs w:val="18"/>
              </w:rPr>
              <w:t xml:space="preserve">EURO6N</w:t>
            </w:r>
          </w:p>
        </w:tc>
        <w:tc>
          <w:tcPr>
            <w:tcW w:type="dxa" w:w="1000"/>
          </w:tcPr>
          <w:p>
            <w:r>
              <w:rPr>
                <w:sz w:val="18"/>
                <w:szCs w:val="18"/>
              </w:rPr>
              <w:t xml:space="preserve">M3</w:t>
            </w:r>
          </w:p>
        </w:tc>
        <w:tc>
          <w:tcPr>
            <w:tcW w:type="dxa" w:w="1800"/>
          </w:tcPr>
          <w:p>
            <w:r>
              <w:rPr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500"/>
          </w:tcPr>
          <w:p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1100"/>
          </w:tcPr>
          <w:p>
            <w:r>
              <w:rPr>
                <w:sz w:val="18"/>
                <w:szCs w:val="18"/>
              </w:rPr>
              <w:t xml:space="preserve">626CMC</w:t>
            </w:r>
          </w:p>
        </w:tc>
        <w:tc>
          <w:tcPr>
            <w:tcW w:type="dxa" w:w="1300"/>
          </w:tcPr>
          <w:p>
            <w:r>
              <w:rPr>
                <w:sz w:val="18"/>
                <w:szCs w:val="18"/>
              </w:rPr>
              <w:t xml:space="preserve">IVECO BUS</w:t>
            </w:r>
          </w:p>
        </w:tc>
        <w:tc>
          <w:tcPr>
            <w:tcW w:type="dxa" w:w="1500"/>
          </w:tcPr>
          <w:p>
            <w:r>
              <w:rPr>
                <w:sz w:val="18"/>
                <w:szCs w:val="18"/>
              </w:rPr>
              <w:t xml:space="preserve">CROSSWAY</w:t>
            </w:r>
          </w:p>
        </w:tc>
        <w:tc>
          <w:tcPr>
            <w:tcW w:type="dxa" w:w="1000"/>
          </w:tcPr>
          <w:p>
            <w:r>
              <w:rPr>
                <w:sz w:val="18"/>
                <w:szCs w:val="18"/>
              </w:rPr>
              <w:t xml:space="preserve">2025</w:t>
            </w:r>
          </w:p>
        </w:tc>
        <w:tc>
          <w:tcPr>
            <w:tcW w:type="dxa" w:w="900"/>
          </w:tcPr>
          <w:p>
            <w:r>
              <w:rPr>
                <w:sz w:val="18"/>
                <w:szCs w:val="18"/>
              </w:rPr>
              <w:t xml:space="preserve">61</w:t>
            </w:r>
          </w:p>
        </w:tc>
        <w:tc>
          <w:tcPr>
            <w:tcW w:type="dxa" w:w="1200"/>
          </w:tcPr>
          <w:p>
            <w:r>
              <w:rPr>
                <w:sz w:val="18"/>
                <w:szCs w:val="18"/>
              </w:rPr>
              <w:t xml:space="preserve">EURO6N</w:t>
            </w:r>
          </w:p>
        </w:tc>
        <w:tc>
          <w:tcPr>
            <w:tcW w:type="dxa" w:w="1000"/>
          </w:tcPr>
          <w:p>
            <w:r>
              <w:rPr>
                <w:sz w:val="18"/>
                <w:szCs w:val="18"/>
              </w:rPr>
              <w:t xml:space="preserve">M3</w:t>
            </w:r>
          </w:p>
        </w:tc>
        <w:tc>
          <w:tcPr>
            <w:tcW w:type="dxa" w:w="1800"/>
          </w:tcPr>
          <w:p>
            <w:r>
              <w:rPr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500"/>
          </w:tcPr>
          <w:p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1100"/>
          </w:tcPr>
          <w:p>
            <w:r>
              <w:rPr>
                <w:sz w:val="18"/>
                <w:szCs w:val="18"/>
              </w:rPr>
              <w:t xml:space="preserve">221STR</w:t>
            </w:r>
          </w:p>
        </w:tc>
        <w:tc>
          <w:tcPr>
            <w:tcW w:type="dxa" w:w="1300"/>
          </w:tcPr>
          <w:p>
            <w:r>
              <w:rPr>
                <w:sz w:val="18"/>
                <w:szCs w:val="18"/>
              </w:rPr>
              <w:t xml:space="preserve">MAN</w:t>
            </w:r>
          </w:p>
        </w:tc>
        <w:tc>
          <w:tcPr>
            <w:tcW w:type="dxa" w:w="1500"/>
          </w:tcPr>
          <w:p>
            <w:r>
              <w:rPr>
                <w:sz w:val="18"/>
                <w:szCs w:val="18"/>
              </w:rPr>
              <w:t xml:space="preserve">LIONS CITY LLE</w:t>
            </w:r>
          </w:p>
        </w:tc>
        <w:tc>
          <w:tcPr>
            <w:tcW w:type="dxa" w:w="1000"/>
          </w:tcPr>
          <w:p>
            <w:r>
              <w:rPr>
                <w:sz w:val="18"/>
                <w:szCs w:val="18"/>
              </w:rPr>
              <w:t xml:space="preserve">2018</w:t>
            </w:r>
          </w:p>
        </w:tc>
        <w:tc>
          <w:tcPr>
            <w:tcW w:type="dxa" w:w="900"/>
          </w:tcPr>
          <w:p>
            <w:r>
              <w:rPr>
                <w:sz w:val="18"/>
                <w:szCs w:val="18"/>
              </w:rPr>
              <w:t xml:space="preserve">50</w:t>
            </w:r>
          </w:p>
        </w:tc>
        <w:tc>
          <w:tcPr>
            <w:tcW w:type="dxa" w:w="1200"/>
          </w:tcPr>
          <w:p>
            <w:r>
              <w:rPr>
                <w:sz w:val="18"/>
                <w:szCs w:val="18"/>
              </w:rPr>
              <w:t xml:space="preserve">EURO VI C</w:t>
            </w:r>
          </w:p>
        </w:tc>
        <w:tc>
          <w:tcPr>
            <w:tcW w:type="dxa" w:w="1000"/>
          </w:tcPr>
          <w:p>
            <w:r>
              <w:rPr>
                <w:sz w:val="18"/>
                <w:szCs w:val="18"/>
              </w:rPr>
              <w:t xml:space="preserve">M3</w:t>
            </w:r>
          </w:p>
        </w:tc>
        <w:tc>
          <w:tcPr>
            <w:tcW w:type="dxa" w:w="1800"/>
          </w:tcPr>
          <w:p>
            <w:r>
              <w:rPr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500"/>
          </w:tcPr>
          <w:p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1100"/>
          </w:tcPr>
          <w:p>
            <w:r>
              <w:rPr>
                <w:sz w:val="18"/>
                <w:szCs w:val="18"/>
              </w:rPr>
              <w:t xml:space="preserve">239STR</w:t>
            </w:r>
          </w:p>
        </w:tc>
        <w:tc>
          <w:tcPr>
            <w:tcW w:type="dxa" w:w="1300"/>
          </w:tcPr>
          <w:p>
            <w:r>
              <w:rPr>
                <w:sz w:val="18"/>
                <w:szCs w:val="18"/>
              </w:rPr>
              <w:t xml:space="preserve">MAN</w:t>
            </w:r>
          </w:p>
        </w:tc>
        <w:tc>
          <w:tcPr>
            <w:tcW w:type="dxa" w:w="1500"/>
          </w:tcPr>
          <w:p>
            <w:r>
              <w:rPr>
                <w:sz w:val="18"/>
                <w:szCs w:val="18"/>
              </w:rPr>
              <w:t xml:space="preserve">LIONS CITY LLE</w:t>
            </w:r>
          </w:p>
        </w:tc>
        <w:tc>
          <w:tcPr>
            <w:tcW w:type="dxa" w:w="1000"/>
          </w:tcPr>
          <w:p>
            <w:r>
              <w:rPr>
                <w:sz w:val="18"/>
                <w:szCs w:val="18"/>
              </w:rPr>
              <w:t xml:space="preserve">2018</w:t>
            </w:r>
          </w:p>
        </w:tc>
        <w:tc>
          <w:tcPr>
            <w:tcW w:type="dxa" w:w="900"/>
          </w:tcPr>
          <w:p>
            <w:r>
              <w:rPr>
                <w:sz w:val="18"/>
                <w:szCs w:val="18"/>
              </w:rPr>
              <w:t xml:space="preserve">50</w:t>
            </w:r>
          </w:p>
        </w:tc>
        <w:tc>
          <w:tcPr>
            <w:tcW w:type="dxa" w:w="1200"/>
          </w:tcPr>
          <w:p>
            <w:r>
              <w:rPr>
                <w:sz w:val="18"/>
                <w:szCs w:val="18"/>
              </w:rPr>
              <w:t xml:space="preserve">EURO VI C</w:t>
            </w:r>
          </w:p>
        </w:tc>
        <w:tc>
          <w:tcPr>
            <w:tcW w:type="dxa" w:w="1000"/>
          </w:tcPr>
          <w:p>
            <w:r>
              <w:rPr>
                <w:sz w:val="18"/>
                <w:szCs w:val="18"/>
              </w:rPr>
              <w:t xml:space="preserve">M3</w:t>
            </w:r>
          </w:p>
        </w:tc>
        <w:tc>
          <w:tcPr>
            <w:tcW w:type="dxa" w:w="1800"/>
          </w:tcPr>
          <w:p>
            <w:r>
              <w:rPr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500"/>
          </w:tcPr>
          <w:p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1100"/>
          </w:tcPr>
          <w:p>
            <w:r>
              <w:rPr>
                <w:sz w:val="18"/>
                <w:szCs w:val="18"/>
              </w:rPr>
              <w:t xml:space="preserve">550RBB</w:t>
            </w:r>
          </w:p>
        </w:tc>
        <w:tc>
          <w:tcPr>
            <w:tcW w:type="dxa" w:w="1300"/>
          </w:tcPr>
          <w:p>
            <w:r>
              <w:rPr>
                <w:sz w:val="18"/>
                <w:szCs w:val="18"/>
              </w:rPr>
              <w:t xml:space="preserve">MAN</w:t>
            </w:r>
          </w:p>
        </w:tc>
        <w:tc>
          <w:tcPr>
            <w:tcW w:type="dxa" w:w="1500"/>
          </w:tcPr>
          <w:p>
            <w:r>
              <w:rPr>
                <w:sz w:val="18"/>
                <w:szCs w:val="18"/>
              </w:rPr>
              <w:t xml:space="preserve">LIONS CITY LLE</w:t>
            </w:r>
          </w:p>
        </w:tc>
        <w:tc>
          <w:tcPr>
            <w:tcW w:type="dxa" w:w="1000"/>
          </w:tcPr>
          <w:p>
            <w:r>
              <w:rPr>
                <w:sz w:val="18"/>
                <w:szCs w:val="18"/>
              </w:rPr>
              <w:t xml:space="preserve">2018</w:t>
            </w:r>
          </w:p>
        </w:tc>
        <w:tc>
          <w:tcPr>
            <w:tcW w:type="dxa" w:w="900"/>
          </w:tcPr>
          <w:p>
            <w:r>
              <w:rPr>
                <w:sz w:val="18"/>
                <w:szCs w:val="18"/>
              </w:rPr>
              <w:t xml:space="preserve">50</w:t>
            </w:r>
          </w:p>
        </w:tc>
        <w:tc>
          <w:tcPr>
            <w:tcW w:type="dxa" w:w="1200"/>
          </w:tcPr>
          <w:p>
            <w:r>
              <w:rPr>
                <w:sz w:val="18"/>
                <w:szCs w:val="18"/>
              </w:rPr>
              <w:t xml:space="preserve">EURO VI C</w:t>
            </w:r>
          </w:p>
        </w:tc>
        <w:tc>
          <w:tcPr>
            <w:tcW w:type="dxa" w:w="1000"/>
          </w:tcPr>
          <w:p>
            <w:r>
              <w:rPr>
                <w:sz w:val="18"/>
                <w:szCs w:val="18"/>
              </w:rPr>
              <w:t xml:space="preserve">M3</w:t>
            </w:r>
          </w:p>
        </w:tc>
        <w:tc>
          <w:tcPr>
            <w:tcW w:type="dxa" w:w="1800"/>
          </w:tcPr>
          <w:p>
            <w:r>
              <w:rPr>
                <w:sz w:val="18"/>
                <w:szCs w:val="18"/>
              </w:rPr>
              <w:t xml:space="preserve">0</w:t>
            </w:r>
          </w:p>
        </w:tc>
      </w:tr>
    </w:tbl>
    <w:p>
      <w:pPr>
        <w:spacing w:after="120" w:before="200"/>
      </w:pPr>
      <w:r>
        <w:t xml:space="preserve"/>
      </w:r>
    </w:p>
    <w:p>
      <w:pPr>
        <w:spacing w:after="160"/>
      </w:pPr>
      <w:r>
        <w:rPr>
          <w:sz w:val="22"/>
          <w:szCs w:val="22"/>
        </w:rPr>
        <w:t xml:space="preserve">Kinnitus: nimetatud bussidega ei ole viimase kolme aasta jooksul toimunud liiklusavariisid teise osapoolega. Vedaja tagab tehnilise rikke, avarii või muu katkestuse korral asendusbussi saabumise ühe (1) tunni jooksul.</w:t>
      </w:r>
    </w:p>
    <w:sectPr>
      <w:pgSz w:w="11906" w:h="16838" w:orient="portrait"/>
      <w:pgMar w:top="900" w:right="720" w:bottom="9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2026-07-26T10:13:01.386Z</dcterms:created>
  <dcterms:modified xsi:type="dcterms:W3CDTF">2026-07-26T10:13:01.386Z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