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9983" w14:textId="0D622586" w:rsidR="00623BD0" w:rsidRPr="00EF19F1" w:rsidRDefault="00623BD0" w:rsidP="00EF19F1">
      <w:pPr>
        <w:spacing w:after="120" w:line="240" w:lineRule="auto"/>
        <w:rPr>
          <w:rFonts w:ascii="Times New Roman" w:hAnsi="Times New Roman" w:cs="Times New Roman"/>
          <w:lang w:val="et-EE"/>
        </w:rPr>
      </w:pPr>
      <w:r w:rsidRPr="00EF19F1">
        <w:rPr>
          <w:rFonts w:ascii="Times New Roman" w:hAnsi="Times New Roman" w:cs="Times New Roman"/>
          <w:lang w:val="et-EE"/>
        </w:rPr>
        <w:t>Kairit Kirsipuu</w:t>
      </w:r>
      <w:r w:rsidRPr="00EF19F1">
        <w:rPr>
          <w:rFonts w:ascii="Times New Roman" w:hAnsi="Times New Roman" w:cs="Times New Roman"/>
          <w:lang w:val="et-EE"/>
        </w:rPr>
        <w:tab/>
      </w:r>
      <w:r w:rsidRPr="00EF19F1">
        <w:rPr>
          <w:rFonts w:ascii="Times New Roman" w:hAnsi="Times New Roman" w:cs="Times New Roman"/>
          <w:lang w:val="et-EE"/>
        </w:rPr>
        <w:tab/>
      </w:r>
      <w:r w:rsidRPr="00EF19F1">
        <w:rPr>
          <w:rFonts w:ascii="Times New Roman" w:hAnsi="Times New Roman" w:cs="Times New Roman"/>
          <w:lang w:val="et-EE"/>
        </w:rPr>
        <w:tab/>
      </w:r>
      <w:r w:rsidRPr="00EF19F1">
        <w:rPr>
          <w:rFonts w:ascii="Times New Roman" w:hAnsi="Times New Roman" w:cs="Times New Roman"/>
          <w:lang w:val="et-EE"/>
        </w:rPr>
        <w:tab/>
      </w:r>
      <w:r w:rsidRPr="00EF19F1">
        <w:rPr>
          <w:rFonts w:ascii="Times New Roman" w:hAnsi="Times New Roman" w:cs="Times New Roman"/>
          <w:lang w:val="et-EE"/>
        </w:rPr>
        <w:tab/>
      </w:r>
      <w:r w:rsidRPr="00EF19F1">
        <w:rPr>
          <w:rFonts w:ascii="Times New Roman" w:hAnsi="Times New Roman" w:cs="Times New Roman"/>
          <w:lang w:val="et-EE"/>
        </w:rPr>
        <w:tab/>
        <w:t>Teie 07.04.2026 nr 14-3/2399</w:t>
      </w:r>
    </w:p>
    <w:p w14:paraId="72561C5D" w14:textId="5B6BAD63" w:rsidR="008C2AB9" w:rsidRPr="00EF19F1" w:rsidRDefault="00623BD0" w:rsidP="00EF19F1">
      <w:pPr>
        <w:spacing w:after="120" w:line="240" w:lineRule="auto"/>
        <w:rPr>
          <w:rFonts w:ascii="Times New Roman" w:hAnsi="Times New Roman" w:cs="Times New Roman"/>
          <w:lang w:val="et-EE"/>
        </w:rPr>
      </w:pPr>
      <w:r w:rsidRPr="00EF19F1">
        <w:rPr>
          <w:rFonts w:ascii="Times New Roman" w:hAnsi="Times New Roman" w:cs="Times New Roman"/>
          <w:lang w:val="et-EE"/>
        </w:rPr>
        <w:t>Justiits- ja Digiministeerium</w:t>
      </w:r>
    </w:p>
    <w:p w14:paraId="64313A8A" w14:textId="77777777" w:rsidR="00623BD0" w:rsidRPr="00EF19F1" w:rsidRDefault="00623BD0" w:rsidP="00EF19F1">
      <w:pPr>
        <w:spacing w:after="120" w:line="240" w:lineRule="auto"/>
        <w:rPr>
          <w:rFonts w:ascii="Times New Roman" w:hAnsi="Times New Roman" w:cs="Times New Roman"/>
          <w:lang w:val="et-EE"/>
        </w:rPr>
      </w:pPr>
    </w:p>
    <w:p w14:paraId="3CFBE7ED" w14:textId="75BB0C54" w:rsidR="00623BD0" w:rsidRPr="00EF19F1" w:rsidRDefault="00623BD0" w:rsidP="00EF19F1">
      <w:pPr>
        <w:spacing w:after="120" w:line="240" w:lineRule="auto"/>
        <w:jc w:val="both"/>
        <w:rPr>
          <w:rFonts w:ascii="Times New Roman" w:hAnsi="Times New Roman" w:cs="Times New Roman"/>
          <w:b/>
          <w:bCs/>
          <w:lang w:val="et-EE"/>
        </w:rPr>
      </w:pPr>
      <w:r w:rsidRPr="00EF19F1">
        <w:rPr>
          <w:rFonts w:ascii="Times New Roman" w:hAnsi="Times New Roman" w:cs="Times New Roman"/>
          <w:b/>
          <w:bCs/>
          <w:lang w:val="et-EE"/>
        </w:rPr>
        <w:t>Selgitustaotlus</w:t>
      </w:r>
    </w:p>
    <w:p w14:paraId="46744CF8" w14:textId="5FE97E4F"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Pöördu</w:t>
      </w:r>
      <w:r w:rsidR="00B733C1">
        <w:rPr>
          <w:rFonts w:ascii="Times New Roman" w:hAnsi="Times New Roman" w:cs="Times New Roman"/>
          <w:lang w:val="et-EE"/>
        </w:rPr>
        <w:t>me</w:t>
      </w:r>
      <w:r w:rsidRPr="006C0AB5">
        <w:rPr>
          <w:rFonts w:ascii="Times New Roman" w:hAnsi="Times New Roman" w:cs="Times New Roman"/>
          <w:lang w:val="et-EE"/>
        </w:rPr>
        <w:t xml:space="preserve"> Teie poole seoses tekkinud vastuolulise õiguspraktikaga ukraina keelest tõlgitud dokumentide vastuvõtmise osas.</w:t>
      </w:r>
    </w:p>
    <w:p w14:paraId="76B99C7C" w14:textId="3F358942"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Allpool esita</w:t>
      </w:r>
      <w:r w:rsidR="00B733C1">
        <w:rPr>
          <w:rFonts w:ascii="Times New Roman" w:hAnsi="Times New Roman" w:cs="Times New Roman"/>
          <w:lang w:val="et-EE"/>
        </w:rPr>
        <w:t>me</w:t>
      </w:r>
      <w:r w:rsidRPr="006C0AB5">
        <w:rPr>
          <w:rFonts w:ascii="Times New Roman" w:hAnsi="Times New Roman" w:cs="Times New Roman"/>
          <w:lang w:val="et-EE"/>
        </w:rPr>
        <w:t xml:space="preserve"> Politsei- ja Piirivalveamet</w:t>
      </w:r>
      <w:r w:rsidRPr="00EF19F1">
        <w:rPr>
          <w:rFonts w:ascii="Times New Roman" w:hAnsi="Times New Roman" w:cs="Times New Roman"/>
          <w:lang w:val="et-EE"/>
        </w:rPr>
        <w:t>i</w:t>
      </w:r>
      <w:r w:rsidRPr="006C0AB5">
        <w:rPr>
          <w:rFonts w:ascii="Times New Roman" w:hAnsi="Times New Roman" w:cs="Times New Roman"/>
          <w:lang w:val="et-EE"/>
        </w:rPr>
        <w:t xml:space="preserve"> 08.04.2026</w:t>
      </w:r>
      <w:r w:rsidRPr="00EF19F1">
        <w:rPr>
          <w:rFonts w:ascii="Times New Roman" w:hAnsi="Times New Roman" w:cs="Times New Roman"/>
          <w:lang w:val="et-EE"/>
        </w:rPr>
        <w:t>.a.</w:t>
      </w:r>
      <w:r w:rsidRPr="006C0AB5">
        <w:rPr>
          <w:rFonts w:ascii="Times New Roman" w:hAnsi="Times New Roman" w:cs="Times New Roman"/>
          <w:lang w:val="et-EE"/>
        </w:rPr>
        <w:t xml:space="preserve"> vastuse:</w:t>
      </w:r>
    </w:p>
    <w:p w14:paraId="4C5BC0B6" w14:textId="4F84DCDC" w:rsidR="00EF19F1" w:rsidRPr="00EF19F1" w:rsidRDefault="00EF19F1" w:rsidP="00EF19F1">
      <w:pPr>
        <w:spacing w:after="120" w:line="240" w:lineRule="auto"/>
        <w:jc w:val="both"/>
        <w:rPr>
          <w:rFonts w:ascii="Times New Roman" w:hAnsi="Times New Roman" w:cs="Times New Roman"/>
          <w:lang w:val="et-EE"/>
        </w:rPr>
      </w:pPr>
      <w:r>
        <w:rPr>
          <w:rFonts w:ascii="Times New Roman" w:hAnsi="Times New Roman" w:cs="Times New Roman"/>
          <w:i/>
          <w:iCs/>
          <w:lang w:val="et-EE"/>
        </w:rPr>
        <w:t>„</w:t>
      </w:r>
      <w:r w:rsidR="008C2AB9" w:rsidRPr="00EF19F1">
        <w:rPr>
          <w:rFonts w:ascii="Times New Roman" w:hAnsi="Times New Roman" w:cs="Times New Roman"/>
          <w:i/>
          <w:iCs/>
          <w:lang w:val="et-EE"/>
        </w:rPr>
        <w:t>Tere</w:t>
      </w:r>
    </w:p>
    <w:p w14:paraId="5D3CD647" w14:textId="77777777" w:rsidR="00EF19F1"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Võin vaid üle korrata, hetkel lähtub PPA Justiits- ja Digiministeeriumi poolt kinnitatud suunisest.</w:t>
      </w:r>
    </w:p>
    <w:p w14:paraId="3480F991" w14:textId="76FCD9CF" w:rsidR="00EF19F1"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Küsimus on uuesti ministeeriumi tasandil arutusel, aga uue suuniseni ei saa PPA teistsugust vastust Teile anda.</w:t>
      </w:r>
    </w:p>
    <w:p w14:paraId="7E92B94D" w14:textId="4D7249AB" w:rsidR="008C2AB9"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Mina kui taotluse menetleja ei saa ühe konkreetse taotluse lahendamiseks muuta juba kujunenud ja kõrgemal tasandil kinnitatud praktikat. Teie kirjad olid edastatud vahetule juhile.”</w:t>
      </w:r>
    </w:p>
    <w:p w14:paraId="3C9252C2" w14:textId="77777777" w:rsidR="00EF19F1"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Lugupidamisega</w:t>
      </w:r>
    </w:p>
    <w:p w14:paraId="632DD7CE" w14:textId="01F55A35" w:rsidR="00EF19F1"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 xml:space="preserve">Anna-Maria </w:t>
      </w:r>
      <w:proofErr w:type="spellStart"/>
      <w:r w:rsidRPr="00EF19F1">
        <w:rPr>
          <w:rFonts w:ascii="Times New Roman" w:hAnsi="Times New Roman" w:cs="Times New Roman"/>
          <w:i/>
          <w:iCs/>
          <w:lang w:val="et-EE"/>
        </w:rPr>
        <w:t>Iskül</w:t>
      </w:r>
      <w:proofErr w:type="spellEnd"/>
    </w:p>
    <w:p w14:paraId="1875D57C" w14:textId="77777777" w:rsidR="00EF19F1"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vaneminspektor</w:t>
      </w:r>
    </w:p>
    <w:p w14:paraId="5DDBAD57" w14:textId="6E80A1C9" w:rsidR="008C2AB9" w:rsidRPr="00EF19F1" w:rsidRDefault="008C2AB9" w:rsidP="00EF19F1">
      <w:pPr>
        <w:spacing w:after="120" w:line="240" w:lineRule="auto"/>
        <w:jc w:val="both"/>
        <w:rPr>
          <w:rFonts w:ascii="Times New Roman" w:hAnsi="Times New Roman" w:cs="Times New Roman"/>
          <w:lang w:val="et-EE"/>
        </w:rPr>
      </w:pPr>
      <w:r w:rsidRPr="00EF19F1">
        <w:rPr>
          <w:rFonts w:ascii="Times New Roman" w:hAnsi="Times New Roman" w:cs="Times New Roman"/>
          <w:i/>
          <w:iCs/>
          <w:lang w:val="et-EE"/>
        </w:rPr>
        <w:t>Põhja prefektuur</w:t>
      </w:r>
      <w:r w:rsidR="00EF19F1">
        <w:rPr>
          <w:rFonts w:ascii="Times New Roman" w:hAnsi="Times New Roman" w:cs="Times New Roman"/>
          <w:i/>
          <w:iCs/>
          <w:lang w:val="et-EE"/>
        </w:rPr>
        <w:t>“</w:t>
      </w:r>
    </w:p>
    <w:p w14:paraId="73BC7A8D" w14:textId="77777777" w:rsidR="00EF19F1" w:rsidRDefault="00EF19F1" w:rsidP="00EF19F1">
      <w:pPr>
        <w:spacing w:after="120" w:line="240" w:lineRule="auto"/>
        <w:jc w:val="both"/>
        <w:rPr>
          <w:rFonts w:ascii="Times New Roman" w:hAnsi="Times New Roman" w:cs="Times New Roman"/>
          <w:lang w:val="et-EE"/>
        </w:rPr>
      </w:pPr>
    </w:p>
    <w:p w14:paraId="573648D2" w14:textId="65637B01"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Pea</w:t>
      </w:r>
      <w:r w:rsidR="00B733C1">
        <w:rPr>
          <w:rFonts w:ascii="Times New Roman" w:hAnsi="Times New Roman" w:cs="Times New Roman"/>
          <w:lang w:val="et-EE"/>
        </w:rPr>
        <w:t>me</w:t>
      </w:r>
      <w:r w:rsidRPr="006C0AB5">
        <w:rPr>
          <w:rFonts w:ascii="Times New Roman" w:hAnsi="Times New Roman" w:cs="Times New Roman"/>
          <w:lang w:val="et-EE"/>
        </w:rPr>
        <w:t xml:space="preserve"> vajalikuks juhtida tähelepanu järgmisele.</w:t>
      </w:r>
    </w:p>
    <w:p w14:paraId="58947AE0" w14:textId="77777777"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 xml:space="preserve">Eestis on reguleeritud vandetõlkide tegevus. </w:t>
      </w:r>
      <w:r w:rsidRPr="006C0AB5">
        <w:rPr>
          <w:rFonts w:ascii="Times New Roman" w:hAnsi="Times New Roman" w:cs="Times New Roman"/>
          <w:b/>
          <w:bCs/>
          <w:lang w:val="et-EE"/>
        </w:rPr>
        <w:t>Vandetõlge</w:t>
      </w:r>
      <w:r w:rsidRPr="006C0AB5">
        <w:rPr>
          <w:rFonts w:ascii="Times New Roman" w:hAnsi="Times New Roman" w:cs="Times New Roman"/>
          <w:lang w:val="et-EE"/>
        </w:rPr>
        <w:t xml:space="preserve"> tähendab ametlikku tõlget, mille on teinud ja kinnitanud vandetõlk oma kutsetegevuse raames.</w:t>
      </w:r>
    </w:p>
    <w:p w14:paraId="533AD45E" w14:textId="58D9CDDA" w:rsidR="006C0AB5" w:rsidRPr="006C0AB5" w:rsidRDefault="006C0AB5" w:rsidP="00EF19F1">
      <w:pPr>
        <w:spacing w:after="120" w:line="240" w:lineRule="auto"/>
        <w:jc w:val="both"/>
        <w:rPr>
          <w:rFonts w:ascii="Times New Roman" w:hAnsi="Times New Roman" w:cs="Times New Roman"/>
          <w:i/>
          <w:iCs/>
          <w:lang w:val="et-EE"/>
        </w:rPr>
      </w:pPr>
      <w:r w:rsidRPr="006C0AB5">
        <w:rPr>
          <w:rFonts w:ascii="Times New Roman" w:hAnsi="Times New Roman" w:cs="Times New Roman"/>
          <w:lang w:val="et-EE"/>
        </w:rPr>
        <w:t xml:space="preserve">Rahvusvahelises praktikas, sealhulgas Ukraina õiguses, on ette </w:t>
      </w:r>
      <w:r w:rsidRPr="006C0AB5">
        <w:rPr>
          <w:rFonts w:ascii="Times New Roman" w:hAnsi="Times New Roman" w:cs="Times New Roman"/>
          <w:b/>
          <w:bCs/>
          <w:lang w:val="et-EE"/>
        </w:rPr>
        <w:t>nähtud tõlke õigsuse notariaalne kinnitamine</w:t>
      </w:r>
      <w:r w:rsidRPr="006C0AB5">
        <w:rPr>
          <w:rFonts w:ascii="Times New Roman" w:hAnsi="Times New Roman" w:cs="Times New Roman"/>
          <w:lang w:val="et-EE"/>
        </w:rPr>
        <w:t>. Ukraina „Notariaadiseaduse“ § 79</w:t>
      </w:r>
      <w:r w:rsidRPr="006C0AB5">
        <w:rPr>
          <w:rFonts w:ascii="Times New Roman" w:hAnsi="Times New Roman" w:cs="Times New Roman"/>
          <w:i/>
          <w:iCs/>
          <w:lang w:val="et-EE"/>
        </w:rPr>
        <w:t xml:space="preserve"> („Tõlke õigsuse kinnitamine“) </w:t>
      </w:r>
      <w:r w:rsidRPr="006C0AB5">
        <w:rPr>
          <w:rFonts w:ascii="Times New Roman" w:hAnsi="Times New Roman" w:cs="Times New Roman"/>
          <w:lang w:val="et-EE"/>
        </w:rPr>
        <w:t>kohaselt</w:t>
      </w:r>
      <w:r w:rsidRPr="006C0AB5">
        <w:rPr>
          <w:rFonts w:ascii="Times New Roman" w:hAnsi="Times New Roman" w:cs="Times New Roman"/>
          <w:i/>
          <w:iCs/>
          <w:lang w:val="et-EE"/>
        </w:rPr>
        <w:t xml:space="preserve"> notar:</w:t>
      </w:r>
    </w:p>
    <w:p w14:paraId="12F1F0B2" w14:textId="77777777" w:rsidR="006C0AB5" w:rsidRPr="006C0AB5" w:rsidRDefault="006C0AB5" w:rsidP="00EF19F1">
      <w:pPr>
        <w:numPr>
          <w:ilvl w:val="0"/>
          <w:numId w:val="3"/>
        </w:numPr>
        <w:spacing w:after="120" w:line="240" w:lineRule="auto"/>
        <w:jc w:val="both"/>
        <w:rPr>
          <w:rFonts w:ascii="Times New Roman" w:hAnsi="Times New Roman" w:cs="Times New Roman"/>
          <w:i/>
          <w:iCs/>
          <w:lang w:val="et-EE"/>
        </w:rPr>
      </w:pPr>
      <w:r w:rsidRPr="006C0AB5">
        <w:rPr>
          <w:rFonts w:ascii="Times New Roman" w:hAnsi="Times New Roman" w:cs="Times New Roman"/>
          <w:i/>
          <w:iCs/>
          <w:lang w:val="et-EE"/>
        </w:rPr>
        <w:t xml:space="preserve">kinnitab dokumendi tõlke õigsuse ühest keelest teise, kui ta valdab vastavaid keeli; või </w:t>
      </w:r>
    </w:p>
    <w:p w14:paraId="66AB8845" w14:textId="77777777" w:rsidR="006C0AB5" w:rsidRPr="006C0AB5" w:rsidRDefault="006C0AB5" w:rsidP="00EF19F1">
      <w:pPr>
        <w:numPr>
          <w:ilvl w:val="0"/>
          <w:numId w:val="3"/>
        </w:numPr>
        <w:spacing w:after="120" w:line="240" w:lineRule="auto"/>
        <w:jc w:val="both"/>
        <w:rPr>
          <w:rFonts w:ascii="Times New Roman" w:hAnsi="Times New Roman" w:cs="Times New Roman"/>
          <w:i/>
          <w:iCs/>
          <w:lang w:val="et-EE"/>
        </w:rPr>
      </w:pPr>
      <w:r w:rsidRPr="006C0AB5">
        <w:rPr>
          <w:rFonts w:ascii="Times New Roman" w:hAnsi="Times New Roman" w:cs="Times New Roman"/>
          <w:i/>
          <w:iCs/>
          <w:lang w:val="et-EE"/>
        </w:rPr>
        <w:t xml:space="preserve">kinnitab tõlke teinud tõlkija allkirja ehtsuse. </w:t>
      </w:r>
    </w:p>
    <w:p w14:paraId="5D97B454" w14:textId="1CB95A72"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 xml:space="preserve">Mõlemad nimetatud variandid on sätestatud samas paragrahvis ning nende eesmärk on kinnitada tõlke vastavust originaalile (tõlke õigsust), erinedes </w:t>
      </w:r>
      <w:r w:rsidRPr="00EF19F1">
        <w:rPr>
          <w:rFonts w:ascii="Times New Roman" w:hAnsi="Times New Roman" w:cs="Times New Roman"/>
          <w:lang w:val="et-EE"/>
        </w:rPr>
        <w:t xml:space="preserve">mitte sisu poolest vaid </w:t>
      </w:r>
      <w:r w:rsidRPr="006C0AB5">
        <w:rPr>
          <w:rFonts w:ascii="Times New Roman" w:hAnsi="Times New Roman" w:cs="Times New Roman"/>
          <w:lang w:val="et-EE"/>
        </w:rPr>
        <w:t xml:space="preserve">üksnes notariaalse kinnitamise </w:t>
      </w:r>
      <w:r w:rsidRPr="006C0AB5">
        <w:rPr>
          <w:rFonts w:ascii="Times New Roman" w:hAnsi="Times New Roman" w:cs="Times New Roman"/>
          <w:u w:val="single"/>
          <w:lang w:val="et-EE"/>
        </w:rPr>
        <w:t>viisi</w:t>
      </w:r>
      <w:r w:rsidRPr="006C0AB5">
        <w:rPr>
          <w:rFonts w:ascii="Times New Roman" w:hAnsi="Times New Roman" w:cs="Times New Roman"/>
          <w:lang w:val="et-EE"/>
        </w:rPr>
        <w:t xml:space="preserve"> poolest.</w:t>
      </w:r>
      <w:r w:rsidRPr="00EF19F1">
        <w:rPr>
          <w:rFonts w:ascii="Times New Roman" w:hAnsi="Times New Roman" w:cs="Times New Roman"/>
          <w:lang w:val="et-EE"/>
        </w:rPr>
        <w:t xml:space="preserve"> </w:t>
      </w:r>
    </w:p>
    <w:p w14:paraId="6B6E5FCA" w14:textId="51F868DB" w:rsidR="008D33D4" w:rsidRPr="008D33D4" w:rsidRDefault="006C0AB5" w:rsidP="00EF19F1">
      <w:pPr>
        <w:spacing w:after="120" w:line="240" w:lineRule="auto"/>
        <w:jc w:val="both"/>
        <w:rPr>
          <w:rFonts w:ascii="Times New Roman" w:hAnsi="Times New Roman" w:cs="Times New Roman"/>
          <w:i/>
          <w:iCs/>
          <w:lang w:val="et-EE"/>
        </w:rPr>
      </w:pPr>
      <w:r w:rsidRPr="006C0AB5">
        <w:rPr>
          <w:rFonts w:ascii="Times New Roman" w:hAnsi="Times New Roman" w:cs="Times New Roman"/>
          <w:b/>
          <w:bCs/>
          <w:lang w:val="et-EE"/>
        </w:rPr>
        <w:t>Kohtupraktika</w:t>
      </w:r>
      <w:r w:rsidRPr="006C0AB5">
        <w:rPr>
          <w:rFonts w:ascii="Times New Roman" w:hAnsi="Times New Roman" w:cs="Times New Roman"/>
          <w:lang w:val="et-EE"/>
        </w:rPr>
        <w:t xml:space="preserve"> kinnitab samuti võimalust aktsepteerida notariaalselt kinnitatud tõlkeid, mis on koostatud välisriigi õiguse kohaselt, sealhulgas Ukraina „Notariaadiseaduse“ § 79 alusel, täies ulatuses</w:t>
      </w:r>
      <w:r w:rsidRPr="00EF19F1">
        <w:rPr>
          <w:rFonts w:ascii="Times New Roman" w:hAnsi="Times New Roman" w:cs="Times New Roman"/>
          <w:lang w:val="et-EE"/>
        </w:rPr>
        <w:t xml:space="preserve">, ilma </w:t>
      </w:r>
      <w:r w:rsidR="00EF19F1" w:rsidRPr="00EF19F1">
        <w:rPr>
          <w:rFonts w:ascii="Times New Roman" w:hAnsi="Times New Roman" w:cs="Times New Roman"/>
          <w:lang w:val="et-EE"/>
        </w:rPr>
        <w:t>piiranguteta</w:t>
      </w:r>
      <w:r w:rsidRPr="006C0AB5">
        <w:rPr>
          <w:rFonts w:ascii="Times New Roman" w:hAnsi="Times New Roman" w:cs="Times New Roman"/>
          <w:lang w:val="et-EE"/>
        </w:rPr>
        <w:t>.</w:t>
      </w:r>
      <w:r w:rsidR="00EF19F1">
        <w:rPr>
          <w:rFonts w:ascii="Times New Roman" w:hAnsi="Times New Roman" w:cs="Times New Roman"/>
          <w:lang w:val="et-EE"/>
        </w:rPr>
        <w:t xml:space="preserve"> </w:t>
      </w:r>
      <w:r w:rsidRPr="00EF19F1">
        <w:rPr>
          <w:rFonts w:ascii="Times New Roman" w:hAnsi="Times New Roman" w:cs="Times New Roman"/>
          <w:lang w:val="et-EE"/>
        </w:rPr>
        <w:t>Nii</w:t>
      </w:r>
      <w:r w:rsidR="008D33D4" w:rsidRPr="008D33D4">
        <w:rPr>
          <w:rFonts w:ascii="Times New Roman" w:hAnsi="Times New Roman" w:cs="Times New Roman"/>
          <w:lang w:val="et-EE"/>
        </w:rPr>
        <w:t>,</w:t>
      </w:r>
      <w:r w:rsidRPr="00EF19F1">
        <w:rPr>
          <w:rFonts w:ascii="Times New Roman" w:hAnsi="Times New Roman" w:cs="Times New Roman"/>
          <w:lang w:val="et-EE"/>
        </w:rPr>
        <w:t xml:space="preserve"> on</w:t>
      </w:r>
      <w:r w:rsidR="008D33D4" w:rsidRPr="008D33D4">
        <w:rPr>
          <w:rFonts w:ascii="Times New Roman" w:hAnsi="Times New Roman" w:cs="Times New Roman"/>
          <w:lang w:val="et-EE"/>
        </w:rPr>
        <w:t xml:space="preserve"> Tartu Ringkonnakohus 13.11.2024 määrus</w:t>
      </w:r>
      <w:r w:rsidRPr="00EF19F1">
        <w:rPr>
          <w:rFonts w:ascii="Times New Roman" w:hAnsi="Times New Roman" w:cs="Times New Roman"/>
          <w:lang w:val="et-EE"/>
        </w:rPr>
        <w:t>es</w:t>
      </w:r>
      <w:r w:rsidR="008D33D4" w:rsidRPr="008D33D4">
        <w:rPr>
          <w:rFonts w:ascii="Times New Roman" w:hAnsi="Times New Roman" w:cs="Times New Roman"/>
          <w:lang w:val="et-EE"/>
        </w:rPr>
        <w:t xml:space="preserve"> tsiviilasjas nr 2-24-9354 </w:t>
      </w:r>
      <w:r w:rsidRPr="00EF19F1">
        <w:rPr>
          <w:rFonts w:ascii="Times New Roman" w:hAnsi="Times New Roman" w:cs="Times New Roman"/>
          <w:lang w:val="et-EE"/>
        </w:rPr>
        <w:t>kinnitanud, et</w:t>
      </w:r>
      <w:r w:rsidR="008D33D4" w:rsidRPr="008D33D4">
        <w:rPr>
          <w:rFonts w:ascii="Times New Roman" w:hAnsi="Times New Roman" w:cs="Times New Roman"/>
          <w:lang w:val="et-EE"/>
        </w:rPr>
        <w:t>:</w:t>
      </w:r>
      <w:r w:rsidR="00EF19F1">
        <w:rPr>
          <w:rFonts w:ascii="Times New Roman" w:hAnsi="Times New Roman" w:cs="Times New Roman"/>
          <w:lang w:val="et-EE"/>
        </w:rPr>
        <w:t xml:space="preserve"> </w:t>
      </w:r>
      <w:r w:rsidR="008D33D4" w:rsidRPr="008D33D4">
        <w:rPr>
          <w:rFonts w:ascii="Times New Roman" w:hAnsi="Times New Roman" w:cs="Times New Roman"/>
          <w:i/>
          <w:iCs/>
          <w:lang w:val="et-EE"/>
        </w:rPr>
        <w:t>„Dokumentide tõlkimisele kehtivad nõuded erinevad riigiti ja kui dokumendi sellisel viisil tõlkimine ja tõlkija allkirja kinnitamine notari poolt on piisav Läti õiguse kohaselt, siis on tegemist välisriigi pädeva ametiisiku tõlkega VTS § 7 lg 2 tähenduses, mida saab (vajadusel koos Eesti vandetõlgi tehtud tõlkega) kasutada ka kinnistamismenetluses.“</w:t>
      </w:r>
    </w:p>
    <w:p w14:paraId="1AFB116C" w14:textId="1AC6E35E"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 xml:space="preserve">Juhime tähelepanu, et </w:t>
      </w:r>
      <w:r w:rsidR="00EF19F1" w:rsidRPr="00EF19F1">
        <w:rPr>
          <w:rFonts w:ascii="Times New Roman" w:hAnsi="Times New Roman" w:cs="Times New Roman"/>
          <w:b/>
          <w:bCs/>
          <w:lang w:val="et-EE"/>
        </w:rPr>
        <w:t>töö</w:t>
      </w:r>
      <w:r w:rsidRPr="006C0AB5">
        <w:rPr>
          <w:rFonts w:ascii="Times New Roman" w:hAnsi="Times New Roman" w:cs="Times New Roman"/>
          <w:b/>
          <w:bCs/>
          <w:lang w:val="et-EE"/>
        </w:rPr>
        <w:t>praktikas</w:t>
      </w:r>
      <w:r w:rsidRPr="006C0AB5">
        <w:rPr>
          <w:rFonts w:ascii="Times New Roman" w:hAnsi="Times New Roman" w:cs="Times New Roman"/>
          <w:lang w:val="et-EE"/>
        </w:rPr>
        <w:t xml:space="preserve"> on Eestis notariaalselt kinnitatud tõlkeid (sealhulgas Ukraina õiguse kohaselt koostatud ja kinnitatud tõlkeid) pika aja jooksul vastu võetud riigiasutuste poolt, </w:t>
      </w:r>
      <w:r w:rsidRPr="006C0AB5">
        <w:rPr>
          <w:rFonts w:ascii="Times New Roman" w:hAnsi="Times New Roman" w:cs="Times New Roman"/>
          <w:lang w:val="et-EE"/>
        </w:rPr>
        <w:lastRenderedPageBreak/>
        <w:t>sealhulgas Politsei- ja Piirivalveamet poolt. Tegemist on märkimisväärse hulga juhtumitega (vähemalt sadadega).</w:t>
      </w:r>
    </w:p>
    <w:p w14:paraId="2CD82A50" w14:textId="4328FAD2" w:rsidR="006C0AB5" w:rsidRPr="006C0AB5" w:rsidRDefault="006C0AB5" w:rsidP="00EF19F1">
      <w:pPr>
        <w:spacing w:after="120" w:line="240" w:lineRule="auto"/>
        <w:jc w:val="both"/>
        <w:rPr>
          <w:rFonts w:ascii="Times New Roman" w:hAnsi="Times New Roman" w:cs="Times New Roman"/>
          <w:lang w:val="et-EE"/>
        </w:rPr>
      </w:pPr>
      <w:r w:rsidRPr="006C0AB5">
        <w:rPr>
          <w:rFonts w:ascii="Times New Roman" w:hAnsi="Times New Roman" w:cs="Times New Roman"/>
          <w:lang w:val="et-EE"/>
        </w:rPr>
        <w:t>Palu</w:t>
      </w:r>
      <w:r w:rsidR="00B733C1">
        <w:rPr>
          <w:rFonts w:ascii="Times New Roman" w:hAnsi="Times New Roman" w:cs="Times New Roman"/>
          <w:lang w:val="et-EE"/>
        </w:rPr>
        <w:t>me</w:t>
      </w:r>
      <w:r w:rsidRPr="006C0AB5">
        <w:rPr>
          <w:rFonts w:ascii="Times New Roman" w:hAnsi="Times New Roman" w:cs="Times New Roman"/>
          <w:lang w:val="et-EE"/>
        </w:rPr>
        <w:t xml:space="preserve"> anda selgitused järgmistes küsimustes:</w:t>
      </w:r>
    </w:p>
    <w:p w14:paraId="7BDBFCE0" w14:textId="2CB4DA16" w:rsidR="006C0AB5" w:rsidRPr="006C0AB5" w:rsidRDefault="006C0AB5" w:rsidP="00EF19F1">
      <w:pPr>
        <w:numPr>
          <w:ilvl w:val="0"/>
          <w:numId w:val="4"/>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Kas notariaalselt kinnitatud tõlgete (sealhulgas välisriigi notari poolt vastavalt selle riigi õigusele kinnitatud tõlgete</w:t>
      </w:r>
      <w:r w:rsidRPr="00EF19F1">
        <w:rPr>
          <w:rFonts w:ascii="Times New Roman" w:hAnsi="Times New Roman" w:cs="Times New Roman"/>
          <w:lang w:val="et-EE"/>
        </w:rPr>
        <w:t xml:space="preserve">, </w:t>
      </w:r>
      <w:r w:rsidR="00EF19F1">
        <w:rPr>
          <w:rFonts w:ascii="Times New Roman" w:hAnsi="Times New Roman" w:cs="Times New Roman"/>
          <w:lang w:val="et-EE"/>
        </w:rPr>
        <w:t xml:space="preserve">sh </w:t>
      </w:r>
      <w:r w:rsidR="00EF19F1" w:rsidRPr="00EF19F1">
        <w:rPr>
          <w:rFonts w:ascii="Times New Roman" w:hAnsi="Times New Roman" w:cs="Times New Roman"/>
          <w:lang w:val="et-EE"/>
        </w:rPr>
        <w:t>va</w:t>
      </w:r>
      <w:r w:rsidR="00EF19F1">
        <w:rPr>
          <w:rFonts w:ascii="Times New Roman" w:hAnsi="Times New Roman" w:cs="Times New Roman"/>
          <w:lang w:val="et-EE"/>
        </w:rPr>
        <w:t xml:space="preserve">stavalt </w:t>
      </w:r>
      <w:r w:rsidR="00EF19F1" w:rsidRPr="00EF19F1">
        <w:rPr>
          <w:rFonts w:ascii="Times New Roman" w:hAnsi="Times New Roman" w:cs="Times New Roman"/>
          <w:lang w:val="et-EE"/>
        </w:rPr>
        <w:t xml:space="preserve">Ukraina „Notariaadiseaduse“ § 79-le, </w:t>
      </w:r>
      <w:r w:rsidR="00EF19F1">
        <w:rPr>
          <w:rFonts w:ascii="Times New Roman" w:hAnsi="Times New Roman" w:cs="Times New Roman"/>
          <w:lang w:val="et-EE"/>
        </w:rPr>
        <w:t>paragrahvi täies ulatuses</w:t>
      </w:r>
      <w:r w:rsidRPr="006C0AB5">
        <w:rPr>
          <w:rFonts w:ascii="Times New Roman" w:hAnsi="Times New Roman" w:cs="Times New Roman"/>
          <w:lang w:val="et-EE"/>
        </w:rPr>
        <w:t>) vastuvõtmi</w:t>
      </w:r>
      <w:r w:rsidRPr="00EF19F1">
        <w:rPr>
          <w:rFonts w:ascii="Times New Roman" w:hAnsi="Times New Roman" w:cs="Times New Roman"/>
          <w:lang w:val="et-EE"/>
        </w:rPr>
        <w:t>ne</w:t>
      </w:r>
      <w:r w:rsidRPr="006C0AB5">
        <w:rPr>
          <w:rFonts w:ascii="Times New Roman" w:hAnsi="Times New Roman" w:cs="Times New Roman"/>
          <w:lang w:val="et-EE"/>
        </w:rPr>
        <w:t xml:space="preserve"> Eesti riigiasutuste poolt on seaduslik? </w:t>
      </w:r>
    </w:p>
    <w:p w14:paraId="418117F5" w14:textId="5B0D3B27" w:rsidR="006C0AB5" w:rsidRPr="006C0AB5" w:rsidRDefault="006C0AB5" w:rsidP="00EF19F1">
      <w:pPr>
        <w:numPr>
          <w:ilvl w:val="0"/>
          <w:numId w:val="4"/>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Juhul kui selline praktika on seaduslik, palu</w:t>
      </w:r>
      <w:r w:rsidRPr="00EF19F1">
        <w:rPr>
          <w:rFonts w:ascii="Times New Roman" w:hAnsi="Times New Roman" w:cs="Times New Roman"/>
          <w:lang w:val="et-EE"/>
        </w:rPr>
        <w:t>n</w:t>
      </w:r>
      <w:r w:rsidRPr="006C0AB5">
        <w:rPr>
          <w:rFonts w:ascii="Times New Roman" w:hAnsi="Times New Roman" w:cs="Times New Roman"/>
          <w:lang w:val="et-EE"/>
        </w:rPr>
        <w:t xml:space="preserve"> seda selgesõnaliselt kinnitada ning vajaduse korral edastada vastavad selgitused Politsei- ja Piirivalveametile, perekonnaseisuasutustele ja teistele asjakohastele asutustele. </w:t>
      </w:r>
    </w:p>
    <w:p w14:paraId="1080F224" w14:textId="7E8C3A00" w:rsidR="006C0AB5" w:rsidRPr="006C0AB5" w:rsidRDefault="006C0AB5" w:rsidP="00EF19F1">
      <w:pPr>
        <w:numPr>
          <w:ilvl w:val="0"/>
          <w:numId w:val="4"/>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Juhul kui selline praktika ei vasta nõuetele, palu</w:t>
      </w:r>
      <w:r w:rsidRPr="00EF19F1">
        <w:rPr>
          <w:rFonts w:ascii="Times New Roman" w:hAnsi="Times New Roman" w:cs="Times New Roman"/>
          <w:lang w:val="et-EE"/>
        </w:rPr>
        <w:t>n</w:t>
      </w:r>
      <w:r w:rsidRPr="006C0AB5">
        <w:rPr>
          <w:rFonts w:ascii="Times New Roman" w:hAnsi="Times New Roman" w:cs="Times New Roman"/>
          <w:lang w:val="et-EE"/>
        </w:rPr>
        <w:t xml:space="preserve"> selgitada: </w:t>
      </w:r>
    </w:p>
    <w:p w14:paraId="3DD60447" w14:textId="29A8C027" w:rsidR="006C0AB5" w:rsidRPr="006C0AB5" w:rsidRDefault="006C0AB5" w:rsidP="00EF19F1">
      <w:pPr>
        <w:numPr>
          <w:ilvl w:val="0"/>
          <w:numId w:val="5"/>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milliste Eesti Vabariigi õigusnormide alusel on lubatud keelduda selliste tõlgete vastuvõtmisest, vaatamata Ukraina „Notariaadiseaduse“ § 79 sätetele, kahepoolsele Eesti Vabariigi ja Ukraina vaheli</w:t>
      </w:r>
      <w:r w:rsidRPr="00EF19F1">
        <w:rPr>
          <w:rFonts w:ascii="Times New Roman" w:hAnsi="Times New Roman" w:cs="Times New Roman"/>
          <w:lang w:val="et-EE"/>
        </w:rPr>
        <w:t xml:space="preserve">sele </w:t>
      </w:r>
      <w:r w:rsidRPr="006C0AB5">
        <w:rPr>
          <w:rFonts w:ascii="Times New Roman" w:hAnsi="Times New Roman" w:cs="Times New Roman"/>
          <w:lang w:val="et-EE"/>
        </w:rPr>
        <w:t>leping</w:t>
      </w:r>
      <w:r w:rsidRPr="00EF19F1">
        <w:rPr>
          <w:rFonts w:ascii="Times New Roman" w:hAnsi="Times New Roman" w:cs="Times New Roman"/>
          <w:lang w:val="et-EE"/>
        </w:rPr>
        <w:t>ule</w:t>
      </w:r>
      <w:r w:rsidRPr="006C0AB5">
        <w:rPr>
          <w:rFonts w:ascii="Times New Roman" w:hAnsi="Times New Roman" w:cs="Times New Roman"/>
          <w:lang w:val="et-EE"/>
        </w:rPr>
        <w:t xml:space="preserve"> õigusabi ja õigussuhete kohta tsiviil- ning kriminaalasjades ning kujunenud kohtupraktikale; </w:t>
      </w:r>
    </w:p>
    <w:p w14:paraId="7904E7D9" w14:textId="27C58D9B" w:rsidR="006C0AB5" w:rsidRPr="006C0AB5" w:rsidRDefault="006C0AB5" w:rsidP="00EF19F1">
      <w:pPr>
        <w:numPr>
          <w:ilvl w:val="0"/>
          <w:numId w:val="5"/>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kuidas tuleb hinnata varasemaid otsuseid, mis on tehtud notariaalselt kinnitatud tõlgete alusel</w:t>
      </w:r>
      <w:r w:rsidRPr="00EF19F1">
        <w:rPr>
          <w:rFonts w:ascii="Times New Roman" w:hAnsi="Times New Roman" w:cs="Times New Roman"/>
          <w:lang w:val="et-EE"/>
        </w:rPr>
        <w:t xml:space="preserve"> ja </w:t>
      </w:r>
      <w:r w:rsidRPr="006C0AB5">
        <w:rPr>
          <w:rFonts w:ascii="Times New Roman" w:hAnsi="Times New Roman" w:cs="Times New Roman"/>
          <w:lang w:val="et-EE"/>
        </w:rPr>
        <w:t xml:space="preserve">milline on nende isikute õiguslik staatus, kelle dokumendid on sellises vormis vastu võetud; </w:t>
      </w:r>
    </w:p>
    <w:p w14:paraId="4C3F6D09" w14:textId="009BAA03" w:rsidR="006C0AB5" w:rsidRPr="006C0AB5" w:rsidRDefault="006C0AB5" w:rsidP="00EF19F1">
      <w:pPr>
        <w:numPr>
          <w:ilvl w:val="0"/>
          <w:numId w:val="5"/>
        </w:numPr>
        <w:spacing w:after="120" w:line="240" w:lineRule="auto"/>
        <w:jc w:val="both"/>
        <w:rPr>
          <w:rFonts w:ascii="Times New Roman" w:hAnsi="Times New Roman" w:cs="Times New Roman"/>
          <w:lang w:val="et-EE"/>
        </w:rPr>
      </w:pPr>
      <w:r w:rsidRPr="006C0AB5">
        <w:rPr>
          <w:rFonts w:ascii="Times New Roman" w:hAnsi="Times New Roman" w:cs="Times New Roman"/>
          <w:lang w:val="et-EE"/>
        </w:rPr>
        <w:t>milline asutus kannab vastutust</w:t>
      </w:r>
      <w:r w:rsidRPr="00EF19F1">
        <w:rPr>
          <w:rFonts w:ascii="Times New Roman" w:hAnsi="Times New Roman" w:cs="Times New Roman"/>
          <w:lang w:val="et-EE"/>
        </w:rPr>
        <w:t xml:space="preserve"> tehtud otsuste eest</w:t>
      </w:r>
      <w:r w:rsidR="00B733C1">
        <w:rPr>
          <w:rFonts w:ascii="Times New Roman" w:hAnsi="Times New Roman" w:cs="Times New Roman"/>
          <w:lang w:val="et-EE"/>
        </w:rPr>
        <w:t>.</w:t>
      </w:r>
    </w:p>
    <w:p w14:paraId="23DF1439" w14:textId="1C9BB321" w:rsidR="008D33D4" w:rsidRPr="00B733C1" w:rsidRDefault="006C0AB5" w:rsidP="00B733C1">
      <w:pPr>
        <w:pStyle w:val="a7"/>
        <w:numPr>
          <w:ilvl w:val="0"/>
          <w:numId w:val="4"/>
        </w:numPr>
        <w:spacing w:after="120" w:line="240" w:lineRule="auto"/>
        <w:jc w:val="both"/>
        <w:rPr>
          <w:rFonts w:ascii="Times New Roman" w:hAnsi="Times New Roman" w:cs="Times New Roman"/>
          <w:i/>
          <w:iCs/>
          <w:lang w:val="et-EE"/>
        </w:rPr>
      </w:pPr>
      <w:r w:rsidRPr="00B733C1">
        <w:rPr>
          <w:rFonts w:ascii="Times New Roman" w:hAnsi="Times New Roman" w:cs="Times New Roman"/>
          <w:lang w:val="et-EE"/>
        </w:rPr>
        <w:t>Palu</w:t>
      </w:r>
      <w:r w:rsidR="00B733C1" w:rsidRPr="00B733C1">
        <w:rPr>
          <w:rFonts w:ascii="Times New Roman" w:hAnsi="Times New Roman" w:cs="Times New Roman"/>
          <w:lang w:val="et-EE"/>
        </w:rPr>
        <w:t>me</w:t>
      </w:r>
      <w:r w:rsidRPr="00B733C1">
        <w:rPr>
          <w:rFonts w:ascii="Times New Roman" w:hAnsi="Times New Roman" w:cs="Times New Roman"/>
          <w:lang w:val="et-EE"/>
        </w:rPr>
        <w:t xml:space="preserve"> samuti selgitada järgmist Justiitsministeeriumi kodulehel avaldatud </w:t>
      </w:r>
      <w:r w:rsidRPr="00B733C1">
        <w:rPr>
          <w:rFonts w:ascii="Times New Roman" w:hAnsi="Times New Roman" w:cs="Times New Roman"/>
          <w:lang w:val="et-EE"/>
        </w:rPr>
        <w:t>teavet</w:t>
      </w:r>
      <w:r w:rsidRPr="00B733C1">
        <w:rPr>
          <w:rFonts w:ascii="Times New Roman" w:hAnsi="Times New Roman" w:cs="Times New Roman"/>
          <w:lang w:val="et-EE"/>
        </w:rPr>
        <w:t>:</w:t>
      </w:r>
      <w:r w:rsidRPr="00B733C1">
        <w:rPr>
          <w:rFonts w:ascii="Times New Roman" w:hAnsi="Times New Roman" w:cs="Times New Roman"/>
          <w:i/>
          <w:iCs/>
          <w:lang w:val="et-EE"/>
        </w:rPr>
        <w:t xml:space="preserve"> „</w:t>
      </w:r>
      <w:r w:rsidR="008D33D4" w:rsidRPr="00B733C1">
        <w:rPr>
          <w:rFonts w:ascii="Times New Roman" w:hAnsi="Times New Roman" w:cs="Times New Roman"/>
          <w:i/>
          <w:iCs/>
          <w:lang w:val="et-EE"/>
        </w:rPr>
        <w:t>Kui Eesti ametiasutusele on vaja esitada võõrkeelsed dokumendid koos tõlkega, kuid selle tõlkesuuna vandetõlki Eestis pole, siis tuleb tõlge kinnitada välisriigi pädeval ametiisikul. Kui see pole võimalik, tuleb dokument tõlkida kõigepealt mõnda enam kasutatavasse keelde (nt inglise, saksa, vene) ja seejärel eesti keelde.</w:t>
      </w:r>
      <w:r w:rsidRPr="00B733C1">
        <w:rPr>
          <w:rFonts w:ascii="Times New Roman" w:hAnsi="Times New Roman" w:cs="Times New Roman"/>
          <w:i/>
          <w:iCs/>
          <w:lang w:val="et-EE"/>
        </w:rPr>
        <w:t>”</w:t>
      </w:r>
      <w:r w:rsidR="00EF19F1" w:rsidRPr="00B733C1">
        <w:rPr>
          <w:rFonts w:ascii="Times New Roman" w:hAnsi="Times New Roman" w:cs="Times New Roman"/>
          <w:i/>
          <w:iCs/>
          <w:lang w:val="et-EE"/>
        </w:rPr>
        <w:t xml:space="preserve"> </w:t>
      </w:r>
      <w:r w:rsidR="00EF19F1" w:rsidRPr="00B733C1">
        <w:rPr>
          <w:rFonts w:ascii="Times New Roman" w:hAnsi="Times New Roman" w:cs="Times New Roman"/>
          <w:lang w:val="et-EE"/>
        </w:rPr>
        <w:t>Palu</w:t>
      </w:r>
      <w:r w:rsidR="00B733C1" w:rsidRPr="00B733C1">
        <w:rPr>
          <w:rFonts w:ascii="Times New Roman" w:hAnsi="Times New Roman" w:cs="Times New Roman"/>
          <w:lang w:val="et-EE"/>
        </w:rPr>
        <w:t>me</w:t>
      </w:r>
      <w:r w:rsidR="00EF19F1" w:rsidRPr="00B733C1">
        <w:rPr>
          <w:rFonts w:ascii="Times New Roman" w:hAnsi="Times New Roman" w:cs="Times New Roman"/>
          <w:lang w:val="et-EE"/>
        </w:rPr>
        <w:t xml:space="preserve"> eraldi täpsustada, kas nimetatud </w:t>
      </w:r>
      <w:r w:rsidR="00EF19F1" w:rsidRPr="00B733C1">
        <w:rPr>
          <w:rFonts w:ascii="Times New Roman" w:hAnsi="Times New Roman" w:cs="Times New Roman"/>
          <w:lang w:val="et-EE"/>
        </w:rPr>
        <w:t>seisukoht</w:t>
      </w:r>
      <w:r w:rsidR="00EF19F1" w:rsidRPr="00B733C1">
        <w:rPr>
          <w:rFonts w:ascii="Times New Roman" w:hAnsi="Times New Roman" w:cs="Times New Roman"/>
          <w:lang w:val="et-EE"/>
        </w:rPr>
        <w:t xml:space="preserve"> laieneb ka tõlgetele, mis on kinnitatud Ukraina notarite poolt vastavalt Ukraina „Notariaadiseaduse“ § 79-le</w:t>
      </w:r>
      <w:r w:rsidR="00EF19F1" w:rsidRPr="00B733C1">
        <w:rPr>
          <w:rFonts w:ascii="Times New Roman" w:hAnsi="Times New Roman" w:cs="Times New Roman"/>
          <w:lang w:val="et-EE"/>
        </w:rPr>
        <w:t>, ilma piiranguteta</w:t>
      </w:r>
      <w:r w:rsidR="00B733C1">
        <w:rPr>
          <w:rFonts w:ascii="Times New Roman" w:hAnsi="Times New Roman" w:cs="Times New Roman"/>
          <w:lang w:val="et-EE"/>
        </w:rPr>
        <w:t>.</w:t>
      </w:r>
    </w:p>
    <w:p w14:paraId="1EDCD145" w14:textId="3A1A9593" w:rsidR="00EF19F1" w:rsidRPr="00EF19F1" w:rsidRDefault="00EF19F1" w:rsidP="00EF19F1">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Täiendavalt täna</w:t>
      </w:r>
      <w:r w:rsidR="00AB21C2">
        <w:rPr>
          <w:rFonts w:ascii="Times New Roman" w:hAnsi="Times New Roman" w:cs="Times New Roman"/>
          <w:lang w:val="et-EE"/>
        </w:rPr>
        <w:t>me</w:t>
      </w:r>
      <w:r w:rsidRPr="00EF19F1">
        <w:rPr>
          <w:rFonts w:ascii="Times New Roman" w:hAnsi="Times New Roman" w:cs="Times New Roman"/>
          <w:lang w:val="et-EE"/>
        </w:rPr>
        <w:t xml:space="preserve"> vandetõlkide eksami korraldamise eest. Komisjoni liikmete kandidaadid on edastatud. Palu</w:t>
      </w:r>
      <w:r w:rsidR="00AB21C2">
        <w:rPr>
          <w:rFonts w:ascii="Times New Roman" w:hAnsi="Times New Roman" w:cs="Times New Roman"/>
          <w:lang w:val="et-EE"/>
        </w:rPr>
        <w:t>me</w:t>
      </w:r>
      <w:r w:rsidRPr="00EF19F1">
        <w:rPr>
          <w:rFonts w:ascii="Times New Roman" w:hAnsi="Times New Roman" w:cs="Times New Roman"/>
          <w:lang w:val="et-EE"/>
        </w:rPr>
        <w:t xml:space="preserve"> võimaluse korral täpsustada eksami toimumise konkreetsed tähtajad, arvestades, et komisjoni moodustamine ja korralduslikud </w:t>
      </w:r>
      <w:r w:rsidRPr="00EF19F1">
        <w:rPr>
          <w:rFonts w:ascii="Times New Roman" w:hAnsi="Times New Roman" w:cs="Times New Roman"/>
          <w:lang w:val="et-EE"/>
        </w:rPr>
        <w:t>toimingud</w:t>
      </w:r>
      <w:r w:rsidRPr="00EF19F1">
        <w:rPr>
          <w:rFonts w:ascii="Times New Roman" w:hAnsi="Times New Roman" w:cs="Times New Roman"/>
          <w:lang w:val="et-EE"/>
        </w:rPr>
        <w:t xml:space="preserve"> nõuavad märkimisväärset aega.</w:t>
      </w:r>
    </w:p>
    <w:p w14:paraId="0A572A43" w14:textId="77777777" w:rsidR="00B733C1" w:rsidRPr="00EF19F1" w:rsidRDefault="00B733C1" w:rsidP="00EF19F1">
      <w:pPr>
        <w:spacing w:after="120" w:line="240" w:lineRule="auto"/>
        <w:jc w:val="both"/>
        <w:rPr>
          <w:rFonts w:ascii="Times New Roman" w:hAnsi="Times New Roman" w:cs="Times New Roman"/>
          <w:lang w:val="et-EE"/>
        </w:rPr>
      </w:pPr>
    </w:p>
    <w:p w14:paraId="5B1B6F0E" w14:textId="0465E301" w:rsidR="00EF19F1" w:rsidRPr="00EF19F1" w:rsidRDefault="00EF19F1" w:rsidP="00EF19F1">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Lugupidamisega</w:t>
      </w:r>
    </w:p>
    <w:p w14:paraId="60E636CD" w14:textId="575EF79C" w:rsidR="00EF19F1" w:rsidRPr="00EF19F1" w:rsidRDefault="00EF19F1" w:rsidP="00EF19F1">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(allkirjastatud digitaalselt)</w:t>
      </w:r>
    </w:p>
    <w:p w14:paraId="59181103" w14:textId="77777777" w:rsidR="00EF19F1" w:rsidRPr="00EF19F1" w:rsidRDefault="00EF19F1" w:rsidP="00EF19F1">
      <w:pPr>
        <w:spacing w:after="120" w:line="240" w:lineRule="auto"/>
        <w:jc w:val="both"/>
        <w:rPr>
          <w:rFonts w:ascii="Times New Roman" w:hAnsi="Times New Roman" w:cs="Times New Roman"/>
          <w:lang w:val="et-EE"/>
        </w:rPr>
      </w:pPr>
    </w:p>
    <w:p w14:paraId="3FB7FF50" w14:textId="78FBCFF3" w:rsidR="00EF19F1" w:rsidRPr="005B1401" w:rsidRDefault="00EF19F1" w:rsidP="00EF19F1">
      <w:pPr>
        <w:spacing w:after="120" w:line="240" w:lineRule="auto"/>
        <w:jc w:val="both"/>
        <w:rPr>
          <w:rFonts w:ascii="Times New Roman" w:hAnsi="Times New Roman" w:cs="Times New Roman"/>
          <w:lang w:val="ru-RU"/>
        </w:rPr>
      </w:pPr>
      <w:r w:rsidRPr="00EF19F1">
        <w:rPr>
          <w:rFonts w:ascii="Times New Roman" w:hAnsi="Times New Roman" w:cs="Times New Roman"/>
          <w:lang w:val="et-EE"/>
        </w:rPr>
        <w:t>Sofia Maškova</w:t>
      </w:r>
    </w:p>
    <w:p w14:paraId="28C76477" w14:textId="20B656E1" w:rsidR="00EF19F1" w:rsidRDefault="00EF19F1" w:rsidP="00EF19F1">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Vandetõlkide koja juhatuse liige</w:t>
      </w:r>
    </w:p>
    <w:p w14:paraId="64A2AB2A" w14:textId="3247ADE6" w:rsidR="00D5634C" w:rsidRPr="00D5634C" w:rsidRDefault="00D5634C" w:rsidP="00EF19F1">
      <w:pPr>
        <w:spacing w:after="120" w:line="240" w:lineRule="auto"/>
        <w:jc w:val="both"/>
        <w:rPr>
          <w:rFonts w:ascii="Times New Roman" w:hAnsi="Times New Roman" w:cs="Times New Roman"/>
          <w:lang w:val="et-EE"/>
        </w:rPr>
      </w:pPr>
      <w:r>
        <w:rPr>
          <w:rFonts w:ascii="Times New Roman" w:hAnsi="Times New Roman" w:cs="Times New Roman"/>
          <w:lang w:val="et-EE"/>
        </w:rPr>
        <w:t>IDEE Tõlkebüroo juhatuse liige</w:t>
      </w:r>
    </w:p>
    <w:p w14:paraId="32BEF4F0" w14:textId="48277F0A" w:rsidR="00EF19F1" w:rsidRPr="00EF19F1" w:rsidRDefault="00EF19F1" w:rsidP="00EF19F1">
      <w:pPr>
        <w:spacing w:after="120" w:line="240" w:lineRule="auto"/>
        <w:jc w:val="both"/>
        <w:rPr>
          <w:rFonts w:ascii="Times New Roman" w:hAnsi="Times New Roman" w:cs="Times New Roman"/>
          <w:lang w:val="et-EE"/>
        </w:rPr>
      </w:pPr>
      <w:hyperlink r:id="rId5" w:history="1">
        <w:r w:rsidRPr="00EF19F1">
          <w:rPr>
            <w:rStyle w:val="ac"/>
            <w:rFonts w:ascii="Times New Roman" w:hAnsi="Times New Roman" w:cs="Times New Roman"/>
            <w:lang w:val="et-EE"/>
          </w:rPr>
          <w:t>sofia@tolked24.ee</w:t>
        </w:r>
      </w:hyperlink>
    </w:p>
    <w:p w14:paraId="772A4E46" w14:textId="557E3D48" w:rsidR="00EF19F1" w:rsidRPr="00EF19F1" w:rsidRDefault="00EF19F1" w:rsidP="00EF19F1">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555 657 24</w:t>
      </w:r>
    </w:p>
    <w:sectPr w:rsidR="00EF19F1" w:rsidRPr="00EF1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B22"/>
    <w:multiLevelType w:val="multilevel"/>
    <w:tmpl w:val="C772D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92315"/>
    <w:multiLevelType w:val="multilevel"/>
    <w:tmpl w:val="38DA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EB41B2"/>
    <w:multiLevelType w:val="multilevel"/>
    <w:tmpl w:val="3880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E27F5"/>
    <w:multiLevelType w:val="multilevel"/>
    <w:tmpl w:val="2A5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81A30"/>
    <w:multiLevelType w:val="multilevel"/>
    <w:tmpl w:val="BC94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453297">
    <w:abstractNumId w:val="0"/>
  </w:num>
  <w:num w:numId="2" w16cid:durableId="1759868103">
    <w:abstractNumId w:val="4"/>
  </w:num>
  <w:num w:numId="3" w16cid:durableId="1374190494">
    <w:abstractNumId w:val="3"/>
  </w:num>
  <w:num w:numId="4" w16cid:durableId="2088073886">
    <w:abstractNumId w:val="1"/>
  </w:num>
  <w:num w:numId="5" w16cid:durableId="126846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B9"/>
    <w:rsid w:val="00024A7D"/>
    <w:rsid w:val="000C1581"/>
    <w:rsid w:val="00177826"/>
    <w:rsid w:val="0035288E"/>
    <w:rsid w:val="005B1401"/>
    <w:rsid w:val="00623BD0"/>
    <w:rsid w:val="006C0AB5"/>
    <w:rsid w:val="006E506E"/>
    <w:rsid w:val="00746A58"/>
    <w:rsid w:val="008C2AB9"/>
    <w:rsid w:val="008D33D4"/>
    <w:rsid w:val="00AB21C2"/>
    <w:rsid w:val="00B733C1"/>
    <w:rsid w:val="00D516BA"/>
    <w:rsid w:val="00D5634C"/>
    <w:rsid w:val="00EF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BD22"/>
  <w15:chartTrackingRefBased/>
  <w15:docId w15:val="{7DCB29AB-8765-48EF-8E9E-39F238CD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2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A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2A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2A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2A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2A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2A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2A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A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A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A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A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2A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2A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2AB9"/>
    <w:rPr>
      <w:rFonts w:eastAsiaTheme="majorEastAsia" w:cstheme="majorBidi"/>
      <w:color w:val="595959" w:themeColor="text1" w:themeTint="A6"/>
    </w:rPr>
  </w:style>
  <w:style w:type="character" w:customStyle="1" w:styleId="80">
    <w:name w:val="Заголовок 8 Знак"/>
    <w:basedOn w:val="a0"/>
    <w:link w:val="8"/>
    <w:uiPriority w:val="9"/>
    <w:semiHidden/>
    <w:rsid w:val="008C2A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2AB9"/>
    <w:rPr>
      <w:rFonts w:eastAsiaTheme="majorEastAsia" w:cstheme="majorBidi"/>
      <w:color w:val="272727" w:themeColor="text1" w:themeTint="D8"/>
    </w:rPr>
  </w:style>
  <w:style w:type="paragraph" w:styleId="a3">
    <w:name w:val="Title"/>
    <w:basedOn w:val="a"/>
    <w:next w:val="a"/>
    <w:link w:val="a4"/>
    <w:uiPriority w:val="10"/>
    <w:qFormat/>
    <w:rsid w:val="008C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A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2A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AB9"/>
    <w:pPr>
      <w:spacing w:before="160"/>
      <w:jc w:val="center"/>
    </w:pPr>
    <w:rPr>
      <w:i/>
      <w:iCs/>
      <w:color w:val="404040" w:themeColor="text1" w:themeTint="BF"/>
    </w:rPr>
  </w:style>
  <w:style w:type="character" w:customStyle="1" w:styleId="22">
    <w:name w:val="Цитата 2 Знак"/>
    <w:basedOn w:val="a0"/>
    <w:link w:val="21"/>
    <w:uiPriority w:val="29"/>
    <w:rsid w:val="008C2AB9"/>
    <w:rPr>
      <w:i/>
      <w:iCs/>
      <w:color w:val="404040" w:themeColor="text1" w:themeTint="BF"/>
    </w:rPr>
  </w:style>
  <w:style w:type="paragraph" w:styleId="a7">
    <w:name w:val="List Paragraph"/>
    <w:basedOn w:val="a"/>
    <w:uiPriority w:val="34"/>
    <w:qFormat/>
    <w:rsid w:val="008C2AB9"/>
    <w:pPr>
      <w:ind w:left="720"/>
      <w:contextualSpacing/>
    </w:pPr>
  </w:style>
  <w:style w:type="character" w:styleId="a8">
    <w:name w:val="Intense Emphasis"/>
    <w:basedOn w:val="a0"/>
    <w:uiPriority w:val="21"/>
    <w:qFormat/>
    <w:rsid w:val="008C2AB9"/>
    <w:rPr>
      <w:i/>
      <w:iCs/>
      <w:color w:val="2F5496" w:themeColor="accent1" w:themeShade="BF"/>
    </w:rPr>
  </w:style>
  <w:style w:type="paragraph" w:styleId="a9">
    <w:name w:val="Intense Quote"/>
    <w:basedOn w:val="a"/>
    <w:next w:val="a"/>
    <w:link w:val="aa"/>
    <w:uiPriority w:val="30"/>
    <w:qFormat/>
    <w:rsid w:val="008C2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AB9"/>
    <w:rPr>
      <w:i/>
      <w:iCs/>
      <w:color w:val="2F5496" w:themeColor="accent1" w:themeShade="BF"/>
    </w:rPr>
  </w:style>
  <w:style w:type="character" w:styleId="ab">
    <w:name w:val="Intense Reference"/>
    <w:basedOn w:val="a0"/>
    <w:uiPriority w:val="32"/>
    <w:qFormat/>
    <w:rsid w:val="008C2AB9"/>
    <w:rPr>
      <w:b/>
      <w:bCs/>
      <w:smallCaps/>
      <w:color w:val="2F5496" w:themeColor="accent1" w:themeShade="BF"/>
      <w:spacing w:val="5"/>
    </w:rPr>
  </w:style>
  <w:style w:type="character" w:styleId="ac">
    <w:name w:val="Hyperlink"/>
    <w:basedOn w:val="a0"/>
    <w:uiPriority w:val="99"/>
    <w:unhideWhenUsed/>
    <w:rsid w:val="00EF19F1"/>
    <w:rPr>
      <w:color w:val="0563C1" w:themeColor="hyperlink"/>
      <w:u w:val="single"/>
    </w:rPr>
  </w:style>
  <w:style w:type="character" w:styleId="ad">
    <w:name w:val="Unresolved Mention"/>
    <w:basedOn w:val="a0"/>
    <w:uiPriority w:val="99"/>
    <w:semiHidden/>
    <w:unhideWhenUsed/>
    <w:rsid w:val="00EF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fia@tolked24.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4</cp:revision>
  <dcterms:created xsi:type="dcterms:W3CDTF">2026-04-14T05:59:00Z</dcterms:created>
  <dcterms:modified xsi:type="dcterms:W3CDTF">2026-04-14T06:37:00Z</dcterms:modified>
</cp:coreProperties>
</file>