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B4D" w14:textId="19CC5ACD" w:rsidR="00531ED9" w:rsidRPr="00D71627" w:rsidRDefault="00531ED9" w:rsidP="00531ED9">
      <w:pPr>
        <w:spacing w:after="12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 w:rsidRPr="00D71627">
        <w:rPr>
          <w:rFonts w:ascii="Arial" w:hAnsi="Arial" w:cs="Arial"/>
          <w:b/>
          <w:sz w:val="20"/>
          <w:szCs w:val="20"/>
        </w:rPr>
        <w:t xml:space="preserve">Müügileping nr </w:t>
      </w:r>
      <w:r w:rsidR="00EE74E9">
        <w:t>1</w:t>
      </w:r>
      <w:r w:rsidR="00C65788">
        <w:t>6</w:t>
      </w:r>
      <w:r w:rsidRPr="00523BFB">
        <w:t>/</w:t>
      </w:r>
      <w:r w:rsidR="00C65788">
        <w:t>12</w:t>
      </w:r>
      <w:r w:rsidRPr="00523BFB">
        <w:t>-25</w:t>
      </w:r>
    </w:p>
    <w:p w14:paraId="560D0EF4" w14:textId="76C20EAF" w:rsidR="00531ED9" w:rsidRDefault="00531ED9" w:rsidP="00531ED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Tallinn,</w:t>
      </w:r>
      <w:r w:rsidR="00302AF1">
        <w:rPr>
          <w:rFonts w:ascii="Arial" w:hAnsi="Arial" w:cs="Arial"/>
          <w:sz w:val="20"/>
          <w:szCs w:val="20"/>
        </w:rPr>
        <w:t xml:space="preserve"> </w:t>
      </w:r>
      <w:r w:rsidR="00C65788">
        <w:rPr>
          <w:rFonts w:ascii="Arial" w:hAnsi="Arial" w:cs="Arial"/>
          <w:sz w:val="20"/>
          <w:szCs w:val="20"/>
        </w:rPr>
        <w:t>detsember</w:t>
      </w:r>
      <w:r>
        <w:rPr>
          <w:rFonts w:ascii="Arial" w:hAnsi="Arial" w:cs="Arial"/>
          <w:sz w:val="20"/>
          <w:szCs w:val="20"/>
        </w:rPr>
        <w:t xml:space="preserve"> 2025</w:t>
      </w:r>
    </w:p>
    <w:p w14:paraId="4E039981" w14:textId="4F3B2B9B" w:rsidR="00531ED9" w:rsidRPr="0045654E" w:rsidRDefault="00C65788" w:rsidP="00531ED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65788">
        <w:rPr>
          <w:rFonts w:ascii="Arial" w:hAnsi="Arial" w:cs="Arial"/>
          <w:b/>
          <w:bCs/>
          <w:sz w:val="20"/>
          <w:szCs w:val="20"/>
        </w:rPr>
        <w:t>Registrite ja Infosüsteemide Keskus (registrikoodiga 70000310), asukohaga Lubja 4, 19081, Tallinn,</w:t>
      </w:r>
      <w:r w:rsidR="00531ED9" w:rsidRPr="0045654E">
        <w:rPr>
          <w:rFonts w:ascii="Arial" w:hAnsi="Arial" w:cs="Arial"/>
          <w:sz w:val="20"/>
          <w:szCs w:val="20"/>
        </w:rPr>
        <w:t xml:space="preserve">, mida esindab põhimääruse alusel </w:t>
      </w:r>
      <w:r w:rsidR="002D42F1">
        <w:rPr>
          <w:rFonts w:ascii="Arial" w:hAnsi="Arial" w:cs="Arial"/>
          <w:sz w:val="20"/>
          <w:szCs w:val="20"/>
        </w:rPr>
        <w:t xml:space="preserve">Rivo </w:t>
      </w:r>
      <w:proofErr w:type="spellStart"/>
      <w:r w:rsidR="002D42F1">
        <w:rPr>
          <w:rFonts w:ascii="Arial" w:hAnsi="Arial" w:cs="Arial"/>
          <w:sz w:val="20"/>
          <w:szCs w:val="20"/>
        </w:rPr>
        <w:t>Reitmann</w:t>
      </w:r>
      <w:proofErr w:type="spellEnd"/>
      <w:r w:rsidR="00756EDE">
        <w:rPr>
          <w:rFonts w:ascii="Arial" w:hAnsi="Arial" w:cs="Arial"/>
          <w:sz w:val="20"/>
          <w:szCs w:val="20"/>
        </w:rPr>
        <w:t xml:space="preserve"> </w:t>
      </w:r>
      <w:r w:rsidR="00531ED9">
        <w:rPr>
          <w:rFonts w:ascii="Arial" w:hAnsi="Arial" w:cs="Arial"/>
          <w:sz w:val="20"/>
          <w:szCs w:val="20"/>
        </w:rPr>
        <w:t>(edaspidi nimetatud „o</w:t>
      </w:r>
      <w:r w:rsidR="00531ED9" w:rsidRPr="0045654E">
        <w:rPr>
          <w:rFonts w:ascii="Arial" w:hAnsi="Arial" w:cs="Arial"/>
          <w:sz w:val="20"/>
          <w:szCs w:val="20"/>
        </w:rPr>
        <w:t xml:space="preserve">stja“) ja </w:t>
      </w:r>
    </w:p>
    <w:p w14:paraId="7B24D528" w14:textId="77777777" w:rsidR="00531ED9" w:rsidRDefault="00531ED9" w:rsidP="00531ED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Ülemiste Center OÜ </w:t>
      </w:r>
      <w:r>
        <w:rPr>
          <w:rFonts w:ascii="Arial" w:hAnsi="Arial" w:cs="Arial"/>
          <w:sz w:val="20"/>
          <w:szCs w:val="20"/>
        </w:rPr>
        <w:t xml:space="preserve">(registrikoodiga </w:t>
      </w:r>
      <w:r>
        <w:rPr>
          <w:rFonts w:ascii="Arial" w:hAnsi="Arial" w:cs="Arial"/>
          <w:bCs/>
          <w:sz w:val="20"/>
          <w:szCs w:val="20"/>
        </w:rPr>
        <w:t>10872385</w:t>
      </w:r>
      <w:r>
        <w:rPr>
          <w:rFonts w:ascii="Arial" w:hAnsi="Arial" w:cs="Arial"/>
          <w:sz w:val="20"/>
          <w:szCs w:val="20"/>
        </w:rPr>
        <w:t>), asukohaga Suur-Sõjamäe 4, Tallinn 11415, mida esindab juhatuse liige Guido Pärnits (edaspidi nimetatud „m</w:t>
      </w:r>
      <w:r w:rsidRPr="0045654E">
        <w:rPr>
          <w:rFonts w:ascii="Arial" w:hAnsi="Arial" w:cs="Arial"/>
          <w:sz w:val="20"/>
          <w:szCs w:val="20"/>
        </w:rPr>
        <w:t>üüja</w:t>
      </w:r>
      <w:r w:rsidRPr="0045654E">
        <w:rPr>
          <w:rFonts w:ascii="Arial" w:hAnsi="Arial" w:cs="Arial"/>
          <w:b/>
          <w:bCs/>
          <w:sz w:val="20"/>
          <w:szCs w:val="20"/>
        </w:rPr>
        <w:t>“</w:t>
      </w:r>
      <w:r w:rsidRPr="0045654E">
        <w:rPr>
          <w:rFonts w:ascii="Arial" w:hAnsi="Arial" w:cs="Arial"/>
          <w:sz w:val="20"/>
          <w:szCs w:val="20"/>
        </w:rPr>
        <w:t>),</w:t>
      </w:r>
    </w:p>
    <w:p w14:paraId="4F1263EE" w14:textId="77777777" w:rsidR="00531ED9" w:rsidRDefault="00531ED9" w:rsidP="00531ED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edaspidi koos nimetatud „pooled“ ja eraldi „p</w:t>
      </w:r>
      <w:r w:rsidRPr="0045654E">
        <w:rPr>
          <w:rFonts w:ascii="Arial" w:hAnsi="Arial" w:cs="Arial"/>
          <w:sz w:val="20"/>
          <w:szCs w:val="20"/>
        </w:rPr>
        <w:t>ool“, sõlmisid käe</w:t>
      </w:r>
      <w:r>
        <w:rPr>
          <w:rFonts w:ascii="Arial" w:hAnsi="Arial" w:cs="Arial"/>
          <w:sz w:val="20"/>
          <w:szCs w:val="20"/>
        </w:rPr>
        <w:t>soleva müügilepingu (edaspidi „l</w:t>
      </w:r>
      <w:r w:rsidRPr="0045654E">
        <w:rPr>
          <w:rFonts w:ascii="Arial" w:hAnsi="Arial" w:cs="Arial"/>
          <w:sz w:val="20"/>
          <w:szCs w:val="20"/>
        </w:rPr>
        <w:t xml:space="preserve">eping“) alljärgnevas: </w:t>
      </w:r>
    </w:p>
    <w:p w14:paraId="0F9079CE" w14:textId="77777777" w:rsidR="00531ED9" w:rsidRPr="008B7630" w:rsidRDefault="00531ED9" w:rsidP="00531E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Lepingu ese</w:t>
      </w:r>
    </w:p>
    <w:p w14:paraId="349D8D3B" w14:textId="77777777" w:rsidR="00531ED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Lepingu esemeks on müüja poolt pakutavad Ülemiste keskuse kinkekaardid (edaspidi „kaup“). </w:t>
      </w:r>
    </w:p>
    <w:p w14:paraId="1B3FEF85" w14:textId="77777777" w:rsidR="00531ED9" w:rsidRDefault="00531ED9" w:rsidP="00531ED9">
      <w:pPr>
        <w:pStyle w:val="ListParagraph"/>
        <w:numPr>
          <w:ilvl w:val="1"/>
          <w:numId w:val="1"/>
        </w:numPr>
        <w:spacing w:after="0" w:line="24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8B7630">
        <w:rPr>
          <w:rFonts w:ascii="Arial" w:hAnsi="Arial" w:cs="Arial"/>
          <w:sz w:val="20"/>
          <w:szCs w:val="20"/>
        </w:rPr>
        <w:t xml:space="preserve">Lepingu eesmärgiks on </w:t>
      </w:r>
      <w:r>
        <w:rPr>
          <w:rFonts w:ascii="Arial" w:hAnsi="Arial" w:cs="Arial"/>
          <w:sz w:val="20"/>
          <w:szCs w:val="20"/>
        </w:rPr>
        <w:t>reguleerida p</w:t>
      </w:r>
      <w:r w:rsidRPr="008B7630">
        <w:rPr>
          <w:rFonts w:ascii="Arial" w:hAnsi="Arial" w:cs="Arial"/>
          <w:sz w:val="20"/>
          <w:szCs w:val="20"/>
        </w:rPr>
        <w:t xml:space="preserve">oolte vahelisi suhteid </w:t>
      </w:r>
      <w:r>
        <w:rPr>
          <w:rFonts w:ascii="Arial" w:hAnsi="Arial" w:cs="Arial"/>
          <w:sz w:val="20"/>
          <w:szCs w:val="20"/>
        </w:rPr>
        <w:t>m</w:t>
      </w:r>
      <w:r w:rsidRPr="008B7630">
        <w:rPr>
          <w:rFonts w:ascii="Arial" w:hAnsi="Arial" w:cs="Arial"/>
          <w:sz w:val="20"/>
          <w:szCs w:val="20"/>
        </w:rPr>
        <w:t xml:space="preserve">üüja kaupade müügil, </w:t>
      </w:r>
      <w:r>
        <w:rPr>
          <w:rFonts w:ascii="Arial" w:hAnsi="Arial" w:cs="Arial"/>
          <w:sz w:val="20"/>
          <w:szCs w:val="20"/>
        </w:rPr>
        <w:t xml:space="preserve">arvestades </w:t>
      </w:r>
      <w:r w:rsidRPr="008B7630">
        <w:rPr>
          <w:rFonts w:ascii="Arial" w:hAnsi="Arial" w:cs="Arial"/>
          <w:sz w:val="20"/>
          <w:szCs w:val="20"/>
        </w:rPr>
        <w:t>parimal võimalikul viisil</w:t>
      </w:r>
      <w:r>
        <w:rPr>
          <w:rFonts w:ascii="Arial" w:hAnsi="Arial" w:cs="Arial"/>
          <w:sz w:val="20"/>
          <w:szCs w:val="20"/>
        </w:rPr>
        <w:t xml:space="preserve"> ostja vajadusi ja huve</w:t>
      </w:r>
      <w:r w:rsidRPr="008B7630">
        <w:rPr>
          <w:rFonts w:ascii="Arial" w:hAnsi="Arial" w:cs="Arial"/>
          <w:sz w:val="20"/>
          <w:szCs w:val="20"/>
        </w:rPr>
        <w:t xml:space="preserve">. </w:t>
      </w:r>
    </w:p>
    <w:p w14:paraId="7ED4880C" w14:textId="77777777" w:rsidR="00531ED9" w:rsidRPr="00613E65" w:rsidRDefault="00531ED9" w:rsidP="0053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74202F" w14:textId="77777777" w:rsidR="00531ED9" w:rsidRDefault="00531ED9" w:rsidP="00531E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Ostuprotsess</w:t>
      </w:r>
    </w:p>
    <w:p w14:paraId="14036D3D" w14:textId="77777777" w:rsidR="00531ED9" w:rsidRDefault="00531ED9" w:rsidP="00531ED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5F5F">
        <w:rPr>
          <w:rFonts w:ascii="Arial" w:hAnsi="Arial" w:cs="Arial"/>
          <w:sz w:val="20"/>
          <w:szCs w:val="20"/>
        </w:rPr>
        <w:t xml:space="preserve">Lepingus nimetatud ostja </w:t>
      </w:r>
      <w:r>
        <w:rPr>
          <w:rFonts w:ascii="Arial" w:hAnsi="Arial" w:cs="Arial"/>
          <w:sz w:val="20"/>
          <w:szCs w:val="20"/>
        </w:rPr>
        <w:t xml:space="preserve">kontaktisik kohustub tegema tellimuse kinkekaartide veebipoes </w:t>
      </w:r>
      <w:hyperlink r:id="rId7" w:history="1">
        <w:r w:rsidRPr="00705A1A">
          <w:rPr>
            <w:rStyle w:val="Hyperlink"/>
            <w:rFonts w:ascii="Arial" w:hAnsi="Arial" w:cs="Arial"/>
            <w:sz w:val="20"/>
            <w:szCs w:val="20"/>
          </w:rPr>
          <w:t>www.ulemiste.ee/kinkekaart</w:t>
        </w:r>
      </w:hyperlink>
      <w:r>
        <w:rPr>
          <w:rFonts w:ascii="Arial" w:hAnsi="Arial" w:cs="Arial"/>
          <w:sz w:val="20"/>
          <w:szCs w:val="20"/>
        </w:rPr>
        <w:t>, näidates ära ostetava kauba koguse ning kinkekaartide väärtuse.</w:t>
      </w:r>
    </w:p>
    <w:p w14:paraId="62827F8B" w14:textId="77777777" w:rsidR="00531ED9" w:rsidRPr="0049669F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669F">
        <w:rPr>
          <w:rFonts w:ascii="Arial" w:hAnsi="Arial" w:cs="Arial"/>
          <w:sz w:val="20"/>
          <w:szCs w:val="20"/>
        </w:rPr>
        <w:t>Kaardid väljastatakse lepingus nimetatud ostja kontaktisikule pärast müüja po</w:t>
      </w:r>
      <w:r>
        <w:rPr>
          <w:rFonts w:ascii="Arial" w:hAnsi="Arial" w:cs="Arial"/>
          <w:sz w:val="20"/>
          <w:szCs w:val="20"/>
        </w:rPr>
        <w:t>olt tellimusele vastamist</w:t>
      </w:r>
      <w:r w:rsidRPr="0049669F">
        <w:rPr>
          <w:rFonts w:ascii="Arial" w:hAnsi="Arial" w:cs="Arial"/>
          <w:sz w:val="20"/>
          <w:szCs w:val="20"/>
        </w:rPr>
        <w:t xml:space="preserve"> </w:t>
      </w:r>
      <w:r w:rsidRPr="00E832AC">
        <w:rPr>
          <w:rFonts w:ascii="Arial" w:hAnsi="Arial" w:cs="Arial"/>
          <w:sz w:val="20"/>
          <w:szCs w:val="20"/>
        </w:rPr>
        <w:t>Ülemiste keskuse infoletist,</w:t>
      </w:r>
      <w:r>
        <w:rPr>
          <w:rFonts w:ascii="Arial" w:hAnsi="Arial" w:cs="Arial"/>
          <w:sz w:val="20"/>
          <w:szCs w:val="20"/>
        </w:rPr>
        <w:t xml:space="preserve"> asukohaga </w:t>
      </w:r>
      <w:r w:rsidRPr="00907375">
        <w:rPr>
          <w:rFonts w:ascii="Arial" w:hAnsi="Arial" w:cs="Arial"/>
          <w:sz w:val="20"/>
          <w:szCs w:val="20"/>
        </w:rPr>
        <w:t>Suur-Sõjamäe 4</w:t>
      </w:r>
      <w:r>
        <w:rPr>
          <w:rFonts w:ascii="Arial" w:hAnsi="Arial" w:cs="Arial"/>
          <w:sz w:val="20"/>
          <w:szCs w:val="20"/>
        </w:rPr>
        <w:t>, Tallinn</w:t>
      </w:r>
      <w:r w:rsidRPr="0049669F">
        <w:rPr>
          <w:rFonts w:ascii="Arial" w:hAnsi="Arial" w:cs="Arial"/>
          <w:sz w:val="20"/>
          <w:szCs w:val="20"/>
        </w:rPr>
        <w:t>. Poolte kontaktisikud kooskõlastav</w:t>
      </w:r>
      <w:r>
        <w:rPr>
          <w:rFonts w:ascii="Arial" w:hAnsi="Arial" w:cs="Arial"/>
          <w:sz w:val="20"/>
          <w:szCs w:val="20"/>
        </w:rPr>
        <w:t>ad täpsema aja, millal kaardid o</w:t>
      </w:r>
      <w:r w:rsidRPr="0049669F">
        <w:rPr>
          <w:rFonts w:ascii="Arial" w:hAnsi="Arial" w:cs="Arial"/>
          <w:sz w:val="20"/>
          <w:szCs w:val="20"/>
        </w:rPr>
        <w:t>stja kontaktisikule üle antakse. Ostja kontaktisik esitab kaartide üleandmisel isikut tõendava dokumendi.</w:t>
      </w:r>
    </w:p>
    <w:p w14:paraId="4363F527" w14:textId="77777777" w:rsidR="00531ED9" w:rsidRPr="007A5F5F" w:rsidRDefault="00531ED9" w:rsidP="00531ED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D9D">
        <w:rPr>
          <w:rFonts w:ascii="Arial" w:hAnsi="Arial" w:cs="Arial"/>
          <w:sz w:val="20"/>
          <w:szCs w:val="20"/>
        </w:rPr>
        <w:t>Ostja kontaktisik kontrolli</w:t>
      </w:r>
      <w:r>
        <w:rPr>
          <w:rFonts w:ascii="Arial" w:hAnsi="Arial" w:cs="Arial"/>
          <w:sz w:val="20"/>
          <w:szCs w:val="20"/>
        </w:rPr>
        <w:t>b kaartide koguse üle kohapeal m</w:t>
      </w:r>
      <w:r w:rsidRPr="00642D9D">
        <w:rPr>
          <w:rFonts w:ascii="Arial" w:hAnsi="Arial" w:cs="Arial"/>
          <w:sz w:val="20"/>
          <w:szCs w:val="20"/>
        </w:rPr>
        <w:t>üüja esindaja juuresolekul ja edaspidiseid pretensioone kinkekaartide koguse/väärtuse kohta ei arvestata.</w:t>
      </w:r>
    </w:p>
    <w:p w14:paraId="6CC0A418" w14:textId="77777777" w:rsidR="00531ED9" w:rsidRDefault="00531ED9" w:rsidP="00531ED9">
      <w:pPr>
        <w:pStyle w:val="ListParagraph"/>
        <w:ind w:left="792"/>
        <w:jc w:val="both"/>
        <w:rPr>
          <w:rFonts w:ascii="Arial" w:hAnsi="Arial" w:cs="Arial"/>
          <w:sz w:val="20"/>
          <w:szCs w:val="20"/>
        </w:rPr>
      </w:pPr>
    </w:p>
    <w:p w14:paraId="35641F23" w14:textId="77777777" w:rsidR="00531ED9" w:rsidRPr="008B7630" w:rsidRDefault="00531ED9" w:rsidP="00531ED9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8B7630">
        <w:rPr>
          <w:rFonts w:ascii="Arial" w:hAnsi="Arial" w:cs="Arial"/>
          <w:b/>
          <w:sz w:val="20"/>
          <w:szCs w:val="20"/>
        </w:rPr>
        <w:t>Lepingu hind ja maksmise kord</w:t>
      </w:r>
    </w:p>
    <w:p w14:paraId="5D0B4347" w14:textId="7A486270" w:rsidR="00531ED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83C98">
        <w:rPr>
          <w:rFonts w:ascii="Arial" w:hAnsi="Arial" w:cs="Arial"/>
          <w:sz w:val="20"/>
          <w:szCs w:val="20"/>
        </w:rPr>
        <w:t>Lepingu maksimaalne hind on</w:t>
      </w:r>
      <w:r w:rsidRPr="00352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9D0B7C">
        <w:rPr>
          <w:rFonts w:ascii="Arial" w:hAnsi="Arial" w:cs="Arial"/>
          <w:sz w:val="20"/>
          <w:szCs w:val="20"/>
        </w:rPr>
        <w:t>5</w:t>
      </w:r>
      <w:r w:rsidR="0098220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</w:t>
      </w:r>
      <w:r w:rsidRPr="00FC1B02">
        <w:rPr>
          <w:rFonts w:ascii="Arial" w:hAnsi="Arial" w:cs="Arial"/>
          <w:sz w:val="20"/>
          <w:szCs w:val="20"/>
        </w:rPr>
        <w:t>00</w:t>
      </w:r>
      <w:r w:rsidR="0098220E">
        <w:rPr>
          <w:rFonts w:ascii="Arial" w:hAnsi="Arial" w:cs="Arial"/>
          <w:sz w:val="20"/>
          <w:szCs w:val="20"/>
        </w:rPr>
        <w:t xml:space="preserve"> (</w:t>
      </w:r>
      <w:r w:rsidR="00B026F5">
        <w:rPr>
          <w:rFonts w:ascii="Arial" w:hAnsi="Arial" w:cs="Arial"/>
          <w:sz w:val="20"/>
          <w:szCs w:val="20"/>
        </w:rPr>
        <w:t>viieteist</w:t>
      </w:r>
      <w:r w:rsidR="0098220E">
        <w:rPr>
          <w:rFonts w:ascii="Arial" w:hAnsi="Arial" w:cs="Arial"/>
          <w:sz w:val="20"/>
          <w:szCs w:val="20"/>
        </w:rPr>
        <w:t xml:space="preserve"> tuhat</w:t>
      </w:r>
      <w:r w:rsidR="00357D05">
        <w:rPr>
          <w:rFonts w:ascii="Arial" w:hAnsi="Arial" w:cs="Arial"/>
          <w:sz w:val="20"/>
          <w:szCs w:val="20"/>
        </w:rPr>
        <w:t>)</w:t>
      </w:r>
      <w:r w:rsidRPr="00A45643">
        <w:rPr>
          <w:rFonts w:ascii="Arial" w:hAnsi="Arial" w:cs="Arial"/>
          <w:sz w:val="20"/>
          <w:szCs w:val="20"/>
        </w:rPr>
        <w:t xml:space="preserve"> eurot</w:t>
      </w:r>
      <w:r w:rsidRPr="00352A3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Ostjal ei ole kohustust soetada kaupu l</w:t>
      </w:r>
      <w:r w:rsidRPr="00352A30">
        <w:rPr>
          <w:rFonts w:ascii="Arial" w:hAnsi="Arial" w:cs="Arial"/>
          <w:sz w:val="20"/>
          <w:szCs w:val="20"/>
        </w:rPr>
        <w:t>epingu maksimaalse hinna ulatuses.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420D22A" w14:textId="77777777" w:rsidR="00531ED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Lepingu hind on müüja ainuke tasu seoses lepinguga ja m</w:t>
      </w:r>
      <w:r w:rsidRPr="00352A30">
        <w:rPr>
          <w:rFonts w:ascii="Arial" w:hAnsi="Arial" w:cs="Arial"/>
          <w:sz w:val="20"/>
          <w:szCs w:val="20"/>
        </w:rPr>
        <w:t xml:space="preserve">üüja ise </w:t>
      </w:r>
      <w:r>
        <w:rPr>
          <w:rFonts w:ascii="Arial" w:hAnsi="Arial" w:cs="Arial"/>
          <w:sz w:val="20"/>
          <w:szCs w:val="20"/>
        </w:rPr>
        <w:t>ega tema töötajad ei võta muud l</w:t>
      </w:r>
      <w:r w:rsidRPr="00352A30">
        <w:rPr>
          <w:rFonts w:ascii="Arial" w:hAnsi="Arial" w:cs="Arial"/>
          <w:sz w:val="20"/>
          <w:szCs w:val="20"/>
        </w:rPr>
        <w:t>epingus toodud kohustustega seotud tasu.</w:t>
      </w:r>
    </w:p>
    <w:p w14:paraId="4A2B40CA" w14:textId="2032644D" w:rsidR="00531ED9" w:rsidRPr="00E1024C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53EA7">
        <w:rPr>
          <w:rFonts w:ascii="Arial" w:hAnsi="Arial" w:cs="Arial"/>
          <w:sz w:val="20"/>
          <w:szCs w:val="20"/>
        </w:rPr>
        <w:t xml:space="preserve">Müüdud kaupade eest </w:t>
      </w:r>
      <w:r>
        <w:rPr>
          <w:rFonts w:ascii="Arial" w:hAnsi="Arial" w:cs="Arial"/>
          <w:sz w:val="20"/>
          <w:szCs w:val="20"/>
        </w:rPr>
        <w:t>esitab müüja</w:t>
      </w:r>
      <w:r w:rsidRPr="00553E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arve </w:t>
      </w:r>
      <w:r w:rsidRPr="00553EA7">
        <w:rPr>
          <w:rFonts w:ascii="Arial" w:hAnsi="Arial" w:cs="Arial"/>
          <w:sz w:val="20"/>
          <w:szCs w:val="20"/>
        </w:rPr>
        <w:t xml:space="preserve">tasumiseks </w:t>
      </w:r>
      <w:r>
        <w:rPr>
          <w:rFonts w:ascii="Arial" w:hAnsi="Arial" w:cs="Arial"/>
          <w:sz w:val="20"/>
          <w:szCs w:val="20"/>
        </w:rPr>
        <w:t>masinloetaval kujul</w:t>
      </w:r>
      <w:r w:rsidRPr="00553EA7">
        <w:rPr>
          <w:rFonts w:ascii="Arial" w:hAnsi="Arial" w:cs="Arial"/>
          <w:sz w:val="20"/>
          <w:szCs w:val="20"/>
        </w:rPr>
        <w:t>.</w:t>
      </w:r>
      <w:r w:rsidRPr="00E1024C">
        <w:rPr>
          <w:rFonts w:ascii="Arial" w:hAnsi="Arial" w:cs="Arial"/>
          <w:sz w:val="20"/>
          <w:szCs w:val="20"/>
        </w:rPr>
        <w:t xml:space="preserve"> Ostja</w:t>
      </w:r>
      <w:r>
        <w:rPr>
          <w:rFonts w:ascii="Arial" w:hAnsi="Arial" w:cs="Arial"/>
          <w:sz w:val="20"/>
          <w:szCs w:val="20"/>
        </w:rPr>
        <w:t xml:space="preserve"> kohustub</w:t>
      </w:r>
      <w:r w:rsidRPr="00E1024C">
        <w:rPr>
          <w:rFonts w:ascii="Arial" w:hAnsi="Arial" w:cs="Arial"/>
          <w:sz w:val="20"/>
          <w:szCs w:val="20"/>
        </w:rPr>
        <w:t xml:space="preserve"> arve</w:t>
      </w:r>
      <w:r>
        <w:rPr>
          <w:rFonts w:ascii="Arial" w:hAnsi="Arial" w:cs="Arial"/>
          <w:sz w:val="20"/>
          <w:szCs w:val="20"/>
        </w:rPr>
        <w:t xml:space="preserve"> tasuma</w:t>
      </w:r>
      <w:r w:rsidRPr="00E1024C">
        <w:rPr>
          <w:rFonts w:ascii="Arial" w:hAnsi="Arial" w:cs="Arial"/>
          <w:sz w:val="20"/>
          <w:szCs w:val="20"/>
        </w:rPr>
        <w:t xml:space="preserve"> </w:t>
      </w:r>
      <w:r w:rsidR="007075D4">
        <w:rPr>
          <w:rFonts w:ascii="Arial" w:hAnsi="Arial" w:cs="Arial"/>
          <w:sz w:val="20"/>
          <w:szCs w:val="20"/>
        </w:rPr>
        <w:t>3</w:t>
      </w:r>
      <w:r w:rsidRPr="00E1024C">
        <w:rPr>
          <w:rFonts w:ascii="Arial" w:hAnsi="Arial" w:cs="Arial"/>
          <w:sz w:val="20"/>
          <w:szCs w:val="20"/>
        </w:rPr>
        <w:t>0 kalendripäeva jooksul alates arve saamisest</w:t>
      </w:r>
      <w:r>
        <w:rPr>
          <w:rFonts w:ascii="Arial" w:hAnsi="Arial" w:cs="Arial"/>
          <w:sz w:val="20"/>
          <w:szCs w:val="20"/>
        </w:rPr>
        <w:t>, olenemata arvel märgitud maksetähtajast</w:t>
      </w:r>
      <w:r w:rsidRPr="00E1024C">
        <w:rPr>
          <w:rFonts w:ascii="Arial" w:hAnsi="Arial" w:cs="Arial"/>
          <w:sz w:val="20"/>
          <w:szCs w:val="20"/>
        </w:rPr>
        <w:t>.</w:t>
      </w:r>
      <w:r w:rsidRPr="008E1E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Ettemakseid o</w:t>
      </w:r>
      <w:r w:rsidRPr="00E1024C">
        <w:rPr>
          <w:rFonts w:ascii="Arial" w:hAnsi="Arial" w:cs="Arial"/>
          <w:sz w:val="20"/>
          <w:szCs w:val="20"/>
        </w:rPr>
        <w:t xml:space="preserve">stja ei teosta. </w:t>
      </w:r>
    </w:p>
    <w:p w14:paraId="786173AD" w14:textId="77777777" w:rsidR="00531ED9" w:rsidRPr="00E1024C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Arve tasumisega viivitamisel on müüjal õigus nõuda ostjalt viivist 0,15% tasumata summalt iga tasumisega viivitatud kalendripäeva eest.</w:t>
      </w:r>
    </w:p>
    <w:p w14:paraId="4D9F9C13" w14:textId="77777777" w:rsidR="00531ED9" w:rsidRDefault="00531ED9" w:rsidP="00531ED9">
      <w:pPr>
        <w:pStyle w:val="ListParagraph"/>
        <w:numPr>
          <w:ilvl w:val="1"/>
          <w:numId w:val="1"/>
        </w:numPr>
        <w:spacing w:after="240" w:line="240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4D0B35">
        <w:rPr>
          <w:rFonts w:ascii="Arial" w:hAnsi="Arial" w:cs="Arial"/>
          <w:sz w:val="20"/>
          <w:szCs w:val="20"/>
        </w:rPr>
        <w:t>Ostja poolt maks</w:t>
      </w:r>
      <w:r>
        <w:rPr>
          <w:rFonts w:ascii="Arial" w:hAnsi="Arial" w:cs="Arial"/>
          <w:sz w:val="20"/>
          <w:szCs w:val="20"/>
        </w:rPr>
        <w:t>tud mistahes summa, mis ületab lepingus ettenähtu, maksab müüja o</w:t>
      </w:r>
      <w:r w:rsidRPr="004D0B35">
        <w:rPr>
          <w:rFonts w:ascii="Arial" w:hAnsi="Arial" w:cs="Arial"/>
          <w:sz w:val="20"/>
          <w:szCs w:val="20"/>
        </w:rPr>
        <w:t>stjale tagasi 30 kalendripäeva jooksul pärast vastava teate saamist.</w:t>
      </w:r>
    </w:p>
    <w:p w14:paraId="7F3351DA" w14:textId="77777777" w:rsidR="00531ED9" w:rsidRDefault="00531ED9" w:rsidP="00531ED9">
      <w:pPr>
        <w:pStyle w:val="ListParagraph"/>
        <w:spacing w:after="240" w:line="240" w:lineRule="auto"/>
        <w:ind w:left="788"/>
        <w:jc w:val="both"/>
        <w:rPr>
          <w:rFonts w:ascii="Arial" w:hAnsi="Arial" w:cs="Arial"/>
          <w:sz w:val="20"/>
          <w:szCs w:val="20"/>
        </w:rPr>
      </w:pPr>
    </w:p>
    <w:p w14:paraId="6ED806F0" w14:textId="77777777" w:rsidR="00531ED9" w:rsidRPr="006978AD" w:rsidRDefault="00531ED9" w:rsidP="00531ED9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78AD">
        <w:rPr>
          <w:rFonts w:ascii="Arial" w:hAnsi="Arial" w:cs="Arial"/>
          <w:b/>
          <w:sz w:val="20"/>
          <w:szCs w:val="20"/>
        </w:rPr>
        <w:t>Konfidentsiaalsus ja avalikud suhted</w:t>
      </w:r>
    </w:p>
    <w:p w14:paraId="708F1102" w14:textId="77777777" w:rsidR="00531ED9" w:rsidRPr="00D238C0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Pooled peavad l</w:t>
      </w:r>
      <w:r w:rsidRPr="00845502">
        <w:rPr>
          <w:rFonts w:ascii="Arial" w:hAnsi="Arial" w:cs="Arial"/>
          <w:sz w:val="20"/>
          <w:szCs w:val="20"/>
        </w:rPr>
        <w:t>epingu täitmi</w:t>
      </w:r>
      <w:r>
        <w:rPr>
          <w:rFonts w:ascii="Arial" w:hAnsi="Arial" w:cs="Arial"/>
          <w:sz w:val="20"/>
          <w:szCs w:val="20"/>
        </w:rPr>
        <w:t>se käigust teineteiselt ükskõik</w:t>
      </w:r>
      <w:r w:rsidRPr="00845502">
        <w:rPr>
          <w:rFonts w:ascii="Arial" w:hAnsi="Arial" w:cs="Arial"/>
          <w:sz w:val="20"/>
          <w:szCs w:val="20"/>
        </w:rPr>
        <w:t xml:space="preserve"> mis vormis saadud kogu informatsiooni</w:t>
      </w:r>
      <w:r>
        <w:rPr>
          <w:rFonts w:ascii="Arial" w:hAnsi="Arial" w:cs="Arial"/>
          <w:sz w:val="20"/>
          <w:szCs w:val="20"/>
        </w:rPr>
        <w:t xml:space="preserve"> (mh andmed, </w:t>
      </w:r>
      <w:r w:rsidRPr="001D0AB5">
        <w:rPr>
          <w:rFonts w:ascii="Arial" w:hAnsi="Arial" w:cs="Arial"/>
          <w:sz w:val="20"/>
          <w:szCs w:val="20"/>
        </w:rPr>
        <w:t>lepingutes sisalduvad esindajate isikuandmed</w:t>
      </w:r>
      <w:r>
        <w:rPr>
          <w:rFonts w:ascii="Arial" w:hAnsi="Arial" w:cs="Arial"/>
          <w:sz w:val="20"/>
          <w:szCs w:val="20"/>
        </w:rPr>
        <w:t>)</w:t>
      </w:r>
      <w:r w:rsidRPr="00845502">
        <w:rPr>
          <w:rFonts w:ascii="Arial" w:hAnsi="Arial" w:cs="Arial"/>
          <w:sz w:val="20"/>
          <w:szCs w:val="20"/>
        </w:rPr>
        <w:t>, millele seda avaldanud lepingupool on osutanud kui konfidentsiaalsele või mille konfidentsiaalsust võib mõistliku</w:t>
      </w:r>
      <w:r>
        <w:rPr>
          <w:rFonts w:ascii="Arial" w:hAnsi="Arial" w:cs="Arial"/>
          <w:sz w:val="20"/>
          <w:szCs w:val="20"/>
        </w:rPr>
        <w:t xml:space="preserve">lt eeldada, konfidentsiaalseks </w:t>
      </w:r>
      <w:r w:rsidRPr="00845502">
        <w:rPr>
          <w:rFonts w:ascii="Arial" w:hAnsi="Arial" w:cs="Arial"/>
          <w:sz w:val="20"/>
          <w:szCs w:val="20"/>
        </w:rPr>
        <w:t>ja ei anna seda edasi kol</w:t>
      </w:r>
      <w:r>
        <w:rPr>
          <w:rFonts w:ascii="Arial" w:hAnsi="Arial" w:cs="Arial"/>
          <w:sz w:val="20"/>
          <w:szCs w:val="20"/>
        </w:rPr>
        <w:t>mandatele isikutele ilma teise p</w:t>
      </w:r>
      <w:r w:rsidRPr="00845502">
        <w:rPr>
          <w:rFonts w:ascii="Arial" w:hAnsi="Arial" w:cs="Arial"/>
          <w:sz w:val="20"/>
          <w:szCs w:val="20"/>
        </w:rPr>
        <w:t>oole kirjaliku nõusolekuta, välja arvatud seadustes ettenähtud juhtudel.</w:t>
      </w:r>
    </w:p>
    <w:p w14:paraId="3B8C6241" w14:textId="77777777" w:rsidR="00531ED9" w:rsidRDefault="00531ED9" w:rsidP="00531ED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Pooled täidavad kõiki Lepingu täitmise kohas kehtivaid isikuandmete töötlemisalaseid nõudeid, andmete turvalisust puudutavaid õigusakte ja muid eeskirju. </w:t>
      </w:r>
    </w:p>
    <w:p w14:paraId="13A21A14" w14:textId="77777777" w:rsidR="00531ED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45502">
        <w:rPr>
          <w:rFonts w:ascii="Arial" w:hAnsi="Arial" w:cs="Arial"/>
          <w:sz w:val="20"/>
          <w:szCs w:val="20"/>
        </w:rPr>
        <w:t>Konfidentsiaalsuskohustuse nõue on tähtaja</w:t>
      </w:r>
      <w:r>
        <w:rPr>
          <w:rFonts w:ascii="Arial" w:hAnsi="Arial" w:cs="Arial"/>
          <w:sz w:val="20"/>
          <w:szCs w:val="20"/>
        </w:rPr>
        <w:t>tu ning kehtib osapooltele nii l</w:t>
      </w:r>
      <w:r w:rsidRPr="00845502">
        <w:rPr>
          <w:rFonts w:ascii="Arial" w:hAnsi="Arial" w:cs="Arial"/>
          <w:sz w:val="20"/>
          <w:szCs w:val="20"/>
        </w:rPr>
        <w:t>epin</w:t>
      </w:r>
      <w:r>
        <w:rPr>
          <w:rFonts w:ascii="Arial" w:hAnsi="Arial" w:cs="Arial"/>
          <w:sz w:val="20"/>
          <w:szCs w:val="20"/>
        </w:rPr>
        <w:t>gu täitmise ajal kui ka pärast l</w:t>
      </w:r>
      <w:r w:rsidRPr="00845502">
        <w:rPr>
          <w:rFonts w:ascii="Arial" w:hAnsi="Arial" w:cs="Arial"/>
          <w:sz w:val="20"/>
          <w:szCs w:val="20"/>
        </w:rPr>
        <w:t>epingu lõppemist.</w:t>
      </w:r>
    </w:p>
    <w:p w14:paraId="4CCF2929" w14:textId="77777777" w:rsidR="00531ED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Pooled</w:t>
      </w:r>
      <w:r w:rsidRPr="00845502">
        <w:rPr>
          <w:rFonts w:ascii="Arial" w:hAnsi="Arial" w:cs="Arial"/>
          <w:sz w:val="20"/>
          <w:szCs w:val="20"/>
        </w:rPr>
        <w:t xml:space="preserve"> ei tege</w:t>
      </w:r>
      <w:r>
        <w:rPr>
          <w:rFonts w:ascii="Arial" w:hAnsi="Arial" w:cs="Arial"/>
          <w:sz w:val="20"/>
          <w:szCs w:val="20"/>
        </w:rPr>
        <w:t>le seoses l</w:t>
      </w:r>
      <w:r w:rsidRPr="00845502">
        <w:rPr>
          <w:rFonts w:ascii="Arial" w:hAnsi="Arial" w:cs="Arial"/>
          <w:sz w:val="20"/>
          <w:szCs w:val="20"/>
        </w:rPr>
        <w:t xml:space="preserve">epinguga avalike suhetega ega anna teateid pressile, elektroonilisele meediale, üldsusele või teistele auditooriumidele, välja arvatud </w:t>
      </w:r>
      <w:r>
        <w:rPr>
          <w:rFonts w:ascii="Arial" w:hAnsi="Arial" w:cs="Arial"/>
          <w:sz w:val="20"/>
          <w:szCs w:val="20"/>
        </w:rPr>
        <w:t>teise poole</w:t>
      </w:r>
      <w:r w:rsidRPr="00845502">
        <w:rPr>
          <w:rFonts w:ascii="Arial" w:hAnsi="Arial" w:cs="Arial"/>
          <w:sz w:val="20"/>
          <w:szCs w:val="20"/>
        </w:rPr>
        <w:t xml:space="preserve"> eelneval kirjalikul nõusolekul. Avaldada võib vaid teateid, mis on </w:t>
      </w:r>
      <w:r>
        <w:rPr>
          <w:rFonts w:ascii="Arial" w:hAnsi="Arial" w:cs="Arial"/>
          <w:sz w:val="20"/>
          <w:szCs w:val="20"/>
        </w:rPr>
        <w:t>teise poolega</w:t>
      </w:r>
      <w:r w:rsidRPr="00845502">
        <w:rPr>
          <w:rFonts w:ascii="Arial" w:hAnsi="Arial" w:cs="Arial"/>
          <w:sz w:val="20"/>
          <w:szCs w:val="20"/>
        </w:rPr>
        <w:t xml:space="preserve"> eelnevalt kooskõlastatud.</w:t>
      </w:r>
    </w:p>
    <w:p w14:paraId="426AF711" w14:textId="77777777" w:rsidR="00531ED9" w:rsidRPr="00662070" w:rsidRDefault="00531ED9" w:rsidP="00531ED9">
      <w:pPr>
        <w:pStyle w:val="ListParagraph"/>
        <w:numPr>
          <w:ilvl w:val="1"/>
          <w:numId w:val="1"/>
        </w:num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845502">
        <w:rPr>
          <w:rFonts w:ascii="Arial" w:hAnsi="Arial" w:cs="Arial"/>
          <w:sz w:val="20"/>
          <w:szCs w:val="20"/>
        </w:rPr>
        <w:t xml:space="preserve">Kõik eelnimetatud kohustused kehtestab </w:t>
      </w:r>
      <w:r>
        <w:rPr>
          <w:rFonts w:ascii="Arial" w:hAnsi="Arial" w:cs="Arial"/>
          <w:sz w:val="20"/>
          <w:szCs w:val="20"/>
        </w:rPr>
        <w:t>pool</w:t>
      </w:r>
      <w:r w:rsidRPr="00845502">
        <w:rPr>
          <w:rFonts w:ascii="Arial" w:hAnsi="Arial" w:cs="Arial"/>
          <w:sz w:val="20"/>
          <w:szCs w:val="20"/>
        </w:rPr>
        <w:t xml:space="preserve"> kõikidele kolmandatele isikutele, keda ta kasutab oma lepingujärgsete kohustuste täitmisel. Kolmas isik on füüsiline või juriidiline isik või riigi- või kohaliku omav</w:t>
      </w:r>
      <w:r>
        <w:rPr>
          <w:rFonts w:ascii="Arial" w:hAnsi="Arial" w:cs="Arial"/>
          <w:sz w:val="20"/>
          <w:szCs w:val="20"/>
        </w:rPr>
        <w:t>alitsuse asutus, kes ei ole ei o</w:t>
      </w:r>
      <w:r w:rsidRPr="00845502">
        <w:rPr>
          <w:rFonts w:ascii="Arial" w:hAnsi="Arial" w:cs="Arial"/>
          <w:sz w:val="20"/>
          <w:szCs w:val="20"/>
        </w:rPr>
        <w:t xml:space="preserve">stja ega </w:t>
      </w:r>
      <w:r>
        <w:rPr>
          <w:rFonts w:ascii="Arial" w:hAnsi="Arial" w:cs="Arial"/>
          <w:sz w:val="20"/>
          <w:szCs w:val="20"/>
        </w:rPr>
        <w:t>m</w:t>
      </w:r>
      <w:r w:rsidRPr="00845502">
        <w:rPr>
          <w:rFonts w:ascii="Arial" w:hAnsi="Arial" w:cs="Arial"/>
          <w:sz w:val="20"/>
          <w:szCs w:val="20"/>
        </w:rPr>
        <w:t>üüja.</w:t>
      </w:r>
    </w:p>
    <w:p w14:paraId="1C95139B" w14:textId="77777777" w:rsidR="00531ED9" w:rsidRPr="00613E65" w:rsidRDefault="00531ED9" w:rsidP="00531ED9">
      <w:pPr>
        <w:pStyle w:val="ListParagraph"/>
        <w:spacing w:after="240" w:line="240" w:lineRule="auto"/>
        <w:ind w:left="788"/>
        <w:jc w:val="both"/>
        <w:rPr>
          <w:rFonts w:ascii="Arial" w:hAnsi="Arial" w:cs="Arial"/>
          <w:sz w:val="20"/>
          <w:szCs w:val="20"/>
        </w:rPr>
      </w:pPr>
    </w:p>
    <w:p w14:paraId="1E1DDF47" w14:textId="77777777" w:rsidR="00531ED9" w:rsidRPr="00631929" w:rsidRDefault="00531ED9" w:rsidP="00531E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31929">
        <w:rPr>
          <w:rFonts w:ascii="Arial" w:hAnsi="Arial" w:cs="Arial"/>
          <w:b/>
          <w:sz w:val="20"/>
          <w:szCs w:val="20"/>
        </w:rPr>
        <w:t>Lepingu kehtivus ja poolte õiguskaitsevahendid</w:t>
      </w:r>
    </w:p>
    <w:p w14:paraId="7B0B6295" w14:textId="77777777" w:rsidR="00531ED9" w:rsidRPr="00F503C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Leping </w:t>
      </w:r>
      <w:r w:rsidRPr="00352A30">
        <w:rPr>
          <w:rFonts w:ascii="Arial" w:hAnsi="Arial" w:cs="Arial"/>
          <w:sz w:val="20"/>
          <w:szCs w:val="20"/>
        </w:rPr>
        <w:t xml:space="preserve">jõustub allkirjastamise hetkest </w:t>
      </w:r>
      <w:r>
        <w:rPr>
          <w:rFonts w:ascii="Arial" w:hAnsi="Arial" w:cs="Arial"/>
          <w:sz w:val="20"/>
          <w:szCs w:val="20"/>
        </w:rPr>
        <w:t xml:space="preserve">poolte esindajate poolt </w:t>
      </w:r>
      <w:r w:rsidRPr="00352A30">
        <w:rPr>
          <w:rFonts w:ascii="Arial" w:hAnsi="Arial" w:cs="Arial"/>
          <w:sz w:val="20"/>
          <w:szCs w:val="20"/>
        </w:rPr>
        <w:t>ja kehtib</w:t>
      </w:r>
      <w:r>
        <w:rPr>
          <w:rFonts w:ascii="Arial" w:hAnsi="Arial" w:cs="Arial"/>
          <w:sz w:val="20"/>
          <w:szCs w:val="20"/>
        </w:rPr>
        <w:t xml:space="preserve"> 12 kuud </w:t>
      </w:r>
      <w:r w:rsidRPr="00F503C9">
        <w:rPr>
          <w:rFonts w:ascii="Arial" w:hAnsi="Arial" w:cs="Arial"/>
          <w:sz w:val="20"/>
          <w:szCs w:val="20"/>
        </w:rPr>
        <w:t>või lepingu maksimaalse hinna täitumiseni.</w:t>
      </w:r>
    </w:p>
    <w:p w14:paraId="7ED1EC61" w14:textId="77777777" w:rsidR="00531ED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Kummalgi poolel on õigus leping igal ajal üles öelda, teatades sellest teisele poolele vähemalt 14 kalendripäeva kirjalikult ette. </w:t>
      </w:r>
    </w:p>
    <w:p w14:paraId="566647FD" w14:textId="77777777" w:rsidR="00531ED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Poolel on õigus </w:t>
      </w:r>
      <w:r w:rsidRPr="00F2098D">
        <w:rPr>
          <w:rFonts w:ascii="Arial" w:hAnsi="Arial" w:cs="Arial"/>
          <w:sz w:val="20"/>
          <w:szCs w:val="20"/>
        </w:rPr>
        <w:t xml:space="preserve">nõuda </w:t>
      </w:r>
      <w:r>
        <w:rPr>
          <w:rFonts w:ascii="Arial" w:hAnsi="Arial" w:cs="Arial"/>
          <w:sz w:val="20"/>
          <w:szCs w:val="20"/>
        </w:rPr>
        <w:t>lepingut rikkunud poolelt</w:t>
      </w:r>
      <w:r w:rsidRPr="00F209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</w:t>
      </w:r>
      <w:r w:rsidRPr="00F2098D">
        <w:rPr>
          <w:rFonts w:ascii="Arial" w:hAnsi="Arial" w:cs="Arial"/>
          <w:sz w:val="20"/>
          <w:szCs w:val="20"/>
        </w:rPr>
        <w:t>h konfidentsiaalsuskohustuse</w:t>
      </w:r>
      <w:r>
        <w:rPr>
          <w:rFonts w:ascii="Arial" w:hAnsi="Arial" w:cs="Arial"/>
          <w:sz w:val="20"/>
          <w:szCs w:val="20"/>
        </w:rPr>
        <w:t xml:space="preserve"> ja avalikustamise keelu</w:t>
      </w:r>
      <w:r w:rsidRPr="00F2098D">
        <w:rPr>
          <w:rFonts w:ascii="Arial" w:hAnsi="Arial" w:cs="Arial"/>
          <w:sz w:val="20"/>
          <w:szCs w:val="20"/>
        </w:rPr>
        <w:t xml:space="preserve"> mittejärgimis</w:t>
      </w:r>
      <w:r>
        <w:rPr>
          <w:rFonts w:ascii="Arial" w:hAnsi="Arial" w:cs="Arial"/>
          <w:sz w:val="20"/>
          <w:szCs w:val="20"/>
        </w:rPr>
        <w:t>e korral) leppetrahvi kuni 20% l</w:t>
      </w:r>
      <w:r w:rsidRPr="00F2098D">
        <w:rPr>
          <w:rFonts w:ascii="Arial" w:hAnsi="Arial" w:cs="Arial"/>
          <w:sz w:val="20"/>
          <w:szCs w:val="20"/>
        </w:rPr>
        <w:t>epingu</w:t>
      </w:r>
      <w:r>
        <w:rPr>
          <w:rFonts w:ascii="Arial" w:hAnsi="Arial" w:cs="Arial"/>
          <w:sz w:val="20"/>
          <w:szCs w:val="20"/>
        </w:rPr>
        <w:t xml:space="preserve"> maksimaalsest</w:t>
      </w:r>
      <w:r w:rsidRPr="00F2098D">
        <w:rPr>
          <w:rFonts w:ascii="Arial" w:hAnsi="Arial" w:cs="Arial"/>
          <w:sz w:val="20"/>
          <w:szCs w:val="20"/>
        </w:rPr>
        <w:t xml:space="preserve"> hinnast. Ostjal on õigus käesolevas punktis nim</w:t>
      </w:r>
      <w:r>
        <w:rPr>
          <w:rFonts w:ascii="Arial" w:hAnsi="Arial" w:cs="Arial"/>
          <w:sz w:val="20"/>
          <w:szCs w:val="20"/>
        </w:rPr>
        <w:t>etatud leppetrahv kinni pidada m</w:t>
      </w:r>
      <w:r w:rsidRPr="00F2098D">
        <w:rPr>
          <w:rFonts w:ascii="Arial" w:hAnsi="Arial" w:cs="Arial"/>
          <w:sz w:val="20"/>
          <w:szCs w:val="20"/>
        </w:rPr>
        <w:t>üüjale tasumisele kuuluvatest summadest.</w:t>
      </w:r>
    </w:p>
    <w:p w14:paraId="2CE48D67" w14:textId="35E927AD" w:rsidR="00531ED9" w:rsidRDefault="00C748B6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48B6">
        <w:rPr>
          <w:rFonts w:ascii="Arial" w:hAnsi="Arial" w:cs="Arial"/>
          <w:sz w:val="20"/>
          <w:szCs w:val="20"/>
        </w:rPr>
        <w:t>Lepingust tulenevate kohustuste mittetäitmine või mittenõuetekohane täitmine on vabandatav, kui selle põhjuseks o</w:t>
      </w:r>
      <w:r w:rsidR="0072071A">
        <w:rPr>
          <w:rFonts w:ascii="Arial" w:hAnsi="Arial" w:cs="Arial"/>
          <w:sz w:val="20"/>
          <w:szCs w:val="20"/>
        </w:rPr>
        <w:t>n</w:t>
      </w:r>
      <w:r w:rsidRPr="00C748B6">
        <w:rPr>
          <w:rFonts w:ascii="Arial" w:hAnsi="Arial" w:cs="Arial"/>
          <w:sz w:val="20"/>
          <w:szCs w:val="20"/>
        </w:rPr>
        <w:t xml:space="preserve"> vääramatu jõud</w:t>
      </w:r>
      <w:r w:rsidR="00531ED9" w:rsidRPr="00A45643">
        <w:rPr>
          <w:rFonts w:ascii="Arial" w:hAnsi="Arial" w:cs="Arial"/>
          <w:sz w:val="20"/>
          <w:szCs w:val="20"/>
        </w:rPr>
        <w:t>.</w:t>
      </w:r>
    </w:p>
    <w:p w14:paraId="57116FC0" w14:textId="77777777" w:rsidR="00531ED9" w:rsidRPr="005D1FC5" w:rsidRDefault="00531ED9" w:rsidP="00531ED9">
      <w:pPr>
        <w:pStyle w:val="ListParagraph"/>
        <w:numPr>
          <w:ilvl w:val="1"/>
          <w:numId w:val="1"/>
        </w:numPr>
        <w:spacing w:after="120" w:line="240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8D444B">
        <w:rPr>
          <w:rFonts w:ascii="Arial" w:hAnsi="Arial" w:cs="Arial"/>
          <w:sz w:val="20"/>
          <w:szCs w:val="20"/>
        </w:rPr>
        <w:t>Pooled vastutavad üksnes otsese varalise kahju eest,</w:t>
      </w:r>
      <w:r>
        <w:rPr>
          <w:rFonts w:ascii="Arial" w:hAnsi="Arial" w:cs="Arial"/>
          <w:sz w:val="20"/>
          <w:szCs w:val="20"/>
        </w:rPr>
        <w:t xml:space="preserve"> mille nad on tekitanud teisele p</w:t>
      </w:r>
      <w:r w:rsidRPr="008D444B">
        <w:rPr>
          <w:rFonts w:ascii="Arial" w:hAnsi="Arial" w:cs="Arial"/>
          <w:sz w:val="20"/>
          <w:szCs w:val="20"/>
        </w:rPr>
        <w:t>oolele oma kohustuse mittekohase täitmise või täitmata jätmisega. Eeltoodud piirang ei kehti, kui kahju tekitati tahtlikult või raske hooletuse</w:t>
      </w:r>
      <w:r>
        <w:rPr>
          <w:rFonts w:ascii="Arial" w:hAnsi="Arial" w:cs="Arial"/>
          <w:sz w:val="20"/>
          <w:szCs w:val="20"/>
        </w:rPr>
        <w:t xml:space="preserve"> tõttu, samuti juhul kui lepingust või muust p</w:t>
      </w:r>
      <w:r w:rsidRPr="008D444B">
        <w:rPr>
          <w:rFonts w:ascii="Arial" w:hAnsi="Arial" w:cs="Arial"/>
          <w:sz w:val="20"/>
          <w:szCs w:val="20"/>
        </w:rPr>
        <w:t>oolte kokkuleppest tuleneb teisiti.</w:t>
      </w:r>
    </w:p>
    <w:p w14:paraId="52F8EF97" w14:textId="77777777" w:rsidR="00531ED9" w:rsidRDefault="00531ED9" w:rsidP="00531ED9">
      <w:pPr>
        <w:pStyle w:val="ListParagraph"/>
        <w:spacing w:after="360" w:line="240" w:lineRule="auto"/>
        <w:ind w:left="788"/>
        <w:jc w:val="both"/>
        <w:rPr>
          <w:rFonts w:ascii="Arial" w:hAnsi="Arial" w:cs="Arial"/>
          <w:sz w:val="20"/>
          <w:szCs w:val="20"/>
        </w:rPr>
      </w:pPr>
    </w:p>
    <w:p w14:paraId="330C61B4" w14:textId="77777777" w:rsidR="00531ED9" w:rsidRPr="00A83C98" w:rsidRDefault="00531ED9" w:rsidP="00531E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3C98">
        <w:rPr>
          <w:rFonts w:ascii="Arial" w:hAnsi="Arial" w:cs="Arial"/>
          <w:b/>
          <w:sz w:val="20"/>
          <w:szCs w:val="20"/>
        </w:rPr>
        <w:t>Volitatud esindajad ja teadete edastamine</w:t>
      </w:r>
    </w:p>
    <w:p w14:paraId="7D0CF4CD" w14:textId="77E88CD7" w:rsidR="00531ED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Ostja nimel on käesolevas lepingus kokkulepitud tingimustel õigus tehinguid sooritada ostja poolt volitatud isikutel</w:t>
      </w:r>
      <w:r w:rsidR="00C202F3">
        <w:rPr>
          <w:rFonts w:ascii="Arial" w:hAnsi="Arial" w:cs="Arial"/>
          <w:sz w:val="20"/>
          <w:szCs w:val="20"/>
        </w:rPr>
        <w:t xml:space="preserve"> nii nagu see kirjeldatud müügilepingu lisas1</w:t>
      </w:r>
      <w:r w:rsidR="001D0F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98C11C3" w14:textId="423AB26C" w:rsidR="00531ED9" w:rsidRPr="002843F2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43F2">
        <w:rPr>
          <w:rFonts w:ascii="Arial" w:hAnsi="Arial" w:cs="Arial"/>
          <w:sz w:val="20"/>
          <w:szCs w:val="20"/>
        </w:rPr>
        <w:t>Müüja volitatud esindajaks lepingu täitmisega seotud küsimustes on:</w:t>
      </w:r>
      <w:r w:rsidR="008E03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Martin Möls</w:t>
      </w:r>
      <w:r w:rsidRPr="002843F2">
        <w:rPr>
          <w:rFonts w:ascii="Arial" w:hAnsi="Arial" w:cs="Arial"/>
          <w:sz w:val="20"/>
          <w:szCs w:val="20"/>
        </w:rPr>
        <w:t>, tel: 5</w:t>
      </w:r>
      <w:r>
        <w:rPr>
          <w:rFonts w:ascii="Arial" w:hAnsi="Arial" w:cs="Arial"/>
          <w:sz w:val="20"/>
          <w:szCs w:val="20"/>
        </w:rPr>
        <w:t>19 72245</w:t>
      </w:r>
      <w:r w:rsidRPr="002843F2">
        <w:rPr>
          <w:rFonts w:ascii="Arial" w:hAnsi="Arial" w:cs="Arial"/>
          <w:sz w:val="20"/>
          <w:szCs w:val="20"/>
        </w:rPr>
        <w:t>, e-post: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4140E">
          <w:rPr>
            <w:rStyle w:val="Hyperlink"/>
            <w:rFonts w:ascii="Arial" w:hAnsi="Arial" w:cs="Arial"/>
            <w:sz w:val="20"/>
            <w:szCs w:val="20"/>
          </w:rPr>
          <w:t>martin.mols@ulemiste.ee</w:t>
        </w:r>
      </w:hyperlink>
      <w:r w:rsidR="008E4A96">
        <w:rPr>
          <w:rFonts w:ascii="Arial" w:hAnsi="Arial" w:cs="Arial"/>
          <w:sz w:val="20"/>
          <w:szCs w:val="20"/>
        </w:rPr>
        <w:t xml:space="preserve"> või </w:t>
      </w:r>
      <w:r w:rsidR="008E4A96" w:rsidRPr="008E4A96">
        <w:rPr>
          <w:rStyle w:val="Hyperlink"/>
        </w:rPr>
        <w:t>info@ulemiste.ee</w:t>
      </w:r>
      <w:r w:rsidR="008E4A96">
        <w:rPr>
          <w:rFonts w:ascii="Arial" w:hAnsi="Arial" w:cs="Arial"/>
          <w:sz w:val="20"/>
          <w:szCs w:val="20"/>
        </w:rPr>
        <w:t>.</w:t>
      </w:r>
    </w:p>
    <w:p w14:paraId="7D9225AD" w14:textId="77777777" w:rsidR="00531ED9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Lepingu p</w:t>
      </w:r>
      <w:r w:rsidRPr="00A83C98">
        <w:rPr>
          <w:rFonts w:ascii="Arial" w:hAnsi="Arial" w:cs="Arial"/>
          <w:sz w:val="20"/>
          <w:szCs w:val="20"/>
        </w:rPr>
        <w:t>ooled teavitavad viivitamatult ja kirjalikku taasesit</w:t>
      </w:r>
      <w:r>
        <w:rPr>
          <w:rFonts w:ascii="Arial" w:hAnsi="Arial" w:cs="Arial"/>
          <w:sz w:val="20"/>
          <w:szCs w:val="20"/>
        </w:rPr>
        <w:t>amist võimaldavas vormis teist p</w:t>
      </w:r>
      <w:r w:rsidRPr="00A83C98">
        <w:rPr>
          <w:rFonts w:ascii="Arial" w:hAnsi="Arial" w:cs="Arial"/>
          <w:sz w:val="20"/>
          <w:szCs w:val="20"/>
        </w:rPr>
        <w:t>oolt volitatud esindajate või kontaktandmete muutusest.</w:t>
      </w:r>
    </w:p>
    <w:p w14:paraId="6ABC54C2" w14:textId="77777777" w:rsidR="00531ED9" w:rsidRPr="000706B4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706B4">
        <w:rPr>
          <w:rFonts w:ascii="Arial" w:hAnsi="Arial" w:cs="Arial"/>
          <w:sz w:val="20"/>
          <w:szCs w:val="20"/>
        </w:rPr>
        <w:t>Pooled kohustuvad teist poolt teavitama kõikidest asjaoludest, mis võivad mõjutada või takistada lepingus sätestatud kohustuste täitmist või õiguste realiseerimist.</w:t>
      </w:r>
    </w:p>
    <w:p w14:paraId="560C7A81" w14:textId="77777777" w:rsidR="00531ED9" w:rsidRPr="009E20D3" w:rsidRDefault="00531ED9" w:rsidP="00531ED9">
      <w:pPr>
        <w:pStyle w:val="ListParagraph"/>
        <w:spacing w:after="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7C49383" w14:textId="77777777" w:rsidR="00531ED9" w:rsidRDefault="00531ED9" w:rsidP="00531E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00FC4">
        <w:rPr>
          <w:rFonts w:ascii="Arial" w:hAnsi="Arial" w:cs="Arial"/>
          <w:b/>
          <w:sz w:val="20"/>
          <w:szCs w:val="20"/>
        </w:rPr>
        <w:t>Lõppsätted</w:t>
      </w:r>
    </w:p>
    <w:p w14:paraId="0B5BCA9B" w14:textId="77777777" w:rsidR="00531ED9" w:rsidRPr="000706B4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706B4">
        <w:rPr>
          <w:rFonts w:ascii="Arial" w:hAnsi="Arial" w:cs="Arial"/>
          <w:sz w:val="20"/>
          <w:szCs w:val="20"/>
        </w:rPr>
        <w:t>Lepingut võib muuta poolte kirjalikul kokkuleppel. Muudatused jõustuvad pärast nende allkirjastamist mõlema poole poolt või poolte määratud tähtajal. Kirjaliku vormi mittejärgimisel on muudatused tühised.</w:t>
      </w:r>
    </w:p>
    <w:p w14:paraId="5B7850C2" w14:textId="77777777" w:rsidR="00531ED9" w:rsidRPr="00200FC4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Käesolevast l</w:t>
      </w:r>
      <w:r w:rsidRPr="00200FC4">
        <w:rPr>
          <w:rFonts w:ascii="Arial" w:hAnsi="Arial" w:cs="Arial"/>
          <w:sz w:val="20"/>
          <w:szCs w:val="20"/>
        </w:rPr>
        <w:t>epingust tulenevad erimeel</w:t>
      </w:r>
      <w:r>
        <w:rPr>
          <w:rFonts w:ascii="Arial" w:hAnsi="Arial" w:cs="Arial"/>
          <w:sz w:val="20"/>
          <w:szCs w:val="20"/>
        </w:rPr>
        <w:t>sused või vaidlused lahendavad p</w:t>
      </w:r>
      <w:r w:rsidRPr="00200FC4">
        <w:rPr>
          <w:rFonts w:ascii="Arial" w:hAnsi="Arial" w:cs="Arial"/>
          <w:sz w:val="20"/>
          <w:szCs w:val="20"/>
        </w:rPr>
        <w:t>ooled läbirääkimiste teel.</w:t>
      </w:r>
      <w:r>
        <w:rPr>
          <w:rFonts w:ascii="Arial" w:hAnsi="Arial" w:cs="Arial"/>
          <w:sz w:val="20"/>
          <w:szCs w:val="20"/>
        </w:rPr>
        <w:t xml:space="preserve"> Läbirääkimiste tulemusel k</w:t>
      </w:r>
      <w:r w:rsidRPr="00200FC4">
        <w:rPr>
          <w:rFonts w:ascii="Arial" w:hAnsi="Arial" w:cs="Arial"/>
          <w:sz w:val="20"/>
          <w:szCs w:val="20"/>
        </w:rPr>
        <w:t>okkuleppe mittesaavuta</w:t>
      </w:r>
      <w:r>
        <w:rPr>
          <w:rFonts w:ascii="Arial" w:hAnsi="Arial" w:cs="Arial"/>
          <w:sz w:val="20"/>
          <w:szCs w:val="20"/>
        </w:rPr>
        <w:t>misel lahendatakse vaidlus Harju M</w:t>
      </w:r>
      <w:r w:rsidRPr="00200FC4">
        <w:rPr>
          <w:rFonts w:ascii="Arial" w:hAnsi="Arial" w:cs="Arial"/>
          <w:sz w:val="20"/>
          <w:szCs w:val="20"/>
        </w:rPr>
        <w:t>aakohtus.</w:t>
      </w:r>
    </w:p>
    <w:p w14:paraId="31BF0203" w14:textId="77777777" w:rsidR="00531ED9" w:rsidRPr="002F6213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F6213">
        <w:rPr>
          <w:rFonts w:ascii="Arial" w:hAnsi="Arial" w:cs="Arial"/>
          <w:sz w:val="20"/>
          <w:szCs w:val="20"/>
        </w:rPr>
        <w:t>Lepingule ning kõikidele lepingu osaks olevatele dokumentidele kohaldatakse Eesti Vabariigis kehtivaid õigusakte.</w:t>
      </w:r>
    </w:p>
    <w:p w14:paraId="07BCF746" w14:textId="77777777" w:rsidR="00531ED9" w:rsidRPr="002F6213" w:rsidRDefault="00531ED9" w:rsidP="00531ED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Pooled allkirjastavad l</w:t>
      </w:r>
      <w:r w:rsidRPr="002F6213">
        <w:rPr>
          <w:rFonts w:ascii="Arial" w:hAnsi="Arial" w:cs="Arial"/>
          <w:sz w:val="20"/>
          <w:szCs w:val="20"/>
        </w:rPr>
        <w:t>epingu digitaalselt.</w:t>
      </w:r>
    </w:p>
    <w:p w14:paraId="7766E529" w14:textId="77777777" w:rsidR="00531ED9" w:rsidRDefault="00531ED9" w:rsidP="00531ED9">
      <w:pPr>
        <w:spacing w:after="180" w:line="240" w:lineRule="auto"/>
        <w:jc w:val="both"/>
        <w:rPr>
          <w:rFonts w:ascii="Arial" w:hAnsi="Arial" w:cs="Arial"/>
          <w:sz w:val="20"/>
          <w:szCs w:val="20"/>
        </w:rPr>
      </w:pPr>
      <w:r w:rsidRPr="00A45643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äesoleva l</w:t>
      </w:r>
      <w:r w:rsidRPr="00A45643">
        <w:rPr>
          <w:rFonts w:ascii="Arial" w:hAnsi="Arial" w:cs="Arial"/>
          <w:sz w:val="20"/>
          <w:szCs w:val="20"/>
        </w:rPr>
        <w:t>eping</w:t>
      </w:r>
      <w:r>
        <w:rPr>
          <w:rFonts w:ascii="Arial" w:hAnsi="Arial" w:cs="Arial"/>
          <w:sz w:val="20"/>
          <w:szCs w:val="20"/>
        </w:rPr>
        <w:t>u allakirjutamisega kinnitavad pooled, et on l</w:t>
      </w:r>
      <w:r w:rsidRPr="00A45643">
        <w:rPr>
          <w:rFonts w:ascii="Arial" w:hAnsi="Arial" w:cs="Arial"/>
          <w:sz w:val="20"/>
          <w:szCs w:val="20"/>
        </w:rPr>
        <w:t>epin</w:t>
      </w:r>
      <w:r>
        <w:rPr>
          <w:rFonts w:ascii="Arial" w:hAnsi="Arial" w:cs="Arial"/>
          <w:sz w:val="20"/>
          <w:szCs w:val="20"/>
        </w:rPr>
        <w:t>guga tutvunud ja on nõus kõigi l</w:t>
      </w:r>
      <w:r w:rsidRPr="00A45643">
        <w:rPr>
          <w:rFonts w:ascii="Arial" w:hAnsi="Arial" w:cs="Arial"/>
          <w:sz w:val="20"/>
          <w:szCs w:val="20"/>
        </w:rPr>
        <w:t>epingu tingimustega ning mõistavad täielikult enesele võetavate kohustuste sisu ning nende tagajärgi.</w:t>
      </w:r>
    </w:p>
    <w:p w14:paraId="3AF7F456" w14:textId="77777777" w:rsidR="004222A5" w:rsidRDefault="004222A5" w:rsidP="00531ED9">
      <w:pPr>
        <w:spacing w:after="180" w:line="240" w:lineRule="auto"/>
        <w:jc w:val="both"/>
        <w:rPr>
          <w:rFonts w:ascii="Arial" w:hAnsi="Arial" w:cs="Arial"/>
          <w:sz w:val="20"/>
          <w:szCs w:val="20"/>
        </w:rPr>
      </w:pPr>
    </w:p>
    <w:p w14:paraId="2E050BE5" w14:textId="77777777" w:rsidR="004222A5" w:rsidRDefault="004222A5" w:rsidP="00531ED9">
      <w:pPr>
        <w:spacing w:after="18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531ED9" w:rsidRPr="009C7458" w14:paraId="3AE0E4E2" w14:textId="77777777">
        <w:trPr>
          <w:trHeight w:val="93"/>
        </w:trPr>
        <w:tc>
          <w:tcPr>
            <w:tcW w:w="4503" w:type="dxa"/>
          </w:tcPr>
          <w:p w14:paraId="41724098" w14:textId="77777777" w:rsidR="00531ED9" w:rsidRPr="009C7458" w:rsidRDefault="00531E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Ostja: </w:t>
            </w:r>
          </w:p>
        </w:tc>
        <w:tc>
          <w:tcPr>
            <w:tcW w:w="4677" w:type="dxa"/>
          </w:tcPr>
          <w:p w14:paraId="5724D3DF" w14:textId="77777777" w:rsidR="00531ED9" w:rsidRPr="009C7458" w:rsidRDefault="00531E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Müüja: </w:t>
            </w:r>
          </w:p>
        </w:tc>
      </w:tr>
      <w:tr w:rsidR="00531ED9" w:rsidRPr="009C7458" w14:paraId="1EC90401" w14:textId="77777777">
        <w:trPr>
          <w:trHeight w:val="93"/>
        </w:trPr>
        <w:tc>
          <w:tcPr>
            <w:tcW w:w="4503" w:type="dxa"/>
          </w:tcPr>
          <w:p w14:paraId="60B987E5" w14:textId="77777777" w:rsidR="00531ED9" w:rsidRPr="009C7458" w:rsidRDefault="00531ED9">
            <w:pPr>
              <w:spacing w:after="12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9C7458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/digitaalselt allkirjastatud/ </w:t>
            </w:r>
          </w:p>
        </w:tc>
        <w:tc>
          <w:tcPr>
            <w:tcW w:w="4677" w:type="dxa"/>
          </w:tcPr>
          <w:p w14:paraId="489F3535" w14:textId="77777777" w:rsidR="00531ED9" w:rsidRPr="009C7458" w:rsidRDefault="00531ED9">
            <w:pPr>
              <w:spacing w:after="12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9C7458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/digitaalselt allkirjastatud/ </w:t>
            </w:r>
          </w:p>
        </w:tc>
      </w:tr>
      <w:tr w:rsidR="00531ED9" w:rsidRPr="009C7458" w14:paraId="3523622C" w14:textId="77777777">
        <w:trPr>
          <w:trHeight w:val="93"/>
        </w:trPr>
        <w:tc>
          <w:tcPr>
            <w:tcW w:w="4503" w:type="dxa"/>
          </w:tcPr>
          <w:p w14:paraId="20AB545C" w14:textId="4B8F3FE7" w:rsidR="00531ED9" w:rsidRPr="009C7458" w:rsidRDefault="00573090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Rivo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Reitmann</w:t>
            </w:r>
            <w:proofErr w:type="spellEnd"/>
          </w:p>
        </w:tc>
        <w:tc>
          <w:tcPr>
            <w:tcW w:w="4677" w:type="dxa"/>
          </w:tcPr>
          <w:p w14:paraId="67D01786" w14:textId="5B57AD0B" w:rsidR="00531ED9" w:rsidRPr="001B4090" w:rsidRDefault="00C202F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Jaroslava Nurmsalu</w:t>
            </w:r>
          </w:p>
        </w:tc>
      </w:tr>
      <w:tr w:rsidR="00531ED9" w:rsidRPr="009C7458" w14:paraId="02FFA5E9" w14:textId="77777777">
        <w:trPr>
          <w:trHeight w:val="93"/>
        </w:trPr>
        <w:tc>
          <w:tcPr>
            <w:tcW w:w="4503" w:type="dxa"/>
          </w:tcPr>
          <w:p w14:paraId="2979FA71" w14:textId="065E5EC9" w:rsidR="00531ED9" w:rsidRPr="009C7458" w:rsidRDefault="008E0379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Juhatuse liige</w:t>
            </w:r>
          </w:p>
        </w:tc>
        <w:tc>
          <w:tcPr>
            <w:tcW w:w="4677" w:type="dxa"/>
          </w:tcPr>
          <w:p w14:paraId="47898D54" w14:textId="77777777" w:rsidR="00531ED9" w:rsidRPr="009C7458" w:rsidRDefault="00531ED9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534BE">
              <w:rPr>
                <w:rFonts w:ascii="Arial" w:hAnsi="Arial" w:cs="Arial"/>
                <w:iCs/>
                <w:sz w:val="20"/>
                <w:szCs w:val="20"/>
              </w:rPr>
              <w:t>Juhatuse liige</w:t>
            </w:r>
          </w:p>
        </w:tc>
      </w:tr>
      <w:tr w:rsidR="00531ED9" w:rsidRPr="009C7458" w14:paraId="63C5500D" w14:textId="77777777">
        <w:trPr>
          <w:trHeight w:val="93"/>
        </w:trPr>
        <w:tc>
          <w:tcPr>
            <w:tcW w:w="4503" w:type="dxa"/>
          </w:tcPr>
          <w:p w14:paraId="248C9FAE" w14:textId="5FA3B822" w:rsidR="00531ED9" w:rsidRPr="00F93ABA" w:rsidRDefault="002D4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Registrie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 infosüsteemide Keskus</w:t>
            </w:r>
          </w:p>
        </w:tc>
        <w:tc>
          <w:tcPr>
            <w:tcW w:w="4677" w:type="dxa"/>
          </w:tcPr>
          <w:p w14:paraId="41D6AD5B" w14:textId="77777777" w:rsidR="00531ED9" w:rsidRPr="009C7458" w:rsidRDefault="00531ED9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Ülemiste Center OÜ</w:t>
            </w:r>
          </w:p>
        </w:tc>
      </w:tr>
    </w:tbl>
    <w:p w14:paraId="239CF451" w14:textId="77777777" w:rsidR="00531ED9" w:rsidRPr="009C7458" w:rsidRDefault="00531ED9" w:rsidP="0053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4E12EF" w14:textId="0D7634B8" w:rsidR="008E0331" w:rsidRDefault="008E0331" w:rsidP="00531ED9"/>
    <w:p w14:paraId="5C591489" w14:textId="77777777" w:rsidR="00C202F3" w:rsidRDefault="00C202F3" w:rsidP="00531ED9"/>
    <w:p w14:paraId="56FC098E" w14:textId="77777777" w:rsidR="0072071A" w:rsidRDefault="0072071A" w:rsidP="00531ED9"/>
    <w:p w14:paraId="213B43DF" w14:textId="77777777" w:rsidR="0072071A" w:rsidRDefault="0072071A" w:rsidP="00531ED9"/>
    <w:p w14:paraId="280E1130" w14:textId="77777777" w:rsidR="0072071A" w:rsidRDefault="0072071A" w:rsidP="00531ED9"/>
    <w:p w14:paraId="1BE668C7" w14:textId="77777777" w:rsidR="00C202F3" w:rsidRDefault="00C202F3" w:rsidP="00531ED9"/>
    <w:sectPr w:rsidR="00C202F3" w:rsidSect="00DB2D34">
      <w:headerReference w:type="default" r:id="rId9"/>
      <w:pgSz w:w="11906" w:h="16838"/>
      <w:pgMar w:top="1417" w:right="1417" w:bottom="1276" w:left="141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DB34" w14:textId="77777777" w:rsidR="00D9144F" w:rsidRDefault="00D9144F">
      <w:pPr>
        <w:spacing w:after="0" w:line="240" w:lineRule="auto"/>
      </w:pPr>
      <w:r>
        <w:separator/>
      </w:r>
    </w:p>
  </w:endnote>
  <w:endnote w:type="continuationSeparator" w:id="0">
    <w:p w14:paraId="0FD74178" w14:textId="77777777" w:rsidR="00D9144F" w:rsidRDefault="00D9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8F0B" w14:textId="77777777" w:rsidR="00D9144F" w:rsidRDefault="00D9144F">
      <w:pPr>
        <w:spacing w:after="0" w:line="240" w:lineRule="auto"/>
      </w:pPr>
      <w:r>
        <w:separator/>
      </w:r>
    </w:p>
  </w:footnote>
  <w:footnote w:type="continuationSeparator" w:id="0">
    <w:p w14:paraId="4F126C82" w14:textId="77777777" w:rsidR="00D9144F" w:rsidRDefault="00D9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88FD" w14:textId="77777777" w:rsidR="0025558E" w:rsidRDefault="0025558E">
    <w:pPr>
      <w:pStyle w:val="Header"/>
    </w:pPr>
  </w:p>
  <w:p w14:paraId="07752948" w14:textId="77777777" w:rsidR="0025558E" w:rsidRDefault="00255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044"/>
    <w:multiLevelType w:val="multilevel"/>
    <w:tmpl w:val="0DA01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A2C6A69"/>
    <w:multiLevelType w:val="multilevel"/>
    <w:tmpl w:val="0DA01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10573447">
    <w:abstractNumId w:val="0"/>
  </w:num>
  <w:num w:numId="2" w16cid:durableId="37535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D9"/>
    <w:rsid w:val="00030AE4"/>
    <w:rsid w:val="00060869"/>
    <w:rsid w:val="0007293C"/>
    <w:rsid w:val="001B3A57"/>
    <w:rsid w:val="001D0F1D"/>
    <w:rsid w:val="002540D7"/>
    <w:rsid w:val="0025558E"/>
    <w:rsid w:val="002D42F1"/>
    <w:rsid w:val="00302AF1"/>
    <w:rsid w:val="00325E4C"/>
    <w:rsid w:val="00357D05"/>
    <w:rsid w:val="0036594D"/>
    <w:rsid w:val="00383401"/>
    <w:rsid w:val="003C3D01"/>
    <w:rsid w:val="0041755E"/>
    <w:rsid w:val="004222A5"/>
    <w:rsid w:val="004420C5"/>
    <w:rsid w:val="004F7CB1"/>
    <w:rsid w:val="00531ED9"/>
    <w:rsid w:val="00573090"/>
    <w:rsid w:val="00596F34"/>
    <w:rsid w:val="005A4CEA"/>
    <w:rsid w:val="006B2EE2"/>
    <w:rsid w:val="006F7DBD"/>
    <w:rsid w:val="007075D4"/>
    <w:rsid w:val="00714F86"/>
    <w:rsid w:val="0072071A"/>
    <w:rsid w:val="00756EDE"/>
    <w:rsid w:val="007913EB"/>
    <w:rsid w:val="007A0B2E"/>
    <w:rsid w:val="007A237B"/>
    <w:rsid w:val="007A5709"/>
    <w:rsid w:val="008B2DB8"/>
    <w:rsid w:val="008E0331"/>
    <w:rsid w:val="008E0379"/>
    <w:rsid w:val="008E4A96"/>
    <w:rsid w:val="008E6F50"/>
    <w:rsid w:val="008E7814"/>
    <w:rsid w:val="009073CB"/>
    <w:rsid w:val="0098220E"/>
    <w:rsid w:val="009C41E7"/>
    <w:rsid w:val="009D0B7C"/>
    <w:rsid w:val="00B026F5"/>
    <w:rsid w:val="00B30EAD"/>
    <w:rsid w:val="00B76113"/>
    <w:rsid w:val="00BA37F0"/>
    <w:rsid w:val="00BB1FAE"/>
    <w:rsid w:val="00BB6A4D"/>
    <w:rsid w:val="00BE7D3C"/>
    <w:rsid w:val="00C202F3"/>
    <w:rsid w:val="00C64A51"/>
    <w:rsid w:val="00C65788"/>
    <w:rsid w:val="00C748B6"/>
    <w:rsid w:val="00CD4429"/>
    <w:rsid w:val="00D9144F"/>
    <w:rsid w:val="00D919C2"/>
    <w:rsid w:val="00D91D61"/>
    <w:rsid w:val="00DA7C8F"/>
    <w:rsid w:val="00DB2D34"/>
    <w:rsid w:val="00DF1279"/>
    <w:rsid w:val="00E9385B"/>
    <w:rsid w:val="00EB5533"/>
    <w:rsid w:val="00EE6477"/>
    <w:rsid w:val="00EE74E9"/>
    <w:rsid w:val="00F607EE"/>
    <w:rsid w:val="00F93ABA"/>
    <w:rsid w:val="00FE3575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E4EC"/>
  <w15:chartTrackingRefBased/>
  <w15:docId w15:val="{33E56A86-09BD-4F8D-B5AB-A0B07342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E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E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E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E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E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ED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D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31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ols@ulemiste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lemiste.ee/kinkeka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5573</Characters>
  <Application>Microsoft Office Word</Application>
  <DocSecurity>0</DocSecurity>
  <Lines>109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Möls</dc:creator>
  <cp:keywords/>
  <dc:description/>
  <cp:lastModifiedBy>Jaroslava Nurmsalu</cp:lastModifiedBy>
  <cp:revision>3</cp:revision>
  <cp:lastPrinted>2025-09-03T10:45:00Z</cp:lastPrinted>
  <dcterms:created xsi:type="dcterms:W3CDTF">2025-12-16T13:39:00Z</dcterms:created>
  <dcterms:modified xsi:type="dcterms:W3CDTF">2025-12-16T13:39:00Z</dcterms:modified>
</cp:coreProperties>
</file>