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2162B" w14:textId="77777777" w:rsidR="00D851D6" w:rsidRPr="00EB2F79" w:rsidRDefault="00D851D6" w:rsidP="006F06E1">
      <w:pPr>
        <w:pStyle w:val="NormalCentered"/>
      </w:pPr>
      <w:bookmarkStart w:id="0" w:name="DQC_RangeToBeChecked"/>
      <w:r w:rsidRPr="00EB2F79">
        <w:t xml:space="preserve">ENERGIAHARTA LEPINGU </w:t>
      </w:r>
      <w:r w:rsidR="006F06E1" w:rsidRPr="00EB2F79">
        <w:br/>
      </w:r>
      <w:r w:rsidRPr="00EB2F79">
        <w:t xml:space="preserve">TÕLGENDAMISE JA KOHALDAMISE </w:t>
      </w:r>
      <w:r w:rsidR="006F06E1" w:rsidRPr="00EB2F79">
        <w:br/>
      </w:r>
      <w:r w:rsidRPr="00EB2F79">
        <w:t>KOKKULEPE</w:t>
      </w:r>
    </w:p>
    <w:p w14:paraId="4980516F" w14:textId="77777777" w:rsidR="00364E9C" w:rsidRPr="00EB2F79" w:rsidRDefault="00364E9C" w:rsidP="00D851D6">
      <w:pPr>
        <w:sectPr w:rsidR="00364E9C" w:rsidRPr="00EB2F79" w:rsidSect="006F06E1">
          <w:headerReference w:type="even" r:id="rId11"/>
          <w:footerReference w:type="even" r:id="rId12"/>
          <w:headerReference w:type="first" r:id="rId13"/>
          <w:footerReference w:type="first" r:id="rId14"/>
          <w:pgSz w:w="11907" w:h="16840" w:code="9"/>
          <w:pgMar w:top="1134" w:right="1134" w:bottom="1134" w:left="1134" w:header="567" w:footer="567" w:gutter="0"/>
          <w:cols w:space="720"/>
          <w:vAlign w:val="center"/>
          <w:docGrid w:linePitch="326"/>
        </w:sectPr>
      </w:pPr>
    </w:p>
    <w:p w14:paraId="5AC0D9A7" w14:textId="77777777" w:rsidR="00D851D6" w:rsidRPr="00EB2F79" w:rsidRDefault="00D851D6" w:rsidP="00D851D6">
      <w:r w:rsidRPr="00EB2F79">
        <w:lastRenderedPageBreak/>
        <w:t>BELGIA KUNINGRIIK,</w:t>
      </w:r>
    </w:p>
    <w:p w14:paraId="336ABCB4" w14:textId="77777777" w:rsidR="00D851D6" w:rsidRPr="00EB2F79" w:rsidRDefault="00D851D6" w:rsidP="00D851D6">
      <w:r w:rsidRPr="00EB2F79">
        <w:t>BULGAARIA VABARIIK,</w:t>
      </w:r>
    </w:p>
    <w:p w14:paraId="20D6017C" w14:textId="77777777" w:rsidR="00D851D6" w:rsidRPr="00EB2F79" w:rsidRDefault="00D851D6" w:rsidP="00D851D6">
      <w:r w:rsidRPr="00EB2F79">
        <w:t>TŠEHHI VABARIIK,</w:t>
      </w:r>
    </w:p>
    <w:p w14:paraId="4D03BF73" w14:textId="77777777" w:rsidR="00D851D6" w:rsidRPr="00EB2F79" w:rsidRDefault="00D851D6" w:rsidP="00D851D6">
      <w:r w:rsidRPr="00EB2F79">
        <w:t>TAANI KUNINGRIIK,</w:t>
      </w:r>
    </w:p>
    <w:p w14:paraId="23D46A9B" w14:textId="77777777" w:rsidR="00D851D6" w:rsidRPr="00EB2F79" w:rsidRDefault="00D851D6" w:rsidP="00D851D6">
      <w:r w:rsidRPr="00EB2F79">
        <w:t>SAKSAMAA LIITVABARIIK,</w:t>
      </w:r>
    </w:p>
    <w:p w14:paraId="270A8F42" w14:textId="77777777" w:rsidR="00D851D6" w:rsidRPr="00EB2F79" w:rsidRDefault="00D851D6" w:rsidP="00D851D6">
      <w:r w:rsidRPr="00EB2F79">
        <w:t>EESTI VABARIIK,</w:t>
      </w:r>
    </w:p>
    <w:p w14:paraId="5B268D60" w14:textId="77777777" w:rsidR="00D851D6" w:rsidRPr="00EB2F79" w:rsidRDefault="00D851D6" w:rsidP="00D851D6">
      <w:r w:rsidRPr="00EB2F79">
        <w:t>IIRIMAA,</w:t>
      </w:r>
    </w:p>
    <w:p w14:paraId="710A70C4" w14:textId="77777777" w:rsidR="00D851D6" w:rsidRPr="00EB2F79" w:rsidRDefault="00D851D6" w:rsidP="00D851D6">
      <w:r w:rsidRPr="00EB2F79">
        <w:t>KREEKA VABARIIK,</w:t>
      </w:r>
    </w:p>
    <w:p w14:paraId="389507B0" w14:textId="77777777" w:rsidR="00D851D6" w:rsidRPr="00EB2F79" w:rsidRDefault="00D851D6" w:rsidP="00D851D6">
      <w:r w:rsidRPr="00EB2F79">
        <w:t>HISPAANIA KUNINGRIIK,</w:t>
      </w:r>
    </w:p>
    <w:p w14:paraId="4854C7C6" w14:textId="77777777" w:rsidR="00D851D6" w:rsidRPr="00EB2F79" w:rsidRDefault="00D851D6" w:rsidP="00D851D6">
      <w:r w:rsidRPr="00EB2F79">
        <w:t>PRANTSUSE VABARIIK,</w:t>
      </w:r>
    </w:p>
    <w:p w14:paraId="7780D2CA" w14:textId="77777777" w:rsidR="00D851D6" w:rsidRPr="00EB2F79" w:rsidRDefault="00D851D6" w:rsidP="00D851D6">
      <w:r w:rsidRPr="00EB2F79">
        <w:t>HORVAATIA VABARIIK,</w:t>
      </w:r>
    </w:p>
    <w:p w14:paraId="242383C0" w14:textId="77777777" w:rsidR="00D851D6" w:rsidRPr="00EB2F79" w:rsidRDefault="00D851D6" w:rsidP="00D851D6">
      <w:r w:rsidRPr="00EB2F79">
        <w:t>ITAALIA VABARIIK,</w:t>
      </w:r>
    </w:p>
    <w:p w14:paraId="018213AD" w14:textId="77777777" w:rsidR="00D851D6" w:rsidRPr="00EB2F79" w:rsidRDefault="00D851D6" w:rsidP="00D851D6">
      <w:r w:rsidRPr="00EB2F79">
        <w:t>KÜPROSE VABARIIK,</w:t>
      </w:r>
    </w:p>
    <w:p w14:paraId="76398CCA" w14:textId="77777777" w:rsidR="00D851D6" w:rsidRPr="00EB2F79" w:rsidRDefault="00D851D6" w:rsidP="00D851D6">
      <w:r w:rsidRPr="00EB2F79">
        <w:t>LÄTI VABARIIK,</w:t>
      </w:r>
    </w:p>
    <w:p w14:paraId="29E951AD" w14:textId="67D05999" w:rsidR="00D851D6" w:rsidRPr="00EB2F79" w:rsidRDefault="00D851D6" w:rsidP="00D851D6">
      <w:r w:rsidRPr="00EB2F79">
        <w:t>LEEDU VABARIIK,</w:t>
      </w:r>
    </w:p>
    <w:p w14:paraId="76EF22FA" w14:textId="77777777" w:rsidR="00D851D6" w:rsidRPr="00EB2F79" w:rsidRDefault="00D851D6" w:rsidP="00D851D6">
      <w:r w:rsidRPr="00EB2F79">
        <w:t>LUKSEMBURGI SUURHERTSOGIRIIK,</w:t>
      </w:r>
    </w:p>
    <w:p w14:paraId="4F1DB573" w14:textId="77777777" w:rsidR="00D851D6" w:rsidRPr="00EB2F79" w:rsidRDefault="00D851D6" w:rsidP="00D851D6">
      <w:r w:rsidRPr="00EB2F79">
        <w:t>MALTA VABARIIK,</w:t>
      </w:r>
    </w:p>
    <w:p w14:paraId="41C6D485" w14:textId="77777777" w:rsidR="00D851D6" w:rsidRPr="00EB2F79" w:rsidRDefault="00D851D6" w:rsidP="00D851D6">
      <w:r w:rsidRPr="00EB2F79">
        <w:t>MADALMAADE KUNINGRIIK,</w:t>
      </w:r>
    </w:p>
    <w:p w14:paraId="03D3C0B2" w14:textId="77777777" w:rsidR="00D851D6" w:rsidRPr="00EB2F79" w:rsidRDefault="00D851D6" w:rsidP="00D851D6">
      <w:r w:rsidRPr="00EB2F79">
        <w:t>AUSTRIA VABARIIK,</w:t>
      </w:r>
    </w:p>
    <w:p w14:paraId="6D941FFD" w14:textId="77777777" w:rsidR="00D851D6" w:rsidRPr="00EB2F79" w:rsidRDefault="00D851D6" w:rsidP="00D851D6">
      <w:r w:rsidRPr="00EB2F79">
        <w:t>POOLA VABARIIK,</w:t>
      </w:r>
    </w:p>
    <w:p w14:paraId="669C1702" w14:textId="77777777" w:rsidR="00D851D6" w:rsidRPr="00EB2F79" w:rsidRDefault="00D851D6" w:rsidP="00D851D6">
      <w:r w:rsidRPr="00EB2F79">
        <w:t>PORTUGALI VABARIIK,</w:t>
      </w:r>
    </w:p>
    <w:p w14:paraId="0D2B895D" w14:textId="77777777" w:rsidR="00D851D6" w:rsidRPr="00EB2F79" w:rsidRDefault="00D851D6" w:rsidP="00D851D6">
      <w:r w:rsidRPr="00EB2F79">
        <w:t>RUMEENIA,</w:t>
      </w:r>
    </w:p>
    <w:p w14:paraId="5A415BE5" w14:textId="77777777" w:rsidR="00D851D6" w:rsidRPr="00EB2F79" w:rsidRDefault="00D851D6" w:rsidP="00D851D6">
      <w:r w:rsidRPr="00EB2F79">
        <w:lastRenderedPageBreak/>
        <w:t>SLOVEENIA VABARIIK,</w:t>
      </w:r>
    </w:p>
    <w:p w14:paraId="186F595A" w14:textId="77777777" w:rsidR="00D851D6" w:rsidRPr="00EB2F79" w:rsidRDefault="00D851D6" w:rsidP="00D851D6">
      <w:r w:rsidRPr="00EB2F79">
        <w:t>SLOVAKI VABARIIK,</w:t>
      </w:r>
    </w:p>
    <w:p w14:paraId="02C3A086" w14:textId="77777777" w:rsidR="00D851D6" w:rsidRPr="00EB2F79" w:rsidRDefault="00D851D6" w:rsidP="00D851D6">
      <w:r w:rsidRPr="00EB2F79">
        <w:t>SOOME VABARIIK,</w:t>
      </w:r>
    </w:p>
    <w:p w14:paraId="25F1EB74" w14:textId="77777777" w:rsidR="00D851D6" w:rsidRPr="00EB2F79" w:rsidRDefault="00D851D6" w:rsidP="00D851D6">
      <w:r w:rsidRPr="00EB2F79">
        <w:t xml:space="preserve">ROOTSI KUNINGRIIK </w:t>
      </w:r>
      <w:r w:rsidRPr="00EB2F79">
        <w:rPr>
          <w:bCs/>
          <w:iCs/>
        </w:rPr>
        <w:t>ning</w:t>
      </w:r>
    </w:p>
    <w:p w14:paraId="4CE29284" w14:textId="77777777" w:rsidR="00D851D6" w:rsidRPr="00EB2F79" w:rsidRDefault="00D851D6" w:rsidP="00D851D6">
      <w:r w:rsidRPr="00EB2F79">
        <w:t>EUROOPA LIIT</w:t>
      </w:r>
    </w:p>
    <w:p w14:paraId="2B1BA679" w14:textId="77777777" w:rsidR="00D851D6" w:rsidRPr="00EB2F79" w:rsidRDefault="00D851D6" w:rsidP="00D851D6">
      <w:r w:rsidRPr="00EB2F79">
        <w:t>(edaspidi koos „kokkuleppeosalised“),</w:t>
      </w:r>
    </w:p>
    <w:p w14:paraId="5ECE4599" w14:textId="77777777" w:rsidR="00D851D6" w:rsidRPr="00EB2F79" w:rsidRDefault="00D851D6" w:rsidP="00D851D6">
      <w:pPr>
        <w:spacing w:after="160" w:line="259" w:lineRule="auto"/>
        <w:rPr>
          <w:rFonts w:eastAsia="Calibri"/>
        </w:rPr>
      </w:pPr>
      <w:r w:rsidRPr="00EB2F79">
        <w:rPr>
          <w:rFonts w:eastAsia="Calibri"/>
        </w:rPr>
        <w:br w:type="page"/>
      </w:r>
    </w:p>
    <w:p w14:paraId="2A50F006" w14:textId="77777777" w:rsidR="00D851D6" w:rsidRPr="00EB2F79" w:rsidRDefault="00D851D6" w:rsidP="00C72C11">
      <w:pPr>
        <w:jc w:val="both"/>
        <w:rPr>
          <w:rFonts w:eastAsia="Calibri"/>
        </w:rPr>
      </w:pPr>
      <w:bookmarkStart w:id="1" w:name="Merge_1_2"/>
      <w:bookmarkEnd w:id="1"/>
      <w:r w:rsidRPr="00EB2F79">
        <w:rPr>
          <w:rFonts w:eastAsia="Calibri"/>
        </w:rPr>
        <w:lastRenderedPageBreak/>
        <w:t>PIDADES SILMAS energiaharta lepingut, millele kirjutati alla 17. detsembril 1994 Lissabonis</w:t>
      </w:r>
      <w:r w:rsidRPr="00EB2F79">
        <w:rPr>
          <w:rStyle w:val="FootnoteReference"/>
        </w:rPr>
        <w:footnoteReference w:id="1"/>
      </w:r>
      <w:r w:rsidRPr="00EB2F79">
        <w:rPr>
          <w:rFonts w:eastAsia="Calibri"/>
        </w:rPr>
        <w:t xml:space="preserve"> ja mis on Euroopa ühenduste nimel heaks kiidetud nõukogu ja komisjoni 23. septembri 1997. aasta otsusega 98/181/EÜ, ESTÜ, Euratom</w:t>
      </w:r>
      <w:r w:rsidRPr="00EB2F79">
        <w:rPr>
          <w:rStyle w:val="FootnoteReference"/>
        </w:rPr>
        <w:footnoteReference w:id="2"/>
      </w:r>
      <w:r w:rsidRPr="00EB2F79">
        <w:rPr>
          <w:rFonts w:eastAsia="Calibri"/>
        </w:rPr>
        <w:t>, nagu seda on viimati muudetud,</w:t>
      </w:r>
    </w:p>
    <w:p w14:paraId="7E14F02A" w14:textId="77777777" w:rsidR="00D851D6" w:rsidRPr="00EB2F79" w:rsidRDefault="00D851D6" w:rsidP="00C72C11">
      <w:pPr>
        <w:jc w:val="both"/>
        <w:rPr>
          <w:rFonts w:eastAsia="Calibri"/>
        </w:rPr>
      </w:pPr>
      <w:r w:rsidRPr="00EB2F79">
        <w:rPr>
          <w:rFonts w:eastAsia="Calibri"/>
        </w:rPr>
        <w:t>VÕTTES ARVESSE rahvusvahelise tavaõiguse norme, nagu need on kodifitseeritud rahvusvaheliste lepingute õiguse Viini konventsioonis, mis sõlmiti 23. mail 1969 Viinis,</w:t>
      </w:r>
    </w:p>
    <w:p w14:paraId="044E813C" w14:textId="77777777" w:rsidR="00D851D6" w:rsidRPr="00EB2F79" w:rsidRDefault="00D851D6" w:rsidP="00C72C11">
      <w:pPr>
        <w:jc w:val="both"/>
        <w:rPr>
          <w:rFonts w:eastAsia="Calibri"/>
        </w:rPr>
      </w:pPr>
      <w:r w:rsidRPr="00EB2F79">
        <w:rPr>
          <w:rFonts w:eastAsia="Calibri"/>
        </w:rPr>
        <w:t>ARVESTADES, et riigid, kes kuuluvad piirkondliku majandusintegratsiooni organisatsiooni energiaharta lepingu artikli 1 punkti 3 tähenduses, väljendavad käesolevaga ühist arusaama lepingu tõlgendamisest ja kohaldamisest omavahelistes suhetes,</w:t>
      </w:r>
    </w:p>
    <w:p w14:paraId="52C08595" w14:textId="77777777" w:rsidR="00D851D6" w:rsidRPr="00EB2F79" w:rsidRDefault="00D851D6" w:rsidP="00C72C11">
      <w:pPr>
        <w:jc w:val="both"/>
      </w:pPr>
      <w:r w:rsidRPr="00EB2F79">
        <w:t xml:space="preserve">MEENUTADES, et energiaharta lepingust taganemine ei mõjuta </w:t>
      </w:r>
      <w:r w:rsidRPr="00EB2F79">
        <w:rPr>
          <w:bCs/>
          <w:iCs/>
        </w:rPr>
        <w:t>kõnealuses lepingus osutatud</w:t>
      </w:r>
      <w:r w:rsidRPr="00EB2F79">
        <w:t xml:space="preserve"> piirkondliku majandusintegratsiooni organisatsiooni </w:t>
      </w:r>
      <w:r w:rsidRPr="00EB2F79">
        <w:rPr>
          <w:bCs/>
          <w:iCs/>
        </w:rPr>
        <w:t>koosseisu</w:t>
      </w:r>
      <w:r w:rsidRPr="00EB2F79">
        <w:t xml:space="preserve">, samuti ei välista see huvi väljendada ühist arusaama kõnealuse lepingu tõlgendamisest ja kohaldamisest seni, kuni võib järeldada, et lepingul on õiguslik mõju lepingust </w:t>
      </w:r>
      <w:r w:rsidRPr="00EB2F79">
        <w:rPr>
          <w:bCs/>
          <w:iCs/>
        </w:rPr>
        <w:t>taganenud kokkuleppeosalisele</w:t>
      </w:r>
      <w:r w:rsidRPr="00EB2F79">
        <w:t>, eelkõige seoses energiaharta lepingu artikli 47 lõikega 3,</w:t>
      </w:r>
    </w:p>
    <w:p w14:paraId="3ED1741B" w14:textId="7CF349E5" w:rsidR="00D851D6" w:rsidRPr="00EB2F79" w:rsidRDefault="00D851D6" w:rsidP="00C72C11">
      <w:pPr>
        <w:jc w:val="both"/>
        <w:rPr>
          <w:rFonts w:eastAsia="Calibri"/>
        </w:rPr>
      </w:pPr>
      <w:r w:rsidRPr="00EB2F79">
        <w:rPr>
          <w:rFonts w:eastAsia="Calibri"/>
        </w:rPr>
        <w:t>VÕTTES ARVESSE Euroopa Liidu lepingut (ELi leping), Euroopa Liidu toimimise lepingut (ELi toimimise leping) ja Euroopa Liidu õiguse üldpõhimõtteid,</w:t>
      </w:r>
    </w:p>
    <w:p w14:paraId="70345B72" w14:textId="77777777" w:rsidR="00D851D6" w:rsidRPr="00EB2F79" w:rsidRDefault="00D851D6" w:rsidP="00C72C11">
      <w:pPr>
        <w:jc w:val="both"/>
        <w:rPr>
          <w:rFonts w:eastAsia="Calibri"/>
        </w:rPr>
      </w:pPr>
      <w:r w:rsidRPr="00EB2F79">
        <w:rPr>
          <w:rFonts w:eastAsia="Calibri"/>
        </w:rPr>
        <w:t>ARVESTADES, et käesolevas kokkuleppes sisalduvaid viiteid Euroopa Liidule tuleb käsitada ka viidetena selle eelkäijale ehk Euroopa Majandusühendusele ja sellele järgnenud Euroopa Ühendusele, millest hiljem sai Euroopa Liit,</w:t>
      </w:r>
    </w:p>
    <w:p w14:paraId="23A5090B" w14:textId="77777777" w:rsidR="00D851D6" w:rsidRPr="00EB2F79" w:rsidRDefault="00D851D6" w:rsidP="00C72C11">
      <w:pPr>
        <w:jc w:val="both"/>
        <w:rPr>
          <w:rFonts w:eastAsia="Calibri"/>
        </w:rPr>
      </w:pPr>
      <w:r w:rsidRPr="00EB2F79">
        <w:rPr>
          <w:rFonts w:eastAsia="Calibri"/>
        </w:rPr>
        <w:t>MEENUTADES, et kooskõlas Alalise Rahvusvahelise Kohtu praktikaga</w:t>
      </w:r>
      <w:r w:rsidRPr="00EB2F79">
        <w:rPr>
          <w:rStyle w:val="FootnoteReference"/>
        </w:rPr>
        <w:footnoteReference w:id="3"/>
      </w:r>
      <w:r w:rsidRPr="00EB2F79">
        <w:rPr>
          <w:rFonts w:eastAsia="Calibri"/>
        </w:rPr>
        <w:t xml:space="preserve"> ja Rahvusvahelise Kohtu praktikaga</w:t>
      </w:r>
      <w:r w:rsidRPr="00EB2F79">
        <w:rPr>
          <w:rStyle w:val="FootnoteReference"/>
        </w:rPr>
        <w:footnoteReference w:id="4"/>
      </w:r>
      <w:r w:rsidRPr="00EB2F79">
        <w:rPr>
          <w:rFonts w:eastAsia="Calibri"/>
        </w:rPr>
        <w:t xml:space="preserve"> on õigusnormi siduva tõlgendamise õigus rahvusvahelise lepingu osas kõnealuse lepingu osalistel,</w:t>
      </w:r>
    </w:p>
    <w:p w14:paraId="0D58C2BE" w14:textId="77777777" w:rsidR="00D851D6" w:rsidRPr="00EB2F79" w:rsidRDefault="00D851D6" w:rsidP="00C72C11">
      <w:pPr>
        <w:jc w:val="both"/>
        <w:rPr>
          <w:rFonts w:eastAsia="Calibri"/>
        </w:rPr>
      </w:pPr>
      <w:r w:rsidRPr="00EB2F79">
        <w:rPr>
          <w:rFonts w:eastAsia="Calibri"/>
        </w:rPr>
        <w:t xml:space="preserve">MEENUTADES, et Euroopa Liidu liikmesriigid (edaspidi „liikmesriigid“) on andnud õiguse liidu õiguse siduvaks tõlgendamiseks Euroopa Liidu Kohtule, nagu on selgitatud Euroopa Liidu Kohtu </w:t>
      </w:r>
      <w:r w:rsidRPr="00EB2F79">
        <w:rPr>
          <w:rFonts w:eastAsia="Calibri"/>
        </w:rPr>
        <w:lastRenderedPageBreak/>
        <w:t xml:space="preserve">30. mai 2006. aasta otsuses kohtuasjas </w:t>
      </w:r>
      <w:r w:rsidRPr="00525DA3">
        <w:rPr>
          <w:rFonts w:eastAsia="Calibri"/>
          <w:i/>
          <w:iCs/>
        </w:rPr>
        <w:t>komisjon</w:t>
      </w:r>
      <w:r w:rsidRPr="00EB2F79">
        <w:rPr>
          <w:rFonts w:eastAsia="Calibri"/>
        </w:rPr>
        <w:t xml:space="preserve"> </w:t>
      </w:r>
      <w:r w:rsidRPr="00EB2F79">
        <w:rPr>
          <w:rFonts w:eastAsia="Calibri"/>
          <w:iCs/>
        </w:rPr>
        <w:t>vs</w:t>
      </w:r>
      <w:r w:rsidRPr="00EB2F79">
        <w:rPr>
          <w:rFonts w:eastAsia="Calibri"/>
        </w:rPr>
        <w:t xml:space="preserve">. </w:t>
      </w:r>
      <w:r w:rsidRPr="00525DA3">
        <w:rPr>
          <w:rFonts w:eastAsia="Calibri"/>
          <w:i/>
          <w:iCs/>
        </w:rPr>
        <w:t>Iirimaa</w:t>
      </w:r>
      <w:r w:rsidRPr="00EB2F79">
        <w:rPr>
          <w:rFonts w:eastAsia="Calibri"/>
        </w:rPr>
        <w:t xml:space="preserve"> (</w:t>
      </w:r>
      <w:proofErr w:type="spellStart"/>
      <w:r w:rsidRPr="00EB2F79">
        <w:rPr>
          <w:rFonts w:eastAsia="Calibri"/>
        </w:rPr>
        <w:t>Mox</w:t>
      </w:r>
      <w:proofErr w:type="spellEnd"/>
      <w:r w:rsidRPr="00EB2F79">
        <w:rPr>
          <w:rFonts w:eastAsia="Calibri"/>
        </w:rPr>
        <w:t xml:space="preserve"> Plant), C</w:t>
      </w:r>
      <w:r w:rsidRPr="00EB2F79">
        <w:rPr>
          <w:rFonts w:eastAsia="Calibri"/>
        </w:rPr>
        <w:noBreakHyphen/>
        <w:t>459/03</w:t>
      </w:r>
      <w:r w:rsidRPr="00EB2F79">
        <w:rPr>
          <w:rStyle w:val="FootnoteReference"/>
        </w:rPr>
        <w:footnoteReference w:id="5"/>
      </w:r>
      <w:r w:rsidRPr="00EB2F79">
        <w:rPr>
          <w:rFonts w:eastAsia="Calibri"/>
        </w:rPr>
        <w:t xml:space="preserve">, kus kohus leidis, et ainupädevus tõlgendada ja kohaldada liidu õigust kahe liikmesriigi või </w:t>
      </w:r>
      <w:r w:rsidRPr="00EB2F79">
        <w:rPr>
          <w:rFonts w:eastAsia="Calibri"/>
          <w:bCs/>
          <w:iCs/>
        </w:rPr>
        <w:t>Euroopa Liidu</w:t>
      </w:r>
      <w:r w:rsidRPr="00EB2F79">
        <w:rPr>
          <w:rFonts w:eastAsia="Calibri"/>
        </w:rPr>
        <w:t xml:space="preserve"> ja liikmesriigi vahelises vaidluses laieneb rahvusvaheliste lepingute tõlgendamisele ja kohaldamisele, mille osalised on Euroopa Liit </w:t>
      </w:r>
      <w:r w:rsidRPr="00EB2F79">
        <w:rPr>
          <w:rFonts w:eastAsia="Calibri"/>
          <w:bCs/>
          <w:iCs/>
        </w:rPr>
        <w:t>ja selle</w:t>
      </w:r>
      <w:r w:rsidRPr="00EB2F79">
        <w:rPr>
          <w:rFonts w:eastAsia="Calibri"/>
        </w:rPr>
        <w:t xml:space="preserve"> liikmesriigid,</w:t>
      </w:r>
    </w:p>
    <w:p w14:paraId="21339B0A" w14:textId="77777777" w:rsidR="00D851D6" w:rsidRPr="00EB2F79" w:rsidRDefault="00D851D6" w:rsidP="00C72C11">
      <w:pPr>
        <w:jc w:val="both"/>
        <w:rPr>
          <w:rFonts w:eastAsia="Calibri"/>
        </w:rPr>
      </w:pPr>
      <w:r w:rsidRPr="00EB2F79">
        <w:rPr>
          <w:rFonts w:eastAsia="Calibri"/>
        </w:rPr>
        <w:t>MEENUTADES, et vastavalt ELi toimimise lepingu artiklile 344 kohustuvad liikmesriigid aluslepingute tõlgendamist ja kohaldamist käsitlevaid vaidlusi lahendama ainult nendes lepingutes ettenähtud meetoditega,</w:t>
      </w:r>
    </w:p>
    <w:p w14:paraId="5AB97E1A" w14:textId="77777777" w:rsidR="00D851D6" w:rsidRPr="00EB2F79" w:rsidRDefault="00D851D6" w:rsidP="00C72C11">
      <w:pPr>
        <w:jc w:val="both"/>
        <w:rPr>
          <w:rFonts w:eastAsia="Calibri"/>
        </w:rPr>
      </w:pPr>
      <w:r w:rsidRPr="00EB2F79">
        <w:rPr>
          <w:rFonts w:eastAsia="Calibri"/>
        </w:rPr>
        <w:t xml:space="preserve">MEENUTADES, et Euroopa Liidu Kohus leidis oma 6. märtsi 2018. aasta otsuses kohtuasjas </w:t>
      </w:r>
      <w:proofErr w:type="spellStart"/>
      <w:r w:rsidRPr="00C463A1">
        <w:rPr>
          <w:rFonts w:eastAsia="Calibri"/>
          <w:i/>
          <w:iCs/>
        </w:rPr>
        <w:t>Achmea</w:t>
      </w:r>
      <w:proofErr w:type="spellEnd"/>
      <w:r w:rsidRPr="00EB2F79">
        <w:rPr>
          <w:rFonts w:eastAsia="Calibri"/>
        </w:rPr>
        <w:t>, C-284/16</w:t>
      </w:r>
      <w:r w:rsidRPr="00EB2F79">
        <w:rPr>
          <w:rStyle w:val="FootnoteReference"/>
        </w:rPr>
        <w:footnoteReference w:id="6"/>
      </w:r>
      <w:r w:rsidRPr="00EB2F79">
        <w:rPr>
          <w:rFonts w:eastAsia="Calibri"/>
        </w:rPr>
        <w:t>, et ELi toimimise lepingu artikleid 267 ja 344 tuleb tõlgendada nii, et need välistavad võimaluse lisada liikmesriikide vahel sõlmitavasse rahvusvahelisse lepingusse sätte, mille kohaselt võib ühe liikmesriigi investor vaidluse korral, mis puudutab investeeringuid teises liikmesriigis, esitada vahekohtule, mille jurisdiktsiooni viimati nimetatud liikmesriik on kohustunud tunnustama, hagi selle liikmesriigi vastu,</w:t>
      </w:r>
    </w:p>
    <w:p w14:paraId="19278D14" w14:textId="77777777" w:rsidR="00D851D6" w:rsidRPr="00EB2F79" w:rsidRDefault="00D851D6" w:rsidP="00C72C11">
      <w:pPr>
        <w:jc w:val="both"/>
        <w:rPr>
          <w:rFonts w:eastAsia="Calibri"/>
        </w:rPr>
      </w:pPr>
      <w:r w:rsidRPr="00EB2F79">
        <w:rPr>
          <w:rFonts w:eastAsia="Calibri"/>
        </w:rPr>
        <w:t>MEENUTADES Euroopa Liidu korduvalt väljendatud seisukohta, et energiaharta leping ei ole mõeldud kohaldamiseks ELi-sisestes suhetes ning et Euroopa Liidu, Euroopa Aatomienergiaühenduse ja nende liikmesriikide kavatsuseks ei olnud ega oleks saanud olla omavaheliste kohustuste kehtestamine energiaharta kaudu, kuna selles lepiti kokku kui Euroopa Liidu energiaalase välispoliitika vahendis, mille eesmärk on luua raamistik energiakoostööks kolmandate riikidega, samas kui Euroopa Liidu energiaalane sisepoliitika koosneb energiavaldkonnas siseturu loomiseks kehtestatud keerukast õigusnormide süsteemist, millega reguleeritakse üksnes liikmesriikide vahelisi suhteid selles valdkonnas,</w:t>
      </w:r>
    </w:p>
    <w:p w14:paraId="1D5C05BE" w14:textId="77777777" w:rsidR="00D851D6" w:rsidRPr="00EB2F79" w:rsidRDefault="00D851D6" w:rsidP="00C72C11">
      <w:pPr>
        <w:jc w:val="both"/>
        <w:rPr>
          <w:rFonts w:eastAsia="Calibri"/>
        </w:rPr>
      </w:pPr>
      <w:r w:rsidRPr="00EB2F79">
        <w:rPr>
          <w:rFonts w:eastAsia="Calibri"/>
        </w:rPr>
        <w:t xml:space="preserve">MEENUTADES, et Euroopa Liidu Kohus leidis oma 2. septembri 2021. aasta otsuses kohtuasjas </w:t>
      </w:r>
      <w:r w:rsidRPr="00525DA3">
        <w:rPr>
          <w:rFonts w:eastAsia="Calibri"/>
          <w:i/>
          <w:iCs/>
        </w:rPr>
        <w:t>Moldova Vabariik</w:t>
      </w:r>
      <w:r w:rsidRPr="00EB2F79">
        <w:rPr>
          <w:rFonts w:eastAsia="Calibri"/>
        </w:rPr>
        <w:t xml:space="preserve"> </w:t>
      </w:r>
      <w:r w:rsidRPr="00EB2F79">
        <w:rPr>
          <w:rFonts w:eastAsia="Calibri"/>
          <w:iCs/>
        </w:rPr>
        <w:t>vs</w:t>
      </w:r>
      <w:r w:rsidRPr="00EB2F79">
        <w:rPr>
          <w:rFonts w:eastAsia="Calibri"/>
        </w:rPr>
        <w:t xml:space="preserve">. </w:t>
      </w:r>
      <w:proofErr w:type="spellStart"/>
      <w:r w:rsidRPr="00525DA3">
        <w:rPr>
          <w:rFonts w:eastAsia="Calibri"/>
          <w:i/>
          <w:iCs/>
        </w:rPr>
        <w:t>Komstroy</w:t>
      </w:r>
      <w:proofErr w:type="spellEnd"/>
      <w:r w:rsidRPr="00EB2F79">
        <w:rPr>
          <w:rFonts w:eastAsia="Calibri"/>
        </w:rPr>
        <w:t>, C-741/19</w:t>
      </w:r>
      <w:r w:rsidRPr="00EB2F79">
        <w:rPr>
          <w:rStyle w:val="FootnoteReference"/>
        </w:rPr>
        <w:footnoteReference w:id="7"/>
      </w:r>
      <w:r w:rsidRPr="00EB2F79">
        <w:rPr>
          <w:rFonts w:eastAsia="Calibri"/>
        </w:rPr>
        <w:t xml:space="preserve"> (edaspidi „</w:t>
      </w:r>
      <w:proofErr w:type="spellStart"/>
      <w:r w:rsidRPr="00EB2F79">
        <w:rPr>
          <w:rFonts w:eastAsia="Calibri"/>
        </w:rPr>
        <w:t>Komstroy</w:t>
      </w:r>
      <w:proofErr w:type="spellEnd"/>
      <w:r w:rsidRPr="00EB2F79">
        <w:rPr>
          <w:rFonts w:eastAsia="Calibri"/>
        </w:rPr>
        <w:t xml:space="preserve"> kohtuotsus“) ja kinnitas oma 16. juuni 2022. aasta arvamuses 1/20</w:t>
      </w:r>
      <w:r w:rsidRPr="00EB2F79">
        <w:rPr>
          <w:rStyle w:val="FootnoteReference"/>
        </w:rPr>
        <w:footnoteReference w:id="8"/>
      </w:r>
      <w:r w:rsidRPr="00EB2F79">
        <w:rPr>
          <w:rFonts w:eastAsia="Calibri"/>
        </w:rPr>
        <w:t>, et energiaharta lepingu artikli 26 lõike 2 punkti c tuleb tõlgendada nii, et see ei ole kohaldatav liikmesriigi ja teise liikmesriigi investori vahelistele vaidlustele seoses viimase poolt esimeses liikmesriigis tehtud investeeringuga,</w:t>
      </w:r>
    </w:p>
    <w:p w14:paraId="523F731D" w14:textId="77777777" w:rsidR="00D851D6" w:rsidRPr="00EB2F79" w:rsidRDefault="00D851D6" w:rsidP="00C72C11">
      <w:pPr>
        <w:jc w:val="both"/>
        <w:rPr>
          <w:rFonts w:eastAsia="Calibri"/>
        </w:rPr>
      </w:pPr>
      <w:r w:rsidRPr="00EB2F79">
        <w:rPr>
          <w:rFonts w:eastAsia="Calibri"/>
        </w:rPr>
        <w:lastRenderedPageBreak/>
        <w:t xml:space="preserve">MEENUTADES, et pädeva kohtu antud tõlgendusena ja kajastades rahvusvahelise avaliku õiguse üldpõhimõtet, kohaldatakse </w:t>
      </w:r>
      <w:proofErr w:type="spellStart"/>
      <w:r w:rsidRPr="00EB2F79">
        <w:rPr>
          <w:rFonts w:eastAsia="Calibri"/>
        </w:rPr>
        <w:t>Komstroy</w:t>
      </w:r>
      <w:proofErr w:type="spellEnd"/>
      <w:r w:rsidRPr="00EB2F79">
        <w:rPr>
          <w:rFonts w:eastAsia="Calibri"/>
        </w:rPr>
        <w:t xml:space="preserve"> kohtuotsuses antud energiaharta lepingu tõlgendust alates energiaharta lepingu heakskiitmisest Euroopa ühenduste ja nende liikmesriikide poolt,</w:t>
      </w:r>
    </w:p>
    <w:p w14:paraId="672FFCAB" w14:textId="77777777" w:rsidR="00D851D6" w:rsidRPr="00EB2F79" w:rsidRDefault="00D851D6" w:rsidP="00C72C11">
      <w:pPr>
        <w:jc w:val="both"/>
        <w:rPr>
          <w:rFonts w:eastAsia="Calibri"/>
        </w:rPr>
      </w:pPr>
      <w:r w:rsidRPr="00EB2F79">
        <w:rPr>
          <w:rFonts w:eastAsia="Calibri"/>
        </w:rPr>
        <w:t>ARVESTADES, et ELi toimimise lepingu artikleid 267 ja 344 tuleb tõlgendada nii, et need välistavad võimaluse tõlgendada energiaharta lepingu artiklit 26 viisil, mis võimaldab lahendada liikmesriigi investori ja teise liikmesriigi või Euroopa Liidu vahelisi vaidlusi vahekohtus (edaspidi „ELi-sisene vahekohtumenetlus“),</w:t>
      </w:r>
    </w:p>
    <w:p w14:paraId="36FD23DB" w14:textId="77777777" w:rsidR="00D851D6" w:rsidRPr="00EB2F79" w:rsidRDefault="00D851D6" w:rsidP="00C72C11">
      <w:pPr>
        <w:jc w:val="both"/>
        <w:rPr>
          <w:rFonts w:eastAsia="Calibri"/>
        </w:rPr>
      </w:pPr>
      <w:r w:rsidRPr="00EB2F79">
        <w:rPr>
          <w:rFonts w:eastAsia="Calibri"/>
        </w:rPr>
        <w:t>ARVESTADES igal juhul, et kui liikmesriigi investori ja teise liikmesriigi või Euroopa Liidu vahelist vaidlust ei ole võimalik lahendada vastastikusel kokkuleppel, võib selle vaidluse pool alati otsustada esitada vaidlus kooskõlas riigisisese õigusega lahendamiseks pädevale kohtule või halduskohtule, nagu on tagatud õiguse üldpõhimõtetega ja põhiõiguste järgimisega, mis on muu hulgas sätestatud Euroopa Liidu põhiõiguste hartas,</w:t>
      </w:r>
    </w:p>
    <w:p w14:paraId="28556C71" w14:textId="77777777" w:rsidR="00D851D6" w:rsidRPr="00EB2F79" w:rsidRDefault="00D851D6" w:rsidP="00C72C11">
      <w:pPr>
        <w:jc w:val="both"/>
        <w:rPr>
          <w:rFonts w:eastAsia="Calibri"/>
        </w:rPr>
      </w:pPr>
      <w:r w:rsidRPr="00EB2F79">
        <w:rPr>
          <w:rFonts w:eastAsia="Calibri"/>
        </w:rPr>
        <w:t>JAGADES käesolevas kokkuleppes väljendatud ühist seisukohta, et seetõttu ei saa selline klausel nagu energiaharta lepingu artikkel 26 olla praegu ega tulevikus ega saanud olla ka minevikus õiguslikuks aluseks vahekohtumenetlusele, mille on algatanud liikmesriigi investor seoses investeeringutega teises liikmesriigis,</w:t>
      </w:r>
    </w:p>
    <w:p w14:paraId="2B798A4F" w14:textId="77777777" w:rsidR="00D851D6" w:rsidRPr="00EB2F79" w:rsidRDefault="00D851D6" w:rsidP="00C72C11">
      <w:pPr>
        <w:jc w:val="both"/>
        <w:rPr>
          <w:rFonts w:eastAsia="Calibri"/>
        </w:rPr>
      </w:pPr>
      <w:r w:rsidRPr="00EB2F79">
        <w:rPr>
          <w:rFonts w:eastAsia="Calibri"/>
        </w:rPr>
        <w:t xml:space="preserve">KORRATES Lissaboni lepingu vastu võtnud </w:t>
      </w:r>
      <w:proofErr w:type="spellStart"/>
      <w:r w:rsidRPr="00EB2F79">
        <w:rPr>
          <w:rFonts w:eastAsia="Calibri"/>
        </w:rPr>
        <w:t>valitsustevahelise</w:t>
      </w:r>
      <w:proofErr w:type="spellEnd"/>
      <w:r w:rsidRPr="00EB2F79">
        <w:rPr>
          <w:rFonts w:eastAsia="Calibri"/>
        </w:rPr>
        <w:t xml:space="preserve"> konverentsi lõppaktile lisatud deklaratsiooni nr 17 ülimuslikkuse kohta, milles tuletatakse meelde, et aluslepingud ja liidu poolt aluslepingute alusel vastu võetud õigusaktid on liikmesriikide õiguse suhtes ülimuslikud ning ülimuslikkuse põhimõte kujutab endast kollisiooninormi nende vastastikustes suhetes,</w:t>
      </w:r>
    </w:p>
    <w:p w14:paraId="70BBD2D6" w14:textId="77777777" w:rsidR="00D851D6" w:rsidRPr="00EB2F79" w:rsidRDefault="00D851D6" w:rsidP="00C72C11">
      <w:pPr>
        <w:jc w:val="both"/>
        <w:rPr>
          <w:rFonts w:eastAsia="Calibri"/>
        </w:rPr>
      </w:pPr>
      <w:r w:rsidRPr="00EB2F79">
        <w:rPr>
          <w:rFonts w:eastAsia="Calibri"/>
        </w:rPr>
        <w:t>MEENUTADES sellest tulenevalt, et normide kollisiooni lahendamiseks võib liikmesriikide poolt rahvusvahelise õiguse alusel sõlmitud rahvusvahelist lepingut kohaldada ELi</w:t>
      </w:r>
      <w:r w:rsidRPr="00EB2F79">
        <w:rPr>
          <w:rFonts w:eastAsia="Calibri"/>
        </w:rPr>
        <w:noBreakHyphen/>
        <w:t>sisestes suhetes ainult niivõrd, kuivõrd selle sätted on kooskõlas ELi aluslepingutega,</w:t>
      </w:r>
    </w:p>
    <w:p w14:paraId="70944949" w14:textId="77777777" w:rsidR="00D851D6" w:rsidRPr="00EB2F79" w:rsidRDefault="00D851D6" w:rsidP="00C72C11">
      <w:pPr>
        <w:jc w:val="both"/>
        <w:rPr>
          <w:rFonts w:eastAsia="Calibri"/>
        </w:rPr>
      </w:pPr>
      <w:r w:rsidRPr="00EB2F79">
        <w:rPr>
          <w:rFonts w:eastAsia="Calibri"/>
        </w:rPr>
        <w:t xml:space="preserve">ARVESTADES energiaharta lepingu artikli 26 </w:t>
      </w:r>
      <w:proofErr w:type="spellStart"/>
      <w:r w:rsidRPr="00EB2F79">
        <w:rPr>
          <w:rFonts w:eastAsia="Calibri"/>
        </w:rPr>
        <w:t>kohaldamatust</w:t>
      </w:r>
      <w:proofErr w:type="spellEnd"/>
      <w:r w:rsidRPr="00EB2F79">
        <w:rPr>
          <w:rFonts w:eastAsia="Calibri"/>
        </w:rPr>
        <w:t xml:space="preserve"> ELi-siseste vahekohtumenetluste õigusliku alusena, ei saa sellistele menetlustele laieneda ega olnud mõeldud laienema energiaharta lepingu artikli 47 lõige 3,</w:t>
      </w:r>
    </w:p>
    <w:p w14:paraId="03CC64F1" w14:textId="77777777" w:rsidR="00D851D6" w:rsidRPr="00EB2F79" w:rsidRDefault="00D851D6" w:rsidP="00C72C11">
      <w:pPr>
        <w:jc w:val="both"/>
        <w:rPr>
          <w:rFonts w:eastAsia="Calibri"/>
        </w:rPr>
      </w:pPr>
      <w:r w:rsidRPr="00EB2F79">
        <w:rPr>
          <w:rFonts w:eastAsia="Calibri"/>
        </w:rPr>
        <w:t>ARVESTADES, et kuna energiaharta lepingu artiklit 26 ei saa kohaldada õigusliku alusena ELi-sisestes vahekohtumenetlustes, peaksid kokkuleppeosalised, keda pooleliolev ELi-sisene vahekohtumenetlus puudutab kas kostja või investori liikmesriigina, tegema koostööd, et tagada asjaomase vahekohtu teavitamine käesolevast kokkuleppest, et oleks võimalik teha asjakohane järeldus kõnealuse vahekohtu jurisdiktsiooni puudumise kohta,</w:t>
      </w:r>
    </w:p>
    <w:p w14:paraId="38B3C87E" w14:textId="3F0A36B9" w:rsidR="00D851D6" w:rsidRPr="00EB2F79" w:rsidRDefault="00364E9C" w:rsidP="00C72C11">
      <w:pPr>
        <w:spacing w:before="0" w:after="160"/>
        <w:jc w:val="both"/>
        <w:rPr>
          <w:rFonts w:eastAsia="Calibri"/>
        </w:rPr>
      </w:pPr>
      <w:r w:rsidRPr="00EB2F79">
        <w:rPr>
          <w:rFonts w:eastAsia="Calibri"/>
        </w:rPr>
        <w:br w:type="page"/>
      </w:r>
      <w:r w:rsidR="00D851D6" w:rsidRPr="00EB2F79">
        <w:rPr>
          <w:rFonts w:eastAsia="Calibri"/>
        </w:rPr>
        <w:lastRenderedPageBreak/>
        <w:t>ARVESTADES lisaks, et uusi ELi-siseseid vahekohtumenetlusi ei tohiks registreerida, ning NÕUSTUDES, et kui vahekohtumenetluse algatamise teade siiski toimetatakse kätte, peaksid kokkuleppeosalised, keda selline menetlus puudutab kas kostja või investori liikmesriigina, tegema koostööd, et tagada asjaomase vahekohtu teavitamine käesolevast kokkuleppest, mis võimaldaks teha asjakohase järelduse, et energiaharta lepingu artikkel 26 ei saa olla selliste menetluste õiguslik alus,</w:t>
      </w:r>
    </w:p>
    <w:p w14:paraId="641F4CAF" w14:textId="77777777" w:rsidR="00D851D6" w:rsidRPr="00EB2F79" w:rsidRDefault="00D851D6" w:rsidP="00C72C11">
      <w:pPr>
        <w:jc w:val="both"/>
        <w:rPr>
          <w:rFonts w:eastAsia="Calibri"/>
        </w:rPr>
      </w:pPr>
      <w:r w:rsidRPr="00EB2F79">
        <w:rPr>
          <w:rFonts w:eastAsia="Calibri"/>
        </w:rPr>
        <w:t>ARVESTADES, et sellegipoolest ei tohiks vaidlustada ELi-siseste investeeringutega seotud vahekohtumenetlustes tehtud kokkuleppeid või otsuseid, mida ei saa enam tühistada ning mida on vabatahtlikult täidetud või mis on lõplikult jõustatud,</w:t>
      </w:r>
    </w:p>
    <w:p w14:paraId="1FCDB748" w14:textId="77777777" w:rsidR="00D851D6" w:rsidRPr="00EB2F79" w:rsidRDefault="00D851D6" w:rsidP="00C72C11">
      <w:pPr>
        <w:jc w:val="both"/>
        <w:rPr>
          <w:rFonts w:eastAsia="Calibri"/>
        </w:rPr>
      </w:pPr>
      <w:r w:rsidRPr="00EB2F79">
        <w:rPr>
          <w:rFonts w:eastAsia="Calibri"/>
        </w:rPr>
        <w:t>AVALDADES KAHETSUST, et energiaharta lepingu artikli 26 alusel algatatud ELi-sisestes vahekohtumenetlustes on vahekohtud juba teinud, teevad jätkuvalt ja võivad veel teha vahekohtuotsuseid viisil, mis on vastuolus Euroopa Liidu õigusega, sealhulgas Euroopa Liidu Kohtu praktikaga,</w:t>
      </w:r>
    </w:p>
    <w:p w14:paraId="31FD199A" w14:textId="77777777" w:rsidR="00D851D6" w:rsidRPr="00EB2F79" w:rsidRDefault="00D851D6" w:rsidP="00C72C11">
      <w:pPr>
        <w:jc w:val="both"/>
        <w:rPr>
          <w:rFonts w:eastAsia="Calibri"/>
        </w:rPr>
      </w:pPr>
      <w:r w:rsidRPr="00EB2F79">
        <w:rPr>
          <w:rFonts w:eastAsia="Calibri"/>
        </w:rPr>
        <w:t>samuti AVALDADES KAHETSUST, et selliste vahekohtuotsuste suhtes kohaldatakse täitemenetlust, sealhulgas kolmandates riikides, ning et vahekohtud ei loobu pädevusest ja jurisdiktsioonist pooleliolevates ELi-sisestes vahekohtumenetlustes, mille aluseks on väidetavalt energiaharta artikkel 26, ning jätkavad uute vahekohtumenetluste registreerimist ega keeldu neist kui ilmselgelt lubamatutest põhjusel, et puudub nõusolek vahekohtusse pöördumiseks,</w:t>
      </w:r>
    </w:p>
    <w:p w14:paraId="0CE75DF7" w14:textId="77777777" w:rsidR="00D851D6" w:rsidRPr="00EB2F79" w:rsidRDefault="00D851D6" w:rsidP="00C72C11">
      <w:pPr>
        <w:jc w:val="both"/>
        <w:rPr>
          <w:rFonts w:eastAsia="Calibri"/>
        </w:rPr>
      </w:pPr>
      <w:r w:rsidRPr="00EB2F79">
        <w:rPr>
          <w:rFonts w:eastAsia="Calibri"/>
        </w:rPr>
        <w:t xml:space="preserve">ARVESTADES, et seepärast on vaja sõnaselgelt ja ühemõtteliselt korrata </w:t>
      </w:r>
      <w:r w:rsidRPr="00EB2F79">
        <w:rPr>
          <w:rFonts w:eastAsia="Calibri"/>
          <w:bCs/>
          <w:iCs/>
        </w:rPr>
        <w:t>kokkuleppeosaliste</w:t>
      </w:r>
      <w:r w:rsidRPr="00EB2F79">
        <w:rPr>
          <w:rFonts w:eastAsia="Calibri"/>
        </w:rPr>
        <w:t xml:space="preserve"> ühtset seisukohta kokkuleppe abil, milles kinnitatakse veel kord nende ühist arusaama energiaharta lepingu tõlgendamisest ja kohaldamisest, nagu seda on tõlgendanud Euroopa Liidu Kohus, niivõrd kui see puudutab ELi-siseseid vahekohtumenetlusi,</w:t>
      </w:r>
    </w:p>
    <w:p w14:paraId="230C7FFC" w14:textId="77777777" w:rsidR="00D851D6" w:rsidRPr="00EB2F79" w:rsidRDefault="00D851D6" w:rsidP="00C72C11">
      <w:pPr>
        <w:jc w:val="both"/>
        <w:rPr>
          <w:rFonts w:eastAsia="Calibri"/>
        </w:rPr>
      </w:pPr>
      <w:r w:rsidRPr="00EB2F79">
        <w:rPr>
          <w:rFonts w:eastAsia="Calibri"/>
        </w:rPr>
        <w:t xml:space="preserve">ARVESTADES, et vastavalt Rahvusvahelise Kohtu 5. veebruari 1970. aasta otsusele kohtuasjas </w:t>
      </w:r>
      <w:r w:rsidRPr="00C463A1">
        <w:rPr>
          <w:rFonts w:eastAsia="Calibri"/>
          <w:i/>
          <w:iCs/>
        </w:rPr>
        <w:t xml:space="preserve">Barcelona </w:t>
      </w:r>
      <w:proofErr w:type="spellStart"/>
      <w:r w:rsidRPr="00C463A1">
        <w:rPr>
          <w:rFonts w:eastAsia="Calibri"/>
          <w:i/>
          <w:iCs/>
        </w:rPr>
        <w:t>Traction</w:t>
      </w:r>
      <w:proofErr w:type="spellEnd"/>
      <w:r w:rsidRPr="00C463A1">
        <w:rPr>
          <w:rFonts w:eastAsia="Calibri"/>
          <w:i/>
          <w:iCs/>
        </w:rPr>
        <w:t xml:space="preserve">, </w:t>
      </w:r>
      <w:proofErr w:type="spellStart"/>
      <w:r w:rsidRPr="00C463A1">
        <w:rPr>
          <w:rFonts w:eastAsia="Calibri"/>
          <w:i/>
          <w:iCs/>
        </w:rPr>
        <w:t>Light</w:t>
      </w:r>
      <w:proofErr w:type="spellEnd"/>
      <w:r w:rsidRPr="00C463A1">
        <w:rPr>
          <w:rFonts w:eastAsia="Calibri"/>
          <w:i/>
          <w:iCs/>
        </w:rPr>
        <w:t xml:space="preserve"> and Power Company, Limited</w:t>
      </w:r>
      <w:r w:rsidRPr="00EB2F79">
        <w:rPr>
          <w:rStyle w:val="FootnoteReference"/>
        </w:rPr>
        <w:footnoteReference w:id="9"/>
      </w:r>
      <w:r w:rsidRPr="00EB2F79">
        <w:rPr>
          <w:rFonts w:eastAsia="Calibri"/>
        </w:rPr>
        <w:t xml:space="preserve"> ning nagu Euroopa Liidu Kohus on selgitanud </w:t>
      </w:r>
      <w:proofErr w:type="spellStart"/>
      <w:r w:rsidRPr="00EB2F79">
        <w:rPr>
          <w:rFonts w:eastAsia="Calibri"/>
        </w:rPr>
        <w:t>Komstroy</w:t>
      </w:r>
      <w:proofErr w:type="spellEnd"/>
      <w:r w:rsidRPr="00EB2F79">
        <w:rPr>
          <w:rFonts w:eastAsia="Calibri"/>
        </w:rPr>
        <w:t xml:space="preserve"> kohtuotsuses, on energiaharta lepingu teatavate sätete eesmärk reguleerida kahepoolseid suhteid,</w:t>
      </w:r>
    </w:p>
    <w:p w14:paraId="3196A351" w14:textId="77777777" w:rsidR="00D851D6" w:rsidRPr="00EB2F79" w:rsidRDefault="00D851D6" w:rsidP="00C72C11">
      <w:pPr>
        <w:jc w:val="both"/>
        <w:rPr>
          <w:rFonts w:eastAsia="Calibri"/>
        </w:rPr>
      </w:pPr>
      <w:r w:rsidRPr="00EB2F79">
        <w:rPr>
          <w:rFonts w:eastAsia="Calibri"/>
        </w:rPr>
        <w:t xml:space="preserve">ARVESTADES seega, et käesolev kokkulepe käsitleb üksnes kahepoolseid suhteid </w:t>
      </w:r>
      <w:r w:rsidRPr="00EB2F79">
        <w:rPr>
          <w:rFonts w:eastAsia="Calibri"/>
          <w:bCs/>
          <w:iCs/>
        </w:rPr>
        <w:t>kokkuleppeosaliste</w:t>
      </w:r>
      <w:r w:rsidRPr="00EB2F79">
        <w:rPr>
          <w:rFonts w:eastAsia="Calibri"/>
        </w:rPr>
        <w:t xml:space="preserve"> vahel ning sellest tulenevalt nende liikmesriikide, kes on energiaharta lepingu osalised, investorite vahel ning seetõttu mõjutab käesolev kokkulepe ainult neid energiaharta lepingu osalisi, kelle suhtes kohaldatakse Euroopa Liidu – kui energiaharta lepingu artikli 1 </w:t>
      </w:r>
      <w:r w:rsidRPr="00EB2F79">
        <w:rPr>
          <w:rFonts w:eastAsia="Calibri"/>
        </w:rPr>
        <w:lastRenderedPageBreak/>
        <w:t>punkti 3 tähenduses piirkondliku majandusintegratsiooni organisatsiooni – õigust, ega mõjuta teiste energiaharta lepingu osaliste kõnealusest lepingust tulenevate õiguste kasutamist ega nende kohustuste täitmist,</w:t>
      </w:r>
    </w:p>
    <w:p w14:paraId="7B0419D0" w14:textId="77777777" w:rsidR="00D851D6" w:rsidRPr="00EB2F79" w:rsidRDefault="00D851D6" w:rsidP="00C72C11">
      <w:pPr>
        <w:jc w:val="both"/>
        <w:rPr>
          <w:rFonts w:eastAsia="Calibri"/>
        </w:rPr>
      </w:pPr>
      <w:r w:rsidRPr="00EB2F79">
        <w:rPr>
          <w:rFonts w:eastAsia="Calibri"/>
        </w:rPr>
        <w:t>MEENUTADES, et kokkuleppeosalised on teavitanud energiaharta lepingu osalisi oma kavatsusest sõlmida käesolev kokkulepe,</w:t>
      </w:r>
    </w:p>
    <w:p w14:paraId="4A5BC6EF" w14:textId="77777777" w:rsidR="00D851D6" w:rsidRPr="00EB2F79" w:rsidRDefault="00D851D6" w:rsidP="00C72C11">
      <w:pPr>
        <w:jc w:val="both"/>
        <w:rPr>
          <w:rFonts w:eastAsia="Calibri"/>
        </w:rPr>
      </w:pPr>
      <w:r w:rsidRPr="00EB2F79">
        <w:rPr>
          <w:rFonts w:eastAsia="Calibri"/>
        </w:rPr>
        <w:t xml:space="preserve">ARVESTADES, et käesoleva kokkuleppe sõlmimisega ja kooskõlas oma õiguslike kohustustega, mis tulenevad Euroopa Liidu õigusest, kuid ilma et see piiraks nende õigust esitada nõudeid, mida nad peavad asjakohaseks seoses kuludega, mida nad on kandnud kostjana seoses ELi-sisese vahekohtumenetlusega, tagavad </w:t>
      </w:r>
      <w:r w:rsidRPr="00EB2F79">
        <w:rPr>
          <w:rFonts w:eastAsia="Calibri"/>
          <w:bCs/>
          <w:iCs/>
        </w:rPr>
        <w:t>kokkuleppeosalised</w:t>
      </w:r>
      <w:r w:rsidRPr="00EB2F79">
        <w:rPr>
          <w:rFonts w:eastAsia="Calibri"/>
        </w:rPr>
        <w:t xml:space="preserve"> </w:t>
      </w:r>
      <w:proofErr w:type="spellStart"/>
      <w:r w:rsidRPr="00EB2F79">
        <w:rPr>
          <w:rFonts w:eastAsia="Calibri"/>
        </w:rPr>
        <w:t>Komstroy</w:t>
      </w:r>
      <w:proofErr w:type="spellEnd"/>
      <w:r w:rsidRPr="00EB2F79">
        <w:rPr>
          <w:rFonts w:eastAsia="Calibri"/>
        </w:rPr>
        <w:t xml:space="preserve"> kohtuotsuse täieliku ja tulemusliku täitmise ning rõhutavad, et kehtivad vahekohtuotsused ei ole täitmisele pööratavad, et vahekohtud peavad viivitamata lõpetama kõik pooleliolevad ELi-sisesed vahekohtumenetlused, et vahekohtud ei tohi registreerida uusi ELi-siseseid vahekohtumenetlusi lähtuvalt oma volitustest vastavalt 18. märtsil 1965 Washingtonis sõlmitud riikide ja teiste riikide kodanike investeeringuvaidluste lahendamise konventsiooni (</w:t>
      </w:r>
      <w:proofErr w:type="spellStart"/>
      <w:r w:rsidRPr="00EB2F79">
        <w:rPr>
          <w:rFonts w:eastAsia="Calibri"/>
        </w:rPr>
        <w:t>ICSIDi</w:t>
      </w:r>
      <w:proofErr w:type="spellEnd"/>
      <w:r w:rsidRPr="00EB2F79">
        <w:rPr>
          <w:rFonts w:eastAsia="Calibri"/>
        </w:rPr>
        <w:t xml:space="preserve"> konventsioon) artikli 36 lõikele 3 ja Stockholmi Kaubanduskoja (SCC) vahekohtureglemendi eeskirjade artiklile 12, ning et vahekohtutel on kohustus tunnistada, et ELi-sisestel vahekohtumenetlustel, mille registreerimist neilt taotletakse, puudub õiguslik alus,</w:t>
      </w:r>
    </w:p>
    <w:p w14:paraId="3DEBA939" w14:textId="77777777" w:rsidR="00D851D6" w:rsidRPr="00EB2F79" w:rsidRDefault="00D851D6" w:rsidP="00C72C11">
      <w:pPr>
        <w:jc w:val="both"/>
        <w:rPr>
          <w:rFonts w:eastAsia="Calibri"/>
        </w:rPr>
      </w:pPr>
      <w:r w:rsidRPr="00EB2F79">
        <w:rPr>
          <w:rFonts w:eastAsia="Calibri"/>
        </w:rPr>
        <w:t xml:space="preserve">MÕISTES, et käesolev kokkulepe hõlmab investori ja riigi vahelisi vahekohtumenetlusi, mis puudutavad kokkuleppeosalisi, kes osalevad ELi-sisestes vaidlustes, mille aluseks on energiaharta lepingu artikkel 26 ja mis viiakse läbi vahekohtukonventsioonide ja reglementide alusel, sealhulgas </w:t>
      </w:r>
      <w:proofErr w:type="spellStart"/>
      <w:r w:rsidRPr="00EB2F79">
        <w:rPr>
          <w:rFonts w:eastAsia="Calibri"/>
        </w:rPr>
        <w:t>ICSIDi</w:t>
      </w:r>
      <w:proofErr w:type="spellEnd"/>
      <w:r w:rsidRPr="00EB2F79">
        <w:rPr>
          <w:rFonts w:eastAsia="Calibri"/>
        </w:rPr>
        <w:t xml:space="preserve"> konventsiooni ja </w:t>
      </w:r>
      <w:proofErr w:type="spellStart"/>
      <w:r w:rsidRPr="00EB2F79">
        <w:rPr>
          <w:rFonts w:eastAsia="Calibri"/>
        </w:rPr>
        <w:t>ICSIDi</w:t>
      </w:r>
      <w:proofErr w:type="spellEnd"/>
      <w:r w:rsidRPr="00EB2F79">
        <w:rPr>
          <w:rFonts w:eastAsia="Calibri"/>
        </w:rPr>
        <w:t xml:space="preserve"> vahekohtureglemendi, SCC Arbitraažiinstituudi vahekohtureglemendi, ÜRO rahvusvahelise kaubandusõiguse komisjoni vahekohtureglemendi või </w:t>
      </w:r>
      <w:proofErr w:type="spellStart"/>
      <w:r w:rsidRPr="00EB2F79">
        <w:rPr>
          <w:rFonts w:eastAsia="Calibri"/>
          <w:i/>
        </w:rPr>
        <w:t>ad</w:t>
      </w:r>
      <w:proofErr w:type="spellEnd"/>
      <w:r w:rsidRPr="00EB2F79">
        <w:rPr>
          <w:rFonts w:eastAsia="Calibri"/>
          <w:i/>
        </w:rPr>
        <w:t xml:space="preserve"> </w:t>
      </w:r>
      <w:proofErr w:type="spellStart"/>
      <w:r w:rsidRPr="00EB2F79">
        <w:rPr>
          <w:rFonts w:eastAsia="Calibri"/>
          <w:i/>
        </w:rPr>
        <w:t>hoc</w:t>
      </w:r>
      <w:proofErr w:type="spellEnd"/>
      <w:r w:rsidRPr="00EB2F79">
        <w:rPr>
          <w:rFonts w:eastAsia="Calibri"/>
        </w:rPr>
        <w:t xml:space="preserve"> vahekohtureglemendi alusel, ning</w:t>
      </w:r>
    </w:p>
    <w:p w14:paraId="14C7C6DA" w14:textId="77777777" w:rsidR="00D851D6" w:rsidRPr="00EB2F79" w:rsidRDefault="00D851D6" w:rsidP="00C72C11">
      <w:pPr>
        <w:jc w:val="both"/>
        <w:rPr>
          <w:rFonts w:eastAsia="Calibri"/>
        </w:rPr>
      </w:pPr>
      <w:r w:rsidRPr="00EB2F79">
        <w:rPr>
          <w:rFonts w:eastAsia="Calibri"/>
        </w:rPr>
        <w:t>PIDADES MEELES, et käesoleva kokkuleppe sätted ei piira Euroopa Komisjoni ega ühegi liikmesriigi õigust anda asi ELi toimimise lepingu artiklite 258, 259 ja 260 alusel Euroopa Liidu Kohtusse,</w:t>
      </w:r>
    </w:p>
    <w:p w14:paraId="4F245630" w14:textId="77777777" w:rsidR="00D851D6" w:rsidRPr="00EB2F79" w:rsidRDefault="00D851D6" w:rsidP="00210734">
      <w:r w:rsidRPr="00EB2F79">
        <w:t xml:space="preserve">ON </w:t>
      </w:r>
      <w:r w:rsidRPr="00EB2F79">
        <w:rPr>
          <w:rFonts w:eastAsia="Calibri"/>
        </w:rPr>
        <w:t>KOKKU</w:t>
      </w:r>
      <w:r w:rsidRPr="00EB2F79">
        <w:t xml:space="preserve"> LEPPINUD JÄRGMISES:</w:t>
      </w:r>
    </w:p>
    <w:p w14:paraId="400B43BB" w14:textId="77777777" w:rsidR="00D851D6" w:rsidRPr="00EB2F79" w:rsidRDefault="00D851D6" w:rsidP="00D851D6">
      <w:pPr>
        <w:spacing w:after="160" w:line="259" w:lineRule="auto"/>
        <w:rPr>
          <w:rFonts w:eastAsia="Calibri"/>
          <w:b/>
          <w:smallCaps/>
          <w:sz w:val="28"/>
        </w:rPr>
      </w:pPr>
      <w:r w:rsidRPr="00EB2F79">
        <w:rPr>
          <w:rFonts w:eastAsia="Calibri"/>
        </w:rPr>
        <w:br w:type="page"/>
      </w:r>
    </w:p>
    <w:p w14:paraId="0B32440A" w14:textId="2F475D82" w:rsidR="00D851D6" w:rsidRDefault="00D851D6" w:rsidP="006F06E1">
      <w:pPr>
        <w:pStyle w:val="NormalCentered"/>
      </w:pPr>
      <w:bookmarkStart w:id="2" w:name="Merge_2_3"/>
      <w:bookmarkEnd w:id="2"/>
      <w:r w:rsidRPr="00EB2F79">
        <w:lastRenderedPageBreak/>
        <w:t>1. JAGU</w:t>
      </w:r>
      <w:r w:rsidRPr="00EB2F79">
        <w:br/>
        <w:t xml:space="preserve">ÜHINE ARUSAAM ENERGIAHARTA </w:t>
      </w:r>
      <w:r w:rsidR="00C463A1">
        <w:br/>
      </w:r>
      <w:r w:rsidRPr="00EB2F79">
        <w:t xml:space="preserve">LEPINGU ARTIKLI 26 KOHALDAMATUSEST </w:t>
      </w:r>
      <w:r w:rsidR="00C463A1">
        <w:br/>
      </w:r>
      <w:r w:rsidRPr="00EB2F79">
        <w:t>ELi-SISESTE VAHEKOHTUMENETLUSTE ALUSENA</w:t>
      </w:r>
    </w:p>
    <w:p w14:paraId="7786D0A4" w14:textId="77777777" w:rsidR="0058310C" w:rsidRPr="00EB2F79" w:rsidRDefault="0058310C" w:rsidP="006F06E1">
      <w:pPr>
        <w:pStyle w:val="NormalCentered"/>
      </w:pPr>
    </w:p>
    <w:p w14:paraId="2268E4B7" w14:textId="77777777" w:rsidR="00D851D6" w:rsidRPr="00EB2F79" w:rsidRDefault="00364E9C" w:rsidP="006F06E1">
      <w:pPr>
        <w:pStyle w:val="NormalCentered"/>
      </w:pPr>
      <w:r w:rsidRPr="00EB2F79">
        <w:t>ARTIKKEL 1</w:t>
      </w:r>
      <w:r w:rsidRPr="00EB2F79">
        <w:br/>
      </w:r>
      <w:r w:rsidR="00D851D6" w:rsidRPr="00EB2F79">
        <w:t>Mõisted</w:t>
      </w:r>
    </w:p>
    <w:p w14:paraId="2D1AF2FC" w14:textId="77777777" w:rsidR="00D851D6" w:rsidRPr="00EB2F79" w:rsidRDefault="00D851D6" w:rsidP="0058310C">
      <w:pPr>
        <w:jc w:val="both"/>
        <w:rPr>
          <w:rFonts w:eastAsia="Calibri"/>
        </w:rPr>
      </w:pPr>
      <w:r w:rsidRPr="00EB2F79">
        <w:rPr>
          <w:rFonts w:eastAsia="Calibri"/>
        </w:rPr>
        <w:t>Käesolevas kokkuleppes kasutatakse järgmisi mõisteid:</w:t>
      </w:r>
    </w:p>
    <w:p w14:paraId="7DE8715B" w14:textId="04FB2E30" w:rsidR="00D851D6" w:rsidRPr="00EB2F79" w:rsidRDefault="00D851D6" w:rsidP="0058310C">
      <w:pPr>
        <w:pStyle w:val="Point0"/>
        <w:jc w:val="both"/>
      </w:pPr>
      <w:r w:rsidRPr="00EB2F79">
        <w:t>1)</w:t>
      </w:r>
      <w:r w:rsidRPr="00EB2F79">
        <w:tab/>
        <w:t>„energiaharta leping“ – 17. detsembril 1994 Lissabonis allakirjutatud energiaharta leping, mis on Euroopa ühenduste nimel heaks kiidetud 23.</w:t>
      </w:r>
      <w:r w:rsidR="0058310C">
        <w:t xml:space="preserve"> </w:t>
      </w:r>
      <w:r w:rsidRPr="00EB2F79">
        <w:t>septembri 1997. aasta otsusega 98/181/EÜ, ESTÜ, Euratom, koos selle hilisemate muudatusega;</w:t>
      </w:r>
    </w:p>
    <w:p w14:paraId="595198A8" w14:textId="77777777" w:rsidR="00D851D6" w:rsidRPr="00EB2F79" w:rsidRDefault="00D851D6" w:rsidP="0058310C">
      <w:pPr>
        <w:pStyle w:val="Point0"/>
        <w:jc w:val="both"/>
      </w:pPr>
      <w:r w:rsidRPr="00EB2F79">
        <w:t>2)</w:t>
      </w:r>
      <w:r w:rsidRPr="00EB2F79">
        <w:tab/>
        <w:t>„ELi-sisesed suhted“ – suhted liikmesriikide vahel või liikmesriigi ja Euroopa Liidu vahel;</w:t>
      </w:r>
    </w:p>
    <w:p w14:paraId="4EDFC94B" w14:textId="7CD2A639" w:rsidR="0058310C" w:rsidRDefault="00D851D6" w:rsidP="0058310C">
      <w:pPr>
        <w:pStyle w:val="Point0"/>
        <w:jc w:val="both"/>
      </w:pPr>
      <w:r w:rsidRPr="00EB2F79">
        <w:t>3)</w:t>
      </w:r>
      <w:r w:rsidRPr="00EB2F79">
        <w:tab/>
        <w:t>„ELi-sisene vahekohtumenetlus“ – energiaharta lepingu artikli</w:t>
      </w:r>
      <w:r w:rsidR="0058310C">
        <w:t xml:space="preserve"> 2</w:t>
      </w:r>
      <w:r w:rsidRPr="00EB2F79">
        <w:t>6 alusel algatatud vahekohtumenetlus, millega lahendatakse vaidlus liikmesriigi investori ja teise liikmesriigi või Euroopa Liidu vahel.</w:t>
      </w:r>
    </w:p>
    <w:p w14:paraId="230C4164" w14:textId="77777777" w:rsidR="0058310C" w:rsidRDefault="0058310C" w:rsidP="006F06E1">
      <w:pPr>
        <w:pStyle w:val="NormalCentered"/>
      </w:pPr>
    </w:p>
    <w:p w14:paraId="42CC550A" w14:textId="7A3A20E1" w:rsidR="00D851D6" w:rsidRPr="00EB2F79" w:rsidRDefault="00364E9C" w:rsidP="006F06E1">
      <w:pPr>
        <w:pStyle w:val="NormalCentered"/>
        <w:rPr>
          <w:iCs/>
        </w:rPr>
      </w:pPr>
      <w:r w:rsidRPr="00EB2F79">
        <w:t>ARTIKKEL 2</w:t>
      </w:r>
      <w:r w:rsidR="00D851D6" w:rsidRPr="00EB2F79">
        <w:br/>
        <w:t xml:space="preserve">Ühine arusaam energiaharta lepingu </w:t>
      </w:r>
      <w:r w:rsidRPr="00EB2F79">
        <w:br/>
      </w:r>
      <w:r w:rsidR="00D851D6" w:rsidRPr="00EB2F79">
        <w:t xml:space="preserve">artikli 26 tõlgendamisest </w:t>
      </w:r>
      <w:r w:rsidRPr="00EB2F79">
        <w:br/>
      </w:r>
      <w:r w:rsidR="00D851D6" w:rsidRPr="00EB2F79">
        <w:t xml:space="preserve">ja jätkuvast </w:t>
      </w:r>
      <w:proofErr w:type="spellStart"/>
      <w:r w:rsidR="00D851D6" w:rsidRPr="00EB2F79">
        <w:t>kohaldamatusest</w:t>
      </w:r>
      <w:proofErr w:type="spellEnd"/>
      <w:r w:rsidR="00D851D6" w:rsidRPr="00EB2F79">
        <w:t xml:space="preserve"> ning ELi-siseste </w:t>
      </w:r>
      <w:r w:rsidRPr="00EB2F79">
        <w:br/>
      </w:r>
      <w:r w:rsidR="00D851D6" w:rsidRPr="00EB2F79">
        <w:t>vahekohtumenetluste õigusliku aluse puudumisest</w:t>
      </w:r>
    </w:p>
    <w:p w14:paraId="33E7292A" w14:textId="1182F3C7" w:rsidR="00D851D6" w:rsidRPr="00EB2F79" w:rsidRDefault="00D851D6" w:rsidP="0058310C">
      <w:pPr>
        <w:jc w:val="both"/>
      </w:pPr>
      <w:r w:rsidRPr="00EB2F79">
        <w:t>1.</w:t>
      </w:r>
      <w:r w:rsidRPr="00EB2F79">
        <w:tab/>
        <w:t>Suurema selguse huvides kinnitavad kokkuleppeosalised veel kord, et on ühisel arusaamal energiaharta lepingu tõlgendamisest ja kohaldamisest ning selle kohaselt ei saa ega ole kunagi saanud olla energiaharta lepingu artikkel</w:t>
      </w:r>
      <w:r w:rsidR="0058310C">
        <w:t xml:space="preserve"> </w:t>
      </w:r>
      <w:r w:rsidRPr="00EB2F79">
        <w:t>26 ELi-sisese vahekohtumenetluse õiguslik alus.</w:t>
      </w:r>
    </w:p>
    <w:p w14:paraId="46230381" w14:textId="77777777" w:rsidR="00D851D6" w:rsidRPr="00EB2F79" w:rsidRDefault="00D851D6" w:rsidP="0058310C">
      <w:pPr>
        <w:jc w:val="both"/>
      </w:pPr>
      <w:r w:rsidRPr="00EB2F79">
        <w:t>Esimeses lõigus väljendatud ühine arusaam põhineb järgmistel Euroopa Liidu õiguse elementidel:</w:t>
      </w:r>
    </w:p>
    <w:p w14:paraId="484A3E22" w14:textId="04EE4398" w:rsidR="00D851D6" w:rsidRPr="00EB2F79" w:rsidRDefault="00D851D6" w:rsidP="0058310C">
      <w:pPr>
        <w:pStyle w:val="Point0"/>
        <w:jc w:val="both"/>
      </w:pPr>
      <w:r w:rsidRPr="00EB2F79">
        <w:t>a)</w:t>
      </w:r>
      <w:r w:rsidRPr="00EB2F79">
        <w:tab/>
        <w:t>Euroopa Liidu Kohtu antud energiaharta lepingu artikli</w:t>
      </w:r>
      <w:r w:rsidR="0058310C">
        <w:t xml:space="preserve"> </w:t>
      </w:r>
      <w:r w:rsidRPr="00EB2F79">
        <w:t>26 tõlgendus, mille kohaselt nimetatud säte ei kohaldu ja seda ei oleks kunagi saanud kohaldada ELi-sisese vahekohtumenetluse alusena, ning</w:t>
      </w:r>
    </w:p>
    <w:p w14:paraId="633E891F" w14:textId="77777777" w:rsidR="00D851D6" w:rsidRPr="00EB2F79" w:rsidRDefault="00D851D6" w:rsidP="0058310C">
      <w:pPr>
        <w:pStyle w:val="Point0"/>
        <w:jc w:val="both"/>
      </w:pPr>
      <w:r w:rsidRPr="00EB2F79">
        <w:lastRenderedPageBreak/>
        <w:t>b)</w:t>
      </w:r>
      <w:r w:rsidRPr="00EB2F79">
        <w:tab/>
        <w:t xml:space="preserve">Euroopa Liidu õiguse ülimuslikkus, mida tuletatakse meelde Lissaboni lepingu vastu võtnud </w:t>
      </w:r>
      <w:proofErr w:type="spellStart"/>
      <w:r w:rsidRPr="00EB2F79">
        <w:t>valitsustevahelise</w:t>
      </w:r>
      <w:proofErr w:type="spellEnd"/>
      <w:r w:rsidRPr="00EB2F79">
        <w:t xml:space="preserve"> konverentsi lõppaktile lisatud deklaratsioonis nr 17, kui rahvusvahelise õiguse norm, mis reguleerib normide kollisiooni vastastikustes suhetes ja millest tuleneb, et energiaharta lepingu artiklit 26 ei saa mingil juhul ega ole kunagi saanud kohaldada ELi-sisese vahekohtumenetluse alusena.</w:t>
      </w:r>
    </w:p>
    <w:p w14:paraId="5C5593A3" w14:textId="77777777" w:rsidR="00D851D6" w:rsidRPr="00EB2F79" w:rsidRDefault="00D851D6" w:rsidP="0058310C">
      <w:pPr>
        <w:jc w:val="both"/>
      </w:pPr>
      <w:r w:rsidRPr="00EB2F79">
        <w:t>2.</w:t>
      </w:r>
      <w:r w:rsidRPr="00EB2F79">
        <w:tab/>
        <w:t>Suurema selguse huvides kinnitavad kokkuleppeosalised veel kord, et on ühisel arusaamal, et kuna energiaharta lepingu artiklit 26 ei kohaldata ELi-siseste vahekohtumenetluste õigusliku alusena, ei laiene sellistele menetlustele ega ole kunagi saanud laieneda energiaharta lepingu artikli 47 lõige 3. Seega ei saanud energiaharta lepingu artikli 47 lõige 3 tekitada õiguslikke tagajärgi ELi-sisestes suhetes, kui liikmesriik taganes energiaharta lepingust enne käesoleva kokkuleppe sõlmimist, samuti ei tekitaks see õiguslikke tagajärgi ELi-sisestes suhetes, kui kokkuleppeosaline taganeb energiaharta lepingust hiljem.</w:t>
      </w:r>
    </w:p>
    <w:p w14:paraId="5A0DAA75" w14:textId="77777777" w:rsidR="00D851D6" w:rsidRPr="00EB2F79" w:rsidRDefault="00D851D6" w:rsidP="0058310C">
      <w:pPr>
        <w:jc w:val="both"/>
        <w:rPr>
          <w:rFonts w:eastAsia="Calibri"/>
        </w:rPr>
      </w:pPr>
      <w:r w:rsidRPr="00EB2F79">
        <w:rPr>
          <w:rFonts w:eastAsia="Calibri"/>
        </w:rPr>
        <w:t>3.</w:t>
      </w:r>
      <w:r w:rsidRPr="00EB2F79">
        <w:rPr>
          <w:rFonts w:eastAsia="Calibri"/>
        </w:rPr>
        <w:tab/>
        <w:t>Suurema selguse huvides olgu märgitud, et kokkuleppeosalised nõustuvad, et vastavalt käesoleva artikli lõigetes 1 ja 2 väljendatud ühisele arusaamale ja ilma et see piiraks nende kohaldamist, ei kohaldata ELi-siseste vahekohtumenetluste alusena energiaharta lepingu artiklit 26 ning energiaharta lepingu artikli 47 lõige 3 ei tekita õiguslikke tagajärgi ELi</w:t>
      </w:r>
      <w:r w:rsidRPr="00EB2F79">
        <w:rPr>
          <w:rFonts w:eastAsia="Calibri"/>
        </w:rPr>
        <w:noBreakHyphen/>
        <w:t>sisestes suhetes.</w:t>
      </w:r>
    </w:p>
    <w:p w14:paraId="207CC4C0" w14:textId="1C4EBA42" w:rsidR="0058310C" w:rsidRPr="0058310C" w:rsidRDefault="00D851D6" w:rsidP="0058310C">
      <w:pPr>
        <w:jc w:val="both"/>
        <w:rPr>
          <w:rFonts w:eastAsia="Calibri"/>
        </w:rPr>
      </w:pPr>
      <w:r w:rsidRPr="00EB2F79">
        <w:rPr>
          <w:rFonts w:eastAsia="Calibri"/>
        </w:rPr>
        <w:t>4.</w:t>
      </w:r>
      <w:r w:rsidRPr="00EB2F79">
        <w:rPr>
          <w:rFonts w:eastAsia="Calibri"/>
        </w:rPr>
        <w:tab/>
        <w:t>Lõiked 1–3 ei piira energiaharta lepingu muude sätete tõlgendamist ega kohaldamist niivõrd, kui need puudutavad ELi-siseseid suhteid.</w:t>
      </w:r>
    </w:p>
    <w:p w14:paraId="7EE577C9" w14:textId="77777777" w:rsidR="0058310C" w:rsidRDefault="0058310C" w:rsidP="006F06E1">
      <w:pPr>
        <w:pStyle w:val="NormalCentered"/>
      </w:pPr>
    </w:p>
    <w:p w14:paraId="47A78824" w14:textId="6D94C20E" w:rsidR="00D851D6" w:rsidRPr="00EB2F79" w:rsidRDefault="00364E9C" w:rsidP="006F06E1">
      <w:pPr>
        <w:pStyle w:val="NormalCentered"/>
      </w:pPr>
      <w:r w:rsidRPr="00EB2F79">
        <w:t>2. JAGU</w:t>
      </w:r>
      <w:r w:rsidRPr="00EB2F79">
        <w:br/>
        <w:t>LÕPPSÄTTED</w:t>
      </w:r>
    </w:p>
    <w:p w14:paraId="011EA86B" w14:textId="77777777" w:rsidR="00D851D6" w:rsidRPr="00EB2F79" w:rsidRDefault="00364E9C" w:rsidP="006F06E1">
      <w:pPr>
        <w:pStyle w:val="NormalCentered"/>
      </w:pPr>
      <w:r w:rsidRPr="00EB2F79">
        <w:t>ARTIKKEL 3</w:t>
      </w:r>
      <w:r w:rsidRPr="00EB2F79">
        <w:br/>
      </w:r>
      <w:proofErr w:type="spellStart"/>
      <w:r w:rsidR="00D851D6" w:rsidRPr="00EB2F79">
        <w:t>Hoiulevõtja</w:t>
      </w:r>
      <w:proofErr w:type="spellEnd"/>
    </w:p>
    <w:p w14:paraId="102FD476" w14:textId="77777777" w:rsidR="00D851D6" w:rsidRPr="00EB2F79" w:rsidRDefault="00D851D6" w:rsidP="006F06E1">
      <w:r w:rsidRPr="00EB2F79">
        <w:t>1.</w:t>
      </w:r>
      <w:r w:rsidRPr="00EB2F79">
        <w:tab/>
        <w:t xml:space="preserve">Käesoleva kokkuleppe </w:t>
      </w:r>
      <w:proofErr w:type="spellStart"/>
      <w:r w:rsidRPr="00EB2F79">
        <w:t>hoiulevõtja</w:t>
      </w:r>
      <w:proofErr w:type="spellEnd"/>
      <w:r w:rsidRPr="00EB2F79">
        <w:t xml:space="preserve"> (edaspidi „</w:t>
      </w:r>
      <w:proofErr w:type="spellStart"/>
      <w:r w:rsidRPr="00EB2F79">
        <w:t>hoiulevõtja</w:t>
      </w:r>
      <w:proofErr w:type="spellEnd"/>
      <w:r w:rsidRPr="00EB2F79">
        <w:t>“) on Euroopa Liidu Nõukogu peasekretär.</w:t>
      </w:r>
    </w:p>
    <w:p w14:paraId="15F66034" w14:textId="77777777" w:rsidR="00D851D6" w:rsidRPr="00EB2F79" w:rsidRDefault="00D851D6" w:rsidP="006F06E1">
      <w:pPr>
        <w:rPr>
          <w:rFonts w:eastAsia="Calibri"/>
        </w:rPr>
      </w:pPr>
      <w:r w:rsidRPr="00EB2F79">
        <w:rPr>
          <w:rFonts w:eastAsia="Calibri"/>
        </w:rPr>
        <w:t>2.</w:t>
      </w:r>
      <w:r w:rsidRPr="00EB2F79">
        <w:rPr>
          <w:rFonts w:eastAsia="Calibri"/>
        </w:rPr>
        <w:tab/>
      </w:r>
      <w:proofErr w:type="spellStart"/>
      <w:r w:rsidRPr="00EB2F79">
        <w:rPr>
          <w:rFonts w:eastAsia="Calibri"/>
        </w:rPr>
        <w:t>Hoiulevõtja</w:t>
      </w:r>
      <w:proofErr w:type="spellEnd"/>
      <w:r w:rsidRPr="00EB2F79">
        <w:rPr>
          <w:rFonts w:eastAsia="Calibri"/>
        </w:rPr>
        <w:t xml:space="preserve"> teavitab kokkuleppeosalisi</w:t>
      </w:r>
    </w:p>
    <w:p w14:paraId="27D565C0" w14:textId="77777777" w:rsidR="00D851D6" w:rsidRPr="00EB2F79" w:rsidRDefault="00D851D6" w:rsidP="006F06E1">
      <w:pPr>
        <w:pStyle w:val="Point0"/>
      </w:pPr>
      <w:r w:rsidRPr="00EB2F79">
        <w:t>a)</w:t>
      </w:r>
      <w:r w:rsidRPr="00EB2F79">
        <w:tab/>
        <w:t xml:space="preserve">artikli 5 kohasest ratifitseerimis-või heakskiitmiskirja </w:t>
      </w:r>
      <w:proofErr w:type="spellStart"/>
      <w:r w:rsidRPr="00EB2F79">
        <w:t>hoiuleandmisest</w:t>
      </w:r>
      <w:proofErr w:type="spellEnd"/>
      <w:r w:rsidRPr="00EB2F79">
        <w:t>;</w:t>
      </w:r>
    </w:p>
    <w:p w14:paraId="40AD3115" w14:textId="77777777" w:rsidR="00D851D6" w:rsidRPr="00EB2F79" w:rsidRDefault="00D851D6" w:rsidP="006F06E1">
      <w:pPr>
        <w:pStyle w:val="Point0"/>
      </w:pPr>
      <w:r w:rsidRPr="00EB2F79">
        <w:t>b)</w:t>
      </w:r>
      <w:r w:rsidRPr="00EB2F79">
        <w:tab/>
        <w:t>käesoleva kokkuleppe jõustumise kuupäevast vastavalt artikli 6 lõikele 1;</w:t>
      </w:r>
    </w:p>
    <w:p w14:paraId="4F40C8E9" w14:textId="77777777" w:rsidR="00D851D6" w:rsidRPr="00EB2F79" w:rsidRDefault="00D851D6" w:rsidP="006F06E1">
      <w:pPr>
        <w:pStyle w:val="Point0"/>
      </w:pPr>
      <w:r w:rsidRPr="00EB2F79">
        <w:lastRenderedPageBreak/>
        <w:t>c)</w:t>
      </w:r>
      <w:r w:rsidRPr="00EB2F79">
        <w:tab/>
        <w:t>kuupäevast, mil käesolev kokkulepe artikli 6 lõike 2 kohaselt iga kokkuleppeosalise suhtes jõustub.</w:t>
      </w:r>
    </w:p>
    <w:p w14:paraId="03685F60" w14:textId="77777777" w:rsidR="00D851D6" w:rsidRPr="00EB2F79" w:rsidRDefault="00D851D6" w:rsidP="00C72C11">
      <w:pPr>
        <w:jc w:val="both"/>
        <w:rPr>
          <w:rFonts w:eastAsia="Calibri"/>
        </w:rPr>
      </w:pPr>
      <w:r w:rsidRPr="00EB2F79">
        <w:rPr>
          <w:rFonts w:eastAsia="Calibri"/>
        </w:rPr>
        <w:t>3.</w:t>
      </w:r>
      <w:r w:rsidRPr="00EB2F79">
        <w:rPr>
          <w:rFonts w:eastAsia="Calibri"/>
        </w:rPr>
        <w:tab/>
      </w:r>
      <w:proofErr w:type="spellStart"/>
      <w:r w:rsidRPr="00EB2F79">
        <w:rPr>
          <w:rFonts w:eastAsia="Calibri"/>
        </w:rPr>
        <w:t>Hoiulevõtja</w:t>
      </w:r>
      <w:proofErr w:type="spellEnd"/>
      <w:r w:rsidRPr="00EB2F79">
        <w:rPr>
          <w:rFonts w:eastAsia="Calibri"/>
        </w:rPr>
        <w:t xml:space="preserve"> avaldab kokkuleppe </w:t>
      </w:r>
      <w:r w:rsidRPr="00EB2F79">
        <w:rPr>
          <w:rFonts w:eastAsia="Calibri"/>
          <w:i/>
        </w:rPr>
        <w:t>Euroopa Liidu Teatajas</w:t>
      </w:r>
      <w:r w:rsidRPr="00EB2F79">
        <w:rPr>
          <w:rFonts w:eastAsia="Calibri"/>
        </w:rPr>
        <w:t xml:space="preserve"> ning teatab selle vastuvõtmisest ja jõustumisest energiaharta lepingu </w:t>
      </w:r>
      <w:proofErr w:type="spellStart"/>
      <w:r w:rsidRPr="00EB2F79">
        <w:rPr>
          <w:rFonts w:eastAsia="Calibri"/>
        </w:rPr>
        <w:t>hoiulevõtjale</w:t>
      </w:r>
      <w:proofErr w:type="spellEnd"/>
      <w:r w:rsidRPr="00EB2F79">
        <w:rPr>
          <w:rFonts w:eastAsia="Calibri"/>
        </w:rPr>
        <w:t xml:space="preserve"> ja energiaharta sekretariaadile.</w:t>
      </w:r>
    </w:p>
    <w:p w14:paraId="561F995A" w14:textId="77777777" w:rsidR="00D851D6" w:rsidRPr="00EB2F79" w:rsidRDefault="00D851D6" w:rsidP="00C72C11">
      <w:pPr>
        <w:jc w:val="both"/>
        <w:rPr>
          <w:rFonts w:eastAsia="Calibri"/>
        </w:rPr>
      </w:pPr>
      <w:r w:rsidRPr="00EB2F79">
        <w:rPr>
          <w:rFonts w:eastAsia="Calibri"/>
        </w:rPr>
        <w:t>4.</w:t>
      </w:r>
      <w:r w:rsidRPr="00EB2F79">
        <w:rPr>
          <w:rFonts w:eastAsia="Calibri"/>
        </w:rPr>
        <w:tab/>
      </w:r>
      <w:proofErr w:type="spellStart"/>
      <w:r w:rsidRPr="00EB2F79">
        <w:rPr>
          <w:rFonts w:eastAsia="Calibri"/>
          <w:bCs/>
          <w:iCs/>
        </w:rPr>
        <w:t>Hoiulevõtja</w:t>
      </w:r>
      <w:proofErr w:type="spellEnd"/>
      <w:r w:rsidRPr="00EB2F79">
        <w:rPr>
          <w:rFonts w:eastAsia="Calibri"/>
          <w:bCs/>
          <w:iCs/>
        </w:rPr>
        <w:t xml:space="preserve"> palub energiaharta lepingu </w:t>
      </w:r>
      <w:proofErr w:type="spellStart"/>
      <w:r w:rsidRPr="00EB2F79">
        <w:rPr>
          <w:rFonts w:eastAsia="Calibri"/>
          <w:bCs/>
          <w:iCs/>
        </w:rPr>
        <w:t>hoiulevõtjal</w:t>
      </w:r>
      <w:proofErr w:type="spellEnd"/>
      <w:r w:rsidRPr="00EB2F79">
        <w:rPr>
          <w:rFonts w:eastAsia="Calibri"/>
          <w:b/>
          <w:bCs/>
        </w:rPr>
        <w:t xml:space="preserve"> </w:t>
      </w:r>
      <w:r w:rsidRPr="00EB2F79">
        <w:rPr>
          <w:rFonts w:eastAsia="Calibri"/>
        </w:rPr>
        <w:t>teatada käesolevast kokkuleppest teistele energiaharta lepingu osalistele.</w:t>
      </w:r>
    </w:p>
    <w:p w14:paraId="75016689" w14:textId="77777777" w:rsidR="00D851D6" w:rsidRDefault="00D851D6" w:rsidP="00C72C11">
      <w:pPr>
        <w:jc w:val="both"/>
        <w:rPr>
          <w:rFonts w:eastAsia="Calibri"/>
        </w:rPr>
      </w:pPr>
      <w:r w:rsidRPr="00EB2F79">
        <w:rPr>
          <w:rFonts w:eastAsia="Calibri"/>
        </w:rPr>
        <w:t>5.</w:t>
      </w:r>
      <w:r w:rsidRPr="00EB2F79">
        <w:rPr>
          <w:rFonts w:eastAsia="Calibri"/>
        </w:rPr>
        <w:tab/>
      </w:r>
      <w:proofErr w:type="spellStart"/>
      <w:r w:rsidRPr="00EB2F79">
        <w:rPr>
          <w:rFonts w:eastAsia="Calibri"/>
        </w:rPr>
        <w:t>Hoiulevõtja</w:t>
      </w:r>
      <w:proofErr w:type="spellEnd"/>
      <w:r w:rsidRPr="00EB2F79">
        <w:rPr>
          <w:rFonts w:eastAsia="Calibri"/>
        </w:rPr>
        <w:t xml:space="preserve"> registreerib käesoleva kokkuleppe pärast selle jõustumist Ühinenud Rahvaste Organisatsiooni sekretariaadis vastavalt Ühinenud Rahvaste Organisatsiooni põhikirja artiklile 102.</w:t>
      </w:r>
    </w:p>
    <w:p w14:paraId="03F5FD96" w14:textId="77777777" w:rsidR="0058310C" w:rsidRPr="00EB2F79" w:rsidRDefault="0058310C" w:rsidP="006F06E1">
      <w:pPr>
        <w:rPr>
          <w:rFonts w:eastAsia="Calibri"/>
        </w:rPr>
      </w:pPr>
    </w:p>
    <w:p w14:paraId="51C78A5B" w14:textId="77777777" w:rsidR="00D851D6" w:rsidRPr="00EB2F79" w:rsidRDefault="00364E9C" w:rsidP="006F06E1">
      <w:pPr>
        <w:pStyle w:val="NormalCentered"/>
      </w:pPr>
      <w:r w:rsidRPr="00EB2F79">
        <w:t>ARTIKKEL 4</w:t>
      </w:r>
      <w:r w:rsidRPr="00EB2F79">
        <w:br/>
      </w:r>
      <w:r w:rsidR="00D851D6" w:rsidRPr="00EB2F79">
        <w:t>Reservatsioonid</w:t>
      </w:r>
    </w:p>
    <w:p w14:paraId="6F13B72C" w14:textId="77777777" w:rsidR="00D851D6" w:rsidRDefault="00D851D6" w:rsidP="00D851D6">
      <w:pPr>
        <w:rPr>
          <w:rFonts w:eastAsia="Calibri"/>
        </w:rPr>
      </w:pPr>
      <w:r w:rsidRPr="00EB2F79">
        <w:rPr>
          <w:rFonts w:eastAsia="Calibri"/>
        </w:rPr>
        <w:t>Käesoleva kokkuleppe suhtes ei või teha reservatsioone.</w:t>
      </w:r>
    </w:p>
    <w:p w14:paraId="29542651" w14:textId="77777777" w:rsidR="0058310C" w:rsidRPr="00EB2F79" w:rsidRDefault="0058310C" w:rsidP="00D851D6">
      <w:pPr>
        <w:rPr>
          <w:rFonts w:eastAsia="Calibri"/>
        </w:rPr>
      </w:pPr>
    </w:p>
    <w:p w14:paraId="62670553" w14:textId="77777777" w:rsidR="00D851D6" w:rsidRPr="00EB2F79" w:rsidRDefault="00364E9C" w:rsidP="006F06E1">
      <w:pPr>
        <w:pStyle w:val="NormalCentered"/>
      </w:pPr>
      <w:r w:rsidRPr="00EB2F79">
        <w:t>ARTIKKEL 5</w:t>
      </w:r>
      <w:r w:rsidRPr="00EB2F79">
        <w:br/>
      </w:r>
      <w:r w:rsidR="00D851D6" w:rsidRPr="00EB2F79">
        <w:t>Ratifitseerimine ja heakskiitmine</w:t>
      </w:r>
    </w:p>
    <w:p w14:paraId="25442230" w14:textId="77777777" w:rsidR="00D851D6" w:rsidRPr="00EB2F79" w:rsidRDefault="00D851D6" w:rsidP="00C72C11">
      <w:pPr>
        <w:jc w:val="both"/>
        <w:rPr>
          <w:rFonts w:eastAsia="Calibri"/>
        </w:rPr>
      </w:pPr>
      <w:r w:rsidRPr="00EB2F79">
        <w:rPr>
          <w:rFonts w:eastAsia="Calibri"/>
        </w:rPr>
        <w:t>Käesolev kokkulepe tuleb ratifitseerida või heaks kiita.</w:t>
      </w:r>
    </w:p>
    <w:p w14:paraId="41E04788" w14:textId="77777777" w:rsidR="00D851D6" w:rsidRDefault="00D851D6" w:rsidP="00C72C11">
      <w:pPr>
        <w:jc w:val="both"/>
        <w:rPr>
          <w:rFonts w:eastAsia="Calibri"/>
        </w:rPr>
      </w:pPr>
      <w:r w:rsidRPr="00EB2F79">
        <w:rPr>
          <w:rFonts w:eastAsia="Calibri"/>
        </w:rPr>
        <w:t xml:space="preserve">Kokkuleppeosalised annavad ratifitseerimis- või heakskiitmiskirjad </w:t>
      </w:r>
      <w:proofErr w:type="spellStart"/>
      <w:r w:rsidRPr="00EB2F79">
        <w:rPr>
          <w:rFonts w:eastAsia="Calibri"/>
        </w:rPr>
        <w:t>hoiulevõtja</w:t>
      </w:r>
      <w:proofErr w:type="spellEnd"/>
      <w:r w:rsidRPr="00EB2F79">
        <w:rPr>
          <w:rFonts w:eastAsia="Calibri"/>
        </w:rPr>
        <w:t xml:space="preserve"> kätte hoiule.</w:t>
      </w:r>
    </w:p>
    <w:p w14:paraId="7EA20BFB" w14:textId="77777777" w:rsidR="0058310C" w:rsidRPr="00EB2F79" w:rsidRDefault="0058310C" w:rsidP="00D851D6">
      <w:pPr>
        <w:rPr>
          <w:rFonts w:eastAsia="Calibri"/>
        </w:rPr>
      </w:pPr>
    </w:p>
    <w:p w14:paraId="5424F9CE" w14:textId="77777777" w:rsidR="00D851D6" w:rsidRPr="00EB2F79" w:rsidRDefault="00364E9C" w:rsidP="006F06E1">
      <w:pPr>
        <w:pStyle w:val="NormalCentered"/>
      </w:pPr>
      <w:r w:rsidRPr="00EB2F79">
        <w:t>ARTIKKEL 6</w:t>
      </w:r>
      <w:r w:rsidRPr="00EB2F79">
        <w:br/>
      </w:r>
      <w:r w:rsidR="00D851D6" w:rsidRPr="00EB2F79">
        <w:t>Jõustumine</w:t>
      </w:r>
    </w:p>
    <w:p w14:paraId="29904607" w14:textId="77777777" w:rsidR="00D851D6" w:rsidRPr="00EB2F79" w:rsidRDefault="00D851D6" w:rsidP="0058310C">
      <w:pPr>
        <w:jc w:val="both"/>
      </w:pPr>
      <w:r w:rsidRPr="00EB2F79">
        <w:t>1.</w:t>
      </w:r>
      <w:r w:rsidRPr="00EB2F79">
        <w:tab/>
        <w:t xml:space="preserve">Käesolev kokkulepe jõustub 30 kalendripäeva möödumisel päevast, mil </w:t>
      </w:r>
      <w:proofErr w:type="spellStart"/>
      <w:r w:rsidRPr="00EB2F79">
        <w:t>hoiulevõtja</w:t>
      </w:r>
      <w:proofErr w:type="spellEnd"/>
      <w:r w:rsidRPr="00EB2F79">
        <w:t xml:space="preserve"> sai kätte teise ratifitseerimis- või heakskiitmiskirja.</w:t>
      </w:r>
    </w:p>
    <w:p w14:paraId="1EDB4D7E" w14:textId="77777777" w:rsidR="00D851D6" w:rsidRPr="00EB2F79" w:rsidRDefault="00D851D6" w:rsidP="0058310C">
      <w:pPr>
        <w:jc w:val="both"/>
        <w:rPr>
          <w:rFonts w:eastAsia="Calibri"/>
        </w:rPr>
      </w:pPr>
      <w:r w:rsidRPr="00EB2F79">
        <w:rPr>
          <w:rFonts w:eastAsia="Calibri"/>
        </w:rPr>
        <w:t>2.</w:t>
      </w:r>
      <w:r w:rsidRPr="00EB2F79">
        <w:rPr>
          <w:rFonts w:eastAsia="Calibri"/>
        </w:rPr>
        <w:tab/>
        <w:t>Käesolev kokkulepe jõustub iga kokkuleppeosalise suhtes, kes selle pärast jõustumist vastavalt lõikele 1 ratifitseerib või heaks kiidab, 30 kalendripäeva möödumisel päevast, mil asjaomane kokkuleppeosaline andis oma ratifitseerimis- või heakskiitmiskirja hoiule.</w:t>
      </w:r>
    </w:p>
    <w:p w14:paraId="5E38912B" w14:textId="77777777" w:rsidR="00D851D6" w:rsidRPr="00EB2F79" w:rsidRDefault="00D851D6" w:rsidP="006F06E1">
      <w:pPr>
        <w:spacing w:before="0" w:after="160" w:line="259" w:lineRule="auto"/>
      </w:pPr>
      <w:r w:rsidRPr="00EB2F79">
        <w:br w:type="page"/>
      </w:r>
    </w:p>
    <w:p w14:paraId="3B2619E1" w14:textId="77777777" w:rsidR="00D851D6" w:rsidRPr="00EB2F79" w:rsidRDefault="00364E9C" w:rsidP="006F06E1">
      <w:pPr>
        <w:pStyle w:val="NormalCentered"/>
      </w:pPr>
      <w:r w:rsidRPr="00EB2F79">
        <w:lastRenderedPageBreak/>
        <w:t>ARTIKKEL 7</w:t>
      </w:r>
      <w:r w:rsidRPr="00EB2F79">
        <w:br/>
      </w:r>
      <w:r w:rsidR="00D851D6" w:rsidRPr="00EB2F79">
        <w:t>Autentne tekst</w:t>
      </w:r>
    </w:p>
    <w:p w14:paraId="3FBB9EDC" w14:textId="77777777" w:rsidR="00D851D6" w:rsidRPr="00EB2F79" w:rsidRDefault="00D851D6" w:rsidP="0058310C">
      <w:pPr>
        <w:jc w:val="both"/>
        <w:rPr>
          <w:rFonts w:eastAsia="Calibri"/>
        </w:rPr>
      </w:pPr>
      <w:r w:rsidRPr="00EB2F79">
        <w:rPr>
          <w:rFonts w:eastAsia="Calibri"/>
        </w:rPr>
        <w:t xml:space="preserve">Käesolev kokkulepe, mis on koostatud ühes originaalis bulgaaria, eesti, hispaania, hollandi, horvaadi, iiri, inglise, itaalia, kreeka, leedu, läti, malta, poola, portugali, prantsuse, rootsi, rumeenia, saksa, slovaki, sloveeni, soome, taani, tšehhi ja ungari keeles, kusjuures tekstid on võrdselt autentsed, antakse hoiule </w:t>
      </w:r>
      <w:proofErr w:type="spellStart"/>
      <w:r w:rsidRPr="00EB2F79">
        <w:rPr>
          <w:rFonts w:eastAsia="Calibri"/>
        </w:rPr>
        <w:t>hoiulevõtja</w:t>
      </w:r>
      <w:proofErr w:type="spellEnd"/>
      <w:r w:rsidRPr="00EB2F79">
        <w:rPr>
          <w:rFonts w:eastAsia="Calibri"/>
        </w:rPr>
        <w:t xml:space="preserve"> arhiivi.</w:t>
      </w:r>
    </w:p>
    <w:p w14:paraId="416BD310" w14:textId="77777777" w:rsidR="0058310C" w:rsidRDefault="0058310C" w:rsidP="0058310C">
      <w:pPr>
        <w:jc w:val="both"/>
        <w:rPr>
          <w:rFonts w:eastAsia="Calibri"/>
          <w:noProof/>
        </w:rPr>
      </w:pPr>
    </w:p>
    <w:p w14:paraId="1BCA3AC3" w14:textId="29B28A2E" w:rsidR="00D851D6" w:rsidRPr="00EB2F79" w:rsidRDefault="00D851D6" w:rsidP="0058310C">
      <w:pPr>
        <w:jc w:val="both"/>
        <w:rPr>
          <w:rFonts w:eastAsia="Calibri"/>
          <w:noProof/>
        </w:rPr>
      </w:pPr>
      <w:r w:rsidRPr="00EB2F79">
        <w:rPr>
          <w:rFonts w:eastAsia="Calibri"/>
          <w:noProof/>
        </w:rPr>
        <w:t>SELLE KINNITUSEKS on täievolilised esindajad käesolevale kokkuleppele alla kirjutanud.</w:t>
      </w:r>
    </w:p>
    <w:p w14:paraId="383D0057" w14:textId="77777777" w:rsidR="00D851D6" w:rsidRPr="00EB2F79" w:rsidRDefault="00D851D6" w:rsidP="00D851D6">
      <w:pPr>
        <w:rPr>
          <w:rFonts w:eastAsia="Calibri"/>
        </w:rPr>
      </w:pPr>
      <w:r w:rsidRPr="00EB2F79">
        <w:rPr>
          <w:rFonts w:eastAsia="Calibri"/>
        </w:rPr>
        <w:t>Sõlmitud ............kuu .....................päeval .................aastal ……..</w:t>
      </w:r>
    </w:p>
    <w:p w14:paraId="1742D79C" w14:textId="77777777" w:rsidR="00D851D6" w:rsidRPr="00EB2F79" w:rsidRDefault="00D851D6" w:rsidP="006F06E1">
      <w:pPr>
        <w:rPr>
          <w:rFonts w:eastAsia="Calibri"/>
        </w:rPr>
      </w:pPr>
      <w:r w:rsidRPr="00EB2F79">
        <w:rPr>
          <w:rFonts w:eastAsia="Calibri"/>
        </w:rPr>
        <w:t>Belgia Kuningriigi nimel</w:t>
      </w:r>
    </w:p>
    <w:p w14:paraId="7A563284" w14:textId="77777777" w:rsidR="00D851D6" w:rsidRPr="00EB2F79" w:rsidRDefault="00D851D6" w:rsidP="006F06E1">
      <w:pPr>
        <w:rPr>
          <w:rFonts w:eastAsia="Calibri"/>
        </w:rPr>
      </w:pPr>
      <w:r w:rsidRPr="00EB2F79">
        <w:rPr>
          <w:rFonts w:eastAsia="Calibri"/>
        </w:rPr>
        <w:t>Bulgaaria Vabariigi nimel</w:t>
      </w:r>
    </w:p>
    <w:p w14:paraId="57DCF0A8" w14:textId="77777777" w:rsidR="00D851D6" w:rsidRPr="00EB2F79" w:rsidRDefault="00D851D6" w:rsidP="006F06E1">
      <w:pPr>
        <w:rPr>
          <w:rFonts w:eastAsia="Calibri"/>
        </w:rPr>
      </w:pPr>
      <w:r w:rsidRPr="00EB2F79">
        <w:rPr>
          <w:rFonts w:eastAsia="Calibri"/>
        </w:rPr>
        <w:t>Tšehhi Vabariigi nimel</w:t>
      </w:r>
    </w:p>
    <w:p w14:paraId="52093CDD" w14:textId="77777777" w:rsidR="00D851D6" w:rsidRPr="00EB2F79" w:rsidRDefault="00D851D6" w:rsidP="006F06E1">
      <w:pPr>
        <w:rPr>
          <w:rFonts w:eastAsia="Calibri"/>
        </w:rPr>
      </w:pPr>
      <w:r w:rsidRPr="00EB2F79">
        <w:rPr>
          <w:rFonts w:eastAsia="Calibri"/>
        </w:rPr>
        <w:t>Taani Kuningriigi nimel</w:t>
      </w:r>
    </w:p>
    <w:p w14:paraId="4770D056" w14:textId="77777777" w:rsidR="00D851D6" w:rsidRPr="00EB2F79" w:rsidRDefault="00D851D6" w:rsidP="006F06E1">
      <w:pPr>
        <w:rPr>
          <w:rFonts w:eastAsia="Calibri"/>
        </w:rPr>
      </w:pPr>
      <w:r w:rsidRPr="00EB2F79">
        <w:rPr>
          <w:rFonts w:eastAsia="Calibri"/>
        </w:rPr>
        <w:t>Saksamaa Liitvabariigi nimel</w:t>
      </w:r>
    </w:p>
    <w:p w14:paraId="4DF55C37" w14:textId="77777777" w:rsidR="00D851D6" w:rsidRPr="00EB2F79" w:rsidRDefault="00D851D6" w:rsidP="006F06E1">
      <w:pPr>
        <w:rPr>
          <w:rFonts w:eastAsia="Calibri"/>
        </w:rPr>
      </w:pPr>
      <w:r w:rsidRPr="00EB2F79">
        <w:rPr>
          <w:rFonts w:eastAsia="Calibri"/>
        </w:rPr>
        <w:t>Eesti Vabariigi nimel</w:t>
      </w:r>
    </w:p>
    <w:p w14:paraId="58DF962D" w14:textId="77777777" w:rsidR="00D851D6" w:rsidRPr="00EB2F79" w:rsidRDefault="00D851D6" w:rsidP="006F06E1">
      <w:pPr>
        <w:rPr>
          <w:rFonts w:eastAsia="Calibri"/>
        </w:rPr>
      </w:pPr>
      <w:r w:rsidRPr="00EB2F79">
        <w:rPr>
          <w:rFonts w:eastAsia="Calibri"/>
        </w:rPr>
        <w:t>Iirimaa nimel</w:t>
      </w:r>
    </w:p>
    <w:p w14:paraId="14912147" w14:textId="77777777" w:rsidR="00D851D6" w:rsidRPr="00EB2F79" w:rsidRDefault="00D851D6" w:rsidP="006F06E1">
      <w:pPr>
        <w:rPr>
          <w:rFonts w:eastAsia="Calibri"/>
        </w:rPr>
      </w:pPr>
      <w:r w:rsidRPr="00EB2F79">
        <w:rPr>
          <w:rFonts w:eastAsia="Calibri"/>
        </w:rPr>
        <w:t>Kreeka Vabariigi nimel</w:t>
      </w:r>
    </w:p>
    <w:p w14:paraId="1EB66DF9" w14:textId="77777777" w:rsidR="00D851D6" w:rsidRPr="00EB2F79" w:rsidRDefault="00D851D6" w:rsidP="006F06E1">
      <w:pPr>
        <w:rPr>
          <w:rFonts w:eastAsia="Calibri"/>
        </w:rPr>
      </w:pPr>
      <w:r w:rsidRPr="00EB2F79">
        <w:rPr>
          <w:rFonts w:eastAsia="Calibri"/>
        </w:rPr>
        <w:t>Hispaania Kuningriigi nimel</w:t>
      </w:r>
    </w:p>
    <w:p w14:paraId="57A5A061" w14:textId="77777777" w:rsidR="00D851D6" w:rsidRPr="00EB2F79" w:rsidRDefault="00D851D6" w:rsidP="006F06E1">
      <w:pPr>
        <w:rPr>
          <w:rFonts w:eastAsia="Calibri"/>
        </w:rPr>
      </w:pPr>
      <w:r w:rsidRPr="00EB2F79">
        <w:rPr>
          <w:rFonts w:eastAsia="Calibri"/>
        </w:rPr>
        <w:t>Prantsuse Vabariigi nimel</w:t>
      </w:r>
    </w:p>
    <w:p w14:paraId="0806888D" w14:textId="77777777" w:rsidR="00D851D6" w:rsidRPr="00EB2F79" w:rsidRDefault="00D851D6" w:rsidP="006F06E1">
      <w:pPr>
        <w:rPr>
          <w:rFonts w:eastAsia="Calibri"/>
        </w:rPr>
      </w:pPr>
      <w:r w:rsidRPr="00EB2F79">
        <w:rPr>
          <w:rFonts w:eastAsia="Calibri"/>
        </w:rPr>
        <w:t>Horvaatia Vabariigi nimel</w:t>
      </w:r>
    </w:p>
    <w:p w14:paraId="7DB13E7E" w14:textId="77777777" w:rsidR="00D851D6" w:rsidRPr="00EB2F79" w:rsidRDefault="00D851D6" w:rsidP="006F06E1">
      <w:pPr>
        <w:rPr>
          <w:rFonts w:eastAsia="Calibri"/>
        </w:rPr>
      </w:pPr>
      <w:r w:rsidRPr="00EB2F79">
        <w:rPr>
          <w:rFonts w:eastAsia="Calibri"/>
        </w:rPr>
        <w:t>Itaalia Vabariigi nimel</w:t>
      </w:r>
    </w:p>
    <w:p w14:paraId="13B76D99" w14:textId="77777777" w:rsidR="00364E9C" w:rsidRPr="00EB2F79" w:rsidRDefault="00364E9C">
      <w:pPr>
        <w:spacing w:before="0" w:after="160" w:line="259" w:lineRule="auto"/>
        <w:rPr>
          <w:rFonts w:eastAsia="Calibri"/>
          <w:noProof/>
        </w:rPr>
      </w:pPr>
      <w:r w:rsidRPr="00EB2F79">
        <w:rPr>
          <w:rFonts w:eastAsia="Calibri"/>
          <w:noProof/>
        </w:rPr>
        <w:br w:type="page"/>
      </w:r>
    </w:p>
    <w:p w14:paraId="7EF449F0" w14:textId="77777777" w:rsidR="00D851D6" w:rsidRPr="00EB2F79" w:rsidRDefault="00D851D6" w:rsidP="006F06E1">
      <w:pPr>
        <w:rPr>
          <w:rFonts w:eastAsia="Calibri"/>
        </w:rPr>
      </w:pPr>
      <w:r w:rsidRPr="00EB2F79">
        <w:rPr>
          <w:rFonts w:eastAsia="Calibri"/>
        </w:rPr>
        <w:lastRenderedPageBreak/>
        <w:t>Küprose Vabariigi nimel</w:t>
      </w:r>
    </w:p>
    <w:p w14:paraId="7CC587B3" w14:textId="77777777" w:rsidR="00D851D6" w:rsidRPr="00EB2F79" w:rsidRDefault="00D851D6" w:rsidP="006F06E1">
      <w:pPr>
        <w:rPr>
          <w:rFonts w:eastAsia="Calibri"/>
        </w:rPr>
      </w:pPr>
      <w:r w:rsidRPr="00EB2F79">
        <w:rPr>
          <w:rFonts w:eastAsia="Calibri"/>
        </w:rPr>
        <w:t>Läti Vabariigi nimel</w:t>
      </w:r>
    </w:p>
    <w:p w14:paraId="40F3E69F" w14:textId="77777777" w:rsidR="00D851D6" w:rsidRPr="00EB2F79" w:rsidRDefault="00D851D6" w:rsidP="006F06E1">
      <w:pPr>
        <w:rPr>
          <w:rFonts w:eastAsia="Calibri"/>
        </w:rPr>
      </w:pPr>
      <w:r w:rsidRPr="00EB2F79">
        <w:rPr>
          <w:rFonts w:eastAsia="Calibri"/>
        </w:rPr>
        <w:t>Leedu Vabariigi nimel</w:t>
      </w:r>
    </w:p>
    <w:p w14:paraId="67E340B2" w14:textId="77777777" w:rsidR="00D851D6" w:rsidRPr="00EB2F79" w:rsidRDefault="00D851D6" w:rsidP="006F06E1">
      <w:pPr>
        <w:rPr>
          <w:rFonts w:eastAsia="Calibri"/>
        </w:rPr>
      </w:pPr>
      <w:r w:rsidRPr="00EB2F79">
        <w:rPr>
          <w:rFonts w:eastAsia="Calibri"/>
        </w:rPr>
        <w:t>Luksemburgi Suurhertsogiriigi nimel</w:t>
      </w:r>
    </w:p>
    <w:p w14:paraId="1435CBD3" w14:textId="77777777" w:rsidR="00D851D6" w:rsidRPr="00EB2F79" w:rsidRDefault="00D851D6" w:rsidP="006F06E1">
      <w:pPr>
        <w:rPr>
          <w:rFonts w:eastAsia="Calibri"/>
        </w:rPr>
      </w:pPr>
      <w:r w:rsidRPr="00EB2F79">
        <w:rPr>
          <w:rFonts w:eastAsia="Calibri"/>
        </w:rPr>
        <w:t>Malta Vabariigi nimel</w:t>
      </w:r>
    </w:p>
    <w:p w14:paraId="6ED92B5A" w14:textId="77777777" w:rsidR="00D851D6" w:rsidRPr="00EB2F79" w:rsidRDefault="00D851D6" w:rsidP="006F06E1">
      <w:pPr>
        <w:rPr>
          <w:rFonts w:eastAsia="Calibri"/>
        </w:rPr>
      </w:pPr>
      <w:r w:rsidRPr="00EB2F79">
        <w:rPr>
          <w:rFonts w:eastAsia="Calibri"/>
        </w:rPr>
        <w:t>Madalmaade Kuningriigi nimel</w:t>
      </w:r>
    </w:p>
    <w:p w14:paraId="1C610366" w14:textId="77777777" w:rsidR="00D851D6" w:rsidRPr="00EB2F79" w:rsidRDefault="00D851D6" w:rsidP="006F06E1">
      <w:pPr>
        <w:rPr>
          <w:rFonts w:eastAsia="Calibri"/>
        </w:rPr>
      </w:pPr>
      <w:r w:rsidRPr="00EB2F79">
        <w:rPr>
          <w:rFonts w:eastAsia="Calibri"/>
        </w:rPr>
        <w:t>Austria Vabariigi nimel</w:t>
      </w:r>
    </w:p>
    <w:p w14:paraId="50CC2284" w14:textId="77777777" w:rsidR="00D851D6" w:rsidRPr="00EB2F79" w:rsidRDefault="00D851D6" w:rsidP="006F06E1">
      <w:pPr>
        <w:rPr>
          <w:rFonts w:eastAsia="Calibri"/>
        </w:rPr>
      </w:pPr>
      <w:r w:rsidRPr="00EB2F79">
        <w:rPr>
          <w:rFonts w:eastAsia="Calibri"/>
        </w:rPr>
        <w:t>Poola Vabariigi nimel</w:t>
      </w:r>
    </w:p>
    <w:p w14:paraId="42550037" w14:textId="77777777" w:rsidR="00D851D6" w:rsidRPr="00EB2F79" w:rsidRDefault="00D851D6" w:rsidP="006F06E1">
      <w:pPr>
        <w:rPr>
          <w:rFonts w:eastAsia="Calibri"/>
        </w:rPr>
      </w:pPr>
      <w:r w:rsidRPr="00EB2F79">
        <w:rPr>
          <w:rFonts w:eastAsia="Calibri"/>
        </w:rPr>
        <w:t>Portugali Vabariigi nimel</w:t>
      </w:r>
    </w:p>
    <w:p w14:paraId="51F604C9" w14:textId="77777777" w:rsidR="00D851D6" w:rsidRPr="00EB2F79" w:rsidRDefault="00D851D6" w:rsidP="006F06E1">
      <w:pPr>
        <w:rPr>
          <w:rFonts w:eastAsia="Calibri"/>
        </w:rPr>
      </w:pPr>
      <w:r w:rsidRPr="00EB2F79">
        <w:rPr>
          <w:rFonts w:eastAsia="Calibri"/>
        </w:rPr>
        <w:t>Rumeenia nimel</w:t>
      </w:r>
    </w:p>
    <w:p w14:paraId="662285CF" w14:textId="77777777" w:rsidR="00D851D6" w:rsidRPr="00EB2F79" w:rsidRDefault="00D851D6" w:rsidP="006F06E1">
      <w:pPr>
        <w:rPr>
          <w:rFonts w:eastAsia="Calibri"/>
        </w:rPr>
      </w:pPr>
      <w:r w:rsidRPr="00EB2F79">
        <w:rPr>
          <w:rFonts w:eastAsia="Calibri"/>
        </w:rPr>
        <w:t>Sloveenia Vabariigi nimel</w:t>
      </w:r>
    </w:p>
    <w:p w14:paraId="55743A87" w14:textId="77777777" w:rsidR="00D851D6" w:rsidRPr="00EB2F79" w:rsidRDefault="00D851D6" w:rsidP="006F06E1">
      <w:pPr>
        <w:rPr>
          <w:rFonts w:eastAsia="Calibri"/>
        </w:rPr>
      </w:pPr>
      <w:r w:rsidRPr="00EB2F79">
        <w:rPr>
          <w:rFonts w:eastAsia="Calibri"/>
        </w:rPr>
        <w:t>Slovaki Vabariigi nimel</w:t>
      </w:r>
    </w:p>
    <w:p w14:paraId="66F62F32" w14:textId="77777777" w:rsidR="00D851D6" w:rsidRPr="00EB2F79" w:rsidRDefault="00D851D6" w:rsidP="006F06E1">
      <w:pPr>
        <w:rPr>
          <w:rFonts w:eastAsia="Calibri"/>
        </w:rPr>
      </w:pPr>
      <w:r w:rsidRPr="00EB2F79">
        <w:rPr>
          <w:rFonts w:eastAsia="Calibri"/>
        </w:rPr>
        <w:t>Soome Vabariigi nimel</w:t>
      </w:r>
    </w:p>
    <w:p w14:paraId="0D7D8F6C" w14:textId="77777777" w:rsidR="00D851D6" w:rsidRPr="00EB2F79" w:rsidRDefault="00D851D6" w:rsidP="006F06E1">
      <w:pPr>
        <w:rPr>
          <w:rFonts w:eastAsia="Calibri"/>
        </w:rPr>
      </w:pPr>
      <w:r w:rsidRPr="00EB2F79">
        <w:rPr>
          <w:rFonts w:eastAsia="Calibri"/>
        </w:rPr>
        <w:t>Rootsi Kuningriigi nimel ning</w:t>
      </w:r>
    </w:p>
    <w:p w14:paraId="24F3D82F" w14:textId="77777777" w:rsidR="00D851D6" w:rsidRPr="00EB2F79" w:rsidRDefault="00D851D6" w:rsidP="006F06E1">
      <w:pPr>
        <w:rPr>
          <w:rFonts w:eastAsia="Calibri"/>
        </w:rPr>
      </w:pPr>
      <w:r w:rsidRPr="00EB2F79">
        <w:rPr>
          <w:rFonts w:eastAsia="Calibri"/>
        </w:rPr>
        <w:t>Euroopa Liidu nimel</w:t>
      </w:r>
      <w:bookmarkEnd w:id="0"/>
    </w:p>
    <w:sectPr w:rsidR="00D851D6" w:rsidRPr="00EB2F79" w:rsidSect="005166CF">
      <w:headerReference w:type="even" r:id="rId15"/>
      <w:footerReference w:type="even" r:id="rId16"/>
      <w:headerReference w:type="first" r:id="rId17"/>
      <w:footerReference w:type="first" r:id="rId18"/>
      <w:footnotePr>
        <w:numRestart w:val="eachPage"/>
      </w:footnotePr>
      <w:pgSz w:w="11907" w:h="16840"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D6294" w14:textId="77777777" w:rsidR="00A0682F" w:rsidRPr="00245855" w:rsidRDefault="00A0682F" w:rsidP="00245855">
      <w:pPr>
        <w:spacing w:before="0" w:after="0"/>
      </w:pPr>
      <w:r w:rsidRPr="00245855">
        <w:separator/>
      </w:r>
    </w:p>
  </w:endnote>
  <w:endnote w:type="continuationSeparator" w:id="0">
    <w:p w14:paraId="62F54ABC" w14:textId="77777777" w:rsidR="00A0682F" w:rsidRDefault="00A0682F" w:rsidP="002458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ew Roman">
    <w:altName w:val="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F9D0" w14:textId="77777777" w:rsidR="005A718A" w:rsidRDefault="005A718A">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8DFE" w14:textId="77777777" w:rsidR="005A718A" w:rsidRDefault="005A718A">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25C5" w14:textId="77777777" w:rsidR="005A718A" w:rsidRDefault="005A718A">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0FF0" w14:textId="77777777" w:rsidR="005A718A" w:rsidRDefault="005A718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E4535" w14:textId="77777777" w:rsidR="00A0682F" w:rsidRPr="00245855" w:rsidRDefault="00A0682F" w:rsidP="00245855">
      <w:pPr>
        <w:spacing w:before="0" w:after="0"/>
      </w:pPr>
      <w:r w:rsidRPr="00245855">
        <w:separator/>
      </w:r>
    </w:p>
  </w:footnote>
  <w:footnote w:type="continuationSeparator" w:id="0">
    <w:p w14:paraId="75E46E2F" w14:textId="77777777" w:rsidR="00A0682F" w:rsidRDefault="00A0682F" w:rsidP="00245855">
      <w:pPr>
        <w:spacing w:before="0" w:after="0" w:line="240" w:lineRule="auto"/>
      </w:pPr>
      <w:r>
        <w:continuationSeparator/>
      </w:r>
    </w:p>
  </w:footnote>
  <w:footnote w:id="1">
    <w:p w14:paraId="53AE252D" w14:textId="77777777" w:rsidR="00D851D6" w:rsidRPr="00925857" w:rsidRDefault="00D851D6" w:rsidP="00EB2F79">
      <w:pPr>
        <w:pStyle w:val="FootnoteText"/>
        <w:rPr>
          <w:szCs w:val="24"/>
        </w:rPr>
      </w:pPr>
      <w:r w:rsidRPr="00925857">
        <w:rPr>
          <w:rStyle w:val="FootnoteReference"/>
          <w:szCs w:val="24"/>
        </w:rPr>
        <w:footnoteRef/>
      </w:r>
      <w:r w:rsidRPr="00925857">
        <w:rPr>
          <w:szCs w:val="24"/>
        </w:rPr>
        <w:tab/>
        <w:t>Euroopa energiaharta konverentsi lõppakt (EÜT L 380, 31.12.1994, lk 24, ELI: </w:t>
      </w:r>
      <w:r w:rsidRPr="00660189">
        <w:rPr>
          <w:szCs w:val="24"/>
        </w:rPr>
        <w:t>http://data.europa.eu/eli/agree_internation/1994/998/oj</w:t>
      </w:r>
      <w:r w:rsidRPr="00925857">
        <w:rPr>
          <w:szCs w:val="24"/>
        </w:rPr>
        <w:t>)</w:t>
      </w:r>
      <w:r w:rsidRPr="00925857">
        <w:rPr>
          <w:noProof/>
          <w:color w:val="000000"/>
          <w:szCs w:val="24"/>
        </w:rPr>
        <w:t>.</w:t>
      </w:r>
    </w:p>
  </w:footnote>
  <w:footnote w:id="2">
    <w:p w14:paraId="5AD50E6E" w14:textId="77777777" w:rsidR="00D851D6" w:rsidRPr="00925857" w:rsidRDefault="00D851D6" w:rsidP="00EB2F79">
      <w:pPr>
        <w:pStyle w:val="FootnoteText"/>
        <w:rPr>
          <w:szCs w:val="24"/>
        </w:rPr>
      </w:pPr>
      <w:r w:rsidRPr="00925857">
        <w:rPr>
          <w:rStyle w:val="FootnoteReference"/>
          <w:szCs w:val="24"/>
        </w:rPr>
        <w:footnoteRef/>
      </w:r>
      <w:r w:rsidRPr="00925857">
        <w:rPr>
          <w:szCs w:val="24"/>
        </w:rPr>
        <w:tab/>
        <w:t>Nõukogu ja komisjoni 23. septembri 1997. aasta otsus 98/181/EÜ, ESTÜ, Euratom, mis käsitleb energiaharta lepingu ning energiakasutuse tõhustamist ja sellega seotud keskkonnaküsimusi käsitleva energiaharta protokolli sõlmimist Euroopa ühenduste poolt (EÜT L 69, 9.3.1998, lk 1, ELI: </w:t>
      </w:r>
      <w:r w:rsidRPr="00660189">
        <w:rPr>
          <w:szCs w:val="24"/>
        </w:rPr>
        <w:t>http://data.europa.eu/eli/dec/1998/181/oj</w:t>
      </w:r>
      <w:r w:rsidRPr="00925857">
        <w:rPr>
          <w:szCs w:val="24"/>
        </w:rPr>
        <w:t>).</w:t>
      </w:r>
    </w:p>
  </w:footnote>
  <w:footnote w:id="3">
    <w:p w14:paraId="3A977F0F" w14:textId="77777777" w:rsidR="00D851D6" w:rsidRPr="00925857" w:rsidRDefault="00D851D6" w:rsidP="00EB2F79">
      <w:pPr>
        <w:pStyle w:val="FootnoteText"/>
        <w:rPr>
          <w:szCs w:val="24"/>
        </w:rPr>
      </w:pPr>
      <w:r w:rsidRPr="00925857">
        <w:rPr>
          <w:rStyle w:val="FootnoteReference"/>
          <w:szCs w:val="24"/>
        </w:rPr>
        <w:footnoteRef/>
      </w:r>
      <w:r w:rsidRPr="00925857">
        <w:rPr>
          <w:szCs w:val="24"/>
        </w:rPr>
        <w:tab/>
        <w:t>Alaline Rahvusvaheline Kohus, Jaworzina küsimus (Poola-Tšehhoslovakkia piirid), nõuandev arvamus, [1923] Alaline Rahvusvaheline Kohus, B</w:t>
      </w:r>
      <w:r w:rsidRPr="00925857">
        <w:rPr>
          <w:szCs w:val="24"/>
        </w:rPr>
        <w:noBreakHyphen/>
        <w:t>seeria, nr 8, lk 37.</w:t>
      </w:r>
    </w:p>
  </w:footnote>
  <w:footnote w:id="4">
    <w:p w14:paraId="60F227E8" w14:textId="77777777" w:rsidR="00D851D6" w:rsidRPr="00925857" w:rsidRDefault="00D851D6" w:rsidP="00EB2F79">
      <w:pPr>
        <w:pStyle w:val="FootnoteText"/>
        <w:rPr>
          <w:szCs w:val="24"/>
        </w:rPr>
      </w:pPr>
      <w:r w:rsidRPr="00925857">
        <w:rPr>
          <w:rStyle w:val="FootnoteReference"/>
          <w:szCs w:val="24"/>
        </w:rPr>
        <w:footnoteRef/>
      </w:r>
      <w:r w:rsidRPr="00925857">
        <w:rPr>
          <w:szCs w:val="24"/>
        </w:rPr>
        <w:tab/>
        <w:t>Rahvusvaheline Kohus, genotsiidi vältimise ja selle eest karistamise konventsiooni reservatsioonid, nõuandev arvamus, [1951] Rahvusvahelise Kohtu Aruanded, lk 15 ja 20.</w:t>
      </w:r>
    </w:p>
  </w:footnote>
  <w:footnote w:id="5">
    <w:p w14:paraId="44F1D7BB" w14:textId="77777777" w:rsidR="00D851D6" w:rsidRPr="00925857" w:rsidRDefault="00D851D6" w:rsidP="00EB2F79">
      <w:pPr>
        <w:pStyle w:val="FootnoteText"/>
        <w:rPr>
          <w:szCs w:val="24"/>
        </w:rPr>
      </w:pPr>
      <w:r w:rsidRPr="00925857">
        <w:rPr>
          <w:rStyle w:val="FootnoteReference"/>
          <w:szCs w:val="24"/>
        </w:rPr>
        <w:footnoteRef/>
      </w:r>
      <w:r w:rsidRPr="00925857">
        <w:rPr>
          <w:szCs w:val="24"/>
        </w:rPr>
        <w:tab/>
        <w:t xml:space="preserve">Kohtuotsus, Euroopa Kohus, 30. mai 2006, </w:t>
      </w:r>
      <w:r w:rsidRPr="00C463A1">
        <w:rPr>
          <w:i/>
          <w:iCs/>
          <w:szCs w:val="24"/>
        </w:rPr>
        <w:t>komisjon</w:t>
      </w:r>
      <w:r w:rsidRPr="00925857">
        <w:rPr>
          <w:szCs w:val="24"/>
        </w:rPr>
        <w:t xml:space="preserve"> </w:t>
      </w:r>
      <w:r w:rsidRPr="00F937CB">
        <w:rPr>
          <w:iCs/>
          <w:szCs w:val="24"/>
        </w:rPr>
        <w:t>vs</w:t>
      </w:r>
      <w:r w:rsidRPr="00925857">
        <w:rPr>
          <w:szCs w:val="24"/>
        </w:rPr>
        <w:t xml:space="preserve">. </w:t>
      </w:r>
      <w:r w:rsidRPr="00C463A1">
        <w:rPr>
          <w:i/>
          <w:iCs/>
          <w:szCs w:val="24"/>
        </w:rPr>
        <w:t>Iirimaa</w:t>
      </w:r>
      <w:r w:rsidRPr="00925857">
        <w:rPr>
          <w:szCs w:val="24"/>
        </w:rPr>
        <w:t xml:space="preserve">, C-459/03, ECLI </w:t>
      </w:r>
      <w:r w:rsidRPr="00925857">
        <w:rPr>
          <w:noProof/>
          <w:szCs w:val="24"/>
        </w:rPr>
        <w:t>EU:C:2006:345, punktid 129–137.</w:t>
      </w:r>
    </w:p>
  </w:footnote>
  <w:footnote w:id="6">
    <w:p w14:paraId="0CEE02B8" w14:textId="77777777" w:rsidR="00D851D6" w:rsidRPr="00925857" w:rsidRDefault="00D851D6" w:rsidP="00EB2F79">
      <w:pPr>
        <w:pStyle w:val="FootnoteText"/>
        <w:rPr>
          <w:szCs w:val="24"/>
        </w:rPr>
      </w:pPr>
      <w:r w:rsidRPr="00925857">
        <w:rPr>
          <w:rStyle w:val="FootnoteReference"/>
          <w:szCs w:val="24"/>
        </w:rPr>
        <w:footnoteRef/>
      </w:r>
      <w:r w:rsidRPr="00925857">
        <w:rPr>
          <w:szCs w:val="24"/>
        </w:rPr>
        <w:tab/>
        <w:t xml:space="preserve">Kohtuotsus, Euroopa Kohus, 6. märts 2018, </w:t>
      </w:r>
      <w:r w:rsidRPr="00525DA3">
        <w:rPr>
          <w:i/>
          <w:iCs/>
          <w:szCs w:val="24"/>
        </w:rPr>
        <w:t>Achmea</w:t>
      </w:r>
      <w:r w:rsidRPr="00925857">
        <w:rPr>
          <w:szCs w:val="24"/>
        </w:rPr>
        <w:t xml:space="preserve">, C-284/16, </w:t>
      </w:r>
      <w:r w:rsidRPr="00925857">
        <w:rPr>
          <w:noProof/>
          <w:szCs w:val="24"/>
        </w:rPr>
        <w:t>ECLI EU:C:2018:158.</w:t>
      </w:r>
    </w:p>
  </w:footnote>
  <w:footnote w:id="7">
    <w:p w14:paraId="21EB01E5" w14:textId="77777777" w:rsidR="00D851D6" w:rsidRPr="00925857" w:rsidRDefault="00D851D6" w:rsidP="00EB2F79">
      <w:pPr>
        <w:pStyle w:val="FootnoteText"/>
        <w:rPr>
          <w:szCs w:val="24"/>
        </w:rPr>
      </w:pPr>
      <w:r w:rsidRPr="00925857">
        <w:rPr>
          <w:rStyle w:val="FootnoteReference"/>
          <w:szCs w:val="24"/>
        </w:rPr>
        <w:footnoteRef/>
      </w:r>
      <w:r w:rsidRPr="00925857">
        <w:rPr>
          <w:szCs w:val="24"/>
        </w:rPr>
        <w:tab/>
        <w:t xml:space="preserve">Kohtuotsus, Euroopa Kohus, 2. september 2021, </w:t>
      </w:r>
      <w:r w:rsidRPr="00525DA3">
        <w:rPr>
          <w:i/>
          <w:iCs/>
          <w:szCs w:val="24"/>
        </w:rPr>
        <w:t>Moldova Vabariik</w:t>
      </w:r>
      <w:r w:rsidRPr="00925857">
        <w:rPr>
          <w:szCs w:val="24"/>
        </w:rPr>
        <w:t xml:space="preserve"> </w:t>
      </w:r>
      <w:r w:rsidRPr="00F937CB">
        <w:rPr>
          <w:iCs/>
          <w:szCs w:val="24"/>
        </w:rPr>
        <w:t>vs</w:t>
      </w:r>
      <w:r w:rsidRPr="00925857">
        <w:rPr>
          <w:szCs w:val="24"/>
        </w:rPr>
        <w:t xml:space="preserve">. </w:t>
      </w:r>
      <w:r w:rsidRPr="00525DA3">
        <w:rPr>
          <w:i/>
          <w:iCs/>
          <w:szCs w:val="24"/>
        </w:rPr>
        <w:t>Komstroy</w:t>
      </w:r>
      <w:r w:rsidRPr="00925857">
        <w:rPr>
          <w:szCs w:val="24"/>
        </w:rPr>
        <w:t xml:space="preserve">, </w:t>
      </w:r>
      <w:r w:rsidRPr="00925857">
        <w:rPr>
          <w:noProof/>
          <w:szCs w:val="24"/>
        </w:rPr>
        <w:t>C</w:t>
      </w:r>
      <w:r w:rsidRPr="00925857">
        <w:rPr>
          <w:noProof/>
          <w:szCs w:val="24"/>
        </w:rPr>
        <w:noBreakHyphen/>
        <w:t>741/19,</w:t>
      </w:r>
      <w:r w:rsidRPr="00925857">
        <w:rPr>
          <w:szCs w:val="24"/>
        </w:rPr>
        <w:t xml:space="preserve"> ECLI:EU:C:2021:655, punkt 66.</w:t>
      </w:r>
    </w:p>
  </w:footnote>
  <w:footnote w:id="8">
    <w:p w14:paraId="4FB478BF" w14:textId="77777777" w:rsidR="00D851D6" w:rsidRPr="00925857" w:rsidRDefault="00D851D6" w:rsidP="00EB2F79">
      <w:pPr>
        <w:pStyle w:val="FootnoteText"/>
        <w:rPr>
          <w:szCs w:val="24"/>
        </w:rPr>
      </w:pPr>
      <w:r w:rsidRPr="00925857">
        <w:rPr>
          <w:rStyle w:val="FootnoteReference"/>
          <w:szCs w:val="24"/>
        </w:rPr>
        <w:footnoteRef/>
      </w:r>
      <w:r w:rsidRPr="00925857">
        <w:rPr>
          <w:szCs w:val="24"/>
        </w:rPr>
        <w:tab/>
        <w:t>Euroopa Kohtu 16. juuni 2022. aasta arvamus, 1/20,</w:t>
      </w:r>
      <w:r w:rsidRPr="00925857">
        <w:rPr>
          <w:noProof/>
          <w:szCs w:val="24"/>
        </w:rPr>
        <w:t xml:space="preserve"> EU:C:2022:485, punkt 47.</w:t>
      </w:r>
    </w:p>
  </w:footnote>
  <w:footnote w:id="9">
    <w:p w14:paraId="598906F6" w14:textId="77777777" w:rsidR="00D851D6" w:rsidRPr="00925857" w:rsidRDefault="00D851D6" w:rsidP="00EB2F79">
      <w:pPr>
        <w:pStyle w:val="FootnoteText"/>
        <w:rPr>
          <w:szCs w:val="24"/>
        </w:rPr>
      </w:pPr>
      <w:r w:rsidRPr="00925857">
        <w:rPr>
          <w:rStyle w:val="FootnoteReference"/>
          <w:szCs w:val="24"/>
        </w:rPr>
        <w:footnoteRef/>
      </w:r>
      <w:r w:rsidRPr="00925857">
        <w:rPr>
          <w:szCs w:val="24"/>
        </w:rPr>
        <w:tab/>
        <w:t xml:space="preserve">Kohtuotsus, Rahvusvaheline Kohus, 5. veebruar 1970, </w:t>
      </w:r>
      <w:r w:rsidRPr="00364E9C">
        <w:rPr>
          <w:i/>
          <w:szCs w:val="24"/>
        </w:rPr>
        <w:t>Barcelona Traction, Light and Power Company, Limited</w:t>
      </w:r>
      <w:r w:rsidRPr="00925857">
        <w:rPr>
          <w:szCs w:val="24"/>
        </w:rPr>
        <w:t xml:space="preserve"> (Rahvusvaheline Kohus, ICJ 1970, lk 3, punktid 33 ja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2CD4" w14:textId="77777777" w:rsidR="005A718A" w:rsidRDefault="005A718A">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C4DC" w14:textId="77777777" w:rsidR="005A718A" w:rsidRDefault="005A718A">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13F5" w14:textId="77777777" w:rsidR="005A718A" w:rsidRDefault="005A718A">
    <w:r>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DD6B" w14:textId="77777777" w:rsidR="005A718A" w:rsidRDefault="005A718A">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A75"/>
    <w:multiLevelType w:val="multilevel"/>
    <w:tmpl w:val="12A223CE"/>
    <w:name w:val="Heading"/>
    <w:lvl w:ilvl="0">
      <w:start w:val="1"/>
      <w:numFmt w:val="decimal"/>
      <w:lvlRestart w:val="0"/>
      <w:pStyle w:val="Heading1"/>
      <w:lvlText w:val="%1."/>
      <w:lvlJc w:val="left"/>
      <w:pPr>
        <w:tabs>
          <w:tab w:val="num" w:pos="850"/>
        </w:tabs>
        <w:ind w:left="850" w:hanging="850"/>
      </w:pPr>
      <w:rPr>
        <w:bdr w:val="none" w:sz="0" w:space="0" w:color="auto"/>
      </w:rPr>
    </w:lvl>
    <w:lvl w:ilvl="1">
      <w:start w:val="1"/>
      <w:numFmt w:val="decimal"/>
      <w:pStyle w:val="Heading2"/>
      <w:lvlText w:val="%1.%2."/>
      <w:lvlJc w:val="left"/>
      <w:pPr>
        <w:tabs>
          <w:tab w:val="num" w:pos="850"/>
        </w:tabs>
        <w:ind w:left="850" w:hanging="850"/>
      </w:pPr>
      <w:rPr>
        <w:bdr w:val="none" w:sz="0" w:space="0" w:color="auto"/>
      </w:rPr>
    </w:lvl>
    <w:lvl w:ilvl="2">
      <w:start w:val="1"/>
      <w:numFmt w:val="decimal"/>
      <w:pStyle w:val="Heading3"/>
      <w:lvlText w:val="%1.%2.%3."/>
      <w:lvlJc w:val="left"/>
      <w:pPr>
        <w:tabs>
          <w:tab w:val="num" w:pos="850"/>
        </w:tabs>
        <w:ind w:left="850" w:hanging="850"/>
      </w:pPr>
      <w:rPr>
        <w:bdr w:val="none" w:sz="0" w:space="0" w:color="auto"/>
      </w:rPr>
    </w:lvl>
    <w:lvl w:ilvl="3">
      <w:start w:val="1"/>
      <w:numFmt w:val="decimal"/>
      <w:pStyle w:val="Heading4"/>
      <w:lvlText w:val="%1.%2.%3.%4."/>
      <w:lvlJc w:val="left"/>
      <w:pPr>
        <w:tabs>
          <w:tab w:val="num" w:pos="850"/>
        </w:tabs>
        <w:ind w:left="850" w:hanging="850"/>
      </w:pPr>
      <w:rPr>
        <w:bdr w:val="none" w:sz="0" w:space="0" w:color="auto"/>
      </w:rPr>
    </w:lvl>
    <w:lvl w:ilvl="4">
      <w:start w:val="1"/>
      <w:numFmt w:val="decimal"/>
      <w:pStyle w:val="Heading5"/>
      <w:lvlText w:val="%1.%2.%3.%4.%5."/>
      <w:lvlJc w:val="left"/>
      <w:pPr>
        <w:tabs>
          <w:tab w:val="num" w:pos="1417"/>
        </w:tabs>
        <w:ind w:left="1417" w:hanging="1417"/>
      </w:pPr>
      <w:rPr>
        <w:bdr w:val="none" w:sz="0" w:space="0" w:color="auto"/>
      </w:rPr>
    </w:lvl>
    <w:lvl w:ilvl="5">
      <w:start w:val="1"/>
      <w:numFmt w:val="decimal"/>
      <w:pStyle w:val="Heading6"/>
      <w:lvlText w:val="%1.%2.%3.%4.%5.%6."/>
      <w:lvlJc w:val="left"/>
      <w:pPr>
        <w:tabs>
          <w:tab w:val="num" w:pos="1417"/>
        </w:tabs>
        <w:ind w:left="1417" w:hanging="1417"/>
      </w:pPr>
      <w:rPr>
        <w:bdr w:val="none" w:sz="0" w:space="0" w:color="auto"/>
      </w:rPr>
    </w:lvl>
    <w:lvl w:ilvl="6">
      <w:start w:val="1"/>
      <w:numFmt w:val="decimal"/>
      <w:pStyle w:val="Heading7"/>
      <w:lvlText w:val="%1.%2.%3.%4.%5.%6.%7."/>
      <w:lvlJc w:val="left"/>
      <w:pPr>
        <w:tabs>
          <w:tab w:val="num" w:pos="1417"/>
        </w:tabs>
        <w:ind w:left="1417" w:hanging="1417"/>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1" w15:restartNumberingAfterBreak="0">
    <w:nsid w:val="0A225A2D"/>
    <w:multiLevelType w:val="singleLevel"/>
    <w:tmpl w:val="5EAA04A8"/>
    <w:name w:val="Bullet 2"/>
    <w:lvl w:ilvl="0">
      <w:start w:val="1"/>
      <w:numFmt w:val="bullet"/>
      <w:lvlRestart w:val="0"/>
      <w:pStyle w:val="Bullet2"/>
      <w:lvlText w:val=""/>
      <w:lvlJc w:val="left"/>
      <w:pPr>
        <w:tabs>
          <w:tab w:val="num" w:pos="1984"/>
        </w:tabs>
        <w:ind w:left="1984" w:hanging="567"/>
      </w:pPr>
      <w:rPr>
        <w:rFonts w:ascii="Symbol" w:hAnsi="Symbol" w:hint="default"/>
        <w:bdr w:val="none" w:sz="0" w:space="0" w:color="auto"/>
      </w:rPr>
    </w:lvl>
  </w:abstractNum>
  <w:abstractNum w:abstractNumId="2" w15:restartNumberingAfterBreak="0">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bdr w:val="none" w:sz="0" w:space="0" w:color="auto"/>
      </w:rPr>
    </w:lvl>
  </w:abstractNum>
  <w:abstractNum w:abstractNumId="3" w15:restartNumberingAfterBreak="0">
    <w:nsid w:val="0CC176F9"/>
    <w:multiLevelType w:val="singleLevel"/>
    <w:tmpl w:val="4282F5D2"/>
    <w:name w:val="Considérant"/>
    <w:lvl w:ilvl="0">
      <w:start w:val="1"/>
      <w:numFmt w:val="decimal"/>
      <w:lvlRestart w:val="0"/>
      <w:pStyle w:val="Considrant"/>
      <w:lvlText w:val="(%1)"/>
      <w:lvlJc w:val="left"/>
      <w:pPr>
        <w:tabs>
          <w:tab w:val="num" w:pos="850"/>
        </w:tabs>
        <w:ind w:left="850" w:hanging="850"/>
      </w:pPr>
      <w:rPr>
        <w:bdr w:val="none" w:sz="0" w:space="0" w:color="auto"/>
      </w:rPr>
    </w:lvl>
  </w:abstractNum>
  <w:abstractNum w:abstractNumId="4" w15:restartNumberingAfterBreak="0">
    <w:nsid w:val="0EEA6825"/>
    <w:multiLevelType w:val="singleLevel"/>
    <w:tmpl w:val="F14A3676"/>
    <w:name w:val="Tiret 0"/>
    <w:lvl w:ilvl="0">
      <w:start w:val="1"/>
      <w:numFmt w:val="bullet"/>
      <w:lvlRestart w:val="0"/>
      <w:pStyle w:val="Tiret0"/>
      <w:lvlText w:val="–"/>
      <w:lvlJc w:val="left"/>
      <w:pPr>
        <w:tabs>
          <w:tab w:val="num" w:pos="850"/>
        </w:tabs>
        <w:ind w:left="850" w:hanging="850"/>
      </w:pPr>
      <w:rPr>
        <w:bdr w:val="none" w:sz="0" w:space="0" w:color="auto"/>
      </w:rPr>
    </w:lvl>
  </w:abstractNum>
  <w:abstractNum w:abstractNumId="5" w15:restartNumberingAfterBreak="0">
    <w:nsid w:val="1A777BB9"/>
    <w:multiLevelType w:val="multilevel"/>
    <w:tmpl w:val="0E762C96"/>
    <w:name w:val="NumPar"/>
    <w:lvl w:ilvl="0">
      <w:start w:val="1"/>
      <w:numFmt w:val="decimal"/>
      <w:lvlRestart w:val="0"/>
      <w:pStyle w:val="NumPar1"/>
      <w:lvlText w:val="%1."/>
      <w:lvlJc w:val="left"/>
      <w:pPr>
        <w:tabs>
          <w:tab w:val="num" w:pos="850"/>
        </w:tabs>
        <w:ind w:left="850" w:hanging="850"/>
      </w:pPr>
      <w:rPr>
        <w:bdr w:val="none" w:sz="0" w:space="0" w:color="auto"/>
      </w:rPr>
    </w:lvl>
    <w:lvl w:ilvl="1">
      <w:start w:val="1"/>
      <w:numFmt w:val="decimal"/>
      <w:pStyle w:val="NumPar2"/>
      <w:lvlText w:val="%1.%2."/>
      <w:lvlJc w:val="left"/>
      <w:pPr>
        <w:tabs>
          <w:tab w:val="num" w:pos="850"/>
        </w:tabs>
        <w:ind w:left="850" w:hanging="850"/>
      </w:pPr>
      <w:rPr>
        <w:bdr w:val="none" w:sz="0" w:space="0" w:color="auto"/>
      </w:rPr>
    </w:lvl>
    <w:lvl w:ilvl="2">
      <w:start w:val="1"/>
      <w:numFmt w:val="decimal"/>
      <w:pStyle w:val="NumPar3"/>
      <w:lvlText w:val="%1.%2.%3."/>
      <w:lvlJc w:val="left"/>
      <w:pPr>
        <w:tabs>
          <w:tab w:val="num" w:pos="850"/>
        </w:tabs>
        <w:ind w:left="850" w:hanging="850"/>
      </w:pPr>
      <w:rPr>
        <w:bdr w:val="none" w:sz="0" w:space="0" w:color="auto"/>
      </w:rPr>
    </w:lvl>
    <w:lvl w:ilvl="3">
      <w:start w:val="1"/>
      <w:numFmt w:val="decimal"/>
      <w:pStyle w:val="NumPar4"/>
      <w:lvlText w:val="%1.%2.%3.%4."/>
      <w:lvlJc w:val="left"/>
      <w:pPr>
        <w:tabs>
          <w:tab w:val="num" w:pos="850"/>
        </w:tabs>
        <w:ind w:left="850" w:hanging="850"/>
      </w:pPr>
      <w:rPr>
        <w:bdr w:val="none" w:sz="0" w:space="0" w:color="auto"/>
      </w:rPr>
    </w:lvl>
    <w:lvl w:ilvl="4">
      <w:start w:val="1"/>
      <w:numFmt w:val="decimal"/>
      <w:pStyle w:val="NumPar5"/>
      <w:lvlText w:val="%1.%2.%3.%4.%5."/>
      <w:lvlJc w:val="left"/>
      <w:pPr>
        <w:tabs>
          <w:tab w:val="num" w:pos="1417"/>
        </w:tabs>
        <w:ind w:left="1417" w:hanging="1417"/>
      </w:pPr>
      <w:rPr>
        <w:bdr w:val="none" w:sz="0" w:space="0" w:color="auto"/>
      </w:rPr>
    </w:lvl>
    <w:lvl w:ilvl="5">
      <w:start w:val="1"/>
      <w:numFmt w:val="decimal"/>
      <w:pStyle w:val="NumPar6"/>
      <w:lvlText w:val="%1.%2.%3.%4.%5.%6."/>
      <w:lvlJc w:val="left"/>
      <w:pPr>
        <w:tabs>
          <w:tab w:val="num" w:pos="1417"/>
        </w:tabs>
        <w:ind w:left="1417" w:hanging="1417"/>
      </w:pPr>
      <w:rPr>
        <w:bdr w:val="none" w:sz="0" w:space="0" w:color="auto"/>
      </w:rPr>
    </w:lvl>
    <w:lvl w:ilvl="6">
      <w:start w:val="1"/>
      <w:numFmt w:val="decimal"/>
      <w:pStyle w:val="NumPar7"/>
      <w:lvlText w:val="%1.%2.%3.%4.%5.%6.%7."/>
      <w:lvlJc w:val="left"/>
      <w:pPr>
        <w:tabs>
          <w:tab w:val="num" w:pos="1417"/>
        </w:tabs>
        <w:ind w:left="1417" w:hanging="1417"/>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6" w15:restartNumberingAfterBreak="0">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bdr w:val="none" w:sz="0" w:space="0" w:color="auto"/>
      </w:rPr>
    </w:lvl>
  </w:abstractNum>
  <w:abstractNum w:abstractNumId="7" w15:restartNumberingAfterBreak="0">
    <w:nsid w:val="408198C2"/>
    <w:multiLevelType w:val="singleLevel"/>
    <w:tmpl w:val="B172D000"/>
    <w:name w:val="Tiret 5"/>
    <w:lvl w:ilvl="0">
      <w:start w:val="1"/>
      <w:numFmt w:val="bullet"/>
      <w:lvlRestart w:val="0"/>
      <w:pStyle w:val="Tiret5"/>
      <w:lvlText w:val="–"/>
      <w:lvlJc w:val="left"/>
      <w:pPr>
        <w:tabs>
          <w:tab w:val="num" w:pos="3685"/>
        </w:tabs>
        <w:ind w:left="3685" w:hanging="567"/>
      </w:pPr>
      <w:rPr>
        <w:bdr w:val="none" w:sz="0" w:space="0" w:color="auto"/>
      </w:rPr>
    </w:lvl>
  </w:abstractNum>
  <w:abstractNum w:abstractNumId="8" w15:restartNumberingAfterBreak="0">
    <w:nsid w:val="40AF6750"/>
    <w:multiLevelType w:val="singleLevel"/>
    <w:tmpl w:val="B1821A11"/>
    <w:name w:val="Tiret 6"/>
    <w:lvl w:ilvl="0">
      <w:start w:val="1"/>
      <w:numFmt w:val="bullet"/>
      <w:lvlRestart w:val="0"/>
      <w:pStyle w:val="Tiret6"/>
      <w:lvlText w:val="–"/>
      <w:lvlJc w:val="left"/>
      <w:pPr>
        <w:tabs>
          <w:tab w:val="num" w:pos="4252"/>
        </w:tabs>
        <w:ind w:left="4252" w:hanging="567"/>
      </w:pPr>
      <w:rPr>
        <w:bdr w:val="none" w:sz="0" w:space="0" w:color="auto"/>
      </w:rPr>
    </w:lvl>
  </w:abstractNum>
  <w:abstractNum w:abstractNumId="9" w15:restartNumberingAfterBreak="0">
    <w:nsid w:val="40BE9DD9"/>
    <w:multiLevelType w:val="singleLevel"/>
    <w:tmpl w:val="B1915096"/>
    <w:name w:val="Tiret 7"/>
    <w:lvl w:ilvl="0">
      <w:start w:val="1"/>
      <w:numFmt w:val="bullet"/>
      <w:lvlRestart w:val="0"/>
      <w:pStyle w:val="Tiret7"/>
      <w:lvlText w:val="–"/>
      <w:lvlJc w:val="left"/>
      <w:pPr>
        <w:tabs>
          <w:tab w:val="num" w:pos="4819"/>
        </w:tabs>
        <w:ind w:left="4819" w:hanging="567"/>
      </w:pPr>
      <w:rPr>
        <w:bdr w:val="none" w:sz="0" w:space="0" w:color="auto"/>
      </w:rPr>
    </w:lvl>
  </w:abstractNum>
  <w:abstractNum w:abstractNumId="10" w15:restartNumberingAfterBreak="0">
    <w:nsid w:val="4B013CF3"/>
    <w:multiLevelType w:val="singleLevel"/>
    <w:tmpl w:val="5D7CB33C"/>
    <w:name w:val="Tiret 1"/>
    <w:lvl w:ilvl="0">
      <w:start w:val="1"/>
      <w:numFmt w:val="bullet"/>
      <w:lvlRestart w:val="0"/>
      <w:pStyle w:val="Tiret1"/>
      <w:lvlText w:val="–"/>
      <w:lvlJc w:val="left"/>
      <w:pPr>
        <w:tabs>
          <w:tab w:val="num" w:pos="1417"/>
        </w:tabs>
        <w:ind w:left="1417" w:hanging="567"/>
      </w:pPr>
      <w:rPr>
        <w:bdr w:val="none" w:sz="0" w:space="0" w:color="auto"/>
      </w:rPr>
    </w:lvl>
  </w:abstractNum>
  <w:abstractNum w:abstractNumId="11" w15:restartNumberingAfterBreak="0">
    <w:nsid w:val="4C6D4F0B"/>
    <w:multiLevelType w:val="singleLevel"/>
    <w:tmpl w:val="B0DA3597"/>
    <w:name w:val="Tiret 8"/>
    <w:lvl w:ilvl="0">
      <w:start w:val="1"/>
      <w:numFmt w:val="bullet"/>
      <w:lvlRestart w:val="0"/>
      <w:pStyle w:val="Tiret8"/>
      <w:lvlText w:val="–"/>
      <w:lvlJc w:val="left"/>
      <w:pPr>
        <w:tabs>
          <w:tab w:val="num" w:pos="5386"/>
        </w:tabs>
        <w:ind w:left="5386" w:hanging="567"/>
      </w:pPr>
      <w:rPr>
        <w:bdr w:val="none" w:sz="0" w:space="0" w:color="auto"/>
      </w:rPr>
    </w:lvl>
  </w:abstractNum>
  <w:abstractNum w:abstractNumId="12" w15:restartNumberingAfterBreak="0">
    <w:nsid w:val="523628EF"/>
    <w:multiLevelType w:val="singleLevel"/>
    <w:tmpl w:val="34FC1884"/>
    <w:name w:val="Tiret 3"/>
    <w:lvl w:ilvl="0">
      <w:start w:val="1"/>
      <w:numFmt w:val="bullet"/>
      <w:lvlRestart w:val="0"/>
      <w:pStyle w:val="Tiret3"/>
      <w:lvlText w:val="–"/>
      <w:lvlJc w:val="left"/>
      <w:pPr>
        <w:tabs>
          <w:tab w:val="num" w:pos="2551"/>
        </w:tabs>
        <w:ind w:left="2551" w:hanging="567"/>
      </w:pPr>
      <w:rPr>
        <w:bdr w:val="none" w:sz="0" w:space="0" w:color="auto"/>
      </w:rPr>
    </w:lvl>
  </w:abstractNum>
  <w:abstractNum w:abstractNumId="13" w15:restartNumberingAfterBreak="0">
    <w:nsid w:val="561226A2"/>
    <w:multiLevelType w:val="singleLevel"/>
    <w:tmpl w:val="E5081854"/>
    <w:name w:val="Tiret 2"/>
    <w:lvl w:ilvl="0">
      <w:start w:val="1"/>
      <w:numFmt w:val="bullet"/>
      <w:lvlRestart w:val="0"/>
      <w:pStyle w:val="Tiret2"/>
      <w:lvlText w:val="–"/>
      <w:lvlJc w:val="left"/>
      <w:pPr>
        <w:tabs>
          <w:tab w:val="num" w:pos="1984"/>
        </w:tabs>
        <w:ind w:left="1984" w:hanging="567"/>
      </w:pPr>
      <w:rPr>
        <w:bdr w:val="none" w:sz="0" w:space="0" w:color="auto"/>
      </w:rPr>
    </w:lvl>
  </w:abstractNum>
  <w:abstractNum w:abstractNumId="14" w15:restartNumberingAfterBreak="0">
    <w:nsid w:val="587A2BDD"/>
    <w:multiLevelType w:val="singleLevel"/>
    <w:tmpl w:val="E38EEEF1"/>
    <w:name w:val="Bullet 5"/>
    <w:lvl w:ilvl="0">
      <w:start w:val="1"/>
      <w:numFmt w:val="bullet"/>
      <w:lvlRestart w:val="0"/>
      <w:pStyle w:val="Bullet5"/>
      <w:lvlText w:val=""/>
      <w:lvlJc w:val="left"/>
      <w:pPr>
        <w:tabs>
          <w:tab w:val="num" w:pos="3685"/>
        </w:tabs>
        <w:ind w:left="3685" w:hanging="567"/>
      </w:pPr>
      <w:rPr>
        <w:rFonts w:ascii="Symbol" w:hAnsi="Symbol" w:hint="default"/>
        <w:bdr w:val="none" w:sz="0" w:space="0" w:color="auto"/>
      </w:rPr>
    </w:lvl>
  </w:abstractNum>
  <w:abstractNum w:abstractNumId="15" w15:restartNumberingAfterBreak="0">
    <w:nsid w:val="7056573C"/>
    <w:multiLevelType w:val="singleLevel"/>
    <w:tmpl w:val="DD8E481C"/>
    <w:name w:val="Bullet 4"/>
    <w:lvl w:ilvl="0">
      <w:start w:val="1"/>
      <w:numFmt w:val="bullet"/>
      <w:lvlRestart w:val="0"/>
      <w:pStyle w:val="Bullet4"/>
      <w:lvlText w:val=""/>
      <w:lvlJc w:val="left"/>
      <w:pPr>
        <w:tabs>
          <w:tab w:val="num" w:pos="3118"/>
        </w:tabs>
        <w:ind w:left="3118" w:hanging="567"/>
      </w:pPr>
      <w:rPr>
        <w:rFonts w:ascii="Symbol" w:hAnsi="Symbol" w:hint="default"/>
        <w:bdr w:val="none" w:sz="0" w:space="0" w:color="auto"/>
      </w:rPr>
    </w:lvl>
  </w:abstractNum>
  <w:abstractNum w:abstractNumId="16" w15:restartNumberingAfterBreak="0">
    <w:nsid w:val="75EE0BEC"/>
    <w:multiLevelType w:val="singleLevel"/>
    <w:tmpl w:val="A3162760"/>
    <w:name w:val="Bullet 3"/>
    <w:lvl w:ilvl="0">
      <w:start w:val="1"/>
      <w:numFmt w:val="bullet"/>
      <w:lvlRestart w:val="0"/>
      <w:pStyle w:val="Bullet3"/>
      <w:lvlText w:val=""/>
      <w:lvlJc w:val="left"/>
      <w:pPr>
        <w:tabs>
          <w:tab w:val="num" w:pos="2551"/>
        </w:tabs>
        <w:ind w:left="2551" w:hanging="567"/>
      </w:pPr>
      <w:rPr>
        <w:rFonts w:ascii="Symbol" w:hAnsi="Symbol" w:hint="default"/>
        <w:bdr w:val="none" w:sz="0" w:space="0" w:color="auto"/>
      </w:rPr>
    </w:lvl>
  </w:abstractNum>
  <w:abstractNum w:abstractNumId="17" w15:restartNumberingAfterBreak="0">
    <w:nsid w:val="7A23B303"/>
    <w:multiLevelType w:val="singleLevel"/>
    <w:tmpl w:val="48CBA32B"/>
    <w:name w:val="Bullet 7"/>
    <w:lvl w:ilvl="0">
      <w:start w:val="1"/>
      <w:numFmt w:val="bullet"/>
      <w:lvlRestart w:val="0"/>
      <w:pStyle w:val="Bullet7"/>
      <w:lvlText w:val=""/>
      <w:lvlJc w:val="left"/>
      <w:pPr>
        <w:tabs>
          <w:tab w:val="num" w:pos="4819"/>
        </w:tabs>
        <w:ind w:left="4819" w:hanging="567"/>
      </w:pPr>
      <w:rPr>
        <w:rFonts w:ascii="Symbol" w:hAnsi="Symbol" w:hint="default"/>
        <w:bdr w:val="none" w:sz="0" w:space="0" w:color="auto"/>
      </w:rPr>
    </w:lvl>
  </w:abstractNum>
  <w:abstractNum w:abstractNumId="18" w15:restartNumberingAfterBreak="0">
    <w:nsid w:val="7A2A69C2"/>
    <w:multiLevelType w:val="singleLevel"/>
    <w:tmpl w:val="4EC31A6C"/>
    <w:name w:val="Bullet 6"/>
    <w:lvl w:ilvl="0">
      <w:start w:val="1"/>
      <w:numFmt w:val="bullet"/>
      <w:lvlRestart w:val="0"/>
      <w:pStyle w:val="Bullet6"/>
      <w:lvlText w:val=""/>
      <w:lvlJc w:val="left"/>
      <w:pPr>
        <w:tabs>
          <w:tab w:val="num" w:pos="4252"/>
        </w:tabs>
        <w:ind w:left="4252" w:hanging="567"/>
      </w:pPr>
      <w:rPr>
        <w:rFonts w:ascii="Symbol" w:hAnsi="Symbol" w:hint="default"/>
        <w:bdr w:val="none" w:sz="0" w:space="0" w:color="auto"/>
      </w:rPr>
    </w:lvl>
  </w:abstractNum>
  <w:abstractNum w:abstractNumId="19" w15:restartNumberingAfterBreak="0">
    <w:nsid w:val="7AC1799C"/>
    <w:multiLevelType w:val="singleLevel"/>
    <w:tmpl w:val="42D5CA02"/>
    <w:name w:val="Bullet 8"/>
    <w:lvl w:ilvl="0">
      <w:start w:val="1"/>
      <w:numFmt w:val="bullet"/>
      <w:lvlRestart w:val="0"/>
      <w:pStyle w:val="Bullet8"/>
      <w:lvlText w:val=""/>
      <w:lvlJc w:val="left"/>
      <w:pPr>
        <w:tabs>
          <w:tab w:val="num" w:pos="5386"/>
        </w:tabs>
        <w:ind w:left="5386" w:hanging="567"/>
      </w:pPr>
      <w:rPr>
        <w:rFonts w:ascii="Symbol" w:hAnsi="Symbol" w:hint="default"/>
        <w:bdr w:val="none" w:sz="0" w:space="0" w:color="auto"/>
      </w:rPr>
    </w:lvl>
  </w:abstractNum>
  <w:abstractNum w:abstractNumId="20" w15:restartNumberingAfterBreak="0">
    <w:nsid w:val="7C2B56E3"/>
    <w:multiLevelType w:val="singleLevel"/>
    <w:tmpl w:val="930CD47C"/>
    <w:name w:val="Tiret 4"/>
    <w:lvl w:ilvl="0">
      <w:start w:val="1"/>
      <w:numFmt w:val="bullet"/>
      <w:lvlRestart w:val="0"/>
      <w:pStyle w:val="Tiret4"/>
      <w:lvlText w:val="–"/>
      <w:lvlJc w:val="left"/>
      <w:pPr>
        <w:tabs>
          <w:tab w:val="num" w:pos="3118"/>
        </w:tabs>
        <w:ind w:left="3118" w:hanging="567"/>
      </w:pPr>
      <w:rPr>
        <w:bdr w:val="none" w:sz="0" w:space="0" w:color="auto"/>
      </w:rPr>
    </w:lvl>
  </w:abstractNum>
  <w:abstractNum w:abstractNumId="21" w15:restartNumberingAfterBreak="0">
    <w:nsid w:val="7D784AA0"/>
    <w:multiLevelType w:val="multilevel"/>
    <w:tmpl w:val="E7764E8A"/>
    <w:name w:val="Point"/>
    <w:lvl w:ilvl="0">
      <w:start w:val="1"/>
      <w:numFmt w:val="decimal"/>
      <w:lvlRestart w:val="0"/>
      <w:pStyle w:val="Point0number"/>
      <w:lvlText w:val="(%1)"/>
      <w:lvlJc w:val="left"/>
      <w:pPr>
        <w:tabs>
          <w:tab w:val="num" w:pos="850"/>
        </w:tabs>
        <w:ind w:left="850" w:hanging="850"/>
      </w:pPr>
      <w:rPr>
        <w:bdr w:val="none" w:sz="0" w:space="0" w:color="auto"/>
      </w:rPr>
    </w:lvl>
    <w:lvl w:ilvl="1">
      <w:start w:val="1"/>
      <w:numFmt w:val="lowerLetter"/>
      <w:pStyle w:val="Point0letter"/>
      <w:lvlText w:val="(%2)"/>
      <w:lvlJc w:val="left"/>
      <w:pPr>
        <w:tabs>
          <w:tab w:val="num" w:pos="850"/>
        </w:tabs>
        <w:ind w:left="850" w:hanging="850"/>
      </w:pPr>
      <w:rPr>
        <w:bdr w:val="none" w:sz="0" w:space="0" w:color="auto"/>
      </w:rPr>
    </w:lvl>
    <w:lvl w:ilvl="2">
      <w:start w:val="1"/>
      <w:numFmt w:val="decimal"/>
      <w:pStyle w:val="Point1number"/>
      <w:lvlText w:val="(%3)"/>
      <w:lvlJc w:val="left"/>
      <w:pPr>
        <w:tabs>
          <w:tab w:val="num" w:pos="1417"/>
        </w:tabs>
        <w:ind w:left="1417" w:hanging="567"/>
      </w:pPr>
      <w:rPr>
        <w:bdr w:val="none" w:sz="0" w:space="0" w:color="auto"/>
      </w:rPr>
    </w:lvl>
    <w:lvl w:ilvl="3">
      <w:start w:val="1"/>
      <w:numFmt w:val="lowerLetter"/>
      <w:pStyle w:val="Point1letter"/>
      <w:lvlText w:val="(%4)"/>
      <w:lvlJc w:val="left"/>
      <w:pPr>
        <w:tabs>
          <w:tab w:val="num" w:pos="1417"/>
        </w:tabs>
        <w:ind w:left="1417" w:hanging="567"/>
      </w:pPr>
      <w:rPr>
        <w:bdr w:val="none" w:sz="0" w:space="0" w:color="auto"/>
      </w:rPr>
    </w:lvl>
    <w:lvl w:ilvl="4">
      <w:start w:val="1"/>
      <w:numFmt w:val="decimal"/>
      <w:pStyle w:val="Point2number"/>
      <w:lvlText w:val="(%5)"/>
      <w:lvlJc w:val="left"/>
      <w:pPr>
        <w:tabs>
          <w:tab w:val="num" w:pos="1984"/>
        </w:tabs>
        <w:ind w:left="1984" w:hanging="567"/>
      </w:pPr>
      <w:rPr>
        <w:bdr w:val="none" w:sz="0" w:space="0" w:color="auto"/>
      </w:rPr>
    </w:lvl>
    <w:lvl w:ilvl="5">
      <w:start w:val="1"/>
      <w:numFmt w:val="lowerLetter"/>
      <w:pStyle w:val="Point2letter"/>
      <w:lvlText w:val="(%6)"/>
      <w:lvlJc w:val="left"/>
      <w:pPr>
        <w:tabs>
          <w:tab w:val="num" w:pos="1984"/>
        </w:tabs>
        <w:ind w:left="1984" w:hanging="567"/>
      </w:pPr>
      <w:rPr>
        <w:bdr w:val="none" w:sz="0" w:space="0" w:color="auto"/>
      </w:rPr>
    </w:lvl>
    <w:lvl w:ilvl="6">
      <w:start w:val="1"/>
      <w:numFmt w:val="decimal"/>
      <w:pStyle w:val="Point3number"/>
      <w:lvlText w:val="(%7)"/>
      <w:lvlJc w:val="left"/>
      <w:pPr>
        <w:tabs>
          <w:tab w:val="num" w:pos="2551"/>
        </w:tabs>
        <w:ind w:left="2551" w:hanging="567"/>
      </w:pPr>
      <w:rPr>
        <w:bdr w:val="none" w:sz="0" w:space="0" w:color="auto"/>
      </w:rPr>
    </w:lvl>
    <w:lvl w:ilvl="7">
      <w:start w:val="1"/>
      <w:numFmt w:val="lowerLetter"/>
      <w:pStyle w:val="Point3letter"/>
      <w:lvlText w:val="(%8)"/>
      <w:lvlJc w:val="left"/>
      <w:pPr>
        <w:tabs>
          <w:tab w:val="num" w:pos="2551"/>
        </w:tabs>
        <w:ind w:left="2551" w:hanging="567"/>
      </w:pPr>
      <w:rPr>
        <w:bdr w:val="none" w:sz="0" w:space="0" w:color="auto"/>
      </w:rPr>
    </w:lvl>
    <w:lvl w:ilvl="8">
      <w:start w:val="1"/>
      <w:numFmt w:val="lowerLetter"/>
      <w:pStyle w:val="Point4letter"/>
      <w:lvlText w:val="(%9)"/>
      <w:lvlJc w:val="left"/>
      <w:pPr>
        <w:tabs>
          <w:tab w:val="num" w:pos="3118"/>
        </w:tabs>
        <w:ind w:left="3118" w:hanging="567"/>
      </w:pPr>
      <w:rPr>
        <w:bdr w:val="none" w:sz="0" w:space="0" w:color="auto"/>
      </w:rPr>
    </w:lvl>
  </w:abstractNum>
  <w:num w:numId="1" w16cid:durableId="1371224461">
    <w:abstractNumId w:val="4"/>
  </w:num>
  <w:num w:numId="2" w16cid:durableId="1583297739">
    <w:abstractNumId w:val="10"/>
  </w:num>
  <w:num w:numId="3" w16cid:durableId="493028266">
    <w:abstractNumId w:val="13"/>
  </w:num>
  <w:num w:numId="4" w16cid:durableId="19748251">
    <w:abstractNumId w:val="12"/>
  </w:num>
  <w:num w:numId="5" w16cid:durableId="194975596">
    <w:abstractNumId w:val="20"/>
  </w:num>
  <w:num w:numId="6" w16cid:durableId="2051998500">
    <w:abstractNumId w:val="7"/>
  </w:num>
  <w:num w:numId="7" w16cid:durableId="920985168">
    <w:abstractNumId w:val="8"/>
  </w:num>
  <w:num w:numId="8" w16cid:durableId="859395038">
    <w:abstractNumId w:val="9"/>
  </w:num>
  <w:num w:numId="9" w16cid:durableId="1884709445">
    <w:abstractNumId w:val="11"/>
  </w:num>
  <w:num w:numId="10" w16cid:durableId="907809623">
    <w:abstractNumId w:val="5"/>
  </w:num>
  <w:num w:numId="11" w16cid:durableId="147790786">
    <w:abstractNumId w:val="0"/>
  </w:num>
  <w:num w:numId="12" w16cid:durableId="1276255905">
    <w:abstractNumId w:val="21"/>
  </w:num>
  <w:num w:numId="13" w16cid:durableId="641539383">
    <w:abstractNumId w:val="6"/>
  </w:num>
  <w:num w:numId="14" w16cid:durableId="1463424940">
    <w:abstractNumId w:val="2"/>
  </w:num>
  <w:num w:numId="15" w16cid:durableId="1445808034">
    <w:abstractNumId w:val="1"/>
  </w:num>
  <w:num w:numId="16" w16cid:durableId="1852645536">
    <w:abstractNumId w:val="16"/>
  </w:num>
  <w:num w:numId="17" w16cid:durableId="850142578">
    <w:abstractNumId w:val="15"/>
  </w:num>
  <w:num w:numId="18" w16cid:durableId="9839530">
    <w:abstractNumId w:val="14"/>
  </w:num>
  <w:num w:numId="19" w16cid:durableId="1073358758">
    <w:abstractNumId w:val="18"/>
  </w:num>
  <w:num w:numId="20" w16cid:durableId="1326860946">
    <w:abstractNumId w:val="17"/>
  </w:num>
  <w:num w:numId="21" w16cid:durableId="1663196454">
    <w:abstractNumId w:val="19"/>
  </w:num>
  <w:num w:numId="22" w16cid:durableId="808937615">
    <w:abstractNumId w:val="3"/>
  </w:num>
  <w:num w:numId="23" w16cid:durableId="1371224461">
    <w:abstractNumId w:val="4"/>
  </w:num>
  <w:num w:numId="24" w16cid:durableId="1583297739">
    <w:abstractNumId w:val="10"/>
  </w:num>
  <w:num w:numId="25" w16cid:durableId="493028266">
    <w:abstractNumId w:val="13"/>
  </w:num>
  <w:num w:numId="26" w16cid:durableId="19748251">
    <w:abstractNumId w:val="12"/>
  </w:num>
  <w:num w:numId="27" w16cid:durableId="194975596">
    <w:abstractNumId w:val="20"/>
  </w:num>
  <w:num w:numId="28" w16cid:durableId="2051998500">
    <w:abstractNumId w:val="7"/>
  </w:num>
  <w:num w:numId="29" w16cid:durableId="920985168">
    <w:abstractNumId w:val="8"/>
  </w:num>
  <w:num w:numId="30" w16cid:durableId="859395038">
    <w:abstractNumId w:val="9"/>
  </w:num>
  <w:num w:numId="31" w16cid:durableId="1884709445">
    <w:abstractNumId w:val="11"/>
  </w:num>
  <w:num w:numId="32" w16cid:durableId="907809623">
    <w:abstractNumId w:val="5"/>
  </w:num>
  <w:num w:numId="33" w16cid:durableId="147790786">
    <w:abstractNumId w:val="0"/>
  </w:num>
  <w:num w:numId="34" w16cid:durableId="1276255905">
    <w:abstractNumId w:val="21"/>
  </w:num>
  <w:num w:numId="35" w16cid:durableId="641539383">
    <w:abstractNumId w:val="6"/>
  </w:num>
  <w:num w:numId="36" w16cid:durableId="1463424940">
    <w:abstractNumId w:val="2"/>
  </w:num>
  <w:num w:numId="37" w16cid:durableId="1445808034">
    <w:abstractNumId w:val="1"/>
  </w:num>
  <w:num w:numId="38" w16cid:durableId="1852645536">
    <w:abstractNumId w:val="16"/>
  </w:num>
  <w:num w:numId="39" w16cid:durableId="850142578">
    <w:abstractNumId w:val="15"/>
  </w:num>
  <w:num w:numId="40" w16cid:durableId="9839530">
    <w:abstractNumId w:val="14"/>
  </w:num>
  <w:num w:numId="41" w16cid:durableId="1073358758">
    <w:abstractNumId w:val="18"/>
  </w:num>
  <w:num w:numId="42" w16cid:durableId="1326860946">
    <w:abstractNumId w:val="17"/>
  </w:num>
  <w:num w:numId="43" w16cid:durableId="1663196454">
    <w:abstractNumId w:val="19"/>
  </w:num>
  <w:num w:numId="44" w16cid:durableId="808937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uncil" w:val="true"/>
    <w:docVar w:name="DocuWriteMetaData" w:val="&lt;metadataset docuwriteversion=&quot;4.12.1&quot; technicalblockguid=&quot;4733450077649950616&quot;&gt;_x000d__x000a_  &lt;metadata key=&quot;md_DocumentLanguages&quot;&gt;_x000d__x000a_    &lt;basicdatatypelist&gt;_x000d__x000a_      &lt;language key=&quot;ET&quot; text=&quot;ET&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22&quot; text=&quot;SEADUSANDLIKUD AKTID JA MUUD DOKUMENDID&quot; /&gt;_x000d__x000a_    &lt;/basicdatatype&gt;_x000d__x000a_  &lt;/metadata&gt;_x000d__x000a_  &lt;metadata key=&quot;md_HeadingText&quot;&gt;_x000d__x000a_    &lt;headingtext text=&quot;SEADUSANDLIKUD AKTID JA MUUD DOKUMENDID&quot;&gt;_x000d__x000a_      &lt;formattedtext&gt;_x000d__x000a_        &lt;xaml text=&quot;SEADUSANDLIKUD AKTID JA MUUD DOKUMENDID&quot;&gt;&amp;lt;FlowDocument xmlns=&quot;http://schemas.microsoft.com/winfx/2006/xaml/presentation&quot;&amp;gt;&amp;lt;Paragraph&amp;gt;SEADUSANDLIKUD AKTID JA MUUD DOKUMENDID&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05&quot; text=&quot;Legislative Act&quot; /&gt;_x000d__x000a_    &lt;/basicdatatype&gt;_x000d__x000a_  &lt;/metadata&gt;_x000d__x000a_  &lt;metadata key=&quot;md_DocumentType&quot;&gt;_x000d__x000a_    &lt;basicdatatype&gt;_x000d__x000a_      &lt;doc_type key=&quot;dt_PE&quot; text=&quot;PE&quot; /&gt;_x000d__x000a_    &lt;/basicdatatype&gt;_x000d__x000a_  &lt;/metadata&gt;_x000d__x000a_  &lt;metadata key=&quot;md_InstitutionalFramework&quot;&gt;_x000d__x000a_    &lt;basicdatatype&gt;_x000d__x000a_      &lt;framework key=&quot;if_22&quot; text=&quot;EUROOPA LIIT EUROOPA PARLAMENT NÕUKOGU&quot; institution=&quot;instfr_institution&quot; acronym=&quot;instfr_acronym&quot; /&gt;_x000d__x000a_    &lt;/basicdatatype&gt;_x000d__x000a_  &lt;/metadata&gt;_x000d__x000a_  &lt;metadata key=&quot;md_DraftNote&quot; /&gt;_x000d__x000a_  &lt;metadata key=&quot;md_DGName&quot; /&gt;_x000d__x000a_  &lt;metadata key=&quot;md_ContributingService&quot;&gt;_x000d__x000a_    &lt;text&gt;&lt;/text&gt;_x000d__x000a_  &lt;/metadata&gt;_x000d__x000a_  &lt;metadata key=&quot;md_DocumentLocation&quot;&gt;_x000d__x000a_    &lt;basicdatatype&gt;_x000d__x000a_      &lt;location key=&quot;loc_01&quot; text=&quot;Brüssel&quot; /&gt;_x000d__x000a_    &lt;/basicdatatype&gt;_x000d__x000a_  &lt;/metadata&gt;_x000d__x000a_  &lt;metadata key=&quot;md_DocumentDate&quot;&gt;_x000d__x000a_    &lt;text&gt;2025-06-25&lt;/text&gt;_x000d__x000a_  &lt;/metadata&gt;_x000d__x000a_  &lt;metadata key=&quot;md_Prefix&quot;&gt;_x000d__x000a_    &lt;text&gt;PE-CONS&lt;/text&gt;_x000d__x000a_  &lt;/metadata&gt;_x000d__x000a_  &lt;metadata key=&quot;md_DocumentNumber&quot;&gt;_x000d__x000a_    &lt;text&gt;15&lt;/text&gt;_x000d__x000a_  &lt;/metadata&gt;_x000d__x000a_  &lt;metadata key=&quot;md_YearDocumentNumber&quot;&gt;_x000d__x000a_    &lt;text&gt;2025&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POLCOM 81&lt;/text&gt;_x000d__x000a_      &lt;text&gt;FDI 11&lt;/text&gt;_x000d__x000a_      &lt;text&gt;ENER 111&lt;/text&gt;_x000d__x000a_      &lt;text&gt;ATO 27&lt;/text&gt;_x000d__x000a_      &lt;text&gt;CODEC 548&lt;/text&gt;_x000d__x000a_    &lt;/textlist&gt;_x000d__x000a_  &lt;/metadata&gt;_x000d__x000a_  &lt;metadata key=&quot;md_ThirdPartyDistributionMarkers&quot;&gt;_x000d__x000a_    &lt;textlist /&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4/0148(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EUROOPA PARLAMENDI JA NÕUKOGU OTSUS, mis käsitleb energiaharta lepingu tõlgendamist ja kohaldamist käsitleva kokkuleppe heakskiitmist liidu poolt&quot;&gt;&amp;lt;FlowDocument FontFamily=&quot;Segoe UI&quot; FontSize=&quot;12&quot; LineHeight=&quot;6&quot; PageWidth=&quot;329&quot; PagePadding=&quot;2,2,2,2&quot; AllowDrop=&quot;False&quot; xmlns=&quot;http://schemas.microsoft.com/winfx/2006/xaml/presentation&quot;&amp;gt;&amp;lt;Paragraph&amp;gt;EUROOPA PARLAMENDI JA NÕUKOGU OTSUS, mis käsitleb energiaharta lepingu tõlgendamist ja kohaldamist käsitleva kokkuleppe heakskiitmist liidu poolt&amp;lt;/Paragraph&amp;gt;&amp;lt;/FlowDocument&amp;gt;&lt;/xaml&gt;_x000d__x000a_  &lt;/metadata&gt;_x000d__x000a_  &lt;metadata key=&quot;md_SubjectFootnote&quot; /&gt;_x000d__x000a_  &lt;metadata key=&quot;md_DG&quot;&gt;_x000d__x000a_    &lt;text&gt;COMPET.3&lt;/text&gt;_x000d__x000a_  &lt;/metadata&gt;_x000d__x000a_  &lt;metadata key=&quot;md_Initials&quot;&gt;_x000d__x000a_    &lt;text&gt;&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QCDateTime" w:val="2025-06-24 12:37:36"/>
    <w:docVar w:name="DW_DocType" w:val="DW_LEGACTS"/>
    <w:docVar w:name="DW_TechnicalBlockHash" w:val="ff8d8894cc469a1d4375dfde8979d91bff2ad5141a678a8f0725feb282c97a81"/>
    <w:docVar w:name="EPKit_DocumentHasBeenSaved" w:val="true"/>
  </w:docVars>
  <w:rsids>
    <w:rsidRoot w:val="005166CF"/>
    <w:rsid w:val="000773F6"/>
    <w:rsid w:val="000C5C3D"/>
    <w:rsid w:val="0010098C"/>
    <w:rsid w:val="001A1BE2"/>
    <w:rsid w:val="00210734"/>
    <w:rsid w:val="00233128"/>
    <w:rsid w:val="00245855"/>
    <w:rsid w:val="002D187E"/>
    <w:rsid w:val="002E245B"/>
    <w:rsid w:val="002F6301"/>
    <w:rsid w:val="00334087"/>
    <w:rsid w:val="00364E9C"/>
    <w:rsid w:val="004610C5"/>
    <w:rsid w:val="0046785F"/>
    <w:rsid w:val="005166CF"/>
    <w:rsid w:val="00525DA3"/>
    <w:rsid w:val="0058310C"/>
    <w:rsid w:val="005A718A"/>
    <w:rsid w:val="005B2165"/>
    <w:rsid w:val="005C3F8F"/>
    <w:rsid w:val="00660189"/>
    <w:rsid w:val="006F06E1"/>
    <w:rsid w:val="00840AFC"/>
    <w:rsid w:val="00851F9F"/>
    <w:rsid w:val="008B4C44"/>
    <w:rsid w:val="008B6597"/>
    <w:rsid w:val="0096604F"/>
    <w:rsid w:val="009878AE"/>
    <w:rsid w:val="009C2E60"/>
    <w:rsid w:val="009E7DAB"/>
    <w:rsid w:val="00A0552C"/>
    <w:rsid w:val="00A0682F"/>
    <w:rsid w:val="00A12F5F"/>
    <w:rsid w:val="00A22788"/>
    <w:rsid w:val="00AB0E1B"/>
    <w:rsid w:val="00BA1676"/>
    <w:rsid w:val="00BB1852"/>
    <w:rsid w:val="00BE2C8A"/>
    <w:rsid w:val="00C36094"/>
    <w:rsid w:val="00C463A1"/>
    <w:rsid w:val="00C72C11"/>
    <w:rsid w:val="00C76CE0"/>
    <w:rsid w:val="00CE2FDF"/>
    <w:rsid w:val="00CF7697"/>
    <w:rsid w:val="00D851D6"/>
    <w:rsid w:val="00E152CE"/>
    <w:rsid w:val="00EB2F79"/>
    <w:rsid w:val="00F51171"/>
    <w:rsid w:val="00F73B73"/>
    <w:rsid w:val="00F7660C"/>
    <w:rsid w:val="00F93549"/>
    <w:rsid w:val="00FB39B0"/>
    <w:rsid w:val="00FC0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A6850"/>
  <w15:chartTrackingRefBased/>
  <w15:docId w15:val="{129101C2-3867-4CD8-B5CD-4E66BDE1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360" w:lineRule="auto"/>
    </w:pPr>
    <w:rPr>
      <w:rFonts w:ascii="Times New Roman" w:hAnsi="Times New Roman" w:cs="Times New Roman"/>
      <w:sz w:val="24"/>
      <w:lang w:val="et-EE"/>
    </w:rPr>
  </w:style>
  <w:style w:type="paragraph" w:styleId="Heading1">
    <w:name w:val="heading 1"/>
    <w:basedOn w:val="Normal"/>
    <w:next w:val="Text1"/>
    <w:link w:val="Heading1Char"/>
    <w:uiPriority w:val="9"/>
    <w:qFormat/>
    <w:rsid w:val="00245855"/>
    <w:pPr>
      <w:keepNext/>
      <w:numPr>
        <w:numId w:val="33"/>
      </w:numPr>
      <w:tabs>
        <w:tab w:val="left" w:pos="850"/>
      </w:tabs>
      <w:spacing w:before="360"/>
      <w:outlineLvl w:val="0"/>
    </w:pPr>
    <w:rPr>
      <w:rFonts w:eastAsiaTheme="majorEastAsia"/>
      <w:b/>
      <w:smallCaps/>
      <w:szCs w:val="32"/>
    </w:rPr>
  </w:style>
  <w:style w:type="paragraph" w:styleId="Heading2">
    <w:name w:val="heading 2"/>
    <w:basedOn w:val="Normal"/>
    <w:next w:val="Text1"/>
    <w:link w:val="Heading2Char"/>
    <w:uiPriority w:val="9"/>
    <w:semiHidden/>
    <w:unhideWhenUsed/>
    <w:qFormat/>
    <w:rsid w:val="00245855"/>
    <w:pPr>
      <w:keepNext/>
      <w:numPr>
        <w:ilvl w:val="1"/>
        <w:numId w:val="33"/>
      </w:numPr>
      <w:tabs>
        <w:tab w:val="left" w:pos="850"/>
      </w:tabs>
      <w:outlineLvl w:val="1"/>
    </w:pPr>
    <w:rPr>
      <w:rFonts w:eastAsiaTheme="majorEastAsia"/>
      <w:b/>
      <w:szCs w:val="26"/>
    </w:rPr>
  </w:style>
  <w:style w:type="paragraph" w:styleId="Heading3">
    <w:name w:val="heading 3"/>
    <w:basedOn w:val="Normal"/>
    <w:next w:val="Text1"/>
    <w:link w:val="Heading3Char"/>
    <w:uiPriority w:val="9"/>
    <w:semiHidden/>
    <w:unhideWhenUsed/>
    <w:qFormat/>
    <w:rsid w:val="00245855"/>
    <w:pPr>
      <w:keepNext/>
      <w:numPr>
        <w:ilvl w:val="2"/>
        <w:numId w:val="33"/>
      </w:numPr>
      <w:tabs>
        <w:tab w:val="left" w:pos="850"/>
      </w:tabs>
      <w:outlineLvl w:val="2"/>
    </w:pPr>
    <w:rPr>
      <w:rFonts w:eastAsiaTheme="majorEastAsia"/>
      <w:i/>
      <w:szCs w:val="24"/>
    </w:rPr>
  </w:style>
  <w:style w:type="paragraph" w:styleId="Heading4">
    <w:name w:val="heading 4"/>
    <w:basedOn w:val="Normal"/>
    <w:next w:val="Text1"/>
    <w:link w:val="Heading4Char"/>
    <w:uiPriority w:val="9"/>
    <w:semiHidden/>
    <w:unhideWhenUsed/>
    <w:qFormat/>
    <w:rsid w:val="00245855"/>
    <w:pPr>
      <w:keepNext/>
      <w:numPr>
        <w:ilvl w:val="3"/>
        <w:numId w:val="33"/>
      </w:numPr>
      <w:tabs>
        <w:tab w:val="left" w:pos="850"/>
      </w:tabs>
      <w:outlineLvl w:val="3"/>
    </w:pPr>
    <w:rPr>
      <w:rFonts w:eastAsiaTheme="majorEastAsia"/>
      <w:iCs/>
    </w:rPr>
  </w:style>
  <w:style w:type="paragraph" w:styleId="Heading5">
    <w:name w:val="heading 5"/>
    <w:basedOn w:val="Normal"/>
    <w:next w:val="Text1"/>
    <w:link w:val="Heading5Char"/>
    <w:uiPriority w:val="9"/>
    <w:semiHidden/>
    <w:unhideWhenUsed/>
    <w:qFormat/>
    <w:rsid w:val="00245855"/>
    <w:pPr>
      <w:keepNext/>
      <w:numPr>
        <w:ilvl w:val="4"/>
        <w:numId w:val="33"/>
      </w:numPr>
      <w:tabs>
        <w:tab w:val="left" w:pos="850"/>
      </w:tabs>
      <w:outlineLvl w:val="4"/>
    </w:pPr>
    <w:rPr>
      <w:rFonts w:eastAsiaTheme="majorEastAsia"/>
    </w:rPr>
  </w:style>
  <w:style w:type="paragraph" w:styleId="Heading6">
    <w:name w:val="heading 6"/>
    <w:basedOn w:val="Normal"/>
    <w:next w:val="Text1"/>
    <w:link w:val="Heading6Char"/>
    <w:uiPriority w:val="9"/>
    <w:semiHidden/>
    <w:unhideWhenUsed/>
    <w:qFormat/>
    <w:rsid w:val="00245855"/>
    <w:pPr>
      <w:keepNext/>
      <w:numPr>
        <w:ilvl w:val="5"/>
        <w:numId w:val="33"/>
      </w:numPr>
      <w:tabs>
        <w:tab w:val="left" w:pos="850"/>
      </w:tabs>
      <w:outlineLvl w:val="5"/>
    </w:pPr>
    <w:rPr>
      <w:rFonts w:eastAsiaTheme="majorEastAsia"/>
    </w:rPr>
  </w:style>
  <w:style w:type="paragraph" w:styleId="Heading7">
    <w:name w:val="heading 7"/>
    <w:basedOn w:val="Normal"/>
    <w:next w:val="Text1"/>
    <w:link w:val="Heading7Char"/>
    <w:uiPriority w:val="9"/>
    <w:semiHidden/>
    <w:unhideWhenUsed/>
    <w:qFormat/>
    <w:rsid w:val="00245855"/>
    <w:pPr>
      <w:keepNext/>
      <w:numPr>
        <w:ilvl w:val="6"/>
        <w:numId w:val="33"/>
      </w:numPr>
      <w:tabs>
        <w:tab w:val="left" w:pos="850"/>
      </w:tabs>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EntRefer">
    <w:name w:val="TBEntRefer"/>
    <w:basedOn w:val="TechnicalBlockBase"/>
    <w:rsid w:val="005166CF"/>
    <w:pPr>
      <w:widowControl/>
      <w:spacing w:before="0" w:after="0" w:line="240" w:lineRule="auto"/>
      <w:ind w:left="0" w:right="0"/>
    </w:pPr>
    <w:rPr>
      <w:rFonts w:ascii="Arial" w:hAnsi="Arial"/>
      <w:i w:val="0"/>
      <w:dstrike w:val="0"/>
      <w:color w:val="auto"/>
      <w:w w:val="100"/>
      <w:sz w:val="23"/>
      <w:szCs w:val="23"/>
      <w:u w:val="none"/>
    </w:rPr>
  </w:style>
  <w:style w:type="paragraph" w:customStyle="1" w:styleId="TBEntLogo">
    <w:name w:val="TBEntLogo"/>
    <w:basedOn w:val="TechnicalBlockBase"/>
    <w:rsid w:val="005166CF"/>
    <w:pPr>
      <w:widowControl/>
      <w:tabs>
        <w:tab w:val="right" w:pos="9639"/>
      </w:tabs>
      <w:spacing w:before="0" w:after="0" w:line="360" w:lineRule="auto"/>
      <w:ind w:left="0" w:right="0"/>
    </w:pPr>
    <w:rPr>
      <w:rFonts w:ascii="Arial" w:hAnsi="Arial"/>
      <w:i w:val="0"/>
      <w:dstrike w:val="0"/>
      <w:color w:val="auto"/>
      <w:w w:val="100"/>
      <w:sz w:val="23"/>
      <w:szCs w:val="23"/>
      <w:u w:val="none"/>
    </w:rPr>
  </w:style>
  <w:style w:type="paragraph" w:customStyle="1" w:styleId="TBGenredudocument">
    <w:name w:val="TBGenredudocument"/>
    <w:basedOn w:val="TechnicalBlockBase"/>
    <w:rsid w:val="005166CF"/>
    <w:pPr>
      <w:widowControl/>
      <w:spacing w:before="0" w:after="40" w:line="240" w:lineRule="auto"/>
      <w:ind w:left="0" w:right="0"/>
    </w:pPr>
    <w:rPr>
      <w:rFonts w:ascii="Arial" w:hAnsi="Arial"/>
      <w:bCs/>
      <w:i w:val="0"/>
      <w:dstrike w:val="0"/>
      <w:color w:val="auto"/>
      <w:w w:val="100"/>
      <w:sz w:val="23"/>
      <w:szCs w:val="23"/>
      <w:u w:val="none"/>
    </w:rPr>
  </w:style>
  <w:style w:type="paragraph" w:customStyle="1" w:styleId="TBEntEU">
    <w:name w:val="TBEntEU"/>
    <w:basedOn w:val="TechnicalBlockBase"/>
    <w:link w:val="EntEUChar"/>
    <w:rsid w:val="005166CF"/>
    <w:pPr>
      <w:widowControl/>
      <w:spacing w:before="240" w:after="240" w:line="240" w:lineRule="auto"/>
      <w:ind w:left="0" w:right="0"/>
      <w:jc w:val="center"/>
    </w:pPr>
    <w:rPr>
      <w:rFonts w:ascii="Arial" w:hAnsi="Arial"/>
      <w:i w:val="0"/>
      <w:dstrike w:val="0"/>
      <w:color w:val="auto"/>
      <w:w w:val="100"/>
      <w:sz w:val="36"/>
      <w:u w:val="none"/>
    </w:rPr>
  </w:style>
  <w:style w:type="paragraph" w:customStyle="1" w:styleId="TBSousEmbargo">
    <w:name w:val="TBSousEmbargo"/>
    <w:basedOn w:val="TechnicalBlockBase"/>
    <w:qFormat/>
    <w:rsid w:val="005166CF"/>
    <w:pPr>
      <w:spacing w:before="360" w:after="360" w:line="240" w:lineRule="auto"/>
      <w:ind w:left="0" w:right="0"/>
      <w:jc w:val="center"/>
    </w:pPr>
    <w:rPr>
      <w:rFonts w:ascii="Arial" w:hAnsi="Arial"/>
      <w:i w:val="0"/>
      <w:dstrike w:val="0"/>
      <w:color w:val="auto"/>
      <w:w w:val="100"/>
      <w:sz w:val="23"/>
      <w:szCs w:val="23"/>
      <w:u w:val="double"/>
      <w:lang w:eastAsia="fr-BE"/>
    </w:rPr>
  </w:style>
  <w:style w:type="character" w:customStyle="1" w:styleId="EntEUChar">
    <w:name w:val="EntEU Char"/>
    <w:basedOn w:val="DefaultParagraphFont"/>
    <w:link w:val="TBEntEU"/>
    <w:rsid w:val="005166CF"/>
    <w:rPr>
      <w:rFonts w:ascii="Arial" w:eastAsia="Times New Roman" w:hAnsi="Arial" w:cs="Arial"/>
      <w:b/>
      <w:sz w:val="36"/>
      <w:szCs w:val="36"/>
      <w:u w:color="606060"/>
      <w:lang w:val="et-EE"/>
    </w:rPr>
  </w:style>
  <w:style w:type="paragraph" w:customStyle="1" w:styleId="TBSubjectTable">
    <w:name w:val="TBSubjectTable"/>
    <w:basedOn w:val="TechnicalBlockBase"/>
    <w:rsid w:val="005166CF"/>
    <w:pPr>
      <w:widowControl/>
      <w:spacing w:before="40" w:after="40" w:line="240" w:lineRule="auto"/>
      <w:ind w:left="0" w:right="0"/>
    </w:pPr>
    <w:rPr>
      <w:rFonts w:ascii="Arial" w:hAnsi="Arial"/>
      <w:b w:val="0"/>
      <w:i w:val="0"/>
      <w:dstrike w:val="0"/>
      <w:color w:val="auto"/>
      <w:w w:val="100"/>
      <w:sz w:val="23"/>
      <w:u w:val="none"/>
    </w:rPr>
  </w:style>
  <w:style w:type="paragraph" w:customStyle="1" w:styleId="TBHeadingTable">
    <w:name w:val="TBHeadingTable"/>
    <w:basedOn w:val="TechnicalBlockBase"/>
    <w:rsid w:val="005166CF"/>
    <w:pPr>
      <w:widowControl/>
      <w:spacing w:before="240" w:after="40" w:line="240" w:lineRule="auto"/>
      <w:ind w:left="0" w:right="0"/>
    </w:pPr>
    <w:rPr>
      <w:rFonts w:ascii="Arial" w:hAnsi="Arial"/>
      <w:i w:val="0"/>
      <w:dstrike w:val="0"/>
      <w:color w:val="auto"/>
      <w:w w:val="100"/>
      <w:sz w:val="23"/>
      <w:u w:val="none"/>
    </w:rPr>
  </w:style>
  <w:style w:type="paragraph" w:customStyle="1" w:styleId="TBSubjectText">
    <w:name w:val="TBSubjectText"/>
    <w:basedOn w:val="TechnicalBlockBase"/>
    <w:qFormat/>
    <w:rsid w:val="005166CF"/>
    <w:pPr>
      <w:widowControl/>
      <w:spacing w:before="40" w:after="40" w:line="240" w:lineRule="auto"/>
      <w:ind w:left="0" w:right="0"/>
    </w:pPr>
    <w:rPr>
      <w:rFonts w:ascii="Arial" w:hAnsi="Arial"/>
      <w:b w:val="0"/>
      <w:i w:val="0"/>
      <w:dstrike w:val="0"/>
      <w:color w:val="auto"/>
      <w:w w:val="100"/>
      <w:sz w:val="23"/>
      <w:u w:val="none"/>
    </w:rPr>
  </w:style>
  <w:style w:type="paragraph" w:customStyle="1" w:styleId="TechnicalBlockBase">
    <w:name w:val="TechnicalBlockBase"/>
    <w:link w:val="TechnicalBlockBaseChar"/>
    <w:rsid w:val="005166CF"/>
    <w:pPr>
      <w:widowControl w:val="0"/>
      <w:spacing w:before="140" w:after="140" w:line="185" w:lineRule="auto"/>
      <w:ind w:left="260" w:right="260"/>
    </w:pPr>
    <w:rPr>
      <w:rFonts w:ascii="Arial New Roman" w:eastAsia="Times New Roman" w:hAnsi="Arial New Roman" w:cs="Arial"/>
      <w:b/>
      <w:i/>
      <w:dstrike/>
      <w:color w:val="606060"/>
      <w:w w:val="98"/>
      <w:sz w:val="10"/>
      <w:szCs w:val="36"/>
      <w:u w:val="words" w:color="606060"/>
      <w:lang w:val="et-EE"/>
    </w:rPr>
  </w:style>
  <w:style w:type="character" w:customStyle="1" w:styleId="TechnicalBlockBaseChar">
    <w:name w:val="TechnicalBlockBase Char"/>
    <w:basedOn w:val="EntEUChar"/>
    <w:link w:val="TechnicalBlockBase"/>
    <w:rsid w:val="005166CF"/>
    <w:rPr>
      <w:rFonts w:ascii="Arial New Roman" w:eastAsia="Times New Roman" w:hAnsi="Arial New Roman" w:cs="Arial"/>
      <w:b/>
      <w:i/>
      <w:dstrike/>
      <w:color w:val="606060"/>
      <w:w w:val="98"/>
      <w:sz w:val="10"/>
      <w:szCs w:val="36"/>
      <w:u w:val="words" w:color="606060"/>
      <w:lang w:val="et-EE"/>
    </w:rPr>
  </w:style>
  <w:style w:type="paragraph" w:customStyle="1" w:styleId="HeaderCouncilLarge">
    <w:name w:val="Header Council Large"/>
    <w:basedOn w:val="Normal"/>
    <w:link w:val="HeaderCouncilLargeChar"/>
    <w:rsid w:val="005166CF"/>
    <w:pPr>
      <w:spacing w:before="0" w:after="440"/>
    </w:pPr>
    <w:rPr>
      <w:rFonts w:eastAsia="Times New Roman"/>
      <w:b/>
      <w:sz w:val="2"/>
      <w:szCs w:val="24"/>
      <w:u w:color="606060"/>
    </w:rPr>
  </w:style>
  <w:style w:type="character" w:customStyle="1" w:styleId="HeaderCouncilLargeChar">
    <w:name w:val="Header Council Large Char"/>
    <w:basedOn w:val="EntEUChar"/>
    <w:link w:val="HeaderCouncilLarge"/>
    <w:rsid w:val="005166CF"/>
    <w:rPr>
      <w:rFonts w:ascii="Times New Roman" w:eastAsia="Times New Roman" w:hAnsi="Times New Roman" w:cs="Times New Roman"/>
      <w:b/>
      <w:sz w:val="2"/>
      <w:szCs w:val="24"/>
      <w:u w:color="606060"/>
      <w:lang w:val="et-EE"/>
    </w:rPr>
  </w:style>
  <w:style w:type="paragraph" w:customStyle="1" w:styleId="FooterText">
    <w:name w:val="Footer Text"/>
    <w:basedOn w:val="Normal"/>
    <w:rsid w:val="005166CF"/>
    <w:pPr>
      <w:spacing w:before="0" w:after="0" w:line="240" w:lineRule="auto"/>
    </w:pPr>
    <w:rPr>
      <w:rFonts w:eastAsia="Times New Roman"/>
      <w:szCs w:val="24"/>
      <w:lang w:val="en-GB"/>
    </w:rPr>
  </w:style>
  <w:style w:type="character" w:styleId="PlaceholderText">
    <w:name w:val="Placeholder Text"/>
    <w:basedOn w:val="DefaultParagraphFont"/>
    <w:uiPriority w:val="99"/>
    <w:semiHidden/>
    <w:rsid w:val="005166CF"/>
    <w:rPr>
      <w:color w:val="808080"/>
    </w:rPr>
  </w:style>
  <w:style w:type="character" w:styleId="Hyperlink">
    <w:name w:val="Hyperlink"/>
    <w:uiPriority w:val="99"/>
    <w:unhideWhenUsed/>
    <w:rsid w:val="00D851D6"/>
    <w:rPr>
      <w:color w:val="0000FF"/>
      <w:u w:val="single"/>
    </w:rPr>
  </w:style>
  <w:style w:type="character" w:styleId="CommentReference">
    <w:name w:val="annotation reference"/>
    <w:basedOn w:val="DefaultParagraphFont"/>
    <w:uiPriority w:val="99"/>
    <w:semiHidden/>
    <w:unhideWhenUsed/>
    <w:rsid w:val="006F06E1"/>
    <w:rPr>
      <w:sz w:val="16"/>
      <w:szCs w:val="16"/>
    </w:rPr>
  </w:style>
  <w:style w:type="paragraph" w:styleId="CommentText">
    <w:name w:val="annotation text"/>
    <w:basedOn w:val="Normal"/>
    <w:link w:val="CommentTextChar"/>
    <w:uiPriority w:val="99"/>
    <w:semiHidden/>
    <w:unhideWhenUsed/>
    <w:rsid w:val="006F06E1"/>
    <w:pPr>
      <w:spacing w:line="240" w:lineRule="auto"/>
    </w:pPr>
    <w:rPr>
      <w:sz w:val="20"/>
      <w:szCs w:val="20"/>
    </w:rPr>
  </w:style>
  <w:style w:type="character" w:customStyle="1" w:styleId="CommentTextChar">
    <w:name w:val="Comment Text Char"/>
    <w:basedOn w:val="DefaultParagraphFont"/>
    <w:link w:val="CommentText"/>
    <w:uiPriority w:val="99"/>
    <w:semiHidden/>
    <w:rsid w:val="006F06E1"/>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sid w:val="006F06E1"/>
    <w:rPr>
      <w:b/>
      <w:bCs/>
    </w:rPr>
  </w:style>
  <w:style w:type="character" w:customStyle="1" w:styleId="CommentSubjectChar">
    <w:name w:val="Comment Subject Char"/>
    <w:basedOn w:val="CommentTextChar"/>
    <w:link w:val="CommentSubject"/>
    <w:uiPriority w:val="99"/>
    <w:semiHidden/>
    <w:rsid w:val="006F06E1"/>
    <w:rPr>
      <w:rFonts w:ascii="Times New Roman" w:hAnsi="Times New Roman" w:cs="Times New Roman"/>
      <w:b/>
      <w:bCs/>
      <w:sz w:val="20"/>
      <w:szCs w:val="20"/>
      <w:lang w:val="et-EE"/>
    </w:rPr>
  </w:style>
  <w:style w:type="paragraph" w:styleId="Header">
    <w:name w:val="header"/>
    <w:basedOn w:val="Normal"/>
    <w:link w:val="HeaderChar"/>
    <w:uiPriority w:val="99"/>
    <w:semiHidden/>
    <w:unhideWhenUsed/>
    <w:rsid w:val="00245855"/>
    <w:pPr>
      <w:tabs>
        <w:tab w:val="right" w:pos="9638"/>
      </w:tabs>
    </w:pPr>
  </w:style>
  <w:style w:type="character" w:customStyle="1" w:styleId="HeaderChar">
    <w:name w:val="Header Char"/>
    <w:basedOn w:val="DefaultParagraphFont"/>
    <w:link w:val="Header"/>
    <w:uiPriority w:val="99"/>
    <w:semiHidden/>
    <w:rsid w:val="00245855"/>
    <w:rPr>
      <w:rFonts w:ascii="Times New Roman" w:hAnsi="Times New Roman" w:cs="Times New Roman"/>
      <w:sz w:val="24"/>
      <w:bdr w:val="none" w:sz="0" w:space="0" w:color="auto"/>
      <w:shd w:val="clear" w:color="auto" w:fill="auto"/>
      <w:lang w:val="en-GB"/>
    </w:rPr>
  </w:style>
  <w:style w:type="paragraph" w:styleId="Footer">
    <w:name w:val="footer"/>
    <w:basedOn w:val="Normal"/>
    <w:link w:val="FooterChar"/>
    <w:uiPriority w:val="99"/>
    <w:unhideWhenUsed/>
    <w:rsid w:val="00245855"/>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245855"/>
    <w:rPr>
      <w:rFonts w:ascii="Times New Roman" w:hAnsi="Times New Roman" w:cs="Times New Roman"/>
      <w:sz w:val="24"/>
      <w:bdr w:val="none" w:sz="0" w:space="0" w:color="auto"/>
      <w:shd w:val="clear" w:color="auto" w:fill="auto"/>
      <w:lang w:val="en-GB"/>
    </w:rPr>
  </w:style>
  <w:style w:type="paragraph" w:styleId="FootnoteText">
    <w:name w:val="footnote text"/>
    <w:basedOn w:val="Normal"/>
    <w:link w:val="FootnoteTextChar"/>
    <w:uiPriority w:val="99"/>
    <w:semiHidden/>
    <w:unhideWhenUsed/>
    <w:rsid w:val="00245855"/>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semiHidden/>
    <w:rsid w:val="00245855"/>
    <w:rPr>
      <w:rFonts w:ascii="Times New Roman" w:hAnsi="Times New Roman" w:cs="Times New Roman"/>
      <w:sz w:val="24"/>
      <w:szCs w:val="20"/>
      <w:bdr w:val="none" w:sz="0" w:space="0" w:color="auto"/>
      <w:shd w:val="clear" w:color="auto" w:fill="auto"/>
      <w:lang w:val="en-GB"/>
    </w:rPr>
  </w:style>
  <w:style w:type="character" w:customStyle="1" w:styleId="Heading1Char">
    <w:name w:val="Heading 1 Char"/>
    <w:basedOn w:val="DefaultParagraphFont"/>
    <w:link w:val="Heading1"/>
    <w:uiPriority w:val="9"/>
    <w:rsid w:val="00245855"/>
    <w:rPr>
      <w:rFonts w:ascii="Times New Roman" w:eastAsiaTheme="majorEastAsia" w:hAnsi="Times New Roman" w:cs="Times New Roman"/>
      <w:b/>
      <w:smallCaps/>
      <w:sz w:val="24"/>
      <w:szCs w:val="32"/>
      <w:bdr w:val="none" w:sz="0" w:space="0" w:color="auto"/>
      <w:shd w:val="clear" w:color="auto" w:fill="auto"/>
      <w:lang w:val="en-GB"/>
    </w:rPr>
  </w:style>
  <w:style w:type="character" w:customStyle="1" w:styleId="Heading2Char">
    <w:name w:val="Heading 2 Char"/>
    <w:basedOn w:val="DefaultParagraphFont"/>
    <w:link w:val="Heading2"/>
    <w:uiPriority w:val="9"/>
    <w:semiHidden/>
    <w:rsid w:val="00245855"/>
    <w:rPr>
      <w:rFonts w:ascii="Times New Roman" w:eastAsiaTheme="majorEastAsia" w:hAnsi="Times New Roman" w:cs="Times New Roman"/>
      <w:b/>
      <w:sz w:val="24"/>
      <w:szCs w:val="26"/>
      <w:bdr w:val="none" w:sz="0" w:space="0" w:color="auto"/>
      <w:shd w:val="clear" w:color="auto" w:fill="auto"/>
      <w:lang w:val="en-GB"/>
    </w:rPr>
  </w:style>
  <w:style w:type="character" w:customStyle="1" w:styleId="Heading3Char">
    <w:name w:val="Heading 3 Char"/>
    <w:basedOn w:val="DefaultParagraphFont"/>
    <w:link w:val="Heading3"/>
    <w:uiPriority w:val="9"/>
    <w:semiHidden/>
    <w:rsid w:val="00245855"/>
    <w:rPr>
      <w:rFonts w:ascii="Times New Roman" w:eastAsiaTheme="majorEastAsia" w:hAnsi="Times New Roman" w:cs="Times New Roman"/>
      <w:i/>
      <w:sz w:val="24"/>
      <w:szCs w:val="24"/>
      <w:bdr w:val="none" w:sz="0" w:space="0" w:color="auto"/>
      <w:shd w:val="clear" w:color="auto" w:fill="auto"/>
      <w:lang w:val="en-GB"/>
    </w:rPr>
  </w:style>
  <w:style w:type="character" w:customStyle="1" w:styleId="Heading4Char">
    <w:name w:val="Heading 4 Char"/>
    <w:basedOn w:val="DefaultParagraphFont"/>
    <w:link w:val="Heading4"/>
    <w:uiPriority w:val="9"/>
    <w:semiHidden/>
    <w:rsid w:val="00245855"/>
    <w:rPr>
      <w:rFonts w:ascii="Times New Roman" w:eastAsiaTheme="majorEastAsia" w:hAnsi="Times New Roman" w:cs="Times New Roman"/>
      <w:iCs/>
      <w:sz w:val="24"/>
      <w:bdr w:val="none" w:sz="0" w:space="0" w:color="auto"/>
      <w:shd w:val="clear" w:color="auto" w:fill="auto"/>
      <w:lang w:val="en-GB"/>
    </w:rPr>
  </w:style>
  <w:style w:type="character" w:customStyle="1" w:styleId="Heading5Char">
    <w:name w:val="Heading 5 Char"/>
    <w:basedOn w:val="DefaultParagraphFont"/>
    <w:link w:val="Heading5"/>
    <w:uiPriority w:val="9"/>
    <w:semiHidden/>
    <w:rsid w:val="00245855"/>
    <w:rPr>
      <w:rFonts w:ascii="Times New Roman" w:eastAsiaTheme="majorEastAsia" w:hAnsi="Times New Roman" w:cs="Times New Roman"/>
      <w:sz w:val="24"/>
      <w:bdr w:val="none" w:sz="0" w:space="0" w:color="auto"/>
      <w:shd w:val="clear" w:color="auto" w:fill="auto"/>
      <w:lang w:val="en-GB"/>
    </w:rPr>
  </w:style>
  <w:style w:type="character" w:customStyle="1" w:styleId="Heading6Char">
    <w:name w:val="Heading 6 Char"/>
    <w:basedOn w:val="DefaultParagraphFont"/>
    <w:link w:val="Heading6"/>
    <w:uiPriority w:val="9"/>
    <w:semiHidden/>
    <w:rsid w:val="00245855"/>
    <w:rPr>
      <w:rFonts w:ascii="Times New Roman" w:eastAsiaTheme="majorEastAsia" w:hAnsi="Times New Roman" w:cs="Times New Roman"/>
      <w:sz w:val="24"/>
      <w:bdr w:val="none" w:sz="0" w:space="0" w:color="auto"/>
      <w:shd w:val="clear" w:color="auto" w:fill="auto"/>
      <w:lang w:val="en-GB"/>
    </w:rPr>
  </w:style>
  <w:style w:type="character" w:customStyle="1" w:styleId="Heading7Char">
    <w:name w:val="Heading 7 Char"/>
    <w:basedOn w:val="DefaultParagraphFont"/>
    <w:link w:val="Heading7"/>
    <w:uiPriority w:val="9"/>
    <w:semiHidden/>
    <w:rsid w:val="00245855"/>
    <w:rPr>
      <w:rFonts w:ascii="Times New Roman" w:eastAsiaTheme="majorEastAsia" w:hAnsi="Times New Roman" w:cs="Times New Roman"/>
      <w:iCs/>
      <w:sz w:val="24"/>
      <w:bdr w:val="none" w:sz="0" w:space="0" w:color="auto"/>
      <w:shd w:val="clear" w:color="auto" w:fill="auto"/>
      <w:lang w:val="en-GB"/>
    </w:rPr>
  </w:style>
  <w:style w:type="paragraph" w:styleId="TOCHeading">
    <w:name w:val="TOC Heading"/>
    <w:basedOn w:val="Normal"/>
    <w:next w:val="Normal"/>
    <w:uiPriority w:val="39"/>
    <w:semiHidden/>
    <w:unhideWhenUsed/>
    <w:qFormat/>
    <w:rsid w:val="00245855"/>
    <w:pPr>
      <w:spacing w:after="240"/>
      <w:jc w:val="center"/>
    </w:pPr>
    <w:rPr>
      <w:b/>
      <w:sz w:val="28"/>
    </w:rPr>
  </w:style>
  <w:style w:type="paragraph" w:styleId="TOC1">
    <w:name w:val="toc 1"/>
    <w:basedOn w:val="Normal"/>
    <w:next w:val="Normal"/>
    <w:uiPriority w:val="39"/>
    <w:semiHidden/>
    <w:unhideWhenUsed/>
    <w:rsid w:val="00245855"/>
    <w:pPr>
      <w:tabs>
        <w:tab w:val="right" w:leader="dot" w:pos="9071"/>
      </w:tabs>
      <w:spacing w:before="60"/>
      <w:ind w:left="850" w:hanging="850"/>
    </w:pPr>
  </w:style>
  <w:style w:type="paragraph" w:styleId="TOC2">
    <w:name w:val="toc 2"/>
    <w:basedOn w:val="Normal"/>
    <w:next w:val="Normal"/>
    <w:uiPriority w:val="39"/>
    <w:semiHidden/>
    <w:unhideWhenUsed/>
    <w:rsid w:val="00245855"/>
    <w:pPr>
      <w:tabs>
        <w:tab w:val="right" w:leader="dot" w:pos="9071"/>
      </w:tabs>
      <w:spacing w:before="60"/>
      <w:ind w:left="850" w:hanging="850"/>
    </w:pPr>
  </w:style>
  <w:style w:type="paragraph" w:styleId="TOC3">
    <w:name w:val="toc 3"/>
    <w:basedOn w:val="Normal"/>
    <w:next w:val="Normal"/>
    <w:uiPriority w:val="39"/>
    <w:semiHidden/>
    <w:unhideWhenUsed/>
    <w:rsid w:val="00245855"/>
    <w:pPr>
      <w:tabs>
        <w:tab w:val="right" w:leader="dot" w:pos="9071"/>
      </w:tabs>
      <w:spacing w:before="60"/>
      <w:ind w:left="850" w:hanging="850"/>
    </w:pPr>
  </w:style>
  <w:style w:type="paragraph" w:styleId="TOC4">
    <w:name w:val="toc 4"/>
    <w:basedOn w:val="Normal"/>
    <w:next w:val="Normal"/>
    <w:uiPriority w:val="39"/>
    <w:semiHidden/>
    <w:unhideWhenUsed/>
    <w:rsid w:val="00245855"/>
    <w:pPr>
      <w:tabs>
        <w:tab w:val="right" w:leader="dot" w:pos="9071"/>
      </w:tabs>
      <w:spacing w:before="60"/>
      <w:ind w:left="850" w:hanging="850"/>
    </w:pPr>
  </w:style>
  <w:style w:type="paragraph" w:styleId="TOC5">
    <w:name w:val="toc 5"/>
    <w:basedOn w:val="Normal"/>
    <w:next w:val="Normal"/>
    <w:uiPriority w:val="39"/>
    <w:semiHidden/>
    <w:unhideWhenUsed/>
    <w:rsid w:val="00245855"/>
    <w:pPr>
      <w:tabs>
        <w:tab w:val="right" w:leader="dot" w:pos="9071"/>
      </w:tabs>
      <w:spacing w:before="300"/>
    </w:pPr>
  </w:style>
  <w:style w:type="paragraph" w:styleId="TOC6">
    <w:name w:val="toc 6"/>
    <w:basedOn w:val="Normal"/>
    <w:next w:val="Normal"/>
    <w:uiPriority w:val="39"/>
    <w:semiHidden/>
    <w:unhideWhenUsed/>
    <w:rsid w:val="00245855"/>
    <w:pPr>
      <w:tabs>
        <w:tab w:val="right" w:leader="dot" w:pos="9071"/>
      </w:tabs>
      <w:spacing w:before="240"/>
    </w:pPr>
  </w:style>
  <w:style w:type="paragraph" w:styleId="TOC7">
    <w:name w:val="toc 7"/>
    <w:basedOn w:val="Normal"/>
    <w:next w:val="Normal"/>
    <w:uiPriority w:val="39"/>
    <w:semiHidden/>
    <w:unhideWhenUsed/>
    <w:rsid w:val="00245855"/>
    <w:pPr>
      <w:tabs>
        <w:tab w:val="right" w:leader="dot" w:pos="9071"/>
      </w:tabs>
      <w:spacing w:before="180"/>
    </w:pPr>
  </w:style>
  <w:style w:type="paragraph" w:styleId="TOC8">
    <w:name w:val="toc 8"/>
    <w:basedOn w:val="Normal"/>
    <w:next w:val="Normal"/>
    <w:uiPriority w:val="39"/>
    <w:semiHidden/>
    <w:unhideWhenUsed/>
    <w:rsid w:val="00245855"/>
    <w:pPr>
      <w:tabs>
        <w:tab w:val="right" w:leader="dot" w:pos="9071"/>
      </w:tabs>
    </w:pPr>
  </w:style>
  <w:style w:type="paragraph" w:styleId="TOC9">
    <w:name w:val="toc 9"/>
    <w:basedOn w:val="Normal"/>
    <w:next w:val="Normal"/>
    <w:uiPriority w:val="39"/>
    <w:semiHidden/>
    <w:unhideWhenUsed/>
    <w:rsid w:val="00245855"/>
    <w:pPr>
      <w:tabs>
        <w:tab w:val="right" w:leader="dot" w:pos="9071"/>
      </w:tabs>
    </w:pPr>
  </w:style>
  <w:style w:type="paragraph" w:customStyle="1" w:styleId="HeaderLandscape">
    <w:name w:val="HeaderLandscape"/>
    <w:basedOn w:val="Normal"/>
    <w:rsid w:val="00245855"/>
    <w:pPr>
      <w:tabs>
        <w:tab w:val="right" w:pos="14570"/>
      </w:tabs>
    </w:pPr>
  </w:style>
  <w:style w:type="paragraph" w:customStyle="1" w:styleId="FooterLandscape">
    <w:name w:val="FooterLandscape"/>
    <w:basedOn w:val="Normal"/>
    <w:rsid w:val="00245855"/>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245855"/>
    <w:rPr>
      <w:b/>
      <w:bdr w:val="none" w:sz="0" w:space="0" w:color="auto"/>
      <w:shd w:val="clear" w:color="auto" w:fill="auto"/>
      <w:vertAlign w:val="superscript"/>
    </w:rPr>
  </w:style>
  <w:style w:type="paragraph" w:customStyle="1" w:styleId="HeaderCouncil">
    <w:name w:val="Header Council"/>
    <w:basedOn w:val="Normal"/>
    <w:rsid w:val="00245855"/>
    <w:pPr>
      <w:spacing w:before="0" w:after="0" w:line="240" w:lineRule="auto"/>
    </w:pPr>
    <w:rPr>
      <w:sz w:val="2"/>
    </w:rPr>
  </w:style>
  <w:style w:type="paragraph" w:customStyle="1" w:styleId="FooterCouncil">
    <w:name w:val="Footer Council"/>
    <w:basedOn w:val="Normal"/>
    <w:rsid w:val="00245855"/>
    <w:pPr>
      <w:spacing w:before="0" w:after="0" w:line="240" w:lineRule="auto"/>
    </w:pPr>
    <w:rPr>
      <w:sz w:val="2"/>
    </w:rPr>
  </w:style>
  <w:style w:type="paragraph" w:customStyle="1" w:styleId="TechnicalBlock">
    <w:name w:val="Technical Block"/>
    <w:basedOn w:val="Normal"/>
    <w:next w:val="Normal"/>
    <w:rsid w:val="00245855"/>
    <w:pPr>
      <w:spacing w:before="0" w:after="240" w:line="240" w:lineRule="auto"/>
      <w:jc w:val="center"/>
    </w:pPr>
  </w:style>
  <w:style w:type="character" w:customStyle="1" w:styleId="Marker">
    <w:name w:val="Marker"/>
    <w:basedOn w:val="DefaultParagraphFont"/>
    <w:rsid w:val="00245855"/>
    <w:rPr>
      <w:color w:val="0000FF"/>
      <w:bdr w:val="none" w:sz="0" w:space="0" w:color="auto"/>
      <w:shd w:val="clear" w:color="auto" w:fill="auto"/>
    </w:rPr>
  </w:style>
  <w:style w:type="character" w:customStyle="1" w:styleId="Marker1">
    <w:name w:val="Marker1"/>
    <w:basedOn w:val="DefaultParagraphFont"/>
    <w:rsid w:val="00245855"/>
    <w:rPr>
      <w:color w:val="008000"/>
      <w:bdr w:val="none" w:sz="0" w:space="0" w:color="auto"/>
      <w:shd w:val="clear" w:color="auto" w:fill="auto"/>
    </w:rPr>
  </w:style>
  <w:style w:type="paragraph" w:customStyle="1" w:styleId="Text1">
    <w:name w:val="Text 1"/>
    <w:basedOn w:val="Normal"/>
    <w:rsid w:val="00245855"/>
    <w:pPr>
      <w:ind w:left="850"/>
    </w:pPr>
  </w:style>
  <w:style w:type="paragraph" w:customStyle="1" w:styleId="Text2">
    <w:name w:val="Text 2"/>
    <w:basedOn w:val="Normal"/>
    <w:rsid w:val="00245855"/>
    <w:pPr>
      <w:ind w:left="1417"/>
    </w:pPr>
  </w:style>
  <w:style w:type="paragraph" w:customStyle="1" w:styleId="Text3">
    <w:name w:val="Text 3"/>
    <w:basedOn w:val="Normal"/>
    <w:rsid w:val="00245855"/>
    <w:pPr>
      <w:ind w:left="1984"/>
    </w:pPr>
  </w:style>
  <w:style w:type="paragraph" w:customStyle="1" w:styleId="Text4">
    <w:name w:val="Text 4"/>
    <w:basedOn w:val="Normal"/>
    <w:rsid w:val="00245855"/>
    <w:pPr>
      <w:ind w:left="2551"/>
    </w:pPr>
  </w:style>
  <w:style w:type="paragraph" w:customStyle="1" w:styleId="Text5">
    <w:name w:val="Text 5"/>
    <w:basedOn w:val="Normal"/>
    <w:rsid w:val="00245855"/>
    <w:pPr>
      <w:ind w:left="3118"/>
    </w:pPr>
  </w:style>
  <w:style w:type="paragraph" w:customStyle="1" w:styleId="Text6">
    <w:name w:val="Text 6"/>
    <w:basedOn w:val="Normal"/>
    <w:rsid w:val="00245855"/>
    <w:pPr>
      <w:ind w:left="3685"/>
    </w:pPr>
  </w:style>
  <w:style w:type="paragraph" w:customStyle="1" w:styleId="Text7">
    <w:name w:val="Text 7"/>
    <w:basedOn w:val="Normal"/>
    <w:rsid w:val="00245855"/>
    <w:pPr>
      <w:ind w:left="4252"/>
    </w:pPr>
  </w:style>
  <w:style w:type="paragraph" w:customStyle="1" w:styleId="Text8">
    <w:name w:val="Text 8"/>
    <w:basedOn w:val="Normal"/>
    <w:rsid w:val="00245855"/>
    <w:pPr>
      <w:ind w:left="4819"/>
    </w:pPr>
  </w:style>
  <w:style w:type="paragraph" w:customStyle="1" w:styleId="Text9">
    <w:name w:val="Text 9"/>
    <w:basedOn w:val="Normal"/>
    <w:rsid w:val="00245855"/>
    <w:pPr>
      <w:ind w:left="5386"/>
    </w:pPr>
  </w:style>
  <w:style w:type="paragraph" w:customStyle="1" w:styleId="Text10">
    <w:name w:val="Text 10"/>
    <w:basedOn w:val="Normal"/>
    <w:rsid w:val="00245855"/>
    <w:pPr>
      <w:ind w:left="5953"/>
    </w:pPr>
  </w:style>
  <w:style w:type="paragraph" w:customStyle="1" w:styleId="NormalCentered">
    <w:name w:val="Normal Centered"/>
    <w:basedOn w:val="Normal"/>
    <w:rsid w:val="00245855"/>
    <w:pPr>
      <w:jc w:val="center"/>
    </w:pPr>
  </w:style>
  <w:style w:type="paragraph" w:customStyle="1" w:styleId="NormalLeft">
    <w:name w:val="Normal Left"/>
    <w:basedOn w:val="Normal"/>
    <w:rsid w:val="00245855"/>
  </w:style>
  <w:style w:type="paragraph" w:customStyle="1" w:styleId="NormalRight">
    <w:name w:val="Normal Right"/>
    <w:basedOn w:val="Normal"/>
    <w:rsid w:val="00245855"/>
    <w:pPr>
      <w:jc w:val="right"/>
    </w:pPr>
  </w:style>
  <w:style w:type="paragraph" w:customStyle="1" w:styleId="QuotedText">
    <w:name w:val="Quoted Text"/>
    <w:basedOn w:val="Normal"/>
    <w:rsid w:val="00245855"/>
    <w:pPr>
      <w:ind w:left="1417"/>
    </w:pPr>
  </w:style>
  <w:style w:type="paragraph" w:customStyle="1" w:styleId="Point0">
    <w:name w:val="Point 0"/>
    <w:basedOn w:val="Normal"/>
    <w:rsid w:val="00245855"/>
    <w:pPr>
      <w:ind w:left="850" w:hanging="850"/>
    </w:pPr>
  </w:style>
  <w:style w:type="paragraph" w:customStyle="1" w:styleId="Point1">
    <w:name w:val="Point 1"/>
    <w:basedOn w:val="Normal"/>
    <w:rsid w:val="00245855"/>
    <w:pPr>
      <w:ind w:left="1417" w:hanging="567"/>
    </w:pPr>
  </w:style>
  <w:style w:type="paragraph" w:customStyle="1" w:styleId="Point2">
    <w:name w:val="Point 2"/>
    <w:basedOn w:val="Normal"/>
    <w:rsid w:val="00245855"/>
    <w:pPr>
      <w:ind w:left="1984" w:hanging="567"/>
    </w:pPr>
  </w:style>
  <w:style w:type="paragraph" w:customStyle="1" w:styleId="Point3">
    <w:name w:val="Point 3"/>
    <w:basedOn w:val="Normal"/>
    <w:rsid w:val="00245855"/>
    <w:pPr>
      <w:ind w:left="2551" w:hanging="567"/>
    </w:pPr>
  </w:style>
  <w:style w:type="paragraph" w:customStyle="1" w:styleId="Point4">
    <w:name w:val="Point 4"/>
    <w:basedOn w:val="Normal"/>
    <w:rsid w:val="00245855"/>
    <w:pPr>
      <w:ind w:left="3118" w:hanging="567"/>
    </w:pPr>
  </w:style>
  <w:style w:type="paragraph" w:customStyle="1" w:styleId="Point5">
    <w:name w:val="Point 5"/>
    <w:basedOn w:val="Normal"/>
    <w:rsid w:val="00245855"/>
    <w:pPr>
      <w:ind w:left="3685" w:hanging="567"/>
    </w:pPr>
  </w:style>
  <w:style w:type="paragraph" w:customStyle="1" w:styleId="Point6">
    <w:name w:val="Point 6"/>
    <w:basedOn w:val="Normal"/>
    <w:rsid w:val="00245855"/>
    <w:pPr>
      <w:ind w:left="4252" w:hanging="567"/>
    </w:pPr>
  </w:style>
  <w:style w:type="paragraph" w:customStyle="1" w:styleId="Point7">
    <w:name w:val="Point 7"/>
    <w:basedOn w:val="Normal"/>
    <w:rsid w:val="00245855"/>
    <w:pPr>
      <w:ind w:left="4819" w:hanging="567"/>
    </w:pPr>
  </w:style>
  <w:style w:type="paragraph" w:customStyle="1" w:styleId="Point8">
    <w:name w:val="Point 8"/>
    <w:basedOn w:val="Normal"/>
    <w:rsid w:val="00245855"/>
    <w:pPr>
      <w:ind w:left="5386" w:hanging="567"/>
    </w:pPr>
  </w:style>
  <w:style w:type="paragraph" w:customStyle="1" w:styleId="Point9">
    <w:name w:val="Point 9"/>
    <w:basedOn w:val="Normal"/>
    <w:rsid w:val="00245855"/>
    <w:pPr>
      <w:ind w:left="5953" w:hanging="567"/>
    </w:pPr>
  </w:style>
  <w:style w:type="paragraph" w:customStyle="1" w:styleId="PointDouble0">
    <w:name w:val="PointDouble 0"/>
    <w:basedOn w:val="Normal"/>
    <w:rsid w:val="00245855"/>
    <w:pPr>
      <w:tabs>
        <w:tab w:val="left" w:pos="850"/>
      </w:tabs>
      <w:ind w:left="1417" w:hanging="1417"/>
    </w:pPr>
  </w:style>
  <w:style w:type="paragraph" w:customStyle="1" w:styleId="PointDouble1">
    <w:name w:val="PointDouble 1"/>
    <w:basedOn w:val="Normal"/>
    <w:rsid w:val="00245855"/>
    <w:pPr>
      <w:tabs>
        <w:tab w:val="left" w:pos="1417"/>
      </w:tabs>
      <w:ind w:left="1984" w:hanging="1134"/>
    </w:pPr>
  </w:style>
  <w:style w:type="paragraph" w:customStyle="1" w:styleId="PointDouble2">
    <w:name w:val="PointDouble 2"/>
    <w:basedOn w:val="Normal"/>
    <w:rsid w:val="00245855"/>
    <w:pPr>
      <w:tabs>
        <w:tab w:val="left" w:pos="1984"/>
      </w:tabs>
      <w:ind w:left="2551" w:hanging="1134"/>
    </w:pPr>
  </w:style>
  <w:style w:type="paragraph" w:customStyle="1" w:styleId="PointDouble3">
    <w:name w:val="PointDouble 3"/>
    <w:basedOn w:val="Normal"/>
    <w:rsid w:val="00245855"/>
    <w:pPr>
      <w:tabs>
        <w:tab w:val="left" w:pos="2551"/>
      </w:tabs>
      <w:ind w:left="3118" w:hanging="1134"/>
    </w:pPr>
  </w:style>
  <w:style w:type="paragraph" w:customStyle="1" w:styleId="PointDouble4">
    <w:name w:val="PointDouble 4"/>
    <w:basedOn w:val="Normal"/>
    <w:rsid w:val="00245855"/>
    <w:pPr>
      <w:tabs>
        <w:tab w:val="left" w:pos="3118"/>
      </w:tabs>
      <w:ind w:left="3685" w:hanging="1134"/>
    </w:pPr>
  </w:style>
  <w:style w:type="paragraph" w:customStyle="1" w:styleId="PointDouble5">
    <w:name w:val="PointDouble 5"/>
    <w:basedOn w:val="Normal"/>
    <w:rsid w:val="00245855"/>
    <w:pPr>
      <w:tabs>
        <w:tab w:val="left" w:pos="3685"/>
      </w:tabs>
      <w:ind w:left="4252" w:hanging="1134"/>
    </w:pPr>
  </w:style>
  <w:style w:type="paragraph" w:customStyle="1" w:styleId="PointTriple0">
    <w:name w:val="PointTriple 0"/>
    <w:basedOn w:val="Normal"/>
    <w:rsid w:val="00245855"/>
    <w:pPr>
      <w:tabs>
        <w:tab w:val="left" w:pos="850"/>
        <w:tab w:val="left" w:pos="1417"/>
      </w:tabs>
      <w:ind w:left="1984" w:hanging="1984"/>
    </w:pPr>
  </w:style>
  <w:style w:type="paragraph" w:customStyle="1" w:styleId="PointTriple1">
    <w:name w:val="PointTriple 1"/>
    <w:basedOn w:val="Normal"/>
    <w:rsid w:val="00245855"/>
    <w:pPr>
      <w:tabs>
        <w:tab w:val="left" w:pos="1417"/>
        <w:tab w:val="left" w:pos="1984"/>
      </w:tabs>
      <w:ind w:left="2551" w:hanging="1701"/>
    </w:pPr>
  </w:style>
  <w:style w:type="paragraph" w:customStyle="1" w:styleId="PointTriple2">
    <w:name w:val="PointTriple 2"/>
    <w:basedOn w:val="Normal"/>
    <w:rsid w:val="00245855"/>
    <w:pPr>
      <w:tabs>
        <w:tab w:val="left" w:pos="1984"/>
        <w:tab w:val="left" w:pos="2551"/>
      </w:tabs>
      <w:ind w:left="3118" w:hanging="1701"/>
    </w:pPr>
  </w:style>
  <w:style w:type="paragraph" w:customStyle="1" w:styleId="PointTriple3">
    <w:name w:val="PointTriple 3"/>
    <w:basedOn w:val="Normal"/>
    <w:rsid w:val="00245855"/>
    <w:pPr>
      <w:tabs>
        <w:tab w:val="left" w:pos="2551"/>
        <w:tab w:val="left" w:pos="3118"/>
      </w:tabs>
      <w:ind w:left="3685" w:hanging="1701"/>
    </w:pPr>
  </w:style>
  <w:style w:type="paragraph" w:customStyle="1" w:styleId="PointTriple4">
    <w:name w:val="PointTriple 4"/>
    <w:basedOn w:val="Normal"/>
    <w:rsid w:val="00245855"/>
    <w:pPr>
      <w:tabs>
        <w:tab w:val="left" w:pos="3118"/>
        <w:tab w:val="left" w:pos="3685"/>
      </w:tabs>
      <w:ind w:left="4252" w:hanging="1701"/>
    </w:pPr>
  </w:style>
  <w:style w:type="paragraph" w:customStyle="1" w:styleId="PointTriple5">
    <w:name w:val="PointTriple 5"/>
    <w:basedOn w:val="Normal"/>
    <w:rsid w:val="00245855"/>
    <w:pPr>
      <w:tabs>
        <w:tab w:val="left" w:pos="3685"/>
        <w:tab w:val="left" w:pos="4252"/>
      </w:tabs>
      <w:ind w:left="4819" w:hanging="1701"/>
    </w:pPr>
  </w:style>
  <w:style w:type="paragraph" w:customStyle="1" w:styleId="Tiret0">
    <w:name w:val="Tiret 0"/>
    <w:basedOn w:val="Normal"/>
    <w:rsid w:val="00245855"/>
    <w:pPr>
      <w:numPr>
        <w:numId w:val="23"/>
      </w:numPr>
    </w:pPr>
  </w:style>
  <w:style w:type="paragraph" w:customStyle="1" w:styleId="Tiret1">
    <w:name w:val="Tiret 1"/>
    <w:basedOn w:val="Normal"/>
    <w:rsid w:val="00245855"/>
    <w:pPr>
      <w:numPr>
        <w:numId w:val="24"/>
      </w:numPr>
    </w:pPr>
  </w:style>
  <w:style w:type="paragraph" w:customStyle="1" w:styleId="Tiret2">
    <w:name w:val="Tiret 2"/>
    <w:basedOn w:val="Normal"/>
    <w:rsid w:val="00245855"/>
    <w:pPr>
      <w:numPr>
        <w:numId w:val="25"/>
      </w:numPr>
    </w:pPr>
  </w:style>
  <w:style w:type="paragraph" w:customStyle="1" w:styleId="Tiret3">
    <w:name w:val="Tiret 3"/>
    <w:basedOn w:val="Normal"/>
    <w:rsid w:val="00245855"/>
    <w:pPr>
      <w:numPr>
        <w:numId w:val="26"/>
      </w:numPr>
    </w:pPr>
  </w:style>
  <w:style w:type="paragraph" w:customStyle="1" w:styleId="Tiret4">
    <w:name w:val="Tiret 4"/>
    <w:basedOn w:val="Normal"/>
    <w:rsid w:val="00245855"/>
    <w:pPr>
      <w:numPr>
        <w:numId w:val="27"/>
      </w:numPr>
    </w:pPr>
  </w:style>
  <w:style w:type="paragraph" w:customStyle="1" w:styleId="Tiret5">
    <w:name w:val="Tiret 5"/>
    <w:basedOn w:val="Normal"/>
    <w:rsid w:val="00245855"/>
    <w:pPr>
      <w:numPr>
        <w:numId w:val="28"/>
      </w:numPr>
    </w:pPr>
  </w:style>
  <w:style w:type="paragraph" w:customStyle="1" w:styleId="Tiret6">
    <w:name w:val="Tiret 6"/>
    <w:basedOn w:val="Normal"/>
    <w:rsid w:val="00245855"/>
    <w:pPr>
      <w:numPr>
        <w:numId w:val="29"/>
      </w:numPr>
    </w:pPr>
  </w:style>
  <w:style w:type="paragraph" w:customStyle="1" w:styleId="Tiret7">
    <w:name w:val="Tiret 7"/>
    <w:basedOn w:val="Normal"/>
    <w:rsid w:val="00245855"/>
    <w:pPr>
      <w:numPr>
        <w:numId w:val="30"/>
      </w:numPr>
    </w:pPr>
  </w:style>
  <w:style w:type="paragraph" w:customStyle="1" w:styleId="Tiret8">
    <w:name w:val="Tiret 8"/>
    <w:basedOn w:val="Normal"/>
    <w:rsid w:val="00245855"/>
    <w:pPr>
      <w:numPr>
        <w:numId w:val="31"/>
      </w:numPr>
    </w:pPr>
  </w:style>
  <w:style w:type="paragraph" w:customStyle="1" w:styleId="NumPar1">
    <w:name w:val="NumPar 1"/>
    <w:basedOn w:val="Normal"/>
    <w:next w:val="Text1"/>
    <w:rsid w:val="00245855"/>
    <w:pPr>
      <w:numPr>
        <w:numId w:val="32"/>
      </w:numPr>
      <w:tabs>
        <w:tab w:val="left" w:pos="850"/>
      </w:tabs>
    </w:pPr>
  </w:style>
  <w:style w:type="paragraph" w:customStyle="1" w:styleId="NumPar2">
    <w:name w:val="NumPar 2"/>
    <w:basedOn w:val="Normal"/>
    <w:next w:val="Text1"/>
    <w:rsid w:val="00245855"/>
    <w:pPr>
      <w:numPr>
        <w:ilvl w:val="1"/>
        <w:numId w:val="32"/>
      </w:numPr>
      <w:tabs>
        <w:tab w:val="left" w:pos="850"/>
      </w:tabs>
    </w:pPr>
  </w:style>
  <w:style w:type="paragraph" w:customStyle="1" w:styleId="NumPar3">
    <w:name w:val="NumPar 3"/>
    <w:basedOn w:val="Normal"/>
    <w:next w:val="Text1"/>
    <w:rsid w:val="00245855"/>
    <w:pPr>
      <w:numPr>
        <w:ilvl w:val="2"/>
        <w:numId w:val="32"/>
      </w:numPr>
      <w:tabs>
        <w:tab w:val="left" w:pos="850"/>
      </w:tabs>
    </w:pPr>
  </w:style>
  <w:style w:type="paragraph" w:customStyle="1" w:styleId="NumPar4">
    <w:name w:val="NumPar 4"/>
    <w:basedOn w:val="Normal"/>
    <w:next w:val="Text1"/>
    <w:rsid w:val="00245855"/>
    <w:pPr>
      <w:numPr>
        <w:ilvl w:val="3"/>
        <w:numId w:val="32"/>
      </w:numPr>
      <w:tabs>
        <w:tab w:val="left" w:pos="850"/>
      </w:tabs>
    </w:pPr>
  </w:style>
  <w:style w:type="paragraph" w:customStyle="1" w:styleId="NumPar5">
    <w:name w:val="NumPar 5"/>
    <w:basedOn w:val="Normal"/>
    <w:next w:val="Text2"/>
    <w:rsid w:val="00245855"/>
    <w:pPr>
      <w:numPr>
        <w:ilvl w:val="4"/>
        <w:numId w:val="32"/>
      </w:numPr>
      <w:tabs>
        <w:tab w:val="left" w:pos="1417"/>
      </w:tabs>
    </w:pPr>
  </w:style>
  <w:style w:type="paragraph" w:customStyle="1" w:styleId="NumPar6">
    <w:name w:val="NumPar 6"/>
    <w:basedOn w:val="Normal"/>
    <w:next w:val="Text2"/>
    <w:rsid w:val="00245855"/>
    <w:pPr>
      <w:numPr>
        <w:ilvl w:val="5"/>
        <w:numId w:val="32"/>
      </w:numPr>
      <w:tabs>
        <w:tab w:val="left" w:pos="1417"/>
      </w:tabs>
    </w:pPr>
  </w:style>
  <w:style w:type="paragraph" w:customStyle="1" w:styleId="NumPar7">
    <w:name w:val="NumPar 7"/>
    <w:basedOn w:val="Normal"/>
    <w:next w:val="Text2"/>
    <w:rsid w:val="00245855"/>
    <w:pPr>
      <w:numPr>
        <w:ilvl w:val="6"/>
        <w:numId w:val="32"/>
      </w:numPr>
      <w:tabs>
        <w:tab w:val="left" w:pos="1417"/>
      </w:tabs>
    </w:pPr>
  </w:style>
  <w:style w:type="paragraph" w:customStyle="1" w:styleId="ManualNumPar1">
    <w:name w:val="Manual NumPar 1"/>
    <w:basedOn w:val="Normal"/>
    <w:next w:val="Text1"/>
    <w:rsid w:val="00245855"/>
    <w:pPr>
      <w:ind w:left="850" w:hanging="850"/>
    </w:pPr>
  </w:style>
  <w:style w:type="paragraph" w:customStyle="1" w:styleId="ManualNumPar2">
    <w:name w:val="Manual NumPar 2"/>
    <w:basedOn w:val="Normal"/>
    <w:next w:val="Text1"/>
    <w:rsid w:val="00245855"/>
    <w:pPr>
      <w:ind w:left="850" w:hanging="850"/>
    </w:pPr>
  </w:style>
  <w:style w:type="paragraph" w:customStyle="1" w:styleId="ManualNumPar3">
    <w:name w:val="Manual NumPar 3"/>
    <w:basedOn w:val="Normal"/>
    <w:next w:val="Text1"/>
    <w:rsid w:val="00245855"/>
    <w:pPr>
      <w:ind w:left="850" w:hanging="850"/>
    </w:pPr>
  </w:style>
  <w:style w:type="paragraph" w:customStyle="1" w:styleId="ManualNumPar4">
    <w:name w:val="Manual NumPar 4"/>
    <w:basedOn w:val="Normal"/>
    <w:next w:val="Text1"/>
    <w:rsid w:val="00245855"/>
    <w:pPr>
      <w:ind w:left="850" w:hanging="850"/>
    </w:pPr>
  </w:style>
  <w:style w:type="paragraph" w:customStyle="1" w:styleId="ManualNumPar5">
    <w:name w:val="Manual NumPar 5"/>
    <w:basedOn w:val="Normal"/>
    <w:next w:val="Text2"/>
    <w:rsid w:val="00245855"/>
    <w:pPr>
      <w:ind w:left="1417" w:hanging="1417"/>
    </w:pPr>
  </w:style>
  <w:style w:type="paragraph" w:customStyle="1" w:styleId="ManualNumPar6">
    <w:name w:val="Manual NumPar 6"/>
    <w:basedOn w:val="Normal"/>
    <w:next w:val="Text2"/>
    <w:rsid w:val="00245855"/>
    <w:pPr>
      <w:ind w:left="1417" w:hanging="1417"/>
    </w:pPr>
  </w:style>
  <w:style w:type="paragraph" w:customStyle="1" w:styleId="ManualNumPar7">
    <w:name w:val="Manual NumPar 7"/>
    <w:basedOn w:val="Normal"/>
    <w:next w:val="Text2"/>
    <w:rsid w:val="00245855"/>
    <w:pPr>
      <w:ind w:left="1417" w:hanging="1417"/>
    </w:pPr>
  </w:style>
  <w:style w:type="paragraph" w:customStyle="1" w:styleId="QuotedNumPar">
    <w:name w:val="Quoted NumPar"/>
    <w:basedOn w:val="Normal"/>
    <w:rsid w:val="00245855"/>
    <w:pPr>
      <w:ind w:left="1417" w:hanging="567"/>
    </w:pPr>
  </w:style>
  <w:style w:type="paragraph" w:customStyle="1" w:styleId="ManualHeading1">
    <w:name w:val="Manual Heading 1"/>
    <w:basedOn w:val="Normal"/>
    <w:next w:val="Text1"/>
    <w:rsid w:val="0024585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245855"/>
    <w:pPr>
      <w:keepNext/>
      <w:tabs>
        <w:tab w:val="left" w:pos="850"/>
      </w:tabs>
      <w:ind w:left="850" w:hanging="850"/>
      <w:outlineLvl w:val="1"/>
    </w:pPr>
    <w:rPr>
      <w:b/>
    </w:rPr>
  </w:style>
  <w:style w:type="paragraph" w:customStyle="1" w:styleId="ManualHeading3">
    <w:name w:val="Manual Heading 3"/>
    <w:basedOn w:val="Normal"/>
    <w:next w:val="Text1"/>
    <w:rsid w:val="00245855"/>
    <w:pPr>
      <w:keepNext/>
      <w:tabs>
        <w:tab w:val="left" w:pos="850"/>
      </w:tabs>
      <w:ind w:left="850" w:hanging="850"/>
      <w:outlineLvl w:val="2"/>
    </w:pPr>
    <w:rPr>
      <w:i/>
    </w:rPr>
  </w:style>
  <w:style w:type="paragraph" w:customStyle="1" w:styleId="ManualHeading4">
    <w:name w:val="Manual Heading 4"/>
    <w:basedOn w:val="Normal"/>
    <w:next w:val="Text1"/>
    <w:rsid w:val="00245855"/>
    <w:pPr>
      <w:keepNext/>
      <w:tabs>
        <w:tab w:val="left" w:pos="850"/>
      </w:tabs>
      <w:ind w:left="850" w:hanging="850"/>
      <w:outlineLvl w:val="3"/>
    </w:pPr>
  </w:style>
  <w:style w:type="paragraph" w:customStyle="1" w:styleId="ManualHeading5">
    <w:name w:val="Manual Heading 5"/>
    <w:basedOn w:val="Normal"/>
    <w:next w:val="Text1"/>
    <w:rsid w:val="00245855"/>
    <w:pPr>
      <w:keepNext/>
      <w:tabs>
        <w:tab w:val="left" w:pos="850"/>
      </w:tabs>
      <w:ind w:left="850" w:hanging="850"/>
      <w:outlineLvl w:val="4"/>
    </w:pPr>
  </w:style>
  <w:style w:type="paragraph" w:customStyle="1" w:styleId="ManualHeading6">
    <w:name w:val="Manual Heading 6"/>
    <w:basedOn w:val="Normal"/>
    <w:next w:val="Text1"/>
    <w:rsid w:val="00245855"/>
    <w:pPr>
      <w:keepNext/>
      <w:tabs>
        <w:tab w:val="left" w:pos="850"/>
      </w:tabs>
      <w:ind w:left="850" w:hanging="850"/>
      <w:outlineLvl w:val="5"/>
    </w:pPr>
  </w:style>
  <w:style w:type="paragraph" w:customStyle="1" w:styleId="ManualHeading7">
    <w:name w:val="Manual Heading 7"/>
    <w:basedOn w:val="Normal"/>
    <w:next w:val="Text1"/>
    <w:rsid w:val="00245855"/>
    <w:pPr>
      <w:keepNext/>
      <w:tabs>
        <w:tab w:val="left" w:pos="850"/>
      </w:tabs>
      <w:ind w:left="850" w:hanging="850"/>
      <w:outlineLvl w:val="6"/>
    </w:pPr>
  </w:style>
  <w:style w:type="paragraph" w:customStyle="1" w:styleId="ChapterTitle">
    <w:name w:val="ChapterTitle"/>
    <w:basedOn w:val="Normal"/>
    <w:next w:val="Normal"/>
    <w:rsid w:val="00245855"/>
    <w:pPr>
      <w:keepNext/>
      <w:spacing w:after="360"/>
      <w:jc w:val="center"/>
    </w:pPr>
    <w:rPr>
      <w:b/>
      <w:sz w:val="32"/>
    </w:rPr>
  </w:style>
  <w:style w:type="paragraph" w:customStyle="1" w:styleId="PartTitle">
    <w:name w:val="PartTitle"/>
    <w:basedOn w:val="Normal"/>
    <w:next w:val="ChapterTitle"/>
    <w:rsid w:val="00245855"/>
    <w:pPr>
      <w:keepNext/>
      <w:pageBreakBefore/>
      <w:spacing w:after="360"/>
      <w:jc w:val="center"/>
    </w:pPr>
    <w:rPr>
      <w:b/>
      <w:sz w:val="36"/>
    </w:rPr>
  </w:style>
  <w:style w:type="paragraph" w:customStyle="1" w:styleId="SectionTitle">
    <w:name w:val="SectionTitle"/>
    <w:basedOn w:val="Normal"/>
    <w:next w:val="Heading1"/>
    <w:rsid w:val="00245855"/>
    <w:pPr>
      <w:keepNext/>
      <w:spacing w:after="360"/>
      <w:jc w:val="center"/>
    </w:pPr>
    <w:rPr>
      <w:b/>
      <w:smallCaps/>
      <w:sz w:val="28"/>
    </w:rPr>
  </w:style>
  <w:style w:type="paragraph" w:customStyle="1" w:styleId="TableTitle">
    <w:name w:val="Table Title"/>
    <w:basedOn w:val="Normal"/>
    <w:next w:val="Normal"/>
    <w:rsid w:val="00245855"/>
    <w:pPr>
      <w:jc w:val="center"/>
    </w:pPr>
    <w:rPr>
      <w:b/>
    </w:rPr>
  </w:style>
  <w:style w:type="paragraph" w:customStyle="1" w:styleId="Point0number">
    <w:name w:val="Point 0 (number)"/>
    <w:basedOn w:val="Normal"/>
    <w:rsid w:val="00245855"/>
    <w:pPr>
      <w:numPr>
        <w:numId w:val="34"/>
      </w:numPr>
    </w:pPr>
  </w:style>
  <w:style w:type="paragraph" w:customStyle="1" w:styleId="Point1number">
    <w:name w:val="Point 1 (number)"/>
    <w:basedOn w:val="Normal"/>
    <w:rsid w:val="00245855"/>
    <w:pPr>
      <w:numPr>
        <w:ilvl w:val="2"/>
        <w:numId w:val="34"/>
      </w:numPr>
    </w:pPr>
  </w:style>
  <w:style w:type="paragraph" w:customStyle="1" w:styleId="Point2number">
    <w:name w:val="Point 2 (number)"/>
    <w:basedOn w:val="Normal"/>
    <w:rsid w:val="00245855"/>
    <w:pPr>
      <w:numPr>
        <w:ilvl w:val="4"/>
        <w:numId w:val="34"/>
      </w:numPr>
    </w:pPr>
  </w:style>
  <w:style w:type="paragraph" w:customStyle="1" w:styleId="Point3number">
    <w:name w:val="Point 3 (number)"/>
    <w:basedOn w:val="Normal"/>
    <w:rsid w:val="00245855"/>
    <w:pPr>
      <w:numPr>
        <w:ilvl w:val="6"/>
        <w:numId w:val="34"/>
      </w:numPr>
    </w:pPr>
  </w:style>
  <w:style w:type="paragraph" w:customStyle="1" w:styleId="Point0letter">
    <w:name w:val="Point 0 (letter)"/>
    <w:basedOn w:val="Normal"/>
    <w:rsid w:val="00245855"/>
    <w:pPr>
      <w:numPr>
        <w:ilvl w:val="1"/>
        <w:numId w:val="34"/>
      </w:numPr>
    </w:pPr>
  </w:style>
  <w:style w:type="paragraph" w:customStyle="1" w:styleId="Point1letter">
    <w:name w:val="Point 1 (letter)"/>
    <w:basedOn w:val="Normal"/>
    <w:rsid w:val="00245855"/>
    <w:pPr>
      <w:numPr>
        <w:ilvl w:val="3"/>
        <w:numId w:val="34"/>
      </w:numPr>
    </w:pPr>
  </w:style>
  <w:style w:type="paragraph" w:customStyle="1" w:styleId="Point2letter">
    <w:name w:val="Point 2 (letter)"/>
    <w:basedOn w:val="Normal"/>
    <w:rsid w:val="00245855"/>
    <w:pPr>
      <w:numPr>
        <w:ilvl w:val="5"/>
        <w:numId w:val="34"/>
      </w:numPr>
    </w:pPr>
  </w:style>
  <w:style w:type="paragraph" w:customStyle="1" w:styleId="Point3letter">
    <w:name w:val="Point 3 (letter)"/>
    <w:basedOn w:val="Normal"/>
    <w:rsid w:val="00245855"/>
    <w:pPr>
      <w:numPr>
        <w:ilvl w:val="7"/>
        <w:numId w:val="34"/>
      </w:numPr>
    </w:pPr>
  </w:style>
  <w:style w:type="paragraph" w:customStyle="1" w:styleId="Point4letter">
    <w:name w:val="Point 4 (letter)"/>
    <w:basedOn w:val="Normal"/>
    <w:rsid w:val="00245855"/>
    <w:pPr>
      <w:numPr>
        <w:ilvl w:val="8"/>
        <w:numId w:val="34"/>
      </w:numPr>
    </w:pPr>
  </w:style>
  <w:style w:type="paragraph" w:customStyle="1" w:styleId="Bullet0">
    <w:name w:val="Bullet 0"/>
    <w:basedOn w:val="Normal"/>
    <w:rsid w:val="00245855"/>
    <w:pPr>
      <w:numPr>
        <w:numId w:val="35"/>
      </w:numPr>
    </w:pPr>
  </w:style>
  <w:style w:type="paragraph" w:customStyle="1" w:styleId="Bullet1">
    <w:name w:val="Bullet 1"/>
    <w:basedOn w:val="Normal"/>
    <w:rsid w:val="00245855"/>
    <w:pPr>
      <w:numPr>
        <w:numId w:val="36"/>
      </w:numPr>
    </w:pPr>
  </w:style>
  <w:style w:type="paragraph" w:customStyle="1" w:styleId="Bullet2">
    <w:name w:val="Bullet 2"/>
    <w:basedOn w:val="Normal"/>
    <w:rsid w:val="00245855"/>
    <w:pPr>
      <w:numPr>
        <w:numId w:val="37"/>
      </w:numPr>
    </w:pPr>
  </w:style>
  <w:style w:type="paragraph" w:customStyle="1" w:styleId="Bullet3">
    <w:name w:val="Bullet 3"/>
    <w:basedOn w:val="Normal"/>
    <w:rsid w:val="00245855"/>
    <w:pPr>
      <w:numPr>
        <w:numId w:val="38"/>
      </w:numPr>
    </w:pPr>
  </w:style>
  <w:style w:type="paragraph" w:customStyle="1" w:styleId="Bullet4">
    <w:name w:val="Bullet 4"/>
    <w:basedOn w:val="Normal"/>
    <w:rsid w:val="00245855"/>
    <w:pPr>
      <w:numPr>
        <w:numId w:val="39"/>
      </w:numPr>
    </w:pPr>
  </w:style>
  <w:style w:type="paragraph" w:customStyle="1" w:styleId="Bullet5">
    <w:name w:val="Bullet 5"/>
    <w:basedOn w:val="Normal"/>
    <w:rsid w:val="00245855"/>
    <w:pPr>
      <w:numPr>
        <w:numId w:val="40"/>
      </w:numPr>
    </w:pPr>
  </w:style>
  <w:style w:type="paragraph" w:customStyle="1" w:styleId="Bullet6">
    <w:name w:val="Bullet 6"/>
    <w:basedOn w:val="Normal"/>
    <w:rsid w:val="00245855"/>
    <w:pPr>
      <w:numPr>
        <w:numId w:val="41"/>
      </w:numPr>
    </w:pPr>
  </w:style>
  <w:style w:type="paragraph" w:customStyle="1" w:styleId="Bullet7">
    <w:name w:val="Bullet 7"/>
    <w:basedOn w:val="Normal"/>
    <w:rsid w:val="00245855"/>
    <w:pPr>
      <w:numPr>
        <w:numId w:val="42"/>
      </w:numPr>
    </w:pPr>
  </w:style>
  <w:style w:type="paragraph" w:customStyle="1" w:styleId="Bullet8">
    <w:name w:val="Bullet 8"/>
    <w:basedOn w:val="Normal"/>
    <w:rsid w:val="00245855"/>
    <w:pPr>
      <w:numPr>
        <w:numId w:val="43"/>
      </w:numPr>
    </w:pPr>
  </w:style>
  <w:style w:type="paragraph" w:customStyle="1" w:styleId="Annexetitreacte">
    <w:name w:val="Annexe titre (acte)"/>
    <w:basedOn w:val="Normal"/>
    <w:next w:val="Normal"/>
    <w:rsid w:val="00245855"/>
    <w:pPr>
      <w:jc w:val="center"/>
    </w:pPr>
    <w:rPr>
      <w:b/>
      <w:u w:val="single"/>
    </w:rPr>
  </w:style>
  <w:style w:type="paragraph" w:customStyle="1" w:styleId="Annexetitreglobale">
    <w:name w:val="Annexe titre (globale)"/>
    <w:basedOn w:val="Normal"/>
    <w:next w:val="Normal"/>
    <w:rsid w:val="00245855"/>
    <w:pPr>
      <w:jc w:val="center"/>
    </w:pPr>
    <w:rPr>
      <w:b/>
      <w:u w:val="single"/>
    </w:rPr>
  </w:style>
  <w:style w:type="paragraph" w:customStyle="1" w:styleId="Applicationdirecte">
    <w:name w:val="Application directe"/>
    <w:basedOn w:val="Normal"/>
    <w:next w:val="Fait"/>
    <w:rsid w:val="00245855"/>
    <w:pPr>
      <w:spacing w:before="480"/>
    </w:pPr>
  </w:style>
  <w:style w:type="paragraph" w:customStyle="1" w:styleId="Considrant">
    <w:name w:val="Considérant"/>
    <w:basedOn w:val="Normal"/>
    <w:rsid w:val="00245855"/>
    <w:pPr>
      <w:numPr>
        <w:numId w:val="44"/>
      </w:numPr>
    </w:pPr>
  </w:style>
  <w:style w:type="paragraph" w:customStyle="1" w:styleId="Datedadoption">
    <w:name w:val="Date d'adoption"/>
    <w:basedOn w:val="Normal"/>
    <w:next w:val="Titreobjet"/>
    <w:rsid w:val="00245855"/>
    <w:pPr>
      <w:spacing w:before="360" w:after="0"/>
      <w:jc w:val="center"/>
    </w:pPr>
    <w:rPr>
      <w:b/>
    </w:rPr>
  </w:style>
  <w:style w:type="paragraph" w:customStyle="1" w:styleId="Fait">
    <w:name w:val="Fait à"/>
    <w:basedOn w:val="Normal"/>
    <w:next w:val="Institutionquisigne"/>
    <w:rsid w:val="00245855"/>
    <w:pPr>
      <w:keepNext/>
      <w:spacing w:after="0"/>
    </w:pPr>
  </w:style>
  <w:style w:type="paragraph" w:customStyle="1" w:styleId="Formuledadoption">
    <w:name w:val="Formule d'adoption"/>
    <w:basedOn w:val="Normal"/>
    <w:next w:val="Titrearticle"/>
    <w:rsid w:val="00245855"/>
    <w:pPr>
      <w:keepNext/>
    </w:pPr>
  </w:style>
  <w:style w:type="paragraph" w:customStyle="1" w:styleId="Institutionquiagit">
    <w:name w:val="Institution qui agit"/>
    <w:basedOn w:val="Normal"/>
    <w:next w:val="Normal"/>
    <w:rsid w:val="00245855"/>
    <w:pPr>
      <w:keepNext/>
      <w:spacing w:before="600"/>
    </w:pPr>
  </w:style>
  <w:style w:type="paragraph" w:customStyle="1" w:styleId="Institutionquisigne">
    <w:name w:val="Institution qui signe"/>
    <w:basedOn w:val="Normal"/>
    <w:next w:val="Personnequisigne"/>
    <w:rsid w:val="00245855"/>
    <w:pPr>
      <w:keepNext/>
      <w:tabs>
        <w:tab w:val="left" w:pos="5669"/>
      </w:tabs>
      <w:spacing w:before="720" w:after="0"/>
    </w:pPr>
    <w:rPr>
      <w:i/>
    </w:rPr>
  </w:style>
  <w:style w:type="paragraph" w:customStyle="1" w:styleId="ManualConsidrant">
    <w:name w:val="Manual Considérant"/>
    <w:basedOn w:val="Normal"/>
    <w:rsid w:val="00245855"/>
    <w:pPr>
      <w:ind w:left="850" w:hanging="850"/>
    </w:pPr>
  </w:style>
  <w:style w:type="paragraph" w:customStyle="1" w:styleId="Personnequisigne">
    <w:name w:val="Personne qui signe"/>
    <w:basedOn w:val="Normal"/>
    <w:next w:val="Institutionquisigne"/>
    <w:rsid w:val="00245855"/>
    <w:pPr>
      <w:tabs>
        <w:tab w:val="left" w:pos="5669"/>
      </w:tabs>
      <w:spacing w:before="0" w:after="0"/>
    </w:pPr>
    <w:rPr>
      <w:i/>
    </w:rPr>
  </w:style>
  <w:style w:type="paragraph" w:customStyle="1" w:styleId="Sous-titreobjet">
    <w:name w:val="Sous-titre objet"/>
    <w:basedOn w:val="Normal"/>
    <w:rsid w:val="00245855"/>
    <w:pPr>
      <w:spacing w:before="0" w:after="0"/>
      <w:jc w:val="center"/>
    </w:pPr>
    <w:rPr>
      <w:b/>
    </w:rPr>
  </w:style>
  <w:style w:type="paragraph" w:customStyle="1" w:styleId="Statut">
    <w:name w:val="Statut"/>
    <w:basedOn w:val="Normal"/>
    <w:next w:val="Typedudocument"/>
    <w:rsid w:val="00245855"/>
    <w:pPr>
      <w:spacing w:before="360" w:after="0"/>
      <w:jc w:val="center"/>
    </w:pPr>
  </w:style>
  <w:style w:type="paragraph" w:customStyle="1" w:styleId="Titrearticle">
    <w:name w:val="Titre article"/>
    <w:basedOn w:val="Normal"/>
    <w:next w:val="Normal"/>
    <w:rsid w:val="00245855"/>
    <w:pPr>
      <w:keepNext/>
      <w:spacing w:before="360"/>
      <w:jc w:val="center"/>
    </w:pPr>
    <w:rPr>
      <w:i/>
    </w:rPr>
  </w:style>
  <w:style w:type="paragraph" w:customStyle="1" w:styleId="Titreobjet">
    <w:name w:val="Titre objet"/>
    <w:basedOn w:val="Normal"/>
    <w:next w:val="Sous-titreobjet"/>
    <w:rsid w:val="00245855"/>
    <w:pPr>
      <w:spacing w:before="360" w:after="360"/>
      <w:jc w:val="center"/>
    </w:pPr>
    <w:rPr>
      <w:b/>
    </w:rPr>
  </w:style>
  <w:style w:type="paragraph" w:customStyle="1" w:styleId="Typedudocument">
    <w:name w:val="Type du document"/>
    <w:basedOn w:val="Normal"/>
    <w:next w:val="Datedadoption"/>
    <w:rsid w:val="00245855"/>
    <w:pPr>
      <w:spacing w:before="360" w:after="0"/>
      <w:jc w:val="center"/>
    </w:pPr>
    <w:rPr>
      <w:b/>
    </w:rPr>
  </w:style>
  <w:style w:type="paragraph" w:customStyle="1" w:styleId="Lignefinal">
    <w:name w:val="Ligne final"/>
    <w:basedOn w:val="Normal"/>
    <w:next w:val="Normal"/>
    <w:rsid w:val="00245855"/>
    <w:pPr>
      <w:pBdr>
        <w:bottom w:val="single" w:sz="4" w:space="0" w:color="000000"/>
      </w:pBdr>
      <w:spacing w:before="360"/>
      <w:ind w:left="3400" w:right="3400"/>
      <w:jc w:val="center"/>
    </w:pPr>
    <w:rPr>
      <w:b/>
    </w:rPr>
  </w:style>
  <w:style w:type="paragraph" w:customStyle="1" w:styleId="LignefinalLandscape">
    <w:name w:val="Ligne final (Landscape)"/>
    <w:basedOn w:val="Normal"/>
    <w:next w:val="Normal"/>
    <w:rsid w:val="00245855"/>
    <w:pPr>
      <w:pBdr>
        <w:bottom w:val="single" w:sz="4" w:space="0" w:color="000000"/>
      </w:pBdr>
      <w:spacing w:before="360"/>
      <w:ind w:left="5868" w:right="5868"/>
      <w:jc w:val="center"/>
    </w:pPr>
    <w:rPr>
      <w:b/>
    </w:rPr>
  </w:style>
  <w:style w:type="paragraph" w:customStyle="1" w:styleId="Rfrenceinterinstitutionelle">
    <w:name w:val="Référence interinstitutionelle"/>
    <w:basedOn w:val="Normal"/>
    <w:next w:val="Statut"/>
    <w:rsid w:val="00245855"/>
    <w:pPr>
      <w:spacing w:before="0" w:after="0"/>
      <w:ind w:left="5103"/>
    </w:pPr>
  </w:style>
  <w:style w:type="paragraph" w:customStyle="1" w:styleId="EntLogo">
    <w:name w:val="EntLogo"/>
    <w:basedOn w:val="Normal"/>
    <w:rsid w:val="00245855"/>
    <w:pPr>
      <w:tabs>
        <w:tab w:val="right" w:pos="9639"/>
      </w:tabs>
      <w:spacing w:before="0" w:after="0"/>
    </w:pPr>
    <w:rPr>
      <w:b/>
    </w:rPr>
  </w:style>
  <w:style w:type="paragraph" w:customStyle="1" w:styleId="EntInstit">
    <w:name w:val="EntInstit"/>
    <w:basedOn w:val="Normal"/>
    <w:rsid w:val="00245855"/>
    <w:pPr>
      <w:spacing w:before="0" w:after="0" w:line="240" w:lineRule="auto"/>
      <w:jc w:val="right"/>
    </w:pPr>
    <w:rPr>
      <w:b/>
    </w:rPr>
  </w:style>
  <w:style w:type="paragraph" w:customStyle="1" w:styleId="EntRefer">
    <w:name w:val="EntRefer"/>
    <w:basedOn w:val="Normal"/>
    <w:rsid w:val="00245855"/>
    <w:pPr>
      <w:spacing w:before="0" w:after="0" w:line="240" w:lineRule="auto"/>
    </w:pPr>
    <w:rPr>
      <w:b/>
    </w:rPr>
  </w:style>
  <w:style w:type="paragraph" w:customStyle="1" w:styleId="EntEmet">
    <w:name w:val="EntEmet"/>
    <w:basedOn w:val="Normal"/>
    <w:rsid w:val="00245855"/>
    <w:pPr>
      <w:spacing w:before="40" w:after="0" w:line="240" w:lineRule="auto"/>
    </w:pPr>
  </w:style>
  <w:style w:type="paragraph" w:customStyle="1" w:styleId="EntText">
    <w:name w:val="EntText"/>
    <w:basedOn w:val="Normal"/>
    <w:rsid w:val="00245855"/>
  </w:style>
  <w:style w:type="paragraph" w:customStyle="1" w:styleId="EntEU">
    <w:name w:val="EntEU"/>
    <w:basedOn w:val="Normal"/>
    <w:rsid w:val="00245855"/>
    <w:pPr>
      <w:spacing w:before="240" w:after="240" w:line="240" w:lineRule="auto"/>
      <w:jc w:val="center"/>
    </w:pPr>
    <w:rPr>
      <w:b/>
      <w:sz w:val="36"/>
    </w:rPr>
  </w:style>
  <w:style w:type="paragraph" w:customStyle="1" w:styleId="EntASSOC">
    <w:name w:val="EntASSOC"/>
    <w:basedOn w:val="Normal"/>
    <w:rsid w:val="00245855"/>
    <w:pPr>
      <w:spacing w:before="0" w:after="0" w:line="240" w:lineRule="auto"/>
      <w:jc w:val="center"/>
    </w:pPr>
    <w:rPr>
      <w:b/>
    </w:rPr>
  </w:style>
  <w:style w:type="paragraph" w:customStyle="1" w:styleId="EntACP">
    <w:name w:val="EntACP"/>
    <w:basedOn w:val="Normal"/>
    <w:rsid w:val="00245855"/>
    <w:pPr>
      <w:spacing w:before="0" w:after="180" w:line="240" w:lineRule="auto"/>
      <w:jc w:val="center"/>
    </w:pPr>
    <w:rPr>
      <w:b/>
      <w:spacing w:val="40"/>
      <w:sz w:val="28"/>
    </w:rPr>
  </w:style>
  <w:style w:type="paragraph" w:customStyle="1" w:styleId="EntInstitACP">
    <w:name w:val="EntInstitACP"/>
    <w:basedOn w:val="Normal"/>
    <w:rsid w:val="00245855"/>
    <w:pPr>
      <w:spacing w:before="0" w:after="0" w:line="240" w:lineRule="auto"/>
      <w:jc w:val="center"/>
    </w:pPr>
    <w:rPr>
      <w:b/>
    </w:rPr>
  </w:style>
  <w:style w:type="paragraph" w:customStyle="1" w:styleId="Genredudocument">
    <w:name w:val="Genre du document"/>
    <w:basedOn w:val="EntRefer"/>
    <w:next w:val="EntRefer"/>
    <w:rsid w:val="00245855"/>
    <w:pPr>
      <w:spacing w:before="240"/>
    </w:pPr>
  </w:style>
  <w:style w:type="paragraph" w:customStyle="1" w:styleId="Accordtitre">
    <w:name w:val="Accord titre"/>
    <w:basedOn w:val="Normal"/>
    <w:rsid w:val="00245855"/>
    <w:pPr>
      <w:spacing w:before="0" w:after="0"/>
      <w:jc w:val="center"/>
    </w:pPr>
  </w:style>
  <w:style w:type="paragraph" w:customStyle="1" w:styleId="FooterAccord">
    <w:name w:val="Footer Accord"/>
    <w:basedOn w:val="Normal"/>
    <w:rsid w:val="00245855"/>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al"/>
    <w:rsid w:val="00245855"/>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al"/>
    <w:next w:val="Normal"/>
    <w:rsid w:val="00245855"/>
    <w:pPr>
      <w:keepNext/>
      <w:spacing w:before="600"/>
      <w:jc w:val="center"/>
    </w:pPr>
    <w:rPr>
      <w:i/>
    </w:rPr>
  </w:style>
  <w:style w:type="paragraph" w:customStyle="1" w:styleId="Languesfaisantfoi">
    <w:name w:val="Langues faisant foi"/>
    <w:basedOn w:val="Normal"/>
    <w:next w:val="Normal"/>
    <w:rsid w:val="00245855"/>
    <w:pPr>
      <w:spacing w:before="360" w:after="0"/>
      <w:jc w:val="center"/>
    </w:pPr>
  </w:style>
  <w:style w:type="paragraph" w:customStyle="1" w:styleId="IntrtEEE">
    <w:name w:val="Intérêt EEE"/>
    <w:basedOn w:val="Languesfaisantfoi"/>
    <w:next w:val="Normal"/>
    <w:rsid w:val="00245855"/>
    <w:pPr>
      <w:spacing w:after="240"/>
    </w:pPr>
  </w:style>
  <w:style w:type="paragraph" w:customStyle="1" w:styleId="Annexetitre">
    <w:name w:val="Annexe titre"/>
    <w:basedOn w:val="Normal"/>
    <w:next w:val="Normal"/>
    <w:rsid w:val="00245855"/>
    <w:pPr>
      <w:jc w:val="center"/>
    </w:pPr>
    <w:rPr>
      <w:b/>
      <w:u w:val="single"/>
    </w:rPr>
  </w:style>
  <w:style w:type="paragraph" w:customStyle="1" w:styleId="DESignature">
    <w:name w:val="DE Signature"/>
    <w:basedOn w:val="Normal"/>
    <w:next w:val="Normal"/>
    <w:rsid w:val="00245855"/>
    <w:pPr>
      <w:tabs>
        <w:tab w:val="center" w:pos="5953"/>
      </w:tabs>
      <w:spacing w:before="720"/>
    </w:pPr>
  </w:style>
  <w:style w:type="paragraph" w:styleId="EndnoteText">
    <w:name w:val="endnote text"/>
    <w:basedOn w:val="Normal"/>
    <w:link w:val="EndnoteTextChar"/>
    <w:uiPriority w:val="99"/>
    <w:semiHidden/>
    <w:unhideWhenUsed/>
    <w:rsid w:val="00245855"/>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245855"/>
    <w:rPr>
      <w:rFonts w:ascii="Times New Roman" w:hAnsi="Times New Roman" w:cs="Times New Roman"/>
      <w:sz w:val="20"/>
      <w:szCs w:val="20"/>
      <w:bdr w:val="none" w:sz="0" w:space="0" w:color="auto"/>
      <w:shd w:val="clear" w:color="auto" w:fill="auto"/>
      <w:lang w:val="en-GB"/>
    </w:rPr>
  </w:style>
  <w:style w:type="character" w:styleId="EndnoteReference">
    <w:name w:val="endnote reference"/>
    <w:basedOn w:val="DefaultParagraphFont"/>
    <w:uiPriority w:val="99"/>
    <w:semiHidden/>
    <w:unhideWhenUsed/>
    <w:rsid w:val="00245855"/>
    <w:rPr>
      <w:bdr w:val="none" w:sz="0" w:space="0" w:color="auto"/>
      <w:shd w:val="clear" w:color="auto" w:fill="auto"/>
      <w:vertAlign w:val="superscript"/>
    </w:rPr>
  </w:style>
  <w:style w:type="paragraph" w:customStyle="1" w:styleId="Division1">
    <w:name w:val="Division 1"/>
    <w:basedOn w:val="Normal"/>
    <w:next w:val="Normal"/>
    <w:rsid w:val="00245855"/>
    <w:pPr>
      <w:keepNext/>
      <w:spacing w:before="720"/>
      <w:ind w:left="850" w:hanging="850"/>
    </w:pPr>
  </w:style>
  <w:style w:type="paragraph" w:customStyle="1" w:styleId="Division2">
    <w:name w:val="Division 2"/>
    <w:basedOn w:val="Normal"/>
    <w:next w:val="Normal"/>
    <w:rsid w:val="00245855"/>
    <w:pPr>
      <w:keepNext/>
      <w:spacing w:before="720"/>
      <w:ind w:left="850" w:hanging="850"/>
    </w:pPr>
  </w:style>
  <w:style w:type="paragraph" w:customStyle="1" w:styleId="Division3">
    <w:name w:val="Division 3"/>
    <w:basedOn w:val="Normal"/>
    <w:next w:val="Normal"/>
    <w:rsid w:val="00245855"/>
    <w:pPr>
      <w:keepNext/>
      <w:spacing w:before="720"/>
      <w:ind w:left="850" w:hanging="850"/>
    </w:pPr>
  </w:style>
  <w:style w:type="paragraph" w:customStyle="1" w:styleId="Division4">
    <w:name w:val="Division 4"/>
    <w:basedOn w:val="Normal"/>
    <w:next w:val="Normal"/>
    <w:rsid w:val="00245855"/>
    <w:pPr>
      <w:keepNext/>
      <w:spacing w:before="720"/>
      <w:ind w:left="850" w:hanging="850"/>
    </w:pPr>
  </w:style>
  <w:style w:type="paragraph" w:customStyle="1" w:styleId="Crossheading1">
    <w:name w:val="Crossheading 1"/>
    <w:basedOn w:val="Normal"/>
    <w:next w:val="Normal"/>
    <w:rsid w:val="00245855"/>
    <w:pPr>
      <w:ind w:left="850"/>
    </w:pPr>
  </w:style>
  <w:style w:type="paragraph" w:customStyle="1" w:styleId="CrossheadingIndent1">
    <w:name w:val="Crossheading Indent 1"/>
    <w:basedOn w:val="Normal"/>
    <w:next w:val="Normal"/>
    <w:rsid w:val="00245855"/>
    <w:pPr>
      <w:ind w:left="1417" w:hanging="567"/>
    </w:pPr>
  </w:style>
  <w:style w:type="paragraph" w:customStyle="1" w:styleId="Crossheading2">
    <w:name w:val="Crossheading 2"/>
    <w:basedOn w:val="Normal"/>
    <w:next w:val="Normal"/>
    <w:rsid w:val="00245855"/>
    <w:pPr>
      <w:ind w:left="1417"/>
    </w:pPr>
  </w:style>
  <w:style w:type="paragraph" w:customStyle="1" w:styleId="CrossheadingIndent2">
    <w:name w:val="Crossheading Indent 2"/>
    <w:basedOn w:val="Normal"/>
    <w:next w:val="Normal"/>
    <w:rsid w:val="00245855"/>
    <w:pPr>
      <w:ind w:left="1984" w:hanging="567"/>
    </w:pPr>
  </w:style>
  <w:style w:type="paragraph" w:customStyle="1" w:styleId="Crossheading3">
    <w:name w:val="Crossheading 3"/>
    <w:basedOn w:val="Normal"/>
    <w:next w:val="Normal"/>
    <w:rsid w:val="00245855"/>
    <w:pPr>
      <w:ind w:left="1984"/>
    </w:pPr>
  </w:style>
  <w:style w:type="paragraph" w:customStyle="1" w:styleId="CrossheadingIndent3">
    <w:name w:val="Crossheading Indent 3"/>
    <w:basedOn w:val="Normal"/>
    <w:next w:val="Normal"/>
    <w:rsid w:val="00245855"/>
    <w:pPr>
      <w:ind w:left="2551" w:hanging="567"/>
    </w:pPr>
  </w:style>
  <w:style w:type="paragraph" w:customStyle="1" w:styleId="Crossheading4">
    <w:name w:val="Crossheading 4"/>
    <w:basedOn w:val="Normal"/>
    <w:next w:val="Normal"/>
    <w:rsid w:val="00245855"/>
    <w:pPr>
      <w:ind w:left="2551"/>
    </w:pPr>
  </w:style>
  <w:style w:type="paragraph" w:customStyle="1" w:styleId="CrossheadingIndent4">
    <w:name w:val="Crossheading Indent 4"/>
    <w:basedOn w:val="Normal"/>
    <w:next w:val="Normal"/>
    <w:rsid w:val="00245855"/>
    <w:pPr>
      <w:ind w:left="3118" w:hanging="567"/>
    </w:pPr>
  </w:style>
  <w:style w:type="paragraph" w:customStyle="1" w:styleId="Crossheading5">
    <w:name w:val="Crossheading 5"/>
    <w:basedOn w:val="Normal"/>
    <w:next w:val="Normal"/>
    <w:rsid w:val="00245855"/>
    <w:pPr>
      <w:ind w:left="3118"/>
    </w:pPr>
  </w:style>
  <w:style w:type="paragraph" w:customStyle="1" w:styleId="CrossheadingIndent5">
    <w:name w:val="Crossheading Indent 5"/>
    <w:basedOn w:val="Normal"/>
    <w:next w:val="Normal"/>
    <w:rsid w:val="00245855"/>
    <w:pPr>
      <w:ind w:left="3685" w:hanging="567"/>
    </w:pPr>
  </w:style>
  <w:style w:type="paragraph" w:customStyle="1" w:styleId="Crossheading6">
    <w:name w:val="Crossheading 6"/>
    <w:basedOn w:val="Normal"/>
    <w:next w:val="Normal"/>
    <w:rsid w:val="00245855"/>
    <w:pPr>
      <w:ind w:left="3685"/>
    </w:pPr>
  </w:style>
  <w:style w:type="paragraph" w:customStyle="1" w:styleId="CrossheadingIndent6">
    <w:name w:val="Crossheading Indent 6"/>
    <w:basedOn w:val="Normal"/>
    <w:next w:val="Normal"/>
    <w:rsid w:val="00245855"/>
    <w:pPr>
      <w:ind w:left="4252" w:hanging="567"/>
    </w:pPr>
  </w:style>
  <w:style w:type="paragraph" w:customStyle="1" w:styleId="Crossheading7">
    <w:name w:val="Crossheading 7"/>
    <w:basedOn w:val="Normal"/>
    <w:next w:val="Normal"/>
    <w:rsid w:val="00245855"/>
    <w:pPr>
      <w:ind w:left="4252"/>
    </w:pPr>
  </w:style>
  <w:style w:type="paragraph" w:customStyle="1" w:styleId="CrossheadingIndent7">
    <w:name w:val="Crossheading Indent 7"/>
    <w:basedOn w:val="Normal"/>
    <w:next w:val="Normal"/>
    <w:rsid w:val="00245855"/>
    <w:pPr>
      <w:ind w:left="4819" w:hanging="567"/>
    </w:pPr>
  </w:style>
  <w:style w:type="paragraph" w:customStyle="1" w:styleId="Crossheading8">
    <w:name w:val="Crossheading 8"/>
    <w:basedOn w:val="Normal"/>
    <w:next w:val="Normal"/>
    <w:rsid w:val="00245855"/>
    <w:pPr>
      <w:ind w:left="4819"/>
    </w:pPr>
  </w:style>
  <w:style w:type="paragraph" w:customStyle="1" w:styleId="CrossheadingIndent8">
    <w:name w:val="Crossheading Indent 8"/>
    <w:basedOn w:val="Normal"/>
    <w:next w:val="Normal"/>
    <w:rsid w:val="00245855"/>
    <w:pPr>
      <w:ind w:left="5386" w:hanging="567"/>
    </w:pPr>
  </w:style>
  <w:style w:type="paragraph" w:customStyle="1" w:styleId="Crossheading9">
    <w:name w:val="Crossheading 9"/>
    <w:basedOn w:val="Normal"/>
    <w:next w:val="Normal"/>
    <w:rsid w:val="00245855"/>
    <w:pPr>
      <w:ind w:left="5386"/>
    </w:pPr>
  </w:style>
  <w:style w:type="paragraph" w:customStyle="1" w:styleId="CrossheadingIndent9">
    <w:name w:val="Crossheading Indent 9"/>
    <w:basedOn w:val="Normal"/>
    <w:next w:val="Normal"/>
    <w:rsid w:val="00245855"/>
    <w:pPr>
      <w:ind w:left="5953" w:hanging="567"/>
    </w:pPr>
  </w:style>
  <w:style w:type="paragraph" w:customStyle="1" w:styleId="Crossheading10">
    <w:name w:val="Crossheading 10"/>
    <w:basedOn w:val="Normal"/>
    <w:next w:val="Normal"/>
    <w:rsid w:val="00245855"/>
    <w:pPr>
      <w:ind w:left="5953"/>
    </w:pPr>
  </w:style>
  <w:style w:type="paragraph" w:customStyle="1" w:styleId="CrossheadingIndent10">
    <w:name w:val="Crossheading Indent 10"/>
    <w:basedOn w:val="Normal"/>
    <w:next w:val="Normal"/>
    <w:rsid w:val="00245855"/>
    <w:pPr>
      <w:ind w:left="6520" w:hanging="567"/>
    </w:pPr>
  </w:style>
  <w:style w:type="paragraph" w:customStyle="1" w:styleId="Crossheading0">
    <w:name w:val="Crossheading 0"/>
    <w:basedOn w:val="Normal"/>
    <w:next w:val="Normal"/>
    <w:rsid w:val="00245855"/>
  </w:style>
  <w:style w:type="paragraph" w:customStyle="1" w:styleId="CrossheadingIndent0">
    <w:name w:val="Crossheading Indent 0"/>
    <w:basedOn w:val="Normal"/>
    <w:next w:val="Normal"/>
    <w:rsid w:val="00245855"/>
    <w:pPr>
      <w:ind w:left="850" w:hanging="8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ocuWrite\DW_LEGACT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B4E15403523148B9AF1660568B10F5" ma:contentTypeVersion="0" ma:contentTypeDescription="Create a new document." ma:contentTypeScope="" ma:versionID="781ccbb44e5eee58ecbd4a0bd54ea261">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BBC74-A494-4FFD-B287-EDA0E742C778}">
  <ds:schemaRefs>
    <ds:schemaRef ds:uri="http://schemas.openxmlformats.org/officeDocument/2006/bibliography"/>
  </ds:schemaRefs>
</ds:datastoreItem>
</file>

<file path=customXml/itemProps2.xml><?xml version="1.0" encoding="utf-8"?>
<ds:datastoreItem xmlns:ds="http://schemas.openxmlformats.org/officeDocument/2006/customXml" ds:itemID="{94084D27-DA72-4F07-AC35-D333A6F657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33CB88-3600-4DCF-AEAF-45082B55E495}">
  <ds:schemaRefs>
    <ds:schemaRef ds:uri="http://schemas.microsoft.com/sharepoint/v3/contenttype/forms"/>
  </ds:schemaRefs>
</ds:datastoreItem>
</file>

<file path=customXml/itemProps4.xml><?xml version="1.0" encoding="utf-8"?>
<ds:datastoreItem xmlns:ds="http://schemas.openxmlformats.org/officeDocument/2006/customXml" ds:itemID="{A8ED5C64-187D-4E2F-9087-1EF2F1203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DW_LEGACTS</Template>
  <TotalTime>8</TotalTime>
  <Pages>13</Pages>
  <Words>2064</Words>
  <Characters>15574</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KESKPALU Kaja</dc:creator>
  <cp:keywords/>
  <dc:description/>
  <cp:lastModifiedBy>Päivi Margna</cp:lastModifiedBy>
  <cp:revision>5</cp:revision>
  <dcterms:created xsi:type="dcterms:W3CDTF">2025-11-19T10:10:00Z</dcterms:created>
  <dcterms:modified xsi:type="dcterms:W3CDTF">2025-11-20T15:09:00Z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0x010100E1B4E15403523148B9AF1660568B10F5</vt:lpwstr>
  </property>
  <property fmtid="{D5CDD505-2E9C-101B-9397-08002B2CF9AE}" pid="3" name="Created using">
    <vt:lpwstr>DocuWrite 4.12.1, Build 20250414</vt:lpwstr>
  </property>
  <property fmtid="{D5CDD505-2E9C-101B-9397-08002B2CF9AE}" pid="4" name="Last edited using">
    <vt:lpwstr>DocuWrite 4.12.1, Build 20250414</vt:lpwstr>
  </property>
  <property fmtid="{D5CDD505-2E9C-101B-9397-08002B2CF9AE}" pid="5" name="MSIP_Label_b1df41d6-74a9-4a97-809c-213cd32520cc_Enabled">
    <vt:lpwstr>true</vt:lpwstr>
  </property>
  <property fmtid="{D5CDD505-2E9C-101B-9397-08002B2CF9AE}" pid="6" name="MSIP_Label_b1df41d6-74a9-4a97-809c-213cd32520cc_SetDate">
    <vt:lpwstr>2025-06-20T14:37:25Z</vt:lpwstr>
  </property>
  <property fmtid="{D5CDD505-2E9C-101B-9397-08002B2CF9AE}" pid="7" name="MSIP_Label_b1df41d6-74a9-4a97-809c-213cd32520cc_Method">
    <vt:lpwstr>Privileged</vt:lpwstr>
  </property>
  <property fmtid="{D5CDD505-2E9C-101B-9397-08002B2CF9AE}" pid="8" name="MSIP_Label_b1df41d6-74a9-4a97-809c-213cd32520cc_Name">
    <vt:lpwstr>GSCEU - NON PUBLIC Label</vt:lpwstr>
  </property>
  <property fmtid="{D5CDD505-2E9C-101B-9397-08002B2CF9AE}" pid="9" name="MSIP_Label_b1df41d6-74a9-4a97-809c-213cd32520cc_SiteId">
    <vt:lpwstr>03ad1c97-0a4d-4e82-8f93-27291a6a0767</vt:lpwstr>
  </property>
  <property fmtid="{D5CDD505-2E9C-101B-9397-08002B2CF9AE}" pid="10" name="MSIP_Label_b1df41d6-74a9-4a97-809c-213cd32520cc_ActionId">
    <vt:lpwstr>963b170e-e993-4e24-82e3-9f0481b14411</vt:lpwstr>
  </property>
  <property fmtid="{D5CDD505-2E9C-101B-9397-08002B2CF9AE}" pid="11" name="MSIP_Label_b1df41d6-74a9-4a97-809c-213cd32520cc_ContentBits">
    <vt:lpwstr>0</vt:lpwstr>
  </property>
</Properties>
</file>