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3.xml.rels" ContentType="application/vnd.openxmlformats-package.relationships+xml"/>
  <Override PartName="/word/_rels/footer2.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document.xml" ContentType="application/vnd.openxmlformats-officedocument.wordprocessingml.document.main+xml"/>
  <Override PartName="/word/settings.xml" ContentType="application/vnd.openxmlformats-officedocument.wordprocessingml.settings+xml"/>
  <Override PartName="/word/numbering.xml" ContentType="application/vnd.openxmlformats-officedocument.wordprocessingml.numbering+xml"/>
  <Override PartName="/word/footer3.xml" ContentType="application/vnd.openxmlformats-officedocument.wordprocessingml.footer+xml"/>
  <Override PartName="/word/media/image1.jpeg" ContentType="image/jpeg"/>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extBody"/>
        <w:rPr>
          <w:sz w:val="28"/>
          <w:lang w:val="cs-CZ"/>
        </w:rPr>
      </w:pPr>
      <w:r>
        <w:rPr>
          <w:sz w:val="28"/>
          <w:lang w:val="cs-CZ"/>
        </w:rPr>
        <w:t xml:space="preserve"> </w:t>
      </w:r>
    </w:p>
    <w:p>
      <w:pPr>
        <w:pStyle w:val="TextBody"/>
        <w:jc w:val="both"/>
        <w:rPr>
          <w:rFonts w:ascii="Times New Roman" w:hAnsi="Times New Roman"/>
          <w:sz w:val="22"/>
          <w:szCs w:val="22"/>
        </w:rPr>
      </w:pPr>
      <w:r>
        <w:rPr>
          <w:sz w:val="22"/>
          <w:szCs w:val="22"/>
        </w:rPr>
      </w:r>
    </w:p>
    <w:p>
      <w:pPr>
        <w:pStyle w:val="TextBody"/>
        <w:jc w:val="both"/>
        <w:rPr>
          <w:sz w:val="24"/>
          <w:szCs w:val="24"/>
        </w:rPr>
      </w:pPr>
      <w:r>
        <w:rPr>
          <w:sz w:val="24"/>
          <w:szCs w:val="24"/>
          <w:lang w:val="cs-CZ"/>
        </w:rPr>
        <w:t>Lugupeetud EV Justiits- ja Digiminister Liisa-Ly Pakosta</w:t>
        <w:tab/>
        <w:tab/>
        <w:tab/>
        <w:t>18.06.2026</w:t>
      </w:r>
    </w:p>
    <w:p>
      <w:pPr>
        <w:pStyle w:val="TextBody"/>
        <w:jc w:val="both"/>
        <w:rPr>
          <w:sz w:val="24"/>
          <w:szCs w:val="24"/>
        </w:rPr>
      </w:pPr>
      <w:r>
        <w:rPr>
          <w:sz w:val="24"/>
          <w:szCs w:val="24"/>
        </w:rPr>
      </w:r>
    </w:p>
    <w:p>
      <w:pPr>
        <w:pStyle w:val="TextBody"/>
        <w:jc w:val="both"/>
        <w:rPr>
          <w:sz w:val="24"/>
          <w:szCs w:val="24"/>
        </w:rPr>
      </w:pPr>
      <w:r>
        <w:rPr>
          <w:sz w:val="24"/>
          <w:szCs w:val="24"/>
        </w:rPr>
      </w:r>
    </w:p>
    <w:p>
      <w:pPr>
        <w:pStyle w:val="TextBody"/>
        <w:jc w:val="both"/>
        <w:rPr>
          <w:sz w:val="24"/>
          <w:szCs w:val="24"/>
        </w:rPr>
      </w:pPr>
      <w:r>
        <w:rPr>
          <w:rFonts w:eastAsia="Times New Roman" w:cs="Liberation Serif"/>
          <w:sz w:val="24"/>
          <w:szCs w:val="24"/>
          <w:lang w:eastAsia="et-EE"/>
        </w:rPr>
        <w:tab/>
        <w:t>Juuniküüditamise 85. aastapäeva puhul kutsus Vabariigi President Eesti Memento Liidu ettepanekul 14. juunil Kadriorgu mälestusüritusele küüditatute esindajad. Loodame et see korraldus muutub iga-aastaseks traditsiooniks.</w:t>
      </w:r>
    </w:p>
    <w:p>
      <w:pPr>
        <w:pStyle w:val="Normal"/>
        <w:jc w:val="both"/>
        <w:rPr>
          <w:sz w:val="24"/>
          <w:szCs w:val="24"/>
        </w:rPr>
      </w:pPr>
      <w:r>
        <w:rPr>
          <w:rFonts w:eastAsia="Times New Roman" w:cs="Liberation Serif"/>
          <w:sz w:val="24"/>
          <w:szCs w:val="24"/>
          <w:lang w:eastAsia="et-EE"/>
        </w:rPr>
        <w:t>MRÜ esindus, nelikümmend inimest, oli samuti palutud Presidendi Roosiaeda. Kahju et ainult väike osa represseeritutest sai osaleda ja kohtuda saatusekaaslastega nii mainekas kohas ja ajal.</w:t>
      </w:r>
    </w:p>
    <w:p>
      <w:pPr>
        <w:pStyle w:val="Normal"/>
        <w:jc w:val="both"/>
        <w:rPr>
          <w:sz w:val="24"/>
          <w:szCs w:val="24"/>
        </w:rPr>
      </w:pPr>
      <w:r>
        <w:rPr>
          <w:rFonts w:eastAsia="Times New Roman" w:cs="Liberation Serif"/>
          <w:sz w:val="24"/>
          <w:szCs w:val="24"/>
          <w:lang w:eastAsia="et-EE"/>
        </w:rPr>
        <w:tab/>
        <w:t>Presidendi Roosiaeda kogunes enam kui pooltuhat inimest. Õhkkond oli soe ja austav – kogu sündmus oli pühendatud neile Eesti inimestele, kes on pidanud taluma suurvõimude repressioone ja inimsusevastaseid kuritegusid. Tervituskõned pidasid president Alar Karis, justiits- ja digiminister Liisa-Ly Pakosta ning MEMENTO Liidu esimees Arnold Aljaste. Tunne nagu  pöörduksid nad kõik minu poole.</w:t>
      </w:r>
    </w:p>
    <w:p>
      <w:pPr>
        <w:pStyle w:val="Normal"/>
        <w:jc w:val="both"/>
        <w:rPr>
          <w:sz w:val="24"/>
          <w:szCs w:val="24"/>
        </w:rPr>
      </w:pPr>
      <w:r>
        <w:rPr>
          <w:rFonts w:eastAsia="Times New Roman" w:cs="Liberation Serif"/>
          <w:sz w:val="24"/>
          <w:szCs w:val="24"/>
          <w:lang w:eastAsia="et-EE"/>
        </w:rPr>
        <w:tab/>
        <w:t>President Karis rõhutas, et rahvaste vastu toime pandud kuriteod, hirmu ja vale tootmine ning vägivalla õigustamine pole maailmast kadunud. Seetõttu tuleb minevikku mäletada ja hoida tõde. Oma kõne lõpetas ta üleskutsega: „Hoidke üksteist ja vaba Eestit.“</w:t>
      </w:r>
    </w:p>
    <w:p>
      <w:pPr>
        <w:pStyle w:val="Normal"/>
        <w:jc w:val="both"/>
        <w:rPr>
          <w:sz w:val="24"/>
          <w:szCs w:val="24"/>
        </w:rPr>
      </w:pPr>
      <w:r>
        <w:rPr>
          <w:rFonts w:eastAsia="Times New Roman" w:cs="Liberation Serif"/>
          <w:sz w:val="24"/>
          <w:szCs w:val="24"/>
          <w:lang w:eastAsia="et-EE"/>
        </w:rPr>
        <w:tab/>
        <w:t>Liisa-Ly Pakosta pidas südamliku ja emotsionaalse kõne, tuues esile, et suurriikide toodetud ja meedia kaudu levitatud valeinformatsiooni ei tohi uskuda. Ta rõhutas vajadust hoida ühte oma liitlaste ja sõpradega, et kaitsta end võimaliku agressiooni eest. Pakosta kõne keskmes oli kujund õitsevatest õunapuudest – sümbolist, mis 85 aastat tagasi tähistas lootust, kuid millele järgnes küüditamise koletuslik reaalsus. Ta hoiatas Venemaa sihiteadliku desinformatsiooni ja digitaalse mõjutustegevuse eest ning lõpetas sõnadega:</w:t>
      </w:r>
    </w:p>
    <w:p>
      <w:pPr>
        <w:pStyle w:val="Normal"/>
        <w:jc w:val="both"/>
        <w:rPr>
          <w:sz w:val="24"/>
          <w:szCs w:val="24"/>
        </w:rPr>
      </w:pPr>
      <w:r>
        <w:rPr>
          <w:rFonts w:eastAsia="Times New Roman" w:cs="Liberation Serif"/>
          <w:sz w:val="24"/>
          <w:szCs w:val="24"/>
          <w:lang w:val="cs-CZ" w:eastAsia="et-EE"/>
        </w:rPr>
        <w:tab/>
        <w:t>„Eesti ei alistu mitte kunagi. Meie mesilased jõuavad alati koju, õunapuud õitsevad igal kevadel ja Eesti jääb vabaks.“</w:t>
      </w:r>
    </w:p>
    <w:p>
      <w:pPr>
        <w:pStyle w:val="Normal"/>
        <w:jc w:val="both"/>
        <w:rPr>
          <w:sz w:val="24"/>
          <w:szCs w:val="24"/>
        </w:rPr>
      </w:pPr>
      <w:r>
        <w:rPr>
          <w:rFonts w:eastAsia="Times New Roman" w:cs="Liberation Serif"/>
          <w:sz w:val="24"/>
          <w:szCs w:val="24"/>
          <w:lang w:val="cs-CZ" w:eastAsia="et-EE"/>
        </w:rPr>
        <w:tab/>
        <w:t>Olin üks alaealistest mesilastest, kes tuli kolm aastat enne vanemate vabanemist  kodumaale. Seda kolme aastat ei loetud represseeritu staazi hulka vaid eksisteerib siiani lindprii kontol. Kohtusin Roosiaias kolme saatusekaaslasega ja meid on kindlasti veel et moodustuks arvestatav sülem.</w:t>
      </w:r>
    </w:p>
    <w:p>
      <w:pPr>
        <w:pStyle w:val="TextBody"/>
        <w:jc w:val="both"/>
        <w:rPr>
          <w:sz w:val="24"/>
          <w:szCs w:val="24"/>
        </w:rPr>
      </w:pPr>
      <w:r>
        <w:rPr>
          <w:sz w:val="24"/>
          <w:szCs w:val="24"/>
          <w:lang w:val="cs-CZ"/>
        </w:rPr>
        <w:tab/>
        <w:t xml:space="preserve">Viimased kümme aastat oleme ühendanud jõud Läti ja Leedu represseeritute ühingutega. Nüüdseks teeme koostööd ka Poola saatusekaaslastega ning oleme sõlminud Balti Alliansi koostöölepingu. Meie ühistegevuse eesmärk on muuta Balti riikide ja Poola represseeritute vanaduspäevad väärikamaks, anda neile jõudu ja kindlust, et nooremad põlvkonnad ei unusta inimsusevastaseid kuritegusid. Balti Alliansi lepingu sõlmimine oli suur samm ning suur au, aga ka vastutus. Oleme juba korduvalt kokku saanud ning meie esindajad on tulnud nendelt soojadelt vastuvõttudelt ja sisukatelt kohtumistelt tagasi suurepäraste emotsioonidega. </w:t>
      </w:r>
      <w:r>
        <w:rPr>
          <w:rFonts w:eastAsia="Times New Roman" w:cs="Liberation Serif"/>
          <w:sz w:val="24"/>
          <w:szCs w:val="24"/>
          <w:lang w:val="cs-CZ" w:eastAsia="et-EE"/>
        </w:rPr>
        <w:t xml:space="preserve">Represseeritute austuseks korraldatud Vabariigi Presidendi vastuvõtt Kadriorus oli väärikas, liigutav ja meeldejääv. See oli tänuavaldus neile, kes on pidanud taluma ajaloo rängimaid katsumusi, ning ühtlasi meeldetuletus, et vabadus ja tõde vajavad hoidmist ja kaitsmist. </w:t>
      </w:r>
    </w:p>
    <w:p>
      <w:pPr>
        <w:pStyle w:val="TextBody"/>
        <w:jc w:val="both"/>
        <w:rPr>
          <w:sz w:val="24"/>
          <w:szCs w:val="24"/>
        </w:rPr>
      </w:pPr>
      <w:r>
        <w:rPr>
          <w:rFonts w:eastAsia="Times New Roman" w:cs="Liberation Serif"/>
          <w:sz w:val="24"/>
          <w:szCs w:val="24"/>
          <w:lang w:val="cs-CZ" w:eastAsia="et-EE"/>
        </w:rPr>
        <w:t xml:space="preserve">Usume, et koidab ka hetk, kui </w:t>
      </w:r>
      <w:r>
        <w:rPr>
          <w:rFonts w:eastAsia="Times New Roman" w:cs="Liberation Serif"/>
          <w:sz w:val="24"/>
          <w:szCs w:val="24"/>
          <w:lang w:val="cs-CZ" w:eastAsia="et-EE"/>
        </w:rPr>
        <w:t xml:space="preserve">represseeritute ootused realiseeruvad </w:t>
      </w:r>
      <w:r>
        <w:rPr>
          <w:rFonts w:eastAsia="Times New Roman" w:cs="Liberation Serif"/>
          <w:sz w:val="24"/>
          <w:szCs w:val="24"/>
          <w:lang w:val="cs-CZ" w:eastAsia="et-EE"/>
        </w:rPr>
        <w:t xml:space="preserve">ReprS </w:t>
      </w:r>
      <w:r>
        <w:rPr>
          <w:rFonts w:eastAsia="Times New Roman" w:cs="Liberation Serif"/>
          <w:sz w:val="24"/>
          <w:szCs w:val="24"/>
          <w:lang w:val="cs-CZ" w:eastAsia="et-EE"/>
        </w:rPr>
        <w:t>kaudu.</w:t>
      </w:r>
    </w:p>
    <w:p>
      <w:pPr>
        <w:pStyle w:val="TextBody"/>
        <w:jc w:val="both"/>
        <w:rPr>
          <w:rFonts w:ascii="Times New Roman" w:hAnsi="Times New Roman"/>
          <w:sz w:val="24"/>
          <w:szCs w:val="24"/>
        </w:rPr>
      </w:pPr>
      <w:r>
        <w:rPr>
          <w:sz w:val="24"/>
          <w:szCs w:val="24"/>
        </w:rPr>
      </w:r>
    </w:p>
    <w:p>
      <w:pPr>
        <w:pStyle w:val="TextBody"/>
        <w:rPr>
          <w:sz w:val="24"/>
          <w:szCs w:val="24"/>
        </w:rPr>
      </w:pPr>
      <w:r>
        <w:rPr>
          <w:rFonts w:eastAsia="Times New Roman" w:cs="Liberation Serif"/>
          <w:sz w:val="24"/>
          <w:szCs w:val="24"/>
          <w:lang w:val="cs-CZ" w:eastAsia="et-EE"/>
        </w:rPr>
        <w:t>Lugupidamisega</w:t>
      </w:r>
    </w:p>
    <w:p>
      <w:pPr>
        <w:pStyle w:val="TextBody"/>
        <w:rPr>
          <w:sz w:val="24"/>
          <w:szCs w:val="24"/>
        </w:rPr>
      </w:pPr>
      <w:r>
        <w:rPr>
          <w:rFonts w:eastAsia="Times New Roman" w:cs="Liberation Serif"/>
          <w:sz w:val="24"/>
          <w:szCs w:val="24"/>
          <w:lang w:val="cs-CZ" w:eastAsia="et-EE"/>
        </w:rPr>
        <w:t>Enno Uibo</w:t>
      </w:r>
    </w:p>
    <w:p>
      <w:pPr>
        <w:pStyle w:val="TextBody"/>
        <w:rPr>
          <w:rFonts w:ascii="Times New Roman" w:hAnsi="Times New Roman"/>
          <w:sz w:val="22"/>
          <w:szCs w:val="22"/>
        </w:rPr>
      </w:pPr>
      <w:r>
        <w:rPr>
          <w:rFonts w:eastAsia="Times New Roman" w:cs="Liberation Serif"/>
          <w:sz w:val="22"/>
          <w:szCs w:val="22"/>
          <w:lang w:val="cs-CZ" w:eastAsia="et-EE"/>
        </w:rPr>
        <w:t>juhatuse esimees</w:t>
      </w:r>
    </w:p>
    <w:p>
      <w:pPr>
        <w:pStyle w:val="TextBody"/>
        <w:rPr>
          <w:lang w:val="cs-CZ"/>
        </w:rPr>
      </w:pPr>
      <w:r>
        <w:rPr>
          <w:lang w:val="cs-CZ"/>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800" w:right="1286" w:gutter="0" w:header="708" w:top="1440" w:footer="420" w:bottom="161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Liberation Sans">
    <w:altName w:val="Arial"/>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bottom w:val="single" w:sz="8" w:space="1" w:color="000000"/>
      </w:pBdr>
      <w:rPr>
        <w:sz w:val="20"/>
        <w:lang w:val="et-EE"/>
      </w:rPr>
    </w:pPr>
    <w:r>
      <w:rPr>
        <w:sz w:val="20"/>
        <w:lang w:val="et-EE"/>
      </w:rPr>
    </w:r>
  </w:p>
  <w:p>
    <w:pPr>
      <w:pStyle w:val="Footer"/>
      <w:rPr>
        <w:sz w:val="20"/>
        <w:lang w:val="et-EE"/>
      </w:rPr>
    </w:pPr>
    <w:r>
      <w:rPr>
        <w:sz w:val="20"/>
        <w:lang w:val="et-EE"/>
      </w:rPr>
      <w:t>Kursi tee 8</w:t>
      <w:tab/>
      <w:t>tel. 538 539 41</w:t>
      <w:tab/>
      <w:t>Reg. nr. 80182854</w:t>
    </w:r>
  </w:p>
  <w:p>
    <w:pPr>
      <w:pStyle w:val="Footer"/>
      <w:rPr/>
    </w:pPr>
    <w:r>
      <w:rPr>
        <w:sz w:val="20"/>
        <w:lang w:val="et-EE"/>
      </w:rPr>
      <w:t>74601 Kuusalu</w:t>
      <w:tab/>
      <w:t xml:space="preserve">E-post: </w:t>
    </w:r>
    <w:r>
      <w:rPr>
        <w:rStyle w:val="InternetLink"/>
        <w:sz w:val="20"/>
        <w:lang w:val="et-EE"/>
      </w:rPr>
      <w:t>info@rukkilill.ee</w:t>
    </w:r>
    <w:r>
      <w:rPr>
        <w:sz w:val="20"/>
        <w:lang w:val="et-EE"/>
      </w:rPr>
      <w:t xml:space="preserve"> </w:t>
      <w:tab/>
      <w:t xml:space="preserve">Swedbank </w:t>
    </w:r>
  </w:p>
  <w:p>
    <w:pPr>
      <w:pStyle w:val="Footer"/>
      <w:rPr/>
    </w:pPr>
    <w:r>
      <w:rPr>
        <w:sz w:val="20"/>
        <w:lang w:val="et-EE"/>
      </w:rPr>
      <w:t>Harjumaa</w:t>
    </w:r>
    <w:r>
      <w:rPr>
        <w:rStyle w:val="PageNumber"/>
        <w:sz w:val="20"/>
        <w:lang w:val="et-EE"/>
      </w:rPr>
      <w:tab/>
    </w:r>
    <w:hyperlink r:id="rId1">
      <w:r>
        <w:rPr>
          <w:rStyle w:val="ListLabel19"/>
          <w:color w:val="0000FF"/>
          <w:sz w:val="20"/>
          <w:u w:val="single"/>
          <w:lang w:val="et-EE"/>
        </w:rPr>
        <w:t>www.</w:t>
      </w:r>
    </w:hyperlink>
    <w:r>
      <w:rPr>
        <w:rStyle w:val="InternetLink"/>
        <w:sz w:val="20"/>
        <w:lang w:val="et-EE"/>
      </w:rPr>
      <w:t>rukkilill.ee</w:t>
    </w:r>
    <w:r>
      <w:rPr>
        <w:sz w:val="20"/>
        <w:lang w:val="et-EE"/>
      </w:rPr>
      <w:t xml:space="preserve"> </w:t>
      <w:tab/>
      <w:t xml:space="preserve">EE142200221021914912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bottom w:val="single" w:sz="8" w:space="1" w:color="000000"/>
      </w:pBdr>
      <w:rPr>
        <w:sz w:val="20"/>
        <w:lang w:val="et-EE"/>
      </w:rPr>
    </w:pPr>
    <w:r>
      <w:rPr>
        <w:sz w:val="20"/>
        <w:lang w:val="et-EE"/>
      </w:rPr>
    </w:r>
  </w:p>
  <w:p>
    <w:pPr>
      <w:pStyle w:val="Footer"/>
      <w:rPr>
        <w:sz w:val="20"/>
        <w:lang w:val="et-EE"/>
      </w:rPr>
    </w:pPr>
    <w:r>
      <w:rPr>
        <w:sz w:val="20"/>
        <w:lang w:val="et-EE"/>
      </w:rPr>
      <w:t>Kursi tee 8</w:t>
      <w:tab/>
      <w:t>tel. 538 539 41</w:t>
      <w:tab/>
      <w:t>Reg. nr. 80182854</w:t>
    </w:r>
  </w:p>
  <w:p>
    <w:pPr>
      <w:pStyle w:val="Footer"/>
      <w:rPr/>
    </w:pPr>
    <w:r>
      <w:rPr>
        <w:sz w:val="20"/>
        <w:lang w:val="et-EE"/>
      </w:rPr>
      <w:t>74601 Kuusalu</w:t>
      <w:tab/>
      <w:t xml:space="preserve">E-post: </w:t>
    </w:r>
    <w:r>
      <w:rPr>
        <w:rStyle w:val="InternetLink"/>
        <w:sz w:val="20"/>
        <w:lang w:val="et-EE"/>
      </w:rPr>
      <w:t>info@rukkilill.ee</w:t>
    </w:r>
    <w:r>
      <w:rPr>
        <w:sz w:val="20"/>
        <w:lang w:val="et-EE"/>
      </w:rPr>
      <w:t xml:space="preserve"> </w:t>
      <w:tab/>
      <w:t xml:space="preserve">Swedbank </w:t>
    </w:r>
  </w:p>
  <w:p>
    <w:pPr>
      <w:pStyle w:val="Footer"/>
      <w:rPr/>
    </w:pPr>
    <w:r>
      <w:rPr>
        <w:sz w:val="20"/>
        <w:lang w:val="et-EE"/>
      </w:rPr>
      <w:t>Harjumaa</w:t>
    </w:r>
    <w:r>
      <w:rPr>
        <w:rStyle w:val="PageNumber"/>
        <w:sz w:val="20"/>
        <w:lang w:val="et-EE"/>
      </w:rPr>
      <w:tab/>
    </w:r>
    <w:hyperlink r:id="rId1">
      <w:r>
        <w:rPr>
          <w:rStyle w:val="ListLabel19"/>
          <w:color w:val="0000FF"/>
          <w:sz w:val="20"/>
          <w:u w:val="single"/>
          <w:lang w:val="et-EE"/>
        </w:rPr>
        <w:t>www.</w:t>
      </w:r>
    </w:hyperlink>
    <w:r>
      <w:rPr>
        <w:rStyle w:val="InternetLink"/>
        <w:sz w:val="20"/>
        <w:lang w:val="et-EE"/>
      </w:rPr>
      <w:t>rukkilill.ee</w:t>
    </w:r>
    <w:r>
      <w:rPr>
        <w:sz w:val="20"/>
        <w:lang w:val="et-EE"/>
      </w:rPr>
      <w:t xml:space="preserve"> </w:t>
      <w:tab/>
      <w:t xml:space="preserve">EE142200221021914912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732" w:type="dxa"/>
      <w:jc w:val="start"/>
      <w:tblInd w:w="108" w:type="dxa"/>
      <w:tblLayout w:type="fixed"/>
      <w:tblCellMar>
        <w:top w:w="0" w:type="dxa"/>
        <w:start w:w="108" w:type="dxa"/>
        <w:bottom w:w="0" w:type="dxa"/>
        <w:end w:w="108" w:type="dxa"/>
      </w:tblCellMar>
    </w:tblPr>
    <w:tblGrid>
      <w:gridCol w:w="2086"/>
      <w:gridCol w:w="241"/>
      <w:gridCol w:w="6116"/>
      <w:gridCol w:w="288"/>
    </w:tblGrid>
    <w:tr>
      <w:trPr/>
      <w:tc>
        <w:tcPr>
          <w:tcW w:w="2086" w:type="dxa"/>
          <w:tcBorders/>
          <w:shd w:fill="auto" w:val="clear"/>
        </w:tcPr>
        <w:p>
          <w:pPr>
            <w:pStyle w:val="Header"/>
            <w:jc w:val="center"/>
            <w:rPr>
              <w:b/>
              <w:sz w:val="28"/>
              <w:lang w:val="et-EE"/>
            </w:rPr>
          </w:pPr>
          <w:r>
            <w:rPr/>
            <w:drawing>
              <wp:inline distT="0" distB="0" distL="0" distR="0">
                <wp:extent cx="920750" cy="61277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tretch>
                          <a:fillRect/>
                        </a:stretch>
                      </pic:blipFill>
                      <pic:spPr bwMode="auto">
                        <a:xfrm>
                          <a:off x="0" y="0"/>
                          <a:ext cx="920750" cy="612775"/>
                        </a:xfrm>
                        <a:prstGeom prst="rect">
                          <a:avLst/>
                        </a:prstGeom>
                      </pic:spPr>
                    </pic:pic>
                  </a:graphicData>
                </a:graphic>
              </wp:inline>
            </w:drawing>
          </w:r>
        </w:p>
      </w:tc>
      <w:tc>
        <w:tcPr>
          <w:tcW w:w="241" w:type="dxa"/>
          <w:tcBorders/>
          <w:shd w:fill="auto" w:val="clear"/>
        </w:tcPr>
        <w:p>
          <w:pPr>
            <w:pStyle w:val="Header"/>
            <w:snapToGrid w:val="false"/>
            <w:jc w:val="center"/>
            <w:rPr>
              <w:b/>
              <w:sz w:val="28"/>
              <w:lang w:val="et-EE"/>
            </w:rPr>
          </w:pPr>
          <w:r>
            <w:rPr>
              <w:b/>
              <w:sz w:val="28"/>
              <w:lang w:val="et-EE"/>
            </w:rPr>
          </w:r>
        </w:p>
      </w:tc>
      <w:tc>
        <w:tcPr>
          <w:tcW w:w="6116" w:type="dxa"/>
          <w:tcBorders/>
          <w:shd w:fill="auto" w:val="clear"/>
        </w:tcPr>
        <w:p>
          <w:pPr>
            <w:pStyle w:val="Header"/>
            <w:snapToGrid w:val="false"/>
            <w:jc w:val="center"/>
            <w:rPr>
              <w:b/>
              <w:sz w:val="28"/>
              <w:lang w:val="cs-CZ"/>
            </w:rPr>
          </w:pPr>
          <w:r>
            <w:rPr>
              <w:b/>
              <w:sz w:val="28"/>
              <w:lang w:val="cs-CZ"/>
            </w:rPr>
          </w:r>
        </w:p>
        <w:p>
          <w:pPr>
            <w:pStyle w:val="Header"/>
            <w:ind w:hanging="16" w:start="16" w:end="0"/>
            <w:jc w:val="center"/>
            <w:rPr>
              <w:b/>
              <w:sz w:val="28"/>
              <w:lang w:val="cs-CZ"/>
            </w:rPr>
          </w:pPr>
          <w:r>
            <w:rPr>
              <w:b/>
              <w:sz w:val="28"/>
              <w:lang w:val="cs-CZ"/>
            </w:rPr>
            <w:t>MURTUD RUKKILILLE ÜHING</w:t>
          </w:r>
        </w:p>
        <w:p>
          <w:pPr>
            <w:pStyle w:val="Header"/>
            <w:jc w:val="center"/>
            <w:rPr>
              <w:b/>
              <w:sz w:val="28"/>
              <w:lang w:val="cs-CZ"/>
            </w:rPr>
          </w:pPr>
          <w:r>
            <w:rPr>
              <w:b/>
              <w:sz w:val="28"/>
              <w:lang w:val="cs-CZ"/>
            </w:rPr>
          </w:r>
        </w:p>
      </w:tc>
      <w:tc>
        <w:tcPr>
          <w:tcW w:w="288" w:type="dxa"/>
          <w:tcBorders/>
          <w:shd w:fill="auto" w:val="clear"/>
        </w:tcPr>
        <w:p>
          <w:pPr>
            <w:pStyle w:val="Header"/>
            <w:snapToGrid w:val="false"/>
            <w:jc w:val="center"/>
            <w:rPr>
              <w:b/>
              <w:sz w:val="28"/>
              <w:lang w:val="cs-CZ"/>
            </w:rPr>
          </w:pPr>
          <w:r>
            <w:rPr>
              <w:b/>
              <w:sz w:val="28"/>
              <w:lang w:val="cs-CZ"/>
            </w:rPr>
          </w:r>
        </w:p>
      </w:tc>
    </w:tr>
  </w:tbl>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732" w:type="dxa"/>
      <w:jc w:val="start"/>
      <w:tblInd w:w="108" w:type="dxa"/>
      <w:tblLayout w:type="fixed"/>
      <w:tblCellMar>
        <w:top w:w="0" w:type="dxa"/>
        <w:start w:w="108" w:type="dxa"/>
        <w:bottom w:w="0" w:type="dxa"/>
        <w:end w:w="108" w:type="dxa"/>
      </w:tblCellMar>
    </w:tblPr>
    <w:tblGrid>
      <w:gridCol w:w="2086"/>
      <w:gridCol w:w="241"/>
      <w:gridCol w:w="6116"/>
      <w:gridCol w:w="288"/>
    </w:tblGrid>
    <w:tr>
      <w:trPr/>
      <w:tc>
        <w:tcPr>
          <w:tcW w:w="2086" w:type="dxa"/>
          <w:tcBorders/>
          <w:shd w:fill="auto" w:val="clear"/>
        </w:tcPr>
        <w:p>
          <w:pPr>
            <w:pStyle w:val="Header"/>
            <w:jc w:val="center"/>
            <w:rPr>
              <w:b/>
              <w:sz w:val="28"/>
              <w:lang w:val="et-EE"/>
            </w:rPr>
          </w:pPr>
          <w:r>
            <w:rPr/>
            <w:drawing>
              <wp:inline distT="0" distB="0" distL="0" distR="0">
                <wp:extent cx="920750" cy="612775"/>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1"/>
                        <a:stretch>
                          <a:fillRect/>
                        </a:stretch>
                      </pic:blipFill>
                      <pic:spPr bwMode="auto">
                        <a:xfrm>
                          <a:off x="0" y="0"/>
                          <a:ext cx="920750" cy="612775"/>
                        </a:xfrm>
                        <a:prstGeom prst="rect">
                          <a:avLst/>
                        </a:prstGeom>
                      </pic:spPr>
                    </pic:pic>
                  </a:graphicData>
                </a:graphic>
              </wp:inline>
            </w:drawing>
          </w:r>
        </w:p>
      </w:tc>
      <w:tc>
        <w:tcPr>
          <w:tcW w:w="241" w:type="dxa"/>
          <w:tcBorders/>
          <w:shd w:fill="auto" w:val="clear"/>
        </w:tcPr>
        <w:p>
          <w:pPr>
            <w:pStyle w:val="Header"/>
            <w:snapToGrid w:val="false"/>
            <w:jc w:val="center"/>
            <w:rPr>
              <w:b/>
              <w:sz w:val="28"/>
              <w:lang w:val="et-EE"/>
            </w:rPr>
          </w:pPr>
          <w:r>
            <w:rPr>
              <w:b/>
              <w:sz w:val="28"/>
              <w:lang w:val="et-EE"/>
            </w:rPr>
          </w:r>
        </w:p>
      </w:tc>
      <w:tc>
        <w:tcPr>
          <w:tcW w:w="6116" w:type="dxa"/>
          <w:tcBorders/>
          <w:shd w:fill="auto" w:val="clear"/>
        </w:tcPr>
        <w:p>
          <w:pPr>
            <w:pStyle w:val="Header"/>
            <w:snapToGrid w:val="false"/>
            <w:jc w:val="center"/>
            <w:rPr>
              <w:b/>
              <w:sz w:val="28"/>
              <w:lang w:val="cs-CZ"/>
            </w:rPr>
          </w:pPr>
          <w:r>
            <w:rPr>
              <w:b/>
              <w:sz w:val="28"/>
              <w:lang w:val="cs-CZ"/>
            </w:rPr>
          </w:r>
        </w:p>
        <w:p>
          <w:pPr>
            <w:pStyle w:val="Header"/>
            <w:ind w:hanging="16" w:start="16" w:end="0"/>
            <w:jc w:val="center"/>
            <w:rPr>
              <w:b/>
              <w:sz w:val="28"/>
              <w:lang w:val="cs-CZ"/>
            </w:rPr>
          </w:pPr>
          <w:r>
            <w:rPr>
              <w:b/>
              <w:sz w:val="28"/>
              <w:lang w:val="cs-CZ"/>
            </w:rPr>
            <w:t>MURTUD RUKKILILLE ÜHING</w:t>
          </w:r>
        </w:p>
        <w:p>
          <w:pPr>
            <w:pStyle w:val="Header"/>
            <w:jc w:val="center"/>
            <w:rPr>
              <w:b/>
              <w:sz w:val="28"/>
              <w:lang w:val="cs-CZ"/>
            </w:rPr>
          </w:pPr>
          <w:r>
            <w:rPr>
              <w:b/>
              <w:sz w:val="28"/>
              <w:lang w:val="cs-CZ"/>
            </w:rPr>
          </w:r>
        </w:p>
      </w:tc>
      <w:tc>
        <w:tcPr>
          <w:tcW w:w="288" w:type="dxa"/>
          <w:tcBorders/>
          <w:shd w:fill="auto" w:val="clear"/>
        </w:tcPr>
        <w:p>
          <w:pPr>
            <w:pStyle w:val="Header"/>
            <w:snapToGrid w:val="false"/>
            <w:jc w:val="center"/>
            <w:rPr>
              <w:b/>
              <w:sz w:val="28"/>
              <w:lang w:val="cs-CZ"/>
            </w:rPr>
          </w:pPr>
          <w:r>
            <w:rPr>
              <w:b/>
              <w:sz w:val="28"/>
              <w:lang w:val="cs-CZ"/>
            </w:rPr>
          </w:r>
        </w:p>
      </w:tc>
    </w:tr>
  </w:tbl>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suff w:val="nothing"/>
      <w:lvlText w:val=""/>
      <w:lvlJc w:val="start"/>
      <w:pPr>
        <w:tabs>
          <w:tab w:val="num" w:pos="0"/>
        </w:tabs>
        <w:ind w:start="432" w:hanging="432"/>
      </w:pPr>
      <w:rPr/>
    </w:lvl>
    <w:lvl w:ilvl="1">
      <w:start w:val="1"/>
      <w:numFmt w:val="decimal"/>
      <w:suff w:val="nothing"/>
      <w:lvlText w:val=""/>
      <w:lvlJc w:val="start"/>
      <w:pPr>
        <w:tabs>
          <w:tab w:val="num" w:pos="0"/>
        </w:tabs>
        <w:ind w:start="576" w:hanging="576"/>
      </w:pPr>
      <w:rPr/>
    </w:lvl>
    <w:lvl w:ilvl="2">
      <w:start w:val="1"/>
      <w:numFmt w:val="decimal"/>
      <w:suff w:val="nothing"/>
      <w:lvlText w:val=""/>
      <w:lvlJc w:val="start"/>
      <w:pPr>
        <w:tabs>
          <w:tab w:val="num" w:pos="0"/>
        </w:tabs>
        <w:ind w:start="720" w:hanging="720"/>
      </w:pPr>
      <w:rPr/>
    </w:lvl>
    <w:lvl w:ilvl="3">
      <w:start w:val="1"/>
      <w:numFmt w:val="decimal"/>
      <w:suff w:val="nothing"/>
      <w:lvlText w:val=""/>
      <w:lvlJc w:val="start"/>
      <w:pPr>
        <w:tabs>
          <w:tab w:val="num" w:pos="0"/>
        </w:tabs>
        <w:ind w:start="864" w:hanging="864"/>
      </w:pPr>
      <w:rPr/>
    </w:lvl>
    <w:lvl w:ilvl="4">
      <w:start w:val="1"/>
      <w:numFmt w:val="decimal"/>
      <w:suff w:val="nothing"/>
      <w:lvlText w:val=""/>
      <w:lvlJc w:val="start"/>
      <w:pPr>
        <w:tabs>
          <w:tab w:val="num" w:pos="0"/>
        </w:tabs>
        <w:ind w:start="1008" w:hanging="1008"/>
      </w:pPr>
      <w:rPr/>
    </w:lvl>
    <w:lvl w:ilvl="5">
      <w:start w:val="1"/>
      <w:numFmt w:val="decimal"/>
      <w:suff w:val="nothing"/>
      <w:lvlText w:val=""/>
      <w:lvlJc w:val="start"/>
      <w:pPr>
        <w:tabs>
          <w:tab w:val="num" w:pos="0"/>
        </w:tabs>
        <w:ind w:start="1152" w:hanging="1152"/>
      </w:pPr>
      <w:rPr/>
    </w:lvl>
    <w:lvl w:ilvl="6">
      <w:start w:val="1"/>
      <w:numFmt w:val="decimal"/>
      <w:suff w:val="nothing"/>
      <w:lvlText w:val=""/>
      <w:lvlJc w:val="start"/>
      <w:pPr>
        <w:tabs>
          <w:tab w:val="num" w:pos="0"/>
        </w:tabs>
        <w:ind w:start="1296" w:hanging="1296"/>
      </w:pPr>
      <w:rPr/>
    </w:lvl>
    <w:lvl w:ilvl="7">
      <w:start w:val="1"/>
      <w:numFmt w:val="decimal"/>
      <w:suff w:val="nothing"/>
      <w:lvlText w:val=""/>
      <w:lvlJc w:val="start"/>
      <w:pPr>
        <w:tabs>
          <w:tab w:val="num" w:pos="0"/>
        </w:tabs>
        <w:ind w:start="1440" w:hanging="1440"/>
      </w:pPr>
      <w:rPr/>
    </w:lvl>
    <w:lvl w:ilvl="8">
      <w:start w:val="1"/>
      <w:numFmt w:val="decimal"/>
      <w:suff w:val="nothing"/>
      <w:lvlText w:val=""/>
      <w:lvlJc w:val="start"/>
      <w:pPr>
        <w:tabs>
          <w:tab w:val="num" w:pos="0"/>
        </w:tabs>
        <w:ind w:start="1584" w:hanging="1584"/>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71"/>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Arial Unicode MS" w:cs="Arial Unicode MS"/>
        <w:szCs w:val="24"/>
        <w:lang w:val="et-EE"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Times New Roman" w:hAnsi="Times New Roman" w:eastAsia="Times New Roman" w:cs="Times New Roman"/>
      <w:color w:val="auto"/>
      <w:kern w:val="0"/>
      <w:sz w:val="24"/>
      <w:szCs w:val="20"/>
      <w:lang w:val="en-GB" w:eastAsia="zh-CN" w:bidi="hi-IN"/>
    </w:rPr>
  </w:style>
  <w:style w:type="paragraph" w:styleId="Heading1">
    <w:name w:val="Heading 1"/>
    <w:basedOn w:val="Normal"/>
    <w:next w:val="Normal"/>
    <w:qFormat/>
    <w:pPr>
      <w:keepNext w:val="true"/>
      <w:numPr>
        <w:ilvl w:val="0"/>
        <w:numId w:val="1"/>
      </w:numPr>
      <w:outlineLvl w:val="0"/>
    </w:pPr>
    <w:rPr>
      <w:b/>
      <w:lang w:val="et-EE"/>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PageNumber">
    <w:name w:val="Page Number"/>
    <w:basedOn w:val="DefaultParagraphFont"/>
    <w:rPr/>
  </w:style>
  <w:style w:type="character" w:styleId="InternetLink">
    <w:name w:val="Internet Link"/>
    <w:basedOn w:val="DefaultParagraphFont"/>
    <w:qFormat/>
    <w:rPr>
      <w:color w:val="0000FF"/>
      <w:u w:val="single"/>
    </w:rPr>
  </w:style>
  <w:style w:type="character" w:styleId="VisitedInternetLink">
    <w:name w:val="Visited Internet Link"/>
    <w:basedOn w:val="DefaultParagraphFont"/>
    <w:qFormat/>
    <w:rPr>
      <w:color w:val="800080"/>
      <w:u w:val="single"/>
    </w:rPr>
  </w:style>
  <w:style w:type="character" w:styleId="NumberingSymbols">
    <w:name w:val="Numbering Symbols"/>
    <w:qFormat/>
    <w:rPr/>
  </w:style>
  <w:style w:type="character" w:styleId="Hyperlink">
    <w:name w:val="Hyperlink"/>
    <w:rPr>
      <w:color w:val="000080"/>
      <w:u w:val="single"/>
    </w:rPr>
  </w:style>
  <w:style w:type="paragraph" w:styleId="Heading">
    <w:name w:val="Heading"/>
    <w:basedOn w:val="Normal"/>
    <w:next w:val="TextBody"/>
    <w:qFormat/>
    <w:pPr>
      <w:keepNext w:val="true"/>
      <w:spacing w:before="240" w:after="120"/>
    </w:pPr>
    <w:rPr>
      <w:rFonts w:ascii="Arial" w:hAnsi="Arial" w:eastAsia="Arial Unicode MS" w:cs="Arial Unicode MS"/>
      <w:sz w:val="28"/>
      <w:szCs w:val="28"/>
    </w:rPr>
  </w:style>
  <w:style w:type="paragraph" w:styleId="BodyText">
    <w:name w:val="Body Text"/>
    <w:basedOn w:val="Normal"/>
    <w:pPr>
      <w:spacing w:lineRule="auto" w:line="276" w:before="0" w:after="140"/>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TextBody">
    <w:name w:val="Text Body"/>
    <w:basedOn w:val="Normal"/>
    <w:qFormat/>
    <w:pPr>
      <w:jc w:val="both"/>
    </w:pPr>
    <w:rPr>
      <w:lang w:val="et-EE"/>
    </w:rPr>
  </w:style>
  <w:style w:type="paragraph" w:styleId="Pealkiri">
    <w:name w:val="Pealkiri"/>
    <w:basedOn w:val="Normal"/>
    <w:next w:val="TextBody"/>
    <w:qFormat/>
    <w:pPr>
      <w:keepNext w:val="true"/>
      <w:spacing w:before="240" w:after="120"/>
    </w:pPr>
    <w:rPr>
      <w:rFonts w:ascii="Liberation Sans;Arial" w:hAnsi="Liberation Sans;Arial" w:eastAsia="Arial Unicode MS" w:cs="Arial Unicode MS"/>
      <w:sz w:val="28"/>
      <w:szCs w:val="28"/>
    </w:rPr>
  </w:style>
  <w:style w:type="paragraph" w:styleId="Pealdis">
    <w:name w:val="Pealdis"/>
    <w:basedOn w:val="Normal"/>
    <w:qFormat/>
    <w:pPr>
      <w:suppressLineNumbers/>
      <w:spacing w:before="120" w:after="120"/>
    </w:pPr>
    <w:rPr>
      <w:i/>
      <w:iCs/>
      <w:sz w:val="24"/>
      <w:szCs w:val="24"/>
    </w:rPr>
  </w:style>
  <w:style w:type="paragraph" w:styleId="Register">
    <w:name w:val="Register"/>
    <w:basedOn w:val="Normal"/>
    <w:qFormat/>
    <w:pPr>
      <w:suppressLineNumbers/>
    </w:pPr>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paragraph" w:styleId="Tabelisisu">
    <w:name w:val="Tabeli sisu"/>
    <w:basedOn w:val="Normal"/>
    <w:qFormat/>
    <w:pPr>
      <w:suppressLineNumbers/>
    </w:pPr>
    <w:rPr/>
  </w:style>
  <w:style w:type="paragraph" w:styleId="Tabelipis">
    <w:name w:val="Tabeli päis"/>
    <w:basedOn w:val="Tabelisisu"/>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hyperlink" Target="http://www.hot.ee/rehi" TargetMode="External"/>
</Relationships>
</file>

<file path=word/_rels/footer3.xml.rels><?xml version="1.0" encoding="UTF-8"?>
<Relationships xmlns="http://schemas.openxmlformats.org/package/2006/relationships"><Relationship Id="rId1" Type="http://schemas.openxmlformats.org/officeDocument/2006/relationships/hyperlink" Target="http://www.hot.ee/rehi" TargetMode="Externa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8673</TotalTime>
  <Application>LibreOffice/24.2.5.2$MacOSX_X86_64 LibreOffice_project/bffef4ea93e59bebbeaf7f431bb02b1a39ee8a59</Application>
  <AppVersion>15.0000</AppVersion>
  <Pages>1</Pages>
  <Words>438</Words>
  <Characters>2968</Characters>
  <CharactersWithSpaces>3408</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2006-03-20T10:51:00Z</dcterms:created>
  <dc:creator>kodu</dc:creator>
  <dc:description/>
  <dc:language>et-EE</dc:language>
  <cp:lastModifiedBy/>
  <cp:lastPrinted>2026-06-18T16:00:14Z</cp:lastPrinted>
  <dcterms:modified xsi:type="dcterms:W3CDTF">2026-06-21T13:27:51Z</dcterms:modified>
  <cp:revision>25</cp:revision>
  <dc:subject/>
  <dc:title>Kuusalu Vallavalitsus</dc:title>
</cp:coreProperties>
</file>

<file path=docProps/custom.xml><?xml version="1.0" encoding="utf-8"?>
<Properties xmlns="http://schemas.openxmlformats.org/officeDocument/2006/custom-properties" xmlns:vt="http://schemas.openxmlformats.org/officeDocument/2006/docPropsVTypes"/>
</file>