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62"/>
        <w:gridCol w:w="4010"/>
      </w:tblGrid>
      <w:tr w:rsidR="00EA42AE" w14:paraId="36C1BC90" w14:textId="77777777" w:rsidTr="00094BF0">
        <w:trPr>
          <w:trHeight w:hRule="exact" w:val="2353"/>
        </w:trPr>
        <w:tc>
          <w:tcPr>
            <w:tcW w:w="5062" w:type="dxa"/>
          </w:tcPr>
          <w:p w14:paraId="36C1BC86" w14:textId="77777777" w:rsidR="00EA42AE" w:rsidRPr="00B066FE" w:rsidRDefault="00202D28" w:rsidP="00D25285">
            <w:pPr>
              <w:jc w:val="both"/>
              <w:rPr>
                <w:sz w:val="20"/>
                <w:szCs w:val="20"/>
              </w:rPr>
            </w:pPr>
            <w:r w:rsidRPr="00B066FE">
              <w:rPr>
                <w:noProof/>
                <w:sz w:val="20"/>
                <w:szCs w:val="20"/>
                <w:lang w:eastAsia="et-EE"/>
              </w:rPr>
              <w:drawing>
                <wp:anchor distT="0" distB="0" distL="114300" distR="114300" simplePos="0" relativeHeight="251658240" behindDoc="0" locked="0" layoutInCell="1" allowOverlap="1" wp14:anchorId="36C1BCB2" wp14:editId="36C1BCB3">
                  <wp:simplePos x="0" y="0"/>
                  <wp:positionH relativeFrom="page">
                    <wp:posOffset>-864235</wp:posOffset>
                  </wp:positionH>
                  <wp:positionV relativeFrom="page">
                    <wp:posOffset>-144145</wp:posOffset>
                  </wp:positionV>
                  <wp:extent cx="2948400" cy="957600"/>
                  <wp:effectExtent l="0" t="0" r="4445" b="0"/>
                  <wp:wrapNone/>
                  <wp:docPr id="1" name="Pil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otsmin_vapp_est_black.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948400" cy="957600"/>
                          </a:xfrm>
                          <a:prstGeom prst="rect">
                            <a:avLst/>
                          </a:prstGeom>
                        </pic:spPr>
                      </pic:pic>
                    </a:graphicData>
                  </a:graphic>
                  <wp14:sizeRelH relativeFrom="page">
                    <wp14:pctWidth>0</wp14:pctWidth>
                  </wp14:sizeRelH>
                  <wp14:sizeRelV relativeFrom="page">
                    <wp14:pctHeight>0</wp14:pctHeight>
                  </wp14:sizeRelV>
                </wp:anchor>
              </w:drawing>
            </w:r>
          </w:p>
        </w:tc>
        <w:tc>
          <w:tcPr>
            <w:tcW w:w="4010" w:type="dxa"/>
          </w:tcPr>
          <w:p w14:paraId="36C1BC87" w14:textId="77777777" w:rsidR="00EA42AE" w:rsidRPr="00B066FE" w:rsidRDefault="00EA42AE" w:rsidP="00D25285">
            <w:pPr>
              <w:jc w:val="both"/>
              <w:rPr>
                <w:sz w:val="20"/>
                <w:szCs w:val="20"/>
              </w:rPr>
            </w:pPr>
          </w:p>
          <w:p w14:paraId="36C1BC88" w14:textId="77777777" w:rsidR="00D35360" w:rsidRPr="00B066FE" w:rsidRDefault="00D35360" w:rsidP="00D25285">
            <w:pPr>
              <w:jc w:val="both"/>
              <w:rPr>
                <w:sz w:val="20"/>
                <w:szCs w:val="20"/>
              </w:rPr>
            </w:pPr>
          </w:p>
          <w:p w14:paraId="36C1BC89" w14:textId="77777777" w:rsidR="00D35360" w:rsidRPr="00B066FE" w:rsidRDefault="00D35360" w:rsidP="00D25285">
            <w:pPr>
              <w:jc w:val="both"/>
              <w:rPr>
                <w:sz w:val="20"/>
                <w:szCs w:val="20"/>
              </w:rPr>
            </w:pPr>
          </w:p>
          <w:p w14:paraId="36C1BC8A" w14:textId="77777777" w:rsidR="00D35360" w:rsidRPr="00B066FE" w:rsidRDefault="00D35360" w:rsidP="00D25285">
            <w:pPr>
              <w:jc w:val="both"/>
              <w:rPr>
                <w:sz w:val="20"/>
                <w:szCs w:val="20"/>
              </w:rPr>
            </w:pPr>
          </w:p>
          <w:p w14:paraId="36C1BC8B" w14:textId="77777777" w:rsidR="00D35360" w:rsidRPr="00B066FE" w:rsidRDefault="00D35360" w:rsidP="00D25285">
            <w:pPr>
              <w:jc w:val="both"/>
              <w:rPr>
                <w:sz w:val="20"/>
                <w:szCs w:val="20"/>
              </w:rPr>
            </w:pPr>
          </w:p>
          <w:p w14:paraId="36C1BC8C" w14:textId="77777777" w:rsidR="00D35360" w:rsidRPr="00B066FE" w:rsidRDefault="00D35360" w:rsidP="00D25285">
            <w:pPr>
              <w:jc w:val="both"/>
              <w:rPr>
                <w:sz w:val="20"/>
                <w:szCs w:val="20"/>
              </w:rPr>
            </w:pPr>
          </w:p>
          <w:p w14:paraId="36C1BC8D" w14:textId="77777777" w:rsidR="00D35360" w:rsidRPr="00B066FE" w:rsidRDefault="00D35360" w:rsidP="00D25285">
            <w:pPr>
              <w:jc w:val="both"/>
              <w:rPr>
                <w:sz w:val="20"/>
                <w:szCs w:val="20"/>
              </w:rPr>
            </w:pPr>
          </w:p>
          <w:p w14:paraId="36C1BC8E" w14:textId="77777777" w:rsidR="00D35360" w:rsidRPr="00B066FE" w:rsidRDefault="00D35360" w:rsidP="00D25285">
            <w:pPr>
              <w:jc w:val="both"/>
              <w:rPr>
                <w:sz w:val="20"/>
                <w:szCs w:val="20"/>
              </w:rPr>
            </w:pPr>
          </w:p>
          <w:p w14:paraId="36C1BC8F" w14:textId="77777777" w:rsidR="00D35360" w:rsidRPr="00B066FE" w:rsidRDefault="00D35360" w:rsidP="00D25285">
            <w:pPr>
              <w:jc w:val="both"/>
              <w:rPr>
                <w:sz w:val="20"/>
                <w:szCs w:val="20"/>
              </w:rPr>
            </w:pPr>
          </w:p>
        </w:tc>
      </w:tr>
      <w:tr w:rsidR="00EA42AE" w14:paraId="36C1BC9A" w14:textId="77777777" w:rsidTr="00094BF0">
        <w:trPr>
          <w:trHeight w:hRule="exact" w:val="1531"/>
        </w:trPr>
        <w:tc>
          <w:tcPr>
            <w:tcW w:w="5062" w:type="dxa"/>
          </w:tcPr>
          <w:p w14:paraId="36C1BC91" w14:textId="77777777" w:rsidR="00EA42AE" w:rsidRDefault="00C16907" w:rsidP="00D25285">
            <w:pPr>
              <w:jc w:val="both"/>
            </w:pPr>
            <w:r>
              <w:t>MINISTRI MÄÄRUS</w:t>
            </w:r>
          </w:p>
        </w:tc>
        <w:tc>
          <w:tcPr>
            <w:tcW w:w="4010" w:type="dxa"/>
          </w:tcPr>
          <w:p w14:paraId="36C1BC92" w14:textId="77777777" w:rsidR="00EA42AE" w:rsidRDefault="00EA42AE" w:rsidP="00D25285">
            <w:pPr>
              <w:jc w:val="both"/>
            </w:pPr>
          </w:p>
          <w:p w14:paraId="36C1BC93" w14:textId="77777777" w:rsidR="0009319A" w:rsidRDefault="0009319A" w:rsidP="00D25285">
            <w:pPr>
              <w:jc w:val="both"/>
            </w:pPr>
          </w:p>
          <w:p w14:paraId="36C1BC94" w14:textId="77777777" w:rsidR="0009319A" w:rsidRDefault="0009319A" w:rsidP="00D25285">
            <w:pPr>
              <w:jc w:val="both"/>
            </w:pPr>
          </w:p>
          <w:tbl>
            <w:tblPr>
              <w:tblpPr w:leftFromText="180" w:rightFromText="180" w:vertAnchor="text" w:horzAnchor="margin" w:tblpY="1"/>
              <w:tblOverlap w:val="never"/>
              <w:tblW w:w="3965" w:type="dxa"/>
              <w:tblLook w:val="0000" w:firstRow="0" w:lastRow="0" w:firstColumn="0" w:lastColumn="0" w:noHBand="0" w:noVBand="0"/>
            </w:tblPr>
            <w:tblGrid>
              <w:gridCol w:w="1276"/>
              <w:gridCol w:w="2689"/>
            </w:tblGrid>
            <w:tr w:rsidR="00C16907" w:rsidRPr="00425DCB" w14:paraId="36C1BC97" w14:textId="77777777" w:rsidTr="000C6B61">
              <w:trPr>
                <w:trHeight w:val="281"/>
              </w:trPr>
              <w:tc>
                <w:tcPr>
                  <w:tcW w:w="1276" w:type="dxa"/>
                </w:tcPr>
                <w:p w14:paraId="36C1BC95" w14:textId="1770A120" w:rsidR="00C16907" w:rsidRPr="00425DCB" w:rsidRDefault="00FE755F" w:rsidP="00D25285">
                  <w:pPr>
                    <w:ind w:left="-108" w:right="-108"/>
                    <w:jc w:val="both"/>
                    <w:rPr>
                      <w:rFonts w:eastAsia="Times New Roman" w:cs="Arial"/>
                    </w:rPr>
                  </w:pPr>
                  <w:r>
                    <w:rPr>
                      <w:rFonts w:eastAsia="Times New Roman" w:cs="Arial"/>
                    </w:rPr>
                    <w:fldChar w:fldCharType="begin"/>
                  </w:r>
                  <w:r w:rsidR="007C332F">
                    <w:rPr>
                      <w:rFonts w:eastAsia="Times New Roman" w:cs="Arial"/>
                    </w:rPr>
                    <w:instrText xml:space="preserve"> delta_regDateTime  \* MERGEFORMAT</w:instrText>
                  </w:r>
                  <w:r>
                    <w:rPr>
                      <w:rFonts w:eastAsia="Times New Roman" w:cs="Arial"/>
                    </w:rPr>
                    <w:fldChar w:fldCharType="separate"/>
                  </w:r>
                  <w:r w:rsidR="007C332F">
                    <w:rPr>
                      <w:rFonts w:eastAsia="Times New Roman" w:cs="Arial"/>
                    </w:rPr>
                    <w:t>10.11.2025</w:t>
                  </w:r>
                  <w:r>
                    <w:rPr>
                      <w:rFonts w:eastAsia="Times New Roman" w:cs="Arial"/>
                    </w:rPr>
                    <w:fldChar w:fldCharType="end"/>
                  </w:r>
                </w:p>
              </w:tc>
              <w:tc>
                <w:tcPr>
                  <w:tcW w:w="2689" w:type="dxa"/>
                </w:tcPr>
                <w:p w14:paraId="36C1BC96" w14:textId="35FBD558" w:rsidR="00C16907" w:rsidRPr="00425DCB" w:rsidRDefault="00C16907" w:rsidP="00D25285">
                  <w:pPr>
                    <w:ind w:right="-62"/>
                    <w:jc w:val="both"/>
                    <w:rPr>
                      <w:rFonts w:eastAsia="Times New Roman" w:cs="Arial"/>
                    </w:rPr>
                  </w:pPr>
                  <w:r w:rsidRPr="00425DCB">
                    <w:rPr>
                      <w:rFonts w:eastAsia="Times New Roman" w:cs="Arial"/>
                    </w:rPr>
                    <w:t xml:space="preserve">nr </w:t>
                  </w:r>
                  <w:r w:rsidR="00FE755F">
                    <w:rPr>
                      <w:rFonts w:eastAsia="Times New Roman" w:cs="Arial"/>
                    </w:rPr>
                    <w:fldChar w:fldCharType="begin"/>
                  </w:r>
                  <w:r w:rsidR="007C332F">
                    <w:rPr>
                      <w:rFonts w:eastAsia="Times New Roman" w:cs="Arial"/>
                    </w:rPr>
                    <w:instrText xml:space="preserve"> delta_regNumber  \* MERGEFORMAT</w:instrText>
                  </w:r>
                  <w:r w:rsidR="00FE755F">
                    <w:rPr>
                      <w:rFonts w:eastAsia="Times New Roman" w:cs="Arial"/>
                    </w:rPr>
                    <w:fldChar w:fldCharType="separate"/>
                  </w:r>
                  <w:r w:rsidR="007C332F">
                    <w:rPr>
                      <w:rFonts w:eastAsia="Times New Roman" w:cs="Arial"/>
                    </w:rPr>
                    <w:t>59</w:t>
                  </w:r>
                  <w:r w:rsidR="00FE755F">
                    <w:rPr>
                      <w:rFonts w:eastAsia="Times New Roman" w:cs="Arial"/>
                    </w:rPr>
                    <w:fldChar w:fldCharType="end"/>
                  </w:r>
                </w:p>
              </w:tc>
            </w:tr>
          </w:tbl>
          <w:p w14:paraId="36C1BC98" w14:textId="77777777" w:rsidR="0009319A" w:rsidRDefault="0009319A" w:rsidP="00D25285">
            <w:pPr>
              <w:jc w:val="both"/>
            </w:pPr>
          </w:p>
          <w:p w14:paraId="36C1BC99" w14:textId="77777777" w:rsidR="0009319A" w:rsidRDefault="0009319A" w:rsidP="00D25285">
            <w:pPr>
              <w:jc w:val="both"/>
            </w:pPr>
          </w:p>
        </w:tc>
      </w:tr>
      <w:tr w:rsidR="00EA42AE" w:rsidRPr="002534CF" w14:paraId="36C1BC9F" w14:textId="77777777" w:rsidTr="00094BF0">
        <w:trPr>
          <w:trHeight w:val="624"/>
        </w:trPr>
        <w:tc>
          <w:tcPr>
            <w:tcW w:w="5062" w:type="dxa"/>
          </w:tcPr>
          <w:p w14:paraId="36C1BC9B" w14:textId="0AB03BD9" w:rsidR="00C21D9A" w:rsidRPr="00A3338C" w:rsidRDefault="00C151A7" w:rsidP="00D25285">
            <w:pPr>
              <w:jc w:val="both"/>
              <w:rPr>
                <w:b/>
                <w:bCs/>
              </w:rPr>
            </w:pPr>
            <w:r w:rsidRPr="00A3338C">
              <w:rPr>
                <w:b/>
                <w:bCs/>
              </w:rPr>
              <w:fldChar w:fldCharType="begin"/>
            </w:r>
            <w:r w:rsidR="007C332F">
              <w:rPr>
                <w:b/>
                <w:bCs/>
              </w:rPr>
              <w:instrText xml:space="preserve"> delta_docName  \* MERGEFORMAT</w:instrText>
            </w:r>
            <w:r w:rsidRPr="00A3338C">
              <w:rPr>
                <w:b/>
                <w:bCs/>
              </w:rPr>
              <w:fldChar w:fldCharType="separate"/>
            </w:r>
            <w:r w:rsidR="007C332F">
              <w:rPr>
                <w:b/>
                <w:bCs/>
              </w:rPr>
              <w:t>Väheintensiivsete psühholoogiliste sekkumiste arendamise toetus</w:t>
            </w:r>
            <w:r w:rsidRPr="00A3338C">
              <w:rPr>
                <w:b/>
                <w:bCs/>
              </w:rPr>
              <w:fldChar w:fldCharType="end"/>
            </w:r>
          </w:p>
          <w:p w14:paraId="36C1BC9C" w14:textId="77777777" w:rsidR="00FE4683" w:rsidRPr="002534CF" w:rsidRDefault="00FE4683" w:rsidP="00D25285">
            <w:pPr>
              <w:jc w:val="both"/>
              <w:rPr>
                <w:rFonts w:cs="Arial"/>
              </w:rPr>
            </w:pPr>
          </w:p>
          <w:p w14:paraId="36C1BC9D" w14:textId="77777777" w:rsidR="00FE4683" w:rsidRPr="002534CF" w:rsidRDefault="00FE4683" w:rsidP="00D25285">
            <w:pPr>
              <w:jc w:val="both"/>
              <w:rPr>
                <w:rFonts w:cs="Arial"/>
              </w:rPr>
            </w:pPr>
          </w:p>
        </w:tc>
        <w:tc>
          <w:tcPr>
            <w:tcW w:w="4010" w:type="dxa"/>
          </w:tcPr>
          <w:p w14:paraId="36C1BC9E" w14:textId="77777777" w:rsidR="00EA42AE" w:rsidRPr="002534CF" w:rsidRDefault="00EA42AE" w:rsidP="00D25285">
            <w:pPr>
              <w:jc w:val="both"/>
            </w:pPr>
          </w:p>
        </w:tc>
      </w:tr>
    </w:tbl>
    <w:p w14:paraId="05767868" w14:textId="60A107FA" w:rsidR="002751A4" w:rsidRPr="002751A4" w:rsidRDefault="002751A4" w:rsidP="00D25285">
      <w:pPr>
        <w:jc w:val="both"/>
      </w:pPr>
      <w:r w:rsidRPr="002751A4">
        <w:t>Määrus kehtestatakse riigieelarve seaduse § 53</w:t>
      </w:r>
      <w:r w:rsidRPr="002751A4">
        <w:rPr>
          <w:vertAlign w:val="superscript"/>
        </w:rPr>
        <w:t>1</w:t>
      </w:r>
      <w:r w:rsidRPr="002751A4">
        <w:t xml:space="preserve"> lõike 1 alusel.</w:t>
      </w:r>
    </w:p>
    <w:p w14:paraId="36C1BCA1" w14:textId="77777777" w:rsidR="007352AA" w:rsidRDefault="007352AA" w:rsidP="00D25285">
      <w:pPr>
        <w:jc w:val="both"/>
        <w:rPr>
          <w:rFonts w:cs="Arial"/>
        </w:rPr>
      </w:pPr>
    </w:p>
    <w:p w14:paraId="6E4092DE" w14:textId="7286FEC8" w:rsidR="00E5088F" w:rsidRPr="00E5088F" w:rsidRDefault="00E5088F" w:rsidP="00D25285">
      <w:pPr>
        <w:jc w:val="both"/>
      </w:pPr>
      <w:r w:rsidRPr="00E5088F">
        <w:rPr>
          <w:b/>
          <w:bCs/>
        </w:rPr>
        <w:t>§ 1. Kohaldamisala</w:t>
      </w:r>
    </w:p>
    <w:p w14:paraId="3E4F4DCD" w14:textId="77777777" w:rsidR="00E5088F" w:rsidRPr="00E5088F" w:rsidRDefault="00E5088F" w:rsidP="00D25285">
      <w:pPr>
        <w:jc w:val="both"/>
      </w:pPr>
    </w:p>
    <w:p w14:paraId="036894C2" w14:textId="3FE93485" w:rsidR="00E5088F" w:rsidRPr="00E5088F" w:rsidRDefault="00E5088F" w:rsidP="00D25285">
      <w:pPr>
        <w:jc w:val="both"/>
      </w:pPr>
      <w:r w:rsidRPr="00E5088F">
        <w:t xml:space="preserve">Määrusega kehtestatakse väheintensiivsete psühholoogiliste sekkumiste (edaspidi </w:t>
      </w:r>
      <w:r w:rsidRPr="00E5088F">
        <w:rPr>
          <w:i/>
          <w:iCs/>
        </w:rPr>
        <w:t>VIPS</w:t>
      </w:r>
      <w:r w:rsidRPr="00E5088F">
        <w:t>) arendamiseks toetuse andmise tingimused ja kord.</w:t>
      </w:r>
    </w:p>
    <w:p w14:paraId="5E1F7D70" w14:textId="77777777" w:rsidR="00E5088F" w:rsidRPr="00E5088F" w:rsidRDefault="00E5088F" w:rsidP="00D25285">
      <w:pPr>
        <w:jc w:val="both"/>
      </w:pPr>
    </w:p>
    <w:p w14:paraId="791C1CE8" w14:textId="77911E90" w:rsidR="00E5088F" w:rsidRPr="00E5088F" w:rsidRDefault="00E5088F" w:rsidP="00D25285">
      <w:pPr>
        <w:jc w:val="both"/>
      </w:pPr>
      <w:r w:rsidRPr="00E5088F">
        <w:rPr>
          <w:b/>
          <w:bCs/>
        </w:rPr>
        <w:t>§ 2. Terminid</w:t>
      </w:r>
    </w:p>
    <w:p w14:paraId="468DEDB6" w14:textId="77777777" w:rsidR="00E5088F" w:rsidRPr="00E5088F" w:rsidRDefault="00E5088F" w:rsidP="00D25285">
      <w:pPr>
        <w:jc w:val="both"/>
      </w:pPr>
    </w:p>
    <w:p w14:paraId="4DE53BA7" w14:textId="00235BAB" w:rsidR="00E5088F" w:rsidRPr="00E5088F" w:rsidRDefault="00E5088F" w:rsidP="00D25285">
      <w:pPr>
        <w:jc w:val="both"/>
      </w:pPr>
      <w:r w:rsidRPr="00E5088F">
        <w:t xml:space="preserve">(1) VIPS on sekkumine, mis on suunatud vaimse tervise probleemide varajaseks märkamiseks ja leevendamiseks ning </w:t>
      </w:r>
      <w:r w:rsidR="00BE507A">
        <w:t xml:space="preserve">seda rakendab </w:t>
      </w:r>
      <w:r w:rsidRPr="00E5088F">
        <w:t>VIPS-spetsialist. Sekkumine vastab järgmistele kriteeriumitele:</w:t>
      </w:r>
    </w:p>
    <w:p w14:paraId="6E2E5C04" w14:textId="1D4EBB55" w:rsidR="00E5088F" w:rsidRPr="00E5088F" w:rsidRDefault="00E5088F" w:rsidP="00D25285">
      <w:pPr>
        <w:jc w:val="both"/>
      </w:pPr>
      <w:r w:rsidRPr="00E5088F">
        <w:t>1) sekkumise eesmärk on leevendada alanenud meeleolu või ärevushäirete sümptomeid,</w:t>
      </w:r>
      <w:r w:rsidR="00BE507A">
        <w:t xml:space="preserve"> </w:t>
      </w:r>
      <w:r w:rsidRPr="00E5088F">
        <w:t xml:space="preserve">hoida </w:t>
      </w:r>
      <w:r w:rsidR="00BE507A">
        <w:t xml:space="preserve">ära </w:t>
      </w:r>
      <w:r w:rsidRPr="00E5088F">
        <w:t>seisundi halvenemi</w:t>
      </w:r>
      <w:r w:rsidR="00BE507A">
        <w:t>st</w:t>
      </w:r>
      <w:r w:rsidRPr="00E5088F">
        <w:t xml:space="preserve"> või parandada igapäevast toimetulekut;</w:t>
      </w:r>
    </w:p>
    <w:p w14:paraId="038D0A4E" w14:textId="67805CD3" w:rsidR="00E5088F" w:rsidRPr="00E5088F" w:rsidRDefault="00E5088F" w:rsidP="00D25285">
      <w:pPr>
        <w:jc w:val="both"/>
      </w:pPr>
      <w:r w:rsidRPr="00E5088F">
        <w:t xml:space="preserve">2) </w:t>
      </w:r>
      <w:r w:rsidR="00BE507A">
        <w:t xml:space="preserve">sekkumine </w:t>
      </w:r>
      <w:r w:rsidRPr="00E5088F">
        <w:t xml:space="preserve">tugineb tõenduspõhisel </w:t>
      </w:r>
      <w:r w:rsidR="00BE507A">
        <w:t xml:space="preserve">juhendil </w:t>
      </w:r>
      <w:r w:rsidRPr="00E5088F">
        <w:t>ning võimaldab teenusesaajal saavutada soovitud tulemus VIPS-spetsialist</w:t>
      </w:r>
      <w:r w:rsidR="00BE507A">
        <w:t xml:space="preserve">i </w:t>
      </w:r>
      <w:r w:rsidR="00BE507A" w:rsidRPr="00E5088F">
        <w:t>minimaalse</w:t>
      </w:r>
      <w:r w:rsidRPr="00E5088F">
        <w:t xml:space="preserve"> kaasamisega;</w:t>
      </w:r>
    </w:p>
    <w:p w14:paraId="54D107C2" w14:textId="3AF99D85" w:rsidR="00E5088F" w:rsidRPr="00E5088F" w:rsidRDefault="00E5088F" w:rsidP="00D25285">
      <w:pPr>
        <w:jc w:val="both"/>
      </w:pPr>
      <w:r w:rsidRPr="00E5088F">
        <w:t xml:space="preserve">3) VIPS-spetsialist toetab teenusesaajat </w:t>
      </w:r>
      <w:r w:rsidR="00BE507A">
        <w:t xml:space="preserve">juhendi </w:t>
      </w:r>
      <w:r w:rsidRPr="00E5088F">
        <w:t>rakendamisel, annab tagasisidet ning jälgib ja dokumenteerib sekkumise protsessi ja tulemusi;</w:t>
      </w:r>
    </w:p>
    <w:p w14:paraId="72238ADE" w14:textId="42760337" w:rsidR="00E5088F" w:rsidRPr="00E5088F" w:rsidRDefault="00E5088F" w:rsidP="00D25285">
      <w:pPr>
        <w:jc w:val="both"/>
      </w:pPr>
      <w:r w:rsidRPr="00E5088F">
        <w:t xml:space="preserve">4) </w:t>
      </w:r>
      <w:r w:rsidR="00BE507A">
        <w:t xml:space="preserve">sekkumise </w:t>
      </w:r>
      <w:r w:rsidRPr="00E5088F">
        <w:t xml:space="preserve">kestus </w:t>
      </w:r>
      <w:r w:rsidR="00BE507A">
        <w:t xml:space="preserve">on </w:t>
      </w:r>
      <w:r w:rsidRPr="00E5088F">
        <w:t>kuni kümme 60-minutilist seanssi;</w:t>
      </w:r>
    </w:p>
    <w:p w14:paraId="58936E58" w14:textId="4921CE19" w:rsidR="00E5088F" w:rsidRPr="00E5088F" w:rsidRDefault="00E5088F" w:rsidP="00D25285">
      <w:pPr>
        <w:jc w:val="both"/>
      </w:pPr>
      <w:r w:rsidRPr="00E5088F">
        <w:t xml:space="preserve">5) </w:t>
      </w:r>
      <w:r w:rsidR="00BE507A">
        <w:t xml:space="preserve">sekkumine </w:t>
      </w:r>
      <w:r w:rsidRPr="00E5088F">
        <w:t>toimub individuaal- või grupiformaadis näost näkku, virtuaalselt, telefoni teel või muul viisil;</w:t>
      </w:r>
    </w:p>
    <w:p w14:paraId="2AFCFE03" w14:textId="77777777" w:rsidR="00E5088F" w:rsidRPr="00E5088F" w:rsidRDefault="00E5088F" w:rsidP="00D25285">
      <w:pPr>
        <w:jc w:val="both"/>
      </w:pPr>
      <w:r w:rsidRPr="00E5088F">
        <w:t>6) rakendatakse mehhanisme, mis võimaldavad regulaarselt hinnata protsessi ja tulemusi;</w:t>
      </w:r>
    </w:p>
    <w:p w14:paraId="46A97CFA" w14:textId="446620CF" w:rsidR="00E5088F" w:rsidRPr="00E5088F" w:rsidRDefault="00E5088F" w:rsidP="00D25285">
      <w:pPr>
        <w:jc w:val="both"/>
      </w:pPr>
      <w:r w:rsidRPr="00E5088F">
        <w:t>7) teenusesaajale tagatakse võimalus anda sekkumise käigus tagasisidet.</w:t>
      </w:r>
    </w:p>
    <w:p w14:paraId="6F2C4C06" w14:textId="77777777" w:rsidR="00E5088F" w:rsidRPr="00E5088F" w:rsidRDefault="00E5088F" w:rsidP="00D25285">
      <w:pPr>
        <w:jc w:val="both"/>
      </w:pPr>
    </w:p>
    <w:p w14:paraId="116D6DC8" w14:textId="65E9B8C6" w:rsidR="00E5088F" w:rsidRPr="00E5088F" w:rsidRDefault="00E5088F" w:rsidP="00D25285">
      <w:pPr>
        <w:jc w:val="both"/>
      </w:pPr>
      <w:r w:rsidRPr="00E5088F">
        <w:t xml:space="preserve">(2) VIPS-spetsialist on spetsiaalse väljaõppe saanud </w:t>
      </w:r>
      <w:proofErr w:type="spellStart"/>
      <w:r w:rsidR="00BE507A">
        <w:t>VIPS-i</w:t>
      </w:r>
      <w:proofErr w:type="spellEnd"/>
      <w:r w:rsidR="00BE507A">
        <w:t xml:space="preserve"> rakendav </w:t>
      </w:r>
      <w:r w:rsidRPr="00E5088F">
        <w:t>isik, kes vastab järgmistele nõuetele:</w:t>
      </w:r>
    </w:p>
    <w:p w14:paraId="69F33F8E" w14:textId="33DA1150" w:rsidR="00BE507A" w:rsidRPr="00E5088F" w:rsidRDefault="00E5088F" w:rsidP="00D25285">
      <w:pPr>
        <w:jc w:val="both"/>
      </w:pPr>
      <w:r w:rsidRPr="00E5088F">
        <w:t>1) o</w:t>
      </w:r>
      <w:r w:rsidR="00BE507A">
        <w:t>n o</w:t>
      </w:r>
      <w:r w:rsidRPr="00E5088F">
        <w:t>mandanud</w:t>
      </w:r>
      <w:r w:rsidR="00BE507A">
        <w:t xml:space="preserve"> </w:t>
      </w:r>
      <w:r w:rsidRPr="00E5088F">
        <w:t>rakenduskõrghariduse, bakalaureusekraadi või sellele vastava</w:t>
      </w:r>
      <w:r w:rsidR="00BE507A">
        <w:t xml:space="preserve"> </w:t>
      </w:r>
      <w:r w:rsidRPr="00E5088F">
        <w:t>kvalifikatsiooni;</w:t>
      </w:r>
    </w:p>
    <w:p w14:paraId="198C85E4" w14:textId="1DAA24D4" w:rsidR="00E5088F" w:rsidRPr="00E5088F" w:rsidRDefault="00E5088F" w:rsidP="00D25285">
      <w:pPr>
        <w:jc w:val="both"/>
      </w:pPr>
      <w:r w:rsidRPr="00E5088F">
        <w:t>2) oma</w:t>
      </w:r>
      <w:r w:rsidR="00BE507A">
        <w:t>b</w:t>
      </w:r>
      <w:r w:rsidRPr="00E5088F">
        <w:t xml:space="preserve"> teadmis</w:t>
      </w:r>
      <w:r w:rsidR="00BE507A">
        <w:t>i</w:t>
      </w:r>
      <w:r w:rsidRPr="00E5088F">
        <w:t xml:space="preserve"> vaimse tervise häiretest, psühholoogilisest traumast, suitsiidiriskist, stressi- ja elustiiliteguritest ning nende mõjust inimese igapäevaelule;</w:t>
      </w:r>
    </w:p>
    <w:p w14:paraId="3EF92FC1" w14:textId="77777777" w:rsidR="00E5088F" w:rsidRPr="00E5088F" w:rsidRDefault="00E5088F" w:rsidP="00D25285">
      <w:pPr>
        <w:jc w:val="both"/>
      </w:pPr>
      <w:r w:rsidRPr="00E5088F">
        <w:t>3) oskab hinnata vaimse tervise seisundit, sümptomeid ja suitsiidiriski, koostada ohutusplaane ning suunata inimene sobiva abini;</w:t>
      </w:r>
    </w:p>
    <w:p w14:paraId="78A9D43B" w14:textId="60F8CA90" w:rsidR="00E5088F" w:rsidRPr="00E5088F" w:rsidRDefault="00E5088F" w:rsidP="00D25285">
      <w:pPr>
        <w:jc w:val="both"/>
      </w:pPr>
      <w:r w:rsidRPr="00E5088F">
        <w:t>4) oskab rakendada nõustamise baastehnikaid, toetada ja motiveerida inimest eesmärkide seadmisel, probleemi</w:t>
      </w:r>
      <w:r w:rsidR="00BE507A">
        <w:t xml:space="preserve">de </w:t>
      </w:r>
      <w:r w:rsidRPr="00E5088F">
        <w:t>lahend</w:t>
      </w:r>
      <w:r w:rsidR="00BE507A">
        <w:t xml:space="preserve">amisel </w:t>
      </w:r>
      <w:r w:rsidRPr="00E5088F">
        <w:t>ja enesejuhitud muutuste protsessis;</w:t>
      </w:r>
    </w:p>
    <w:p w14:paraId="263FC276" w14:textId="288C523B" w:rsidR="00E5088F" w:rsidRPr="00E5088F" w:rsidRDefault="00E5088F" w:rsidP="00D25285">
      <w:pPr>
        <w:jc w:val="both"/>
      </w:pPr>
      <w:r w:rsidRPr="00E5088F">
        <w:t xml:space="preserve">5) järgib andmekaitse ja eetilisi põhimõtteid, austab isiku õigusi, hoiab professionaalseid piire, dokumenteerib tegevusi, kasutab digitehnoloogiaid ning tagab </w:t>
      </w:r>
      <w:r w:rsidR="00BE507A">
        <w:t>enda</w:t>
      </w:r>
      <w:r w:rsidRPr="00E5088F">
        <w:t xml:space="preserve"> ja teenusesaaja vaimse tervise hoidmise </w:t>
      </w:r>
      <w:r w:rsidR="00BE507A">
        <w:t>ja</w:t>
      </w:r>
      <w:r w:rsidRPr="00E5088F">
        <w:t xml:space="preserve"> professionaalse arengu.</w:t>
      </w:r>
    </w:p>
    <w:p w14:paraId="7713F969" w14:textId="77777777" w:rsidR="00E5088F" w:rsidRPr="00E5088F" w:rsidRDefault="00E5088F" w:rsidP="00D25285">
      <w:pPr>
        <w:jc w:val="both"/>
      </w:pPr>
    </w:p>
    <w:p w14:paraId="54543B76" w14:textId="77777777" w:rsidR="00E5088F" w:rsidRPr="00E5088F" w:rsidRDefault="00E5088F" w:rsidP="00D25285">
      <w:pPr>
        <w:jc w:val="both"/>
        <w:rPr>
          <w:b/>
          <w:bCs/>
        </w:rPr>
      </w:pPr>
      <w:r w:rsidRPr="00E5088F">
        <w:rPr>
          <w:b/>
          <w:bCs/>
        </w:rPr>
        <w:lastRenderedPageBreak/>
        <w:t>§ 3. Otsuse ja toimingu vaidlustamine</w:t>
      </w:r>
    </w:p>
    <w:p w14:paraId="3E7A03B2" w14:textId="77777777" w:rsidR="00E5088F" w:rsidRPr="00E5088F" w:rsidRDefault="00E5088F" w:rsidP="00D25285">
      <w:pPr>
        <w:jc w:val="both"/>
        <w:rPr>
          <w:b/>
          <w:bCs/>
        </w:rPr>
      </w:pPr>
    </w:p>
    <w:p w14:paraId="69EC97BB" w14:textId="77777777" w:rsidR="00E5088F" w:rsidRPr="00E5088F" w:rsidRDefault="00E5088F" w:rsidP="00D25285">
      <w:pPr>
        <w:jc w:val="both"/>
      </w:pPr>
      <w:r w:rsidRPr="00E5088F">
        <w:t>Sotsiaalministeeriumi otsust või toimingut on võimalik vaidlustada halduskohtumenetluse seadustikus sätestatud tingimustel ja korras.</w:t>
      </w:r>
    </w:p>
    <w:p w14:paraId="3485D97F" w14:textId="77777777" w:rsidR="00E5088F" w:rsidRPr="00E5088F" w:rsidRDefault="00E5088F" w:rsidP="00D25285">
      <w:pPr>
        <w:jc w:val="both"/>
        <w:rPr>
          <w:b/>
          <w:bCs/>
        </w:rPr>
      </w:pPr>
    </w:p>
    <w:p w14:paraId="0DF59A95" w14:textId="75DF0033" w:rsidR="00E5088F" w:rsidRPr="00E5088F" w:rsidRDefault="00E5088F" w:rsidP="00D25285">
      <w:pPr>
        <w:jc w:val="both"/>
      </w:pPr>
      <w:r w:rsidRPr="00E5088F">
        <w:rPr>
          <w:b/>
          <w:bCs/>
        </w:rPr>
        <w:t>§ 4. Toetuse eesmärk</w:t>
      </w:r>
    </w:p>
    <w:p w14:paraId="2237F782" w14:textId="77777777" w:rsidR="00E5088F" w:rsidRPr="00E5088F" w:rsidRDefault="00E5088F" w:rsidP="00D25285">
      <w:pPr>
        <w:jc w:val="both"/>
      </w:pPr>
    </w:p>
    <w:p w14:paraId="581F049A" w14:textId="07179FCA" w:rsidR="00E5088F" w:rsidRPr="00E5088F" w:rsidRDefault="00E5088F" w:rsidP="00D25285">
      <w:pPr>
        <w:jc w:val="both"/>
      </w:pPr>
      <w:r w:rsidRPr="00E5088F">
        <w:t>Toetust antakse eesmärgiga:</w:t>
      </w:r>
    </w:p>
    <w:p w14:paraId="390061A3" w14:textId="3059B438" w:rsidR="00E5088F" w:rsidRPr="00E5088F" w:rsidRDefault="00E5088F" w:rsidP="00D25285">
      <w:pPr>
        <w:jc w:val="both"/>
      </w:pPr>
      <w:r w:rsidRPr="00E5088F">
        <w:t xml:space="preserve">1) </w:t>
      </w:r>
      <w:r w:rsidR="00BE507A">
        <w:t>parandada</w:t>
      </w:r>
      <w:r w:rsidRPr="00E5088F">
        <w:t xml:space="preserve"> </w:t>
      </w:r>
      <w:proofErr w:type="spellStart"/>
      <w:r w:rsidRPr="00E5088F">
        <w:t>VIPS-i</w:t>
      </w:r>
      <w:proofErr w:type="spellEnd"/>
      <w:r w:rsidRPr="00E5088F">
        <w:t xml:space="preserve"> kättesaadavust;</w:t>
      </w:r>
    </w:p>
    <w:p w14:paraId="5EAE6DF3" w14:textId="7C6385C8" w:rsidR="00E5088F" w:rsidRPr="00E5088F" w:rsidRDefault="00E5088F" w:rsidP="00D25285">
      <w:pPr>
        <w:jc w:val="both"/>
      </w:pPr>
      <w:r w:rsidRPr="00E5088F">
        <w:t>2) laiendada teenusepakkujate ringi</w:t>
      </w:r>
      <w:r w:rsidR="00BE507A">
        <w:t xml:space="preserve"> spetsialistide koolitamisega</w:t>
      </w:r>
      <w:r w:rsidRPr="00E5088F">
        <w:t>;</w:t>
      </w:r>
    </w:p>
    <w:p w14:paraId="64BCE4E8" w14:textId="111047C4" w:rsidR="00E5088F" w:rsidRPr="00E5088F" w:rsidRDefault="00E5088F" w:rsidP="00D25285">
      <w:pPr>
        <w:jc w:val="both"/>
      </w:pPr>
      <w:r w:rsidRPr="00E5088F">
        <w:t>3) koguda sisendit süsteemi jätkusuutlikkuse t</w:t>
      </w:r>
      <w:r w:rsidR="00BE507A">
        <w:t>aga</w:t>
      </w:r>
      <w:r w:rsidRPr="00E5088F">
        <w:t>miseks;</w:t>
      </w:r>
    </w:p>
    <w:p w14:paraId="3DA68C1F" w14:textId="25CE9C9C" w:rsidR="00E5088F" w:rsidRPr="00E5088F" w:rsidRDefault="00E5088F" w:rsidP="00D25285">
      <w:pPr>
        <w:jc w:val="both"/>
      </w:pPr>
      <w:r w:rsidRPr="00E5088F">
        <w:t xml:space="preserve">4) toetada </w:t>
      </w:r>
      <w:proofErr w:type="spellStart"/>
      <w:r w:rsidRPr="00E5088F">
        <w:t>VIPS-</w:t>
      </w:r>
      <w:r w:rsidR="002F58AA">
        <w:t>i</w:t>
      </w:r>
      <w:r w:rsidRPr="00E5088F">
        <w:t>de</w:t>
      </w:r>
      <w:proofErr w:type="spellEnd"/>
      <w:r w:rsidRPr="00E5088F">
        <w:t xml:space="preserve"> arendamist ja laiemat rakendamist.</w:t>
      </w:r>
    </w:p>
    <w:p w14:paraId="395A540F" w14:textId="389DD24A" w:rsidR="00E5088F" w:rsidRPr="00E5088F" w:rsidRDefault="00E5088F" w:rsidP="00D25285">
      <w:pPr>
        <w:jc w:val="both"/>
      </w:pPr>
    </w:p>
    <w:p w14:paraId="59579246" w14:textId="2774311D" w:rsidR="00E5088F" w:rsidRPr="00E5088F" w:rsidRDefault="00E5088F" w:rsidP="00D25285">
      <w:pPr>
        <w:jc w:val="both"/>
      </w:pPr>
      <w:r w:rsidRPr="00E5088F">
        <w:rPr>
          <w:b/>
          <w:bCs/>
        </w:rPr>
        <w:t>§ 5. Toetatavad tegevused</w:t>
      </w:r>
      <w:r w:rsidR="005E0EFB">
        <w:rPr>
          <w:b/>
          <w:bCs/>
        </w:rPr>
        <w:t xml:space="preserve"> </w:t>
      </w:r>
      <w:r w:rsidRPr="00E5088F">
        <w:rPr>
          <w:b/>
          <w:bCs/>
        </w:rPr>
        <w:t>ja abikõlblikud kulud</w:t>
      </w:r>
    </w:p>
    <w:p w14:paraId="0F936492" w14:textId="77777777" w:rsidR="00E5088F" w:rsidRPr="00E5088F" w:rsidRDefault="00E5088F" w:rsidP="00D25285">
      <w:pPr>
        <w:jc w:val="both"/>
      </w:pPr>
    </w:p>
    <w:p w14:paraId="2485E00D" w14:textId="70A0EB6B" w:rsidR="00E5088F" w:rsidRPr="00E5088F" w:rsidRDefault="00E5088F" w:rsidP="00D25285">
      <w:pPr>
        <w:jc w:val="both"/>
      </w:pPr>
      <w:r w:rsidRPr="00E5088F">
        <w:t>(1) Toetust antakse perioodil 01.09.2025</w:t>
      </w:r>
      <w:r w:rsidR="00BE507A">
        <w:t>–</w:t>
      </w:r>
      <w:r w:rsidRPr="00E5088F">
        <w:t xml:space="preserve">31.12.2025 (edaspidi </w:t>
      </w:r>
      <w:r w:rsidRPr="00E5088F">
        <w:rPr>
          <w:i/>
          <w:iCs/>
        </w:rPr>
        <w:t>toetusperiood</w:t>
      </w:r>
      <w:r w:rsidRPr="00E5088F">
        <w:t>):</w:t>
      </w:r>
    </w:p>
    <w:p w14:paraId="3EF1103D" w14:textId="201035AA" w:rsidR="00E5088F" w:rsidRPr="00E5088F" w:rsidRDefault="00E5088F" w:rsidP="00D25285">
      <w:pPr>
        <w:jc w:val="both"/>
      </w:pPr>
      <w:r w:rsidRPr="00E5088F">
        <w:t xml:space="preserve">1) </w:t>
      </w:r>
      <w:proofErr w:type="spellStart"/>
      <w:r w:rsidRPr="00E5088F">
        <w:t>VIPS</w:t>
      </w:r>
      <w:r w:rsidR="00BE507A">
        <w:t>-i</w:t>
      </w:r>
      <w:proofErr w:type="spellEnd"/>
      <w:r w:rsidRPr="00E5088F">
        <w:t xml:space="preserve"> </w:t>
      </w:r>
      <w:r w:rsidR="00BE507A">
        <w:t xml:space="preserve">juhendi </w:t>
      </w:r>
      <w:r w:rsidRPr="00E5088F">
        <w:t>koostamiseks;</w:t>
      </w:r>
    </w:p>
    <w:p w14:paraId="4108D2DF" w14:textId="678A5FB7" w:rsidR="00E5088F" w:rsidRPr="00E5088F" w:rsidRDefault="00E5088F" w:rsidP="00D25285">
      <w:pPr>
        <w:jc w:val="both"/>
      </w:pPr>
      <w:r w:rsidRPr="00E5088F">
        <w:t xml:space="preserve">2) supervisiooniprotsessi kirjeldamiseks ja </w:t>
      </w:r>
      <w:r w:rsidR="00BE507A">
        <w:t>testimiseks</w:t>
      </w:r>
      <w:r w:rsidRPr="00E5088F">
        <w:t>;</w:t>
      </w:r>
    </w:p>
    <w:p w14:paraId="0A8E7F45" w14:textId="16793BBE" w:rsidR="00E5088F" w:rsidRPr="00E5088F" w:rsidRDefault="00E5088F" w:rsidP="00D25285">
      <w:pPr>
        <w:jc w:val="both"/>
      </w:pPr>
      <w:r w:rsidRPr="00E5088F">
        <w:t>3) VIPS</w:t>
      </w:r>
      <w:r w:rsidR="00BE507A">
        <w:t>-spetsialisti väljaõppe</w:t>
      </w:r>
      <w:r w:rsidRPr="00E5088F">
        <w:t xml:space="preserve"> koolituse ettevalmistamiseks;</w:t>
      </w:r>
    </w:p>
    <w:p w14:paraId="17B52DC5" w14:textId="77777777" w:rsidR="00E5088F" w:rsidRPr="00E5088F" w:rsidRDefault="00E5088F" w:rsidP="00D25285">
      <w:pPr>
        <w:jc w:val="both"/>
      </w:pPr>
      <w:r w:rsidRPr="00E5088F">
        <w:t>4) uute VIPS-spetsialistide koolitamiseks.</w:t>
      </w:r>
    </w:p>
    <w:p w14:paraId="1CA99EC8" w14:textId="77777777" w:rsidR="00E5088F" w:rsidRPr="00E5088F" w:rsidRDefault="00E5088F" w:rsidP="00D25285">
      <w:pPr>
        <w:jc w:val="both"/>
      </w:pPr>
    </w:p>
    <w:p w14:paraId="323D2BAF" w14:textId="6651C797" w:rsidR="00E5088F" w:rsidRPr="00E5088F" w:rsidRDefault="00E5088F" w:rsidP="00D25285">
      <w:pPr>
        <w:jc w:val="both"/>
      </w:pPr>
      <w:r w:rsidRPr="00E5088F">
        <w:t>(2) Lõike 1 punkti</w:t>
      </w:r>
      <w:r w:rsidR="00BE507A">
        <w:t>s</w:t>
      </w:r>
      <w:r w:rsidRPr="00E5088F">
        <w:t xml:space="preserve"> 4 </w:t>
      </w:r>
      <w:r w:rsidR="00BE507A">
        <w:t xml:space="preserve">nimetatud </w:t>
      </w:r>
      <w:r w:rsidRPr="00E5088F">
        <w:t>tegevuseks antakse toetust tingimusel, et koolitatav ei tööta ega osuta teenust toetuse saaja juures.</w:t>
      </w:r>
    </w:p>
    <w:p w14:paraId="6FC1A7EC" w14:textId="77777777" w:rsidR="00E5088F" w:rsidRPr="00E5088F" w:rsidRDefault="00E5088F" w:rsidP="00D25285">
      <w:pPr>
        <w:jc w:val="both"/>
      </w:pPr>
    </w:p>
    <w:p w14:paraId="7353F048" w14:textId="01628428" w:rsidR="00E5088F" w:rsidRPr="00E5088F" w:rsidRDefault="00E5088F" w:rsidP="00D25285">
      <w:pPr>
        <w:jc w:val="both"/>
      </w:pPr>
      <w:r w:rsidRPr="00E5088F">
        <w:t xml:space="preserve">(3) Abikõlblikud on kulud, mis on põhjendatud </w:t>
      </w:r>
      <w:r w:rsidR="00BE507A">
        <w:t xml:space="preserve">ning </w:t>
      </w:r>
      <w:r w:rsidRPr="00E5088F">
        <w:t>vajalikud projekti eesmärgi ja tulemuste saavutamiseks.</w:t>
      </w:r>
    </w:p>
    <w:p w14:paraId="7635FB8E" w14:textId="77777777" w:rsidR="00E5088F" w:rsidRPr="00E5088F" w:rsidRDefault="00E5088F" w:rsidP="00D25285">
      <w:pPr>
        <w:jc w:val="both"/>
      </w:pPr>
    </w:p>
    <w:p w14:paraId="10006B1A" w14:textId="77777777" w:rsidR="00E5088F" w:rsidRPr="00E5088F" w:rsidRDefault="00E5088F" w:rsidP="00D25285">
      <w:pPr>
        <w:jc w:val="both"/>
      </w:pPr>
      <w:r w:rsidRPr="00E5088F">
        <w:t>(4) Kulu on abikõlblik, kui see on:</w:t>
      </w:r>
    </w:p>
    <w:p w14:paraId="7B19894D" w14:textId="77777777" w:rsidR="00E5088F" w:rsidRPr="00E5088F" w:rsidRDefault="00E5088F" w:rsidP="00D25285">
      <w:pPr>
        <w:jc w:val="both"/>
      </w:pPr>
      <w:r w:rsidRPr="00E5088F">
        <w:t>1) tekkinud toetusperioodil ja aruande esitamise ajaks tasutud;</w:t>
      </w:r>
    </w:p>
    <w:p w14:paraId="1DB54C68" w14:textId="77777777" w:rsidR="00E5088F" w:rsidRPr="00E5088F" w:rsidRDefault="00E5088F" w:rsidP="00D25285">
      <w:pPr>
        <w:jc w:val="both"/>
      </w:pPr>
      <w:r w:rsidRPr="00E5088F">
        <w:t>2) tasutud toetuse saaja arvelduskontolt;</w:t>
      </w:r>
    </w:p>
    <w:p w14:paraId="4F40E7F4" w14:textId="77777777" w:rsidR="00E5088F" w:rsidRPr="00E5088F" w:rsidRDefault="00E5088F" w:rsidP="00D25285">
      <w:pPr>
        <w:jc w:val="both"/>
      </w:pPr>
      <w:r w:rsidRPr="00E5088F">
        <w:t>3) tõendatav algdokumentidega ja ülekannete tegemist tõendava maksedokumendiga;</w:t>
      </w:r>
    </w:p>
    <w:p w14:paraId="080F61FF" w14:textId="03C2A958" w:rsidR="00E5088F" w:rsidRPr="00E5088F" w:rsidRDefault="00E5088F" w:rsidP="00D25285">
      <w:pPr>
        <w:jc w:val="both"/>
      </w:pPr>
      <w:r w:rsidRPr="00E5088F">
        <w:t xml:space="preserve">4) vastav </w:t>
      </w:r>
      <w:r w:rsidR="00BE507A">
        <w:t>kohaldatavatest</w:t>
      </w:r>
      <w:r w:rsidRPr="00E5088F">
        <w:t xml:space="preserve"> õigusaktidest tulenevatele nõuetele ja toetuse saaja raamatupidamise </w:t>
      </w:r>
      <w:proofErr w:type="spellStart"/>
      <w:r w:rsidRPr="00E5088F">
        <w:t>sise</w:t>
      </w:r>
      <w:proofErr w:type="spellEnd"/>
      <w:r w:rsidRPr="00E5088F">
        <w:t>-eeskirjale;</w:t>
      </w:r>
    </w:p>
    <w:p w14:paraId="512F2BC2" w14:textId="7154206A" w:rsidR="00E5088F" w:rsidRPr="00E5088F" w:rsidRDefault="00E5088F" w:rsidP="00D25285">
      <w:pPr>
        <w:jc w:val="both"/>
      </w:pPr>
      <w:r w:rsidRPr="00E5088F">
        <w:t>5) selgelt eristatavalt kirje</w:t>
      </w:r>
      <w:r w:rsidR="006E38D8">
        <w:t>l</w:t>
      </w:r>
      <w:r w:rsidRPr="00E5088F">
        <w:t>datud raamatupidamises ja kontrollitav.</w:t>
      </w:r>
    </w:p>
    <w:p w14:paraId="19AE8D31" w14:textId="77777777" w:rsidR="00E5088F" w:rsidRPr="00E5088F" w:rsidRDefault="00E5088F" w:rsidP="00D25285">
      <w:pPr>
        <w:jc w:val="both"/>
      </w:pPr>
    </w:p>
    <w:p w14:paraId="586B50DD" w14:textId="2879639D" w:rsidR="00E5088F" w:rsidRPr="00E5088F" w:rsidRDefault="00E5088F" w:rsidP="00D25285">
      <w:pPr>
        <w:jc w:val="both"/>
      </w:pPr>
      <w:r w:rsidRPr="00E5088F">
        <w:t xml:space="preserve">(5) Toetuse saaja raamatupidamise </w:t>
      </w:r>
      <w:proofErr w:type="spellStart"/>
      <w:r w:rsidRPr="00E5088F">
        <w:t>sise</w:t>
      </w:r>
      <w:proofErr w:type="spellEnd"/>
      <w:r w:rsidRPr="00E5088F">
        <w:t xml:space="preserve">-eeskiri ja auditeerimise kord peavad võimaldama projekti finantsaruandes esitatud kulude otsest võrdlust </w:t>
      </w:r>
      <w:r w:rsidR="00BE507A">
        <w:t>asjakohaste</w:t>
      </w:r>
      <w:r w:rsidRPr="00E5088F">
        <w:t xml:space="preserve"> raamatupidamisaruannete ja tõendavate dokumentidega.</w:t>
      </w:r>
    </w:p>
    <w:p w14:paraId="280A13BD" w14:textId="77777777" w:rsidR="00E5088F" w:rsidRPr="00E5088F" w:rsidRDefault="00E5088F" w:rsidP="00D25285">
      <w:pPr>
        <w:jc w:val="both"/>
      </w:pPr>
    </w:p>
    <w:p w14:paraId="25A41141" w14:textId="77777777" w:rsidR="00E5088F" w:rsidRPr="00E5088F" w:rsidRDefault="00E5088F" w:rsidP="00D25285">
      <w:pPr>
        <w:jc w:val="both"/>
        <w:rPr>
          <w:b/>
          <w:bCs/>
        </w:rPr>
      </w:pPr>
      <w:r w:rsidRPr="00E5088F">
        <w:rPr>
          <w:b/>
          <w:bCs/>
        </w:rPr>
        <w:t xml:space="preserve">§ 6. Toetuse suurus </w:t>
      </w:r>
    </w:p>
    <w:p w14:paraId="2236AB0E" w14:textId="77777777" w:rsidR="00E5088F" w:rsidRPr="00E5088F" w:rsidRDefault="00E5088F" w:rsidP="00D25285">
      <w:pPr>
        <w:jc w:val="both"/>
      </w:pPr>
    </w:p>
    <w:p w14:paraId="264CF3A8" w14:textId="14DE4C32" w:rsidR="00E5088F" w:rsidRPr="00E5088F" w:rsidRDefault="00E5088F" w:rsidP="00D25285">
      <w:pPr>
        <w:jc w:val="both"/>
      </w:pPr>
      <w:r w:rsidRPr="00E5088F">
        <w:t>(1) Toetuse suurus taotleja kohta on minimaalselt 15 000 eurot ja maksimaalselt 30 000 eurot.</w:t>
      </w:r>
    </w:p>
    <w:p w14:paraId="712C3704" w14:textId="77777777" w:rsidR="00E5088F" w:rsidRPr="00E5088F" w:rsidRDefault="00E5088F" w:rsidP="00D25285">
      <w:pPr>
        <w:jc w:val="both"/>
      </w:pPr>
    </w:p>
    <w:p w14:paraId="48477D21" w14:textId="13DA3D51" w:rsidR="00E5088F" w:rsidRPr="00E5088F" w:rsidRDefault="00E5088F" w:rsidP="00D25285">
      <w:pPr>
        <w:jc w:val="both"/>
      </w:pPr>
      <w:r w:rsidRPr="00E5088F">
        <w:t>(2) Põhjendatud juhul võib toetuse andja toetada</w:t>
      </w:r>
      <w:r w:rsidR="0091774F">
        <w:t xml:space="preserve"> taotlusprojekte, mille toetuse suurus erineb</w:t>
      </w:r>
      <w:r w:rsidRPr="00E5088F">
        <w:t xml:space="preserve"> lõikes 1 </w:t>
      </w:r>
      <w:r w:rsidR="0091774F">
        <w:t>sätestatust</w:t>
      </w:r>
      <w:r w:rsidRPr="00E5088F">
        <w:t>.</w:t>
      </w:r>
    </w:p>
    <w:p w14:paraId="79982B62" w14:textId="77777777" w:rsidR="00E5088F" w:rsidRPr="00E5088F" w:rsidRDefault="00E5088F" w:rsidP="00D25285">
      <w:pPr>
        <w:jc w:val="both"/>
        <w:rPr>
          <w:b/>
          <w:bCs/>
        </w:rPr>
      </w:pPr>
    </w:p>
    <w:p w14:paraId="5DC54AFB" w14:textId="77777777" w:rsidR="00E5088F" w:rsidRPr="00E5088F" w:rsidRDefault="00E5088F" w:rsidP="00D25285">
      <w:pPr>
        <w:jc w:val="both"/>
        <w:rPr>
          <w:b/>
          <w:bCs/>
        </w:rPr>
      </w:pPr>
      <w:r w:rsidRPr="00E5088F">
        <w:rPr>
          <w:b/>
          <w:bCs/>
        </w:rPr>
        <w:t>§ 7. Riigiabi</w:t>
      </w:r>
    </w:p>
    <w:p w14:paraId="74DA6D1A" w14:textId="77777777" w:rsidR="00E5088F" w:rsidRPr="00E5088F" w:rsidRDefault="00E5088F" w:rsidP="00D25285">
      <w:pPr>
        <w:jc w:val="both"/>
        <w:rPr>
          <w:b/>
          <w:bCs/>
        </w:rPr>
      </w:pPr>
    </w:p>
    <w:p w14:paraId="7A986A30" w14:textId="77777777" w:rsidR="00E5088F" w:rsidRPr="00E5088F" w:rsidRDefault="00E5088F" w:rsidP="00D25285">
      <w:pPr>
        <w:jc w:val="both"/>
      </w:pPr>
      <w:r w:rsidRPr="00E5088F">
        <w:t>Määruse raames antav toetus ei ole riigiabi Euroopa Liidu toimimise lepingu artikli 107 lõike 1 tähenduses.</w:t>
      </w:r>
    </w:p>
    <w:p w14:paraId="442EBB6F" w14:textId="77777777" w:rsidR="00E5088F" w:rsidRPr="00E5088F" w:rsidRDefault="00E5088F" w:rsidP="00D25285">
      <w:pPr>
        <w:jc w:val="both"/>
      </w:pPr>
    </w:p>
    <w:p w14:paraId="4FD95EE0" w14:textId="59FD625E" w:rsidR="00E5088F" w:rsidRPr="00E5088F" w:rsidRDefault="00E5088F" w:rsidP="00D25285">
      <w:pPr>
        <w:jc w:val="both"/>
      </w:pPr>
      <w:r w:rsidRPr="00E5088F">
        <w:rPr>
          <w:b/>
          <w:bCs/>
        </w:rPr>
        <w:t>§ 8. Nõuded taotlejale</w:t>
      </w:r>
    </w:p>
    <w:p w14:paraId="61199123" w14:textId="77777777" w:rsidR="00E5088F" w:rsidRPr="00E5088F" w:rsidRDefault="00E5088F" w:rsidP="00D25285">
      <w:pPr>
        <w:jc w:val="both"/>
      </w:pPr>
      <w:r w:rsidRPr="00E5088F">
        <w:t> </w:t>
      </w:r>
    </w:p>
    <w:p w14:paraId="2CE1DCC8" w14:textId="4B4B7A60" w:rsidR="00E5088F" w:rsidRPr="00E5088F" w:rsidRDefault="00E5088F" w:rsidP="00D25285">
      <w:pPr>
        <w:jc w:val="both"/>
      </w:pPr>
      <w:r w:rsidRPr="00E5088F">
        <w:t>Toetust võib taotleda juriidiline isik või füüsilisest isikust ettevõtja:</w:t>
      </w:r>
    </w:p>
    <w:p w14:paraId="6FDFC22A" w14:textId="29A28846" w:rsidR="00E5088F" w:rsidRPr="00E5088F" w:rsidRDefault="00E5088F" w:rsidP="00D25285">
      <w:pPr>
        <w:jc w:val="both"/>
      </w:pPr>
      <w:r w:rsidRPr="00E5088F">
        <w:t>1) kellel ei ole taotluse esitamise ajal riiklike maksude maksuvõlga või see on ajatatud;</w:t>
      </w:r>
    </w:p>
    <w:p w14:paraId="7628B978" w14:textId="5B529F46" w:rsidR="00E5088F" w:rsidRPr="00E5088F" w:rsidRDefault="00E5088F" w:rsidP="00D25285">
      <w:pPr>
        <w:jc w:val="both"/>
      </w:pPr>
      <w:r w:rsidRPr="00E5088F">
        <w:t>2) kes on täitnud maksudeklaratsioonide esitamise kohustuse;</w:t>
      </w:r>
    </w:p>
    <w:p w14:paraId="1360264F" w14:textId="0BB522F7" w:rsidR="00E5088F" w:rsidRPr="00E5088F" w:rsidRDefault="00E5088F" w:rsidP="00D25285">
      <w:pPr>
        <w:jc w:val="both"/>
      </w:pPr>
      <w:r w:rsidRPr="00E5088F">
        <w:lastRenderedPageBreak/>
        <w:t>3) kellel ei ole taotluse esitamise</w:t>
      </w:r>
      <w:r w:rsidR="0091774F">
        <w:t xml:space="preserve"> aja</w:t>
      </w:r>
      <w:r w:rsidRPr="00E5088F">
        <w:t>l täitmata kohustusi toetuse andja ees.</w:t>
      </w:r>
    </w:p>
    <w:p w14:paraId="6AAA65F6" w14:textId="3F0B0BBD" w:rsidR="00E5088F" w:rsidRPr="00E5088F" w:rsidRDefault="00E5088F" w:rsidP="00D25285">
      <w:pPr>
        <w:jc w:val="both"/>
      </w:pPr>
    </w:p>
    <w:p w14:paraId="2616703A" w14:textId="25CE195E" w:rsidR="00E5088F" w:rsidRPr="00E5088F" w:rsidRDefault="00E5088F" w:rsidP="00D25285">
      <w:pPr>
        <w:jc w:val="both"/>
      </w:pPr>
      <w:r w:rsidRPr="00E5088F">
        <w:rPr>
          <w:b/>
          <w:bCs/>
        </w:rPr>
        <w:t>§ 9. Nõuded taotlusele</w:t>
      </w:r>
    </w:p>
    <w:p w14:paraId="45DC1D16" w14:textId="77777777" w:rsidR="00E5088F" w:rsidRPr="00E5088F" w:rsidRDefault="00E5088F" w:rsidP="00D25285">
      <w:pPr>
        <w:jc w:val="both"/>
      </w:pPr>
    </w:p>
    <w:p w14:paraId="2854C1CA" w14:textId="6EAFFE77" w:rsidR="00E5088F" w:rsidRPr="00E5088F" w:rsidRDefault="00E5088F" w:rsidP="00D25285">
      <w:pPr>
        <w:jc w:val="both"/>
      </w:pPr>
      <w:r w:rsidRPr="00E5088F">
        <w:t>(1) Taotlus peab vastama järgmistele nõuetele:</w:t>
      </w:r>
    </w:p>
    <w:p w14:paraId="569B3255" w14:textId="70C21AD5" w:rsidR="00E5088F" w:rsidRPr="00E5088F" w:rsidRDefault="00E5088F" w:rsidP="00D25285">
      <w:pPr>
        <w:jc w:val="both"/>
      </w:pPr>
      <w:r w:rsidRPr="00E5088F">
        <w:t xml:space="preserve">1) taotlus on esitatud lisas 1 </w:t>
      </w:r>
      <w:r w:rsidR="0091774F">
        <w:t>esitatud</w:t>
      </w:r>
      <w:r w:rsidRPr="00E5088F">
        <w:t xml:space="preserve"> vormi</w:t>
      </w:r>
      <w:r w:rsidR="0091774F">
        <w:t xml:space="preserve"> kohaselt</w:t>
      </w:r>
      <w:r w:rsidRPr="00E5088F">
        <w:t>;</w:t>
      </w:r>
    </w:p>
    <w:p w14:paraId="1AE6B974" w14:textId="77777777" w:rsidR="00E5088F" w:rsidRPr="00E5088F" w:rsidRDefault="00E5088F" w:rsidP="00D25285">
      <w:pPr>
        <w:jc w:val="both"/>
      </w:pPr>
      <w:r w:rsidRPr="00E5088F">
        <w:t>2) taotlus sisaldab toetatavate tegevuste kirjeldust;</w:t>
      </w:r>
    </w:p>
    <w:p w14:paraId="20655110" w14:textId="53374B0B" w:rsidR="00E5088F" w:rsidRPr="00E5088F" w:rsidRDefault="00E5088F" w:rsidP="00D25285">
      <w:pPr>
        <w:jc w:val="both"/>
      </w:pPr>
      <w:r w:rsidRPr="00E5088F">
        <w:t xml:space="preserve">3) partneri kaasamisel </w:t>
      </w:r>
      <w:r w:rsidR="0091774F">
        <w:t>korral sisaldab taotlus sellekohast teavet</w:t>
      </w:r>
      <w:r w:rsidRPr="00E5088F">
        <w:t>;</w:t>
      </w:r>
    </w:p>
    <w:p w14:paraId="69E395F2" w14:textId="7149994B" w:rsidR="00E5088F" w:rsidRPr="00E5088F" w:rsidRDefault="00E5088F" w:rsidP="00D25285">
      <w:pPr>
        <w:jc w:val="both"/>
      </w:pPr>
      <w:r w:rsidRPr="00E5088F">
        <w:t xml:space="preserve">4) </w:t>
      </w:r>
      <w:r w:rsidR="0091774F">
        <w:t xml:space="preserve">taotlus sisaldab </w:t>
      </w:r>
      <w:r w:rsidRPr="00E5088F">
        <w:t>tegevuste väljund- ja tulemusnäitajaid;</w:t>
      </w:r>
    </w:p>
    <w:p w14:paraId="5AFC5B86" w14:textId="4E692E4A" w:rsidR="00E5088F" w:rsidRPr="00E5088F" w:rsidRDefault="00E5088F" w:rsidP="00D25285">
      <w:pPr>
        <w:jc w:val="both"/>
      </w:pPr>
      <w:r w:rsidRPr="00E5088F">
        <w:t xml:space="preserve">5) </w:t>
      </w:r>
      <w:r w:rsidR="0091774F">
        <w:t xml:space="preserve">taotlus sisaldab </w:t>
      </w:r>
      <w:r w:rsidRPr="00E5088F">
        <w:t>taotletavat summat ja selle osakaalu abikõlblikest kuludest;</w:t>
      </w:r>
    </w:p>
    <w:p w14:paraId="1E501220" w14:textId="618C441B" w:rsidR="00E5088F" w:rsidRPr="00E5088F" w:rsidRDefault="00E5088F" w:rsidP="00D25285">
      <w:pPr>
        <w:jc w:val="both"/>
      </w:pPr>
      <w:r w:rsidRPr="00E5088F">
        <w:t>6) taotlus sisaldab määruses nõutud teavet, mis on asjakohane, ammendav ja õige;</w:t>
      </w:r>
    </w:p>
    <w:p w14:paraId="00D4256E" w14:textId="5D1D9AD8" w:rsidR="00E5088F" w:rsidRPr="00E5088F" w:rsidRDefault="00640CCB" w:rsidP="00D25285">
      <w:pPr>
        <w:jc w:val="both"/>
      </w:pPr>
      <w:r>
        <w:t>7</w:t>
      </w:r>
      <w:r w:rsidR="00E5088F" w:rsidRPr="00E5088F">
        <w:t>) taotlus</w:t>
      </w:r>
      <w:r w:rsidR="0091774F">
        <w:t>e</w:t>
      </w:r>
      <w:r w:rsidR="00E5088F" w:rsidRPr="00E5088F">
        <w:t xml:space="preserve"> on digitaalselt allkirjasta</w:t>
      </w:r>
      <w:r w:rsidR="0091774F">
        <w:t>nud</w:t>
      </w:r>
      <w:r w:rsidR="00E5088F" w:rsidRPr="00E5088F">
        <w:t xml:space="preserve"> esindusõigust omav isik.</w:t>
      </w:r>
    </w:p>
    <w:p w14:paraId="65AC8B3B" w14:textId="77777777" w:rsidR="00E5088F" w:rsidRPr="00E5088F" w:rsidRDefault="00E5088F" w:rsidP="00D25285">
      <w:pPr>
        <w:jc w:val="both"/>
      </w:pPr>
    </w:p>
    <w:p w14:paraId="27663EF6" w14:textId="77777777" w:rsidR="00E5088F" w:rsidRPr="00E5088F" w:rsidRDefault="00E5088F" w:rsidP="00D25285">
      <w:pPr>
        <w:jc w:val="both"/>
      </w:pPr>
      <w:r w:rsidRPr="00E5088F">
        <w:t>(2) Toetusest ei rahastata seda kulu osa, mille katteks on juba toetust eraldatud või makstud Euroopa Regionaalarengu Fondi, Euroopa Sotsiaalfondi või Ühtekuuluvusfondi vahenditest või teisest meetmest või riigieelarve või muu avaliku sektori või muudest välisabi vahenditest.</w:t>
      </w:r>
    </w:p>
    <w:p w14:paraId="188A3138" w14:textId="11C25C77" w:rsidR="00E5088F" w:rsidRPr="00E5088F" w:rsidRDefault="00E5088F" w:rsidP="00D25285">
      <w:pPr>
        <w:jc w:val="both"/>
      </w:pPr>
    </w:p>
    <w:p w14:paraId="088F009F" w14:textId="77777777" w:rsidR="00E5088F" w:rsidRPr="00E5088F" w:rsidRDefault="00E5088F" w:rsidP="00D25285">
      <w:pPr>
        <w:jc w:val="both"/>
      </w:pPr>
      <w:r w:rsidRPr="00E5088F">
        <w:rPr>
          <w:b/>
          <w:bCs/>
        </w:rPr>
        <w:t>§ 10. Toetuse taotlemine</w:t>
      </w:r>
      <w:r w:rsidRPr="00E5088F">
        <w:t> </w:t>
      </w:r>
    </w:p>
    <w:p w14:paraId="71178DFA" w14:textId="77777777" w:rsidR="00E5088F" w:rsidRPr="00E5088F" w:rsidRDefault="00E5088F" w:rsidP="00D25285">
      <w:pPr>
        <w:jc w:val="both"/>
      </w:pPr>
    </w:p>
    <w:p w14:paraId="2FAEB532" w14:textId="6861EF16" w:rsidR="00E5088F" w:rsidRPr="00E5088F" w:rsidRDefault="00E5088F" w:rsidP="00D25285">
      <w:pPr>
        <w:jc w:val="both"/>
      </w:pPr>
      <w:r w:rsidRPr="00E5088F">
        <w:t xml:space="preserve">(1) Toetuse taotlemine toimub jooksvalt alates taotlusvooru avamisest kuni </w:t>
      </w:r>
      <w:r w:rsidR="00640CCB" w:rsidRPr="00640CCB">
        <w:t>taotlusvooru avamise teates nimetatud tähtpäevani</w:t>
      </w:r>
      <w:r w:rsidR="00640CCB" w:rsidRPr="00E5088F">
        <w:t xml:space="preserve"> või</w:t>
      </w:r>
      <w:r w:rsidRPr="00E5088F">
        <w:t xml:space="preserve"> eelarve ammendumiseni.</w:t>
      </w:r>
    </w:p>
    <w:p w14:paraId="5C69FEED" w14:textId="77777777" w:rsidR="00E5088F" w:rsidRPr="00E5088F" w:rsidRDefault="00E5088F" w:rsidP="00D25285">
      <w:pPr>
        <w:jc w:val="both"/>
      </w:pPr>
    </w:p>
    <w:p w14:paraId="6965BA0A" w14:textId="0B50DC0E" w:rsidR="00E5088F" w:rsidRPr="00E5088F" w:rsidRDefault="00E5088F" w:rsidP="00D25285">
      <w:pPr>
        <w:jc w:val="both"/>
      </w:pPr>
      <w:r w:rsidRPr="00E5088F">
        <w:t>(2) Toetuse andja avaldab</w:t>
      </w:r>
      <w:r w:rsidR="0091774F">
        <w:t xml:space="preserve"> teabe</w:t>
      </w:r>
      <w:r w:rsidRPr="00E5088F">
        <w:t xml:space="preserve"> taotlusvooru </w:t>
      </w:r>
      <w:r w:rsidR="0091774F">
        <w:t>kohta oma veebilehel</w:t>
      </w:r>
      <w:r w:rsidRPr="00E5088F">
        <w:t>.</w:t>
      </w:r>
    </w:p>
    <w:p w14:paraId="7E9EF9B4" w14:textId="77777777" w:rsidR="00E5088F" w:rsidRPr="00E5088F" w:rsidRDefault="00E5088F" w:rsidP="00D25285">
      <w:pPr>
        <w:jc w:val="both"/>
      </w:pPr>
    </w:p>
    <w:p w14:paraId="33DE7A0F" w14:textId="101DFF21" w:rsidR="00E5088F" w:rsidRPr="00E5088F" w:rsidRDefault="00E5088F" w:rsidP="00D25285">
      <w:pPr>
        <w:jc w:val="both"/>
      </w:pPr>
      <w:r w:rsidRPr="00E5088F">
        <w:t>(3) Toetuse taotleja esitab taotluse</w:t>
      </w:r>
      <w:r w:rsidR="0091774F">
        <w:t>,</w:t>
      </w:r>
      <w:r w:rsidRPr="00E5088F">
        <w:t xml:space="preserve"> lähtudes lisas 1 </w:t>
      </w:r>
      <w:r w:rsidR="0091774F">
        <w:t xml:space="preserve">esitatud </w:t>
      </w:r>
      <w:r w:rsidRPr="00E5088F">
        <w:t>taotlusvormist.</w:t>
      </w:r>
    </w:p>
    <w:p w14:paraId="78FD5B1A" w14:textId="69D14A2F" w:rsidR="00E5088F" w:rsidRPr="00E5088F" w:rsidRDefault="00E5088F" w:rsidP="00D25285">
      <w:pPr>
        <w:jc w:val="both"/>
      </w:pPr>
    </w:p>
    <w:p w14:paraId="2A9CE37E" w14:textId="1D17EBEE" w:rsidR="00E5088F" w:rsidRPr="00E5088F" w:rsidRDefault="00E5088F" w:rsidP="00D25285">
      <w:pPr>
        <w:jc w:val="both"/>
      </w:pPr>
      <w:r w:rsidRPr="00E5088F">
        <w:rPr>
          <w:b/>
          <w:bCs/>
        </w:rPr>
        <w:t>§ 11. Taotluse menet</w:t>
      </w:r>
      <w:r w:rsidR="0091774F">
        <w:rPr>
          <w:b/>
          <w:bCs/>
        </w:rPr>
        <w:t>lemine</w:t>
      </w:r>
    </w:p>
    <w:p w14:paraId="5FD013BE" w14:textId="77777777" w:rsidR="00E5088F" w:rsidRPr="00E5088F" w:rsidRDefault="00E5088F" w:rsidP="00D25285">
      <w:pPr>
        <w:jc w:val="both"/>
      </w:pPr>
    </w:p>
    <w:p w14:paraId="4C9237FD" w14:textId="39C2D0CB" w:rsidR="00E5088F" w:rsidRPr="00E5088F" w:rsidRDefault="00E5088F" w:rsidP="00D25285">
      <w:pPr>
        <w:jc w:val="both"/>
      </w:pPr>
      <w:r w:rsidRPr="00E5088F">
        <w:t>(1) Taotluse menetl</w:t>
      </w:r>
      <w:r w:rsidR="0091774F">
        <w:t>emine</w:t>
      </w:r>
      <w:r w:rsidRPr="00E5088F">
        <w:t xml:space="preserve"> koosneb taotluse vastavuse kontrollimisest, taotluse hindamisest </w:t>
      </w:r>
      <w:r w:rsidR="0091774F">
        <w:t>ja</w:t>
      </w:r>
      <w:r w:rsidRPr="00E5088F">
        <w:t xml:space="preserve"> taotluse rahuldamise või rahuldamata jätmise otsuse tegemisest koos toetuse määramisega taotluse rahuldamise korral.</w:t>
      </w:r>
    </w:p>
    <w:p w14:paraId="207AC831" w14:textId="77777777" w:rsidR="00E5088F" w:rsidRPr="00E5088F" w:rsidRDefault="00E5088F" w:rsidP="00D25285">
      <w:pPr>
        <w:jc w:val="both"/>
      </w:pPr>
    </w:p>
    <w:p w14:paraId="215ECD21" w14:textId="01D0D298" w:rsidR="00E5088F" w:rsidRPr="00E5088F" w:rsidRDefault="00E5088F" w:rsidP="00D25285">
      <w:pPr>
        <w:jc w:val="both"/>
      </w:pPr>
      <w:r w:rsidRPr="00E5088F">
        <w:t>(2) Kui taotluses esineb puudusi, annab toetuse andja taotluse esitajale kolm tööpäeva puuduste kõrvaldamiseks. Tähtpäevaks puuduste kõrvaldamata jätmise</w:t>
      </w:r>
      <w:r w:rsidR="00EE6558">
        <w:t xml:space="preserve"> korral</w:t>
      </w:r>
      <w:r w:rsidRPr="00E5088F">
        <w:t xml:space="preserve"> võib toetuse andja jätta taotluse läbi vaatamata.</w:t>
      </w:r>
    </w:p>
    <w:p w14:paraId="4CF02FD9" w14:textId="77777777" w:rsidR="00E5088F" w:rsidRPr="00E5088F" w:rsidRDefault="00E5088F" w:rsidP="00D25285">
      <w:pPr>
        <w:jc w:val="both"/>
      </w:pPr>
    </w:p>
    <w:p w14:paraId="35686EE6" w14:textId="7F13ACD3" w:rsidR="00E5088F" w:rsidRPr="00E5088F" w:rsidRDefault="00E5088F" w:rsidP="00D25285">
      <w:pPr>
        <w:jc w:val="both"/>
      </w:pPr>
      <w:r w:rsidRPr="00E5088F">
        <w:t xml:space="preserve">(3) </w:t>
      </w:r>
      <w:r w:rsidR="00EE6558">
        <w:t>Väljaspool avatud taotlusvooru esitatud taotlusi menetlusse ei võeta ning sellest teavitatakse</w:t>
      </w:r>
      <w:r w:rsidRPr="00E5088F">
        <w:t xml:space="preserve"> taotlejat kolme tööpäeva jooksul taotluse esitamisest</w:t>
      </w:r>
      <w:r w:rsidR="00EE6558">
        <w:t xml:space="preserve"> </w:t>
      </w:r>
      <w:r w:rsidR="00EE6558" w:rsidRPr="00E5088F">
        <w:t>arvates</w:t>
      </w:r>
      <w:r w:rsidRPr="00E5088F">
        <w:t>.</w:t>
      </w:r>
    </w:p>
    <w:p w14:paraId="027349F2" w14:textId="77777777" w:rsidR="00E5088F" w:rsidRPr="00E5088F" w:rsidRDefault="00E5088F" w:rsidP="00D25285">
      <w:pPr>
        <w:jc w:val="both"/>
      </w:pPr>
      <w:r w:rsidRPr="00E5088F">
        <w:t> </w:t>
      </w:r>
    </w:p>
    <w:p w14:paraId="1BE87AF8" w14:textId="7E657205" w:rsidR="00E5088F" w:rsidRPr="00E5088F" w:rsidRDefault="00E5088F" w:rsidP="00D25285">
      <w:pPr>
        <w:jc w:val="both"/>
      </w:pPr>
      <w:r w:rsidRPr="00E5088F">
        <w:t xml:space="preserve">(4) Taotluse rahuldamine või rahuldamata jätmine otsustatakse </w:t>
      </w:r>
      <w:r w:rsidR="00EE6558">
        <w:t xml:space="preserve">kümne </w:t>
      </w:r>
      <w:r w:rsidRPr="00E5088F">
        <w:t>tööpäeva jooksul</w:t>
      </w:r>
      <w:r w:rsidR="00EE6558">
        <w:t xml:space="preserve"> selle esitamisest arvates</w:t>
      </w:r>
      <w:r w:rsidRPr="00E5088F">
        <w:t>.</w:t>
      </w:r>
    </w:p>
    <w:p w14:paraId="40C23C76" w14:textId="77777777" w:rsidR="00E5088F" w:rsidRPr="00E5088F" w:rsidRDefault="00E5088F" w:rsidP="00D25285">
      <w:pPr>
        <w:jc w:val="both"/>
      </w:pPr>
    </w:p>
    <w:p w14:paraId="76964678" w14:textId="14D4266D" w:rsidR="00E5088F" w:rsidRPr="00E5088F" w:rsidRDefault="00E5088F" w:rsidP="00D25285">
      <w:pPr>
        <w:jc w:val="both"/>
      </w:pPr>
      <w:r w:rsidRPr="00E5088F">
        <w:rPr>
          <w:b/>
          <w:bCs/>
        </w:rPr>
        <w:t>§ 12. Taotluste hindamine, valikukriteeriumid ja valiku kord</w:t>
      </w:r>
    </w:p>
    <w:p w14:paraId="7E1A4DFF" w14:textId="77777777" w:rsidR="00E5088F" w:rsidRPr="00E5088F" w:rsidRDefault="00E5088F" w:rsidP="00D25285">
      <w:pPr>
        <w:jc w:val="both"/>
      </w:pPr>
    </w:p>
    <w:p w14:paraId="522F18C3" w14:textId="29D2D9C6" w:rsidR="00E5088F" w:rsidRPr="00E5088F" w:rsidRDefault="00E5088F" w:rsidP="00D25285">
      <w:pPr>
        <w:jc w:val="both"/>
      </w:pPr>
      <w:r w:rsidRPr="00E5088F">
        <w:t>(1) Taotluste hindamise</w:t>
      </w:r>
      <w:r w:rsidR="00EE6558">
        <w:t xml:space="preserve"> kord</w:t>
      </w:r>
      <w:r w:rsidRPr="00E5088F">
        <w:t xml:space="preserve"> kehtestatakse valdkonna eest vastutava ministri käskkirjaga </w:t>
      </w:r>
      <w:r w:rsidR="00EE6558">
        <w:t xml:space="preserve">ning </w:t>
      </w:r>
      <w:r w:rsidRPr="00E5088F">
        <w:t>taotluste hindamise</w:t>
      </w:r>
      <w:r w:rsidR="00EE6558">
        <w:t>ks</w:t>
      </w:r>
      <w:r w:rsidRPr="00E5088F">
        <w:t xml:space="preserve"> moodustatakse vähemalt kolmeliikmeline hindamiskomisjon (edaspidi </w:t>
      </w:r>
      <w:r w:rsidRPr="00085FA4">
        <w:rPr>
          <w:i/>
          <w:iCs/>
        </w:rPr>
        <w:t>komisjon</w:t>
      </w:r>
      <w:r w:rsidRPr="00E5088F">
        <w:t>).</w:t>
      </w:r>
    </w:p>
    <w:p w14:paraId="73D5C4AF" w14:textId="77777777" w:rsidR="00E5088F" w:rsidRPr="00E5088F" w:rsidRDefault="00E5088F" w:rsidP="00D25285">
      <w:pPr>
        <w:jc w:val="both"/>
      </w:pPr>
    </w:p>
    <w:p w14:paraId="6AE7513A" w14:textId="18F940EC" w:rsidR="00E5088F" w:rsidRPr="00E5088F" w:rsidRDefault="00E5088F" w:rsidP="00D25285">
      <w:pPr>
        <w:jc w:val="both"/>
      </w:pPr>
      <w:r w:rsidRPr="00E5088F">
        <w:t>(2) Komisjon hindab taotlus</w:t>
      </w:r>
      <w:r w:rsidR="00EE6558">
        <w:t>i</w:t>
      </w:r>
      <w:r w:rsidRPr="00E5088F">
        <w:t xml:space="preserve"> järgmiste hindamiskriteeriumite järgi:</w:t>
      </w:r>
    </w:p>
    <w:p w14:paraId="47240E63" w14:textId="2D3C55DB" w:rsidR="00E5088F" w:rsidRPr="00E5088F" w:rsidRDefault="00E5088F" w:rsidP="00D25285">
      <w:pPr>
        <w:jc w:val="both"/>
      </w:pPr>
      <w:r w:rsidRPr="00E5088F">
        <w:t xml:space="preserve">1) </w:t>
      </w:r>
      <w:r w:rsidR="00EE6558">
        <w:t>tegevuse</w:t>
      </w:r>
      <w:r w:rsidRPr="00E5088F">
        <w:t xml:space="preserve"> vastavus määruse eesmärgile;</w:t>
      </w:r>
    </w:p>
    <w:p w14:paraId="4D48D098" w14:textId="7EB68E44" w:rsidR="00E5088F" w:rsidRPr="00E5088F" w:rsidRDefault="00E5088F" w:rsidP="00D25285">
      <w:pPr>
        <w:jc w:val="both"/>
      </w:pPr>
      <w:r w:rsidRPr="00E5088F">
        <w:t xml:space="preserve">2) </w:t>
      </w:r>
      <w:r w:rsidR="00EE6558">
        <w:t>tegevuse</w:t>
      </w:r>
      <w:r w:rsidRPr="00E5088F">
        <w:t xml:space="preserve"> maksumuse optimaalsus.</w:t>
      </w:r>
    </w:p>
    <w:p w14:paraId="7D772EE2" w14:textId="77777777" w:rsidR="00E5088F" w:rsidRPr="00E5088F" w:rsidRDefault="00E5088F" w:rsidP="00D25285">
      <w:pPr>
        <w:jc w:val="both"/>
      </w:pPr>
    </w:p>
    <w:p w14:paraId="604E81DF" w14:textId="3C7CD37E" w:rsidR="00E5088F" w:rsidRPr="00E5088F" w:rsidRDefault="00E5088F" w:rsidP="00D25285">
      <w:pPr>
        <w:jc w:val="both"/>
      </w:pPr>
      <w:r w:rsidRPr="00E5088F">
        <w:t>(3) Punktisumma otsustatakse komisjoni arutelul määruse lisa 2 kohaselt antud hindepunktide alusel. Kui komisjon ei saavuta konsensust, otsustab punktisumma komisjoni esimees.</w:t>
      </w:r>
      <w:r w:rsidR="00EE6558">
        <w:t xml:space="preserve"> </w:t>
      </w:r>
      <w:r w:rsidRPr="00E5088F">
        <w:t>Taotluse maksimaalne koondhinne on 6 punkti.</w:t>
      </w:r>
    </w:p>
    <w:p w14:paraId="3ED925E6" w14:textId="77777777" w:rsidR="00E5088F" w:rsidRPr="00E5088F" w:rsidRDefault="00E5088F" w:rsidP="00D25285">
      <w:pPr>
        <w:jc w:val="both"/>
      </w:pPr>
    </w:p>
    <w:p w14:paraId="2B8FB2E3" w14:textId="1BCA6E4E" w:rsidR="00E5088F" w:rsidRPr="00E5088F" w:rsidRDefault="00E5088F" w:rsidP="00D25285">
      <w:pPr>
        <w:jc w:val="both"/>
      </w:pPr>
      <w:r w:rsidRPr="00E5088F">
        <w:lastRenderedPageBreak/>
        <w:t>(4) Komisjonil on õigus küsida taotlejalt lisa</w:t>
      </w:r>
      <w:r w:rsidR="00EE6558">
        <w:t>teavet</w:t>
      </w:r>
      <w:r w:rsidRPr="00E5088F">
        <w:t xml:space="preserve">, kui esitatud </w:t>
      </w:r>
      <w:r w:rsidR="00EE6558">
        <w:t>teave</w:t>
      </w:r>
      <w:r w:rsidRPr="00E5088F">
        <w:t xml:space="preserve"> ei ole täielik või on ebaselge.</w:t>
      </w:r>
    </w:p>
    <w:p w14:paraId="42CE6922" w14:textId="77777777" w:rsidR="00E5088F" w:rsidRPr="00E5088F" w:rsidRDefault="00E5088F" w:rsidP="00D25285">
      <w:pPr>
        <w:jc w:val="both"/>
      </w:pPr>
    </w:p>
    <w:p w14:paraId="03A41FD0" w14:textId="0A577A71" w:rsidR="00E5088F" w:rsidRPr="00E5088F" w:rsidRDefault="00E5088F" w:rsidP="00D25285">
      <w:pPr>
        <w:jc w:val="both"/>
      </w:pPr>
      <w:r w:rsidRPr="00E5088F">
        <w:t>(5) Komisjon kujundab hinnangu laekunud taotluste rahastamise kohta viie tööpäeva jooksul</w:t>
      </w:r>
      <w:r w:rsidR="00EE6558">
        <w:t xml:space="preserve"> taotluse esitamisest arvates</w:t>
      </w:r>
      <w:r w:rsidRPr="00E5088F">
        <w:t>.</w:t>
      </w:r>
    </w:p>
    <w:p w14:paraId="4A65159A" w14:textId="77777777" w:rsidR="00E5088F" w:rsidRPr="00E5088F" w:rsidRDefault="00E5088F" w:rsidP="00D25285">
      <w:pPr>
        <w:jc w:val="both"/>
      </w:pPr>
    </w:p>
    <w:p w14:paraId="22FA80C6" w14:textId="3FF65E88" w:rsidR="00E5088F" w:rsidRPr="00E5088F" w:rsidRDefault="00E5088F" w:rsidP="00D25285">
      <w:pPr>
        <w:jc w:val="both"/>
      </w:pPr>
      <w:r w:rsidRPr="00E5088F">
        <w:rPr>
          <w:b/>
          <w:bCs/>
        </w:rPr>
        <w:t>§ 13. Toetuse määramine ja maksmine</w:t>
      </w:r>
    </w:p>
    <w:p w14:paraId="7F2AFEDF" w14:textId="77777777" w:rsidR="00E5088F" w:rsidRPr="00E5088F" w:rsidRDefault="00E5088F" w:rsidP="00D25285">
      <w:pPr>
        <w:jc w:val="both"/>
      </w:pPr>
    </w:p>
    <w:p w14:paraId="2F80B423" w14:textId="69956A16" w:rsidR="00E5088F" w:rsidRPr="00E5088F" w:rsidRDefault="00E5088F" w:rsidP="00D25285">
      <w:pPr>
        <w:jc w:val="both"/>
      </w:pPr>
      <w:r w:rsidRPr="00E5088F">
        <w:t xml:space="preserve">(1) Sotsiaalministeerium lähtub toetuse määramisel taotluses sisalduvatest andmetest, määruses sätestatud tingimustest </w:t>
      </w:r>
      <w:r w:rsidR="00EE6558">
        <w:t>ja</w:t>
      </w:r>
      <w:r w:rsidRPr="00E5088F">
        <w:t xml:space="preserve"> komisjoni ettepanekust.</w:t>
      </w:r>
    </w:p>
    <w:p w14:paraId="778B77C1" w14:textId="77777777" w:rsidR="00E5088F" w:rsidRPr="00E5088F" w:rsidRDefault="00E5088F" w:rsidP="00D25285">
      <w:pPr>
        <w:jc w:val="both"/>
      </w:pPr>
    </w:p>
    <w:p w14:paraId="3C7E2D89" w14:textId="2413B04D" w:rsidR="00E5088F" w:rsidRPr="00E5088F" w:rsidRDefault="00E5088F" w:rsidP="00D25285">
      <w:pPr>
        <w:jc w:val="both"/>
      </w:pPr>
      <w:r w:rsidRPr="00E5088F">
        <w:t>(2) Toetuse määramisel rahuldatakse taotlus täielikult või osaliselt.</w:t>
      </w:r>
    </w:p>
    <w:p w14:paraId="4FA5B583" w14:textId="77777777" w:rsidR="00E5088F" w:rsidRPr="00E5088F" w:rsidRDefault="00E5088F" w:rsidP="00D25285">
      <w:pPr>
        <w:jc w:val="both"/>
      </w:pPr>
    </w:p>
    <w:p w14:paraId="23314D24" w14:textId="225F3970" w:rsidR="00E5088F" w:rsidRPr="00E5088F" w:rsidRDefault="00E5088F" w:rsidP="00D25285">
      <w:pPr>
        <w:jc w:val="both"/>
      </w:pPr>
      <w:r w:rsidRPr="00E5088F">
        <w:t>(3) Toetust ei määrata:</w:t>
      </w:r>
    </w:p>
    <w:p w14:paraId="35691CCB" w14:textId="3A2B51C2" w:rsidR="00E5088F" w:rsidRPr="00E5088F" w:rsidRDefault="00E5088F" w:rsidP="00D25285">
      <w:pPr>
        <w:jc w:val="both"/>
      </w:pPr>
      <w:r w:rsidRPr="00E5088F">
        <w:t>1) kui taotleja ega taotlus ei vasta määruses sätestatud nõuetele;</w:t>
      </w:r>
    </w:p>
    <w:p w14:paraId="1C8272DD" w14:textId="2AEC51AD" w:rsidR="00E5088F" w:rsidRPr="00E5088F" w:rsidRDefault="00E5088F" w:rsidP="00D25285">
      <w:pPr>
        <w:jc w:val="both"/>
      </w:pPr>
      <w:r w:rsidRPr="00E5088F">
        <w:t>2) kui esitatud taotlus on puudustega, mis ei võimalda toetust määrata;</w:t>
      </w:r>
    </w:p>
    <w:p w14:paraId="537D36F7" w14:textId="4706174A" w:rsidR="00E5088F" w:rsidRPr="00E5088F" w:rsidRDefault="00E5088F" w:rsidP="00D25285">
      <w:pPr>
        <w:jc w:val="both"/>
      </w:pPr>
      <w:r w:rsidRPr="00E5088F">
        <w:t>3) kui taotluse koondhinne on väiksem kui 2 punkti või ühe hindamiskriteeriumi eest on saadud 0 punkti;</w:t>
      </w:r>
    </w:p>
    <w:p w14:paraId="05B281CB" w14:textId="4FB849A0" w:rsidR="00E5088F" w:rsidRPr="00E5088F" w:rsidRDefault="00E5088F" w:rsidP="00D25285">
      <w:pPr>
        <w:jc w:val="both"/>
      </w:pPr>
      <w:r w:rsidRPr="00E5088F">
        <w:t xml:space="preserve">4) </w:t>
      </w:r>
      <w:r w:rsidR="00AB5A13">
        <w:t>sekkumise või</w:t>
      </w:r>
      <w:r w:rsidRPr="00E5088F">
        <w:t xml:space="preserve"> tegevuse eest, mida juba rahastatakse riigieelarvest.</w:t>
      </w:r>
    </w:p>
    <w:p w14:paraId="2C29F6FA" w14:textId="6BED4D7F" w:rsidR="00E5088F" w:rsidRPr="00E5088F" w:rsidRDefault="00E5088F" w:rsidP="00D25285">
      <w:pPr>
        <w:jc w:val="both"/>
      </w:pPr>
    </w:p>
    <w:p w14:paraId="60F4B16E" w14:textId="09C30131" w:rsidR="00E5088F" w:rsidRPr="00E5088F" w:rsidRDefault="00E5088F" w:rsidP="00D25285">
      <w:pPr>
        <w:jc w:val="both"/>
      </w:pPr>
      <w:r w:rsidRPr="00E5088F">
        <w:t>(4) Kui komisjoni ettepanek taotluste rahuldamiseks ületab eelarve jääki, rahuldab toetuse andja taotlused nende laekumise järjekorras kuni eelarve ammendumiseni.</w:t>
      </w:r>
    </w:p>
    <w:p w14:paraId="2647B649" w14:textId="77777777" w:rsidR="00E5088F" w:rsidRPr="00E5088F" w:rsidRDefault="00E5088F" w:rsidP="00D25285">
      <w:pPr>
        <w:jc w:val="both"/>
      </w:pPr>
    </w:p>
    <w:p w14:paraId="2828C286" w14:textId="1911789D" w:rsidR="00E5088F" w:rsidRPr="00E5088F" w:rsidRDefault="00E5088F" w:rsidP="00D25285">
      <w:pPr>
        <w:jc w:val="both"/>
      </w:pPr>
      <w:r w:rsidRPr="00E5088F">
        <w:t xml:space="preserve">(5) Valdkonna eest vastutav minister kinnitab käskkirjaga toetuse saajad, neile määratava toetuse suuruse ja toetuse andmise tingimused, ning toetuse taotlejad, kelle taotlust ei rahuldata. Taotlejat </w:t>
      </w:r>
      <w:r w:rsidR="00AB5A13">
        <w:t>teavitatakse</w:t>
      </w:r>
      <w:r w:rsidRPr="00E5088F">
        <w:t xml:space="preserve"> otsusest hiljemalt järgmisel tööpäeval pärast käskkirja allkirjastamist.</w:t>
      </w:r>
    </w:p>
    <w:p w14:paraId="3EBB4467" w14:textId="77777777" w:rsidR="00E5088F" w:rsidRPr="00E5088F" w:rsidRDefault="00E5088F" w:rsidP="00D25285">
      <w:pPr>
        <w:jc w:val="both"/>
      </w:pPr>
    </w:p>
    <w:p w14:paraId="313C0653" w14:textId="6F1FE0BF" w:rsidR="00E5088F" w:rsidRPr="00E5088F" w:rsidRDefault="00E5088F" w:rsidP="00D25285">
      <w:pPr>
        <w:jc w:val="both"/>
      </w:pPr>
      <w:r w:rsidRPr="00E5088F">
        <w:t xml:space="preserve">(6) Toetuse andja maksab toetuse välja taotluses märgitud pangakontole kümne tööpäeva jooksul </w:t>
      </w:r>
      <w:r w:rsidR="002F58AA">
        <w:t>lõikes</w:t>
      </w:r>
      <w:r w:rsidRPr="00E5088F">
        <w:t xml:space="preserve"> 5 nimetatud käskkirja allkirjastamisest</w:t>
      </w:r>
      <w:r w:rsidR="00AB5A13">
        <w:t xml:space="preserve"> arvates</w:t>
      </w:r>
      <w:r w:rsidRPr="00E5088F">
        <w:t>.</w:t>
      </w:r>
    </w:p>
    <w:p w14:paraId="66CB6EFF" w14:textId="77777777" w:rsidR="00E5088F" w:rsidRPr="00E5088F" w:rsidRDefault="00E5088F" w:rsidP="00D25285">
      <w:pPr>
        <w:jc w:val="both"/>
      </w:pPr>
    </w:p>
    <w:p w14:paraId="256E2C77" w14:textId="77777777" w:rsidR="00E5088F" w:rsidRPr="00E5088F" w:rsidRDefault="00E5088F" w:rsidP="00D25285">
      <w:pPr>
        <w:jc w:val="both"/>
      </w:pPr>
      <w:r w:rsidRPr="00E5088F">
        <w:rPr>
          <w:b/>
          <w:bCs/>
        </w:rPr>
        <w:t>§ 14. Toetuse saaja kohustused</w:t>
      </w:r>
      <w:r w:rsidRPr="00E5088F">
        <w:t> </w:t>
      </w:r>
    </w:p>
    <w:p w14:paraId="0EACA66D" w14:textId="77777777" w:rsidR="00E5088F" w:rsidRPr="00E5088F" w:rsidRDefault="00E5088F" w:rsidP="00D25285">
      <w:pPr>
        <w:jc w:val="both"/>
      </w:pPr>
    </w:p>
    <w:p w14:paraId="10796B3B" w14:textId="766B03C8" w:rsidR="00E5088F" w:rsidRPr="00E5088F" w:rsidRDefault="00E5088F" w:rsidP="00D25285">
      <w:pPr>
        <w:jc w:val="both"/>
      </w:pPr>
      <w:r w:rsidRPr="00E5088F">
        <w:t>(1) Toetuse saaja kasutab toetust taotluse ja toetuse andmise käskkirja kohaselt.</w:t>
      </w:r>
    </w:p>
    <w:p w14:paraId="1D1382CA" w14:textId="77777777" w:rsidR="00E5088F" w:rsidRPr="00E5088F" w:rsidRDefault="00E5088F" w:rsidP="00D25285">
      <w:pPr>
        <w:jc w:val="both"/>
      </w:pPr>
    </w:p>
    <w:p w14:paraId="108D3662" w14:textId="027D0932" w:rsidR="00E5088F" w:rsidRPr="00E5088F" w:rsidRDefault="00E5088F" w:rsidP="00D25285">
      <w:pPr>
        <w:jc w:val="both"/>
      </w:pPr>
      <w:r w:rsidRPr="00E5088F">
        <w:t>(2) Toetuse saaja teavitab Sotsiaalministeeriumi, kui asjaolud, mille alusel toetus määrati,</w:t>
      </w:r>
      <w:r w:rsidR="00AB5A13">
        <w:t xml:space="preserve"> </w:t>
      </w:r>
      <w:r w:rsidR="00AB5A13" w:rsidRPr="00E5088F">
        <w:t xml:space="preserve">oluliselt </w:t>
      </w:r>
      <w:r w:rsidRPr="00E5088F">
        <w:t>muutuvad.</w:t>
      </w:r>
      <w:r w:rsidR="00AB5A13">
        <w:t xml:space="preserve"> </w:t>
      </w:r>
      <w:r w:rsidRPr="00E5088F">
        <w:t>Toetuse saaja võib projekti toetusperioodil toetuse määramise aluseks olevaid tegevusi ja nende mahtu muuta üksnes Sotsiaalministeeriumi kirjalikul nõusolekul.</w:t>
      </w:r>
    </w:p>
    <w:p w14:paraId="146C0D85" w14:textId="77777777" w:rsidR="00E5088F" w:rsidRPr="00E5088F" w:rsidRDefault="00E5088F" w:rsidP="00D25285">
      <w:pPr>
        <w:jc w:val="both"/>
      </w:pPr>
    </w:p>
    <w:p w14:paraId="104F5879" w14:textId="11D66842" w:rsidR="00E5088F" w:rsidRPr="00E5088F" w:rsidRDefault="00E5088F" w:rsidP="00D25285">
      <w:pPr>
        <w:jc w:val="both"/>
      </w:pPr>
      <w:r w:rsidRPr="00E5088F">
        <w:t xml:space="preserve">(3) Toetuse saaja peab </w:t>
      </w:r>
      <w:r w:rsidR="00AB5A13">
        <w:t xml:space="preserve">arvestust </w:t>
      </w:r>
      <w:r w:rsidRPr="00E5088F">
        <w:t>toetuse kasutamise kohta vastavalt raamatupidamise seadusest tulenevatele nõuetele, pidades eraldi kuluarvestust toetuse maksmise aluseks olevate tegevuste kohta, ning eristab maksmise aluseks olevate tegevuste dokumendid muudest dokumentidest. Elektroonsel kujul säilitatavaid kuludokumente peab olema võimalik kirjalikult taasesitada.</w:t>
      </w:r>
    </w:p>
    <w:p w14:paraId="4F01D36D" w14:textId="77777777" w:rsidR="00E5088F" w:rsidRPr="00E5088F" w:rsidRDefault="00E5088F" w:rsidP="00D25285">
      <w:pPr>
        <w:jc w:val="both"/>
      </w:pPr>
    </w:p>
    <w:p w14:paraId="1418E2A7" w14:textId="2A38C805" w:rsidR="00E5088F" w:rsidRPr="00E5088F" w:rsidRDefault="00E5088F" w:rsidP="00D25285">
      <w:pPr>
        <w:jc w:val="both"/>
      </w:pPr>
      <w:r w:rsidRPr="00E5088F">
        <w:t>(</w:t>
      </w:r>
      <w:r w:rsidR="00640CCB">
        <w:t>4</w:t>
      </w:r>
      <w:r w:rsidRPr="00E5088F">
        <w:t>) Toetuse saaja võimaldab toetuse andjal või tema volitatud isikul kontrollida toetuse taotlemise ja kasutamisega seotud asjaolude paikapidavust.</w:t>
      </w:r>
    </w:p>
    <w:p w14:paraId="19BBE348" w14:textId="77777777" w:rsidR="00E5088F" w:rsidRPr="00E5088F" w:rsidRDefault="00E5088F" w:rsidP="00D25285">
      <w:pPr>
        <w:jc w:val="both"/>
      </w:pPr>
    </w:p>
    <w:p w14:paraId="580B06FD" w14:textId="19D3B2C4" w:rsidR="00E5088F" w:rsidRPr="00E5088F" w:rsidRDefault="00E5088F" w:rsidP="00D25285">
      <w:pPr>
        <w:jc w:val="both"/>
      </w:pPr>
      <w:r w:rsidRPr="00E5088F">
        <w:t>(</w:t>
      </w:r>
      <w:r w:rsidR="00640CCB">
        <w:t>5</w:t>
      </w:r>
      <w:r w:rsidRPr="00E5088F">
        <w:t xml:space="preserve">) Toetuse saaja esitab 15 tööpäeva jooksul toetusperioodi lõppemisest </w:t>
      </w:r>
      <w:r w:rsidR="00AB5A13" w:rsidRPr="00E5088F">
        <w:t xml:space="preserve">arvates </w:t>
      </w:r>
      <w:r w:rsidRPr="00E5088F">
        <w:t>toetatud</w:t>
      </w:r>
      <w:r w:rsidR="00AB5A13">
        <w:t xml:space="preserve"> </w:t>
      </w:r>
      <w:r w:rsidRPr="00E5088F">
        <w:t>tegevuse aruande</w:t>
      </w:r>
      <w:r w:rsidR="002F58AA">
        <w:t>,</w:t>
      </w:r>
      <w:r w:rsidRPr="00E5088F">
        <w:t xml:space="preserve"> lähtudes lisas 3 </w:t>
      </w:r>
      <w:r w:rsidR="002F58AA">
        <w:t>esitatud</w:t>
      </w:r>
      <w:r w:rsidRPr="00E5088F">
        <w:t xml:space="preserve"> vormist.</w:t>
      </w:r>
    </w:p>
    <w:p w14:paraId="3A17FCD7" w14:textId="77777777" w:rsidR="00E5088F" w:rsidRPr="00E5088F" w:rsidRDefault="00E5088F" w:rsidP="00D25285">
      <w:pPr>
        <w:jc w:val="both"/>
      </w:pPr>
    </w:p>
    <w:p w14:paraId="454B9148" w14:textId="61AD4A22" w:rsidR="00E5088F" w:rsidRPr="00E5088F" w:rsidRDefault="00E5088F" w:rsidP="00D25285">
      <w:pPr>
        <w:jc w:val="both"/>
      </w:pPr>
      <w:r w:rsidRPr="00E5088F">
        <w:t>(</w:t>
      </w:r>
      <w:r w:rsidR="00640CCB">
        <w:t>6</w:t>
      </w:r>
      <w:r w:rsidRPr="00E5088F">
        <w:t>) Kui tegelikud kulud, mille eest toetust taotleti, on välja makstud toetusest väiksemad, maksab toetuse saaja toetuse summa ja tegeliku kulu vahe</w:t>
      </w:r>
      <w:r w:rsidR="007072B9">
        <w:t>,</w:t>
      </w:r>
      <w:r w:rsidRPr="00E5088F">
        <w:t xml:space="preserve"> </w:t>
      </w:r>
      <w:r w:rsidR="007072B9" w:rsidRPr="00E5088F">
        <w:t xml:space="preserve">kui see on suurem kui 5 eurot, </w:t>
      </w:r>
      <w:r w:rsidRPr="00E5088F">
        <w:t>toetuse andjale tagasi kümne tööpäeva jooksul lõikes</w:t>
      </w:r>
      <w:r w:rsidR="002F58AA">
        <w:t xml:space="preserve"> </w:t>
      </w:r>
      <w:r w:rsidR="00640CCB">
        <w:t>5</w:t>
      </w:r>
      <w:r w:rsidRPr="00E5088F">
        <w:t xml:space="preserve"> nimetatud aruande esitamisest</w:t>
      </w:r>
      <w:r w:rsidR="00AB5A13">
        <w:t xml:space="preserve"> arvates</w:t>
      </w:r>
      <w:r w:rsidRPr="00E5088F">
        <w:t>.</w:t>
      </w:r>
    </w:p>
    <w:p w14:paraId="7F115470" w14:textId="77777777" w:rsidR="00E5088F" w:rsidRPr="00E5088F" w:rsidRDefault="00E5088F" w:rsidP="00D25285">
      <w:pPr>
        <w:jc w:val="both"/>
      </w:pPr>
    </w:p>
    <w:p w14:paraId="56E1525C" w14:textId="3F6FFE2B" w:rsidR="00E5088F" w:rsidRPr="00E5088F" w:rsidRDefault="00E5088F" w:rsidP="00D25285">
      <w:pPr>
        <w:jc w:val="both"/>
        <w:rPr>
          <w:b/>
          <w:bCs/>
        </w:rPr>
      </w:pPr>
      <w:r w:rsidRPr="00E5088F">
        <w:rPr>
          <w:b/>
          <w:bCs/>
        </w:rPr>
        <w:lastRenderedPageBreak/>
        <w:t>§ 15.</w:t>
      </w:r>
      <w:r w:rsidR="005E0EFB">
        <w:rPr>
          <w:b/>
          <w:bCs/>
        </w:rPr>
        <w:t xml:space="preserve"> </w:t>
      </w:r>
      <w:r w:rsidRPr="00E5088F">
        <w:rPr>
          <w:b/>
          <w:bCs/>
        </w:rPr>
        <w:t xml:space="preserve">Toetuse rahuldamise otsuse kehtetuks tunnistamine ja </w:t>
      </w:r>
      <w:r w:rsidR="00AB5A13">
        <w:rPr>
          <w:b/>
          <w:bCs/>
        </w:rPr>
        <w:t>toetuse</w:t>
      </w:r>
      <w:r w:rsidRPr="00E5088F">
        <w:rPr>
          <w:b/>
          <w:bCs/>
        </w:rPr>
        <w:t xml:space="preserve"> </w:t>
      </w:r>
      <w:r w:rsidR="00AB5A13">
        <w:rPr>
          <w:b/>
          <w:bCs/>
        </w:rPr>
        <w:t>tagasi</w:t>
      </w:r>
      <w:r w:rsidRPr="00E5088F">
        <w:rPr>
          <w:b/>
          <w:bCs/>
        </w:rPr>
        <w:t>nõudmine</w:t>
      </w:r>
    </w:p>
    <w:p w14:paraId="1D216F10" w14:textId="46769C2D" w:rsidR="00E5088F" w:rsidRPr="00E5088F" w:rsidRDefault="00E5088F" w:rsidP="00D25285">
      <w:pPr>
        <w:jc w:val="both"/>
      </w:pPr>
      <w:bookmarkStart w:id="0" w:name="para14lg1"/>
    </w:p>
    <w:bookmarkEnd w:id="0"/>
    <w:p w14:paraId="26AE71E9" w14:textId="77777777" w:rsidR="00E5088F" w:rsidRPr="00E5088F" w:rsidRDefault="00E5088F" w:rsidP="00D25285">
      <w:pPr>
        <w:jc w:val="both"/>
      </w:pPr>
      <w:r w:rsidRPr="00E5088F">
        <w:t>Taotluse rahuldamise otsus tunnistatakse kehtetuks ja toetus nõutakse osaliselt või täielikult tagasi järgmistel juhtudel:</w:t>
      </w:r>
    </w:p>
    <w:p w14:paraId="0D54BADC" w14:textId="77777777" w:rsidR="00E5088F" w:rsidRPr="00E5088F" w:rsidRDefault="00E5088F" w:rsidP="00D25285">
      <w:pPr>
        <w:jc w:val="both"/>
      </w:pPr>
      <w:r w:rsidRPr="00E5088F">
        <w:t>1) ilmnevad asjaolud, mille kohaselt taotlust ei oleks rahuldatud;</w:t>
      </w:r>
    </w:p>
    <w:p w14:paraId="06913AC7" w14:textId="43C21107" w:rsidR="00E5088F" w:rsidRPr="00E5088F" w:rsidRDefault="00E5088F" w:rsidP="00D25285">
      <w:pPr>
        <w:jc w:val="both"/>
      </w:pPr>
      <w:r w:rsidRPr="00E5088F">
        <w:t>2) toetuse saaja on tegevuse korraldamisel rikkunud isikuandmete kaitse nõudeid;</w:t>
      </w:r>
    </w:p>
    <w:p w14:paraId="0C88A842" w14:textId="03BFBC3B" w:rsidR="00E5088F" w:rsidRPr="00E5088F" w:rsidRDefault="00E5088F" w:rsidP="00D25285">
      <w:pPr>
        <w:jc w:val="both"/>
      </w:pPr>
      <w:r w:rsidRPr="00E5088F">
        <w:t xml:space="preserve">3) </w:t>
      </w:r>
      <w:r w:rsidR="00AB5A13">
        <w:t>tegevust viiakse ellu</w:t>
      </w:r>
      <w:r w:rsidRPr="00E5088F">
        <w:t xml:space="preserve"> ebaprofessionaalselt või kutse-eetika nõudeid rikkudes;</w:t>
      </w:r>
    </w:p>
    <w:p w14:paraId="71AB95C9" w14:textId="22A4F9B9" w:rsidR="00E5088F" w:rsidRPr="00E5088F" w:rsidRDefault="00E5088F" w:rsidP="00D25285">
      <w:pPr>
        <w:jc w:val="both"/>
      </w:pPr>
      <w:r w:rsidRPr="00E5088F">
        <w:t>4) tegevuse korraldus ei vasta taotluses kirjeldatule;</w:t>
      </w:r>
    </w:p>
    <w:p w14:paraId="5E9E277E" w14:textId="77777777" w:rsidR="00E5088F" w:rsidRPr="00E5088F" w:rsidRDefault="00E5088F" w:rsidP="00D25285">
      <w:pPr>
        <w:jc w:val="both"/>
      </w:pPr>
      <w:r w:rsidRPr="00E5088F">
        <w:t>5) toetuse saaja loobub toetusest;</w:t>
      </w:r>
    </w:p>
    <w:p w14:paraId="745E0721" w14:textId="76867789" w:rsidR="00E5088F" w:rsidRPr="00E5088F" w:rsidRDefault="00E5088F" w:rsidP="00D25285">
      <w:pPr>
        <w:jc w:val="both"/>
      </w:pPr>
      <w:r w:rsidRPr="00E5088F">
        <w:t>6) toetuse saaja ei esita § 1</w:t>
      </w:r>
      <w:r w:rsidR="00B3336F">
        <w:t>4</w:t>
      </w:r>
      <w:r w:rsidRPr="00E5088F">
        <w:t xml:space="preserve"> lõikes </w:t>
      </w:r>
      <w:r w:rsidR="00B3336F">
        <w:t>5</w:t>
      </w:r>
      <w:r w:rsidRPr="00E5088F">
        <w:t xml:space="preserve"> nimetatud aruannet </w:t>
      </w:r>
      <w:r w:rsidR="00AB5A13">
        <w:t xml:space="preserve">tähtajaks </w:t>
      </w:r>
      <w:r w:rsidRPr="00E5088F">
        <w:t>või esitab selles ebatõeseid andmeid;</w:t>
      </w:r>
    </w:p>
    <w:p w14:paraId="36C1BCA3" w14:textId="6CE93D0E" w:rsidR="00CC5B01" w:rsidRPr="00E5088F" w:rsidRDefault="00E5088F" w:rsidP="00D25285">
      <w:pPr>
        <w:jc w:val="both"/>
      </w:pPr>
      <w:r w:rsidRPr="00E5088F">
        <w:t>7) toetuse andja ei tagasta vabatahtlikult tagastamisele kuuluvat kasutamata jäänud toetust.</w:t>
      </w:r>
    </w:p>
    <w:p w14:paraId="36C1BCA4" w14:textId="77777777" w:rsidR="001D53AE" w:rsidRDefault="001D53AE" w:rsidP="00D25285">
      <w:pPr>
        <w:jc w:val="both"/>
        <w:rPr>
          <w:rFonts w:cs="Arial"/>
        </w:rPr>
        <w:sectPr w:rsidR="001D53AE" w:rsidSect="00E52553">
          <w:headerReference w:type="default" r:id="rId8"/>
          <w:pgSz w:w="11907" w:h="16839" w:code="9"/>
          <w:pgMar w:top="907" w:right="1021" w:bottom="1418" w:left="1814" w:header="709" w:footer="709" w:gutter="0"/>
          <w:cols w:space="708"/>
          <w:formProt w:val="0"/>
          <w:titlePg/>
          <w:docGrid w:linePitch="360"/>
        </w:sectPr>
      </w:pPr>
    </w:p>
    <w:p w14:paraId="36C1BCA5" w14:textId="77777777" w:rsidR="00CC5B01" w:rsidRDefault="00CC5B01" w:rsidP="00D25285">
      <w:pPr>
        <w:jc w:val="both"/>
        <w:rPr>
          <w:rFonts w:cs="Arial"/>
        </w:rPr>
      </w:pPr>
    </w:p>
    <w:p w14:paraId="36C1BCA6" w14:textId="77777777" w:rsidR="00CC5B01" w:rsidRDefault="00CC5B01" w:rsidP="00D25285">
      <w:pPr>
        <w:jc w:val="both"/>
        <w:rPr>
          <w:rFonts w:cs="Arial"/>
        </w:rPr>
      </w:pPr>
    </w:p>
    <w:p w14:paraId="36C1BCA7" w14:textId="77777777" w:rsidR="00CC5B01" w:rsidRDefault="00CC5B01" w:rsidP="00D25285">
      <w:pPr>
        <w:jc w:val="both"/>
        <w:rPr>
          <w:rFonts w:cs="Arial"/>
        </w:rPr>
      </w:pPr>
    </w:p>
    <w:p w14:paraId="36C1BCA8" w14:textId="77777777" w:rsidR="00CC5B01" w:rsidRDefault="00CC5B01" w:rsidP="00D25285">
      <w:pPr>
        <w:jc w:val="both"/>
        <w:rPr>
          <w:rFonts w:cs="Arial"/>
        </w:rPr>
      </w:pPr>
    </w:p>
    <w:p w14:paraId="36C1BCA9" w14:textId="7146A6DD" w:rsidR="00E57228" w:rsidRDefault="007C0F7C" w:rsidP="00D25285">
      <w:pPr>
        <w:jc w:val="both"/>
        <w:rPr>
          <w:rFonts w:cs="Arial"/>
        </w:rPr>
      </w:pPr>
      <w:r>
        <w:rPr>
          <w:rFonts w:cs="Arial"/>
        </w:rPr>
        <w:t>(allkirjastatud digitaalselt)</w:t>
      </w:r>
    </w:p>
    <w:p w14:paraId="36C1BCAA" w14:textId="3866D4FB" w:rsidR="007B2940" w:rsidRDefault="00E57228" w:rsidP="00D25285">
      <w:pPr>
        <w:jc w:val="both"/>
        <w:rPr>
          <w:rFonts w:cs="Arial"/>
        </w:rPr>
      </w:pPr>
      <w:r>
        <w:rPr>
          <w:rFonts w:cs="Arial"/>
        </w:rPr>
        <w:fldChar w:fldCharType="begin"/>
      </w:r>
      <w:r w:rsidR="007C332F">
        <w:rPr>
          <w:rFonts w:cs="Arial"/>
        </w:rPr>
        <w:instrText xml:space="preserve"> delta_signerName  \* MERGEFORMAT</w:instrText>
      </w:r>
      <w:r>
        <w:rPr>
          <w:rFonts w:cs="Arial"/>
        </w:rPr>
        <w:fldChar w:fldCharType="separate"/>
      </w:r>
      <w:r w:rsidR="007C332F">
        <w:rPr>
          <w:rFonts w:cs="Arial"/>
        </w:rPr>
        <w:t xml:space="preserve">Karmen </w:t>
      </w:r>
      <w:proofErr w:type="spellStart"/>
      <w:r w:rsidR="007C332F">
        <w:rPr>
          <w:rFonts w:cs="Arial"/>
        </w:rPr>
        <w:t>Joller</w:t>
      </w:r>
      <w:proofErr w:type="spellEnd"/>
      <w:r>
        <w:rPr>
          <w:rFonts w:cs="Arial"/>
        </w:rPr>
        <w:fldChar w:fldCharType="end"/>
      </w:r>
    </w:p>
    <w:p w14:paraId="36C1BCAB" w14:textId="57D4D7CB" w:rsidR="007C0F7C" w:rsidRDefault="00E57228" w:rsidP="00D25285">
      <w:pPr>
        <w:jc w:val="both"/>
        <w:rPr>
          <w:rFonts w:cs="Arial"/>
        </w:rPr>
      </w:pPr>
      <w:r>
        <w:rPr>
          <w:rFonts w:cs="Arial"/>
        </w:rPr>
        <w:fldChar w:fldCharType="begin"/>
      </w:r>
      <w:r w:rsidR="007C332F">
        <w:rPr>
          <w:rFonts w:cs="Arial"/>
        </w:rPr>
        <w:instrText xml:space="preserve"> delta_signerJobTitle  \* MERGEFORMAT</w:instrText>
      </w:r>
      <w:r>
        <w:rPr>
          <w:rFonts w:cs="Arial"/>
        </w:rPr>
        <w:fldChar w:fldCharType="separate"/>
      </w:r>
      <w:r w:rsidR="007C332F">
        <w:rPr>
          <w:rFonts w:cs="Arial"/>
        </w:rPr>
        <w:t>sotsiaalminister</w:t>
      </w:r>
      <w:r>
        <w:rPr>
          <w:rFonts w:cs="Arial"/>
        </w:rPr>
        <w:fldChar w:fldCharType="end"/>
      </w:r>
    </w:p>
    <w:p w14:paraId="36C1BCAC" w14:textId="77777777" w:rsidR="007B2940" w:rsidRDefault="007B2940" w:rsidP="00D25285">
      <w:pPr>
        <w:jc w:val="both"/>
        <w:rPr>
          <w:rFonts w:cs="Arial"/>
        </w:rPr>
      </w:pPr>
    </w:p>
    <w:p w14:paraId="36C1BCAD" w14:textId="14F2E692" w:rsidR="00E52553" w:rsidRDefault="00100F1A" w:rsidP="00D25285">
      <w:pPr>
        <w:jc w:val="both"/>
      </w:pPr>
      <w:r>
        <w:rPr>
          <w:rFonts w:cs="Arial"/>
        </w:rPr>
        <w:br/>
      </w:r>
      <w:r w:rsidR="007B2940">
        <w:rPr>
          <w:rFonts w:cs="Arial"/>
        </w:rPr>
        <w:t>(allkirjastatud digitaalselt)</w:t>
      </w:r>
    </w:p>
    <w:p w14:paraId="36C1BCAE" w14:textId="77777777" w:rsidR="001D53AE" w:rsidRDefault="001D53AE" w:rsidP="00D25285">
      <w:pPr>
        <w:jc w:val="both"/>
        <w:sectPr w:rsidR="001D53AE" w:rsidSect="001D53AE">
          <w:type w:val="continuous"/>
          <w:pgSz w:w="11907" w:h="16839" w:code="9"/>
          <w:pgMar w:top="907" w:right="1021" w:bottom="1418" w:left="1814" w:header="709" w:footer="709" w:gutter="0"/>
          <w:cols w:space="708"/>
          <w:titlePg/>
          <w:docGrid w:linePitch="360"/>
        </w:sectPr>
      </w:pPr>
    </w:p>
    <w:p w14:paraId="36C1BCAF" w14:textId="684A4827" w:rsidR="007B2940" w:rsidRDefault="008476E5" w:rsidP="00D25285">
      <w:pPr>
        <w:jc w:val="both"/>
        <w:rPr>
          <w:rFonts w:cs="Arial"/>
        </w:rPr>
      </w:pPr>
      <w:r>
        <w:rPr>
          <w:rFonts w:cs="Arial"/>
        </w:rPr>
        <w:fldChar w:fldCharType="begin"/>
      </w:r>
      <w:r w:rsidR="007C332F">
        <w:rPr>
          <w:rFonts w:cs="Arial"/>
        </w:rPr>
        <w:instrText xml:space="preserve"> delta_secondsignerName  \* MERGEFORMAT</w:instrText>
      </w:r>
      <w:r>
        <w:rPr>
          <w:rFonts w:cs="Arial"/>
        </w:rPr>
        <w:fldChar w:fldCharType="separate"/>
      </w:r>
      <w:proofErr w:type="spellStart"/>
      <w:r w:rsidR="007C332F">
        <w:rPr>
          <w:rFonts w:cs="Arial"/>
        </w:rPr>
        <w:t>Maarjo</w:t>
      </w:r>
      <w:proofErr w:type="spellEnd"/>
      <w:r w:rsidR="007C332F">
        <w:rPr>
          <w:rFonts w:cs="Arial"/>
        </w:rPr>
        <w:t xml:space="preserve"> Mändmaa</w:t>
      </w:r>
      <w:r>
        <w:rPr>
          <w:rFonts w:cs="Arial"/>
        </w:rPr>
        <w:fldChar w:fldCharType="end"/>
      </w:r>
    </w:p>
    <w:p w14:paraId="36C1BCB0" w14:textId="74D69BAE" w:rsidR="008476E5" w:rsidRDefault="008476E5" w:rsidP="00D25285">
      <w:pPr>
        <w:jc w:val="both"/>
        <w:rPr>
          <w:rFonts w:cs="Arial"/>
        </w:rPr>
      </w:pPr>
      <w:r>
        <w:rPr>
          <w:rFonts w:cs="Arial"/>
        </w:rPr>
        <w:fldChar w:fldCharType="begin"/>
      </w:r>
      <w:r w:rsidR="007C332F">
        <w:rPr>
          <w:rFonts w:cs="Arial"/>
        </w:rPr>
        <w:instrText xml:space="preserve"> delta_secondsignerJobTitle  \* MERGEFORMAT</w:instrText>
      </w:r>
      <w:r>
        <w:rPr>
          <w:rFonts w:cs="Arial"/>
        </w:rPr>
        <w:fldChar w:fldCharType="separate"/>
      </w:r>
      <w:r w:rsidR="007C332F">
        <w:rPr>
          <w:rFonts w:cs="Arial"/>
        </w:rPr>
        <w:t>kantsler</w:t>
      </w:r>
      <w:r>
        <w:rPr>
          <w:rFonts w:cs="Arial"/>
        </w:rPr>
        <w:fldChar w:fldCharType="end"/>
      </w:r>
      <w:r w:rsidR="007C332F">
        <w:rPr>
          <w:rFonts w:cs="Arial"/>
        </w:rPr>
        <w:t xml:space="preserve"> </w:t>
      </w:r>
    </w:p>
    <w:p w14:paraId="71D6021E" w14:textId="77777777" w:rsidR="006B198D" w:rsidRDefault="006B198D" w:rsidP="00D25285">
      <w:pPr>
        <w:jc w:val="both"/>
      </w:pPr>
    </w:p>
    <w:p w14:paraId="5F51342F" w14:textId="56B2CE0B" w:rsidR="006B198D" w:rsidRPr="006B198D" w:rsidRDefault="006B198D" w:rsidP="006B198D">
      <w:pPr>
        <w:jc w:val="both"/>
      </w:pPr>
      <w:r w:rsidRPr="006B198D">
        <w:t xml:space="preserve">Lisa 1. </w:t>
      </w:r>
      <w:proofErr w:type="spellStart"/>
      <w:r w:rsidRPr="002F58AA">
        <w:t>VIPS</w:t>
      </w:r>
      <w:r w:rsidR="002F58AA">
        <w:t>-i</w:t>
      </w:r>
      <w:proofErr w:type="spellEnd"/>
      <w:r w:rsidRPr="006B198D">
        <w:t xml:space="preserve"> arendamise toetuse taotlusvorm</w:t>
      </w:r>
    </w:p>
    <w:p w14:paraId="494BD93F" w14:textId="489B403D" w:rsidR="006B198D" w:rsidRPr="006B198D" w:rsidRDefault="006B198D" w:rsidP="006B198D">
      <w:pPr>
        <w:jc w:val="both"/>
      </w:pPr>
      <w:r w:rsidRPr="006B198D">
        <w:t xml:space="preserve">Lisa 2. Taotluste hindamise alused hindamiskriteeriumite </w:t>
      </w:r>
      <w:r w:rsidR="002F58AA">
        <w:t>kaupa</w:t>
      </w:r>
    </w:p>
    <w:p w14:paraId="7DDA2E7C" w14:textId="77777777" w:rsidR="006B198D" w:rsidRPr="006B198D" w:rsidRDefault="006B198D" w:rsidP="006B198D">
      <w:pPr>
        <w:jc w:val="both"/>
      </w:pPr>
      <w:r w:rsidRPr="006B198D">
        <w:t>Lisa 3. Aruandevorm</w:t>
      </w:r>
    </w:p>
    <w:p w14:paraId="68D5A009" w14:textId="77777777" w:rsidR="006B198D" w:rsidRPr="00805BB9" w:rsidRDefault="006B198D" w:rsidP="00D25285">
      <w:pPr>
        <w:jc w:val="both"/>
      </w:pPr>
    </w:p>
    <w:sectPr w:rsidR="006B198D" w:rsidRPr="00805BB9" w:rsidSect="001D53AE">
      <w:type w:val="continuous"/>
      <w:pgSz w:w="11907" w:h="16839" w:code="9"/>
      <w:pgMar w:top="907" w:right="1021" w:bottom="1418" w:left="1814" w:header="709" w:footer="70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1BCB6" w14:textId="77777777" w:rsidR="00B45145" w:rsidRDefault="00B45145" w:rsidP="00E52553">
      <w:r>
        <w:separator/>
      </w:r>
    </w:p>
  </w:endnote>
  <w:endnote w:type="continuationSeparator" w:id="0">
    <w:p w14:paraId="36C1BCB7" w14:textId="77777777" w:rsidR="00B45145" w:rsidRDefault="00B45145" w:rsidP="00E52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6C1BCB4" w14:textId="77777777" w:rsidR="00B45145" w:rsidRDefault="00B45145" w:rsidP="00E52553">
      <w:r>
        <w:separator/>
      </w:r>
    </w:p>
  </w:footnote>
  <w:footnote w:type="continuationSeparator" w:id="0">
    <w:p w14:paraId="36C1BCB5" w14:textId="77777777" w:rsidR="00B45145" w:rsidRDefault="00B45145" w:rsidP="00E5255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61200328"/>
      <w:docPartObj>
        <w:docPartGallery w:val="Page Numbers (Top of Page)"/>
        <w:docPartUnique/>
      </w:docPartObj>
    </w:sdtPr>
    <w:sdtEndPr>
      <w:rPr>
        <w:sz w:val="20"/>
        <w:szCs w:val="20"/>
      </w:rPr>
    </w:sdtEndPr>
    <w:sdtContent>
      <w:p w14:paraId="36C1BCB8" w14:textId="77777777" w:rsidR="00E52553" w:rsidRPr="00E52553" w:rsidRDefault="00E52553">
        <w:pPr>
          <w:pStyle w:val="Pis"/>
          <w:jc w:val="center"/>
          <w:rPr>
            <w:sz w:val="20"/>
            <w:szCs w:val="20"/>
          </w:rPr>
        </w:pPr>
        <w:r w:rsidRPr="00E52553">
          <w:rPr>
            <w:sz w:val="20"/>
            <w:szCs w:val="20"/>
          </w:rPr>
          <w:fldChar w:fldCharType="begin"/>
        </w:r>
        <w:r w:rsidRPr="00E52553">
          <w:rPr>
            <w:sz w:val="20"/>
            <w:szCs w:val="20"/>
          </w:rPr>
          <w:instrText>PAGE   \* MERGEFORMAT</w:instrText>
        </w:r>
        <w:r w:rsidRPr="00E52553">
          <w:rPr>
            <w:sz w:val="20"/>
            <w:szCs w:val="20"/>
          </w:rPr>
          <w:fldChar w:fldCharType="separate"/>
        </w:r>
        <w:r w:rsidR="007C332F">
          <w:rPr>
            <w:noProof/>
            <w:sz w:val="20"/>
            <w:szCs w:val="20"/>
          </w:rPr>
          <w:t>5</w:t>
        </w:r>
        <w:r w:rsidRPr="00E52553">
          <w:rPr>
            <w:sz w:val="20"/>
            <w:szCs w:val="20"/>
          </w:rPr>
          <w:fldChar w:fldCharType="end"/>
        </w:r>
      </w:p>
    </w:sdtContent>
  </w:sdt>
  <w:p w14:paraId="36C1BCB9" w14:textId="77777777" w:rsidR="00E52553" w:rsidRDefault="00E52553">
    <w:pPr>
      <w:pStyle w:val="Pi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145"/>
    <w:rsid w:val="0002295E"/>
    <w:rsid w:val="00070153"/>
    <w:rsid w:val="000725E2"/>
    <w:rsid w:val="00085FA4"/>
    <w:rsid w:val="0009319A"/>
    <w:rsid w:val="00094BF0"/>
    <w:rsid w:val="000C6B61"/>
    <w:rsid w:val="000D0B25"/>
    <w:rsid w:val="000D4101"/>
    <w:rsid w:val="000D7732"/>
    <w:rsid w:val="000E125F"/>
    <w:rsid w:val="000E7648"/>
    <w:rsid w:val="00100F1A"/>
    <w:rsid w:val="00113F1F"/>
    <w:rsid w:val="00144C39"/>
    <w:rsid w:val="001604DB"/>
    <w:rsid w:val="001D53AE"/>
    <w:rsid w:val="00202D28"/>
    <w:rsid w:val="00222719"/>
    <w:rsid w:val="002534CF"/>
    <w:rsid w:val="002751A4"/>
    <w:rsid w:val="00293ECF"/>
    <w:rsid w:val="002F58AA"/>
    <w:rsid w:val="00311234"/>
    <w:rsid w:val="00361989"/>
    <w:rsid w:val="003673E9"/>
    <w:rsid w:val="00374682"/>
    <w:rsid w:val="003925B0"/>
    <w:rsid w:val="003B3CE2"/>
    <w:rsid w:val="00433613"/>
    <w:rsid w:val="00436532"/>
    <w:rsid w:val="00437173"/>
    <w:rsid w:val="0048061D"/>
    <w:rsid w:val="00492545"/>
    <w:rsid w:val="00567685"/>
    <w:rsid w:val="00587F56"/>
    <w:rsid w:val="00593864"/>
    <w:rsid w:val="005B6FF3"/>
    <w:rsid w:val="005D2080"/>
    <w:rsid w:val="005E0EFB"/>
    <w:rsid w:val="00604C04"/>
    <w:rsid w:val="00610A9F"/>
    <w:rsid w:val="006305F8"/>
    <w:rsid w:val="00640CCB"/>
    <w:rsid w:val="00641D0C"/>
    <w:rsid w:val="00675456"/>
    <w:rsid w:val="006B198D"/>
    <w:rsid w:val="006E38D8"/>
    <w:rsid w:val="007023B9"/>
    <w:rsid w:val="007072B9"/>
    <w:rsid w:val="007135C5"/>
    <w:rsid w:val="007325C5"/>
    <w:rsid w:val="007352AA"/>
    <w:rsid w:val="007B2940"/>
    <w:rsid w:val="007C0F7C"/>
    <w:rsid w:val="007C332F"/>
    <w:rsid w:val="00805127"/>
    <w:rsid w:val="00805BB9"/>
    <w:rsid w:val="00812D03"/>
    <w:rsid w:val="008476E5"/>
    <w:rsid w:val="00890213"/>
    <w:rsid w:val="008B1F70"/>
    <w:rsid w:val="0091774F"/>
    <w:rsid w:val="009835FB"/>
    <w:rsid w:val="00A07444"/>
    <w:rsid w:val="00A31525"/>
    <w:rsid w:val="00A3338C"/>
    <w:rsid w:val="00A42D4B"/>
    <w:rsid w:val="00A92036"/>
    <w:rsid w:val="00AA6C33"/>
    <w:rsid w:val="00AB4569"/>
    <w:rsid w:val="00AB5A13"/>
    <w:rsid w:val="00B04302"/>
    <w:rsid w:val="00B066FE"/>
    <w:rsid w:val="00B25BF0"/>
    <w:rsid w:val="00B3336F"/>
    <w:rsid w:val="00B45145"/>
    <w:rsid w:val="00B55121"/>
    <w:rsid w:val="00B81116"/>
    <w:rsid w:val="00BB2FAD"/>
    <w:rsid w:val="00BE049C"/>
    <w:rsid w:val="00BE507A"/>
    <w:rsid w:val="00C151A7"/>
    <w:rsid w:val="00C16907"/>
    <w:rsid w:val="00C21D9A"/>
    <w:rsid w:val="00C55F57"/>
    <w:rsid w:val="00C6556C"/>
    <w:rsid w:val="00CA5CEE"/>
    <w:rsid w:val="00CC5B01"/>
    <w:rsid w:val="00D25285"/>
    <w:rsid w:val="00D321B8"/>
    <w:rsid w:val="00D35360"/>
    <w:rsid w:val="00D43460"/>
    <w:rsid w:val="00D85F55"/>
    <w:rsid w:val="00DA3FAA"/>
    <w:rsid w:val="00E5088F"/>
    <w:rsid w:val="00E52553"/>
    <w:rsid w:val="00E57228"/>
    <w:rsid w:val="00EA42AE"/>
    <w:rsid w:val="00EB023C"/>
    <w:rsid w:val="00EB07A4"/>
    <w:rsid w:val="00EC175B"/>
    <w:rsid w:val="00ED1A6B"/>
    <w:rsid w:val="00EE6558"/>
    <w:rsid w:val="00EF0205"/>
    <w:rsid w:val="00FB7A35"/>
    <w:rsid w:val="00FD7EDB"/>
    <w:rsid w:val="00FE4683"/>
    <w:rsid w:val="00FE755F"/>
    <w:rsid w:val="00FF6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C1BC86"/>
  <w15:chartTrackingRefBased/>
  <w15:docId w15:val="{7C673B6C-4893-461D-96DD-A40C7ECE6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B066FE"/>
    <w:pPr>
      <w:spacing w:after="0" w:line="240" w:lineRule="auto"/>
    </w:pPr>
    <w:rPr>
      <w:rFonts w:ascii="Arial" w:hAnsi="Arial"/>
      <w:lang w:val="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table" w:styleId="Kontuurtabel">
    <w:name w:val="Table Grid"/>
    <w:basedOn w:val="Normaaltabel"/>
    <w:uiPriority w:val="59"/>
    <w:rsid w:val="00EA42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
    <w:name w:val="AK"/>
    <w:autoRedefine/>
    <w:qFormat/>
    <w:rsid w:val="00587F56"/>
    <w:pPr>
      <w:keepNext/>
      <w:keepLines/>
      <w:suppressLineNumbers/>
      <w:spacing w:after="0" w:line="240" w:lineRule="auto"/>
    </w:pPr>
    <w:rPr>
      <w:rFonts w:ascii="Arial" w:eastAsia="SimSun" w:hAnsi="Arial" w:cs="Times New Roman"/>
      <w:bCs/>
      <w:kern w:val="1"/>
      <w:sz w:val="20"/>
      <w:szCs w:val="20"/>
      <w:lang w:val="et-EE" w:eastAsia="zh-CN" w:bidi="hi-IN"/>
    </w:rPr>
  </w:style>
  <w:style w:type="paragraph" w:styleId="Jutumullitekst">
    <w:name w:val="Balloon Text"/>
    <w:basedOn w:val="Normaallaad"/>
    <w:link w:val="JutumullitekstMrk"/>
    <w:uiPriority w:val="99"/>
    <w:semiHidden/>
    <w:unhideWhenUsed/>
    <w:rsid w:val="00433613"/>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433613"/>
    <w:rPr>
      <w:rFonts w:ascii="Segoe UI" w:hAnsi="Segoe UI" w:cs="Segoe UI"/>
      <w:sz w:val="18"/>
      <w:szCs w:val="18"/>
      <w:lang w:val="et-EE"/>
    </w:rPr>
  </w:style>
  <w:style w:type="paragraph" w:styleId="Pis">
    <w:name w:val="header"/>
    <w:basedOn w:val="Normaallaad"/>
    <w:link w:val="PisMrk"/>
    <w:uiPriority w:val="99"/>
    <w:unhideWhenUsed/>
    <w:rsid w:val="00E52553"/>
    <w:pPr>
      <w:tabs>
        <w:tab w:val="center" w:pos="4536"/>
        <w:tab w:val="right" w:pos="9072"/>
      </w:tabs>
    </w:pPr>
  </w:style>
  <w:style w:type="character" w:customStyle="1" w:styleId="PisMrk">
    <w:name w:val="Päis Märk"/>
    <w:basedOn w:val="Liguvaikefont"/>
    <w:link w:val="Pis"/>
    <w:uiPriority w:val="99"/>
    <w:rsid w:val="00E52553"/>
    <w:rPr>
      <w:rFonts w:ascii="Arial" w:hAnsi="Arial"/>
      <w:lang w:val="et-EE"/>
    </w:rPr>
  </w:style>
  <w:style w:type="paragraph" w:styleId="Jalus">
    <w:name w:val="footer"/>
    <w:basedOn w:val="Normaallaad"/>
    <w:link w:val="JalusMrk"/>
    <w:uiPriority w:val="99"/>
    <w:unhideWhenUsed/>
    <w:rsid w:val="00E52553"/>
    <w:pPr>
      <w:tabs>
        <w:tab w:val="center" w:pos="4536"/>
        <w:tab w:val="right" w:pos="9072"/>
      </w:tabs>
    </w:pPr>
  </w:style>
  <w:style w:type="character" w:customStyle="1" w:styleId="JalusMrk">
    <w:name w:val="Jalus Märk"/>
    <w:basedOn w:val="Liguvaikefont"/>
    <w:link w:val="Jalus"/>
    <w:uiPriority w:val="99"/>
    <w:rsid w:val="00E52553"/>
    <w:rPr>
      <w:rFonts w:ascii="Arial" w:hAnsi="Arial"/>
      <w:lang w:val="et-EE"/>
    </w:rPr>
  </w:style>
  <w:style w:type="paragraph" w:customStyle="1" w:styleId="Tekst">
    <w:name w:val="Tekst"/>
    <w:autoRedefine/>
    <w:qFormat/>
    <w:rsid w:val="00CC5B01"/>
    <w:pPr>
      <w:spacing w:after="0" w:line="240" w:lineRule="auto"/>
      <w:jc w:val="both"/>
    </w:pPr>
    <w:rPr>
      <w:rFonts w:ascii="Arial" w:eastAsia="SimSun" w:hAnsi="Arial" w:cs="Arial"/>
      <w:noProof/>
      <w:kern w:val="1"/>
      <w:lang w:val="et-EE" w:eastAsia="zh-CN" w:bidi="hi-IN"/>
    </w:rPr>
  </w:style>
  <w:style w:type="paragraph" w:styleId="Redaktsioon">
    <w:name w:val="Revision"/>
    <w:hidden/>
    <w:uiPriority w:val="99"/>
    <w:semiHidden/>
    <w:rsid w:val="00D25285"/>
    <w:pPr>
      <w:spacing w:after="0" w:line="240" w:lineRule="auto"/>
    </w:pPr>
    <w:rPr>
      <w:rFonts w:ascii="Arial" w:hAnsi="Arial"/>
      <w:lang w:val="et-EE"/>
    </w:rPr>
  </w:style>
  <w:style w:type="character" w:styleId="Kommentaariviide">
    <w:name w:val="annotation reference"/>
    <w:basedOn w:val="Liguvaikefont"/>
    <w:uiPriority w:val="99"/>
    <w:semiHidden/>
    <w:unhideWhenUsed/>
    <w:rsid w:val="00D25285"/>
    <w:rPr>
      <w:sz w:val="16"/>
      <w:szCs w:val="16"/>
    </w:rPr>
  </w:style>
  <w:style w:type="paragraph" w:styleId="Kommentaaritekst">
    <w:name w:val="annotation text"/>
    <w:basedOn w:val="Normaallaad"/>
    <w:link w:val="KommentaaritekstMrk"/>
    <w:uiPriority w:val="99"/>
    <w:unhideWhenUsed/>
    <w:rsid w:val="00D25285"/>
    <w:rPr>
      <w:sz w:val="20"/>
      <w:szCs w:val="20"/>
    </w:rPr>
  </w:style>
  <w:style w:type="character" w:customStyle="1" w:styleId="KommentaaritekstMrk">
    <w:name w:val="Kommentaari tekst Märk"/>
    <w:basedOn w:val="Liguvaikefont"/>
    <w:link w:val="Kommentaaritekst"/>
    <w:uiPriority w:val="99"/>
    <w:rsid w:val="00D25285"/>
    <w:rPr>
      <w:rFonts w:ascii="Arial" w:hAnsi="Arial"/>
      <w:sz w:val="20"/>
      <w:szCs w:val="20"/>
      <w:lang w:val="et-EE"/>
    </w:rPr>
  </w:style>
  <w:style w:type="paragraph" w:styleId="Kommentaariteema">
    <w:name w:val="annotation subject"/>
    <w:basedOn w:val="Kommentaaritekst"/>
    <w:next w:val="Kommentaaritekst"/>
    <w:link w:val="KommentaariteemaMrk"/>
    <w:uiPriority w:val="99"/>
    <w:semiHidden/>
    <w:unhideWhenUsed/>
    <w:rsid w:val="00D25285"/>
    <w:rPr>
      <w:b/>
      <w:bCs/>
    </w:rPr>
  </w:style>
  <w:style w:type="character" w:customStyle="1" w:styleId="KommentaariteemaMrk">
    <w:name w:val="Kommentaari teema Märk"/>
    <w:basedOn w:val="KommentaaritekstMrk"/>
    <w:link w:val="Kommentaariteema"/>
    <w:uiPriority w:val="99"/>
    <w:semiHidden/>
    <w:rsid w:val="00D25285"/>
    <w:rPr>
      <w:rFonts w:ascii="Arial" w:hAnsi="Arial"/>
      <w:b/>
      <w:bCs/>
      <w:sz w:val="20"/>
      <w:szCs w:val="20"/>
      <w:lang w:val="et-E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829765">
      <w:bodyDiv w:val="1"/>
      <w:marLeft w:val="0"/>
      <w:marRight w:val="0"/>
      <w:marTop w:val="0"/>
      <w:marBottom w:val="0"/>
      <w:divBdr>
        <w:top w:val="none" w:sz="0" w:space="0" w:color="auto"/>
        <w:left w:val="none" w:sz="0" w:space="0" w:color="auto"/>
        <w:bottom w:val="none" w:sz="0" w:space="0" w:color="auto"/>
        <w:right w:val="none" w:sz="0" w:space="0" w:color="auto"/>
      </w:divBdr>
    </w:div>
    <w:div w:id="1305625680">
      <w:bodyDiv w:val="1"/>
      <w:marLeft w:val="0"/>
      <w:marRight w:val="0"/>
      <w:marTop w:val="0"/>
      <w:marBottom w:val="0"/>
      <w:divBdr>
        <w:top w:val="none" w:sz="0" w:space="0" w:color="auto"/>
        <w:left w:val="none" w:sz="0" w:space="0" w:color="auto"/>
        <w:bottom w:val="none" w:sz="0" w:space="0" w:color="auto"/>
        <w:right w:val="none" w:sz="0" w:space="0" w:color="auto"/>
      </w:divBdr>
    </w:div>
    <w:div w:id="1348294355">
      <w:bodyDiv w:val="1"/>
      <w:marLeft w:val="0"/>
      <w:marRight w:val="0"/>
      <w:marTop w:val="0"/>
      <w:marBottom w:val="0"/>
      <w:divBdr>
        <w:top w:val="none" w:sz="0" w:space="0" w:color="auto"/>
        <w:left w:val="none" w:sz="0" w:space="0" w:color="auto"/>
        <w:bottom w:val="none" w:sz="0" w:space="0" w:color="auto"/>
        <w:right w:val="none" w:sz="0" w:space="0" w:color="auto"/>
      </w:divBdr>
    </w:div>
    <w:div w:id="1849902989">
      <w:bodyDiv w:val="1"/>
      <w:marLeft w:val="0"/>
      <w:marRight w:val="0"/>
      <w:marTop w:val="0"/>
      <w:marBottom w:val="0"/>
      <w:divBdr>
        <w:top w:val="none" w:sz="0" w:space="0" w:color="auto"/>
        <w:left w:val="none" w:sz="0" w:space="0" w:color="auto"/>
        <w:bottom w:val="none" w:sz="0" w:space="0" w:color="auto"/>
        <w:right w:val="none" w:sz="0" w:space="0" w:color="auto"/>
      </w:divBdr>
    </w:div>
    <w:div w:id="1852144181">
      <w:bodyDiv w:val="1"/>
      <w:marLeft w:val="0"/>
      <w:marRight w:val="0"/>
      <w:marTop w:val="0"/>
      <w:marBottom w:val="0"/>
      <w:divBdr>
        <w:top w:val="none" w:sz="0" w:space="0" w:color="auto"/>
        <w:left w:val="none" w:sz="0" w:space="0" w:color="auto"/>
        <w:bottom w:val="none" w:sz="0" w:space="0" w:color="auto"/>
        <w:right w:val="none" w:sz="0" w:space="0" w:color="auto"/>
      </w:divBdr>
    </w:div>
    <w:div w:id="2081174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F7D58-8454-4E6C-98C4-2FA9BD02C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1618</Words>
  <Characters>9387</Characters>
  <Application>Microsoft Office Word</Application>
  <DocSecurity>0</DocSecurity>
  <Lines>78</Lines>
  <Paragraphs>21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10984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Allert</dc:creator>
  <cp:keywords/>
  <dc:description/>
  <cp:lastModifiedBy>Merle Järve - RAM</cp:lastModifiedBy>
  <cp:revision>2</cp:revision>
  <cp:lastPrinted>2016-11-25T14:21:00Z</cp:lastPrinted>
  <dcterms:created xsi:type="dcterms:W3CDTF">2025-11-11T05:22:00Z</dcterms:created>
  <dcterms:modified xsi:type="dcterms:W3CDTF">2025-11-11T05:22:00Z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Number">
    <vt:lpwstr>{viit}</vt:lpwstr>
  </property>
  <property fmtid="{D5CDD505-2E9C-101B-9397-08002B2CF9AE}" pid="3" name="delta_regDateTime">
    <vt:lpwstr>{reg.kpv}</vt:lpwstr>
  </property>
  <property fmtid="{D5CDD505-2E9C-101B-9397-08002B2CF9AE}" pid="4" name="delta_docName">
    <vt:lpwstr>{Pealkiri}</vt:lpwstr>
  </property>
  <property fmtid="{D5CDD505-2E9C-101B-9397-08002B2CF9AE}" pid="5" name="delta_signerName">
    <vt:lpwstr>{allkirjastaja}</vt:lpwstr>
  </property>
  <property fmtid="{D5CDD505-2E9C-101B-9397-08002B2CF9AE}" pid="6" name="delta_signerJobTitle">
    <vt:lpwstr>{ametinimetus}</vt:lpwstr>
  </property>
  <property fmtid="{D5CDD505-2E9C-101B-9397-08002B2CF9AE}" pid="7" name="delta_secondsignerName">
    <vt:lpwstr>{teine allkirjastaja}</vt:lpwstr>
  </property>
  <property fmtid="{D5CDD505-2E9C-101B-9397-08002B2CF9AE}" pid="8" name="delta_secondsignerJobTitle">
    <vt:lpwstr>{teise allkirjastaja ametinimetus}</vt:lpwstr>
  </property>
  <property fmtid="{D5CDD505-2E9C-101B-9397-08002B2CF9AE}" pid="9" name="MSIP_Label_defa4170-0d19-0005-0004-bc88714345d2_Enabled">
    <vt:lpwstr>true</vt:lpwstr>
  </property>
  <property fmtid="{D5CDD505-2E9C-101B-9397-08002B2CF9AE}" pid="10" name="MSIP_Label_defa4170-0d19-0005-0004-bc88714345d2_SetDate">
    <vt:lpwstr>2025-10-30T14:09:24Z</vt:lpwstr>
  </property>
  <property fmtid="{D5CDD505-2E9C-101B-9397-08002B2CF9AE}" pid="11" name="MSIP_Label_defa4170-0d19-0005-0004-bc88714345d2_Method">
    <vt:lpwstr>Standard</vt:lpwstr>
  </property>
  <property fmtid="{D5CDD505-2E9C-101B-9397-08002B2CF9AE}" pid="12" name="MSIP_Label_defa4170-0d19-0005-0004-bc88714345d2_Name">
    <vt:lpwstr>defa4170-0d19-0005-0004-bc88714345d2</vt:lpwstr>
  </property>
  <property fmtid="{D5CDD505-2E9C-101B-9397-08002B2CF9AE}" pid="13" name="MSIP_Label_defa4170-0d19-0005-0004-bc88714345d2_SiteId">
    <vt:lpwstr>8fe098d2-428d-4bd4-9803-7195fe96f0e2</vt:lpwstr>
  </property>
  <property fmtid="{D5CDD505-2E9C-101B-9397-08002B2CF9AE}" pid="14" name="MSIP_Label_defa4170-0d19-0005-0004-bc88714345d2_ActionId">
    <vt:lpwstr>8c57396b-92af-4707-9022-c6e811ae30c9</vt:lpwstr>
  </property>
  <property fmtid="{D5CDD505-2E9C-101B-9397-08002B2CF9AE}" pid="15" name="MSIP_Label_defa4170-0d19-0005-0004-bc88714345d2_ContentBits">
    <vt:lpwstr>0</vt:lpwstr>
  </property>
  <property fmtid="{D5CDD505-2E9C-101B-9397-08002B2CF9AE}" pid="16" name="MSIP_Label_defa4170-0d19-0005-0004-bc88714345d2_Tag">
    <vt:lpwstr>10, 3, 0, 1</vt:lpwstr>
  </property>
</Properties>
</file>