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D85B33" w:rsidRPr="00496034" w:rsidP="00D85B33" w14:paraId="364BFAA6" w14:textId="77777777">
      <w:pPr>
        <w:spacing w:after="0" w:line="204" w:lineRule="exact"/>
        <w:ind w:left="20" w:right="-47"/>
        <w:jc w:val="center"/>
        <w:rPr>
          <w:rFonts w:ascii="Times New Roman" w:eastAsia="Times New Roman" w:hAnsi="Times New Roman"/>
          <w:caps/>
          <w:sz w:val="18"/>
          <w:szCs w:val="18"/>
        </w:rPr>
      </w:pPr>
      <w:r w:rsidRPr="00496034">
        <w:rPr>
          <w:rFonts w:ascii="Times New Roman" w:eastAsia="Times New Roman" w:hAnsi="Times New Roman"/>
          <w:i/>
          <w:caps/>
          <w:color w:val="231F20"/>
          <w:spacing w:val="-11"/>
          <w:sz w:val="18"/>
          <w:szCs w:val="18"/>
        </w:rPr>
        <w:t>Ministry of the Interior of the Republic of Latvia</w:t>
      </w:r>
    </w:p>
    <w:p w:rsidR="00D85B33" w:rsidRPr="00D55642" w:rsidP="00D85B33" w14:paraId="364BFAA7" w14:textId="77777777">
      <w:pPr>
        <w:pStyle w:val="Header"/>
        <w:tabs>
          <w:tab w:val="clear" w:pos="4320"/>
          <w:tab w:val="center" w:pos="4536"/>
          <w:tab w:val="clear" w:pos="8640"/>
          <w:tab w:val="right" w:pos="9071"/>
        </w:tabs>
        <w:jc w:val="center"/>
        <w:rPr>
          <w:rFonts w:ascii="Times New Roman" w:eastAsia="Times New Roman" w:hAnsi="Times New Roman"/>
          <w:color w:val="231F20"/>
          <w:sz w:val="14"/>
          <w:szCs w:val="17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1036320</wp:posOffset>
                </wp:positionV>
                <wp:extent cx="5039995" cy="0"/>
                <wp:effectExtent l="5080" t="9525" r="12700" b="9525"/>
                <wp:wrapSquare wrapText="bothSides"/>
                <wp:docPr id="2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999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5" type="#_x0000_t32" style="width:396.85pt;height:0;margin-top:81.6pt;margin-left:36.1pt;mso-height-percent:0;mso-height-relative:page;mso-width-percent:0;mso-width-relative:page;mso-wrap-distance-bottom:0;mso-wrap-distance-left:9pt;mso-wrap-distance-right:9pt;mso-wrap-distance-top:0;mso-wrap-style:square;position:absolute;visibility:visible;z-index:251660288" strokeweight="0.25pt">
                <w10:wrap type="square"/>
              </v:shape>
            </w:pict>
          </mc:Fallback>
        </mc:AlternateContent>
      </w:r>
      <w:r>
        <w:rPr>
          <w:noProof/>
          <w:lang w:val="lv-LV"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0</wp:posOffset>
            </wp:positionV>
            <wp:extent cx="5403850" cy="972185"/>
            <wp:effectExtent l="0" t="0" r="0" b="0"/>
            <wp:wrapTopAndBottom/>
            <wp:docPr id="3" name="Picture 4" descr="vienkrasu_header_veidlapa_28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vienkrasu_header_veidlapa_28-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5B33" w:rsidRPr="00D85B33" w:rsidP="00D85B33" w14:paraId="364BFAA8" w14:textId="77777777">
      <w:pPr>
        <w:spacing w:after="0" w:line="240" w:lineRule="auto"/>
        <w:ind w:left="23" w:right="-45"/>
        <w:jc w:val="center"/>
        <w:rPr>
          <w:rFonts w:ascii="Times New Roman" w:eastAsia="Times New Roman" w:hAnsi="Times New Roman"/>
          <w:color w:val="231F20"/>
          <w:sz w:val="14"/>
          <w:szCs w:val="17"/>
        </w:rPr>
      </w:pPr>
    </w:p>
    <w:p w:rsidR="00D85B33" w:rsidP="00D85B33" w14:paraId="364BFAA9" w14:textId="77777777">
      <w:pPr>
        <w:spacing w:after="0" w:line="240" w:lineRule="auto"/>
        <w:ind w:left="23" w:right="-45"/>
        <w:jc w:val="center"/>
        <w:rPr>
          <w:rFonts w:ascii="Times New Roman" w:eastAsia="Times New Roman" w:hAnsi="Times New Roman"/>
          <w:sz w:val="17"/>
          <w:szCs w:val="17"/>
        </w:rPr>
      </w:pPr>
      <w:r w:rsidRPr="006F1DF5">
        <w:rPr>
          <w:rFonts w:ascii="Times New Roman" w:eastAsia="Times New Roman" w:hAnsi="Times New Roman"/>
          <w:color w:val="231F20"/>
          <w:sz w:val="17"/>
          <w:szCs w:val="17"/>
        </w:rPr>
        <w:t>Čiekurkalna</w:t>
      </w:r>
      <w:r w:rsidRPr="006F1DF5">
        <w:rPr>
          <w:rFonts w:ascii="Times New Roman" w:eastAsia="Times New Roman" w:hAnsi="Times New Roman"/>
          <w:color w:val="231F20"/>
          <w:sz w:val="17"/>
          <w:szCs w:val="17"/>
        </w:rPr>
        <w:t xml:space="preserve"> </w:t>
      </w:r>
      <w:r w:rsidRPr="006F1DF5">
        <w:rPr>
          <w:rFonts w:ascii="Times New Roman" w:eastAsia="Times New Roman" w:hAnsi="Times New Roman"/>
          <w:color w:val="231F20"/>
          <w:sz w:val="17"/>
          <w:szCs w:val="17"/>
        </w:rPr>
        <w:t>1.līni</w:t>
      </w:r>
      <w:r w:rsidR="00925A6C">
        <w:rPr>
          <w:rFonts w:ascii="Times New Roman" w:eastAsia="Times New Roman" w:hAnsi="Times New Roman"/>
          <w:color w:val="231F20"/>
          <w:sz w:val="17"/>
          <w:szCs w:val="17"/>
        </w:rPr>
        <w:t>ja</w:t>
      </w:r>
      <w:r w:rsidR="00925A6C">
        <w:rPr>
          <w:rFonts w:ascii="Times New Roman" w:eastAsia="Times New Roman" w:hAnsi="Times New Roman"/>
          <w:color w:val="231F20"/>
          <w:sz w:val="17"/>
          <w:szCs w:val="17"/>
        </w:rPr>
        <w:t xml:space="preserve"> 1 k-2, </w:t>
      </w:r>
      <w:r w:rsidR="00925A6C">
        <w:rPr>
          <w:rFonts w:ascii="Times New Roman" w:eastAsia="Times New Roman" w:hAnsi="Times New Roman"/>
          <w:color w:val="231F20"/>
          <w:sz w:val="17"/>
          <w:szCs w:val="17"/>
        </w:rPr>
        <w:t>Rīga</w:t>
      </w:r>
      <w:r w:rsidR="00925A6C">
        <w:rPr>
          <w:rFonts w:ascii="Times New Roman" w:eastAsia="Times New Roman" w:hAnsi="Times New Roman"/>
          <w:color w:val="231F20"/>
          <w:sz w:val="17"/>
          <w:szCs w:val="17"/>
        </w:rPr>
        <w:t>, LV-1026, Latvia,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 phone +371 67219263; </w:t>
      </w:r>
      <w:r w:rsidRPr="006F1DF5">
        <w:rPr>
          <w:rFonts w:ascii="Times New Roman" w:eastAsia="Times New Roman" w:hAnsi="Times New Roman"/>
          <w:color w:val="231F20"/>
          <w:sz w:val="17"/>
          <w:szCs w:val="17"/>
        </w:rPr>
        <w:t>e-mail</w:t>
      </w:r>
      <w:r>
        <w:rPr>
          <w:rFonts w:ascii="Times New Roman" w:eastAsia="Times New Roman" w:hAnsi="Times New Roman"/>
          <w:color w:val="231F20"/>
          <w:sz w:val="17"/>
          <w:szCs w:val="17"/>
        </w:rPr>
        <w:t xml:space="preserve">: </w:t>
      </w:r>
      <w:r w:rsidR="00720E2D">
        <w:rPr>
          <w:rFonts w:ascii="Times New Roman" w:eastAsia="Times New Roman" w:hAnsi="Times New Roman"/>
          <w:color w:val="231F20"/>
          <w:sz w:val="17"/>
          <w:szCs w:val="17"/>
        </w:rPr>
        <w:t>pasts</w:t>
      </w:r>
      <w:r>
        <w:rPr>
          <w:rFonts w:ascii="Times New Roman" w:eastAsia="Times New Roman" w:hAnsi="Times New Roman"/>
          <w:color w:val="231F20"/>
          <w:sz w:val="17"/>
          <w:szCs w:val="17"/>
        </w:rPr>
        <w:t>@iem.gov.lv;</w:t>
      </w:r>
      <w:r w:rsidRPr="006F1DF5">
        <w:rPr>
          <w:rFonts w:ascii="Times New Roman" w:eastAsia="Times New Roman" w:hAnsi="Times New Roman"/>
          <w:color w:val="231F20"/>
          <w:sz w:val="17"/>
          <w:szCs w:val="17"/>
        </w:rPr>
        <w:t xml:space="preserve"> www.iem.gov.lv</w:t>
      </w:r>
    </w:p>
    <w:p w:rsidR="00BD19CB" w:rsidP="00D85B33" w14:paraId="364BFAAA" w14:textId="7777777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D85B33" w:rsidRPr="00D85B33" w:rsidP="00D85B33" w14:paraId="364BFAAB" w14:textId="7777777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BD19CB" w:rsidP="00D85B33" w14:paraId="364BFAAC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Rī</w:t>
      </w:r>
      <w:r w:rsidR="00F115AB">
        <w:rPr>
          <w:rFonts w:ascii="Times New Roman" w:hAnsi="Times New Roman"/>
          <w:sz w:val="24"/>
          <w:szCs w:val="24"/>
          <w:lang w:val="lv-LV"/>
        </w:rPr>
        <w:t>ga</w:t>
      </w:r>
    </w:p>
    <w:p w:rsidR="0096127A" w:rsidP="00D85B33" w14:paraId="364BFAAD" w14:textId="7777777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</w:p>
    <w:tbl>
      <w:tblPr>
        <w:tblW w:w="0" w:type="auto"/>
        <w:tblLayout w:type="fixed"/>
        <w:tblLook w:val="04A0"/>
      </w:tblPr>
      <w:tblGrid>
        <w:gridCol w:w="3227"/>
        <w:gridCol w:w="3260"/>
        <w:gridCol w:w="3260"/>
      </w:tblGrid>
      <w:tr w14:paraId="364BFAB2" w14:textId="77777777" w:rsidTr="00CF055F">
        <w:tblPrEx>
          <w:tblW w:w="0" w:type="auto"/>
          <w:tblLayout w:type="fixed"/>
          <w:tblLook w:val="04A0"/>
        </w:tblPrEx>
        <w:tc>
          <w:tcPr>
            <w:tcW w:w="3227" w:type="dxa"/>
            <w:hideMark/>
          </w:tcPr>
          <w:p w:rsidR="0096127A" w:rsidP="00CF055F" w14:paraId="364BFAAE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>17.01.2025</w:t>
            </w:r>
          </w:p>
        </w:tc>
        <w:tc>
          <w:tcPr>
            <w:tcW w:w="3260" w:type="dxa"/>
            <w:hideMark/>
          </w:tcPr>
          <w:p w:rsidR="0096127A" w:rsidP="00CF055F" w14:paraId="364BFAAF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Nr.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1-18/167</w:t>
            </w:r>
            <w:r>
              <w:rPr>
                <w:rFonts w:ascii="Times New Roman" w:hAnsi="Times New Roman"/>
                <w:noProof/>
                <w:sz w:val="28"/>
                <w:szCs w:val="24"/>
              </w:rPr>
              <w:t>/25</w:t>
            </w:r>
          </w:p>
        </w:tc>
        <w:tc>
          <w:tcPr>
            <w:tcW w:w="3260" w:type="dxa"/>
            <w:hideMark/>
          </w:tcPr>
          <w:p w:rsidR="0096127A" w:rsidP="00C423D9" w14:paraId="364BFAB0" w14:textId="3C7A9A7B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4"/>
              </w:rPr>
              <w:t>Ministry of the Interior of the Republic of Estonia</w:t>
            </w:r>
          </w:p>
          <w:p w:rsidR="006E01B5" w:rsidP="00C423D9" w14:paraId="46853128" w14:textId="34DBD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lv-LV"/>
              </w:rPr>
            </w:pPr>
            <w:hyperlink r:id="rId5" w:history="1">
              <w:r w:rsidRPr="007A1F47">
                <w:rPr>
                  <w:rFonts w:ascii="Times New Roman" w:hAnsi="Times New Roman"/>
                  <w:sz w:val="24"/>
                  <w:szCs w:val="24"/>
                  <w:u w:val="single"/>
                  <w:lang w:val="lv-LV"/>
                </w:rPr>
                <w:t>info@siseministeerium.ee</w:t>
              </w:r>
            </w:hyperlink>
          </w:p>
          <w:p w:rsidR="006E01B5" w:rsidP="00C423D9" w14:paraId="70D2EE23" w14:textId="6706B3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val="lv-LV"/>
              </w:rPr>
            </w:pPr>
          </w:p>
          <w:p w:rsidR="006E01B5" w:rsidP="00CF055F" w14:paraId="07155005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  <w:p w:rsidR="0096127A" w:rsidP="00CF055F" w14:paraId="364BFAB1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</w:tr>
    </w:tbl>
    <w:p w:rsidR="0096127A" w:rsidP="00D85B33" w14:paraId="364BFAB3" w14:textId="270C60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6E01B5" w:rsidP="006E01B5" w14:paraId="7C1C3221" w14:textId="78610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P</w:t>
      </w:r>
      <w:r w:rsidRPr="002904F8">
        <w:rPr>
          <w:rFonts w:ascii="Times New Roman" w:hAnsi="Times New Roman"/>
          <w:sz w:val="28"/>
          <w:szCs w:val="28"/>
          <w:lang w:val="lv-LV"/>
        </w:rPr>
        <w:t>rovision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N</w:t>
      </w:r>
      <w:r w:rsidRPr="002904F8">
        <w:rPr>
          <w:rFonts w:ascii="Times New Roman" w:hAnsi="Times New Roman"/>
          <w:sz w:val="28"/>
          <w:szCs w:val="28"/>
          <w:lang w:val="lv-LV"/>
        </w:rPr>
        <w:t>otification</w:t>
      </w:r>
    </w:p>
    <w:p w:rsidR="006E01B5" w:rsidP="006E01B5" w14:paraId="60BC2242" w14:textId="0B0EDAE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According</w:t>
      </w:r>
      <w:r>
        <w:rPr>
          <w:rFonts w:ascii="Times New Roman" w:hAnsi="Times New Roman"/>
          <w:sz w:val="28"/>
          <w:szCs w:val="28"/>
          <w:lang w:val="lv-LV"/>
        </w:rPr>
        <w:t xml:space="preserve"> to </w:t>
      </w:r>
      <w:r>
        <w:rPr>
          <w:rFonts w:ascii="Times New Roman" w:hAnsi="Times New Roman"/>
          <w:sz w:val="28"/>
          <w:szCs w:val="28"/>
          <w:lang w:val="lv-LV"/>
        </w:rPr>
        <w:t>the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Regulation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</w:p>
    <w:p w:rsidR="006E01B5" w:rsidRPr="002904F8" w:rsidP="006E01B5" w14:paraId="2C7B2B00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(EU) 2016/399</w:t>
      </w:r>
      <w:bookmarkStart w:id="0" w:name="_GoBack"/>
      <w:bookmarkEnd w:id="0"/>
    </w:p>
    <w:p w:rsidR="006E01B5" w:rsidRPr="002904F8" w:rsidP="006E01B5" w14:paraId="0C2D5D7E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6E01B5" w:rsidRPr="002904F8" w:rsidP="006E01B5" w14:paraId="436870FB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2904F8">
        <w:rPr>
          <w:rFonts w:ascii="Times New Roman" w:hAnsi="Times New Roman"/>
          <w:sz w:val="28"/>
          <w:szCs w:val="28"/>
          <w:lang w:val="lv-LV"/>
        </w:rPr>
        <w:t>Article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42b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Regulation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(EU) 2016/399 </w:t>
      </w:r>
      <w:r w:rsidRPr="00165FEC">
        <w:rPr>
          <w:rFonts w:ascii="Times New Roman" w:hAnsi="Times New Roman"/>
          <w:sz w:val="28"/>
          <w:szCs w:val="28"/>
          <w:lang w:val="lv-LV"/>
        </w:rPr>
        <w:t>of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European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Parliament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and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of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Council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of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9 </w:t>
      </w:r>
      <w:r w:rsidRPr="00165FEC">
        <w:rPr>
          <w:rFonts w:ascii="Times New Roman" w:hAnsi="Times New Roman"/>
          <w:sz w:val="28"/>
          <w:szCs w:val="28"/>
          <w:lang w:val="lv-LV"/>
        </w:rPr>
        <w:t>March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2016 </w:t>
      </w:r>
      <w:r w:rsidRPr="00165FEC">
        <w:rPr>
          <w:rFonts w:ascii="Times New Roman" w:hAnsi="Times New Roman"/>
          <w:sz w:val="28"/>
          <w:szCs w:val="28"/>
          <w:lang w:val="lv-LV"/>
        </w:rPr>
        <w:t>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a </w:t>
      </w:r>
      <w:r w:rsidRPr="00165FEC">
        <w:rPr>
          <w:rFonts w:ascii="Times New Roman" w:hAnsi="Times New Roman"/>
          <w:sz w:val="28"/>
          <w:szCs w:val="28"/>
          <w:lang w:val="lv-LV"/>
        </w:rPr>
        <w:t>Union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Code </w:t>
      </w:r>
      <w:r w:rsidRPr="00165FEC">
        <w:rPr>
          <w:rFonts w:ascii="Times New Roman" w:hAnsi="Times New Roman"/>
          <w:sz w:val="28"/>
          <w:szCs w:val="28"/>
          <w:lang w:val="lv-LV"/>
        </w:rPr>
        <w:t>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rules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governing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movement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of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persons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across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borders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(</w:t>
      </w:r>
      <w:r w:rsidRPr="002904F8">
        <w:rPr>
          <w:rFonts w:ascii="Times New Roman" w:hAnsi="Times New Roman"/>
          <w:sz w:val="28"/>
          <w:szCs w:val="28"/>
          <w:lang w:val="lv-LV"/>
        </w:rPr>
        <w:t>Schengen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Borders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Code) </w:t>
      </w:r>
      <w:r w:rsidRPr="002904F8">
        <w:rPr>
          <w:rFonts w:ascii="Times New Roman" w:hAnsi="Times New Roman"/>
          <w:sz w:val="28"/>
          <w:szCs w:val="28"/>
          <w:lang w:val="lv-LV"/>
        </w:rPr>
        <w:t>requires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Member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States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with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common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internal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borders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b</w:t>
      </w:r>
      <w:r w:rsidRPr="00165FEC">
        <w:rPr>
          <w:rFonts w:ascii="Times New Roman" w:hAnsi="Times New Roman"/>
          <w:sz w:val="28"/>
          <w:szCs w:val="28"/>
          <w:lang w:val="lv-LV"/>
        </w:rPr>
        <w:t>y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11 </w:t>
      </w:r>
      <w:r w:rsidRPr="00165FEC">
        <w:rPr>
          <w:rFonts w:ascii="Times New Roman" w:hAnsi="Times New Roman"/>
          <w:sz w:val="28"/>
          <w:szCs w:val="28"/>
          <w:lang w:val="lv-LV"/>
        </w:rPr>
        <w:t>January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2025</w:t>
      </w:r>
      <w:r>
        <w:rPr>
          <w:rFonts w:ascii="Times New Roman" w:hAnsi="Times New Roman"/>
          <w:sz w:val="28"/>
          <w:szCs w:val="28"/>
          <w:lang w:val="lv-LV"/>
        </w:rPr>
        <w:t xml:space="preserve"> to </w:t>
      </w:r>
      <w:r w:rsidRPr="00165FEC">
        <w:rPr>
          <w:rFonts w:ascii="Times New Roman" w:hAnsi="Times New Roman"/>
          <w:sz w:val="28"/>
          <w:szCs w:val="28"/>
          <w:lang w:val="lv-LV"/>
        </w:rPr>
        <w:t>determine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areas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of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their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territory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considered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cross-border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regions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165FEC">
        <w:rPr>
          <w:rFonts w:ascii="Times New Roman" w:hAnsi="Times New Roman"/>
          <w:sz w:val="28"/>
          <w:szCs w:val="28"/>
          <w:lang w:val="lv-LV"/>
        </w:rPr>
        <w:t>taking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into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account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strong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social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and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economic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ties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between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them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165FEC">
        <w:rPr>
          <w:rFonts w:ascii="Times New Roman" w:hAnsi="Times New Roman"/>
          <w:sz w:val="28"/>
          <w:szCs w:val="28"/>
          <w:lang w:val="lv-LV"/>
        </w:rPr>
        <w:t>and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notify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Commission</w:t>
      </w:r>
      <w:r w:rsidRPr="00165FEC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165FEC">
        <w:rPr>
          <w:rFonts w:ascii="Times New Roman" w:hAnsi="Times New Roman"/>
          <w:sz w:val="28"/>
          <w:szCs w:val="28"/>
          <w:lang w:val="lv-LV"/>
        </w:rPr>
        <w:t>thereof</w:t>
      </w:r>
      <w:r w:rsidRPr="002904F8">
        <w:rPr>
          <w:rFonts w:ascii="Times New Roman" w:hAnsi="Times New Roman"/>
          <w:sz w:val="28"/>
          <w:szCs w:val="28"/>
          <w:lang w:val="lv-LV"/>
        </w:rPr>
        <w:t>.</w:t>
      </w:r>
    </w:p>
    <w:p w:rsidR="006E01B5" w:rsidRPr="002904F8" w:rsidP="006E01B5" w14:paraId="18C32E98" w14:textId="7777777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T</w:t>
      </w:r>
      <w:r w:rsidRPr="002904F8">
        <w:rPr>
          <w:rFonts w:ascii="Times New Roman" w:hAnsi="Times New Roman"/>
          <w:sz w:val="28"/>
          <w:szCs w:val="28"/>
          <w:lang w:val="lv-LV"/>
        </w:rPr>
        <w:t>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Ministry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Interior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Republic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Latvia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deems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that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relevant </w:t>
      </w:r>
      <w:r w:rsidRPr="002904F8">
        <w:rPr>
          <w:rFonts w:ascii="Times New Roman" w:hAnsi="Times New Roman"/>
          <w:sz w:val="28"/>
          <w:szCs w:val="28"/>
          <w:lang w:val="lv-LV"/>
        </w:rPr>
        <w:t>provision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context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Republic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Latvia </w:t>
      </w:r>
      <w:r w:rsidRPr="002904F8">
        <w:rPr>
          <w:rFonts w:ascii="Times New Roman" w:hAnsi="Times New Roman"/>
          <w:sz w:val="28"/>
          <w:szCs w:val="28"/>
          <w:lang w:val="lv-LV"/>
        </w:rPr>
        <w:t>and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Republic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Estonia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could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apply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to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cities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Valka </w:t>
      </w:r>
      <w:r w:rsidRPr="002904F8">
        <w:rPr>
          <w:rFonts w:ascii="Times New Roman" w:hAnsi="Times New Roman"/>
          <w:sz w:val="28"/>
          <w:szCs w:val="28"/>
          <w:lang w:val="lv-LV"/>
        </w:rPr>
        <w:t>and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Valga. </w:t>
      </w:r>
      <w:r w:rsidRPr="002904F8">
        <w:rPr>
          <w:rFonts w:ascii="Times New Roman" w:hAnsi="Times New Roman"/>
          <w:sz w:val="28"/>
          <w:szCs w:val="28"/>
          <w:lang w:val="lv-LV"/>
        </w:rPr>
        <w:t>Th</w:t>
      </w:r>
      <w:r>
        <w:rPr>
          <w:rFonts w:ascii="Times New Roman" w:hAnsi="Times New Roman"/>
          <w:sz w:val="28"/>
          <w:szCs w:val="28"/>
          <w:lang w:val="lv-LV"/>
        </w:rPr>
        <w:t>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mentioned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justified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for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example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by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a </w:t>
      </w:r>
      <w:r w:rsidRPr="002904F8">
        <w:rPr>
          <w:rFonts w:ascii="Times New Roman" w:hAnsi="Times New Roman"/>
          <w:sz w:val="28"/>
          <w:szCs w:val="28"/>
          <w:lang w:val="lv-LV"/>
        </w:rPr>
        <w:t>number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projects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carried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out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by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cities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concerned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field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employment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interconnecting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infrastructure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with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a </w:t>
      </w:r>
      <w:r w:rsidRPr="002904F8">
        <w:rPr>
          <w:rFonts w:ascii="Times New Roman" w:hAnsi="Times New Roman"/>
          <w:sz w:val="28"/>
          <w:szCs w:val="28"/>
          <w:lang w:val="lv-LV"/>
        </w:rPr>
        <w:t>view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to </w:t>
      </w:r>
      <w:r w:rsidRPr="002904F8">
        <w:rPr>
          <w:rFonts w:ascii="Times New Roman" w:hAnsi="Times New Roman"/>
          <w:sz w:val="28"/>
          <w:szCs w:val="28"/>
          <w:lang w:val="lv-LV"/>
        </w:rPr>
        <w:t>strengthening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aspects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tourism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business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and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investment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, </w:t>
      </w:r>
      <w:r w:rsidRPr="002904F8">
        <w:rPr>
          <w:rFonts w:ascii="Times New Roman" w:hAnsi="Times New Roman"/>
          <w:sz w:val="28"/>
          <w:szCs w:val="28"/>
          <w:lang w:val="lv-LV"/>
        </w:rPr>
        <w:t>as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well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other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sectors</w:t>
      </w:r>
      <w:r w:rsidRPr="002904F8">
        <w:rPr>
          <w:rFonts w:ascii="Times New Roman" w:hAnsi="Times New Roman"/>
          <w:sz w:val="28"/>
          <w:szCs w:val="28"/>
          <w:lang w:val="lv-LV"/>
        </w:rPr>
        <w:t>.</w:t>
      </w:r>
    </w:p>
    <w:p w:rsidR="006E01B5" w:rsidRPr="002904F8" w:rsidP="006E01B5" w14:paraId="12DF35CB" w14:textId="0A395AD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T</w:t>
      </w:r>
      <w:r w:rsidRPr="002904F8">
        <w:rPr>
          <w:rFonts w:ascii="Times New Roman" w:hAnsi="Times New Roman"/>
          <w:sz w:val="28"/>
          <w:szCs w:val="28"/>
          <w:lang w:val="lv-LV"/>
        </w:rPr>
        <w:t>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Ministry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Interior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Republic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Latvia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would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be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grateful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for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="005E2CDF">
        <w:rPr>
          <w:rFonts w:ascii="Times New Roman" w:hAnsi="Times New Roman"/>
          <w:sz w:val="28"/>
          <w:szCs w:val="28"/>
          <w:lang w:val="lv-LV"/>
        </w:rPr>
        <w:t>the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opportunity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of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receiving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an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opinion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from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the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Ministry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Interior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of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Republic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Estonia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about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the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respective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>
        <w:rPr>
          <w:rFonts w:ascii="Times New Roman" w:hAnsi="Times New Roman"/>
          <w:sz w:val="28"/>
          <w:szCs w:val="28"/>
          <w:lang w:val="lv-LV"/>
        </w:rPr>
        <w:t>notification</w:t>
      </w:r>
      <w:r>
        <w:rPr>
          <w:rFonts w:ascii="Times New Roman" w:hAnsi="Times New Roman"/>
          <w:sz w:val="28"/>
          <w:szCs w:val="28"/>
          <w:lang w:val="lv-LV"/>
        </w:rPr>
        <w:t xml:space="preserve"> to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the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Commission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soon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as</w:t>
      </w:r>
      <w:r w:rsidRPr="002904F8"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2904F8">
        <w:rPr>
          <w:rFonts w:ascii="Times New Roman" w:hAnsi="Times New Roman"/>
          <w:sz w:val="28"/>
          <w:szCs w:val="28"/>
          <w:lang w:val="lv-LV"/>
        </w:rPr>
        <w:t>possible</w:t>
      </w:r>
      <w:r w:rsidRPr="002904F8">
        <w:rPr>
          <w:rFonts w:ascii="Times New Roman" w:hAnsi="Times New Roman"/>
          <w:sz w:val="28"/>
          <w:szCs w:val="28"/>
          <w:lang w:val="lv-LV"/>
        </w:rPr>
        <w:t>.</w:t>
      </w:r>
    </w:p>
    <w:p w:rsidR="006E01B5" w:rsidRPr="002904F8" w:rsidP="006E01B5" w14:paraId="181F658B" w14:textId="7777777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lv-LV"/>
        </w:rPr>
      </w:pPr>
    </w:p>
    <w:p w:rsidR="006E01B5" w:rsidRPr="00F0641D" w:rsidP="006E01B5" w14:paraId="07875333" w14:textId="777777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lv-LV" w:eastAsia="lv-LV"/>
        </w:rPr>
      </w:pPr>
      <w:r w:rsidRPr="00F0641D">
        <w:rPr>
          <w:lang w:val="lv-LV" w:eastAsia="lv-LV"/>
        </w:rPr>
        <w:tab/>
      </w:r>
    </w:p>
    <w:p w:rsidR="006E01B5" w:rsidRPr="009976BC" w:rsidP="006E01B5" w14:paraId="6D8F8CDD" w14:textId="77777777">
      <w:pPr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val="lv-LV" w:eastAsia="lv-LV"/>
        </w:rPr>
      </w:pPr>
      <w:r>
        <w:rPr>
          <w:rFonts w:ascii="Times New Roman" w:eastAsia="Times New Roman" w:hAnsi="Times New Roman"/>
          <w:sz w:val="28"/>
          <w:szCs w:val="28"/>
          <w:lang w:val="lv-LV" w:eastAsia="lv-LV"/>
        </w:rPr>
        <w:t>State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lv-LV" w:eastAsia="lv-LV"/>
        </w:rPr>
        <w:t>Secretaty</w:t>
      </w:r>
      <w:r w:rsidRPr="00BB171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BB171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BB171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BB171D">
        <w:rPr>
          <w:rFonts w:ascii="Times New Roman" w:eastAsia="Times New Roman" w:hAnsi="Times New Roman"/>
          <w:sz w:val="28"/>
          <w:szCs w:val="28"/>
          <w:lang w:val="lv-LV" w:eastAsia="lv-LV"/>
        </w:rPr>
        <w:tab/>
      </w:r>
      <w:r w:rsidRPr="00BB171D">
        <w:rPr>
          <w:rFonts w:ascii="Times New Roman" w:eastAsia="Times New Roman" w:hAnsi="Times New Roman"/>
          <w:sz w:val="28"/>
          <w:szCs w:val="28"/>
          <w:lang w:val="lv-LV" w:eastAsia="lv-LV"/>
        </w:rPr>
        <w:tab/>
        <w:t xml:space="preserve">                                    D. Trofimovs</w:t>
      </w:r>
    </w:p>
    <w:p w:rsidR="006E01B5" w:rsidRPr="007504AA" w:rsidP="006E01B5" w14:paraId="371BE31C" w14:textId="77777777">
      <w:pPr>
        <w:spacing w:after="0" w:line="240" w:lineRule="auto"/>
        <w:rPr>
          <w:rFonts w:ascii="Times New Roman" w:eastAsia="Times New Roman" w:hAnsi="Times New Roman"/>
          <w:sz w:val="27"/>
          <w:szCs w:val="27"/>
          <w:lang w:val="lv-LV" w:eastAsia="lv-LV"/>
        </w:rPr>
      </w:pPr>
      <w:r w:rsidRPr="007504AA">
        <w:rPr>
          <w:rFonts w:ascii="Times New Roman" w:eastAsia="Times New Roman" w:hAnsi="Times New Roman"/>
          <w:sz w:val="27"/>
          <w:szCs w:val="27"/>
          <w:lang w:val="lv-LV" w:eastAsia="lv-LV"/>
        </w:rPr>
        <w:t xml:space="preserve">    </w:t>
      </w:r>
    </w:p>
    <w:p w:rsidR="006E01B5" w:rsidRPr="00396ED4" w:rsidP="006E01B5" w14:paraId="43E48782" w14:textId="7777777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lv-LV" w:eastAsia="lv-LV"/>
        </w:rPr>
      </w:pPr>
      <w:r w:rsidRPr="002904F8">
        <w:rPr>
          <w:rFonts w:ascii="Times New Roman" w:eastAsia="Times New Roman" w:hAnsi="Times New Roman"/>
          <w:sz w:val="24"/>
          <w:szCs w:val="24"/>
          <w:lang w:val="lv-LV" w:eastAsia="lv-LV"/>
        </w:rPr>
        <w:t>THIS DOCUMENT IS ELECTRONICALLY SIGNED WITH A SECURE ELECTRONIC SIGNATURE AND CONTAINS A TIME STAMP</w:t>
      </w:r>
    </w:p>
    <w:p w:rsidR="006E01B5" w:rsidP="006E01B5" w14:paraId="312F5401" w14:textId="7777777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6E01B5" w:rsidP="006E01B5" w14:paraId="7FB672AA" w14:textId="7777777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</w:p>
    <w:p w:rsidR="006E01B5" w:rsidRPr="00DC1E93" w:rsidP="006E01B5" w14:paraId="362BF34A" w14:textId="77777777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lv-LV"/>
        </w:rPr>
      </w:pPr>
      <w:r w:rsidRPr="00DC1E93">
        <w:rPr>
          <w:rFonts w:ascii="Times New Roman" w:eastAsia="Times New Roman" w:hAnsi="Times New Roman"/>
          <w:sz w:val="20"/>
          <w:szCs w:val="20"/>
          <w:lang w:eastAsia="lv-LV"/>
        </w:rPr>
        <w:t>Rudzīte</w:t>
      </w:r>
      <w:r>
        <w:rPr>
          <w:rFonts w:ascii="Times New Roman" w:eastAsia="Times New Roman" w:hAnsi="Times New Roman"/>
          <w:sz w:val="20"/>
          <w:szCs w:val="20"/>
          <w:lang w:eastAsia="lv-LV"/>
        </w:rPr>
        <w:t>-Celmiņa</w:t>
      </w:r>
      <w:r w:rsidRPr="00DC1E93">
        <w:rPr>
          <w:rFonts w:ascii="Times New Roman" w:eastAsia="Times New Roman" w:hAnsi="Times New Roman"/>
          <w:sz w:val="20"/>
          <w:szCs w:val="20"/>
          <w:lang w:eastAsia="lv-LV"/>
        </w:rPr>
        <w:t xml:space="preserve"> 67219003</w:t>
      </w:r>
    </w:p>
    <w:p w:rsidR="00C1681F" w:rsidP="00D85B33" w14:paraId="364BFAC9" w14:textId="23ECB047">
      <w:pPr>
        <w:spacing w:after="0" w:line="240" w:lineRule="auto"/>
        <w:rPr>
          <w:rFonts w:ascii="Times New Roman" w:hAnsi="Times New Roman"/>
          <w:sz w:val="28"/>
          <w:szCs w:val="28"/>
        </w:rPr>
      </w:pPr>
      <w:hyperlink r:id="rId6" w:history="1">
        <w:r w:rsidRPr="00DC1E93" w:rsidR="006E01B5">
          <w:rPr>
            <w:rStyle w:val="Hyperlink"/>
            <w:rFonts w:ascii="Times New Roman" w:eastAsia="Times New Roman" w:hAnsi="Times New Roman"/>
            <w:color w:val="auto"/>
            <w:sz w:val="20"/>
            <w:szCs w:val="20"/>
            <w:lang w:eastAsia="lv-LV"/>
          </w:rPr>
          <w:t>liva.rudzite@iem.gov.lv</w:t>
        </w:r>
      </w:hyperlink>
    </w:p>
    <w:sectPr w:rsidSect="009E2D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20" w:h="16840"/>
      <w:pgMar w:top="1134" w:right="1134" w:bottom="1134" w:left="1701" w:header="709" w:footer="709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69E8" w14:paraId="364BFAD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69E8" w14:paraId="364BFADA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69E8" w14:paraId="364BFAD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69E8" w14:paraId="364BFAD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D69E8" w14:paraId="364BFAD8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85B33" w14:paraId="364BFADB" w14:textId="77777777">
    <w:pPr>
      <w:pStyle w:val="Header"/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3225800</wp:posOffset>
              </wp:positionH>
              <wp:positionV relativeFrom="paragraph">
                <wp:posOffset>-135890</wp:posOffset>
              </wp:positionV>
              <wp:extent cx="2528570" cy="993140"/>
              <wp:effectExtent l="635" t="0" r="4445" b="0"/>
              <wp:wrapNone/>
              <wp:docPr id="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28570" cy="993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5B33" w:rsidRPr="00BD6774" w:rsidP="00D85B33" w14:textId="77777777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1" o:spid="_x0000_s2049" style="width:199.1pt;height:78.2pt;margin-top:-10.7pt;margin-left:254pt;mso-height-percent:0;mso-height-relative:page;mso-width-percent:0;mso-width-relative:page;mso-wrap-distance-bottom:0;mso-wrap-distance-left:9pt;mso-wrap-distance-right:9pt;mso-wrap-distance-top:0;mso-wrap-style:square;position:absolute;v-text-anchor:top;visibility:visible;z-index:251659264" stroked="f">
              <v:textbox>
                <w:txbxContent>
                  <w:p w:rsidR="00D85B33" w:rsidRPr="00BD6774" w:rsidP="00D85B33" w14:paraId="364BFADF" w14:textId="77777777">
                    <w:pPr>
                      <w:spacing w:after="0" w:line="240" w:lineRule="auto"/>
                      <w:jc w:val="right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BD141F24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4906A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4030F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42644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066A8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B24B1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A08C31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1282C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0F08B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8FA5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6E729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74"/>
    <w:rsid w:val="00004C8E"/>
    <w:rsid w:val="00051576"/>
    <w:rsid w:val="00074A8C"/>
    <w:rsid w:val="00080215"/>
    <w:rsid w:val="000B6C9B"/>
    <w:rsid w:val="00106425"/>
    <w:rsid w:val="00165FEC"/>
    <w:rsid w:val="001A7A00"/>
    <w:rsid w:val="001C563D"/>
    <w:rsid w:val="001D267E"/>
    <w:rsid w:val="00213790"/>
    <w:rsid w:val="00215A33"/>
    <w:rsid w:val="002904F8"/>
    <w:rsid w:val="002C6D44"/>
    <w:rsid w:val="002D6779"/>
    <w:rsid w:val="002E1474"/>
    <w:rsid w:val="002E2BBE"/>
    <w:rsid w:val="00311329"/>
    <w:rsid w:val="003419F3"/>
    <w:rsid w:val="00396ED4"/>
    <w:rsid w:val="004133DA"/>
    <w:rsid w:val="00415BF7"/>
    <w:rsid w:val="00446020"/>
    <w:rsid w:val="0046017E"/>
    <w:rsid w:val="004676B5"/>
    <w:rsid w:val="00496034"/>
    <w:rsid w:val="004F0CB2"/>
    <w:rsid w:val="004F7F23"/>
    <w:rsid w:val="005279D8"/>
    <w:rsid w:val="00595AD2"/>
    <w:rsid w:val="005C417E"/>
    <w:rsid w:val="005C4947"/>
    <w:rsid w:val="005E2CDF"/>
    <w:rsid w:val="005F1CCD"/>
    <w:rsid w:val="005F45F2"/>
    <w:rsid w:val="005F5341"/>
    <w:rsid w:val="006750CB"/>
    <w:rsid w:val="00694AA8"/>
    <w:rsid w:val="006A79F0"/>
    <w:rsid w:val="006B6AC9"/>
    <w:rsid w:val="006C0427"/>
    <w:rsid w:val="006E01B5"/>
    <w:rsid w:val="006F1954"/>
    <w:rsid w:val="006F1DF5"/>
    <w:rsid w:val="006F2851"/>
    <w:rsid w:val="00720E2D"/>
    <w:rsid w:val="00746B72"/>
    <w:rsid w:val="007504AA"/>
    <w:rsid w:val="007A1F47"/>
    <w:rsid w:val="007E469C"/>
    <w:rsid w:val="00815277"/>
    <w:rsid w:val="008170BF"/>
    <w:rsid w:val="008A6CDB"/>
    <w:rsid w:val="008B18C7"/>
    <w:rsid w:val="00925A6C"/>
    <w:rsid w:val="0096127A"/>
    <w:rsid w:val="0099460A"/>
    <w:rsid w:val="009976BC"/>
    <w:rsid w:val="009A6EC8"/>
    <w:rsid w:val="009E2D69"/>
    <w:rsid w:val="009E59D2"/>
    <w:rsid w:val="00A02A3D"/>
    <w:rsid w:val="00A62A7B"/>
    <w:rsid w:val="00A64AB6"/>
    <w:rsid w:val="00A64C08"/>
    <w:rsid w:val="00A8639F"/>
    <w:rsid w:val="00A9410F"/>
    <w:rsid w:val="00AB385A"/>
    <w:rsid w:val="00AD69E8"/>
    <w:rsid w:val="00B5164C"/>
    <w:rsid w:val="00B57456"/>
    <w:rsid w:val="00B767D5"/>
    <w:rsid w:val="00B91EE6"/>
    <w:rsid w:val="00BB171D"/>
    <w:rsid w:val="00BD19CB"/>
    <w:rsid w:val="00BD6774"/>
    <w:rsid w:val="00C04B71"/>
    <w:rsid w:val="00C1681F"/>
    <w:rsid w:val="00C423D9"/>
    <w:rsid w:val="00C7610C"/>
    <w:rsid w:val="00C805A7"/>
    <w:rsid w:val="00C84376"/>
    <w:rsid w:val="00CF055F"/>
    <w:rsid w:val="00D55642"/>
    <w:rsid w:val="00D65019"/>
    <w:rsid w:val="00D85B33"/>
    <w:rsid w:val="00DC1E93"/>
    <w:rsid w:val="00DF028F"/>
    <w:rsid w:val="00E43449"/>
    <w:rsid w:val="00E550D1"/>
    <w:rsid w:val="00E60998"/>
    <w:rsid w:val="00EA44C7"/>
    <w:rsid w:val="00ED4F52"/>
    <w:rsid w:val="00EF36C5"/>
    <w:rsid w:val="00F0641D"/>
    <w:rsid w:val="00F115AB"/>
    <w:rsid w:val="00F32F4A"/>
    <w:rsid w:val="00F43202"/>
    <w:rsid w:val="00FB4FC7"/>
  </w:rsids>
  <m:mathPr>
    <m:mathFont m:val="Cambria Math"/>
    <m:dispDef m:val="0"/>
    <m:wrapRight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64BFAA6"/>
  <w15:chartTrackingRefBased/>
  <w15:docId w15:val="{F4CF23EE-1736-416C-B92F-5C4A3034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paragraph" w:styleId="NoSpacing">
    <w:name w:val="No Spacing"/>
    <w:uiPriority w:val="1"/>
    <w:qFormat/>
    <w:rsid w:val="00BD19CB"/>
    <w:pPr>
      <w:widowControl w:val="0"/>
    </w:pPr>
    <w:rPr>
      <w:sz w:val="22"/>
      <w:szCs w:val="22"/>
      <w:lang w:val="en-US" w:eastAsia="en-US"/>
    </w:rPr>
  </w:style>
  <w:style w:type="character" w:styleId="Hyperlink">
    <w:name w:val="Hyperlink"/>
    <w:uiPriority w:val="99"/>
    <w:semiHidden/>
    <w:unhideWhenUsed/>
    <w:rsid w:val="006750CB"/>
    <w:rPr>
      <w:color w:val="0000FF"/>
      <w:u w:val="single"/>
    </w:rPr>
  </w:style>
  <w:style w:type="table" w:styleId="TableGrid">
    <w:name w:val="Table Grid"/>
    <w:basedOn w:val="TableNormal"/>
    <w:uiPriority w:val="59"/>
    <w:rsid w:val="00694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info@siseministeerium.ee" TargetMode="External" /><Relationship Id="rId6" Type="http://schemas.openxmlformats.org/officeDocument/2006/relationships/hyperlink" Target="mailto:liva.rudzite@iem.gov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Dagnija</dc:creator>
  <cp:lastModifiedBy>Biruta Pedane</cp:lastModifiedBy>
  <cp:revision>5</cp:revision>
  <dcterms:created xsi:type="dcterms:W3CDTF">2022-08-05T10:27:00Z</dcterms:created>
  <dcterms:modified xsi:type="dcterms:W3CDTF">2025-01-17T09:09:00Z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