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25C4" w14:textId="433735DF" w:rsidR="00C32674" w:rsidRDefault="00CE5C01" w:rsidP="00C3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B7A81">
        <w:rPr>
          <w:noProof/>
        </w:rPr>
        <w:drawing>
          <wp:anchor distT="0" distB="0" distL="114300" distR="114300" simplePos="0" relativeHeight="251659264" behindDoc="0" locked="0" layoutInCell="1" allowOverlap="1" wp14:anchorId="327CDFA6" wp14:editId="0AB40DCD">
            <wp:simplePos x="0" y="0"/>
            <wp:positionH relativeFrom="column">
              <wp:posOffset>-569343</wp:posOffset>
            </wp:positionH>
            <wp:positionV relativeFrom="paragraph">
              <wp:posOffset>-78872</wp:posOffset>
            </wp:positionV>
            <wp:extent cx="2879725" cy="935990"/>
            <wp:effectExtent l="0" t="0" r="0" b="0"/>
            <wp:wrapNone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E09D15" w14:textId="48AD80E9" w:rsidR="00C32674" w:rsidRPr="004D37DA" w:rsidRDefault="00C32674" w:rsidP="00C32674"/>
    <w:p w14:paraId="58F6F00A" w14:textId="156EC9C5" w:rsidR="00C32674" w:rsidRDefault="00C32674" w:rsidP="00C32674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639F6E" w14:textId="268C7D14" w:rsidR="00C32674" w:rsidRDefault="00C32674" w:rsidP="00C32674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E7F2BC" w14:textId="77777777" w:rsidR="00C32674" w:rsidRDefault="00C32674" w:rsidP="00C32674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95803D7" w14:textId="77777777" w:rsidR="00C32674" w:rsidRDefault="00C32674" w:rsidP="00C32674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C32674" w:rsidRPr="00F95564" w14:paraId="5CC2897B" w14:textId="77777777" w:rsidTr="00630E08">
        <w:trPr>
          <w:trHeight w:val="224"/>
        </w:trPr>
        <w:tc>
          <w:tcPr>
            <w:tcW w:w="1588" w:type="dxa"/>
          </w:tcPr>
          <w:p w14:paraId="40983E60" w14:textId="0914A25C" w:rsidR="00C32674" w:rsidRPr="00F95564" w:rsidRDefault="00C32674" w:rsidP="00630E08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F9556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8123B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F9556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8123B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03.05.2024</w:t>
            </w:r>
            <w:r w:rsidRPr="00F9556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2B9DB8AD" w14:textId="1E5C8EB4" w:rsidR="00C32674" w:rsidRPr="00F95564" w:rsidRDefault="00C32674" w:rsidP="00630E08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F9556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F95564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8123B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F95564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8123BC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13</w:t>
            </w:r>
            <w:r w:rsidRPr="00F95564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211C36" w14:textId="77777777" w:rsidR="00C32674" w:rsidRPr="00F95564" w:rsidRDefault="00C32674" w:rsidP="00C32674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7440601" w14:textId="77777777" w:rsidR="00C32674" w:rsidRPr="00F95564" w:rsidRDefault="00C32674" w:rsidP="00C32674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 w:rsidRPr="00F95564">
        <w:rPr>
          <w:rFonts w:ascii="Arial" w:eastAsia="Times New Roman" w:hAnsi="Arial" w:cs="Times New Roman"/>
          <w:b/>
          <w:sz w:val="20"/>
          <w:szCs w:val="20"/>
          <w:lang w:eastAsia="en-US"/>
        </w:rPr>
        <w:t>MINISTRI MÄÄRUS</w:t>
      </w:r>
    </w:p>
    <w:p w14:paraId="17A72BA8" w14:textId="77777777" w:rsidR="00C32674" w:rsidRPr="00F95564" w:rsidRDefault="00C32674" w:rsidP="00C3267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034296F7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A6276C" w14:textId="77777777" w:rsidR="00C32674" w:rsidRPr="00F95564" w:rsidRDefault="00C32674" w:rsidP="00C32674">
      <w:pPr>
        <w:spacing w:after="0" w:line="240" w:lineRule="auto"/>
      </w:pPr>
    </w:p>
    <w:p w14:paraId="7D431BB8" w14:textId="7C4D318A" w:rsidR="00C32674" w:rsidRPr="00F95564" w:rsidRDefault="00F17450" w:rsidP="00C32674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>
        <w:instrText xml:space="preserve"> delta_docName  \* MERGEFORMAT</w:instrText>
      </w:r>
      <w:r>
        <w:fldChar w:fldCharType="separate"/>
      </w:r>
      <w:r w:rsidR="008123BC">
        <w:rPr>
          <w:rFonts w:ascii="Arial" w:hAnsi="Arial" w:cs="Arial"/>
          <w:b/>
          <w:sz w:val="20"/>
          <w:szCs w:val="20"/>
        </w:rPr>
        <w:t>Sõltuvusravi ja seksuaalkurjategijate kompleksraviga seotud justiitsministri määruste muutmine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128B6F9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580A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Määrus kehtestatakse kriminaalmenetluse seadustiku § 419</w:t>
      </w:r>
      <w:r w:rsidRPr="00F95564">
        <w:rPr>
          <w:rFonts w:ascii="Arial" w:hAnsi="Arial" w:cs="Arial"/>
          <w:sz w:val="20"/>
          <w:szCs w:val="20"/>
          <w:vertAlign w:val="superscript"/>
        </w:rPr>
        <w:t>2</w:t>
      </w:r>
      <w:r w:rsidRPr="00F95564">
        <w:rPr>
          <w:rFonts w:ascii="Arial" w:hAnsi="Arial" w:cs="Arial"/>
          <w:sz w:val="20"/>
          <w:szCs w:val="20"/>
        </w:rPr>
        <w:t xml:space="preserve"> lõike 3 alusel.</w:t>
      </w:r>
    </w:p>
    <w:p w14:paraId="2764428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583A89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§ 1. Justiitsministri 17.06.2011. a määruse nr 33 „Sõltuvusravi ning karistusest tingimisi vabastamisel või vangistusest tingimisi ennetähtaegsel vabastamisel kohaldatava narkomaania ravi ettevalmistamise ning täitmise ja järelevalve kord“ muutmine</w:t>
      </w:r>
    </w:p>
    <w:p w14:paraId="6FCA744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DBD82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Justiitsministri 17.06.2011. a määruses nr 33 „Sõltuvusravi ning karistusest tingimisi vabastamisel või vangistusest tingimisi ennetähtaegsel vabastamisel kohaldatava narkomaania ravi ettevalmistamise ning täitmise ja järelevalve kord“ tehakse järgmised muudatused:</w:t>
      </w:r>
    </w:p>
    <w:p w14:paraId="4101377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B90F57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1)</w:t>
      </w:r>
      <w:r w:rsidRPr="00F95564">
        <w:rPr>
          <w:rFonts w:ascii="Arial" w:hAnsi="Arial" w:cs="Arial"/>
          <w:sz w:val="20"/>
          <w:szCs w:val="20"/>
        </w:rPr>
        <w:t xml:space="preserve"> paragrahv 3 tunnistatakse kehtetuks;</w:t>
      </w:r>
    </w:p>
    <w:p w14:paraId="648E7144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9C36C9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2) </w:t>
      </w:r>
      <w:r w:rsidRPr="00F95564">
        <w:rPr>
          <w:rFonts w:ascii="Arial" w:hAnsi="Arial" w:cs="Arial"/>
          <w:sz w:val="20"/>
          <w:szCs w:val="20"/>
        </w:rPr>
        <w:t>paragrahvi 8</w:t>
      </w:r>
      <w:r w:rsidRPr="00F955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5564">
        <w:rPr>
          <w:rFonts w:ascii="Arial" w:hAnsi="Arial" w:cs="Arial"/>
          <w:sz w:val="20"/>
          <w:szCs w:val="20"/>
        </w:rPr>
        <w:t>pealkiri sõnastatakse järgmiselt:</w:t>
      </w:r>
      <w:r w:rsidRPr="00F955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EEAB3D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2C246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„§ 8. Sõltuvusravi </w:t>
      </w:r>
      <w:proofErr w:type="spellStart"/>
      <w:r w:rsidRPr="00F95564">
        <w:rPr>
          <w:rFonts w:ascii="Arial" w:hAnsi="Arial" w:cs="Arial"/>
          <w:b/>
          <w:bCs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b/>
          <w:bCs/>
          <w:sz w:val="20"/>
          <w:szCs w:val="20"/>
        </w:rPr>
        <w:t xml:space="preserve"> suhtlemine kriminaalhooldusametnikuga“</w:t>
      </w:r>
      <w:r w:rsidRPr="00F95564">
        <w:rPr>
          <w:rFonts w:ascii="Arial" w:hAnsi="Arial" w:cs="Arial"/>
          <w:sz w:val="20"/>
          <w:szCs w:val="20"/>
        </w:rPr>
        <w:t>;</w:t>
      </w:r>
    </w:p>
    <w:p w14:paraId="797DEDD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F1B450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3)</w:t>
      </w:r>
      <w:r w:rsidRPr="00F95564">
        <w:rPr>
          <w:rFonts w:ascii="Arial" w:hAnsi="Arial" w:cs="Arial"/>
          <w:sz w:val="20"/>
          <w:szCs w:val="20"/>
        </w:rPr>
        <w:t xml:space="preserve"> paragrahvi 8 lõiked 1 ja 2 tunnistatakse kehtetuks;</w:t>
      </w:r>
    </w:p>
    <w:p w14:paraId="0434D0A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36454D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4)</w:t>
      </w:r>
      <w:r w:rsidRPr="00F95564">
        <w:rPr>
          <w:rFonts w:ascii="Arial" w:hAnsi="Arial" w:cs="Arial"/>
          <w:sz w:val="20"/>
          <w:szCs w:val="20"/>
        </w:rPr>
        <w:t xml:space="preserve"> paragrahvi 8 lõige 3 sõnastatakse järgmiselt:</w:t>
      </w:r>
    </w:p>
    <w:p w14:paraId="320D8D9D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E9694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 xml:space="preserve">„(3) Kui sõltuvusravi </w:t>
      </w:r>
      <w:proofErr w:type="spellStart"/>
      <w:r w:rsidRPr="00F95564">
        <w:rPr>
          <w:rFonts w:ascii="Arial" w:hAnsi="Arial" w:cs="Arial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sz w:val="20"/>
          <w:szCs w:val="20"/>
        </w:rPr>
        <w:t xml:space="preserve"> suunab kriminaalhooldusaluse statsionaarselt ravilt ambulatoorsele ravile või ambulatoorselt ravilt statsionaarsele ravile, teavitab ta sellest viivitamata kriminaalhooldusametnikku.“;</w:t>
      </w:r>
    </w:p>
    <w:p w14:paraId="5DE37DB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5B8A8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5) </w:t>
      </w:r>
      <w:r w:rsidRPr="00F95564">
        <w:rPr>
          <w:rFonts w:ascii="Arial" w:hAnsi="Arial" w:cs="Arial"/>
          <w:sz w:val="20"/>
          <w:szCs w:val="20"/>
        </w:rPr>
        <w:t>paragrahvi 9 pealkiri sõnastatakse järgmiselt:</w:t>
      </w:r>
      <w:r w:rsidRPr="00F9556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DF740F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740A5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„§ 9. Sõltuvusravi </w:t>
      </w:r>
      <w:proofErr w:type="spellStart"/>
      <w:r w:rsidRPr="00F95564">
        <w:rPr>
          <w:rFonts w:ascii="Arial" w:hAnsi="Arial" w:cs="Arial"/>
          <w:b/>
          <w:bCs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b/>
          <w:bCs/>
          <w:sz w:val="20"/>
          <w:szCs w:val="20"/>
        </w:rPr>
        <w:t xml:space="preserve"> õigus saada andmeid“</w:t>
      </w:r>
      <w:r w:rsidRPr="00F95564">
        <w:rPr>
          <w:rFonts w:ascii="Arial" w:hAnsi="Arial" w:cs="Arial"/>
          <w:sz w:val="20"/>
          <w:szCs w:val="20"/>
        </w:rPr>
        <w:t>;</w:t>
      </w:r>
    </w:p>
    <w:p w14:paraId="22BD698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7851F67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6) </w:t>
      </w:r>
      <w:r w:rsidRPr="00F95564">
        <w:rPr>
          <w:rFonts w:ascii="Arial" w:hAnsi="Arial" w:cs="Arial"/>
          <w:sz w:val="20"/>
          <w:szCs w:val="20"/>
        </w:rPr>
        <w:t>paragrahvi 9 lõige 1 tunnistatakse kehtetuks;</w:t>
      </w:r>
    </w:p>
    <w:p w14:paraId="29128C55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9E7185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7)</w:t>
      </w:r>
      <w:r w:rsidRPr="00F95564">
        <w:rPr>
          <w:rFonts w:ascii="Arial" w:hAnsi="Arial" w:cs="Arial"/>
          <w:sz w:val="20"/>
          <w:szCs w:val="20"/>
        </w:rPr>
        <w:t xml:space="preserve"> paragrahvi 10 punktis 3 asendatakse sõna "tutvustama" sõnadega "vajadusel tutvustama";</w:t>
      </w:r>
    </w:p>
    <w:p w14:paraId="2475D09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CFD917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8) </w:t>
      </w:r>
      <w:r w:rsidRPr="00F95564">
        <w:rPr>
          <w:rFonts w:ascii="Arial" w:hAnsi="Arial" w:cs="Arial"/>
          <w:sz w:val="20"/>
          <w:szCs w:val="20"/>
        </w:rPr>
        <w:t>paragrahvi 10 punkt 5 sõnastatakse järgmiselt:</w:t>
      </w:r>
    </w:p>
    <w:p w14:paraId="7EC835F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CA890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„5)</w:t>
      </w:r>
      <w:r w:rsidRPr="00F955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95564">
        <w:rPr>
          <w:rFonts w:ascii="Arial" w:eastAsia="Times New Roman" w:hAnsi="Arial" w:cs="Arial"/>
          <w:color w:val="202020"/>
          <w:sz w:val="20"/>
          <w:szCs w:val="20"/>
        </w:rPr>
        <w:t>selgitama kriminaalhooldusalusele tema õigusi ja kohustusi sõltuvusravile allumisel;“;</w:t>
      </w:r>
    </w:p>
    <w:p w14:paraId="31F71AE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0999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9)</w:t>
      </w:r>
      <w:r w:rsidRPr="00F95564">
        <w:rPr>
          <w:rFonts w:ascii="Arial" w:hAnsi="Arial" w:cs="Arial"/>
          <w:sz w:val="20"/>
          <w:szCs w:val="20"/>
        </w:rPr>
        <w:t xml:space="preserve"> paragrahv 11 tunnistatakse kehtetuks;</w:t>
      </w:r>
    </w:p>
    <w:p w14:paraId="30A1F99F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F21DA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10) </w:t>
      </w:r>
      <w:r w:rsidRPr="00F95564">
        <w:rPr>
          <w:rFonts w:ascii="Arial" w:hAnsi="Arial" w:cs="Arial"/>
          <w:sz w:val="20"/>
          <w:szCs w:val="20"/>
        </w:rPr>
        <w:t xml:space="preserve">paragrahv 12 sõnastatakse järgmiselt: </w:t>
      </w:r>
      <w:r w:rsidRPr="00F95564">
        <w:t xml:space="preserve"> </w:t>
      </w:r>
    </w:p>
    <w:p w14:paraId="7368882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C1D0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„§ 12. Kriminaalhooldusaluse teavitamine ja hoolduskava kinnitamine</w:t>
      </w:r>
    </w:p>
    <w:p w14:paraId="79318B4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B9DDF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 xml:space="preserve">(1) Kriminaalhooldusalune teeb pärast sõltuvusravi </w:t>
      </w:r>
      <w:proofErr w:type="spellStart"/>
      <w:r w:rsidRPr="00F95564">
        <w:rPr>
          <w:rFonts w:ascii="Arial" w:hAnsi="Arial" w:cs="Arial"/>
          <w:sz w:val="20"/>
          <w:szCs w:val="20"/>
        </w:rPr>
        <w:t>kohaldajaga</w:t>
      </w:r>
      <w:proofErr w:type="spellEnd"/>
      <w:r w:rsidRPr="00F95564">
        <w:rPr>
          <w:rFonts w:ascii="Arial" w:hAnsi="Arial" w:cs="Arial"/>
          <w:sz w:val="20"/>
          <w:szCs w:val="20"/>
        </w:rPr>
        <w:t xml:space="preserve"> sõltuvusravi esmase vastuvõtu koha ja aja kokkuleppimist need viivitamata teatavaks kriminaalhooldusametnikule.</w:t>
      </w:r>
    </w:p>
    <w:p w14:paraId="01843FC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lastRenderedPageBreak/>
        <w:t>(2) Hoolduskava muudetakse ja kinnitatakse vajaduse järgi, arvestades sõltuvusravi üldist tähtaega ja liiki.“;</w:t>
      </w:r>
    </w:p>
    <w:p w14:paraId="49900F1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A0802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11)</w:t>
      </w:r>
      <w:r w:rsidRPr="00F95564">
        <w:rPr>
          <w:rFonts w:ascii="Arial" w:hAnsi="Arial" w:cs="Arial"/>
          <w:sz w:val="20"/>
          <w:szCs w:val="20"/>
        </w:rPr>
        <w:t xml:space="preserve"> paragrahvi 13 tekst sõnastatakse järgmiselt:</w:t>
      </w:r>
    </w:p>
    <w:p w14:paraId="46609149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27DC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„Vajaduse korral saadab kriminaalhooldusametnik kriminaalhooldusaluse sõltuvusravi kohaldamise esimesel päeval selle kohaldamise kohta.“;</w:t>
      </w:r>
    </w:p>
    <w:p w14:paraId="37910AF9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5EC2B5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12)</w:t>
      </w:r>
      <w:r w:rsidRPr="00F95564">
        <w:rPr>
          <w:rFonts w:ascii="Arial" w:hAnsi="Arial" w:cs="Arial"/>
          <w:sz w:val="20"/>
          <w:szCs w:val="20"/>
        </w:rPr>
        <w:t xml:space="preserve"> paragrahvi 14 teine lause sõnastatakse järgmiselt:</w:t>
      </w:r>
    </w:p>
    <w:p w14:paraId="186078D7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0896D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„Raviaja arvestust peetakse kriminaalhooldusosakonna esitatud vormi kohaselt.“;</w:t>
      </w:r>
    </w:p>
    <w:p w14:paraId="0C8F7B9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842BC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13) </w:t>
      </w:r>
      <w:r w:rsidRPr="00F95564">
        <w:rPr>
          <w:rFonts w:ascii="Arial" w:hAnsi="Arial" w:cs="Arial"/>
          <w:sz w:val="20"/>
          <w:szCs w:val="20"/>
        </w:rPr>
        <w:t>paragrahvi 17 lõige 2 sõnastatakse järgmiselt:</w:t>
      </w:r>
    </w:p>
    <w:p w14:paraId="248FB9A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D0E44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 xml:space="preserve">„(2) Kui kriminaalhooldusalune ei ilmu õigel ajal sõltuvusravi kohta, ei allu sõltuvusravi </w:t>
      </w:r>
      <w:proofErr w:type="spellStart"/>
      <w:r w:rsidRPr="00F95564">
        <w:rPr>
          <w:rFonts w:ascii="Arial" w:hAnsi="Arial" w:cs="Arial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sz w:val="20"/>
          <w:szCs w:val="20"/>
        </w:rPr>
        <w:t xml:space="preserve"> töötaja korraldustele või rikub muid tingimusi, teatab sõltuvusravi </w:t>
      </w:r>
      <w:proofErr w:type="spellStart"/>
      <w:r w:rsidRPr="00F95564">
        <w:rPr>
          <w:rFonts w:ascii="Arial" w:hAnsi="Arial" w:cs="Arial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sz w:val="20"/>
          <w:szCs w:val="20"/>
        </w:rPr>
        <w:t xml:space="preserve"> sellest viivitamata kriminaalhooldusametnikule. Kriminaalhooldusametniku taotlusel vormistab sõltuvusravi </w:t>
      </w:r>
      <w:proofErr w:type="spellStart"/>
      <w:r w:rsidRPr="00F95564">
        <w:rPr>
          <w:rFonts w:ascii="Arial" w:hAnsi="Arial" w:cs="Arial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sz w:val="20"/>
          <w:szCs w:val="20"/>
        </w:rPr>
        <w:t xml:space="preserve"> teavituse kirjalikult.“;</w:t>
      </w:r>
    </w:p>
    <w:p w14:paraId="40D13CC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15436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14)</w:t>
      </w:r>
      <w:r w:rsidRPr="00F95564">
        <w:rPr>
          <w:rFonts w:ascii="Arial" w:hAnsi="Arial" w:cs="Arial"/>
          <w:sz w:val="20"/>
          <w:szCs w:val="20"/>
        </w:rPr>
        <w:t xml:space="preserve"> paragrahvi 17 lõige 3 tunnistatakse kehtetuks;</w:t>
      </w:r>
    </w:p>
    <w:p w14:paraId="68C6DD1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1BC68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15)</w:t>
      </w:r>
      <w:r w:rsidRPr="00F95564">
        <w:rPr>
          <w:rFonts w:ascii="Arial" w:hAnsi="Arial" w:cs="Arial"/>
          <w:sz w:val="20"/>
          <w:szCs w:val="20"/>
        </w:rPr>
        <w:t xml:space="preserve"> paragrahvi 19 sõnastatakse järgmiselt:</w:t>
      </w:r>
    </w:p>
    <w:p w14:paraId="349C9585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20CCA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F95564">
        <w:rPr>
          <w:rFonts w:ascii="Arial" w:hAnsi="Arial" w:cs="Arial"/>
          <w:sz w:val="20"/>
          <w:szCs w:val="20"/>
        </w:rPr>
        <w:t>„(1) S</w:t>
      </w:r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õltuvusravi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kohaldaja</w:t>
      </w:r>
      <w:proofErr w:type="spellEnd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võib nõuda kriminaalhooldusaluse lahkumist sõltuvusravi kohaldamise kohast ajutiselt, kui:</w:t>
      </w:r>
    </w:p>
    <w:p w14:paraId="6359265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1)</w:t>
      </w:r>
      <w:r w:rsidRPr="00F95564">
        <w:rPr>
          <w:rStyle w:val="tyhik"/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kriminaalhooldusalune ilmub sõltuvusravi kohaldamise kohta alkoholi- või narkojoobes;</w:t>
      </w:r>
      <w:r w:rsidRPr="00F95564">
        <w:rPr>
          <w:rFonts w:ascii="Arial" w:hAnsi="Arial" w:cs="Arial"/>
          <w:color w:val="202020"/>
          <w:sz w:val="20"/>
          <w:szCs w:val="20"/>
        </w:rPr>
        <w:br/>
      </w:r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2)</w:t>
      </w:r>
      <w:r w:rsidRPr="00F95564">
        <w:rPr>
          <w:rStyle w:val="tyhik"/>
          <w:rFonts w:ascii="Arial" w:hAnsi="Arial" w:cs="Arial"/>
          <w:color w:val="20202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kriminaalhooldusaluse käitumine ohustab või võib ohustada sõltuvusravi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kohaldaja</w:t>
      </w:r>
      <w:proofErr w:type="spellEnd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töötajaid või tema vara, kõrvalisi isikuid või kriminaalhooldusalust ennast.</w:t>
      </w:r>
    </w:p>
    <w:p w14:paraId="6E20F6FA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01AFBC1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(2) Kui ilmnevad asjaolud, mis tingivad vajaduse sõltuvusravi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kohaldajal</w:t>
      </w:r>
      <w:proofErr w:type="spellEnd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nõuda kriminaalhooldusaluse lahkumist sõltuvusravi kohaldamise kohast ajutiselt, teavitab sõltuvusravi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>kohaldaja</w:t>
      </w:r>
      <w:proofErr w:type="spellEnd"/>
      <w:r w:rsidRPr="00F95564"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sellest viivitamatult kriminaalhooldusametnikku.";</w:t>
      </w:r>
    </w:p>
    <w:p w14:paraId="4DCEE41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color w:val="202020"/>
          <w:sz w:val="20"/>
          <w:szCs w:val="20"/>
          <w:shd w:val="clear" w:color="auto" w:fill="FFFFFF"/>
        </w:rPr>
      </w:pPr>
    </w:p>
    <w:p w14:paraId="15103EB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16)</w:t>
      </w:r>
      <w:r w:rsidRPr="00F95564">
        <w:rPr>
          <w:rFonts w:ascii="Arial" w:hAnsi="Arial" w:cs="Arial"/>
          <w:sz w:val="20"/>
          <w:szCs w:val="20"/>
        </w:rPr>
        <w:t xml:space="preserve"> paragrahvi 21 lõige 1 sõnastatakse järgmiselt: </w:t>
      </w:r>
    </w:p>
    <w:p w14:paraId="2B43ABF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29956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„(1) Kui kriminaalhooldusalune hoiab sõltuvusravist kõrvale või esinevad §-s 20 nimetatud asjaolud, fikseerib kriminaalhooldusametnik rikkumised, võtab kriminaalhooldusaluselt rikkumise kohta allkirjastatud seletuse ning reageerib rikkumisele. Kriminaalhooldusametnik reageerib rikkumisele hoiatusega või erakorralise ettekandega.“;</w:t>
      </w:r>
    </w:p>
    <w:p w14:paraId="7C5636E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84767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17)</w:t>
      </w:r>
      <w:r w:rsidRPr="00F95564">
        <w:rPr>
          <w:rFonts w:ascii="Arial" w:hAnsi="Arial" w:cs="Arial"/>
          <w:sz w:val="20"/>
          <w:szCs w:val="20"/>
        </w:rPr>
        <w:t xml:space="preserve"> paragrahvi 21 täiendatakse lõigetega 1</w:t>
      </w:r>
      <w:r w:rsidRPr="00F95564">
        <w:rPr>
          <w:rFonts w:ascii="Arial" w:hAnsi="Arial" w:cs="Arial"/>
          <w:sz w:val="20"/>
          <w:szCs w:val="20"/>
          <w:vertAlign w:val="superscript"/>
        </w:rPr>
        <w:t>1</w:t>
      </w:r>
      <w:r w:rsidRPr="00F95564">
        <w:rPr>
          <w:rFonts w:ascii="Arial" w:hAnsi="Arial" w:cs="Arial"/>
          <w:b/>
          <w:bCs/>
          <w:sz w:val="20"/>
          <w:szCs w:val="20"/>
        </w:rPr>
        <w:t>–</w:t>
      </w:r>
      <w:r w:rsidRPr="00F95564">
        <w:rPr>
          <w:rFonts w:ascii="Arial" w:hAnsi="Arial" w:cs="Arial"/>
          <w:sz w:val="20"/>
          <w:szCs w:val="20"/>
        </w:rPr>
        <w:t>1</w:t>
      </w:r>
      <w:r w:rsidRPr="00F95564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Pr="00F95564">
        <w:rPr>
          <w:rFonts w:ascii="Arial" w:hAnsi="Arial" w:cs="Arial"/>
          <w:sz w:val="20"/>
          <w:szCs w:val="20"/>
        </w:rPr>
        <w:t xml:space="preserve">järgmises sõnastuses: </w:t>
      </w:r>
    </w:p>
    <w:p w14:paraId="7EC1582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05884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„(1</w:t>
      </w:r>
      <w:r w:rsidRPr="00F95564">
        <w:rPr>
          <w:rFonts w:ascii="Arial" w:hAnsi="Arial" w:cs="Arial"/>
          <w:sz w:val="20"/>
          <w:szCs w:val="20"/>
          <w:vertAlign w:val="superscript"/>
        </w:rPr>
        <w:t>1</w:t>
      </w:r>
      <w:r w:rsidRPr="00F95564">
        <w:rPr>
          <w:rFonts w:ascii="Arial" w:hAnsi="Arial" w:cs="Arial"/>
          <w:sz w:val="20"/>
          <w:szCs w:val="20"/>
        </w:rPr>
        <w:t>) Rikkumise fikseerimisel märgitakse järgmised andmed:</w:t>
      </w:r>
    </w:p>
    <w:p w14:paraId="3D30933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1) sõltuvusravile allutatud isiku nimi;</w:t>
      </w:r>
    </w:p>
    <w:p w14:paraId="0B8BDDCD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2) rikkumise fikseerinud kriminaalhooldusametniku nimi;</w:t>
      </w:r>
    </w:p>
    <w:p w14:paraId="0FC8C5E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3) rikkumise aeg ja kirjeldus;</w:t>
      </w:r>
    </w:p>
    <w:p w14:paraId="245C42B9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4) kriminaalhooldusametniku otsus;</w:t>
      </w:r>
    </w:p>
    <w:p w14:paraId="027881F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5) rikkumise fikseerimise kuupäev.</w:t>
      </w:r>
    </w:p>
    <w:p w14:paraId="641E6A2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DBEF7A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(1</w:t>
      </w:r>
      <w:r w:rsidRPr="00F95564">
        <w:rPr>
          <w:rFonts w:ascii="Arial" w:hAnsi="Arial" w:cs="Arial"/>
          <w:sz w:val="20"/>
          <w:szCs w:val="20"/>
          <w:vertAlign w:val="superscript"/>
        </w:rPr>
        <w:t>2</w:t>
      </w:r>
      <w:r w:rsidRPr="00F95564">
        <w:rPr>
          <w:rFonts w:ascii="Arial" w:hAnsi="Arial" w:cs="Arial"/>
          <w:sz w:val="20"/>
          <w:szCs w:val="20"/>
        </w:rPr>
        <w:t>) Kirjalikus hoiatuses märgitakse:</w:t>
      </w:r>
    </w:p>
    <w:p w14:paraId="797F15D3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1) sõltuvusravile allutatud isiku nimi;</w:t>
      </w:r>
    </w:p>
    <w:p w14:paraId="1B753F4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2) hoiatuse teinud kriminaalhooldusametniku nimi;</w:t>
      </w:r>
    </w:p>
    <w:p w14:paraId="7C08875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3) rikkumise aeg ja kirjeldus;</w:t>
      </w:r>
    </w:p>
    <w:p w14:paraId="6E3CEF9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4) kriminaalhooldusametniku otsus;</w:t>
      </w:r>
    </w:p>
    <w:p w14:paraId="32BF7B4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5) hoiatuse koostamise kuupäev.</w:t>
      </w:r>
    </w:p>
    <w:p w14:paraId="76E9E28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A55A8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(1</w:t>
      </w:r>
      <w:r w:rsidRPr="00F95564">
        <w:rPr>
          <w:rFonts w:ascii="Arial" w:hAnsi="Arial" w:cs="Arial"/>
          <w:sz w:val="20"/>
          <w:szCs w:val="20"/>
          <w:vertAlign w:val="superscript"/>
        </w:rPr>
        <w:t>3</w:t>
      </w:r>
      <w:r w:rsidRPr="00F95564">
        <w:rPr>
          <w:rFonts w:ascii="Arial" w:hAnsi="Arial" w:cs="Arial"/>
          <w:sz w:val="20"/>
          <w:szCs w:val="20"/>
        </w:rPr>
        <w:t>) Kriminaalhooldusametnik tutvustab hoiatust sõltuvusravile allutatud isikule.“;</w:t>
      </w:r>
    </w:p>
    <w:p w14:paraId="338E80C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EE16D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18)</w:t>
      </w:r>
      <w:r w:rsidRPr="00F95564">
        <w:rPr>
          <w:rFonts w:ascii="Arial" w:hAnsi="Arial" w:cs="Arial"/>
          <w:sz w:val="20"/>
          <w:szCs w:val="20"/>
        </w:rPr>
        <w:t xml:space="preserve"> paragrahvi 21 lõiget 2 täiendatakse pärast sõnu „teha kuni kaks“ sõnaga „kehtivat“;</w:t>
      </w:r>
    </w:p>
    <w:p w14:paraId="54EE64A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98704C" w14:textId="2B91D0EA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19)</w:t>
      </w:r>
      <w:r w:rsidRPr="00F95564">
        <w:rPr>
          <w:rFonts w:ascii="Arial" w:hAnsi="Arial" w:cs="Arial"/>
          <w:sz w:val="20"/>
          <w:szCs w:val="20"/>
        </w:rPr>
        <w:t xml:space="preserve"> paragrahvi 23 lõikes 1 asendatakse sõna „kriminaalhooldusregistri“ sõnaga</w:t>
      </w:r>
      <w:bookmarkStart w:id="0" w:name="_Hlk161997407"/>
      <w:r w:rsidRPr="00F95564">
        <w:rPr>
          <w:rFonts w:ascii="Arial" w:hAnsi="Arial" w:cs="Arial"/>
          <w:sz w:val="20"/>
          <w:szCs w:val="20"/>
        </w:rPr>
        <w:t xml:space="preserve"> „kinnipeetavate, vahistatute, arestialuste ja kriminaalhooldusaluste registri“;</w:t>
      </w:r>
      <w:bookmarkEnd w:id="0"/>
    </w:p>
    <w:p w14:paraId="6B1909B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95D5B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20)</w:t>
      </w:r>
      <w:r w:rsidRPr="00F95564">
        <w:rPr>
          <w:rFonts w:ascii="Arial" w:hAnsi="Arial" w:cs="Arial"/>
          <w:sz w:val="20"/>
          <w:szCs w:val="20"/>
        </w:rPr>
        <w:t xml:space="preserve"> paragrahvi 24 tekst sõnastatakse järgmiselt: </w:t>
      </w:r>
    </w:p>
    <w:p w14:paraId="2133D40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59B329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„Kui kohus või prokuratuur nõuab kriminaalhoolduse lõppemise kohta ettekannet, edastab selle kriminaalhooldusosakond ja see koostatakse „Kriminaalhooldusseaduse” §-s 30</w:t>
      </w:r>
      <w:r w:rsidRPr="00F95564">
        <w:rPr>
          <w:rFonts w:ascii="Arial" w:hAnsi="Arial" w:cs="Arial"/>
          <w:sz w:val="20"/>
          <w:szCs w:val="20"/>
          <w:vertAlign w:val="superscript"/>
        </w:rPr>
        <w:t>1</w:t>
      </w:r>
      <w:r w:rsidRPr="00F95564">
        <w:rPr>
          <w:rFonts w:ascii="Arial" w:hAnsi="Arial" w:cs="Arial"/>
          <w:sz w:val="20"/>
          <w:szCs w:val="20"/>
        </w:rPr>
        <w:t xml:space="preserve"> sätestatud nõuetest lähtudes.“;</w:t>
      </w:r>
    </w:p>
    <w:p w14:paraId="783B0295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ADF1467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21)</w:t>
      </w:r>
      <w:r w:rsidRPr="00F95564">
        <w:rPr>
          <w:rFonts w:ascii="Arial" w:hAnsi="Arial" w:cs="Arial"/>
          <w:sz w:val="20"/>
          <w:szCs w:val="20"/>
        </w:rPr>
        <w:t xml:space="preserve"> määruse lisad tunnistatakse kehtetuks. </w:t>
      </w:r>
    </w:p>
    <w:p w14:paraId="2B1E7A14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3E0FC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 xml:space="preserve">§ 2. Justiitsministri </w:t>
      </w:r>
      <w:r w:rsidRPr="00F95564">
        <w:rPr>
          <w:rFonts w:ascii="Arial" w:hAnsi="Arial" w:cs="Arial"/>
          <w:b/>
          <w:bCs/>
          <w:color w:val="202020"/>
          <w:sz w:val="20"/>
          <w:szCs w:val="20"/>
          <w:shd w:val="clear" w:color="auto" w:fill="FFFFFF"/>
        </w:rPr>
        <w:t>31.05.2013. a määruse nr 22</w:t>
      </w:r>
      <w:r w:rsidRPr="00F95564">
        <w:rPr>
          <w:rFonts w:ascii="Arial" w:hAnsi="Arial" w:cs="Arial"/>
          <w:b/>
          <w:bCs/>
          <w:sz w:val="20"/>
          <w:szCs w:val="20"/>
        </w:rPr>
        <w:t xml:space="preserve"> „Seksuaalkurjategijate kompleksravi ettevalmistamise, täitmise ja järelevalve kord“ muutmine</w:t>
      </w:r>
    </w:p>
    <w:p w14:paraId="26EF4BB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759FB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 xml:space="preserve">Justiitsministri </w:t>
      </w:r>
      <w:r w:rsidRPr="00F95564">
        <w:rPr>
          <w:rFonts w:ascii="Arial" w:hAnsi="Arial" w:cs="Arial"/>
          <w:color w:val="202020"/>
          <w:sz w:val="21"/>
          <w:szCs w:val="21"/>
          <w:shd w:val="clear" w:color="auto" w:fill="FFFFFF"/>
        </w:rPr>
        <w:t>31.05.2013. a määruse nr 22</w:t>
      </w:r>
      <w:r w:rsidRPr="00F95564">
        <w:rPr>
          <w:rFonts w:ascii="Arial" w:hAnsi="Arial" w:cs="Arial"/>
          <w:sz w:val="20"/>
          <w:szCs w:val="20"/>
        </w:rPr>
        <w:t xml:space="preserve"> „Seksuaalkurjategijate kompleksravi ettevalmistamise, täitmise ja </w:t>
      </w:r>
      <w:r w:rsidRPr="00305C32">
        <w:rPr>
          <w:rFonts w:ascii="Arial" w:hAnsi="Arial" w:cs="Arial"/>
          <w:sz w:val="20"/>
          <w:szCs w:val="20"/>
        </w:rPr>
        <w:t>järelevalve kord“ tehakse järgmised muudatused:</w:t>
      </w:r>
    </w:p>
    <w:p w14:paraId="7783D11D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FA4B0F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 xml:space="preserve">1) </w:t>
      </w:r>
      <w:r w:rsidRPr="00305C32">
        <w:rPr>
          <w:rFonts w:ascii="Arial" w:hAnsi="Arial" w:cs="Arial"/>
          <w:sz w:val="20"/>
          <w:szCs w:val="20"/>
        </w:rPr>
        <w:t>paragrahvi 6 pealkiri sõnastatakse järgmiselt:</w:t>
      </w:r>
      <w:r w:rsidRPr="00305C3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1E4C4D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461F53E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 xml:space="preserve">„§ 6. Seksuaalkurjategijate kompleksravi </w:t>
      </w:r>
      <w:proofErr w:type="spellStart"/>
      <w:r w:rsidRPr="00305C32">
        <w:rPr>
          <w:rFonts w:ascii="Arial" w:hAnsi="Arial" w:cs="Arial"/>
          <w:b/>
          <w:bCs/>
          <w:sz w:val="20"/>
          <w:szCs w:val="20"/>
        </w:rPr>
        <w:t>kohaldaja</w:t>
      </w:r>
      <w:proofErr w:type="spellEnd"/>
      <w:r w:rsidRPr="00305C32">
        <w:rPr>
          <w:rFonts w:ascii="Arial" w:hAnsi="Arial" w:cs="Arial"/>
          <w:b/>
          <w:bCs/>
          <w:sz w:val="20"/>
          <w:szCs w:val="20"/>
        </w:rPr>
        <w:t xml:space="preserve"> õigus saada andmeid“</w:t>
      </w:r>
      <w:r w:rsidRPr="00305C32">
        <w:rPr>
          <w:rFonts w:ascii="Arial" w:hAnsi="Arial" w:cs="Arial"/>
          <w:sz w:val="20"/>
          <w:szCs w:val="20"/>
        </w:rPr>
        <w:t>;</w:t>
      </w:r>
    </w:p>
    <w:p w14:paraId="6D0A5278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0AA4AE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>2)</w:t>
      </w:r>
      <w:r w:rsidRPr="00305C32">
        <w:rPr>
          <w:rFonts w:ascii="Arial" w:hAnsi="Arial" w:cs="Arial"/>
          <w:sz w:val="20"/>
          <w:szCs w:val="20"/>
        </w:rPr>
        <w:t xml:space="preserve"> paragrahvi 6 lõiked 1 ja 2 tunnistatakse kehtetuks;</w:t>
      </w:r>
    </w:p>
    <w:p w14:paraId="735C6E04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5823E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>3)</w:t>
      </w:r>
      <w:r w:rsidRPr="00305C32">
        <w:rPr>
          <w:rFonts w:ascii="Arial" w:hAnsi="Arial" w:cs="Arial"/>
          <w:sz w:val="20"/>
          <w:szCs w:val="20"/>
        </w:rPr>
        <w:t xml:space="preserve"> paragrahv 7 tunnistatakse kehtetuks;</w:t>
      </w:r>
    </w:p>
    <w:p w14:paraId="1CAD5FC4" w14:textId="77777777" w:rsidR="00F248A1" w:rsidRPr="00305C32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791CE" w14:textId="4EB3AD21" w:rsidR="00F248A1" w:rsidRPr="00305C32" w:rsidRDefault="00F248A1" w:rsidP="00F248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>4)</w:t>
      </w:r>
      <w:r w:rsidRPr="00305C32">
        <w:rPr>
          <w:rFonts w:ascii="Arial" w:hAnsi="Arial" w:cs="Arial"/>
          <w:sz w:val="20"/>
          <w:szCs w:val="20"/>
        </w:rPr>
        <w:t xml:space="preserve"> paragrahvi 8 punktis 3 asendatakse sõna "tutvustama" sõnadega "vajadusel tutvustama";</w:t>
      </w:r>
    </w:p>
    <w:p w14:paraId="2D315591" w14:textId="77777777" w:rsidR="00F248A1" w:rsidRPr="00305C32" w:rsidRDefault="00F248A1" w:rsidP="00F248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CD555B" w14:textId="3575F148" w:rsidR="00C32674" w:rsidRPr="00305C32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>5</w:t>
      </w:r>
      <w:r w:rsidR="00C32674" w:rsidRPr="00305C32">
        <w:rPr>
          <w:rFonts w:ascii="Arial" w:hAnsi="Arial" w:cs="Arial"/>
          <w:b/>
          <w:bCs/>
          <w:sz w:val="20"/>
          <w:szCs w:val="20"/>
        </w:rPr>
        <w:t>)</w:t>
      </w:r>
      <w:r w:rsidR="00C32674" w:rsidRPr="00305C32">
        <w:rPr>
          <w:rFonts w:ascii="Arial" w:hAnsi="Arial" w:cs="Arial"/>
          <w:sz w:val="20"/>
          <w:szCs w:val="20"/>
        </w:rPr>
        <w:t xml:space="preserve"> paragrahvi 8 punkt 6 sõnastatakse järgmiselt: </w:t>
      </w:r>
    </w:p>
    <w:p w14:paraId="53503596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2497CE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sz w:val="20"/>
          <w:szCs w:val="20"/>
        </w:rPr>
        <w:t>„6) selgitama kriminaalhooldusalusele tema õigusi ja kohustusi kompleksravile allumisel;“;</w:t>
      </w:r>
    </w:p>
    <w:p w14:paraId="61E08B48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4C3400" w14:textId="3E048124" w:rsidR="00C32674" w:rsidRPr="00305C32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>6</w:t>
      </w:r>
      <w:r w:rsidR="00C32674" w:rsidRPr="00305C32">
        <w:rPr>
          <w:rFonts w:ascii="Arial" w:hAnsi="Arial" w:cs="Arial"/>
          <w:b/>
          <w:bCs/>
          <w:sz w:val="20"/>
          <w:szCs w:val="20"/>
        </w:rPr>
        <w:t>)</w:t>
      </w:r>
      <w:r w:rsidR="00C32674" w:rsidRPr="00305C32">
        <w:rPr>
          <w:rFonts w:ascii="Arial" w:hAnsi="Arial" w:cs="Arial"/>
          <w:sz w:val="20"/>
          <w:szCs w:val="20"/>
        </w:rPr>
        <w:t xml:space="preserve"> paragrahv 9 sõnastatakse järgmiselt:</w:t>
      </w:r>
    </w:p>
    <w:p w14:paraId="4C73E4F3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32F59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sz w:val="20"/>
          <w:szCs w:val="20"/>
        </w:rPr>
        <w:t>„</w:t>
      </w:r>
      <w:r w:rsidRPr="00305C32">
        <w:rPr>
          <w:rFonts w:ascii="Arial" w:hAnsi="Arial" w:cs="Arial"/>
          <w:b/>
          <w:bCs/>
          <w:sz w:val="20"/>
          <w:szCs w:val="20"/>
        </w:rPr>
        <w:t>§ 9. Kriminaalhooldusaluse teavitamine</w:t>
      </w:r>
    </w:p>
    <w:p w14:paraId="01DC207C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D6DC88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sz w:val="20"/>
          <w:szCs w:val="20"/>
        </w:rPr>
        <w:t xml:space="preserve">Kriminaalhooldusalune teeb pärast seksuaalkurjategijate kompleksravi </w:t>
      </w:r>
      <w:proofErr w:type="spellStart"/>
      <w:r w:rsidRPr="00305C32">
        <w:rPr>
          <w:rFonts w:ascii="Arial" w:hAnsi="Arial" w:cs="Arial"/>
          <w:sz w:val="20"/>
          <w:szCs w:val="20"/>
        </w:rPr>
        <w:t>kohaldajaga</w:t>
      </w:r>
      <w:proofErr w:type="spellEnd"/>
      <w:r w:rsidRPr="00305C32">
        <w:rPr>
          <w:rFonts w:ascii="Arial" w:hAnsi="Arial" w:cs="Arial"/>
          <w:sz w:val="20"/>
          <w:szCs w:val="20"/>
        </w:rPr>
        <w:t xml:space="preserve"> kompleksravi esmase vastuvõtu koha ja aja kokkuleppimist need viivitamata teatavaks kriminaalhooldusametnikule.“;</w:t>
      </w:r>
    </w:p>
    <w:p w14:paraId="71D7430B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33F4A8" w14:textId="6BA522B4" w:rsidR="00C32674" w:rsidRPr="00305C32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b/>
          <w:bCs/>
          <w:sz w:val="20"/>
          <w:szCs w:val="20"/>
        </w:rPr>
        <w:t>7</w:t>
      </w:r>
      <w:r w:rsidR="00C32674" w:rsidRPr="00305C32">
        <w:rPr>
          <w:rFonts w:ascii="Arial" w:hAnsi="Arial" w:cs="Arial"/>
          <w:b/>
          <w:bCs/>
          <w:sz w:val="20"/>
          <w:szCs w:val="20"/>
        </w:rPr>
        <w:t>)</w:t>
      </w:r>
      <w:r w:rsidR="00C32674" w:rsidRPr="00305C32">
        <w:rPr>
          <w:rFonts w:ascii="Arial" w:hAnsi="Arial" w:cs="Arial"/>
          <w:sz w:val="20"/>
          <w:szCs w:val="20"/>
        </w:rPr>
        <w:t xml:space="preserve"> paragrahvi 10 lõige 2 sõnastatakse järgmiselt: </w:t>
      </w:r>
    </w:p>
    <w:p w14:paraId="663DAE04" w14:textId="77777777" w:rsidR="00C32674" w:rsidRPr="00305C32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49B94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5C32">
        <w:rPr>
          <w:rFonts w:ascii="Arial" w:hAnsi="Arial" w:cs="Arial"/>
          <w:sz w:val="20"/>
          <w:szCs w:val="20"/>
        </w:rPr>
        <w:t xml:space="preserve">„(2) Kui kriminaalhooldusalune ei ilmu õigel ajal seksuaalkurjategijate </w:t>
      </w:r>
      <w:r w:rsidRPr="00F95564">
        <w:rPr>
          <w:rFonts w:ascii="Arial" w:hAnsi="Arial" w:cs="Arial"/>
          <w:color w:val="202020"/>
          <w:sz w:val="20"/>
          <w:szCs w:val="20"/>
        </w:rPr>
        <w:t xml:space="preserve">kompleksravi kohaldamise kohta, ei allu kompleksravi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color w:val="202020"/>
          <w:sz w:val="20"/>
          <w:szCs w:val="20"/>
        </w:rPr>
        <w:t xml:space="preserve"> töötaja korraldustele või rikub muid tingimusi, teatab kompleksravi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color w:val="202020"/>
          <w:sz w:val="20"/>
          <w:szCs w:val="20"/>
        </w:rPr>
        <w:t xml:space="preserve"> sellest viivitamata kriminaalhooldusametnikule. Kriminaalhooldusametniku taotlusel vormistab kompleksravi </w:t>
      </w:r>
      <w:proofErr w:type="spellStart"/>
      <w:r w:rsidRPr="00F95564">
        <w:rPr>
          <w:rFonts w:ascii="Arial" w:hAnsi="Arial" w:cs="Arial"/>
          <w:color w:val="202020"/>
          <w:sz w:val="20"/>
          <w:szCs w:val="20"/>
        </w:rPr>
        <w:t>kohaldaja</w:t>
      </w:r>
      <w:proofErr w:type="spellEnd"/>
      <w:r w:rsidRPr="00F95564">
        <w:rPr>
          <w:rFonts w:ascii="Arial" w:hAnsi="Arial" w:cs="Arial"/>
          <w:color w:val="202020"/>
          <w:sz w:val="20"/>
          <w:szCs w:val="20"/>
        </w:rPr>
        <w:t xml:space="preserve"> teavituse kirjalikult.“;</w:t>
      </w:r>
    </w:p>
    <w:p w14:paraId="1254B86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731F279" w14:textId="302510CC" w:rsidR="00C32674" w:rsidRPr="00F95564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C32674" w:rsidRPr="00F95564">
        <w:rPr>
          <w:rFonts w:ascii="Arial" w:hAnsi="Arial" w:cs="Arial"/>
          <w:b/>
          <w:bCs/>
          <w:sz w:val="20"/>
          <w:szCs w:val="20"/>
        </w:rPr>
        <w:t>)</w:t>
      </w:r>
      <w:r w:rsidR="00C32674" w:rsidRPr="00F95564">
        <w:rPr>
          <w:rFonts w:ascii="Arial" w:hAnsi="Arial" w:cs="Arial"/>
          <w:sz w:val="20"/>
          <w:szCs w:val="20"/>
        </w:rPr>
        <w:t xml:space="preserve"> paragrahvi 13 lõige 1 sõnastatakse järgmiselt:</w:t>
      </w:r>
    </w:p>
    <w:p w14:paraId="322FDD4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47E38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„(1) Kui kriminaalhooldusalune hoiab seksuaalkurjategijate kompleksravist kõrvale või esinevad käesoleva määruse §-s 12 nimetatud asjaolud, fikseerib kriminaalhooldusametnik rikkumised, võtab kriminaalhooldusaluselt rikkumise kohta allkirjastatud seletuse ning reageerib rikkumisele. Kriminaalhooldusametnik reageerib rikkumisele hoiatusega või erakorralise ettekandega.“;</w:t>
      </w:r>
    </w:p>
    <w:p w14:paraId="6DF06E82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CC618B" w14:textId="04E554E9" w:rsidR="00C32674" w:rsidRPr="00F95564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C32674" w:rsidRPr="00F95564">
        <w:rPr>
          <w:rFonts w:ascii="Arial" w:hAnsi="Arial" w:cs="Arial"/>
          <w:b/>
          <w:bCs/>
          <w:sz w:val="20"/>
          <w:szCs w:val="20"/>
        </w:rPr>
        <w:t>)</w:t>
      </w:r>
      <w:r w:rsidR="00C32674" w:rsidRPr="00F95564">
        <w:rPr>
          <w:rFonts w:ascii="Arial" w:hAnsi="Arial" w:cs="Arial"/>
          <w:sz w:val="20"/>
          <w:szCs w:val="20"/>
        </w:rPr>
        <w:t xml:space="preserve"> paragrahvi 13 täiendatakse lõigetega 1</w:t>
      </w:r>
      <w:r w:rsidR="00C32674" w:rsidRPr="00F95564">
        <w:rPr>
          <w:rFonts w:ascii="Arial" w:hAnsi="Arial" w:cs="Arial"/>
          <w:sz w:val="20"/>
          <w:szCs w:val="20"/>
          <w:vertAlign w:val="superscript"/>
        </w:rPr>
        <w:t>1</w:t>
      </w:r>
      <w:r w:rsidR="00C32674" w:rsidRPr="00F95564">
        <w:rPr>
          <w:rFonts w:ascii="Arial" w:hAnsi="Arial" w:cs="Arial"/>
          <w:b/>
          <w:bCs/>
          <w:sz w:val="20"/>
          <w:szCs w:val="20"/>
        </w:rPr>
        <w:t>–</w:t>
      </w:r>
      <w:r w:rsidR="00C32674" w:rsidRPr="00F95564">
        <w:rPr>
          <w:rFonts w:ascii="Arial" w:hAnsi="Arial" w:cs="Arial"/>
          <w:sz w:val="20"/>
          <w:szCs w:val="20"/>
        </w:rPr>
        <w:t>1</w:t>
      </w:r>
      <w:r w:rsidR="00C32674" w:rsidRPr="00F95564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C32674" w:rsidRPr="00F95564">
        <w:rPr>
          <w:rFonts w:ascii="Arial" w:hAnsi="Arial" w:cs="Arial"/>
          <w:sz w:val="20"/>
          <w:szCs w:val="20"/>
        </w:rPr>
        <w:t xml:space="preserve">järgmises sõnastuses: </w:t>
      </w:r>
    </w:p>
    <w:p w14:paraId="2AC6F620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D014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„(1</w:t>
      </w:r>
      <w:r w:rsidRPr="00F95564">
        <w:rPr>
          <w:rFonts w:ascii="Arial" w:hAnsi="Arial" w:cs="Arial"/>
          <w:sz w:val="20"/>
          <w:szCs w:val="20"/>
          <w:vertAlign w:val="superscript"/>
        </w:rPr>
        <w:t>1</w:t>
      </w:r>
      <w:r w:rsidRPr="00F95564">
        <w:rPr>
          <w:rFonts w:ascii="Arial" w:hAnsi="Arial" w:cs="Arial"/>
          <w:sz w:val="20"/>
          <w:szCs w:val="20"/>
        </w:rPr>
        <w:t>) Rikkumise fikseerimisel märgitakse järgmised andmed:</w:t>
      </w:r>
    </w:p>
    <w:p w14:paraId="128761A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1) kompleksravile allutatud isiku nimi;</w:t>
      </w:r>
    </w:p>
    <w:p w14:paraId="6EBA217A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2) rikkumise fikseerinud kriminaalhooldusametniku nimi;</w:t>
      </w:r>
    </w:p>
    <w:p w14:paraId="75A32F0B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3) rikkumise aeg ja kirjeldus;</w:t>
      </w:r>
    </w:p>
    <w:p w14:paraId="10509E3A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4) kriminaalhooldusametniku otsus;</w:t>
      </w:r>
    </w:p>
    <w:p w14:paraId="7FD2D9D4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5) rikkumise fikseerimise kuupäev.</w:t>
      </w:r>
    </w:p>
    <w:p w14:paraId="56FB942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6F52A5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(1</w:t>
      </w:r>
      <w:r w:rsidRPr="00F95564">
        <w:rPr>
          <w:rFonts w:ascii="Arial" w:hAnsi="Arial" w:cs="Arial"/>
          <w:sz w:val="20"/>
          <w:szCs w:val="20"/>
          <w:vertAlign w:val="superscript"/>
        </w:rPr>
        <w:t>2</w:t>
      </w:r>
      <w:r w:rsidRPr="00F95564">
        <w:rPr>
          <w:rFonts w:ascii="Arial" w:hAnsi="Arial" w:cs="Arial"/>
          <w:sz w:val="20"/>
          <w:szCs w:val="20"/>
        </w:rPr>
        <w:t>) Kirjalikus hoiatuses märgitakse:</w:t>
      </w:r>
    </w:p>
    <w:p w14:paraId="25C2397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1) kompleksravile allutatud isiku nimi;</w:t>
      </w:r>
    </w:p>
    <w:p w14:paraId="2722720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lastRenderedPageBreak/>
        <w:t>2) hoiatuse teinud kriminaalhooldusametniku nimi;</w:t>
      </w:r>
    </w:p>
    <w:p w14:paraId="6F7E39EE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3) rikkumise aeg ja kirjeldus;</w:t>
      </w:r>
    </w:p>
    <w:p w14:paraId="58815E2A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4) kriminaalhooldusametniku otsus;</w:t>
      </w:r>
    </w:p>
    <w:p w14:paraId="76065117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5) hoiatuse koostamise kuupäev.</w:t>
      </w:r>
    </w:p>
    <w:p w14:paraId="6B61C56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F0FE8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(1</w:t>
      </w:r>
      <w:r w:rsidRPr="00F95564">
        <w:rPr>
          <w:rFonts w:ascii="Arial" w:hAnsi="Arial" w:cs="Arial"/>
          <w:sz w:val="20"/>
          <w:szCs w:val="20"/>
          <w:vertAlign w:val="superscript"/>
        </w:rPr>
        <w:t>3</w:t>
      </w:r>
      <w:r w:rsidRPr="00F95564">
        <w:rPr>
          <w:rFonts w:ascii="Arial" w:hAnsi="Arial" w:cs="Arial"/>
          <w:sz w:val="20"/>
          <w:szCs w:val="20"/>
        </w:rPr>
        <w:t>) Kriminaalhooldusametnik tutvustab hoiatust seksuaalkurjategijate kompleksravile allutatud isikule.“;</w:t>
      </w:r>
    </w:p>
    <w:p w14:paraId="28720B21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21AE48" w14:textId="32C53DBF" w:rsidR="00C32674" w:rsidRPr="00F95564" w:rsidRDefault="00F248A1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C32674" w:rsidRPr="00F95564">
        <w:rPr>
          <w:rFonts w:ascii="Arial" w:hAnsi="Arial" w:cs="Arial"/>
          <w:b/>
          <w:bCs/>
          <w:sz w:val="20"/>
          <w:szCs w:val="20"/>
        </w:rPr>
        <w:t>)</w:t>
      </w:r>
      <w:r w:rsidR="00C32674" w:rsidRPr="00F95564">
        <w:rPr>
          <w:rFonts w:ascii="Arial" w:hAnsi="Arial" w:cs="Arial"/>
          <w:sz w:val="20"/>
          <w:szCs w:val="20"/>
        </w:rPr>
        <w:t xml:space="preserve"> paragrahvi 13 lõiget 2 täiendatakse pärast sõnu „teha kuni kaks“ sõnaga „kehtivat“;</w:t>
      </w:r>
    </w:p>
    <w:p w14:paraId="3927C9F6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BB8FC" w14:textId="2007F0FA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</w:t>
      </w:r>
      <w:r w:rsidR="00F248A1">
        <w:rPr>
          <w:rFonts w:ascii="Arial" w:hAnsi="Arial" w:cs="Arial"/>
          <w:b/>
          <w:bCs/>
          <w:sz w:val="20"/>
          <w:szCs w:val="20"/>
        </w:rPr>
        <w:t>1</w:t>
      </w:r>
      <w:r w:rsidRPr="00F95564">
        <w:rPr>
          <w:rFonts w:ascii="Arial" w:hAnsi="Arial" w:cs="Arial"/>
          <w:b/>
          <w:bCs/>
          <w:sz w:val="20"/>
          <w:szCs w:val="20"/>
        </w:rPr>
        <w:t>)</w:t>
      </w:r>
      <w:r w:rsidRPr="00F95564">
        <w:rPr>
          <w:rFonts w:ascii="Arial" w:hAnsi="Arial" w:cs="Arial"/>
          <w:sz w:val="20"/>
          <w:szCs w:val="20"/>
        </w:rPr>
        <w:t xml:space="preserve"> paragrahvi 13 lõige 3 tunnistatakse kehtetuks;</w:t>
      </w:r>
    </w:p>
    <w:p w14:paraId="1374747D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A5AA30" w14:textId="52B13413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b/>
          <w:bCs/>
          <w:sz w:val="20"/>
          <w:szCs w:val="20"/>
        </w:rPr>
        <w:t>1</w:t>
      </w:r>
      <w:r w:rsidR="00F248A1">
        <w:rPr>
          <w:rFonts w:ascii="Arial" w:hAnsi="Arial" w:cs="Arial"/>
          <w:b/>
          <w:bCs/>
          <w:sz w:val="20"/>
          <w:szCs w:val="20"/>
        </w:rPr>
        <w:t>2</w:t>
      </w:r>
      <w:r w:rsidRPr="00F95564">
        <w:rPr>
          <w:rFonts w:ascii="Arial" w:hAnsi="Arial" w:cs="Arial"/>
          <w:b/>
          <w:bCs/>
          <w:sz w:val="20"/>
          <w:szCs w:val="20"/>
        </w:rPr>
        <w:t>)</w:t>
      </w:r>
      <w:r w:rsidRPr="00F95564">
        <w:rPr>
          <w:rFonts w:ascii="Arial" w:hAnsi="Arial" w:cs="Arial"/>
          <w:sz w:val="20"/>
          <w:szCs w:val="20"/>
        </w:rPr>
        <w:t xml:space="preserve"> määruse lisad 2</w:t>
      </w:r>
      <w:r w:rsidR="00503336">
        <w:rPr>
          <w:rFonts w:ascii="Arial" w:hAnsi="Arial" w:cs="Arial"/>
          <w:sz w:val="20"/>
          <w:szCs w:val="20"/>
        </w:rPr>
        <w:t>–</w:t>
      </w:r>
      <w:r w:rsidRPr="00F95564">
        <w:rPr>
          <w:rFonts w:ascii="Arial" w:hAnsi="Arial" w:cs="Arial"/>
          <w:sz w:val="20"/>
          <w:szCs w:val="20"/>
        </w:rPr>
        <w:t>5 tunnistatakse kehtetuks.</w:t>
      </w:r>
    </w:p>
    <w:p w14:paraId="6F7ED7EA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E1C2C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FBC10A" w14:textId="77777777" w:rsidR="00C32674" w:rsidRPr="00F95564" w:rsidRDefault="00C32674" w:rsidP="00C326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297C9D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95564">
        <w:rPr>
          <w:rFonts w:ascii="Arial" w:hAnsi="Arial" w:cs="Arial"/>
          <w:i/>
          <w:sz w:val="20"/>
          <w:szCs w:val="20"/>
        </w:rPr>
        <w:t>(allkirjastatud digitaalselt)</w:t>
      </w:r>
    </w:p>
    <w:p w14:paraId="3E9E8706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AED1E9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7C497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F95564">
        <w:rPr>
          <w:rFonts w:ascii="Arial" w:hAnsi="Arial" w:cs="Arial"/>
          <w:sz w:val="20"/>
          <w:szCs w:val="20"/>
        </w:rPr>
        <w:t>Timpson</w:t>
      </w:r>
      <w:proofErr w:type="spellEnd"/>
    </w:p>
    <w:p w14:paraId="0FFDB2BE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justiitsminister</w:t>
      </w:r>
    </w:p>
    <w:p w14:paraId="12BEED5B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A476BA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6BA006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95564">
        <w:rPr>
          <w:rFonts w:ascii="Arial" w:hAnsi="Arial" w:cs="Arial"/>
          <w:i/>
          <w:sz w:val="20"/>
          <w:szCs w:val="20"/>
        </w:rPr>
        <w:t>(allkirjastatud digitaalselt)</w:t>
      </w:r>
    </w:p>
    <w:p w14:paraId="04E6F9F3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0F84BE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643FF7" w14:textId="77777777" w:rsidR="00C32674" w:rsidRPr="00F9556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Tõnis Saar</w:t>
      </w:r>
    </w:p>
    <w:p w14:paraId="22F6E9DB" w14:textId="77777777" w:rsidR="00C3267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564">
        <w:rPr>
          <w:rFonts w:ascii="Arial" w:hAnsi="Arial" w:cs="Arial"/>
          <w:sz w:val="20"/>
          <w:szCs w:val="20"/>
        </w:rPr>
        <w:t>kantsler</w:t>
      </w:r>
    </w:p>
    <w:p w14:paraId="75764B73" w14:textId="77777777" w:rsidR="00C3267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397343" w14:textId="77777777" w:rsidR="00C3267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07AE2C" w14:textId="77777777" w:rsidR="00C32674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B1D036" w14:textId="77777777" w:rsidR="00C32674" w:rsidRPr="00624822" w:rsidRDefault="00C32674" w:rsidP="00C3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D3551" w14:textId="77777777" w:rsidR="000B0A36" w:rsidRPr="00C32674" w:rsidRDefault="000B0A36" w:rsidP="00C32674"/>
    <w:sectPr w:rsidR="000B0A36" w:rsidRPr="00C32674" w:rsidSect="00D66DE9">
      <w:footerReference w:type="default" r:id="rId8"/>
      <w:headerReference w:type="first" r:id="rId9"/>
      <w:footerReference w:type="first" r:id="rId10"/>
      <w:pgSz w:w="11906" w:h="16838"/>
      <w:pgMar w:top="1134" w:right="1133" w:bottom="1418" w:left="1843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2A77" w14:textId="77777777" w:rsidR="006951AB" w:rsidRDefault="006951AB" w:rsidP="00F932F6">
      <w:pPr>
        <w:spacing w:after="0" w:line="240" w:lineRule="auto"/>
      </w:pPr>
      <w:r>
        <w:separator/>
      </w:r>
    </w:p>
  </w:endnote>
  <w:endnote w:type="continuationSeparator" w:id="0">
    <w:p w14:paraId="6CDC8CBE" w14:textId="77777777" w:rsidR="006951AB" w:rsidRDefault="006951AB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251359"/>
      <w:docPartObj>
        <w:docPartGallery w:val="Page Numbers (Bottom of Page)"/>
        <w:docPartUnique/>
      </w:docPartObj>
    </w:sdtPr>
    <w:sdtEndPr/>
    <w:sdtContent>
      <w:p w14:paraId="7B321BBE" w14:textId="0BD6A837" w:rsidR="00D66DE9" w:rsidRDefault="00D66DE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3BC">
          <w:rPr>
            <w:noProof/>
          </w:rPr>
          <w:t>4</w:t>
        </w:r>
        <w:r>
          <w:fldChar w:fldCharType="end"/>
        </w:r>
      </w:p>
    </w:sdtContent>
  </w:sdt>
  <w:p w14:paraId="7AD08FA2" w14:textId="77777777" w:rsidR="00D66DE9" w:rsidRDefault="00D66DE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768415"/>
      <w:docPartObj>
        <w:docPartGallery w:val="Page Numbers (Bottom of Page)"/>
        <w:docPartUnique/>
      </w:docPartObj>
    </w:sdtPr>
    <w:sdtEndPr/>
    <w:sdtContent>
      <w:p w14:paraId="1D4B1A55" w14:textId="143DF66C" w:rsidR="00D66DE9" w:rsidRDefault="00D66DE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76C16" w14:textId="77777777" w:rsidR="00F95C2F" w:rsidRDefault="00F95C2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33665" w14:textId="77777777" w:rsidR="006951AB" w:rsidRDefault="006951AB" w:rsidP="00F932F6">
      <w:pPr>
        <w:spacing w:after="0" w:line="240" w:lineRule="auto"/>
      </w:pPr>
      <w:r>
        <w:separator/>
      </w:r>
    </w:p>
  </w:footnote>
  <w:footnote w:type="continuationSeparator" w:id="0">
    <w:p w14:paraId="3A8335BF" w14:textId="77777777" w:rsidR="006951AB" w:rsidRDefault="006951AB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764F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88B47C5" wp14:editId="124D4349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1AB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0D229B"/>
    <w:rsid w:val="00100977"/>
    <w:rsid w:val="001310A7"/>
    <w:rsid w:val="001333FF"/>
    <w:rsid w:val="0014676F"/>
    <w:rsid w:val="00151D3C"/>
    <w:rsid w:val="00160544"/>
    <w:rsid w:val="001708DD"/>
    <w:rsid w:val="00182D17"/>
    <w:rsid w:val="001B4309"/>
    <w:rsid w:val="001D0B31"/>
    <w:rsid w:val="001D6C3B"/>
    <w:rsid w:val="001E629B"/>
    <w:rsid w:val="002002D0"/>
    <w:rsid w:val="00210382"/>
    <w:rsid w:val="00247559"/>
    <w:rsid w:val="00255F8F"/>
    <w:rsid w:val="0026123D"/>
    <w:rsid w:val="00270B94"/>
    <w:rsid w:val="00271DB6"/>
    <w:rsid w:val="002B39AB"/>
    <w:rsid w:val="002D113E"/>
    <w:rsid w:val="002D6C9C"/>
    <w:rsid w:val="002D6EF2"/>
    <w:rsid w:val="002F0145"/>
    <w:rsid w:val="00305C32"/>
    <w:rsid w:val="00316A28"/>
    <w:rsid w:val="00331C32"/>
    <w:rsid w:val="0035795F"/>
    <w:rsid w:val="003A4E9F"/>
    <w:rsid w:val="003B7B2E"/>
    <w:rsid w:val="003E42CF"/>
    <w:rsid w:val="003E6051"/>
    <w:rsid w:val="0043040E"/>
    <w:rsid w:val="00444BDC"/>
    <w:rsid w:val="004501F9"/>
    <w:rsid w:val="004617FE"/>
    <w:rsid w:val="004679B3"/>
    <w:rsid w:val="0047059A"/>
    <w:rsid w:val="00470771"/>
    <w:rsid w:val="004D37DA"/>
    <w:rsid w:val="004D3ECE"/>
    <w:rsid w:val="004E6FC2"/>
    <w:rsid w:val="00503336"/>
    <w:rsid w:val="005358A4"/>
    <w:rsid w:val="005418A7"/>
    <w:rsid w:val="00557869"/>
    <w:rsid w:val="00570D8A"/>
    <w:rsid w:val="005714EC"/>
    <w:rsid w:val="005B0039"/>
    <w:rsid w:val="005B79C6"/>
    <w:rsid w:val="005C3D11"/>
    <w:rsid w:val="005D3F4B"/>
    <w:rsid w:val="005D6D22"/>
    <w:rsid w:val="00614139"/>
    <w:rsid w:val="00624822"/>
    <w:rsid w:val="006951AB"/>
    <w:rsid w:val="006D2A4F"/>
    <w:rsid w:val="006E167A"/>
    <w:rsid w:val="006E7FC3"/>
    <w:rsid w:val="00722A9F"/>
    <w:rsid w:val="0073417B"/>
    <w:rsid w:val="0074257E"/>
    <w:rsid w:val="00745DB9"/>
    <w:rsid w:val="00751AF2"/>
    <w:rsid w:val="00764F8C"/>
    <w:rsid w:val="007702C2"/>
    <w:rsid w:val="007C7F42"/>
    <w:rsid w:val="007D23C4"/>
    <w:rsid w:val="007E09B4"/>
    <w:rsid w:val="008123BC"/>
    <w:rsid w:val="0085237F"/>
    <w:rsid w:val="008656DD"/>
    <w:rsid w:val="008903AE"/>
    <w:rsid w:val="008B5426"/>
    <w:rsid w:val="008D46CF"/>
    <w:rsid w:val="008E1EA0"/>
    <w:rsid w:val="008E7CDC"/>
    <w:rsid w:val="00901690"/>
    <w:rsid w:val="0093325F"/>
    <w:rsid w:val="009455E0"/>
    <w:rsid w:val="00961B09"/>
    <w:rsid w:val="00967395"/>
    <w:rsid w:val="0098446B"/>
    <w:rsid w:val="00AA7E01"/>
    <w:rsid w:val="00AD1FBE"/>
    <w:rsid w:val="00AD45D7"/>
    <w:rsid w:val="00AE4DAF"/>
    <w:rsid w:val="00B33ECA"/>
    <w:rsid w:val="00B50D4E"/>
    <w:rsid w:val="00B708A2"/>
    <w:rsid w:val="00BD6A5A"/>
    <w:rsid w:val="00BF1E6E"/>
    <w:rsid w:val="00BF2256"/>
    <w:rsid w:val="00BF2F0D"/>
    <w:rsid w:val="00C32674"/>
    <w:rsid w:val="00C56114"/>
    <w:rsid w:val="00CA502C"/>
    <w:rsid w:val="00CC387A"/>
    <w:rsid w:val="00CE2106"/>
    <w:rsid w:val="00CE5C01"/>
    <w:rsid w:val="00D34AF1"/>
    <w:rsid w:val="00D45E47"/>
    <w:rsid w:val="00D66DE9"/>
    <w:rsid w:val="00D7196E"/>
    <w:rsid w:val="00DE450F"/>
    <w:rsid w:val="00DF1410"/>
    <w:rsid w:val="00E01796"/>
    <w:rsid w:val="00E05679"/>
    <w:rsid w:val="00E10FEE"/>
    <w:rsid w:val="00E321E8"/>
    <w:rsid w:val="00E61698"/>
    <w:rsid w:val="00EF5D7E"/>
    <w:rsid w:val="00F0670B"/>
    <w:rsid w:val="00F07B62"/>
    <w:rsid w:val="00F17450"/>
    <w:rsid w:val="00F248A1"/>
    <w:rsid w:val="00F25FD2"/>
    <w:rsid w:val="00F2745E"/>
    <w:rsid w:val="00F55281"/>
    <w:rsid w:val="00F639F5"/>
    <w:rsid w:val="00F92F76"/>
    <w:rsid w:val="00F932F6"/>
    <w:rsid w:val="00F95C2F"/>
    <w:rsid w:val="00FC12A0"/>
    <w:rsid w:val="00FC7FB8"/>
    <w:rsid w:val="00FD7642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BA5D419"/>
  <w15:docId w15:val="{A5F3BBC8-7CEA-4723-BCE9-4A29A0E5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rsid w:val="00FD76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3A4E9F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4679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679B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679B3"/>
    <w:rPr>
      <w:rFonts w:eastAsiaTheme="minorHAnsi"/>
      <w:sz w:val="20"/>
      <w:szCs w:val="20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rsid w:val="00FD76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FD7642"/>
    <w:rPr>
      <w:b/>
      <w:bCs/>
    </w:rPr>
  </w:style>
  <w:style w:type="paragraph" w:styleId="Normaallaadveeb">
    <w:name w:val="Normal (Web)"/>
    <w:basedOn w:val="Normaallaad"/>
    <w:uiPriority w:val="99"/>
    <w:unhideWhenUsed/>
    <w:rsid w:val="00FD7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hik">
    <w:name w:val="tyhik"/>
    <w:basedOn w:val="Liguvaikefont"/>
    <w:rsid w:val="007C7F42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45DB9"/>
    <w:pPr>
      <w:spacing w:after="200"/>
    </w:pPr>
    <w:rPr>
      <w:rFonts w:eastAsiaTheme="minorEastAsia"/>
      <w:b/>
      <w:bCs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45DB9"/>
    <w:rPr>
      <w:rFonts w:eastAsiaTheme="minorHAnsi"/>
      <w:b/>
      <w:bCs/>
      <w:sz w:val="20"/>
      <w:szCs w:val="20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F9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95C2F"/>
  </w:style>
  <w:style w:type="paragraph" w:styleId="Jalus">
    <w:name w:val="footer"/>
    <w:basedOn w:val="Normaallaad"/>
    <w:link w:val="JalusMrk"/>
    <w:uiPriority w:val="99"/>
    <w:unhideWhenUsed/>
    <w:rsid w:val="00F9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9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44C0-4021-4177-B4C5-CD3A6E25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liis.laaneloog</dc:creator>
  <cp:lastModifiedBy>Merle Järve</cp:lastModifiedBy>
  <cp:revision>2</cp:revision>
  <cp:lastPrinted>2014-12-19T10:46:00Z</cp:lastPrinted>
  <dcterms:created xsi:type="dcterms:W3CDTF">2024-05-06T13:03:00Z</dcterms:created>
  <dcterms:modified xsi:type="dcterms:W3CDTF">2024-05-06T13:03:00Z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