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66C7" w14:textId="77777777" w:rsidR="00B04E7F" w:rsidRDefault="002637C8" w:rsidP="00B04E7F">
      <w:pPr>
        <w:spacing w:after="0" w:line="240" w:lineRule="auto"/>
        <w:jc w:val="center"/>
        <w:rPr>
          <w:rFonts w:ascii="Times New Roman" w:hAnsi="Times New Roman" w:cs="Times New Roman"/>
          <w:b/>
          <w:bCs/>
          <w:sz w:val="32"/>
          <w:szCs w:val="32"/>
        </w:rPr>
      </w:pPr>
      <w:r w:rsidRPr="00291EB6">
        <w:rPr>
          <w:rFonts w:ascii="Times New Roman" w:hAnsi="Times New Roman" w:cs="Times New Roman"/>
          <w:b/>
          <w:bCs/>
          <w:sz w:val="32"/>
          <w:szCs w:val="32"/>
        </w:rPr>
        <w:t xml:space="preserve">Julgeolekuasutuste seaduse muutmise seaduse </w:t>
      </w:r>
    </w:p>
    <w:p w14:paraId="4F3341D5" w14:textId="32ADB7AE" w:rsidR="002637C8" w:rsidRPr="00291EB6" w:rsidRDefault="002637C8" w:rsidP="00B04E7F">
      <w:pPr>
        <w:spacing w:after="0" w:line="240" w:lineRule="auto"/>
        <w:jc w:val="center"/>
        <w:rPr>
          <w:rFonts w:ascii="Times New Roman" w:hAnsi="Times New Roman" w:cs="Times New Roman"/>
          <w:b/>
          <w:bCs/>
          <w:sz w:val="32"/>
          <w:szCs w:val="32"/>
        </w:rPr>
      </w:pPr>
      <w:r w:rsidRPr="00291EB6">
        <w:rPr>
          <w:rFonts w:ascii="Times New Roman" w:hAnsi="Times New Roman" w:cs="Times New Roman"/>
          <w:b/>
          <w:bCs/>
          <w:sz w:val="32"/>
          <w:szCs w:val="32"/>
        </w:rPr>
        <w:t>eelnõu seletuskiri</w:t>
      </w:r>
    </w:p>
    <w:p w14:paraId="7C715F5E" w14:textId="77777777" w:rsidR="002637C8" w:rsidRPr="00291EB6" w:rsidRDefault="002637C8" w:rsidP="002637C8">
      <w:pPr>
        <w:jc w:val="center"/>
        <w:rPr>
          <w:rFonts w:ascii="Times New Roman" w:hAnsi="Times New Roman" w:cs="Times New Roman"/>
          <w:b/>
          <w:bCs/>
          <w:sz w:val="24"/>
          <w:szCs w:val="24"/>
        </w:rPr>
      </w:pPr>
    </w:p>
    <w:p w14:paraId="246494EF" w14:textId="77777777" w:rsidR="002637C8" w:rsidRPr="00291EB6" w:rsidRDefault="002637C8" w:rsidP="002637C8">
      <w:pPr>
        <w:pStyle w:val="Loendilik"/>
        <w:numPr>
          <w:ilvl w:val="0"/>
          <w:numId w:val="1"/>
        </w:numPr>
        <w:rPr>
          <w:rFonts w:ascii="Times New Roman" w:hAnsi="Times New Roman" w:cs="Times New Roman"/>
          <w:b/>
          <w:bCs/>
          <w:sz w:val="24"/>
          <w:szCs w:val="24"/>
        </w:rPr>
      </w:pPr>
      <w:r w:rsidRPr="00291EB6">
        <w:rPr>
          <w:rFonts w:ascii="Times New Roman" w:hAnsi="Times New Roman" w:cs="Times New Roman"/>
          <w:b/>
          <w:bCs/>
          <w:sz w:val="24"/>
          <w:szCs w:val="24"/>
        </w:rPr>
        <w:t>Seaduse eesmärk</w:t>
      </w:r>
    </w:p>
    <w:p w14:paraId="41B24AFF"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Tagamaks kaitseväe luure ja vastuluure efektiivne toimimine halvenenud julgeolekuolukorras tuleb Kaitseväe Luurekeskusele anda julgeolekuasutuse staatus.</w:t>
      </w:r>
    </w:p>
    <w:p w14:paraId="6FF3FEFC" w14:textId="77777777" w:rsidR="002637C8" w:rsidRPr="00291EB6" w:rsidRDefault="002637C8" w:rsidP="002637C8">
      <w:pPr>
        <w:rPr>
          <w:rFonts w:ascii="Times New Roman" w:hAnsi="Times New Roman" w:cs="Times New Roman"/>
          <w:sz w:val="24"/>
          <w:szCs w:val="24"/>
        </w:rPr>
      </w:pPr>
    </w:p>
    <w:p w14:paraId="7E8A0E64" w14:textId="77777777" w:rsidR="002637C8" w:rsidRPr="00291EB6" w:rsidRDefault="002637C8" w:rsidP="002637C8">
      <w:pPr>
        <w:pStyle w:val="Loendilik"/>
        <w:numPr>
          <w:ilvl w:val="0"/>
          <w:numId w:val="1"/>
        </w:numPr>
        <w:rPr>
          <w:rFonts w:ascii="Times New Roman" w:hAnsi="Times New Roman" w:cs="Times New Roman"/>
          <w:b/>
          <w:bCs/>
          <w:sz w:val="24"/>
          <w:szCs w:val="24"/>
        </w:rPr>
      </w:pPr>
      <w:r w:rsidRPr="00291EB6">
        <w:rPr>
          <w:rFonts w:ascii="Times New Roman" w:hAnsi="Times New Roman" w:cs="Times New Roman"/>
          <w:b/>
          <w:bCs/>
          <w:sz w:val="24"/>
          <w:szCs w:val="24"/>
        </w:rPr>
        <w:t>Eelnõu sisu analüüs</w:t>
      </w:r>
    </w:p>
    <w:p w14:paraId="1157147B" w14:textId="4461C9C9"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Eelnõuga täiendatakse </w:t>
      </w:r>
      <w:r w:rsidR="00B37C78">
        <w:rPr>
          <w:rFonts w:ascii="Times New Roman" w:hAnsi="Times New Roman" w:cs="Times New Roman"/>
          <w:sz w:val="24"/>
          <w:szCs w:val="24"/>
        </w:rPr>
        <w:t>j</w:t>
      </w:r>
      <w:r w:rsidRPr="00291EB6">
        <w:rPr>
          <w:rFonts w:ascii="Times New Roman" w:hAnsi="Times New Roman" w:cs="Times New Roman"/>
          <w:sz w:val="24"/>
          <w:szCs w:val="24"/>
        </w:rPr>
        <w:t>ulgeolekuasutuste seaduse (JAS) regulatsioone selliselt, et julgeolekuasutuste loetellu lisatakse Kaitseväe Luurekeskuse ning korrigeeritakse ning täpsustatakse vastavalt julgeolekuasutuste ülesandeid.</w:t>
      </w:r>
    </w:p>
    <w:p w14:paraId="54B979CA"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Seoses õigusliku regulatsiooni puudulikkusega esinevad Kaitseväe Luurekeskuse töös tõsised taki</w:t>
      </w:r>
      <w:r>
        <w:rPr>
          <w:rFonts w:ascii="Times New Roman" w:hAnsi="Times New Roman" w:cs="Times New Roman"/>
          <w:sz w:val="24"/>
          <w:szCs w:val="24"/>
        </w:rPr>
        <w:t>s</w:t>
      </w:r>
      <w:r w:rsidRPr="00291EB6">
        <w:rPr>
          <w:rFonts w:ascii="Times New Roman" w:hAnsi="Times New Roman" w:cs="Times New Roman"/>
          <w:sz w:val="24"/>
          <w:szCs w:val="24"/>
        </w:rPr>
        <w:t xml:space="preserve">tused. Kõigepealt, kuidas luureteenistused oma kaastöötajaid, ka agentuuri üldse värbavad? Kuidas neid inimesi kontrollitakse ja milliseid vahendid on võimalik selleks kasutada? </w:t>
      </w:r>
    </w:p>
    <w:p w14:paraId="6A8222AE"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Paraku tuleb tõdeda, et kaitseväeluurel ei ole hetkel Kaitsepolitseiameti ja Välisluureametiga võrreldavaid võimalusi oma töö tegemiseks. Kaitseväe Luurekeskuse ainuke võimalus oma allikate kontrollimiseks on praegu teostada seda ametiabi korras s.t paluda seda teha kas Kaitsepolitseiametil või Välisluureametil, kellel need õigused kui julgeolekuasutustel on olemas. </w:t>
      </w:r>
    </w:p>
    <w:p w14:paraId="1D79676C"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Tegelikkuses  ei ole mis tahes luureteenistusel paraku võimalik pöörduda teise partneri poole, et oma konfidentsiaalseid allikaid kontrollida. See tähendaks ju seda, et kaitseväeluure peaks minema ja Kaitsepolitseiametile üle andma kontrollitavate nimed või siis juhul, kui on tegemist juriidiliste isikutega, keda on vaja teeselda, need välja andma. On selge, et Kaitseväe Luurekeskus seda teha ei saa ega olegi teinud. </w:t>
      </w:r>
    </w:p>
    <w:p w14:paraId="55815786"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Samal ajal on selge vajadus selliste kontrollimeetmete järele olemas, kuna julgeolekuolukord on oluliselt halvenenud. Selles olukorras tuleb kõikidele Eesti luure- ja vastuluurega tegelevatele organisatsioonidele anda piisavad vahendid oma ülesannete täitmiseks. See hõlmab ka õiguslikku regulatsiooni. </w:t>
      </w:r>
    </w:p>
    <w:p w14:paraId="5E079FD9"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1990. aastate alguses, mil kavandati Eesti eriteenistuste arengut, nähti selgelt, et Eestis peaks olema üks koordineeriv struktuur – praeguseks Riigikantselei riigikaitse koordinatsioonibüroo, samuti välisluureteenistus, toona Teabeamet, praeguseks Välisluureamet ning vastuluureteenistus, mida teostab kaitsepolitsei. Aga nähti ette ka kolmas, eelnevatega täiesti võrdne partner: Kaitseväe Luurekeskuse eelkäija. </w:t>
      </w:r>
    </w:p>
    <w:p w14:paraId="658C1E72" w14:textId="33BC55D8"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Paraku jäeti julgeolekuasutuste seaduse vastuvõtmise ajal kaitseväeluure kõrvale. Funktsioonid, mida Kaitseväe Luurekeskus peab täitma, sõltuvad otseselt ka sõjaaja kaitseväe suurusest. Suurem reservarmee eeldab funktsioo</w:t>
      </w:r>
      <w:r>
        <w:rPr>
          <w:rFonts w:ascii="Times New Roman" w:hAnsi="Times New Roman" w:cs="Times New Roman"/>
          <w:sz w:val="24"/>
          <w:szCs w:val="24"/>
        </w:rPr>
        <w:t>n</w:t>
      </w:r>
      <w:r w:rsidRPr="00291EB6">
        <w:rPr>
          <w:rFonts w:ascii="Times New Roman" w:hAnsi="Times New Roman" w:cs="Times New Roman"/>
          <w:sz w:val="24"/>
          <w:szCs w:val="24"/>
        </w:rPr>
        <w:t xml:space="preserve">ide täitmist senisest palju suuremas mahus. Sõjaaja </w:t>
      </w:r>
      <w:r w:rsidR="00B37C78">
        <w:rPr>
          <w:rFonts w:ascii="Times New Roman" w:hAnsi="Times New Roman" w:cs="Times New Roman"/>
          <w:sz w:val="24"/>
          <w:szCs w:val="24"/>
        </w:rPr>
        <w:t>K</w:t>
      </w:r>
      <w:r w:rsidRPr="00291EB6">
        <w:rPr>
          <w:rFonts w:ascii="Times New Roman" w:hAnsi="Times New Roman" w:cs="Times New Roman"/>
          <w:sz w:val="24"/>
          <w:szCs w:val="24"/>
        </w:rPr>
        <w:t>aitseväg</w:t>
      </w:r>
      <w:r w:rsidR="00B37C78">
        <w:rPr>
          <w:rFonts w:ascii="Times New Roman" w:hAnsi="Times New Roman" w:cs="Times New Roman"/>
          <w:sz w:val="24"/>
          <w:szCs w:val="24"/>
        </w:rPr>
        <w:t>e suurendatakse 55</w:t>
      </w:r>
      <w:r w:rsidRPr="00291EB6">
        <w:rPr>
          <w:rFonts w:ascii="Times New Roman" w:hAnsi="Times New Roman" w:cs="Times New Roman"/>
          <w:sz w:val="24"/>
          <w:szCs w:val="24"/>
        </w:rPr>
        <w:t xml:space="preserve"> </w:t>
      </w:r>
      <w:r w:rsidR="00B37C78">
        <w:rPr>
          <w:rFonts w:ascii="Times New Roman" w:hAnsi="Times New Roman" w:cs="Times New Roman"/>
          <w:sz w:val="24"/>
          <w:szCs w:val="24"/>
        </w:rPr>
        <w:t>2</w:t>
      </w:r>
      <w:r w:rsidRPr="00291EB6">
        <w:rPr>
          <w:rFonts w:ascii="Times New Roman" w:hAnsi="Times New Roman" w:cs="Times New Roman"/>
          <w:sz w:val="24"/>
          <w:szCs w:val="24"/>
        </w:rPr>
        <w:t xml:space="preserve">00 </w:t>
      </w:r>
      <w:r w:rsidR="00B37C78">
        <w:rPr>
          <w:rFonts w:ascii="Times New Roman" w:hAnsi="Times New Roman" w:cs="Times New Roman"/>
          <w:sz w:val="24"/>
          <w:szCs w:val="24"/>
        </w:rPr>
        <w:t xml:space="preserve">kaitseväelaseni </w:t>
      </w:r>
      <w:r w:rsidRPr="00291EB6">
        <w:rPr>
          <w:rFonts w:ascii="Times New Roman" w:hAnsi="Times New Roman" w:cs="Times New Roman"/>
          <w:sz w:val="24"/>
          <w:szCs w:val="24"/>
        </w:rPr>
        <w:t xml:space="preserve"> ja </w:t>
      </w:r>
      <w:r w:rsidR="00B37C78">
        <w:rPr>
          <w:rFonts w:ascii="Times New Roman" w:hAnsi="Times New Roman" w:cs="Times New Roman"/>
          <w:sz w:val="24"/>
          <w:szCs w:val="24"/>
        </w:rPr>
        <w:t>tõenäoliselt</w:t>
      </w:r>
      <w:r w:rsidRPr="00291EB6">
        <w:rPr>
          <w:rFonts w:ascii="Times New Roman" w:hAnsi="Times New Roman" w:cs="Times New Roman"/>
          <w:sz w:val="24"/>
          <w:szCs w:val="24"/>
        </w:rPr>
        <w:t xml:space="preserve"> suureneb </w:t>
      </w:r>
      <w:r w:rsidR="00B37C78">
        <w:rPr>
          <w:rFonts w:ascii="Times New Roman" w:hAnsi="Times New Roman" w:cs="Times New Roman"/>
          <w:sz w:val="24"/>
          <w:szCs w:val="24"/>
        </w:rPr>
        <w:t xml:space="preserve">see tulevikus </w:t>
      </w:r>
      <w:r w:rsidRPr="00291EB6">
        <w:rPr>
          <w:rFonts w:ascii="Times New Roman" w:hAnsi="Times New Roman" w:cs="Times New Roman"/>
          <w:sz w:val="24"/>
          <w:szCs w:val="24"/>
        </w:rPr>
        <w:t xml:space="preserve">veelgi. See tähendab, et on vaja teostada rohkem nii julgeolekukontrolli, et anda riigisaladuse lubasid, kui ka tavapärast rutiinset vastuluurealast kontrolli, et vältida reeturite </w:t>
      </w:r>
      <w:r w:rsidRPr="00291EB6">
        <w:rPr>
          <w:rFonts w:ascii="Times New Roman" w:hAnsi="Times New Roman" w:cs="Times New Roman"/>
          <w:sz w:val="24"/>
          <w:szCs w:val="24"/>
        </w:rPr>
        <w:lastRenderedPageBreak/>
        <w:t>sisseimbumist. Kaitseväe Luurekeskus ei saa praegu kaitseväe sisest vastuluurefunktsiooni täita, kuna tegemist ei ole julgeolekuasutusega.</w:t>
      </w:r>
    </w:p>
    <w:p w14:paraId="4B78FAB8"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 xml:space="preserve">Praegune julgeolekuolukord eeldab, et seda otsust on vaja muuta. Seadusandja kohus ja panus riigi julgeolekusse on anda kaitseväeluurele töövahendid, mida läheb vaja vastuluure teostamiseks rahuaja ja sõjaaja kaitseväes. </w:t>
      </w:r>
    </w:p>
    <w:p w14:paraId="7B372F9E" w14:textId="77777777" w:rsidR="002637C8" w:rsidRPr="00291EB6" w:rsidRDefault="002637C8" w:rsidP="002637C8">
      <w:pPr>
        <w:rPr>
          <w:rFonts w:ascii="Times New Roman" w:hAnsi="Times New Roman" w:cs="Times New Roman"/>
          <w:sz w:val="24"/>
          <w:szCs w:val="24"/>
        </w:rPr>
      </w:pPr>
    </w:p>
    <w:p w14:paraId="0F2ACB3E" w14:textId="77777777" w:rsidR="002637C8" w:rsidRPr="00291EB6" w:rsidRDefault="002637C8" w:rsidP="002637C8">
      <w:pPr>
        <w:pStyle w:val="Loendilik"/>
        <w:numPr>
          <w:ilvl w:val="0"/>
          <w:numId w:val="1"/>
        </w:numPr>
        <w:rPr>
          <w:rFonts w:ascii="Times New Roman" w:hAnsi="Times New Roman" w:cs="Times New Roman"/>
          <w:b/>
          <w:bCs/>
          <w:sz w:val="24"/>
          <w:szCs w:val="24"/>
        </w:rPr>
      </w:pPr>
      <w:r w:rsidRPr="00291EB6">
        <w:rPr>
          <w:rFonts w:ascii="Times New Roman" w:hAnsi="Times New Roman" w:cs="Times New Roman"/>
          <w:b/>
          <w:bCs/>
          <w:sz w:val="24"/>
          <w:szCs w:val="24"/>
        </w:rPr>
        <w:t>Eelnõu terminoloogia</w:t>
      </w:r>
    </w:p>
    <w:p w14:paraId="77C3D353"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Eelnõus ei kasutata uusi termineid.</w:t>
      </w:r>
    </w:p>
    <w:p w14:paraId="2E8F1422" w14:textId="77777777" w:rsidR="002637C8" w:rsidRPr="00291EB6" w:rsidRDefault="002637C8" w:rsidP="002637C8">
      <w:pPr>
        <w:rPr>
          <w:rFonts w:ascii="Times New Roman" w:hAnsi="Times New Roman" w:cs="Times New Roman"/>
          <w:sz w:val="24"/>
          <w:szCs w:val="24"/>
        </w:rPr>
      </w:pPr>
    </w:p>
    <w:p w14:paraId="4204354B" w14:textId="77777777" w:rsidR="002637C8" w:rsidRPr="00291EB6" w:rsidRDefault="002637C8" w:rsidP="002637C8">
      <w:pPr>
        <w:pStyle w:val="Loendilik"/>
        <w:numPr>
          <w:ilvl w:val="0"/>
          <w:numId w:val="1"/>
        </w:numPr>
        <w:rPr>
          <w:rFonts w:ascii="Times New Roman" w:hAnsi="Times New Roman" w:cs="Times New Roman"/>
          <w:b/>
          <w:bCs/>
          <w:sz w:val="24"/>
          <w:szCs w:val="24"/>
        </w:rPr>
      </w:pPr>
      <w:r w:rsidRPr="00291EB6">
        <w:rPr>
          <w:rFonts w:ascii="Times New Roman" w:hAnsi="Times New Roman" w:cs="Times New Roman"/>
          <w:b/>
          <w:bCs/>
          <w:sz w:val="24"/>
          <w:szCs w:val="24"/>
        </w:rPr>
        <w:t>Eelnõu vastavus Euroopa Liidu seadusele</w:t>
      </w:r>
    </w:p>
    <w:p w14:paraId="367D4907"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Eelnõu ei ole vastuolus Euroopa Liidu õigusega</w:t>
      </w:r>
    </w:p>
    <w:p w14:paraId="7F674FA8" w14:textId="77777777" w:rsidR="002637C8" w:rsidRPr="00291EB6" w:rsidRDefault="002637C8" w:rsidP="002637C8">
      <w:pPr>
        <w:rPr>
          <w:rFonts w:ascii="Times New Roman" w:hAnsi="Times New Roman" w:cs="Times New Roman"/>
          <w:sz w:val="24"/>
          <w:szCs w:val="24"/>
        </w:rPr>
      </w:pPr>
    </w:p>
    <w:p w14:paraId="3967D020" w14:textId="77777777" w:rsidR="002637C8" w:rsidRPr="00291EB6" w:rsidRDefault="002637C8" w:rsidP="002637C8">
      <w:pPr>
        <w:rPr>
          <w:rFonts w:ascii="Times New Roman" w:hAnsi="Times New Roman" w:cs="Times New Roman"/>
          <w:b/>
          <w:bCs/>
          <w:sz w:val="24"/>
          <w:szCs w:val="24"/>
        </w:rPr>
      </w:pPr>
      <w:r w:rsidRPr="00291EB6">
        <w:rPr>
          <w:rFonts w:ascii="Times New Roman" w:hAnsi="Times New Roman" w:cs="Times New Roman"/>
          <w:sz w:val="24"/>
          <w:szCs w:val="24"/>
        </w:rPr>
        <w:t xml:space="preserve">     </w:t>
      </w:r>
      <w:r w:rsidRPr="00291EB6">
        <w:rPr>
          <w:rFonts w:ascii="Times New Roman" w:hAnsi="Times New Roman" w:cs="Times New Roman"/>
          <w:b/>
          <w:bCs/>
          <w:sz w:val="24"/>
          <w:szCs w:val="24"/>
        </w:rPr>
        <w:t>5</w:t>
      </w:r>
      <w:r w:rsidRPr="00291EB6">
        <w:rPr>
          <w:rFonts w:ascii="Times New Roman" w:hAnsi="Times New Roman" w:cs="Times New Roman"/>
          <w:sz w:val="24"/>
          <w:szCs w:val="24"/>
        </w:rPr>
        <w:t xml:space="preserve">. </w:t>
      </w:r>
      <w:r w:rsidRPr="00291EB6">
        <w:rPr>
          <w:rFonts w:ascii="Times New Roman" w:hAnsi="Times New Roman" w:cs="Times New Roman"/>
          <w:b/>
          <w:bCs/>
          <w:sz w:val="24"/>
          <w:szCs w:val="24"/>
        </w:rPr>
        <w:t>Seaduse rakendamisega seotud riigi ja kohaliku omavalitsuse tegevused,</w:t>
      </w:r>
    </w:p>
    <w:p w14:paraId="5EA82B46" w14:textId="77777777" w:rsidR="002637C8" w:rsidRPr="00291EB6" w:rsidRDefault="002637C8" w:rsidP="002637C8">
      <w:pPr>
        <w:rPr>
          <w:rFonts w:ascii="Times New Roman" w:hAnsi="Times New Roman" w:cs="Times New Roman"/>
          <w:b/>
          <w:bCs/>
          <w:sz w:val="24"/>
          <w:szCs w:val="24"/>
        </w:rPr>
      </w:pPr>
      <w:r w:rsidRPr="00291EB6">
        <w:rPr>
          <w:rFonts w:ascii="Times New Roman" w:hAnsi="Times New Roman" w:cs="Times New Roman"/>
          <w:b/>
          <w:bCs/>
          <w:sz w:val="24"/>
          <w:szCs w:val="24"/>
        </w:rPr>
        <w:t>eeldatavad kulud ja tulud</w:t>
      </w:r>
    </w:p>
    <w:p w14:paraId="7490F97D" w14:textId="77777777" w:rsidR="002637C8" w:rsidRPr="00291EB6" w:rsidRDefault="002637C8" w:rsidP="002637C8">
      <w:pPr>
        <w:rPr>
          <w:rFonts w:ascii="Times New Roman" w:hAnsi="Times New Roman" w:cs="Times New Roman"/>
          <w:sz w:val="24"/>
          <w:szCs w:val="24"/>
        </w:rPr>
      </w:pPr>
      <w:r w:rsidRPr="00291EB6">
        <w:rPr>
          <w:rFonts w:ascii="Times New Roman" w:hAnsi="Times New Roman" w:cs="Times New Roman"/>
          <w:sz w:val="24"/>
          <w:szCs w:val="24"/>
        </w:rPr>
        <w:t>Seaduse jõustumisega ei kaasne täiendavaid kulusid või tulusid.</w:t>
      </w:r>
    </w:p>
    <w:p w14:paraId="78C0212D" w14:textId="77777777" w:rsidR="002637C8" w:rsidRPr="00291EB6" w:rsidRDefault="002637C8" w:rsidP="002637C8">
      <w:pPr>
        <w:rPr>
          <w:rFonts w:ascii="Times New Roman" w:hAnsi="Times New Roman" w:cs="Times New Roman"/>
          <w:sz w:val="24"/>
          <w:szCs w:val="24"/>
        </w:rPr>
      </w:pPr>
    </w:p>
    <w:p w14:paraId="7DC5A36B" w14:textId="77777777" w:rsidR="002637C8" w:rsidRPr="00291EB6" w:rsidRDefault="002637C8" w:rsidP="002637C8">
      <w:pPr>
        <w:rPr>
          <w:rFonts w:ascii="Times New Roman" w:hAnsi="Times New Roman" w:cs="Times New Roman"/>
          <w:b/>
          <w:bCs/>
          <w:sz w:val="24"/>
          <w:szCs w:val="24"/>
        </w:rPr>
      </w:pPr>
      <w:r w:rsidRPr="00291EB6">
        <w:rPr>
          <w:rFonts w:ascii="Times New Roman" w:hAnsi="Times New Roman" w:cs="Times New Roman"/>
          <w:sz w:val="24"/>
          <w:szCs w:val="24"/>
        </w:rPr>
        <w:t xml:space="preserve">  </w:t>
      </w:r>
      <w:r w:rsidRPr="00291EB6">
        <w:rPr>
          <w:rFonts w:ascii="Times New Roman" w:hAnsi="Times New Roman" w:cs="Times New Roman"/>
          <w:b/>
          <w:bCs/>
          <w:sz w:val="24"/>
          <w:szCs w:val="24"/>
        </w:rPr>
        <w:t xml:space="preserve">   6. Seaduse jõustumine</w:t>
      </w:r>
    </w:p>
    <w:p w14:paraId="221B4B9D" w14:textId="77777777" w:rsidR="002637C8" w:rsidRPr="008500D4" w:rsidRDefault="002637C8" w:rsidP="002637C8">
      <w:pPr>
        <w:pBdr>
          <w:bottom w:val="single" w:sz="6" w:space="1" w:color="auto"/>
        </w:pBdr>
        <w:rPr>
          <w:rFonts w:ascii="Times New Roman" w:hAnsi="Times New Roman" w:cs="Times New Roman"/>
          <w:sz w:val="24"/>
          <w:szCs w:val="24"/>
        </w:rPr>
      </w:pPr>
      <w:r w:rsidRPr="008500D4">
        <w:rPr>
          <w:rFonts w:ascii="Times New Roman" w:hAnsi="Times New Roman" w:cs="Times New Roman"/>
          <w:sz w:val="24"/>
          <w:szCs w:val="24"/>
        </w:rPr>
        <w:t>Seadus jõustub üldises korras.</w:t>
      </w:r>
    </w:p>
    <w:p w14:paraId="1EB13102" w14:textId="5FBE8F51" w:rsidR="00881FD5" w:rsidRPr="008500D4" w:rsidRDefault="002637C8">
      <w:pPr>
        <w:rPr>
          <w:rFonts w:ascii="Times New Roman" w:hAnsi="Times New Roman" w:cs="Times New Roman"/>
          <w:sz w:val="24"/>
          <w:szCs w:val="24"/>
        </w:rPr>
      </w:pPr>
      <w:r w:rsidRPr="008500D4">
        <w:rPr>
          <w:rFonts w:ascii="Times New Roman" w:hAnsi="Times New Roman" w:cs="Times New Roman"/>
          <w:sz w:val="24"/>
          <w:szCs w:val="24"/>
        </w:rPr>
        <w:t>Algatavad Riigikogu liikmed</w:t>
      </w:r>
    </w:p>
    <w:p w14:paraId="031DF3AD" w14:textId="499AAA4F" w:rsidR="008500D4" w:rsidRPr="008500D4" w:rsidRDefault="008500D4">
      <w:pPr>
        <w:rPr>
          <w:rFonts w:ascii="Times New Roman" w:hAnsi="Times New Roman" w:cs="Times New Roman"/>
          <w:sz w:val="24"/>
          <w:szCs w:val="24"/>
        </w:rPr>
      </w:pPr>
      <w:r w:rsidRPr="008500D4">
        <w:rPr>
          <w:rFonts w:ascii="Times New Roman" w:hAnsi="Times New Roman" w:cs="Times New Roman"/>
          <w:sz w:val="24"/>
          <w:szCs w:val="24"/>
        </w:rPr>
        <w:t>Ants Frosch, Meelis Kiili, Leo Kunnas, Henn Põlluaas, Peeter Tali, Alar Laneman, Vladimir Arhipov, Enn Eesmaa, Eerik-Niiles Kross, Priit Sibul</w:t>
      </w:r>
    </w:p>
    <w:sectPr w:rsidR="008500D4" w:rsidRPr="008500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B762" w14:textId="77777777" w:rsidR="002C73C4" w:rsidRDefault="002C73C4" w:rsidP="00FC3DF8">
      <w:pPr>
        <w:spacing w:after="0" w:line="240" w:lineRule="auto"/>
      </w:pPr>
      <w:r>
        <w:separator/>
      </w:r>
    </w:p>
  </w:endnote>
  <w:endnote w:type="continuationSeparator" w:id="0">
    <w:p w14:paraId="45F938CE" w14:textId="77777777" w:rsidR="002C73C4" w:rsidRDefault="002C73C4" w:rsidP="00FC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4599"/>
      <w:docPartObj>
        <w:docPartGallery w:val="Page Numbers (Bottom of Page)"/>
        <w:docPartUnique/>
      </w:docPartObj>
    </w:sdtPr>
    <w:sdtEndPr/>
    <w:sdtContent>
      <w:p w14:paraId="65124181" w14:textId="362DB911" w:rsidR="00FC3DF8" w:rsidRDefault="00FC3DF8">
        <w:pPr>
          <w:pStyle w:val="Jalus"/>
          <w:jc w:val="center"/>
        </w:pPr>
        <w:r>
          <w:fldChar w:fldCharType="begin"/>
        </w:r>
        <w:r>
          <w:instrText>PAGE   \* MERGEFORMAT</w:instrText>
        </w:r>
        <w:r>
          <w:fldChar w:fldCharType="separate"/>
        </w:r>
        <w:r>
          <w:t>2</w:t>
        </w:r>
        <w:r>
          <w:fldChar w:fldCharType="end"/>
        </w:r>
      </w:p>
    </w:sdtContent>
  </w:sdt>
  <w:p w14:paraId="34CC0210" w14:textId="77777777" w:rsidR="00FC3DF8" w:rsidRDefault="00FC3DF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DBA7" w14:textId="77777777" w:rsidR="002C73C4" w:rsidRDefault="002C73C4" w:rsidP="00FC3DF8">
      <w:pPr>
        <w:spacing w:after="0" w:line="240" w:lineRule="auto"/>
      </w:pPr>
      <w:r>
        <w:separator/>
      </w:r>
    </w:p>
  </w:footnote>
  <w:footnote w:type="continuationSeparator" w:id="0">
    <w:p w14:paraId="3E476A2D" w14:textId="77777777" w:rsidR="002C73C4" w:rsidRDefault="002C73C4" w:rsidP="00FC3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634EE"/>
    <w:multiLevelType w:val="hybridMultilevel"/>
    <w:tmpl w:val="EE420C5C"/>
    <w:lvl w:ilvl="0" w:tplc="A172FFB2">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35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C8"/>
    <w:rsid w:val="002637C8"/>
    <w:rsid w:val="002C73C4"/>
    <w:rsid w:val="0031758E"/>
    <w:rsid w:val="008500D4"/>
    <w:rsid w:val="00881FD5"/>
    <w:rsid w:val="00A95727"/>
    <w:rsid w:val="00B04E7F"/>
    <w:rsid w:val="00B37C78"/>
    <w:rsid w:val="00D43A66"/>
    <w:rsid w:val="00E0308E"/>
    <w:rsid w:val="00E513CB"/>
    <w:rsid w:val="00F969D0"/>
    <w:rsid w:val="00FA6A5B"/>
    <w:rsid w:val="00FC3D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8FE7"/>
  <w15:chartTrackingRefBased/>
  <w15:docId w15:val="{53382F54-EAC5-486E-82DD-E711CF5B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37C8"/>
    <w:pPr>
      <w:spacing w:line="259" w:lineRule="auto"/>
    </w:pPr>
    <w:rPr>
      <w:sz w:val="22"/>
      <w:szCs w:val="22"/>
    </w:rPr>
  </w:style>
  <w:style w:type="paragraph" w:styleId="Pealkiri1">
    <w:name w:val="heading 1"/>
    <w:basedOn w:val="Normaallaad"/>
    <w:next w:val="Normaallaad"/>
    <w:link w:val="Pealkiri1Mrk"/>
    <w:uiPriority w:val="9"/>
    <w:qFormat/>
    <w:rsid w:val="0026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6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637C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637C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637C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637C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637C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637C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637C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37C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637C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637C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637C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637C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637C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637C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637C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637C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6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637C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637C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637C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637C8"/>
    <w:pPr>
      <w:spacing w:before="160"/>
      <w:jc w:val="center"/>
    </w:pPr>
    <w:rPr>
      <w:i/>
      <w:iCs/>
      <w:color w:val="404040" w:themeColor="text1" w:themeTint="BF"/>
    </w:rPr>
  </w:style>
  <w:style w:type="character" w:customStyle="1" w:styleId="TsitaatMrk">
    <w:name w:val="Tsitaat Märk"/>
    <w:basedOn w:val="Liguvaikefont"/>
    <w:link w:val="Tsitaat"/>
    <w:uiPriority w:val="29"/>
    <w:rsid w:val="002637C8"/>
    <w:rPr>
      <w:i/>
      <w:iCs/>
      <w:color w:val="404040" w:themeColor="text1" w:themeTint="BF"/>
    </w:rPr>
  </w:style>
  <w:style w:type="paragraph" w:styleId="Loendilik">
    <w:name w:val="List Paragraph"/>
    <w:basedOn w:val="Normaallaad"/>
    <w:uiPriority w:val="34"/>
    <w:qFormat/>
    <w:rsid w:val="002637C8"/>
    <w:pPr>
      <w:ind w:left="720"/>
      <w:contextualSpacing/>
    </w:pPr>
  </w:style>
  <w:style w:type="character" w:styleId="Selgeltmrgatavrhutus">
    <w:name w:val="Intense Emphasis"/>
    <w:basedOn w:val="Liguvaikefont"/>
    <w:uiPriority w:val="21"/>
    <w:qFormat/>
    <w:rsid w:val="002637C8"/>
    <w:rPr>
      <w:i/>
      <w:iCs/>
      <w:color w:val="0F4761" w:themeColor="accent1" w:themeShade="BF"/>
    </w:rPr>
  </w:style>
  <w:style w:type="paragraph" w:styleId="Selgeltmrgatavtsitaat">
    <w:name w:val="Intense Quote"/>
    <w:basedOn w:val="Normaallaad"/>
    <w:next w:val="Normaallaad"/>
    <w:link w:val="SelgeltmrgatavtsitaatMrk"/>
    <w:uiPriority w:val="30"/>
    <w:qFormat/>
    <w:rsid w:val="0026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637C8"/>
    <w:rPr>
      <w:i/>
      <w:iCs/>
      <w:color w:val="0F4761" w:themeColor="accent1" w:themeShade="BF"/>
    </w:rPr>
  </w:style>
  <w:style w:type="character" w:styleId="Selgeltmrgatavviide">
    <w:name w:val="Intense Reference"/>
    <w:basedOn w:val="Liguvaikefont"/>
    <w:uiPriority w:val="32"/>
    <w:qFormat/>
    <w:rsid w:val="002637C8"/>
    <w:rPr>
      <w:b/>
      <w:bCs/>
      <w:smallCaps/>
      <w:color w:val="0F4761" w:themeColor="accent1" w:themeShade="BF"/>
      <w:spacing w:val="5"/>
    </w:rPr>
  </w:style>
  <w:style w:type="paragraph" w:styleId="Pis">
    <w:name w:val="header"/>
    <w:basedOn w:val="Normaallaad"/>
    <w:link w:val="PisMrk"/>
    <w:uiPriority w:val="99"/>
    <w:unhideWhenUsed/>
    <w:rsid w:val="00FC3DF8"/>
    <w:pPr>
      <w:tabs>
        <w:tab w:val="center" w:pos="4536"/>
        <w:tab w:val="right" w:pos="9072"/>
      </w:tabs>
      <w:spacing w:after="0" w:line="240" w:lineRule="auto"/>
    </w:pPr>
  </w:style>
  <w:style w:type="character" w:customStyle="1" w:styleId="PisMrk">
    <w:name w:val="Päis Märk"/>
    <w:basedOn w:val="Liguvaikefont"/>
    <w:link w:val="Pis"/>
    <w:uiPriority w:val="99"/>
    <w:rsid w:val="00FC3DF8"/>
    <w:rPr>
      <w:sz w:val="22"/>
      <w:szCs w:val="22"/>
    </w:rPr>
  </w:style>
  <w:style w:type="paragraph" w:styleId="Jalus">
    <w:name w:val="footer"/>
    <w:basedOn w:val="Normaallaad"/>
    <w:link w:val="JalusMrk"/>
    <w:uiPriority w:val="99"/>
    <w:unhideWhenUsed/>
    <w:rsid w:val="00FC3DF8"/>
    <w:pPr>
      <w:tabs>
        <w:tab w:val="center" w:pos="4536"/>
        <w:tab w:val="right" w:pos="9072"/>
      </w:tabs>
      <w:spacing w:after="0" w:line="240" w:lineRule="auto"/>
    </w:pPr>
  </w:style>
  <w:style w:type="character" w:customStyle="1" w:styleId="JalusMrk">
    <w:name w:val="Jalus Märk"/>
    <w:basedOn w:val="Liguvaikefont"/>
    <w:link w:val="Jalus"/>
    <w:uiPriority w:val="99"/>
    <w:rsid w:val="00FC3D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3171</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Liiv</dc:creator>
  <cp:keywords/>
  <dc:description/>
  <cp:lastModifiedBy>Raina Liiv</cp:lastModifiedBy>
  <cp:revision>3</cp:revision>
  <dcterms:created xsi:type="dcterms:W3CDTF">2026-06-17T14:35:00Z</dcterms:created>
  <dcterms:modified xsi:type="dcterms:W3CDTF">2026-06-17T14:37:00Z</dcterms:modified>
</cp:coreProperties>
</file>