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Oracle Java 11.0.10 on Linux -->
    <w:p>
      <w:pPr>
        <w:spacing w:after="180"/>
        <w:ind w:left="120"/>
        <w:jc w:val="left"/>
      </w:pPr>
    </w:p>
    <w:p>
      <w:pPr>
        <w:pBdr>
          <w:top w:space="15"/>
        </w:pBdr>
        <w:spacing w:after="30"/>
        <w:ind w:left="120"/>
        <w:jc w:val="left"/>
      </w:pPr>
      <w:r>
        <w:rPr>
          <w:rFonts w:ascii="Times New Roman" w:hAnsi="Times New Roman"/>
          <w:b/>
          <w:i w:val="false"/>
          <w:color w:val="000000"/>
          <w:sz w:val="22"/>
        </w:rPr>
        <w:t>Üldandmed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grupi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2025/337</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 hindamise ID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5172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Tellimuse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05.09.2025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Natalja Rüütel</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18.09.2025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16.09.2025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Lähteülesande koostaja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Eva Männiste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seisund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Kinnitatud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24-99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viis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Otsustuskorras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Vara võõrandamine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alaliik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Tasuta või alla hariliku väärtuse kohalikule omavalitsusele</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Taotlemise eesmärk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Kinnisasja võõrandamine Keila linnale riigivaraseaduse § 33 lõike 1 punkt 1 alusel linna teede ehitamiseks ja korrashoiuks.</w:t>
            </w:r>
          </w:p>
        </w:tc>
      </w:tr>
    </w:tbl>
    <w:p>
      <w:pPr>
        <w:pBdr>
          <w:top w:space="15"/>
        </w:pBdr>
        <w:spacing w:after="30"/>
        <w:ind w:left="120"/>
        <w:jc w:val="left"/>
      </w:pPr>
      <w:r>
        <w:rPr>
          <w:rFonts w:ascii="Times New Roman" w:hAnsi="Times New Roman"/>
          <w:b/>
          <w:i w:val="false"/>
          <w:color w:val="000000"/>
          <w:sz w:val="22"/>
        </w:rPr>
        <w:t>Hinnatav vara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valitseja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Majandus- ja Kommunikatsiooniministeerium</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volitatud 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 ja Ruumiamet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KV113755M1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RKVRi objekti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KV113755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Maakond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Harju maakond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Omavalitsus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Lähiaadress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Arutammiku tee L1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Katastriüksuse tunnus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29601:001:0558</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Kinnistu registriosa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24181450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Sihtotstarve</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TRANSPORDIMAA 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Pindala (m²)</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1275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Jääkmaksumus bilansis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650,0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Maksustamishind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5100</w:t>
            </w:r>
          </w:p>
        </w:tc>
      </w:tr>
    </w:tbl>
    <w:p>
      <w:pPr>
        <w:pBdr>
          <w:top w:space="15"/>
        </w:pBdr>
        <w:spacing w:after="30"/>
        <w:ind w:left="120"/>
        <w:jc w:val="left"/>
      </w:pPr>
      <w:r>
        <w:rPr>
          <w:rFonts w:ascii="Times New Roman" w:hAnsi="Times New Roman"/>
          <w:b/>
          <w:i w:val="false"/>
          <w:color w:val="000000"/>
          <w:sz w:val="22"/>
        </w:rPr>
        <w:t>Lisaandmed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Üldplaneeringu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Linnavolikogu 26.03.2024 otsusega nr 1-3/7 kehtestatud Keila linna üldplaneeringu kohaselt jääb Arutammiku tee L1 katastriüksus tänavavõrgustiku maa-alale.</w:t>
            </w:r>
          </w:p>
        </w:tc>
      </w:tr>
      <w:tr>
        <w:trPr>
          <w:trHeight w:val="30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Linnavolikogu 24.11.2015 otsusega nr 56 on kehtestatud "Aru knnistu ning selle lähiala detailplaneeringu" I etapp, millega on ette nähtud moodustada muuhulgas 4 transpordimaa krunti. Detailplaneeringuga kooskõlas koostati põhiprojekt nr 3020 „Keila Aru rohumaa ja Aru kinnistu infrastruktuuri projekteerimistööd“, millega nähti ette äralõiked Kõrvalmetsa, Pähklisalu ja Tagametsa kinnisasjadest, et moodustada transpordimaa katastriüksused. (Äralõigetega moodustati võõrandamisele minevad Arutammiku tee L1, Arutammiku tee L2 ja Arutammiku tee L3 katastriüksused).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Planeeringute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Parim kasutus transpordimaa.</w:t>
            </w:r>
          </w:p>
        </w:tc>
      </w:tr>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Elektripaigaldise kaitsevöönd/15.04, Elektripaigaldise kaitsevöönd/11.81, Elektripaigaldise kaitsevöönd/49.05, Uuringu ala/1274.72, Piiratud asjaõigusega ala/548.33, Planeeringu ala/69.67</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Oluline mõju puudub.</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Isiklik kasutusõigus, kehtib alates 07.06.2023, tähtajatu, kasutaja Elektrilevi OÜ; isiklik kasutusõigus, kehtib alates 15.08.2024, tähtajatu, kasutaja Telia Eesti 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Mõju puudub.</w:t>
            </w:r>
          </w:p>
        </w:tc>
      </w:tr>
    </w:tbl>
    <w:p>
      <w:pPr>
        <w:pBdr>
          <w:top w:space="15"/>
        </w:pBdr>
        <w:spacing w:after="30"/>
        <w:ind w:left="120"/>
        <w:jc w:val="left"/>
      </w:pPr>
      <w:r>
        <w:rPr>
          <w:rFonts w:ascii="Times New Roman" w:hAnsi="Times New Roman"/>
          <w:b/>
          <w:i w:val="false"/>
          <w:color w:val="000000"/>
          <w:sz w:val="22"/>
        </w:rPr>
        <w:t>Turuandmed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Aktiivse turu olemasolu hinnang</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Hoonestamata maade müügiturg samas piirkonnas on keskmiselt aktiivne. Samas transpordimaa sihtotstarbega kinnisasjad on väheatraktiivsed ja nõudlus nende vastu puudub, aktiivne turg puudub.</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Ülevaade sarnastest tehingutest</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Ajavahemikul 01.01.2024-16.09.2025 on Harju maakonnas toimunud 237 tehingut transpordimaaga, millest enamus ei olnud vabaturutehingud.</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Sarnaste varade pakkumiste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Piirkonna aktiivsema kinnisvara pakkumiste portaali kv.ee andmetel ei ole Harju maakonnas pakkumisel ühtegi hoonestamata transpordimaa sihtotstarbega kinnisasja.</w:t>
            </w:r>
          </w:p>
        </w:tc>
      </w:tr>
    </w:tbl>
    <w:p>
      <w:pPr>
        <w:pBdr>
          <w:top w:space="15"/>
        </w:pBdr>
        <w:spacing w:after="30"/>
        <w:ind w:left="120"/>
        <w:jc w:val="left"/>
      </w:pPr>
      <w:r>
        <w:rPr>
          <w:rFonts w:ascii="Times New Roman" w:hAnsi="Times New Roman"/>
          <w:b/>
          <w:i w:val="false"/>
          <w:color w:val="000000"/>
          <w:sz w:val="22"/>
        </w:rPr>
        <w:t>Hindamiskäik</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93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Hindamiskäigu selgitus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Hinnatava vara parima kasutusena oleme käsitlenud kasutust transpordimaana. Arvestades sellega, et müügitehingute analüüsi tehingute pealt teha ei saa, oleme hariliku väärtuse hindamisel lähtunud riigivaraseaduse § 46 lg 2 punkti 1 ja Vabariigi Valitsuse 09.03.2023 kehtestatud määruse nr 22 „Kinnisasja erakorralise hindamise kord" § 12 lg 4 alusel maa maksustamishinnast.</w:t>
            </w:r>
          </w:p>
        </w:tc>
      </w:tr>
    </w:tbl>
    <w:p>
      <w:pPr>
        <w:pBdr>
          <w:top w:space="15"/>
        </w:pBdr>
        <w:spacing w:after="30"/>
        <w:ind w:left="120"/>
        <w:jc w:val="left"/>
      </w:pPr>
      <w:r>
        <w:rPr>
          <w:rFonts w:ascii="Times New Roman" w:hAnsi="Times New Roman"/>
          <w:b/>
          <w:i w:val="false"/>
          <w:color w:val="000000"/>
          <w:sz w:val="22"/>
        </w:rPr>
        <w:t>Hindamise tulemus</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märkused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Hindamistulemus ei sisalda käibemaksu.</w:t>
            </w:r>
          </w:p>
        </w:tc>
      </w:tr>
    </w:tbl>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