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Hr. Mart Võrklaev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rahandusminister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12. juuli 2024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Riigi rahandusest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 rahandusminister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Viimase aastaga on Eesti riigivõlg kasvanud 45%, 8,78 miljardi euroni. Riigieelarve puudujääk ulatus samal ajal ligi miljardini. Riigi majanduslangus jätkub, mis tähendab, et valitsussektori tulud ei kasva.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palun teil vastata järgmistele küsimustele: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Milleks kulutati viimase aasta jooksul laenuna saadud 2,72 miljardit eurot, kui riigieelarve puudujääk kasvas jätkuvalt?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Kui palju ja kuhu täpselt on valitsus viimase aasta jooksul investeerinud, et majanduskasv kiiresti taastada?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Valitsus hakkas rääkima uue maksutõusu vajadusest ja uute maksude kehtestamisest. Kas mõistate, et kõrgemad maksud pidurdavad majanduskasvu veelgi?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Kas on hinnanguid, millisele maksimaalsele maksukoormusele kodanikud ja ettevõtjad vastu peavad?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