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76" w:lineRule="auto"/>
        <w:jc w:val="both"/>
        <w:rPr>
          <w:rFonts w:ascii="Times New Roman" w:cs="Times New Roman" w:eastAsia="Times New Roman" w:hAnsi="Times New Roman"/>
          <w:sz w:val="24"/>
          <w:szCs w:val="24"/>
        </w:rPr>
      </w:pPr>
      <w:bookmarkStart w:colFirst="0" w:colLast="0" w:name="_gjdgxs" w:id="0"/>
      <w:bookmarkEnd w:id="0"/>
      <w:r w:rsidDel="00000000" w:rsidR="00000000" w:rsidRPr="00000000">
        <w:rPr>
          <w:rFonts w:ascii="Times New Roman" w:cs="Times New Roman" w:eastAsia="Times New Roman" w:hAnsi="Times New Roman"/>
          <w:sz w:val="24"/>
          <w:szCs w:val="24"/>
          <w:rtl w:val="0"/>
        </w:rPr>
        <w:t xml:space="preserve">Pr Kaja Kallas</w:t>
      </w:r>
    </w:p>
    <w:p w:rsidR="00000000" w:rsidDel="00000000" w:rsidP="00000000" w:rsidRDefault="00000000" w:rsidRPr="00000000" w14:paraId="00000002">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Peaminister</w:t>
      </w:r>
    </w:p>
    <w:p w:rsidR="00000000" w:rsidDel="00000000" w:rsidP="00000000" w:rsidRDefault="00000000" w:rsidRPr="00000000" w14:paraId="00000003">
      <w:pPr>
        <w:spacing w:after="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tab/>
        <w:tab/>
        <w:tab/>
        <w:tab/>
        <w:tab/>
        <w:t xml:space="preserve">           21.05.2024</w:t>
      </w:r>
    </w:p>
    <w:p w:rsidR="00000000" w:rsidDel="00000000" w:rsidP="00000000" w:rsidRDefault="00000000" w:rsidRPr="00000000" w14:paraId="00000005">
      <w:pPr>
        <w:spacing w:after="0" w:line="276" w:lineRule="auto"/>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6">
      <w:pPr>
        <w:spacing w:after="0" w:line="276"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7">
      <w:pPr>
        <w:spacing w:after="0" w:line="276"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Lauri Läänemetsa väljaütlemised</w:t>
      </w:r>
    </w:p>
    <w:p w:rsidR="00000000" w:rsidDel="00000000" w:rsidP="00000000" w:rsidRDefault="00000000" w:rsidRPr="00000000" w14:paraId="00000008">
      <w:pPr>
        <w:spacing w:after="0" w:line="276"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9">
      <w:pPr>
        <w:spacing w:after="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Lugupeetud peaminister</w:t>
      </w:r>
    </w:p>
    <w:p w:rsidR="00000000" w:rsidDel="00000000" w:rsidP="00000000" w:rsidRDefault="00000000" w:rsidRPr="00000000" w14:paraId="0000000B">
      <w:pPr>
        <w:spacing w:after="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after="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Siseminister Lauri Läänemets süüdistas avalikult europarlamendi saadikut Jana Toomi riigivastases tegevuses, kuna Toom aitas Moskva Patriarhaadi Eesti Õigeusu Kirikul leida advokaate valitsusega tekkinud vaidluse lahendamiseks. Läänemets nõuab, et kirik taganeks oma kanoonilisest alluvusest Moskva patriarhaadile, kirik ei välista selle küsimuse lahendamist kohtus. </w:t>
      </w:r>
    </w:p>
    <w:p w:rsidR="00000000" w:rsidDel="00000000" w:rsidP="00000000" w:rsidRDefault="00000000" w:rsidRPr="00000000" w14:paraId="0000000E">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Seoses sellega palun Teil vastata alljärgnevatele küsimustele:</w:t>
      </w:r>
    </w:p>
    <w:p w:rsidR="00000000" w:rsidDel="00000000" w:rsidP="00000000" w:rsidRDefault="00000000" w:rsidRPr="00000000" w14:paraId="00000011">
      <w:pPr>
        <w:spacing w:after="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Kas Eesti on õigusriik, kus igal kodanikul või organisatsioonil on õigus vaidlustada iga valitsuse otsust kohtus? Või on Eesti diktatuur, kus igasugust katset võimudega vaielda peetakse riigivastaseks tegevuseks? </w:t>
      </w:r>
    </w:p>
    <w:p w:rsidR="00000000" w:rsidDel="00000000" w:rsidP="00000000" w:rsidRDefault="00000000" w:rsidRPr="00000000" w14:paraId="00000013">
      <w:pPr>
        <w:spacing w:after="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Kas teie valitsuse ministril on kohane avalikult süüdistada kodanikke riigivastases tegevuses, omamata vastavat kohtuotsust? </w:t>
      </w:r>
    </w:p>
    <w:p w:rsidR="00000000" w:rsidDel="00000000" w:rsidP="00000000" w:rsidRDefault="00000000" w:rsidRPr="00000000" w14:paraId="00000015">
      <w:pPr>
        <w:spacing w:after="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Kas siseminister ei peaks Jana Toomi ees avalikult vabandama talle esitatud tõendamata süüdistuste pärast?</w:t>
      </w:r>
    </w:p>
    <w:p w:rsidR="00000000" w:rsidDel="00000000" w:rsidP="00000000" w:rsidRDefault="00000000" w:rsidRPr="00000000" w14:paraId="0000001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8">
      <w:pPr>
        <w:spacing w:after="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A">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Lugupidamisega</w:t>
      </w:r>
    </w:p>
    <w:p w:rsidR="00000000" w:rsidDel="00000000" w:rsidP="00000000" w:rsidRDefault="00000000" w:rsidRPr="00000000" w14:paraId="0000001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/allkirjastatud digitaalselt/</w:t>
      </w:r>
    </w:p>
    <w:p w:rsidR="00000000" w:rsidDel="00000000" w:rsidP="00000000" w:rsidRDefault="00000000" w:rsidRPr="00000000" w14:paraId="0000001D">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Aleksandr Tšaplõgin</w:t>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Riigikogu liige</w:t>
      </w:r>
    </w:p>
    <w:p w:rsidR="00000000" w:rsidDel="00000000" w:rsidP="00000000" w:rsidRDefault="00000000" w:rsidRPr="00000000" w14:paraId="00000022">
      <w:pPr>
        <w:spacing w:after="0"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3">
      <w:pPr>
        <w:spacing w:after="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after="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after="160" w:line="25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t-EE"/>
      </w:rPr>
    </w:rPrDefault>
    <w:pPrDefault>
      <w:pPr>
        <w:spacing w:after="250" w:line="2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